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016D" w14:textId="761197A5" w:rsidR="00BB117B" w:rsidRPr="00B11D8A" w:rsidRDefault="009C0F88" w:rsidP="003D69CB">
      <w:pPr>
        <w:widowControl w:val="0"/>
        <w:spacing w:after="0" w:line="480" w:lineRule="auto"/>
        <w:jc w:val="center"/>
        <w:rPr>
          <w:rFonts w:ascii="Arial" w:hAnsi="Arial" w:cs="Arial"/>
          <w:color w:val="000000" w:themeColor="text1"/>
          <w:sz w:val="25"/>
          <w:szCs w:val="25"/>
          <w:lang w:val="en-GB"/>
        </w:rPr>
      </w:pPr>
      <w:r w:rsidRPr="00B11D8A">
        <w:rPr>
          <w:rFonts w:ascii="Arial" w:hAnsi="Arial" w:cs="Arial"/>
          <w:color w:val="000000" w:themeColor="text1"/>
          <w:sz w:val="25"/>
          <w:szCs w:val="25"/>
          <w:lang w:val="en-GB"/>
        </w:rPr>
        <w:t xml:space="preserve"> </w:t>
      </w:r>
      <w:r w:rsidR="00386CF6" w:rsidRPr="00B11D8A">
        <w:rPr>
          <w:rFonts w:ascii="Arial" w:hAnsi="Arial" w:cs="Arial"/>
          <w:noProof/>
          <w:color w:val="000000" w:themeColor="text1"/>
          <w:sz w:val="25"/>
          <w:szCs w:val="25"/>
          <w:lang w:eastAsia="en-ZA"/>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B11D8A" w:rsidRDefault="00386CF6" w:rsidP="003D69CB">
      <w:pPr>
        <w:widowControl w:val="0"/>
        <w:spacing w:after="0" w:line="480" w:lineRule="auto"/>
        <w:jc w:val="center"/>
        <w:rPr>
          <w:rFonts w:ascii="Verdana" w:hAnsi="Verdana" w:cs="Arial"/>
          <w:b/>
          <w:color w:val="000000" w:themeColor="text1"/>
          <w:lang w:val="en-GB"/>
        </w:rPr>
      </w:pPr>
      <w:r w:rsidRPr="00B11D8A">
        <w:rPr>
          <w:rFonts w:ascii="Verdana" w:hAnsi="Verdana" w:cs="Arial"/>
          <w:b/>
          <w:color w:val="000000" w:themeColor="text1"/>
          <w:lang w:val="en-GB"/>
        </w:rPr>
        <w:t>IN THE HIGH COURT OF SOUTH AFRICA</w:t>
      </w:r>
    </w:p>
    <w:p w14:paraId="305AAA64" w14:textId="3A101DDC" w:rsidR="00386CF6" w:rsidRPr="00B11D8A" w:rsidRDefault="00723BCA" w:rsidP="003D69CB">
      <w:pPr>
        <w:widowControl w:val="0"/>
        <w:spacing w:line="480" w:lineRule="auto"/>
        <w:jc w:val="center"/>
        <w:rPr>
          <w:rFonts w:ascii="Verdana" w:hAnsi="Verdana" w:cs="Arial"/>
          <w:b/>
          <w:color w:val="000000" w:themeColor="text1"/>
          <w:lang w:val="en-GB"/>
        </w:rPr>
      </w:pPr>
      <w:r w:rsidRPr="00B11D8A">
        <w:rPr>
          <w:rFonts w:ascii="Verdana" w:hAnsi="Verdana" w:cs="Arial"/>
          <w:b/>
          <w:color w:val="000000" w:themeColor="text1"/>
          <w:lang w:val="en-GB"/>
        </w:rPr>
        <w:t>GAUTENG</w:t>
      </w:r>
      <w:r w:rsidR="0036664D" w:rsidRPr="00B11D8A">
        <w:rPr>
          <w:rFonts w:ascii="Verdana" w:hAnsi="Verdana" w:cs="Arial"/>
          <w:b/>
          <w:color w:val="000000" w:themeColor="text1"/>
          <w:lang w:val="en-GB"/>
        </w:rPr>
        <w:t xml:space="preserve"> </w:t>
      </w:r>
      <w:r w:rsidR="00386CF6" w:rsidRPr="00B11D8A">
        <w:rPr>
          <w:rFonts w:ascii="Verdana" w:hAnsi="Verdana" w:cs="Arial"/>
          <w:b/>
          <w:color w:val="000000" w:themeColor="text1"/>
          <w:lang w:val="en-GB"/>
        </w:rPr>
        <w:t xml:space="preserve">DIVISION, </w:t>
      </w:r>
      <w:r w:rsidR="0036664D" w:rsidRPr="00B11D8A">
        <w:rPr>
          <w:rFonts w:ascii="Verdana" w:hAnsi="Verdana" w:cs="Arial"/>
          <w:b/>
          <w:color w:val="000000" w:themeColor="text1"/>
          <w:lang w:val="en-GB"/>
        </w:rPr>
        <w:t>JOHANNESBURG</w:t>
      </w:r>
    </w:p>
    <w:p w14:paraId="21479878" w14:textId="7FCAF5FC" w:rsidR="00545AB4" w:rsidRPr="00B11D8A" w:rsidRDefault="00545AB4" w:rsidP="003D69CB">
      <w:pPr>
        <w:widowControl w:val="0"/>
        <w:spacing w:line="480" w:lineRule="auto"/>
        <w:jc w:val="right"/>
        <w:rPr>
          <w:rFonts w:ascii="Verdana" w:hAnsi="Verdana" w:cs="Arial"/>
          <w:b/>
          <w:color w:val="000000" w:themeColor="text1"/>
          <w:lang w:val="en-GB"/>
        </w:rPr>
      </w:pPr>
      <w:r w:rsidRPr="00B11D8A">
        <w:rPr>
          <w:rFonts w:ascii="Verdana" w:hAnsi="Verdana" w:cs="Arial"/>
          <w:b/>
          <w:color w:val="000000" w:themeColor="text1"/>
          <w:lang w:val="en-GB"/>
        </w:rPr>
        <w:t>CASE N</w:t>
      </w:r>
      <w:r w:rsidR="000733E2" w:rsidRPr="00B11D8A">
        <w:rPr>
          <w:rFonts w:ascii="Verdana" w:hAnsi="Verdana" w:cs="Arial"/>
          <w:b/>
          <w:color w:val="000000" w:themeColor="text1"/>
          <w:lang w:val="en-GB"/>
        </w:rPr>
        <w:t>UMBER</w:t>
      </w:r>
      <w:r w:rsidRPr="00B11D8A">
        <w:rPr>
          <w:rFonts w:ascii="Verdana" w:hAnsi="Verdana" w:cs="Arial"/>
          <w:b/>
          <w:color w:val="000000" w:themeColor="text1"/>
          <w:lang w:val="en-GB"/>
        </w:rPr>
        <w:t xml:space="preserve">: </w:t>
      </w:r>
      <w:r w:rsidR="0036664D" w:rsidRPr="00B11D8A">
        <w:rPr>
          <w:rFonts w:ascii="Verdana" w:hAnsi="Verdana" w:cs="Arial"/>
          <w:b/>
          <w:color w:val="000000" w:themeColor="text1"/>
          <w:lang w:val="en-GB"/>
        </w:rPr>
        <w:t xml:space="preserve"> </w:t>
      </w:r>
      <w:r w:rsidR="00E34B60" w:rsidRPr="00B11D8A">
        <w:rPr>
          <w:rFonts w:ascii="Verdana" w:hAnsi="Verdana" w:cs="Arial"/>
          <w:b/>
          <w:color w:val="000000" w:themeColor="text1"/>
          <w:lang w:val="en-GB"/>
        </w:rPr>
        <w:t>28472/2020</w:t>
      </w:r>
    </w:p>
    <w:p w14:paraId="52B0FAC6" w14:textId="77777777" w:rsidR="00386CF6" w:rsidRPr="00B11D8A" w:rsidRDefault="00386CF6" w:rsidP="003D69CB">
      <w:pPr>
        <w:widowControl w:val="0"/>
        <w:spacing w:line="480" w:lineRule="auto"/>
        <w:jc w:val="right"/>
        <w:rPr>
          <w:rFonts w:ascii="Verdana" w:hAnsi="Verdana" w:cs="Arial"/>
          <w:b/>
          <w:color w:val="000000" w:themeColor="text1"/>
          <w:lang w:val="en-GB"/>
        </w:rPr>
      </w:pPr>
      <w:r w:rsidRPr="00B11D8A">
        <w:rPr>
          <w:rFonts w:ascii="Verdana" w:hAnsi="Verdana"/>
          <w:noProof/>
          <w:color w:val="000000" w:themeColor="text1"/>
          <w:lang w:eastAsia="en-ZA"/>
        </w:rPr>
        <mc:AlternateContent>
          <mc:Choice Requires="wps">
            <w:drawing>
              <wp:anchor distT="0" distB="0" distL="114300" distR="114300" simplePos="0" relativeHeight="251659264" behindDoc="0" locked="0" layoutInCell="1" allowOverlap="1" wp14:anchorId="50FE586E" wp14:editId="489346E8">
                <wp:simplePos x="0" y="0"/>
                <wp:positionH relativeFrom="column">
                  <wp:posOffset>0</wp:posOffset>
                </wp:positionH>
                <wp:positionV relativeFrom="paragraph">
                  <wp:posOffset>159385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CC34EB" w:rsidRDefault="00CC34EB" w:rsidP="00386CF6">
                            <w:pPr>
                              <w:jc w:val="center"/>
                              <w:rPr>
                                <w:rFonts w:ascii="Century Gothic" w:hAnsi="Century Gothic"/>
                                <w:b/>
                                <w:sz w:val="20"/>
                                <w:szCs w:val="20"/>
                              </w:rPr>
                            </w:pPr>
                          </w:p>
                          <w:p w14:paraId="3FEDA994" w14:textId="55CA43D1" w:rsidR="00CC34EB" w:rsidRDefault="00CC34EB" w:rsidP="00386CF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E074D0">
                              <w:rPr>
                                <w:rFonts w:ascii="Century Gothic" w:hAnsi="Century Gothic"/>
                                <w:sz w:val="20"/>
                                <w:szCs w:val="20"/>
                              </w:rPr>
                              <w:t>NO</w:t>
                            </w:r>
                          </w:p>
                          <w:p w14:paraId="1B8F63EA" w14:textId="121DED5C" w:rsidR="00CC34EB" w:rsidRDefault="00CC34EB" w:rsidP="00386CF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E074D0">
                              <w:rPr>
                                <w:rFonts w:ascii="Century Gothic" w:hAnsi="Century Gothic"/>
                                <w:sz w:val="20"/>
                                <w:szCs w:val="20"/>
                              </w:rPr>
                              <w:t>NO</w:t>
                            </w:r>
                          </w:p>
                          <w:p w14:paraId="66F8D6FB" w14:textId="6D832785" w:rsidR="00CC34EB" w:rsidRDefault="00CC34EB" w:rsidP="00386CF6">
                            <w:pPr>
                              <w:numPr>
                                <w:ilvl w:val="0"/>
                                <w:numId w:val="1"/>
                              </w:numPr>
                              <w:spacing w:after="0" w:line="240" w:lineRule="auto"/>
                              <w:rPr>
                                <w:rFonts w:ascii="Century Gothic" w:hAnsi="Century Gothic"/>
                                <w:sz w:val="20"/>
                                <w:szCs w:val="20"/>
                              </w:rPr>
                            </w:pPr>
                            <w:r>
                              <w:rPr>
                                <w:rFonts w:ascii="Century Gothic" w:hAnsi="Century Gothic"/>
                                <w:sz w:val="20"/>
                                <w:szCs w:val="20"/>
                              </w:rPr>
                              <w:t>REVISED.</w:t>
                            </w:r>
                          </w:p>
                          <w:p w14:paraId="75E0B5B2" w14:textId="093AA055" w:rsidR="00CC34EB" w:rsidRDefault="00CC34EB" w:rsidP="00E34B60">
                            <w:pPr>
                              <w:spacing w:after="0" w:line="240" w:lineRule="auto"/>
                              <w:ind w:left="900"/>
                              <w:rPr>
                                <w:rFonts w:ascii="Century Gothic" w:hAnsi="Century Gothic"/>
                                <w:sz w:val="20"/>
                                <w:szCs w:val="20"/>
                              </w:rPr>
                            </w:pPr>
                            <w:r>
                              <w:rPr>
                                <w:rFonts w:ascii="Century Gothic" w:hAnsi="Century Gothic"/>
                                <w:sz w:val="20"/>
                                <w:szCs w:val="20"/>
                              </w:rPr>
                              <w:t xml:space="preserve">DATE:  </w:t>
                            </w:r>
                            <w:r w:rsidR="00DC2CC2">
                              <w:rPr>
                                <w:rFonts w:ascii="Century Gothic" w:hAnsi="Century Gothic"/>
                                <w:sz w:val="20"/>
                                <w:szCs w:val="20"/>
                              </w:rPr>
                              <w:t>26/7/21</w:t>
                            </w:r>
                          </w:p>
                          <w:p w14:paraId="735C4641" w14:textId="2FF22218" w:rsidR="00CC34EB" w:rsidRDefault="00CC34EB" w:rsidP="00386CF6">
                            <w:pPr>
                              <w:spacing w:after="0" w:line="240" w:lineRule="auto"/>
                              <w:rPr>
                                <w:rFonts w:ascii="Century Gothic" w:hAnsi="Century Gothic"/>
                                <w:sz w:val="20"/>
                                <w:szCs w:val="20"/>
                              </w:rPr>
                            </w:pPr>
                          </w:p>
                          <w:p w14:paraId="002C27C2" w14:textId="78398221" w:rsidR="00CC34EB" w:rsidRPr="00C40125" w:rsidRDefault="00CC34EB"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CC34EB" w:rsidRDefault="00CC34EB" w:rsidP="00386CF6">
                            <w:pPr>
                              <w:spacing w:after="0" w:line="240" w:lineRule="auto"/>
                              <w:ind w:firstLine="180"/>
                              <w:rPr>
                                <w:rFonts w:ascii="Century Gothic" w:hAnsi="Century Gothic"/>
                                <w:sz w:val="20"/>
                                <w:szCs w:val="20"/>
                              </w:rPr>
                            </w:pPr>
                          </w:p>
                          <w:p w14:paraId="3D1CBF70" w14:textId="77777777" w:rsidR="00CC34EB" w:rsidRDefault="00CC34EB" w:rsidP="00386CF6">
                            <w:pPr>
                              <w:rPr>
                                <w:rFonts w:ascii="Century Gothic" w:hAnsi="Century Gothic"/>
                                <w:b/>
                                <w:sz w:val="18"/>
                                <w:szCs w:val="18"/>
                              </w:rPr>
                            </w:pPr>
                          </w:p>
                          <w:p w14:paraId="12E9035B" w14:textId="77777777" w:rsidR="00CC34EB" w:rsidRDefault="00CC34EB"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0;margin-top:12.5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Dv8cSZ3QAAAAcBAAAPAAAAZHJzL2Rvd25y&#10;ZXYueG1sTI9BT8MwDIXvSPyHyEhcEEs7WNlK0wkhgeAGA8E1a7y2InFKknXl3+Od4ObnZ733uVpP&#10;zooRQ+w9KchnGQikxpueWgXvbw+XSxAxaTLaekIFPxhhXZ+eVLo0/kCvOG5SKziEYqkVdCkNpZSx&#10;6dDpOPMDEns7H5xOLEMrTdAHDndWzrOskE73xA2dHvC+w+Zrs3cKltdP42d8vnr5aIqdXaWLm/Hx&#10;Oyh1fjbd3YJIOKW/YzjiMzrUzLT1ezJRWAX8SFIwX+Qg2F1kKx62x0WRg6wr+Z+//gUAAP//AwBQ&#10;SwECLQAUAAYACAAAACEAtoM4kv4AAADhAQAAEwAAAAAAAAAAAAAAAAAAAAAAW0NvbnRlbnRfVHlw&#10;ZXNdLnhtbFBLAQItABQABgAIAAAAIQA4/SH/1gAAAJQBAAALAAAAAAAAAAAAAAAAAC8BAABfcmVs&#10;cy8ucmVsc1BLAQItABQABgAIAAAAIQC3Qh10LAIAAFEEAAAOAAAAAAAAAAAAAAAAAC4CAABkcnMv&#10;ZTJvRG9jLnhtbFBLAQItABQABgAIAAAAIQDv8cSZ3QAAAAcBAAAPAAAAAAAAAAAAAAAAAIYEAABk&#10;cnMvZG93bnJldi54bWxQSwUGAAAAAAQABADzAAAAkAUAAAAA&#10;">
                <v:textbox>
                  <w:txbxContent>
                    <w:p w14:paraId="7E208079" w14:textId="77777777" w:rsidR="00CC34EB" w:rsidRDefault="00CC34EB" w:rsidP="00386CF6">
                      <w:pPr>
                        <w:jc w:val="center"/>
                        <w:rPr>
                          <w:rFonts w:ascii="Century Gothic" w:hAnsi="Century Gothic"/>
                          <w:b/>
                          <w:sz w:val="20"/>
                          <w:szCs w:val="20"/>
                        </w:rPr>
                      </w:pPr>
                    </w:p>
                    <w:p w14:paraId="3FEDA994" w14:textId="55CA43D1" w:rsidR="00CC34EB" w:rsidRDefault="00CC34EB" w:rsidP="00386CF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E074D0">
                        <w:rPr>
                          <w:rFonts w:ascii="Century Gothic" w:hAnsi="Century Gothic"/>
                          <w:sz w:val="20"/>
                          <w:szCs w:val="20"/>
                        </w:rPr>
                        <w:t>NO</w:t>
                      </w:r>
                    </w:p>
                    <w:p w14:paraId="1B8F63EA" w14:textId="121DED5C" w:rsidR="00CC34EB" w:rsidRDefault="00CC34EB" w:rsidP="00386CF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E074D0">
                        <w:rPr>
                          <w:rFonts w:ascii="Century Gothic" w:hAnsi="Century Gothic"/>
                          <w:sz w:val="20"/>
                          <w:szCs w:val="20"/>
                        </w:rPr>
                        <w:t>NO</w:t>
                      </w:r>
                    </w:p>
                    <w:p w14:paraId="66F8D6FB" w14:textId="6D832785" w:rsidR="00CC34EB" w:rsidRDefault="00CC34EB" w:rsidP="00386CF6">
                      <w:pPr>
                        <w:numPr>
                          <w:ilvl w:val="0"/>
                          <w:numId w:val="1"/>
                        </w:numPr>
                        <w:spacing w:after="0" w:line="240" w:lineRule="auto"/>
                        <w:rPr>
                          <w:rFonts w:ascii="Century Gothic" w:hAnsi="Century Gothic"/>
                          <w:sz w:val="20"/>
                          <w:szCs w:val="20"/>
                        </w:rPr>
                      </w:pPr>
                      <w:r>
                        <w:rPr>
                          <w:rFonts w:ascii="Century Gothic" w:hAnsi="Century Gothic"/>
                          <w:sz w:val="20"/>
                          <w:szCs w:val="20"/>
                        </w:rPr>
                        <w:t>REVISED.</w:t>
                      </w:r>
                    </w:p>
                    <w:p w14:paraId="75E0B5B2" w14:textId="093AA055" w:rsidR="00CC34EB" w:rsidRDefault="00CC34EB" w:rsidP="00E34B60">
                      <w:pPr>
                        <w:spacing w:after="0" w:line="240" w:lineRule="auto"/>
                        <w:ind w:left="900"/>
                        <w:rPr>
                          <w:rFonts w:ascii="Century Gothic" w:hAnsi="Century Gothic"/>
                          <w:sz w:val="20"/>
                          <w:szCs w:val="20"/>
                        </w:rPr>
                      </w:pPr>
                      <w:r>
                        <w:rPr>
                          <w:rFonts w:ascii="Century Gothic" w:hAnsi="Century Gothic"/>
                          <w:sz w:val="20"/>
                          <w:szCs w:val="20"/>
                        </w:rPr>
                        <w:t xml:space="preserve">DATE:  </w:t>
                      </w:r>
                      <w:r w:rsidR="00DC2CC2">
                        <w:rPr>
                          <w:rFonts w:ascii="Century Gothic" w:hAnsi="Century Gothic"/>
                          <w:sz w:val="20"/>
                          <w:szCs w:val="20"/>
                        </w:rPr>
                        <w:t>26/7/21</w:t>
                      </w:r>
                    </w:p>
                    <w:p w14:paraId="735C4641" w14:textId="2FF22218" w:rsidR="00CC34EB" w:rsidRDefault="00CC34EB" w:rsidP="00386CF6">
                      <w:pPr>
                        <w:spacing w:after="0" w:line="240" w:lineRule="auto"/>
                        <w:rPr>
                          <w:rFonts w:ascii="Century Gothic" w:hAnsi="Century Gothic"/>
                          <w:sz w:val="20"/>
                          <w:szCs w:val="20"/>
                        </w:rPr>
                      </w:pPr>
                    </w:p>
                    <w:p w14:paraId="002C27C2" w14:textId="78398221" w:rsidR="00CC34EB" w:rsidRPr="00C40125" w:rsidRDefault="00CC34EB"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CC34EB" w:rsidRDefault="00CC34EB" w:rsidP="00386CF6">
                      <w:pPr>
                        <w:spacing w:after="0" w:line="240" w:lineRule="auto"/>
                        <w:ind w:firstLine="180"/>
                        <w:rPr>
                          <w:rFonts w:ascii="Century Gothic" w:hAnsi="Century Gothic"/>
                          <w:sz w:val="20"/>
                          <w:szCs w:val="20"/>
                        </w:rPr>
                      </w:pPr>
                    </w:p>
                    <w:p w14:paraId="3D1CBF70" w14:textId="77777777" w:rsidR="00CC34EB" w:rsidRDefault="00CC34EB" w:rsidP="00386CF6">
                      <w:pPr>
                        <w:rPr>
                          <w:rFonts w:ascii="Century Gothic" w:hAnsi="Century Gothic"/>
                          <w:b/>
                          <w:sz w:val="18"/>
                          <w:szCs w:val="18"/>
                        </w:rPr>
                      </w:pPr>
                    </w:p>
                    <w:p w14:paraId="12E9035B" w14:textId="77777777" w:rsidR="00CC34EB" w:rsidRDefault="00CC34EB"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6A916D32" w14:textId="77777777" w:rsidR="00386CF6" w:rsidRPr="00B11D8A" w:rsidRDefault="00386CF6" w:rsidP="003D69CB">
      <w:pPr>
        <w:widowControl w:val="0"/>
        <w:spacing w:line="480" w:lineRule="auto"/>
        <w:jc w:val="center"/>
        <w:rPr>
          <w:rFonts w:ascii="Verdana" w:hAnsi="Verdana" w:cs="Arial"/>
          <w:b/>
          <w:color w:val="000000" w:themeColor="text1"/>
          <w:lang w:val="en-GB"/>
        </w:rPr>
      </w:pPr>
    </w:p>
    <w:p w14:paraId="68170D40" w14:textId="77777777" w:rsidR="00386CF6" w:rsidRPr="00B11D8A" w:rsidRDefault="00386CF6" w:rsidP="003D69CB">
      <w:pPr>
        <w:widowControl w:val="0"/>
        <w:spacing w:line="480" w:lineRule="auto"/>
        <w:jc w:val="center"/>
        <w:rPr>
          <w:rFonts w:ascii="Verdana" w:hAnsi="Verdana" w:cs="Arial"/>
          <w:b/>
          <w:color w:val="000000" w:themeColor="text1"/>
          <w:lang w:val="en-GB"/>
        </w:rPr>
      </w:pPr>
    </w:p>
    <w:p w14:paraId="57643447" w14:textId="77777777" w:rsidR="00386CF6" w:rsidRPr="00B11D8A" w:rsidRDefault="00386CF6" w:rsidP="003D69CB">
      <w:pPr>
        <w:widowControl w:val="0"/>
        <w:spacing w:line="480" w:lineRule="auto"/>
        <w:jc w:val="center"/>
        <w:rPr>
          <w:rFonts w:ascii="Verdana" w:hAnsi="Verdana" w:cs="Arial"/>
          <w:b/>
          <w:color w:val="000000" w:themeColor="text1"/>
          <w:lang w:val="en-GB"/>
        </w:rPr>
      </w:pPr>
    </w:p>
    <w:p w14:paraId="3A367471" w14:textId="77777777" w:rsidR="00FF68FE" w:rsidRPr="00B11D8A" w:rsidRDefault="00FF68FE" w:rsidP="003D69CB">
      <w:pPr>
        <w:widowControl w:val="0"/>
        <w:spacing w:after="0" w:line="360" w:lineRule="auto"/>
        <w:rPr>
          <w:rFonts w:ascii="Verdana" w:hAnsi="Verdana" w:cs="Arial"/>
          <w:color w:val="000000" w:themeColor="text1"/>
          <w:lang w:val="en-GB"/>
        </w:rPr>
      </w:pPr>
    </w:p>
    <w:p w14:paraId="561DD510" w14:textId="77777777" w:rsidR="00386CF6" w:rsidRPr="00B11D8A" w:rsidRDefault="00386CF6" w:rsidP="003D69CB">
      <w:pPr>
        <w:widowControl w:val="0"/>
        <w:spacing w:after="0" w:line="336" w:lineRule="auto"/>
        <w:rPr>
          <w:rFonts w:ascii="Verdana" w:hAnsi="Verdana" w:cs="Arial"/>
          <w:color w:val="000000" w:themeColor="text1"/>
          <w:lang w:val="en-GB"/>
        </w:rPr>
      </w:pPr>
      <w:r w:rsidRPr="00B11D8A">
        <w:rPr>
          <w:rFonts w:ascii="Verdana" w:hAnsi="Verdana" w:cs="Arial"/>
          <w:color w:val="000000" w:themeColor="text1"/>
          <w:lang w:val="en-GB"/>
        </w:rPr>
        <w:t xml:space="preserve">In the </w:t>
      </w:r>
      <w:r w:rsidR="00545AB4" w:rsidRPr="00B11D8A">
        <w:rPr>
          <w:rFonts w:ascii="Verdana" w:hAnsi="Verdana" w:cs="Arial"/>
          <w:color w:val="000000" w:themeColor="text1"/>
          <w:lang w:val="en-GB"/>
        </w:rPr>
        <w:t xml:space="preserve">matter </w:t>
      </w:r>
      <w:r w:rsidRPr="00B11D8A">
        <w:rPr>
          <w:rFonts w:ascii="Verdana" w:hAnsi="Verdana" w:cs="Arial"/>
          <w:color w:val="000000" w:themeColor="text1"/>
          <w:lang w:val="en-GB"/>
        </w:rPr>
        <w:t>between:</w:t>
      </w:r>
      <w:r w:rsidR="003F5965" w:rsidRPr="00B11D8A">
        <w:rPr>
          <w:rFonts w:ascii="Verdana" w:hAnsi="Verdana" w:cs="Arial"/>
          <w:color w:val="000000" w:themeColor="text1"/>
          <w:lang w:val="en-GB"/>
        </w:rPr>
        <w:t xml:space="preserve"> -</w:t>
      </w:r>
    </w:p>
    <w:p w14:paraId="5183A1A0" w14:textId="77777777" w:rsidR="0036664D" w:rsidRPr="00B11D8A" w:rsidRDefault="0036664D" w:rsidP="003D69CB">
      <w:pPr>
        <w:widowControl w:val="0"/>
        <w:spacing w:after="0" w:line="336" w:lineRule="auto"/>
        <w:rPr>
          <w:rFonts w:ascii="Verdana" w:hAnsi="Verdana" w:cs="Arial"/>
          <w:color w:val="000000" w:themeColor="text1"/>
          <w:lang w:val="en-GB"/>
        </w:rPr>
      </w:pPr>
    </w:p>
    <w:p w14:paraId="2E82B33C" w14:textId="77777777" w:rsidR="00E34B60" w:rsidRPr="00B11D8A" w:rsidRDefault="00E34B60" w:rsidP="003D69CB">
      <w:pPr>
        <w:widowControl w:val="0"/>
        <w:tabs>
          <w:tab w:val="right" w:pos="9026"/>
        </w:tabs>
        <w:spacing w:after="0" w:line="336" w:lineRule="auto"/>
        <w:rPr>
          <w:rFonts w:ascii="Verdana" w:hAnsi="Verdana" w:cs="Arial"/>
          <w:color w:val="000000" w:themeColor="text1"/>
          <w:lang w:val="en-GB"/>
        </w:rPr>
      </w:pPr>
      <w:r w:rsidRPr="00B11D8A">
        <w:rPr>
          <w:rFonts w:ascii="Verdana" w:hAnsi="Verdana" w:cs="Arial"/>
          <w:b/>
          <w:color w:val="000000" w:themeColor="text1"/>
          <w:lang w:val="en-GB"/>
        </w:rPr>
        <w:t>PETER DODSON N.O.</w:t>
      </w:r>
    </w:p>
    <w:p w14:paraId="77E7776C" w14:textId="77777777" w:rsidR="00E34B60" w:rsidRPr="00B11D8A" w:rsidRDefault="00E34B60" w:rsidP="003D69CB">
      <w:pPr>
        <w:widowControl w:val="0"/>
        <w:tabs>
          <w:tab w:val="right" w:pos="9026"/>
        </w:tabs>
        <w:spacing w:after="0" w:line="336" w:lineRule="auto"/>
        <w:rPr>
          <w:rFonts w:ascii="Verdana" w:hAnsi="Verdana" w:cs="Arial"/>
          <w:color w:val="000000" w:themeColor="text1"/>
          <w:lang w:val="en-GB"/>
        </w:rPr>
      </w:pPr>
      <w:r w:rsidRPr="00B11D8A">
        <w:rPr>
          <w:rFonts w:ascii="Verdana" w:hAnsi="Verdana" w:cs="Arial"/>
          <w:color w:val="000000" w:themeColor="text1"/>
          <w:lang w:val="en-GB"/>
        </w:rPr>
        <w:t>(in his capacity as trustee for the time being of</w:t>
      </w:r>
    </w:p>
    <w:p w14:paraId="41DC56A9" w14:textId="4CE12FF9" w:rsidR="003F5965" w:rsidRPr="00B11D8A" w:rsidRDefault="00E34B60" w:rsidP="003D69CB">
      <w:pPr>
        <w:widowControl w:val="0"/>
        <w:tabs>
          <w:tab w:val="right" w:pos="9026"/>
        </w:tabs>
        <w:spacing w:after="120" w:line="336" w:lineRule="auto"/>
        <w:rPr>
          <w:rFonts w:ascii="Verdana" w:hAnsi="Verdana" w:cs="Arial"/>
          <w:color w:val="000000" w:themeColor="text1"/>
          <w:lang w:val="en-GB"/>
        </w:rPr>
      </w:pPr>
      <w:r w:rsidRPr="00B11D8A">
        <w:rPr>
          <w:rFonts w:ascii="Verdana" w:hAnsi="Verdana" w:cs="Arial"/>
          <w:color w:val="000000" w:themeColor="text1"/>
          <w:lang w:val="en-GB"/>
        </w:rPr>
        <w:t>THE GRIFFON RESIDENTS TRUST)</w:t>
      </w:r>
      <w:r w:rsidR="003F5965" w:rsidRPr="00B11D8A">
        <w:rPr>
          <w:rFonts w:ascii="Verdana" w:hAnsi="Verdana" w:cs="Arial"/>
          <w:color w:val="000000" w:themeColor="text1"/>
          <w:lang w:val="en-GB"/>
        </w:rPr>
        <w:tab/>
      </w:r>
      <w:r w:rsidRPr="00B11D8A">
        <w:rPr>
          <w:rFonts w:ascii="Verdana" w:hAnsi="Verdana" w:cs="Arial"/>
          <w:color w:val="000000" w:themeColor="text1"/>
          <w:lang w:val="en-GB"/>
        </w:rPr>
        <w:t>First a</w:t>
      </w:r>
      <w:r w:rsidR="00E011F5" w:rsidRPr="00B11D8A">
        <w:rPr>
          <w:rFonts w:ascii="Verdana" w:hAnsi="Verdana" w:cs="Arial"/>
          <w:color w:val="000000" w:themeColor="text1"/>
          <w:lang w:val="en-GB"/>
        </w:rPr>
        <w:t>pplicant</w:t>
      </w:r>
    </w:p>
    <w:p w14:paraId="3956E477" w14:textId="6C92D0B9" w:rsidR="00E34B60" w:rsidRPr="00B11D8A" w:rsidRDefault="00E34B60" w:rsidP="003D69CB">
      <w:pPr>
        <w:widowControl w:val="0"/>
        <w:tabs>
          <w:tab w:val="right" w:pos="9026"/>
        </w:tabs>
        <w:spacing w:after="0" w:line="336" w:lineRule="auto"/>
        <w:rPr>
          <w:rFonts w:ascii="Verdana" w:hAnsi="Verdana" w:cs="Arial"/>
          <w:color w:val="000000" w:themeColor="text1"/>
          <w:lang w:val="en-GB"/>
        </w:rPr>
      </w:pPr>
      <w:r w:rsidRPr="00B11D8A">
        <w:rPr>
          <w:rFonts w:ascii="Verdana" w:hAnsi="Verdana" w:cs="Arial"/>
          <w:b/>
          <w:color w:val="000000" w:themeColor="text1"/>
          <w:lang w:val="en-GB"/>
        </w:rPr>
        <w:t>THE BEST TRUST COMPANY (JHB) (PTY) LTD N.O.</w:t>
      </w:r>
    </w:p>
    <w:p w14:paraId="01DF1E14" w14:textId="77777777" w:rsidR="00E34B60" w:rsidRPr="00B11D8A" w:rsidRDefault="00E34B60" w:rsidP="003D69CB">
      <w:pPr>
        <w:widowControl w:val="0"/>
        <w:tabs>
          <w:tab w:val="right" w:pos="9026"/>
        </w:tabs>
        <w:spacing w:after="0" w:line="336" w:lineRule="auto"/>
        <w:rPr>
          <w:rFonts w:ascii="Verdana" w:hAnsi="Verdana" w:cs="Arial"/>
          <w:color w:val="000000" w:themeColor="text1"/>
          <w:lang w:val="en-GB"/>
        </w:rPr>
      </w:pPr>
      <w:r w:rsidRPr="00B11D8A">
        <w:rPr>
          <w:rFonts w:ascii="Verdana" w:hAnsi="Verdana" w:cs="Arial"/>
          <w:color w:val="000000" w:themeColor="text1"/>
          <w:lang w:val="en-GB"/>
        </w:rPr>
        <w:t>(in its capacity as trustee for the time being of</w:t>
      </w:r>
    </w:p>
    <w:p w14:paraId="575E352D" w14:textId="16F53214" w:rsidR="00E34B60" w:rsidRPr="00B11D8A" w:rsidRDefault="00E34B60" w:rsidP="003D69CB">
      <w:pPr>
        <w:widowControl w:val="0"/>
        <w:tabs>
          <w:tab w:val="right" w:pos="9026"/>
        </w:tabs>
        <w:spacing w:after="0" w:line="336" w:lineRule="auto"/>
        <w:rPr>
          <w:rFonts w:ascii="Verdana" w:hAnsi="Verdana" w:cs="Arial"/>
          <w:color w:val="000000" w:themeColor="text1"/>
          <w:lang w:val="en-GB"/>
        </w:rPr>
      </w:pPr>
      <w:r w:rsidRPr="00B11D8A">
        <w:rPr>
          <w:rFonts w:ascii="Verdana" w:hAnsi="Verdana" w:cs="Arial"/>
          <w:color w:val="000000" w:themeColor="text1"/>
          <w:lang w:val="en-GB"/>
        </w:rPr>
        <w:t>THE GRIFFON RESIDENTS TRUST)</w:t>
      </w:r>
      <w:r w:rsidRPr="00B11D8A">
        <w:rPr>
          <w:rFonts w:ascii="Verdana" w:hAnsi="Verdana" w:cs="Arial"/>
          <w:color w:val="000000" w:themeColor="text1"/>
          <w:lang w:val="en-GB"/>
        </w:rPr>
        <w:tab/>
        <w:t>Second applicant</w:t>
      </w:r>
    </w:p>
    <w:p w14:paraId="6EAE13B5" w14:textId="77777777" w:rsidR="00B54836" w:rsidRPr="00B11D8A" w:rsidRDefault="00B54836" w:rsidP="003D69CB">
      <w:pPr>
        <w:widowControl w:val="0"/>
        <w:tabs>
          <w:tab w:val="right" w:pos="9026"/>
        </w:tabs>
        <w:spacing w:after="0" w:line="336" w:lineRule="auto"/>
        <w:rPr>
          <w:rFonts w:ascii="Verdana" w:hAnsi="Verdana" w:cs="Arial"/>
          <w:color w:val="000000" w:themeColor="text1"/>
          <w:lang w:val="en-GB"/>
        </w:rPr>
      </w:pPr>
    </w:p>
    <w:p w14:paraId="08F897D7" w14:textId="36DD9BC8" w:rsidR="003F5965" w:rsidRPr="00B11D8A" w:rsidRDefault="003F5965" w:rsidP="003D69CB">
      <w:pPr>
        <w:widowControl w:val="0"/>
        <w:tabs>
          <w:tab w:val="right" w:pos="9026"/>
        </w:tabs>
        <w:spacing w:after="0" w:line="336" w:lineRule="auto"/>
        <w:rPr>
          <w:rFonts w:ascii="Verdana" w:hAnsi="Verdana" w:cs="Arial"/>
          <w:color w:val="000000" w:themeColor="text1"/>
          <w:lang w:val="en-GB"/>
        </w:rPr>
      </w:pPr>
      <w:r w:rsidRPr="00B11D8A">
        <w:rPr>
          <w:rFonts w:ascii="Verdana" w:hAnsi="Verdana" w:cs="Arial"/>
          <w:color w:val="000000" w:themeColor="text1"/>
          <w:lang w:val="en-GB"/>
        </w:rPr>
        <w:t>and</w:t>
      </w:r>
    </w:p>
    <w:p w14:paraId="43E5B965" w14:textId="66F32A2A" w:rsidR="0036664D" w:rsidRPr="00B11D8A" w:rsidRDefault="0036664D" w:rsidP="003D69CB">
      <w:pPr>
        <w:widowControl w:val="0"/>
        <w:tabs>
          <w:tab w:val="right" w:pos="9026"/>
        </w:tabs>
        <w:spacing w:after="0" w:line="336" w:lineRule="auto"/>
        <w:rPr>
          <w:rFonts w:ascii="Verdana" w:hAnsi="Verdana" w:cs="Arial"/>
          <w:b/>
          <w:color w:val="000000" w:themeColor="text1"/>
          <w:lang w:val="en-GB"/>
        </w:rPr>
      </w:pPr>
    </w:p>
    <w:p w14:paraId="5F062A8F" w14:textId="1C90BEB3" w:rsidR="003F5965" w:rsidRPr="00B11D8A" w:rsidRDefault="00E34B60" w:rsidP="003D69CB">
      <w:pPr>
        <w:widowControl w:val="0"/>
        <w:tabs>
          <w:tab w:val="right" w:pos="9026"/>
        </w:tabs>
        <w:spacing w:after="120" w:line="336" w:lineRule="auto"/>
        <w:rPr>
          <w:rFonts w:ascii="Verdana" w:hAnsi="Verdana" w:cs="Arial"/>
          <w:color w:val="000000" w:themeColor="text1"/>
          <w:lang w:val="en-GB"/>
        </w:rPr>
      </w:pPr>
      <w:r w:rsidRPr="00B11D8A">
        <w:rPr>
          <w:rFonts w:ascii="Verdana" w:hAnsi="Verdana" w:cs="Arial"/>
          <w:b/>
          <w:color w:val="000000" w:themeColor="text1"/>
          <w:lang w:val="en-GB"/>
        </w:rPr>
        <w:t>QUATTRO L CONSORTIUM (PTY) LTD</w:t>
      </w:r>
      <w:r w:rsidR="003F5965" w:rsidRPr="00B11D8A">
        <w:rPr>
          <w:rFonts w:ascii="Verdana" w:hAnsi="Verdana" w:cs="Arial"/>
          <w:b/>
          <w:color w:val="000000" w:themeColor="text1"/>
          <w:lang w:val="en-GB"/>
        </w:rPr>
        <w:tab/>
      </w:r>
      <w:r w:rsidR="001356F3" w:rsidRPr="00B11D8A">
        <w:rPr>
          <w:rFonts w:ascii="Verdana" w:hAnsi="Verdana" w:cs="Arial"/>
          <w:color w:val="000000" w:themeColor="text1"/>
          <w:lang w:val="en-GB"/>
        </w:rPr>
        <w:t>First r</w:t>
      </w:r>
      <w:r w:rsidR="00E011F5" w:rsidRPr="00B11D8A">
        <w:rPr>
          <w:rFonts w:ascii="Verdana" w:hAnsi="Verdana" w:cs="Arial"/>
          <w:color w:val="000000" w:themeColor="text1"/>
          <w:lang w:val="en-GB"/>
        </w:rPr>
        <w:t>espondent</w:t>
      </w:r>
    </w:p>
    <w:p w14:paraId="08351DDF" w14:textId="36321357" w:rsidR="001356F3" w:rsidRPr="00B11D8A" w:rsidRDefault="00E34B60" w:rsidP="003D69CB">
      <w:pPr>
        <w:widowControl w:val="0"/>
        <w:tabs>
          <w:tab w:val="right" w:pos="9026"/>
        </w:tabs>
        <w:spacing w:after="120" w:line="336" w:lineRule="auto"/>
        <w:rPr>
          <w:rFonts w:ascii="Verdana" w:hAnsi="Verdana"/>
          <w:color w:val="000000" w:themeColor="text1"/>
          <w:lang w:val="en-GB"/>
        </w:rPr>
      </w:pPr>
      <w:r w:rsidRPr="00B11D8A">
        <w:rPr>
          <w:rFonts w:ascii="Verdana" w:hAnsi="Verdana"/>
          <w:b/>
          <w:color w:val="000000" w:themeColor="text1"/>
          <w:lang w:val="en-GB"/>
        </w:rPr>
        <w:t>GILHAR</w:t>
      </w:r>
      <w:r w:rsidR="00A5451E" w:rsidRPr="00B11D8A">
        <w:rPr>
          <w:rFonts w:ascii="Verdana" w:hAnsi="Verdana"/>
          <w:b/>
          <w:color w:val="000000" w:themeColor="text1"/>
          <w:lang w:val="en-GB"/>
        </w:rPr>
        <w:t xml:space="preserve">, </w:t>
      </w:r>
      <w:r w:rsidRPr="00B11D8A">
        <w:rPr>
          <w:rFonts w:ascii="Verdana" w:hAnsi="Verdana"/>
          <w:b/>
          <w:color w:val="000000" w:themeColor="text1"/>
          <w:lang w:val="en-GB"/>
        </w:rPr>
        <w:t xml:space="preserve"> ADRIANA BERTHEIL</w:t>
      </w:r>
      <w:r w:rsidR="001356F3" w:rsidRPr="00B11D8A">
        <w:rPr>
          <w:rFonts w:ascii="Verdana" w:hAnsi="Verdana"/>
          <w:color w:val="000000" w:themeColor="text1"/>
          <w:lang w:val="en-GB"/>
        </w:rPr>
        <w:tab/>
        <w:t>Second respondent</w:t>
      </w:r>
    </w:p>
    <w:p w14:paraId="5D617F28" w14:textId="77777777" w:rsidR="00E34B60" w:rsidRPr="00B11D8A" w:rsidRDefault="00E34B60" w:rsidP="003D69CB">
      <w:pPr>
        <w:widowControl w:val="0"/>
        <w:tabs>
          <w:tab w:val="right" w:pos="9026"/>
        </w:tabs>
        <w:spacing w:after="0" w:line="336" w:lineRule="auto"/>
        <w:rPr>
          <w:rFonts w:ascii="Verdana" w:hAnsi="Verdana"/>
          <w:b/>
          <w:color w:val="000000" w:themeColor="text1"/>
          <w:lang w:val="en-GB"/>
        </w:rPr>
      </w:pPr>
      <w:r w:rsidRPr="00B11D8A">
        <w:rPr>
          <w:rFonts w:ascii="Verdana" w:hAnsi="Verdana"/>
          <w:b/>
          <w:color w:val="000000" w:themeColor="text1"/>
          <w:lang w:val="en-GB"/>
        </w:rPr>
        <w:t>CITY OF JOHANNESBURG METROPOLITAN</w:t>
      </w:r>
    </w:p>
    <w:p w14:paraId="465D96F5" w14:textId="705C4835" w:rsidR="00E34B60" w:rsidRPr="00B11D8A" w:rsidRDefault="00E34B60" w:rsidP="003D69CB">
      <w:pPr>
        <w:widowControl w:val="0"/>
        <w:tabs>
          <w:tab w:val="right" w:pos="9026"/>
        </w:tabs>
        <w:spacing w:after="120" w:line="336" w:lineRule="auto"/>
        <w:rPr>
          <w:rFonts w:ascii="Verdana" w:hAnsi="Verdana"/>
          <w:color w:val="000000" w:themeColor="text1"/>
          <w:lang w:val="en-GB"/>
        </w:rPr>
      </w:pPr>
      <w:r w:rsidRPr="00B11D8A">
        <w:rPr>
          <w:rFonts w:ascii="Verdana" w:hAnsi="Verdana"/>
          <w:b/>
          <w:color w:val="000000" w:themeColor="text1"/>
          <w:lang w:val="en-GB"/>
        </w:rPr>
        <w:t>MUNICIPALITY</w:t>
      </w:r>
      <w:r w:rsidRPr="00B11D8A">
        <w:rPr>
          <w:rFonts w:ascii="Verdana" w:hAnsi="Verdana"/>
          <w:b/>
          <w:color w:val="000000" w:themeColor="text1"/>
          <w:lang w:val="en-GB"/>
        </w:rPr>
        <w:tab/>
      </w:r>
      <w:r w:rsidRPr="00B11D8A">
        <w:rPr>
          <w:rFonts w:ascii="Verdana" w:hAnsi="Verdana"/>
          <w:color w:val="000000" w:themeColor="text1"/>
          <w:lang w:val="en-GB"/>
        </w:rPr>
        <w:t>Third respondent</w:t>
      </w:r>
    </w:p>
    <w:p w14:paraId="3D58231A" w14:textId="77777777" w:rsidR="00B54836" w:rsidRPr="00B11D8A" w:rsidRDefault="00B54836" w:rsidP="003D69CB">
      <w:pPr>
        <w:widowControl w:val="0"/>
        <w:tabs>
          <w:tab w:val="right" w:pos="9026"/>
        </w:tabs>
        <w:spacing w:after="0" w:line="360" w:lineRule="auto"/>
        <w:rPr>
          <w:rFonts w:ascii="Verdana" w:hAnsi="Verdana" w:cs="Arial"/>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B11D8A" w14:paraId="20EB356B" w14:textId="77777777" w:rsidTr="00AE6AE3">
        <w:tc>
          <w:tcPr>
            <w:tcW w:w="9242" w:type="dxa"/>
          </w:tcPr>
          <w:p w14:paraId="4CD84C12" w14:textId="4C5666F6" w:rsidR="00AE6AE3" w:rsidRPr="00B11D8A" w:rsidRDefault="00AE6AE3" w:rsidP="003D69CB">
            <w:pPr>
              <w:widowControl w:val="0"/>
              <w:spacing w:before="360" w:after="120" w:line="480" w:lineRule="auto"/>
              <w:jc w:val="center"/>
              <w:rPr>
                <w:rFonts w:ascii="Verdana" w:hAnsi="Verdana" w:cs="Arial"/>
                <w:b/>
                <w:color w:val="000000" w:themeColor="text1"/>
                <w:sz w:val="24"/>
                <w:szCs w:val="24"/>
                <w:lang w:val="en-GB"/>
              </w:rPr>
            </w:pPr>
            <w:r w:rsidRPr="00B11D8A">
              <w:rPr>
                <w:rFonts w:ascii="Verdana" w:hAnsi="Verdana" w:cs="Arial"/>
                <w:b/>
                <w:color w:val="000000" w:themeColor="text1"/>
                <w:sz w:val="24"/>
                <w:szCs w:val="24"/>
                <w:lang w:val="en-GB"/>
              </w:rPr>
              <w:t>J</w:t>
            </w:r>
            <w:r w:rsidR="008F1271" w:rsidRPr="00B11D8A">
              <w:rPr>
                <w:rFonts w:ascii="Verdana" w:hAnsi="Verdana" w:cs="Arial"/>
                <w:b/>
                <w:color w:val="000000" w:themeColor="text1"/>
                <w:sz w:val="24"/>
                <w:szCs w:val="24"/>
                <w:lang w:val="en-GB"/>
              </w:rPr>
              <w:t xml:space="preserve"> </w:t>
            </w:r>
            <w:r w:rsidRPr="00B11D8A">
              <w:rPr>
                <w:rFonts w:ascii="Verdana" w:hAnsi="Verdana" w:cs="Arial"/>
                <w:b/>
                <w:color w:val="000000" w:themeColor="text1"/>
                <w:sz w:val="24"/>
                <w:szCs w:val="24"/>
                <w:lang w:val="en-GB"/>
              </w:rPr>
              <w:t>U</w:t>
            </w:r>
            <w:r w:rsidR="008F1271" w:rsidRPr="00B11D8A">
              <w:rPr>
                <w:rFonts w:ascii="Verdana" w:hAnsi="Verdana" w:cs="Arial"/>
                <w:b/>
                <w:color w:val="000000" w:themeColor="text1"/>
                <w:sz w:val="24"/>
                <w:szCs w:val="24"/>
                <w:lang w:val="en-GB"/>
              </w:rPr>
              <w:t xml:space="preserve"> </w:t>
            </w:r>
            <w:r w:rsidRPr="00B11D8A">
              <w:rPr>
                <w:rFonts w:ascii="Verdana" w:hAnsi="Verdana" w:cs="Arial"/>
                <w:b/>
                <w:color w:val="000000" w:themeColor="text1"/>
                <w:sz w:val="24"/>
                <w:szCs w:val="24"/>
                <w:lang w:val="en-GB"/>
              </w:rPr>
              <w:t>D</w:t>
            </w:r>
            <w:r w:rsidR="008F1271" w:rsidRPr="00B11D8A">
              <w:rPr>
                <w:rFonts w:ascii="Verdana" w:hAnsi="Verdana" w:cs="Arial"/>
                <w:b/>
                <w:color w:val="000000" w:themeColor="text1"/>
                <w:sz w:val="24"/>
                <w:szCs w:val="24"/>
                <w:lang w:val="en-GB"/>
              </w:rPr>
              <w:t xml:space="preserve"> </w:t>
            </w:r>
            <w:r w:rsidRPr="00B11D8A">
              <w:rPr>
                <w:rFonts w:ascii="Verdana" w:hAnsi="Verdana" w:cs="Arial"/>
                <w:b/>
                <w:color w:val="000000" w:themeColor="text1"/>
                <w:sz w:val="24"/>
                <w:szCs w:val="24"/>
                <w:lang w:val="en-GB"/>
              </w:rPr>
              <w:t>G</w:t>
            </w:r>
            <w:r w:rsidR="008F1271" w:rsidRPr="00B11D8A">
              <w:rPr>
                <w:rFonts w:ascii="Verdana" w:hAnsi="Verdana" w:cs="Arial"/>
                <w:b/>
                <w:color w:val="000000" w:themeColor="text1"/>
                <w:sz w:val="24"/>
                <w:szCs w:val="24"/>
                <w:lang w:val="en-GB"/>
              </w:rPr>
              <w:t xml:space="preserve"> </w:t>
            </w:r>
            <w:r w:rsidRPr="00B11D8A">
              <w:rPr>
                <w:rFonts w:ascii="Verdana" w:hAnsi="Verdana" w:cs="Arial"/>
                <w:b/>
                <w:color w:val="000000" w:themeColor="text1"/>
                <w:sz w:val="24"/>
                <w:szCs w:val="24"/>
                <w:lang w:val="en-GB"/>
              </w:rPr>
              <w:t>M</w:t>
            </w:r>
            <w:r w:rsidR="008F1271" w:rsidRPr="00B11D8A">
              <w:rPr>
                <w:rFonts w:ascii="Verdana" w:hAnsi="Verdana" w:cs="Arial"/>
                <w:b/>
                <w:color w:val="000000" w:themeColor="text1"/>
                <w:sz w:val="24"/>
                <w:szCs w:val="24"/>
                <w:lang w:val="en-GB"/>
              </w:rPr>
              <w:t xml:space="preserve"> </w:t>
            </w:r>
            <w:r w:rsidRPr="00B11D8A">
              <w:rPr>
                <w:rFonts w:ascii="Verdana" w:hAnsi="Verdana" w:cs="Arial"/>
                <w:b/>
                <w:color w:val="000000" w:themeColor="text1"/>
                <w:sz w:val="24"/>
                <w:szCs w:val="24"/>
                <w:lang w:val="en-GB"/>
              </w:rPr>
              <w:t>E</w:t>
            </w:r>
            <w:r w:rsidR="008F1271" w:rsidRPr="00B11D8A">
              <w:rPr>
                <w:rFonts w:ascii="Verdana" w:hAnsi="Verdana" w:cs="Arial"/>
                <w:b/>
                <w:color w:val="000000" w:themeColor="text1"/>
                <w:sz w:val="24"/>
                <w:szCs w:val="24"/>
                <w:lang w:val="en-GB"/>
              </w:rPr>
              <w:t xml:space="preserve"> </w:t>
            </w:r>
            <w:r w:rsidRPr="00B11D8A">
              <w:rPr>
                <w:rFonts w:ascii="Verdana" w:hAnsi="Verdana" w:cs="Arial"/>
                <w:b/>
                <w:color w:val="000000" w:themeColor="text1"/>
                <w:sz w:val="24"/>
                <w:szCs w:val="24"/>
                <w:lang w:val="en-GB"/>
              </w:rPr>
              <w:t>N</w:t>
            </w:r>
            <w:r w:rsidR="008F1271" w:rsidRPr="00B11D8A">
              <w:rPr>
                <w:rFonts w:ascii="Verdana" w:hAnsi="Verdana" w:cs="Arial"/>
                <w:b/>
                <w:color w:val="000000" w:themeColor="text1"/>
                <w:sz w:val="24"/>
                <w:szCs w:val="24"/>
                <w:lang w:val="en-GB"/>
              </w:rPr>
              <w:t xml:space="preserve"> </w:t>
            </w:r>
            <w:r w:rsidRPr="00B11D8A">
              <w:rPr>
                <w:rFonts w:ascii="Verdana" w:hAnsi="Verdana" w:cs="Arial"/>
                <w:b/>
                <w:color w:val="000000" w:themeColor="text1"/>
                <w:sz w:val="24"/>
                <w:szCs w:val="24"/>
                <w:lang w:val="en-GB"/>
              </w:rPr>
              <w:t>T</w:t>
            </w:r>
          </w:p>
        </w:tc>
      </w:tr>
    </w:tbl>
    <w:p w14:paraId="4CA3E150" w14:textId="1D91A4C9" w:rsidR="00F46B89" w:rsidRPr="00B11D8A" w:rsidRDefault="00F46B89" w:rsidP="003D69CB">
      <w:pPr>
        <w:widowControl w:val="0"/>
        <w:spacing w:after="240" w:line="480" w:lineRule="auto"/>
        <w:rPr>
          <w:rFonts w:ascii="Verdana" w:hAnsi="Verdana" w:cs="Arial"/>
          <w:color w:val="000000" w:themeColor="text1"/>
          <w:u w:val="single"/>
          <w:lang w:val="en-GB"/>
        </w:rPr>
      </w:pPr>
    </w:p>
    <w:p w14:paraId="776B82AA" w14:textId="20797F8D" w:rsidR="00E4432D" w:rsidRPr="00B11D8A" w:rsidRDefault="00E4432D" w:rsidP="003D69CB">
      <w:pPr>
        <w:widowControl w:val="0"/>
        <w:spacing w:after="360" w:line="480" w:lineRule="auto"/>
        <w:jc w:val="both"/>
        <w:rPr>
          <w:rFonts w:ascii="Verdana" w:hAnsi="Verdana" w:cs="Arial"/>
          <w:b/>
          <w:bCs/>
          <w:color w:val="000000" w:themeColor="text1"/>
          <w:lang w:val="en-GB"/>
        </w:rPr>
      </w:pPr>
      <w:r w:rsidRPr="00B11D8A">
        <w:rPr>
          <w:rFonts w:ascii="Verdana" w:hAnsi="Verdana" w:cs="Arial"/>
          <w:b/>
          <w:bCs/>
          <w:color w:val="000000" w:themeColor="text1"/>
          <w:u w:val="single"/>
          <w:lang w:val="en-GB"/>
        </w:rPr>
        <w:t>DELIVERED</w:t>
      </w:r>
      <w:r w:rsidRPr="00B11D8A">
        <w:rPr>
          <w:rFonts w:ascii="Verdana" w:hAnsi="Verdana" w:cs="Arial"/>
          <w:b/>
          <w:bCs/>
          <w:color w:val="000000" w:themeColor="text1"/>
          <w:lang w:val="en-GB"/>
        </w:rPr>
        <w:t xml:space="preserve">: </w:t>
      </w:r>
      <w:r w:rsidR="001356F3" w:rsidRPr="00B11D8A">
        <w:rPr>
          <w:rFonts w:ascii="Verdana" w:hAnsi="Verdana" w:cs="Arial"/>
          <w:b/>
          <w:bCs/>
          <w:color w:val="000000" w:themeColor="text1"/>
          <w:lang w:val="en-GB"/>
        </w:rPr>
        <w:t xml:space="preserve"> </w:t>
      </w:r>
      <w:r w:rsidRPr="00B11D8A">
        <w:rPr>
          <w:rFonts w:ascii="Verdana" w:hAnsi="Verdana"/>
          <w:color w:val="000000" w:themeColor="text1"/>
          <w:lang w:val="en-GB"/>
        </w:rPr>
        <w:t>This judgment was handed down electronically by circulation to the parties’ legal representatives by e</w:t>
      </w:r>
      <w:r w:rsidR="001356F3" w:rsidRPr="00B11D8A">
        <w:rPr>
          <w:rFonts w:ascii="Verdana" w:hAnsi="Verdana"/>
          <w:color w:val="000000" w:themeColor="text1"/>
          <w:lang w:val="en-GB"/>
        </w:rPr>
        <w:noBreakHyphen/>
      </w:r>
      <w:r w:rsidRPr="00B11D8A">
        <w:rPr>
          <w:rFonts w:ascii="Verdana" w:hAnsi="Verdana"/>
          <w:color w:val="000000" w:themeColor="text1"/>
          <w:lang w:val="en-GB"/>
        </w:rPr>
        <w:t xml:space="preserve">mail and publication on CaseLines. </w:t>
      </w:r>
      <w:r w:rsidR="001356F3" w:rsidRPr="00B11D8A">
        <w:rPr>
          <w:rFonts w:ascii="Verdana" w:hAnsi="Verdana"/>
          <w:color w:val="000000" w:themeColor="text1"/>
          <w:lang w:val="en-GB"/>
        </w:rPr>
        <w:t xml:space="preserve"> </w:t>
      </w:r>
      <w:r w:rsidRPr="00B11D8A">
        <w:rPr>
          <w:rFonts w:ascii="Verdana" w:hAnsi="Verdana"/>
          <w:color w:val="000000" w:themeColor="text1"/>
          <w:lang w:val="en-GB"/>
        </w:rPr>
        <w:t xml:space="preserve">The date and time for hand-down is deemed to be </w:t>
      </w:r>
      <w:r w:rsidR="00DC2CC2" w:rsidRPr="00B11D8A">
        <w:rPr>
          <w:rFonts w:ascii="Verdana" w:hAnsi="Verdana"/>
          <w:color w:val="000000" w:themeColor="text1"/>
          <w:lang w:val="en-GB"/>
        </w:rPr>
        <w:t>10h00</w:t>
      </w:r>
      <w:r w:rsidRPr="00B11D8A">
        <w:rPr>
          <w:rFonts w:ascii="Verdana" w:hAnsi="Verdana"/>
          <w:color w:val="000000" w:themeColor="text1"/>
          <w:lang w:val="en-GB"/>
        </w:rPr>
        <w:t xml:space="preserve"> on </w:t>
      </w:r>
      <w:r w:rsidR="00DC2CC2" w:rsidRPr="00B11D8A">
        <w:rPr>
          <w:rFonts w:ascii="Verdana" w:hAnsi="Verdana"/>
          <w:color w:val="000000" w:themeColor="text1"/>
          <w:lang w:val="en-GB"/>
        </w:rPr>
        <w:t>26 July</w:t>
      </w:r>
      <w:r w:rsidR="001356F3" w:rsidRPr="00B11D8A">
        <w:rPr>
          <w:rFonts w:ascii="Verdana" w:hAnsi="Verdana"/>
          <w:color w:val="000000" w:themeColor="text1"/>
          <w:lang w:val="en-GB"/>
        </w:rPr>
        <w:t xml:space="preserve"> </w:t>
      </w:r>
      <w:r w:rsidRPr="00B11D8A">
        <w:rPr>
          <w:rFonts w:ascii="Verdana" w:hAnsi="Verdana"/>
          <w:color w:val="000000" w:themeColor="text1"/>
          <w:lang w:val="en-GB"/>
        </w:rPr>
        <w:t>2021</w:t>
      </w:r>
      <w:r w:rsidR="00335840" w:rsidRPr="00B11D8A">
        <w:rPr>
          <w:rFonts w:ascii="Verdana" w:hAnsi="Verdana"/>
          <w:color w:val="000000" w:themeColor="text1"/>
          <w:lang w:val="en-GB"/>
        </w:rPr>
        <w:t>.</w:t>
      </w:r>
    </w:p>
    <w:p w14:paraId="4481D702" w14:textId="3C5D9D8D" w:rsidR="00386CF6" w:rsidRPr="00B11D8A" w:rsidRDefault="00CC79D8" w:rsidP="003D69CB">
      <w:pPr>
        <w:keepNext/>
        <w:widowControl w:val="0"/>
        <w:spacing w:after="320" w:line="432" w:lineRule="auto"/>
        <w:rPr>
          <w:rFonts w:ascii="Verdana" w:hAnsi="Verdana" w:cs="Arial"/>
          <w:color w:val="000000" w:themeColor="text1"/>
          <w:u w:val="single"/>
          <w:lang w:val="en-GB"/>
        </w:rPr>
      </w:pPr>
      <w:r w:rsidRPr="00B11D8A">
        <w:rPr>
          <w:rFonts w:ascii="Verdana" w:hAnsi="Verdana" w:cs="Arial"/>
          <w:color w:val="000000" w:themeColor="text1"/>
          <w:u w:val="single"/>
          <w:lang w:val="en-GB"/>
        </w:rPr>
        <w:t xml:space="preserve">F. </w:t>
      </w:r>
      <w:r w:rsidR="00F46B89" w:rsidRPr="00B11D8A">
        <w:rPr>
          <w:rFonts w:ascii="Verdana" w:hAnsi="Verdana" w:cs="Arial"/>
          <w:color w:val="000000" w:themeColor="text1"/>
          <w:u w:val="single"/>
          <w:lang w:val="en-GB"/>
        </w:rPr>
        <w:t xml:space="preserve">BEZUIDENHOUT </w:t>
      </w:r>
      <w:r w:rsidR="00225130" w:rsidRPr="00B11D8A">
        <w:rPr>
          <w:rFonts w:ascii="Verdana" w:hAnsi="Verdana" w:cs="Arial"/>
          <w:color w:val="000000" w:themeColor="text1"/>
          <w:u w:val="single"/>
          <w:lang w:val="en-GB"/>
        </w:rPr>
        <w:t>AJ:</w:t>
      </w:r>
    </w:p>
    <w:p w14:paraId="57C37267" w14:textId="14D63073" w:rsidR="008F1271" w:rsidRPr="00B11D8A" w:rsidRDefault="008F1271" w:rsidP="003D69CB">
      <w:pPr>
        <w:pStyle w:val="Indent"/>
        <w:keepNext/>
        <w:widowControl w:val="0"/>
        <w:numPr>
          <w:ilvl w:val="0"/>
          <w:numId w:val="0"/>
        </w:numPr>
        <w:spacing w:after="320" w:line="432" w:lineRule="auto"/>
        <w:jc w:val="both"/>
        <w:rPr>
          <w:rFonts w:ascii="Verdana" w:hAnsi="Verdana" w:cs="Arial"/>
          <w:b/>
          <w:color w:val="000000" w:themeColor="text1"/>
          <w:sz w:val="22"/>
          <w:szCs w:val="22"/>
          <w:lang w:val="en-GB"/>
        </w:rPr>
      </w:pPr>
      <w:r w:rsidRPr="00B11D8A">
        <w:rPr>
          <w:rFonts w:ascii="Verdana" w:hAnsi="Verdana" w:cs="Arial"/>
          <w:b/>
          <w:color w:val="000000" w:themeColor="text1"/>
          <w:sz w:val="22"/>
          <w:szCs w:val="22"/>
          <w:lang w:val="en-GB"/>
        </w:rPr>
        <w:t>INTRODUCTION</w:t>
      </w:r>
    </w:p>
    <w:p w14:paraId="04669024" w14:textId="16CF89CD" w:rsidR="001356F3" w:rsidRPr="00B11D8A" w:rsidRDefault="00E34B60" w:rsidP="003D69CB">
      <w:pPr>
        <w:pStyle w:val="Indent"/>
        <w:widowControl w:val="0"/>
        <w:spacing w:after="360" w:line="480" w:lineRule="auto"/>
        <w:ind w:left="720" w:hanging="720"/>
        <w:jc w:val="both"/>
        <w:rPr>
          <w:rFonts w:ascii="Verdana" w:hAnsi="Verdana" w:cs="Arial"/>
          <w:color w:val="000000" w:themeColor="text1"/>
          <w:sz w:val="22"/>
          <w:szCs w:val="22"/>
        </w:rPr>
      </w:pPr>
      <w:r w:rsidRPr="00B11D8A">
        <w:rPr>
          <w:rFonts w:ascii="Verdana" w:hAnsi="Verdana" w:cs="Arial"/>
          <w:color w:val="000000" w:themeColor="text1"/>
          <w:sz w:val="22"/>
          <w:szCs w:val="22"/>
        </w:rPr>
        <w:t>The applicants (</w:t>
      </w:r>
      <w:r w:rsidRPr="00B11D8A">
        <w:rPr>
          <w:rFonts w:ascii="Verdana" w:hAnsi="Verdana" w:cs="Arial"/>
          <w:i/>
          <w:color w:val="000000" w:themeColor="text1"/>
          <w:sz w:val="22"/>
          <w:szCs w:val="22"/>
        </w:rPr>
        <w:t>“the Trust</w:t>
      </w:r>
      <w:r w:rsidRPr="00B11D8A">
        <w:rPr>
          <w:rFonts w:ascii="Verdana" w:hAnsi="Verdana" w:cs="Arial"/>
          <w:color w:val="000000" w:themeColor="text1"/>
          <w:sz w:val="22"/>
          <w:szCs w:val="22"/>
        </w:rPr>
        <w:t xml:space="preserve">”) seek an order for the eviction </w:t>
      </w:r>
      <w:r w:rsidR="00A5451E" w:rsidRPr="00B11D8A">
        <w:rPr>
          <w:rFonts w:ascii="Verdana" w:hAnsi="Verdana" w:cs="Arial"/>
          <w:color w:val="000000" w:themeColor="text1"/>
          <w:sz w:val="22"/>
          <w:szCs w:val="22"/>
        </w:rPr>
        <w:t>of the second respondent (</w:t>
      </w:r>
      <w:r w:rsidR="00A5451E" w:rsidRPr="00B11D8A">
        <w:rPr>
          <w:rFonts w:ascii="Verdana" w:hAnsi="Verdana" w:cs="Arial"/>
          <w:i/>
          <w:color w:val="000000" w:themeColor="text1"/>
          <w:sz w:val="22"/>
          <w:szCs w:val="22"/>
        </w:rPr>
        <w:t>“Ms Gilhar</w:t>
      </w:r>
      <w:r w:rsidR="00A5451E" w:rsidRPr="00B11D8A">
        <w:rPr>
          <w:rFonts w:ascii="Verdana" w:hAnsi="Verdana" w:cs="Arial"/>
          <w:color w:val="000000" w:themeColor="text1"/>
          <w:sz w:val="22"/>
          <w:szCs w:val="22"/>
        </w:rPr>
        <w:t>”) in terms of section 4(1) of the Prevention of Illegal Eviction From and Unlawful Occupation of Land Act, 19 of 1998 (</w:t>
      </w:r>
      <w:r w:rsidR="00A5451E" w:rsidRPr="00B11D8A">
        <w:rPr>
          <w:rFonts w:ascii="Verdana" w:hAnsi="Verdana" w:cs="Arial"/>
          <w:i/>
          <w:color w:val="000000" w:themeColor="text1"/>
          <w:sz w:val="22"/>
          <w:szCs w:val="22"/>
        </w:rPr>
        <w:t>“PIE</w:t>
      </w:r>
      <w:r w:rsidR="00A5451E" w:rsidRPr="00B11D8A">
        <w:rPr>
          <w:rFonts w:ascii="Verdana" w:hAnsi="Verdana" w:cs="Arial"/>
          <w:color w:val="000000" w:themeColor="text1"/>
          <w:sz w:val="22"/>
          <w:szCs w:val="22"/>
        </w:rPr>
        <w:t>”) from the residential property situated at Portion 4 of Erf 278, Morningside Extension</w:t>
      </w:r>
      <w:r w:rsidR="00A5451E" w:rsidRPr="00B11D8A">
        <w:rPr>
          <w:rFonts w:ascii="Verdana" w:hAnsi="Verdana" w:cs="Arial"/>
          <w:color w:val="000000" w:themeColor="text1"/>
          <w:sz w:val="22"/>
          <w:szCs w:val="22"/>
          <w:lang w:val="en-ZA"/>
        </w:rPr>
        <w:t> 21 Township, more commonly described as 4,</w:t>
      </w:r>
      <w:r w:rsidR="003D69CB" w:rsidRPr="00B11D8A">
        <w:rPr>
          <w:rFonts w:ascii="Verdana" w:hAnsi="Verdana" w:cs="Arial"/>
          <w:color w:val="000000" w:themeColor="text1"/>
          <w:sz w:val="22"/>
          <w:szCs w:val="22"/>
          <w:lang w:val="en-ZA"/>
        </w:rPr>
        <w:t> </w:t>
      </w:r>
      <w:r w:rsidR="00A5451E" w:rsidRPr="00B11D8A">
        <w:rPr>
          <w:rFonts w:ascii="Verdana" w:hAnsi="Verdana" w:cs="Arial"/>
          <w:color w:val="000000" w:themeColor="text1"/>
          <w:sz w:val="22"/>
          <w:szCs w:val="22"/>
          <w:lang w:val="en-ZA"/>
        </w:rPr>
        <w:t>24 Centre Road, Morningside (</w:t>
      </w:r>
      <w:r w:rsidR="00A5451E" w:rsidRPr="00B11D8A">
        <w:rPr>
          <w:rFonts w:ascii="Verdana" w:hAnsi="Verdana" w:cs="Arial"/>
          <w:i/>
          <w:color w:val="000000" w:themeColor="text1"/>
          <w:sz w:val="22"/>
          <w:szCs w:val="22"/>
          <w:lang w:val="en-ZA"/>
        </w:rPr>
        <w:t>“the property”</w:t>
      </w:r>
      <w:r w:rsidR="00A5451E" w:rsidRPr="00B11D8A">
        <w:rPr>
          <w:rFonts w:ascii="Verdana" w:hAnsi="Verdana" w:cs="Arial"/>
          <w:color w:val="000000" w:themeColor="text1"/>
          <w:sz w:val="22"/>
          <w:szCs w:val="22"/>
          <w:lang w:val="en-ZA"/>
        </w:rPr>
        <w:t xml:space="preserve">).  </w:t>
      </w:r>
    </w:p>
    <w:p w14:paraId="49232639" w14:textId="7FB8BA1D" w:rsidR="00A5451E" w:rsidRPr="00B11D8A" w:rsidRDefault="00A5451E" w:rsidP="003D69CB">
      <w:pPr>
        <w:pStyle w:val="Indent"/>
        <w:widowControl w:val="0"/>
        <w:spacing w:after="360" w:line="480" w:lineRule="auto"/>
        <w:ind w:left="720" w:hanging="720"/>
        <w:jc w:val="both"/>
        <w:rPr>
          <w:rFonts w:ascii="Verdana" w:hAnsi="Verdana"/>
          <w:color w:val="000000" w:themeColor="text1"/>
          <w:sz w:val="22"/>
          <w:szCs w:val="22"/>
          <w:lang w:val="en-GB"/>
        </w:rPr>
      </w:pPr>
      <w:r w:rsidRPr="00B11D8A">
        <w:rPr>
          <w:rFonts w:ascii="Verdana" w:hAnsi="Verdana"/>
          <w:color w:val="000000" w:themeColor="text1"/>
          <w:sz w:val="22"/>
          <w:szCs w:val="22"/>
          <w:lang w:val="en-ZA"/>
        </w:rPr>
        <w:t>In addition to the eviction order, the Trust claims monetary relief from both Ms Gilhar and the first respondent, formulated at prayer 4 of the notice of motion as follows: -</w:t>
      </w:r>
    </w:p>
    <w:p w14:paraId="763536D9" w14:textId="69C58DBB" w:rsidR="00A5451E" w:rsidRPr="00B11D8A" w:rsidRDefault="00A5451E" w:rsidP="00416496">
      <w:pPr>
        <w:pStyle w:val="Indent"/>
        <w:widowControl w:val="0"/>
        <w:numPr>
          <w:ilvl w:val="0"/>
          <w:numId w:val="0"/>
        </w:numPr>
        <w:spacing w:after="240" w:line="384" w:lineRule="auto"/>
        <w:ind w:left="2160" w:hanging="720"/>
        <w:jc w:val="both"/>
        <w:rPr>
          <w:rFonts w:ascii="Verdana" w:hAnsi="Verdana"/>
          <w:i/>
          <w:color w:val="000000" w:themeColor="text1"/>
          <w:sz w:val="22"/>
          <w:szCs w:val="22"/>
          <w:lang w:val="en-ZA"/>
        </w:rPr>
      </w:pPr>
      <w:r w:rsidRPr="00B11D8A">
        <w:rPr>
          <w:rFonts w:ascii="Verdana" w:hAnsi="Verdana"/>
          <w:i/>
          <w:color w:val="000000" w:themeColor="text1"/>
          <w:sz w:val="22"/>
          <w:szCs w:val="22"/>
          <w:lang w:val="en-ZA"/>
        </w:rPr>
        <w:t xml:space="preserve">“4. </w:t>
      </w:r>
      <w:r w:rsidRPr="00B11D8A">
        <w:rPr>
          <w:rFonts w:ascii="Verdana" w:hAnsi="Verdana"/>
          <w:i/>
          <w:color w:val="000000" w:themeColor="text1"/>
          <w:sz w:val="22"/>
          <w:szCs w:val="22"/>
          <w:lang w:val="en-ZA"/>
        </w:rPr>
        <w:tab/>
        <w:t>That the first and second respondent, being jointly and severally liable, be ordered to pay the applicants the amount of:</w:t>
      </w:r>
    </w:p>
    <w:p w14:paraId="5ADB37CB" w14:textId="1A9EEDCF" w:rsidR="00A5451E" w:rsidRPr="00B11D8A" w:rsidRDefault="00A5451E" w:rsidP="00416496">
      <w:pPr>
        <w:pStyle w:val="Indent"/>
        <w:widowControl w:val="0"/>
        <w:numPr>
          <w:ilvl w:val="0"/>
          <w:numId w:val="0"/>
        </w:numPr>
        <w:spacing w:after="240" w:line="384" w:lineRule="auto"/>
        <w:ind w:left="2880" w:hanging="720"/>
        <w:jc w:val="both"/>
        <w:rPr>
          <w:rFonts w:ascii="Verdana" w:hAnsi="Verdana"/>
          <w:i/>
          <w:color w:val="000000" w:themeColor="text1"/>
          <w:sz w:val="22"/>
          <w:szCs w:val="22"/>
          <w:lang w:val="en-ZA"/>
        </w:rPr>
      </w:pPr>
      <w:r w:rsidRPr="00B11D8A">
        <w:rPr>
          <w:rFonts w:ascii="Verdana" w:hAnsi="Verdana"/>
          <w:i/>
          <w:color w:val="000000" w:themeColor="text1"/>
          <w:sz w:val="22"/>
          <w:szCs w:val="22"/>
          <w:lang w:val="en-ZA"/>
        </w:rPr>
        <w:t xml:space="preserve">4.1 </w:t>
      </w:r>
      <w:r w:rsidRPr="00B11D8A">
        <w:rPr>
          <w:rFonts w:ascii="Verdana" w:hAnsi="Verdana"/>
          <w:i/>
          <w:color w:val="000000" w:themeColor="text1"/>
          <w:sz w:val="22"/>
          <w:szCs w:val="22"/>
          <w:lang w:val="en-ZA"/>
        </w:rPr>
        <w:tab/>
        <w:t xml:space="preserve">R69,987.99 for the water and electricity consumption for the period 11 December 2019 to 31 August 2020; </w:t>
      </w:r>
    </w:p>
    <w:p w14:paraId="5E15EEE5" w14:textId="7A68370A" w:rsidR="00A5451E" w:rsidRPr="00B11D8A" w:rsidRDefault="00A5451E" w:rsidP="00416496">
      <w:pPr>
        <w:pStyle w:val="Indent"/>
        <w:widowControl w:val="0"/>
        <w:numPr>
          <w:ilvl w:val="0"/>
          <w:numId w:val="0"/>
        </w:numPr>
        <w:spacing w:after="240" w:line="384" w:lineRule="auto"/>
        <w:ind w:left="2880" w:hanging="720"/>
        <w:jc w:val="both"/>
        <w:rPr>
          <w:rFonts w:ascii="Verdana" w:hAnsi="Verdana"/>
          <w:i/>
          <w:color w:val="000000" w:themeColor="text1"/>
          <w:sz w:val="22"/>
          <w:szCs w:val="22"/>
          <w:lang w:val="en-ZA"/>
        </w:rPr>
      </w:pPr>
      <w:r w:rsidRPr="00B11D8A">
        <w:rPr>
          <w:rFonts w:ascii="Verdana" w:hAnsi="Verdana"/>
          <w:i/>
          <w:color w:val="000000" w:themeColor="text1"/>
          <w:sz w:val="22"/>
          <w:szCs w:val="22"/>
          <w:lang w:val="en-ZA"/>
        </w:rPr>
        <w:lastRenderedPageBreak/>
        <w:t xml:space="preserve">4.2 </w:t>
      </w:r>
      <w:r w:rsidRPr="00B11D8A">
        <w:rPr>
          <w:rFonts w:ascii="Verdana" w:hAnsi="Verdana"/>
          <w:i/>
          <w:color w:val="000000" w:themeColor="text1"/>
          <w:sz w:val="22"/>
          <w:szCs w:val="22"/>
          <w:lang w:val="en-ZA"/>
        </w:rPr>
        <w:tab/>
        <w:t>R22,500.00 for the levies for the period 11 December 2019 to 31 August 2020; and</w:t>
      </w:r>
    </w:p>
    <w:p w14:paraId="0B147046" w14:textId="37A510CF" w:rsidR="00A5451E" w:rsidRPr="00B11D8A" w:rsidRDefault="00A5451E" w:rsidP="00416496">
      <w:pPr>
        <w:pStyle w:val="Indent"/>
        <w:widowControl w:val="0"/>
        <w:numPr>
          <w:ilvl w:val="0"/>
          <w:numId w:val="0"/>
        </w:numPr>
        <w:spacing w:after="240" w:line="384" w:lineRule="auto"/>
        <w:ind w:left="2880" w:hanging="720"/>
        <w:jc w:val="both"/>
        <w:rPr>
          <w:rFonts w:ascii="Verdana" w:hAnsi="Verdana"/>
          <w:i/>
          <w:color w:val="000000" w:themeColor="text1"/>
          <w:sz w:val="22"/>
          <w:szCs w:val="22"/>
          <w:lang w:val="en-ZA"/>
        </w:rPr>
      </w:pPr>
      <w:r w:rsidRPr="00B11D8A">
        <w:rPr>
          <w:rFonts w:ascii="Verdana" w:hAnsi="Verdana"/>
          <w:i/>
          <w:color w:val="000000" w:themeColor="text1"/>
          <w:sz w:val="22"/>
          <w:szCs w:val="22"/>
          <w:lang w:val="en-ZA"/>
        </w:rPr>
        <w:t xml:space="preserve">4.3 </w:t>
      </w:r>
      <w:r w:rsidRPr="00B11D8A">
        <w:rPr>
          <w:rFonts w:ascii="Verdana" w:hAnsi="Verdana"/>
          <w:i/>
          <w:color w:val="000000" w:themeColor="text1"/>
          <w:sz w:val="22"/>
          <w:szCs w:val="22"/>
          <w:lang w:val="en-ZA"/>
        </w:rPr>
        <w:tab/>
        <w:t>R420,000.00 for the rental period of 18 August 2019 to 31 August 2020;</w:t>
      </w:r>
    </w:p>
    <w:p w14:paraId="7386A679" w14:textId="77777777" w:rsidR="00A5451E" w:rsidRPr="00B11D8A" w:rsidRDefault="00A5451E" w:rsidP="00416496">
      <w:pPr>
        <w:pStyle w:val="Indent"/>
        <w:widowControl w:val="0"/>
        <w:numPr>
          <w:ilvl w:val="0"/>
          <w:numId w:val="0"/>
        </w:numPr>
        <w:spacing w:after="240" w:line="384" w:lineRule="auto"/>
        <w:ind w:left="2880" w:hanging="720"/>
        <w:jc w:val="both"/>
        <w:rPr>
          <w:rFonts w:ascii="Verdana" w:hAnsi="Verdana"/>
          <w:i/>
          <w:color w:val="000000" w:themeColor="text1"/>
          <w:sz w:val="22"/>
          <w:szCs w:val="22"/>
          <w:lang w:val="en-ZA"/>
        </w:rPr>
      </w:pPr>
      <w:r w:rsidRPr="00B11D8A">
        <w:rPr>
          <w:rFonts w:ascii="Verdana" w:hAnsi="Verdana"/>
          <w:i/>
          <w:color w:val="000000" w:themeColor="text1"/>
          <w:sz w:val="22"/>
          <w:szCs w:val="22"/>
          <w:lang w:val="en-ZA"/>
        </w:rPr>
        <w:t xml:space="preserve">4.4 </w:t>
      </w:r>
      <w:r w:rsidRPr="00B11D8A">
        <w:rPr>
          <w:rFonts w:ascii="Verdana" w:hAnsi="Verdana"/>
          <w:i/>
          <w:color w:val="000000" w:themeColor="text1"/>
          <w:sz w:val="22"/>
          <w:szCs w:val="22"/>
          <w:lang w:val="en-ZA"/>
        </w:rPr>
        <w:tab/>
        <w:t>R35,000.00 per month for rental for the period 1 September 2020 until the date that the second respondent and all those occupying the property through her vacate the Property;</w:t>
      </w:r>
    </w:p>
    <w:p w14:paraId="5433E5A9" w14:textId="77777777" w:rsidR="00A5451E" w:rsidRPr="00B11D8A" w:rsidRDefault="00A5451E" w:rsidP="00416496">
      <w:pPr>
        <w:pStyle w:val="Indent"/>
        <w:widowControl w:val="0"/>
        <w:numPr>
          <w:ilvl w:val="0"/>
          <w:numId w:val="0"/>
        </w:numPr>
        <w:spacing w:after="240" w:line="384" w:lineRule="auto"/>
        <w:ind w:left="2880" w:hanging="720"/>
        <w:jc w:val="both"/>
        <w:rPr>
          <w:rFonts w:ascii="Verdana" w:hAnsi="Verdana"/>
          <w:i/>
          <w:color w:val="000000" w:themeColor="text1"/>
          <w:sz w:val="22"/>
          <w:szCs w:val="22"/>
          <w:lang w:val="en-ZA"/>
        </w:rPr>
      </w:pPr>
      <w:r w:rsidRPr="00B11D8A">
        <w:rPr>
          <w:rFonts w:ascii="Verdana" w:hAnsi="Verdana"/>
          <w:i/>
          <w:color w:val="000000" w:themeColor="text1"/>
          <w:sz w:val="22"/>
          <w:szCs w:val="22"/>
          <w:lang w:val="en-ZA"/>
        </w:rPr>
        <w:t xml:space="preserve">4.5 </w:t>
      </w:r>
      <w:r w:rsidRPr="00B11D8A">
        <w:rPr>
          <w:rFonts w:ascii="Verdana" w:hAnsi="Verdana"/>
          <w:i/>
          <w:color w:val="000000" w:themeColor="text1"/>
          <w:sz w:val="22"/>
          <w:szCs w:val="22"/>
          <w:lang w:val="en-ZA"/>
        </w:rPr>
        <w:tab/>
        <w:t>All the water and electricity consumption accounts for the Property for the period 1 September 2020 until the date that the second respondent and all those occupying the Property through her vacate the Property; and</w:t>
      </w:r>
    </w:p>
    <w:p w14:paraId="5282A36C" w14:textId="7E3F14E8" w:rsidR="00A5451E" w:rsidRPr="00B11D8A" w:rsidRDefault="00A5451E" w:rsidP="00416496">
      <w:pPr>
        <w:pStyle w:val="Indent"/>
        <w:widowControl w:val="0"/>
        <w:numPr>
          <w:ilvl w:val="0"/>
          <w:numId w:val="0"/>
        </w:numPr>
        <w:spacing w:after="480" w:line="384" w:lineRule="auto"/>
        <w:ind w:left="2880" w:hanging="720"/>
        <w:jc w:val="both"/>
        <w:rPr>
          <w:color w:val="000000" w:themeColor="text1"/>
          <w:lang w:val="en-GB"/>
        </w:rPr>
      </w:pPr>
      <w:r w:rsidRPr="00B11D8A">
        <w:rPr>
          <w:rFonts w:ascii="Verdana" w:hAnsi="Verdana"/>
          <w:i/>
          <w:color w:val="000000" w:themeColor="text1"/>
          <w:sz w:val="22"/>
          <w:szCs w:val="22"/>
          <w:lang w:val="en-ZA"/>
        </w:rPr>
        <w:t xml:space="preserve">4.6 </w:t>
      </w:r>
      <w:r w:rsidRPr="00B11D8A">
        <w:rPr>
          <w:rFonts w:ascii="Verdana" w:hAnsi="Verdana"/>
          <w:i/>
          <w:color w:val="000000" w:themeColor="text1"/>
          <w:sz w:val="22"/>
          <w:szCs w:val="22"/>
          <w:lang w:val="en-ZA"/>
        </w:rPr>
        <w:tab/>
        <w:t xml:space="preserve">The levy amount of R2,500.00 per month for the levies for the property for the period 1 September </w:t>
      </w:r>
      <w:r w:rsidR="00305AC6" w:rsidRPr="00B11D8A">
        <w:rPr>
          <w:rFonts w:ascii="Verdana" w:hAnsi="Verdana"/>
          <w:i/>
          <w:color w:val="000000" w:themeColor="text1"/>
          <w:sz w:val="22"/>
          <w:szCs w:val="22"/>
          <w:lang w:val="en-ZA"/>
        </w:rPr>
        <w:t xml:space="preserve">2020 until </w:t>
      </w:r>
      <w:r w:rsidRPr="00B11D8A">
        <w:rPr>
          <w:rFonts w:ascii="Verdana" w:hAnsi="Verdana"/>
          <w:i/>
          <w:color w:val="000000" w:themeColor="text1"/>
          <w:sz w:val="22"/>
          <w:szCs w:val="22"/>
          <w:lang w:val="en-ZA"/>
        </w:rPr>
        <w:t xml:space="preserve">the date that </w:t>
      </w:r>
      <w:r w:rsidR="00305AC6" w:rsidRPr="00B11D8A">
        <w:rPr>
          <w:rFonts w:ascii="Verdana" w:hAnsi="Verdana"/>
          <w:i/>
          <w:color w:val="000000" w:themeColor="text1"/>
          <w:sz w:val="22"/>
          <w:szCs w:val="22"/>
          <w:lang w:val="en-ZA"/>
        </w:rPr>
        <w:t>the second respondent and all those occupying the Property through her vacate the Property.”</w:t>
      </w:r>
      <w:r w:rsidR="00305AC6" w:rsidRPr="00B11D8A">
        <w:rPr>
          <w:rStyle w:val="FootnoteReference"/>
          <w:rFonts w:ascii="Verdana" w:hAnsi="Verdana"/>
          <w:i/>
          <w:color w:val="000000" w:themeColor="text1"/>
          <w:sz w:val="22"/>
          <w:szCs w:val="22"/>
          <w:lang w:val="en-ZA"/>
        </w:rPr>
        <w:footnoteReference w:id="1"/>
      </w:r>
      <w:r w:rsidRPr="00B11D8A">
        <w:rPr>
          <w:rFonts w:ascii="Verdana" w:hAnsi="Verdana"/>
          <w:i/>
          <w:color w:val="000000" w:themeColor="text1"/>
          <w:sz w:val="22"/>
          <w:szCs w:val="22"/>
          <w:lang w:val="en-ZA"/>
        </w:rPr>
        <w:t xml:space="preserve">  </w:t>
      </w:r>
    </w:p>
    <w:p w14:paraId="1948AD74" w14:textId="7F8AE5A0" w:rsidR="00A5451E" w:rsidRPr="00B11D8A" w:rsidRDefault="00305AC6" w:rsidP="003D69CB">
      <w:pPr>
        <w:pStyle w:val="Indent"/>
        <w:widowControl w:val="0"/>
        <w:spacing w:after="360" w:line="480" w:lineRule="auto"/>
        <w:ind w:left="720" w:hanging="720"/>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M</w:t>
      </w:r>
      <w:r w:rsidR="002A1540" w:rsidRPr="00B11D8A">
        <w:rPr>
          <w:rFonts w:ascii="Verdana" w:hAnsi="Verdana"/>
          <w:color w:val="000000" w:themeColor="text1"/>
          <w:sz w:val="22"/>
          <w:szCs w:val="22"/>
          <w:lang w:val="en-GB"/>
        </w:rPr>
        <w:t>s</w:t>
      </w:r>
      <w:r w:rsidRPr="00B11D8A">
        <w:rPr>
          <w:rFonts w:ascii="Verdana" w:hAnsi="Verdana"/>
          <w:color w:val="000000" w:themeColor="text1"/>
          <w:sz w:val="22"/>
          <w:szCs w:val="22"/>
          <w:lang w:val="en-GB"/>
        </w:rPr>
        <w:t> Gilhar does not oppose an order for her eviction.  In fact, she states that she tendered to vacate the property on the 28</w:t>
      </w:r>
      <w:r w:rsidRPr="00B11D8A">
        <w:rPr>
          <w:rFonts w:ascii="Verdana" w:hAnsi="Verdana"/>
          <w:color w:val="000000" w:themeColor="text1"/>
          <w:sz w:val="22"/>
          <w:szCs w:val="22"/>
          <w:vertAlign w:val="superscript"/>
          <w:lang w:val="en-GB"/>
        </w:rPr>
        <w:t>th</w:t>
      </w:r>
      <w:r w:rsidRPr="00B11D8A">
        <w:rPr>
          <w:rFonts w:ascii="Verdana" w:hAnsi="Verdana"/>
          <w:color w:val="000000" w:themeColor="text1"/>
          <w:sz w:val="22"/>
          <w:szCs w:val="22"/>
          <w:lang w:val="en-GB"/>
        </w:rPr>
        <w:t xml:space="preserve"> of February 2021 </w:t>
      </w:r>
      <w:r w:rsidRPr="00B11D8A">
        <w:rPr>
          <w:rFonts w:ascii="Verdana" w:hAnsi="Verdana"/>
          <w:i/>
          <w:color w:val="000000" w:themeColor="text1"/>
          <w:sz w:val="22"/>
          <w:szCs w:val="22"/>
          <w:lang w:val="en-GB"/>
        </w:rPr>
        <w:t>“and will do so in terms of the directives issued by the above Honourable Court”</w:t>
      </w:r>
      <w:r w:rsidRPr="00B11D8A">
        <w:rPr>
          <w:rFonts w:ascii="Verdana" w:hAnsi="Verdana"/>
          <w:color w:val="000000" w:themeColor="text1"/>
          <w:sz w:val="22"/>
          <w:szCs w:val="22"/>
          <w:lang w:val="en-GB"/>
        </w:rPr>
        <w:t>.</w:t>
      </w:r>
      <w:r w:rsidRPr="00B11D8A">
        <w:rPr>
          <w:rStyle w:val="FootnoteReference"/>
          <w:rFonts w:ascii="Verdana" w:hAnsi="Verdana"/>
          <w:color w:val="000000" w:themeColor="text1"/>
          <w:sz w:val="22"/>
          <w:szCs w:val="22"/>
          <w:lang w:val="en-GB"/>
        </w:rPr>
        <w:footnoteReference w:id="2"/>
      </w:r>
    </w:p>
    <w:p w14:paraId="5CF18C57" w14:textId="5E303550" w:rsidR="00E34B60" w:rsidRPr="00B11D8A" w:rsidRDefault="00305AC6" w:rsidP="003D69CB">
      <w:pPr>
        <w:pStyle w:val="Indent"/>
        <w:widowControl w:val="0"/>
        <w:spacing w:after="360" w:line="480" w:lineRule="auto"/>
        <w:ind w:left="720" w:hanging="720"/>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However, Ms Gilhar, together with the first respondent, oppose the monetary claims.</w:t>
      </w:r>
      <w:r w:rsidRPr="00B11D8A">
        <w:rPr>
          <w:rStyle w:val="FootnoteReference"/>
          <w:rFonts w:ascii="Verdana" w:hAnsi="Verdana"/>
          <w:color w:val="000000" w:themeColor="text1"/>
          <w:sz w:val="22"/>
          <w:szCs w:val="22"/>
          <w:lang w:val="en-GB"/>
        </w:rPr>
        <w:footnoteReference w:id="3"/>
      </w:r>
      <w:r w:rsidRPr="00B11D8A">
        <w:rPr>
          <w:rFonts w:ascii="Verdana" w:hAnsi="Verdana"/>
          <w:color w:val="000000" w:themeColor="text1"/>
          <w:sz w:val="22"/>
          <w:szCs w:val="22"/>
          <w:lang w:val="en-GB"/>
        </w:rPr>
        <w:t xml:space="preserve">  </w:t>
      </w:r>
    </w:p>
    <w:p w14:paraId="6F146F18" w14:textId="232CD9A9" w:rsidR="005F481A" w:rsidRPr="00B11D8A" w:rsidRDefault="00305AC6" w:rsidP="003D69CB">
      <w:pPr>
        <w:pStyle w:val="Indent"/>
        <w:keepNext/>
        <w:widowControl w:val="0"/>
        <w:numPr>
          <w:ilvl w:val="0"/>
          <w:numId w:val="0"/>
        </w:numPr>
        <w:spacing w:after="320" w:line="432" w:lineRule="auto"/>
        <w:jc w:val="both"/>
        <w:rPr>
          <w:rFonts w:ascii="Verdana" w:hAnsi="Verdana" w:cs="Arial"/>
          <w:b/>
          <w:color w:val="000000" w:themeColor="text1"/>
          <w:sz w:val="22"/>
          <w:szCs w:val="22"/>
          <w:lang w:val="en-GB"/>
        </w:rPr>
      </w:pPr>
      <w:r w:rsidRPr="00B11D8A">
        <w:rPr>
          <w:rFonts w:ascii="Verdana" w:hAnsi="Verdana" w:cs="Arial"/>
          <w:b/>
          <w:color w:val="000000" w:themeColor="text1"/>
          <w:sz w:val="22"/>
          <w:szCs w:val="22"/>
          <w:lang w:val="en-GB"/>
        </w:rPr>
        <w:lastRenderedPageBreak/>
        <w:t>THE EVICTION</w:t>
      </w:r>
    </w:p>
    <w:p w14:paraId="285E4AEB" w14:textId="0EB2E2C5" w:rsidR="00305AC6" w:rsidRPr="00B11D8A" w:rsidRDefault="00305AC6"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At paragraph 1 of her heads of argument, Ms Gilhar states that the application is defective as it has not been served on the City of Johannesburg (</w:t>
      </w:r>
      <w:r w:rsidRPr="00B11D8A">
        <w:rPr>
          <w:rFonts w:ascii="Verdana" w:hAnsi="Verdana"/>
          <w:i/>
          <w:color w:val="000000" w:themeColor="text1"/>
          <w:sz w:val="22"/>
          <w:szCs w:val="22"/>
          <w:lang w:val="en-GB"/>
        </w:rPr>
        <w:t>“the City</w:t>
      </w:r>
      <w:r w:rsidRPr="00B11D8A">
        <w:rPr>
          <w:rFonts w:ascii="Verdana" w:hAnsi="Verdana"/>
          <w:color w:val="000000" w:themeColor="text1"/>
          <w:sz w:val="22"/>
          <w:szCs w:val="22"/>
          <w:lang w:val="en-GB"/>
        </w:rPr>
        <w:t xml:space="preserve">”) in terms of section 4(2) of PIE.  </w:t>
      </w:r>
    </w:p>
    <w:p w14:paraId="15ADA6D5" w14:textId="0A25FFA6" w:rsidR="003D69CB" w:rsidRPr="00B11D8A" w:rsidRDefault="003D69CB"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Section 4(2) of PIE provides that at least 14 days before the hearing of the eviction proceedings, the Court must serve written and effective notice of the proceedings on the unlawful occupier and the municipality having jurisdiction.  Service of the application itself is therefore not required, but rather the service of notice of the proceedings.  Notice of the proceedings must, in compliance with section 4(5) of PIE: -</w:t>
      </w:r>
    </w:p>
    <w:p w14:paraId="29701058" w14:textId="220EDD91" w:rsidR="003D69CB" w:rsidRPr="00B11D8A" w:rsidRDefault="003D69CB" w:rsidP="003D69CB">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state that proceedings are being instituted in terms of section 4(1) for an order for the eviction of the unlawful occupier; </w:t>
      </w:r>
    </w:p>
    <w:p w14:paraId="704FDEC8" w14:textId="3F3B364F" w:rsidR="003D69CB" w:rsidRPr="00B11D8A" w:rsidRDefault="003D69CB" w:rsidP="003D69CB">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indicate on what date and at what time the Court will hear the proceedings; </w:t>
      </w:r>
    </w:p>
    <w:p w14:paraId="0100B592" w14:textId="5A287A41" w:rsidR="003D69CB" w:rsidRPr="00B11D8A" w:rsidRDefault="003D69CB" w:rsidP="003D69CB">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set out the grounds for the proposed eviction; and</w:t>
      </w:r>
    </w:p>
    <w:p w14:paraId="5B270F14" w14:textId="3CE7AF48" w:rsidR="003D69CB" w:rsidRPr="00B11D8A" w:rsidRDefault="003D69CB" w:rsidP="003D69CB">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state that the unlawful occupier is entitled to appear before the Court and defend the case and, where necessary, has the right to apply or legal aid.  </w:t>
      </w:r>
    </w:p>
    <w:p w14:paraId="563C12A4" w14:textId="4866D3D5" w:rsidR="00305AC6" w:rsidRPr="00B11D8A" w:rsidRDefault="003D69CB"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Supreme Court of Appeal in </w:t>
      </w:r>
      <w:r w:rsidRPr="00B11D8A">
        <w:rPr>
          <w:rFonts w:ascii="Verdana" w:hAnsi="Verdana"/>
          <w:color w:val="000000" w:themeColor="text1"/>
          <w:sz w:val="22"/>
          <w:szCs w:val="22"/>
          <w:u w:val="single"/>
          <w:lang w:val="en-GB"/>
        </w:rPr>
        <w:t>Cape Killarney Property Investments (Pty) Ltd v Mahamba</w:t>
      </w:r>
      <w:r w:rsidRPr="00B11D8A">
        <w:rPr>
          <w:rStyle w:val="FootnoteReference"/>
          <w:rFonts w:ascii="Verdana" w:hAnsi="Verdana"/>
          <w:color w:val="000000" w:themeColor="text1"/>
          <w:sz w:val="22"/>
          <w:szCs w:val="22"/>
          <w:lang w:val="en-GB"/>
        </w:rPr>
        <w:footnoteReference w:id="4"/>
      </w:r>
      <w:r w:rsidRPr="00B11D8A">
        <w:rPr>
          <w:rFonts w:ascii="Verdana" w:hAnsi="Verdana"/>
          <w:color w:val="000000" w:themeColor="text1"/>
          <w:sz w:val="22"/>
          <w:szCs w:val="22"/>
          <w:lang w:val="en-GB"/>
        </w:rPr>
        <w:t xml:space="preserve"> held that the aforementioned provisions are peremptory.  </w:t>
      </w:r>
      <w:r w:rsidRPr="00B11D8A">
        <w:rPr>
          <w:rFonts w:ascii="Verdana" w:hAnsi="Verdana"/>
          <w:color w:val="000000" w:themeColor="text1"/>
          <w:sz w:val="22"/>
          <w:szCs w:val="22"/>
          <w:lang w:val="en-GB"/>
        </w:rPr>
        <w:lastRenderedPageBreak/>
        <w:t xml:space="preserve">In respect of the notice required </w:t>
      </w:r>
      <w:r w:rsidR="001D4298" w:rsidRPr="00B11D8A">
        <w:rPr>
          <w:rFonts w:ascii="Verdana" w:hAnsi="Verdana"/>
          <w:color w:val="000000" w:themeColor="text1"/>
          <w:sz w:val="22"/>
          <w:szCs w:val="22"/>
          <w:lang w:val="en-GB"/>
        </w:rPr>
        <w:t xml:space="preserve">by section 4(2) it held that it must be effective notice;  that it must contain the information stipulated in section 4(5);  and that it must be served </w:t>
      </w:r>
      <w:r w:rsidR="001D4298" w:rsidRPr="00B11D8A">
        <w:rPr>
          <w:rFonts w:ascii="Verdana" w:hAnsi="Verdana"/>
          <w:i/>
          <w:color w:val="000000" w:themeColor="text1"/>
          <w:sz w:val="22"/>
          <w:szCs w:val="22"/>
          <w:lang w:val="en-GB"/>
        </w:rPr>
        <w:t>“by the Court</w:t>
      </w:r>
      <w:r w:rsidR="001D4298" w:rsidRPr="00B11D8A">
        <w:rPr>
          <w:rFonts w:ascii="Verdana" w:hAnsi="Verdana"/>
          <w:color w:val="000000" w:themeColor="text1"/>
          <w:sz w:val="22"/>
          <w:szCs w:val="22"/>
          <w:lang w:val="en-GB"/>
        </w:rPr>
        <w:t xml:space="preserve">”.  The latter requirement it interpreted to mean that the contents and the manner of service of the notice must be authorised and directed by an order of the Court.  </w:t>
      </w:r>
    </w:p>
    <w:p w14:paraId="2BD97DAE" w14:textId="1BD17046" w:rsidR="001D4298" w:rsidRPr="00B11D8A" w:rsidRDefault="001D4298"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In the present application the section 4(2) notice was not authorised by the Court.  However, it was served by way of sheriff on the City on 6 April 2021.</w:t>
      </w:r>
      <w:r w:rsidRPr="00B11D8A">
        <w:rPr>
          <w:rStyle w:val="FootnoteReference"/>
          <w:rFonts w:ascii="Verdana" w:hAnsi="Verdana"/>
          <w:color w:val="000000" w:themeColor="text1"/>
          <w:sz w:val="22"/>
          <w:szCs w:val="22"/>
          <w:lang w:val="en-GB"/>
        </w:rPr>
        <w:footnoteReference w:id="5"/>
      </w:r>
      <w:r w:rsidRPr="00B11D8A">
        <w:rPr>
          <w:rFonts w:ascii="Verdana" w:hAnsi="Verdana"/>
          <w:color w:val="000000" w:themeColor="text1"/>
          <w:sz w:val="22"/>
          <w:szCs w:val="22"/>
          <w:lang w:val="en-GB"/>
        </w:rPr>
        <w:t xml:space="preserve">  The fact that the notice was not issued by the Court prior to its service is not fatal.  In </w:t>
      </w:r>
      <w:r w:rsidRPr="00B11D8A">
        <w:rPr>
          <w:rFonts w:ascii="Verdana" w:hAnsi="Verdana"/>
          <w:color w:val="000000" w:themeColor="text1"/>
          <w:sz w:val="22"/>
          <w:szCs w:val="22"/>
          <w:u w:val="single"/>
          <w:lang w:val="en-GB"/>
        </w:rPr>
        <w:t>Moela v Shoniwe</w:t>
      </w:r>
      <w:r w:rsidRPr="00B11D8A">
        <w:rPr>
          <w:rStyle w:val="FootnoteReference"/>
          <w:rFonts w:ascii="Verdana" w:hAnsi="Verdana"/>
          <w:color w:val="000000" w:themeColor="text1"/>
          <w:sz w:val="22"/>
          <w:szCs w:val="22"/>
          <w:lang w:val="en-GB"/>
        </w:rPr>
        <w:footnoteReference w:id="6"/>
      </w:r>
      <w:r w:rsidRPr="00B11D8A">
        <w:rPr>
          <w:rFonts w:ascii="Verdana" w:hAnsi="Verdana"/>
          <w:color w:val="000000" w:themeColor="text1"/>
          <w:sz w:val="22"/>
          <w:szCs w:val="22"/>
          <w:lang w:val="en-GB"/>
        </w:rPr>
        <w:t xml:space="preserve"> the Supreme Court of Appeal reaffirmed what it found in </w:t>
      </w:r>
      <w:r w:rsidRPr="00B11D8A">
        <w:rPr>
          <w:rFonts w:ascii="Verdana" w:hAnsi="Verdana"/>
          <w:color w:val="000000" w:themeColor="text1"/>
          <w:sz w:val="22"/>
          <w:szCs w:val="22"/>
          <w:u w:val="single"/>
          <w:lang w:val="en-GB"/>
        </w:rPr>
        <w:t>Unlawful Occupiers of the School Site v City of Johannesburg</w:t>
      </w:r>
      <w:r w:rsidRPr="00B11D8A">
        <w:rPr>
          <w:rStyle w:val="FootnoteReference"/>
          <w:rFonts w:ascii="Verdana" w:hAnsi="Verdana"/>
          <w:color w:val="000000" w:themeColor="text1"/>
          <w:sz w:val="22"/>
          <w:szCs w:val="22"/>
          <w:lang w:val="en-GB"/>
        </w:rPr>
        <w:footnoteReference w:id="7"/>
      </w:r>
      <w:r w:rsidRPr="00B11D8A">
        <w:rPr>
          <w:rFonts w:ascii="Verdana" w:hAnsi="Verdana"/>
          <w:color w:val="000000" w:themeColor="text1"/>
          <w:sz w:val="22"/>
          <w:szCs w:val="22"/>
          <w:lang w:val="en-GB"/>
        </w:rPr>
        <w:t xml:space="preserve"> where Brand JA said the following regarding the peremptory requirements of section 4(2): -</w:t>
      </w:r>
    </w:p>
    <w:p w14:paraId="629BF5B4" w14:textId="606810E1" w:rsidR="001D4298" w:rsidRPr="00B11D8A" w:rsidRDefault="001D4298" w:rsidP="001D4298">
      <w:pPr>
        <w:pStyle w:val="Indent"/>
        <w:widowControl w:val="0"/>
        <w:numPr>
          <w:ilvl w:val="0"/>
          <w:numId w:val="0"/>
        </w:numPr>
        <w:spacing w:after="480" w:line="360" w:lineRule="auto"/>
        <w:ind w:left="1440"/>
        <w:jc w:val="both"/>
        <w:rPr>
          <w:rFonts w:ascii="Verdana" w:hAnsi="Verdana"/>
          <w:i/>
          <w:color w:val="000000" w:themeColor="text1"/>
          <w:sz w:val="22"/>
          <w:szCs w:val="22"/>
          <w:lang w:val="en-GB"/>
        </w:rPr>
      </w:pPr>
      <w:r w:rsidRPr="00B11D8A">
        <w:rPr>
          <w:rFonts w:ascii="Verdana" w:hAnsi="Verdana"/>
          <w:i/>
          <w:color w:val="000000" w:themeColor="text1"/>
          <w:sz w:val="22"/>
          <w:szCs w:val="22"/>
          <w:lang w:val="en-GB"/>
        </w:rPr>
        <w:t xml:space="preserve">“Nevertheless, it is clear from the authorities that even where the formalities required by statute are peremptory it is not every deviation from the literal prescription that is fatal.  Even in that event, the question remains whether, in spite of the defect, the object of the statutory provision had been achieved (see, for example, </w:t>
      </w:r>
      <w:r w:rsidRPr="00B11D8A">
        <w:rPr>
          <w:i/>
          <w:color w:val="000000" w:themeColor="text1"/>
          <w:sz w:val="26"/>
          <w:szCs w:val="26"/>
          <w:lang w:val="en-GB"/>
        </w:rPr>
        <w:t>Nkisimane and Others v Santam Insurance Co Ltd</w:t>
      </w:r>
      <w:r w:rsidRPr="00B11D8A">
        <w:rPr>
          <w:rFonts w:ascii="Verdana" w:hAnsi="Verdana"/>
          <w:i/>
          <w:color w:val="000000" w:themeColor="text1"/>
          <w:sz w:val="22"/>
          <w:szCs w:val="22"/>
          <w:lang w:val="en-GB"/>
        </w:rPr>
        <w:t xml:space="preserve"> 1978 (2) SA 430 (A) at 433H – 434B;  </w:t>
      </w:r>
      <w:r w:rsidRPr="00B11D8A">
        <w:rPr>
          <w:i/>
          <w:color w:val="000000" w:themeColor="text1"/>
          <w:sz w:val="26"/>
          <w:szCs w:val="26"/>
          <w:lang w:val="en-GB"/>
        </w:rPr>
        <w:t>Weenen Transitional Local Council v Van Dyk</w:t>
      </w:r>
      <w:r w:rsidRPr="00B11D8A">
        <w:rPr>
          <w:rFonts w:ascii="Verdana" w:hAnsi="Verdana"/>
          <w:i/>
          <w:color w:val="000000" w:themeColor="text1"/>
          <w:sz w:val="22"/>
          <w:szCs w:val="22"/>
          <w:lang w:val="en-GB"/>
        </w:rPr>
        <w:t xml:space="preserve"> 2002 (4) SA 653 (SCA) para [13]).”</w:t>
      </w:r>
      <w:r w:rsidRPr="00B11D8A">
        <w:rPr>
          <w:rStyle w:val="FootnoteReference"/>
          <w:rFonts w:ascii="Verdana" w:hAnsi="Verdana"/>
          <w:i/>
          <w:color w:val="000000" w:themeColor="text1"/>
          <w:sz w:val="22"/>
          <w:szCs w:val="22"/>
          <w:lang w:val="en-GB"/>
        </w:rPr>
        <w:footnoteReference w:id="8"/>
      </w:r>
    </w:p>
    <w:p w14:paraId="26BE9F8B" w14:textId="63DFFBCD" w:rsidR="001D4298" w:rsidRPr="00B11D8A" w:rsidRDefault="001D4298"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w:t>
      </w:r>
      <w:r w:rsidRPr="00B11D8A">
        <w:rPr>
          <w:rFonts w:ascii="Verdana" w:hAnsi="Verdana"/>
          <w:color w:val="000000" w:themeColor="text1"/>
          <w:sz w:val="22"/>
          <w:szCs w:val="22"/>
          <w:u w:val="single"/>
          <w:lang w:val="en-GB"/>
        </w:rPr>
        <w:t>Moela</w:t>
      </w:r>
      <w:r w:rsidRPr="00B11D8A">
        <w:rPr>
          <w:rFonts w:ascii="Verdana" w:hAnsi="Verdana"/>
          <w:color w:val="000000" w:themeColor="text1"/>
          <w:sz w:val="22"/>
          <w:szCs w:val="22"/>
          <w:lang w:val="en-GB"/>
        </w:rPr>
        <w:t xml:space="preserve"> the content and manner of </w:t>
      </w:r>
      <w:r w:rsidR="00A46078" w:rsidRPr="00B11D8A">
        <w:rPr>
          <w:rFonts w:ascii="Verdana" w:hAnsi="Verdana"/>
          <w:color w:val="000000" w:themeColor="text1"/>
          <w:sz w:val="22"/>
          <w:szCs w:val="22"/>
          <w:lang w:val="en-GB"/>
        </w:rPr>
        <w:t xml:space="preserve">service of the notice had also not been authorised and directed by an order of Court.  Notwithstanding, the </w:t>
      </w:r>
      <w:r w:rsidR="00A46078" w:rsidRPr="00B11D8A">
        <w:rPr>
          <w:rFonts w:ascii="Verdana" w:hAnsi="Verdana"/>
          <w:color w:val="000000" w:themeColor="text1"/>
          <w:sz w:val="22"/>
          <w:szCs w:val="22"/>
          <w:lang w:val="en-GB"/>
        </w:rPr>
        <w:lastRenderedPageBreak/>
        <w:t>Supreme Court of Appeal found that: -</w:t>
      </w:r>
    </w:p>
    <w:p w14:paraId="22CBCC07" w14:textId="46A5468E" w:rsidR="00A46078" w:rsidRPr="00B11D8A" w:rsidRDefault="00A46078" w:rsidP="00A46078">
      <w:pPr>
        <w:pStyle w:val="Indent"/>
        <w:widowControl w:val="0"/>
        <w:numPr>
          <w:ilvl w:val="0"/>
          <w:numId w:val="0"/>
        </w:numPr>
        <w:spacing w:after="480" w:line="360" w:lineRule="auto"/>
        <w:ind w:left="1440"/>
        <w:jc w:val="both"/>
        <w:rPr>
          <w:rFonts w:ascii="Verdana" w:hAnsi="Verdana"/>
          <w:i/>
          <w:color w:val="000000" w:themeColor="text1"/>
          <w:sz w:val="22"/>
          <w:szCs w:val="22"/>
          <w:lang w:val="en-GB"/>
        </w:rPr>
      </w:pPr>
      <w:r w:rsidRPr="00B11D8A">
        <w:rPr>
          <w:rFonts w:ascii="Verdana" w:hAnsi="Verdana"/>
          <w:i/>
          <w:color w:val="000000" w:themeColor="text1"/>
          <w:sz w:val="22"/>
          <w:szCs w:val="22"/>
          <w:lang w:val="en-GB"/>
        </w:rPr>
        <w:t xml:space="preserve">“[9] </w:t>
      </w:r>
      <w:r w:rsidRPr="00B11D8A">
        <w:rPr>
          <w:rFonts w:ascii="Verdana" w:hAnsi="Verdana"/>
          <w:i/>
          <w:color w:val="000000" w:themeColor="text1"/>
          <w:sz w:val="22"/>
          <w:szCs w:val="22"/>
          <w:lang w:val="en-GB"/>
        </w:rPr>
        <w:tab/>
        <w:t xml:space="preserve">… The object of section 4(2) is clearly to ensure that the unlawful occupier and municipality are fully aware of the proceedings and that the unlawful occupier is aware of his rights referred to in section 4(5)(d).  It may well be that that object, in appropriate circumstances, may be achieved notwithstanding the fact that service of the notice required by section 4(2) had not been authorised by the Court.  That may, for example, be the case if at the hearing it is clear that written and effective notice of the proceedings contained in the information required in terms of section 4(5) had in fact been served on the unlawful occupier and municipality 14 days before the hearing.” </w:t>
      </w:r>
    </w:p>
    <w:p w14:paraId="20E54867" w14:textId="5A3FA362" w:rsidR="00A46078" w:rsidRPr="00B11D8A" w:rsidRDefault="00784D5D"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When considering the content of the section 4(2) notice in this matter, it clearly states that proceedings have been instituted for an order for the eviction of the second respondent, it indicates the date and time of the court proceedings, it sets out the grounds for the proposed eviction and states that the second respondent is entitled to appear before Court and defend the case.  Quite evidently, the notice complies in all respects with section 4(5) of PIE.  </w:t>
      </w:r>
    </w:p>
    <w:p w14:paraId="617D6087" w14:textId="6C44F2F0" w:rsidR="003D69CB" w:rsidRPr="00B11D8A" w:rsidRDefault="00F76DDB"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Moreover, the Trust served the application for eviction on the City on 2 October 2020.</w:t>
      </w:r>
      <w:r w:rsidRPr="00B11D8A">
        <w:rPr>
          <w:rStyle w:val="FootnoteReference"/>
          <w:rFonts w:ascii="Verdana" w:hAnsi="Verdana"/>
          <w:color w:val="000000" w:themeColor="text1"/>
          <w:sz w:val="22"/>
          <w:szCs w:val="22"/>
          <w:lang w:val="en-GB"/>
        </w:rPr>
        <w:footnoteReference w:id="9"/>
      </w:r>
      <w:r w:rsidRPr="00B11D8A">
        <w:rPr>
          <w:rFonts w:ascii="Verdana" w:hAnsi="Verdana"/>
          <w:color w:val="000000" w:themeColor="text1"/>
          <w:sz w:val="22"/>
          <w:szCs w:val="22"/>
          <w:lang w:val="en-GB"/>
        </w:rPr>
        <w:t xml:space="preserve">  As far as notification is concerned, the Trust did more than it was statutorily required to do.  I therefore find no merit in Ms Gilhar’s argument that there has not been compliance with section 4(2) of PIE.  </w:t>
      </w:r>
    </w:p>
    <w:p w14:paraId="4013ED6B" w14:textId="35004505" w:rsidR="00F76DDB" w:rsidRPr="00B11D8A" w:rsidRDefault="00F76DDB"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any event, the entitlement of the Trust to seek an order for the eviction </w:t>
      </w:r>
      <w:r w:rsidRPr="00B11D8A">
        <w:rPr>
          <w:rFonts w:ascii="Verdana" w:hAnsi="Verdana"/>
          <w:color w:val="000000" w:themeColor="text1"/>
          <w:sz w:val="22"/>
          <w:szCs w:val="22"/>
          <w:lang w:val="en-GB"/>
        </w:rPr>
        <w:lastRenderedPageBreak/>
        <w:t xml:space="preserve">of Ms Gilhar is not disputed as already stated.  It is most certainly also not suggested that Ms Gilhar is homeless and has in fact during argument voiced her intention of returning to Israel.  </w:t>
      </w:r>
      <w:r w:rsidR="000F1D4E" w:rsidRPr="00B11D8A">
        <w:rPr>
          <w:rFonts w:ascii="Verdana" w:hAnsi="Verdana"/>
          <w:color w:val="000000" w:themeColor="text1"/>
          <w:sz w:val="22"/>
          <w:szCs w:val="22"/>
          <w:lang w:val="en-GB"/>
        </w:rPr>
        <w:t xml:space="preserve">The only consideration is what period of time would be regarded as just and equitable to afford Ms Gilhar to vacate the property.  </w:t>
      </w:r>
    </w:p>
    <w:p w14:paraId="17167DAC" w14:textId="654322E6" w:rsidR="000F1D4E" w:rsidRPr="00B11D8A" w:rsidRDefault="000F1D4E"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In determining a just and equitable date contemplated in section 4(8) of PIE, the Court must have regard to all relevant factors, including the period the unlawful occupier has resided on the land in question.</w:t>
      </w:r>
      <w:r w:rsidRPr="00B11D8A">
        <w:rPr>
          <w:rStyle w:val="FootnoteReference"/>
          <w:rFonts w:ascii="Verdana" w:hAnsi="Verdana"/>
          <w:color w:val="000000" w:themeColor="text1"/>
          <w:sz w:val="22"/>
          <w:szCs w:val="22"/>
          <w:lang w:val="en-GB"/>
        </w:rPr>
        <w:footnoteReference w:id="10"/>
      </w:r>
      <w:r w:rsidRPr="00B11D8A">
        <w:rPr>
          <w:rFonts w:ascii="Verdana" w:hAnsi="Verdana"/>
          <w:color w:val="000000" w:themeColor="text1"/>
          <w:sz w:val="22"/>
          <w:szCs w:val="22"/>
          <w:lang w:val="en-GB"/>
        </w:rPr>
        <w:t xml:space="preserve"> </w:t>
      </w:r>
    </w:p>
    <w:p w14:paraId="06C9F57E" w14:textId="48F8714E" w:rsidR="000F1D4E" w:rsidRPr="00B11D8A" w:rsidRDefault="000F1D4E" w:rsidP="002A1540">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legislature did not limit those circumstances the Court should consider and neither did it arrange the circumstances in order of priority.  It referred to </w:t>
      </w:r>
      <w:r w:rsidRPr="00B11D8A">
        <w:rPr>
          <w:rFonts w:ascii="Verdana" w:hAnsi="Verdana"/>
          <w:i/>
          <w:color w:val="000000" w:themeColor="text1"/>
          <w:sz w:val="22"/>
          <w:szCs w:val="22"/>
          <w:lang w:val="en-GB"/>
        </w:rPr>
        <w:t>“all the relevant circumstances”</w:t>
      </w:r>
      <w:r w:rsidRPr="00B11D8A">
        <w:rPr>
          <w:rFonts w:ascii="Verdana" w:hAnsi="Verdana"/>
          <w:color w:val="000000" w:themeColor="text1"/>
          <w:sz w:val="22"/>
          <w:szCs w:val="22"/>
          <w:lang w:val="en-GB"/>
        </w:rPr>
        <w:t xml:space="preserve"> and left it to the Court to determine which circumstances are relevant and to consider all those in conjunction. </w:t>
      </w:r>
      <w:r w:rsidR="002A1540" w:rsidRPr="00B11D8A">
        <w:rPr>
          <w:rFonts w:ascii="Verdana" w:hAnsi="Verdana"/>
          <w:color w:val="000000" w:themeColor="text1"/>
          <w:sz w:val="22"/>
          <w:szCs w:val="22"/>
          <w:lang w:val="en-GB"/>
        </w:rPr>
        <w:t>The fact that the legislature referred specifically to the rights and needs of the elderly, children, the disabled and households headed by women and, in certain instances, also the availability of alternative land, does not mean that the legislature intended to elevate these circumstances to absolute prerequisites which have to be met before an order may be granted.  If the legislature intended such a consequence, it would have said so specifically.</w:t>
      </w:r>
      <w:r w:rsidR="002A1540" w:rsidRPr="00B11D8A">
        <w:rPr>
          <w:rStyle w:val="FootnoteReference"/>
          <w:rFonts w:ascii="Verdana" w:hAnsi="Verdana"/>
          <w:color w:val="000000" w:themeColor="text1"/>
          <w:sz w:val="22"/>
          <w:szCs w:val="22"/>
          <w:lang w:val="en-GB"/>
        </w:rPr>
        <w:footnoteReference w:id="11"/>
      </w:r>
      <w:r w:rsidR="002A1540" w:rsidRPr="00B11D8A">
        <w:rPr>
          <w:rFonts w:ascii="Verdana" w:hAnsi="Verdana"/>
          <w:color w:val="000000" w:themeColor="text1"/>
          <w:sz w:val="22"/>
          <w:szCs w:val="22"/>
          <w:lang w:val="en-GB"/>
        </w:rPr>
        <w:t xml:space="preserve"> </w:t>
      </w:r>
    </w:p>
    <w:p w14:paraId="7E1F8E8E" w14:textId="016D27DB" w:rsidR="002A1540" w:rsidRPr="00B11D8A" w:rsidRDefault="002A1540" w:rsidP="002A1540">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In arriving at a just and equitable date on which Ms Gilhar is required to vacate the property, I have taken the following facts into consideration: -</w:t>
      </w:r>
    </w:p>
    <w:p w14:paraId="35FB4155" w14:textId="64C794C5" w:rsidR="00A06374" w:rsidRPr="00B11D8A" w:rsidRDefault="00A06374"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lastRenderedPageBreak/>
        <w:t>Ms Gilhar occupied the property on 18 August 2019;</w:t>
      </w:r>
    </w:p>
    <w:p w14:paraId="539EB282" w14:textId="55F869AF" w:rsidR="002A1540" w:rsidRPr="00B11D8A" w:rsidRDefault="002A1540"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The agreement of sale which gave rise to Ms Gilhar’s occupation of the property, was cancelled by mutual consent on 27 February 2020;</w:t>
      </w:r>
      <w:r w:rsidRPr="00B11D8A">
        <w:rPr>
          <w:rStyle w:val="FootnoteReference"/>
          <w:rFonts w:ascii="Verdana" w:hAnsi="Verdana"/>
          <w:color w:val="000000" w:themeColor="text1"/>
          <w:sz w:val="22"/>
          <w:szCs w:val="22"/>
          <w:lang w:val="en-GB"/>
        </w:rPr>
        <w:footnoteReference w:id="12"/>
      </w:r>
    </w:p>
    <w:p w14:paraId="3681881B" w14:textId="307D8C7B" w:rsidR="002A1540" w:rsidRPr="00B11D8A" w:rsidRDefault="002A1540"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The parties agreed that Ms Gilhar would vacate the property on 30 March 2020;</w:t>
      </w:r>
      <w:r w:rsidRPr="00B11D8A">
        <w:rPr>
          <w:rStyle w:val="FootnoteReference"/>
          <w:rFonts w:ascii="Verdana" w:hAnsi="Verdana"/>
          <w:color w:val="000000" w:themeColor="text1"/>
          <w:sz w:val="22"/>
          <w:szCs w:val="22"/>
          <w:lang w:val="en-GB"/>
        </w:rPr>
        <w:footnoteReference w:id="13"/>
      </w:r>
      <w:r w:rsidRPr="00B11D8A">
        <w:rPr>
          <w:rFonts w:ascii="Verdana" w:hAnsi="Verdana"/>
          <w:color w:val="000000" w:themeColor="text1"/>
          <w:sz w:val="22"/>
          <w:szCs w:val="22"/>
          <w:lang w:val="en-GB"/>
        </w:rPr>
        <w:t xml:space="preserve"> </w:t>
      </w:r>
    </w:p>
    <w:p w14:paraId="30524C9E" w14:textId="411EE838" w:rsidR="002A1540" w:rsidRPr="00B11D8A" w:rsidRDefault="002A1540"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On the 26</w:t>
      </w:r>
      <w:r w:rsidRPr="00B11D8A">
        <w:rPr>
          <w:rFonts w:ascii="Verdana" w:hAnsi="Verdana"/>
          <w:color w:val="000000" w:themeColor="text1"/>
          <w:sz w:val="22"/>
          <w:szCs w:val="22"/>
          <w:vertAlign w:val="superscript"/>
          <w:lang w:val="en-GB"/>
        </w:rPr>
        <w:t>th</w:t>
      </w:r>
      <w:r w:rsidRPr="00B11D8A">
        <w:rPr>
          <w:rFonts w:ascii="Verdana" w:hAnsi="Verdana"/>
          <w:color w:val="000000" w:themeColor="text1"/>
          <w:sz w:val="22"/>
          <w:szCs w:val="22"/>
          <w:lang w:val="en-GB"/>
        </w:rPr>
        <w:t xml:space="preserve"> of March 2020 </w:t>
      </w:r>
      <w:r w:rsidR="000D37B6" w:rsidRPr="00B11D8A">
        <w:rPr>
          <w:rFonts w:ascii="Verdana" w:hAnsi="Verdana"/>
          <w:color w:val="000000" w:themeColor="text1"/>
          <w:sz w:val="22"/>
          <w:szCs w:val="22"/>
          <w:lang w:val="en-GB"/>
        </w:rPr>
        <w:t>a moratorium was placed on evictions during the national state of lockdown as a result of the Covid</w:t>
      </w:r>
      <w:r w:rsidR="000D37B6" w:rsidRPr="00B11D8A">
        <w:rPr>
          <w:rFonts w:ascii="Verdana" w:hAnsi="Verdana"/>
          <w:color w:val="000000" w:themeColor="text1"/>
          <w:sz w:val="22"/>
          <w:szCs w:val="22"/>
          <w:lang w:val="en-GB"/>
        </w:rPr>
        <w:noBreakHyphen/>
        <w:t>19 pandemic;</w:t>
      </w:r>
      <w:r w:rsidR="000D37B6" w:rsidRPr="00B11D8A">
        <w:rPr>
          <w:rStyle w:val="FootnoteReference"/>
          <w:rFonts w:ascii="Verdana" w:hAnsi="Verdana"/>
          <w:color w:val="000000" w:themeColor="text1"/>
          <w:sz w:val="22"/>
          <w:szCs w:val="22"/>
          <w:lang w:val="en-GB"/>
        </w:rPr>
        <w:footnoteReference w:id="14"/>
      </w:r>
      <w:r w:rsidR="000D37B6" w:rsidRPr="00B11D8A">
        <w:rPr>
          <w:rFonts w:ascii="Verdana" w:hAnsi="Verdana"/>
          <w:color w:val="000000" w:themeColor="text1"/>
          <w:sz w:val="22"/>
          <w:szCs w:val="22"/>
          <w:lang w:val="en-GB"/>
        </w:rPr>
        <w:t xml:space="preserve"> </w:t>
      </w:r>
    </w:p>
    <w:p w14:paraId="2DFFDF01" w14:textId="2F14A047" w:rsidR="002A1540" w:rsidRPr="00B11D8A" w:rsidRDefault="000D37B6"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The movement of persons was relaxed as of the 1</w:t>
      </w:r>
      <w:r w:rsidRPr="00B11D8A">
        <w:rPr>
          <w:rFonts w:ascii="Verdana" w:hAnsi="Verdana"/>
          <w:color w:val="000000" w:themeColor="text1"/>
          <w:sz w:val="22"/>
          <w:szCs w:val="22"/>
          <w:vertAlign w:val="superscript"/>
          <w:lang w:val="en-GB"/>
        </w:rPr>
        <w:t>st</w:t>
      </w:r>
      <w:r w:rsidRPr="00B11D8A">
        <w:rPr>
          <w:rFonts w:ascii="Verdana" w:hAnsi="Verdana"/>
          <w:color w:val="000000" w:themeColor="text1"/>
          <w:sz w:val="22"/>
          <w:szCs w:val="22"/>
          <w:lang w:val="en-GB"/>
        </w:rPr>
        <w:t xml:space="preserve"> of June 2020, but notwithstanding, Ms Gilhar failed to vacate the property;</w:t>
      </w:r>
      <w:r w:rsidRPr="00B11D8A">
        <w:rPr>
          <w:rStyle w:val="FootnoteReference"/>
          <w:rFonts w:ascii="Verdana" w:hAnsi="Verdana"/>
          <w:color w:val="000000" w:themeColor="text1"/>
          <w:sz w:val="22"/>
          <w:szCs w:val="22"/>
          <w:lang w:val="en-GB"/>
        </w:rPr>
        <w:footnoteReference w:id="15"/>
      </w:r>
      <w:r w:rsidRPr="00B11D8A">
        <w:rPr>
          <w:rFonts w:ascii="Verdana" w:hAnsi="Verdana"/>
          <w:color w:val="000000" w:themeColor="text1"/>
          <w:sz w:val="22"/>
          <w:szCs w:val="22"/>
          <w:lang w:val="en-GB"/>
        </w:rPr>
        <w:t xml:space="preserve"> </w:t>
      </w:r>
    </w:p>
    <w:p w14:paraId="5FCD1C72" w14:textId="0BD88808" w:rsidR="000D37B6" w:rsidRPr="00B11D8A" w:rsidRDefault="000D37B6"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The Trust procured a new tenant during June/July 2020 and therefore informed Ms </w:t>
      </w:r>
      <w:r w:rsidRPr="00B11D8A">
        <w:rPr>
          <w:rFonts w:ascii="Verdana" w:hAnsi="Verdana"/>
          <w:color w:val="000000" w:themeColor="text1"/>
          <w:sz w:val="22"/>
          <w:szCs w:val="22"/>
          <w:lang w:val="en-ZA"/>
        </w:rPr>
        <w:t>Gilhar that she was required to vacate the property by the end of July 2020;</w:t>
      </w:r>
      <w:r w:rsidRPr="00B11D8A">
        <w:rPr>
          <w:rStyle w:val="FootnoteReference"/>
          <w:rFonts w:ascii="Verdana" w:hAnsi="Verdana"/>
          <w:color w:val="000000" w:themeColor="text1"/>
          <w:sz w:val="22"/>
          <w:szCs w:val="22"/>
          <w:lang w:val="en-ZA"/>
        </w:rPr>
        <w:footnoteReference w:id="16"/>
      </w:r>
    </w:p>
    <w:p w14:paraId="5BC8BBDF" w14:textId="3707C4B2" w:rsidR="000D37B6" w:rsidRPr="00B11D8A" w:rsidRDefault="000D37B6"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Ms Gilhar informed the Trust that she was planning to relocate to Israel and that she would only move out of the property </w:t>
      </w:r>
      <w:r w:rsidR="00306F0A" w:rsidRPr="00B11D8A">
        <w:rPr>
          <w:rFonts w:ascii="Verdana" w:hAnsi="Verdana"/>
          <w:color w:val="000000" w:themeColor="text1"/>
          <w:sz w:val="22"/>
          <w:szCs w:val="22"/>
          <w:lang w:val="en-GB"/>
        </w:rPr>
        <w:t>once she has removed her furniture from the property so that she could relocate in one go;</w:t>
      </w:r>
      <w:r w:rsidR="00306F0A" w:rsidRPr="00B11D8A">
        <w:rPr>
          <w:rStyle w:val="FootnoteReference"/>
          <w:rFonts w:ascii="Verdana" w:hAnsi="Verdana"/>
          <w:color w:val="000000" w:themeColor="text1"/>
          <w:sz w:val="22"/>
          <w:szCs w:val="22"/>
          <w:lang w:val="en-GB"/>
        </w:rPr>
        <w:footnoteReference w:id="17"/>
      </w:r>
      <w:r w:rsidR="00306F0A" w:rsidRPr="00B11D8A">
        <w:rPr>
          <w:rFonts w:ascii="Verdana" w:hAnsi="Verdana"/>
          <w:color w:val="000000" w:themeColor="text1"/>
          <w:sz w:val="22"/>
          <w:szCs w:val="22"/>
          <w:lang w:val="en-GB"/>
        </w:rPr>
        <w:t xml:space="preserve"> </w:t>
      </w:r>
    </w:p>
    <w:p w14:paraId="1FABF966" w14:textId="1D492478" w:rsidR="000D37B6" w:rsidRPr="00B11D8A" w:rsidRDefault="00306F0A"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lastRenderedPageBreak/>
        <w:t>On 22 July 2020, the Trust and the new tenant concluded a lease agreement commencing on the 1</w:t>
      </w:r>
      <w:r w:rsidRPr="00B11D8A">
        <w:rPr>
          <w:rFonts w:ascii="Verdana" w:hAnsi="Verdana"/>
          <w:color w:val="000000" w:themeColor="text1"/>
          <w:sz w:val="22"/>
          <w:szCs w:val="22"/>
          <w:vertAlign w:val="superscript"/>
          <w:lang w:val="en-GB"/>
        </w:rPr>
        <w:t>st</w:t>
      </w:r>
      <w:r w:rsidRPr="00B11D8A">
        <w:rPr>
          <w:rFonts w:ascii="Verdana" w:hAnsi="Verdana"/>
          <w:color w:val="000000" w:themeColor="text1"/>
          <w:sz w:val="22"/>
          <w:szCs w:val="22"/>
          <w:lang w:val="en-GB"/>
        </w:rPr>
        <w:t xml:space="preserve"> of September 2020;</w:t>
      </w:r>
      <w:r w:rsidRPr="00B11D8A">
        <w:rPr>
          <w:rStyle w:val="FootnoteReference"/>
          <w:rFonts w:ascii="Verdana" w:hAnsi="Verdana"/>
          <w:color w:val="000000" w:themeColor="text1"/>
          <w:sz w:val="22"/>
          <w:szCs w:val="22"/>
          <w:lang w:val="en-GB"/>
        </w:rPr>
        <w:footnoteReference w:id="18"/>
      </w:r>
    </w:p>
    <w:p w14:paraId="1A08C026" w14:textId="63BA953C" w:rsidR="00306F0A" w:rsidRPr="00B11D8A" w:rsidRDefault="00306F0A"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Ms Gilhar was informed of the concluded lease and agreed to vacate the property on or before the 30</w:t>
      </w:r>
      <w:r w:rsidRPr="00B11D8A">
        <w:rPr>
          <w:rFonts w:ascii="Verdana" w:hAnsi="Verdana"/>
          <w:color w:val="000000" w:themeColor="text1"/>
          <w:sz w:val="22"/>
          <w:szCs w:val="22"/>
          <w:vertAlign w:val="superscript"/>
          <w:lang w:val="en-GB"/>
        </w:rPr>
        <w:t>th</w:t>
      </w:r>
      <w:r w:rsidRPr="00B11D8A">
        <w:rPr>
          <w:rFonts w:ascii="Verdana" w:hAnsi="Verdana"/>
          <w:color w:val="000000" w:themeColor="text1"/>
          <w:sz w:val="22"/>
          <w:szCs w:val="22"/>
          <w:lang w:val="en-GB"/>
        </w:rPr>
        <w:t xml:space="preserve"> of August 2020;</w:t>
      </w:r>
      <w:r w:rsidRPr="00B11D8A">
        <w:rPr>
          <w:rStyle w:val="FootnoteReference"/>
          <w:rFonts w:ascii="Verdana" w:hAnsi="Verdana"/>
          <w:color w:val="000000" w:themeColor="text1"/>
          <w:sz w:val="22"/>
          <w:szCs w:val="22"/>
          <w:lang w:val="en-GB"/>
        </w:rPr>
        <w:footnoteReference w:id="19"/>
      </w:r>
      <w:r w:rsidRPr="00B11D8A">
        <w:rPr>
          <w:rFonts w:ascii="Verdana" w:hAnsi="Verdana"/>
          <w:color w:val="000000" w:themeColor="text1"/>
          <w:sz w:val="22"/>
          <w:szCs w:val="22"/>
          <w:lang w:val="en-GB"/>
        </w:rPr>
        <w:t xml:space="preserve"> </w:t>
      </w:r>
    </w:p>
    <w:p w14:paraId="3EBC5CC4" w14:textId="2B7FE5A2" w:rsidR="00306F0A" w:rsidRPr="00B11D8A" w:rsidRDefault="00306F0A"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A day after the agreement to vacate was recorded in a letter, Ms Gilhar informed the Trust that she was </w:t>
      </w:r>
      <w:r w:rsidRPr="00B11D8A">
        <w:rPr>
          <w:rFonts w:ascii="Verdana" w:hAnsi="Verdana"/>
          <w:i/>
          <w:color w:val="000000" w:themeColor="text1"/>
          <w:sz w:val="22"/>
          <w:szCs w:val="22"/>
          <w:lang w:val="en-GB"/>
        </w:rPr>
        <w:t>“going nowhere without a Court Order</w:t>
      </w:r>
      <w:r w:rsidRPr="00B11D8A">
        <w:rPr>
          <w:rFonts w:ascii="Verdana" w:hAnsi="Verdana"/>
          <w:color w:val="000000" w:themeColor="text1"/>
          <w:sz w:val="22"/>
          <w:szCs w:val="22"/>
          <w:lang w:val="en-GB"/>
        </w:rPr>
        <w:t>”;</w:t>
      </w:r>
      <w:r w:rsidRPr="00B11D8A">
        <w:rPr>
          <w:rStyle w:val="FootnoteReference"/>
          <w:rFonts w:ascii="Verdana" w:hAnsi="Verdana"/>
          <w:color w:val="000000" w:themeColor="text1"/>
          <w:sz w:val="22"/>
          <w:szCs w:val="22"/>
          <w:lang w:val="en-GB"/>
        </w:rPr>
        <w:footnoteReference w:id="20"/>
      </w:r>
    </w:p>
    <w:p w14:paraId="370EC68B" w14:textId="0EB62325" w:rsidR="00306F0A" w:rsidRPr="00B11D8A" w:rsidRDefault="00306F0A"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first respondent and Ms Gilhar failed to make payment of the </w:t>
      </w:r>
      <w:r w:rsidR="00A65C74" w:rsidRPr="00B11D8A">
        <w:rPr>
          <w:rFonts w:ascii="Verdana" w:hAnsi="Verdana"/>
          <w:color w:val="000000" w:themeColor="text1"/>
          <w:sz w:val="22"/>
          <w:szCs w:val="22"/>
          <w:lang w:val="en-GB"/>
        </w:rPr>
        <w:t>water and electricity and levies since December 2</w:t>
      </w:r>
      <w:r w:rsidR="00A06374" w:rsidRPr="00B11D8A">
        <w:rPr>
          <w:rFonts w:ascii="Verdana" w:hAnsi="Verdana"/>
          <w:color w:val="000000" w:themeColor="text1"/>
          <w:sz w:val="22"/>
          <w:szCs w:val="22"/>
          <w:lang w:val="en-GB"/>
        </w:rPr>
        <w:t>019, notwithstanding her continued occupation of the property;</w:t>
      </w:r>
      <w:r w:rsidR="00A06374" w:rsidRPr="00B11D8A">
        <w:rPr>
          <w:rStyle w:val="FootnoteReference"/>
          <w:rFonts w:ascii="Verdana" w:hAnsi="Verdana"/>
          <w:color w:val="000000" w:themeColor="text1"/>
          <w:sz w:val="22"/>
          <w:szCs w:val="22"/>
          <w:lang w:val="en-GB"/>
        </w:rPr>
        <w:footnoteReference w:id="21"/>
      </w:r>
    </w:p>
    <w:p w14:paraId="4C0B4C93" w14:textId="217A9E5F" w:rsidR="00306F0A" w:rsidRPr="00B11D8A" w:rsidRDefault="00A06374"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The property is occupied by Ms Gilhar and her adult son;</w:t>
      </w:r>
      <w:r w:rsidRPr="00B11D8A">
        <w:rPr>
          <w:rStyle w:val="FootnoteReference"/>
          <w:rFonts w:ascii="Verdana" w:hAnsi="Verdana"/>
          <w:color w:val="000000" w:themeColor="text1"/>
          <w:sz w:val="22"/>
          <w:szCs w:val="22"/>
          <w:lang w:val="en-GB"/>
        </w:rPr>
        <w:footnoteReference w:id="22"/>
      </w:r>
      <w:r w:rsidRPr="00B11D8A">
        <w:rPr>
          <w:rFonts w:ascii="Verdana" w:hAnsi="Verdana"/>
          <w:color w:val="000000" w:themeColor="text1"/>
          <w:sz w:val="22"/>
          <w:szCs w:val="22"/>
          <w:lang w:val="en-GB"/>
        </w:rPr>
        <w:t xml:space="preserve"> </w:t>
      </w:r>
    </w:p>
    <w:p w14:paraId="5FE07F38" w14:textId="7BD71F15" w:rsidR="00A06374" w:rsidRPr="00B11D8A" w:rsidRDefault="00A06374"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Ms Gilhar is an elderly </w:t>
      </w:r>
      <w:r w:rsidR="007C620D" w:rsidRPr="00B11D8A">
        <w:rPr>
          <w:rFonts w:ascii="Verdana" w:hAnsi="Verdana"/>
          <w:color w:val="000000" w:themeColor="text1"/>
          <w:sz w:val="22"/>
          <w:szCs w:val="22"/>
          <w:lang w:val="en-GB"/>
        </w:rPr>
        <w:t>person and approximately 69 years of age;</w:t>
      </w:r>
      <w:r w:rsidR="007C620D" w:rsidRPr="00B11D8A">
        <w:rPr>
          <w:rStyle w:val="FootnoteReference"/>
          <w:rFonts w:ascii="Verdana" w:hAnsi="Verdana"/>
          <w:color w:val="000000" w:themeColor="text1"/>
          <w:sz w:val="22"/>
          <w:szCs w:val="22"/>
          <w:lang w:val="en-GB"/>
        </w:rPr>
        <w:footnoteReference w:id="23"/>
      </w:r>
      <w:r w:rsidR="007C620D" w:rsidRPr="00B11D8A">
        <w:rPr>
          <w:rFonts w:ascii="Verdana" w:hAnsi="Verdana"/>
          <w:color w:val="000000" w:themeColor="text1"/>
          <w:sz w:val="22"/>
          <w:szCs w:val="22"/>
          <w:lang w:val="en-GB"/>
        </w:rPr>
        <w:t xml:space="preserve"> </w:t>
      </w:r>
    </w:p>
    <w:p w14:paraId="2FB972CF" w14:textId="37C35E4F" w:rsidR="00A06374" w:rsidRPr="00B11D8A" w:rsidRDefault="007C620D"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Ms Gilhar is not disabled and she is the head of the household;</w:t>
      </w:r>
      <w:r w:rsidRPr="00B11D8A">
        <w:rPr>
          <w:rStyle w:val="FootnoteReference"/>
          <w:rFonts w:ascii="Verdana" w:hAnsi="Verdana"/>
          <w:color w:val="000000" w:themeColor="text1"/>
          <w:sz w:val="22"/>
          <w:szCs w:val="22"/>
          <w:lang w:val="en-GB"/>
        </w:rPr>
        <w:footnoteReference w:id="24"/>
      </w:r>
      <w:r w:rsidRPr="00B11D8A">
        <w:rPr>
          <w:rFonts w:ascii="Verdana" w:hAnsi="Verdana"/>
          <w:color w:val="000000" w:themeColor="text1"/>
          <w:sz w:val="22"/>
          <w:szCs w:val="22"/>
          <w:lang w:val="en-GB"/>
        </w:rPr>
        <w:t xml:space="preserve"> </w:t>
      </w:r>
    </w:p>
    <w:p w14:paraId="1328859E" w14:textId="76D1B99A" w:rsidR="007C620D" w:rsidRPr="00B11D8A" w:rsidRDefault="007C620D"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No rental is being paid to the Trust, despite Ms Gilhar’s continued occupation;</w:t>
      </w:r>
      <w:r w:rsidRPr="00B11D8A">
        <w:rPr>
          <w:rStyle w:val="FootnoteReference"/>
          <w:rFonts w:ascii="Verdana" w:hAnsi="Verdana"/>
          <w:color w:val="000000" w:themeColor="text1"/>
          <w:sz w:val="22"/>
          <w:szCs w:val="22"/>
          <w:lang w:val="en-GB"/>
        </w:rPr>
        <w:footnoteReference w:id="25"/>
      </w:r>
    </w:p>
    <w:p w14:paraId="66CA4AF2" w14:textId="3E444654" w:rsidR="007C620D" w:rsidRPr="00B11D8A" w:rsidRDefault="007C620D"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Trust continues to suffer damages as a result of the unlawful </w:t>
      </w:r>
      <w:r w:rsidRPr="00B11D8A">
        <w:rPr>
          <w:rFonts w:ascii="Verdana" w:hAnsi="Verdana"/>
          <w:color w:val="000000" w:themeColor="text1"/>
          <w:sz w:val="22"/>
          <w:szCs w:val="22"/>
          <w:lang w:val="en-GB"/>
        </w:rPr>
        <w:lastRenderedPageBreak/>
        <w:t>occupation, the non-payment of rental and the increase in consumption charges which similarly remain unpaid, as well as its inability to fulfil its obligations in terms of the lease agreement concluded with the new tenant;</w:t>
      </w:r>
      <w:r w:rsidRPr="00B11D8A">
        <w:rPr>
          <w:rStyle w:val="FootnoteReference"/>
          <w:rFonts w:ascii="Verdana" w:hAnsi="Verdana"/>
          <w:color w:val="000000" w:themeColor="text1"/>
          <w:sz w:val="22"/>
          <w:szCs w:val="22"/>
          <w:lang w:val="en-GB"/>
        </w:rPr>
        <w:footnoteReference w:id="26"/>
      </w:r>
      <w:r w:rsidRPr="00B11D8A">
        <w:rPr>
          <w:rFonts w:ascii="Verdana" w:hAnsi="Verdana"/>
          <w:color w:val="000000" w:themeColor="text1"/>
          <w:sz w:val="22"/>
          <w:szCs w:val="22"/>
          <w:lang w:val="en-GB"/>
        </w:rPr>
        <w:t xml:space="preserve"> </w:t>
      </w:r>
    </w:p>
    <w:p w14:paraId="74D6537B" w14:textId="5F6A75F0" w:rsidR="007C620D" w:rsidRPr="00B11D8A" w:rsidRDefault="007C620D" w:rsidP="002A1540">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There is suitable alternative accommodation for rental in the same area which can be readily provided to Ms Gilhar at a suitable rental fee;</w:t>
      </w:r>
      <w:r w:rsidRPr="00B11D8A">
        <w:rPr>
          <w:rStyle w:val="FootnoteReference"/>
          <w:rFonts w:ascii="Verdana" w:hAnsi="Verdana"/>
          <w:color w:val="000000" w:themeColor="text1"/>
          <w:sz w:val="22"/>
          <w:szCs w:val="22"/>
          <w:lang w:val="en-GB"/>
        </w:rPr>
        <w:footnoteReference w:id="27"/>
      </w:r>
      <w:r w:rsidRPr="00B11D8A">
        <w:rPr>
          <w:rFonts w:ascii="Verdana" w:hAnsi="Verdana"/>
          <w:color w:val="000000" w:themeColor="text1"/>
          <w:sz w:val="22"/>
          <w:szCs w:val="22"/>
          <w:lang w:val="en-GB"/>
        </w:rPr>
        <w:t xml:space="preserve"> </w:t>
      </w:r>
    </w:p>
    <w:p w14:paraId="33FAF761" w14:textId="7AECE022" w:rsidR="002A1540" w:rsidRPr="00B11D8A" w:rsidRDefault="007C620D" w:rsidP="002A1540">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In the circumstances, the Trust contends that a period of 30 calendar days to vacate the property would be more than reasonable in the circumstances.</w:t>
      </w:r>
      <w:r w:rsidRPr="00B11D8A">
        <w:rPr>
          <w:rStyle w:val="FootnoteReference"/>
          <w:rFonts w:ascii="Verdana" w:hAnsi="Verdana"/>
          <w:color w:val="000000" w:themeColor="text1"/>
          <w:sz w:val="22"/>
          <w:szCs w:val="22"/>
          <w:lang w:val="en-GB"/>
        </w:rPr>
        <w:footnoteReference w:id="28"/>
      </w:r>
    </w:p>
    <w:p w14:paraId="1CAF2D83" w14:textId="77777777" w:rsidR="002441D3" w:rsidRPr="00B11D8A" w:rsidRDefault="002441D3" w:rsidP="002A1540">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It is apposite that Ms Gilhar states in her answering affidavit that she has been burdened with severe health issues </w:t>
      </w:r>
      <w:r w:rsidRPr="00B11D8A">
        <w:rPr>
          <w:rFonts w:ascii="Verdana" w:hAnsi="Verdana"/>
          <w:i/>
          <w:color w:val="000000" w:themeColor="text1"/>
          <w:sz w:val="22"/>
          <w:szCs w:val="22"/>
          <w:lang w:val="en-GB"/>
        </w:rPr>
        <w:t>“for the best part of the last several years”</w:t>
      </w:r>
      <w:r w:rsidRPr="00B11D8A">
        <w:rPr>
          <w:rFonts w:ascii="Verdana" w:hAnsi="Verdana"/>
          <w:color w:val="000000" w:themeColor="text1"/>
          <w:sz w:val="22"/>
          <w:szCs w:val="22"/>
          <w:lang w:val="en-GB"/>
        </w:rPr>
        <w:t>.</w:t>
      </w:r>
      <w:r w:rsidRPr="00B11D8A">
        <w:rPr>
          <w:rStyle w:val="FootnoteReference"/>
          <w:rFonts w:ascii="Verdana" w:hAnsi="Verdana"/>
          <w:color w:val="000000" w:themeColor="text1"/>
          <w:sz w:val="22"/>
          <w:szCs w:val="22"/>
          <w:lang w:val="en-GB"/>
        </w:rPr>
        <w:footnoteReference w:id="29"/>
      </w:r>
      <w:r w:rsidRPr="00B11D8A">
        <w:rPr>
          <w:rFonts w:ascii="Verdana" w:hAnsi="Verdana"/>
          <w:color w:val="000000" w:themeColor="text1"/>
          <w:sz w:val="22"/>
          <w:szCs w:val="22"/>
          <w:lang w:val="en-GB"/>
        </w:rPr>
        <w:t xml:space="preserve">  She states that she attempted to obtain medical reports to prove her condition from Edenvale Hospital, which she attended on 30 October 2020.  </w:t>
      </w:r>
    </w:p>
    <w:p w14:paraId="6C5F6E5C" w14:textId="6318ABA2" w:rsidR="002441D3" w:rsidRPr="00B11D8A" w:rsidRDefault="002441D3" w:rsidP="002A1540">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On the 1</w:t>
      </w:r>
      <w:r w:rsidRPr="00B11D8A">
        <w:rPr>
          <w:rFonts w:ascii="Verdana" w:hAnsi="Verdana"/>
          <w:color w:val="000000" w:themeColor="text1"/>
          <w:sz w:val="22"/>
          <w:szCs w:val="22"/>
          <w:vertAlign w:val="superscript"/>
          <w:lang w:val="en-GB"/>
        </w:rPr>
        <w:t>st</w:t>
      </w:r>
      <w:r w:rsidRPr="00B11D8A">
        <w:rPr>
          <w:rFonts w:ascii="Verdana" w:hAnsi="Verdana"/>
          <w:color w:val="000000" w:themeColor="text1"/>
          <w:sz w:val="22"/>
          <w:szCs w:val="22"/>
          <w:lang w:val="en-GB"/>
        </w:rPr>
        <w:t xml:space="preserve"> of December 2020, after the filing of her answering affidavit, Ms Gilhar filed a supplementary answering affidavit.  In this affidavit she refers to medical reports.</w:t>
      </w:r>
      <w:r w:rsidRPr="00B11D8A">
        <w:rPr>
          <w:rStyle w:val="FootnoteReference"/>
          <w:rFonts w:ascii="Verdana" w:hAnsi="Verdana"/>
          <w:color w:val="000000" w:themeColor="text1"/>
          <w:sz w:val="22"/>
          <w:szCs w:val="22"/>
          <w:lang w:val="en-GB"/>
        </w:rPr>
        <w:footnoteReference w:id="30"/>
      </w:r>
      <w:r w:rsidRPr="00B11D8A">
        <w:rPr>
          <w:rFonts w:ascii="Verdana" w:hAnsi="Verdana"/>
          <w:color w:val="000000" w:themeColor="text1"/>
          <w:sz w:val="22"/>
          <w:szCs w:val="22"/>
          <w:lang w:val="en-GB"/>
        </w:rPr>
        <w:t xml:space="preserve">  </w:t>
      </w:r>
    </w:p>
    <w:p w14:paraId="51D8AE07" w14:textId="1443096C" w:rsidR="00377EF5" w:rsidRPr="00B11D8A" w:rsidRDefault="002441D3" w:rsidP="00377EF5">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medical reports referred to are in the form of mostly </w:t>
      </w:r>
      <w:r w:rsidR="007746D3" w:rsidRPr="00B11D8A">
        <w:rPr>
          <w:rFonts w:ascii="Verdana" w:hAnsi="Verdana"/>
          <w:color w:val="000000" w:themeColor="text1"/>
          <w:sz w:val="22"/>
          <w:szCs w:val="22"/>
          <w:lang w:val="en-GB"/>
        </w:rPr>
        <w:t xml:space="preserve">illegible handwritten notes.  </w:t>
      </w:r>
      <w:r w:rsidR="00377EF5" w:rsidRPr="00B11D8A">
        <w:rPr>
          <w:rFonts w:ascii="Verdana" w:hAnsi="Verdana"/>
          <w:color w:val="000000" w:themeColor="text1"/>
          <w:sz w:val="22"/>
          <w:szCs w:val="22"/>
          <w:lang w:val="en-GB"/>
        </w:rPr>
        <w:t xml:space="preserve">It is not clear from these notes who the healthcare </w:t>
      </w:r>
      <w:r w:rsidR="00377EF5" w:rsidRPr="00B11D8A">
        <w:rPr>
          <w:rFonts w:ascii="Verdana" w:hAnsi="Verdana"/>
          <w:color w:val="000000" w:themeColor="text1"/>
          <w:sz w:val="22"/>
          <w:szCs w:val="22"/>
          <w:lang w:val="en-GB"/>
        </w:rPr>
        <w:lastRenderedPageBreak/>
        <w:t xml:space="preserve">practitioner is who examined and treated Ms Gilhar.  A confirmatory affidavit by this healthcare practitioner is not attached either.  From what I am able to decipher from these notes, it would appear that Ms Gilhar suffers from lower back ailments and requires ongoing physiotherapy.  It also states that she is not fit to work.  </w:t>
      </w:r>
    </w:p>
    <w:p w14:paraId="6ACD351F" w14:textId="39D9B451" w:rsidR="00377EF5" w:rsidRPr="00B11D8A" w:rsidRDefault="00377EF5" w:rsidP="00377EF5">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Ms Gilhar also suffers from chronic obstructive pulmonary disease, but appears to be medicated for this condition and she does not require supplementary oxygen.</w:t>
      </w:r>
      <w:r w:rsidRPr="00B11D8A">
        <w:rPr>
          <w:rStyle w:val="FootnoteReference"/>
          <w:rFonts w:ascii="Verdana" w:hAnsi="Verdana"/>
          <w:color w:val="000000" w:themeColor="text1"/>
          <w:sz w:val="22"/>
          <w:szCs w:val="22"/>
          <w:lang w:val="en-GB"/>
        </w:rPr>
        <w:footnoteReference w:id="31"/>
      </w:r>
      <w:r w:rsidRPr="00B11D8A">
        <w:rPr>
          <w:rFonts w:ascii="Verdana" w:hAnsi="Verdana"/>
          <w:color w:val="000000" w:themeColor="text1"/>
          <w:sz w:val="22"/>
          <w:szCs w:val="22"/>
          <w:lang w:val="en-GB"/>
        </w:rPr>
        <w:t xml:space="preserve">  </w:t>
      </w:r>
    </w:p>
    <w:p w14:paraId="6FE766BB" w14:textId="5BDBC339" w:rsidR="00377EF5" w:rsidRPr="00B11D8A" w:rsidRDefault="00377EF5" w:rsidP="00377EF5">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Ms G</w:t>
      </w:r>
      <w:r w:rsidR="004536BE" w:rsidRPr="00B11D8A">
        <w:rPr>
          <w:rFonts w:ascii="Verdana" w:hAnsi="Verdana"/>
          <w:color w:val="000000" w:themeColor="text1"/>
          <w:sz w:val="22"/>
          <w:szCs w:val="22"/>
          <w:lang w:val="en-GB"/>
        </w:rPr>
        <w:t>il</w:t>
      </w:r>
      <w:r w:rsidRPr="00B11D8A">
        <w:rPr>
          <w:rFonts w:ascii="Verdana" w:hAnsi="Verdana"/>
          <w:color w:val="000000" w:themeColor="text1"/>
          <w:sz w:val="22"/>
          <w:szCs w:val="22"/>
          <w:lang w:val="en-GB"/>
        </w:rPr>
        <w:t>har’s general medical practitioner, Dr Grant Dalziel, in a short note dated the 24</w:t>
      </w:r>
      <w:r w:rsidRPr="00B11D8A">
        <w:rPr>
          <w:rFonts w:ascii="Verdana" w:hAnsi="Verdana"/>
          <w:color w:val="000000" w:themeColor="text1"/>
          <w:sz w:val="22"/>
          <w:szCs w:val="22"/>
          <w:vertAlign w:val="superscript"/>
          <w:lang w:val="en-GB"/>
        </w:rPr>
        <w:t>th</w:t>
      </w:r>
      <w:r w:rsidRPr="00B11D8A">
        <w:rPr>
          <w:rFonts w:ascii="Verdana" w:hAnsi="Verdana"/>
          <w:color w:val="000000" w:themeColor="text1"/>
          <w:sz w:val="22"/>
          <w:szCs w:val="22"/>
          <w:lang w:val="en-GB"/>
        </w:rPr>
        <w:t> of October 2019, states that Ms Gilhar is a severe diabetic for many years and that she is medicated with insulin.</w:t>
      </w:r>
      <w:r w:rsidR="004F1F8D" w:rsidRPr="00B11D8A">
        <w:rPr>
          <w:rStyle w:val="FootnoteReference"/>
          <w:rFonts w:ascii="Verdana" w:hAnsi="Verdana"/>
          <w:color w:val="000000" w:themeColor="text1"/>
          <w:sz w:val="22"/>
          <w:szCs w:val="22"/>
          <w:lang w:val="en-GB"/>
        </w:rPr>
        <w:footnoteReference w:id="32"/>
      </w:r>
      <w:r w:rsidRPr="00B11D8A">
        <w:rPr>
          <w:rFonts w:ascii="Verdana" w:hAnsi="Verdana"/>
          <w:color w:val="000000" w:themeColor="text1"/>
          <w:sz w:val="22"/>
          <w:szCs w:val="22"/>
          <w:lang w:val="en-GB"/>
        </w:rPr>
        <w:t xml:space="preserve">  </w:t>
      </w:r>
      <w:r w:rsidR="004F1F8D" w:rsidRPr="00B11D8A">
        <w:rPr>
          <w:rFonts w:ascii="Verdana" w:hAnsi="Verdana"/>
          <w:color w:val="000000" w:themeColor="text1"/>
          <w:sz w:val="22"/>
          <w:szCs w:val="22"/>
          <w:lang w:val="en-GB"/>
        </w:rPr>
        <w:t>Again, there are no confirmatory affidavits attached to the supplementary answer and as a result, very little weight can be attached to this evidence in my view.</w:t>
      </w:r>
    </w:p>
    <w:p w14:paraId="3F394887" w14:textId="1036FEEF" w:rsidR="00C4685D" w:rsidRPr="00B11D8A" w:rsidRDefault="004F1F8D"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At best for Ms Gilhar, </w:t>
      </w:r>
      <w:r w:rsidR="00940646" w:rsidRPr="00B11D8A">
        <w:rPr>
          <w:rFonts w:ascii="Verdana" w:hAnsi="Verdana"/>
          <w:color w:val="000000" w:themeColor="text1"/>
          <w:sz w:val="22"/>
          <w:szCs w:val="22"/>
          <w:lang w:val="en-GB"/>
        </w:rPr>
        <w:t>these medical notes reveal that she does indeed suffer from certain medical conditions, but that she is receiving proper care and medication.  Her conditions are therefore managed and do not pose a deterrent to an order for her eviction.  In fact, it does not appear to be Ms G</w:t>
      </w:r>
      <w:r w:rsidR="004536BE" w:rsidRPr="00B11D8A">
        <w:rPr>
          <w:rFonts w:ascii="Verdana" w:hAnsi="Verdana"/>
          <w:color w:val="000000" w:themeColor="text1"/>
          <w:sz w:val="22"/>
          <w:szCs w:val="22"/>
          <w:lang w:val="en-GB"/>
        </w:rPr>
        <w:t>i</w:t>
      </w:r>
      <w:r w:rsidR="00940646" w:rsidRPr="00B11D8A">
        <w:rPr>
          <w:rFonts w:ascii="Verdana" w:hAnsi="Verdana"/>
          <w:color w:val="000000" w:themeColor="text1"/>
          <w:sz w:val="22"/>
          <w:szCs w:val="22"/>
          <w:lang w:val="en-GB"/>
        </w:rPr>
        <w:t>lhar’s case that her medical conditions are such that she should not be evicted.  I understand her case to be that she simply requires a reasonable period within which to vacate the property.</w:t>
      </w:r>
      <w:r w:rsidR="00940646" w:rsidRPr="00B11D8A">
        <w:rPr>
          <w:rStyle w:val="FootnoteReference"/>
          <w:rFonts w:ascii="Verdana" w:hAnsi="Verdana"/>
          <w:color w:val="000000" w:themeColor="text1"/>
          <w:sz w:val="22"/>
          <w:szCs w:val="22"/>
          <w:lang w:val="en-GB"/>
        </w:rPr>
        <w:footnoteReference w:id="33"/>
      </w:r>
      <w:r w:rsidR="00940646" w:rsidRPr="00B11D8A">
        <w:rPr>
          <w:rFonts w:ascii="Verdana" w:hAnsi="Verdana"/>
          <w:color w:val="000000" w:themeColor="text1"/>
          <w:sz w:val="22"/>
          <w:szCs w:val="22"/>
          <w:lang w:val="en-GB"/>
        </w:rPr>
        <w:t xml:space="preserve"> </w:t>
      </w:r>
    </w:p>
    <w:p w14:paraId="6B7C9924" w14:textId="67AEA944" w:rsidR="00940646" w:rsidRPr="00B11D8A" w:rsidRDefault="00940646"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the premises, having considered the factors advanced by both parties, I </w:t>
      </w:r>
      <w:r w:rsidRPr="00B11D8A">
        <w:rPr>
          <w:rFonts w:ascii="Verdana" w:hAnsi="Verdana"/>
          <w:color w:val="000000" w:themeColor="text1"/>
          <w:sz w:val="22"/>
          <w:szCs w:val="22"/>
          <w:lang w:val="en-GB"/>
        </w:rPr>
        <w:lastRenderedPageBreak/>
        <w:t xml:space="preserve">find that a period of 30 calendar days afforded to Ms Gilhar to vacate the property, would be just and equitable.  </w:t>
      </w:r>
    </w:p>
    <w:p w14:paraId="513729E8" w14:textId="77777777" w:rsidR="00955AE9" w:rsidRPr="00B11D8A" w:rsidRDefault="00955AE9" w:rsidP="00955AE9">
      <w:pPr>
        <w:pStyle w:val="Indent"/>
        <w:widowControl w:val="0"/>
        <w:numPr>
          <w:ilvl w:val="0"/>
          <w:numId w:val="0"/>
        </w:numPr>
        <w:spacing w:after="360" w:line="480" w:lineRule="auto"/>
        <w:jc w:val="both"/>
        <w:rPr>
          <w:rFonts w:ascii="Verdana" w:hAnsi="Verdana"/>
          <w:b/>
          <w:bCs/>
          <w:color w:val="000000" w:themeColor="text1"/>
          <w:sz w:val="22"/>
          <w:szCs w:val="22"/>
          <w:lang w:val="en-GB"/>
        </w:rPr>
      </w:pPr>
      <w:r w:rsidRPr="00B11D8A">
        <w:rPr>
          <w:rFonts w:ascii="Verdana" w:hAnsi="Verdana"/>
          <w:b/>
          <w:bCs/>
          <w:color w:val="000000" w:themeColor="text1"/>
          <w:sz w:val="22"/>
          <w:szCs w:val="22"/>
          <w:lang w:val="en-GB"/>
        </w:rPr>
        <w:t>THE DISASTER MANAGEMENT ACT, 2002</w:t>
      </w:r>
    </w:p>
    <w:p w14:paraId="4C4F8F1C" w14:textId="10AA6D5B" w:rsidR="00955AE9" w:rsidRPr="00B11D8A" w:rsidRDefault="00955AE9" w:rsidP="00846EA4">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rPr>
        <w:t>Ordinarily, and having considered all the relevant factors,</w:t>
      </w:r>
      <w:r w:rsidR="00DC2B88" w:rsidRPr="00B11D8A">
        <w:rPr>
          <w:rFonts w:ascii="Verdana" w:hAnsi="Verdana"/>
          <w:color w:val="000000" w:themeColor="text1"/>
          <w:sz w:val="22"/>
          <w:szCs w:val="22"/>
        </w:rPr>
        <w:t xml:space="preserve"> the determination of a </w:t>
      </w:r>
      <w:r w:rsidRPr="00B11D8A">
        <w:rPr>
          <w:rFonts w:ascii="Verdana" w:hAnsi="Verdana"/>
          <w:color w:val="000000" w:themeColor="text1"/>
          <w:sz w:val="22"/>
          <w:szCs w:val="22"/>
        </w:rPr>
        <w:t xml:space="preserve">just and equitable date upon which </w:t>
      </w:r>
      <w:r w:rsidR="00DC2B88" w:rsidRPr="00B11D8A">
        <w:rPr>
          <w:rFonts w:ascii="Verdana" w:hAnsi="Verdana"/>
          <w:color w:val="000000" w:themeColor="text1"/>
          <w:sz w:val="22"/>
          <w:szCs w:val="22"/>
        </w:rPr>
        <w:t xml:space="preserve">upon which Ms Gilhar is </w:t>
      </w:r>
      <w:r w:rsidRPr="00B11D8A">
        <w:rPr>
          <w:rFonts w:ascii="Verdana" w:hAnsi="Verdana"/>
          <w:color w:val="000000" w:themeColor="text1"/>
          <w:sz w:val="22"/>
          <w:szCs w:val="22"/>
        </w:rPr>
        <w:t>to vacate the property</w:t>
      </w:r>
      <w:r w:rsidR="00DC2B88" w:rsidRPr="00B11D8A">
        <w:rPr>
          <w:rFonts w:ascii="Verdana" w:hAnsi="Verdana"/>
          <w:color w:val="000000" w:themeColor="text1"/>
          <w:sz w:val="22"/>
          <w:szCs w:val="22"/>
        </w:rPr>
        <w:t xml:space="preserve">, would be the end of the </w:t>
      </w:r>
      <w:r w:rsidR="00022F2B" w:rsidRPr="00B11D8A">
        <w:rPr>
          <w:rFonts w:ascii="Verdana" w:hAnsi="Verdana"/>
          <w:color w:val="000000" w:themeColor="text1"/>
          <w:sz w:val="22"/>
          <w:szCs w:val="22"/>
        </w:rPr>
        <w:t xml:space="preserve">matter.  </w:t>
      </w:r>
      <w:r w:rsidR="002C1545" w:rsidRPr="00B11D8A">
        <w:rPr>
          <w:rFonts w:ascii="Verdana" w:hAnsi="Verdana"/>
          <w:color w:val="000000" w:themeColor="text1"/>
          <w:sz w:val="22"/>
          <w:szCs w:val="22"/>
        </w:rPr>
        <w:t>Now</w:t>
      </w:r>
      <w:r w:rsidR="006C37DC" w:rsidRPr="00B11D8A">
        <w:rPr>
          <w:rFonts w:ascii="Verdana" w:hAnsi="Verdana"/>
          <w:color w:val="000000" w:themeColor="text1"/>
          <w:sz w:val="22"/>
          <w:szCs w:val="22"/>
        </w:rPr>
        <w:t xml:space="preserve">adays, </w:t>
      </w:r>
      <w:r w:rsidR="006C37DC" w:rsidRPr="00B11D8A">
        <w:rPr>
          <w:rFonts w:ascii="Verdana" w:hAnsi="Verdana"/>
          <w:color w:val="000000" w:themeColor="text1"/>
          <w:sz w:val="21"/>
          <w:szCs w:val="21"/>
        </w:rPr>
        <w:t>t</w:t>
      </w:r>
      <w:r w:rsidR="002C1545" w:rsidRPr="00B11D8A">
        <w:rPr>
          <w:rFonts w:ascii="Verdana" w:hAnsi="Verdana"/>
          <w:color w:val="000000" w:themeColor="text1"/>
          <w:sz w:val="21"/>
          <w:szCs w:val="21"/>
        </w:rPr>
        <w:t xml:space="preserve">he position </w:t>
      </w:r>
      <w:r w:rsidR="006C37DC" w:rsidRPr="00B11D8A">
        <w:rPr>
          <w:rFonts w:ascii="Verdana" w:hAnsi="Verdana"/>
          <w:color w:val="000000" w:themeColor="text1"/>
          <w:sz w:val="21"/>
          <w:szCs w:val="21"/>
        </w:rPr>
        <w:t>has been</w:t>
      </w:r>
      <w:r w:rsidR="002C1545" w:rsidRPr="00B11D8A">
        <w:rPr>
          <w:rFonts w:ascii="Verdana" w:hAnsi="Verdana"/>
          <w:color w:val="000000" w:themeColor="text1"/>
          <w:sz w:val="21"/>
          <w:szCs w:val="21"/>
        </w:rPr>
        <w:t xml:space="preserve"> complicated by the onset of the worldwide COVID-19 pandemic. Various restrictions have been imposed upon residential evictions in terms of the Regulations</w:t>
      </w:r>
      <w:r w:rsidR="006C37DC" w:rsidRPr="00B11D8A">
        <w:rPr>
          <w:rFonts w:ascii="Verdana" w:hAnsi="Verdana"/>
          <w:color w:val="000000" w:themeColor="text1"/>
          <w:sz w:val="21"/>
          <w:szCs w:val="21"/>
        </w:rPr>
        <w:t xml:space="preserve"> issued under the Disaster Management Act, 2002.</w:t>
      </w:r>
    </w:p>
    <w:p w14:paraId="147CE3D6" w14:textId="3FAF5814" w:rsidR="00826D37" w:rsidRPr="00B11D8A" w:rsidRDefault="00955AE9" w:rsidP="00826D37">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Since the hearing of this application</w:t>
      </w:r>
      <w:r w:rsidR="00636DD3" w:rsidRPr="00B11D8A">
        <w:rPr>
          <w:rFonts w:ascii="Verdana" w:hAnsi="Verdana"/>
          <w:color w:val="000000" w:themeColor="text1"/>
          <w:sz w:val="22"/>
          <w:szCs w:val="22"/>
          <w:lang w:val="en-GB"/>
        </w:rPr>
        <w:t xml:space="preserve">, </w:t>
      </w:r>
      <w:r w:rsidR="002E25D0" w:rsidRPr="00B11D8A">
        <w:rPr>
          <w:rFonts w:ascii="Verdana" w:hAnsi="Verdana"/>
          <w:color w:val="000000" w:themeColor="text1"/>
          <w:sz w:val="22"/>
          <w:szCs w:val="22"/>
          <w:lang w:val="en-GB"/>
        </w:rPr>
        <w:t xml:space="preserve">and due to a surge in infections, the country </w:t>
      </w:r>
      <w:r w:rsidR="00633D4E" w:rsidRPr="00B11D8A">
        <w:rPr>
          <w:rFonts w:ascii="Verdana" w:hAnsi="Verdana"/>
          <w:color w:val="000000" w:themeColor="text1"/>
          <w:sz w:val="22"/>
          <w:szCs w:val="22"/>
          <w:lang w:val="en-GB"/>
        </w:rPr>
        <w:t xml:space="preserve">was moved to </w:t>
      </w:r>
      <w:r w:rsidR="00114FC2" w:rsidRPr="00B11D8A">
        <w:rPr>
          <w:rFonts w:ascii="Verdana" w:hAnsi="Verdana"/>
          <w:color w:val="000000" w:themeColor="text1"/>
          <w:sz w:val="22"/>
          <w:szCs w:val="22"/>
          <w:lang w:val="en-GB"/>
        </w:rPr>
        <w:t>a</w:t>
      </w:r>
      <w:r w:rsidR="00DB696A" w:rsidRPr="00B11D8A">
        <w:rPr>
          <w:rFonts w:ascii="Verdana" w:hAnsi="Verdana"/>
          <w:color w:val="000000" w:themeColor="text1"/>
          <w:sz w:val="22"/>
          <w:szCs w:val="22"/>
          <w:lang w:val="en-GB"/>
        </w:rPr>
        <w:t>djusted</w:t>
      </w:r>
      <w:r w:rsidR="003401BD" w:rsidRPr="00B11D8A">
        <w:rPr>
          <w:rFonts w:ascii="Verdana" w:hAnsi="Verdana"/>
          <w:color w:val="000000" w:themeColor="text1"/>
          <w:sz w:val="22"/>
          <w:szCs w:val="22"/>
          <w:lang w:val="en-GB"/>
        </w:rPr>
        <w:t xml:space="preserve"> </w:t>
      </w:r>
      <w:r w:rsidR="00AA2F50" w:rsidRPr="00B11D8A">
        <w:rPr>
          <w:rFonts w:ascii="Verdana" w:hAnsi="Verdana"/>
          <w:color w:val="000000" w:themeColor="text1"/>
          <w:sz w:val="22"/>
          <w:szCs w:val="22"/>
          <w:lang w:val="en-GB"/>
        </w:rPr>
        <w:t>alert</w:t>
      </w:r>
      <w:r w:rsidR="003401BD" w:rsidRPr="00B11D8A">
        <w:rPr>
          <w:rFonts w:ascii="Verdana" w:hAnsi="Verdana"/>
          <w:color w:val="000000" w:themeColor="text1"/>
          <w:sz w:val="22"/>
          <w:szCs w:val="22"/>
          <w:lang w:val="en-GB"/>
        </w:rPr>
        <w:t xml:space="preserve"> level </w:t>
      </w:r>
      <w:r w:rsidR="00A4617C" w:rsidRPr="00B11D8A">
        <w:rPr>
          <w:rFonts w:ascii="Verdana" w:hAnsi="Verdana"/>
          <w:color w:val="000000" w:themeColor="text1"/>
          <w:sz w:val="22"/>
          <w:szCs w:val="22"/>
          <w:lang w:val="en-GB"/>
        </w:rPr>
        <w:t>4</w:t>
      </w:r>
      <w:r w:rsidR="00114FC2" w:rsidRPr="00B11D8A">
        <w:rPr>
          <w:rFonts w:ascii="Verdana" w:hAnsi="Verdana"/>
          <w:color w:val="000000" w:themeColor="text1"/>
          <w:sz w:val="22"/>
          <w:szCs w:val="22"/>
          <w:lang w:val="en-GB"/>
        </w:rPr>
        <w:t xml:space="preserve"> on </w:t>
      </w:r>
      <w:r w:rsidR="00F27743">
        <w:rPr>
          <w:rFonts w:ascii="Verdana" w:hAnsi="Verdana"/>
          <w:color w:val="000000" w:themeColor="text1"/>
          <w:sz w:val="22"/>
          <w:szCs w:val="22"/>
          <w:lang w:val="en-GB"/>
        </w:rPr>
        <w:t>25</w:t>
      </w:r>
      <w:r w:rsidR="00E31642" w:rsidRPr="00B11D8A">
        <w:rPr>
          <w:rFonts w:ascii="Verdana" w:hAnsi="Verdana"/>
          <w:color w:val="000000" w:themeColor="text1"/>
          <w:sz w:val="22"/>
          <w:szCs w:val="22"/>
          <w:lang w:val="en-GB"/>
        </w:rPr>
        <w:t xml:space="preserve"> June 2021</w:t>
      </w:r>
      <w:r w:rsidR="00A4617C" w:rsidRPr="00B11D8A">
        <w:rPr>
          <w:rFonts w:ascii="Verdana" w:hAnsi="Verdana"/>
          <w:color w:val="000000" w:themeColor="text1"/>
          <w:sz w:val="22"/>
          <w:szCs w:val="22"/>
          <w:lang w:val="en-GB"/>
        </w:rPr>
        <w:t xml:space="preserve"> and thereafter to ad</w:t>
      </w:r>
      <w:r w:rsidR="00DB0EAB" w:rsidRPr="00B11D8A">
        <w:rPr>
          <w:rFonts w:ascii="Verdana" w:hAnsi="Verdana"/>
          <w:color w:val="000000" w:themeColor="text1"/>
          <w:sz w:val="22"/>
          <w:szCs w:val="22"/>
          <w:lang w:val="en-GB"/>
        </w:rPr>
        <w:t>justed alert level 3 on 25 July 2021.</w:t>
      </w:r>
    </w:p>
    <w:p w14:paraId="072D14AF" w14:textId="24240B74" w:rsidR="00826D37" w:rsidRPr="00B11D8A" w:rsidRDefault="00826D37" w:rsidP="00F77B25">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w:t>
      </w:r>
      <w:r w:rsidRPr="00B11D8A">
        <w:rPr>
          <w:rFonts w:ascii="Verdana" w:hAnsi="Verdana"/>
          <w:color w:val="000000" w:themeColor="text1"/>
          <w:sz w:val="22"/>
          <w:szCs w:val="22"/>
          <w:u w:val="single"/>
        </w:rPr>
        <w:t>Rathabeng Properties (Pty) Limited v Mohlaol</w:t>
      </w:r>
      <w:r w:rsidRPr="00B11D8A">
        <w:rPr>
          <w:rFonts w:ascii="Verdana" w:hAnsi="Verdana"/>
          <w:color w:val="000000" w:themeColor="text1"/>
          <w:sz w:val="22"/>
          <w:szCs w:val="22"/>
        </w:rPr>
        <w:t>i</w:t>
      </w:r>
      <w:r w:rsidRPr="00B11D8A">
        <w:rPr>
          <w:rStyle w:val="FootnoteReference"/>
          <w:rFonts w:ascii="Verdana" w:hAnsi="Verdana"/>
          <w:color w:val="000000" w:themeColor="text1"/>
          <w:sz w:val="22"/>
          <w:szCs w:val="22"/>
        </w:rPr>
        <w:footnoteReference w:id="34"/>
      </w:r>
      <w:r w:rsidRPr="00B11D8A">
        <w:rPr>
          <w:rFonts w:ascii="Verdana" w:hAnsi="Verdana"/>
          <w:color w:val="000000" w:themeColor="text1"/>
          <w:sz w:val="22"/>
          <w:szCs w:val="22"/>
        </w:rPr>
        <w:t xml:space="preserve"> </w:t>
      </w:r>
      <w:r w:rsidR="00913213" w:rsidRPr="00B11D8A">
        <w:rPr>
          <w:rFonts w:ascii="Verdana" w:hAnsi="Verdana"/>
          <w:color w:val="000000" w:themeColor="text1"/>
          <w:sz w:val="22"/>
          <w:szCs w:val="22"/>
        </w:rPr>
        <w:t>this Court had occasion to consider the impact of the lockdown regulations on evictions.</w:t>
      </w:r>
      <w:r w:rsidR="004C17C6" w:rsidRPr="00B11D8A">
        <w:rPr>
          <w:rFonts w:ascii="Verdana" w:hAnsi="Verdana"/>
          <w:color w:val="000000" w:themeColor="text1"/>
          <w:sz w:val="22"/>
          <w:szCs w:val="22"/>
        </w:rPr>
        <w:t xml:space="preserve"> I agree with the Court’s reasoning and therefore consider </w:t>
      </w:r>
      <w:r w:rsidR="00BE4094" w:rsidRPr="00B11D8A">
        <w:rPr>
          <w:rFonts w:ascii="Verdana" w:hAnsi="Verdana"/>
          <w:color w:val="000000" w:themeColor="text1"/>
          <w:sz w:val="22"/>
          <w:szCs w:val="22"/>
        </w:rPr>
        <w:t>this judgment as binding on me.</w:t>
      </w:r>
    </w:p>
    <w:p w14:paraId="0D38ACEC" w14:textId="4170086D" w:rsidR="00DB0EAB" w:rsidRPr="00B11D8A" w:rsidRDefault="0038123F" w:rsidP="00636DD3">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1"/>
          <w:szCs w:val="21"/>
          <w:lang w:eastAsia="en-ZA"/>
        </w:rPr>
        <w:t xml:space="preserve">Under the present Regulations for </w:t>
      </w:r>
      <w:r w:rsidR="001E03D4" w:rsidRPr="00B11D8A">
        <w:rPr>
          <w:rFonts w:ascii="Verdana" w:hAnsi="Verdana"/>
          <w:color w:val="000000" w:themeColor="text1"/>
          <w:sz w:val="21"/>
          <w:szCs w:val="21"/>
          <w:lang w:eastAsia="en-ZA"/>
        </w:rPr>
        <w:t>a</w:t>
      </w:r>
      <w:r w:rsidRPr="00B11D8A">
        <w:rPr>
          <w:rFonts w:ascii="Verdana" w:hAnsi="Verdana"/>
          <w:color w:val="000000" w:themeColor="text1"/>
          <w:sz w:val="21"/>
          <w:szCs w:val="21"/>
          <w:lang w:eastAsia="en-ZA"/>
        </w:rPr>
        <w:t xml:space="preserve">djusted </w:t>
      </w:r>
      <w:r w:rsidR="001E03D4" w:rsidRPr="00B11D8A">
        <w:rPr>
          <w:rFonts w:ascii="Verdana" w:hAnsi="Verdana"/>
          <w:color w:val="000000" w:themeColor="text1"/>
          <w:sz w:val="21"/>
          <w:szCs w:val="21"/>
          <w:lang w:eastAsia="en-ZA"/>
        </w:rPr>
        <w:t>l</w:t>
      </w:r>
      <w:r w:rsidRPr="00B11D8A">
        <w:rPr>
          <w:rFonts w:ascii="Verdana" w:hAnsi="Verdana"/>
          <w:color w:val="000000" w:themeColor="text1"/>
          <w:sz w:val="21"/>
          <w:szCs w:val="21"/>
          <w:lang w:eastAsia="en-ZA"/>
        </w:rPr>
        <w:t>evel 3 a curfew is in place which requires persons to return to their residence by a specific time, otherwise risk being arrested.</w:t>
      </w:r>
      <w:r w:rsidR="00656826" w:rsidRPr="00B11D8A">
        <w:rPr>
          <w:rStyle w:val="FootnoteReference"/>
          <w:rFonts w:ascii="Verdana" w:hAnsi="Verdana"/>
          <w:color w:val="000000" w:themeColor="text1"/>
          <w:sz w:val="21"/>
          <w:szCs w:val="21"/>
          <w:lang w:eastAsia="en-ZA"/>
        </w:rPr>
        <w:footnoteReference w:id="35"/>
      </w:r>
      <w:r w:rsidRPr="00B11D8A">
        <w:rPr>
          <w:rFonts w:ascii="Verdana" w:hAnsi="Verdana"/>
          <w:color w:val="000000" w:themeColor="text1"/>
          <w:sz w:val="21"/>
          <w:szCs w:val="21"/>
          <w:lang w:eastAsia="en-ZA"/>
        </w:rPr>
        <w:t> </w:t>
      </w:r>
      <w:r w:rsidR="001E03D4" w:rsidRPr="00B11D8A">
        <w:rPr>
          <w:rFonts w:ascii="Verdana" w:hAnsi="Verdana"/>
          <w:color w:val="000000" w:themeColor="text1"/>
          <w:sz w:val="22"/>
          <w:szCs w:val="22"/>
          <w:lang w:val="en-GB"/>
        </w:rPr>
        <w:t xml:space="preserve"> </w:t>
      </w:r>
    </w:p>
    <w:p w14:paraId="513D9E9A" w14:textId="4C7BF89B" w:rsidR="004116B1" w:rsidRPr="00B11D8A" w:rsidRDefault="004116B1" w:rsidP="004116B1">
      <w:pPr>
        <w:pStyle w:val="Indent"/>
        <w:spacing w:line="480" w:lineRule="auto"/>
        <w:ind w:left="709" w:hanging="709"/>
        <w:jc w:val="both"/>
        <w:rPr>
          <w:rFonts w:ascii="Verdana" w:hAnsi="Verdana"/>
          <w:color w:val="000000" w:themeColor="text1"/>
          <w:sz w:val="22"/>
          <w:szCs w:val="22"/>
          <w:lang w:eastAsia="en-ZA"/>
        </w:rPr>
      </w:pPr>
      <w:r w:rsidRPr="00B11D8A">
        <w:rPr>
          <w:rFonts w:ascii="Verdana" w:hAnsi="Verdana"/>
          <w:color w:val="000000" w:themeColor="text1"/>
          <w:sz w:val="22"/>
          <w:szCs w:val="22"/>
          <w:lang w:eastAsia="en-ZA"/>
        </w:rPr>
        <w:lastRenderedPageBreak/>
        <w:t>Some assistance can be gleaned from a comparison of the Regulations in relation to each alert level provided for in the Regulations that were published on 29 April 2020</w:t>
      </w:r>
      <w:r w:rsidR="00042462" w:rsidRPr="00B11D8A">
        <w:rPr>
          <w:rStyle w:val="FootnoteReference"/>
          <w:rFonts w:ascii="Verdana" w:hAnsi="Verdana"/>
          <w:color w:val="000000" w:themeColor="text1"/>
          <w:sz w:val="22"/>
          <w:szCs w:val="22"/>
          <w:lang w:eastAsia="en-ZA"/>
        </w:rPr>
        <w:footnoteReference w:id="36"/>
      </w:r>
      <w:r w:rsidRPr="00B11D8A">
        <w:rPr>
          <w:rFonts w:ascii="Verdana" w:hAnsi="Verdana"/>
          <w:color w:val="000000" w:themeColor="text1"/>
          <w:sz w:val="22"/>
          <w:szCs w:val="22"/>
          <w:lang w:eastAsia="en-ZA"/>
        </w:rPr>
        <w:t xml:space="preserve"> and which have been amended from time to time, the most recent amendment in relation to the hearing date being on </w:t>
      </w:r>
      <w:r w:rsidR="0055699F" w:rsidRPr="00B11D8A">
        <w:rPr>
          <w:rFonts w:ascii="Verdana" w:hAnsi="Verdana"/>
          <w:color w:val="000000" w:themeColor="text1"/>
          <w:sz w:val="22"/>
          <w:szCs w:val="22"/>
          <w:lang w:eastAsia="en-ZA"/>
        </w:rPr>
        <w:t>2</w:t>
      </w:r>
      <w:r w:rsidR="00BB5BB5" w:rsidRPr="00B11D8A">
        <w:rPr>
          <w:rFonts w:ascii="Verdana" w:hAnsi="Verdana"/>
          <w:color w:val="000000" w:themeColor="text1"/>
          <w:sz w:val="22"/>
          <w:szCs w:val="22"/>
          <w:lang w:eastAsia="en-ZA"/>
        </w:rPr>
        <w:t>5</w:t>
      </w:r>
      <w:r w:rsidR="0055699F" w:rsidRPr="00B11D8A">
        <w:rPr>
          <w:rFonts w:ascii="Verdana" w:hAnsi="Verdana"/>
          <w:color w:val="000000" w:themeColor="text1"/>
          <w:sz w:val="22"/>
          <w:szCs w:val="22"/>
          <w:lang w:eastAsia="en-ZA"/>
        </w:rPr>
        <w:t xml:space="preserve"> </w:t>
      </w:r>
      <w:r w:rsidR="0068767F" w:rsidRPr="00B11D8A">
        <w:rPr>
          <w:rFonts w:ascii="Verdana" w:hAnsi="Verdana"/>
          <w:color w:val="000000" w:themeColor="text1"/>
          <w:sz w:val="22"/>
          <w:szCs w:val="22"/>
          <w:lang w:eastAsia="en-ZA"/>
        </w:rPr>
        <w:t xml:space="preserve">July 2021 </w:t>
      </w:r>
      <w:r w:rsidRPr="00B11D8A">
        <w:rPr>
          <w:rFonts w:ascii="Verdana" w:hAnsi="Verdana"/>
          <w:color w:val="000000" w:themeColor="text1"/>
          <w:sz w:val="22"/>
          <w:szCs w:val="22"/>
          <w:lang w:eastAsia="en-ZA"/>
        </w:rPr>
        <w:t>which substituted Chapter 4 to provide for an "</w:t>
      </w:r>
      <w:r w:rsidRPr="00B11D8A">
        <w:rPr>
          <w:rFonts w:ascii="Verdana" w:hAnsi="Verdana"/>
          <w:i/>
          <w:iCs/>
          <w:color w:val="000000" w:themeColor="text1"/>
          <w:sz w:val="22"/>
          <w:szCs w:val="22"/>
          <w:lang w:eastAsia="en-ZA"/>
        </w:rPr>
        <w:t>Adjusted Alert Level 3</w:t>
      </w:r>
      <w:r w:rsidRPr="00B11D8A">
        <w:rPr>
          <w:rFonts w:ascii="Verdana" w:hAnsi="Verdana"/>
          <w:color w:val="000000" w:themeColor="text1"/>
          <w:sz w:val="22"/>
          <w:szCs w:val="22"/>
          <w:lang w:eastAsia="en-ZA"/>
        </w:rPr>
        <w:t>"</w:t>
      </w:r>
      <w:r w:rsidR="0068767F" w:rsidRPr="00B11D8A">
        <w:rPr>
          <w:rFonts w:ascii="Verdana" w:hAnsi="Verdana"/>
          <w:color w:val="000000" w:themeColor="text1"/>
          <w:sz w:val="22"/>
          <w:szCs w:val="22"/>
          <w:lang w:eastAsia="en-ZA"/>
        </w:rPr>
        <w:t>.</w:t>
      </w:r>
    </w:p>
    <w:p w14:paraId="1B23F552" w14:textId="77777777" w:rsidR="0068767F" w:rsidRPr="00B11D8A" w:rsidRDefault="0068767F" w:rsidP="0068767F">
      <w:pPr>
        <w:pStyle w:val="Indent"/>
        <w:numPr>
          <w:ilvl w:val="0"/>
          <w:numId w:val="0"/>
        </w:numPr>
        <w:spacing w:line="480" w:lineRule="auto"/>
        <w:ind w:left="709"/>
        <w:jc w:val="both"/>
        <w:rPr>
          <w:rFonts w:ascii="Verdana" w:hAnsi="Verdana"/>
          <w:color w:val="000000" w:themeColor="text1"/>
          <w:sz w:val="22"/>
          <w:szCs w:val="22"/>
          <w:lang w:eastAsia="en-ZA"/>
        </w:rPr>
      </w:pPr>
    </w:p>
    <w:p w14:paraId="43FA5C7A" w14:textId="11D9EA05" w:rsidR="004116B1" w:rsidRPr="00B11D8A" w:rsidRDefault="004116B1" w:rsidP="003B3C1A">
      <w:pPr>
        <w:pStyle w:val="Indent"/>
        <w:spacing w:line="480" w:lineRule="auto"/>
        <w:ind w:left="709" w:hanging="709"/>
        <w:jc w:val="both"/>
        <w:rPr>
          <w:rFonts w:ascii="Verdana" w:hAnsi="Verdana"/>
          <w:color w:val="000000" w:themeColor="text1"/>
          <w:sz w:val="22"/>
          <w:szCs w:val="22"/>
          <w:lang w:eastAsia="en-ZA"/>
        </w:rPr>
      </w:pPr>
      <w:r w:rsidRPr="00B11D8A">
        <w:rPr>
          <w:rFonts w:ascii="Verdana" w:hAnsi="Verdana"/>
          <w:color w:val="000000" w:themeColor="text1"/>
          <w:sz w:val="22"/>
          <w:szCs w:val="22"/>
          <w:lang w:eastAsia="en-ZA"/>
        </w:rPr>
        <w:t xml:space="preserve">Chapter 3 of the Regulations provides for </w:t>
      </w:r>
      <w:r w:rsidR="00DE1DF4" w:rsidRPr="00B11D8A">
        <w:rPr>
          <w:rFonts w:ascii="Verdana" w:hAnsi="Verdana"/>
          <w:color w:val="000000" w:themeColor="text1"/>
          <w:sz w:val="22"/>
          <w:szCs w:val="22"/>
          <w:lang w:eastAsia="en-ZA"/>
        </w:rPr>
        <w:t>a</w:t>
      </w:r>
      <w:r w:rsidRPr="00B11D8A">
        <w:rPr>
          <w:rFonts w:ascii="Verdana" w:hAnsi="Verdana"/>
          <w:color w:val="000000" w:themeColor="text1"/>
          <w:sz w:val="22"/>
          <w:szCs w:val="22"/>
          <w:lang w:eastAsia="en-ZA"/>
        </w:rPr>
        <w:t xml:space="preserve">lert </w:t>
      </w:r>
      <w:r w:rsidR="00DE1DF4" w:rsidRPr="00B11D8A">
        <w:rPr>
          <w:rFonts w:ascii="Verdana" w:hAnsi="Verdana"/>
          <w:color w:val="000000" w:themeColor="text1"/>
          <w:sz w:val="22"/>
          <w:szCs w:val="22"/>
          <w:lang w:eastAsia="en-ZA"/>
        </w:rPr>
        <w:t>l</w:t>
      </w:r>
      <w:r w:rsidRPr="00B11D8A">
        <w:rPr>
          <w:rFonts w:ascii="Verdana" w:hAnsi="Verdana"/>
          <w:color w:val="000000" w:themeColor="text1"/>
          <w:sz w:val="22"/>
          <w:szCs w:val="22"/>
          <w:lang w:eastAsia="en-ZA"/>
        </w:rPr>
        <w:t>evel 4 and in regulation 19 provides for a </w:t>
      </w:r>
      <w:r w:rsidRPr="00B11D8A">
        <w:rPr>
          <w:rFonts w:ascii="Verdana" w:hAnsi="Verdana"/>
          <w:i/>
          <w:iCs/>
          <w:color w:val="000000" w:themeColor="text1"/>
          <w:sz w:val="22"/>
          <w:szCs w:val="22"/>
          <w:lang w:eastAsia="en-ZA"/>
        </w:rPr>
        <w:t>'prohibition on evictions'</w:t>
      </w:r>
      <w:r w:rsidRPr="00B11D8A">
        <w:rPr>
          <w:rFonts w:ascii="Verdana" w:hAnsi="Verdana"/>
          <w:color w:val="000000" w:themeColor="text1"/>
          <w:sz w:val="22"/>
          <w:szCs w:val="22"/>
          <w:lang w:eastAsia="en-ZA"/>
        </w:rPr>
        <w:t> as follows:</w:t>
      </w:r>
    </w:p>
    <w:p w14:paraId="2A402D14" w14:textId="77777777" w:rsidR="00F50662" w:rsidRPr="00B11D8A" w:rsidRDefault="00F50662" w:rsidP="003B3C1A">
      <w:pPr>
        <w:pStyle w:val="Indent"/>
        <w:numPr>
          <w:ilvl w:val="0"/>
          <w:numId w:val="0"/>
        </w:numPr>
        <w:spacing w:line="480" w:lineRule="auto"/>
        <w:ind w:left="709"/>
        <w:jc w:val="both"/>
        <w:rPr>
          <w:rFonts w:ascii="Verdana" w:hAnsi="Verdana"/>
          <w:i/>
          <w:iCs/>
          <w:color w:val="000000" w:themeColor="text1"/>
          <w:sz w:val="22"/>
          <w:szCs w:val="22"/>
          <w:lang w:eastAsia="en-ZA"/>
        </w:rPr>
      </w:pPr>
    </w:p>
    <w:p w14:paraId="6D1AB601" w14:textId="77E1BDED" w:rsidR="004116B1" w:rsidRPr="00B11D8A" w:rsidRDefault="004116B1" w:rsidP="003B3C1A">
      <w:pPr>
        <w:pStyle w:val="Indent"/>
        <w:numPr>
          <w:ilvl w:val="0"/>
          <w:numId w:val="0"/>
        </w:numPr>
        <w:spacing w:line="480" w:lineRule="auto"/>
        <w:ind w:left="709"/>
        <w:jc w:val="both"/>
        <w:rPr>
          <w:rFonts w:ascii="Verdana" w:hAnsi="Verdana"/>
          <w:color w:val="000000" w:themeColor="text1"/>
          <w:sz w:val="22"/>
          <w:szCs w:val="22"/>
          <w:lang w:eastAsia="en-ZA"/>
        </w:rPr>
      </w:pPr>
      <w:r w:rsidRPr="00B11D8A">
        <w:rPr>
          <w:rFonts w:ascii="Verdana" w:hAnsi="Verdana"/>
          <w:i/>
          <w:iCs/>
          <w:color w:val="000000" w:themeColor="text1"/>
          <w:sz w:val="22"/>
          <w:szCs w:val="22"/>
          <w:lang w:eastAsia="en-ZA"/>
        </w:rPr>
        <w:t>"A competent court may grant an order for the eviction of any person from land or a home in terms of the provisions of the Extension of Security of Tenure Act, 62 of 1997 and the Prevention of Illegal Eviction from and Unlawful Occupation of Land Act, 19 of 1998: Provided that any order of eviction </w:t>
      </w:r>
      <w:r w:rsidRPr="00B11D8A">
        <w:rPr>
          <w:rFonts w:ascii="Verdana" w:hAnsi="Verdana"/>
          <w:i/>
          <w:iCs/>
          <w:color w:val="000000" w:themeColor="text1"/>
          <w:sz w:val="22"/>
          <w:szCs w:val="22"/>
          <w:u w:val="single"/>
          <w:lang w:eastAsia="en-ZA"/>
        </w:rPr>
        <w:t>shall</w:t>
      </w:r>
      <w:r w:rsidRPr="00B11D8A">
        <w:rPr>
          <w:rFonts w:ascii="Verdana" w:hAnsi="Verdana"/>
          <w:i/>
          <w:iCs/>
          <w:color w:val="000000" w:themeColor="text1"/>
          <w:sz w:val="22"/>
          <w:szCs w:val="22"/>
          <w:lang w:eastAsia="en-ZA"/>
        </w:rPr>
        <w:t> be stayed and suspended until the last day [sic] Alert Level 4, unless a court decides that it is not just and equitable to stay and suspend the order until the last day of the Alert Level 4 period.</w:t>
      </w:r>
      <w:r w:rsidRPr="00B11D8A">
        <w:rPr>
          <w:rFonts w:ascii="Verdana" w:hAnsi="Verdana"/>
          <w:color w:val="000000" w:themeColor="text1"/>
          <w:sz w:val="22"/>
          <w:szCs w:val="22"/>
          <w:lang w:eastAsia="en-ZA"/>
        </w:rPr>
        <w:t>" (my emphasis)</w:t>
      </w:r>
    </w:p>
    <w:p w14:paraId="516082D4" w14:textId="77777777" w:rsidR="003B3C1A" w:rsidRPr="00B11D8A" w:rsidRDefault="003B3C1A" w:rsidP="003B3C1A">
      <w:pPr>
        <w:pStyle w:val="Indent"/>
        <w:numPr>
          <w:ilvl w:val="0"/>
          <w:numId w:val="0"/>
        </w:numPr>
        <w:spacing w:line="480" w:lineRule="auto"/>
        <w:jc w:val="both"/>
        <w:rPr>
          <w:rFonts w:ascii="Verdana" w:hAnsi="Verdana"/>
          <w:color w:val="000000" w:themeColor="text1"/>
          <w:sz w:val="22"/>
          <w:szCs w:val="22"/>
          <w:lang w:eastAsia="en-ZA"/>
        </w:rPr>
      </w:pPr>
    </w:p>
    <w:p w14:paraId="34C53E1F" w14:textId="4BD1CD8E" w:rsidR="004116B1" w:rsidRPr="00B11D8A" w:rsidRDefault="004116B1" w:rsidP="003B3C1A">
      <w:pPr>
        <w:pStyle w:val="Indent"/>
        <w:spacing w:line="480" w:lineRule="auto"/>
        <w:ind w:left="709" w:hanging="709"/>
        <w:jc w:val="both"/>
        <w:rPr>
          <w:rFonts w:ascii="Verdana" w:hAnsi="Verdana"/>
          <w:color w:val="000000" w:themeColor="text1"/>
          <w:sz w:val="22"/>
          <w:szCs w:val="22"/>
          <w:lang w:eastAsia="en-ZA"/>
        </w:rPr>
      </w:pPr>
      <w:r w:rsidRPr="00B11D8A">
        <w:rPr>
          <w:rFonts w:ascii="Verdana" w:hAnsi="Verdana"/>
          <w:color w:val="000000" w:themeColor="text1"/>
          <w:sz w:val="22"/>
          <w:szCs w:val="22"/>
          <w:lang w:eastAsia="en-ZA"/>
        </w:rPr>
        <w:t>This prohibition</w:t>
      </w:r>
      <w:r w:rsidR="003B3C1A" w:rsidRPr="00B11D8A">
        <w:rPr>
          <w:rFonts w:ascii="Verdana" w:hAnsi="Verdana"/>
          <w:color w:val="000000" w:themeColor="text1"/>
          <w:sz w:val="22"/>
          <w:szCs w:val="22"/>
          <w:lang w:eastAsia="en-ZA"/>
        </w:rPr>
        <w:t xml:space="preserve">, as also found in </w:t>
      </w:r>
      <w:r w:rsidR="003B3C1A" w:rsidRPr="00B11D8A">
        <w:rPr>
          <w:rFonts w:ascii="Verdana" w:hAnsi="Verdana"/>
          <w:color w:val="000000" w:themeColor="text1"/>
          <w:sz w:val="22"/>
          <w:szCs w:val="22"/>
          <w:u w:val="single"/>
          <w:lang w:eastAsia="en-ZA"/>
        </w:rPr>
        <w:t>Rathabeng</w:t>
      </w:r>
      <w:r w:rsidR="003B3C1A" w:rsidRPr="00B11D8A">
        <w:rPr>
          <w:rFonts w:ascii="Verdana" w:hAnsi="Verdana"/>
          <w:color w:val="000000" w:themeColor="text1"/>
          <w:sz w:val="22"/>
          <w:szCs w:val="22"/>
          <w:lang w:eastAsia="en-ZA"/>
        </w:rPr>
        <w:t>,</w:t>
      </w:r>
      <w:r w:rsidRPr="00B11D8A">
        <w:rPr>
          <w:rFonts w:ascii="Verdana" w:hAnsi="Verdana"/>
          <w:color w:val="000000" w:themeColor="text1"/>
          <w:sz w:val="22"/>
          <w:szCs w:val="22"/>
          <w:lang w:eastAsia="en-ZA"/>
        </w:rPr>
        <w:t xml:space="preserve"> is clear enough in providing that such order of eviction as may be granted by a court shall be stayed and suspended until the end of Alert Level 4, unless the court decides that it is not just and equitable to so stay and suspend the order. The stay and suspension </w:t>
      </w:r>
      <w:r w:rsidR="00786A8B" w:rsidRPr="00B11D8A">
        <w:rPr>
          <w:rFonts w:ascii="Verdana" w:hAnsi="Verdana"/>
          <w:color w:val="000000" w:themeColor="text1"/>
          <w:sz w:val="22"/>
          <w:szCs w:val="22"/>
          <w:lang w:eastAsia="en-ZA"/>
        </w:rPr>
        <w:t>are</w:t>
      </w:r>
      <w:r w:rsidRPr="00B11D8A">
        <w:rPr>
          <w:rFonts w:ascii="Verdana" w:hAnsi="Verdana"/>
          <w:color w:val="000000" w:themeColor="text1"/>
          <w:sz w:val="22"/>
          <w:szCs w:val="22"/>
          <w:lang w:eastAsia="en-ZA"/>
        </w:rPr>
        <w:t xml:space="preserve"> linked to the end of Alert Level 4.</w:t>
      </w:r>
      <w:r w:rsidR="00B964CB" w:rsidRPr="00B11D8A">
        <w:rPr>
          <w:rStyle w:val="FootnoteReference"/>
          <w:rFonts w:ascii="Verdana" w:hAnsi="Verdana"/>
          <w:color w:val="000000" w:themeColor="text1"/>
          <w:sz w:val="22"/>
          <w:szCs w:val="22"/>
          <w:lang w:eastAsia="en-ZA"/>
        </w:rPr>
        <w:footnoteReference w:id="37"/>
      </w:r>
      <w:r w:rsidR="00B964CB" w:rsidRPr="00B11D8A">
        <w:rPr>
          <w:rFonts w:ascii="Verdana" w:hAnsi="Verdana"/>
          <w:color w:val="000000" w:themeColor="text1"/>
          <w:sz w:val="22"/>
          <w:szCs w:val="22"/>
          <w:lang w:eastAsia="en-ZA"/>
        </w:rPr>
        <w:t xml:space="preserve"> </w:t>
      </w:r>
      <w:r w:rsidRPr="00B11D8A">
        <w:rPr>
          <w:rFonts w:ascii="Verdana" w:hAnsi="Verdana"/>
          <w:color w:val="000000" w:themeColor="text1"/>
          <w:sz w:val="22"/>
          <w:szCs w:val="22"/>
          <w:lang w:eastAsia="en-ZA"/>
        </w:rPr>
        <w:t>The severity of COVID-</w:t>
      </w:r>
      <w:r w:rsidRPr="00B11D8A">
        <w:rPr>
          <w:rFonts w:ascii="Verdana" w:hAnsi="Verdana"/>
          <w:color w:val="000000" w:themeColor="text1"/>
          <w:sz w:val="22"/>
          <w:szCs w:val="22"/>
          <w:lang w:eastAsia="en-ZA"/>
        </w:rPr>
        <w:lastRenderedPageBreak/>
        <w:t>19 was sufficient that the Minister of Cooperative Governance and Traditional Affairs, in consultation with the relevant Cabinet members, promulgated a stay and suspension of an eviction order as the default position i.e. unless the court ordered otherwise.</w:t>
      </w:r>
    </w:p>
    <w:p w14:paraId="57978987" w14:textId="77777777" w:rsidR="00DE2C40" w:rsidRPr="00B11D8A" w:rsidRDefault="00DE2C40" w:rsidP="00DE2C40">
      <w:pPr>
        <w:pStyle w:val="Indent"/>
        <w:numPr>
          <w:ilvl w:val="0"/>
          <w:numId w:val="0"/>
        </w:numPr>
        <w:spacing w:line="480" w:lineRule="auto"/>
        <w:ind w:left="709"/>
        <w:jc w:val="both"/>
        <w:rPr>
          <w:rFonts w:ascii="Verdana" w:hAnsi="Verdana"/>
          <w:color w:val="000000" w:themeColor="text1"/>
          <w:sz w:val="22"/>
          <w:szCs w:val="22"/>
          <w:lang w:eastAsia="en-ZA"/>
        </w:rPr>
      </w:pPr>
    </w:p>
    <w:p w14:paraId="6C3547BB" w14:textId="5E217F8A" w:rsidR="000F651C" w:rsidRPr="00B11D8A" w:rsidRDefault="000F651C" w:rsidP="00202660">
      <w:pPr>
        <w:pStyle w:val="Indent"/>
        <w:spacing w:line="480" w:lineRule="auto"/>
        <w:ind w:left="709" w:hanging="709"/>
        <w:jc w:val="both"/>
        <w:rPr>
          <w:rFonts w:ascii="Verdana" w:hAnsi="Verdana"/>
          <w:color w:val="000000" w:themeColor="text1"/>
          <w:sz w:val="22"/>
          <w:szCs w:val="22"/>
          <w:lang w:eastAsia="en-ZA"/>
        </w:rPr>
      </w:pPr>
      <w:r w:rsidRPr="00B11D8A">
        <w:rPr>
          <w:rFonts w:ascii="Verdana" w:hAnsi="Verdana"/>
          <w:color w:val="000000" w:themeColor="text1"/>
          <w:sz w:val="22"/>
          <w:szCs w:val="22"/>
          <w:lang w:eastAsia="en-ZA"/>
        </w:rPr>
        <w:t xml:space="preserve">Chapter 4 of the Regulations, which introduced </w:t>
      </w:r>
      <w:r w:rsidR="0068767F" w:rsidRPr="00B11D8A">
        <w:rPr>
          <w:rFonts w:ascii="Verdana" w:hAnsi="Verdana"/>
          <w:color w:val="000000" w:themeColor="text1"/>
          <w:sz w:val="22"/>
          <w:szCs w:val="22"/>
          <w:lang w:eastAsia="en-ZA"/>
        </w:rPr>
        <w:t>a</w:t>
      </w:r>
      <w:r w:rsidRPr="00B11D8A">
        <w:rPr>
          <w:rFonts w:ascii="Verdana" w:hAnsi="Verdana"/>
          <w:color w:val="000000" w:themeColor="text1"/>
          <w:sz w:val="22"/>
          <w:szCs w:val="22"/>
          <w:lang w:eastAsia="en-ZA"/>
        </w:rPr>
        <w:t xml:space="preserve">lert </w:t>
      </w:r>
      <w:r w:rsidR="0068767F" w:rsidRPr="00B11D8A">
        <w:rPr>
          <w:rFonts w:ascii="Verdana" w:hAnsi="Verdana"/>
          <w:color w:val="000000" w:themeColor="text1"/>
          <w:sz w:val="22"/>
          <w:szCs w:val="22"/>
          <w:lang w:eastAsia="en-ZA"/>
        </w:rPr>
        <w:t>l</w:t>
      </w:r>
      <w:r w:rsidRPr="00B11D8A">
        <w:rPr>
          <w:rFonts w:ascii="Verdana" w:hAnsi="Verdana"/>
          <w:color w:val="000000" w:themeColor="text1"/>
          <w:sz w:val="22"/>
          <w:szCs w:val="22"/>
          <w:lang w:eastAsia="en-ZA"/>
        </w:rPr>
        <w:t xml:space="preserve">evel 3 with effect from </w:t>
      </w:r>
      <w:r w:rsidR="0077344B" w:rsidRPr="00B11D8A">
        <w:rPr>
          <w:rFonts w:ascii="Verdana" w:hAnsi="Verdana"/>
          <w:color w:val="000000" w:themeColor="text1"/>
          <w:sz w:val="22"/>
          <w:szCs w:val="22"/>
          <w:lang w:eastAsia="en-ZA"/>
        </w:rPr>
        <w:t>1 June 2020</w:t>
      </w:r>
      <w:r w:rsidRPr="00B11D8A">
        <w:rPr>
          <w:rFonts w:ascii="Verdana" w:hAnsi="Verdana"/>
          <w:color w:val="000000" w:themeColor="text1"/>
          <w:sz w:val="22"/>
          <w:szCs w:val="22"/>
          <w:lang w:eastAsia="en-ZA"/>
        </w:rPr>
        <w:t xml:space="preserve"> provide</w:t>
      </w:r>
      <w:r w:rsidR="00DE2C40" w:rsidRPr="00B11D8A">
        <w:rPr>
          <w:rFonts w:ascii="Verdana" w:hAnsi="Verdana"/>
          <w:color w:val="000000" w:themeColor="text1"/>
          <w:sz w:val="22"/>
          <w:szCs w:val="22"/>
          <w:lang w:eastAsia="en-ZA"/>
        </w:rPr>
        <w:t>d</w:t>
      </w:r>
      <w:r w:rsidRPr="00B11D8A">
        <w:rPr>
          <w:rFonts w:ascii="Verdana" w:hAnsi="Verdana"/>
          <w:color w:val="000000" w:themeColor="text1"/>
          <w:sz w:val="22"/>
          <w:szCs w:val="22"/>
          <w:lang w:eastAsia="en-ZA"/>
        </w:rPr>
        <w:t xml:space="preserve"> in regulation</w:t>
      </w:r>
      <w:r w:rsidR="00C031DF" w:rsidRPr="00B11D8A">
        <w:rPr>
          <w:rFonts w:ascii="Verdana" w:hAnsi="Verdana"/>
          <w:color w:val="000000" w:themeColor="text1"/>
          <w:sz w:val="22"/>
          <w:szCs w:val="22"/>
          <w:lang w:eastAsia="en-ZA"/>
        </w:rPr>
        <w:t xml:space="preserve"> 36</w:t>
      </w:r>
      <w:r w:rsidRPr="00B11D8A">
        <w:rPr>
          <w:rFonts w:ascii="Verdana" w:hAnsi="Verdana"/>
          <w:color w:val="000000" w:themeColor="text1"/>
          <w:sz w:val="22"/>
          <w:szCs w:val="22"/>
          <w:lang w:eastAsia="en-ZA"/>
        </w:rPr>
        <w:t xml:space="preserve"> </w:t>
      </w:r>
      <w:r w:rsidR="00303261" w:rsidRPr="00B11D8A">
        <w:rPr>
          <w:rFonts w:ascii="Verdana" w:hAnsi="Verdana"/>
          <w:color w:val="000000" w:themeColor="text1"/>
          <w:sz w:val="22"/>
          <w:szCs w:val="22"/>
          <w:lang w:eastAsia="en-ZA"/>
        </w:rPr>
        <w:t xml:space="preserve">that </w:t>
      </w:r>
      <w:r w:rsidRPr="00B11D8A">
        <w:rPr>
          <w:rFonts w:ascii="Verdana" w:hAnsi="Verdana"/>
          <w:color w:val="000000" w:themeColor="text1"/>
          <w:sz w:val="22"/>
          <w:szCs w:val="22"/>
          <w:lang w:eastAsia="en-ZA"/>
        </w:rPr>
        <w:t>a person may not be evicted from his or her land or home during the period of Alert Level 3 period</w:t>
      </w:r>
      <w:r w:rsidR="00303261" w:rsidRPr="00B11D8A">
        <w:rPr>
          <w:rFonts w:ascii="Verdana" w:hAnsi="Verdana"/>
          <w:color w:val="000000" w:themeColor="text1"/>
          <w:sz w:val="22"/>
          <w:szCs w:val="22"/>
          <w:lang w:eastAsia="en-ZA"/>
        </w:rPr>
        <w:t xml:space="preserve">, however a </w:t>
      </w:r>
      <w:r w:rsidRPr="00B11D8A">
        <w:rPr>
          <w:rFonts w:ascii="Verdana" w:hAnsi="Verdana"/>
          <w:color w:val="000000" w:themeColor="text1"/>
          <w:sz w:val="22"/>
          <w:szCs w:val="22"/>
          <w:lang w:eastAsia="en-ZA"/>
        </w:rPr>
        <w:t>competent court may grant an order for the eviction of a person from his or her land or home in terms of the provisions of the Extension of Security of Tenure Act, 1997 (Act 62 of 1997) and the Prevention of Illegal Eviction from and Unlawful Occupation of Land Act, 1998 (Act 19 of 1998)</w:t>
      </w:r>
      <w:r w:rsidR="00303261" w:rsidRPr="00B11D8A">
        <w:rPr>
          <w:rFonts w:ascii="Verdana" w:hAnsi="Verdana"/>
          <w:color w:val="000000" w:themeColor="text1"/>
          <w:sz w:val="22"/>
          <w:szCs w:val="22"/>
          <w:lang w:eastAsia="en-ZA"/>
        </w:rPr>
        <w:t>, p</w:t>
      </w:r>
      <w:r w:rsidRPr="00B11D8A">
        <w:rPr>
          <w:rFonts w:ascii="Verdana" w:hAnsi="Verdana"/>
          <w:color w:val="000000" w:themeColor="text1"/>
          <w:sz w:val="22"/>
          <w:szCs w:val="22"/>
          <w:lang w:eastAsia="en-ZA"/>
        </w:rPr>
        <w:t>rovided that an order of eviction may be stayed and suspended until the last day of Alert Level 3 period, unless a court decides that it is not just and equitable to stay and suspend the order until the last day of the Alert Level 3 period.</w:t>
      </w:r>
    </w:p>
    <w:p w14:paraId="2E5CCDA3" w14:textId="77777777" w:rsidR="00202660" w:rsidRPr="00B11D8A" w:rsidRDefault="00202660" w:rsidP="00202660">
      <w:pPr>
        <w:pStyle w:val="Indent"/>
        <w:numPr>
          <w:ilvl w:val="0"/>
          <w:numId w:val="0"/>
        </w:numPr>
        <w:spacing w:line="480" w:lineRule="auto"/>
        <w:ind w:left="709"/>
        <w:jc w:val="both"/>
        <w:rPr>
          <w:rFonts w:ascii="Verdana" w:hAnsi="Verdana"/>
          <w:color w:val="000000" w:themeColor="text1"/>
          <w:sz w:val="22"/>
          <w:szCs w:val="22"/>
          <w:lang w:eastAsia="en-ZA"/>
        </w:rPr>
      </w:pPr>
    </w:p>
    <w:p w14:paraId="0D5DA126" w14:textId="77777777" w:rsidR="00CE183D" w:rsidRPr="00B11D8A" w:rsidRDefault="00202660" w:rsidP="00CE183D">
      <w:pPr>
        <w:pStyle w:val="Indent"/>
        <w:spacing w:line="480" w:lineRule="auto"/>
        <w:ind w:left="709" w:hanging="709"/>
        <w:jc w:val="both"/>
        <w:rPr>
          <w:rFonts w:ascii="Verdana" w:hAnsi="Verdana"/>
          <w:color w:val="000000" w:themeColor="text1"/>
          <w:sz w:val="22"/>
          <w:szCs w:val="22"/>
          <w:lang w:eastAsia="en-ZA"/>
        </w:rPr>
      </w:pPr>
      <w:r w:rsidRPr="00B11D8A">
        <w:rPr>
          <w:rFonts w:ascii="Verdana" w:hAnsi="Verdana"/>
          <w:color w:val="000000" w:themeColor="text1"/>
          <w:sz w:val="22"/>
          <w:szCs w:val="22"/>
          <w:lang w:eastAsia="en-ZA"/>
        </w:rPr>
        <w:t>T</w:t>
      </w:r>
      <w:r w:rsidR="000F651C" w:rsidRPr="00B11D8A">
        <w:rPr>
          <w:rFonts w:ascii="Verdana" w:hAnsi="Verdana"/>
          <w:color w:val="000000" w:themeColor="text1"/>
          <w:sz w:val="22"/>
          <w:szCs w:val="22"/>
          <w:lang w:eastAsia="en-ZA"/>
        </w:rPr>
        <w:t xml:space="preserve">he default position under </w:t>
      </w:r>
      <w:r w:rsidRPr="00B11D8A">
        <w:rPr>
          <w:rFonts w:ascii="Verdana" w:hAnsi="Verdana"/>
          <w:color w:val="000000" w:themeColor="text1"/>
          <w:sz w:val="22"/>
          <w:szCs w:val="22"/>
          <w:lang w:eastAsia="en-ZA"/>
        </w:rPr>
        <w:t>adjusted al</w:t>
      </w:r>
      <w:r w:rsidR="000F651C" w:rsidRPr="00B11D8A">
        <w:rPr>
          <w:rFonts w:ascii="Verdana" w:hAnsi="Verdana"/>
          <w:color w:val="000000" w:themeColor="text1"/>
          <w:sz w:val="22"/>
          <w:szCs w:val="22"/>
          <w:lang w:eastAsia="en-ZA"/>
        </w:rPr>
        <w:t xml:space="preserve">ert </w:t>
      </w:r>
      <w:r w:rsidRPr="00B11D8A">
        <w:rPr>
          <w:rFonts w:ascii="Verdana" w:hAnsi="Verdana"/>
          <w:color w:val="000000" w:themeColor="text1"/>
          <w:sz w:val="22"/>
          <w:szCs w:val="22"/>
          <w:lang w:eastAsia="en-ZA"/>
        </w:rPr>
        <w:t>l</w:t>
      </w:r>
      <w:r w:rsidR="000F651C" w:rsidRPr="00B11D8A">
        <w:rPr>
          <w:rFonts w:ascii="Verdana" w:hAnsi="Verdana"/>
          <w:color w:val="000000" w:themeColor="text1"/>
          <w:sz w:val="22"/>
          <w:szCs w:val="22"/>
          <w:lang w:eastAsia="en-ZA"/>
        </w:rPr>
        <w:t xml:space="preserve">evel 3 </w:t>
      </w:r>
      <w:r w:rsidRPr="00B11D8A">
        <w:rPr>
          <w:rFonts w:ascii="Verdana" w:hAnsi="Verdana"/>
          <w:color w:val="000000" w:themeColor="text1"/>
          <w:sz w:val="22"/>
          <w:szCs w:val="22"/>
          <w:lang w:eastAsia="en-ZA"/>
        </w:rPr>
        <w:t>appears to be that</w:t>
      </w:r>
      <w:r w:rsidR="000F651C" w:rsidRPr="00B11D8A">
        <w:rPr>
          <w:rFonts w:ascii="Verdana" w:hAnsi="Verdana"/>
          <w:color w:val="000000" w:themeColor="text1"/>
          <w:sz w:val="22"/>
          <w:szCs w:val="22"/>
          <w:lang w:eastAsia="en-ZA"/>
        </w:rPr>
        <w:t xml:space="preserve"> </w:t>
      </w:r>
      <w:r w:rsidRPr="00B11D8A">
        <w:rPr>
          <w:rFonts w:ascii="Verdana" w:hAnsi="Verdana"/>
          <w:color w:val="000000" w:themeColor="text1"/>
          <w:sz w:val="22"/>
          <w:szCs w:val="22"/>
          <w:lang w:eastAsia="en-ZA"/>
        </w:rPr>
        <w:t>a person</w:t>
      </w:r>
      <w:r w:rsidR="000F651C" w:rsidRPr="00B11D8A">
        <w:rPr>
          <w:rFonts w:ascii="Verdana" w:hAnsi="Verdana"/>
          <w:color w:val="000000" w:themeColor="text1"/>
          <w:sz w:val="22"/>
          <w:szCs w:val="22"/>
          <w:lang w:eastAsia="en-ZA"/>
        </w:rPr>
        <w:t xml:space="preserve"> person may not be evicted from h</w:t>
      </w:r>
      <w:r w:rsidRPr="00B11D8A">
        <w:rPr>
          <w:rFonts w:ascii="Verdana" w:hAnsi="Verdana"/>
          <w:color w:val="000000" w:themeColor="text1"/>
          <w:sz w:val="22"/>
          <w:szCs w:val="22"/>
          <w:lang w:eastAsia="en-ZA"/>
        </w:rPr>
        <w:t>er</w:t>
      </w:r>
      <w:r w:rsidR="000F651C" w:rsidRPr="00B11D8A">
        <w:rPr>
          <w:rFonts w:ascii="Verdana" w:hAnsi="Verdana"/>
          <w:color w:val="000000" w:themeColor="text1"/>
          <w:sz w:val="22"/>
          <w:szCs w:val="22"/>
          <w:lang w:eastAsia="en-ZA"/>
        </w:rPr>
        <w:t xml:space="preserve"> home during the period of </w:t>
      </w:r>
      <w:r w:rsidR="00237D99" w:rsidRPr="00B11D8A">
        <w:rPr>
          <w:rFonts w:ascii="Verdana" w:hAnsi="Verdana"/>
          <w:color w:val="000000" w:themeColor="text1"/>
          <w:sz w:val="22"/>
          <w:szCs w:val="22"/>
          <w:lang w:eastAsia="en-ZA"/>
        </w:rPr>
        <w:t xml:space="preserve">adjusted </w:t>
      </w:r>
      <w:r w:rsidRPr="00B11D8A">
        <w:rPr>
          <w:rFonts w:ascii="Verdana" w:hAnsi="Verdana"/>
          <w:color w:val="000000" w:themeColor="text1"/>
          <w:sz w:val="22"/>
          <w:szCs w:val="22"/>
          <w:lang w:eastAsia="en-ZA"/>
        </w:rPr>
        <w:t>a</w:t>
      </w:r>
      <w:r w:rsidR="000F651C" w:rsidRPr="00B11D8A">
        <w:rPr>
          <w:rFonts w:ascii="Verdana" w:hAnsi="Verdana"/>
          <w:color w:val="000000" w:themeColor="text1"/>
          <w:sz w:val="22"/>
          <w:szCs w:val="22"/>
          <w:lang w:eastAsia="en-ZA"/>
        </w:rPr>
        <w:t xml:space="preserve">lert </w:t>
      </w:r>
      <w:r w:rsidR="00237D99" w:rsidRPr="00B11D8A">
        <w:rPr>
          <w:rFonts w:ascii="Verdana" w:hAnsi="Verdana"/>
          <w:color w:val="000000" w:themeColor="text1"/>
          <w:sz w:val="22"/>
          <w:szCs w:val="22"/>
          <w:lang w:eastAsia="en-ZA"/>
        </w:rPr>
        <w:t>l</w:t>
      </w:r>
      <w:r w:rsidR="000F651C" w:rsidRPr="00B11D8A">
        <w:rPr>
          <w:rFonts w:ascii="Verdana" w:hAnsi="Verdana"/>
          <w:color w:val="000000" w:themeColor="text1"/>
          <w:sz w:val="22"/>
          <w:szCs w:val="22"/>
          <w:lang w:eastAsia="en-ZA"/>
        </w:rPr>
        <w:t>evel 3, unless the court decides that it is not just and equitable to so stay and suspend the order. </w:t>
      </w:r>
    </w:p>
    <w:p w14:paraId="5BFBD504" w14:textId="77777777" w:rsidR="00CE183D" w:rsidRPr="00B11D8A" w:rsidRDefault="00CE183D" w:rsidP="00CE183D">
      <w:pPr>
        <w:pStyle w:val="ListParagraph"/>
        <w:rPr>
          <w:rFonts w:ascii="Verdana" w:hAnsi="Verdana"/>
          <w:color w:val="000000" w:themeColor="text1"/>
          <w:lang w:eastAsia="en-ZA"/>
        </w:rPr>
      </w:pPr>
    </w:p>
    <w:p w14:paraId="5F0598ED" w14:textId="05F52638" w:rsidR="00CE183D" w:rsidRPr="00B11D8A" w:rsidRDefault="00CE183D" w:rsidP="00CE183D">
      <w:pPr>
        <w:pStyle w:val="Indent"/>
        <w:spacing w:line="480" w:lineRule="auto"/>
        <w:ind w:left="709" w:hanging="709"/>
        <w:jc w:val="both"/>
        <w:rPr>
          <w:rFonts w:ascii="Verdana" w:hAnsi="Verdana"/>
          <w:color w:val="000000" w:themeColor="text1"/>
          <w:sz w:val="22"/>
          <w:szCs w:val="22"/>
          <w:lang w:eastAsia="en-ZA"/>
        </w:rPr>
      </w:pPr>
      <w:r w:rsidRPr="00B11D8A">
        <w:rPr>
          <w:rFonts w:ascii="Verdana" w:hAnsi="Verdana"/>
          <w:color w:val="000000" w:themeColor="text1"/>
          <w:sz w:val="21"/>
          <w:szCs w:val="21"/>
          <w:lang w:eastAsia="en-ZA"/>
        </w:rPr>
        <w:t xml:space="preserve">The introduction of Chapter 5 into the regulations providing for Alert Level 2, provides for more extensive regulations. The relevant regulation, Regulation </w:t>
      </w:r>
      <w:r w:rsidRPr="00B11D8A">
        <w:rPr>
          <w:rFonts w:ascii="Verdana" w:hAnsi="Verdana"/>
          <w:color w:val="000000" w:themeColor="text1"/>
          <w:sz w:val="21"/>
          <w:szCs w:val="21"/>
          <w:lang w:eastAsia="en-ZA"/>
        </w:rPr>
        <w:lastRenderedPageBreak/>
        <w:t>53, is no longer headed </w:t>
      </w:r>
      <w:r w:rsidRPr="00B11D8A">
        <w:rPr>
          <w:rFonts w:ascii="Verdana" w:hAnsi="Verdana"/>
          <w:i/>
          <w:iCs/>
          <w:color w:val="000000" w:themeColor="text1"/>
          <w:sz w:val="21"/>
          <w:szCs w:val="21"/>
          <w:lang w:eastAsia="en-ZA"/>
        </w:rPr>
        <w:t>"Prohibition on evictions"</w:t>
      </w:r>
      <w:r w:rsidRPr="00B11D8A">
        <w:rPr>
          <w:rFonts w:ascii="Verdana" w:hAnsi="Verdana"/>
          <w:color w:val="000000" w:themeColor="text1"/>
          <w:sz w:val="21"/>
          <w:szCs w:val="21"/>
          <w:lang w:eastAsia="en-ZA"/>
        </w:rPr>
        <w:t> but rather </w:t>
      </w:r>
      <w:r w:rsidRPr="00B11D8A">
        <w:rPr>
          <w:rFonts w:ascii="Verdana" w:hAnsi="Verdana"/>
          <w:i/>
          <w:iCs/>
          <w:color w:val="000000" w:themeColor="text1"/>
          <w:sz w:val="21"/>
          <w:szCs w:val="21"/>
          <w:lang w:eastAsia="en-ZA"/>
        </w:rPr>
        <w:t>"Eviction and demolition of places of residence"</w:t>
      </w:r>
      <w:r w:rsidRPr="00B11D8A">
        <w:rPr>
          <w:rFonts w:ascii="Verdana" w:hAnsi="Verdana"/>
          <w:color w:val="000000" w:themeColor="text1"/>
          <w:sz w:val="21"/>
          <w:szCs w:val="21"/>
          <w:lang w:eastAsia="en-ZA"/>
        </w:rPr>
        <w:t> and reads:</w:t>
      </w:r>
    </w:p>
    <w:p w14:paraId="74C8AE83" w14:textId="77777777" w:rsidR="00CE183D" w:rsidRPr="00B11D8A" w:rsidRDefault="00CE183D" w:rsidP="00590CE3">
      <w:pPr>
        <w:shd w:val="clear" w:color="auto" w:fill="FFFFFF"/>
        <w:spacing w:before="90" w:after="0" w:line="240" w:lineRule="auto"/>
        <w:ind w:left="1350"/>
        <w:jc w:val="both"/>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"53. Eviction and demolition of places of residence.— (1) A person may not be evicted from his or her land or home or have his or her place of residence demolished for the duration of the national state of disaster unless a competent court has granted an order authorising the eviction or demolition.</w:t>
      </w:r>
    </w:p>
    <w:p w14:paraId="51DBBF71" w14:textId="77777777" w:rsidR="00CE183D" w:rsidRPr="00B11D8A" w:rsidRDefault="00CE183D" w:rsidP="00590CE3">
      <w:pPr>
        <w:shd w:val="clear" w:color="auto" w:fill="FFFFFF"/>
        <w:spacing w:before="90" w:after="0" w:line="240" w:lineRule="auto"/>
        <w:ind w:left="1350"/>
        <w:jc w:val="both"/>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 xml:space="preserve">(2) A competent court </w:t>
      </w:r>
      <w:r w:rsidRPr="00B11D8A">
        <w:rPr>
          <w:rFonts w:ascii="Verdana" w:eastAsia="Times New Roman" w:hAnsi="Verdana" w:cs="Times New Roman"/>
          <w:b/>
          <w:bCs/>
          <w:i/>
          <w:iCs/>
          <w:color w:val="000000" w:themeColor="text1"/>
          <w:sz w:val="18"/>
          <w:szCs w:val="18"/>
          <w:u w:val="single"/>
          <w:lang w:eastAsia="en-ZA"/>
        </w:rPr>
        <w:t>may</w:t>
      </w:r>
      <w:r w:rsidRPr="00B11D8A">
        <w:rPr>
          <w:rFonts w:ascii="Verdana" w:eastAsia="Times New Roman" w:hAnsi="Verdana" w:cs="Times New Roman"/>
          <w:i/>
          <w:iCs/>
          <w:color w:val="000000" w:themeColor="text1"/>
          <w:sz w:val="18"/>
          <w:szCs w:val="18"/>
          <w:lang w:eastAsia="en-ZA"/>
        </w:rPr>
        <w:t xml:space="preserve"> suspend or stay any order for eviction or demolition contemplated in subregulation (1) until after the lapse or termination of the national state of disaster unless the court is of the opinion that it is not just or equitable to suspend or stay the order having regard, in addition to any other relevant consideration, to—</w:t>
      </w:r>
    </w:p>
    <w:p w14:paraId="764C2299" w14:textId="2C041AC6" w:rsidR="00CE183D" w:rsidRPr="00B11D8A" w:rsidRDefault="00CE183D" w:rsidP="00CE183D">
      <w:pPr>
        <w:shd w:val="clear" w:color="auto" w:fill="FFFFFF"/>
        <w:spacing w:after="0" w:line="240" w:lineRule="auto"/>
        <w:outlineLvl w:val="1"/>
        <w:rPr>
          <w:rFonts w:ascii="Verdana" w:eastAsia="Times New Roman" w:hAnsi="Verdana" w:cs="Times New Roman"/>
          <w:color w:val="000000" w:themeColor="text1"/>
          <w:sz w:val="18"/>
          <w:szCs w:val="18"/>
          <w:lang w:eastAsia="en-ZA"/>
        </w:rPr>
      </w:pPr>
    </w:p>
    <w:p w14:paraId="61D82B89" w14:textId="582A5D76" w:rsidR="00CE183D" w:rsidRPr="00B11D8A" w:rsidRDefault="00BF5C0C" w:rsidP="00BF5C0C">
      <w:pPr>
        <w:shd w:val="clear" w:color="auto" w:fill="FFFFFF"/>
        <w:spacing w:after="0" w:line="240" w:lineRule="auto"/>
        <w:ind w:left="2874" w:hanging="684"/>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(a)</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the need, in the public interest for all persons to have access to a place of residence and basic services to protect their health and the health of others and to avoid unnecessary movement and gathering with other persons;</w:t>
      </w:r>
    </w:p>
    <w:p w14:paraId="3D0B0C99" w14:textId="61AC7F68" w:rsidR="00CE183D" w:rsidRPr="00B11D8A" w:rsidRDefault="00CE183D" w:rsidP="00CE183D">
      <w:pPr>
        <w:shd w:val="clear" w:color="auto" w:fill="FFFFFF"/>
        <w:spacing w:after="0" w:line="240" w:lineRule="auto"/>
        <w:outlineLvl w:val="1"/>
        <w:rPr>
          <w:rFonts w:ascii="Verdana" w:eastAsia="Times New Roman" w:hAnsi="Verdana" w:cs="Times New Roman"/>
          <w:color w:val="000000" w:themeColor="text1"/>
          <w:sz w:val="18"/>
          <w:szCs w:val="18"/>
          <w:lang w:eastAsia="en-ZA"/>
        </w:rPr>
      </w:pPr>
    </w:p>
    <w:p w14:paraId="6BEF1DA6" w14:textId="0E31391C" w:rsidR="00CE183D" w:rsidRPr="00B11D8A" w:rsidRDefault="00BF5C0C" w:rsidP="00BF5C0C">
      <w:pPr>
        <w:shd w:val="clear" w:color="auto" w:fill="FFFFFF"/>
        <w:spacing w:after="0" w:line="240" w:lineRule="auto"/>
        <w:ind w:left="2874" w:hanging="684"/>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(b)</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any restrictions on movement or other relevant restrictions in place at the relevant time in terms of these regulations;</w:t>
      </w:r>
    </w:p>
    <w:p w14:paraId="4F5161DD" w14:textId="039890FA" w:rsidR="00CE183D" w:rsidRPr="00B11D8A" w:rsidRDefault="00CE183D" w:rsidP="00CE183D">
      <w:pPr>
        <w:shd w:val="clear" w:color="auto" w:fill="FFFFFF"/>
        <w:spacing w:after="0" w:line="240" w:lineRule="auto"/>
        <w:outlineLvl w:val="1"/>
        <w:rPr>
          <w:rFonts w:ascii="Verdana" w:eastAsia="Times New Roman" w:hAnsi="Verdana" w:cs="Times New Roman"/>
          <w:color w:val="000000" w:themeColor="text1"/>
          <w:sz w:val="18"/>
          <w:szCs w:val="18"/>
          <w:lang w:eastAsia="en-ZA"/>
        </w:rPr>
      </w:pPr>
    </w:p>
    <w:p w14:paraId="00243F2B" w14:textId="0CB4315F" w:rsidR="00CE183D" w:rsidRPr="00B11D8A" w:rsidRDefault="00BF5C0C" w:rsidP="00CE183D">
      <w:pPr>
        <w:shd w:val="clear" w:color="auto" w:fill="FFFFFF"/>
        <w:spacing w:after="0" w:line="240" w:lineRule="auto"/>
        <w:ind w:left="2190"/>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(c)</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the impact of the disaster on the parties;</w:t>
      </w:r>
    </w:p>
    <w:p w14:paraId="09980CF9" w14:textId="1CAFF6A6" w:rsidR="00CE183D" w:rsidRPr="00B11D8A" w:rsidRDefault="00CE183D" w:rsidP="00CE183D">
      <w:pPr>
        <w:shd w:val="clear" w:color="auto" w:fill="FFFFFF"/>
        <w:spacing w:after="0" w:line="240" w:lineRule="auto"/>
        <w:outlineLvl w:val="1"/>
        <w:rPr>
          <w:rFonts w:ascii="Verdana" w:eastAsia="Times New Roman" w:hAnsi="Verdana" w:cs="Times New Roman"/>
          <w:color w:val="000000" w:themeColor="text1"/>
          <w:sz w:val="18"/>
          <w:szCs w:val="18"/>
          <w:lang w:eastAsia="en-ZA"/>
        </w:rPr>
      </w:pPr>
    </w:p>
    <w:p w14:paraId="3F09BB19" w14:textId="1E919CB1" w:rsidR="00BF5C0C" w:rsidRPr="00B11D8A" w:rsidRDefault="00BF5C0C" w:rsidP="00BF5C0C">
      <w:pPr>
        <w:shd w:val="clear" w:color="auto" w:fill="FFFFFF"/>
        <w:spacing w:after="0" w:line="240" w:lineRule="auto"/>
        <w:ind w:left="2874" w:hanging="684"/>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(d)</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the prejudice to any party of a delay in executing the order and whether such prejudice outweighs the prejudice of the person who will be subject to the order;</w:t>
      </w:r>
    </w:p>
    <w:p w14:paraId="1A071412" w14:textId="77777777" w:rsidR="00BF5C0C" w:rsidRPr="00B11D8A" w:rsidRDefault="00BF5C0C" w:rsidP="00BF5C0C">
      <w:pPr>
        <w:shd w:val="clear" w:color="auto" w:fill="FFFFFF"/>
        <w:spacing w:after="0" w:line="240" w:lineRule="auto"/>
        <w:ind w:left="2190"/>
        <w:rPr>
          <w:rFonts w:ascii="Verdana" w:eastAsia="Times New Roman" w:hAnsi="Verdana" w:cs="Times New Roman"/>
          <w:color w:val="000000" w:themeColor="text1"/>
          <w:sz w:val="18"/>
          <w:szCs w:val="18"/>
          <w:lang w:eastAsia="en-ZA"/>
        </w:rPr>
      </w:pPr>
    </w:p>
    <w:p w14:paraId="579E3752" w14:textId="51026AC6" w:rsidR="00CE183D" w:rsidRPr="00B11D8A" w:rsidRDefault="00BF5C0C" w:rsidP="00BF5C0C">
      <w:pPr>
        <w:shd w:val="clear" w:color="auto" w:fill="FFFFFF"/>
        <w:spacing w:after="0" w:line="240" w:lineRule="auto"/>
        <w:ind w:left="2874" w:hanging="684"/>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(e)</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whether any affected person has been prejudiced in his or her ability to access legal services as a result of the disaster;</w:t>
      </w:r>
    </w:p>
    <w:p w14:paraId="6BBD327B" w14:textId="4332023C" w:rsidR="00CE183D" w:rsidRPr="00B11D8A" w:rsidRDefault="00CE183D" w:rsidP="00CE183D">
      <w:pPr>
        <w:shd w:val="clear" w:color="auto" w:fill="FFFFFF"/>
        <w:spacing w:after="0" w:line="240" w:lineRule="auto"/>
        <w:outlineLvl w:val="1"/>
        <w:rPr>
          <w:rFonts w:ascii="Verdana" w:eastAsia="Times New Roman" w:hAnsi="Verdana" w:cs="Times New Roman"/>
          <w:color w:val="000000" w:themeColor="text1"/>
          <w:sz w:val="18"/>
          <w:szCs w:val="18"/>
          <w:lang w:eastAsia="en-ZA"/>
        </w:rPr>
      </w:pPr>
    </w:p>
    <w:p w14:paraId="544695E3" w14:textId="69B41A9C" w:rsidR="00CE183D" w:rsidRPr="00B11D8A" w:rsidRDefault="00BF5C0C" w:rsidP="00BF5C0C">
      <w:pPr>
        <w:shd w:val="clear" w:color="auto" w:fill="FFFFFF"/>
        <w:spacing w:after="0" w:line="240" w:lineRule="auto"/>
        <w:ind w:left="2874" w:hanging="684"/>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(f)</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whether affected persons will have immediate access to an alternative place of residence and basic services;</w:t>
      </w:r>
    </w:p>
    <w:p w14:paraId="32F11363" w14:textId="1854B161" w:rsidR="00CE183D" w:rsidRPr="00B11D8A" w:rsidRDefault="00CE183D" w:rsidP="00CE183D">
      <w:pPr>
        <w:shd w:val="clear" w:color="auto" w:fill="FFFFFF"/>
        <w:spacing w:after="0" w:line="240" w:lineRule="auto"/>
        <w:outlineLvl w:val="1"/>
        <w:rPr>
          <w:rFonts w:ascii="Verdana" w:eastAsia="Times New Roman" w:hAnsi="Verdana" w:cs="Times New Roman"/>
          <w:color w:val="000000" w:themeColor="text1"/>
          <w:sz w:val="18"/>
          <w:szCs w:val="18"/>
          <w:lang w:eastAsia="en-ZA"/>
        </w:rPr>
      </w:pPr>
    </w:p>
    <w:p w14:paraId="65818259" w14:textId="3F9459B9" w:rsidR="00CE183D" w:rsidRPr="00B11D8A" w:rsidRDefault="00BF5C0C" w:rsidP="00BF5C0C">
      <w:pPr>
        <w:shd w:val="clear" w:color="auto" w:fill="FFFFFF"/>
        <w:spacing w:after="0" w:line="240" w:lineRule="auto"/>
        <w:ind w:left="2874" w:hanging="684"/>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(g)</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whether adequate measures are in place to protect the health of any person in the process of a relocation;</w:t>
      </w:r>
    </w:p>
    <w:p w14:paraId="347271D1" w14:textId="1FF0376B" w:rsidR="00CE183D" w:rsidRPr="00B11D8A" w:rsidRDefault="00CE183D" w:rsidP="00CE183D">
      <w:pPr>
        <w:shd w:val="clear" w:color="auto" w:fill="FFFFFF"/>
        <w:spacing w:after="0" w:line="240" w:lineRule="auto"/>
        <w:outlineLvl w:val="1"/>
        <w:rPr>
          <w:rFonts w:ascii="Verdana" w:eastAsia="Times New Roman" w:hAnsi="Verdana" w:cs="Times New Roman"/>
          <w:color w:val="000000" w:themeColor="text1"/>
          <w:sz w:val="18"/>
          <w:szCs w:val="18"/>
          <w:lang w:eastAsia="en-ZA"/>
        </w:rPr>
      </w:pPr>
    </w:p>
    <w:p w14:paraId="25851E78" w14:textId="0304A30C" w:rsidR="00CE183D" w:rsidRPr="00B11D8A" w:rsidRDefault="00BF5C0C" w:rsidP="00BF5C0C">
      <w:pPr>
        <w:shd w:val="clear" w:color="auto" w:fill="FFFFFF"/>
        <w:spacing w:after="0" w:line="240" w:lineRule="auto"/>
        <w:ind w:left="2874" w:hanging="684"/>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(h)</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whether any occupier is causing harm to others or there is a threat to life; and</w:t>
      </w:r>
    </w:p>
    <w:p w14:paraId="7EEE9644" w14:textId="725DA419" w:rsidR="00CE183D" w:rsidRPr="00B11D8A" w:rsidRDefault="00CE183D" w:rsidP="00CE183D">
      <w:pPr>
        <w:shd w:val="clear" w:color="auto" w:fill="FFFFFF"/>
        <w:spacing w:after="0" w:line="240" w:lineRule="auto"/>
        <w:outlineLvl w:val="1"/>
        <w:rPr>
          <w:rFonts w:ascii="Verdana" w:eastAsia="Times New Roman" w:hAnsi="Verdana" w:cs="Times New Roman"/>
          <w:color w:val="000000" w:themeColor="text1"/>
          <w:sz w:val="18"/>
          <w:szCs w:val="18"/>
          <w:lang w:eastAsia="en-ZA"/>
        </w:rPr>
      </w:pPr>
    </w:p>
    <w:p w14:paraId="2207A325" w14:textId="6F444254" w:rsidR="00CE183D" w:rsidRPr="00B11D8A" w:rsidRDefault="00BF5C0C" w:rsidP="00BF5C0C">
      <w:pPr>
        <w:shd w:val="clear" w:color="auto" w:fill="FFFFFF"/>
        <w:spacing w:after="0" w:line="240" w:lineRule="auto"/>
        <w:ind w:left="2874" w:hanging="684"/>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(i)</w:t>
      </w:r>
      <w:r w:rsidRPr="00B11D8A">
        <w:rPr>
          <w:rFonts w:ascii="Verdana" w:eastAsia="Times New Roman" w:hAnsi="Verdana" w:cs="Times New Roman"/>
          <w:i/>
          <w:iCs/>
          <w:color w:val="000000" w:themeColor="text1"/>
          <w:sz w:val="18"/>
          <w:szCs w:val="18"/>
          <w:lang w:eastAsia="en-ZA"/>
        </w:rPr>
        <w:tab/>
      </w:r>
      <w:r w:rsidR="00CE183D" w:rsidRPr="00B11D8A">
        <w:rPr>
          <w:rFonts w:ascii="Verdana" w:eastAsia="Times New Roman" w:hAnsi="Verdana" w:cs="Times New Roman"/>
          <w:i/>
          <w:iCs/>
          <w:color w:val="000000" w:themeColor="text1"/>
          <w:sz w:val="18"/>
          <w:szCs w:val="18"/>
          <w:lang w:eastAsia="en-ZA"/>
        </w:rPr>
        <w:t>whether the party applying for such an order has taken reasonable steps in good faith, to make alternative arrangements with all affected persons, including, but not limited to, payment arrangements that would preclude the need for any relocation during the national state of disaster.</w:t>
      </w:r>
    </w:p>
    <w:p w14:paraId="1FECF7F1" w14:textId="46F160B5" w:rsidR="00CE183D" w:rsidRPr="00B11D8A" w:rsidRDefault="00CE183D" w:rsidP="00DE1DF4">
      <w:pPr>
        <w:shd w:val="clear" w:color="auto" w:fill="FFFFFF"/>
        <w:spacing w:before="90" w:after="0" w:line="240" w:lineRule="auto"/>
        <w:ind w:left="1701" w:hanging="351"/>
        <w:jc w:val="both"/>
        <w:rPr>
          <w:rFonts w:ascii="Verdana" w:eastAsia="Times New Roman" w:hAnsi="Verdana" w:cs="Times New Roman"/>
          <w:color w:val="000000" w:themeColor="text1"/>
          <w:sz w:val="18"/>
          <w:szCs w:val="18"/>
          <w:lang w:eastAsia="en-ZA"/>
        </w:rPr>
      </w:pPr>
      <w:r w:rsidRPr="00B11D8A">
        <w:rPr>
          <w:rFonts w:ascii="Verdana" w:eastAsia="Times New Roman" w:hAnsi="Verdana" w:cs="Times New Roman"/>
          <w:i/>
          <w:iCs/>
          <w:color w:val="000000" w:themeColor="text1"/>
          <w:sz w:val="18"/>
          <w:szCs w:val="18"/>
          <w:lang w:eastAsia="en-ZA"/>
        </w:rPr>
        <w:t>(3) A court hearing any application to authorise an eviction or demolition may, where appropriate and in addition to any other report that is required by law, request a report from the responsible member of the executive regarding the availability of any emergency accommodation or quarantine or isolation facilities pursuant to these Regulations.</w:t>
      </w:r>
      <w:r w:rsidR="00BF5C0C" w:rsidRPr="00B11D8A">
        <w:rPr>
          <w:rFonts w:ascii="Verdana" w:eastAsia="Times New Roman" w:hAnsi="Verdana" w:cs="Times New Roman"/>
          <w:i/>
          <w:iCs/>
          <w:color w:val="000000" w:themeColor="text1"/>
          <w:sz w:val="18"/>
          <w:szCs w:val="18"/>
          <w:lang w:eastAsia="en-ZA"/>
        </w:rPr>
        <w:t>”</w:t>
      </w:r>
      <w:r w:rsidR="00590CE3" w:rsidRPr="00B11D8A">
        <w:rPr>
          <w:rFonts w:ascii="Verdana" w:eastAsia="Times New Roman" w:hAnsi="Verdana" w:cs="Times New Roman"/>
          <w:i/>
          <w:iCs/>
          <w:color w:val="000000" w:themeColor="text1"/>
          <w:sz w:val="18"/>
          <w:szCs w:val="18"/>
          <w:lang w:eastAsia="en-ZA"/>
        </w:rPr>
        <w:t xml:space="preserve"> </w:t>
      </w:r>
      <w:r w:rsidR="00590CE3" w:rsidRPr="00B11D8A">
        <w:rPr>
          <w:rFonts w:ascii="Verdana" w:eastAsia="Times New Roman" w:hAnsi="Verdana" w:cs="Times New Roman"/>
          <w:color w:val="000000" w:themeColor="text1"/>
          <w:sz w:val="18"/>
          <w:szCs w:val="18"/>
          <w:lang w:eastAsia="en-ZA"/>
        </w:rPr>
        <w:t>(my emphasis)</w:t>
      </w:r>
    </w:p>
    <w:p w14:paraId="59BA606E" w14:textId="77777777" w:rsidR="00BF5C0C" w:rsidRPr="00B11D8A" w:rsidRDefault="00BF5C0C" w:rsidP="00BF5C0C">
      <w:pPr>
        <w:shd w:val="clear" w:color="auto" w:fill="FFFFFF"/>
        <w:spacing w:after="0" w:line="240" w:lineRule="auto"/>
        <w:rPr>
          <w:rFonts w:ascii="Verdana" w:eastAsia="Times New Roman" w:hAnsi="Verdana" w:cs="Times New Roman"/>
          <w:color w:val="000000" w:themeColor="text1"/>
          <w:sz w:val="21"/>
          <w:szCs w:val="21"/>
          <w:lang w:eastAsia="en-ZA"/>
        </w:rPr>
      </w:pPr>
    </w:p>
    <w:p w14:paraId="0E5ACD7F" w14:textId="77777777" w:rsidR="00B173F4" w:rsidRPr="00B11D8A" w:rsidRDefault="00B173F4" w:rsidP="00B173F4">
      <w:pPr>
        <w:pStyle w:val="Indent"/>
        <w:keepNext/>
        <w:widowControl w:val="0"/>
        <w:numPr>
          <w:ilvl w:val="0"/>
          <w:numId w:val="0"/>
        </w:numPr>
        <w:spacing w:after="360" w:line="480" w:lineRule="auto"/>
        <w:jc w:val="both"/>
        <w:rPr>
          <w:rFonts w:ascii="Verdana" w:hAnsi="Verdana"/>
          <w:b/>
          <w:color w:val="000000" w:themeColor="text1"/>
          <w:sz w:val="22"/>
          <w:szCs w:val="22"/>
          <w:lang w:val="en-GB"/>
        </w:rPr>
      </w:pPr>
    </w:p>
    <w:p w14:paraId="23BE3393" w14:textId="4FDE4057" w:rsidR="001F1837" w:rsidRPr="00B11D8A" w:rsidRDefault="00B77EEA" w:rsidP="001F1837">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1"/>
          <w:szCs w:val="21"/>
          <w:lang w:eastAsia="en-ZA"/>
        </w:rPr>
        <w:t>Ultimately the</w:t>
      </w:r>
      <w:r w:rsidR="00B23675" w:rsidRPr="00B11D8A">
        <w:rPr>
          <w:rFonts w:ascii="Verdana" w:hAnsi="Verdana"/>
          <w:color w:val="000000" w:themeColor="text1"/>
          <w:sz w:val="21"/>
          <w:szCs w:val="21"/>
          <w:lang w:eastAsia="en-ZA"/>
        </w:rPr>
        <w:t xml:space="preserve"> power whether to suspend or stay the eviction order remains discretionary.</w:t>
      </w:r>
    </w:p>
    <w:p w14:paraId="5B875CAE" w14:textId="5BCA1921" w:rsidR="009A0C4B" w:rsidRPr="00B11D8A" w:rsidRDefault="006B737F" w:rsidP="009A0C4B">
      <w:pPr>
        <w:pStyle w:val="Indent"/>
        <w:widowControl w:val="0"/>
        <w:spacing w:after="360" w:line="480" w:lineRule="auto"/>
        <w:ind w:left="709" w:hanging="709"/>
        <w:jc w:val="both"/>
        <w:rPr>
          <w:rFonts w:ascii="Verdana" w:hAnsi="Verdana"/>
          <w:color w:val="000000" w:themeColor="text1"/>
          <w:sz w:val="21"/>
          <w:szCs w:val="21"/>
          <w:lang w:eastAsia="en-ZA"/>
        </w:rPr>
      </w:pPr>
      <w:r w:rsidRPr="00B11D8A">
        <w:rPr>
          <w:rFonts w:ascii="Verdana" w:hAnsi="Verdana"/>
          <w:color w:val="000000" w:themeColor="text1"/>
          <w:sz w:val="22"/>
          <w:szCs w:val="22"/>
          <w:lang w:val="en-GB"/>
        </w:rPr>
        <w:lastRenderedPageBreak/>
        <w:t xml:space="preserve">As the court stated in </w:t>
      </w:r>
      <w:r w:rsidR="00896DE9" w:rsidRPr="00B11D8A">
        <w:rPr>
          <w:rFonts w:ascii="Verdana" w:hAnsi="Verdana"/>
          <w:color w:val="000000" w:themeColor="text1"/>
          <w:sz w:val="22"/>
          <w:szCs w:val="22"/>
          <w:u w:val="single"/>
          <w:lang w:val="en-GB"/>
        </w:rPr>
        <w:t>Rat</w:t>
      </w:r>
      <w:r w:rsidR="00B77EEA" w:rsidRPr="00B11D8A">
        <w:rPr>
          <w:rFonts w:ascii="Verdana" w:hAnsi="Verdana"/>
          <w:color w:val="000000" w:themeColor="text1"/>
          <w:sz w:val="22"/>
          <w:szCs w:val="22"/>
          <w:u w:val="single"/>
          <w:lang w:val="en-GB"/>
        </w:rPr>
        <w:t>h</w:t>
      </w:r>
      <w:r w:rsidR="00896DE9" w:rsidRPr="00B11D8A">
        <w:rPr>
          <w:rFonts w:ascii="Verdana" w:hAnsi="Verdana"/>
          <w:color w:val="000000" w:themeColor="text1"/>
          <w:sz w:val="22"/>
          <w:szCs w:val="22"/>
          <w:u w:val="single"/>
          <w:lang w:val="en-GB"/>
        </w:rPr>
        <w:t>abeng</w:t>
      </w:r>
      <w:r w:rsidR="00896DE9" w:rsidRPr="00B11D8A">
        <w:rPr>
          <w:rFonts w:ascii="Verdana" w:hAnsi="Verdana"/>
          <w:color w:val="000000" w:themeColor="text1"/>
          <w:sz w:val="22"/>
          <w:szCs w:val="22"/>
          <w:lang w:val="en-GB"/>
        </w:rPr>
        <w:t xml:space="preserve"> </w:t>
      </w:r>
      <w:r w:rsidR="001F1837" w:rsidRPr="00B11D8A">
        <w:rPr>
          <w:rFonts w:ascii="Verdana" w:hAnsi="Verdana"/>
          <w:color w:val="000000" w:themeColor="text1"/>
          <w:sz w:val="22"/>
          <w:szCs w:val="22"/>
          <w:lang w:eastAsia="en-ZA"/>
        </w:rPr>
        <w:t xml:space="preserve">common sense should compel the conclusion that the restrictions provided for in Levels 1 and 2 should </w:t>
      </w:r>
      <w:r w:rsidR="00983E4A" w:rsidRPr="00B11D8A">
        <w:rPr>
          <w:rFonts w:ascii="Verdana" w:hAnsi="Verdana"/>
          <w:color w:val="000000" w:themeColor="text1"/>
          <w:sz w:val="22"/>
          <w:szCs w:val="22"/>
          <w:lang w:eastAsia="en-ZA"/>
        </w:rPr>
        <w:t xml:space="preserve">be </w:t>
      </w:r>
      <w:r w:rsidR="001F1837" w:rsidRPr="00B11D8A">
        <w:rPr>
          <w:rFonts w:ascii="Verdana" w:hAnsi="Verdana"/>
          <w:color w:val="000000" w:themeColor="text1"/>
          <w:sz w:val="22"/>
          <w:szCs w:val="22"/>
          <w:lang w:eastAsia="en-ZA"/>
        </w:rPr>
        <w:t>less onerous than those for Level 3 and 4 where the risks posed by the COVID-19 pandemic are less than they would be under Level 3.</w:t>
      </w:r>
    </w:p>
    <w:p w14:paraId="2802CEBB" w14:textId="1F2404DF" w:rsidR="008221F5" w:rsidRPr="00B11D8A" w:rsidRDefault="009A0C4B" w:rsidP="008221F5">
      <w:pPr>
        <w:pStyle w:val="Indent"/>
        <w:widowControl w:val="0"/>
        <w:spacing w:after="360" w:line="480" w:lineRule="auto"/>
        <w:ind w:left="709" w:hanging="709"/>
        <w:jc w:val="both"/>
        <w:rPr>
          <w:rFonts w:ascii="Verdana" w:hAnsi="Verdana"/>
          <w:color w:val="000000" w:themeColor="text1"/>
          <w:sz w:val="21"/>
          <w:szCs w:val="21"/>
          <w:lang w:eastAsia="en-ZA"/>
        </w:rPr>
      </w:pPr>
      <w:r w:rsidRPr="00B11D8A">
        <w:rPr>
          <w:rFonts w:ascii="Verdana" w:hAnsi="Verdana"/>
          <w:color w:val="000000" w:themeColor="text1"/>
          <w:sz w:val="22"/>
          <w:szCs w:val="22"/>
          <w:lang w:eastAsia="en-ZA"/>
        </w:rPr>
        <w:t xml:space="preserve">Judicial notice in my view can be taken of the fact that </w:t>
      </w:r>
      <w:r w:rsidR="008371B0" w:rsidRPr="00B11D8A">
        <w:rPr>
          <w:rFonts w:ascii="Verdana" w:hAnsi="Verdana"/>
          <w:color w:val="000000" w:themeColor="text1"/>
          <w:sz w:val="22"/>
          <w:szCs w:val="22"/>
          <w:lang w:eastAsia="en-ZA"/>
        </w:rPr>
        <w:t xml:space="preserve">since </w:t>
      </w:r>
      <w:r w:rsidRPr="00B11D8A">
        <w:rPr>
          <w:rFonts w:ascii="Verdana" w:hAnsi="Verdana"/>
          <w:color w:val="000000" w:themeColor="text1"/>
          <w:sz w:val="22"/>
          <w:szCs w:val="22"/>
          <w:lang w:eastAsia="en-ZA"/>
        </w:rPr>
        <w:t xml:space="preserve">the  'third wave' of the pandemic </w:t>
      </w:r>
      <w:r w:rsidR="00983E4A" w:rsidRPr="00B11D8A">
        <w:rPr>
          <w:rFonts w:ascii="Verdana" w:hAnsi="Verdana"/>
          <w:color w:val="000000" w:themeColor="text1"/>
          <w:sz w:val="22"/>
          <w:szCs w:val="22"/>
          <w:lang w:eastAsia="en-ZA"/>
        </w:rPr>
        <w:t>arrived in South Africa, there</w:t>
      </w:r>
      <w:r w:rsidR="008371B0" w:rsidRPr="00B11D8A">
        <w:rPr>
          <w:rFonts w:ascii="Verdana" w:hAnsi="Verdana"/>
          <w:color w:val="000000" w:themeColor="text1"/>
          <w:sz w:val="22"/>
          <w:szCs w:val="22"/>
          <w:lang w:eastAsia="en-ZA"/>
        </w:rPr>
        <w:t xml:space="preserve"> has been some decline </w:t>
      </w:r>
      <w:r w:rsidRPr="00B11D8A">
        <w:rPr>
          <w:rFonts w:ascii="Verdana" w:hAnsi="Verdana"/>
          <w:color w:val="000000" w:themeColor="text1"/>
          <w:sz w:val="22"/>
          <w:szCs w:val="22"/>
          <w:lang w:eastAsia="en-ZA"/>
        </w:rPr>
        <w:t xml:space="preserve">in new infections </w:t>
      </w:r>
      <w:r w:rsidR="008371B0" w:rsidRPr="00B11D8A">
        <w:rPr>
          <w:rFonts w:ascii="Verdana" w:hAnsi="Verdana"/>
          <w:color w:val="000000" w:themeColor="text1"/>
          <w:sz w:val="22"/>
          <w:szCs w:val="22"/>
          <w:lang w:eastAsia="en-ZA"/>
        </w:rPr>
        <w:t xml:space="preserve">and that Government is </w:t>
      </w:r>
      <w:r w:rsidR="009D6F42" w:rsidRPr="00B11D8A">
        <w:rPr>
          <w:rFonts w:ascii="Verdana" w:hAnsi="Verdana"/>
          <w:color w:val="000000" w:themeColor="text1"/>
          <w:sz w:val="22"/>
          <w:szCs w:val="22"/>
          <w:lang w:eastAsia="en-ZA"/>
        </w:rPr>
        <w:t>making every effort to ensure that vaccinations are administered at a rapid pace</w:t>
      </w:r>
      <w:r w:rsidRPr="00B11D8A">
        <w:rPr>
          <w:rFonts w:ascii="Verdana" w:hAnsi="Verdana"/>
          <w:color w:val="000000" w:themeColor="text1"/>
          <w:sz w:val="22"/>
          <w:szCs w:val="22"/>
          <w:lang w:eastAsia="en-ZA"/>
        </w:rPr>
        <w:t xml:space="preserve">. Nonetheless </w:t>
      </w:r>
      <w:r w:rsidR="009D6F42" w:rsidRPr="00B11D8A">
        <w:rPr>
          <w:rFonts w:ascii="Verdana" w:hAnsi="Verdana"/>
          <w:color w:val="000000" w:themeColor="text1"/>
          <w:sz w:val="22"/>
          <w:szCs w:val="22"/>
          <w:lang w:eastAsia="en-ZA"/>
        </w:rPr>
        <w:t xml:space="preserve">one cannot ignore the highly </w:t>
      </w:r>
      <w:r w:rsidR="008221F5" w:rsidRPr="00B11D8A">
        <w:rPr>
          <w:rFonts w:ascii="Verdana" w:hAnsi="Verdana"/>
          <w:color w:val="000000" w:themeColor="text1"/>
          <w:sz w:val="22"/>
          <w:szCs w:val="22"/>
          <w:lang w:eastAsia="en-ZA"/>
        </w:rPr>
        <w:t>infectious</w:t>
      </w:r>
      <w:r w:rsidR="009D6F42" w:rsidRPr="00B11D8A">
        <w:rPr>
          <w:rFonts w:ascii="Verdana" w:hAnsi="Verdana"/>
          <w:color w:val="000000" w:themeColor="text1"/>
          <w:sz w:val="22"/>
          <w:szCs w:val="22"/>
          <w:lang w:eastAsia="en-ZA"/>
        </w:rPr>
        <w:t xml:space="preserve"> Delta variant </w:t>
      </w:r>
      <w:r w:rsidR="008221F5" w:rsidRPr="00B11D8A">
        <w:rPr>
          <w:rFonts w:ascii="Verdana" w:hAnsi="Verdana"/>
          <w:color w:val="000000" w:themeColor="text1"/>
          <w:sz w:val="22"/>
          <w:szCs w:val="22"/>
          <w:lang w:eastAsia="en-ZA"/>
        </w:rPr>
        <w:t>of the corona virus either.</w:t>
      </w:r>
    </w:p>
    <w:p w14:paraId="3090A11F" w14:textId="77777777" w:rsidR="007F01A5" w:rsidRPr="00B11D8A" w:rsidRDefault="009A0C4B" w:rsidP="007F01A5">
      <w:pPr>
        <w:pStyle w:val="Indent"/>
        <w:widowControl w:val="0"/>
        <w:spacing w:after="360" w:line="480" w:lineRule="auto"/>
        <w:ind w:left="709" w:hanging="709"/>
        <w:jc w:val="both"/>
        <w:rPr>
          <w:rFonts w:ascii="Verdana" w:hAnsi="Verdana"/>
          <w:color w:val="000000" w:themeColor="text1"/>
          <w:sz w:val="22"/>
          <w:szCs w:val="22"/>
          <w:lang w:eastAsia="en-ZA"/>
        </w:rPr>
      </w:pPr>
      <w:r w:rsidRPr="00B11D8A">
        <w:rPr>
          <w:rFonts w:ascii="Verdana" w:hAnsi="Verdana"/>
          <w:color w:val="000000" w:themeColor="text1"/>
          <w:sz w:val="22"/>
          <w:szCs w:val="22"/>
          <w:lang w:eastAsia="en-ZA"/>
        </w:rPr>
        <w:t xml:space="preserve">Based upon such relevant factors I am of the </w:t>
      </w:r>
      <w:r w:rsidR="00510D98" w:rsidRPr="00B11D8A">
        <w:rPr>
          <w:rFonts w:ascii="Verdana" w:hAnsi="Verdana"/>
          <w:color w:val="000000" w:themeColor="text1"/>
          <w:sz w:val="22"/>
          <w:szCs w:val="22"/>
          <w:lang w:eastAsia="en-ZA"/>
        </w:rPr>
        <w:t>view</w:t>
      </w:r>
      <w:r w:rsidRPr="00B11D8A">
        <w:rPr>
          <w:rFonts w:ascii="Verdana" w:hAnsi="Verdana"/>
          <w:color w:val="000000" w:themeColor="text1"/>
          <w:sz w:val="22"/>
          <w:szCs w:val="22"/>
          <w:lang w:eastAsia="en-ZA"/>
        </w:rPr>
        <w:t xml:space="preserve"> that it would be just and equitable to stay or suspend the eviction order until after the end of </w:t>
      </w:r>
      <w:r w:rsidR="00510D98" w:rsidRPr="00B11D8A">
        <w:rPr>
          <w:rFonts w:ascii="Verdana" w:hAnsi="Verdana"/>
          <w:color w:val="000000" w:themeColor="text1"/>
          <w:sz w:val="22"/>
          <w:szCs w:val="22"/>
          <w:lang w:eastAsia="en-ZA"/>
        </w:rPr>
        <w:t>a</w:t>
      </w:r>
      <w:r w:rsidRPr="00B11D8A">
        <w:rPr>
          <w:rFonts w:ascii="Verdana" w:hAnsi="Verdana"/>
          <w:color w:val="000000" w:themeColor="text1"/>
          <w:sz w:val="22"/>
          <w:szCs w:val="22"/>
          <w:lang w:eastAsia="en-ZA"/>
        </w:rPr>
        <w:t xml:space="preserve">djusted </w:t>
      </w:r>
      <w:r w:rsidR="00510D98" w:rsidRPr="00B11D8A">
        <w:rPr>
          <w:rFonts w:ascii="Verdana" w:hAnsi="Verdana"/>
          <w:color w:val="000000" w:themeColor="text1"/>
          <w:sz w:val="22"/>
          <w:szCs w:val="22"/>
          <w:lang w:eastAsia="en-ZA"/>
        </w:rPr>
        <w:t>l</w:t>
      </w:r>
      <w:r w:rsidRPr="00B11D8A">
        <w:rPr>
          <w:rFonts w:ascii="Verdana" w:hAnsi="Verdana"/>
          <w:color w:val="000000" w:themeColor="text1"/>
          <w:sz w:val="22"/>
          <w:szCs w:val="22"/>
          <w:lang w:eastAsia="en-ZA"/>
        </w:rPr>
        <w:t>evel 3</w:t>
      </w:r>
      <w:r w:rsidR="00510D98" w:rsidRPr="00B11D8A">
        <w:rPr>
          <w:rFonts w:ascii="Verdana" w:hAnsi="Verdana"/>
          <w:color w:val="000000" w:themeColor="text1"/>
          <w:sz w:val="22"/>
          <w:szCs w:val="22"/>
          <w:lang w:eastAsia="en-ZA"/>
        </w:rPr>
        <w:t xml:space="preserve">. </w:t>
      </w:r>
      <w:r w:rsidRPr="00B11D8A">
        <w:rPr>
          <w:rFonts w:ascii="Verdana" w:hAnsi="Verdana"/>
          <w:color w:val="000000" w:themeColor="text1"/>
          <w:sz w:val="22"/>
          <w:szCs w:val="22"/>
          <w:lang w:eastAsia="en-ZA"/>
        </w:rPr>
        <w:t xml:space="preserve">This means that </w:t>
      </w:r>
      <w:r w:rsidR="00FF5A04" w:rsidRPr="00B11D8A">
        <w:rPr>
          <w:rFonts w:ascii="Verdana" w:hAnsi="Verdana"/>
          <w:color w:val="000000" w:themeColor="text1"/>
          <w:sz w:val="22"/>
          <w:szCs w:val="22"/>
          <w:lang w:eastAsia="en-ZA"/>
        </w:rPr>
        <w:t>Ms Gilhar</w:t>
      </w:r>
      <w:r w:rsidRPr="00B11D8A">
        <w:rPr>
          <w:rFonts w:ascii="Verdana" w:hAnsi="Verdana"/>
          <w:color w:val="000000" w:themeColor="text1"/>
          <w:sz w:val="22"/>
          <w:szCs w:val="22"/>
          <w:lang w:eastAsia="en-ZA"/>
        </w:rPr>
        <w:t xml:space="preserve"> and other occupants of the property will have two weeks after the end of </w:t>
      </w:r>
      <w:r w:rsidR="00FF5A04" w:rsidRPr="00B11D8A">
        <w:rPr>
          <w:rFonts w:ascii="Verdana" w:hAnsi="Verdana"/>
          <w:color w:val="000000" w:themeColor="text1"/>
          <w:sz w:val="22"/>
          <w:szCs w:val="22"/>
          <w:lang w:eastAsia="en-ZA"/>
        </w:rPr>
        <w:t>a</w:t>
      </w:r>
      <w:r w:rsidRPr="00B11D8A">
        <w:rPr>
          <w:rFonts w:ascii="Verdana" w:hAnsi="Verdana"/>
          <w:color w:val="000000" w:themeColor="text1"/>
          <w:sz w:val="22"/>
          <w:szCs w:val="22"/>
          <w:lang w:eastAsia="en-ZA"/>
        </w:rPr>
        <w:t xml:space="preserve">djusted </w:t>
      </w:r>
      <w:r w:rsidR="00FF5A04" w:rsidRPr="00B11D8A">
        <w:rPr>
          <w:rFonts w:ascii="Verdana" w:hAnsi="Verdana"/>
          <w:color w:val="000000" w:themeColor="text1"/>
          <w:sz w:val="22"/>
          <w:szCs w:val="22"/>
          <w:lang w:eastAsia="en-ZA"/>
        </w:rPr>
        <w:t>l</w:t>
      </w:r>
      <w:r w:rsidRPr="00B11D8A">
        <w:rPr>
          <w:rFonts w:ascii="Verdana" w:hAnsi="Verdana"/>
          <w:color w:val="000000" w:themeColor="text1"/>
          <w:sz w:val="22"/>
          <w:szCs w:val="22"/>
          <w:lang w:eastAsia="en-ZA"/>
        </w:rPr>
        <w:t>evel 3</w:t>
      </w:r>
      <w:r w:rsidR="00FF5A04" w:rsidRPr="00B11D8A">
        <w:rPr>
          <w:rFonts w:ascii="Verdana" w:hAnsi="Verdana"/>
          <w:color w:val="000000" w:themeColor="text1"/>
          <w:sz w:val="22"/>
          <w:szCs w:val="22"/>
          <w:lang w:eastAsia="en-ZA"/>
        </w:rPr>
        <w:t xml:space="preserve"> </w:t>
      </w:r>
      <w:r w:rsidRPr="00B11D8A">
        <w:rPr>
          <w:rFonts w:ascii="Verdana" w:hAnsi="Verdana"/>
          <w:color w:val="000000" w:themeColor="text1"/>
          <w:sz w:val="22"/>
          <w:szCs w:val="22"/>
          <w:lang w:eastAsia="en-ZA"/>
        </w:rPr>
        <w:t xml:space="preserve">to vacate the property, failing which the eviction order may be carried out a further two weeks thereafter. This effectively affords </w:t>
      </w:r>
      <w:r w:rsidR="00FF5A04" w:rsidRPr="00B11D8A">
        <w:rPr>
          <w:rFonts w:ascii="Verdana" w:hAnsi="Verdana"/>
          <w:color w:val="000000" w:themeColor="text1"/>
          <w:sz w:val="22"/>
          <w:szCs w:val="22"/>
          <w:lang w:eastAsia="en-ZA"/>
        </w:rPr>
        <w:t>Ms Gilhar</w:t>
      </w:r>
      <w:r w:rsidRPr="00B11D8A">
        <w:rPr>
          <w:rFonts w:ascii="Verdana" w:hAnsi="Verdana"/>
          <w:color w:val="000000" w:themeColor="text1"/>
          <w:sz w:val="22"/>
          <w:szCs w:val="22"/>
          <w:lang w:eastAsia="en-ZA"/>
        </w:rPr>
        <w:t xml:space="preserve"> and other occupants a month to vacate the property once the present </w:t>
      </w:r>
      <w:r w:rsidR="00FF5A04" w:rsidRPr="00B11D8A">
        <w:rPr>
          <w:rFonts w:ascii="Verdana" w:hAnsi="Verdana"/>
          <w:color w:val="000000" w:themeColor="text1"/>
          <w:sz w:val="22"/>
          <w:szCs w:val="22"/>
          <w:lang w:eastAsia="en-ZA"/>
        </w:rPr>
        <w:t>a</w:t>
      </w:r>
      <w:r w:rsidRPr="00B11D8A">
        <w:rPr>
          <w:rFonts w:ascii="Verdana" w:hAnsi="Verdana"/>
          <w:color w:val="000000" w:themeColor="text1"/>
          <w:sz w:val="22"/>
          <w:szCs w:val="22"/>
          <w:lang w:eastAsia="en-ZA"/>
        </w:rPr>
        <w:t xml:space="preserve">djusted </w:t>
      </w:r>
      <w:r w:rsidR="00FF5A04" w:rsidRPr="00B11D8A">
        <w:rPr>
          <w:rFonts w:ascii="Verdana" w:hAnsi="Verdana"/>
          <w:color w:val="000000" w:themeColor="text1"/>
          <w:sz w:val="22"/>
          <w:szCs w:val="22"/>
          <w:lang w:eastAsia="en-ZA"/>
        </w:rPr>
        <w:t>l</w:t>
      </w:r>
      <w:r w:rsidRPr="00B11D8A">
        <w:rPr>
          <w:rFonts w:ascii="Verdana" w:hAnsi="Verdana"/>
          <w:color w:val="000000" w:themeColor="text1"/>
          <w:sz w:val="22"/>
          <w:szCs w:val="22"/>
          <w:lang w:eastAsia="en-ZA"/>
        </w:rPr>
        <w:t>evel 3 ends</w:t>
      </w:r>
      <w:r w:rsidR="00FF5A04" w:rsidRPr="00B11D8A">
        <w:rPr>
          <w:rFonts w:ascii="Verdana" w:hAnsi="Verdana"/>
          <w:color w:val="000000" w:themeColor="text1"/>
          <w:sz w:val="22"/>
          <w:szCs w:val="22"/>
          <w:lang w:eastAsia="en-ZA"/>
        </w:rPr>
        <w:t>.</w:t>
      </w:r>
    </w:p>
    <w:p w14:paraId="001302BB" w14:textId="06016006" w:rsidR="00B23675" w:rsidRPr="00B11D8A" w:rsidRDefault="007F01A5" w:rsidP="001B1010">
      <w:pPr>
        <w:pStyle w:val="Indent"/>
        <w:widowControl w:val="0"/>
        <w:spacing w:after="360" w:line="480" w:lineRule="auto"/>
        <w:ind w:left="709" w:hanging="709"/>
        <w:jc w:val="both"/>
        <w:rPr>
          <w:rFonts w:ascii="Verdana" w:hAnsi="Verdana"/>
          <w:color w:val="000000" w:themeColor="text1"/>
          <w:sz w:val="22"/>
          <w:szCs w:val="22"/>
          <w:lang w:eastAsia="en-ZA"/>
        </w:rPr>
      </w:pPr>
      <w:r w:rsidRPr="00B11D8A">
        <w:rPr>
          <w:rFonts w:ascii="Verdana" w:hAnsi="Verdana"/>
          <w:color w:val="000000" w:themeColor="text1"/>
          <w:sz w:val="22"/>
          <w:szCs w:val="22"/>
          <w:lang w:eastAsia="en-ZA"/>
        </w:rPr>
        <w:t xml:space="preserve">The </w:t>
      </w:r>
      <w:r w:rsidR="009A0C4B" w:rsidRPr="00B11D8A">
        <w:rPr>
          <w:rFonts w:ascii="Verdana" w:hAnsi="Verdana"/>
          <w:color w:val="000000" w:themeColor="text1"/>
          <w:sz w:val="22"/>
          <w:szCs w:val="22"/>
          <w:lang w:eastAsia="en-ZA"/>
        </w:rPr>
        <w:t xml:space="preserve">stay of the eviction order </w:t>
      </w:r>
      <w:r w:rsidR="00F81F21" w:rsidRPr="00B11D8A">
        <w:rPr>
          <w:rFonts w:ascii="Verdana" w:hAnsi="Verdana"/>
          <w:color w:val="000000" w:themeColor="text1"/>
          <w:sz w:val="22"/>
          <w:szCs w:val="22"/>
          <w:lang w:eastAsia="en-ZA"/>
        </w:rPr>
        <w:t>shall be a</w:t>
      </w:r>
      <w:r w:rsidR="009A0C4B" w:rsidRPr="00B11D8A">
        <w:rPr>
          <w:rFonts w:ascii="Verdana" w:hAnsi="Verdana"/>
          <w:color w:val="000000" w:themeColor="text1"/>
          <w:sz w:val="22"/>
          <w:szCs w:val="22"/>
          <w:lang w:eastAsia="en-ZA"/>
        </w:rPr>
        <w:t xml:space="preserve"> condition as envisaged in terms of section 4(12) of PIE, </w:t>
      </w:r>
      <w:r w:rsidR="00F81F21" w:rsidRPr="00B11D8A">
        <w:rPr>
          <w:rFonts w:ascii="Verdana" w:hAnsi="Verdana"/>
          <w:color w:val="000000" w:themeColor="text1"/>
          <w:sz w:val="22"/>
          <w:szCs w:val="22"/>
          <w:lang w:eastAsia="en-ZA"/>
        </w:rPr>
        <w:t>which will</w:t>
      </w:r>
      <w:r w:rsidR="009A0C4B" w:rsidRPr="00B11D8A">
        <w:rPr>
          <w:rFonts w:ascii="Verdana" w:hAnsi="Verdana"/>
          <w:color w:val="000000" w:themeColor="text1"/>
          <w:sz w:val="22"/>
          <w:szCs w:val="22"/>
          <w:lang w:eastAsia="en-ZA"/>
        </w:rPr>
        <w:t xml:space="preserve"> enabl</w:t>
      </w:r>
      <w:r w:rsidR="00F81F21" w:rsidRPr="00B11D8A">
        <w:rPr>
          <w:rFonts w:ascii="Verdana" w:hAnsi="Verdana"/>
          <w:color w:val="000000" w:themeColor="text1"/>
          <w:sz w:val="22"/>
          <w:szCs w:val="22"/>
          <w:lang w:eastAsia="en-ZA"/>
        </w:rPr>
        <w:t>e</w:t>
      </w:r>
      <w:r w:rsidR="009A0C4B" w:rsidRPr="00B11D8A">
        <w:rPr>
          <w:rFonts w:ascii="Verdana" w:hAnsi="Verdana"/>
          <w:color w:val="000000" w:themeColor="text1"/>
          <w:sz w:val="22"/>
          <w:szCs w:val="22"/>
          <w:lang w:eastAsia="en-ZA"/>
        </w:rPr>
        <w:t xml:space="preserve"> either of the parties to approach the court in terms of that subsection, on good cause shown, for a variation of the eviction order. This allows for the exigencies that may arise, such as a resurgence in the spread of the COVID-19 virus. </w:t>
      </w:r>
      <w:r w:rsidR="00F81F21" w:rsidRPr="00B11D8A">
        <w:rPr>
          <w:rFonts w:ascii="Verdana" w:hAnsi="Verdana"/>
          <w:color w:val="000000" w:themeColor="text1"/>
          <w:sz w:val="22"/>
          <w:szCs w:val="22"/>
          <w:lang w:eastAsia="en-ZA"/>
        </w:rPr>
        <w:t>“</w:t>
      </w:r>
      <w:r w:rsidR="009A0C4B" w:rsidRPr="00B11D8A">
        <w:rPr>
          <w:rFonts w:ascii="Verdana" w:hAnsi="Verdana"/>
          <w:i/>
          <w:iCs/>
          <w:color w:val="000000" w:themeColor="text1"/>
          <w:sz w:val="22"/>
          <w:szCs w:val="22"/>
          <w:lang w:eastAsia="en-ZA"/>
        </w:rPr>
        <w:t xml:space="preserve">The regulations themselves are in a state of flux and therefore too an order of suspension cannot be so cast in stone that it cannot be revisited should it be necessary </w:t>
      </w:r>
      <w:r w:rsidR="009A0C4B" w:rsidRPr="00B11D8A">
        <w:rPr>
          <w:rFonts w:ascii="Verdana" w:hAnsi="Verdana"/>
          <w:i/>
          <w:iCs/>
          <w:color w:val="000000" w:themeColor="text1"/>
          <w:sz w:val="22"/>
          <w:szCs w:val="22"/>
          <w:lang w:eastAsia="en-ZA"/>
        </w:rPr>
        <w:lastRenderedPageBreak/>
        <w:t>to do so if a change in circumstances so requires.</w:t>
      </w:r>
      <w:r w:rsidR="00F81F21" w:rsidRPr="00B11D8A">
        <w:rPr>
          <w:rFonts w:ascii="Verdana" w:hAnsi="Verdana"/>
          <w:color w:val="000000" w:themeColor="text1"/>
          <w:sz w:val="22"/>
          <w:szCs w:val="22"/>
          <w:lang w:eastAsia="en-ZA"/>
        </w:rPr>
        <w:t>”</w:t>
      </w:r>
      <w:r w:rsidR="00F81F21" w:rsidRPr="00B11D8A">
        <w:rPr>
          <w:rStyle w:val="FootnoteReference"/>
          <w:rFonts w:ascii="Verdana" w:hAnsi="Verdana"/>
          <w:color w:val="000000" w:themeColor="text1"/>
          <w:sz w:val="22"/>
          <w:szCs w:val="22"/>
          <w:lang w:eastAsia="en-ZA"/>
        </w:rPr>
        <w:footnoteReference w:id="38"/>
      </w:r>
    </w:p>
    <w:p w14:paraId="4BCA18F6" w14:textId="6E7FC7C3" w:rsidR="00B23675" w:rsidRPr="00B11D8A" w:rsidRDefault="00B23675" w:rsidP="00B23675">
      <w:pPr>
        <w:pStyle w:val="Indent"/>
        <w:widowControl w:val="0"/>
        <w:numPr>
          <w:ilvl w:val="0"/>
          <w:numId w:val="0"/>
        </w:numPr>
        <w:spacing w:after="360" w:line="480" w:lineRule="auto"/>
        <w:jc w:val="both"/>
        <w:rPr>
          <w:rFonts w:ascii="Verdana" w:hAnsi="Verdana"/>
          <w:b/>
          <w:bCs/>
          <w:color w:val="000000" w:themeColor="text1"/>
          <w:sz w:val="22"/>
          <w:szCs w:val="22"/>
          <w:lang w:val="en-GB"/>
        </w:rPr>
      </w:pPr>
      <w:r w:rsidRPr="00B11D8A">
        <w:rPr>
          <w:rFonts w:ascii="Verdana" w:hAnsi="Verdana"/>
          <w:b/>
          <w:bCs/>
          <w:color w:val="000000" w:themeColor="text1"/>
          <w:sz w:val="22"/>
          <w:szCs w:val="22"/>
        </w:rPr>
        <w:t>THE MONEY CLAIMS</w:t>
      </w:r>
    </w:p>
    <w:p w14:paraId="3F78FC7D" w14:textId="1E640F8C" w:rsidR="00940646" w:rsidRPr="00B11D8A" w:rsidRDefault="00940646"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As alluded, the Trust, simultaneously with the eviction proceedings, claims payment of rental, levies and water and electricity.  </w:t>
      </w:r>
    </w:p>
    <w:p w14:paraId="2F7171FF" w14:textId="071A2C1E" w:rsidR="00940646" w:rsidRPr="00B11D8A" w:rsidRDefault="005B2541" w:rsidP="005B2541">
      <w:pPr>
        <w:pStyle w:val="Indent"/>
        <w:keepNext/>
        <w:widowControl w:val="0"/>
        <w:numPr>
          <w:ilvl w:val="0"/>
          <w:numId w:val="0"/>
        </w:numPr>
        <w:spacing w:after="360" w:line="480" w:lineRule="auto"/>
        <w:jc w:val="both"/>
        <w:rPr>
          <w:rFonts w:ascii="Verdana" w:hAnsi="Verdana"/>
          <w:b/>
          <w:color w:val="000000" w:themeColor="text1"/>
          <w:sz w:val="22"/>
          <w:szCs w:val="22"/>
          <w:lang w:val="en-GB"/>
        </w:rPr>
      </w:pPr>
      <w:r w:rsidRPr="00B11D8A">
        <w:rPr>
          <w:rFonts w:ascii="Verdana" w:hAnsi="Verdana"/>
          <w:b/>
          <w:color w:val="000000" w:themeColor="text1"/>
          <w:sz w:val="22"/>
          <w:szCs w:val="22"/>
          <w:lang w:val="en-GB"/>
        </w:rPr>
        <w:t>Rental</w:t>
      </w:r>
    </w:p>
    <w:p w14:paraId="535AA29B" w14:textId="085BE50A" w:rsidR="005B2541" w:rsidRPr="00B11D8A" w:rsidRDefault="005B2541"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On the 12</w:t>
      </w:r>
      <w:r w:rsidRPr="00B11D8A">
        <w:rPr>
          <w:rFonts w:ascii="Verdana" w:hAnsi="Verdana"/>
          <w:color w:val="000000" w:themeColor="text1"/>
          <w:sz w:val="22"/>
          <w:szCs w:val="22"/>
          <w:vertAlign w:val="superscript"/>
          <w:lang w:val="en-GB"/>
        </w:rPr>
        <w:t>th</w:t>
      </w:r>
      <w:r w:rsidRPr="00B11D8A">
        <w:rPr>
          <w:rFonts w:ascii="Verdana" w:hAnsi="Verdana"/>
          <w:color w:val="000000" w:themeColor="text1"/>
          <w:sz w:val="22"/>
          <w:szCs w:val="22"/>
          <w:lang w:val="en-GB"/>
        </w:rPr>
        <w:t xml:space="preserve"> of August 2019 the Trust and the first respondent, represented by Ms Gilhar, concluded a written agreement of sale in respect of the property.</w:t>
      </w:r>
      <w:r w:rsidR="00811E6B" w:rsidRPr="00B11D8A">
        <w:rPr>
          <w:rStyle w:val="FootnoteReference"/>
          <w:rFonts w:ascii="Verdana" w:hAnsi="Verdana"/>
          <w:color w:val="000000" w:themeColor="text1"/>
          <w:sz w:val="22"/>
          <w:szCs w:val="22"/>
          <w:lang w:val="en-GB"/>
        </w:rPr>
        <w:footnoteReference w:id="39"/>
      </w:r>
      <w:r w:rsidRPr="00B11D8A">
        <w:rPr>
          <w:rFonts w:ascii="Verdana" w:hAnsi="Verdana"/>
          <w:color w:val="000000" w:themeColor="text1"/>
          <w:sz w:val="22"/>
          <w:szCs w:val="22"/>
          <w:lang w:val="en-GB"/>
        </w:rPr>
        <w:t xml:space="preserve">  </w:t>
      </w:r>
      <w:r w:rsidR="00930FC3" w:rsidRPr="00B11D8A">
        <w:rPr>
          <w:rFonts w:ascii="Verdana" w:hAnsi="Verdana"/>
          <w:color w:val="000000" w:themeColor="text1"/>
          <w:sz w:val="22"/>
          <w:szCs w:val="22"/>
          <w:lang w:val="en-GB"/>
        </w:rPr>
        <w:t>The material terms of the agreement were as follows: -</w:t>
      </w:r>
    </w:p>
    <w:p w14:paraId="486E787D" w14:textId="2B2E150A" w:rsidR="00930FC3" w:rsidRPr="00B11D8A" w:rsidRDefault="00930FC3" w:rsidP="00930FC3">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purchase price for the property was R7 million; </w:t>
      </w:r>
    </w:p>
    <w:p w14:paraId="21E9F8FA" w14:textId="43E17B9F" w:rsidR="00930FC3" w:rsidRPr="00B11D8A" w:rsidRDefault="00930FC3" w:rsidP="00930FC3">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full purchase price </w:t>
      </w:r>
      <w:r w:rsidR="003C0D3A" w:rsidRPr="00B11D8A">
        <w:rPr>
          <w:rFonts w:ascii="Verdana" w:hAnsi="Verdana"/>
          <w:color w:val="000000" w:themeColor="text1"/>
          <w:sz w:val="22"/>
          <w:szCs w:val="22"/>
          <w:lang w:val="en-GB"/>
        </w:rPr>
        <w:t xml:space="preserve">would be paid by way of an irrevocable bank guarantee provided to the attorneys within three days of acceptance of the offer; </w:t>
      </w:r>
    </w:p>
    <w:p w14:paraId="3C5055DC" w14:textId="78D2C419" w:rsidR="003C0D3A" w:rsidRPr="00B11D8A" w:rsidRDefault="003C0D3A" w:rsidP="00930FC3">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Transfer of the property would be effected by the 15</w:t>
      </w:r>
      <w:r w:rsidRPr="00B11D8A">
        <w:rPr>
          <w:rFonts w:ascii="Verdana" w:hAnsi="Verdana"/>
          <w:color w:val="000000" w:themeColor="text1"/>
          <w:sz w:val="22"/>
          <w:szCs w:val="22"/>
          <w:vertAlign w:val="superscript"/>
          <w:lang w:val="en-GB"/>
        </w:rPr>
        <w:t>th</w:t>
      </w:r>
      <w:r w:rsidRPr="00B11D8A">
        <w:rPr>
          <w:rFonts w:ascii="Verdana" w:hAnsi="Verdana"/>
          <w:color w:val="000000" w:themeColor="text1"/>
          <w:sz w:val="22"/>
          <w:szCs w:val="22"/>
          <w:lang w:val="en-GB"/>
        </w:rPr>
        <w:t xml:space="preserve"> of February 2020 of earlier by mutual agreement; </w:t>
      </w:r>
    </w:p>
    <w:p w14:paraId="48B9FB60" w14:textId="549E3339" w:rsidR="003C0D3A" w:rsidRPr="00B11D8A" w:rsidRDefault="003C0D3A" w:rsidP="00930FC3">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Occupation of the property would be given on satisfaction of an irrevocable bank guarantee drawn in favour of the Trust or its nominee; </w:t>
      </w:r>
    </w:p>
    <w:p w14:paraId="541FE27B" w14:textId="27CF8D51" w:rsidR="003C0D3A" w:rsidRPr="00B11D8A" w:rsidRDefault="003C0D3A" w:rsidP="00930FC3">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first respondent would be liable for payment of all utilities from </w:t>
      </w:r>
      <w:r w:rsidRPr="00B11D8A">
        <w:rPr>
          <w:rFonts w:ascii="Verdana" w:hAnsi="Verdana"/>
          <w:color w:val="000000" w:themeColor="text1"/>
          <w:sz w:val="22"/>
          <w:szCs w:val="22"/>
          <w:lang w:val="en-GB"/>
        </w:rPr>
        <w:lastRenderedPageBreak/>
        <w:t xml:space="preserve">date of occupation, which would include water and electricity and levies in the amount of R2,500.00 per month; </w:t>
      </w:r>
    </w:p>
    <w:p w14:paraId="606D1AB1" w14:textId="310C6D20" w:rsidR="003C0D3A" w:rsidRPr="00B11D8A" w:rsidRDefault="003C0D3A" w:rsidP="00930FC3">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If requested by the Trust, the first respondent would be obliged to vacate the property immediately upon cancellation of the sale for any reason whatsoever, it being agreed that no tenancy would be created by any such prior occupation (clause 3.2). </w:t>
      </w:r>
    </w:p>
    <w:p w14:paraId="7FC7CD78" w14:textId="10D84E06" w:rsidR="00930FC3" w:rsidRPr="00B11D8A" w:rsidRDefault="003C0D3A"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It is apposite that the occupational rental payable was not stipulated in clause 3.1.</w:t>
      </w:r>
      <w:r w:rsidRPr="00B11D8A">
        <w:rPr>
          <w:rStyle w:val="FootnoteReference"/>
          <w:rFonts w:ascii="Verdana" w:hAnsi="Verdana"/>
          <w:color w:val="000000" w:themeColor="text1"/>
          <w:sz w:val="22"/>
          <w:szCs w:val="22"/>
          <w:lang w:val="en-GB"/>
        </w:rPr>
        <w:footnoteReference w:id="40"/>
      </w:r>
      <w:r w:rsidRPr="00B11D8A">
        <w:rPr>
          <w:rFonts w:ascii="Verdana" w:hAnsi="Verdana"/>
          <w:color w:val="000000" w:themeColor="text1"/>
          <w:sz w:val="22"/>
          <w:szCs w:val="22"/>
          <w:lang w:val="en-GB"/>
        </w:rPr>
        <w:t xml:space="preserve">  </w:t>
      </w:r>
    </w:p>
    <w:p w14:paraId="553605E8" w14:textId="14A83555" w:rsidR="003C0D3A" w:rsidRPr="00B11D8A" w:rsidRDefault="003C0D3A"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The original guarantee was delivered to the estate agents by Ms Gilhar on 15 August 2019.</w:t>
      </w:r>
      <w:r w:rsidRPr="00B11D8A">
        <w:rPr>
          <w:rStyle w:val="FootnoteReference"/>
          <w:rFonts w:ascii="Verdana" w:hAnsi="Verdana"/>
          <w:color w:val="000000" w:themeColor="text1"/>
          <w:sz w:val="22"/>
          <w:szCs w:val="22"/>
          <w:lang w:val="en-GB"/>
        </w:rPr>
        <w:footnoteReference w:id="41"/>
      </w:r>
      <w:r w:rsidRPr="00B11D8A">
        <w:rPr>
          <w:rFonts w:ascii="Verdana" w:hAnsi="Verdana"/>
          <w:color w:val="000000" w:themeColor="text1"/>
          <w:sz w:val="22"/>
          <w:szCs w:val="22"/>
          <w:lang w:val="en-GB"/>
        </w:rPr>
        <w:t xml:space="preserve">  On the face of it, the guarantee appeared to be legitimate and as a result, Ms Gilhar was afforded occupation to the property on 18 August 2019.</w:t>
      </w:r>
      <w:r w:rsidRPr="00B11D8A">
        <w:rPr>
          <w:rStyle w:val="FootnoteReference"/>
          <w:rFonts w:ascii="Verdana" w:hAnsi="Verdana"/>
          <w:color w:val="000000" w:themeColor="text1"/>
          <w:sz w:val="22"/>
          <w:szCs w:val="22"/>
          <w:lang w:val="en-GB"/>
        </w:rPr>
        <w:footnoteReference w:id="42"/>
      </w:r>
      <w:r w:rsidRPr="00B11D8A">
        <w:rPr>
          <w:rFonts w:ascii="Verdana" w:hAnsi="Verdana"/>
          <w:color w:val="000000" w:themeColor="text1"/>
          <w:sz w:val="22"/>
          <w:szCs w:val="22"/>
          <w:lang w:val="en-GB"/>
        </w:rPr>
        <w:t xml:space="preserve">  However, on closer inspection of the guarantee the conveyancing attorneys expressed concern that it did not provide for the immediate transfer of the purchase price upon registration of the property into the name of the first respondent.  Therefore, in an effort to obtain clarity, the conveyancing attorney contacted the bank that issued the guarantee and requested verification that the guarantee was true and proper and that the funds stipulated in the guarantee would be paid out on the date of transfer of the property.  The bank was requested to confirm how payment would be effected since it did not have a local bank in South Africa.</w:t>
      </w:r>
      <w:r w:rsidRPr="00B11D8A">
        <w:rPr>
          <w:rStyle w:val="FootnoteReference"/>
          <w:rFonts w:ascii="Verdana" w:hAnsi="Verdana"/>
          <w:color w:val="000000" w:themeColor="text1"/>
          <w:sz w:val="22"/>
          <w:szCs w:val="22"/>
          <w:lang w:val="en-GB"/>
        </w:rPr>
        <w:footnoteReference w:id="43"/>
      </w:r>
      <w:r w:rsidRPr="00B11D8A">
        <w:rPr>
          <w:rFonts w:ascii="Verdana" w:hAnsi="Verdana"/>
          <w:color w:val="000000" w:themeColor="text1"/>
          <w:sz w:val="22"/>
          <w:szCs w:val="22"/>
          <w:lang w:val="en-GB"/>
        </w:rPr>
        <w:t xml:space="preserve">  </w:t>
      </w:r>
    </w:p>
    <w:p w14:paraId="2BCAAD82" w14:textId="2B9C7E9C" w:rsidR="003C0D3A" w:rsidRPr="00B11D8A" w:rsidRDefault="003C0D3A"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lastRenderedPageBreak/>
        <w:t>On 27 September 2019 Ms Gilhar informed the conveyancing attorney that her communications with the bank who granted the guarantee were unacceptable.  The bank who granted the guarantee never replied to the e</w:t>
      </w:r>
      <w:r w:rsidRPr="00B11D8A">
        <w:rPr>
          <w:rFonts w:ascii="Verdana" w:hAnsi="Verdana"/>
          <w:color w:val="000000" w:themeColor="text1"/>
          <w:sz w:val="22"/>
          <w:szCs w:val="22"/>
          <w:lang w:val="en-GB"/>
        </w:rPr>
        <w:noBreakHyphen/>
      </w:r>
      <w:r w:rsidRPr="00B11D8A">
        <w:rPr>
          <w:rFonts w:ascii="Verdana" w:hAnsi="Verdana"/>
          <w:color w:val="000000" w:themeColor="text1"/>
          <w:sz w:val="22"/>
          <w:szCs w:val="22"/>
          <w:lang w:val="en-ZA"/>
        </w:rPr>
        <w:t>mail of the conveyancing attorneys.</w:t>
      </w:r>
      <w:r w:rsidRPr="00B11D8A">
        <w:rPr>
          <w:rStyle w:val="FootnoteReference"/>
          <w:rFonts w:ascii="Verdana" w:hAnsi="Verdana"/>
          <w:color w:val="000000" w:themeColor="text1"/>
          <w:sz w:val="22"/>
          <w:szCs w:val="22"/>
          <w:lang w:val="en-ZA"/>
        </w:rPr>
        <w:footnoteReference w:id="44"/>
      </w:r>
      <w:r w:rsidRPr="00B11D8A">
        <w:rPr>
          <w:rFonts w:ascii="Verdana" w:hAnsi="Verdana"/>
          <w:color w:val="000000" w:themeColor="text1"/>
          <w:sz w:val="22"/>
          <w:szCs w:val="22"/>
          <w:lang w:val="en-ZA"/>
        </w:rPr>
        <w:t xml:space="preserve">  </w:t>
      </w:r>
    </w:p>
    <w:p w14:paraId="2DB1FFD7" w14:textId="68851ECE" w:rsidR="003C0D3A" w:rsidRPr="00B11D8A" w:rsidRDefault="003C0D3A"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ZA"/>
        </w:rPr>
        <w:t xml:space="preserve">In an effort </w:t>
      </w:r>
      <w:r w:rsidR="003315E1" w:rsidRPr="00B11D8A">
        <w:rPr>
          <w:rFonts w:ascii="Verdana" w:hAnsi="Verdana"/>
          <w:color w:val="000000" w:themeColor="text1"/>
          <w:sz w:val="22"/>
          <w:szCs w:val="22"/>
          <w:lang w:val="en-ZA"/>
        </w:rPr>
        <w:t>t</w:t>
      </w:r>
      <w:r w:rsidRPr="00B11D8A">
        <w:rPr>
          <w:rFonts w:ascii="Verdana" w:hAnsi="Verdana"/>
          <w:color w:val="000000" w:themeColor="text1"/>
          <w:sz w:val="22"/>
          <w:szCs w:val="22"/>
          <w:lang w:val="en-ZA"/>
        </w:rPr>
        <w:t xml:space="preserve">o resolve </w:t>
      </w:r>
      <w:r w:rsidR="0047785C" w:rsidRPr="00B11D8A">
        <w:rPr>
          <w:rFonts w:ascii="Verdana" w:hAnsi="Verdana"/>
          <w:color w:val="000000" w:themeColor="text1"/>
          <w:sz w:val="22"/>
          <w:szCs w:val="22"/>
          <w:lang w:val="en-ZA"/>
        </w:rPr>
        <w:t>the issue regarding the guarantee, the Trust and the first respondent concluded an addendum on the 2</w:t>
      </w:r>
      <w:r w:rsidR="00920C13" w:rsidRPr="00B11D8A">
        <w:rPr>
          <w:rFonts w:ascii="Verdana" w:hAnsi="Verdana"/>
          <w:color w:val="000000" w:themeColor="text1"/>
          <w:sz w:val="22"/>
          <w:szCs w:val="22"/>
          <w:lang w:val="en-ZA"/>
        </w:rPr>
        <w:t>5</w:t>
      </w:r>
      <w:r w:rsidR="00920C13" w:rsidRPr="00B11D8A">
        <w:rPr>
          <w:rFonts w:ascii="Verdana" w:hAnsi="Verdana"/>
          <w:color w:val="000000" w:themeColor="text1"/>
          <w:sz w:val="22"/>
          <w:szCs w:val="22"/>
          <w:vertAlign w:val="superscript"/>
          <w:lang w:val="en-ZA"/>
        </w:rPr>
        <w:t>th</w:t>
      </w:r>
      <w:r w:rsidR="00920C13" w:rsidRPr="00B11D8A">
        <w:rPr>
          <w:rFonts w:ascii="Verdana" w:hAnsi="Verdana"/>
          <w:color w:val="000000" w:themeColor="text1"/>
          <w:sz w:val="22"/>
          <w:szCs w:val="22"/>
          <w:lang w:val="en-ZA"/>
        </w:rPr>
        <w:t xml:space="preserve"> of October 2019 in terms whereof the full purchase price would be paid into the conveyancer’s trust account on written demand, but in any event at least </w:t>
      </w:r>
      <w:r w:rsidR="009F5EF5" w:rsidRPr="00B11D8A">
        <w:rPr>
          <w:rFonts w:ascii="Verdana" w:hAnsi="Verdana"/>
          <w:color w:val="000000" w:themeColor="text1"/>
          <w:sz w:val="22"/>
          <w:szCs w:val="22"/>
          <w:lang w:val="en-ZA"/>
        </w:rPr>
        <w:t xml:space="preserve">10 </w:t>
      </w:r>
      <w:r w:rsidR="00920C13" w:rsidRPr="00B11D8A">
        <w:rPr>
          <w:rFonts w:ascii="Verdana" w:hAnsi="Verdana"/>
          <w:color w:val="000000" w:themeColor="text1"/>
          <w:sz w:val="22"/>
          <w:szCs w:val="22"/>
          <w:lang w:val="en-ZA"/>
        </w:rPr>
        <w:t xml:space="preserve">working days prior to the lodgement of the transfer in the Deeds Office.  </w:t>
      </w:r>
      <w:r w:rsidR="00E8498D" w:rsidRPr="00B11D8A">
        <w:rPr>
          <w:rFonts w:ascii="Verdana" w:hAnsi="Verdana"/>
          <w:color w:val="000000" w:themeColor="text1"/>
          <w:sz w:val="22"/>
          <w:szCs w:val="22"/>
          <w:lang w:val="en-ZA"/>
        </w:rPr>
        <w:t xml:space="preserve">It was further agreed that all water and electricity consumption charges, together with the levy in the amount of R2,500.00 would be paid </w:t>
      </w:r>
      <w:r w:rsidR="001047CF" w:rsidRPr="00B11D8A">
        <w:rPr>
          <w:rFonts w:ascii="Verdana" w:hAnsi="Verdana"/>
          <w:color w:val="000000" w:themeColor="text1"/>
          <w:sz w:val="22"/>
          <w:szCs w:val="22"/>
          <w:lang w:val="en-ZA"/>
        </w:rPr>
        <w:t>on the first day of each month and that the first respondent would vacate the property within 30 days after cancellation of the agreement for any reason whatsoever.</w:t>
      </w:r>
      <w:r w:rsidR="009F5EF5" w:rsidRPr="00B11D8A">
        <w:rPr>
          <w:rStyle w:val="FootnoteReference"/>
          <w:rFonts w:ascii="Verdana" w:hAnsi="Verdana"/>
          <w:color w:val="000000" w:themeColor="text1"/>
          <w:sz w:val="22"/>
          <w:szCs w:val="22"/>
          <w:lang w:val="en-ZA"/>
        </w:rPr>
        <w:footnoteReference w:id="45"/>
      </w:r>
      <w:r w:rsidR="001047CF" w:rsidRPr="00B11D8A">
        <w:rPr>
          <w:rFonts w:ascii="Verdana" w:hAnsi="Verdana"/>
          <w:color w:val="000000" w:themeColor="text1"/>
          <w:sz w:val="22"/>
          <w:szCs w:val="22"/>
          <w:lang w:val="en-ZA"/>
        </w:rPr>
        <w:t xml:space="preserve">  </w:t>
      </w:r>
    </w:p>
    <w:p w14:paraId="55FBBCA5" w14:textId="2A9AF530" w:rsidR="00580FDE" w:rsidRPr="00B11D8A" w:rsidRDefault="00580FDE"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ZA"/>
        </w:rPr>
        <w:t>On 20 January 2020 the conveyancing attorneys informed the first respondent and Ms Gilhar that the guarantee of R7 million was required by the 3</w:t>
      </w:r>
      <w:r w:rsidRPr="00B11D8A">
        <w:rPr>
          <w:rFonts w:ascii="Verdana" w:hAnsi="Verdana"/>
          <w:color w:val="000000" w:themeColor="text1"/>
          <w:sz w:val="22"/>
          <w:szCs w:val="22"/>
          <w:vertAlign w:val="superscript"/>
          <w:lang w:val="en-ZA"/>
        </w:rPr>
        <w:t>rd</w:t>
      </w:r>
      <w:r w:rsidRPr="00B11D8A">
        <w:rPr>
          <w:rFonts w:ascii="Verdana" w:hAnsi="Verdana"/>
          <w:color w:val="000000" w:themeColor="text1"/>
          <w:sz w:val="22"/>
          <w:szCs w:val="22"/>
          <w:lang w:val="en-ZA"/>
        </w:rPr>
        <w:t> of February 2020.</w:t>
      </w:r>
      <w:r w:rsidRPr="00B11D8A">
        <w:rPr>
          <w:rStyle w:val="FootnoteReference"/>
          <w:rFonts w:ascii="Verdana" w:hAnsi="Verdana"/>
          <w:color w:val="000000" w:themeColor="text1"/>
          <w:sz w:val="22"/>
          <w:szCs w:val="22"/>
          <w:lang w:val="en-ZA"/>
        </w:rPr>
        <w:footnoteReference w:id="46"/>
      </w:r>
      <w:r w:rsidRPr="00B11D8A">
        <w:rPr>
          <w:rFonts w:ascii="Verdana" w:hAnsi="Verdana"/>
          <w:color w:val="000000" w:themeColor="text1"/>
          <w:sz w:val="22"/>
          <w:szCs w:val="22"/>
          <w:lang w:val="en-ZA"/>
        </w:rPr>
        <w:t xml:space="preserve">  </w:t>
      </w:r>
    </w:p>
    <w:p w14:paraId="15BCEDC9" w14:textId="2213042E" w:rsidR="00580FDE" w:rsidRPr="00B11D8A" w:rsidRDefault="00580FDE"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ZA"/>
        </w:rPr>
        <w:t>On the 31</w:t>
      </w:r>
      <w:r w:rsidRPr="00B11D8A">
        <w:rPr>
          <w:rFonts w:ascii="Verdana" w:hAnsi="Verdana"/>
          <w:color w:val="000000" w:themeColor="text1"/>
          <w:sz w:val="22"/>
          <w:szCs w:val="22"/>
          <w:vertAlign w:val="superscript"/>
          <w:lang w:val="en-ZA"/>
        </w:rPr>
        <w:t>st</w:t>
      </w:r>
      <w:r w:rsidRPr="00B11D8A">
        <w:rPr>
          <w:rFonts w:ascii="Verdana" w:hAnsi="Verdana"/>
          <w:color w:val="000000" w:themeColor="text1"/>
          <w:sz w:val="22"/>
          <w:szCs w:val="22"/>
          <w:lang w:val="en-ZA"/>
        </w:rPr>
        <w:t xml:space="preserve"> of January 2020 the conveyancing attorneys followed up again with the first respondent and Ms Gilhar and enquired when payment of the purchase price and transfer costs could be expected.  </w:t>
      </w:r>
      <w:r w:rsidR="000B1280" w:rsidRPr="00B11D8A">
        <w:rPr>
          <w:rFonts w:ascii="Verdana" w:hAnsi="Verdana"/>
          <w:color w:val="000000" w:themeColor="text1"/>
          <w:sz w:val="22"/>
          <w:szCs w:val="22"/>
          <w:lang w:val="en-ZA"/>
        </w:rPr>
        <w:t>Ms Gilhar replied on the 31</w:t>
      </w:r>
      <w:r w:rsidR="000B1280" w:rsidRPr="00B11D8A">
        <w:rPr>
          <w:rFonts w:ascii="Verdana" w:hAnsi="Verdana"/>
          <w:color w:val="000000" w:themeColor="text1"/>
          <w:sz w:val="22"/>
          <w:szCs w:val="22"/>
          <w:vertAlign w:val="superscript"/>
          <w:lang w:val="en-ZA"/>
        </w:rPr>
        <w:t>st</w:t>
      </w:r>
      <w:r w:rsidR="000B1280" w:rsidRPr="00B11D8A">
        <w:rPr>
          <w:rFonts w:ascii="Verdana" w:hAnsi="Verdana"/>
          <w:color w:val="000000" w:themeColor="text1"/>
          <w:sz w:val="22"/>
          <w:szCs w:val="22"/>
          <w:lang w:val="en-ZA"/>
        </w:rPr>
        <w:t xml:space="preserve"> of January 2020 and advised that the conveyancing attorneys would not be </w:t>
      </w:r>
      <w:r w:rsidR="000B1280" w:rsidRPr="00B11D8A">
        <w:rPr>
          <w:rFonts w:ascii="Verdana" w:hAnsi="Verdana"/>
          <w:i/>
          <w:color w:val="000000" w:themeColor="text1"/>
          <w:sz w:val="22"/>
          <w:szCs w:val="22"/>
          <w:lang w:val="en-ZA"/>
        </w:rPr>
        <w:t xml:space="preserve">“receiving a guarantee but an eft directly into [their] </w:t>
      </w:r>
      <w:r w:rsidR="000B1280" w:rsidRPr="00B11D8A">
        <w:rPr>
          <w:rFonts w:ascii="Verdana" w:hAnsi="Verdana"/>
          <w:i/>
          <w:color w:val="000000" w:themeColor="text1"/>
          <w:sz w:val="22"/>
          <w:szCs w:val="22"/>
          <w:lang w:val="en-ZA"/>
        </w:rPr>
        <w:lastRenderedPageBreak/>
        <w:t>account.”</w:t>
      </w:r>
      <w:r w:rsidR="000B1280" w:rsidRPr="00B11D8A">
        <w:rPr>
          <w:rStyle w:val="FootnoteReference"/>
          <w:rFonts w:ascii="Verdana" w:hAnsi="Verdana"/>
          <w:i/>
          <w:color w:val="000000" w:themeColor="text1"/>
          <w:sz w:val="22"/>
          <w:szCs w:val="22"/>
          <w:lang w:val="en-ZA"/>
        </w:rPr>
        <w:footnoteReference w:id="47"/>
      </w:r>
      <w:r w:rsidR="000B1280" w:rsidRPr="00B11D8A">
        <w:rPr>
          <w:rFonts w:ascii="Verdana" w:hAnsi="Verdana"/>
          <w:color w:val="000000" w:themeColor="text1"/>
          <w:sz w:val="22"/>
          <w:szCs w:val="22"/>
          <w:lang w:val="en-ZA"/>
        </w:rPr>
        <w:t xml:space="preserve"> </w:t>
      </w:r>
    </w:p>
    <w:p w14:paraId="4E9422E4" w14:textId="010EFE2D" w:rsidR="000B1280" w:rsidRPr="00B11D8A" w:rsidRDefault="000B1280"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ZA"/>
        </w:rPr>
        <w:t>Notwithstanding the undertaking, payment was not made on the 3</w:t>
      </w:r>
      <w:r w:rsidRPr="00B11D8A">
        <w:rPr>
          <w:rFonts w:ascii="Verdana" w:hAnsi="Verdana"/>
          <w:color w:val="000000" w:themeColor="text1"/>
          <w:sz w:val="22"/>
          <w:szCs w:val="22"/>
          <w:vertAlign w:val="superscript"/>
          <w:lang w:val="en-ZA"/>
        </w:rPr>
        <w:t>rd</w:t>
      </w:r>
      <w:r w:rsidRPr="00B11D8A">
        <w:rPr>
          <w:rFonts w:ascii="Verdana" w:hAnsi="Verdana"/>
          <w:color w:val="000000" w:themeColor="text1"/>
          <w:sz w:val="22"/>
          <w:szCs w:val="22"/>
          <w:lang w:val="en-ZA"/>
        </w:rPr>
        <w:t xml:space="preserve"> of February 2020 and Ms Gilhar was afforded a further opportunity to pay the full purchase price by the 15</w:t>
      </w:r>
      <w:r w:rsidRPr="00B11D8A">
        <w:rPr>
          <w:rFonts w:ascii="Verdana" w:hAnsi="Verdana"/>
          <w:color w:val="000000" w:themeColor="text1"/>
          <w:sz w:val="22"/>
          <w:szCs w:val="22"/>
          <w:vertAlign w:val="superscript"/>
          <w:lang w:val="en-ZA"/>
        </w:rPr>
        <w:t>th</w:t>
      </w:r>
      <w:r w:rsidRPr="00B11D8A">
        <w:rPr>
          <w:rFonts w:ascii="Verdana" w:hAnsi="Verdana"/>
          <w:color w:val="000000" w:themeColor="text1"/>
          <w:sz w:val="22"/>
          <w:szCs w:val="22"/>
          <w:lang w:val="en-ZA"/>
        </w:rPr>
        <w:t> of February 2020.</w:t>
      </w:r>
      <w:r w:rsidRPr="00B11D8A">
        <w:rPr>
          <w:rStyle w:val="FootnoteReference"/>
          <w:rFonts w:ascii="Verdana" w:hAnsi="Verdana"/>
          <w:color w:val="000000" w:themeColor="text1"/>
          <w:sz w:val="22"/>
          <w:szCs w:val="22"/>
          <w:lang w:val="en-ZA"/>
        </w:rPr>
        <w:footnoteReference w:id="48"/>
      </w:r>
      <w:r w:rsidRPr="00B11D8A">
        <w:rPr>
          <w:rFonts w:ascii="Verdana" w:hAnsi="Verdana"/>
          <w:color w:val="000000" w:themeColor="text1"/>
          <w:sz w:val="22"/>
          <w:szCs w:val="22"/>
          <w:lang w:val="en-ZA"/>
        </w:rPr>
        <w:t xml:space="preserve">  Notwithstanding the commitment to make payment by the 15</w:t>
      </w:r>
      <w:r w:rsidRPr="00B11D8A">
        <w:rPr>
          <w:rFonts w:ascii="Verdana" w:hAnsi="Verdana"/>
          <w:color w:val="000000" w:themeColor="text1"/>
          <w:sz w:val="22"/>
          <w:szCs w:val="22"/>
          <w:vertAlign w:val="superscript"/>
          <w:lang w:val="en-ZA"/>
        </w:rPr>
        <w:t>th</w:t>
      </w:r>
      <w:r w:rsidRPr="00B11D8A">
        <w:rPr>
          <w:rFonts w:ascii="Verdana" w:hAnsi="Verdana"/>
          <w:color w:val="000000" w:themeColor="text1"/>
          <w:sz w:val="22"/>
          <w:szCs w:val="22"/>
          <w:lang w:val="en-ZA"/>
        </w:rPr>
        <w:t xml:space="preserve"> of February 2020, the purchase price remained unpaid.  </w:t>
      </w:r>
      <w:r w:rsidR="00855B2E" w:rsidRPr="00B11D8A">
        <w:rPr>
          <w:rFonts w:ascii="Verdana" w:hAnsi="Verdana"/>
          <w:color w:val="000000" w:themeColor="text1"/>
          <w:sz w:val="22"/>
          <w:szCs w:val="22"/>
          <w:lang w:val="en-ZA"/>
        </w:rPr>
        <w:t xml:space="preserve">As a result, the agreement was cancelled by mutual consent and Ms Gilhar agreed to vacate the property </w:t>
      </w:r>
      <w:r w:rsidR="00A027C7" w:rsidRPr="00B11D8A">
        <w:rPr>
          <w:rFonts w:ascii="Verdana" w:hAnsi="Verdana"/>
          <w:color w:val="000000" w:themeColor="text1"/>
          <w:sz w:val="22"/>
          <w:szCs w:val="22"/>
          <w:lang w:val="en-ZA"/>
        </w:rPr>
        <w:t>by the 30</w:t>
      </w:r>
      <w:r w:rsidR="00A027C7" w:rsidRPr="00B11D8A">
        <w:rPr>
          <w:rFonts w:ascii="Verdana" w:hAnsi="Verdana"/>
          <w:color w:val="000000" w:themeColor="text1"/>
          <w:sz w:val="22"/>
          <w:szCs w:val="22"/>
          <w:vertAlign w:val="superscript"/>
          <w:lang w:val="en-ZA"/>
        </w:rPr>
        <w:t>th</w:t>
      </w:r>
      <w:r w:rsidR="00A027C7" w:rsidRPr="00B11D8A">
        <w:rPr>
          <w:rFonts w:ascii="Verdana" w:hAnsi="Verdana"/>
          <w:color w:val="000000" w:themeColor="text1"/>
          <w:sz w:val="22"/>
          <w:szCs w:val="22"/>
          <w:lang w:val="en-ZA"/>
        </w:rPr>
        <w:t> of March 2020</w:t>
      </w:r>
      <w:r w:rsidR="00C05FB1" w:rsidRPr="00B11D8A">
        <w:rPr>
          <w:rFonts w:ascii="Verdana" w:hAnsi="Verdana"/>
          <w:color w:val="000000" w:themeColor="text1"/>
          <w:sz w:val="22"/>
          <w:szCs w:val="22"/>
          <w:lang w:val="en-ZA"/>
        </w:rPr>
        <w:t>, which she failed to do</w:t>
      </w:r>
      <w:r w:rsidR="00A027C7" w:rsidRPr="00B11D8A">
        <w:rPr>
          <w:rFonts w:ascii="Verdana" w:hAnsi="Verdana"/>
          <w:color w:val="000000" w:themeColor="text1"/>
          <w:sz w:val="22"/>
          <w:szCs w:val="22"/>
          <w:lang w:val="en-ZA"/>
        </w:rPr>
        <w:t xml:space="preserve">.  </w:t>
      </w:r>
    </w:p>
    <w:p w14:paraId="3739B846" w14:textId="436657D7" w:rsidR="00C05FB1" w:rsidRPr="00B11D8A" w:rsidRDefault="009D3DC1"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support of its claim for monthly rental in the amount of R35,000.00, the Trust relies on the lease agreement that it concluded with one Yehuda Schaverin during the month of June/July 2020.  </w:t>
      </w:r>
      <w:r w:rsidR="00110047" w:rsidRPr="00B11D8A">
        <w:rPr>
          <w:rFonts w:ascii="Verdana" w:hAnsi="Verdana"/>
          <w:color w:val="000000" w:themeColor="text1"/>
          <w:sz w:val="22"/>
          <w:szCs w:val="22"/>
          <w:lang w:val="en-GB"/>
        </w:rPr>
        <w:t xml:space="preserve">I emphasize that neither the agreement of sale, nor the addendum specifies a particular monthly rental amount.  </w:t>
      </w:r>
      <w:r w:rsidR="00123728" w:rsidRPr="00B11D8A">
        <w:rPr>
          <w:rFonts w:ascii="Verdana" w:hAnsi="Verdana"/>
          <w:color w:val="000000" w:themeColor="text1"/>
          <w:sz w:val="22"/>
          <w:szCs w:val="22"/>
          <w:lang w:val="en-GB"/>
        </w:rPr>
        <w:t>This omission does not necessarily pose a difficulty for the Trust.  The rental provided for in an agreement is no more than evidential material as to market-related rental.</w:t>
      </w:r>
      <w:r w:rsidR="00123728" w:rsidRPr="00B11D8A">
        <w:rPr>
          <w:rStyle w:val="FootnoteReference"/>
          <w:rFonts w:ascii="Verdana" w:hAnsi="Verdana"/>
          <w:color w:val="000000" w:themeColor="text1"/>
          <w:sz w:val="22"/>
          <w:szCs w:val="22"/>
          <w:lang w:val="en-GB"/>
        </w:rPr>
        <w:footnoteReference w:id="49"/>
      </w:r>
      <w:r w:rsidR="00123728" w:rsidRPr="00B11D8A">
        <w:rPr>
          <w:rFonts w:ascii="Verdana" w:hAnsi="Verdana"/>
          <w:color w:val="000000" w:themeColor="text1"/>
          <w:sz w:val="22"/>
          <w:szCs w:val="22"/>
          <w:lang w:val="en-GB"/>
        </w:rPr>
        <w:t xml:space="preserve">  Therefore, what is of importance is what the occupier states or pleads in response to an allegation of a market rental value.</w:t>
      </w:r>
      <w:r w:rsidR="00273FDC" w:rsidRPr="00B11D8A">
        <w:rPr>
          <w:rStyle w:val="FootnoteReference"/>
          <w:rFonts w:ascii="Verdana" w:hAnsi="Verdana"/>
          <w:color w:val="000000" w:themeColor="text1"/>
          <w:sz w:val="22"/>
          <w:szCs w:val="22"/>
          <w:lang w:val="en-GB"/>
        </w:rPr>
        <w:footnoteReference w:id="50"/>
      </w:r>
      <w:r w:rsidR="00123728" w:rsidRPr="00B11D8A">
        <w:rPr>
          <w:rFonts w:ascii="Verdana" w:hAnsi="Verdana"/>
          <w:color w:val="000000" w:themeColor="text1"/>
          <w:sz w:val="22"/>
          <w:szCs w:val="22"/>
          <w:lang w:val="en-GB"/>
        </w:rPr>
        <w:t xml:space="preserve">  </w:t>
      </w:r>
    </w:p>
    <w:p w14:paraId="4844B347" w14:textId="2F5DDDF0" w:rsidR="00273FDC" w:rsidRPr="00B11D8A" w:rsidRDefault="00273FDC"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If there is no </w:t>
      </w:r>
      <w:r w:rsidR="00FC3526" w:rsidRPr="00B11D8A">
        <w:rPr>
          <w:rFonts w:ascii="Verdana" w:hAnsi="Verdana"/>
          <w:color w:val="000000" w:themeColor="text1"/>
          <w:sz w:val="22"/>
          <w:szCs w:val="22"/>
          <w:lang w:val="en-GB"/>
        </w:rPr>
        <w:t xml:space="preserve">legally effective challenge to the landlord’s allegations that the rental provided for in the lease is the market rental value, then the damages are readily ascertainable and therefore liquidated.  This Court has found </w:t>
      </w:r>
      <w:r w:rsidR="00FC3526" w:rsidRPr="00B11D8A">
        <w:rPr>
          <w:rFonts w:ascii="Verdana" w:hAnsi="Verdana"/>
          <w:color w:val="000000" w:themeColor="text1"/>
          <w:sz w:val="22"/>
          <w:szCs w:val="22"/>
          <w:lang w:val="en-GB"/>
        </w:rPr>
        <w:lastRenderedPageBreak/>
        <w:t>previously that: -</w:t>
      </w:r>
    </w:p>
    <w:p w14:paraId="3F17FD68" w14:textId="692FBD65" w:rsidR="00FC3526" w:rsidRPr="00B11D8A" w:rsidRDefault="00FC3526" w:rsidP="00FC3526">
      <w:pPr>
        <w:pStyle w:val="Indent"/>
        <w:widowControl w:val="0"/>
        <w:numPr>
          <w:ilvl w:val="0"/>
          <w:numId w:val="0"/>
        </w:numPr>
        <w:spacing w:after="480" w:line="360" w:lineRule="auto"/>
        <w:ind w:left="1440"/>
        <w:jc w:val="both"/>
        <w:rPr>
          <w:rFonts w:ascii="Verdana" w:hAnsi="Verdana"/>
          <w:i/>
          <w:color w:val="000000" w:themeColor="text1"/>
          <w:sz w:val="22"/>
          <w:szCs w:val="22"/>
          <w:lang w:val="en-GB"/>
        </w:rPr>
      </w:pPr>
      <w:r w:rsidRPr="00B11D8A">
        <w:rPr>
          <w:rFonts w:ascii="Verdana" w:hAnsi="Verdana"/>
          <w:i/>
          <w:color w:val="000000" w:themeColor="text1"/>
          <w:sz w:val="22"/>
          <w:szCs w:val="22"/>
          <w:lang w:val="en-GB"/>
        </w:rPr>
        <w:t>“This appears to be the most sensible approach because without countervailing evidence the agreement struck by the parties reflects the amount at which willing and able parties are prepared to conclude their transaction.  It also enables a landlord to use the expedited process of motion proceedings and summary judgment to pursue a damages claim based on holding over.”</w:t>
      </w:r>
      <w:r w:rsidRPr="00B11D8A">
        <w:rPr>
          <w:rStyle w:val="FootnoteReference"/>
          <w:rFonts w:ascii="Verdana" w:hAnsi="Verdana"/>
          <w:i/>
          <w:color w:val="000000" w:themeColor="text1"/>
          <w:sz w:val="22"/>
          <w:szCs w:val="22"/>
          <w:lang w:val="en-GB"/>
        </w:rPr>
        <w:footnoteReference w:id="51"/>
      </w:r>
      <w:r w:rsidRPr="00B11D8A">
        <w:rPr>
          <w:rFonts w:ascii="Verdana" w:hAnsi="Verdana"/>
          <w:i/>
          <w:color w:val="000000" w:themeColor="text1"/>
          <w:sz w:val="22"/>
          <w:szCs w:val="22"/>
          <w:lang w:val="en-GB"/>
        </w:rPr>
        <w:t xml:space="preserve"> </w:t>
      </w:r>
    </w:p>
    <w:p w14:paraId="194377F8" w14:textId="375D3D12" w:rsidR="00FC3526" w:rsidRPr="00B11D8A" w:rsidRDefault="00FC3526"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Where however there is a legitimate challenge to the rental provided for in the lease being equivalent to the market rental value, then the basis for relying on the lease to render the damages claim liquidated fails, thereby rendering the claim illiquid.  However, the respondents must still be able to challenge the legal assumption that the rental provided for in the lease agreement is not market-related.  </w:t>
      </w:r>
      <w:r w:rsidR="00573DEC" w:rsidRPr="00B11D8A">
        <w:rPr>
          <w:rFonts w:ascii="Verdana" w:hAnsi="Verdana"/>
          <w:color w:val="000000" w:themeColor="text1"/>
          <w:sz w:val="22"/>
          <w:szCs w:val="22"/>
          <w:lang w:val="en-GB"/>
        </w:rPr>
        <w:t xml:space="preserve">In this regard it would become necessary to examine how the principles enunciated in </w:t>
      </w:r>
      <w:r w:rsidR="00573DEC" w:rsidRPr="00B11D8A">
        <w:rPr>
          <w:rFonts w:ascii="Verdana" w:hAnsi="Verdana"/>
          <w:color w:val="000000" w:themeColor="text1"/>
          <w:sz w:val="22"/>
          <w:szCs w:val="22"/>
          <w:u w:val="single"/>
          <w:lang w:val="en-GB"/>
        </w:rPr>
        <w:t>Sandown Park (Pty) Ltd v Hunter Your W</w:t>
      </w:r>
      <w:r w:rsidR="00876724" w:rsidRPr="00B11D8A">
        <w:rPr>
          <w:rFonts w:ascii="Verdana" w:hAnsi="Verdana"/>
          <w:color w:val="000000" w:themeColor="text1"/>
          <w:sz w:val="22"/>
          <w:szCs w:val="22"/>
          <w:u w:val="single"/>
          <w:lang w:val="en-GB"/>
        </w:rPr>
        <w:t>ine &amp;</w:t>
      </w:r>
      <w:r w:rsidR="00573DEC" w:rsidRPr="00B11D8A">
        <w:rPr>
          <w:rFonts w:ascii="Verdana" w:hAnsi="Verdana"/>
          <w:color w:val="000000" w:themeColor="text1"/>
          <w:sz w:val="22"/>
          <w:szCs w:val="22"/>
          <w:u w:val="single"/>
          <w:lang w:val="en-GB"/>
        </w:rPr>
        <w:t xml:space="preserve"> Spirit Merchant (Pty) Ltd</w:t>
      </w:r>
      <w:r w:rsidR="00573DEC" w:rsidRPr="00B11D8A">
        <w:rPr>
          <w:rStyle w:val="FootnoteReference"/>
          <w:rFonts w:ascii="Verdana" w:hAnsi="Verdana"/>
          <w:color w:val="000000" w:themeColor="text1"/>
          <w:sz w:val="22"/>
          <w:szCs w:val="22"/>
          <w:lang w:val="en-GB"/>
        </w:rPr>
        <w:footnoteReference w:id="52"/>
      </w:r>
      <w:r w:rsidR="00876724" w:rsidRPr="00B11D8A">
        <w:rPr>
          <w:rFonts w:ascii="Verdana" w:hAnsi="Verdana"/>
          <w:color w:val="000000" w:themeColor="text1"/>
          <w:sz w:val="22"/>
          <w:szCs w:val="22"/>
          <w:lang w:val="en-GB"/>
        </w:rPr>
        <w:t xml:space="preserve"> is to be applied to motion proceedings which require a real, genuine or </w:t>
      </w:r>
      <w:r w:rsidR="00876724" w:rsidRPr="00B11D8A">
        <w:rPr>
          <w:rFonts w:ascii="Verdana" w:hAnsi="Verdana"/>
          <w:i/>
          <w:color w:val="000000" w:themeColor="text1"/>
          <w:sz w:val="22"/>
          <w:szCs w:val="22"/>
          <w:lang w:val="en-GB"/>
        </w:rPr>
        <w:t>bona fide</w:t>
      </w:r>
      <w:r w:rsidR="00876724" w:rsidRPr="00B11D8A">
        <w:rPr>
          <w:rFonts w:ascii="Verdana" w:hAnsi="Verdana"/>
          <w:color w:val="000000" w:themeColor="text1"/>
          <w:sz w:val="22"/>
          <w:szCs w:val="22"/>
          <w:lang w:val="en-GB"/>
        </w:rPr>
        <w:t xml:space="preserve"> defence to be raised in order to defeat a claim for final relief.</w:t>
      </w:r>
      <w:r w:rsidR="00832A22" w:rsidRPr="00B11D8A">
        <w:rPr>
          <w:rStyle w:val="FootnoteReference"/>
          <w:rFonts w:ascii="Verdana" w:hAnsi="Verdana"/>
          <w:color w:val="000000" w:themeColor="text1"/>
          <w:sz w:val="22"/>
          <w:szCs w:val="22"/>
          <w:lang w:val="en-GB"/>
        </w:rPr>
        <w:footnoteReference w:id="53"/>
      </w:r>
      <w:r w:rsidR="00876724" w:rsidRPr="00B11D8A">
        <w:rPr>
          <w:rFonts w:ascii="Verdana" w:hAnsi="Verdana"/>
          <w:color w:val="000000" w:themeColor="text1"/>
          <w:sz w:val="22"/>
          <w:szCs w:val="22"/>
          <w:lang w:val="en-GB"/>
        </w:rPr>
        <w:t xml:space="preserve">  </w:t>
      </w:r>
    </w:p>
    <w:p w14:paraId="0EFCAF2A" w14:textId="2A37A0A4" w:rsidR="00832A22" w:rsidRPr="00B11D8A" w:rsidRDefault="00832A22"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It therefore appears that in this instance the rental dilemma is to be resolved as follows:  If the respondents did not set out a </w:t>
      </w:r>
      <w:r w:rsidRPr="00B11D8A">
        <w:rPr>
          <w:rFonts w:ascii="Verdana" w:hAnsi="Verdana"/>
          <w:i/>
          <w:color w:val="000000" w:themeColor="text1"/>
          <w:sz w:val="22"/>
          <w:szCs w:val="22"/>
          <w:lang w:val="en-GB"/>
        </w:rPr>
        <w:t>bona fide</w:t>
      </w:r>
      <w:r w:rsidRPr="00B11D8A">
        <w:rPr>
          <w:rFonts w:ascii="Verdana" w:hAnsi="Verdana"/>
          <w:color w:val="000000" w:themeColor="text1"/>
          <w:sz w:val="22"/>
          <w:szCs w:val="22"/>
          <w:lang w:val="en-GB"/>
        </w:rPr>
        <w:t xml:space="preserve"> defence, then there is no countervailing evidence regarding market-related rental and the actual rental charged or agreed to between </w:t>
      </w:r>
      <w:r w:rsidR="000A569F" w:rsidRPr="00B11D8A">
        <w:rPr>
          <w:rFonts w:ascii="Verdana" w:hAnsi="Verdana"/>
          <w:color w:val="000000" w:themeColor="text1"/>
          <w:sz w:val="22"/>
          <w:szCs w:val="22"/>
          <w:lang w:val="en-GB"/>
        </w:rPr>
        <w:t xml:space="preserve">the Trust and the respective tenant would be the only acceptable evidence.  </w:t>
      </w:r>
      <w:r w:rsidR="00B107BD" w:rsidRPr="00B11D8A">
        <w:rPr>
          <w:rFonts w:ascii="Verdana" w:hAnsi="Verdana"/>
          <w:color w:val="000000" w:themeColor="text1"/>
          <w:sz w:val="22"/>
          <w:szCs w:val="22"/>
          <w:lang w:val="en-GB"/>
        </w:rPr>
        <w:t xml:space="preserve">If that is so, then the amount is liquidated, otherwise it is illiquid and incapable of supporting </w:t>
      </w:r>
      <w:r w:rsidR="00B107BD" w:rsidRPr="00B11D8A">
        <w:rPr>
          <w:rFonts w:ascii="Verdana" w:hAnsi="Verdana"/>
          <w:color w:val="000000" w:themeColor="text1"/>
          <w:sz w:val="22"/>
          <w:szCs w:val="22"/>
          <w:lang w:val="en-GB"/>
        </w:rPr>
        <w:lastRenderedPageBreak/>
        <w:t>motion proceedings.</w:t>
      </w:r>
      <w:r w:rsidR="00B107BD" w:rsidRPr="00B11D8A">
        <w:rPr>
          <w:rStyle w:val="FootnoteReference"/>
          <w:rFonts w:ascii="Verdana" w:hAnsi="Verdana"/>
          <w:color w:val="000000" w:themeColor="text1"/>
          <w:sz w:val="22"/>
          <w:szCs w:val="22"/>
          <w:lang w:val="en-GB"/>
        </w:rPr>
        <w:footnoteReference w:id="54"/>
      </w:r>
      <w:r w:rsidR="00B107BD" w:rsidRPr="00B11D8A">
        <w:rPr>
          <w:rFonts w:ascii="Verdana" w:hAnsi="Verdana"/>
          <w:color w:val="000000" w:themeColor="text1"/>
          <w:sz w:val="22"/>
          <w:szCs w:val="22"/>
          <w:lang w:val="en-GB"/>
        </w:rPr>
        <w:t xml:space="preserve">  </w:t>
      </w:r>
    </w:p>
    <w:p w14:paraId="6EBEDDEF" w14:textId="1EE6C6A3" w:rsidR="00B107BD" w:rsidRPr="00B11D8A" w:rsidRDefault="00B107BD"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u w:val="single"/>
          <w:lang w:val="en-GB"/>
        </w:rPr>
        <w:t>Room Hire Co (Pty) Ltd v Jeppe Street Mansions (Pty) Ltd</w:t>
      </w:r>
      <w:r w:rsidRPr="00B11D8A">
        <w:rPr>
          <w:rStyle w:val="FootnoteReference"/>
          <w:rFonts w:ascii="Verdana" w:hAnsi="Verdana"/>
          <w:color w:val="000000" w:themeColor="text1"/>
          <w:sz w:val="22"/>
          <w:szCs w:val="22"/>
          <w:lang w:val="en-GB"/>
        </w:rPr>
        <w:footnoteReference w:id="55"/>
      </w:r>
      <w:r w:rsidRPr="00B11D8A">
        <w:rPr>
          <w:rFonts w:ascii="Verdana" w:hAnsi="Verdana"/>
          <w:color w:val="000000" w:themeColor="text1"/>
          <w:sz w:val="22"/>
          <w:szCs w:val="22"/>
          <w:lang w:val="en-GB"/>
        </w:rPr>
        <w:t xml:space="preserve"> is the </w:t>
      </w:r>
      <w:r w:rsidRPr="00B11D8A">
        <w:rPr>
          <w:rFonts w:ascii="Verdana" w:hAnsi="Verdana"/>
          <w:i/>
          <w:color w:val="000000" w:themeColor="text1"/>
          <w:sz w:val="22"/>
          <w:szCs w:val="22"/>
          <w:lang w:val="en-GB"/>
        </w:rPr>
        <w:t>locus classicus</w:t>
      </w:r>
      <w:r w:rsidRPr="00B11D8A">
        <w:rPr>
          <w:rFonts w:ascii="Verdana" w:hAnsi="Verdana"/>
          <w:color w:val="000000" w:themeColor="text1"/>
          <w:sz w:val="22"/>
          <w:szCs w:val="22"/>
          <w:lang w:val="en-GB"/>
        </w:rPr>
        <w:t xml:space="preserve"> on what constitutes a </w:t>
      </w:r>
      <w:r w:rsidRPr="00B11D8A">
        <w:rPr>
          <w:rFonts w:ascii="Verdana" w:hAnsi="Verdana"/>
          <w:i/>
          <w:color w:val="000000" w:themeColor="text1"/>
          <w:sz w:val="22"/>
          <w:szCs w:val="22"/>
          <w:lang w:val="en-GB"/>
        </w:rPr>
        <w:t>bona fide</w:t>
      </w:r>
      <w:r w:rsidRPr="00B11D8A">
        <w:rPr>
          <w:rFonts w:ascii="Verdana" w:hAnsi="Verdana"/>
          <w:color w:val="000000" w:themeColor="text1"/>
          <w:sz w:val="22"/>
          <w:szCs w:val="22"/>
          <w:lang w:val="en-GB"/>
        </w:rPr>
        <w:t xml:space="preserve"> defence.  </w:t>
      </w:r>
      <w:r w:rsidR="00D37D16" w:rsidRPr="00B11D8A">
        <w:rPr>
          <w:rFonts w:ascii="Verdana" w:hAnsi="Verdana"/>
          <w:color w:val="000000" w:themeColor="text1"/>
          <w:sz w:val="22"/>
          <w:szCs w:val="22"/>
          <w:lang w:val="en-GB"/>
        </w:rPr>
        <w:t xml:space="preserve">In </w:t>
      </w:r>
      <w:r w:rsidR="00D37D16" w:rsidRPr="00B11D8A">
        <w:rPr>
          <w:rFonts w:ascii="Verdana" w:hAnsi="Verdana"/>
          <w:color w:val="000000" w:themeColor="text1"/>
          <w:sz w:val="22"/>
          <w:szCs w:val="22"/>
          <w:u w:val="single"/>
          <w:lang w:val="en-GB"/>
        </w:rPr>
        <w:t>Hyprop</w:t>
      </w:r>
      <w:r w:rsidR="00D37D16" w:rsidRPr="00B11D8A">
        <w:rPr>
          <w:rFonts w:ascii="Verdana" w:hAnsi="Verdana"/>
          <w:color w:val="000000" w:themeColor="text1"/>
          <w:sz w:val="22"/>
          <w:szCs w:val="22"/>
          <w:lang w:val="en-GB"/>
        </w:rPr>
        <w:t xml:space="preserve"> the Full Bench of this Court broadly summarised the principal ways in which a dispute of fact arises as enunciated in </w:t>
      </w:r>
      <w:r w:rsidR="00D37D16" w:rsidRPr="00B11D8A">
        <w:rPr>
          <w:rFonts w:ascii="Verdana" w:hAnsi="Verdana"/>
          <w:color w:val="000000" w:themeColor="text1"/>
          <w:sz w:val="22"/>
          <w:szCs w:val="22"/>
          <w:u w:val="single"/>
          <w:lang w:val="en-GB"/>
        </w:rPr>
        <w:t>Room Hire</w:t>
      </w:r>
      <w:r w:rsidR="00D37D16" w:rsidRPr="00B11D8A">
        <w:rPr>
          <w:rFonts w:ascii="Verdana" w:hAnsi="Verdana"/>
          <w:color w:val="000000" w:themeColor="text1"/>
          <w:sz w:val="22"/>
          <w:szCs w:val="22"/>
          <w:lang w:val="en-GB"/>
        </w:rPr>
        <w:t xml:space="preserve"> as follows: -</w:t>
      </w:r>
    </w:p>
    <w:p w14:paraId="165F0C72" w14:textId="5C263129" w:rsidR="00D37D16" w:rsidRPr="00B11D8A" w:rsidRDefault="00D37D16" w:rsidP="00D37D16">
      <w:pPr>
        <w:pStyle w:val="Indent"/>
        <w:widowControl w:val="0"/>
        <w:numPr>
          <w:ilvl w:val="0"/>
          <w:numId w:val="0"/>
        </w:numPr>
        <w:spacing w:after="240" w:line="360" w:lineRule="auto"/>
        <w:ind w:left="2160" w:hanging="720"/>
        <w:jc w:val="both"/>
        <w:rPr>
          <w:rFonts w:ascii="Verdana" w:hAnsi="Verdana"/>
          <w:i/>
          <w:color w:val="000000" w:themeColor="text1"/>
          <w:sz w:val="22"/>
          <w:szCs w:val="22"/>
          <w:lang w:val="en-GB"/>
        </w:rPr>
      </w:pPr>
      <w:r w:rsidRPr="00B11D8A">
        <w:rPr>
          <w:rFonts w:ascii="Verdana" w:hAnsi="Verdana"/>
          <w:i/>
          <w:color w:val="000000" w:themeColor="text1"/>
          <w:sz w:val="22"/>
          <w:szCs w:val="22"/>
          <w:lang w:val="en-GB"/>
        </w:rPr>
        <w:t>“(a) </w:t>
      </w:r>
      <w:r w:rsidRPr="00B11D8A">
        <w:rPr>
          <w:rFonts w:ascii="Verdana" w:hAnsi="Verdana"/>
          <w:i/>
          <w:color w:val="000000" w:themeColor="text1"/>
          <w:sz w:val="22"/>
          <w:szCs w:val="22"/>
          <w:lang w:val="en-GB"/>
        </w:rPr>
        <w:tab/>
        <w:t>Where the respondent denies all material allegations ‘and produces or will produce, positive evidence by deponents or witnesses to the contrary’;</w:t>
      </w:r>
    </w:p>
    <w:p w14:paraId="4038E0B7" w14:textId="0B39B717" w:rsidR="00D37D16" w:rsidRPr="00B11D8A" w:rsidRDefault="00D37D16" w:rsidP="00D37D16">
      <w:pPr>
        <w:pStyle w:val="Indent"/>
        <w:widowControl w:val="0"/>
        <w:numPr>
          <w:ilvl w:val="0"/>
          <w:numId w:val="0"/>
        </w:numPr>
        <w:spacing w:after="240" w:line="360" w:lineRule="auto"/>
        <w:ind w:left="2160" w:hanging="720"/>
        <w:jc w:val="both"/>
        <w:rPr>
          <w:rFonts w:ascii="Verdana" w:hAnsi="Verdana"/>
          <w:i/>
          <w:color w:val="000000" w:themeColor="text1"/>
          <w:sz w:val="22"/>
          <w:szCs w:val="22"/>
          <w:lang w:val="en-GB"/>
        </w:rPr>
      </w:pPr>
      <w:r w:rsidRPr="00B11D8A">
        <w:rPr>
          <w:rFonts w:ascii="Verdana" w:hAnsi="Verdana"/>
          <w:i/>
          <w:color w:val="000000" w:themeColor="text1"/>
          <w:sz w:val="22"/>
          <w:szCs w:val="22"/>
          <w:lang w:val="en-GB"/>
        </w:rPr>
        <w:t>(b) </w:t>
      </w:r>
      <w:r w:rsidRPr="00B11D8A">
        <w:rPr>
          <w:rFonts w:ascii="Verdana" w:hAnsi="Verdana"/>
          <w:i/>
          <w:color w:val="000000" w:themeColor="text1"/>
          <w:sz w:val="22"/>
          <w:szCs w:val="22"/>
          <w:lang w:val="en-GB"/>
        </w:rPr>
        <w:tab/>
        <w:t>Although admitting the applicant’s evidence, the respondent may allege other facts which the former disputes;</w:t>
      </w:r>
    </w:p>
    <w:p w14:paraId="403199CA" w14:textId="7C6B6735" w:rsidR="00D37D16" w:rsidRPr="00B11D8A" w:rsidRDefault="00D37D16" w:rsidP="00D37D16">
      <w:pPr>
        <w:pStyle w:val="Indent"/>
        <w:widowControl w:val="0"/>
        <w:numPr>
          <w:ilvl w:val="0"/>
          <w:numId w:val="0"/>
        </w:numPr>
        <w:spacing w:after="480" w:line="360" w:lineRule="auto"/>
        <w:ind w:left="2160" w:hanging="720"/>
        <w:jc w:val="both"/>
        <w:rPr>
          <w:rFonts w:ascii="Verdana" w:hAnsi="Verdana"/>
          <w:i/>
          <w:color w:val="000000" w:themeColor="text1"/>
          <w:sz w:val="22"/>
          <w:szCs w:val="22"/>
          <w:lang w:val="en-GB"/>
        </w:rPr>
      </w:pPr>
      <w:r w:rsidRPr="00B11D8A">
        <w:rPr>
          <w:rFonts w:ascii="Verdana" w:hAnsi="Verdana"/>
          <w:i/>
          <w:color w:val="000000" w:themeColor="text1"/>
          <w:sz w:val="22"/>
          <w:szCs w:val="22"/>
          <w:lang w:val="en-GB"/>
        </w:rPr>
        <w:t>(c) </w:t>
      </w:r>
      <w:r w:rsidRPr="00B11D8A">
        <w:rPr>
          <w:rFonts w:ascii="Verdana" w:hAnsi="Verdana"/>
          <w:i/>
          <w:color w:val="000000" w:themeColor="text1"/>
          <w:sz w:val="22"/>
          <w:szCs w:val="22"/>
          <w:lang w:val="en-GB"/>
        </w:rPr>
        <w:tab/>
        <w:t xml:space="preserve">Where the respondent claims lack of knowledge and puts the applicant to the proof, but produces evidence, or indicate that he intends leading evidence to demonstrate the unreliability of the applicant’s averments and that certain essential facts are untrue.” </w:t>
      </w:r>
    </w:p>
    <w:p w14:paraId="30282F14" w14:textId="689F93AC" w:rsidR="00D37D16" w:rsidRPr="00B11D8A" w:rsidRDefault="00D37D16"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w:t>
      </w:r>
      <w:r w:rsidRPr="00B11D8A">
        <w:rPr>
          <w:rFonts w:ascii="Verdana" w:hAnsi="Verdana"/>
          <w:color w:val="000000" w:themeColor="text1"/>
          <w:sz w:val="22"/>
          <w:szCs w:val="22"/>
          <w:u w:val="single"/>
          <w:lang w:val="en-GB"/>
        </w:rPr>
        <w:t>Plascon-Evans</w:t>
      </w:r>
      <w:r w:rsidRPr="00B11D8A">
        <w:rPr>
          <w:rStyle w:val="FootnoteReference"/>
          <w:rFonts w:ascii="Verdana" w:hAnsi="Verdana"/>
          <w:color w:val="000000" w:themeColor="text1"/>
          <w:sz w:val="22"/>
          <w:szCs w:val="22"/>
          <w:lang w:val="en-GB"/>
        </w:rPr>
        <w:footnoteReference w:id="56"/>
      </w:r>
      <w:r w:rsidRPr="00B11D8A">
        <w:rPr>
          <w:rFonts w:ascii="Verdana" w:hAnsi="Verdana"/>
          <w:color w:val="000000" w:themeColor="text1"/>
          <w:sz w:val="22"/>
          <w:szCs w:val="22"/>
          <w:lang w:val="en-GB"/>
        </w:rPr>
        <w:t xml:space="preserve"> the then Appellate Division considered the circumstances where a dispute would not be considered </w:t>
      </w:r>
      <w:r w:rsidRPr="00B11D8A">
        <w:rPr>
          <w:rFonts w:ascii="Verdana" w:hAnsi="Verdana"/>
          <w:i/>
          <w:color w:val="000000" w:themeColor="text1"/>
          <w:sz w:val="22"/>
          <w:szCs w:val="22"/>
          <w:lang w:val="en-GB"/>
        </w:rPr>
        <w:t>bona fide</w:t>
      </w:r>
      <w:r w:rsidRPr="00B11D8A">
        <w:rPr>
          <w:rFonts w:ascii="Verdana" w:hAnsi="Verdana"/>
          <w:color w:val="000000" w:themeColor="text1"/>
          <w:sz w:val="22"/>
          <w:szCs w:val="22"/>
          <w:lang w:val="en-GB"/>
        </w:rPr>
        <w:t>: -</w:t>
      </w:r>
    </w:p>
    <w:p w14:paraId="4CF11DF4" w14:textId="43AE2FC7" w:rsidR="00D37D16" w:rsidRPr="00B11D8A" w:rsidRDefault="00D37D16" w:rsidP="00B874F1">
      <w:pPr>
        <w:pStyle w:val="Indent"/>
        <w:widowControl w:val="0"/>
        <w:numPr>
          <w:ilvl w:val="0"/>
          <w:numId w:val="0"/>
        </w:numPr>
        <w:spacing w:after="480" w:line="360" w:lineRule="auto"/>
        <w:ind w:left="1440"/>
        <w:jc w:val="both"/>
        <w:rPr>
          <w:rFonts w:ascii="Verdana" w:hAnsi="Verdana"/>
          <w:i/>
          <w:color w:val="000000" w:themeColor="text1"/>
          <w:sz w:val="22"/>
          <w:szCs w:val="22"/>
          <w:lang w:val="en-GB"/>
        </w:rPr>
      </w:pPr>
      <w:r w:rsidRPr="00B11D8A">
        <w:rPr>
          <w:rFonts w:ascii="Verdana" w:hAnsi="Verdana"/>
          <w:i/>
          <w:color w:val="000000" w:themeColor="text1"/>
          <w:sz w:val="22"/>
          <w:szCs w:val="22"/>
          <w:lang w:val="en-GB"/>
        </w:rPr>
        <w:t xml:space="preserve">“It is correct that, where in proceedings on notice of motion disputes of fact have arisen on the affidavits, a final order, </w:t>
      </w:r>
      <w:r w:rsidR="00B97263" w:rsidRPr="00B11D8A">
        <w:rPr>
          <w:rFonts w:ascii="Verdana" w:hAnsi="Verdana"/>
          <w:i/>
          <w:color w:val="000000" w:themeColor="text1"/>
          <w:sz w:val="22"/>
          <w:szCs w:val="22"/>
          <w:lang w:val="en-GB"/>
        </w:rPr>
        <w:t>whether it be an interdict or some other form of relief, may be granted if those facts averred in the applicant’s affidavits which have been admitted by the respondent, together with the facts alleged by the respondent, justify such an order.</w:t>
      </w:r>
      <w:r w:rsidR="00E672F3" w:rsidRPr="00B11D8A">
        <w:rPr>
          <w:rFonts w:ascii="Verdana" w:hAnsi="Verdana"/>
          <w:i/>
          <w:color w:val="000000" w:themeColor="text1"/>
          <w:sz w:val="22"/>
          <w:szCs w:val="22"/>
          <w:lang w:val="en-GB"/>
        </w:rPr>
        <w:t xml:space="preserve">  The power of the Court to give such final relief on the papers before it is, however, </w:t>
      </w:r>
      <w:r w:rsidR="00DD2FA9" w:rsidRPr="00B11D8A">
        <w:rPr>
          <w:rFonts w:ascii="Verdana" w:hAnsi="Verdana"/>
          <w:i/>
          <w:color w:val="000000" w:themeColor="text1"/>
          <w:sz w:val="22"/>
          <w:szCs w:val="22"/>
          <w:lang w:val="en-GB"/>
        </w:rPr>
        <w:t xml:space="preserve">not confined to such a situation.  In </w:t>
      </w:r>
      <w:r w:rsidR="00DD2FA9" w:rsidRPr="00B11D8A">
        <w:rPr>
          <w:rFonts w:ascii="Verdana" w:hAnsi="Verdana"/>
          <w:i/>
          <w:color w:val="000000" w:themeColor="text1"/>
          <w:sz w:val="22"/>
          <w:szCs w:val="22"/>
          <w:lang w:val="en-GB"/>
        </w:rPr>
        <w:lastRenderedPageBreak/>
        <w:t xml:space="preserve">certain instances the denial by respondent of a fact alleged by the applicant may not be such as to raise a real, genuine or bona fide dispute of fact (see in this regard </w:t>
      </w:r>
      <w:r w:rsidR="00DD2FA9" w:rsidRPr="00B11D8A">
        <w:rPr>
          <w:i/>
          <w:color w:val="000000" w:themeColor="text1"/>
          <w:sz w:val="26"/>
          <w:szCs w:val="26"/>
          <w:lang w:val="en-GB"/>
        </w:rPr>
        <w:t>Room Hire Co (Pty) Ltd v Jeppe Street Mansions (Pty) Ltd</w:t>
      </w:r>
      <w:r w:rsidR="00DD2FA9" w:rsidRPr="00B11D8A">
        <w:rPr>
          <w:rFonts w:ascii="Verdana" w:hAnsi="Verdana"/>
          <w:i/>
          <w:color w:val="000000" w:themeColor="text1"/>
          <w:sz w:val="22"/>
          <w:szCs w:val="22"/>
          <w:lang w:val="en-GB"/>
        </w:rPr>
        <w:t xml:space="preserve"> 1949 (3) SA 1155 (T) at 1163-5;  </w:t>
      </w:r>
      <w:r w:rsidR="00DD2FA9" w:rsidRPr="00B11D8A">
        <w:rPr>
          <w:i/>
          <w:color w:val="000000" w:themeColor="text1"/>
          <w:sz w:val="26"/>
          <w:szCs w:val="26"/>
          <w:lang w:val="en-GB"/>
        </w:rPr>
        <w:t>Da Matta v Otto N.O.</w:t>
      </w:r>
      <w:r w:rsidR="00DD2FA9" w:rsidRPr="00B11D8A">
        <w:rPr>
          <w:rFonts w:ascii="Verdana" w:hAnsi="Verdana"/>
          <w:i/>
          <w:color w:val="000000" w:themeColor="text1"/>
          <w:sz w:val="22"/>
          <w:szCs w:val="22"/>
          <w:lang w:val="en-GB"/>
        </w:rPr>
        <w:t xml:space="preserve"> 1972 (3) SA 858 (A) at 882D - H).  If in such a case the respondent has not availed himself of his right to apply for the deponent’s concern to be called for cross-examination under rule 6(5)(g) of the Uniform Rules of Court (cf. </w:t>
      </w:r>
      <w:r w:rsidR="00DD2FA9" w:rsidRPr="00B11D8A">
        <w:rPr>
          <w:i/>
          <w:color w:val="000000" w:themeColor="text1"/>
          <w:sz w:val="26"/>
          <w:szCs w:val="26"/>
          <w:lang w:val="en-GB"/>
        </w:rPr>
        <w:t>Peterson v Cuthbert &amp; Co Ltd</w:t>
      </w:r>
      <w:r w:rsidR="00DD2FA9" w:rsidRPr="00B11D8A">
        <w:rPr>
          <w:rFonts w:ascii="Verdana" w:hAnsi="Verdana"/>
          <w:i/>
          <w:color w:val="000000" w:themeColor="text1"/>
          <w:sz w:val="22"/>
          <w:szCs w:val="22"/>
          <w:lang w:val="en-GB"/>
        </w:rPr>
        <w:t xml:space="preserve"> 1945 AD 420 at 428;  </w:t>
      </w:r>
      <w:r w:rsidR="00DD2FA9" w:rsidRPr="00B11D8A">
        <w:rPr>
          <w:i/>
          <w:color w:val="000000" w:themeColor="text1"/>
          <w:sz w:val="26"/>
          <w:szCs w:val="26"/>
          <w:lang w:val="en-GB"/>
        </w:rPr>
        <w:t>Room Hire</w:t>
      </w:r>
      <w:r w:rsidR="00DD2FA9" w:rsidRPr="00B11D8A">
        <w:rPr>
          <w:rFonts w:ascii="Verdana" w:hAnsi="Verdana"/>
          <w:i/>
          <w:color w:val="000000" w:themeColor="text1"/>
          <w:sz w:val="26"/>
          <w:szCs w:val="26"/>
          <w:lang w:val="en-GB"/>
        </w:rPr>
        <w:t xml:space="preserve"> </w:t>
      </w:r>
      <w:r w:rsidR="00DD2FA9" w:rsidRPr="00B11D8A">
        <w:rPr>
          <w:rFonts w:ascii="Verdana" w:hAnsi="Verdana"/>
          <w:i/>
          <w:color w:val="000000" w:themeColor="text1"/>
          <w:sz w:val="22"/>
          <w:szCs w:val="22"/>
          <w:lang w:val="en-GB"/>
        </w:rPr>
        <w:t xml:space="preserve">case supra at </w:t>
      </w:r>
      <w:r w:rsidR="008B3BBC" w:rsidRPr="00B11D8A">
        <w:rPr>
          <w:rFonts w:ascii="Verdana" w:hAnsi="Verdana"/>
          <w:i/>
          <w:color w:val="000000" w:themeColor="text1"/>
          <w:sz w:val="22"/>
          <w:szCs w:val="22"/>
          <w:lang w:val="en-GB"/>
        </w:rPr>
        <w:t xml:space="preserve">1164) and the Court is satisfied as to the inherent credibility of the applicant’s factual averment, </w:t>
      </w:r>
      <w:r w:rsidR="00ED3ED5" w:rsidRPr="00B11D8A">
        <w:rPr>
          <w:rFonts w:ascii="Verdana" w:hAnsi="Verdana"/>
          <w:i/>
          <w:color w:val="000000" w:themeColor="text1"/>
          <w:sz w:val="22"/>
          <w:szCs w:val="22"/>
          <w:lang w:val="en-GB"/>
        </w:rPr>
        <w:t xml:space="preserve">it may proceed on the basis of the correctness thereof and include this fact among those upon which it determines whether the applicant is entitled to the final relief which he seeks (see example </w:t>
      </w:r>
      <w:r w:rsidR="00ED3ED5" w:rsidRPr="00B11D8A">
        <w:rPr>
          <w:i/>
          <w:color w:val="000000" w:themeColor="text1"/>
          <w:sz w:val="26"/>
          <w:szCs w:val="26"/>
          <w:lang w:val="en-GB"/>
        </w:rPr>
        <w:t>Rikhoto v East Rand Administration Board and Another</w:t>
      </w:r>
      <w:r w:rsidR="00ED3ED5" w:rsidRPr="00B11D8A">
        <w:rPr>
          <w:rFonts w:ascii="Verdana" w:hAnsi="Verdana"/>
          <w:i/>
          <w:color w:val="000000" w:themeColor="text1"/>
          <w:sz w:val="22"/>
          <w:szCs w:val="22"/>
          <w:lang w:val="en-GB"/>
        </w:rPr>
        <w:t xml:space="preserve"> 1983 (4) SA 278 (W) at 283E - H).  Moreover, </w:t>
      </w:r>
      <w:r w:rsidR="00B874F1" w:rsidRPr="00B11D8A">
        <w:rPr>
          <w:rFonts w:ascii="Verdana" w:hAnsi="Verdana"/>
          <w:i/>
          <w:color w:val="000000" w:themeColor="text1"/>
          <w:sz w:val="22"/>
          <w:szCs w:val="22"/>
          <w:lang w:val="en-GB"/>
        </w:rPr>
        <w:t xml:space="preserve">there may be exceptions to this general rule, as, for example, where the allegations or denials of the respondent are so far-fetched or clearly untenable that the Court is justified in rejecting them merely on the papers (see the remarks of Botha AJA in the </w:t>
      </w:r>
      <w:r w:rsidR="00B874F1" w:rsidRPr="00B11D8A">
        <w:rPr>
          <w:i/>
          <w:color w:val="000000" w:themeColor="text1"/>
          <w:sz w:val="26"/>
          <w:szCs w:val="26"/>
          <w:lang w:val="en-GB"/>
        </w:rPr>
        <w:t>Associated South African Bakeries</w:t>
      </w:r>
      <w:r w:rsidR="00B874F1" w:rsidRPr="00B11D8A">
        <w:rPr>
          <w:rFonts w:ascii="Verdana" w:hAnsi="Verdana"/>
          <w:i/>
          <w:color w:val="000000" w:themeColor="text1"/>
          <w:sz w:val="22"/>
          <w:szCs w:val="22"/>
          <w:lang w:val="en-GB"/>
        </w:rPr>
        <w:t xml:space="preserve"> case, supra at 924A).</w:t>
      </w:r>
      <w:r w:rsidRPr="00B11D8A">
        <w:rPr>
          <w:rFonts w:ascii="Verdana" w:hAnsi="Verdana"/>
          <w:i/>
          <w:color w:val="000000" w:themeColor="text1"/>
          <w:sz w:val="22"/>
          <w:szCs w:val="22"/>
          <w:lang w:val="en-GB"/>
        </w:rPr>
        <w:t>”</w:t>
      </w:r>
      <w:r w:rsidRPr="00B11D8A">
        <w:rPr>
          <w:rStyle w:val="FootnoteReference"/>
          <w:rFonts w:ascii="Verdana" w:hAnsi="Verdana"/>
          <w:i/>
          <w:color w:val="000000" w:themeColor="text1"/>
          <w:sz w:val="22"/>
          <w:szCs w:val="22"/>
          <w:lang w:val="en-GB"/>
        </w:rPr>
        <w:footnoteReference w:id="57"/>
      </w:r>
    </w:p>
    <w:p w14:paraId="3EFAE0CA" w14:textId="6DF92D37" w:rsidR="00D37D16" w:rsidRPr="00B11D8A" w:rsidRDefault="00B874F1"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Applying these principles to the answering affidavit, I find that Ms Gilhar and the first respondent have failed to establish a real, genuine and </w:t>
      </w:r>
      <w:r w:rsidRPr="00B11D8A">
        <w:rPr>
          <w:rFonts w:ascii="Verdana" w:hAnsi="Verdana"/>
          <w:i/>
          <w:color w:val="000000" w:themeColor="text1"/>
          <w:sz w:val="22"/>
          <w:szCs w:val="22"/>
          <w:lang w:val="en-GB"/>
        </w:rPr>
        <w:t>bona fide</w:t>
      </w:r>
      <w:r w:rsidRPr="00B11D8A">
        <w:rPr>
          <w:rFonts w:ascii="Verdana" w:hAnsi="Verdana"/>
          <w:color w:val="000000" w:themeColor="text1"/>
          <w:sz w:val="22"/>
          <w:szCs w:val="22"/>
          <w:lang w:val="en-GB"/>
        </w:rPr>
        <w:t xml:space="preserve"> factual dispute, for the following reasons: -</w:t>
      </w:r>
    </w:p>
    <w:p w14:paraId="38B14828" w14:textId="77777777" w:rsidR="008D2D79" w:rsidRPr="00B11D8A" w:rsidRDefault="008D2D79" w:rsidP="00B874F1">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Ms Gilhar baldly states at paragraph 6 of the answering affidavit that: - </w:t>
      </w:r>
    </w:p>
    <w:p w14:paraId="0B48825B" w14:textId="723B136F" w:rsidR="00B874F1" w:rsidRPr="00B11D8A" w:rsidRDefault="008D2D79" w:rsidP="008D2D79">
      <w:pPr>
        <w:pStyle w:val="Indent"/>
        <w:widowControl w:val="0"/>
        <w:numPr>
          <w:ilvl w:val="0"/>
          <w:numId w:val="0"/>
        </w:numPr>
        <w:spacing w:after="480" w:line="360" w:lineRule="auto"/>
        <w:ind w:left="2160"/>
        <w:jc w:val="both"/>
        <w:rPr>
          <w:rFonts w:ascii="Verdana" w:hAnsi="Verdana"/>
          <w:color w:val="000000" w:themeColor="text1"/>
          <w:sz w:val="22"/>
          <w:szCs w:val="22"/>
          <w:lang w:val="en-GB"/>
        </w:rPr>
      </w:pPr>
      <w:r w:rsidRPr="00B11D8A">
        <w:rPr>
          <w:rFonts w:ascii="Verdana" w:hAnsi="Verdana"/>
          <w:i/>
          <w:color w:val="000000" w:themeColor="text1"/>
          <w:sz w:val="22"/>
          <w:szCs w:val="22"/>
          <w:lang w:val="en-GB"/>
        </w:rPr>
        <w:t xml:space="preserve">“None of these amounts claimed is based on an agreement and there are obvious disputes of fact, which necessarily ought </w:t>
      </w:r>
      <w:r w:rsidRPr="00B11D8A">
        <w:rPr>
          <w:rFonts w:ascii="Verdana" w:hAnsi="Verdana"/>
          <w:i/>
          <w:color w:val="000000" w:themeColor="text1"/>
          <w:sz w:val="22"/>
          <w:szCs w:val="22"/>
          <w:lang w:val="en-GB"/>
        </w:rPr>
        <w:lastRenderedPageBreak/>
        <w:t>to be resolved by way of action (and trial) and not by way of application.”</w:t>
      </w:r>
      <w:r w:rsidRPr="00B11D8A">
        <w:rPr>
          <w:rStyle w:val="FootnoteReference"/>
          <w:rFonts w:ascii="Verdana" w:hAnsi="Verdana"/>
          <w:i/>
          <w:color w:val="000000" w:themeColor="text1"/>
          <w:sz w:val="22"/>
          <w:szCs w:val="22"/>
          <w:lang w:val="en-GB"/>
        </w:rPr>
        <w:footnoteReference w:id="58"/>
      </w:r>
      <w:r w:rsidRPr="00B11D8A">
        <w:rPr>
          <w:rFonts w:ascii="Verdana" w:hAnsi="Verdana"/>
          <w:i/>
          <w:color w:val="000000" w:themeColor="text1"/>
          <w:sz w:val="22"/>
          <w:szCs w:val="22"/>
          <w:lang w:val="en-GB"/>
        </w:rPr>
        <w:t xml:space="preserve"> </w:t>
      </w:r>
    </w:p>
    <w:p w14:paraId="00AE3640" w14:textId="0904A21A" w:rsidR="00A027C7" w:rsidRPr="00B11D8A" w:rsidRDefault="008D2D79" w:rsidP="008D2D79">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Ms Gilhar states further at paragraph 7 that evidence would be required to be led substantiating the claims and that such evidence would require expert testimony </w:t>
      </w:r>
      <w:r w:rsidRPr="00B11D8A">
        <w:rPr>
          <w:rFonts w:ascii="Verdana" w:hAnsi="Verdana"/>
          <w:i/>
          <w:color w:val="000000" w:themeColor="text1"/>
          <w:sz w:val="22"/>
          <w:szCs w:val="22"/>
          <w:lang w:val="en-GB"/>
        </w:rPr>
        <w:t>“for example the reasonableness of the rental claimed of R35,000.00 per month”</w:t>
      </w:r>
      <w:r w:rsidRPr="00B11D8A">
        <w:rPr>
          <w:rFonts w:ascii="Verdana" w:hAnsi="Verdana"/>
          <w:color w:val="000000" w:themeColor="text1"/>
          <w:sz w:val="22"/>
          <w:szCs w:val="22"/>
          <w:lang w:val="en-GB"/>
        </w:rPr>
        <w:t>;</w:t>
      </w:r>
      <w:r w:rsidRPr="00B11D8A">
        <w:rPr>
          <w:rStyle w:val="FootnoteReference"/>
          <w:rFonts w:ascii="Verdana" w:hAnsi="Verdana"/>
          <w:color w:val="000000" w:themeColor="text1"/>
          <w:sz w:val="22"/>
          <w:szCs w:val="22"/>
          <w:lang w:val="en-GB"/>
        </w:rPr>
        <w:footnoteReference w:id="59"/>
      </w:r>
      <w:r w:rsidRPr="00B11D8A">
        <w:rPr>
          <w:rFonts w:ascii="Verdana" w:hAnsi="Verdana"/>
          <w:color w:val="000000" w:themeColor="text1"/>
          <w:sz w:val="22"/>
          <w:szCs w:val="22"/>
          <w:lang w:val="en-GB"/>
        </w:rPr>
        <w:t xml:space="preserve">  </w:t>
      </w:r>
    </w:p>
    <w:p w14:paraId="4D0FD10C" w14:textId="02A9F814" w:rsidR="008D2D79" w:rsidRPr="00B11D8A" w:rsidRDefault="008D2D79" w:rsidP="008D2D79">
      <w:pPr>
        <w:pStyle w:val="Indent"/>
        <w:widowControl w:val="0"/>
        <w:numPr>
          <w:ilvl w:val="1"/>
          <w:numId w:val="7"/>
        </w:numPr>
        <w:spacing w:after="360" w:line="480" w:lineRule="auto"/>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Ms Gilhar baldly denies that the relief sought is appropriate in motion proceedings and she denies any liability for the amounts claimed by the applicants.</w:t>
      </w:r>
      <w:r w:rsidRPr="00B11D8A">
        <w:rPr>
          <w:rStyle w:val="FootnoteReference"/>
          <w:rFonts w:ascii="Verdana" w:hAnsi="Verdana"/>
          <w:color w:val="000000" w:themeColor="text1"/>
          <w:sz w:val="22"/>
          <w:szCs w:val="22"/>
          <w:lang w:val="en-GB"/>
        </w:rPr>
        <w:footnoteReference w:id="60"/>
      </w:r>
      <w:r w:rsidRPr="00B11D8A">
        <w:rPr>
          <w:rFonts w:ascii="Verdana" w:hAnsi="Verdana"/>
          <w:color w:val="000000" w:themeColor="text1"/>
          <w:sz w:val="22"/>
          <w:szCs w:val="22"/>
          <w:lang w:val="en-GB"/>
        </w:rPr>
        <w:t xml:space="preserve"> </w:t>
      </w:r>
    </w:p>
    <w:p w14:paraId="53DDB7AD" w14:textId="4674CDBD" w:rsidR="008D2D79" w:rsidRPr="00B11D8A" w:rsidRDefault="008D2D79"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Significantly, Ms Gilhar does not respond to the allegation contained in the founding affidavit that a lease agreement for a monthly rental amount of R35,000.00 was concluded.  </w:t>
      </w:r>
      <w:r w:rsidR="005B64CD" w:rsidRPr="00B11D8A">
        <w:rPr>
          <w:rFonts w:ascii="Verdana" w:hAnsi="Verdana"/>
          <w:color w:val="000000" w:themeColor="text1"/>
          <w:sz w:val="22"/>
          <w:szCs w:val="22"/>
          <w:lang w:val="en-GB"/>
        </w:rPr>
        <w:t xml:space="preserve">Although she states that no evidence is before Court </w:t>
      </w:r>
      <w:r w:rsidR="00D40798" w:rsidRPr="00B11D8A">
        <w:rPr>
          <w:rFonts w:ascii="Verdana" w:hAnsi="Verdana"/>
          <w:color w:val="000000" w:themeColor="text1"/>
          <w:sz w:val="22"/>
          <w:szCs w:val="22"/>
          <w:lang w:val="en-GB"/>
        </w:rPr>
        <w:t xml:space="preserve">that the rental amount is reasonable, she most certainly made no effort to advance any facts before this Court proving that the rental amount is unreasonable.  As a result, there is no challenge to the Trust’s allegation that the reasonable monthly rental amount whilst in occupation of the property would be R35,000.00 per month. </w:t>
      </w:r>
    </w:p>
    <w:p w14:paraId="1D47E3E4" w14:textId="27313B1A" w:rsidR="00D40798" w:rsidRPr="00B11D8A" w:rsidRDefault="00D40798"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the premises, I find that the Trust discharged its onus of proving </w:t>
      </w:r>
      <w:r w:rsidR="001C686D" w:rsidRPr="00B11D8A">
        <w:rPr>
          <w:rFonts w:ascii="Verdana" w:hAnsi="Verdana"/>
          <w:color w:val="000000" w:themeColor="text1"/>
          <w:sz w:val="22"/>
          <w:szCs w:val="22"/>
          <w:lang w:val="en-GB"/>
        </w:rPr>
        <w:t xml:space="preserve">the rental amount and rental period claimed.  </w:t>
      </w:r>
    </w:p>
    <w:p w14:paraId="26B52140" w14:textId="64087ABC" w:rsidR="001C686D" w:rsidRPr="00B11D8A" w:rsidRDefault="001C686D" w:rsidP="001C686D">
      <w:pPr>
        <w:pStyle w:val="Indent"/>
        <w:keepNext/>
        <w:widowControl w:val="0"/>
        <w:numPr>
          <w:ilvl w:val="0"/>
          <w:numId w:val="0"/>
        </w:numPr>
        <w:spacing w:after="360" w:line="480" w:lineRule="auto"/>
        <w:jc w:val="both"/>
        <w:rPr>
          <w:rFonts w:ascii="Verdana" w:hAnsi="Verdana"/>
          <w:b/>
          <w:color w:val="000000" w:themeColor="text1"/>
          <w:sz w:val="22"/>
          <w:szCs w:val="22"/>
          <w:lang w:val="en-GB"/>
        </w:rPr>
      </w:pPr>
      <w:r w:rsidRPr="00B11D8A">
        <w:rPr>
          <w:rFonts w:ascii="Verdana" w:hAnsi="Verdana"/>
          <w:b/>
          <w:color w:val="000000" w:themeColor="text1"/>
          <w:sz w:val="22"/>
          <w:szCs w:val="22"/>
          <w:lang w:val="en-GB"/>
        </w:rPr>
        <w:lastRenderedPageBreak/>
        <w:t>Levies, water and electricity</w:t>
      </w:r>
    </w:p>
    <w:p w14:paraId="0AD4DB09" w14:textId="74EB6B06" w:rsidR="001047CF" w:rsidRPr="00B11D8A" w:rsidRDefault="001C686D"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its founding affidavit the Trust provides </w:t>
      </w:r>
      <w:r w:rsidR="000F53D1" w:rsidRPr="00B11D8A">
        <w:rPr>
          <w:rFonts w:ascii="Verdana" w:hAnsi="Verdana"/>
          <w:color w:val="000000" w:themeColor="text1"/>
          <w:sz w:val="22"/>
          <w:szCs w:val="22"/>
          <w:lang w:val="en-GB"/>
        </w:rPr>
        <w:t xml:space="preserve">evidence by way of municipal accounts and schedules with a breakdown of the amount paid for water and electricity and levies for the period of September to November 2019.  </w:t>
      </w:r>
      <w:r w:rsidR="003F0BC0" w:rsidRPr="00B11D8A">
        <w:rPr>
          <w:rFonts w:ascii="Verdana" w:hAnsi="Verdana"/>
          <w:color w:val="000000" w:themeColor="text1"/>
          <w:sz w:val="22"/>
          <w:szCs w:val="22"/>
          <w:lang w:val="en-GB"/>
        </w:rPr>
        <w:t>This amount totals R27,094.59 and was paid by the Trust.</w:t>
      </w:r>
      <w:r w:rsidR="003F0BC0" w:rsidRPr="00B11D8A">
        <w:rPr>
          <w:rStyle w:val="FootnoteReference"/>
          <w:rFonts w:ascii="Verdana" w:hAnsi="Verdana"/>
          <w:color w:val="000000" w:themeColor="text1"/>
          <w:sz w:val="22"/>
          <w:szCs w:val="22"/>
          <w:lang w:val="en-GB"/>
        </w:rPr>
        <w:footnoteReference w:id="61"/>
      </w:r>
      <w:r w:rsidR="003F0BC0" w:rsidRPr="00B11D8A">
        <w:rPr>
          <w:rFonts w:ascii="Verdana" w:hAnsi="Verdana"/>
          <w:color w:val="000000" w:themeColor="text1"/>
          <w:sz w:val="22"/>
          <w:szCs w:val="22"/>
          <w:lang w:val="en-GB"/>
        </w:rPr>
        <w:t xml:space="preserve">  </w:t>
      </w:r>
    </w:p>
    <w:p w14:paraId="0675BC52" w14:textId="49359FBC" w:rsidR="003F0BC0" w:rsidRPr="00B11D8A" w:rsidRDefault="003F0BC0"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Significantly, when the conveyancing attorneys furnished Ms Gilhar with proof of payment of the aforesaid amount, the first respondent made payment of R27,094.59 on 28 December 2019 and made a further payment of R3,129.14 </w:t>
      </w:r>
      <w:r w:rsidR="00856E63" w:rsidRPr="00B11D8A">
        <w:rPr>
          <w:rFonts w:ascii="Verdana" w:hAnsi="Verdana"/>
          <w:color w:val="000000" w:themeColor="text1"/>
          <w:sz w:val="22"/>
          <w:szCs w:val="22"/>
          <w:lang w:val="en-GB"/>
        </w:rPr>
        <w:t>in December 2019.</w:t>
      </w:r>
      <w:r w:rsidR="00856E63" w:rsidRPr="00B11D8A">
        <w:rPr>
          <w:rStyle w:val="FootnoteReference"/>
          <w:rFonts w:ascii="Verdana" w:hAnsi="Verdana"/>
          <w:color w:val="000000" w:themeColor="text1"/>
          <w:sz w:val="22"/>
          <w:szCs w:val="22"/>
          <w:lang w:val="en-GB"/>
        </w:rPr>
        <w:footnoteReference w:id="62"/>
      </w:r>
      <w:r w:rsidR="00856E63" w:rsidRPr="00B11D8A">
        <w:rPr>
          <w:rFonts w:ascii="Verdana" w:hAnsi="Verdana"/>
          <w:color w:val="000000" w:themeColor="text1"/>
          <w:sz w:val="22"/>
          <w:szCs w:val="22"/>
          <w:lang w:val="en-GB"/>
        </w:rPr>
        <w:t xml:space="preserve">  </w:t>
      </w:r>
    </w:p>
    <w:p w14:paraId="293DD7F9" w14:textId="451B9FCD" w:rsidR="00856E63" w:rsidRPr="00B11D8A" w:rsidRDefault="00856E63"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Trust asserts that at some stage </w:t>
      </w:r>
      <w:r w:rsidR="00000B51" w:rsidRPr="00B11D8A">
        <w:rPr>
          <w:rFonts w:ascii="Verdana" w:hAnsi="Verdana"/>
          <w:color w:val="000000" w:themeColor="text1"/>
          <w:sz w:val="22"/>
          <w:szCs w:val="22"/>
          <w:lang w:val="en-GB"/>
        </w:rPr>
        <w:t xml:space="preserve">Ms Gilhar questioned the water consumption as she believed there was a leak on the property.  The Trust promptly employed the services </w:t>
      </w:r>
      <w:r w:rsidR="00A64957" w:rsidRPr="00B11D8A">
        <w:rPr>
          <w:rFonts w:ascii="Verdana" w:hAnsi="Verdana"/>
          <w:color w:val="000000" w:themeColor="text1"/>
          <w:sz w:val="22"/>
          <w:szCs w:val="22"/>
          <w:lang w:val="en-GB"/>
        </w:rPr>
        <w:t>of plumbers to check for any leaks on the property and received confirmation that no leak was detected.</w:t>
      </w:r>
      <w:r w:rsidR="00A64957" w:rsidRPr="00B11D8A">
        <w:rPr>
          <w:rStyle w:val="FootnoteReference"/>
          <w:rFonts w:ascii="Verdana" w:hAnsi="Verdana"/>
          <w:color w:val="000000" w:themeColor="text1"/>
          <w:sz w:val="22"/>
          <w:szCs w:val="22"/>
          <w:lang w:val="en-GB"/>
        </w:rPr>
        <w:footnoteReference w:id="63"/>
      </w:r>
    </w:p>
    <w:p w14:paraId="345E2E9B" w14:textId="788D1C51" w:rsidR="003F0BC0" w:rsidRPr="00B11D8A" w:rsidRDefault="00A64957"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Trust made further payments </w:t>
      </w:r>
      <w:r w:rsidR="00CB14BB" w:rsidRPr="00B11D8A">
        <w:rPr>
          <w:rFonts w:ascii="Verdana" w:hAnsi="Verdana"/>
          <w:color w:val="000000" w:themeColor="text1"/>
          <w:sz w:val="22"/>
          <w:szCs w:val="22"/>
          <w:lang w:val="en-GB"/>
        </w:rPr>
        <w:t>of water and electricity costs for the period December 2019 to August 2020 in the amount of R69,987.99 and attaches municipal accounts, together with proof of payment in support.</w:t>
      </w:r>
      <w:r w:rsidR="00CB14BB" w:rsidRPr="00B11D8A">
        <w:rPr>
          <w:rStyle w:val="FootnoteReference"/>
          <w:rFonts w:ascii="Verdana" w:hAnsi="Verdana"/>
          <w:color w:val="000000" w:themeColor="text1"/>
          <w:sz w:val="22"/>
          <w:szCs w:val="22"/>
          <w:lang w:val="en-GB"/>
        </w:rPr>
        <w:footnoteReference w:id="64"/>
      </w:r>
      <w:r w:rsidR="00CB14BB" w:rsidRPr="00B11D8A">
        <w:rPr>
          <w:rFonts w:ascii="Verdana" w:hAnsi="Verdana"/>
          <w:color w:val="000000" w:themeColor="text1"/>
          <w:sz w:val="22"/>
          <w:szCs w:val="22"/>
          <w:lang w:val="en-GB"/>
        </w:rPr>
        <w:t xml:space="preserve">  It also attaches a statement reflecting the payments in respect of levies for the period December 2019 to August 2020.</w:t>
      </w:r>
      <w:r w:rsidR="00CB14BB" w:rsidRPr="00B11D8A">
        <w:rPr>
          <w:rStyle w:val="FootnoteReference"/>
          <w:rFonts w:ascii="Verdana" w:hAnsi="Verdana"/>
          <w:color w:val="000000" w:themeColor="text1"/>
          <w:sz w:val="22"/>
          <w:szCs w:val="22"/>
          <w:lang w:val="en-GB"/>
        </w:rPr>
        <w:footnoteReference w:id="65"/>
      </w:r>
    </w:p>
    <w:p w14:paraId="58844AD5" w14:textId="3630156E" w:rsidR="00CB14BB" w:rsidRPr="00B11D8A" w:rsidRDefault="001435D7"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T</w:t>
      </w:r>
      <w:r w:rsidR="00CB14BB" w:rsidRPr="00B11D8A">
        <w:rPr>
          <w:rFonts w:ascii="Verdana" w:hAnsi="Verdana"/>
          <w:color w:val="000000" w:themeColor="text1"/>
          <w:sz w:val="22"/>
          <w:szCs w:val="22"/>
          <w:lang w:val="en-GB"/>
        </w:rPr>
        <w:t xml:space="preserve">he fact that the first respondent </w:t>
      </w:r>
      <w:r w:rsidR="00C272E5" w:rsidRPr="00B11D8A">
        <w:rPr>
          <w:rFonts w:ascii="Verdana" w:hAnsi="Verdana"/>
          <w:color w:val="000000" w:themeColor="text1"/>
          <w:sz w:val="22"/>
          <w:szCs w:val="22"/>
          <w:lang w:val="en-GB"/>
        </w:rPr>
        <w:t xml:space="preserve">made payment of the water and electricity and levies for the period September to November 2019 indicates an </w:t>
      </w:r>
      <w:r w:rsidR="00C272E5" w:rsidRPr="00B11D8A">
        <w:rPr>
          <w:rFonts w:ascii="Verdana" w:hAnsi="Verdana"/>
          <w:color w:val="000000" w:themeColor="text1"/>
          <w:sz w:val="22"/>
          <w:szCs w:val="22"/>
          <w:lang w:val="en-GB"/>
        </w:rPr>
        <w:lastRenderedPageBreak/>
        <w:t xml:space="preserve">admission of liability for these amounts. </w:t>
      </w:r>
      <w:r w:rsidRPr="00B11D8A">
        <w:rPr>
          <w:rFonts w:ascii="Verdana" w:hAnsi="Verdana"/>
          <w:color w:val="000000" w:themeColor="text1"/>
          <w:sz w:val="22"/>
          <w:szCs w:val="22"/>
          <w:lang w:val="en-GB"/>
        </w:rPr>
        <w:t xml:space="preserve"> </w:t>
      </w:r>
      <w:r w:rsidR="00171847" w:rsidRPr="00B11D8A">
        <w:rPr>
          <w:rFonts w:ascii="Verdana" w:hAnsi="Verdana"/>
          <w:color w:val="000000" w:themeColor="text1"/>
          <w:sz w:val="22"/>
          <w:szCs w:val="22"/>
          <w:lang w:val="en-GB"/>
        </w:rPr>
        <w:t xml:space="preserve">In Ms Gilhar’s answering affidavit, she does not dispute the schedules or the amounts claimed.  Accordingly, I find that the Trust is entitled to payment of the water, electricity and levies as claimed for in its notice of motion.  </w:t>
      </w:r>
    </w:p>
    <w:p w14:paraId="4D38170D" w14:textId="652A64E3" w:rsidR="00171847" w:rsidRPr="00B11D8A" w:rsidRDefault="00171847" w:rsidP="00171847">
      <w:pPr>
        <w:pStyle w:val="Indent"/>
        <w:keepNext/>
        <w:widowControl w:val="0"/>
        <w:numPr>
          <w:ilvl w:val="0"/>
          <w:numId w:val="0"/>
        </w:numPr>
        <w:spacing w:after="360" w:line="480" w:lineRule="auto"/>
        <w:jc w:val="both"/>
        <w:rPr>
          <w:rFonts w:ascii="Verdana" w:hAnsi="Verdana"/>
          <w:b/>
          <w:color w:val="000000" w:themeColor="text1"/>
          <w:sz w:val="22"/>
          <w:szCs w:val="22"/>
          <w:lang w:val="en-GB"/>
        </w:rPr>
      </w:pPr>
      <w:r w:rsidRPr="00B11D8A">
        <w:rPr>
          <w:rFonts w:ascii="Verdana" w:hAnsi="Verdana"/>
          <w:b/>
          <w:color w:val="000000" w:themeColor="text1"/>
          <w:sz w:val="22"/>
          <w:szCs w:val="22"/>
          <w:lang w:val="en-GB"/>
        </w:rPr>
        <w:t>COSTS</w:t>
      </w:r>
    </w:p>
    <w:p w14:paraId="3A906120" w14:textId="3EB454E6" w:rsidR="00A64957" w:rsidRPr="00B11D8A" w:rsidRDefault="00171847"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The Trust seeks an order for costs against the first respondent and Ms Gilhar jointly and severally.  Ms Gilhar does not ask for a dismissal of the application, nor does she claim an order for costs.  However, it must be borne in mind that Ms Gilhar did </w:t>
      </w:r>
      <w:r w:rsidR="00034C30" w:rsidRPr="00B11D8A">
        <w:rPr>
          <w:rFonts w:ascii="Verdana" w:hAnsi="Verdana"/>
          <w:color w:val="000000" w:themeColor="text1"/>
          <w:sz w:val="22"/>
          <w:szCs w:val="22"/>
          <w:lang w:val="en-GB"/>
        </w:rPr>
        <w:t xml:space="preserve">represent herself throughout the proceedings, although it is apparent from the issues raised in her answering affidavit as well as in her heads of argument that she may have received some legal advice, albeit on an informal basis.  </w:t>
      </w:r>
      <w:r w:rsidR="00D96A2A" w:rsidRPr="00B11D8A">
        <w:rPr>
          <w:rFonts w:ascii="Verdana" w:hAnsi="Verdana"/>
          <w:color w:val="000000" w:themeColor="text1"/>
          <w:sz w:val="22"/>
          <w:szCs w:val="22"/>
          <w:lang w:val="en-GB"/>
        </w:rPr>
        <w:t xml:space="preserve">In fact, Ms Gilhar </w:t>
      </w:r>
      <w:r w:rsidR="006A1C99" w:rsidRPr="00B11D8A">
        <w:rPr>
          <w:rFonts w:ascii="Verdana" w:hAnsi="Verdana"/>
          <w:color w:val="000000" w:themeColor="text1"/>
          <w:sz w:val="22"/>
          <w:szCs w:val="22"/>
          <w:lang w:val="en-GB"/>
        </w:rPr>
        <w:t xml:space="preserve">conceded that much during the hearing. </w:t>
      </w:r>
    </w:p>
    <w:p w14:paraId="079FFD97" w14:textId="46826956" w:rsidR="00034C30" w:rsidRPr="00B11D8A" w:rsidRDefault="00F5769F"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It is trite that the issue of costs falls within the judicial discretion.  The basic principle in awarding costs is that a party who is substantially successful is entitled to be awarded costs in the absence of special circumstances.</w:t>
      </w:r>
      <w:r w:rsidRPr="00B11D8A">
        <w:rPr>
          <w:rStyle w:val="FootnoteReference"/>
          <w:rFonts w:ascii="Verdana" w:hAnsi="Verdana"/>
          <w:color w:val="000000" w:themeColor="text1"/>
          <w:sz w:val="22"/>
          <w:szCs w:val="22"/>
          <w:lang w:val="en-GB"/>
        </w:rPr>
        <w:footnoteReference w:id="66"/>
      </w:r>
      <w:r w:rsidRPr="00B11D8A">
        <w:rPr>
          <w:rFonts w:ascii="Verdana" w:hAnsi="Verdana"/>
          <w:color w:val="000000" w:themeColor="text1"/>
          <w:sz w:val="22"/>
          <w:szCs w:val="22"/>
          <w:lang w:val="en-GB"/>
        </w:rPr>
        <w:t xml:space="preserve">  </w:t>
      </w:r>
    </w:p>
    <w:p w14:paraId="140FE010" w14:textId="10075F11" w:rsidR="00F5769F" w:rsidRPr="00B11D8A" w:rsidRDefault="00F5769F"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In </w:t>
      </w:r>
      <w:r w:rsidRPr="00B11D8A">
        <w:rPr>
          <w:rFonts w:ascii="Verdana" w:hAnsi="Verdana"/>
          <w:color w:val="000000" w:themeColor="text1"/>
          <w:sz w:val="22"/>
          <w:szCs w:val="22"/>
          <w:u w:val="single"/>
          <w:lang w:val="en-GB"/>
        </w:rPr>
        <w:t>Fleming v Johnson &amp; Richardson</w:t>
      </w:r>
      <w:r w:rsidRPr="00B11D8A">
        <w:rPr>
          <w:rStyle w:val="FootnoteReference"/>
          <w:rFonts w:ascii="Verdana" w:hAnsi="Verdana"/>
          <w:color w:val="000000" w:themeColor="text1"/>
          <w:sz w:val="22"/>
          <w:szCs w:val="22"/>
          <w:lang w:val="en-GB"/>
        </w:rPr>
        <w:footnoteReference w:id="67"/>
      </w:r>
      <w:r w:rsidRPr="00B11D8A">
        <w:rPr>
          <w:rFonts w:ascii="Verdana" w:hAnsi="Verdana"/>
          <w:color w:val="000000" w:themeColor="text1"/>
          <w:sz w:val="22"/>
          <w:szCs w:val="22"/>
          <w:lang w:val="en-GB"/>
        </w:rPr>
        <w:t xml:space="preserve"> the principle was explained as follows: </w:t>
      </w:r>
      <w:r w:rsidRPr="00B11D8A">
        <w:rPr>
          <w:rFonts w:ascii="Verdana" w:hAnsi="Verdana"/>
          <w:color w:val="000000" w:themeColor="text1"/>
          <w:sz w:val="22"/>
          <w:szCs w:val="22"/>
          <w:lang w:val="en-ZA"/>
        </w:rPr>
        <w:t>-</w:t>
      </w:r>
    </w:p>
    <w:p w14:paraId="05D6C85A" w14:textId="6DC9594A" w:rsidR="00F5769F" w:rsidRPr="00B11D8A" w:rsidRDefault="00F5769F" w:rsidP="00F5769F">
      <w:pPr>
        <w:pStyle w:val="Indent"/>
        <w:widowControl w:val="0"/>
        <w:numPr>
          <w:ilvl w:val="0"/>
          <w:numId w:val="0"/>
        </w:numPr>
        <w:spacing w:after="480" w:line="360" w:lineRule="auto"/>
        <w:ind w:left="1440"/>
        <w:jc w:val="both"/>
        <w:rPr>
          <w:rFonts w:ascii="Verdana" w:hAnsi="Verdana"/>
          <w:i/>
          <w:color w:val="000000" w:themeColor="text1"/>
          <w:sz w:val="22"/>
          <w:szCs w:val="22"/>
          <w:lang w:val="en-GB"/>
        </w:rPr>
      </w:pPr>
      <w:r w:rsidRPr="00B11D8A">
        <w:rPr>
          <w:rFonts w:ascii="Verdana" w:hAnsi="Verdana"/>
          <w:i/>
          <w:color w:val="000000" w:themeColor="text1"/>
          <w:sz w:val="22"/>
          <w:szCs w:val="22"/>
          <w:lang w:val="en-GB"/>
        </w:rPr>
        <w:t>“It is a sound rule that where a plaintiff [applicant] is compelled to come to Court and recovers a substantial sum</w:t>
      </w:r>
      <w:r w:rsidR="00BA44A5" w:rsidRPr="00B11D8A">
        <w:rPr>
          <w:rFonts w:ascii="Verdana" w:hAnsi="Verdana"/>
          <w:i/>
          <w:color w:val="000000" w:themeColor="text1"/>
          <w:sz w:val="22"/>
          <w:szCs w:val="22"/>
          <w:lang w:val="en-GB"/>
        </w:rPr>
        <w:t xml:space="preserve"> which he would not have recovered had he not come to Court, then he should be awarded </w:t>
      </w:r>
      <w:r w:rsidR="00BA44A5" w:rsidRPr="00B11D8A">
        <w:rPr>
          <w:rFonts w:ascii="Verdana" w:hAnsi="Verdana"/>
          <w:i/>
          <w:color w:val="000000" w:themeColor="text1"/>
          <w:sz w:val="22"/>
          <w:szCs w:val="22"/>
          <w:lang w:val="en-GB"/>
        </w:rPr>
        <w:lastRenderedPageBreak/>
        <w:t xml:space="preserve">his costs.” </w:t>
      </w:r>
    </w:p>
    <w:p w14:paraId="235292ED" w14:textId="0AF074F1" w:rsidR="00F5769F" w:rsidRPr="00B11D8A" w:rsidRDefault="00BA44A5"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Ms Gilhar made it abundantly clear in correspondence which preceded the present litigation, that she would not vacate the property</w:t>
      </w:r>
      <w:r w:rsidR="00A83DDE" w:rsidRPr="00B11D8A">
        <w:rPr>
          <w:rFonts w:ascii="Verdana" w:hAnsi="Verdana"/>
          <w:color w:val="000000" w:themeColor="text1"/>
          <w:sz w:val="22"/>
          <w:szCs w:val="22"/>
          <w:lang w:val="en-GB"/>
        </w:rPr>
        <w:t xml:space="preserve"> unless a Court issued directives in this regard</w:t>
      </w:r>
      <w:r w:rsidRPr="00B11D8A">
        <w:rPr>
          <w:rFonts w:ascii="Verdana" w:hAnsi="Verdana"/>
          <w:color w:val="000000" w:themeColor="text1"/>
          <w:sz w:val="22"/>
          <w:szCs w:val="22"/>
          <w:lang w:val="en-GB"/>
        </w:rPr>
        <w:t xml:space="preserve">. </w:t>
      </w:r>
      <w:r w:rsidR="00A83DDE" w:rsidRPr="00B11D8A">
        <w:rPr>
          <w:rFonts w:ascii="Verdana" w:hAnsi="Verdana"/>
          <w:color w:val="000000" w:themeColor="text1"/>
          <w:sz w:val="22"/>
          <w:szCs w:val="22"/>
          <w:lang w:val="en-GB"/>
        </w:rPr>
        <w:t xml:space="preserve"> </w:t>
      </w:r>
      <w:r w:rsidR="00CC34EB" w:rsidRPr="00B11D8A">
        <w:rPr>
          <w:rFonts w:ascii="Verdana" w:hAnsi="Verdana"/>
          <w:color w:val="000000" w:themeColor="text1"/>
          <w:sz w:val="22"/>
          <w:szCs w:val="22"/>
          <w:lang w:val="en-GB"/>
        </w:rPr>
        <w:t xml:space="preserve">She repeated this statement in her heads of argument.  The Trust therefore had no alternative but to approach the Court in these circumstances.  </w:t>
      </w:r>
    </w:p>
    <w:p w14:paraId="45C2EC56" w14:textId="394319AF" w:rsidR="00CC34EB" w:rsidRPr="00B11D8A" w:rsidRDefault="00CC34EB" w:rsidP="003D69CB">
      <w:pPr>
        <w:pStyle w:val="Indent"/>
        <w:widowControl w:val="0"/>
        <w:spacing w:after="360" w:line="480" w:lineRule="auto"/>
        <w:ind w:left="709" w:hanging="709"/>
        <w:jc w:val="both"/>
        <w:rPr>
          <w:rFonts w:ascii="Verdana" w:hAnsi="Verdana"/>
          <w:color w:val="000000" w:themeColor="text1"/>
          <w:sz w:val="22"/>
          <w:szCs w:val="22"/>
          <w:lang w:val="en-GB"/>
        </w:rPr>
      </w:pPr>
      <w:r w:rsidRPr="00B11D8A">
        <w:rPr>
          <w:rFonts w:ascii="Verdana" w:hAnsi="Verdana"/>
          <w:color w:val="000000" w:themeColor="text1"/>
          <w:sz w:val="22"/>
          <w:szCs w:val="22"/>
          <w:lang w:val="en-GB"/>
        </w:rPr>
        <w:t xml:space="preserve">I therefore find no special circumstances </w:t>
      </w:r>
      <w:r w:rsidR="004D6B34" w:rsidRPr="00B11D8A">
        <w:rPr>
          <w:rFonts w:ascii="Verdana" w:hAnsi="Verdana"/>
          <w:color w:val="000000" w:themeColor="text1"/>
          <w:sz w:val="22"/>
          <w:szCs w:val="22"/>
          <w:lang w:val="en-GB"/>
        </w:rPr>
        <w:t>urging me to</w:t>
      </w:r>
      <w:r w:rsidRPr="00B11D8A">
        <w:rPr>
          <w:rFonts w:ascii="Verdana" w:hAnsi="Verdana"/>
          <w:color w:val="000000" w:themeColor="text1"/>
          <w:sz w:val="22"/>
          <w:szCs w:val="22"/>
          <w:lang w:val="en-GB"/>
        </w:rPr>
        <w:t xml:space="preserve"> deviate from the normal principle that costs should follow the result.  </w:t>
      </w:r>
    </w:p>
    <w:p w14:paraId="5B18116F" w14:textId="3B8BE9A8" w:rsidR="00CC40CF" w:rsidRPr="00B11D8A" w:rsidRDefault="00CC40CF" w:rsidP="003D69CB">
      <w:pPr>
        <w:pStyle w:val="Indent"/>
        <w:keepNext/>
        <w:widowControl w:val="0"/>
        <w:numPr>
          <w:ilvl w:val="0"/>
          <w:numId w:val="0"/>
        </w:numPr>
        <w:spacing w:after="360" w:line="480" w:lineRule="auto"/>
        <w:jc w:val="both"/>
        <w:rPr>
          <w:rFonts w:ascii="Verdana" w:hAnsi="Verdana" w:cs="Arial"/>
          <w:b/>
          <w:bCs/>
          <w:color w:val="000000" w:themeColor="text1"/>
          <w:sz w:val="22"/>
          <w:szCs w:val="22"/>
          <w:lang w:val="en-GB"/>
        </w:rPr>
      </w:pPr>
      <w:r w:rsidRPr="00B11D8A">
        <w:rPr>
          <w:rFonts w:ascii="Verdana" w:hAnsi="Verdana" w:cs="Arial"/>
          <w:b/>
          <w:bCs/>
          <w:color w:val="000000" w:themeColor="text1"/>
          <w:sz w:val="22"/>
          <w:szCs w:val="22"/>
          <w:lang w:val="en-GB"/>
        </w:rPr>
        <w:t>ORDER</w:t>
      </w:r>
    </w:p>
    <w:p w14:paraId="5D5F1BF4" w14:textId="38CD85CC" w:rsidR="002C78FD" w:rsidRPr="00B11D8A" w:rsidRDefault="006354B6" w:rsidP="005D7F7B">
      <w:pPr>
        <w:pStyle w:val="Indent"/>
        <w:widowControl w:val="0"/>
        <w:numPr>
          <w:ilvl w:val="0"/>
          <w:numId w:val="0"/>
        </w:numPr>
        <w:spacing w:after="320" w:line="432" w:lineRule="auto"/>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t xml:space="preserve">I </w:t>
      </w:r>
      <w:r w:rsidR="00C4685D" w:rsidRPr="00B11D8A">
        <w:rPr>
          <w:rFonts w:ascii="Verdana" w:hAnsi="Verdana" w:cs="Arial"/>
          <w:color w:val="000000" w:themeColor="text1"/>
          <w:sz w:val="22"/>
          <w:szCs w:val="22"/>
          <w:lang w:val="en-GB"/>
        </w:rPr>
        <w:t xml:space="preserve">therefore </w:t>
      </w:r>
      <w:r w:rsidR="00D16AA1" w:rsidRPr="00B11D8A">
        <w:rPr>
          <w:rFonts w:ascii="Verdana" w:hAnsi="Verdana" w:cs="Arial"/>
          <w:color w:val="000000" w:themeColor="text1"/>
          <w:sz w:val="22"/>
          <w:szCs w:val="22"/>
          <w:lang w:val="en-GB"/>
        </w:rPr>
        <w:t xml:space="preserve">make the following </w:t>
      </w:r>
      <w:r w:rsidR="00E4432D" w:rsidRPr="00B11D8A">
        <w:rPr>
          <w:rFonts w:ascii="Verdana" w:hAnsi="Verdana" w:cs="Arial"/>
          <w:color w:val="000000" w:themeColor="text1"/>
          <w:sz w:val="22"/>
          <w:szCs w:val="22"/>
          <w:lang w:val="en-GB"/>
        </w:rPr>
        <w:t>order:</w:t>
      </w:r>
      <w:r w:rsidRPr="00B11D8A">
        <w:rPr>
          <w:rFonts w:ascii="Verdana" w:hAnsi="Verdana" w:cs="Arial"/>
          <w:color w:val="000000" w:themeColor="text1"/>
          <w:sz w:val="22"/>
          <w:szCs w:val="22"/>
          <w:lang w:val="en-GB"/>
        </w:rPr>
        <w:t> </w:t>
      </w:r>
      <w:r w:rsidR="00E4432D" w:rsidRPr="00B11D8A">
        <w:rPr>
          <w:rFonts w:ascii="Verdana" w:hAnsi="Verdana" w:cs="Arial"/>
          <w:color w:val="000000" w:themeColor="text1"/>
          <w:sz w:val="22"/>
          <w:szCs w:val="22"/>
          <w:lang w:val="en-GB"/>
        </w:rPr>
        <w:t>-</w:t>
      </w:r>
    </w:p>
    <w:p w14:paraId="5EDEABE5" w14:textId="6E8C8E18" w:rsidR="00E374D0" w:rsidRPr="00B11D8A" w:rsidRDefault="00E374D0" w:rsidP="00E374D0">
      <w:pPr>
        <w:pStyle w:val="Indent"/>
        <w:numPr>
          <w:ilvl w:val="0"/>
          <w:numId w:val="18"/>
        </w:numPr>
        <w:shd w:val="clear" w:color="auto" w:fill="FFFFFF"/>
        <w:spacing w:line="480" w:lineRule="auto"/>
        <w:ind w:left="709" w:hanging="709"/>
        <w:jc w:val="both"/>
        <w:rPr>
          <w:rFonts w:ascii="Verdana" w:hAnsi="Verdana"/>
          <w:color w:val="000000" w:themeColor="text1"/>
          <w:sz w:val="21"/>
          <w:szCs w:val="21"/>
          <w:lang w:eastAsia="en-ZA"/>
        </w:rPr>
      </w:pPr>
      <w:r w:rsidRPr="00B11D8A">
        <w:rPr>
          <w:rFonts w:ascii="Verdana" w:hAnsi="Verdana"/>
          <w:color w:val="000000" w:themeColor="text1"/>
          <w:sz w:val="21"/>
          <w:szCs w:val="21"/>
          <w:lang w:eastAsia="en-ZA"/>
        </w:rPr>
        <w:t xml:space="preserve">The second respondent, and all those claiming occupation through, by or under </w:t>
      </w:r>
      <w:r w:rsidR="00D65AB0" w:rsidRPr="00B11D8A">
        <w:rPr>
          <w:rFonts w:ascii="Verdana" w:hAnsi="Verdana"/>
          <w:color w:val="000000" w:themeColor="text1"/>
          <w:sz w:val="21"/>
          <w:szCs w:val="21"/>
          <w:lang w:eastAsia="en-ZA"/>
        </w:rPr>
        <w:t>her</w:t>
      </w:r>
      <w:r w:rsidRPr="00B11D8A">
        <w:rPr>
          <w:rFonts w:ascii="Verdana" w:hAnsi="Verdana"/>
          <w:color w:val="000000" w:themeColor="text1"/>
          <w:sz w:val="21"/>
          <w:szCs w:val="21"/>
          <w:lang w:eastAsia="en-ZA"/>
        </w:rPr>
        <w:t xml:space="preserve"> are evicted from</w:t>
      </w:r>
      <w:r w:rsidR="00D65AB0" w:rsidRPr="00B11D8A">
        <w:rPr>
          <w:rFonts w:ascii="Verdana" w:hAnsi="Verdana"/>
          <w:color w:val="000000" w:themeColor="text1"/>
          <w:sz w:val="21"/>
          <w:szCs w:val="21"/>
          <w:lang w:eastAsia="en-ZA"/>
        </w:rPr>
        <w:t xml:space="preserve"> </w:t>
      </w:r>
      <w:r w:rsidR="00D65AB0" w:rsidRPr="00B11D8A">
        <w:rPr>
          <w:rFonts w:ascii="Verdana" w:hAnsi="Verdana" w:cs="Arial"/>
          <w:color w:val="000000" w:themeColor="text1"/>
          <w:sz w:val="22"/>
          <w:szCs w:val="22"/>
          <w:lang w:val="en-GB"/>
        </w:rPr>
        <w:t>Portion 4 of Erf 278, Morningside Extension 21 Township, situated at 4, 24 Centre Road, Morningside</w:t>
      </w:r>
      <w:r w:rsidRPr="00B11D8A">
        <w:rPr>
          <w:rFonts w:ascii="Verdana" w:hAnsi="Verdana"/>
          <w:color w:val="000000" w:themeColor="text1"/>
          <w:sz w:val="21"/>
          <w:szCs w:val="21"/>
          <w:lang w:eastAsia="en-ZA"/>
        </w:rPr>
        <w:t xml:space="preserve"> ["the property"].</w:t>
      </w:r>
    </w:p>
    <w:p w14:paraId="73AB4F4C" w14:textId="77777777" w:rsidR="00E374D0" w:rsidRPr="00B11D8A" w:rsidRDefault="00E374D0" w:rsidP="00E374D0">
      <w:pPr>
        <w:pStyle w:val="Indent"/>
        <w:numPr>
          <w:ilvl w:val="0"/>
          <w:numId w:val="0"/>
        </w:numPr>
        <w:shd w:val="clear" w:color="auto" w:fill="FFFFFF"/>
        <w:spacing w:line="480" w:lineRule="auto"/>
        <w:ind w:left="709"/>
        <w:jc w:val="both"/>
        <w:rPr>
          <w:rFonts w:ascii="Verdana" w:hAnsi="Verdana"/>
          <w:color w:val="000000" w:themeColor="text1"/>
          <w:sz w:val="21"/>
          <w:szCs w:val="21"/>
          <w:lang w:eastAsia="en-ZA"/>
        </w:rPr>
      </w:pPr>
    </w:p>
    <w:p w14:paraId="5FD3CC61" w14:textId="77777777" w:rsidR="001A75CD" w:rsidRPr="00B11D8A" w:rsidRDefault="00E374D0" w:rsidP="001A75CD">
      <w:pPr>
        <w:pStyle w:val="Indent"/>
        <w:numPr>
          <w:ilvl w:val="0"/>
          <w:numId w:val="18"/>
        </w:numPr>
        <w:shd w:val="clear" w:color="auto" w:fill="FFFFFF"/>
        <w:spacing w:line="480" w:lineRule="auto"/>
        <w:ind w:left="709" w:hanging="709"/>
        <w:jc w:val="both"/>
        <w:rPr>
          <w:rFonts w:ascii="Verdana" w:hAnsi="Verdana"/>
          <w:color w:val="000000" w:themeColor="text1"/>
          <w:sz w:val="21"/>
          <w:szCs w:val="21"/>
          <w:lang w:eastAsia="en-ZA"/>
        </w:rPr>
      </w:pPr>
      <w:r w:rsidRPr="00B11D8A">
        <w:rPr>
          <w:rFonts w:ascii="Verdana" w:hAnsi="Verdana"/>
          <w:color w:val="000000" w:themeColor="text1"/>
          <w:sz w:val="21"/>
          <w:szCs w:val="21"/>
          <w:lang w:eastAsia="en-ZA"/>
        </w:rPr>
        <w:t xml:space="preserve">On condition, as envisaged in section 4(12) of the Prevention of Illegal Eviction from and Unlawful Occupation of Land Act, 1998, that the present </w:t>
      </w:r>
      <w:r w:rsidR="001A75CD" w:rsidRPr="00B11D8A">
        <w:rPr>
          <w:rFonts w:ascii="Verdana" w:hAnsi="Verdana"/>
          <w:color w:val="000000" w:themeColor="text1"/>
          <w:sz w:val="21"/>
          <w:szCs w:val="21"/>
          <w:lang w:eastAsia="en-ZA"/>
        </w:rPr>
        <w:t>a</w:t>
      </w:r>
      <w:r w:rsidRPr="00B11D8A">
        <w:rPr>
          <w:rFonts w:ascii="Verdana" w:hAnsi="Verdana"/>
          <w:color w:val="000000" w:themeColor="text1"/>
          <w:sz w:val="21"/>
          <w:szCs w:val="21"/>
          <w:lang w:eastAsia="en-ZA"/>
        </w:rPr>
        <w:t xml:space="preserve">djusted </w:t>
      </w:r>
      <w:r w:rsidR="001A75CD" w:rsidRPr="00B11D8A">
        <w:rPr>
          <w:rFonts w:ascii="Verdana" w:hAnsi="Verdana"/>
          <w:color w:val="000000" w:themeColor="text1"/>
          <w:sz w:val="21"/>
          <w:szCs w:val="21"/>
          <w:lang w:eastAsia="en-ZA"/>
        </w:rPr>
        <w:t>l</w:t>
      </w:r>
      <w:r w:rsidRPr="00B11D8A">
        <w:rPr>
          <w:rFonts w:ascii="Verdana" w:hAnsi="Verdana"/>
          <w:color w:val="000000" w:themeColor="text1"/>
          <w:sz w:val="21"/>
          <w:szCs w:val="21"/>
          <w:lang w:eastAsia="en-ZA"/>
        </w:rPr>
        <w:t>evel 3 under the Regulations issued in terms of section 27(2) of the Disaster Management Act, 2002 ("the Regulations") has ended, the first and second respondents, and all those that occupy through, by or under them are ordered to vacate the property within fourteen days on the condition being fulfilled.</w:t>
      </w:r>
    </w:p>
    <w:p w14:paraId="5B549B7A" w14:textId="77777777" w:rsidR="001A75CD" w:rsidRPr="00B11D8A" w:rsidRDefault="001A75CD" w:rsidP="001A75CD">
      <w:pPr>
        <w:pStyle w:val="ListParagraph"/>
        <w:rPr>
          <w:rFonts w:ascii="Verdana" w:hAnsi="Verdana"/>
          <w:color w:val="000000" w:themeColor="text1"/>
          <w:sz w:val="21"/>
          <w:szCs w:val="21"/>
          <w:lang w:eastAsia="en-ZA"/>
        </w:rPr>
      </w:pPr>
    </w:p>
    <w:p w14:paraId="155AE0CE" w14:textId="1E18A51A" w:rsidR="00E374D0" w:rsidRPr="00B11D8A" w:rsidRDefault="00E374D0" w:rsidP="00D65AB0">
      <w:pPr>
        <w:pStyle w:val="Indent"/>
        <w:numPr>
          <w:ilvl w:val="0"/>
          <w:numId w:val="18"/>
        </w:numPr>
        <w:shd w:val="clear" w:color="auto" w:fill="FFFFFF"/>
        <w:spacing w:line="480" w:lineRule="auto"/>
        <w:ind w:left="709" w:hanging="709"/>
        <w:jc w:val="both"/>
        <w:rPr>
          <w:rFonts w:ascii="Verdana" w:hAnsi="Verdana"/>
          <w:color w:val="000000" w:themeColor="text1"/>
          <w:sz w:val="21"/>
          <w:szCs w:val="21"/>
          <w:lang w:eastAsia="en-ZA"/>
        </w:rPr>
      </w:pPr>
      <w:r w:rsidRPr="00B11D8A">
        <w:rPr>
          <w:rFonts w:ascii="Verdana" w:hAnsi="Verdana"/>
          <w:color w:val="000000" w:themeColor="text1"/>
          <w:sz w:val="21"/>
          <w:szCs w:val="21"/>
          <w:lang w:eastAsia="en-ZA"/>
        </w:rPr>
        <w:lastRenderedPageBreak/>
        <w:t xml:space="preserve">The sheriff and/or deputy sheriff, assisted by such persons as he or she requires including the South African Police Services, are authorised and directed to give effect to paragraphs </w:t>
      </w:r>
      <w:r w:rsidR="00D65AB0" w:rsidRPr="00B11D8A">
        <w:rPr>
          <w:rFonts w:ascii="Verdana" w:hAnsi="Verdana"/>
          <w:color w:val="000000" w:themeColor="text1"/>
          <w:sz w:val="21"/>
          <w:szCs w:val="21"/>
          <w:lang w:eastAsia="en-ZA"/>
        </w:rPr>
        <w:t>1</w:t>
      </w:r>
      <w:r w:rsidRPr="00B11D8A">
        <w:rPr>
          <w:rFonts w:ascii="Verdana" w:hAnsi="Verdana"/>
          <w:color w:val="000000" w:themeColor="text1"/>
          <w:sz w:val="21"/>
          <w:szCs w:val="21"/>
          <w:lang w:eastAsia="en-ZA"/>
        </w:rPr>
        <w:t xml:space="preserve"> and </w:t>
      </w:r>
      <w:r w:rsidR="00D65AB0" w:rsidRPr="00B11D8A">
        <w:rPr>
          <w:rFonts w:ascii="Verdana" w:hAnsi="Verdana"/>
          <w:color w:val="000000" w:themeColor="text1"/>
          <w:sz w:val="21"/>
          <w:szCs w:val="21"/>
          <w:lang w:eastAsia="en-ZA"/>
        </w:rPr>
        <w:t>2</w:t>
      </w:r>
      <w:r w:rsidRPr="00B11D8A">
        <w:rPr>
          <w:rFonts w:ascii="Verdana" w:hAnsi="Verdana"/>
          <w:color w:val="000000" w:themeColor="text1"/>
          <w:sz w:val="21"/>
          <w:szCs w:val="21"/>
          <w:lang w:eastAsia="en-ZA"/>
        </w:rPr>
        <w:t xml:space="preserve"> above, including removing from the property the respondents and any other occupants and/or their belongings, no earlie</w:t>
      </w:r>
      <w:r w:rsidR="00D65AB0" w:rsidRPr="00B11D8A">
        <w:rPr>
          <w:rFonts w:ascii="Verdana" w:hAnsi="Verdana"/>
          <w:color w:val="000000" w:themeColor="text1"/>
          <w:sz w:val="21"/>
          <w:szCs w:val="21"/>
          <w:lang w:eastAsia="en-ZA"/>
        </w:rPr>
        <w:t xml:space="preserve">r after the </w:t>
      </w:r>
      <w:r w:rsidRPr="00B11D8A">
        <w:rPr>
          <w:rFonts w:ascii="Verdana" w:hAnsi="Verdana"/>
          <w:color w:val="000000" w:themeColor="text1"/>
          <w:sz w:val="21"/>
          <w:szCs w:val="21"/>
          <w:lang w:eastAsia="en-ZA"/>
        </w:rPr>
        <w:t xml:space="preserve">fourteen days after the period specified in paragraph </w:t>
      </w:r>
      <w:r w:rsidR="00D65AB0" w:rsidRPr="00B11D8A">
        <w:rPr>
          <w:rFonts w:ascii="Verdana" w:hAnsi="Verdana"/>
          <w:color w:val="000000" w:themeColor="text1"/>
          <w:sz w:val="21"/>
          <w:szCs w:val="21"/>
          <w:lang w:eastAsia="en-ZA"/>
        </w:rPr>
        <w:t>2</w:t>
      </w:r>
      <w:r w:rsidRPr="00B11D8A">
        <w:rPr>
          <w:rFonts w:ascii="Verdana" w:hAnsi="Verdana"/>
          <w:color w:val="000000" w:themeColor="text1"/>
          <w:sz w:val="21"/>
          <w:szCs w:val="21"/>
          <w:lang w:eastAsia="en-ZA"/>
        </w:rPr>
        <w:t xml:space="preserve"> above in the event the property is not vacated within the period specified in paragraph</w:t>
      </w:r>
      <w:r w:rsidR="00D65AB0" w:rsidRPr="00B11D8A">
        <w:rPr>
          <w:rFonts w:ascii="Verdana" w:hAnsi="Verdana"/>
          <w:color w:val="000000" w:themeColor="text1"/>
          <w:sz w:val="21"/>
          <w:szCs w:val="21"/>
          <w:lang w:eastAsia="en-ZA"/>
        </w:rPr>
        <w:t xml:space="preserve"> 2</w:t>
      </w:r>
      <w:r w:rsidRPr="00B11D8A">
        <w:rPr>
          <w:rFonts w:ascii="Verdana" w:hAnsi="Verdana"/>
          <w:color w:val="000000" w:themeColor="text1"/>
          <w:sz w:val="21"/>
          <w:szCs w:val="21"/>
          <w:lang w:eastAsia="en-ZA"/>
        </w:rPr>
        <w:t xml:space="preserve"> above.</w:t>
      </w:r>
    </w:p>
    <w:p w14:paraId="328297DC" w14:textId="77777777" w:rsidR="00D65AB0" w:rsidRPr="00B11D8A" w:rsidRDefault="00D65AB0" w:rsidP="009550D8">
      <w:pPr>
        <w:pStyle w:val="Indent"/>
        <w:numPr>
          <w:ilvl w:val="0"/>
          <w:numId w:val="0"/>
        </w:numPr>
        <w:shd w:val="clear" w:color="auto" w:fill="FFFFFF"/>
        <w:spacing w:line="480" w:lineRule="auto"/>
        <w:jc w:val="both"/>
        <w:rPr>
          <w:rFonts w:ascii="Verdana" w:hAnsi="Verdana"/>
          <w:color w:val="000000" w:themeColor="text1"/>
          <w:sz w:val="21"/>
          <w:szCs w:val="21"/>
          <w:lang w:eastAsia="en-ZA"/>
        </w:rPr>
      </w:pPr>
    </w:p>
    <w:p w14:paraId="310145BE" w14:textId="326959D1" w:rsidR="005D7F7B" w:rsidRPr="00B11D8A" w:rsidRDefault="005D7F7B" w:rsidP="005D7F7B">
      <w:pPr>
        <w:pStyle w:val="Indent"/>
        <w:widowControl w:val="0"/>
        <w:numPr>
          <w:ilvl w:val="0"/>
          <w:numId w:val="18"/>
        </w:numPr>
        <w:spacing w:after="360" w:line="480" w:lineRule="auto"/>
        <w:ind w:left="720" w:hanging="720"/>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t>The first and second respondents shall, jointly and severally, the one paying the other to be absolved, make payment to the applicants of the following amounts: -</w:t>
      </w:r>
    </w:p>
    <w:p w14:paraId="41465DF5" w14:textId="23964B2E" w:rsidR="005D7F7B" w:rsidRPr="00B11D8A" w:rsidRDefault="005D7F7B" w:rsidP="005D7F7B">
      <w:pPr>
        <w:pStyle w:val="Indent"/>
        <w:widowControl w:val="0"/>
        <w:numPr>
          <w:ilvl w:val="1"/>
          <w:numId w:val="18"/>
        </w:numPr>
        <w:spacing w:after="320" w:line="480" w:lineRule="auto"/>
        <w:ind w:left="1417" w:hanging="737"/>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t xml:space="preserve">R69,987.99 for the water and electricity consumption for the period 11 December 2019 to 31 August 2020; </w:t>
      </w:r>
    </w:p>
    <w:p w14:paraId="0C5E4CF7" w14:textId="69625134" w:rsidR="005D7F7B" w:rsidRPr="00B11D8A" w:rsidRDefault="005D7F7B" w:rsidP="005D7F7B">
      <w:pPr>
        <w:pStyle w:val="Indent"/>
        <w:widowControl w:val="0"/>
        <w:numPr>
          <w:ilvl w:val="1"/>
          <w:numId w:val="18"/>
        </w:numPr>
        <w:spacing w:after="320" w:line="480" w:lineRule="auto"/>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t xml:space="preserve">R22,500.00 for the levies for the period 11 December 2019 to 31 August 2020; </w:t>
      </w:r>
    </w:p>
    <w:p w14:paraId="10FD1986" w14:textId="34BB54D1" w:rsidR="005D7F7B" w:rsidRPr="00B11D8A" w:rsidRDefault="005D7F7B" w:rsidP="005D7F7B">
      <w:pPr>
        <w:pStyle w:val="Indent"/>
        <w:widowControl w:val="0"/>
        <w:numPr>
          <w:ilvl w:val="1"/>
          <w:numId w:val="18"/>
        </w:numPr>
        <w:spacing w:after="320" w:line="480" w:lineRule="auto"/>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t xml:space="preserve">R420,000.00 for the rental period of 18 August 2019 to 31 August 2020; </w:t>
      </w:r>
    </w:p>
    <w:p w14:paraId="5C44818F" w14:textId="04CC8A3D" w:rsidR="005D7F7B" w:rsidRPr="00B11D8A" w:rsidRDefault="005D7F7B" w:rsidP="005D7F7B">
      <w:pPr>
        <w:pStyle w:val="Indent"/>
        <w:widowControl w:val="0"/>
        <w:numPr>
          <w:ilvl w:val="1"/>
          <w:numId w:val="18"/>
        </w:numPr>
        <w:spacing w:after="320" w:line="480" w:lineRule="auto"/>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t xml:space="preserve">R35,000.00 per month for rental for the period 1 September 2020 until the date that the second respondent and all those occupying the property through her, vacate the property; </w:t>
      </w:r>
    </w:p>
    <w:p w14:paraId="237AC3E4" w14:textId="23ED50E3" w:rsidR="005D7F7B" w:rsidRPr="00B11D8A" w:rsidRDefault="005D7F7B" w:rsidP="005D7F7B">
      <w:pPr>
        <w:pStyle w:val="Indent"/>
        <w:widowControl w:val="0"/>
        <w:numPr>
          <w:ilvl w:val="0"/>
          <w:numId w:val="18"/>
        </w:numPr>
        <w:spacing w:after="320" w:line="480" w:lineRule="auto"/>
        <w:ind w:left="720" w:hanging="720"/>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t xml:space="preserve">All amounts in relation to the water and electricity consumption for the property for the period 1 September 2020 until the date that the second respondent and all those occupying the property through her, vacate the property; </w:t>
      </w:r>
    </w:p>
    <w:p w14:paraId="1B6E0090" w14:textId="465B477F" w:rsidR="005D7F7B" w:rsidRPr="00B11D8A" w:rsidRDefault="005D7F7B" w:rsidP="005D7F7B">
      <w:pPr>
        <w:pStyle w:val="Indent"/>
        <w:widowControl w:val="0"/>
        <w:numPr>
          <w:ilvl w:val="0"/>
          <w:numId w:val="18"/>
        </w:numPr>
        <w:spacing w:after="320" w:line="480" w:lineRule="auto"/>
        <w:ind w:left="720" w:hanging="720"/>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lastRenderedPageBreak/>
        <w:t xml:space="preserve">The monthly levy amount of R2,500.00 in respect of levies raised over the property for the period 1 September 2020 until the date that the second respondent and all those occupying the property </w:t>
      </w:r>
      <w:r w:rsidR="00416496" w:rsidRPr="00B11D8A">
        <w:rPr>
          <w:rFonts w:ascii="Verdana" w:hAnsi="Verdana" w:cs="Arial"/>
          <w:color w:val="000000" w:themeColor="text1"/>
          <w:sz w:val="22"/>
          <w:szCs w:val="22"/>
          <w:lang w:val="en-GB"/>
        </w:rPr>
        <w:t>through</w:t>
      </w:r>
      <w:r w:rsidRPr="00B11D8A">
        <w:rPr>
          <w:rFonts w:ascii="Verdana" w:hAnsi="Verdana" w:cs="Arial"/>
          <w:color w:val="000000" w:themeColor="text1"/>
          <w:sz w:val="22"/>
          <w:szCs w:val="22"/>
          <w:lang w:val="en-GB"/>
        </w:rPr>
        <w:t xml:space="preserve"> her, vacate the property;</w:t>
      </w:r>
    </w:p>
    <w:p w14:paraId="719F39F0" w14:textId="3E58E327" w:rsidR="00CC34EB" w:rsidRPr="00B11D8A" w:rsidRDefault="005D7F7B" w:rsidP="005D7F7B">
      <w:pPr>
        <w:pStyle w:val="Indent"/>
        <w:widowControl w:val="0"/>
        <w:numPr>
          <w:ilvl w:val="0"/>
          <w:numId w:val="18"/>
        </w:numPr>
        <w:spacing w:after="320" w:line="480" w:lineRule="auto"/>
        <w:ind w:left="720" w:hanging="720"/>
        <w:jc w:val="both"/>
        <w:rPr>
          <w:rFonts w:ascii="Verdana" w:hAnsi="Verdana" w:cs="Arial"/>
          <w:color w:val="000000" w:themeColor="text1"/>
          <w:sz w:val="22"/>
          <w:szCs w:val="22"/>
          <w:lang w:val="en-GB"/>
        </w:rPr>
      </w:pPr>
      <w:r w:rsidRPr="00B11D8A">
        <w:rPr>
          <w:rFonts w:ascii="Verdana" w:hAnsi="Verdana" w:cs="Arial"/>
          <w:color w:val="000000" w:themeColor="text1"/>
          <w:sz w:val="22"/>
          <w:szCs w:val="22"/>
          <w:lang w:val="en-GB"/>
        </w:rPr>
        <w:t xml:space="preserve">The first and second respondents shall pay the costs of the application, jointly and severally, the one paying the other to be absolved.  </w:t>
      </w:r>
    </w:p>
    <w:p w14:paraId="071A8E8F" w14:textId="77777777" w:rsidR="005D7F7B" w:rsidRPr="00B11D8A" w:rsidRDefault="005D7F7B" w:rsidP="003D69CB">
      <w:pPr>
        <w:keepNext/>
        <w:widowControl w:val="0"/>
        <w:spacing w:after="0" w:line="360" w:lineRule="auto"/>
        <w:ind w:left="3600" w:firstLine="720"/>
        <w:rPr>
          <w:rFonts w:ascii="Verdana" w:hAnsi="Verdana" w:cs="Arial"/>
          <w:color w:val="000000" w:themeColor="text1"/>
          <w:lang w:val="en-GB"/>
        </w:rPr>
      </w:pPr>
    </w:p>
    <w:p w14:paraId="1E96BEAD" w14:textId="63F799D5" w:rsidR="00D16AA1" w:rsidRPr="00B11D8A" w:rsidRDefault="00CD05FE" w:rsidP="003D69CB">
      <w:pPr>
        <w:keepNext/>
        <w:widowControl w:val="0"/>
        <w:spacing w:after="0" w:line="360" w:lineRule="auto"/>
        <w:ind w:left="3600" w:firstLine="720"/>
        <w:rPr>
          <w:rFonts w:ascii="Verdana" w:hAnsi="Verdana" w:cs="Arial"/>
          <w:color w:val="000000" w:themeColor="text1"/>
          <w:lang w:val="en-GB"/>
        </w:rPr>
      </w:pPr>
      <w:r w:rsidRPr="00B11D8A">
        <w:rPr>
          <w:rFonts w:ascii="Verdana" w:hAnsi="Verdana" w:cs="Arial"/>
          <w:color w:val="000000" w:themeColor="text1"/>
          <w:lang w:val="en-GB"/>
        </w:rPr>
        <w:t xml:space="preserve">      </w:t>
      </w:r>
      <w:bookmarkStart w:id="0" w:name="_GoBack"/>
      <w:bookmarkEnd w:id="0"/>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B11D8A" w:rsidRPr="00B11D8A" w14:paraId="78DE0AC8" w14:textId="77777777" w:rsidTr="00386CF6">
        <w:tc>
          <w:tcPr>
            <w:tcW w:w="4598" w:type="dxa"/>
            <w:tcBorders>
              <w:top w:val="single" w:sz="4" w:space="0" w:color="auto"/>
            </w:tcBorders>
          </w:tcPr>
          <w:p w14:paraId="2FAC1CEA" w14:textId="77777777" w:rsidR="00386CF6" w:rsidRPr="00B11D8A" w:rsidRDefault="00386CF6" w:rsidP="003D69CB">
            <w:pPr>
              <w:keepNext/>
              <w:widowControl w:val="0"/>
              <w:jc w:val="center"/>
              <w:rPr>
                <w:rFonts w:ascii="Verdana" w:hAnsi="Verdana" w:cs="Arial"/>
                <w:b/>
                <w:color w:val="000000" w:themeColor="text1"/>
                <w:lang w:val="en-GB"/>
              </w:rPr>
            </w:pPr>
          </w:p>
        </w:tc>
      </w:tr>
      <w:tr w:rsidR="00B11D8A" w:rsidRPr="00B11D8A" w14:paraId="21B119EF" w14:textId="77777777" w:rsidTr="00386CF6">
        <w:tc>
          <w:tcPr>
            <w:tcW w:w="4598" w:type="dxa"/>
          </w:tcPr>
          <w:p w14:paraId="79508952" w14:textId="6B57DA6E" w:rsidR="00386CF6" w:rsidRPr="00B11D8A" w:rsidRDefault="00CA7DFE" w:rsidP="003D69CB">
            <w:pPr>
              <w:keepNext/>
              <w:widowControl w:val="0"/>
              <w:jc w:val="center"/>
              <w:rPr>
                <w:rFonts w:ascii="Verdana" w:hAnsi="Verdana" w:cs="Arial"/>
                <w:b/>
                <w:color w:val="000000" w:themeColor="text1"/>
                <w:lang w:val="en-GB"/>
              </w:rPr>
            </w:pPr>
            <w:r w:rsidRPr="00B11D8A">
              <w:rPr>
                <w:rFonts w:ascii="Verdana" w:hAnsi="Verdana" w:cs="Arial"/>
                <w:b/>
                <w:color w:val="000000" w:themeColor="text1"/>
                <w:lang w:val="en-GB"/>
              </w:rPr>
              <w:t>F BEZUIDENHOUT</w:t>
            </w:r>
          </w:p>
        </w:tc>
      </w:tr>
      <w:tr w:rsidR="00B11D8A" w:rsidRPr="00B11D8A" w14:paraId="0B981C37" w14:textId="77777777" w:rsidTr="00386CF6">
        <w:tc>
          <w:tcPr>
            <w:tcW w:w="4598" w:type="dxa"/>
          </w:tcPr>
          <w:p w14:paraId="223CA524" w14:textId="77777777" w:rsidR="00386CF6" w:rsidRPr="00B11D8A" w:rsidRDefault="00386CF6" w:rsidP="003D69CB">
            <w:pPr>
              <w:keepNext/>
              <w:widowControl w:val="0"/>
              <w:jc w:val="center"/>
              <w:rPr>
                <w:rFonts w:ascii="Verdana" w:hAnsi="Verdana" w:cs="Arial"/>
                <w:b/>
                <w:color w:val="000000" w:themeColor="text1"/>
                <w:lang w:val="en-GB"/>
              </w:rPr>
            </w:pPr>
          </w:p>
        </w:tc>
      </w:tr>
      <w:tr w:rsidR="00386CF6" w:rsidRPr="00B11D8A" w14:paraId="14E05DDE" w14:textId="77777777" w:rsidTr="00386CF6">
        <w:tc>
          <w:tcPr>
            <w:tcW w:w="4598" w:type="dxa"/>
          </w:tcPr>
          <w:p w14:paraId="657F1E0E" w14:textId="77777777" w:rsidR="00E478FD" w:rsidRPr="00B11D8A" w:rsidRDefault="00E478FD" w:rsidP="003D69CB">
            <w:pPr>
              <w:keepNext/>
              <w:widowControl w:val="0"/>
              <w:jc w:val="center"/>
              <w:rPr>
                <w:rFonts w:ascii="Verdana" w:hAnsi="Verdana" w:cs="Arial"/>
                <w:b/>
                <w:color w:val="000000" w:themeColor="text1"/>
                <w:lang w:val="en-GB"/>
              </w:rPr>
            </w:pPr>
            <w:r w:rsidRPr="00B11D8A">
              <w:rPr>
                <w:rFonts w:ascii="Verdana" w:hAnsi="Verdana" w:cs="Arial"/>
                <w:b/>
                <w:color w:val="000000" w:themeColor="text1"/>
                <w:lang w:val="en-GB"/>
              </w:rPr>
              <w:t xml:space="preserve">ACTING </w:t>
            </w:r>
            <w:r w:rsidR="00386CF6" w:rsidRPr="00B11D8A">
              <w:rPr>
                <w:rFonts w:ascii="Verdana" w:hAnsi="Verdana" w:cs="Arial"/>
                <w:b/>
                <w:color w:val="000000" w:themeColor="text1"/>
                <w:lang w:val="en-GB"/>
              </w:rPr>
              <w:t xml:space="preserve">JUDGE OF </w:t>
            </w:r>
          </w:p>
          <w:p w14:paraId="58B0E224" w14:textId="77777777" w:rsidR="00386CF6" w:rsidRPr="00B11D8A" w:rsidRDefault="00386CF6" w:rsidP="003D69CB">
            <w:pPr>
              <w:keepNext/>
              <w:widowControl w:val="0"/>
              <w:jc w:val="center"/>
              <w:rPr>
                <w:rFonts w:ascii="Verdana" w:hAnsi="Verdana" w:cs="Arial"/>
                <w:color w:val="000000" w:themeColor="text1"/>
                <w:lang w:val="en-GB"/>
              </w:rPr>
            </w:pPr>
            <w:r w:rsidRPr="00B11D8A">
              <w:rPr>
                <w:rFonts w:ascii="Verdana" w:hAnsi="Verdana" w:cs="Arial"/>
                <w:b/>
                <w:color w:val="000000" w:themeColor="text1"/>
                <w:lang w:val="en-GB"/>
              </w:rPr>
              <w:t>THE HIGH COURT</w:t>
            </w:r>
          </w:p>
        </w:tc>
      </w:tr>
    </w:tbl>
    <w:p w14:paraId="181DB550" w14:textId="2EED4B23" w:rsidR="00D16AA1" w:rsidRPr="00B11D8A" w:rsidRDefault="00D16AA1" w:rsidP="003D69CB">
      <w:pPr>
        <w:widowControl w:val="0"/>
        <w:spacing w:after="360" w:line="240" w:lineRule="auto"/>
        <w:rPr>
          <w:rFonts w:ascii="Verdana" w:hAnsi="Verdana" w:cs="Arial"/>
          <w:b/>
          <w:color w:val="000000" w:themeColor="text1"/>
          <w:lang w:val="en-GB"/>
        </w:rPr>
      </w:pPr>
    </w:p>
    <w:p w14:paraId="60684066" w14:textId="77777777" w:rsidR="00C4685D" w:rsidRPr="00B11D8A" w:rsidRDefault="00C4685D" w:rsidP="003D69CB">
      <w:pPr>
        <w:widowControl w:val="0"/>
        <w:spacing w:after="360" w:line="240" w:lineRule="auto"/>
        <w:rPr>
          <w:rFonts w:ascii="Verdana" w:hAnsi="Verdana" w:cs="Arial"/>
          <w:b/>
          <w:color w:val="000000" w:themeColor="text1"/>
          <w:lang w:val="en-GB"/>
        </w:rPr>
      </w:pPr>
    </w:p>
    <w:p w14:paraId="40DBFACE" w14:textId="5090F24E" w:rsidR="008C28CA" w:rsidRPr="00D570D3" w:rsidRDefault="008C28CA" w:rsidP="003D69CB">
      <w:pPr>
        <w:keepNext/>
        <w:widowControl w:val="0"/>
        <w:spacing w:after="360" w:line="240" w:lineRule="auto"/>
        <w:rPr>
          <w:rFonts w:ascii="Verdana" w:hAnsi="Verdana" w:cs="Arial"/>
          <w:bCs/>
          <w:color w:val="000000" w:themeColor="text1"/>
          <w:lang w:val="en-GB"/>
        </w:rPr>
      </w:pPr>
      <w:r w:rsidRPr="00B11D8A">
        <w:rPr>
          <w:rFonts w:ascii="Verdana" w:hAnsi="Verdana" w:cs="Arial"/>
          <w:b/>
          <w:color w:val="000000" w:themeColor="text1"/>
          <w:lang w:val="en-GB"/>
        </w:rPr>
        <w:t>Date of hearing:</w:t>
      </w:r>
      <w:r w:rsidRPr="00B11D8A">
        <w:rPr>
          <w:rFonts w:ascii="Verdana" w:hAnsi="Verdana" w:cs="Arial"/>
          <w:b/>
          <w:color w:val="000000" w:themeColor="text1"/>
          <w:lang w:val="en-GB"/>
        </w:rPr>
        <w:tab/>
      </w:r>
      <w:r w:rsidRPr="00B11D8A">
        <w:rPr>
          <w:rFonts w:ascii="Verdana" w:hAnsi="Verdana" w:cs="Arial"/>
          <w:b/>
          <w:color w:val="000000" w:themeColor="text1"/>
          <w:lang w:val="en-GB"/>
        </w:rPr>
        <w:tab/>
      </w:r>
      <w:r w:rsidR="00DC2CC2" w:rsidRPr="00B11D8A">
        <w:rPr>
          <w:rFonts w:ascii="Verdana" w:hAnsi="Verdana" w:cs="Arial"/>
          <w:b/>
          <w:color w:val="000000" w:themeColor="text1"/>
          <w:lang w:val="en-GB"/>
        </w:rPr>
        <w:tab/>
      </w:r>
      <w:r w:rsidR="00D570D3">
        <w:rPr>
          <w:rFonts w:ascii="Verdana" w:hAnsi="Verdana" w:cs="Arial"/>
          <w:b/>
          <w:color w:val="000000" w:themeColor="text1"/>
          <w:lang w:val="en-GB"/>
        </w:rPr>
        <w:tab/>
      </w:r>
      <w:r w:rsidR="00D570D3">
        <w:rPr>
          <w:rFonts w:ascii="Verdana" w:hAnsi="Verdana" w:cs="Arial"/>
          <w:bCs/>
          <w:color w:val="000000" w:themeColor="text1"/>
          <w:lang w:val="en-GB"/>
        </w:rPr>
        <w:t>30 April 2021</w:t>
      </w:r>
    </w:p>
    <w:p w14:paraId="3BA2E6F2" w14:textId="63AC6856" w:rsidR="008C28CA" w:rsidRPr="00B11D8A" w:rsidRDefault="008C28CA" w:rsidP="003D69CB">
      <w:pPr>
        <w:keepNext/>
        <w:widowControl w:val="0"/>
        <w:spacing w:after="360" w:line="240" w:lineRule="auto"/>
        <w:rPr>
          <w:rFonts w:ascii="Verdana" w:hAnsi="Verdana" w:cs="Arial"/>
          <w:bCs/>
          <w:color w:val="000000" w:themeColor="text1"/>
          <w:lang w:val="en-GB"/>
        </w:rPr>
      </w:pPr>
      <w:r w:rsidRPr="00B11D8A">
        <w:rPr>
          <w:rFonts w:ascii="Verdana" w:hAnsi="Verdana" w:cs="Arial"/>
          <w:b/>
          <w:color w:val="000000" w:themeColor="text1"/>
          <w:lang w:val="en-GB"/>
        </w:rPr>
        <w:t>Date of judgment:</w:t>
      </w:r>
      <w:r w:rsidRPr="00B11D8A">
        <w:rPr>
          <w:rFonts w:ascii="Verdana" w:hAnsi="Verdana" w:cs="Arial"/>
          <w:b/>
          <w:color w:val="000000" w:themeColor="text1"/>
          <w:lang w:val="en-GB"/>
        </w:rPr>
        <w:tab/>
      </w:r>
      <w:r w:rsidR="00DC2CC2" w:rsidRPr="00B11D8A">
        <w:rPr>
          <w:rFonts w:ascii="Verdana" w:hAnsi="Verdana" w:cs="Arial"/>
          <w:b/>
          <w:color w:val="000000" w:themeColor="text1"/>
          <w:lang w:val="en-GB"/>
        </w:rPr>
        <w:tab/>
      </w:r>
      <w:r w:rsidR="00D570D3">
        <w:rPr>
          <w:rFonts w:ascii="Verdana" w:hAnsi="Verdana" w:cs="Arial"/>
          <w:b/>
          <w:color w:val="000000" w:themeColor="text1"/>
          <w:lang w:val="en-GB"/>
        </w:rPr>
        <w:tab/>
      </w:r>
      <w:r w:rsidR="00DC2CC2" w:rsidRPr="00B11D8A">
        <w:rPr>
          <w:rFonts w:ascii="Verdana" w:hAnsi="Verdana" w:cs="Arial"/>
          <w:bCs/>
          <w:color w:val="000000" w:themeColor="text1"/>
          <w:lang w:val="en-GB"/>
        </w:rPr>
        <w:t>26 July 2021</w:t>
      </w:r>
    </w:p>
    <w:p w14:paraId="32B78198" w14:textId="58CCB8D7" w:rsidR="00386CF6" w:rsidRPr="00B11D8A" w:rsidRDefault="00386CF6" w:rsidP="003D69CB">
      <w:pPr>
        <w:keepNext/>
        <w:widowControl w:val="0"/>
        <w:spacing w:after="360" w:line="240" w:lineRule="auto"/>
        <w:rPr>
          <w:rFonts w:ascii="Verdana" w:hAnsi="Verdana" w:cs="Arial"/>
          <w:b/>
          <w:color w:val="000000" w:themeColor="text1"/>
          <w:lang w:val="en-GB"/>
        </w:rPr>
      </w:pPr>
      <w:r w:rsidRPr="00B11D8A">
        <w:rPr>
          <w:rFonts w:ascii="Verdana" w:hAnsi="Verdana" w:cs="Arial"/>
          <w:b/>
          <w:color w:val="000000" w:themeColor="text1"/>
          <w:lang w:val="en-GB"/>
        </w:rPr>
        <w:t>APPEARANCES</w:t>
      </w:r>
      <w:r w:rsidR="00857F8F" w:rsidRPr="00B11D8A">
        <w:rPr>
          <w:rFonts w:ascii="Verdana" w:hAnsi="Verdana" w:cs="Arial"/>
          <w:b/>
          <w:color w:val="000000" w:themeColor="text1"/>
          <w:lang w:val="en-GB"/>
        </w:rPr>
        <w:t>:</w:t>
      </w:r>
    </w:p>
    <w:p w14:paraId="44F369FA" w14:textId="682B8873" w:rsidR="001226BB" w:rsidRPr="00304754" w:rsidRDefault="00386CF6" w:rsidP="003D69CB">
      <w:pPr>
        <w:keepNext/>
        <w:widowControl w:val="0"/>
        <w:tabs>
          <w:tab w:val="left" w:pos="3969"/>
        </w:tabs>
        <w:spacing w:line="240" w:lineRule="auto"/>
        <w:rPr>
          <w:rFonts w:ascii="Verdana" w:hAnsi="Verdana" w:cs="Arial"/>
          <w:bCs/>
          <w:color w:val="000000" w:themeColor="text1"/>
          <w:lang w:val="en-GB"/>
        </w:rPr>
      </w:pPr>
      <w:r w:rsidRPr="00B11D8A">
        <w:rPr>
          <w:rFonts w:ascii="Verdana" w:hAnsi="Verdana" w:cs="Arial"/>
          <w:b/>
          <w:color w:val="000000" w:themeColor="text1"/>
          <w:lang w:val="en-GB"/>
        </w:rPr>
        <w:t xml:space="preserve">On </w:t>
      </w:r>
      <w:r w:rsidR="00D136E5" w:rsidRPr="00B11D8A">
        <w:rPr>
          <w:rFonts w:ascii="Verdana" w:hAnsi="Verdana" w:cs="Arial"/>
          <w:b/>
          <w:color w:val="000000" w:themeColor="text1"/>
          <w:lang w:val="en-GB"/>
        </w:rPr>
        <w:t>b</w:t>
      </w:r>
      <w:r w:rsidRPr="00B11D8A">
        <w:rPr>
          <w:rFonts w:ascii="Verdana" w:hAnsi="Verdana" w:cs="Arial"/>
          <w:b/>
          <w:color w:val="000000" w:themeColor="text1"/>
          <w:lang w:val="en-GB"/>
        </w:rPr>
        <w:t xml:space="preserve">ehalf of </w:t>
      </w:r>
      <w:r w:rsidR="002C6694" w:rsidRPr="00B11D8A">
        <w:rPr>
          <w:rFonts w:ascii="Verdana" w:hAnsi="Verdana" w:cs="Arial"/>
          <w:b/>
          <w:color w:val="000000" w:themeColor="text1"/>
          <w:lang w:val="en-GB"/>
        </w:rPr>
        <w:t>applicant</w:t>
      </w:r>
      <w:r w:rsidR="00305AC6" w:rsidRPr="00B11D8A">
        <w:rPr>
          <w:rFonts w:ascii="Verdana" w:hAnsi="Verdana" w:cs="Arial"/>
          <w:b/>
          <w:color w:val="000000" w:themeColor="text1"/>
          <w:lang w:val="en-GB"/>
        </w:rPr>
        <w:t>s</w:t>
      </w:r>
      <w:r w:rsidRPr="00B11D8A">
        <w:rPr>
          <w:rFonts w:ascii="Verdana" w:hAnsi="Verdana" w:cs="Arial"/>
          <w:b/>
          <w:color w:val="000000" w:themeColor="text1"/>
          <w:lang w:val="en-GB"/>
        </w:rPr>
        <w:t xml:space="preserve">: </w:t>
      </w:r>
      <w:r w:rsidRPr="00B11D8A">
        <w:rPr>
          <w:rFonts w:ascii="Verdana" w:hAnsi="Verdana" w:cs="Arial"/>
          <w:b/>
          <w:color w:val="000000" w:themeColor="text1"/>
          <w:lang w:val="en-GB"/>
        </w:rPr>
        <w:tab/>
      </w:r>
      <w:r w:rsidR="00D570D3">
        <w:rPr>
          <w:rFonts w:ascii="Verdana" w:hAnsi="Verdana" w:cs="Arial"/>
          <w:b/>
          <w:color w:val="000000" w:themeColor="text1"/>
          <w:lang w:val="en-GB"/>
        </w:rPr>
        <w:tab/>
      </w:r>
      <w:r w:rsidR="00304754">
        <w:rPr>
          <w:rFonts w:ascii="Verdana" w:hAnsi="Verdana" w:cs="Arial"/>
          <w:bCs/>
          <w:color w:val="000000" w:themeColor="text1"/>
          <w:lang w:val="en-GB"/>
        </w:rPr>
        <w:t>Adv O Mokgotho</w:t>
      </w:r>
    </w:p>
    <w:p w14:paraId="7AA972F3" w14:textId="78DC98D0" w:rsidR="005D7F7B" w:rsidRPr="00D570D3" w:rsidRDefault="00EB772C" w:rsidP="00D570D3">
      <w:pPr>
        <w:keepNext/>
        <w:widowControl w:val="0"/>
        <w:spacing w:after="120" w:line="408" w:lineRule="auto"/>
        <w:ind w:left="3969" w:firstLine="351"/>
        <w:jc w:val="both"/>
        <w:rPr>
          <w:rFonts w:ascii="Verdana" w:hAnsi="Verdana" w:cs="Arial"/>
          <w:color w:val="000000" w:themeColor="text1"/>
          <w:lang w:val="en-GB"/>
        </w:rPr>
      </w:pPr>
      <w:hyperlink r:id="rId9" w:history="1">
        <w:r w:rsidR="00D570D3" w:rsidRPr="00D570D3">
          <w:rPr>
            <w:rStyle w:val="Hyperlink"/>
            <w:rFonts w:ascii="Verdana" w:hAnsi="Verdana" w:cs="Arial"/>
            <w:color w:val="000000" w:themeColor="text1"/>
            <w:lang w:val="en-GB"/>
          </w:rPr>
          <w:t>o.mokgotho@group621.co.za</w:t>
        </w:r>
      </w:hyperlink>
    </w:p>
    <w:p w14:paraId="769BD41F" w14:textId="77777777" w:rsidR="00FA4169" w:rsidRPr="00D570D3" w:rsidRDefault="00FA4169" w:rsidP="005D7F7B">
      <w:pPr>
        <w:keepNext/>
        <w:widowControl w:val="0"/>
        <w:spacing w:after="120" w:line="408" w:lineRule="auto"/>
        <w:ind w:left="3969"/>
        <w:jc w:val="both"/>
        <w:rPr>
          <w:rFonts w:ascii="Verdana" w:hAnsi="Verdana" w:cs="Arial"/>
          <w:color w:val="000000" w:themeColor="text1"/>
          <w:lang w:val="en-GB"/>
        </w:rPr>
      </w:pPr>
    </w:p>
    <w:p w14:paraId="51ABCC16" w14:textId="1F41B793" w:rsidR="005D7F7B" w:rsidRPr="00D570D3" w:rsidRDefault="005D7F7B" w:rsidP="005D7F7B">
      <w:pPr>
        <w:keepNext/>
        <w:widowControl w:val="0"/>
        <w:tabs>
          <w:tab w:val="left" w:pos="3969"/>
        </w:tabs>
        <w:spacing w:after="120" w:line="240" w:lineRule="auto"/>
        <w:ind w:firstLine="720"/>
        <w:rPr>
          <w:rFonts w:ascii="Verdana" w:hAnsi="Verdana" w:cs="Arial"/>
          <w:color w:val="000000" w:themeColor="text1"/>
          <w:lang w:val="en-GB"/>
        </w:rPr>
      </w:pPr>
      <w:r w:rsidRPr="00D570D3">
        <w:rPr>
          <w:rFonts w:ascii="Verdana" w:hAnsi="Verdana" w:cs="Arial"/>
          <w:b/>
          <w:color w:val="000000" w:themeColor="text1"/>
          <w:lang w:val="en-GB"/>
        </w:rPr>
        <w:t>Instructed by:</w:t>
      </w:r>
      <w:r w:rsidRPr="00D570D3">
        <w:rPr>
          <w:rFonts w:ascii="Verdana" w:hAnsi="Verdana" w:cs="Arial"/>
          <w:color w:val="000000" w:themeColor="text1"/>
          <w:lang w:val="en-GB"/>
        </w:rPr>
        <w:t xml:space="preserve"> </w:t>
      </w:r>
      <w:r w:rsidRPr="00D570D3">
        <w:rPr>
          <w:rFonts w:ascii="Verdana" w:hAnsi="Verdana" w:cs="Arial"/>
          <w:color w:val="000000" w:themeColor="text1"/>
          <w:lang w:val="en-GB"/>
        </w:rPr>
        <w:tab/>
      </w:r>
      <w:r w:rsidR="00D570D3" w:rsidRPr="00D570D3">
        <w:rPr>
          <w:rFonts w:ascii="Verdana" w:hAnsi="Verdana" w:cs="Arial"/>
          <w:color w:val="000000" w:themeColor="text1"/>
          <w:lang w:val="en-GB"/>
        </w:rPr>
        <w:tab/>
      </w:r>
      <w:r w:rsidR="00DC27E8" w:rsidRPr="00D570D3">
        <w:rPr>
          <w:rFonts w:ascii="Verdana" w:hAnsi="Verdana" w:cs="Arial"/>
          <w:color w:val="000000" w:themeColor="text1"/>
          <w:lang w:val="en-GB"/>
        </w:rPr>
        <w:t>Mervyn Taback Inc t/s Andersen</w:t>
      </w:r>
    </w:p>
    <w:p w14:paraId="46C152EA" w14:textId="720A7629" w:rsidR="005D7F7B" w:rsidRPr="00D570D3" w:rsidRDefault="005D7F7B" w:rsidP="005D7F7B">
      <w:pPr>
        <w:keepNext/>
        <w:widowControl w:val="0"/>
        <w:tabs>
          <w:tab w:val="left" w:pos="3969"/>
        </w:tabs>
        <w:spacing w:after="120" w:line="240" w:lineRule="auto"/>
        <w:rPr>
          <w:rFonts w:ascii="Verdana" w:hAnsi="Verdana" w:cs="Arial"/>
          <w:color w:val="000000" w:themeColor="text1"/>
          <w:lang w:val="en-GB"/>
        </w:rPr>
      </w:pPr>
      <w:r w:rsidRPr="00D570D3">
        <w:rPr>
          <w:rFonts w:ascii="Verdana" w:hAnsi="Verdana" w:cs="Arial"/>
          <w:color w:val="000000" w:themeColor="text1"/>
          <w:lang w:val="en-GB"/>
        </w:rPr>
        <w:tab/>
      </w:r>
      <w:r w:rsidR="00D570D3" w:rsidRPr="00D570D3">
        <w:rPr>
          <w:rFonts w:ascii="Verdana" w:hAnsi="Verdana" w:cs="Arial"/>
          <w:color w:val="000000" w:themeColor="text1"/>
          <w:lang w:val="en-GB"/>
        </w:rPr>
        <w:tab/>
      </w:r>
      <w:hyperlink r:id="rId10" w:history="1">
        <w:r w:rsidR="00D570D3" w:rsidRPr="00D570D3">
          <w:rPr>
            <w:rStyle w:val="Hyperlink"/>
            <w:rFonts w:ascii="Verdana" w:hAnsi="Verdana" w:cs="Arial"/>
            <w:color w:val="000000" w:themeColor="text1"/>
            <w:lang w:val="en-GB"/>
          </w:rPr>
          <w:t>Sibusiso.mlangeni@za.andersen.com</w:t>
        </w:r>
      </w:hyperlink>
    </w:p>
    <w:p w14:paraId="4AE4F898" w14:textId="77777777" w:rsidR="00FA4169" w:rsidRPr="00D570D3" w:rsidRDefault="00FA4169" w:rsidP="005D7F7B">
      <w:pPr>
        <w:keepNext/>
        <w:widowControl w:val="0"/>
        <w:tabs>
          <w:tab w:val="left" w:pos="3969"/>
        </w:tabs>
        <w:spacing w:after="120" w:line="240" w:lineRule="auto"/>
        <w:rPr>
          <w:rFonts w:ascii="Verdana" w:hAnsi="Verdana" w:cs="Arial"/>
          <w:color w:val="000000" w:themeColor="text1"/>
          <w:lang w:val="en-GB"/>
        </w:rPr>
      </w:pPr>
    </w:p>
    <w:p w14:paraId="3B4BE232" w14:textId="77777777" w:rsidR="005D7F7B" w:rsidRPr="00D570D3" w:rsidRDefault="005D7F7B" w:rsidP="005D7F7B">
      <w:pPr>
        <w:widowControl w:val="0"/>
        <w:tabs>
          <w:tab w:val="left" w:pos="3969"/>
        </w:tabs>
        <w:spacing w:after="240" w:line="240" w:lineRule="auto"/>
        <w:rPr>
          <w:rFonts w:ascii="Verdana" w:hAnsi="Verdana" w:cs="Arial"/>
          <w:color w:val="000000" w:themeColor="text1"/>
          <w:lang w:val="en-GB"/>
        </w:rPr>
      </w:pPr>
    </w:p>
    <w:p w14:paraId="4E6D0A8F" w14:textId="1367FFD2" w:rsidR="005D7F7B" w:rsidRPr="00D570D3" w:rsidRDefault="00386CF6" w:rsidP="003D69CB">
      <w:pPr>
        <w:keepNext/>
        <w:widowControl w:val="0"/>
        <w:tabs>
          <w:tab w:val="left" w:pos="3969"/>
        </w:tabs>
        <w:spacing w:line="240" w:lineRule="auto"/>
        <w:rPr>
          <w:rFonts w:ascii="Verdana" w:hAnsi="Verdana" w:cs="Arial"/>
          <w:b/>
          <w:color w:val="000000" w:themeColor="text1"/>
          <w:lang w:val="en-GB"/>
        </w:rPr>
      </w:pPr>
      <w:r w:rsidRPr="00D570D3">
        <w:rPr>
          <w:rFonts w:ascii="Verdana" w:hAnsi="Verdana" w:cs="Arial"/>
          <w:b/>
          <w:color w:val="000000" w:themeColor="text1"/>
          <w:lang w:val="en-GB"/>
        </w:rPr>
        <w:t xml:space="preserve">On </w:t>
      </w:r>
      <w:r w:rsidR="00D136E5" w:rsidRPr="00D570D3">
        <w:rPr>
          <w:rFonts w:ascii="Verdana" w:hAnsi="Verdana" w:cs="Arial"/>
          <w:b/>
          <w:color w:val="000000" w:themeColor="text1"/>
          <w:lang w:val="en-GB"/>
        </w:rPr>
        <w:t>b</w:t>
      </w:r>
      <w:r w:rsidRPr="00D570D3">
        <w:rPr>
          <w:rFonts w:ascii="Verdana" w:hAnsi="Verdana" w:cs="Arial"/>
          <w:b/>
          <w:color w:val="000000" w:themeColor="text1"/>
          <w:lang w:val="en-GB"/>
        </w:rPr>
        <w:t xml:space="preserve">ehalf </w:t>
      </w:r>
    </w:p>
    <w:p w14:paraId="1BB7F126" w14:textId="5D740949" w:rsidR="008C28CA" w:rsidRDefault="005D7F7B" w:rsidP="003D69CB">
      <w:pPr>
        <w:keepNext/>
        <w:widowControl w:val="0"/>
        <w:tabs>
          <w:tab w:val="left" w:pos="3969"/>
        </w:tabs>
        <w:spacing w:line="240" w:lineRule="auto"/>
        <w:rPr>
          <w:rFonts w:ascii="Verdana" w:hAnsi="Verdana" w:cs="Arial"/>
          <w:color w:val="000000" w:themeColor="text1"/>
          <w:lang w:val="en-GB"/>
        </w:rPr>
      </w:pPr>
      <w:r w:rsidRPr="00D570D3">
        <w:rPr>
          <w:rFonts w:ascii="Verdana" w:hAnsi="Verdana" w:cs="Arial"/>
          <w:b/>
          <w:color w:val="000000" w:themeColor="text1"/>
          <w:lang w:val="en-GB"/>
        </w:rPr>
        <w:t xml:space="preserve">second </w:t>
      </w:r>
      <w:r w:rsidR="002C6694" w:rsidRPr="00D570D3">
        <w:rPr>
          <w:rFonts w:ascii="Verdana" w:hAnsi="Verdana" w:cs="Arial"/>
          <w:b/>
          <w:color w:val="000000" w:themeColor="text1"/>
          <w:lang w:val="en-GB"/>
        </w:rPr>
        <w:t>respondent</w:t>
      </w:r>
      <w:r w:rsidR="00386CF6" w:rsidRPr="00D570D3">
        <w:rPr>
          <w:rFonts w:ascii="Verdana" w:hAnsi="Verdana" w:cs="Arial"/>
          <w:b/>
          <w:color w:val="000000" w:themeColor="text1"/>
          <w:lang w:val="en-GB"/>
        </w:rPr>
        <w:t xml:space="preserve">: </w:t>
      </w:r>
      <w:r w:rsidR="0006790C" w:rsidRPr="00D570D3">
        <w:rPr>
          <w:rFonts w:ascii="Verdana" w:hAnsi="Verdana" w:cs="Arial"/>
          <w:color w:val="000000" w:themeColor="text1"/>
          <w:lang w:val="en-GB"/>
        </w:rPr>
        <w:t xml:space="preserve"> </w:t>
      </w:r>
      <w:r w:rsidR="00D136E5" w:rsidRPr="00D570D3">
        <w:rPr>
          <w:rFonts w:ascii="Verdana" w:hAnsi="Verdana" w:cs="Arial"/>
          <w:color w:val="000000" w:themeColor="text1"/>
          <w:lang w:val="en-GB"/>
        </w:rPr>
        <w:tab/>
      </w:r>
      <w:r w:rsidR="00D570D3" w:rsidRPr="00D570D3">
        <w:rPr>
          <w:rFonts w:ascii="Verdana" w:hAnsi="Verdana" w:cs="Arial"/>
          <w:color w:val="000000" w:themeColor="text1"/>
          <w:lang w:val="en-GB"/>
        </w:rPr>
        <w:tab/>
      </w:r>
      <w:r w:rsidRPr="00D570D3">
        <w:rPr>
          <w:rFonts w:ascii="Verdana" w:hAnsi="Verdana" w:cs="Arial"/>
          <w:color w:val="000000" w:themeColor="text1"/>
          <w:lang w:val="en-GB"/>
        </w:rPr>
        <w:t>Appearance in person.</w:t>
      </w:r>
    </w:p>
    <w:p w14:paraId="7886EC81" w14:textId="7E296596" w:rsidR="00317C05" w:rsidRPr="00D21787" w:rsidRDefault="00317C05" w:rsidP="00317C05">
      <w:pPr>
        <w:rPr>
          <w:rFonts w:ascii="Arial" w:hAnsi="Arial" w:cs="Arial"/>
          <w:color w:val="000000" w:themeColor="text1"/>
        </w:rPr>
      </w:pPr>
      <w:r>
        <w:rPr>
          <w:rFonts w:ascii="Verdana" w:hAnsi="Verdana" w:cs="Arial"/>
          <w:color w:val="000000" w:themeColor="text1"/>
          <w:lang w:val="en-GB"/>
        </w:rPr>
        <w:tab/>
      </w:r>
      <w:r>
        <w:rPr>
          <w:rFonts w:ascii="Verdana" w:hAnsi="Verdana" w:cs="Arial"/>
          <w:color w:val="000000" w:themeColor="text1"/>
          <w:lang w:val="en-GB"/>
        </w:rPr>
        <w:tab/>
      </w:r>
      <w:r>
        <w:rPr>
          <w:rFonts w:ascii="Verdana" w:hAnsi="Verdana" w:cs="Arial"/>
          <w:color w:val="000000" w:themeColor="text1"/>
          <w:lang w:val="en-GB"/>
        </w:rPr>
        <w:tab/>
      </w:r>
      <w:r>
        <w:rPr>
          <w:rFonts w:ascii="Verdana" w:hAnsi="Verdana" w:cs="Arial"/>
          <w:color w:val="000000" w:themeColor="text1"/>
          <w:lang w:val="en-GB"/>
        </w:rPr>
        <w:tab/>
      </w:r>
      <w:r>
        <w:rPr>
          <w:rFonts w:ascii="Verdana" w:hAnsi="Verdana" w:cs="Arial"/>
          <w:color w:val="000000" w:themeColor="text1"/>
          <w:lang w:val="en-GB"/>
        </w:rPr>
        <w:tab/>
      </w:r>
      <w:r>
        <w:rPr>
          <w:rFonts w:ascii="Verdana" w:hAnsi="Verdana" w:cs="Arial"/>
          <w:color w:val="000000" w:themeColor="text1"/>
          <w:lang w:val="en-GB"/>
        </w:rPr>
        <w:tab/>
      </w:r>
      <w:hyperlink r:id="rId11" w:history="1">
        <w:r w:rsidRPr="00D21787">
          <w:rPr>
            <w:rStyle w:val="Hyperlink"/>
            <w:rFonts w:ascii="Arial" w:hAnsi="Arial" w:cs="Arial"/>
            <w:color w:val="000000" w:themeColor="text1"/>
          </w:rPr>
          <w:t>adriana1st@icloud.com</w:t>
        </w:r>
      </w:hyperlink>
    </w:p>
    <w:p w14:paraId="4795229D" w14:textId="6B2C12A3" w:rsidR="00317C05" w:rsidRPr="00317C05" w:rsidRDefault="00317C05" w:rsidP="003D69CB">
      <w:pPr>
        <w:keepNext/>
        <w:widowControl w:val="0"/>
        <w:tabs>
          <w:tab w:val="left" w:pos="3969"/>
        </w:tabs>
        <w:spacing w:line="240" w:lineRule="auto"/>
        <w:rPr>
          <w:rFonts w:ascii="Verdana" w:hAnsi="Verdana" w:cs="Arial"/>
          <w:color w:val="000000" w:themeColor="text1"/>
          <w:lang w:val="en-GB"/>
        </w:rPr>
      </w:pPr>
    </w:p>
    <w:p w14:paraId="4A2D323D" w14:textId="46D04657" w:rsidR="00FA4169" w:rsidRPr="00D570D3" w:rsidRDefault="00FA4169" w:rsidP="003D69CB">
      <w:pPr>
        <w:keepNext/>
        <w:widowControl w:val="0"/>
        <w:tabs>
          <w:tab w:val="left" w:pos="3969"/>
        </w:tabs>
        <w:spacing w:line="240" w:lineRule="auto"/>
        <w:rPr>
          <w:rFonts w:ascii="Verdana" w:hAnsi="Verdana" w:cs="Arial"/>
          <w:color w:val="000000" w:themeColor="text1"/>
          <w:lang w:val="en-GB"/>
        </w:rPr>
      </w:pPr>
      <w:r w:rsidRPr="00D570D3">
        <w:rPr>
          <w:rFonts w:ascii="Verdana" w:hAnsi="Verdana" w:cs="Arial"/>
          <w:color w:val="000000" w:themeColor="text1"/>
          <w:lang w:val="en-GB"/>
        </w:rPr>
        <w:tab/>
      </w:r>
    </w:p>
    <w:p w14:paraId="38523480" w14:textId="1CB712A6" w:rsidR="00FC7CC0" w:rsidRPr="00D570D3" w:rsidRDefault="00416496" w:rsidP="003D69CB">
      <w:pPr>
        <w:widowControl w:val="0"/>
        <w:tabs>
          <w:tab w:val="left" w:pos="3969"/>
        </w:tabs>
        <w:spacing w:after="120" w:line="240" w:lineRule="auto"/>
        <w:rPr>
          <w:rFonts w:ascii="Verdana" w:hAnsi="Verdana" w:cs="Arial"/>
          <w:color w:val="000000" w:themeColor="text1"/>
          <w:lang w:val="en-GB"/>
        </w:rPr>
      </w:pPr>
      <w:r w:rsidRPr="00D570D3">
        <w:rPr>
          <w:rFonts w:ascii="Verdana" w:hAnsi="Verdana" w:cs="Arial"/>
          <w:color w:val="000000" w:themeColor="text1"/>
          <w:lang w:val="en-GB"/>
        </w:rPr>
        <w:t xml:space="preserve"> </w:t>
      </w:r>
    </w:p>
    <w:sectPr w:rsidR="00FC7CC0" w:rsidRPr="00D570D3" w:rsidSect="00F46B89">
      <w:headerReference w:type="default" r:id="rId1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AB404" w14:textId="77777777" w:rsidR="00EB772C" w:rsidRDefault="00EB772C" w:rsidP="009760D6">
      <w:pPr>
        <w:spacing w:after="0" w:line="240" w:lineRule="auto"/>
      </w:pPr>
      <w:r>
        <w:separator/>
      </w:r>
    </w:p>
  </w:endnote>
  <w:endnote w:type="continuationSeparator" w:id="0">
    <w:p w14:paraId="1D3D003F" w14:textId="77777777" w:rsidR="00EB772C" w:rsidRDefault="00EB772C"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4215" w14:textId="77777777" w:rsidR="00EB772C" w:rsidRDefault="00EB772C" w:rsidP="009760D6">
      <w:pPr>
        <w:spacing w:after="0" w:line="240" w:lineRule="auto"/>
      </w:pPr>
      <w:r>
        <w:separator/>
      </w:r>
    </w:p>
  </w:footnote>
  <w:footnote w:type="continuationSeparator" w:id="0">
    <w:p w14:paraId="01465B1A" w14:textId="77777777" w:rsidR="00EB772C" w:rsidRDefault="00EB772C" w:rsidP="009760D6">
      <w:pPr>
        <w:spacing w:after="0" w:line="240" w:lineRule="auto"/>
      </w:pPr>
      <w:r>
        <w:continuationSeparator/>
      </w:r>
    </w:p>
  </w:footnote>
  <w:footnote w:id="1">
    <w:p w14:paraId="55120B08" w14:textId="2A60C880" w:rsidR="00CC34EB" w:rsidRPr="007967BD" w:rsidRDefault="00CC34EB">
      <w:pPr>
        <w:pStyle w:val="FootnoteText"/>
        <w:rPr>
          <w:color w:val="000000" w:themeColor="text1"/>
        </w:rPr>
      </w:pPr>
      <w:r>
        <w:rPr>
          <w:rStyle w:val="FootnoteReference"/>
        </w:rPr>
        <w:footnoteRef/>
      </w:r>
      <w:r>
        <w:t xml:space="preserve">  </w:t>
      </w:r>
      <w:r>
        <w:tab/>
      </w:r>
      <w:r w:rsidRPr="007967BD">
        <w:rPr>
          <w:color w:val="000000" w:themeColor="text1"/>
        </w:rPr>
        <w:t xml:space="preserve">CaseLines: pp 001-2 to 001-3. </w:t>
      </w:r>
    </w:p>
  </w:footnote>
  <w:footnote w:id="2">
    <w:p w14:paraId="0CAD26B5" w14:textId="02CF61B3"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Respondents’ heads of argument, paragraph 2, p 006-25.</w:t>
      </w:r>
    </w:p>
  </w:footnote>
  <w:footnote w:id="3">
    <w:p w14:paraId="23D4B9ED" w14:textId="4ED47583"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Respondents’ heads of argument, paragraph 2, p 006-25. </w:t>
      </w:r>
    </w:p>
  </w:footnote>
  <w:footnote w:id="4">
    <w:p w14:paraId="10233345" w14:textId="4FFF04E1"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2001 (4) SA 1222 (SCA). </w:t>
      </w:r>
    </w:p>
  </w:footnote>
  <w:footnote w:id="5">
    <w:p w14:paraId="5077F4F8" w14:textId="13F6DD52"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return of service, p 002-5. </w:t>
      </w:r>
    </w:p>
  </w:footnote>
  <w:footnote w:id="6">
    <w:p w14:paraId="205A274F" w14:textId="4BF3A779"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2005 (4) SA 357 (SCA). </w:t>
      </w:r>
    </w:p>
  </w:footnote>
  <w:footnote w:id="7">
    <w:p w14:paraId="2BFC34FE" w14:textId="170E2948"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2005 (4) SA 199 (SCA). </w:t>
      </w:r>
    </w:p>
  </w:footnote>
  <w:footnote w:id="8">
    <w:p w14:paraId="1615717F" w14:textId="6259CF25"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Paragraph [22]. </w:t>
      </w:r>
    </w:p>
  </w:footnote>
  <w:footnote w:id="9">
    <w:p w14:paraId="11C6FF8E" w14:textId="394D6E21"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return of service, p 002-1. </w:t>
      </w:r>
    </w:p>
  </w:footnote>
  <w:footnote w:id="10">
    <w:p w14:paraId="0560C023" w14:textId="3C7FB914" w:rsidR="00CC34EB" w:rsidRPr="007967BD" w:rsidRDefault="00CC34EB" w:rsidP="000F1D4E">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color w:val="000000" w:themeColor="text1"/>
          <w:u w:val="single"/>
        </w:rPr>
        <w:t>Groen Gras Eiendomme (Pty) Ltd and Others v Elandsfontein Unlawful Occupants and Others</w:t>
      </w:r>
      <w:r w:rsidRPr="007967BD">
        <w:rPr>
          <w:color w:val="000000" w:themeColor="text1"/>
        </w:rPr>
        <w:t xml:space="preserve"> 2002 (1) SA 125 (T). </w:t>
      </w:r>
    </w:p>
  </w:footnote>
  <w:footnote w:id="11">
    <w:p w14:paraId="7822150B" w14:textId="65CE558E" w:rsidR="00CC34EB" w:rsidRPr="007967BD" w:rsidRDefault="00CC34EB" w:rsidP="002A1540">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color w:val="000000" w:themeColor="text1"/>
          <w:u w:val="single"/>
        </w:rPr>
        <w:t>Groen Gras Eiendomme (Pty) Ltd and Others v Elandsfontein Unlawful Occupants and Others</w:t>
      </w:r>
      <w:r w:rsidRPr="007967BD">
        <w:rPr>
          <w:color w:val="000000" w:themeColor="text1"/>
        </w:rPr>
        <w:t xml:space="preserve"> 2002 (1) SA 125 (T), paragraph [32]. </w:t>
      </w:r>
    </w:p>
  </w:footnote>
  <w:footnote w:id="12">
    <w:p w14:paraId="0400B71D" w14:textId="228CD25F"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founding affidavit, annexure “PD25”, p 001-106. </w:t>
      </w:r>
    </w:p>
  </w:footnote>
  <w:footnote w:id="13">
    <w:p w14:paraId="5B831B4E" w14:textId="42C1E82E"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annexure “PD25”, p 001-106.</w:t>
      </w:r>
    </w:p>
  </w:footnote>
  <w:footnote w:id="14">
    <w:p w14:paraId="59BF7074" w14:textId="4EA1B02D"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52, p 001-20.</w:t>
      </w:r>
    </w:p>
  </w:footnote>
  <w:footnote w:id="15">
    <w:p w14:paraId="45558CFF" w14:textId="3ECB3C2A"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55, p 001-21.</w:t>
      </w:r>
    </w:p>
  </w:footnote>
  <w:footnote w:id="16">
    <w:p w14:paraId="0CE7543B" w14:textId="02559C31"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paragraphs 56 and 57, p 001-21.</w:t>
      </w:r>
    </w:p>
  </w:footnote>
  <w:footnote w:id="17">
    <w:p w14:paraId="4011B52F" w14:textId="4AF2E116"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58, p 001-21.</w:t>
      </w:r>
    </w:p>
  </w:footnote>
  <w:footnote w:id="18">
    <w:p w14:paraId="3DF1437E" w14:textId="0F2C2574"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61, p 001-22.</w:t>
      </w:r>
    </w:p>
  </w:footnote>
  <w:footnote w:id="19">
    <w:p w14:paraId="07FBF7E4" w14:textId="6E147BBD"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65, p 001-22.</w:t>
      </w:r>
    </w:p>
  </w:footnote>
  <w:footnote w:id="20">
    <w:p w14:paraId="6499312B" w14:textId="2CA6C432" w:rsidR="00CC34EB" w:rsidRPr="007967BD" w:rsidRDefault="00CC34EB" w:rsidP="00306F0A">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67, p 001-23;  annexure “PD28”, p 001-118.</w:t>
      </w:r>
    </w:p>
  </w:footnote>
  <w:footnote w:id="21">
    <w:p w14:paraId="7C6F0606" w14:textId="46055961"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72, p 001-24.</w:t>
      </w:r>
    </w:p>
  </w:footnote>
  <w:footnote w:id="22">
    <w:p w14:paraId="781A5F0D" w14:textId="2244989D"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110.1, p 001-31.</w:t>
      </w:r>
    </w:p>
  </w:footnote>
  <w:footnote w:id="23">
    <w:p w14:paraId="06D07353" w14:textId="663F815B"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110.2, p 001-31.</w:t>
      </w:r>
    </w:p>
  </w:footnote>
  <w:footnote w:id="24">
    <w:p w14:paraId="5D05BB30" w14:textId="23A2C860"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paragraphs 110.3 and 110.4, p 001-31.</w:t>
      </w:r>
    </w:p>
  </w:footnote>
  <w:footnote w:id="25">
    <w:p w14:paraId="2B603EAC" w14:textId="09836C0A"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111.1, p 001-31.</w:t>
      </w:r>
    </w:p>
  </w:footnote>
  <w:footnote w:id="26">
    <w:p w14:paraId="5C4AE672" w14:textId="21E87DC9"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paragraphs 111.2 and 111.3, pp 001-31 and 001-32.</w:t>
      </w:r>
    </w:p>
  </w:footnote>
  <w:footnote w:id="27">
    <w:p w14:paraId="123B5720" w14:textId="0B594C0C"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114.3, p 001-33.</w:t>
      </w:r>
    </w:p>
  </w:footnote>
  <w:footnote w:id="28">
    <w:p w14:paraId="61C882BA" w14:textId="4E3C83E0"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130, p 001-36.</w:t>
      </w:r>
    </w:p>
  </w:footnote>
  <w:footnote w:id="29">
    <w:p w14:paraId="408432E3" w14:textId="207647CA"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answering affidavit, paragraph 9, p 004-4.</w:t>
      </w:r>
    </w:p>
  </w:footnote>
  <w:footnote w:id="30">
    <w:p w14:paraId="43CF772C" w14:textId="2C4A69F2"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supplementary answering affidavit, paragraph 2, p 016-1.</w:t>
      </w:r>
    </w:p>
  </w:footnote>
  <w:footnote w:id="31">
    <w:p w14:paraId="150F2252" w14:textId="2D29D49B"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supplementary answering affidavit, p 016-6.</w:t>
      </w:r>
    </w:p>
  </w:footnote>
  <w:footnote w:id="32">
    <w:p w14:paraId="28E569F0" w14:textId="32994511"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supplementary answering affidavit, p 016-7.</w:t>
      </w:r>
    </w:p>
  </w:footnote>
  <w:footnote w:id="33">
    <w:p w14:paraId="067240AD" w14:textId="4C22322E"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answering affidavit, paragraph 15, p 004-5.</w:t>
      </w:r>
    </w:p>
  </w:footnote>
  <w:footnote w:id="34">
    <w:p w14:paraId="6390FE1C" w14:textId="1C180726" w:rsidR="00826D37" w:rsidRPr="007967BD" w:rsidRDefault="00826D37" w:rsidP="00E909EB">
      <w:pPr>
        <w:pStyle w:val="Indent"/>
        <w:widowControl w:val="0"/>
        <w:numPr>
          <w:ilvl w:val="0"/>
          <w:numId w:val="0"/>
        </w:numPr>
        <w:spacing w:after="360"/>
        <w:jc w:val="both"/>
        <w:rPr>
          <w:rFonts w:ascii="Verdana" w:hAnsi="Verdana"/>
          <w:color w:val="000000" w:themeColor="text1"/>
          <w:sz w:val="18"/>
          <w:szCs w:val="18"/>
          <w:lang w:val="en-GB"/>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rFonts w:ascii="Verdana" w:hAnsi="Verdana"/>
          <w:color w:val="000000" w:themeColor="text1"/>
          <w:sz w:val="18"/>
          <w:szCs w:val="18"/>
        </w:rPr>
        <w:t>2021 JDR 0275 (GJ)</w:t>
      </w:r>
    </w:p>
  </w:footnote>
  <w:footnote w:id="35">
    <w:p w14:paraId="50D92B66" w14:textId="416147E1" w:rsidR="00656826" w:rsidRPr="007967BD" w:rsidRDefault="00656826" w:rsidP="00E909EB">
      <w:pPr>
        <w:pStyle w:val="FootnoteText"/>
        <w:rPr>
          <w:color w:val="000000" w:themeColor="text1"/>
          <w:lang w:val="en-US"/>
        </w:rPr>
      </w:pPr>
      <w:r w:rsidRPr="007967BD">
        <w:rPr>
          <w:rStyle w:val="FootnoteReference"/>
          <w:color w:val="000000" w:themeColor="text1"/>
        </w:rPr>
        <w:footnoteRef/>
      </w:r>
      <w:r w:rsidRPr="007967BD">
        <w:rPr>
          <w:color w:val="000000" w:themeColor="text1"/>
        </w:rPr>
        <w:t xml:space="preserve"> </w:t>
      </w:r>
      <w:r w:rsidR="00B25D0A" w:rsidRPr="007967BD">
        <w:rPr>
          <w:color w:val="000000" w:themeColor="text1"/>
        </w:rPr>
        <w:tab/>
        <w:t xml:space="preserve">Regulation 33; </w:t>
      </w:r>
      <w:r w:rsidR="000B2D96" w:rsidRPr="007967BD">
        <w:rPr>
          <w:color w:val="000000" w:themeColor="text1"/>
        </w:rPr>
        <w:t xml:space="preserve">GN </w:t>
      </w:r>
      <w:r w:rsidR="00B9574D">
        <w:rPr>
          <w:color w:val="000000" w:themeColor="text1"/>
        </w:rPr>
        <w:t xml:space="preserve">650 and </w:t>
      </w:r>
      <w:r w:rsidR="000B2D96" w:rsidRPr="007967BD">
        <w:rPr>
          <w:color w:val="000000" w:themeColor="text1"/>
        </w:rPr>
        <w:t>651</w:t>
      </w:r>
      <w:r w:rsidR="00585C16" w:rsidRPr="007967BD">
        <w:rPr>
          <w:color w:val="000000" w:themeColor="text1"/>
        </w:rPr>
        <w:t xml:space="preserve"> of GG 44895</w:t>
      </w:r>
    </w:p>
  </w:footnote>
  <w:footnote w:id="36">
    <w:p w14:paraId="5E993F4E" w14:textId="6127584E" w:rsidR="00B964CB" w:rsidRPr="007967BD" w:rsidRDefault="00042462" w:rsidP="00B964CB">
      <w:pPr>
        <w:pStyle w:val="fnotetext"/>
        <w:shd w:val="clear" w:color="auto" w:fill="FFFFFF"/>
        <w:spacing w:before="120" w:beforeAutospacing="0" w:after="0" w:afterAutospacing="0"/>
        <w:rPr>
          <w:rFonts w:ascii="Verdana" w:hAnsi="Verdana"/>
          <w:color w:val="000000" w:themeColor="text1"/>
          <w:sz w:val="18"/>
          <w:szCs w:val="18"/>
        </w:rPr>
      </w:pPr>
      <w:r w:rsidRPr="007967BD">
        <w:rPr>
          <w:rStyle w:val="FootnoteReference"/>
          <w:rFonts w:ascii="Verdana" w:hAnsi="Verdana"/>
          <w:color w:val="000000" w:themeColor="text1"/>
        </w:rPr>
        <w:footnoteRef/>
      </w:r>
      <w:r w:rsidRPr="007967BD">
        <w:rPr>
          <w:rFonts w:ascii="Verdana" w:hAnsi="Verdana"/>
          <w:color w:val="000000" w:themeColor="text1"/>
        </w:rPr>
        <w:t xml:space="preserve"> </w:t>
      </w:r>
      <w:r w:rsidRPr="007967BD">
        <w:rPr>
          <w:rFonts w:ascii="Verdana" w:hAnsi="Verdana"/>
          <w:color w:val="000000" w:themeColor="text1"/>
          <w:lang w:val="en-US"/>
        </w:rPr>
        <w:tab/>
      </w:r>
      <w:r w:rsidR="00B964CB" w:rsidRPr="007967BD">
        <w:rPr>
          <w:rFonts w:ascii="Verdana" w:hAnsi="Verdana"/>
          <w:color w:val="000000" w:themeColor="text1"/>
          <w:sz w:val="18"/>
          <w:szCs w:val="18"/>
        </w:rPr>
        <w:t>GNR 480 of GG43258, 29 April 2020.</w:t>
      </w:r>
    </w:p>
    <w:p w14:paraId="76475690" w14:textId="381E6B3B" w:rsidR="00042462" w:rsidRPr="007967BD" w:rsidRDefault="00042462">
      <w:pPr>
        <w:pStyle w:val="FootnoteText"/>
        <w:rPr>
          <w:color w:val="000000" w:themeColor="text1"/>
          <w:lang w:val="en-US"/>
        </w:rPr>
      </w:pPr>
    </w:p>
  </w:footnote>
  <w:footnote w:id="37">
    <w:p w14:paraId="1C2B0FB1" w14:textId="77777777" w:rsidR="00F50662" w:rsidRPr="007967BD" w:rsidRDefault="00B964CB" w:rsidP="00F50662">
      <w:pPr>
        <w:pStyle w:val="fnotetext"/>
        <w:shd w:val="clear" w:color="auto" w:fill="FFFFFF"/>
        <w:spacing w:before="120" w:beforeAutospacing="0" w:after="0" w:afterAutospacing="0"/>
        <w:ind w:left="709" w:hanging="709"/>
        <w:rPr>
          <w:rFonts w:ascii="Verdana" w:hAnsi="Verdana"/>
          <w:color w:val="000000" w:themeColor="text1"/>
          <w:sz w:val="18"/>
          <w:szCs w:val="18"/>
        </w:rPr>
      </w:pPr>
      <w:r w:rsidRPr="007967BD">
        <w:rPr>
          <w:rStyle w:val="FootnoteReference"/>
          <w:rFonts w:ascii="Verdana" w:hAnsi="Verdana"/>
          <w:color w:val="000000" w:themeColor="text1"/>
        </w:rPr>
        <w:footnoteRef/>
      </w:r>
      <w:r w:rsidRPr="007967BD">
        <w:rPr>
          <w:color w:val="000000" w:themeColor="text1"/>
        </w:rPr>
        <w:t xml:space="preserve"> </w:t>
      </w:r>
      <w:r w:rsidRPr="007967BD">
        <w:rPr>
          <w:color w:val="000000" w:themeColor="text1"/>
          <w:lang w:val="en-US"/>
        </w:rPr>
        <w:tab/>
      </w:r>
      <w:r w:rsidR="00F50662" w:rsidRPr="007967BD">
        <w:rPr>
          <w:rFonts w:ascii="Verdana" w:hAnsi="Verdana"/>
          <w:color w:val="000000" w:themeColor="text1"/>
          <w:sz w:val="18"/>
          <w:szCs w:val="18"/>
        </w:rPr>
        <w:t>See </w:t>
      </w:r>
      <w:r w:rsidR="00F50662" w:rsidRPr="007967BD">
        <w:rPr>
          <w:rStyle w:val="italic"/>
          <w:rFonts w:ascii="Verdana" w:hAnsi="Verdana"/>
          <w:i/>
          <w:iCs/>
          <w:color w:val="000000" w:themeColor="text1"/>
          <w:sz w:val="18"/>
          <w:szCs w:val="18"/>
        </w:rPr>
        <w:t>Anchorprops 31 (Pty) Ltd v Levin</w:t>
      </w:r>
      <w:r w:rsidR="00F50662" w:rsidRPr="007967BD">
        <w:rPr>
          <w:rFonts w:ascii="Verdana" w:hAnsi="Verdana"/>
          <w:color w:val="000000" w:themeColor="text1"/>
          <w:sz w:val="18"/>
          <w:szCs w:val="18"/>
        </w:rPr>
        <w:t> [2020] ZAGPJHC 183 (28 May 2020), para 40 as an example of the application of regulation 19.</w:t>
      </w:r>
    </w:p>
    <w:p w14:paraId="5094CA19" w14:textId="3B05B039" w:rsidR="00B964CB" w:rsidRPr="007967BD" w:rsidRDefault="00B964CB">
      <w:pPr>
        <w:pStyle w:val="FootnoteText"/>
        <w:rPr>
          <w:color w:val="000000" w:themeColor="text1"/>
          <w:lang w:val="en-US"/>
        </w:rPr>
      </w:pPr>
    </w:p>
  </w:footnote>
  <w:footnote w:id="38">
    <w:p w14:paraId="04B23E99" w14:textId="200150D5" w:rsidR="00F81F21" w:rsidRPr="007967BD" w:rsidRDefault="00F81F21">
      <w:pPr>
        <w:pStyle w:val="FootnoteText"/>
        <w:rPr>
          <w:color w:val="000000" w:themeColor="text1"/>
          <w:lang w:val="en-US"/>
        </w:rPr>
      </w:pPr>
      <w:r w:rsidRPr="007967BD">
        <w:rPr>
          <w:rStyle w:val="FootnoteReference"/>
          <w:color w:val="000000" w:themeColor="text1"/>
        </w:rPr>
        <w:footnoteRef/>
      </w:r>
      <w:r w:rsidRPr="007967BD">
        <w:rPr>
          <w:color w:val="000000" w:themeColor="text1"/>
        </w:rPr>
        <w:t xml:space="preserve"> </w:t>
      </w:r>
      <w:r w:rsidRPr="007967BD">
        <w:rPr>
          <w:color w:val="000000" w:themeColor="text1"/>
          <w:lang w:val="en-US"/>
        </w:rPr>
        <w:tab/>
        <w:t xml:space="preserve">Rhatabeng par. </w:t>
      </w:r>
      <w:r w:rsidR="00213AA1" w:rsidRPr="007967BD">
        <w:rPr>
          <w:color w:val="000000" w:themeColor="text1"/>
          <w:lang w:val="en-US"/>
        </w:rPr>
        <w:t>62</w:t>
      </w:r>
    </w:p>
  </w:footnote>
  <w:footnote w:id="39">
    <w:p w14:paraId="1D391740" w14:textId="43503786"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founding affidavit, annexure “PD5”, p 001-43. </w:t>
      </w:r>
    </w:p>
  </w:footnote>
  <w:footnote w:id="40">
    <w:p w14:paraId="0906A4A5" w14:textId="7BB093FC"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offer to purchase, p 001-45.</w:t>
      </w:r>
    </w:p>
  </w:footnote>
  <w:footnote w:id="41">
    <w:p w14:paraId="43549666" w14:textId="202F0785"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24, p 001-14.</w:t>
      </w:r>
    </w:p>
  </w:footnote>
  <w:footnote w:id="42">
    <w:p w14:paraId="0BB720D2" w14:textId="708F33AD"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25, p 001-14.</w:t>
      </w:r>
    </w:p>
  </w:footnote>
  <w:footnote w:id="43">
    <w:p w14:paraId="57824FAD" w14:textId="7BA470EF"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27, p 001-15.</w:t>
      </w:r>
    </w:p>
  </w:footnote>
  <w:footnote w:id="44">
    <w:p w14:paraId="2B52D288" w14:textId="66B7F223"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30, p 001-15.</w:t>
      </w:r>
    </w:p>
  </w:footnote>
  <w:footnote w:id="45">
    <w:p w14:paraId="0698CC15" w14:textId="4410112E" w:rsidR="00CC34EB" w:rsidRPr="007967BD" w:rsidRDefault="00CC34EB" w:rsidP="00580FDE">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32, p 001-16;  annexure “PD12”, pp 001-61 to 001</w:t>
      </w:r>
      <w:r w:rsidRPr="007967BD">
        <w:rPr>
          <w:color w:val="000000" w:themeColor="text1"/>
        </w:rPr>
        <w:noBreakHyphen/>
        <w:t>62.</w:t>
      </w:r>
    </w:p>
  </w:footnote>
  <w:footnote w:id="46">
    <w:p w14:paraId="64D4444C" w14:textId="13F09D3F"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43, p 001-19.</w:t>
      </w:r>
    </w:p>
  </w:footnote>
  <w:footnote w:id="47">
    <w:p w14:paraId="3E0AF952" w14:textId="51D22399" w:rsidR="00CC34EB" w:rsidRPr="007967BD" w:rsidRDefault="00CC34EB" w:rsidP="000B1280">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46, p 001-19;  annexure “PD23”, p 001-103.</w:t>
      </w:r>
    </w:p>
  </w:footnote>
  <w:footnote w:id="48">
    <w:p w14:paraId="4AABC0F5" w14:textId="34C84569"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48, p 001-20.</w:t>
      </w:r>
    </w:p>
  </w:footnote>
  <w:footnote w:id="49">
    <w:p w14:paraId="0D7116CA" w14:textId="05D40175" w:rsidR="00CC34EB" w:rsidRPr="007967BD" w:rsidRDefault="00CC34EB" w:rsidP="00123728">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color w:val="000000" w:themeColor="text1"/>
          <w:u w:val="single"/>
        </w:rPr>
        <w:t>Hyprop Investments Ltd and Another v NCS Carriers and Forwarding CC and Another</w:t>
      </w:r>
      <w:r w:rsidRPr="007967BD">
        <w:rPr>
          <w:color w:val="000000" w:themeColor="text1"/>
        </w:rPr>
        <w:t xml:space="preserve"> 2013 (4) SA 607 (GSJ), paragraph [66].</w:t>
      </w:r>
    </w:p>
  </w:footnote>
  <w:footnote w:id="50">
    <w:p w14:paraId="06198C2A" w14:textId="7116F594" w:rsidR="00CC34EB" w:rsidRPr="007967BD" w:rsidRDefault="00CC34EB" w:rsidP="00273FDC">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color w:val="000000" w:themeColor="text1"/>
          <w:u w:val="single"/>
        </w:rPr>
        <w:t>Hyprop Investments Ltd and Another v NCS Carriers and Forwarding CC and Another</w:t>
      </w:r>
      <w:r w:rsidRPr="007967BD">
        <w:rPr>
          <w:color w:val="000000" w:themeColor="text1"/>
        </w:rPr>
        <w:t xml:space="preserve"> 2013 (4) SA 607 (GSJ), paragraph [67]. </w:t>
      </w:r>
    </w:p>
  </w:footnote>
  <w:footnote w:id="51">
    <w:p w14:paraId="6781CA78" w14:textId="53352911" w:rsidR="00CC34EB" w:rsidRPr="007967BD" w:rsidRDefault="00CC34EB" w:rsidP="00FC3526">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color w:val="000000" w:themeColor="text1"/>
          <w:u w:val="single"/>
        </w:rPr>
        <w:t>Hyprop Investments Ltd and Another v NCS Carriers and Forwarding CC and Another</w:t>
      </w:r>
      <w:r w:rsidRPr="007967BD">
        <w:rPr>
          <w:color w:val="000000" w:themeColor="text1"/>
        </w:rPr>
        <w:t xml:space="preserve"> 2013 (4) SA 607 (GSJ), paragraph [68].</w:t>
      </w:r>
    </w:p>
  </w:footnote>
  <w:footnote w:id="52">
    <w:p w14:paraId="56691F86" w14:textId="30984399"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1985 (1) SA 248 (W). </w:t>
      </w:r>
    </w:p>
  </w:footnote>
  <w:footnote w:id="53">
    <w:p w14:paraId="07ADB575" w14:textId="29F6F7F1" w:rsidR="00CC34EB" w:rsidRPr="007967BD" w:rsidRDefault="00CC34EB" w:rsidP="00832A22">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See </w:t>
      </w:r>
      <w:r w:rsidRPr="007967BD">
        <w:rPr>
          <w:color w:val="000000" w:themeColor="text1"/>
          <w:u w:val="single"/>
        </w:rPr>
        <w:t>Plascon-Evans Paints Ltd v Van Riebeeck Paints (Pty) Ltd</w:t>
      </w:r>
      <w:r w:rsidRPr="007967BD">
        <w:rPr>
          <w:color w:val="000000" w:themeColor="text1"/>
        </w:rPr>
        <w:t xml:space="preserve"> 1984 (3) SA 623 (A) at 634I.</w:t>
      </w:r>
    </w:p>
  </w:footnote>
  <w:footnote w:id="54">
    <w:p w14:paraId="331A772A" w14:textId="557ED888" w:rsidR="00CC34EB" w:rsidRPr="007967BD" w:rsidRDefault="00CC34EB" w:rsidP="00B107BD">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color w:val="000000" w:themeColor="text1"/>
          <w:u w:val="single"/>
        </w:rPr>
        <w:t>Hyprop Investments Ltd and Another v NCS Carriers and Forwarding CC and Another</w:t>
      </w:r>
      <w:r w:rsidRPr="007967BD">
        <w:rPr>
          <w:color w:val="000000" w:themeColor="text1"/>
        </w:rPr>
        <w:t xml:space="preserve"> 2013 (4) SA 607 (GSJ), paragraph [71].</w:t>
      </w:r>
    </w:p>
  </w:footnote>
  <w:footnote w:id="55">
    <w:p w14:paraId="1D6B76F8" w14:textId="32F88692"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1949 (3) SA 1155 (T). </w:t>
      </w:r>
    </w:p>
  </w:footnote>
  <w:footnote w:id="56">
    <w:p w14:paraId="01EF70F3" w14:textId="02E742A7"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color w:val="000000" w:themeColor="text1"/>
          <w:u w:val="single"/>
        </w:rPr>
        <w:t>Plascon-Evans Paints Ltd v Van Riebeeck Paints (Pty) Ltd</w:t>
      </w:r>
      <w:r w:rsidRPr="007967BD">
        <w:rPr>
          <w:color w:val="000000" w:themeColor="text1"/>
        </w:rPr>
        <w:t xml:space="preserve"> 1984 (3) SA 623 (A).</w:t>
      </w:r>
    </w:p>
  </w:footnote>
  <w:footnote w:id="57">
    <w:p w14:paraId="5EF3E0D9" w14:textId="7713AE10"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At 634H – 635C. </w:t>
      </w:r>
    </w:p>
  </w:footnote>
  <w:footnote w:id="58">
    <w:p w14:paraId="5F657A2A" w14:textId="3CDF67BD"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answering affidavit, paragraph 6, p 004-4.</w:t>
      </w:r>
    </w:p>
  </w:footnote>
  <w:footnote w:id="59">
    <w:p w14:paraId="35FAF8EB" w14:textId="7969A2A8"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answering affidavit, paragraph 7, p 004-4. </w:t>
      </w:r>
    </w:p>
  </w:footnote>
  <w:footnote w:id="60">
    <w:p w14:paraId="361553CF" w14:textId="359B67E5"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answering affidavit, paragraph 8, p 004-4. </w:t>
      </w:r>
    </w:p>
  </w:footnote>
  <w:footnote w:id="61">
    <w:p w14:paraId="0969EAD2" w14:textId="32A05AC6"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founding affidavit, paragraph 33, p 001-17. </w:t>
      </w:r>
    </w:p>
  </w:footnote>
  <w:footnote w:id="62">
    <w:p w14:paraId="410B1167" w14:textId="38B1D0CA"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founding affidavit, paragraphs 36 and 37, p 001-17. </w:t>
      </w:r>
    </w:p>
  </w:footnote>
  <w:footnote w:id="63">
    <w:p w14:paraId="4FCE5264" w14:textId="4EB7B7D9"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CaseLines: founding affidavit, paragraphs 38 and 39, p 001-18. </w:t>
      </w:r>
    </w:p>
  </w:footnote>
  <w:footnote w:id="64">
    <w:p w14:paraId="01C8B8E4" w14:textId="7D66E83F"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41, p 001-18.</w:t>
      </w:r>
    </w:p>
  </w:footnote>
  <w:footnote w:id="65">
    <w:p w14:paraId="2A1C5879" w14:textId="3486D05C"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CaseLines: founding affidavit, paragraph 42, p 001-18.</w:t>
      </w:r>
    </w:p>
  </w:footnote>
  <w:footnote w:id="66">
    <w:p w14:paraId="26C89BE8" w14:textId="7F942509" w:rsidR="00CC34EB" w:rsidRPr="007967BD" w:rsidRDefault="00CC34EB" w:rsidP="00F5769F">
      <w:pPr>
        <w:pStyle w:val="FootnoteText"/>
        <w:ind w:left="720" w:hanging="720"/>
        <w:jc w:val="both"/>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r>
      <w:r w:rsidRPr="007967BD">
        <w:rPr>
          <w:color w:val="000000" w:themeColor="text1"/>
          <w:u w:val="single"/>
        </w:rPr>
        <w:t>Kathrada v Arbitration Tribunal</w:t>
      </w:r>
      <w:r w:rsidRPr="007967BD">
        <w:rPr>
          <w:color w:val="000000" w:themeColor="text1"/>
        </w:rPr>
        <w:t xml:space="preserve"> 1975 (2) SA 673 (A) at 680C; </w:t>
      </w:r>
      <w:r w:rsidRPr="007967BD">
        <w:rPr>
          <w:color w:val="000000" w:themeColor="text1"/>
          <w:u w:val="single"/>
        </w:rPr>
        <w:t>Fleming v Johnson &amp; Richardson</w:t>
      </w:r>
      <w:r w:rsidRPr="007967BD">
        <w:rPr>
          <w:color w:val="000000" w:themeColor="text1"/>
        </w:rPr>
        <w:t xml:space="preserve"> 1903 TS 319 at 325. </w:t>
      </w:r>
    </w:p>
  </w:footnote>
  <w:footnote w:id="67">
    <w:p w14:paraId="474FD897" w14:textId="28E4F6D3" w:rsidR="00CC34EB" w:rsidRPr="007967BD" w:rsidRDefault="00CC34EB">
      <w:pPr>
        <w:pStyle w:val="FootnoteText"/>
        <w:rPr>
          <w:color w:val="000000" w:themeColor="text1"/>
        </w:rPr>
      </w:pPr>
      <w:r w:rsidRPr="007967BD">
        <w:rPr>
          <w:rStyle w:val="FootnoteReference"/>
          <w:color w:val="000000" w:themeColor="text1"/>
        </w:rPr>
        <w:footnoteRef/>
      </w:r>
      <w:r w:rsidRPr="007967BD">
        <w:rPr>
          <w:color w:val="000000" w:themeColor="text1"/>
        </w:rPr>
        <w:t xml:space="preserve">  </w:t>
      </w:r>
      <w:r w:rsidRPr="007967BD">
        <w:rPr>
          <w:color w:val="000000" w:themeColor="text1"/>
        </w:rPr>
        <w:tab/>
        <w:t xml:space="preserve">1903 TS 319 at 325.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5847"/>
      <w:docPartObj>
        <w:docPartGallery w:val="Page Numbers (Top of Page)"/>
        <w:docPartUnique/>
      </w:docPartObj>
    </w:sdtPr>
    <w:sdtEndPr>
      <w:rPr>
        <w:noProof/>
      </w:rPr>
    </w:sdtEndPr>
    <w:sdtContent>
      <w:p w14:paraId="07CE8E0A" w14:textId="5C652908" w:rsidR="00CC34EB" w:rsidRDefault="00CC34EB">
        <w:pPr>
          <w:pStyle w:val="Header"/>
          <w:jc w:val="center"/>
          <w:rPr>
            <w:noProof/>
          </w:rPr>
        </w:pPr>
        <w:r>
          <w:fldChar w:fldCharType="begin"/>
        </w:r>
        <w:r>
          <w:instrText xml:space="preserve"> PAGE   \* MERGEFORMAT </w:instrText>
        </w:r>
        <w:r>
          <w:fldChar w:fldCharType="separate"/>
        </w:r>
        <w:r w:rsidR="00061DD4">
          <w:rPr>
            <w:noProof/>
          </w:rPr>
          <w:t>30</w:t>
        </w:r>
        <w:r>
          <w:rPr>
            <w:noProof/>
          </w:rPr>
          <w:fldChar w:fldCharType="end"/>
        </w:r>
      </w:p>
      <w:p w14:paraId="1A2BCE82" w14:textId="77777777" w:rsidR="00CC34EB" w:rsidRDefault="00EB772C">
        <w:pPr>
          <w:pStyle w:val="Header"/>
          <w:jc w:val="center"/>
        </w:pPr>
      </w:p>
    </w:sdtContent>
  </w:sdt>
  <w:p w14:paraId="1D9DFF89" w14:textId="77777777" w:rsidR="00CC34EB" w:rsidRDefault="00CC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1057022D"/>
    <w:multiLevelType w:val="multilevel"/>
    <w:tmpl w:val="12CA164C"/>
    <w:lvl w:ilvl="0">
      <w:start w:val="1"/>
      <w:numFmt w:val="decimal"/>
      <w:pStyle w:val="Indent"/>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4"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6"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12"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4"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15"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8"/>
  </w:num>
  <w:num w:numId="10">
    <w:abstractNumId w:val="10"/>
  </w:num>
  <w:num w:numId="11">
    <w:abstractNumId w:val="12"/>
  </w:num>
  <w:num w:numId="12">
    <w:abstractNumId w:val="9"/>
  </w:num>
  <w:num w:numId="13">
    <w:abstractNumId w:val="0"/>
  </w:num>
  <w:num w:numId="14">
    <w:abstractNumId w:val="11"/>
  </w:num>
  <w:num w:numId="15">
    <w:abstractNumId w:val="15"/>
  </w:num>
  <w:num w:numId="16">
    <w:abstractNumId w:val="7"/>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17"/>
    <w:rsid w:val="00000B51"/>
    <w:rsid w:val="000036DC"/>
    <w:rsid w:val="00005071"/>
    <w:rsid w:val="00006D75"/>
    <w:rsid w:val="00013159"/>
    <w:rsid w:val="00013828"/>
    <w:rsid w:val="00022F2B"/>
    <w:rsid w:val="00027707"/>
    <w:rsid w:val="00030801"/>
    <w:rsid w:val="000309D1"/>
    <w:rsid w:val="00034C30"/>
    <w:rsid w:val="000413C6"/>
    <w:rsid w:val="00042462"/>
    <w:rsid w:val="00043456"/>
    <w:rsid w:val="00050546"/>
    <w:rsid w:val="00050CB2"/>
    <w:rsid w:val="00061DD4"/>
    <w:rsid w:val="000633E6"/>
    <w:rsid w:val="00066329"/>
    <w:rsid w:val="0006790C"/>
    <w:rsid w:val="00072C59"/>
    <w:rsid w:val="000733E2"/>
    <w:rsid w:val="00073600"/>
    <w:rsid w:val="00074EC4"/>
    <w:rsid w:val="00081A1A"/>
    <w:rsid w:val="00084528"/>
    <w:rsid w:val="000952A1"/>
    <w:rsid w:val="0009619E"/>
    <w:rsid w:val="00096674"/>
    <w:rsid w:val="000A17B0"/>
    <w:rsid w:val="000A569F"/>
    <w:rsid w:val="000B1280"/>
    <w:rsid w:val="000B2D96"/>
    <w:rsid w:val="000B5D7B"/>
    <w:rsid w:val="000C644E"/>
    <w:rsid w:val="000C6DFA"/>
    <w:rsid w:val="000C7F8B"/>
    <w:rsid w:val="000D37B6"/>
    <w:rsid w:val="000D3BCB"/>
    <w:rsid w:val="000D3ED5"/>
    <w:rsid w:val="000E4DAB"/>
    <w:rsid w:val="000F1D4E"/>
    <w:rsid w:val="000F4A64"/>
    <w:rsid w:val="000F53D1"/>
    <w:rsid w:val="000F651C"/>
    <w:rsid w:val="000F7427"/>
    <w:rsid w:val="00101D55"/>
    <w:rsid w:val="0010425B"/>
    <w:rsid w:val="001047CF"/>
    <w:rsid w:val="00107604"/>
    <w:rsid w:val="00110047"/>
    <w:rsid w:val="00114C78"/>
    <w:rsid w:val="00114FC2"/>
    <w:rsid w:val="001206E9"/>
    <w:rsid w:val="001226BB"/>
    <w:rsid w:val="00123728"/>
    <w:rsid w:val="00131E0E"/>
    <w:rsid w:val="00134AA0"/>
    <w:rsid w:val="001356F3"/>
    <w:rsid w:val="0013584A"/>
    <w:rsid w:val="00135E37"/>
    <w:rsid w:val="00136B08"/>
    <w:rsid w:val="00140ED4"/>
    <w:rsid w:val="0014164A"/>
    <w:rsid w:val="001435D7"/>
    <w:rsid w:val="00146CBA"/>
    <w:rsid w:val="001477EC"/>
    <w:rsid w:val="00150061"/>
    <w:rsid w:val="00152C73"/>
    <w:rsid w:val="00155981"/>
    <w:rsid w:val="0015744E"/>
    <w:rsid w:val="00157ADF"/>
    <w:rsid w:val="001624F2"/>
    <w:rsid w:val="00162F9C"/>
    <w:rsid w:val="00163B86"/>
    <w:rsid w:val="001664B0"/>
    <w:rsid w:val="00171847"/>
    <w:rsid w:val="00175348"/>
    <w:rsid w:val="00185D78"/>
    <w:rsid w:val="00190A4F"/>
    <w:rsid w:val="001A69C7"/>
    <w:rsid w:val="001A75CD"/>
    <w:rsid w:val="001B07F4"/>
    <w:rsid w:val="001B1010"/>
    <w:rsid w:val="001B5DAC"/>
    <w:rsid w:val="001C2696"/>
    <w:rsid w:val="001C648E"/>
    <w:rsid w:val="001C686D"/>
    <w:rsid w:val="001D3D4F"/>
    <w:rsid w:val="001D41D1"/>
    <w:rsid w:val="001D4298"/>
    <w:rsid w:val="001D52D8"/>
    <w:rsid w:val="001D719B"/>
    <w:rsid w:val="001E03D4"/>
    <w:rsid w:val="001E256F"/>
    <w:rsid w:val="001E2685"/>
    <w:rsid w:val="001E4C66"/>
    <w:rsid w:val="001E5EB4"/>
    <w:rsid w:val="001E68AE"/>
    <w:rsid w:val="001F044B"/>
    <w:rsid w:val="001F1837"/>
    <w:rsid w:val="001F4AA4"/>
    <w:rsid w:val="00201123"/>
    <w:rsid w:val="00201AF2"/>
    <w:rsid w:val="00202660"/>
    <w:rsid w:val="0020776E"/>
    <w:rsid w:val="002122ED"/>
    <w:rsid w:val="00213AA1"/>
    <w:rsid w:val="00214580"/>
    <w:rsid w:val="00225130"/>
    <w:rsid w:val="00227B66"/>
    <w:rsid w:val="00233130"/>
    <w:rsid w:val="00237D99"/>
    <w:rsid w:val="00243CAF"/>
    <w:rsid w:val="002440E3"/>
    <w:rsid w:val="002441D3"/>
    <w:rsid w:val="00263471"/>
    <w:rsid w:val="00263F5E"/>
    <w:rsid w:val="002650D6"/>
    <w:rsid w:val="00265676"/>
    <w:rsid w:val="00267A86"/>
    <w:rsid w:val="00273FDC"/>
    <w:rsid w:val="0027463B"/>
    <w:rsid w:val="002751C2"/>
    <w:rsid w:val="00281683"/>
    <w:rsid w:val="00287E7C"/>
    <w:rsid w:val="00287E9F"/>
    <w:rsid w:val="0029062F"/>
    <w:rsid w:val="00291E45"/>
    <w:rsid w:val="0029250F"/>
    <w:rsid w:val="002930B2"/>
    <w:rsid w:val="00293AA9"/>
    <w:rsid w:val="002944F0"/>
    <w:rsid w:val="00294FB1"/>
    <w:rsid w:val="00297DE3"/>
    <w:rsid w:val="002A1540"/>
    <w:rsid w:val="002A18EB"/>
    <w:rsid w:val="002A3DFA"/>
    <w:rsid w:val="002B6CA1"/>
    <w:rsid w:val="002B722F"/>
    <w:rsid w:val="002C1545"/>
    <w:rsid w:val="002C2076"/>
    <w:rsid w:val="002C2FDB"/>
    <w:rsid w:val="002C3974"/>
    <w:rsid w:val="002C6183"/>
    <w:rsid w:val="002C6694"/>
    <w:rsid w:val="002C71D8"/>
    <w:rsid w:val="002C78FD"/>
    <w:rsid w:val="002D090F"/>
    <w:rsid w:val="002E25D0"/>
    <w:rsid w:val="002E3181"/>
    <w:rsid w:val="002F1C9C"/>
    <w:rsid w:val="002F35E3"/>
    <w:rsid w:val="002F648F"/>
    <w:rsid w:val="00300131"/>
    <w:rsid w:val="00300D21"/>
    <w:rsid w:val="00301C94"/>
    <w:rsid w:val="003028A5"/>
    <w:rsid w:val="00303261"/>
    <w:rsid w:val="00304754"/>
    <w:rsid w:val="00305AC6"/>
    <w:rsid w:val="00305C9E"/>
    <w:rsid w:val="00306F0A"/>
    <w:rsid w:val="00312ABF"/>
    <w:rsid w:val="00313FF0"/>
    <w:rsid w:val="00315E14"/>
    <w:rsid w:val="00317C05"/>
    <w:rsid w:val="0032067C"/>
    <w:rsid w:val="003207B3"/>
    <w:rsid w:val="00322364"/>
    <w:rsid w:val="00323F46"/>
    <w:rsid w:val="00324AC1"/>
    <w:rsid w:val="003315E1"/>
    <w:rsid w:val="00335840"/>
    <w:rsid w:val="003370EE"/>
    <w:rsid w:val="003401BD"/>
    <w:rsid w:val="00345545"/>
    <w:rsid w:val="00363C53"/>
    <w:rsid w:val="0036664D"/>
    <w:rsid w:val="00377EF5"/>
    <w:rsid w:val="0038123F"/>
    <w:rsid w:val="00382328"/>
    <w:rsid w:val="003831C0"/>
    <w:rsid w:val="003868E0"/>
    <w:rsid w:val="00386CBB"/>
    <w:rsid w:val="00386CF6"/>
    <w:rsid w:val="00387263"/>
    <w:rsid w:val="00387C80"/>
    <w:rsid w:val="00391362"/>
    <w:rsid w:val="003974EF"/>
    <w:rsid w:val="00397CA3"/>
    <w:rsid w:val="00397E16"/>
    <w:rsid w:val="003A1A70"/>
    <w:rsid w:val="003A3A3E"/>
    <w:rsid w:val="003B3C1A"/>
    <w:rsid w:val="003B5284"/>
    <w:rsid w:val="003C0D3A"/>
    <w:rsid w:val="003C7AF3"/>
    <w:rsid w:val="003D17B4"/>
    <w:rsid w:val="003D64BB"/>
    <w:rsid w:val="003D68D4"/>
    <w:rsid w:val="003D69CB"/>
    <w:rsid w:val="003D7C8B"/>
    <w:rsid w:val="003E04FB"/>
    <w:rsid w:val="003E2973"/>
    <w:rsid w:val="003E2FBD"/>
    <w:rsid w:val="003F0BC0"/>
    <w:rsid w:val="003F2B58"/>
    <w:rsid w:val="003F41F0"/>
    <w:rsid w:val="003F5965"/>
    <w:rsid w:val="00400342"/>
    <w:rsid w:val="00401A0F"/>
    <w:rsid w:val="00401FC4"/>
    <w:rsid w:val="004116B1"/>
    <w:rsid w:val="004153A5"/>
    <w:rsid w:val="00416496"/>
    <w:rsid w:val="004214EF"/>
    <w:rsid w:val="00425E6A"/>
    <w:rsid w:val="004348BD"/>
    <w:rsid w:val="00437B2C"/>
    <w:rsid w:val="004429CE"/>
    <w:rsid w:val="00445736"/>
    <w:rsid w:val="0045128A"/>
    <w:rsid w:val="004536BE"/>
    <w:rsid w:val="004568E6"/>
    <w:rsid w:val="00457904"/>
    <w:rsid w:val="004609AD"/>
    <w:rsid w:val="00462B15"/>
    <w:rsid w:val="00465779"/>
    <w:rsid w:val="004748F3"/>
    <w:rsid w:val="0047785C"/>
    <w:rsid w:val="0048439D"/>
    <w:rsid w:val="004846D1"/>
    <w:rsid w:val="00484F67"/>
    <w:rsid w:val="004928B5"/>
    <w:rsid w:val="004A1490"/>
    <w:rsid w:val="004A33AD"/>
    <w:rsid w:val="004A6929"/>
    <w:rsid w:val="004B3ABA"/>
    <w:rsid w:val="004B584A"/>
    <w:rsid w:val="004C17C6"/>
    <w:rsid w:val="004C3228"/>
    <w:rsid w:val="004C448B"/>
    <w:rsid w:val="004D0E50"/>
    <w:rsid w:val="004D6741"/>
    <w:rsid w:val="004D6B34"/>
    <w:rsid w:val="004E238B"/>
    <w:rsid w:val="004E320E"/>
    <w:rsid w:val="004E3D04"/>
    <w:rsid w:val="004F1F8D"/>
    <w:rsid w:val="004F7163"/>
    <w:rsid w:val="005011B8"/>
    <w:rsid w:val="00510081"/>
    <w:rsid w:val="00510D98"/>
    <w:rsid w:val="00512E46"/>
    <w:rsid w:val="005138AD"/>
    <w:rsid w:val="00514564"/>
    <w:rsid w:val="005177E3"/>
    <w:rsid w:val="00524CAA"/>
    <w:rsid w:val="00526A82"/>
    <w:rsid w:val="00532EE9"/>
    <w:rsid w:val="00533CAD"/>
    <w:rsid w:val="0053492C"/>
    <w:rsid w:val="00541206"/>
    <w:rsid w:val="00541229"/>
    <w:rsid w:val="005448FC"/>
    <w:rsid w:val="00545AB4"/>
    <w:rsid w:val="00545BD2"/>
    <w:rsid w:val="0055699F"/>
    <w:rsid w:val="00560ECD"/>
    <w:rsid w:val="00565386"/>
    <w:rsid w:val="00565D87"/>
    <w:rsid w:val="00566341"/>
    <w:rsid w:val="0057355B"/>
    <w:rsid w:val="00573DEC"/>
    <w:rsid w:val="00574158"/>
    <w:rsid w:val="00574ED8"/>
    <w:rsid w:val="00580FDE"/>
    <w:rsid w:val="00584706"/>
    <w:rsid w:val="00584FBA"/>
    <w:rsid w:val="00585B3A"/>
    <w:rsid w:val="00585C16"/>
    <w:rsid w:val="00590CE3"/>
    <w:rsid w:val="0059123A"/>
    <w:rsid w:val="005A2220"/>
    <w:rsid w:val="005A3D28"/>
    <w:rsid w:val="005A6F8E"/>
    <w:rsid w:val="005B2541"/>
    <w:rsid w:val="005B3B13"/>
    <w:rsid w:val="005B47FC"/>
    <w:rsid w:val="005B5D94"/>
    <w:rsid w:val="005B64CD"/>
    <w:rsid w:val="005C7A27"/>
    <w:rsid w:val="005D5065"/>
    <w:rsid w:val="005D7F7B"/>
    <w:rsid w:val="005E19C0"/>
    <w:rsid w:val="005E6780"/>
    <w:rsid w:val="005F024F"/>
    <w:rsid w:val="005F481A"/>
    <w:rsid w:val="005F54C0"/>
    <w:rsid w:val="005F6CEB"/>
    <w:rsid w:val="005F7F9D"/>
    <w:rsid w:val="006023C9"/>
    <w:rsid w:val="00605101"/>
    <w:rsid w:val="00610AF7"/>
    <w:rsid w:val="0061570E"/>
    <w:rsid w:val="00617261"/>
    <w:rsid w:val="00621DDA"/>
    <w:rsid w:val="006266F7"/>
    <w:rsid w:val="00627B69"/>
    <w:rsid w:val="00632E58"/>
    <w:rsid w:val="00633D4E"/>
    <w:rsid w:val="006354B6"/>
    <w:rsid w:val="006369E5"/>
    <w:rsid w:val="00636DD3"/>
    <w:rsid w:val="00643885"/>
    <w:rsid w:val="00656826"/>
    <w:rsid w:val="006578F2"/>
    <w:rsid w:val="00657C00"/>
    <w:rsid w:val="0066162E"/>
    <w:rsid w:val="00661893"/>
    <w:rsid w:val="006628F0"/>
    <w:rsid w:val="00666DDC"/>
    <w:rsid w:val="006767A0"/>
    <w:rsid w:val="006806ED"/>
    <w:rsid w:val="0068767F"/>
    <w:rsid w:val="00691758"/>
    <w:rsid w:val="00691837"/>
    <w:rsid w:val="00695B92"/>
    <w:rsid w:val="006A188A"/>
    <w:rsid w:val="006A1C99"/>
    <w:rsid w:val="006A3026"/>
    <w:rsid w:val="006A4AA8"/>
    <w:rsid w:val="006B737F"/>
    <w:rsid w:val="006C0416"/>
    <w:rsid w:val="006C37DC"/>
    <w:rsid w:val="006C47BA"/>
    <w:rsid w:val="006C5988"/>
    <w:rsid w:val="006C6384"/>
    <w:rsid w:val="006D28DC"/>
    <w:rsid w:val="006D2C1D"/>
    <w:rsid w:val="006E2294"/>
    <w:rsid w:val="006E53C6"/>
    <w:rsid w:val="006E62C6"/>
    <w:rsid w:val="006E7535"/>
    <w:rsid w:val="006F5E01"/>
    <w:rsid w:val="00703C42"/>
    <w:rsid w:val="00705BB7"/>
    <w:rsid w:val="007100D5"/>
    <w:rsid w:val="00715BD0"/>
    <w:rsid w:val="00716987"/>
    <w:rsid w:val="00720CA5"/>
    <w:rsid w:val="00723BCA"/>
    <w:rsid w:val="0072458D"/>
    <w:rsid w:val="0073549B"/>
    <w:rsid w:val="0074165F"/>
    <w:rsid w:val="00746FCD"/>
    <w:rsid w:val="00747737"/>
    <w:rsid w:val="007571FE"/>
    <w:rsid w:val="0077344B"/>
    <w:rsid w:val="0077428B"/>
    <w:rsid w:val="007746D3"/>
    <w:rsid w:val="00782B05"/>
    <w:rsid w:val="00784D5D"/>
    <w:rsid w:val="00785389"/>
    <w:rsid w:val="00786A8B"/>
    <w:rsid w:val="00787C2C"/>
    <w:rsid w:val="00790A5E"/>
    <w:rsid w:val="007967BD"/>
    <w:rsid w:val="007B2F9C"/>
    <w:rsid w:val="007B4695"/>
    <w:rsid w:val="007B5138"/>
    <w:rsid w:val="007B7D71"/>
    <w:rsid w:val="007C4050"/>
    <w:rsid w:val="007C620D"/>
    <w:rsid w:val="007D090B"/>
    <w:rsid w:val="007D2DF5"/>
    <w:rsid w:val="007E019C"/>
    <w:rsid w:val="007E0A01"/>
    <w:rsid w:val="007E7797"/>
    <w:rsid w:val="007E7EFB"/>
    <w:rsid w:val="007F01A5"/>
    <w:rsid w:val="007F0A3D"/>
    <w:rsid w:val="007F46C9"/>
    <w:rsid w:val="007F6A06"/>
    <w:rsid w:val="008001A6"/>
    <w:rsid w:val="00804A2E"/>
    <w:rsid w:val="0080717D"/>
    <w:rsid w:val="0081021D"/>
    <w:rsid w:val="008109A0"/>
    <w:rsid w:val="008117EA"/>
    <w:rsid w:val="00811E6B"/>
    <w:rsid w:val="0081556A"/>
    <w:rsid w:val="00815E05"/>
    <w:rsid w:val="00820348"/>
    <w:rsid w:val="008221F5"/>
    <w:rsid w:val="00826444"/>
    <w:rsid w:val="00826978"/>
    <w:rsid w:val="00826D37"/>
    <w:rsid w:val="00832A22"/>
    <w:rsid w:val="008371B0"/>
    <w:rsid w:val="00840050"/>
    <w:rsid w:val="0084035F"/>
    <w:rsid w:val="008442AC"/>
    <w:rsid w:val="00851B08"/>
    <w:rsid w:val="0085228A"/>
    <w:rsid w:val="00855B2E"/>
    <w:rsid w:val="008566DC"/>
    <w:rsid w:val="00856C0B"/>
    <w:rsid w:val="00856E63"/>
    <w:rsid w:val="00857F8F"/>
    <w:rsid w:val="008615F0"/>
    <w:rsid w:val="008705B3"/>
    <w:rsid w:val="008748E9"/>
    <w:rsid w:val="00874F12"/>
    <w:rsid w:val="00876724"/>
    <w:rsid w:val="0088384C"/>
    <w:rsid w:val="00890432"/>
    <w:rsid w:val="008915F5"/>
    <w:rsid w:val="008925B1"/>
    <w:rsid w:val="00896DE9"/>
    <w:rsid w:val="008A38C5"/>
    <w:rsid w:val="008A6649"/>
    <w:rsid w:val="008A6664"/>
    <w:rsid w:val="008B1429"/>
    <w:rsid w:val="008B3BBC"/>
    <w:rsid w:val="008C28CA"/>
    <w:rsid w:val="008D2D79"/>
    <w:rsid w:val="008D2DD4"/>
    <w:rsid w:val="008D3171"/>
    <w:rsid w:val="008D4475"/>
    <w:rsid w:val="008E1CBE"/>
    <w:rsid w:val="008E5030"/>
    <w:rsid w:val="008E7352"/>
    <w:rsid w:val="008F0FA1"/>
    <w:rsid w:val="008F1271"/>
    <w:rsid w:val="008F7DF3"/>
    <w:rsid w:val="00913213"/>
    <w:rsid w:val="00913544"/>
    <w:rsid w:val="00916000"/>
    <w:rsid w:val="00920C13"/>
    <w:rsid w:val="00924657"/>
    <w:rsid w:val="0092541F"/>
    <w:rsid w:val="00926603"/>
    <w:rsid w:val="009277E8"/>
    <w:rsid w:val="009301AC"/>
    <w:rsid w:val="00930FC3"/>
    <w:rsid w:val="00934C98"/>
    <w:rsid w:val="00935FE8"/>
    <w:rsid w:val="00936B81"/>
    <w:rsid w:val="00940646"/>
    <w:rsid w:val="00946E35"/>
    <w:rsid w:val="0095038D"/>
    <w:rsid w:val="00952A79"/>
    <w:rsid w:val="00953017"/>
    <w:rsid w:val="0095458D"/>
    <w:rsid w:val="009550D8"/>
    <w:rsid w:val="00955AE9"/>
    <w:rsid w:val="0095793F"/>
    <w:rsid w:val="00963053"/>
    <w:rsid w:val="009634C5"/>
    <w:rsid w:val="00964590"/>
    <w:rsid w:val="00967B21"/>
    <w:rsid w:val="00971D1D"/>
    <w:rsid w:val="00972737"/>
    <w:rsid w:val="009760D6"/>
    <w:rsid w:val="00977986"/>
    <w:rsid w:val="009779F2"/>
    <w:rsid w:val="009825E8"/>
    <w:rsid w:val="00983E4A"/>
    <w:rsid w:val="00991469"/>
    <w:rsid w:val="00992407"/>
    <w:rsid w:val="00994D06"/>
    <w:rsid w:val="0099540D"/>
    <w:rsid w:val="00997FD1"/>
    <w:rsid w:val="009A0C4B"/>
    <w:rsid w:val="009A4C27"/>
    <w:rsid w:val="009A679C"/>
    <w:rsid w:val="009A77CE"/>
    <w:rsid w:val="009A7A47"/>
    <w:rsid w:val="009B1D55"/>
    <w:rsid w:val="009C05AB"/>
    <w:rsid w:val="009C0F88"/>
    <w:rsid w:val="009D101F"/>
    <w:rsid w:val="009D3DC1"/>
    <w:rsid w:val="009D4FF3"/>
    <w:rsid w:val="009D6F42"/>
    <w:rsid w:val="009F01A0"/>
    <w:rsid w:val="009F5EF5"/>
    <w:rsid w:val="009F6615"/>
    <w:rsid w:val="009F7732"/>
    <w:rsid w:val="00A027C7"/>
    <w:rsid w:val="00A0288F"/>
    <w:rsid w:val="00A038A6"/>
    <w:rsid w:val="00A06374"/>
    <w:rsid w:val="00A100A7"/>
    <w:rsid w:val="00A12420"/>
    <w:rsid w:val="00A13CA4"/>
    <w:rsid w:val="00A157E6"/>
    <w:rsid w:val="00A20807"/>
    <w:rsid w:val="00A22D83"/>
    <w:rsid w:val="00A231B1"/>
    <w:rsid w:val="00A30A30"/>
    <w:rsid w:val="00A31FA9"/>
    <w:rsid w:val="00A3228B"/>
    <w:rsid w:val="00A32E5F"/>
    <w:rsid w:val="00A335AF"/>
    <w:rsid w:val="00A35EE4"/>
    <w:rsid w:val="00A36080"/>
    <w:rsid w:val="00A363AD"/>
    <w:rsid w:val="00A37E01"/>
    <w:rsid w:val="00A4280A"/>
    <w:rsid w:val="00A46078"/>
    <w:rsid w:val="00A4617C"/>
    <w:rsid w:val="00A47250"/>
    <w:rsid w:val="00A5018A"/>
    <w:rsid w:val="00A5451E"/>
    <w:rsid w:val="00A64957"/>
    <w:rsid w:val="00A65C74"/>
    <w:rsid w:val="00A6624E"/>
    <w:rsid w:val="00A67E16"/>
    <w:rsid w:val="00A71009"/>
    <w:rsid w:val="00A73F9B"/>
    <w:rsid w:val="00A744ED"/>
    <w:rsid w:val="00A7511E"/>
    <w:rsid w:val="00A765E1"/>
    <w:rsid w:val="00A831CA"/>
    <w:rsid w:val="00A83DDE"/>
    <w:rsid w:val="00A8434B"/>
    <w:rsid w:val="00A96869"/>
    <w:rsid w:val="00AA2F50"/>
    <w:rsid w:val="00AA3000"/>
    <w:rsid w:val="00AA44F6"/>
    <w:rsid w:val="00AA4CC3"/>
    <w:rsid w:val="00AA7CBD"/>
    <w:rsid w:val="00AB392F"/>
    <w:rsid w:val="00AB5C59"/>
    <w:rsid w:val="00AC09A7"/>
    <w:rsid w:val="00AC30C1"/>
    <w:rsid w:val="00AC5332"/>
    <w:rsid w:val="00AD0B3D"/>
    <w:rsid w:val="00AD2E96"/>
    <w:rsid w:val="00AD3327"/>
    <w:rsid w:val="00AE2D42"/>
    <w:rsid w:val="00AE6AE3"/>
    <w:rsid w:val="00AE6FCA"/>
    <w:rsid w:val="00AF3219"/>
    <w:rsid w:val="00AF3F09"/>
    <w:rsid w:val="00AF5F95"/>
    <w:rsid w:val="00B107BD"/>
    <w:rsid w:val="00B11D8A"/>
    <w:rsid w:val="00B149BE"/>
    <w:rsid w:val="00B173F4"/>
    <w:rsid w:val="00B21824"/>
    <w:rsid w:val="00B23675"/>
    <w:rsid w:val="00B247CF"/>
    <w:rsid w:val="00B25D0A"/>
    <w:rsid w:val="00B25D1A"/>
    <w:rsid w:val="00B34825"/>
    <w:rsid w:val="00B35F1B"/>
    <w:rsid w:val="00B40104"/>
    <w:rsid w:val="00B47316"/>
    <w:rsid w:val="00B51B59"/>
    <w:rsid w:val="00B51D5B"/>
    <w:rsid w:val="00B53512"/>
    <w:rsid w:val="00B54836"/>
    <w:rsid w:val="00B55450"/>
    <w:rsid w:val="00B57673"/>
    <w:rsid w:val="00B57C72"/>
    <w:rsid w:val="00B628F7"/>
    <w:rsid w:val="00B64501"/>
    <w:rsid w:val="00B66EC7"/>
    <w:rsid w:val="00B77EEA"/>
    <w:rsid w:val="00B77FC4"/>
    <w:rsid w:val="00B807C4"/>
    <w:rsid w:val="00B815CD"/>
    <w:rsid w:val="00B874F1"/>
    <w:rsid w:val="00B877EF"/>
    <w:rsid w:val="00B9574D"/>
    <w:rsid w:val="00B964CB"/>
    <w:rsid w:val="00B97263"/>
    <w:rsid w:val="00BA08D5"/>
    <w:rsid w:val="00BA44A5"/>
    <w:rsid w:val="00BA6A5A"/>
    <w:rsid w:val="00BB06C6"/>
    <w:rsid w:val="00BB117B"/>
    <w:rsid w:val="00BB16BA"/>
    <w:rsid w:val="00BB5BB5"/>
    <w:rsid w:val="00BC2977"/>
    <w:rsid w:val="00BC49DF"/>
    <w:rsid w:val="00BC6C45"/>
    <w:rsid w:val="00BD11A9"/>
    <w:rsid w:val="00BD1A23"/>
    <w:rsid w:val="00BD1FCC"/>
    <w:rsid w:val="00BD23CC"/>
    <w:rsid w:val="00BD3FA4"/>
    <w:rsid w:val="00BD6342"/>
    <w:rsid w:val="00BE13C2"/>
    <w:rsid w:val="00BE3593"/>
    <w:rsid w:val="00BE4094"/>
    <w:rsid w:val="00BE7CAA"/>
    <w:rsid w:val="00BF25F5"/>
    <w:rsid w:val="00BF5BD4"/>
    <w:rsid w:val="00BF5C0C"/>
    <w:rsid w:val="00BF6435"/>
    <w:rsid w:val="00C02D91"/>
    <w:rsid w:val="00C031DF"/>
    <w:rsid w:val="00C05FB1"/>
    <w:rsid w:val="00C13AE9"/>
    <w:rsid w:val="00C16361"/>
    <w:rsid w:val="00C169BE"/>
    <w:rsid w:val="00C21DA0"/>
    <w:rsid w:val="00C235EC"/>
    <w:rsid w:val="00C240A5"/>
    <w:rsid w:val="00C26A75"/>
    <w:rsid w:val="00C272E5"/>
    <w:rsid w:val="00C3621E"/>
    <w:rsid w:val="00C36302"/>
    <w:rsid w:val="00C37F9F"/>
    <w:rsid w:val="00C40125"/>
    <w:rsid w:val="00C4074B"/>
    <w:rsid w:val="00C40884"/>
    <w:rsid w:val="00C4202A"/>
    <w:rsid w:val="00C4685D"/>
    <w:rsid w:val="00C540B7"/>
    <w:rsid w:val="00C57257"/>
    <w:rsid w:val="00C57A59"/>
    <w:rsid w:val="00C61B9B"/>
    <w:rsid w:val="00C626C0"/>
    <w:rsid w:val="00C63D8D"/>
    <w:rsid w:val="00C66BCC"/>
    <w:rsid w:val="00C67A4B"/>
    <w:rsid w:val="00C90423"/>
    <w:rsid w:val="00CA049F"/>
    <w:rsid w:val="00CA7DFE"/>
    <w:rsid w:val="00CB14BB"/>
    <w:rsid w:val="00CC34EB"/>
    <w:rsid w:val="00CC3626"/>
    <w:rsid w:val="00CC40CF"/>
    <w:rsid w:val="00CC43A0"/>
    <w:rsid w:val="00CC574A"/>
    <w:rsid w:val="00CC79D8"/>
    <w:rsid w:val="00CD040F"/>
    <w:rsid w:val="00CD05FE"/>
    <w:rsid w:val="00CD1E2B"/>
    <w:rsid w:val="00CD1EC8"/>
    <w:rsid w:val="00CE183D"/>
    <w:rsid w:val="00CE5C46"/>
    <w:rsid w:val="00CF7DBF"/>
    <w:rsid w:val="00D06143"/>
    <w:rsid w:val="00D12C4A"/>
    <w:rsid w:val="00D136E5"/>
    <w:rsid w:val="00D1534A"/>
    <w:rsid w:val="00D16AA1"/>
    <w:rsid w:val="00D21787"/>
    <w:rsid w:val="00D2666C"/>
    <w:rsid w:val="00D27D47"/>
    <w:rsid w:val="00D31E76"/>
    <w:rsid w:val="00D37D16"/>
    <w:rsid w:val="00D40798"/>
    <w:rsid w:val="00D43074"/>
    <w:rsid w:val="00D519AB"/>
    <w:rsid w:val="00D53C73"/>
    <w:rsid w:val="00D56006"/>
    <w:rsid w:val="00D56765"/>
    <w:rsid w:val="00D56F05"/>
    <w:rsid w:val="00D570D3"/>
    <w:rsid w:val="00D576B7"/>
    <w:rsid w:val="00D57DC9"/>
    <w:rsid w:val="00D616A9"/>
    <w:rsid w:val="00D624FF"/>
    <w:rsid w:val="00D63CB6"/>
    <w:rsid w:val="00D649E4"/>
    <w:rsid w:val="00D65AB0"/>
    <w:rsid w:val="00D70436"/>
    <w:rsid w:val="00D71DEA"/>
    <w:rsid w:val="00D73478"/>
    <w:rsid w:val="00D76391"/>
    <w:rsid w:val="00D773F5"/>
    <w:rsid w:val="00D82614"/>
    <w:rsid w:val="00D83C22"/>
    <w:rsid w:val="00D96A2A"/>
    <w:rsid w:val="00DA42F6"/>
    <w:rsid w:val="00DA593D"/>
    <w:rsid w:val="00DB0EAB"/>
    <w:rsid w:val="00DB5DFF"/>
    <w:rsid w:val="00DB696A"/>
    <w:rsid w:val="00DC27E8"/>
    <w:rsid w:val="00DC2B88"/>
    <w:rsid w:val="00DC2CC2"/>
    <w:rsid w:val="00DC4B54"/>
    <w:rsid w:val="00DC5E44"/>
    <w:rsid w:val="00DC7144"/>
    <w:rsid w:val="00DD2FA9"/>
    <w:rsid w:val="00DE1DF4"/>
    <w:rsid w:val="00DE2C40"/>
    <w:rsid w:val="00DE2F64"/>
    <w:rsid w:val="00DE7F68"/>
    <w:rsid w:val="00DF145E"/>
    <w:rsid w:val="00DF155D"/>
    <w:rsid w:val="00DF1EA3"/>
    <w:rsid w:val="00DF6DB0"/>
    <w:rsid w:val="00DF73BB"/>
    <w:rsid w:val="00E0094B"/>
    <w:rsid w:val="00E011F5"/>
    <w:rsid w:val="00E01415"/>
    <w:rsid w:val="00E0683D"/>
    <w:rsid w:val="00E074D0"/>
    <w:rsid w:val="00E113D6"/>
    <w:rsid w:val="00E11565"/>
    <w:rsid w:val="00E12DB4"/>
    <w:rsid w:val="00E31642"/>
    <w:rsid w:val="00E31DD5"/>
    <w:rsid w:val="00E346ED"/>
    <w:rsid w:val="00E34B60"/>
    <w:rsid w:val="00E359FC"/>
    <w:rsid w:val="00E374D0"/>
    <w:rsid w:val="00E375B6"/>
    <w:rsid w:val="00E4432D"/>
    <w:rsid w:val="00E465B9"/>
    <w:rsid w:val="00E478FD"/>
    <w:rsid w:val="00E507E9"/>
    <w:rsid w:val="00E53691"/>
    <w:rsid w:val="00E55518"/>
    <w:rsid w:val="00E5594F"/>
    <w:rsid w:val="00E62774"/>
    <w:rsid w:val="00E6482B"/>
    <w:rsid w:val="00E672F3"/>
    <w:rsid w:val="00E73E75"/>
    <w:rsid w:val="00E81123"/>
    <w:rsid w:val="00E8498D"/>
    <w:rsid w:val="00E909EB"/>
    <w:rsid w:val="00E91E52"/>
    <w:rsid w:val="00E97EF2"/>
    <w:rsid w:val="00EA1BD3"/>
    <w:rsid w:val="00EA2D84"/>
    <w:rsid w:val="00EB1EA5"/>
    <w:rsid w:val="00EB3C65"/>
    <w:rsid w:val="00EB45FD"/>
    <w:rsid w:val="00EB52CC"/>
    <w:rsid w:val="00EB54F9"/>
    <w:rsid w:val="00EB772C"/>
    <w:rsid w:val="00EC5E3B"/>
    <w:rsid w:val="00ED03AB"/>
    <w:rsid w:val="00ED07D7"/>
    <w:rsid w:val="00ED3ED5"/>
    <w:rsid w:val="00ED4F83"/>
    <w:rsid w:val="00ED648B"/>
    <w:rsid w:val="00EE0037"/>
    <w:rsid w:val="00EE28F0"/>
    <w:rsid w:val="00EE3AB8"/>
    <w:rsid w:val="00EF3517"/>
    <w:rsid w:val="00EF5C8E"/>
    <w:rsid w:val="00F05915"/>
    <w:rsid w:val="00F06C8A"/>
    <w:rsid w:val="00F10BEF"/>
    <w:rsid w:val="00F161FE"/>
    <w:rsid w:val="00F23A8C"/>
    <w:rsid w:val="00F23D63"/>
    <w:rsid w:val="00F25542"/>
    <w:rsid w:val="00F260CA"/>
    <w:rsid w:val="00F2711B"/>
    <w:rsid w:val="00F2736C"/>
    <w:rsid w:val="00F27743"/>
    <w:rsid w:val="00F335F7"/>
    <w:rsid w:val="00F46B89"/>
    <w:rsid w:val="00F50662"/>
    <w:rsid w:val="00F54AFD"/>
    <w:rsid w:val="00F5769F"/>
    <w:rsid w:val="00F633E6"/>
    <w:rsid w:val="00F70386"/>
    <w:rsid w:val="00F71A0F"/>
    <w:rsid w:val="00F71BDD"/>
    <w:rsid w:val="00F76DDB"/>
    <w:rsid w:val="00F81797"/>
    <w:rsid w:val="00F81831"/>
    <w:rsid w:val="00F81F21"/>
    <w:rsid w:val="00F83DCA"/>
    <w:rsid w:val="00F8522A"/>
    <w:rsid w:val="00F85D43"/>
    <w:rsid w:val="00F87916"/>
    <w:rsid w:val="00F93BAA"/>
    <w:rsid w:val="00FA1657"/>
    <w:rsid w:val="00FA4169"/>
    <w:rsid w:val="00FB117D"/>
    <w:rsid w:val="00FB25B4"/>
    <w:rsid w:val="00FB4618"/>
    <w:rsid w:val="00FB48A7"/>
    <w:rsid w:val="00FB6950"/>
    <w:rsid w:val="00FC3526"/>
    <w:rsid w:val="00FC63BE"/>
    <w:rsid w:val="00FC7AE0"/>
    <w:rsid w:val="00FC7B8E"/>
    <w:rsid w:val="00FC7CC0"/>
    <w:rsid w:val="00FD3ED4"/>
    <w:rsid w:val="00FD43BF"/>
    <w:rsid w:val="00FD6E47"/>
    <w:rsid w:val="00FD6F72"/>
    <w:rsid w:val="00FE011F"/>
    <w:rsid w:val="00FE158C"/>
    <w:rsid w:val="00FE6A8A"/>
    <w:rsid w:val="00FF0E63"/>
    <w:rsid w:val="00FF0FCA"/>
    <w:rsid w:val="00FF3840"/>
    <w:rsid w:val="00FF5A04"/>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rsid w:val="00006D75"/>
    <w:rPr>
      <w:rFonts w:ascii="Verdana" w:hAnsi="Verdana"/>
      <w:sz w:val="18"/>
      <w:szCs w:val="20"/>
    </w:rPr>
  </w:style>
  <w:style w:type="character" w:styleId="FootnoteReference">
    <w:name w:val="footnote reference"/>
    <w:basedOn w:val="DefaultParagraphFont"/>
    <w:unhideWhenUsed/>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numPr>
        <w:numId w:val="7"/>
      </w:num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footnoteanchor">
    <w:name w:val="footnoteanchor"/>
    <w:basedOn w:val="DefaultParagraphFont"/>
    <w:rsid w:val="00030801"/>
  </w:style>
  <w:style w:type="paragraph" w:styleId="NormalWeb">
    <w:name w:val="Normal (Web)"/>
    <w:basedOn w:val="Normal"/>
    <w:uiPriority w:val="99"/>
    <w:semiHidden/>
    <w:unhideWhenUsed/>
    <w:rsid w:val="0003080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casename">
    <w:name w:val="lrcasename"/>
    <w:basedOn w:val="Normal"/>
    <w:rsid w:val="00826D3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E6482B"/>
  </w:style>
  <w:style w:type="paragraph" w:customStyle="1" w:styleId="fnotetext">
    <w:name w:val="fnotetext"/>
    <w:basedOn w:val="Normal"/>
    <w:rsid w:val="00E6482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FA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a1st@icloud.com" TargetMode="External"/><Relationship Id="rId5" Type="http://schemas.openxmlformats.org/officeDocument/2006/relationships/webSettings" Target="webSettings.xml"/><Relationship Id="rId10" Type="http://schemas.openxmlformats.org/officeDocument/2006/relationships/hyperlink" Target="mailto:Sibusiso.mlangeni@za.andersen.com" TargetMode="External"/><Relationship Id="rId4" Type="http://schemas.openxmlformats.org/officeDocument/2006/relationships/settings" Target="settings.xml"/><Relationship Id="rId9" Type="http://schemas.openxmlformats.org/officeDocument/2006/relationships/hyperlink" Target="mailto:o.mokgotho@group621.co.z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5807-6EA7-47AF-868E-B6B23A55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30</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dc:creator>
  <cp:lastModifiedBy>Lazarus Rakgwale</cp:lastModifiedBy>
  <cp:revision>2</cp:revision>
  <cp:lastPrinted>2021-07-26T07:21:00Z</cp:lastPrinted>
  <dcterms:created xsi:type="dcterms:W3CDTF">2022-01-19T10:17:00Z</dcterms:created>
  <dcterms:modified xsi:type="dcterms:W3CDTF">2022-01-19T10:17:00Z</dcterms:modified>
</cp:coreProperties>
</file>