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E7D6" w14:textId="77777777" w:rsidR="00F04834" w:rsidRDefault="00F04834" w:rsidP="00F04834">
      <w:pPr>
        <w:spacing w:after="0" w:line="360" w:lineRule="auto"/>
        <w:rPr>
          <w:rFonts w:ascii="Century Gothic" w:hAnsi="Century Gothic"/>
          <w:b/>
          <w:sz w:val="24"/>
          <w:szCs w:val="24"/>
        </w:rPr>
      </w:pPr>
      <w:r>
        <w:rPr>
          <w:noProof/>
        </w:rPr>
        <w:drawing>
          <wp:anchor distT="0" distB="0" distL="114300" distR="114300" simplePos="0" relativeHeight="251659264" behindDoc="1" locked="0" layoutInCell="1" allowOverlap="1" wp14:anchorId="343CBE8B" wp14:editId="19669BFC">
            <wp:simplePos x="0" y="0"/>
            <wp:positionH relativeFrom="column">
              <wp:posOffset>2562225</wp:posOffset>
            </wp:positionH>
            <wp:positionV relativeFrom="paragraph">
              <wp:posOffset>130175</wp:posOffset>
            </wp:positionV>
            <wp:extent cx="1228725" cy="1171575"/>
            <wp:effectExtent l="19050" t="0" r="9525" b="0"/>
            <wp:wrapTight wrapText="bothSides">
              <wp:wrapPolygon edited="0">
                <wp:start x="-335" y="0"/>
                <wp:lineTo x="-335" y="21424"/>
                <wp:lineTo x="21767" y="21424"/>
                <wp:lineTo x="21767" y="0"/>
                <wp:lineTo x="-335" y="0"/>
              </wp:wrapPolygon>
            </wp:wrapTight>
            <wp:docPr id="2" name="Picture 1" descr="Description: Description: http://ocj000-intranet/assets/judiciary-logo---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ocj000-intranet/assets/judiciary-logo---seal-2.jpg"/>
                    <pic:cNvPicPr>
                      <a:picLocks noChangeAspect="1" noChangeArrowheads="1"/>
                    </pic:cNvPicPr>
                  </pic:nvPicPr>
                  <pic:blipFill>
                    <a:blip r:embed="rId8" cstate="print"/>
                    <a:srcRect/>
                    <a:stretch>
                      <a:fillRect/>
                    </a:stretch>
                  </pic:blipFill>
                  <pic:spPr bwMode="auto">
                    <a:xfrm>
                      <a:off x="0" y="0"/>
                      <a:ext cx="1228725" cy="1171575"/>
                    </a:xfrm>
                    <a:prstGeom prst="rect">
                      <a:avLst/>
                    </a:prstGeom>
                    <a:noFill/>
                    <a:ln w="9525">
                      <a:noFill/>
                      <a:miter lim="800000"/>
                      <a:headEnd/>
                      <a:tailEnd/>
                    </a:ln>
                  </pic:spPr>
                </pic:pic>
              </a:graphicData>
            </a:graphic>
          </wp:anchor>
        </w:drawing>
      </w:r>
    </w:p>
    <w:p w14:paraId="020BF54E" w14:textId="77777777" w:rsidR="00F04834" w:rsidRDefault="00F04834" w:rsidP="00F04834">
      <w:pPr>
        <w:spacing w:after="0" w:line="360" w:lineRule="auto"/>
        <w:jc w:val="center"/>
        <w:rPr>
          <w:rFonts w:ascii="Century Gothic" w:hAnsi="Century Gothic"/>
          <w:b/>
          <w:sz w:val="24"/>
          <w:szCs w:val="24"/>
        </w:rPr>
      </w:pPr>
    </w:p>
    <w:p w14:paraId="1FCE6EDB" w14:textId="77777777" w:rsidR="00F04834" w:rsidRDefault="00F04834" w:rsidP="00F04834">
      <w:pPr>
        <w:spacing w:after="0" w:line="360" w:lineRule="auto"/>
        <w:jc w:val="center"/>
        <w:rPr>
          <w:rFonts w:ascii="Century Gothic" w:hAnsi="Century Gothic"/>
          <w:b/>
          <w:sz w:val="24"/>
          <w:szCs w:val="24"/>
        </w:rPr>
      </w:pPr>
    </w:p>
    <w:p w14:paraId="4D7F7FE8" w14:textId="77777777" w:rsidR="00F04834" w:rsidRDefault="00F04834" w:rsidP="00F04834">
      <w:pPr>
        <w:spacing w:after="0" w:line="360" w:lineRule="auto"/>
        <w:jc w:val="center"/>
        <w:rPr>
          <w:rFonts w:ascii="Century Gothic" w:hAnsi="Century Gothic"/>
          <w:b/>
          <w:sz w:val="24"/>
          <w:szCs w:val="24"/>
        </w:rPr>
      </w:pPr>
    </w:p>
    <w:p w14:paraId="2F5AC88A" w14:textId="77777777" w:rsidR="00F04834" w:rsidRDefault="00F04834" w:rsidP="00F04834">
      <w:pPr>
        <w:spacing w:after="0" w:line="360" w:lineRule="auto"/>
        <w:jc w:val="center"/>
        <w:rPr>
          <w:rFonts w:ascii="Century Gothic" w:hAnsi="Century Gothic"/>
          <w:b/>
          <w:sz w:val="24"/>
          <w:szCs w:val="24"/>
        </w:rPr>
      </w:pPr>
    </w:p>
    <w:p w14:paraId="48CC2721" w14:textId="77777777" w:rsidR="00F04834" w:rsidRPr="00D8674A" w:rsidRDefault="00F04834" w:rsidP="00F04834">
      <w:pPr>
        <w:spacing w:after="0" w:line="360" w:lineRule="auto"/>
        <w:jc w:val="center"/>
        <w:rPr>
          <w:rFonts w:ascii="Century Gothic" w:hAnsi="Century Gothic"/>
          <w:b/>
          <w:sz w:val="24"/>
          <w:szCs w:val="24"/>
        </w:rPr>
      </w:pPr>
      <w:r w:rsidRPr="00D8674A">
        <w:rPr>
          <w:rFonts w:ascii="Century Gothic" w:hAnsi="Century Gothic"/>
          <w:b/>
          <w:sz w:val="24"/>
          <w:szCs w:val="24"/>
        </w:rPr>
        <w:t>IN THE HIGH COURT OF SOUTH AFRICA</w:t>
      </w:r>
    </w:p>
    <w:p w14:paraId="5B060463" w14:textId="6CDE52CD" w:rsidR="00F04834" w:rsidRDefault="00F04834" w:rsidP="00F04834">
      <w:pPr>
        <w:spacing w:after="0" w:line="360" w:lineRule="auto"/>
        <w:jc w:val="center"/>
        <w:rPr>
          <w:rFonts w:ascii="Century Gothic" w:hAnsi="Century Gothic"/>
          <w:b/>
          <w:sz w:val="24"/>
          <w:szCs w:val="24"/>
        </w:rPr>
      </w:pPr>
      <w:r w:rsidRPr="00D8674A">
        <w:rPr>
          <w:rFonts w:ascii="Century Gothic" w:hAnsi="Century Gothic"/>
          <w:b/>
          <w:sz w:val="24"/>
          <w:szCs w:val="24"/>
        </w:rPr>
        <w:t>(GAUTENG</w:t>
      </w:r>
      <w:r w:rsidR="001F32A6">
        <w:rPr>
          <w:rFonts w:ascii="Century Gothic" w:hAnsi="Century Gothic"/>
          <w:b/>
          <w:sz w:val="24"/>
          <w:szCs w:val="24"/>
        </w:rPr>
        <w:t xml:space="preserve"> LOCAL</w:t>
      </w:r>
      <w:r w:rsidRPr="00D8674A">
        <w:rPr>
          <w:rFonts w:ascii="Century Gothic" w:hAnsi="Century Gothic"/>
          <w:b/>
          <w:sz w:val="24"/>
          <w:szCs w:val="24"/>
        </w:rPr>
        <w:t xml:space="preserve"> DIVISION, </w:t>
      </w:r>
      <w:r w:rsidR="001F32A6">
        <w:rPr>
          <w:rFonts w:ascii="Century Gothic" w:hAnsi="Century Gothic"/>
          <w:b/>
          <w:sz w:val="24"/>
          <w:szCs w:val="24"/>
        </w:rPr>
        <w:t>JOHANNESBURG</w:t>
      </w:r>
      <w:r w:rsidRPr="00D8674A">
        <w:rPr>
          <w:rFonts w:ascii="Century Gothic" w:hAnsi="Century Gothic"/>
          <w:b/>
          <w:sz w:val="24"/>
          <w:szCs w:val="24"/>
        </w:rPr>
        <w:t>)</w:t>
      </w:r>
    </w:p>
    <w:p w14:paraId="10E33D48" w14:textId="77777777" w:rsidR="00F04834" w:rsidRPr="00D8674A" w:rsidRDefault="00F04834" w:rsidP="00F04834">
      <w:pPr>
        <w:tabs>
          <w:tab w:val="left" w:pos="8146"/>
        </w:tabs>
        <w:spacing w:after="0" w:line="360" w:lineRule="auto"/>
        <w:rPr>
          <w:rFonts w:ascii="Century Gothic" w:hAnsi="Century Gothic"/>
          <w:b/>
          <w:sz w:val="24"/>
          <w:szCs w:val="24"/>
        </w:rPr>
      </w:pPr>
      <w:r>
        <w:rPr>
          <w:rFonts w:ascii="Century Gothic" w:hAnsi="Century Gothic"/>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F04834" w:rsidRPr="00E31F82" w14:paraId="745D80BA" w14:textId="77777777" w:rsidTr="009B7CB4">
        <w:tc>
          <w:tcPr>
            <w:tcW w:w="4503" w:type="dxa"/>
            <w:shd w:val="clear" w:color="auto" w:fill="auto"/>
          </w:tcPr>
          <w:p w14:paraId="78B2BB89" w14:textId="77777777" w:rsidR="00F04834" w:rsidRPr="00E31F82" w:rsidRDefault="00F04834" w:rsidP="009B7CB4">
            <w:pPr>
              <w:spacing w:after="0" w:line="360" w:lineRule="auto"/>
              <w:jc w:val="center"/>
              <w:rPr>
                <w:rFonts w:ascii="Times New Roman" w:eastAsia="Times New Roman" w:hAnsi="Times New Roman"/>
                <w:b/>
                <w:sz w:val="18"/>
                <w:szCs w:val="18"/>
              </w:rPr>
            </w:pPr>
            <w:r w:rsidRPr="00E31F82">
              <w:rPr>
                <w:rFonts w:ascii="Times New Roman" w:eastAsia="Times New Roman" w:hAnsi="Times New Roman"/>
                <w:b/>
                <w:sz w:val="18"/>
                <w:szCs w:val="18"/>
              </w:rPr>
              <w:t>DELETE WHICHEVER IS NOT APPLICABLE</w:t>
            </w:r>
          </w:p>
          <w:p w14:paraId="7BD16270" w14:textId="77777777" w:rsidR="00F04834" w:rsidRPr="00E31F82" w:rsidRDefault="00F04834" w:rsidP="009B7CB4">
            <w:pPr>
              <w:spacing w:after="0" w:line="360" w:lineRule="auto"/>
              <w:jc w:val="both"/>
              <w:rPr>
                <w:rFonts w:ascii="Times New Roman" w:eastAsia="Times New Roman" w:hAnsi="Times New Roman"/>
                <w:b/>
                <w:sz w:val="18"/>
                <w:szCs w:val="18"/>
              </w:rPr>
            </w:pPr>
            <w:r w:rsidRPr="00E31F82">
              <w:rPr>
                <w:rFonts w:ascii="Times New Roman" w:eastAsia="Times New Roman" w:hAnsi="Times New Roman"/>
                <w:b/>
                <w:sz w:val="18"/>
                <w:szCs w:val="18"/>
              </w:rPr>
              <w:t>(1) REPORTABLE:  YES / NO</w:t>
            </w:r>
          </w:p>
          <w:p w14:paraId="2ABA63A4" w14:textId="77777777" w:rsidR="00F04834" w:rsidRPr="00E31F82" w:rsidRDefault="00F04834" w:rsidP="009B7CB4">
            <w:pPr>
              <w:spacing w:after="0" w:line="360" w:lineRule="auto"/>
              <w:jc w:val="both"/>
              <w:rPr>
                <w:rFonts w:ascii="Times New Roman" w:eastAsia="Times New Roman" w:hAnsi="Times New Roman"/>
                <w:b/>
                <w:sz w:val="18"/>
                <w:szCs w:val="18"/>
              </w:rPr>
            </w:pPr>
            <w:r w:rsidRPr="00E31F82">
              <w:rPr>
                <w:rFonts w:ascii="Times New Roman" w:eastAsia="Times New Roman" w:hAnsi="Times New Roman"/>
                <w:b/>
                <w:sz w:val="18"/>
                <w:szCs w:val="18"/>
              </w:rPr>
              <w:t>(2) OF INTEREST TO OTHER JUDGES:  YES / NO</w:t>
            </w:r>
          </w:p>
          <w:p w14:paraId="4B8D5548" w14:textId="77777777" w:rsidR="00F04834" w:rsidRPr="00E31F82" w:rsidRDefault="00F04834" w:rsidP="009B7CB4">
            <w:pPr>
              <w:spacing w:after="0" w:line="360" w:lineRule="auto"/>
              <w:jc w:val="both"/>
              <w:rPr>
                <w:rFonts w:ascii="Times New Roman" w:eastAsia="Times New Roman" w:hAnsi="Times New Roman"/>
                <w:b/>
                <w:sz w:val="18"/>
                <w:szCs w:val="18"/>
              </w:rPr>
            </w:pPr>
            <w:r w:rsidRPr="00E31F82">
              <w:rPr>
                <w:rFonts w:ascii="Times New Roman" w:eastAsia="Times New Roman" w:hAnsi="Times New Roman"/>
                <w:b/>
                <w:sz w:val="18"/>
                <w:szCs w:val="18"/>
              </w:rPr>
              <w:t>(3) REVISED</w:t>
            </w:r>
          </w:p>
          <w:p w14:paraId="080D88AC" w14:textId="77777777" w:rsidR="00F04834" w:rsidRPr="00E31F82" w:rsidRDefault="00F04834" w:rsidP="009B7CB4">
            <w:pPr>
              <w:spacing w:after="0" w:line="360" w:lineRule="auto"/>
              <w:jc w:val="center"/>
              <w:rPr>
                <w:rFonts w:ascii="Times New Roman" w:eastAsia="Times New Roman" w:hAnsi="Times New Roman"/>
                <w:b/>
                <w:sz w:val="18"/>
                <w:szCs w:val="18"/>
              </w:rPr>
            </w:pPr>
          </w:p>
          <w:p w14:paraId="0A40D5FA" w14:textId="77777777" w:rsidR="00F04834" w:rsidRPr="00E31F82" w:rsidRDefault="00F04834" w:rsidP="009B7CB4">
            <w:pPr>
              <w:spacing w:after="0" w:line="360" w:lineRule="auto"/>
              <w:jc w:val="both"/>
              <w:rPr>
                <w:rFonts w:ascii="Times New Roman" w:eastAsia="Times New Roman" w:hAnsi="Times New Roman"/>
                <w:b/>
                <w:sz w:val="24"/>
                <w:szCs w:val="24"/>
                <w:u w:val="single"/>
              </w:rPr>
            </w:pPr>
            <w:r w:rsidRPr="00E31F82">
              <w:rPr>
                <w:rFonts w:ascii="Times New Roman" w:eastAsia="Times New Roman" w:hAnsi="Times New Roman"/>
                <w:b/>
                <w:sz w:val="18"/>
                <w:szCs w:val="18"/>
              </w:rPr>
              <w:t xml:space="preserve">     </w:t>
            </w:r>
            <w:r w:rsidRPr="00E31F82">
              <w:rPr>
                <w:rFonts w:ascii="Times New Roman" w:eastAsia="Times New Roman" w:hAnsi="Times New Roman"/>
                <w:b/>
                <w:sz w:val="18"/>
                <w:szCs w:val="18"/>
                <w:u w:val="single"/>
              </w:rPr>
              <w:t>DATE</w:t>
            </w:r>
            <w:r w:rsidRPr="00E31F82">
              <w:rPr>
                <w:rFonts w:ascii="Times New Roman" w:eastAsia="Times New Roman" w:hAnsi="Times New Roman"/>
                <w:b/>
                <w:sz w:val="18"/>
                <w:szCs w:val="18"/>
              </w:rPr>
              <w:t xml:space="preserve">                                      </w:t>
            </w:r>
            <w:r w:rsidRPr="00E31F82">
              <w:rPr>
                <w:rFonts w:ascii="Times New Roman" w:eastAsia="Times New Roman" w:hAnsi="Times New Roman"/>
                <w:b/>
                <w:sz w:val="18"/>
                <w:szCs w:val="18"/>
                <w:u w:val="single"/>
              </w:rPr>
              <w:t>SIGNATURE</w:t>
            </w:r>
          </w:p>
        </w:tc>
      </w:tr>
    </w:tbl>
    <w:p w14:paraId="42206684" w14:textId="77777777" w:rsidR="00F04834" w:rsidRPr="009D3169" w:rsidRDefault="00F04834" w:rsidP="00F04834">
      <w:pPr>
        <w:spacing w:after="0" w:line="360" w:lineRule="auto"/>
        <w:jc w:val="center"/>
        <w:rPr>
          <w:rFonts w:ascii="Century Gothic" w:hAnsi="Century Gothic"/>
          <w:b/>
          <w:sz w:val="24"/>
          <w:szCs w:val="24"/>
        </w:rPr>
      </w:pPr>
    </w:p>
    <w:p w14:paraId="18BC87DD" w14:textId="741755E9" w:rsidR="001F32A6" w:rsidRPr="001256EE" w:rsidRDefault="001F32A6" w:rsidP="00282DB7">
      <w:pPr>
        <w:spacing w:after="0" w:line="360" w:lineRule="auto"/>
        <w:ind w:left="5041" w:firstLine="720"/>
        <w:jc w:val="center"/>
        <w:rPr>
          <w:rFonts w:ascii="Bookman Old Style" w:hAnsi="Bookman Old Style" w:cstheme="minorHAnsi"/>
          <w:b/>
          <w:sz w:val="24"/>
          <w:szCs w:val="24"/>
        </w:rPr>
      </w:pPr>
      <w:r>
        <w:rPr>
          <w:rFonts w:ascii="Bookman Old Style" w:hAnsi="Bookman Old Style" w:cstheme="minorHAnsi"/>
          <w:b/>
          <w:sz w:val="24"/>
          <w:szCs w:val="24"/>
        </w:rPr>
        <w:t xml:space="preserve"> </w:t>
      </w:r>
      <w:r w:rsidR="00EA4C7C">
        <w:rPr>
          <w:rFonts w:ascii="Bookman Old Style" w:hAnsi="Bookman Old Style" w:cstheme="minorHAnsi"/>
          <w:b/>
          <w:sz w:val="24"/>
          <w:szCs w:val="24"/>
        </w:rPr>
        <w:t xml:space="preserve">     </w:t>
      </w:r>
      <w:r w:rsidR="00F04834">
        <w:rPr>
          <w:rFonts w:ascii="Bookman Old Style" w:hAnsi="Bookman Old Style" w:cstheme="minorHAnsi"/>
          <w:b/>
          <w:sz w:val="24"/>
          <w:szCs w:val="24"/>
        </w:rPr>
        <w:t>Case no</w:t>
      </w:r>
      <w:r w:rsidR="00F04834" w:rsidRPr="009D3169">
        <w:rPr>
          <w:rFonts w:ascii="Bookman Old Style" w:hAnsi="Bookman Old Style" w:cstheme="minorHAnsi"/>
          <w:b/>
          <w:sz w:val="24"/>
          <w:szCs w:val="24"/>
        </w:rPr>
        <w:t xml:space="preserve">: </w:t>
      </w:r>
      <w:r w:rsidR="001256EE">
        <w:rPr>
          <w:rFonts w:ascii="Bookman Old Style" w:hAnsi="Bookman Old Style" w:cstheme="minorHAnsi"/>
          <w:b/>
          <w:sz w:val="24"/>
          <w:szCs w:val="24"/>
        </w:rPr>
        <w:t>42987/2019</w:t>
      </w:r>
      <w:r>
        <w:rPr>
          <w:rFonts w:ascii="Bookman Old Style" w:hAnsi="Bookman Old Style" w:cstheme="minorHAnsi"/>
          <w:b/>
          <w:sz w:val="24"/>
          <w:szCs w:val="24"/>
        </w:rPr>
        <w:tab/>
      </w:r>
      <w:r>
        <w:rPr>
          <w:rFonts w:ascii="Bookman Old Style" w:hAnsi="Bookman Old Style" w:cstheme="minorHAnsi"/>
          <w:b/>
          <w:sz w:val="24"/>
          <w:szCs w:val="24"/>
        </w:rPr>
        <w:tab/>
      </w:r>
      <w:r>
        <w:rPr>
          <w:rFonts w:ascii="Bookman Old Style" w:hAnsi="Bookman Old Style" w:cstheme="minorHAnsi"/>
          <w:b/>
          <w:sz w:val="24"/>
          <w:szCs w:val="24"/>
        </w:rPr>
        <w:tab/>
      </w:r>
      <w:r>
        <w:rPr>
          <w:rFonts w:ascii="Bookman Old Style" w:hAnsi="Bookman Old Style" w:cstheme="minorHAnsi"/>
          <w:b/>
          <w:sz w:val="24"/>
          <w:szCs w:val="24"/>
        </w:rPr>
        <w:tab/>
        <w:t xml:space="preserve">              </w:t>
      </w:r>
    </w:p>
    <w:p w14:paraId="3F73075E" w14:textId="281B8201" w:rsidR="00F04834" w:rsidRDefault="00F04834" w:rsidP="00832BF5">
      <w:pPr>
        <w:spacing w:after="0" w:line="360" w:lineRule="auto"/>
        <w:jc w:val="both"/>
        <w:rPr>
          <w:rFonts w:ascii="Bookman Old Style" w:hAnsi="Bookman Old Style" w:cstheme="minorHAnsi"/>
          <w:sz w:val="24"/>
          <w:szCs w:val="24"/>
        </w:rPr>
      </w:pPr>
      <w:r w:rsidRPr="009D3169">
        <w:rPr>
          <w:rFonts w:ascii="Bookman Old Style" w:hAnsi="Bookman Old Style" w:cstheme="minorHAnsi"/>
          <w:sz w:val="24"/>
          <w:szCs w:val="24"/>
        </w:rPr>
        <w:t xml:space="preserve">In the matter </w:t>
      </w:r>
      <w:r w:rsidR="00932B23" w:rsidRPr="009D3169">
        <w:rPr>
          <w:rFonts w:ascii="Bookman Old Style" w:hAnsi="Bookman Old Style" w:cstheme="minorHAnsi"/>
          <w:sz w:val="24"/>
          <w:szCs w:val="24"/>
        </w:rPr>
        <w:t>between: -</w:t>
      </w:r>
    </w:p>
    <w:p w14:paraId="38B6163B" w14:textId="77777777" w:rsidR="001256EE" w:rsidRPr="009D3169" w:rsidRDefault="001256EE" w:rsidP="00832BF5">
      <w:pPr>
        <w:spacing w:after="0" w:line="360" w:lineRule="auto"/>
        <w:jc w:val="both"/>
        <w:rPr>
          <w:rFonts w:ascii="Bookman Old Style" w:hAnsi="Bookman Old Style" w:cstheme="minorHAnsi"/>
          <w:sz w:val="24"/>
          <w:szCs w:val="24"/>
        </w:rPr>
      </w:pPr>
    </w:p>
    <w:p w14:paraId="3AEE669C" w14:textId="416FA520" w:rsidR="00F04834" w:rsidRDefault="001256EE" w:rsidP="00832BF5">
      <w:pPr>
        <w:spacing w:after="0" w:line="360" w:lineRule="auto"/>
        <w:rPr>
          <w:rFonts w:ascii="Bookman Old Style" w:hAnsi="Bookman Old Style" w:cstheme="minorHAnsi"/>
          <w:sz w:val="24"/>
          <w:szCs w:val="24"/>
        </w:rPr>
      </w:pPr>
      <w:r>
        <w:rPr>
          <w:rFonts w:ascii="Bookman Old Style" w:hAnsi="Bookman Old Style" w:cstheme="minorHAnsi"/>
          <w:b/>
          <w:sz w:val="24"/>
          <w:szCs w:val="24"/>
        </w:rPr>
        <w:t xml:space="preserve">ORTHOTOUCH (PTY) LTD </w:t>
      </w:r>
      <w:r>
        <w:rPr>
          <w:rFonts w:ascii="Bookman Old Style" w:hAnsi="Bookman Old Style" w:cstheme="minorHAnsi"/>
          <w:b/>
          <w:sz w:val="24"/>
          <w:szCs w:val="24"/>
        </w:rPr>
        <w:tab/>
      </w:r>
      <w:r w:rsidR="00EA4C7C">
        <w:rPr>
          <w:rFonts w:ascii="Bookman Old Style" w:hAnsi="Bookman Old Style" w:cstheme="minorHAnsi"/>
          <w:b/>
          <w:sz w:val="24"/>
          <w:szCs w:val="24"/>
        </w:rPr>
        <w:tab/>
      </w:r>
      <w:r w:rsidR="00F04834">
        <w:rPr>
          <w:rFonts w:ascii="Bookman Old Style" w:hAnsi="Bookman Old Style" w:cstheme="minorHAnsi"/>
          <w:b/>
          <w:sz w:val="24"/>
          <w:szCs w:val="24"/>
        </w:rPr>
        <w:t xml:space="preserve">               </w:t>
      </w:r>
      <w:r w:rsidR="00EA4C7C">
        <w:rPr>
          <w:rFonts w:ascii="Bookman Old Style" w:hAnsi="Bookman Old Style" w:cstheme="minorHAnsi"/>
          <w:b/>
          <w:sz w:val="24"/>
          <w:szCs w:val="24"/>
        </w:rPr>
        <w:tab/>
      </w:r>
      <w:r w:rsidR="00EA4C7C">
        <w:rPr>
          <w:rFonts w:ascii="Bookman Old Style" w:hAnsi="Bookman Old Style" w:cstheme="minorHAnsi"/>
          <w:b/>
          <w:sz w:val="24"/>
          <w:szCs w:val="24"/>
        </w:rPr>
        <w:tab/>
      </w:r>
      <w:r>
        <w:rPr>
          <w:rFonts w:ascii="Bookman Old Style" w:hAnsi="Bookman Old Style" w:cstheme="minorHAnsi"/>
          <w:b/>
          <w:sz w:val="24"/>
          <w:szCs w:val="24"/>
        </w:rPr>
        <w:t xml:space="preserve">   </w:t>
      </w:r>
      <w:r w:rsidR="0054145A">
        <w:rPr>
          <w:rFonts w:ascii="Bookman Old Style" w:hAnsi="Bookman Old Style" w:cstheme="minorHAnsi"/>
          <w:b/>
          <w:sz w:val="24"/>
          <w:szCs w:val="24"/>
        </w:rPr>
        <w:tab/>
        <w:t xml:space="preserve">       </w:t>
      </w:r>
      <w:r>
        <w:rPr>
          <w:rFonts w:ascii="Bookman Old Style" w:hAnsi="Bookman Old Style" w:cstheme="minorHAnsi"/>
          <w:bCs/>
          <w:sz w:val="24"/>
          <w:szCs w:val="24"/>
        </w:rPr>
        <w:t>Applicant</w:t>
      </w:r>
    </w:p>
    <w:p w14:paraId="4DF29582" w14:textId="77777777" w:rsidR="00832BF5" w:rsidRDefault="00832BF5" w:rsidP="00832BF5">
      <w:pPr>
        <w:spacing w:after="0" w:line="360" w:lineRule="auto"/>
        <w:rPr>
          <w:rFonts w:ascii="Bookman Old Style" w:hAnsi="Bookman Old Style" w:cstheme="minorHAnsi"/>
          <w:sz w:val="24"/>
          <w:szCs w:val="24"/>
        </w:rPr>
      </w:pPr>
    </w:p>
    <w:p w14:paraId="66E330C2" w14:textId="6D9A27B7" w:rsidR="00F04834" w:rsidRPr="009D3169" w:rsidRDefault="001F32A6" w:rsidP="00832BF5">
      <w:pPr>
        <w:spacing w:after="0" w:line="360" w:lineRule="auto"/>
        <w:rPr>
          <w:rFonts w:ascii="Bookman Old Style" w:hAnsi="Bookman Old Style" w:cstheme="minorHAnsi"/>
          <w:b/>
          <w:sz w:val="24"/>
          <w:szCs w:val="24"/>
        </w:rPr>
      </w:pP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r>
      <w:r>
        <w:rPr>
          <w:rFonts w:ascii="Bookman Old Style" w:hAnsi="Bookman Old Style" w:cstheme="minorHAnsi"/>
          <w:sz w:val="24"/>
          <w:szCs w:val="24"/>
        </w:rPr>
        <w:tab/>
        <w:t xml:space="preserve">      </w:t>
      </w:r>
    </w:p>
    <w:p w14:paraId="065D1365" w14:textId="6E7EF76D" w:rsidR="00F04834" w:rsidRDefault="001256EE" w:rsidP="00832BF5">
      <w:pPr>
        <w:spacing w:after="0" w:line="360" w:lineRule="auto"/>
        <w:jc w:val="both"/>
        <w:rPr>
          <w:rFonts w:ascii="Bookman Old Style" w:hAnsi="Bookman Old Style" w:cstheme="minorHAnsi"/>
          <w:sz w:val="24"/>
          <w:szCs w:val="24"/>
        </w:rPr>
      </w:pPr>
      <w:r>
        <w:rPr>
          <w:rFonts w:ascii="Bookman Old Style" w:hAnsi="Bookman Old Style" w:cstheme="minorHAnsi"/>
          <w:sz w:val="24"/>
          <w:szCs w:val="24"/>
        </w:rPr>
        <w:t>A</w:t>
      </w:r>
      <w:r w:rsidR="00F04834" w:rsidRPr="009D3169">
        <w:rPr>
          <w:rFonts w:ascii="Bookman Old Style" w:hAnsi="Bookman Old Style" w:cstheme="minorHAnsi"/>
          <w:sz w:val="24"/>
          <w:szCs w:val="24"/>
        </w:rPr>
        <w:t>nd</w:t>
      </w:r>
    </w:p>
    <w:p w14:paraId="717B7E23" w14:textId="6E5E8A25" w:rsidR="001256EE" w:rsidRDefault="001256EE" w:rsidP="00832BF5">
      <w:pPr>
        <w:spacing w:after="0" w:line="360" w:lineRule="auto"/>
        <w:jc w:val="both"/>
        <w:rPr>
          <w:rFonts w:ascii="Bookman Old Style" w:hAnsi="Bookman Old Style" w:cstheme="minorHAnsi"/>
          <w:sz w:val="24"/>
          <w:szCs w:val="24"/>
        </w:rPr>
      </w:pPr>
    </w:p>
    <w:p w14:paraId="3BE69930" w14:textId="77777777" w:rsidR="00832BF5" w:rsidRPr="001256EE" w:rsidRDefault="00832BF5" w:rsidP="00832BF5">
      <w:pPr>
        <w:spacing w:after="0" w:line="360" w:lineRule="auto"/>
        <w:jc w:val="both"/>
        <w:rPr>
          <w:rFonts w:ascii="Bookman Old Style" w:hAnsi="Bookman Old Style" w:cstheme="minorHAnsi"/>
          <w:sz w:val="24"/>
          <w:szCs w:val="24"/>
        </w:rPr>
      </w:pPr>
    </w:p>
    <w:p w14:paraId="3BBDADE2" w14:textId="126721B3" w:rsidR="00F04834" w:rsidRPr="00832BF5" w:rsidRDefault="001256EE" w:rsidP="00832BF5">
      <w:pPr>
        <w:spacing w:after="0" w:line="360" w:lineRule="auto"/>
        <w:ind w:right="95"/>
        <w:jc w:val="both"/>
        <w:rPr>
          <w:rFonts w:ascii="Bookman Old Style" w:hAnsi="Bookman Old Style" w:cstheme="minorHAnsi"/>
          <w:sz w:val="24"/>
          <w:szCs w:val="24"/>
        </w:rPr>
      </w:pPr>
      <w:r>
        <w:rPr>
          <w:rFonts w:ascii="Bookman Old Style" w:hAnsi="Bookman Old Style" w:cstheme="minorHAnsi"/>
          <w:b/>
          <w:sz w:val="24"/>
          <w:szCs w:val="24"/>
        </w:rPr>
        <w:t>DELTA PROPERTY FUND LIMITED</w:t>
      </w:r>
      <w:r w:rsidR="00EA4C7C">
        <w:rPr>
          <w:rFonts w:ascii="Bookman Old Style" w:hAnsi="Bookman Old Style" w:cstheme="minorHAnsi"/>
          <w:b/>
          <w:sz w:val="24"/>
          <w:szCs w:val="24"/>
        </w:rPr>
        <w:tab/>
      </w:r>
      <w:r w:rsidR="00F04834" w:rsidRPr="009D3169">
        <w:rPr>
          <w:rFonts w:ascii="Bookman Old Style" w:hAnsi="Bookman Old Style" w:cstheme="minorHAnsi"/>
          <w:b/>
          <w:sz w:val="24"/>
          <w:szCs w:val="24"/>
        </w:rPr>
        <w:t xml:space="preserve">           </w:t>
      </w:r>
      <w:r w:rsidR="00F04834">
        <w:rPr>
          <w:rFonts w:ascii="Bookman Old Style" w:hAnsi="Bookman Old Style" w:cstheme="minorHAnsi"/>
          <w:b/>
          <w:sz w:val="24"/>
          <w:szCs w:val="24"/>
        </w:rPr>
        <w:t xml:space="preserve">       </w:t>
      </w:r>
      <w:r w:rsidR="001F32A6">
        <w:rPr>
          <w:rFonts w:ascii="Bookman Old Style" w:hAnsi="Bookman Old Style" w:cstheme="minorHAnsi"/>
          <w:b/>
          <w:sz w:val="24"/>
          <w:szCs w:val="24"/>
        </w:rPr>
        <w:t xml:space="preserve">    </w:t>
      </w:r>
      <w:r w:rsidR="0054145A">
        <w:rPr>
          <w:rFonts w:ascii="Bookman Old Style" w:hAnsi="Bookman Old Style" w:cstheme="minorHAnsi"/>
          <w:b/>
          <w:sz w:val="24"/>
          <w:szCs w:val="24"/>
        </w:rPr>
        <w:t xml:space="preserve">                 </w:t>
      </w:r>
      <w:r w:rsidR="00F04834">
        <w:rPr>
          <w:rFonts w:ascii="Bookman Old Style" w:hAnsi="Bookman Old Style" w:cstheme="minorHAnsi"/>
          <w:sz w:val="24"/>
          <w:szCs w:val="24"/>
        </w:rPr>
        <w:t>Respondent</w:t>
      </w:r>
    </w:p>
    <w:p w14:paraId="76C486AC" w14:textId="77777777" w:rsidR="00F04834" w:rsidRPr="009D3169" w:rsidRDefault="00F04834" w:rsidP="00282DB7">
      <w:pPr>
        <w:spacing w:after="0" w:line="360" w:lineRule="auto"/>
        <w:rPr>
          <w:rFonts w:ascii="Bookman Old Style" w:hAnsi="Bookman Old Style" w:cs="Arial"/>
          <w:b/>
          <w:sz w:val="24"/>
          <w:szCs w:val="24"/>
        </w:rPr>
      </w:pPr>
      <w:r w:rsidRPr="009D3169">
        <w:rPr>
          <w:rFonts w:ascii="Bookman Old Style" w:hAnsi="Bookman Old Style" w:cs="Arial"/>
          <w:b/>
          <w:sz w:val="24"/>
          <w:szCs w:val="24"/>
        </w:rPr>
        <w:t>__________________________________________________________________</w:t>
      </w:r>
      <w:r>
        <w:rPr>
          <w:rFonts w:ascii="Bookman Old Style" w:hAnsi="Bookman Old Style" w:cs="Arial"/>
          <w:b/>
          <w:sz w:val="24"/>
          <w:szCs w:val="24"/>
        </w:rPr>
        <w:t>__</w:t>
      </w:r>
      <w:r w:rsidRPr="009D3169">
        <w:rPr>
          <w:rFonts w:ascii="Bookman Old Style" w:hAnsi="Bookman Old Style" w:cs="Arial"/>
          <w:b/>
          <w:sz w:val="24"/>
          <w:szCs w:val="24"/>
        </w:rPr>
        <w:t>_</w:t>
      </w:r>
      <w:r>
        <w:rPr>
          <w:rFonts w:ascii="Bookman Old Style" w:hAnsi="Bookman Old Style" w:cs="Arial"/>
          <w:b/>
          <w:sz w:val="24"/>
          <w:szCs w:val="24"/>
        </w:rPr>
        <w:t>_____</w:t>
      </w:r>
    </w:p>
    <w:p w14:paraId="6C6F70F0" w14:textId="77777777" w:rsidR="00F04834" w:rsidRPr="009D3169" w:rsidRDefault="00F04834" w:rsidP="00F04834">
      <w:pPr>
        <w:spacing w:after="0"/>
        <w:jc w:val="center"/>
        <w:rPr>
          <w:rFonts w:ascii="Bookman Old Style" w:hAnsi="Bookman Old Style"/>
          <w:b/>
          <w:sz w:val="24"/>
          <w:szCs w:val="24"/>
        </w:rPr>
      </w:pPr>
    </w:p>
    <w:p w14:paraId="0A4C9C27" w14:textId="6F93120A" w:rsidR="00F04834" w:rsidRPr="009D3169" w:rsidRDefault="00932B23" w:rsidP="00F04834">
      <w:pPr>
        <w:spacing w:after="0"/>
        <w:jc w:val="center"/>
        <w:rPr>
          <w:rFonts w:ascii="Bookman Old Style" w:hAnsi="Bookman Old Style"/>
          <w:b/>
          <w:sz w:val="24"/>
          <w:szCs w:val="24"/>
        </w:rPr>
      </w:pPr>
      <w:r w:rsidRPr="009D3169">
        <w:rPr>
          <w:rFonts w:ascii="Bookman Old Style" w:hAnsi="Bookman Old Style"/>
          <w:b/>
          <w:sz w:val="24"/>
          <w:szCs w:val="24"/>
        </w:rPr>
        <w:t>JUDGMENT</w:t>
      </w:r>
    </w:p>
    <w:p w14:paraId="380F4C79" w14:textId="77777777" w:rsidR="00F04834" w:rsidRPr="009D3169" w:rsidRDefault="00F04834" w:rsidP="00282DB7">
      <w:pPr>
        <w:spacing w:after="0"/>
        <w:jc w:val="both"/>
        <w:rPr>
          <w:rFonts w:ascii="Bookman Old Style" w:hAnsi="Bookman Old Style" w:cs="Arial"/>
          <w:b/>
          <w:sz w:val="24"/>
          <w:szCs w:val="24"/>
        </w:rPr>
      </w:pPr>
      <w:r w:rsidRPr="009D3169">
        <w:rPr>
          <w:rFonts w:ascii="Bookman Old Style" w:hAnsi="Bookman Old Style" w:cs="Arial"/>
          <w:b/>
          <w:sz w:val="24"/>
          <w:szCs w:val="24"/>
        </w:rPr>
        <w:t>___________________________________________________________________</w:t>
      </w:r>
      <w:r>
        <w:rPr>
          <w:rFonts w:ascii="Bookman Old Style" w:hAnsi="Bookman Old Style" w:cs="Arial"/>
          <w:b/>
          <w:sz w:val="24"/>
          <w:szCs w:val="24"/>
        </w:rPr>
        <w:t>_______</w:t>
      </w:r>
    </w:p>
    <w:p w14:paraId="0A14F04A" w14:textId="19F1D953" w:rsidR="00832BF5" w:rsidRDefault="00832BF5" w:rsidP="00932B23">
      <w:pPr>
        <w:spacing w:after="0" w:line="360" w:lineRule="auto"/>
        <w:jc w:val="both"/>
        <w:rPr>
          <w:rFonts w:ascii="Bookman Old Style" w:hAnsi="Bookman Old Style"/>
          <w:b/>
          <w:sz w:val="24"/>
          <w:szCs w:val="24"/>
        </w:rPr>
      </w:pPr>
    </w:p>
    <w:p w14:paraId="6E2B0A4F" w14:textId="77777777" w:rsidR="00932B23" w:rsidRDefault="00932B23" w:rsidP="00282DB7">
      <w:pPr>
        <w:spacing w:after="0" w:line="360" w:lineRule="auto"/>
        <w:jc w:val="both"/>
        <w:rPr>
          <w:rFonts w:ascii="Bookman Old Style" w:hAnsi="Bookman Old Style"/>
          <w:b/>
          <w:sz w:val="24"/>
          <w:szCs w:val="24"/>
        </w:rPr>
      </w:pPr>
    </w:p>
    <w:p w14:paraId="6D360FB4" w14:textId="198478A4" w:rsidR="001256EE" w:rsidRDefault="00F04834" w:rsidP="00EA4C7C">
      <w:pPr>
        <w:spacing w:line="360" w:lineRule="auto"/>
        <w:jc w:val="both"/>
        <w:rPr>
          <w:rFonts w:ascii="Bookman Old Style" w:hAnsi="Bookman Old Style"/>
          <w:b/>
          <w:sz w:val="24"/>
          <w:szCs w:val="24"/>
        </w:rPr>
      </w:pPr>
      <w:r>
        <w:rPr>
          <w:rFonts w:ascii="Bookman Old Style" w:hAnsi="Bookman Old Style"/>
          <w:b/>
          <w:sz w:val="24"/>
          <w:szCs w:val="24"/>
        </w:rPr>
        <w:t xml:space="preserve">N.E </w:t>
      </w:r>
      <w:r w:rsidRPr="009D3169">
        <w:rPr>
          <w:rFonts w:ascii="Bookman Old Style" w:hAnsi="Bookman Old Style"/>
          <w:b/>
          <w:sz w:val="24"/>
          <w:szCs w:val="24"/>
        </w:rPr>
        <w:t xml:space="preserve">NKOSI </w:t>
      </w:r>
      <w:r>
        <w:rPr>
          <w:rFonts w:ascii="Bookman Old Style" w:hAnsi="Bookman Old Style"/>
          <w:b/>
          <w:sz w:val="24"/>
          <w:szCs w:val="24"/>
        </w:rPr>
        <w:t>(</w:t>
      </w:r>
      <w:r w:rsidRPr="009D3169">
        <w:rPr>
          <w:rFonts w:ascii="Bookman Old Style" w:hAnsi="Bookman Old Style"/>
          <w:b/>
          <w:sz w:val="24"/>
          <w:szCs w:val="24"/>
        </w:rPr>
        <w:t>AJ</w:t>
      </w:r>
      <w:r>
        <w:rPr>
          <w:rFonts w:ascii="Bookman Old Style" w:hAnsi="Bookman Old Style"/>
          <w:b/>
          <w:sz w:val="24"/>
          <w:szCs w:val="24"/>
        </w:rPr>
        <w:t>)</w:t>
      </w:r>
      <w:r w:rsidR="00A648F7">
        <w:rPr>
          <w:rFonts w:ascii="Bookman Old Style" w:hAnsi="Bookman Old Style"/>
          <w:b/>
          <w:sz w:val="24"/>
          <w:szCs w:val="24"/>
        </w:rPr>
        <w:t>:</w:t>
      </w:r>
    </w:p>
    <w:p w14:paraId="677942C7" w14:textId="77777777" w:rsidR="001256EE" w:rsidRPr="00EA4C7C" w:rsidRDefault="001256EE" w:rsidP="00EA4C7C">
      <w:pPr>
        <w:spacing w:line="360" w:lineRule="auto"/>
        <w:jc w:val="both"/>
        <w:rPr>
          <w:rFonts w:ascii="Bookman Old Style" w:hAnsi="Bookman Old Style"/>
          <w:b/>
          <w:sz w:val="24"/>
          <w:szCs w:val="24"/>
        </w:rPr>
      </w:pPr>
    </w:p>
    <w:p w14:paraId="75EDFFFC" w14:textId="437D7536" w:rsidR="004012B6" w:rsidRPr="00282DB7" w:rsidRDefault="00D83F88" w:rsidP="00932B23">
      <w:pPr>
        <w:spacing w:after="0" w:line="360" w:lineRule="auto"/>
        <w:jc w:val="both"/>
        <w:rPr>
          <w:rFonts w:ascii="Bookman Old Style" w:hAnsi="Bookman Old Style"/>
          <w:sz w:val="24"/>
          <w:szCs w:val="24"/>
          <w:lang w:val="en-ZA"/>
        </w:rPr>
      </w:pPr>
      <w:r w:rsidRPr="00282DB7">
        <w:rPr>
          <w:rFonts w:ascii="Bookman Old Style" w:hAnsi="Bookman Old Style"/>
          <w:sz w:val="24"/>
          <w:szCs w:val="24"/>
          <w:lang w:val="en-ZA"/>
        </w:rPr>
        <w:lastRenderedPageBreak/>
        <w:t>INTRODUCTION</w:t>
      </w:r>
    </w:p>
    <w:p w14:paraId="3F066C27" w14:textId="383457AA" w:rsidR="00D83F88" w:rsidRPr="00282DB7" w:rsidRDefault="00D83F88" w:rsidP="00932B23">
      <w:pPr>
        <w:spacing w:after="0" w:line="360" w:lineRule="auto"/>
        <w:jc w:val="both"/>
        <w:rPr>
          <w:rFonts w:ascii="Bookman Old Style" w:hAnsi="Bookman Old Style"/>
          <w:sz w:val="24"/>
          <w:szCs w:val="24"/>
          <w:lang w:val="en-ZA"/>
        </w:rPr>
      </w:pPr>
    </w:p>
    <w:p w14:paraId="07D424DF" w14:textId="07B22741" w:rsidR="00AC7D6C" w:rsidRPr="00182395" w:rsidRDefault="00AC7D6C" w:rsidP="00605614">
      <w:pPr>
        <w:spacing w:after="0" w:line="360" w:lineRule="auto"/>
        <w:ind w:left="720" w:hanging="720"/>
        <w:jc w:val="both"/>
        <w:rPr>
          <w:rFonts w:ascii="Bookman Old Style" w:hAnsi="Bookman Old Style"/>
          <w:lang w:val="en-ZA"/>
        </w:rPr>
      </w:pPr>
      <w:r w:rsidRPr="00182395">
        <w:rPr>
          <w:rFonts w:ascii="Bookman Old Style" w:hAnsi="Bookman Old Style"/>
          <w:lang w:val="en-ZA"/>
        </w:rPr>
        <w:t>[1]</w:t>
      </w:r>
      <w:r w:rsidRPr="00182395">
        <w:rPr>
          <w:rFonts w:ascii="Bookman Old Style" w:hAnsi="Bookman Old Style"/>
          <w:lang w:val="en-ZA"/>
        </w:rPr>
        <w:tab/>
      </w:r>
      <w:r w:rsidR="0054145A">
        <w:rPr>
          <w:rFonts w:ascii="Bookman Old Style" w:hAnsi="Bookman Old Style"/>
          <w:sz w:val="24"/>
          <w:szCs w:val="24"/>
          <w:lang w:val="en-ZA"/>
        </w:rPr>
        <w:t xml:space="preserve">The applicant seeks leave to appeal </w:t>
      </w:r>
      <w:r w:rsidR="00932B23">
        <w:rPr>
          <w:rFonts w:ascii="Bookman Old Style" w:hAnsi="Bookman Old Style"/>
          <w:sz w:val="24"/>
          <w:szCs w:val="24"/>
          <w:lang w:val="en-ZA"/>
        </w:rPr>
        <w:t xml:space="preserve">against </w:t>
      </w:r>
      <w:r w:rsidR="0054145A">
        <w:rPr>
          <w:rFonts w:ascii="Bookman Old Style" w:hAnsi="Bookman Old Style"/>
          <w:sz w:val="24"/>
          <w:szCs w:val="24"/>
          <w:lang w:val="en-ZA"/>
        </w:rPr>
        <w:t>the whole judgment and order of this Court handed down on the 19</w:t>
      </w:r>
      <w:r w:rsidR="00932B23" w:rsidRPr="00282DB7">
        <w:rPr>
          <w:rFonts w:ascii="Bookman Old Style" w:hAnsi="Bookman Old Style"/>
          <w:sz w:val="24"/>
          <w:szCs w:val="24"/>
          <w:vertAlign w:val="superscript"/>
          <w:lang w:val="en-ZA"/>
        </w:rPr>
        <w:t>th</w:t>
      </w:r>
      <w:r w:rsidR="00932B23">
        <w:rPr>
          <w:rFonts w:ascii="Bookman Old Style" w:hAnsi="Bookman Old Style"/>
          <w:sz w:val="24"/>
          <w:szCs w:val="24"/>
          <w:lang w:val="en-ZA"/>
        </w:rPr>
        <w:t xml:space="preserve"> of</w:t>
      </w:r>
      <w:r w:rsidR="0054145A">
        <w:rPr>
          <w:rFonts w:ascii="Bookman Old Style" w:hAnsi="Bookman Old Style"/>
          <w:sz w:val="24"/>
          <w:szCs w:val="24"/>
          <w:lang w:val="en-ZA"/>
        </w:rPr>
        <w:t xml:space="preserve"> April 2021</w:t>
      </w:r>
      <w:r w:rsidR="002D3609" w:rsidRPr="0054145A">
        <w:rPr>
          <w:rFonts w:ascii="Bookman Old Style" w:hAnsi="Bookman Old Style"/>
          <w:sz w:val="24"/>
          <w:szCs w:val="24"/>
          <w:lang w:val="en-ZA"/>
        </w:rPr>
        <w:t>.</w:t>
      </w:r>
      <w:r w:rsidR="0054145A">
        <w:rPr>
          <w:rFonts w:ascii="Bookman Old Style" w:hAnsi="Bookman Old Style"/>
          <w:sz w:val="24"/>
          <w:szCs w:val="24"/>
          <w:lang w:val="en-ZA"/>
        </w:rPr>
        <w:t xml:space="preserve"> The application is in terms of section 17 (1)(a)(i) of the Superior Courts Act. </w:t>
      </w:r>
      <w:r w:rsidR="001256EE" w:rsidRPr="00182395">
        <w:rPr>
          <w:rFonts w:ascii="Bookman Old Style" w:hAnsi="Bookman Old Style"/>
          <w:lang w:val="en-ZA"/>
        </w:rPr>
        <w:t xml:space="preserve"> </w:t>
      </w:r>
    </w:p>
    <w:p w14:paraId="545806DF" w14:textId="4DED220E" w:rsidR="00EA4C7C" w:rsidRPr="00282DB7" w:rsidRDefault="00EA4C7C" w:rsidP="00605614">
      <w:pPr>
        <w:spacing w:after="0" w:line="360" w:lineRule="auto"/>
        <w:ind w:left="720" w:hanging="720"/>
        <w:jc w:val="both"/>
        <w:rPr>
          <w:rFonts w:ascii="Bookman Old Style" w:hAnsi="Bookman Old Style"/>
          <w:sz w:val="24"/>
          <w:szCs w:val="24"/>
          <w:lang w:val="en-ZA"/>
        </w:rPr>
      </w:pPr>
    </w:p>
    <w:p w14:paraId="5B8E1B98" w14:textId="5E8A381B" w:rsidR="0054145A" w:rsidRPr="0054145A" w:rsidRDefault="009B7CB4">
      <w:pPr>
        <w:spacing w:after="0" w:line="360" w:lineRule="auto"/>
        <w:ind w:left="720" w:hanging="720"/>
        <w:jc w:val="both"/>
        <w:rPr>
          <w:rFonts w:ascii="Bookman Old Style" w:hAnsi="Bookman Old Style"/>
          <w:sz w:val="24"/>
          <w:szCs w:val="24"/>
          <w:lang w:val="en-ZA"/>
        </w:rPr>
      </w:pPr>
      <w:r w:rsidRPr="00182395">
        <w:rPr>
          <w:rFonts w:ascii="Bookman Old Style" w:hAnsi="Bookman Old Style"/>
          <w:lang w:val="en-ZA"/>
        </w:rPr>
        <w:t>[2</w:t>
      </w:r>
      <w:bookmarkStart w:id="0" w:name="_GoBack"/>
      <w:bookmarkEnd w:id="0"/>
      <w:r w:rsidRPr="00182395">
        <w:rPr>
          <w:rFonts w:ascii="Bookman Old Style" w:hAnsi="Bookman Old Style"/>
          <w:lang w:val="en-ZA"/>
        </w:rPr>
        <w:t>]</w:t>
      </w:r>
      <w:r w:rsidR="00D04829" w:rsidRPr="00182395">
        <w:rPr>
          <w:rFonts w:ascii="Bookman Old Style" w:hAnsi="Bookman Old Style"/>
          <w:lang w:val="en-ZA"/>
        </w:rPr>
        <w:tab/>
      </w:r>
      <w:r w:rsidR="0054145A" w:rsidRPr="0054145A">
        <w:rPr>
          <w:rFonts w:ascii="Bookman Old Style" w:hAnsi="Bookman Old Style"/>
          <w:sz w:val="24"/>
          <w:szCs w:val="24"/>
          <w:lang w:val="en-ZA"/>
        </w:rPr>
        <w:t>There are three grounds</w:t>
      </w:r>
      <w:r w:rsidR="002C5955">
        <w:rPr>
          <w:rStyle w:val="FootnoteReference"/>
          <w:rFonts w:ascii="Bookman Old Style" w:hAnsi="Bookman Old Style"/>
          <w:sz w:val="24"/>
          <w:szCs w:val="24"/>
          <w:lang w:val="en-ZA"/>
        </w:rPr>
        <w:footnoteReference w:id="1"/>
      </w:r>
      <w:r w:rsidR="0054145A" w:rsidRPr="0054145A">
        <w:rPr>
          <w:rFonts w:ascii="Bookman Old Style" w:hAnsi="Bookman Old Style"/>
          <w:sz w:val="24"/>
          <w:szCs w:val="24"/>
          <w:lang w:val="en-ZA"/>
        </w:rPr>
        <w:t xml:space="preserve"> of appeal raised by the applicant. These are</w:t>
      </w:r>
      <w:r w:rsidR="00444D63">
        <w:rPr>
          <w:rFonts w:ascii="Bookman Old Style" w:hAnsi="Bookman Old Style"/>
          <w:sz w:val="24"/>
          <w:szCs w:val="24"/>
          <w:lang w:val="en-ZA"/>
        </w:rPr>
        <w:t xml:space="preserve"> stated under the following headings</w:t>
      </w:r>
      <w:r w:rsidR="00BC440B">
        <w:rPr>
          <w:rFonts w:ascii="Bookman Old Style" w:hAnsi="Bookman Old Style"/>
          <w:sz w:val="24"/>
          <w:szCs w:val="24"/>
          <w:lang w:val="en-ZA"/>
        </w:rPr>
        <w:t>:</w:t>
      </w:r>
    </w:p>
    <w:p w14:paraId="4DC3F791" w14:textId="77777777" w:rsidR="0054145A" w:rsidRPr="0054145A" w:rsidRDefault="0054145A">
      <w:pPr>
        <w:spacing w:after="0" w:line="360" w:lineRule="auto"/>
        <w:ind w:left="720" w:hanging="720"/>
        <w:jc w:val="both"/>
        <w:rPr>
          <w:rFonts w:ascii="Bookman Old Style" w:hAnsi="Bookman Old Style"/>
          <w:sz w:val="24"/>
          <w:szCs w:val="24"/>
          <w:lang w:val="en-ZA"/>
        </w:rPr>
      </w:pPr>
      <w:r w:rsidRPr="0054145A">
        <w:rPr>
          <w:rFonts w:ascii="Bookman Old Style" w:hAnsi="Bookman Old Style"/>
          <w:sz w:val="24"/>
          <w:szCs w:val="24"/>
          <w:lang w:val="en-ZA"/>
        </w:rPr>
        <w:tab/>
      </w:r>
    </w:p>
    <w:p w14:paraId="68081479" w14:textId="432993FB" w:rsidR="0054145A" w:rsidRPr="00A64A89" w:rsidRDefault="00A64A89" w:rsidP="00A64A89">
      <w:pPr>
        <w:spacing w:after="0" w:line="360" w:lineRule="auto"/>
        <w:ind w:left="1440" w:hanging="720"/>
        <w:jc w:val="both"/>
        <w:rPr>
          <w:rFonts w:ascii="Bookman Old Style" w:hAnsi="Bookman Old Style"/>
          <w:sz w:val="24"/>
          <w:szCs w:val="24"/>
          <w:lang w:val="en-ZA"/>
        </w:rPr>
      </w:pPr>
      <w:r>
        <w:rPr>
          <w:rFonts w:ascii="Bookman Old Style" w:hAnsi="Bookman Old Style"/>
          <w:sz w:val="24"/>
          <w:szCs w:val="24"/>
          <w:lang w:val="en-ZA"/>
        </w:rPr>
        <w:t>(i)</w:t>
      </w:r>
      <w:r>
        <w:rPr>
          <w:rFonts w:ascii="Bookman Old Style" w:hAnsi="Bookman Old Style"/>
          <w:sz w:val="24"/>
          <w:szCs w:val="24"/>
          <w:lang w:val="en-ZA"/>
        </w:rPr>
        <w:tab/>
      </w:r>
      <w:r w:rsidR="002C5955" w:rsidRPr="00A64A89">
        <w:rPr>
          <w:rFonts w:ascii="Bookman Old Style" w:hAnsi="Bookman Old Style"/>
          <w:sz w:val="24"/>
          <w:szCs w:val="24"/>
          <w:lang w:val="en-ZA"/>
        </w:rPr>
        <w:t>t</w:t>
      </w:r>
      <w:r w:rsidR="0054145A" w:rsidRPr="00A64A89">
        <w:rPr>
          <w:rFonts w:ascii="Bookman Old Style" w:hAnsi="Bookman Old Style"/>
          <w:sz w:val="24"/>
          <w:szCs w:val="24"/>
          <w:lang w:val="en-ZA"/>
        </w:rPr>
        <w:t>he finding pertaining to the period of delay, and the explanation there</w:t>
      </w:r>
      <w:r w:rsidR="00932B23" w:rsidRPr="00A64A89">
        <w:rPr>
          <w:rFonts w:ascii="Bookman Old Style" w:hAnsi="Bookman Old Style"/>
          <w:sz w:val="24"/>
          <w:szCs w:val="24"/>
          <w:lang w:val="en-ZA"/>
        </w:rPr>
        <w:t>of</w:t>
      </w:r>
      <w:r w:rsidR="0054145A" w:rsidRPr="00A64A89">
        <w:rPr>
          <w:rFonts w:ascii="Bookman Old Style" w:hAnsi="Bookman Old Style"/>
          <w:sz w:val="24"/>
          <w:szCs w:val="24"/>
          <w:lang w:val="en-ZA"/>
        </w:rPr>
        <w:t>;</w:t>
      </w:r>
    </w:p>
    <w:p w14:paraId="59CF249A" w14:textId="77777777" w:rsidR="0054145A" w:rsidRDefault="0054145A" w:rsidP="00282DB7">
      <w:pPr>
        <w:pStyle w:val="ListParagraph"/>
        <w:spacing w:after="0" w:line="360" w:lineRule="auto"/>
        <w:ind w:left="1440"/>
        <w:jc w:val="both"/>
        <w:rPr>
          <w:rFonts w:ascii="Bookman Old Style" w:hAnsi="Bookman Old Style"/>
          <w:sz w:val="24"/>
          <w:szCs w:val="24"/>
          <w:lang w:val="en-ZA"/>
        </w:rPr>
      </w:pPr>
    </w:p>
    <w:p w14:paraId="17330F31" w14:textId="6AB78616" w:rsidR="0054145A" w:rsidRPr="00A64A89" w:rsidRDefault="00A64A89" w:rsidP="00A64A89">
      <w:pPr>
        <w:spacing w:after="0" w:line="360" w:lineRule="auto"/>
        <w:ind w:left="1440" w:hanging="720"/>
        <w:jc w:val="both"/>
        <w:rPr>
          <w:rFonts w:ascii="Bookman Old Style" w:hAnsi="Bookman Old Style"/>
          <w:sz w:val="24"/>
          <w:szCs w:val="24"/>
          <w:lang w:val="en-ZA"/>
        </w:rPr>
      </w:pPr>
      <w:r>
        <w:rPr>
          <w:rFonts w:ascii="Bookman Old Style" w:hAnsi="Bookman Old Style"/>
          <w:sz w:val="24"/>
          <w:szCs w:val="24"/>
          <w:lang w:val="en-ZA"/>
        </w:rPr>
        <w:t>(ii)</w:t>
      </w:r>
      <w:r>
        <w:rPr>
          <w:rFonts w:ascii="Bookman Old Style" w:hAnsi="Bookman Old Style"/>
          <w:sz w:val="24"/>
          <w:szCs w:val="24"/>
          <w:lang w:val="en-ZA"/>
        </w:rPr>
        <w:tab/>
      </w:r>
      <w:r w:rsidR="002C5955" w:rsidRPr="00A64A89">
        <w:rPr>
          <w:rFonts w:ascii="Bookman Old Style" w:hAnsi="Bookman Old Style"/>
          <w:sz w:val="24"/>
          <w:szCs w:val="24"/>
          <w:lang w:val="en-ZA"/>
        </w:rPr>
        <w:t>t</w:t>
      </w:r>
      <w:r w:rsidR="0054145A" w:rsidRPr="00A64A89">
        <w:rPr>
          <w:rFonts w:ascii="Bookman Old Style" w:hAnsi="Bookman Old Style"/>
          <w:sz w:val="24"/>
          <w:szCs w:val="24"/>
          <w:lang w:val="en-ZA"/>
        </w:rPr>
        <w:t>he test pertaining to prospects of success; and</w:t>
      </w:r>
    </w:p>
    <w:p w14:paraId="695BE80F" w14:textId="77777777" w:rsidR="0054145A" w:rsidRDefault="0054145A" w:rsidP="00282DB7">
      <w:pPr>
        <w:pStyle w:val="ListParagraph"/>
        <w:spacing w:after="0" w:line="360" w:lineRule="auto"/>
        <w:ind w:left="1440"/>
        <w:jc w:val="both"/>
        <w:rPr>
          <w:rFonts w:ascii="Bookman Old Style" w:hAnsi="Bookman Old Style"/>
          <w:sz w:val="24"/>
          <w:szCs w:val="24"/>
          <w:lang w:val="en-ZA"/>
        </w:rPr>
      </w:pPr>
    </w:p>
    <w:p w14:paraId="529715B0" w14:textId="56284F3D" w:rsidR="002D3609" w:rsidRPr="00A64A89" w:rsidRDefault="00A64A89" w:rsidP="00A64A89">
      <w:pPr>
        <w:spacing w:after="0" w:line="360" w:lineRule="auto"/>
        <w:ind w:left="1440" w:hanging="720"/>
        <w:jc w:val="both"/>
        <w:rPr>
          <w:rFonts w:ascii="Bookman Old Style" w:hAnsi="Bookman Old Style"/>
          <w:sz w:val="24"/>
          <w:szCs w:val="24"/>
          <w:lang w:val="en-ZA"/>
        </w:rPr>
      </w:pPr>
      <w:r w:rsidRPr="00282DB7">
        <w:rPr>
          <w:rFonts w:ascii="Bookman Old Style" w:hAnsi="Bookman Old Style"/>
          <w:sz w:val="24"/>
          <w:szCs w:val="24"/>
          <w:lang w:val="en-ZA"/>
        </w:rPr>
        <w:t>(iii)</w:t>
      </w:r>
      <w:r w:rsidRPr="00282DB7">
        <w:rPr>
          <w:rFonts w:ascii="Bookman Old Style" w:hAnsi="Bookman Old Style"/>
          <w:sz w:val="24"/>
          <w:szCs w:val="24"/>
          <w:lang w:val="en-ZA"/>
        </w:rPr>
        <w:tab/>
      </w:r>
      <w:r w:rsidR="002C5955" w:rsidRPr="00A64A89">
        <w:rPr>
          <w:rFonts w:ascii="Bookman Old Style" w:hAnsi="Bookman Old Style"/>
          <w:sz w:val="24"/>
          <w:szCs w:val="24"/>
          <w:lang w:val="en-ZA"/>
        </w:rPr>
        <w:t>t</w:t>
      </w:r>
      <w:r w:rsidR="0054145A" w:rsidRPr="00A64A89">
        <w:rPr>
          <w:rFonts w:ascii="Bookman Old Style" w:hAnsi="Bookman Old Style"/>
          <w:sz w:val="24"/>
          <w:szCs w:val="24"/>
          <w:lang w:val="en-ZA"/>
        </w:rPr>
        <w:t xml:space="preserve">he evaluation of prejudice allegedly suffered by the </w:t>
      </w:r>
      <w:r w:rsidR="00D605EE" w:rsidRPr="00A64A89">
        <w:rPr>
          <w:rFonts w:ascii="Bookman Old Style" w:hAnsi="Bookman Old Style"/>
          <w:sz w:val="24"/>
          <w:szCs w:val="24"/>
          <w:lang w:val="en-ZA"/>
        </w:rPr>
        <w:t>respondent</w:t>
      </w:r>
      <w:r w:rsidR="0054145A" w:rsidRPr="00A64A89">
        <w:rPr>
          <w:rFonts w:ascii="Bookman Old Style" w:hAnsi="Bookman Old Style"/>
          <w:sz w:val="24"/>
          <w:szCs w:val="24"/>
          <w:lang w:val="en-ZA"/>
        </w:rPr>
        <w:t>.</w:t>
      </w:r>
      <w:r w:rsidR="00AB20B5" w:rsidRPr="00A64A89">
        <w:rPr>
          <w:rFonts w:ascii="Bookman Old Style" w:hAnsi="Bookman Old Style"/>
          <w:sz w:val="24"/>
          <w:szCs w:val="24"/>
          <w:lang w:val="en-ZA"/>
        </w:rPr>
        <w:t xml:space="preserve"> </w:t>
      </w:r>
    </w:p>
    <w:p w14:paraId="65296AF9" w14:textId="77777777" w:rsidR="002D3609" w:rsidRPr="00282DB7" w:rsidRDefault="002D3609" w:rsidP="00932B23">
      <w:pPr>
        <w:spacing w:after="0" w:line="360" w:lineRule="auto"/>
        <w:ind w:left="720" w:hanging="720"/>
        <w:jc w:val="both"/>
        <w:rPr>
          <w:rFonts w:ascii="Bookman Old Style" w:hAnsi="Bookman Old Style"/>
          <w:sz w:val="24"/>
          <w:szCs w:val="24"/>
          <w:lang w:val="en-ZA"/>
        </w:rPr>
      </w:pPr>
    </w:p>
    <w:p w14:paraId="415564F6" w14:textId="2C42F2F0" w:rsidR="00D04829" w:rsidRDefault="00AC7D6C" w:rsidP="00282DB7">
      <w:pPr>
        <w:spacing w:after="0" w:line="360" w:lineRule="auto"/>
        <w:ind w:left="720" w:hanging="720"/>
        <w:jc w:val="both"/>
        <w:rPr>
          <w:rFonts w:ascii="Bookman Old Style" w:hAnsi="Bookman Old Style"/>
          <w:highlight w:val="yellow"/>
          <w:lang w:val="en-ZA"/>
        </w:rPr>
      </w:pPr>
      <w:r w:rsidRPr="0054145A">
        <w:rPr>
          <w:rFonts w:ascii="Bookman Old Style" w:hAnsi="Bookman Old Style"/>
          <w:sz w:val="24"/>
          <w:szCs w:val="24"/>
          <w:lang w:val="en-ZA"/>
        </w:rPr>
        <w:t>[</w:t>
      </w:r>
      <w:r w:rsidR="009B7CB4" w:rsidRPr="0054145A">
        <w:rPr>
          <w:rFonts w:ascii="Bookman Old Style" w:hAnsi="Bookman Old Style"/>
          <w:sz w:val="24"/>
          <w:szCs w:val="24"/>
          <w:lang w:val="en-ZA"/>
        </w:rPr>
        <w:t>3</w:t>
      </w:r>
      <w:r w:rsidRPr="0054145A">
        <w:rPr>
          <w:rFonts w:ascii="Bookman Old Style" w:hAnsi="Bookman Old Style"/>
          <w:sz w:val="24"/>
          <w:szCs w:val="24"/>
          <w:lang w:val="en-ZA"/>
        </w:rPr>
        <w:t>]</w:t>
      </w:r>
      <w:r w:rsidRPr="0054145A">
        <w:rPr>
          <w:rFonts w:ascii="Bookman Old Style" w:hAnsi="Bookman Old Style"/>
          <w:sz w:val="24"/>
          <w:szCs w:val="24"/>
          <w:lang w:val="en-ZA"/>
        </w:rPr>
        <w:tab/>
      </w:r>
      <w:r w:rsidR="00D605EE">
        <w:rPr>
          <w:rFonts w:ascii="Bookman Old Style" w:hAnsi="Bookman Old Style"/>
          <w:sz w:val="24"/>
          <w:szCs w:val="24"/>
          <w:lang w:val="en-ZA"/>
        </w:rPr>
        <w:t>The respondent is disputing the merits of th</w:t>
      </w:r>
      <w:r w:rsidR="00444D63">
        <w:rPr>
          <w:rFonts w:ascii="Bookman Old Style" w:hAnsi="Bookman Old Style"/>
          <w:sz w:val="24"/>
          <w:szCs w:val="24"/>
          <w:lang w:val="en-ZA"/>
        </w:rPr>
        <w:t>is</w:t>
      </w:r>
      <w:r w:rsidR="00D605EE">
        <w:rPr>
          <w:rFonts w:ascii="Bookman Old Style" w:hAnsi="Bookman Old Style"/>
          <w:sz w:val="24"/>
          <w:szCs w:val="24"/>
          <w:lang w:val="en-ZA"/>
        </w:rPr>
        <w:t xml:space="preserve"> application and in addition has </w:t>
      </w:r>
      <w:r w:rsidR="005871E3">
        <w:rPr>
          <w:rFonts w:ascii="Bookman Old Style" w:hAnsi="Bookman Old Style"/>
          <w:sz w:val="24"/>
          <w:szCs w:val="24"/>
          <w:lang w:val="en-ZA"/>
        </w:rPr>
        <w:t xml:space="preserve">introduced </w:t>
      </w:r>
      <w:r w:rsidR="00D605EE">
        <w:rPr>
          <w:rFonts w:ascii="Bookman Old Style" w:hAnsi="Bookman Old Style"/>
          <w:sz w:val="24"/>
          <w:szCs w:val="24"/>
          <w:lang w:val="en-ZA"/>
        </w:rPr>
        <w:t>two grounds</w:t>
      </w:r>
      <w:r w:rsidR="005871E3">
        <w:rPr>
          <w:rFonts w:ascii="Bookman Old Style" w:hAnsi="Bookman Old Style"/>
          <w:sz w:val="24"/>
          <w:szCs w:val="24"/>
          <w:lang w:val="en-ZA"/>
        </w:rPr>
        <w:t xml:space="preserve"> challenging the application. These grounds concern the doctrine of peremption and the mootness of the appeal.</w:t>
      </w:r>
    </w:p>
    <w:p w14:paraId="7B39F7E1" w14:textId="77777777" w:rsidR="005871E3" w:rsidRPr="00282DB7" w:rsidRDefault="005871E3" w:rsidP="00605614">
      <w:pPr>
        <w:spacing w:after="0" w:line="360" w:lineRule="auto"/>
        <w:jc w:val="both"/>
        <w:rPr>
          <w:rFonts w:ascii="Bookman Old Style" w:hAnsi="Bookman Old Style"/>
          <w:sz w:val="24"/>
          <w:szCs w:val="24"/>
          <w:highlight w:val="yellow"/>
          <w:lang w:val="en-ZA"/>
        </w:rPr>
      </w:pPr>
    </w:p>
    <w:p w14:paraId="534C4A03" w14:textId="3C54201B" w:rsidR="00981785" w:rsidRPr="0054145A" w:rsidRDefault="00981785">
      <w:pPr>
        <w:spacing w:after="0" w:line="360" w:lineRule="auto"/>
        <w:ind w:left="720" w:hanging="720"/>
        <w:jc w:val="both"/>
        <w:rPr>
          <w:rFonts w:ascii="Bookman Old Style" w:hAnsi="Bookman Old Style"/>
          <w:sz w:val="24"/>
          <w:szCs w:val="24"/>
          <w:lang w:val="en-ZA"/>
        </w:rPr>
      </w:pPr>
      <w:r w:rsidRPr="0054145A">
        <w:rPr>
          <w:rFonts w:ascii="Bookman Old Style" w:hAnsi="Bookman Old Style"/>
          <w:sz w:val="24"/>
          <w:szCs w:val="24"/>
          <w:lang w:val="en-ZA"/>
        </w:rPr>
        <w:t>[4]</w:t>
      </w:r>
      <w:r w:rsidRPr="0054145A">
        <w:rPr>
          <w:rFonts w:ascii="Bookman Old Style" w:hAnsi="Bookman Old Style"/>
          <w:sz w:val="24"/>
          <w:szCs w:val="24"/>
          <w:lang w:val="en-ZA"/>
        </w:rPr>
        <w:tab/>
      </w:r>
      <w:r w:rsidR="005871E3">
        <w:rPr>
          <w:rFonts w:ascii="Bookman Old Style" w:hAnsi="Bookman Old Style"/>
          <w:sz w:val="24"/>
          <w:szCs w:val="24"/>
          <w:lang w:val="en-ZA"/>
        </w:rPr>
        <w:t>In light of the number of issues raised by the respondent in its opposition of the</w:t>
      </w:r>
      <w:r w:rsidR="002C5955">
        <w:rPr>
          <w:rFonts w:ascii="Bookman Old Style" w:hAnsi="Bookman Old Style"/>
          <w:sz w:val="24"/>
          <w:szCs w:val="24"/>
          <w:lang w:val="en-ZA"/>
        </w:rPr>
        <w:t xml:space="preserve"> application for leave to</w:t>
      </w:r>
      <w:r w:rsidR="00444D63">
        <w:rPr>
          <w:rFonts w:ascii="Bookman Old Style" w:hAnsi="Bookman Old Style"/>
          <w:sz w:val="24"/>
          <w:szCs w:val="24"/>
          <w:lang w:val="en-ZA"/>
        </w:rPr>
        <w:t xml:space="preserve"> </w:t>
      </w:r>
      <w:r w:rsidR="002C5955">
        <w:rPr>
          <w:rFonts w:ascii="Bookman Old Style" w:hAnsi="Bookman Old Style"/>
          <w:sz w:val="24"/>
          <w:szCs w:val="24"/>
          <w:lang w:val="en-ZA"/>
        </w:rPr>
        <w:t>appeal and by consent</w:t>
      </w:r>
      <w:r w:rsidR="005871E3">
        <w:rPr>
          <w:rFonts w:ascii="Bookman Old Style" w:hAnsi="Bookman Old Style"/>
          <w:sz w:val="24"/>
          <w:szCs w:val="24"/>
          <w:lang w:val="en-ZA"/>
        </w:rPr>
        <w:t xml:space="preserve">, the respondent undertook the duty to begin and </w:t>
      </w:r>
      <w:r w:rsidR="002C5955">
        <w:rPr>
          <w:rFonts w:ascii="Bookman Old Style" w:hAnsi="Bookman Old Style"/>
          <w:sz w:val="24"/>
          <w:szCs w:val="24"/>
          <w:lang w:val="en-ZA"/>
        </w:rPr>
        <w:t xml:space="preserve">argue against the application. </w:t>
      </w:r>
      <w:r w:rsidR="005871E3">
        <w:rPr>
          <w:rFonts w:ascii="Bookman Old Style" w:hAnsi="Bookman Old Style"/>
          <w:sz w:val="24"/>
          <w:szCs w:val="24"/>
          <w:lang w:val="en-ZA"/>
        </w:rPr>
        <w:t xml:space="preserve"> </w:t>
      </w:r>
    </w:p>
    <w:p w14:paraId="48AAAC44" w14:textId="3857902F" w:rsidR="00F65164" w:rsidRPr="00282DB7" w:rsidRDefault="00F65164">
      <w:pPr>
        <w:spacing w:after="0" w:line="360" w:lineRule="auto"/>
        <w:ind w:left="720" w:hanging="720"/>
        <w:jc w:val="both"/>
        <w:rPr>
          <w:rFonts w:ascii="Bookman Old Style" w:hAnsi="Bookman Old Style"/>
          <w:sz w:val="24"/>
          <w:szCs w:val="24"/>
          <w:lang w:val="en-ZA"/>
        </w:rPr>
      </w:pPr>
    </w:p>
    <w:p w14:paraId="12432ABA" w14:textId="1ADE83F1" w:rsidR="0054145A" w:rsidRPr="00282DB7" w:rsidRDefault="0054145A">
      <w:pPr>
        <w:spacing w:after="0" w:line="360" w:lineRule="auto"/>
        <w:ind w:left="720" w:hanging="720"/>
        <w:jc w:val="both"/>
        <w:rPr>
          <w:rFonts w:ascii="Bookman Old Style" w:hAnsi="Bookman Old Style"/>
          <w:sz w:val="24"/>
          <w:szCs w:val="24"/>
          <w:lang w:val="en-ZA"/>
        </w:rPr>
      </w:pPr>
      <w:r w:rsidRPr="00282DB7">
        <w:rPr>
          <w:rFonts w:ascii="Bookman Old Style" w:hAnsi="Bookman Old Style"/>
          <w:sz w:val="24"/>
          <w:szCs w:val="24"/>
          <w:lang w:val="en-ZA"/>
        </w:rPr>
        <w:t>LEGAL PRINCIPLE</w:t>
      </w:r>
    </w:p>
    <w:p w14:paraId="1DD61104" w14:textId="77777777" w:rsidR="0054145A" w:rsidRPr="00282DB7" w:rsidRDefault="0054145A">
      <w:pPr>
        <w:spacing w:after="0" w:line="360" w:lineRule="auto"/>
        <w:ind w:left="720" w:hanging="720"/>
        <w:jc w:val="both"/>
        <w:rPr>
          <w:rFonts w:ascii="Bookman Old Style" w:hAnsi="Bookman Old Style"/>
          <w:sz w:val="24"/>
          <w:szCs w:val="24"/>
          <w:lang w:val="en-ZA"/>
        </w:rPr>
      </w:pPr>
    </w:p>
    <w:p w14:paraId="221C57E8" w14:textId="026074CB" w:rsidR="0054145A" w:rsidRDefault="00524387">
      <w:pPr>
        <w:spacing w:after="0" w:line="360" w:lineRule="auto"/>
        <w:ind w:left="720" w:hanging="720"/>
        <w:jc w:val="both"/>
        <w:rPr>
          <w:rFonts w:ascii="Bookman Old Style" w:hAnsi="Bookman Old Style"/>
          <w:sz w:val="24"/>
          <w:szCs w:val="24"/>
          <w:lang w:val="en-ZA"/>
        </w:rPr>
      </w:pPr>
      <w:r w:rsidRPr="0054145A">
        <w:rPr>
          <w:rFonts w:ascii="Bookman Old Style" w:hAnsi="Bookman Old Style"/>
          <w:sz w:val="24"/>
          <w:szCs w:val="24"/>
          <w:lang w:val="en-ZA"/>
        </w:rPr>
        <w:t>[5]</w:t>
      </w:r>
      <w:r w:rsidRPr="0054145A">
        <w:rPr>
          <w:rFonts w:ascii="Bookman Old Style" w:hAnsi="Bookman Old Style"/>
          <w:sz w:val="24"/>
          <w:szCs w:val="24"/>
          <w:lang w:val="en-ZA"/>
        </w:rPr>
        <w:tab/>
      </w:r>
      <w:r w:rsidR="0054145A">
        <w:rPr>
          <w:rFonts w:ascii="Bookman Old Style" w:hAnsi="Bookman Old Style"/>
          <w:sz w:val="24"/>
          <w:szCs w:val="24"/>
          <w:lang w:val="en-ZA"/>
        </w:rPr>
        <w:t xml:space="preserve">The test for granting leave to appeal is stated in </w:t>
      </w:r>
      <w:r w:rsidR="00605614">
        <w:rPr>
          <w:rFonts w:ascii="Bookman Old Style" w:hAnsi="Bookman Old Style"/>
          <w:sz w:val="24"/>
          <w:szCs w:val="24"/>
          <w:lang w:val="en-ZA"/>
        </w:rPr>
        <w:t>s</w:t>
      </w:r>
      <w:r w:rsidR="0054145A">
        <w:rPr>
          <w:rFonts w:ascii="Bookman Old Style" w:hAnsi="Bookman Old Style"/>
          <w:sz w:val="24"/>
          <w:szCs w:val="24"/>
          <w:lang w:val="en-ZA"/>
        </w:rPr>
        <w:t>ection 17 (1)(a)(i) of the Superior Courts Act</w:t>
      </w:r>
      <w:r w:rsidR="002C5955">
        <w:rPr>
          <w:rStyle w:val="FootnoteReference"/>
          <w:rFonts w:ascii="Bookman Old Style" w:hAnsi="Bookman Old Style"/>
          <w:sz w:val="24"/>
          <w:szCs w:val="24"/>
          <w:lang w:val="en-ZA"/>
        </w:rPr>
        <w:footnoteReference w:id="2"/>
      </w:r>
      <w:r w:rsidR="0054145A">
        <w:rPr>
          <w:rFonts w:ascii="Bookman Old Style" w:hAnsi="Bookman Old Style"/>
          <w:sz w:val="24"/>
          <w:szCs w:val="24"/>
          <w:lang w:val="en-ZA"/>
        </w:rPr>
        <w:t xml:space="preserve"> as follows: </w:t>
      </w:r>
    </w:p>
    <w:p w14:paraId="1FD58B94" w14:textId="5E587020" w:rsidR="0054145A" w:rsidRDefault="0054145A">
      <w:pPr>
        <w:spacing w:after="0" w:line="360" w:lineRule="auto"/>
        <w:ind w:left="720" w:hanging="720"/>
        <w:jc w:val="both"/>
        <w:rPr>
          <w:rFonts w:ascii="Bookman Old Style" w:hAnsi="Bookman Old Style"/>
          <w:sz w:val="24"/>
          <w:szCs w:val="24"/>
          <w:lang w:val="en-ZA"/>
        </w:rPr>
      </w:pPr>
    </w:p>
    <w:p w14:paraId="01D260C8" w14:textId="567A0A03" w:rsidR="0054145A" w:rsidRPr="00282DB7" w:rsidRDefault="0054145A">
      <w:pPr>
        <w:spacing w:after="0" w:line="360" w:lineRule="auto"/>
        <w:ind w:left="720" w:hanging="720"/>
        <w:jc w:val="both"/>
        <w:rPr>
          <w:rFonts w:ascii="Bookman Old Style" w:hAnsi="Bookman Old Style"/>
          <w:i/>
          <w:iCs/>
          <w:lang w:val="en-ZA"/>
        </w:rPr>
      </w:pPr>
      <w:r w:rsidRPr="00605614">
        <w:rPr>
          <w:rFonts w:ascii="Bookman Old Style" w:hAnsi="Bookman Old Style"/>
          <w:sz w:val="24"/>
          <w:szCs w:val="24"/>
          <w:lang w:val="en-ZA"/>
        </w:rPr>
        <w:lastRenderedPageBreak/>
        <w:tab/>
      </w:r>
      <w:r w:rsidRPr="00282DB7">
        <w:rPr>
          <w:rFonts w:ascii="Bookman Old Style" w:hAnsi="Bookman Old Style"/>
          <w:lang w:val="en-ZA"/>
        </w:rPr>
        <w:t>“</w:t>
      </w:r>
      <w:r w:rsidRPr="00282DB7">
        <w:rPr>
          <w:rFonts w:ascii="Bookman Old Style" w:hAnsi="Bookman Old Style"/>
          <w:i/>
          <w:iCs/>
          <w:lang w:val="en-ZA"/>
        </w:rPr>
        <w:t xml:space="preserve">17 (1) </w:t>
      </w:r>
      <w:r w:rsidR="002C5955">
        <w:rPr>
          <w:rFonts w:ascii="Bookman Old Style" w:hAnsi="Bookman Old Style"/>
          <w:i/>
          <w:iCs/>
          <w:lang w:val="en-ZA"/>
        </w:rPr>
        <w:t>L</w:t>
      </w:r>
      <w:r w:rsidRPr="00282DB7">
        <w:rPr>
          <w:rFonts w:ascii="Bookman Old Style" w:hAnsi="Bookman Old Style"/>
          <w:i/>
          <w:iCs/>
          <w:lang w:val="en-ZA"/>
        </w:rPr>
        <w:t>eave to appeal may only be given where</w:t>
      </w:r>
      <w:r w:rsidR="005871E3" w:rsidRPr="00282DB7">
        <w:rPr>
          <w:rFonts w:ascii="Bookman Old Style" w:hAnsi="Bookman Old Style"/>
          <w:i/>
          <w:iCs/>
          <w:lang w:val="en-ZA"/>
        </w:rPr>
        <w:t xml:space="preserve"> a</w:t>
      </w:r>
      <w:r w:rsidRPr="00282DB7">
        <w:rPr>
          <w:rFonts w:ascii="Bookman Old Style" w:hAnsi="Bookman Old Style"/>
          <w:i/>
          <w:iCs/>
          <w:lang w:val="en-ZA"/>
        </w:rPr>
        <w:t xml:space="preserve"> judge or judges concerned are of the opinion that – </w:t>
      </w:r>
    </w:p>
    <w:p w14:paraId="6C4B1924" w14:textId="4644E68C" w:rsidR="0054145A" w:rsidRPr="00282DB7" w:rsidRDefault="0054145A">
      <w:pPr>
        <w:spacing w:after="0" w:line="360" w:lineRule="auto"/>
        <w:ind w:left="720" w:hanging="720"/>
        <w:jc w:val="both"/>
        <w:rPr>
          <w:rFonts w:ascii="Bookman Old Style" w:hAnsi="Bookman Old Style"/>
          <w:i/>
          <w:iCs/>
          <w:lang w:val="en-ZA"/>
        </w:rPr>
      </w:pPr>
      <w:r w:rsidRPr="00282DB7">
        <w:rPr>
          <w:rFonts w:ascii="Bookman Old Style" w:hAnsi="Bookman Old Style"/>
          <w:i/>
          <w:iCs/>
          <w:lang w:val="en-ZA"/>
        </w:rPr>
        <w:tab/>
      </w:r>
    </w:p>
    <w:p w14:paraId="5C4D6B2A" w14:textId="730A4FBE" w:rsidR="0054145A" w:rsidRPr="00282DB7" w:rsidRDefault="0054145A">
      <w:pPr>
        <w:spacing w:after="0" w:line="360" w:lineRule="auto"/>
        <w:ind w:left="720" w:hanging="720"/>
        <w:jc w:val="both"/>
        <w:rPr>
          <w:rFonts w:ascii="Bookman Old Style" w:hAnsi="Bookman Old Style"/>
          <w:lang w:val="en-ZA"/>
        </w:rPr>
      </w:pPr>
      <w:r w:rsidRPr="00282DB7">
        <w:rPr>
          <w:rFonts w:ascii="Bookman Old Style" w:hAnsi="Bookman Old Style"/>
          <w:i/>
          <w:iCs/>
          <w:lang w:val="en-ZA"/>
        </w:rPr>
        <w:tab/>
        <w:t>(a)(i) the appeal</w:t>
      </w:r>
      <w:r w:rsidR="00372C19" w:rsidRPr="00282DB7">
        <w:rPr>
          <w:rFonts w:ascii="Bookman Old Style" w:hAnsi="Bookman Old Style"/>
          <w:i/>
          <w:iCs/>
          <w:lang w:val="en-ZA"/>
        </w:rPr>
        <w:t xml:space="preserve"> would have a reasonable prospect of success</w:t>
      </w:r>
      <w:r w:rsidR="00605614" w:rsidRPr="00282DB7">
        <w:rPr>
          <w:rFonts w:ascii="Bookman Old Style" w:hAnsi="Bookman Old Style"/>
          <w:i/>
          <w:iCs/>
          <w:lang w:val="en-ZA"/>
        </w:rPr>
        <w:t>”</w:t>
      </w:r>
      <w:r w:rsidR="00372C19" w:rsidRPr="00282DB7">
        <w:rPr>
          <w:rFonts w:ascii="Bookman Old Style" w:hAnsi="Bookman Old Style"/>
          <w:lang w:val="en-ZA"/>
        </w:rPr>
        <w:t>.</w:t>
      </w:r>
    </w:p>
    <w:p w14:paraId="7601EECE" w14:textId="786AD7D5" w:rsidR="00C522AA" w:rsidRPr="00372C19" w:rsidRDefault="00C522AA">
      <w:pPr>
        <w:spacing w:after="0" w:line="360" w:lineRule="auto"/>
        <w:jc w:val="both"/>
        <w:rPr>
          <w:rFonts w:ascii="Bookman Old Style" w:hAnsi="Bookman Old Style"/>
          <w:sz w:val="24"/>
          <w:szCs w:val="24"/>
          <w:lang w:val="en-ZA"/>
        </w:rPr>
      </w:pPr>
    </w:p>
    <w:p w14:paraId="72D9E157" w14:textId="32437EF3" w:rsidR="00FF515B" w:rsidRDefault="00F65164" w:rsidP="00F64734">
      <w:pPr>
        <w:spacing w:after="0" w:line="360" w:lineRule="auto"/>
        <w:ind w:left="720" w:hanging="720"/>
        <w:jc w:val="both"/>
        <w:rPr>
          <w:rFonts w:ascii="Bookman Old Style" w:hAnsi="Bookman Old Style"/>
          <w:sz w:val="24"/>
          <w:szCs w:val="24"/>
          <w:lang w:val="en-ZA"/>
        </w:rPr>
      </w:pPr>
      <w:r w:rsidRPr="00372C19">
        <w:rPr>
          <w:rFonts w:ascii="Bookman Old Style" w:hAnsi="Bookman Old Style"/>
          <w:sz w:val="24"/>
          <w:szCs w:val="24"/>
          <w:lang w:val="en-ZA"/>
        </w:rPr>
        <w:t>[</w:t>
      </w:r>
      <w:r w:rsidR="00C522AA" w:rsidRPr="00372C19">
        <w:rPr>
          <w:rFonts w:ascii="Bookman Old Style" w:hAnsi="Bookman Old Style"/>
          <w:sz w:val="24"/>
          <w:szCs w:val="24"/>
          <w:lang w:val="en-ZA"/>
        </w:rPr>
        <w:t>6</w:t>
      </w:r>
      <w:r w:rsidRPr="00372C19">
        <w:rPr>
          <w:rFonts w:ascii="Bookman Old Style" w:hAnsi="Bookman Old Style"/>
          <w:sz w:val="24"/>
          <w:szCs w:val="24"/>
          <w:lang w:val="en-ZA"/>
        </w:rPr>
        <w:t>]</w:t>
      </w:r>
      <w:r w:rsidRPr="00372C19">
        <w:rPr>
          <w:rFonts w:ascii="Bookman Old Style" w:hAnsi="Bookman Old Style"/>
          <w:sz w:val="24"/>
          <w:szCs w:val="24"/>
          <w:lang w:val="en-ZA"/>
        </w:rPr>
        <w:tab/>
      </w:r>
      <w:r w:rsidR="00372C19">
        <w:rPr>
          <w:rFonts w:ascii="Bookman Old Style" w:hAnsi="Bookman Old Style"/>
          <w:sz w:val="24"/>
          <w:szCs w:val="24"/>
          <w:lang w:val="en-ZA"/>
        </w:rPr>
        <w:t xml:space="preserve">The effect of section 17 (1) was explained in the decision of </w:t>
      </w:r>
      <w:r w:rsidR="00372C19" w:rsidRPr="00372C19">
        <w:rPr>
          <w:rFonts w:ascii="Bookman Old Style" w:hAnsi="Bookman Old Style"/>
          <w:i/>
          <w:iCs/>
          <w:sz w:val="24"/>
          <w:szCs w:val="24"/>
          <w:lang w:val="en-ZA"/>
        </w:rPr>
        <w:t>The Mont Chevaux Trust (IT2012/28) v Tina Goosen and 18 Others</w:t>
      </w:r>
      <w:r w:rsidR="00372C19">
        <w:rPr>
          <w:rStyle w:val="FootnoteReference"/>
          <w:rFonts w:ascii="Bookman Old Style" w:hAnsi="Bookman Old Style"/>
          <w:sz w:val="24"/>
          <w:szCs w:val="24"/>
          <w:lang w:val="en-ZA"/>
        </w:rPr>
        <w:footnoteReference w:id="3"/>
      </w:r>
      <w:r w:rsidR="00372C19">
        <w:rPr>
          <w:rFonts w:ascii="Bookman Old Style" w:hAnsi="Bookman Old Style"/>
          <w:sz w:val="24"/>
          <w:szCs w:val="24"/>
          <w:lang w:val="en-ZA"/>
        </w:rPr>
        <w:t xml:space="preserve"> </w:t>
      </w:r>
      <w:r w:rsidR="00605614">
        <w:rPr>
          <w:rFonts w:ascii="Bookman Old Style" w:hAnsi="Bookman Old Style"/>
          <w:sz w:val="24"/>
          <w:szCs w:val="24"/>
          <w:lang w:val="en-ZA"/>
        </w:rPr>
        <w:t xml:space="preserve">case, </w:t>
      </w:r>
      <w:r w:rsidR="00372C19">
        <w:rPr>
          <w:rFonts w:ascii="Bookman Old Style" w:hAnsi="Bookman Old Style"/>
          <w:sz w:val="24"/>
          <w:szCs w:val="24"/>
          <w:lang w:val="en-ZA"/>
        </w:rPr>
        <w:t>where Bert</w:t>
      </w:r>
      <w:r w:rsidR="006C0ACB">
        <w:rPr>
          <w:rFonts w:ascii="Bookman Old Style" w:hAnsi="Bookman Old Style"/>
          <w:sz w:val="24"/>
          <w:szCs w:val="24"/>
          <w:lang w:val="en-ZA"/>
        </w:rPr>
        <w:t>e</w:t>
      </w:r>
      <w:r w:rsidR="00372C19">
        <w:rPr>
          <w:rFonts w:ascii="Bookman Old Style" w:hAnsi="Bookman Old Style"/>
          <w:sz w:val="24"/>
          <w:szCs w:val="24"/>
          <w:lang w:val="en-ZA"/>
        </w:rPr>
        <w:t xml:space="preserve">lsmann J said: </w:t>
      </w:r>
    </w:p>
    <w:p w14:paraId="5BC2F845" w14:textId="5C41DE79" w:rsidR="00372C19" w:rsidRDefault="00372C19" w:rsidP="00F64734">
      <w:pPr>
        <w:spacing w:after="0" w:line="360" w:lineRule="auto"/>
        <w:ind w:left="720" w:hanging="720"/>
        <w:jc w:val="both"/>
        <w:rPr>
          <w:rFonts w:ascii="Bookman Old Style" w:hAnsi="Bookman Old Style"/>
          <w:sz w:val="24"/>
          <w:szCs w:val="24"/>
          <w:lang w:val="en-ZA"/>
        </w:rPr>
      </w:pPr>
    </w:p>
    <w:p w14:paraId="6600B055" w14:textId="39CDF93B" w:rsidR="00372C19" w:rsidRPr="00282DB7" w:rsidRDefault="00372C19" w:rsidP="00F64734">
      <w:pPr>
        <w:spacing w:after="0" w:line="360" w:lineRule="auto"/>
        <w:ind w:left="720" w:hanging="720"/>
        <w:jc w:val="both"/>
        <w:rPr>
          <w:rFonts w:ascii="Bookman Old Style" w:hAnsi="Bookman Old Style"/>
          <w:lang w:val="en-ZA"/>
        </w:rPr>
      </w:pPr>
      <w:r>
        <w:rPr>
          <w:rFonts w:ascii="Bookman Old Style" w:hAnsi="Bookman Old Style"/>
          <w:sz w:val="24"/>
          <w:szCs w:val="24"/>
          <w:lang w:val="en-ZA"/>
        </w:rPr>
        <w:tab/>
      </w:r>
      <w:r w:rsidRPr="00282DB7">
        <w:rPr>
          <w:rFonts w:ascii="Bookman Old Style" w:hAnsi="Bookman Old Style"/>
          <w:lang w:val="en-ZA"/>
        </w:rPr>
        <w:t>“</w:t>
      </w:r>
      <w:r w:rsidRPr="00282DB7">
        <w:rPr>
          <w:rFonts w:ascii="Bookman Old Style" w:hAnsi="Bookman Old Style"/>
          <w:i/>
          <w:iCs/>
          <w:lang w:val="en-ZA"/>
        </w:rPr>
        <w:t xml:space="preserve">It is clear that the threshold for granting leave to appeal against a judgment of a High Court has been raised in the new </w:t>
      </w:r>
      <w:r w:rsidR="006C0ACB" w:rsidRPr="00282DB7">
        <w:rPr>
          <w:rFonts w:ascii="Bookman Old Style" w:hAnsi="Bookman Old Style"/>
          <w:i/>
          <w:iCs/>
          <w:lang w:val="en-ZA"/>
        </w:rPr>
        <w:t>A</w:t>
      </w:r>
      <w:r w:rsidRPr="00282DB7">
        <w:rPr>
          <w:rFonts w:ascii="Bookman Old Style" w:hAnsi="Bookman Old Style"/>
          <w:i/>
          <w:iCs/>
          <w:lang w:val="en-ZA"/>
        </w:rPr>
        <w:t>ct. The former test whether leave to appeal should be granted was a reasonable prospect that another court might come to a different conclusion, see Van Heerden v Cronwright and Others 1985 (2) SA 342 (T) at 343H. The use of the word “would” in the new statute indicates a measure of certainty that another court will differ from the court whose judgment is sought to be appealed against</w:t>
      </w:r>
      <w:r w:rsidRPr="00282DB7">
        <w:rPr>
          <w:rStyle w:val="FootnoteReference"/>
          <w:rFonts w:ascii="Bookman Old Style" w:hAnsi="Bookman Old Style"/>
          <w:lang w:val="en-ZA"/>
        </w:rPr>
        <w:footnoteReference w:id="4"/>
      </w:r>
      <w:r w:rsidR="00605614" w:rsidRPr="00282DB7">
        <w:rPr>
          <w:rFonts w:ascii="Bookman Old Style" w:hAnsi="Bookman Old Style"/>
          <w:i/>
          <w:iCs/>
          <w:lang w:val="en-ZA"/>
        </w:rPr>
        <w:t>”</w:t>
      </w:r>
      <w:r w:rsidRPr="00282DB7">
        <w:rPr>
          <w:rFonts w:ascii="Bookman Old Style" w:hAnsi="Bookman Old Style"/>
          <w:lang w:val="en-ZA"/>
        </w:rPr>
        <w:t>.</w:t>
      </w:r>
    </w:p>
    <w:p w14:paraId="1A0ECC61" w14:textId="77777777" w:rsidR="007F23A2" w:rsidRPr="005871E3" w:rsidRDefault="007F23A2" w:rsidP="00F64734">
      <w:pPr>
        <w:spacing w:after="0" w:line="360" w:lineRule="auto"/>
        <w:ind w:left="720" w:hanging="720"/>
        <w:jc w:val="both"/>
        <w:rPr>
          <w:rFonts w:ascii="Bookman Old Style" w:hAnsi="Bookman Old Style"/>
          <w:lang w:val="en-ZA"/>
        </w:rPr>
      </w:pPr>
    </w:p>
    <w:p w14:paraId="44C36AB2" w14:textId="77777777" w:rsidR="007F23A2" w:rsidRPr="00605614" w:rsidRDefault="007F23A2" w:rsidP="007F23A2">
      <w:pPr>
        <w:spacing w:after="0" w:line="360" w:lineRule="auto"/>
        <w:ind w:left="720" w:hanging="720"/>
        <w:jc w:val="both"/>
        <w:rPr>
          <w:rFonts w:ascii="Bookman Old Style" w:hAnsi="Bookman Old Style"/>
          <w:sz w:val="24"/>
          <w:szCs w:val="24"/>
          <w:lang w:val="en-ZA"/>
        </w:rPr>
      </w:pPr>
      <w:r w:rsidRPr="00282DB7">
        <w:rPr>
          <w:rFonts w:ascii="Bookman Old Style" w:hAnsi="Bookman Old Style"/>
          <w:sz w:val="24"/>
          <w:szCs w:val="24"/>
          <w:lang w:val="en-ZA"/>
        </w:rPr>
        <w:t>[7]</w:t>
      </w:r>
      <w:r w:rsidRPr="00282DB7">
        <w:rPr>
          <w:rFonts w:ascii="Bookman Old Style" w:hAnsi="Bookman Old Style"/>
          <w:sz w:val="24"/>
          <w:szCs w:val="24"/>
          <w:lang w:val="en-ZA"/>
        </w:rPr>
        <w:tab/>
      </w:r>
      <w:r w:rsidRPr="00605614">
        <w:rPr>
          <w:rFonts w:ascii="Bookman Old Style" w:hAnsi="Bookman Old Style"/>
          <w:sz w:val="24"/>
          <w:szCs w:val="24"/>
          <w:lang w:val="en-ZA"/>
        </w:rPr>
        <w:t xml:space="preserve">The phrase “reasonable prospects” was considered in </w:t>
      </w:r>
      <w:r w:rsidRPr="00282DB7">
        <w:rPr>
          <w:rFonts w:ascii="Bookman Old Style" w:hAnsi="Bookman Old Style"/>
          <w:i/>
          <w:iCs/>
          <w:sz w:val="24"/>
          <w:szCs w:val="24"/>
          <w:lang w:val="en-ZA"/>
        </w:rPr>
        <w:t>Smith v S</w:t>
      </w:r>
      <w:r w:rsidRPr="00605614">
        <w:rPr>
          <w:rStyle w:val="FootnoteReference"/>
          <w:rFonts w:ascii="Bookman Old Style" w:hAnsi="Bookman Old Style"/>
          <w:sz w:val="24"/>
          <w:szCs w:val="24"/>
          <w:lang w:val="en-ZA"/>
        </w:rPr>
        <w:footnoteReference w:id="5"/>
      </w:r>
      <w:r w:rsidRPr="00605614">
        <w:rPr>
          <w:rFonts w:ascii="Bookman Old Style" w:hAnsi="Bookman Old Style"/>
          <w:sz w:val="24"/>
          <w:szCs w:val="24"/>
          <w:lang w:val="en-ZA"/>
        </w:rPr>
        <w:t xml:space="preserve"> and Plasket AJA held that: </w:t>
      </w:r>
    </w:p>
    <w:p w14:paraId="17E1171E" w14:textId="77777777" w:rsidR="007F23A2" w:rsidRDefault="007F23A2" w:rsidP="007F23A2">
      <w:pPr>
        <w:spacing w:after="0" w:line="360" w:lineRule="auto"/>
        <w:ind w:left="720" w:hanging="720"/>
        <w:jc w:val="both"/>
        <w:rPr>
          <w:rFonts w:ascii="Bookman Old Style" w:hAnsi="Bookman Old Style"/>
          <w:sz w:val="24"/>
          <w:szCs w:val="24"/>
          <w:lang w:val="en-ZA"/>
        </w:rPr>
      </w:pPr>
    </w:p>
    <w:p w14:paraId="31409551" w14:textId="730EDE8E" w:rsidR="007F23A2" w:rsidRPr="00282DB7" w:rsidRDefault="007F23A2" w:rsidP="007F23A2">
      <w:pPr>
        <w:spacing w:after="0" w:line="360" w:lineRule="auto"/>
        <w:ind w:left="720" w:hanging="720"/>
        <w:jc w:val="both"/>
        <w:rPr>
          <w:rFonts w:ascii="Bookman Old Style" w:hAnsi="Bookman Old Style"/>
          <w:lang w:val="en-ZA"/>
        </w:rPr>
      </w:pPr>
      <w:r w:rsidRPr="00605614">
        <w:rPr>
          <w:rFonts w:ascii="Bookman Old Style" w:hAnsi="Bookman Old Style"/>
          <w:sz w:val="24"/>
          <w:szCs w:val="24"/>
          <w:lang w:val="en-ZA"/>
        </w:rPr>
        <w:tab/>
      </w:r>
      <w:r w:rsidRPr="00282DB7">
        <w:rPr>
          <w:rFonts w:ascii="Bookman Old Style" w:hAnsi="Bookman Old Style"/>
          <w:lang w:val="en-ZA"/>
        </w:rPr>
        <w:t>“</w:t>
      </w:r>
      <w:r w:rsidRPr="00282DB7">
        <w:rPr>
          <w:rFonts w:ascii="Bookman Old Style" w:hAnsi="Bookman Old Style"/>
          <w:i/>
          <w:iCs/>
          <w:lang w:val="en-ZA"/>
        </w:rPr>
        <w:t>What the test of reasonable prospects of success postulates is a dispassionate decision, based on the facts and the law</w:t>
      </w:r>
      <w:r w:rsidR="006C0ACB" w:rsidRPr="00282DB7">
        <w:rPr>
          <w:rFonts w:ascii="Bookman Old Style" w:hAnsi="Bookman Old Style"/>
          <w:i/>
          <w:iCs/>
          <w:lang w:val="en-ZA"/>
        </w:rPr>
        <w:t>,</w:t>
      </w:r>
      <w:r w:rsidRPr="00282DB7">
        <w:rPr>
          <w:rFonts w:ascii="Bookman Old Style" w:hAnsi="Bookman Old Style"/>
          <w:i/>
          <w:iCs/>
          <w:lang w:val="en-ZA"/>
        </w:rPr>
        <w:t xml:space="preserve"> that a court of appeal could reasonably arrive at a conclusion different to that of a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w:t>
      </w:r>
      <w:r w:rsidR="00C30363" w:rsidRPr="00282DB7">
        <w:rPr>
          <w:rFonts w:ascii="Bookman Old Style" w:hAnsi="Bookman Old Style"/>
          <w:i/>
          <w:iCs/>
          <w:lang w:val="en-ZA"/>
        </w:rPr>
        <w:t>,</w:t>
      </w:r>
      <w:r w:rsidRPr="00282DB7">
        <w:rPr>
          <w:rFonts w:ascii="Bookman Old Style" w:hAnsi="Bookman Old Style"/>
          <w:i/>
          <w:iCs/>
          <w:lang w:val="en-ZA"/>
        </w:rPr>
        <w:t xml:space="preserve"> rational basis for the conclusion that there are prospects of success on appeal</w:t>
      </w:r>
      <w:r w:rsidRPr="00282DB7">
        <w:rPr>
          <w:rFonts w:ascii="Bookman Old Style" w:hAnsi="Bookman Old Style"/>
          <w:lang w:val="en-ZA"/>
        </w:rPr>
        <w:t xml:space="preserve">”. </w:t>
      </w:r>
    </w:p>
    <w:p w14:paraId="5D0E0C8C" w14:textId="77777777" w:rsidR="007F23A2" w:rsidRPr="00182395" w:rsidRDefault="007F23A2" w:rsidP="00C670B4">
      <w:pPr>
        <w:spacing w:after="0" w:line="360" w:lineRule="auto"/>
        <w:jc w:val="both"/>
        <w:rPr>
          <w:rFonts w:ascii="Bookman Old Style" w:hAnsi="Bookman Old Style"/>
          <w:lang w:val="en-ZA"/>
        </w:rPr>
      </w:pPr>
    </w:p>
    <w:p w14:paraId="1ABC9632" w14:textId="56A895F0" w:rsidR="005871E3" w:rsidRDefault="000F2660" w:rsidP="00E13375">
      <w:pPr>
        <w:spacing w:after="0" w:line="360" w:lineRule="auto"/>
        <w:ind w:left="720" w:hanging="720"/>
        <w:jc w:val="both"/>
        <w:rPr>
          <w:rFonts w:ascii="Bookman Old Style" w:hAnsi="Bookman Old Style"/>
          <w:sz w:val="24"/>
          <w:szCs w:val="24"/>
          <w:lang w:val="en-ZA"/>
        </w:rPr>
      </w:pPr>
      <w:r w:rsidRPr="00372C19">
        <w:rPr>
          <w:rFonts w:ascii="Bookman Old Style" w:hAnsi="Bookman Old Style"/>
          <w:sz w:val="24"/>
          <w:szCs w:val="24"/>
          <w:lang w:val="en-ZA"/>
        </w:rPr>
        <w:lastRenderedPageBreak/>
        <w:t>[</w:t>
      </w:r>
      <w:r w:rsidR="007F23A2">
        <w:rPr>
          <w:rFonts w:ascii="Bookman Old Style" w:hAnsi="Bookman Old Style"/>
          <w:sz w:val="24"/>
          <w:szCs w:val="24"/>
          <w:lang w:val="en-ZA"/>
        </w:rPr>
        <w:t>8</w:t>
      </w:r>
      <w:r w:rsidRPr="00372C19">
        <w:rPr>
          <w:rFonts w:ascii="Bookman Old Style" w:hAnsi="Bookman Old Style"/>
          <w:sz w:val="24"/>
          <w:szCs w:val="24"/>
          <w:lang w:val="en-ZA"/>
        </w:rPr>
        <w:t>]</w:t>
      </w:r>
      <w:r w:rsidRPr="00372C19">
        <w:rPr>
          <w:rFonts w:ascii="Bookman Old Style" w:hAnsi="Bookman Old Style"/>
          <w:sz w:val="24"/>
          <w:szCs w:val="24"/>
          <w:lang w:val="en-ZA"/>
        </w:rPr>
        <w:tab/>
      </w:r>
      <w:r w:rsidR="005871E3">
        <w:rPr>
          <w:rFonts w:ascii="Bookman Old Style" w:hAnsi="Bookman Old Style"/>
          <w:sz w:val="24"/>
          <w:szCs w:val="24"/>
          <w:lang w:val="en-ZA"/>
        </w:rPr>
        <w:t>In its application for leave to appeal</w:t>
      </w:r>
      <w:r w:rsidR="00E81FBA">
        <w:rPr>
          <w:rFonts w:ascii="Bookman Old Style" w:hAnsi="Bookman Old Style"/>
          <w:sz w:val="24"/>
          <w:szCs w:val="24"/>
          <w:lang w:val="en-ZA"/>
        </w:rPr>
        <w:t>,</w:t>
      </w:r>
      <w:r w:rsidR="005871E3">
        <w:rPr>
          <w:rFonts w:ascii="Bookman Old Style" w:hAnsi="Bookman Old Style"/>
          <w:sz w:val="24"/>
          <w:szCs w:val="24"/>
          <w:lang w:val="en-ZA"/>
        </w:rPr>
        <w:t xml:space="preserve"> and in particular in its conclusion, the applicant submits that: </w:t>
      </w:r>
    </w:p>
    <w:p w14:paraId="2C1CD998" w14:textId="25BF66C7" w:rsidR="00D05AD6" w:rsidRDefault="00D05AD6" w:rsidP="00E13375">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ab/>
      </w:r>
    </w:p>
    <w:p w14:paraId="09B744E2" w14:textId="69D724A8" w:rsidR="00D05AD6" w:rsidRPr="00282DB7" w:rsidRDefault="00D05AD6" w:rsidP="00E13375">
      <w:pPr>
        <w:spacing w:after="0" w:line="360" w:lineRule="auto"/>
        <w:ind w:left="720" w:hanging="720"/>
        <w:jc w:val="both"/>
        <w:rPr>
          <w:rFonts w:ascii="Bookman Old Style" w:hAnsi="Bookman Old Style"/>
          <w:i/>
          <w:iCs/>
          <w:lang w:val="en-ZA"/>
        </w:rPr>
      </w:pPr>
      <w:r w:rsidRPr="00E81FBA">
        <w:rPr>
          <w:rFonts w:ascii="Bookman Old Style" w:hAnsi="Bookman Old Style"/>
          <w:sz w:val="24"/>
          <w:szCs w:val="24"/>
          <w:lang w:val="en-ZA"/>
        </w:rPr>
        <w:tab/>
      </w:r>
      <w:r w:rsidRPr="00282DB7">
        <w:rPr>
          <w:rFonts w:ascii="Bookman Old Style" w:hAnsi="Bookman Old Style"/>
          <w:lang w:val="en-ZA"/>
        </w:rPr>
        <w:t>“</w:t>
      </w:r>
      <w:r w:rsidRPr="00282DB7">
        <w:rPr>
          <w:rFonts w:ascii="Bookman Old Style" w:hAnsi="Bookman Old Style"/>
          <w:i/>
          <w:iCs/>
          <w:lang w:val="en-ZA"/>
        </w:rPr>
        <w:t xml:space="preserve">Based on the above grounds, the applicant submits that an appeal would have reasonable prospects of success, and there is a reasonable prospect that another court </w:t>
      </w:r>
      <w:r w:rsidRPr="007900CC">
        <w:rPr>
          <w:rFonts w:ascii="Bookman Old Style" w:hAnsi="Bookman Old Style"/>
          <w:i/>
          <w:iCs/>
          <w:u w:val="single"/>
          <w:lang w:val="en-ZA"/>
        </w:rPr>
        <w:t>may</w:t>
      </w:r>
      <w:r w:rsidR="007900CC" w:rsidRPr="007900CC">
        <w:rPr>
          <w:rFonts w:ascii="Bookman Old Style" w:hAnsi="Bookman Old Style"/>
          <w:i/>
          <w:iCs/>
          <w:lang w:val="en-ZA"/>
        </w:rPr>
        <w:t xml:space="preserve"> (my emphasis)</w:t>
      </w:r>
      <w:r w:rsidRPr="00282DB7">
        <w:rPr>
          <w:rFonts w:ascii="Bookman Old Style" w:hAnsi="Bookman Old Style"/>
          <w:i/>
          <w:iCs/>
          <w:lang w:val="en-ZA"/>
        </w:rPr>
        <w:t xml:space="preserve"> uphold the appeal and grant an order in the following terms:</w:t>
      </w:r>
    </w:p>
    <w:p w14:paraId="3FA83D62" w14:textId="77777777" w:rsidR="00D05AD6" w:rsidRPr="00282DB7" w:rsidRDefault="00D05AD6" w:rsidP="00E13375">
      <w:pPr>
        <w:spacing w:after="0" w:line="360" w:lineRule="auto"/>
        <w:ind w:left="720" w:hanging="720"/>
        <w:jc w:val="both"/>
        <w:rPr>
          <w:rFonts w:ascii="Bookman Old Style" w:hAnsi="Bookman Old Style"/>
          <w:i/>
          <w:iCs/>
          <w:lang w:val="en-ZA"/>
        </w:rPr>
      </w:pPr>
    </w:p>
    <w:p w14:paraId="4B495C82" w14:textId="7DA620A3" w:rsidR="00D05AD6" w:rsidRPr="00282DB7" w:rsidRDefault="00D05AD6" w:rsidP="00D05AD6">
      <w:pPr>
        <w:spacing w:after="0" w:line="360" w:lineRule="auto"/>
        <w:ind w:left="1440" w:hanging="720"/>
        <w:jc w:val="both"/>
        <w:rPr>
          <w:rFonts w:ascii="Bookman Old Style" w:hAnsi="Bookman Old Style"/>
          <w:i/>
          <w:iCs/>
          <w:lang w:val="en-ZA"/>
        </w:rPr>
      </w:pPr>
      <w:r w:rsidRPr="00282DB7">
        <w:rPr>
          <w:rFonts w:ascii="Bookman Old Style" w:hAnsi="Bookman Old Style"/>
          <w:i/>
          <w:iCs/>
          <w:lang w:val="en-ZA"/>
        </w:rPr>
        <w:t>“(1)</w:t>
      </w:r>
      <w:r w:rsidRPr="00282DB7">
        <w:rPr>
          <w:rFonts w:ascii="Bookman Old Style" w:hAnsi="Bookman Old Style"/>
          <w:i/>
          <w:iCs/>
          <w:lang w:val="en-ZA"/>
        </w:rPr>
        <w:tab/>
        <w:t>The bar</w:t>
      </w:r>
      <w:r w:rsidR="007900CC">
        <w:rPr>
          <w:rFonts w:ascii="Bookman Old Style" w:hAnsi="Bookman Old Style"/>
          <w:i/>
          <w:iCs/>
          <w:lang w:val="en-ZA"/>
        </w:rPr>
        <w:t>,</w:t>
      </w:r>
      <w:r w:rsidRPr="00282DB7">
        <w:rPr>
          <w:rFonts w:ascii="Bookman Old Style" w:hAnsi="Bookman Old Style"/>
          <w:i/>
          <w:iCs/>
          <w:lang w:val="en-ZA"/>
        </w:rPr>
        <w:t xml:space="preserve"> imposed on the applicant through the notice of bar served on 27 August 2020, is up</w:t>
      </w:r>
      <w:r w:rsidR="00874218" w:rsidRPr="00282DB7">
        <w:rPr>
          <w:rFonts w:ascii="Bookman Old Style" w:hAnsi="Bookman Old Style"/>
          <w:i/>
          <w:iCs/>
          <w:lang w:val="en-ZA"/>
        </w:rPr>
        <w:t>lifted.</w:t>
      </w:r>
      <w:r w:rsidRPr="00282DB7">
        <w:rPr>
          <w:rFonts w:ascii="Bookman Old Style" w:hAnsi="Bookman Old Style"/>
          <w:i/>
          <w:iCs/>
          <w:lang w:val="en-ZA"/>
        </w:rPr>
        <w:tab/>
      </w:r>
    </w:p>
    <w:p w14:paraId="4ED45041" w14:textId="77777777" w:rsidR="00D05AD6" w:rsidRPr="00282DB7" w:rsidRDefault="00D05AD6" w:rsidP="00D05AD6">
      <w:pPr>
        <w:spacing w:after="0" w:line="360" w:lineRule="auto"/>
        <w:jc w:val="both"/>
        <w:rPr>
          <w:rFonts w:ascii="Bookman Old Style" w:hAnsi="Bookman Old Style"/>
          <w:i/>
          <w:iCs/>
          <w:lang w:val="en-ZA"/>
        </w:rPr>
      </w:pPr>
    </w:p>
    <w:p w14:paraId="4A6A4E1D" w14:textId="7C8CF316" w:rsidR="00D05AD6" w:rsidRPr="00A64A89" w:rsidRDefault="00A64A89" w:rsidP="00A64A89">
      <w:pPr>
        <w:spacing w:after="0" w:line="360" w:lineRule="auto"/>
        <w:ind w:left="1440" w:hanging="589"/>
        <w:jc w:val="both"/>
        <w:rPr>
          <w:rFonts w:ascii="Bookman Old Style" w:hAnsi="Bookman Old Style"/>
          <w:i/>
          <w:iCs/>
          <w:lang w:val="en-ZA"/>
        </w:rPr>
      </w:pPr>
      <w:r w:rsidRPr="00282DB7">
        <w:rPr>
          <w:rFonts w:ascii="Bookman Old Style" w:hAnsi="Bookman Old Style"/>
          <w:i/>
          <w:iCs/>
          <w:lang w:val="en-ZA"/>
        </w:rPr>
        <w:t>(2)</w:t>
      </w:r>
      <w:r w:rsidRPr="00282DB7">
        <w:rPr>
          <w:rFonts w:ascii="Bookman Old Style" w:hAnsi="Bookman Old Style"/>
          <w:i/>
          <w:iCs/>
          <w:lang w:val="en-ZA"/>
        </w:rPr>
        <w:tab/>
      </w:r>
      <w:r w:rsidR="00D05AD6" w:rsidRPr="00A64A89">
        <w:rPr>
          <w:rFonts w:ascii="Bookman Old Style" w:hAnsi="Bookman Old Style"/>
          <w:i/>
          <w:iCs/>
          <w:lang w:val="en-ZA"/>
        </w:rPr>
        <w:t>The applicant’s delivery of its notice of intention to amend on 4 September 2020 is condoned.</w:t>
      </w:r>
    </w:p>
    <w:p w14:paraId="45F67E9E" w14:textId="77777777" w:rsidR="00D05AD6" w:rsidRPr="00282DB7" w:rsidRDefault="00D05AD6" w:rsidP="00D05AD6">
      <w:pPr>
        <w:pStyle w:val="ListParagraph"/>
        <w:spacing w:after="0" w:line="360" w:lineRule="auto"/>
        <w:ind w:left="1440"/>
        <w:jc w:val="both"/>
        <w:rPr>
          <w:rFonts w:ascii="Bookman Old Style" w:hAnsi="Bookman Old Style"/>
          <w:i/>
          <w:iCs/>
          <w:lang w:val="en-ZA"/>
        </w:rPr>
      </w:pPr>
    </w:p>
    <w:p w14:paraId="246998BB" w14:textId="296A406D" w:rsidR="00D05AD6" w:rsidRPr="00A64A89" w:rsidRDefault="00A64A89" w:rsidP="00A64A89">
      <w:pPr>
        <w:spacing w:after="0" w:line="360" w:lineRule="auto"/>
        <w:ind w:left="1440" w:hanging="589"/>
        <w:jc w:val="both"/>
        <w:rPr>
          <w:rFonts w:ascii="Bookman Old Style" w:hAnsi="Bookman Old Style"/>
          <w:i/>
          <w:iCs/>
          <w:lang w:val="en-ZA"/>
        </w:rPr>
      </w:pPr>
      <w:r w:rsidRPr="00282DB7">
        <w:rPr>
          <w:rFonts w:ascii="Bookman Old Style" w:hAnsi="Bookman Old Style"/>
          <w:i/>
          <w:iCs/>
          <w:lang w:val="en-ZA"/>
        </w:rPr>
        <w:t>(3)</w:t>
      </w:r>
      <w:r w:rsidRPr="00282DB7">
        <w:rPr>
          <w:rFonts w:ascii="Bookman Old Style" w:hAnsi="Bookman Old Style"/>
          <w:i/>
          <w:iCs/>
          <w:lang w:val="en-ZA"/>
        </w:rPr>
        <w:tab/>
      </w:r>
      <w:r w:rsidR="00D05AD6" w:rsidRPr="00A64A89">
        <w:rPr>
          <w:rFonts w:ascii="Bookman Old Style" w:hAnsi="Bookman Old Style"/>
          <w:i/>
          <w:iCs/>
          <w:lang w:val="en-ZA"/>
        </w:rPr>
        <w:t>The respondent shall pay the costs of this application</w:t>
      </w:r>
      <w:r w:rsidR="00E81FBA" w:rsidRPr="00282DB7">
        <w:rPr>
          <w:rStyle w:val="FootnoteReference"/>
          <w:rFonts w:ascii="Bookman Old Style" w:hAnsi="Bookman Old Style"/>
          <w:i/>
          <w:iCs/>
          <w:lang w:val="en-ZA"/>
        </w:rPr>
        <w:footnoteReference w:id="6"/>
      </w:r>
      <w:r w:rsidR="00D05AD6" w:rsidRPr="00A64A89">
        <w:rPr>
          <w:rFonts w:ascii="Bookman Old Style" w:hAnsi="Bookman Old Style"/>
          <w:i/>
          <w:iCs/>
          <w:lang w:val="en-ZA"/>
        </w:rPr>
        <w:t>”</w:t>
      </w:r>
      <w:r w:rsidR="00E81FBA" w:rsidRPr="00A64A89">
        <w:rPr>
          <w:rFonts w:ascii="Bookman Old Style" w:hAnsi="Bookman Old Style"/>
          <w:i/>
          <w:iCs/>
          <w:lang w:val="en-ZA"/>
        </w:rPr>
        <w:t>.</w:t>
      </w:r>
    </w:p>
    <w:p w14:paraId="5C15FF4C" w14:textId="52EFE83D" w:rsidR="00BC0746" w:rsidRPr="00182395" w:rsidRDefault="00BC0746" w:rsidP="00E13375">
      <w:pPr>
        <w:spacing w:after="0" w:line="360" w:lineRule="auto"/>
        <w:jc w:val="both"/>
        <w:rPr>
          <w:rFonts w:ascii="Bookman Old Style" w:hAnsi="Bookman Old Style"/>
          <w:lang w:val="en-ZA"/>
        </w:rPr>
      </w:pPr>
    </w:p>
    <w:p w14:paraId="51E7234F" w14:textId="777FE3B4" w:rsidR="005E044E" w:rsidRDefault="00BC0746">
      <w:pPr>
        <w:spacing w:after="0" w:line="360" w:lineRule="auto"/>
        <w:ind w:left="720" w:hanging="720"/>
        <w:jc w:val="both"/>
        <w:rPr>
          <w:rFonts w:ascii="Bookman Old Style" w:hAnsi="Bookman Old Style"/>
          <w:lang w:val="en-ZA"/>
        </w:rPr>
      </w:pPr>
      <w:r w:rsidRPr="00D05AD6">
        <w:rPr>
          <w:rFonts w:ascii="Bookman Old Style" w:hAnsi="Bookman Old Style"/>
          <w:sz w:val="24"/>
          <w:szCs w:val="24"/>
          <w:lang w:val="en-ZA"/>
        </w:rPr>
        <w:t>[</w:t>
      </w:r>
      <w:r w:rsidR="007F23A2">
        <w:rPr>
          <w:rFonts w:ascii="Bookman Old Style" w:hAnsi="Bookman Old Style"/>
          <w:sz w:val="24"/>
          <w:szCs w:val="24"/>
          <w:lang w:val="en-ZA"/>
        </w:rPr>
        <w:t>9</w:t>
      </w:r>
      <w:r w:rsidRPr="00D05AD6">
        <w:rPr>
          <w:rFonts w:ascii="Bookman Old Style" w:hAnsi="Bookman Old Style"/>
          <w:sz w:val="24"/>
          <w:szCs w:val="24"/>
          <w:lang w:val="en-ZA"/>
        </w:rPr>
        <w:t>]</w:t>
      </w:r>
      <w:r w:rsidRPr="00D05AD6">
        <w:rPr>
          <w:rFonts w:ascii="Bookman Old Style" w:hAnsi="Bookman Old Style"/>
          <w:sz w:val="24"/>
          <w:szCs w:val="24"/>
          <w:lang w:val="en-ZA"/>
        </w:rPr>
        <w:tab/>
      </w:r>
      <w:r w:rsidR="00021175">
        <w:rPr>
          <w:rFonts w:ascii="Bookman Old Style" w:hAnsi="Bookman Old Style"/>
          <w:sz w:val="24"/>
          <w:szCs w:val="24"/>
          <w:lang w:val="en-ZA"/>
        </w:rPr>
        <w:t xml:space="preserve">This submission </w:t>
      </w:r>
      <w:r w:rsidR="00D05AD6" w:rsidRPr="00021175">
        <w:rPr>
          <w:rFonts w:ascii="Bookman Old Style" w:hAnsi="Bookman Old Style"/>
          <w:sz w:val="24"/>
          <w:szCs w:val="24"/>
          <w:lang w:val="en-ZA"/>
        </w:rPr>
        <w:t xml:space="preserve">does not meet the test laid by </w:t>
      </w:r>
      <w:r w:rsidR="00F056D5">
        <w:rPr>
          <w:rFonts w:ascii="Bookman Old Style" w:hAnsi="Bookman Old Style"/>
          <w:sz w:val="24"/>
          <w:szCs w:val="24"/>
          <w:lang w:val="en-ZA"/>
        </w:rPr>
        <w:t>s</w:t>
      </w:r>
      <w:r w:rsidR="00D05AD6" w:rsidRPr="00021175">
        <w:rPr>
          <w:rFonts w:ascii="Bookman Old Style" w:hAnsi="Bookman Old Style"/>
          <w:sz w:val="24"/>
          <w:szCs w:val="24"/>
          <w:lang w:val="en-ZA"/>
        </w:rPr>
        <w:t xml:space="preserve">ection 17 (1) of the Superior Courts Act. This fact was brought to the attention of applicant’s </w:t>
      </w:r>
      <w:r w:rsidR="00021175">
        <w:rPr>
          <w:rFonts w:ascii="Bookman Old Style" w:hAnsi="Bookman Old Style"/>
          <w:sz w:val="24"/>
          <w:szCs w:val="24"/>
          <w:lang w:val="en-ZA"/>
        </w:rPr>
        <w:t>Counsel</w:t>
      </w:r>
      <w:r w:rsidR="00F056D5">
        <w:rPr>
          <w:rFonts w:ascii="Bookman Old Style" w:hAnsi="Bookman Old Style"/>
          <w:sz w:val="24"/>
          <w:szCs w:val="24"/>
          <w:lang w:val="en-ZA"/>
        </w:rPr>
        <w:t>,</w:t>
      </w:r>
      <w:r w:rsidR="00D05AD6" w:rsidRPr="00021175">
        <w:rPr>
          <w:rFonts w:ascii="Bookman Old Style" w:hAnsi="Bookman Old Style"/>
          <w:sz w:val="24"/>
          <w:szCs w:val="24"/>
          <w:lang w:val="en-ZA"/>
        </w:rPr>
        <w:t xml:space="preserve"> who conceded and explained that it was not what the applicant intended to mention </w:t>
      </w:r>
      <w:r w:rsidR="00021175">
        <w:rPr>
          <w:rFonts w:ascii="Bookman Old Style" w:hAnsi="Bookman Old Style"/>
          <w:sz w:val="24"/>
          <w:szCs w:val="24"/>
          <w:lang w:val="en-ZA"/>
        </w:rPr>
        <w:t xml:space="preserve">in its papers </w:t>
      </w:r>
      <w:r w:rsidR="00D05AD6" w:rsidRPr="00021175">
        <w:rPr>
          <w:rFonts w:ascii="Bookman Old Style" w:hAnsi="Bookman Old Style"/>
          <w:sz w:val="24"/>
          <w:szCs w:val="24"/>
          <w:lang w:val="en-ZA"/>
        </w:rPr>
        <w:t>since the applicable</w:t>
      </w:r>
      <w:r w:rsidR="00021175">
        <w:rPr>
          <w:rFonts w:ascii="Bookman Old Style" w:hAnsi="Bookman Old Style"/>
          <w:sz w:val="24"/>
          <w:szCs w:val="24"/>
          <w:lang w:val="en-ZA"/>
        </w:rPr>
        <w:t xml:space="preserve"> test</w:t>
      </w:r>
      <w:r w:rsidR="00D05AD6" w:rsidRPr="00021175">
        <w:rPr>
          <w:rFonts w:ascii="Bookman Old Style" w:hAnsi="Bookman Old Style"/>
          <w:sz w:val="24"/>
          <w:szCs w:val="24"/>
          <w:lang w:val="en-ZA"/>
        </w:rPr>
        <w:t xml:space="preserve"> is well established and known. That being said</w:t>
      </w:r>
      <w:r w:rsidR="00F056D5">
        <w:rPr>
          <w:rFonts w:ascii="Bookman Old Style" w:hAnsi="Bookman Old Style"/>
          <w:sz w:val="24"/>
          <w:szCs w:val="24"/>
          <w:lang w:val="en-ZA"/>
        </w:rPr>
        <w:t>,</w:t>
      </w:r>
      <w:r w:rsidR="00D05AD6" w:rsidRPr="00021175">
        <w:rPr>
          <w:rFonts w:ascii="Bookman Old Style" w:hAnsi="Bookman Old Style"/>
          <w:sz w:val="24"/>
          <w:szCs w:val="24"/>
          <w:lang w:val="en-ZA"/>
        </w:rPr>
        <w:t xml:space="preserve"> the notice of a</w:t>
      </w:r>
      <w:r w:rsidR="00021175">
        <w:rPr>
          <w:rFonts w:ascii="Bookman Old Style" w:hAnsi="Bookman Old Style"/>
          <w:sz w:val="24"/>
          <w:szCs w:val="24"/>
          <w:lang w:val="en-ZA"/>
        </w:rPr>
        <w:t xml:space="preserve">pplication for leave to appeal remained unamended. </w:t>
      </w:r>
    </w:p>
    <w:p w14:paraId="15E5CA6B" w14:textId="7517B596" w:rsidR="00E9095D" w:rsidRPr="00282DB7" w:rsidRDefault="005E044E" w:rsidP="005C36D6">
      <w:pPr>
        <w:spacing w:after="0" w:line="360" w:lineRule="auto"/>
        <w:ind w:left="720" w:hanging="720"/>
        <w:jc w:val="both"/>
        <w:rPr>
          <w:rFonts w:ascii="Bookman Old Style" w:hAnsi="Bookman Old Style"/>
          <w:sz w:val="24"/>
          <w:szCs w:val="24"/>
          <w:lang w:val="en-ZA"/>
        </w:rPr>
      </w:pPr>
      <w:r>
        <w:rPr>
          <w:rFonts w:ascii="Bookman Old Style" w:hAnsi="Bookman Old Style"/>
          <w:lang w:val="en-ZA"/>
        </w:rPr>
        <w:tab/>
      </w:r>
    </w:p>
    <w:p w14:paraId="7B8A03F2" w14:textId="693F04B9" w:rsidR="00F27F39" w:rsidRDefault="00095FB2" w:rsidP="00DF5DCB">
      <w:pPr>
        <w:spacing w:after="0" w:line="360" w:lineRule="auto"/>
        <w:ind w:left="720" w:hanging="720"/>
        <w:jc w:val="both"/>
        <w:rPr>
          <w:rFonts w:ascii="Bookman Old Style" w:hAnsi="Bookman Old Style"/>
          <w:sz w:val="24"/>
          <w:szCs w:val="24"/>
          <w:lang w:val="en-ZA"/>
        </w:rPr>
      </w:pPr>
      <w:r w:rsidRPr="005C36D6">
        <w:rPr>
          <w:rFonts w:ascii="Bookman Old Style" w:hAnsi="Bookman Old Style"/>
          <w:sz w:val="24"/>
          <w:szCs w:val="24"/>
          <w:lang w:val="en-ZA"/>
        </w:rPr>
        <w:t>[</w:t>
      </w:r>
      <w:r w:rsidR="007F23A2">
        <w:rPr>
          <w:rFonts w:ascii="Bookman Old Style" w:hAnsi="Bookman Old Style"/>
          <w:sz w:val="24"/>
          <w:szCs w:val="24"/>
          <w:lang w:val="en-ZA"/>
        </w:rPr>
        <w:t>10</w:t>
      </w:r>
      <w:r w:rsidRPr="005C36D6">
        <w:rPr>
          <w:rFonts w:ascii="Bookman Old Style" w:hAnsi="Bookman Old Style"/>
          <w:sz w:val="24"/>
          <w:szCs w:val="24"/>
          <w:lang w:val="en-ZA"/>
        </w:rPr>
        <w:t>]</w:t>
      </w:r>
      <w:r w:rsidRPr="005C36D6">
        <w:rPr>
          <w:rFonts w:ascii="Bookman Old Style" w:hAnsi="Bookman Old Style"/>
          <w:sz w:val="24"/>
          <w:szCs w:val="24"/>
          <w:lang w:val="en-ZA"/>
        </w:rPr>
        <w:tab/>
      </w:r>
      <w:r w:rsidR="005C36D6">
        <w:rPr>
          <w:rFonts w:ascii="Bookman Old Style" w:hAnsi="Bookman Old Style"/>
          <w:sz w:val="24"/>
          <w:szCs w:val="24"/>
          <w:lang w:val="en-ZA"/>
        </w:rPr>
        <w:t>This ap</w:t>
      </w:r>
      <w:r w:rsidR="00541C60">
        <w:rPr>
          <w:rFonts w:ascii="Bookman Old Style" w:hAnsi="Bookman Old Style"/>
          <w:sz w:val="24"/>
          <w:szCs w:val="24"/>
          <w:lang w:val="en-ZA"/>
        </w:rPr>
        <w:t>plication</w:t>
      </w:r>
      <w:r w:rsidR="005C36D6">
        <w:rPr>
          <w:rFonts w:ascii="Bookman Old Style" w:hAnsi="Bookman Old Style"/>
          <w:sz w:val="24"/>
          <w:szCs w:val="24"/>
          <w:lang w:val="en-ZA"/>
        </w:rPr>
        <w:t xml:space="preserve"> emanates from the </w:t>
      </w:r>
      <w:r w:rsidR="00F056D5">
        <w:rPr>
          <w:rFonts w:ascii="Bookman Old Style" w:hAnsi="Bookman Old Style"/>
          <w:sz w:val="24"/>
          <w:szCs w:val="24"/>
          <w:lang w:val="en-ZA"/>
        </w:rPr>
        <w:t>C</w:t>
      </w:r>
      <w:r w:rsidR="005C36D6">
        <w:rPr>
          <w:rFonts w:ascii="Bookman Old Style" w:hAnsi="Bookman Old Style"/>
          <w:sz w:val="24"/>
          <w:szCs w:val="24"/>
          <w:lang w:val="en-ZA"/>
        </w:rPr>
        <w:t>ourt’s refusal to uplift the bar.</w:t>
      </w:r>
      <w:r w:rsidR="00F27F39">
        <w:rPr>
          <w:rFonts w:ascii="Bookman Old Style" w:hAnsi="Bookman Old Style"/>
          <w:sz w:val="24"/>
          <w:szCs w:val="24"/>
          <w:lang w:val="en-ZA"/>
        </w:rPr>
        <w:t xml:space="preserve"> Rule 27</w:t>
      </w:r>
      <w:r w:rsidR="00874218">
        <w:rPr>
          <w:rFonts w:ascii="Bookman Old Style" w:hAnsi="Bookman Old Style"/>
          <w:sz w:val="24"/>
          <w:szCs w:val="24"/>
          <w:lang w:val="en-ZA"/>
        </w:rPr>
        <w:t>(1)</w:t>
      </w:r>
      <w:r w:rsidR="00F27F39">
        <w:rPr>
          <w:rStyle w:val="FootnoteReference"/>
          <w:rFonts w:ascii="Bookman Old Style" w:hAnsi="Bookman Old Style"/>
          <w:sz w:val="24"/>
          <w:szCs w:val="24"/>
          <w:lang w:val="en-ZA"/>
        </w:rPr>
        <w:footnoteReference w:id="7"/>
      </w:r>
      <w:r w:rsidR="00874218">
        <w:rPr>
          <w:rFonts w:ascii="Bookman Old Style" w:hAnsi="Bookman Old Style"/>
          <w:sz w:val="24"/>
          <w:szCs w:val="24"/>
          <w:lang w:val="en-ZA"/>
        </w:rPr>
        <w:t xml:space="preserve"> </w:t>
      </w:r>
      <w:r w:rsidR="00F27F39">
        <w:rPr>
          <w:rFonts w:ascii="Bookman Old Style" w:hAnsi="Bookman Old Style"/>
          <w:sz w:val="24"/>
          <w:szCs w:val="24"/>
          <w:lang w:val="en-ZA"/>
        </w:rPr>
        <w:t>regulates the procedure of uplifting a bar and provides that:</w:t>
      </w:r>
      <w:r w:rsidR="005C36D6">
        <w:rPr>
          <w:rFonts w:ascii="Bookman Old Style" w:hAnsi="Bookman Old Style"/>
          <w:sz w:val="24"/>
          <w:szCs w:val="24"/>
          <w:lang w:val="en-ZA"/>
        </w:rPr>
        <w:t xml:space="preserve"> </w:t>
      </w:r>
    </w:p>
    <w:p w14:paraId="692747BC" w14:textId="77777777" w:rsidR="00F27F39" w:rsidRDefault="00F27F39" w:rsidP="00DF5DCB">
      <w:pPr>
        <w:spacing w:after="0" w:line="360" w:lineRule="auto"/>
        <w:ind w:left="720" w:hanging="720"/>
        <w:jc w:val="both"/>
        <w:rPr>
          <w:rFonts w:ascii="Bookman Old Style" w:hAnsi="Bookman Old Style"/>
          <w:sz w:val="24"/>
          <w:szCs w:val="24"/>
          <w:lang w:val="en-ZA"/>
        </w:rPr>
      </w:pPr>
    </w:p>
    <w:p w14:paraId="1AB6D99B" w14:textId="547F493B" w:rsidR="00541C60" w:rsidRPr="00282DB7" w:rsidRDefault="00F27F39">
      <w:pPr>
        <w:spacing w:after="0" w:line="360" w:lineRule="auto"/>
        <w:ind w:left="720"/>
        <w:jc w:val="both"/>
        <w:rPr>
          <w:rFonts w:ascii="Bookman Old Style" w:hAnsi="Bookman Old Style"/>
          <w:lang w:val="en-ZA"/>
        </w:rPr>
      </w:pPr>
      <w:r w:rsidRPr="00282DB7">
        <w:rPr>
          <w:rFonts w:ascii="Bookman Old Style" w:hAnsi="Bookman Old Style"/>
          <w:lang w:val="en-ZA"/>
        </w:rPr>
        <w:t>“</w:t>
      </w:r>
      <w:r w:rsidR="003F18F5" w:rsidRPr="00282DB7">
        <w:rPr>
          <w:rFonts w:ascii="Bookman Old Style" w:hAnsi="Bookman Old Style"/>
          <w:i/>
          <w:iCs/>
          <w:lang w:val="en-ZA"/>
        </w:rPr>
        <w:t>27(</w:t>
      </w:r>
      <w:r w:rsidR="00874218" w:rsidRPr="00282DB7">
        <w:rPr>
          <w:rFonts w:ascii="Bookman Old Style" w:hAnsi="Bookman Old Style"/>
          <w:i/>
          <w:iCs/>
          <w:lang w:val="en-ZA"/>
        </w:rPr>
        <w:t>1</w:t>
      </w:r>
      <w:r w:rsidR="003F18F5" w:rsidRPr="00282DB7">
        <w:rPr>
          <w:rFonts w:ascii="Bookman Old Style" w:hAnsi="Bookman Old Style"/>
          <w:i/>
          <w:iCs/>
          <w:lang w:val="en-ZA"/>
        </w:rPr>
        <w:t>)</w:t>
      </w:r>
      <w:r w:rsidR="003F18F5" w:rsidRPr="00282DB7">
        <w:rPr>
          <w:rFonts w:ascii="Bookman Old Style" w:hAnsi="Bookman Old Style"/>
          <w:lang w:val="en-ZA"/>
        </w:rPr>
        <w:tab/>
        <w:t xml:space="preserve"> </w:t>
      </w:r>
      <w:r w:rsidR="003F18F5" w:rsidRPr="00282DB7">
        <w:rPr>
          <w:rFonts w:ascii="Bookman Old Style" w:hAnsi="Bookman Old Style"/>
          <w:i/>
          <w:iCs/>
          <w:lang w:val="en-ZA"/>
        </w:rPr>
        <w:t>In</w:t>
      </w:r>
      <w:r w:rsidR="007F23A2" w:rsidRPr="00282DB7">
        <w:rPr>
          <w:rFonts w:ascii="Bookman Old Style" w:hAnsi="Bookman Old Style"/>
          <w:i/>
          <w:iCs/>
          <w:lang w:val="en-ZA"/>
        </w:rPr>
        <w:t xml:space="preserve"> the absence of agreement between the parties, the court may upon application </w:t>
      </w:r>
      <w:r w:rsidR="00C30363" w:rsidRPr="00282DB7">
        <w:rPr>
          <w:rFonts w:ascii="Bookman Old Style" w:hAnsi="Bookman Old Style"/>
          <w:i/>
          <w:iCs/>
          <w:lang w:val="en-ZA"/>
        </w:rPr>
        <w:t>on</w:t>
      </w:r>
      <w:r w:rsidR="007F23A2" w:rsidRPr="00282DB7">
        <w:rPr>
          <w:rFonts w:ascii="Bookman Old Style" w:hAnsi="Bookman Old Style"/>
          <w:i/>
          <w:iCs/>
          <w:lang w:val="en-ZA"/>
        </w:rPr>
        <w:t xml:space="preserve"> notice and on good cause shown, make an order extending or abridging any time prescribed by these Rules or by an order of court or fixed by order extending or abridging any time for doing any act or taking any </w:t>
      </w:r>
      <w:r w:rsidR="00F056D5" w:rsidRPr="00282DB7">
        <w:rPr>
          <w:rFonts w:ascii="Bookman Old Style" w:hAnsi="Bookman Old Style"/>
          <w:i/>
          <w:iCs/>
          <w:lang w:val="en-ZA"/>
        </w:rPr>
        <w:t>step-in</w:t>
      </w:r>
      <w:r w:rsidR="007F23A2" w:rsidRPr="00282DB7">
        <w:rPr>
          <w:rFonts w:ascii="Bookman Old Style" w:hAnsi="Bookman Old Style"/>
          <w:i/>
          <w:iCs/>
          <w:lang w:val="en-ZA"/>
        </w:rPr>
        <w:t xml:space="preserve"> connection with any proceedings of any nature whatsoever upon such terms as to it seems meet</w:t>
      </w:r>
      <w:r w:rsidRPr="00282DB7">
        <w:rPr>
          <w:rFonts w:ascii="Bookman Old Style" w:hAnsi="Bookman Old Style"/>
          <w:lang w:val="en-ZA"/>
        </w:rPr>
        <w:t>”</w:t>
      </w:r>
      <w:r w:rsidR="00F056D5" w:rsidRPr="00282DB7">
        <w:rPr>
          <w:rFonts w:ascii="Bookman Old Style" w:hAnsi="Bookman Old Style"/>
          <w:lang w:val="en-ZA"/>
        </w:rPr>
        <w:t>.</w:t>
      </w:r>
    </w:p>
    <w:p w14:paraId="5AC9DEB2" w14:textId="77777777" w:rsidR="00874218" w:rsidRDefault="00874218" w:rsidP="00541C60">
      <w:pPr>
        <w:spacing w:after="0" w:line="360" w:lineRule="auto"/>
        <w:ind w:left="720" w:hanging="720"/>
        <w:jc w:val="both"/>
        <w:rPr>
          <w:rFonts w:ascii="Bookman Old Style" w:hAnsi="Bookman Old Style"/>
          <w:sz w:val="24"/>
          <w:szCs w:val="24"/>
          <w:lang w:val="en-ZA"/>
        </w:rPr>
      </w:pPr>
    </w:p>
    <w:p w14:paraId="2BF4F476" w14:textId="2249BE5D" w:rsidR="00874218" w:rsidRDefault="00874218" w:rsidP="00874218">
      <w:pPr>
        <w:spacing w:after="0" w:line="360" w:lineRule="auto"/>
        <w:ind w:left="720" w:hanging="720"/>
        <w:jc w:val="both"/>
        <w:rPr>
          <w:rFonts w:ascii="Bookman Old Style" w:hAnsi="Bookman Old Style" w:cs="Arial"/>
          <w:color w:val="202122"/>
          <w:sz w:val="24"/>
          <w:szCs w:val="24"/>
          <w:shd w:val="clear" w:color="auto" w:fill="FFFFFF"/>
          <w:lang w:val="en-ZA"/>
        </w:rPr>
      </w:pPr>
      <w:r>
        <w:rPr>
          <w:rFonts w:ascii="Bookman Old Style" w:hAnsi="Bookman Old Style" w:cs="Arial"/>
          <w:color w:val="202122"/>
          <w:sz w:val="24"/>
          <w:szCs w:val="24"/>
          <w:shd w:val="clear" w:color="auto" w:fill="FFFFFF"/>
          <w:lang w:val="en-ZA"/>
        </w:rPr>
        <w:t>[11]</w:t>
      </w:r>
      <w:r>
        <w:rPr>
          <w:rFonts w:ascii="Bookman Old Style" w:hAnsi="Bookman Old Style" w:cs="Arial"/>
          <w:color w:val="202122"/>
          <w:sz w:val="24"/>
          <w:szCs w:val="24"/>
          <w:shd w:val="clear" w:color="auto" w:fill="FFFFFF"/>
          <w:lang w:val="en-ZA"/>
        </w:rPr>
        <w:tab/>
        <w:t xml:space="preserve">In </w:t>
      </w:r>
      <w:r w:rsidRPr="004149A6">
        <w:rPr>
          <w:rFonts w:ascii="Bookman Old Style" w:hAnsi="Bookman Old Style" w:cs="Arial"/>
          <w:i/>
          <w:iCs/>
          <w:color w:val="202122"/>
          <w:sz w:val="24"/>
          <w:szCs w:val="24"/>
          <w:shd w:val="clear" w:color="auto" w:fill="FFFFFF"/>
          <w:lang w:val="en-ZA"/>
        </w:rPr>
        <w:t>Standard General Insurance CO Ltd v Eversafe Pty Ltd</w:t>
      </w:r>
      <w:r>
        <w:rPr>
          <w:rStyle w:val="FootnoteReference"/>
          <w:rFonts w:ascii="Bookman Old Style" w:hAnsi="Bookman Old Style" w:cs="Arial"/>
          <w:color w:val="202122"/>
          <w:sz w:val="24"/>
          <w:szCs w:val="24"/>
          <w:shd w:val="clear" w:color="auto" w:fill="FFFFFF"/>
          <w:lang w:val="en-ZA"/>
        </w:rPr>
        <w:footnoteReference w:id="8"/>
      </w:r>
      <w:r w:rsidRPr="003A7851">
        <w:rPr>
          <w:rFonts w:ascii="Bookman Old Style" w:hAnsi="Bookman Old Style" w:cs="Arial"/>
          <w:color w:val="202122"/>
          <w:sz w:val="24"/>
          <w:szCs w:val="24"/>
          <w:shd w:val="clear" w:color="auto" w:fill="FFFFFF"/>
          <w:lang w:val="en-ZA"/>
        </w:rPr>
        <w:t xml:space="preserve"> </w:t>
      </w:r>
      <w:r>
        <w:rPr>
          <w:rFonts w:ascii="Bookman Old Style" w:hAnsi="Bookman Old Style" w:cs="Arial"/>
          <w:color w:val="202122"/>
          <w:sz w:val="24"/>
          <w:szCs w:val="24"/>
          <w:shd w:val="clear" w:color="auto" w:fill="FFFFFF"/>
          <w:lang w:val="en-ZA"/>
        </w:rPr>
        <w:t>the court said:</w:t>
      </w:r>
    </w:p>
    <w:p w14:paraId="6F530A63" w14:textId="77777777" w:rsidR="00874218" w:rsidRDefault="00874218" w:rsidP="00874218">
      <w:pPr>
        <w:spacing w:after="0" w:line="360" w:lineRule="auto"/>
        <w:ind w:left="720" w:hanging="720"/>
        <w:jc w:val="both"/>
        <w:rPr>
          <w:rFonts w:ascii="Bookman Old Style" w:hAnsi="Bookman Old Style" w:cs="Arial"/>
          <w:color w:val="202122"/>
          <w:sz w:val="24"/>
          <w:szCs w:val="24"/>
          <w:shd w:val="clear" w:color="auto" w:fill="FFFFFF"/>
          <w:lang w:val="en-ZA"/>
        </w:rPr>
      </w:pPr>
    </w:p>
    <w:p w14:paraId="492CC964" w14:textId="32294436" w:rsidR="00874218" w:rsidRPr="00282DB7" w:rsidRDefault="00874218">
      <w:pPr>
        <w:spacing w:after="0" w:line="360" w:lineRule="auto"/>
        <w:ind w:left="720" w:hanging="720"/>
        <w:jc w:val="both"/>
        <w:rPr>
          <w:rFonts w:ascii="Bookman Old Style" w:hAnsi="Bookman Old Style"/>
          <w:lang w:val="en-ZA"/>
        </w:rPr>
      </w:pPr>
      <w:r w:rsidRPr="00F056D5">
        <w:rPr>
          <w:rFonts w:ascii="Bookman Old Style" w:hAnsi="Bookman Old Style" w:cs="Arial"/>
          <w:color w:val="202122"/>
          <w:sz w:val="24"/>
          <w:szCs w:val="24"/>
          <w:shd w:val="clear" w:color="auto" w:fill="FFFFFF"/>
          <w:lang w:val="en-ZA"/>
        </w:rPr>
        <w:tab/>
      </w:r>
      <w:r w:rsidRPr="00282DB7">
        <w:rPr>
          <w:rFonts w:ascii="Bookman Old Style" w:hAnsi="Bookman Old Style" w:cs="Arial"/>
          <w:color w:val="202122"/>
          <w:shd w:val="clear" w:color="auto" w:fill="FFFFFF"/>
          <w:lang w:val="en-ZA"/>
        </w:rPr>
        <w:t>“</w:t>
      </w:r>
      <w:r w:rsidRPr="00282DB7">
        <w:rPr>
          <w:rFonts w:ascii="Bookman Old Style" w:hAnsi="Bookman Old Style" w:cs="Arial"/>
          <w:i/>
          <w:iCs/>
          <w:color w:val="202122"/>
          <w:shd w:val="clear" w:color="auto" w:fill="FFFFFF"/>
          <w:lang w:val="en-ZA"/>
        </w:rPr>
        <w:t xml:space="preserve">It is well-established that an applicant for any relief in terms of Rule 27 has the burden of actually proving, as opposed to merely alleging, the good cause that is stated in Rule </w:t>
      </w:r>
      <w:r w:rsidRPr="00282DB7">
        <w:rPr>
          <w:rFonts w:ascii="Bookman Old Style" w:hAnsi="Bookman Old Style"/>
          <w:i/>
          <w:iCs/>
          <w:color w:val="242121"/>
          <w:shd w:val="clear" w:color="auto" w:fill="FFFFFF"/>
          <w:lang w:val="en-ZA"/>
        </w:rPr>
        <w:t>27 (1) as a jurisdictional prerequisite to the exercise of the court’s discretion. Silver v Ozen Wholesalers (Pty)Ltd 1954 (2) SA 345 (A) at 352G. The applicant for any such relief must, at least, furnish an explanation of his default sufficiently full to enable the Court to understand how it really came about and to assess his conduct and motives (Sibler v Ozen Wholesalers (supra at 353A)). Where there has been a long delay, the court should require the party in default to satisfy the Court that the relief sought should be granted. Gool v Policansky 1939 CPD 386 at 390. This is, in my view, particularly so when the applicant for the relief is dominis litis plaintiff</w:t>
      </w:r>
      <w:r w:rsidRPr="00282DB7">
        <w:rPr>
          <w:rFonts w:ascii="Bookman Old Style" w:hAnsi="Bookman Old Style"/>
          <w:color w:val="242121"/>
          <w:shd w:val="clear" w:color="auto" w:fill="FFFFFF"/>
          <w:lang w:val="en-ZA"/>
        </w:rPr>
        <w:t xml:space="preserve">”. </w:t>
      </w:r>
    </w:p>
    <w:p w14:paraId="0FAE4760" w14:textId="77777777" w:rsidR="00874218" w:rsidRDefault="00874218" w:rsidP="00541C60">
      <w:pPr>
        <w:spacing w:after="0" w:line="360" w:lineRule="auto"/>
        <w:ind w:left="720" w:hanging="720"/>
        <w:jc w:val="both"/>
        <w:rPr>
          <w:rFonts w:ascii="Bookman Old Style" w:hAnsi="Bookman Old Style"/>
          <w:sz w:val="24"/>
          <w:szCs w:val="24"/>
          <w:lang w:val="en-ZA"/>
        </w:rPr>
      </w:pPr>
    </w:p>
    <w:p w14:paraId="6EED42BA" w14:textId="20A4C780" w:rsidR="00826C65" w:rsidRDefault="00541C60" w:rsidP="00541C60">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[1</w:t>
      </w:r>
      <w:r w:rsidR="00874218">
        <w:rPr>
          <w:rFonts w:ascii="Bookman Old Style" w:hAnsi="Bookman Old Style"/>
          <w:sz w:val="24"/>
          <w:szCs w:val="24"/>
          <w:lang w:val="en-ZA"/>
        </w:rPr>
        <w:t>2</w:t>
      </w:r>
      <w:r>
        <w:rPr>
          <w:rFonts w:ascii="Bookman Old Style" w:hAnsi="Bookman Old Style"/>
          <w:sz w:val="24"/>
          <w:szCs w:val="24"/>
          <w:lang w:val="en-ZA"/>
        </w:rPr>
        <w:t>]</w:t>
      </w:r>
      <w:r>
        <w:rPr>
          <w:rFonts w:ascii="Bookman Old Style" w:hAnsi="Bookman Old Style"/>
          <w:sz w:val="24"/>
          <w:szCs w:val="24"/>
          <w:lang w:val="en-ZA"/>
        </w:rPr>
        <w:tab/>
        <w:t xml:space="preserve">The </w:t>
      </w:r>
      <w:r w:rsidR="00A0596A">
        <w:rPr>
          <w:rFonts w:ascii="Bookman Old Style" w:hAnsi="Bookman Old Style"/>
          <w:sz w:val="24"/>
          <w:szCs w:val="24"/>
          <w:lang w:val="en-ZA"/>
        </w:rPr>
        <w:t>C</w:t>
      </w:r>
      <w:r>
        <w:rPr>
          <w:rFonts w:ascii="Bookman Old Style" w:hAnsi="Bookman Old Style"/>
          <w:sz w:val="24"/>
          <w:szCs w:val="24"/>
          <w:lang w:val="en-ZA"/>
        </w:rPr>
        <w:t xml:space="preserve">ourt has a discretion to condone any non-compliance with the </w:t>
      </w:r>
      <w:r w:rsidR="00FC615C">
        <w:rPr>
          <w:rFonts w:ascii="Bookman Old Style" w:hAnsi="Bookman Old Style"/>
          <w:sz w:val="24"/>
          <w:szCs w:val="24"/>
          <w:lang w:val="en-ZA"/>
        </w:rPr>
        <w:t>R</w:t>
      </w:r>
      <w:r>
        <w:rPr>
          <w:rFonts w:ascii="Bookman Old Style" w:hAnsi="Bookman Old Style"/>
          <w:sz w:val="24"/>
          <w:szCs w:val="24"/>
          <w:lang w:val="en-ZA"/>
        </w:rPr>
        <w:t>ules. In order for the applicant to succeed with its application</w:t>
      </w:r>
      <w:r w:rsidR="00A0596A">
        <w:rPr>
          <w:rFonts w:ascii="Bookman Old Style" w:hAnsi="Bookman Old Style"/>
          <w:sz w:val="24"/>
          <w:szCs w:val="24"/>
          <w:lang w:val="en-ZA"/>
        </w:rPr>
        <w:t>,</w:t>
      </w:r>
      <w:r>
        <w:rPr>
          <w:rFonts w:ascii="Bookman Old Style" w:hAnsi="Bookman Old Style"/>
          <w:sz w:val="24"/>
          <w:szCs w:val="24"/>
          <w:lang w:val="en-ZA"/>
        </w:rPr>
        <w:t xml:space="preserve"> it must show good cause why </w:t>
      </w:r>
      <w:r w:rsidR="00A65171">
        <w:rPr>
          <w:rFonts w:ascii="Bookman Old Style" w:hAnsi="Bookman Old Style"/>
          <w:sz w:val="24"/>
          <w:szCs w:val="24"/>
          <w:lang w:val="en-ZA"/>
        </w:rPr>
        <w:t xml:space="preserve">the bar should be uplifted and </w:t>
      </w:r>
      <w:r>
        <w:rPr>
          <w:rFonts w:ascii="Bookman Old Style" w:hAnsi="Bookman Old Style"/>
          <w:sz w:val="24"/>
          <w:szCs w:val="24"/>
          <w:lang w:val="en-ZA"/>
        </w:rPr>
        <w:t>condonation should be granted for its failure to deliver its notice to amend its particulars of claim</w:t>
      </w:r>
      <w:r w:rsidR="00C518C2">
        <w:rPr>
          <w:rFonts w:ascii="Bookman Old Style" w:hAnsi="Bookman Old Style"/>
          <w:sz w:val="24"/>
          <w:szCs w:val="24"/>
          <w:lang w:val="en-ZA"/>
        </w:rPr>
        <w:t xml:space="preserve"> in time</w:t>
      </w:r>
      <w:r>
        <w:rPr>
          <w:rFonts w:ascii="Bookman Old Style" w:hAnsi="Bookman Old Style"/>
          <w:sz w:val="24"/>
          <w:szCs w:val="24"/>
          <w:lang w:val="en-ZA"/>
        </w:rPr>
        <w:t xml:space="preserve">. </w:t>
      </w:r>
      <w:r w:rsidRPr="00541C60">
        <w:rPr>
          <w:rFonts w:ascii="Bookman Old Style" w:hAnsi="Bookman Old Style"/>
          <w:sz w:val="24"/>
          <w:szCs w:val="24"/>
          <w:lang w:val="en-ZA"/>
        </w:rPr>
        <w:t>In</w:t>
      </w:r>
      <w:r w:rsidRPr="00541C60">
        <w:rPr>
          <w:rFonts w:ascii="Bookman Old Style" w:hAnsi="Bookman Old Style"/>
          <w:i/>
          <w:iCs/>
          <w:sz w:val="24"/>
          <w:szCs w:val="24"/>
          <w:lang w:val="en-ZA"/>
        </w:rPr>
        <w:t xml:space="preserve"> Nedcor Investment Bank Ltd v Visser NO</w:t>
      </w:r>
      <w:r w:rsidR="004149A6">
        <w:rPr>
          <w:rStyle w:val="FootnoteReference"/>
          <w:rFonts w:ascii="Bookman Old Style" w:hAnsi="Bookman Old Style"/>
          <w:i/>
          <w:iCs/>
          <w:sz w:val="24"/>
          <w:szCs w:val="24"/>
          <w:lang w:val="en-ZA"/>
        </w:rPr>
        <w:footnoteReference w:id="9"/>
      </w:r>
      <w:r>
        <w:rPr>
          <w:rFonts w:ascii="Bookman Old Style" w:hAnsi="Bookman Old Style"/>
          <w:sz w:val="24"/>
          <w:szCs w:val="24"/>
          <w:lang w:val="en-ZA"/>
        </w:rPr>
        <w:t>, Patel AJ (as he then was) said:</w:t>
      </w:r>
    </w:p>
    <w:p w14:paraId="6D23CEA8" w14:textId="11BBF380" w:rsidR="005C36D6" w:rsidRDefault="005C36D6" w:rsidP="00DF5DCB">
      <w:pPr>
        <w:spacing w:after="0" w:line="360" w:lineRule="auto"/>
        <w:ind w:left="720" w:hanging="720"/>
        <w:jc w:val="both"/>
        <w:rPr>
          <w:rFonts w:ascii="Bookman Old Style" w:hAnsi="Bookman Old Style"/>
          <w:sz w:val="24"/>
          <w:szCs w:val="24"/>
          <w:lang w:val="en-ZA"/>
        </w:rPr>
      </w:pPr>
    </w:p>
    <w:p w14:paraId="727941B3" w14:textId="6C8640C1" w:rsidR="005C36D6" w:rsidRPr="00282DB7" w:rsidRDefault="005C36D6" w:rsidP="00DF5DCB">
      <w:pPr>
        <w:spacing w:after="0" w:line="360" w:lineRule="auto"/>
        <w:ind w:left="720" w:hanging="720"/>
        <w:jc w:val="both"/>
        <w:rPr>
          <w:rFonts w:ascii="Bookman Old Style" w:hAnsi="Bookman Old Style"/>
          <w:lang w:val="en-ZA"/>
        </w:rPr>
      </w:pPr>
      <w:r>
        <w:rPr>
          <w:rFonts w:ascii="Bookman Old Style" w:hAnsi="Bookman Old Style"/>
          <w:sz w:val="24"/>
          <w:szCs w:val="24"/>
          <w:lang w:val="en-ZA"/>
        </w:rPr>
        <w:tab/>
      </w:r>
      <w:r w:rsidRPr="00282DB7">
        <w:rPr>
          <w:rFonts w:ascii="Bookman Old Style" w:hAnsi="Bookman Old Style"/>
          <w:lang w:val="en-ZA"/>
        </w:rPr>
        <w:t>“</w:t>
      </w:r>
      <w:r w:rsidRPr="00282DB7">
        <w:rPr>
          <w:rFonts w:ascii="Bookman Old Style" w:hAnsi="Bookman Old Style"/>
          <w:i/>
          <w:iCs/>
          <w:lang w:val="en-ZA"/>
        </w:rPr>
        <w:t xml:space="preserve">Rule 27(3) requires “good cause” to be shown by the plaintiff. This gives the Court wide </w:t>
      </w:r>
      <w:r w:rsidR="004149A6" w:rsidRPr="00282DB7">
        <w:rPr>
          <w:rFonts w:ascii="Bookman Old Style" w:hAnsi="Bookman Old Style"/>
          <w:i/>
          <w:iCs/>
          <w:lang w:val="en-ZA"/>
        </w:rPr>
        <w:t>discretion</w:t>
      </w:r>
      <w:r w:rsidRPr="00282DB7">
        <w:rPr>
          <w:rFonts w:ascii="Bookman Old Style" w:hAnsi="Bookman Old Style"/>
          <w:i/>
          <w:iCs/>
          <w:lang w:val="en-ZA"/>
        </w:rPr>
        <w:t xml:space="preserve">. </w:t>
      </w:r>
      <w:r w:rsidR="004149A6" w:rsidRPr="00282DB7">
        <w:rPr>
          <w:rFonts w:ascii="Bookman Old Style" w:hAnsi="Bookman Old Style"/>
          <w:i/>
          <w:iCs/>
          <w:lang w:val="en-ZA"/>
        </w:rPr>
        <w:t xml:space="preserve">C </w:t>
      </w:r>
      <w:r w:rsidRPr="00282DB7">
        <w:rPr>
          <w:rFonts w:ascii="Bookman Old Style" w:hAnsi="Bookman Old Style"/>
          <w:i/>
          <w:iCs/>
          <w:lang w:val="en-ZA"/>
        </w:rPr>
        <w:t>Du Plooy v Anwes Motors (E</w:t>
      </w:r>
      <w:r w:rsidR="004149A6" w:rsidRPr="00282DB7">
        <w:rPr>
          <w:rFonts w:ascii="Bookman Old Style" w:hAnsi="Bookman Old Style"/>
          <w:i/>
          <w:iCs/>
          <w:lang w:val="en-ZA"/>
        </w:rPr>
        <w:t>dms</w:t>
      </w:r>
      <w:r w:rsidRPr="00282DB7">
        <w:rPr>
          <w:rFonts w:ascii="Bookman Old Style" w:hAnsi="Bookman Old Style"/>
          <w:i/>
          <w:iCs/>
          <w:lang w:val="en-ZA"/>
        </w:rPr>
        <w:t xml:space="preserve">) Bpk 1983 (4) SA 212 (0) at 216H – 217A). The requirements are, first, that the plaintiff should at least tender an explanation for its default to enable the Court to understand how it occurred. (Silber v Ozen Wholesalers (Pty)Ltd 1954 (2) SA 345 at 353A. Secondly, it is for the plaintiff to satisfy the </w:t>
      </w:r>
      <w:r w:rsidR="004149A6" w:rsidRPr="00282DB7">
        <w:rPr>
          <w:rFonts w:ascii="Bookman Old Style" w:hAnsi="Bookman Old Style"/>
          <w:i/>
          <w:iCs/>
          <w:lang w:val="en-ZA"/>
        </w:rPr>
        <w:t>C</w:t>
      </w:r>
      <w:r w:rsidRPr="00282DB7">
        <w:rPr>
          <w:rFonts w:ascii="Bookman Old Style" w:hAnsi="Bookman Old Style"/>
          <w:i/>
          <w:iCs/>
          <w:lang w:val="en-ZA"/>
        </w:rPr>
        <w:t>ourt that its explanation is bona fide and not patently unfounded</w:t>
      </w:r>
      <w:r w:rsidR="007F23A2" w:rsidRPr="00282DB7">
        <w:rPr>
          <w:rFonts w:ascii="Bookman Old Style" w:hAnsi="Bookman Old Style"/>
          <w:lang w:val="en-ZA"/>
        </w:rPr>
        <w:t>”</w:t>
      </w:r>
      <w:r w:rsidR="00A0596A" w:rsidRPr="00282DB7">
        <w:rPr>
          <w:rFonts w:ascii="Bookman Old Style" w:hAnsi="Bookman Old Style"/>
          <w:lang w:val="en-ZA"/>
        </w:rPr>
        <w:t>.</w:t>
      </w:r>
      <w:r w:rsidR="003A7851" w:rsidRPr="00282DB7">
        <w:rPr>
          <w:rFonts w:ascii="Bookman Old Style" w:hAnsi="Bookman Old Style"/>
          <w:lang w:val="en-ZA"/>
        </w:rPr>
        <w:t xml:space="preserve"> </w:t>
      </w:r>
    </w:p>
    <w:p w14:paraId="289D9623" w14:textId="77777777" w:rsidR="00FC74DC" w:rsidRPr="007F23A2" w:rsidRDefault="00FC74DC" w:rsidP="00DF5DCB">
      <w:pPr>
        <w:spacing w:after="0" w:line="360" w:lineRule="auto"/>
        <w:ind w:left="720" w:hanging="720"/>
        <w:jc w:val="both"/>
        <w:rPr>
          <w:rFonts w:ascii="Bookman Old Style" w:hAnsi="Bookman Old Style"/>
          <w:i/>
          <w:iCs/>
          <w:sz w:val="24"/>
          <w:szCs w:val="24"/>
          <w:lang w:val="en-ZA"/>
        </w:rPr>
      </w:pPr>
    </w:p>
    <w:p w14:paraId="40A08FD2" w14:textId="76D88157" w:rsidR="00E04755" w:rsidRPr="00C86142" w:rsidRDefault="00016DC2" w:rsidP="00874218">
      <w:pPr>
        <w:spacing w:after="0" w:line="360" w:lineRule="auto"/>
        <w:jc w:val="both"/>
        <w:rPr>
          <w:rFonts w:ascii="Bookman Old Style" w:hAnsi="Bookman Old Style"/>
          <w:sz w:val="24"/>
          <w:szCs w:val="24"/>
          <w:lang w:val="en-ZA"/>
        </w:rPr>
      </w:pPr>
      <w:r w:rsidRPr="00C86142">
        <w:rPr>
          <w:rFonts w:ascii="Bookman Old Style" w:hAnsi="Bookman Old Style"/>
          <w:sz w:val="24"/>
          <w:szCs w:val="24"/>
          <w:lang w:val="en-ZA"/>
        </w:rPr>
        <w:lastRenderedPageBreak/>
        <w:t>GROUND OF APPEAL</w:t>
      </w:r>
    </w:p>
    <w:p w14:paraId="6AE6D07A" w14:textId="33D8CB7C" w:rsidR="00016DC2" w:rsidRDefault="00016DC2" w:rsidP="00016DC2">
      <w:pPr>
        <w:spacing w:after="0" w:line="360" w:lineRule="auto"/>
        <w:ind w:left="720" w:hanging="720"/>
        <w:jc w:val="both"/>
        <w:rPr>
          <w:rFonts w:ascii="Bookman Old Style" w:hAnsi="Bookman Old Style"/>
          <w:sz w:val="24"/>
          <w:szCs w:val="24"/>
          <w:lang w:val="en-ZA"/>
        </w:rPr>
      </w:pPr>
    </w:p>
    <w:p w14:paraId="1F0334EE" w14:textId="756F2259" w:rsidR="00016DC2" w:rsidRPr="00016DC2" w:rsidRDefault="00016DC2" w:rsidP="00016DC2">
      <w:pPr>
        <w:spacing w:after="0" w:line="360" w:lineRule="auto"/>
        <w:ind w:left="720" w:hanging="720"/>
        <w:jc w:val="both"/>
        <w:rPr>
          <w:rFonts w:ascii="Bookman Old Style" w:hAnsi="Bookman Old Style"/>
          <w:i/>
          <w:iCs/>
          <w:sz w:val="24"/>
          <w:szCs w:val="24"/>
          <w:lang w:val="en-ZA"/>
        </w:rPr>
      </w:pPr>
      <w:r w:rsidRPr="00016DC2">
        <w:rPr>
          <w:rFonts w:ascii="Bookman Old Style" w:hAnsi="Bookman Old Style"/>
          <w:i/>
          <w:iCs/>
          <w:sz w:val="24"/>
          <w:szCs w:val="24"/>
          <w:lang w:val="en-ZA"/>
        </w:rPr>
        <w:t>The finding pertaining to the period of delay, and the explanation there</w:t>
      </w:r>
      <w:r w:rsidR="00A0596A">
        <w:rPr>
          <w:rFonts w:ascii="Bookman Old Style" w:hAnsi="Bookman Old Style"/>
          <w:i/>
          <w:iCs/>
          <w:sz w:val="24"/>
          <w:szCs w:val="24"/>
          <w:lang w:val="en-ZA"/>
        </w:rPr>
        <w:t>of</w:t>
      </w:r>
    </w:p>
    <w:p w14:paraId="7844BEFD" w14:textId="2970CD30" w:rsidR="00016DC2" w:rsidRDefault="00016DC2" w:rsidP="00016DC2">
      <w:pPr>
        <w:spacing w:after="0" w:line="360" w:lineRule="auto"/>
        <w:ind w:left="720" w:hanging="720"/>
        <w:jc w:val="both"/>
        <w:rPr>
          <w:rFonts w:ascii="Bookman Old Style" w:hAnsi="Bookman Old Style"/>
          <w:sz w:val="24"/>
          <w:szCs w:val="24"/>
          <w:lang w:val="en-ZA"/>
        </w:rPr>
      </w:pPr>
    </w:p>
    <w:p w14:paraId="677C68B3" w14:textId="4635C4B2" w:rsidR="00A77131" w:rsidRDefault="00A77131">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[13]</w:t>
      </w:r>
      <w:r>
        <w:rPr>
          <w:rFonts w:ascii="Bookman Old Style" w:hAnsi="Bookman Old Style"/>
          <w:sz w:val="24"/>
          <w:szCs w:val="24"/>
          <w:lang w:val="en-ZA"/>
        </w:rPr>
        <w:tab/>
        <w:t>The applicant</w:t>
      </w:r>
      <w:r w:rsidR="00A0596A">
        <w:rPr>
          <w:rFonts w:ascii="Bookman Old Style" w:hAnsi="Bookman Old Style"/>
          <w:sz w:val="24"/>
          <w:szCs w:val="24"/>
          <w:lang w:val="en-ZA"/>
        </w:rPr>
        <w:t>’</w:t>
      </w:r>
      <w:r>
        <w:rPr>
          <w:rFonts w:ascii="Bookman Old Style" w:hAnsi="Bookman Old Style"/>
          <w:sz w:val="24"/>
          <w:szCs w:val="24"/>
          <w:lang w:val="en-ZA"/>
        </w:rPr>
        <w:t>s notice of intention to amend was due on 3 September</w:t>
      </w:r>
      <w:r w:rsidR="00D41670">
        <w:rPr>
          <w:rFonts w:ascii="Bookman Old Style" w:hAnsi="Bookman Old Style"/>
          <w:sz w:val="24"/>
          <w:szCs w:val="24"/>
          <w:lang w:val="en-ZA"/>
        </w:rPr>
        <w:t xml:space="preserve"> </w:t>
      </w:r>
      <w:r>
        <w:rPr>
          <w:rFonts w:ascii="Bookman Old Style" w:hAnsi="Bookman Old Style"/>
          <w:sz w:val="24"/>
          <w:szCs w:val="24"/>
          <w:lang w:val="en-ZA"/>
        </w:rPr>
        <w:t xml:space="preserve">2020 but was only delivered on 4 September 2020. The applicant missed the bar deadline by approximately a day. The applicant submits that the </w:t>
      </w:r>
      <w:r w:rsidR="00A0596A">
        <w:rPr>
          <w:rFonts w:ascii="Bookman Old Style" w:hAnsi="Bookman Old Style"/>
          <w:sz w:val="24"/>
          <w:szCs w:val="24"/>
          <w:lang w:val="en-ZA"/>
        </w:rPr>
        <w:t>C</w:t>
      </w:r>
      <w:r>
        <w:rPr>
          <w:rFonts w:ascii="Bookman Old Style" w:hAnsi="Bookman Old Style"/>
          <w:sz w:val="24"/>
          <w:szCs w:val="24"/>
          <w:lang w:val="en-ZA"/>
        </w:rPr>
        <w:t>ourt should confine itself to this one-day lateness when deciding whether to uplift the bar. In my judgment</w:t>
      </w:r>
      <w:r w:rsidR="00CE46F7">
        <w:rPr>
          <w:rFonts w:ascii="Bookman Old Style" w:hAnsi="Bookman Old Style"/>
          <w:sz w:val="24"/>
          <w:szCs w:val="24"/>
          <w:lang w:val="en-ZA"/>
        </w:rPr>
        <w:t xml:space="preserve"> which I handed down on 19 April 2021</w:t>
      </w:r>
      <w:r>
        <w:rPr>
          <w:rFonts w:ascii="Bookman Old Style" w:hAnsi="Bookman Old Style"/>
          <w:sz w:val="24"/>
          <w:szCs w:val="24"/>
          <w:lang w:val="en-ZA"/>
        </w:rPr>
        <w:t>, I indicated that the period of delay before and after the bar must be explained by the applicant</w:t>
      </w:r>
      <w:r w:rsidR="007900CC">
        <w:rPr>
          <w:rFonts w:ascii="Bookman Old Style" w:hAnsi="Bookman Old Style"/>
          <w:sz w:val="24"/>
          <w:szCs w:val="24"/>
          <w:lang w:val="en-ZA"/>
        </w:rPr>
        <w:t>.</w:t>
      </w:r>
      <w:r>
        <w:rPr>
          <w:rFonts w:ascii="Bookman Old Style" w:hAnsi="Bookman Old Style"/>
          <w:sz w:val="24"/>
          <w:szCs w:val="24"/>
          <w:lang w:val="en-ZA"/>
        </w:rPr>
        <w:t xml:space="preserve"> I hold th</w:t>
      </w:r>
      <w:r w:rsidR="007900CC">
        <w:rPr>
          <w:rFonts w:ascii="Bookman Old Style" w:hAnsi="Bookman Old Style"/>
          <w:sz w:val="24"/>
          <w:szCs w:val="24"/>
          <w:lang w:val="en-ZA"/>
        </w:rPr>
        <w:t>is</w:t>
      </w:r>
      <w:r>
        <w:rPr>
          <w:rFonts w:ascii="Bookman Old Style" w:hAnsi="Bookman Old Style"/>
          <w:sz w:val="24"/>
          <w:szCs w:val="24"/>
          <w:lang w:val="en-ZA"/>
        </w:rPr>
        <w:t xml:space="preserve"> view because </w:t>
      </w:r>
      <w:r w:rsidR="00CE46F7">
        <w:rPr>
          <w:rFonts w:ascii="Bookman Old Style" w:hAnsi="Bookman Old Style"/>
          <w:sz w:val="24"/>
          <w:szCs w:val="24"/>
          <w:lang w:val="en-ZA"/>
        </w:rPr>
        <w:t>in the history of this matter</w:t>
      </w:r>
      <w:r w:rsidR="00A0596A">
        <w:rPr>
          <w:rFonts w:ascii="Bookman Old Style" w:hAnsi="Bookman Old Style"/>
          <w:sz w:val="24"/>
          <w:szCs w:val="24"/>
          <w:lang w:val="en-ZA"/>
        </w:rPr>
        <w:t>,</w:t>
      </w:r>
      <w:r w:rsidR="00CE46F7">
        <w:rPr>
          <w:rFonts w:ascii="Bookman Old Style" w:hAnsi="Bookman Old Style"/>
          <w:sz w:val="24"/>
          <w:szCs w:val="24"/>
          <w:lang w:val="en-ZA"/>
        </w:rPr>
        <w:t xml:space="preserve"> the applicant failed on several occasions to comply with the time limits</w:t>
      </w:r>
      <w:r w:rsidR="007900CC">
        <w:rPr>
          <w:rFonts w:ascii="Bookman Old Style" w:hAnsi="Bookman Old Style"/>
          <w:sz w:val="24"/>
          <w:szCs w:val="24"/>
          <w:lang w:val="en-ZA"/>
        </w:rPr>
        <w:t>,</w:t>
      </w:r>
      <w:r w:rsidR="00CE46F7">
        <w:rPr>
          <w:rFonts w:ascii="Bookman Old Style" w:hAnsi="Bookman Old Style"/>
          <w:sz w:val="24"/>
          <w:szCs w:val="24"/>
          <w:lang w:val="en-ZA"/>
        </w:rPr>
        <w:t xml:space="preserve"> set by the </w:t>
      </w:r>
      <w:r w:rsidR="00FC615C">
        <w:rPr>
          <w:rFonts w:ascii="Bookman Old Style" w:hAnsi="Bookman Old Style"/>
          <w:sz w:val="24"/>
          <w:szCs w:val="24"/>
          <w:lang w:val="en-ZA"/>
        </w:rPr>
        <w:t>R</w:t>
      </w:r>
      <w:r w:rsidR="00CE46F7">
        <w:rPr>
          <w:rFonts w:ascii="Bookman Old Style" w:hAnsi="Bookman Old Style"/>
          <w:sz w:val="24"/>
          <w:szCs w:val="24"/>
          <w:lang w:val="en-ZA"/>
        </w:rPr>
        <w:t>ules</w:t>
      </w:r>
      <w:r w:rsidR="007900CC">
        <w:rPr>
          <w:rFonts w:ascii="Bookman Old Style" w:hAnsi="Bookman Old Style"/>
          <w:sz w:val="24"/>
          <w:szCs w:val="24"/>
          <w:lang w:val="en-ZA"/>
        </w:rPr>
        <w:t>, by itself and by the court order</w:t>
      </w:r>
      <w:r>
        <w:rPr>
          <w:rFonts w:ascii="Bookman Old Style" w:hAnsi="Bookman Old Style"/>
          <w:sz w:val="24"/>
          <w:szCs w:val="24"/>
          <w:lang w:val="en-ZA"/>
        </w:rPr>
        <w:t xml:space="preserve">. </w:t>
      </w:r>
      <w:r w:rsidR="00CE46F7">
        <w:rPr>
          <w:rFonts w:ascii="Bookman Old Style" w:hAnsi="Bookman Old Style"/>
          <w:sz w:val="24"/>
          <w:szCs w:val="24"/>
          <w:lang w:val="en-ZA"/>
        </w:rPr>
        <w:t>The explanation furnished by the applicant is limited to the one-day lateness only.</w:t>
      </w:r>
      <w:r>
        <w:rPr>
          <w:rFonts w:ascii="Bookman Old Style" w:hAnsi="Bookman Old Style"/>
          <w:sz w:val="24"/>
          <w:szCs w:val="24"/>
          <w:lang w:val="en-ZA"/>
        </w:rPr>
        <w:t xml:space="preserve"> </w:t>
      </w:r>
      <w:r>
        <w:rPr>
          <w:rFonts w:ascii="Bookman Old Style" w:hAnsi="Bookman Old Style"/>
          <w:sz w:val="24"/>
          <w:szCs w:val="24"/>
          <w:lang w:val="en-ZA"/>
        </w:rPr>
        <w:tab/>
      </w:r>
    </w:p>
    <w:p w14:paraId="44B9EFFC" w14:textId="2C3861A0" w:rsidR="00CE46F7" w:rsidRDefault="00CE46F7" w:rsidP="00016DC2">
      <w:pPr>
        <w:spacing w:after="0" w:line="360" w:lineRule="auto"/>
        <w:ind w:left="720" w:hanging="720"/>
        <w:jc w:val="both"/>
        <w:rPr>
          <w:rFonts w:ascii="Bookman Old Style" w:hAnsi="Bookman Old Style"/>
          <w:sz w:val="24"/>
          <w:szCs w:val="24"/>
          <w:lang w:val="en-ZA"/>
        </w:rPr>
      </w:pPr>
    </w:p>
    <w:p w14:paraId="644C8E56" w14:textId="5DF44720" w:rsidR="006E2762" w:rsidRDefault="00CE46F7">
      <w:pPr>
        <w:spacing w:after="0" w:line="360" w:lineRule="auto"/>
        <w:ind w:left="720" w:hanging="720"/>
        <w:jc w:val="both"/>
        <w:rPr>
          <w:rFonts w:ascii="Bookman Old Style" w:hAnsi="Bookman Old Style"/>
          <w:i/>
          <w:iCs/>
          <w:lang w:val="en-ZA"/>
        </w:rPr>
      </w:pPr>
      <w:r>
        <w:rPr>
          <w:rFonts w:ascii="Bookman Old Style" w:hAnsi="Bookman Old Style"/>
          <w:sz w:val="24"/>
          <w:szCs w:val="24"/>
          <w:lang w:val="en-ZA"/>
        </w:rPr>
        <w:t>[14]</w:t>
      </w:r>
      <w:r>
        <w:rPr>
          <w:rFonts w:ascii="Bookman Old Style" w:hAnsi="Bookman Old Style"/>
          <w:sz w:val="24"/>
          <w:szCs w:val="24"/>
          <w:lang w:val="en-ZA"/>
        </w:rPr>
        <w:tab/>
      </w:r>
      <w:r w:rsidR="007A3282">
        <w:rPr>
          <w:rFonts w:ascii="Bookman Old Style" w:hAnsi="Bookman Old Style"/>
          <w:sz w:val="24"/>
          <w:szCs w:val="24"/>
          <w:lang w:val="en-ZA"/>
        </w:rPr>
        <w:t xml:space="preserve">The material periods of delay to be explained by the applicant are the period before the bar, during the bar and after the bar. The applicant explained that the reason it failed to meet the deadline set by the notice of bar was load shedding. This explanation </w:t>
      </w:r>
      <w:r w:rsidR="006300A8">
        <w:rPr>
          <w:rFonts w:ascii="Bookman Old Style" w:hAnsi="Bookman Old Style"/>
          <w:sz w:val="24"/>
          <w:szCs w:val="24"/>
          <w:lang w:val="en-ZA"/>
        </w:rPr>
        <w:t xml:space="preserve">only </w:t>
      </w:r>
      <w:r w:rsidR="007A3282">
        <w:rPr>
          <w:rFonts w:ascii="Bookman Old Style" w:hAnsi="Bookman Old Style"/>
          <w:sz w:val="24"/>
          <w:szCs w:val="24"/>
          <w:lang w:val="en-ZA"/>
        </w:rPr>
        <w:t>accounts for the</w:t>
      </w:r>
      <w:r w:rsidR="007900CC">
        <w:rPr>
          <w:rFonts w:ascii="Bookman Old Style" w:hAnsi="Bookman Old Style"/>
          <w:sz w:val="24"/>
          <w:szCs w:val="24"/>
          <w:lang w:val="en-ZA"/>
        </w:rPr>
        <w:t xml:space="preserve"> events of the day before the expiry of the bar and the one day after the applicant is effectively bared from delivering its notice to amend</w:t>
      </w:r>
      <w:r w:rsidR="00C37763">
        <w:rPr>
          <w:rFonts w:ascii="Bookman Old Style" w:hAnsi="Bookman Old Style"/>
          <w:sz w:val="24"/>
          <w:szCs w:val="24"/>
          <w:lang w:val="en-ZA"/>
        </w:rPr>
        <w:t>.</w:t>
      </w:r>
      <w:r w:rsidR="007A3282">
        <w:rPr>
          <w:rFonts w:ascii="Bookman Old Style" w:hAnsi="Bookman Old Style"/>
          <w:sz w:val="24"/>
          <w:szCs w:val="24"/>
          <w:lang w:val="en-ZA"/>
        </w:rPr>
        <w:t xml:space="preserve"> It is common cause that the applicant received a schedule for load shedding</w:t>
      </w:r>
      <w:r w:rsidR="00EE0432">
        <w:rPr>
          <w:rFonts w:ascii="Bookman Old Style" w:hAnsi="Bookman Old Style"/>
          <w:sz w:val="24"/>
          <w:szCs w:val="24"/>
          <w:lang w:val="en-ZA"/>
        </w:rPr>
        <w:t>,</w:t>
      </w:r>
      <w:r w:rsidR="007A3282">
        <w:rPr>
          <w:rFonts w:ascii="Bookman Old Style" w:hAnsi="Bookman Old Style"/>
          <w:sz w:val="24"/>
          <w:szCs w:val="24"/>
          <w:lang w:val="en-ZA"/>
        </w:rPr>
        <w:t xml:space="preserve"> warning of possible electricity out</w:t>
      </w:r>
      <w:r w:rsidR="00700DFA">
        <w:rPr>
          <w:rFonts w:ascii="Bookman Old Style" w:hAnsi="Bookman Old Style"/>
          <w:sz w:val="24"/>
          <w:szCs w:val="24"/>
          <w:lang w:val="en-ZA"/>
        </w:rPr>
        <w:t>age</w:t>
      </w:r>
      <w:r w:rsidR="007A3282">
        <w:rPr>
          <w:rFonts w:ascii="Bookman Old Style" w:hAnsi="Bookman Old Style"/>
          <w:sz w:val="24"/>
          <w:szCs w:val="24"/>
          <w:lang w:val="en-ZA"/>
        </w:rPr>
        <w:t xml:space="preserve"> during the period of the bar. There is no indication that some precautionary measures were taken to avoid any foreseen inconveniences </w:t>
      </w:r>
      <w:r w:rsidR="00EE0432">
        <w:rPr>
          <w:rFonts w:ascii="Bookman Old Style" w:hAnsi="Bookman Old Style"/>
          <w:sz w:val="24"/>
          <w:szCs w:val="24"/>
          <w:lang w:val="en-ZA"/>
        </w:rPr>
        <w:t xml:space="preserve">likely to be occasioned by electricity </w:t>
      </w:r>
      <w:r w:rsidR="007A3282">
        <w:rPr>
          <w:rFonts w:ascii="Bookman Old Style" w:hAnsi="Bookman Old Style"/>
          <w:sz w:val="24"/>
          <w:szCs w:val="24"/>
          <w:lang w:val="en-ZA"/>
        </w:rPr>
        <w:t>supply interruptions. The period before the notice of bar and some periods during the bar were not explained. In my view the delay was inadequately explained and consequently I remain not incl</w:t>
      </w:r>
      <w:r w:rsidR="00700DFA">
        <w:rPr>
          <w:rFonts w:ascii="Bookman Old Style" w:hAnsi="Bookman Old Style"/>
          <w:sz w:val="24"/>
          <w:szCs w:val="24"/>
          <w:lang w:val="en-ZA"/>
        </w:rPr>
        <w:t>ine</w:t>
      </w:r>
      <w:r w:rsidR="007A3282">
        <w:rPr>
          <w:rFonts w:ascii="Bookman Old Style" w:hAnsi="Bookman Old Style"/>
          <w:sz w:val="24"/>
          <w:szCs w:val="24"/>
          <w:lang w:val="en-ZA"/>
        </w:rPr>
        <w:t>d to uplift the bar.</w:t>
      </w:r>
    </w:p>
    <w:p w14:paraId="7FF2958F" w14:textId="77777777" w:rsidR="006E2762" w:rsidRPr="00282DB7" w:rsidRDefault="006E2762" w:rsidP="00016DC2">
      <w:pPr>
        <w:spacing w:after="0" w:line="360" w:lineRule="auto"/>
        <w:ind w:left="720" w:hanging="720"/>
        <w:jc w:val="both"/>
        <w:rPr>
          <w:rFonts w:ascii="Bookman Old Style" w:hAnsi="Bookman Old Style"/>
          <w:i/>
          <w:iCs/>
          <w:sz w:val="24"/>
          <w:szCs w:val="24"/>
          <w:lang w:val="en-ZA"/>
        </w:rPr>
      </w:pPr>
    </w:p>
    <w:p w14:paraId="6B38D3CB" w14:textId="5C67F7A2" w:rsidR="006E2762" w:rsidRDefault="006E2762"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[15]</w:t>
      </w:r>
      <w:r>
        <w:rPr>
          <w:rFonts w:ascii="Bookman Old Style" w:hAnsi="Bookman Old Style"/>
          <w:sz w:val="24"/>
          <w:szCs w:val="24"/>
          <w:lang w:val="en-ZA"/>
        </w:rPr>
        <w:tab/>
      </w:r>
      <w:r w:rsidR="00A47B67">
        <w:rPr>
          <w:rFonts w:ascii="Bookman Old Style" w:hAnsi="Bookman Old Style"/>
          <w:sz w:val="24"/>
          <w:szCs w:val="24"/>
          <w:lang w:val="en-ZA"/>
        </w:rPr>
        <w:t>Mr Iles</w:t>
      </w:r>
      <w:r w:rsidR="00A0596A">
        <w:rPr>
          <w:rFonts w:ascii="Bookman Old Style" w:hAnsi="Bookman Old Style"/>
          <w:sz w:val="24"/>
          <w:szCs w:val="24"/>
          <w:lang w:val="en-ZA"/>
        </w:rPr>
        <w:t>,</w:t>
      </w:r>
      <w:r w:rsidR="00A47B67">
        <w:rPr>
          <w:rFonts w:ascii="Bookman Old Style" w:hAnsi="Bookman Old Style"/>
          <w:sz w:val="24"/>
          <w:szCs w:val="24"/>
          <w:lang w:val="en-ZA"/>
        </w:rPr>
        <w:t xml:space="preserve"> appearing for the respondent, brought to my attention, a recent decision of the Supreme Court of Appeal in </w:t>
      </w:r>
      <w:r w:rsidR="00A47B67" w:rsidRPr="00DC5079">
        <w:rPr>
          <w:rFonts w:ascii="Bookman Old Style" w:hAnsi="Bookman Old Style"/>
          <w:i/>
          <w:iCs/>
          <w:sz w:val="24"/>
          <w:szCs w:val="24"/>
          <w:lang w:val="en-ZA"/>
        </w:rPr>
        <w:t xml:space="preserve">Ingosstrakh v Global </w:t>
      </w:r>
      <w:r w:rsidR="00A47B67" w:rsidRPr="00DC5079">
        <w:rPr>
          <w:rFonts w:ascii="Bookman Old Style" w:hAnsi="Bookman Old Style"/>
          <w:i/>
          <w:iCs/>
          <w:sz w:val="24"/>
          <w:szCs w:val="24"/>
          <w:lang w:val="en-ZA"/>
        </w:rPr>
        <w:lastRenderedPageBreak/>
        <w:t>Aviation Investments (Pty) Ltd and Others</w:t>
      </w:r>
      <w:r w:rsidR="00A47B67">
        <w:rPr>
          <w:rStyle w:val="FootnoteReference"/>
          <w:rFonts w:ascii="Bookman Old Style" w:hAnsi="Bookman Old Style"/>
          <w:sz w:val="24"/>
          <w:szCs w:val="24"/>
          <w:lang w:val="en-ZA"/>
        </w:rPr>
        <w:footnoteReference w:id="10"/>
      </w:r>
      <w:r w:rsidR="00A47B67">
        <w:rPr>
          <w:rFonts w:ascii="Bookman Old Style" w:hAnsi="Bookman Old Style"/>
          <w:sz w:val="24"/>
          <w:szCs w:val="24"/>
          <w:lang w:val="en-ZA"/>
        </w:rPr>
        <w:t xml:space="preserve"> which was handed down on 4 June 2021, </w:t>
      </w:r>
      <w:r w:rsidR="00EE0432">
        <w:rPr>
          <w:rFonts w:ascii="Bookman Old Style" w:hAnsi="Bookman Old Style"/>
          <w:sz w:val="24"/>
          <w:szCs w:val="24"/>
          <w:lang w:val="en-ZA"/>
        </w:rPr>
        <w:t xml:space="preserve">about a month and a half after I delivered my judgment and </w:t>
      </w:r>
      <w:r w:rsidR="00A47B67">
        <w:rPr>
          <w:rFonts w:ascii="Bookman Old Style" w:hAnsi="Bookman Old Style"/>
          <w:sz w:val="24"/>
          <w:szCs w:val="24"/>
          <w:lang w:val="en-ZA"/>
        </w:rPr>
        <w:t>a few days before this appeal was heard. In that case, Makgoka JA held that:</w:t>
      </w:r>
    </w:p>
    <w:p w14:paraId="5D5EB1AD" w14:textId="14D3248C" w:rsidR="00A47B67" w:rsidRDefault="00A47B67" w:rsidP="00016DC2">
      <w:pPr>
        <w:spacing w:after="0" w:line="360" w:lineRule="auto"/>
        <w:ind w:left="720" w:hanging="720"/>
        <w:jc w:val="both"/>
        <w:rPr>
          <w:rFonts w:ascii="Bookman Old Style" w:hAnsi="Bookman Old Style"/>
          <w:sz w:val="24"/>
          <w:szCs w:val="24"/>
          <w:lang w:val="en-ZA"/>
        </w:rPr>
      </w:pPr>
    </w:p>
    <w:p w14:paraId="032DDB84" w14:textId="4701B132" w:rsidR="00A47B67" w:rsidRPr="00282DB7" w:rsidRDefault="00A47B67" w:rsidP="00016DC2">
      <w:pPr>
        <w:spacing w:after="0" w:line="360" w:lineRule="auto"/>
        <w:ind w:left="720" w:hanging="720"/>
        <w:jc w:val="both"/>
        <w:rPr>
          <w:rFonts w:ascii="Bookman Old Style" w:hAnsi="Bookman Old Style"/>
          <w:lang w:val="en-ZA"/>
        </w:rPr>
      </w:pPr>
      <w:r>
        <w:rPr>
          <w:rFonts w:ascii="Bookman Old Style" w:hAnsi="Bookman Old Style"/>
          <w:sz w:val="24"/>
          <w:szCs w:val="24"/>
          <w:lang w:val="en-ZA"/>
        </w:rPr>
        <w:tab/>
      </w:r>
      <w:r w:rsidRPr="00282DB7">
        <w:rPr>
          <w:rFonts w:ascii="Bookman Old Style" w:hAnsi="Bookman Old Style"/>
          <w:lang w:val="en-ZA"/>
        </w:rPr>
        <w:t>“</w:t>
      </w:r>
      <w:r w:rsidRPr="00282DB7">
        <w:rPr>
          <w:rFonts w:ascii="Bookman Old Style" w:hAnsi="Bookman Old Style"/>
          <w:i/>
          <w:iCs/>
          <w:lang w:val="en-ZA"/>
        </w:rPr>
        <w:t>With regard to the explanation for the default, there are</w:t>
      </w:r>
      <w:r w:rsidR="00DC5079" w:rsidRPr="00282DB7">
        <w:rPr>
          <w:rFonts w:ascii="Bookman Old Style" w:hAnsi="Bookman Old Style"/>
          <w:i/>
          <w:iCs/>
          <w:lang w:val="en-ZA"/>
        </w:rPr>
        <w:t xml:space="preserve"> two periods of default which Ingosstrakh must explain for its failure to deliver a plea. The first is before the notice of bar was served on it, and the second relates to the period after the bar was served. This is because the notice of bar was served as a consequence of Ingosstrakh’s failure to file its plea. With regard to the former, Igosstrakh served its notice of intention to defend the action on 30 September 2015. It therefore had up to 28 October 2015 to file its plea. There is simply no explanation whatsoever why a plea was not filed during the period</w:t>
      </w:r>
      <w:r w:rsidRPr="00282DB7">
        <w:rPr>
          <w:rFonts w:ascii="Bookman Old Style" w:hAnsi="Bookman Old Style"/>
          <w:lang w:val="en-ZA"/>
        </w:rPr>
        <w:t>”</w:t>
      </w:r>
      <w:r w:rsidR="00FC615C" w:rsidRPr="00282DB7">
        <w:rPr>
          <w:rFonts w:ascii="Bookman Old Style" w:hAnsi="Bookman Old Style"/>
          <w:lang w:val="en-ZA"/>
        </w:rPr>
        <w:t>.</w:t>
      </w:r>
    </w:p>
    <w:p w14:paraId="4B95D230" w14:textId="4DAD5520" w:rsidR="005C3C78" w:rsidRDefault="005C3C78" w:rsidP="00016DC2">
      <w:pPr>
        <w:spacing w:after="0" w:line="360" w:lineRule="auto"/>
        <w:ind w:left="720" w:hanging="720"/>
        <w:jc w:val="both"/>
        <w:rPr>
          <w:rFonts w:ascii="Bookman Old Style" w:hAnsi="Bookman Old Style"/>
          <w:sz w:val="24"/>
          <w:szCs w:val="24"/>
          <w:lang w:val="en-ZA"/>
        </w:rPr>
      </w:pPr>
    </w:p>
    <w:p w14:paraId="0DA796BA" w14:textId="26F7AAB3" w:rsidR="005C3C78" w:rsidRDefault="005C3C78"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[16]</w:t>
      </w:r>
      <w:r>
        <w:rPr>
          <w:rFonts w:ascii="Bookman Old Style" w:hAnsi="Bookman Old Style"/>
          <w:sz w:val="24"/>
          <w:szCs w:val="24"/>
          <w:lang w:val="en-ZA"/>
        </w:rPr>
        <w:tab/>
      </w:r>
      <w:r w:rsidR="00A47B67">
        <w:rPr>
          <w:rFonts w:ascii="Bookman Old Style" w:hAnsi="Bookman Old Style"/>
          <w:sz w:val="24"/>
          <w:szCs w:val="24"/>
          <w:lang w:val="en-ZA"/>
        </w:rPr>
        <w:t xml:space="preserve">As it was in the </w:t>
      </w:r>
      <w:r w:rsidR="00A47B67" w:rsidRPr="00FA2AB6">
        <w:rPr>
          <w:rFonts w:ascii="Bookman Old Style" w:hAnsi="Bookman Old Style"/>
          <w:i/>
          <w:iCs/>
          <w:sz w:val="24"/>
          <w:szCs w:val="24"/>
          <w:lang w:val="en-ZA"/>
        </w:rPr>
        <w:t>Ingosstrakh</w:t>
      </w:r>
      <w:r w:rsidR="00A47B67">
        <w:rPr>
          <w:rFonts w:ascii="Bookman Old Style" w:hAnsi="Bookman Old Style"/>
          <w:sz w:val="24"/>
          <w:szCs w:val="24"/>
          <w:lang w:val="en-ZA"/>
        </w:rPr>
        <w:t xml:space="preserve"> decision, the applicant herein</w:t>
      </w:r>
      <w:r w:rsidR="00700DFA">
        <w:rPr>
          <w:rFonts w:ascii="Bookman Old Style" w:hAnsi="Bookman Old Style"/>
          <w:sz w:val="24"/>
          <w:szCs w:val="24"/>
          <w:lang w:val="en-ZA"/>
        </w:rPr>
        <w:t>,</w:t>
      </w:r>
      <w:r w:rsidR="00A47B67">
        <w:rPr>
          <w:rFonts w:ascii="Bookman Old Style" w:hAnsi="Bookman Old Style"/>
          <w:sz w:val="24"/>
          <w:szCs w:val="24"/>
          <w:lang w:val="en-ZA"/>
        </w:rPr>
        <w:t xml:space="preserve"> in order to succeed</w:t>
      </w:r>
      <w:r w:rsidR="00700DFA">
        <w:rPr>
          <w:rFonts w:ascii="Bookman Old Style" w:hAnsi="Bookman Old Style"/>
          <w:sz w:val="24"/>
          <w:szCs w:val="24"/>
          <w:lang w:val="en-ZA"/>
        </w:rPr>
        <w:t>,</w:t>
      </w:r>
      <w:r w:rsidR="00A47B67">
        <w:rPr>
          <w:rFonts w:ascii="Bookman Old Style" w:hAnsi="Bookman Old Style"/>
          <w:sz w:val="24"/>
          <w:szCs w:val="24"/>
          <w:lang w:val="en-ZA"/>
        </w:rPr>
        <w:t xml:space="preserve"> needed to give an explanation accounting for the period of delay before and after the bar was served. The period after the bar would include the period when the applicant is under bar and when it is effectively barred</w:t>
      </w:r>
      <w:r w:rsidR="00700DFA">
        <w:rPr>
          <w:rFonts w:ascii="Bookman Old Style" w:hAnsi="Bookman Old Style"/>
          <w:sz w:val="24"/>
          <w:szCs w:val="24"/>
          <w:lang w:val="en-ZA"/>
        </w:rPr>
        <w:t xml:space="preserve"> in order for the </w:t>
      </w:r>
      <w:r w:rsidR="00FC615C">
        <w:rPr>
          <w:rFonts w:ascii="Bookman Old Style" w:hAnsi="Bookman Old Style"/>
          <w:sz w:val="24"/>
          <w:szCs w:val="24"/>
          <w:lang w:val="en-ZA"/>
        </w:rPr>
        <w:t>C</w:t>
      </w:r>
      <w:r w:rsidR="00700DFA">
        <w:rPr>
          <w:rFonts w:ascii="Bookman Old Style" w:hAnsi="Bookman Old Style"/>
          <w:sz w:val="24"/>
          <w:szCs w:val="24"/>
          <w:lang w:val="en-ZA"/>
        </w:rPr>
        <w:t>ourt to consider the request for the upliftment of the bar and condone the late filing of the notice to amend</w:t>
      </w:r>
      <w:r w:rsidR="00A47B67">
        <w:rPr>
          <w:rFonts w:ascii="Bookman Old Style" w:hAnsi="Bookman Old Style"/>
          <w:sz w:val="24"/>
          <w:szCs w:val="24"/>
          <w:lang w:val="en-ZA"/>
        </w:rPr>
        <w:t>. The explanation given did not cover the full period of delay and was inadequate.</w:t>
      </w:r>
    </w:p>
    <w:p w14:paraId="42DB1990" w14:textId="6A708E17" w:rsidR="00A47B67" w:rsidRDefault="00A47B67" w:rsidP="00016DC2">
      <w:pPr>
        <w:spacing w:after="0" w:line="360" w:lineRule="auto"/>
        <w:ind w:left="720" w:hanging="720"/>
        <w:jc w:val="both"/>
        <w:rPr>
          <w:rFonts w:ascii="Bookman Old Style" w:hAnsi="Bookman Old Style"/>
          <w:sz w:val="24"/>
          <w:szCs w:val="24"/>
          <w:lang w:val="en-ZA"/>
        </w:rPr>
      </w:pPr>
    </w:p>
    <w:p w14:paraId="7B07EDF4" w14:textId="5B55777F" w:rsidR="00A47B67" w:rsidRDefault="00A47B67"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PROSPECTS OF SUCCESS</w:t>
      </w:r>
    </w:p>
    <w:p w14:paraId="78D623B7" w14:textId="4A2528DA" w:rsidR="00A47B67" w:rsidRDefault="00A47B67" w:rsidP="00016DC2">
      <w:pPr>
        <w:spacing w:after="0" w:line="360" w:lineRule="auto"/>
        <w:ind w:left="720" w:hanging="720"/>
        <w:jc w:val="both"/>
        <w:rPr>
          <w:rFonts w:ascii="Bookman Old Style" w:hAnsi="Bookman Old Style"/>
          <w:sz w:val="24"/>
          <w:szCs w:val="24"/>
          <w:lang w:val="en-ZA"/>
        </w:rPr>
      </w:pPr>
    </w:p>
    <w:p w14:paraId="0E9D1953" w14:textId="491E6AF9" w:rsidR="00A47B67" w:rsidRDefault="00A47B67"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[17]</w:t>
      </w:r>
      <w:r>
        <w:rPr>
          <w:rFonts w:ascii="Bookman Old Style" w:hAnsi="Bookman Old Style"/>
          <w:sz w:val="24"/>
          <w:szCs w:val="24"/>
          <w:lang w:val="en-ZA"/>
        </w:rPr>
        <w:tab/>
        <w:t>In my judgment I made the following finding</w:t>
      </w:r>
      <w:r w:rsidR="00FC615C">
        <w:rPr>
          <w:rFonts w:ascii="Bookman Old Style" w:hAnsi="Bookman Old Style"/>
          <w:sz w:val="24"/>
          <w:szCs w:val="24"/>
          <w:lang w:val="en-ZA"/>
        </w:rPr>
        <w:t xml:space="preserve"> - </w:t>
      </w:r>
    </w:p>
    <w:p w14:paraId="409284B2" w14:textId="4FF98179" w:rsidR="00A47B67" w:rsidRDefault="00A47B67" w:rsidP="00016DC2">
      <w:pPr>
        <w:spacing w:after="0" w:line="360" w:lineRule="auto"/>
        <w:ind w:left="720" w:hanging="720"/>
        <w:jc w:val="both"/>
        <w:rPr>
          <w:rFonts w:ascii="Bookman Old Style" w:hAnsi="Bookman Old Style"/>
          <w:sz w:val="24"/>
          <w:szCs w:val="24"/>
          <w:lang w:val="en-ZA"/>
        </w:rPr>
      </w:pPr>
    </w:p>
    <w:p w14:paraId="31E8CC82" w14:textId="065C5F36" w:rsidR="00A47B67" w:rsidRPr="00282DB7" w:rsidRDefault="00A47B67" w:rsidP="00016DC2">
      <w:pPr>
        <w:spacing w:after="0" w:line="360" w:lineRule="auto"/>
        <w:ind w:left="720" w:hanging="720"/>
        <w:jc w:val="both"/>
        <w:rPr>
          <w:rFonts w:ascii="Bookman Old Style" w:hAnsi="Bookman Old Style"/>
          <w:lang w:val="en-ZA"/>
        </w:rPr>
      </w:pPr>
      <w:r w:rsidRPr="00282DB7">
        <w:rPr>
          <w:rFonts w:ascii="Bookman Old Style" w:hAnsi="Bookman Old Style"/>
          <w:lang w:val="en-ZA"/>
        </w:rPr>
        <w:tab/>
        <w:t>“</w:t>
      </w:r>
      <w:r w:rsidRPr="00282DB7">
        <w:rPr>
          <w:rFonts w:ascii="Bookman Old Style" w:hAnsi="Bookman Old Style"/>
          <w:i/>
          <w:iCs/>
          <w:lang w:val="en-ZA"/>
        </w:rPr>
        <w:t>In the circumstances of this case, I am not persuaded by the magnitude of the claim to find in applicant’s favour regarding the prospects of success. Instead, the effect of a poorly explained delay impacts negatively on the prospects of success of the action</w:t>
      </w:r>
      <w:r w:rsidRPr="00282DB7">
        <w:rPr>
          <w:rFonts w:ascii="Bookman Old Style" w:hAnsi="Bookman Old Style"/>
          <w:lang w:val="en-ZA"/>
        </w:rPr>
        <w:t>”</w:t>
      </w:r>
      <w:r w:rsidR="00FC615C" w:rsidRPr="00282DB7">
        <w:rPr>
          <w:rFonts w:ascii="Bookman Old Style" w:hAnsi="Bookman Old Style"/>
          <w:lang w:val="en-ZA"/>
        </w:rPr>
        <w:t>.</w:t>
      </w:r>
    </w:p>
    <w:p w14:paraId="4320D351" w14:textId="5D57B14D" w:rsidR="00A47B67" w:rsidRDefault="00A47B67" w:rsidP="00016DC2">
      <w:pPr>
        <w:spacing w:after="0" w:line="360" w:lineRule="auto"/>
        <w:ind w:left="720" w:hanging="720"/>
        <w:jc w:val="both"/>
        <w:rPr>
          <w:rFonts w:ascii="Bookman Old Style" w:hAnsi="Bookman Old Style"/>
          <w:sz w:val="24"/>
          <w:szCs w:val="24"/>
          <w:lang w:val="en-ZA"/>
        </w:rPr>
      </w:pPr>
    </w:p>
    <w:p w14:paraId="0839BFE0" w14:textId="18670C08" w:rsidR="00A47B67" w:rsidRDefault="00A47B67"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lastRenderedPageBreak/>
        <w:t>[18]</w:t>
      </w:r>
      <w:r>
        <w:rPr>
          <w:rFonts w:ascii="Bookman Old Style" w:hAnsi="Bookman Old Style"/>
          <w:sz w:val="24"/>
          <w:szCs w:val="24"/>
          <w:lang w:val="en-ZA"/>
        </w:rPr>
        <w:tab/>
        <w:t>Mr Bekker</w:t>
      </w:r>
      <w:r w:rsidR="00FC615C">
        <w:rPr>
          <w:rFonts w:ascii="Bookman Old Style" w:hAnsi="Bookman Old Style"/>
          <w:sz w:val="24"/>
          <w:szCs w:val="24"/>
          <w:lang w:val="en-ZA"/>
        </w:rPr>
        <w:t>,</w:t>
      </w:r>
      <w:r>
        <w:rPr>
          <w:rFonts w:ascii="Bookman Old Style" w:hAnsi="Bookman Old Style"/>
          <w:sz w:val="24"/>
          <w:szCs w:val="24"/>
          <w:lang w:val="en-ZA"/>
        </w:rPr>
        <w:t xml:space="preserve"> arguing for the applicant</w:t>
      </w:r>
      <w:r w:rsidR="00FC615C">
        <w:rPr>
          <w:rFonts w:ascii="Bookman Old Style" w:hAnsi="Bookman Old Style"/>
          <w:sz w:val="24"/>
          <w:szCs w:val="24"/>
          <w:lang w:val="en-ZA"/>
        </w:rPr>
        <w:t>,</w:t>
      </w:r>
      <w:r>
        <w:rPr>
          <w:rFonts w:ascii="Bookman Old Style" w:hAnsi="Bookman Old Style"/>
          <w:sz w:val="24"/>
          <w:szCs w:val="24"/>
          <w:lang w:val="en-ZA"/>
        </w:rPr>
        <w:t xml:space="preserve"> submitted that the </w:t>
      </w:r>
      <w:r w:rsidR="00FC615C">
        <w:rPr>
          <w:rFonts w:ascii="Bookman Old Style" w:hAnsi="Bookman Old Style"/>
          <w:sz w:val="24"/>
          <w:szCs w:val="24"/>
          <w:lang w:val="en-ZA"/>
        </w:rPr>
        <w:t>C</w:t>
      </w:r>
      <w:r>
        <w:rPr>
          <w:rFonts w:ascii="Bookman Old Style" w:hAnsi="Bookman Old Style"/>
          <w:sz w:val="24"/>
          <w:szCs w:val="24"/>
          <w:lang w:val="en-ZA"/>
        </w:rPr>
        <w:t xml:space="preserve">ourt should have made such finding having regard to the applicant’s claim contained in </w:t>
      </w:r>
      <w:r w:rsidR="00FC615C">
        <w:rPr>
          <w:rFonts w:ascii="Bookman Old Style" w:hAnsi="Bookman Old Style"/>
          <w:sz w:val="24"/>
          <w:szCs w:val="24"/>
          <w:lang w:val="en-ZA"/>
        </w:rPr>
        <w:t>its</w:t>
      </w:r>
      <w:r>
        <w:rPr>
          <w:rFonts w:ascii="Bookman Old Style" w:hAnsi="Bookman Old Style"/>
          <w:sz w:val="24"/>
          <w:szCs w:val="24"/>
          <w:lang w:val="en-ZA"/>
        </w:rPr>
        <w:t xml:space="preserve"> notice of intention to amend its particulars of claim</w:t>
      </w:r>
      <w:r w:rsidR="0002464D">
        <w:rPr>
          <w:rFonts w:ascii="Bookman Old Style" w:hAnsi="Bookman Old Style"/>
          <w:sz w:val="24"/>
          <w:szCs w:val="24"/>
          <w:lang w:val="en-ZA"/>
        </w:rPr>
        <w:t>. I do not agree with Mr Bekker’s submission. The applicant was before court applying for the upliftment of the bar and condonation of the late delivery of the notice to amend. Its failure to meet the test in Rule 27(1) indeed affects the prospects of success of its action because it has failed to break through the hurdle set by Rule 27 (1).</w:t>
      </w:r>
    </w:p>
    <w:p w14:paraId="0B34124B" w14:textId="67AE6DD5" w:rsidR="0002464D" w:rsidRDefault="0002464D" w:rsidP="00016DC2">
      <w:pPr>
        <w:spacing w:after="0" w:line="360" w:lineRule="auto"/>
        <w:ind w:left="720" w:hanging="720"/>
        <w:jc w:val="both"/>
        <w:rPr>
          <w:rFonts w:ascii="Bookman Old Style" w:hAnsi="Bookman Old Style"/>
          <w:sz w:val="24"/>
          <w:szCs w:val="24"/>
          <w:lang w:val="en-ZA"/>
        </w:rPr>
      </w:pPr>
    </w:p>
    <w:p w14:paraId="29B87320" w14:textId="64840F0C" w:rsidR="0002464D" w:rsidRDefault="0002464D"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[19]</w:t>
      </w:r>
      <w:r>
        <w:rPr>
          <w:rFonts w:ascii="Bookman Old Style" w:hAnsi="Bookman Old Style"/>
          <w:sz w:val="24"/>
          <w:szCs w:val="24"/>
          <w:lang w:val="en-ZA"/>
        </w:rPr>
        <w:tab/>
        <w:t xml:space="preserve">In relation to the prospects of success of the appeal referred to in </w:t>
      </w:r>
      <w:r w:rsidR="00C30363">
        <w:rPr>
          <w:rFonts w:ascii="Bookman Old Style" w:hAnsi="Bookman Old Style"/>
          <w:sz w:val="24"/>
          <w:szCs w:val="24"/>
          <w:lang w:val="en-ZA"/>
        </w:rPr>
        <w:t>Section</w:t>
      </w:r>
      <w:r>
        <w:rPr>
          <w:rFonts w:ascii="Bookman Old Style" w:hAnsi="Bookman Old Style"/>
          <w:sz w:val="24"/>
          <w:szCs w:val="24"/>
          <w:lang w:val="en-ZA"/>
        </w:rPr>
        <w:t xml:space="preserve"> 17 (1), In </w:t>
      </w:r>
      <w:r w:rsidRPr="006A57D7">
        <w:rPr>
          <w:rFonts w:ascii="Bookman Old Style" w:hAnsi="Bookman Old Style"/>
          <w:i/>
          <w:iCs/>
          <w:sz w:val="24"/>
          <w:szCs w:val="24"/>
          <w:lang w:val="en-ZA"/>
        </w:rPr>
        <w:t>Van Wyk v Unitas Hospital and Another</w:t>
      </w:r>
      <w:r>
        <w:rPr>
          <w:rStyle w:val="FootnoteReference"/>
          <w:rFonts w:ascii="Bookman Old Style" w:hAnsi="Bookman Old Style"/>
          <w:sz w:val="24"/>
          <w:szCs w:val="24"/>
          <w:lang w:val="en-ZA"/>
        </w:rPr>
        <w:footnoteReference w:id="11"/>
      </w:r>
      <w:r>
        <w:rPr>
          <w:rFonts w:ascii="Bookman Old Style" w:hAnsi="Bookman Old Style"/>
          <w:sz w:val="24"/>
          <w:szCs w:val="24"/>
          <w:lang w:val="en-ZA"/>
        </w:rPr>
        <w:t xml:space="preserve"> the court said:</w:t>
      </w:r>
    </w:p>
    <w:p w14:paraId="33239F9D" w14:textId="78AF20CD" w:rsidR="0002464D" w:rsidRPr="00FC615C" w:rsidRDefault="0002464D" w:rsidP="00016DC2">
      <w:pPr>
        <w:spacing w:after="0" w:line="360" w:lineRule="auto"/>
        <w:ind w:left="720" w:hanging="720"/>
        <w:jc w:val="both"/>
        <w:rPr>
          <w:rFonts w:ascii="Bookman Old Style" w:hAnsi="Bookman Old Style"/>
          <w:sz w:val="24"/>
          <w:szCs w:val="24"/>
          <w:lang w:val="en-ZA"/>
        </w:rPr>
      </w:pPr>
    </w:p>
    <w:p w14:paraId="09B4B747" w14:textId="33D64FD2" w:rsidR="0002464D" w:rsidRDefault="0002464D">
      <w:pPr>
        <w:spacing w:after="0" w:line="360" w:lineRule="auto"/>
        <w:ind w:left="720" w:hanging="720"/>
        <w:jc w:val="both"/>
        <w:rPr>
          <w:rFonts w:ascii="Bookman Old Style" w:hAnsi="Bookman Old Style"/>
          <w:i/>
          <w:iCs/>
          <w:lang w:val="en-ZA"/>
        </w:rPr>
      </w:pPr>
      <w:r w:rsidRPr="00FC615C">
        <w:rPr>
          <w:rFonts w:ascii="Bookman Old Style" w:hAnsi="Bookman Old Style"/>
          <w:sz w:val="24"/>
          <w:szCs w:val="24"/>
          <w:lang w:val="en-ZA"/>
        </w:rPr>
        <w:tab/>
        <w:t>“</w:t>
      </w:r>
      <w:r w:rsidRPr="00282DB7">
        <w:rPr>
          <w:rFonts w:ascii="Bookman Old Style" w:hAnsi="Bookman Old Style"/>
          <w:i/>
          <w:iCs/>
          <w:sz w:val="24"/>
          <w:szCs w:val="24"/>
          <w:lang w:val="en-ZA"/>
        </w:rPr>
        <w:t>Prospects of success pale into insignificance where, as here, there is inordinate delay coupled with the absence of a reasonable explanation for the delay”</w:t>
      </w:r>
      <w:r w:rsidR="00D41670">
        <w:rPr>
          <w:rFonts w:ascii="Bookman Old Style" w:hAnsi="Bookman Old Style"/>
          <w:i/>
          <w:iCs/>
          <w:sz w:val="24"/>
          <w:szCs w:val="24"/>
          <w:lang w:val="en-ZA"/>
        </w:rPr>
        <w:t>.</w:t>
      </w:r>
    </w:p>
    <w:p w14:paraId="5C943B0A" w14:textId="77777777" w:rsidR="0002464D" w:rsidRDefault="0002464D" w:rsidP="00016DC2">
      <w:pPr>
        <w:spacing w:after="0" w:line="360" w:lineRule="auto"/>
        <w:ind w:left="720" w:hanging="720"/>
        <w:jc w:val="both"/>
        <w:rPr>
          <w:rFonts w:ascii="Bookman Old Style" w:hAnsi="Bookman Old Style"/>
          <w:i/>
          <w:iCs/>
          <w:lang w:val="en-ZA"/>
        </w:rPr>
      </w:pPr>
    </w:p>
    <w:p w14:paraId="7A5E0B0C" w14:textId="14A4F0B2" w:rsidR="0002464D" w:rsidRDefault="0002464D" w:rsidP="00016DC2">
      <w:pPr>
        <w:spacing w:after="0" w:line="360" w:lineRule="auto"/>
        <w:ind w:left="720" w:hanging="720"/>
        <w:jc w:val="both"/>
        <w:rPr>
          <w:rFonts w:ascii="Bookman Old Style" w:hAnsi="Bookman Old Style"/>
          <w:sz w:val="24"/>
          <w:szCs w:val="24"/>
          <w:lang w:val="en-ZA"/>
        </w:rPr>
      </w:pPr>
      <w:r w:rsidRPr="0002464D">
        <w:rPr>
          <w:rFonts w:ascii="Bookman Old Style" w:hAnsi="Bookman Old Style"/>
          <w:sz w:val="24"/>
          <w:szCs w:val="24"/>
          <w:lang w:val="en-ZA"/>
        </w:rPr>
        <w:t>[20]</w:t>
      </w:r>
      <w:r w:rsidRPr="0002464D">
        <w:rPr>
          <w:rFonts w:ascii="Bookman Old Style" w:hAnsi="Bookman Old Style"/>
          <w:sz w:val="24"/>
          <w:szCs w:val="24"/>
          <w:lang w:val="en-ZA"/>
        </w:rPr>
        <w:tab/>
        <w:t>In l</w:t>
      </w:r>
      <w:r>
        <w:rPr>
          <w:rFonts w:ascii="Bookman Old Style" w:hAnsi="Bookman Old Style"/>
          <w:sz w:val="24"/>
          <w:szCs w:val="24"/>
          <w:lang w:val="en-ZA"/>
        </w:rPr>
        <w:t>ight of the inordinate</w:t>
      </w:r>
      <w:r w:rsidR="005353EA">
        <w:rPr>
          <w:rFonts w:ascii="Bookman Old Style" w:hAnsi="Bookman Old Style"/>
          <w:sz w:val="24"/>
          <w:szCs w:val="24"/>
          <w:lang w:val="en-ZA"/>
        </w:rPr>
        <w:t xml:space="preserve"> </w:t>
      </w:r>
      <w:r w:rsidR="00EE0432">
        <w:rPr>
          <w:rFonts w:ascii="Bookman Old Style" w:hAnsi="Bookman Old Style"/>
          <w:sz w:val="24"/>
          <w:szCs w:val="24"/>
          <w:lang w:val="en-ZA"/>
        </w:rPr>
        <w:t xml:space="preserve">and poorly explained delay as well as the fact that the applicant failed to satisfy the test in Rule 27(1), I remain not persuaded as I was, that the upliftment of the bar </w:t>
      </w:r>
      <w:r>
        <w:rPr>
          <w:rFonts w:ascii="Bookman Old Style" w:hAnsi="Bookman Old Style"/>
          <w:sz w:val="24"/>
          <w:szCs w:val="24"/>
          <w:lang w:val="en-ZA"/>
        </w:rPr>
        <w:t>would enable the applicant to deal diligently with the deficiencies in its action and propel the matter to finality.</w:t>
      </w:r>
    </w:p>
    <w:p w14:paraId="34611316" w14:textId="0B260198" w:rsidR="00285192" w:rsidRDefault="00285192" w:rsidP="00016DC2">
      <w:pPr>
        <w:spacing w:after="0" w:line="360" w:lineRule="auto"/>
        <w:ind w:left="720" w:hanging="720"/>
        <w:jc w:val="both"/>
        <w:rPr>
          <w:rFonts w:ascii="Bookman Old Style" w:hAnsi="Bookman Old Style"/>
          <w:sz w:val="24"/>
          <w:szCs w:val="24"/>
          <w:lang w:val="en-ZA"/>
        </w:rPr>
      </w:pPr>
    </w:p>
    <w:p w14:paraId="4C17EC73" w14:textId="2D7E8E44" w:rsidR="00285192" w:rsidRDefault="00285192"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THE EVALUATION OF PREJUDICE</w:t>
      </w:r>
    </w:p>
    <w:p w14:paraId="6B24A3C3" w14:textId="77AB609B" w:rsidR="00285192" w:rsidRDefault="00285192" w:rsidP="00016DC2">
      <w:pPr>
        <w:spacing w:after="0" w:line="360" w:lineRule="auto"/>
        <w:ind w:left="720" w:hanging="720"/>
        <w:jc w:val="both"/>
        <w:rPr>
          <w:rFonts w:ascii="Bookman Old Style" w:hAnsi="Bookman Old Style"/>
          <w:sz w:val="24"/>
          <w:szCs w:val="24"/>
          <w:lang w:val="en-ZA"/>
        </w:rPr>
      </w:pPr>
    </w:p>
    <w:p w14:paraId="04A60263" w14:textId="7B35130C" w:rsidR="00285192" w:rsidRDefault="00285192"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[21]</w:t>
      </w:r>
      <w:r>
        <w:rPr>
          <w:rFonts w:ascii="Bookman Old Style" w:hAnsi="Bookman Old Style"/>
          <w:sz w:val="24"/>
          <w:szCs w:val="24"/>
          <w:lang w:val="en-ZA"/>
        </w:rPr>
        <w:tab/>
        <w:t>The respondent filed an answering affidavit in response to the applicant’s application for the upliftment of the bar and condonation. Mr Ndlovu, the deponent, states at paragraph 5</w:t>
      </w:r>
      <w:r>
        <w:rPr>
          <w:rStyle w:val="FootnoteReference"/>
          <w:rFonts w:ascii="Bookman Old Style" w:hAnsi="Bookman Old Style"/>
          <w:sz w:val="24"/>
          <w:szCs w:val="24"/>
          <w:lang w:val="en-ZA"/>
        </w:rPr>
        <w:footnoteReference w:id="12"/>
      </w:r>
    </w:p>
    <w:p w14:paraId="3E28AF24" w14:textId="39D3D49E" w:rsidR="00285192" w:rsidRDefault="00285192" w:rsidP="00016DC2">
      <w:pPr>
        <w:spacing w:after="0" w:line="360" w:lineRule="auto"/>
        <w:ind w:left="720" w:hanging="720"/>
        <w:jc w:val="both"/>
        <w:rPr>
          <w:rFonts w:ascii="Bookman Old Style" w:hAnsi="Bookman Old Style"/>
          <w:sz w:val="24"/>
          <w:szCs w:val="24"/>
          <w:lang w:val="en-ZA"/>
        </w:rPr>
      </w:pPr>
    </w:p>
    <w:p w14:paraId="0E907164" w14:textId="750E324B" w:rsidR="00285192" w:rsidRPr="00282DB7" w:rsidRDefault="00285192" w:rsidP="00016DC2">
      <w:pPr>
        <w:spacing w:after="0" w:line="360" w:lineRule="auto"/>
        <w:ind w:left="720" w:hanging="720"/>
        <w:jc w:val="both"/>
        <w:rPr>
          <w:rFonts w:ascii="Bookman Old Style" w:hAnsi="Bookman Old Style"/>
          <w:i/>
          <w:iCs/>
          <w:lang w:val="en-ZA"/>
        </w:rPr>
      </w:pPr>
      <w:r>
        <w:rPr>
          <w:rFonts w:ascii="Bookman Old Style" w:hAnsi="Bookman Old Style"/>
          <w:sz w:val="24"/>
          <w:szCs w:val="24"/>
          <w:lang w:val="en-ZA"/>
        </w:rPr>
        <w:lastRenderedPageBreak/>
        <w:tab/>
      </w:r>
      <w:r w:rsidRPr="00282DB7">
        <w:rPr>
          <w:rFonts w:ascii="Bookman Old Style" w:hAnsi="Bookman Old Style"/>
          <w:lang w:val="en-ZA"/>
        </w:rPr>
        <w:t>“</w:t>
      </w:r>
      <w:r w:rsidRPr="00282DB7">
        <w:rPr>
          <w:rFonts w:ascii="Bookman Old Style" w:hAnsi="Bookman Old Style"/>
          <w:i/>
          <w:iCs/>
          <w:lang w:val="en-ZA"/>
        </w:rPr>
        <w:t>I point out</w:t>
      </w:r>
      <w:r w:rsidR="006F128C" w:rsidRPr="00282DB7">
        <w:rPr>
          <w:rFonts w:ascii="Bookman Old Style" w:hAnsi="Bookman Old Style"/>
          <w:i/>
          <w:iCs/>
          <w:lang w:val="en-ZA"/>
        </w:rPr>
        <w:t>,</w:t>
      </w:r>
      <w:r w:rsidRPr="00282DB7">
        <w:rPr>
          <w:rFonts w:ascii="Bookman Old Style" w:hAnsi="Bookman Old Style"/>
          <w:i/>
          <w:iCs/>
          <w:lang w:val="en-ZA"/>
        </w:rPr>
        <w:t xml:space="preserve"> at the outset, that the respondent suffers prejudice whilst this litigation persists</w:t>
      </w:r>
      <w:r w:rsidR="006F128C" w:rsidRPr="00282DB7">
        <w:rPr>
          <w:rFonts w:ascii="Bookman Old Style" w:hAnsi="Bookman Old Style"/>
          <w:i/>
          <w:iCs/>
          <w:lang w:val="en-ZA"/>
        </w:rPr>
        <w:t>. W</w:t>
      </w:r>
      <w:r w:rsidRPr="00282DB7">
        <w:rPr>
          <w:rFonts w:ascii="Bookman Old Style" w:hAnsi="Bookman Old Style"/>
          <w:i/>
          <w:iCs/>
          <w:lang w:val="en-ZA"/>
        </w:rPr>
        <w:t xml:space="preserve">hilst I do not have personal knowledge of </w:t>
      </w:r>
      <w:r w:rsidR="006F128C" w:rsidRPr="00282DB7">
        <w:rPr>
          <w:rFonts w:ascii="Bookman Old Style" w:hAnsi="Bookman Old Style"/>
          <w:i/>
          <w:iCs/>
          <w:lang w:val="en-ZA"/>
        </w:rPr>
        <w:t>t</w:t>
      </w:r>
      <w:r w:rsidRPr="00282DB7">
        <w:rPr>
          <w:rFonts w:ascii="Bookman Old Style" w:hAnsi="Bookman Old Style"/>
          <w:i/>
          <w:iCs/>
          <w:lang w:val="en-ZA"/>
        </w:rPr>
        <w:t xml:space="preserve">he prejudice which the respondent suffers by virtue of delay. I rely on Marelise </w:t>
      </w:r>
      <w:r w:rsidR="006F128C" w:rsidRPr="00282DB7">
        <w:rPr>
          <w:rFonts w:ascii="Bookman Old Style" w:hAnsi="Bookman Old Style"/>
          <w:i/>
          <w:iCs/>
          <w:lang w:val="en-ZA"/>
        </w:rPr>
        <w:t>d</w:t>
      </w:r>
      <w:r w:rsidRPr="00282DB7">
        <w:rPr>
          <w:rFonts w:ascii="Bookman Old Style" w:hAnsi="Bookman Old Style"/>
          <w:i/>
          <w:iCs/>
          <w:lang w:val="en-ZA"/>
        </w:rPr>
        <w:t>e Lange’s advices to me in this regard, who is a current director of the respondent whose confirmatory affidavit is attached hereto with regards to the prejudice aspect referred to herein below”</w:t>
      </w:r>
      <w:r w:rsidR="00D41670" w:rsidRPr="00282DB7">
        <w:rPr>
          <w:rFonts w:ascii="Bookman Old Style" w:hAnsi="Bookman Old Style"/>
          <w:i/>
          <w:iCs/>
          <w:lang w:val="en-ZA"/>
        </w:rPr>
        <w:t>.</w:t>
      </w:r>
    </w:p>
    <w:p w14:paraId="1B5DC6D5" w14:textId="77A18FEC" w:rsidR="00285192" w:rsidRDefault="00285192" w:rsidP="00016DC2">
      <w:pPr>
        <w:spacing w:after="0" w:line="360" w:lineRule="auto"/>
        <w:ind w:left="720" w:hanging="720"/>
        <w:jc w:val="both"/>
        <w:rPr>
          <w:rFonts w:ascii="Bookman Old Style" w:hAnsi="Bookman Old Style"/>
          <w:i/>
          <w:iCs/>
          <w:lang w:val="en-ZA"/>
        </w:rPr>
      </w:pPr>
    </w:p>
    <w:p w14:paraId="0C1B59EE" w14:textId="474C8722" w:rsidR="00285192" w:rsidRDefault="00285192" w:rsidP="00016DC2">
      <w:pPr>
        <w:spacing w:after="0" w:line="360" w:lineRule="auto"/>
        <w:ind w:left="720" w:hanging="720"/>
        <w:jc w:val="both"/>
        <w:rPr>
          <w:rFonts w:ascii="Bookman Old Style" w:hAnsi="Bookman Old Style"/>
          <w:sz w:val="24"/>
          <w:szCs w:val="24"/>
          <w:lang w:val="en-ZA"/>
        </w:rPr>
      </w:pPr>
      <w:r>
        <w:rPr>
          <w:rFonts w:ascii="Bookman Old Style" w:hAnsi="Bookman Old Style"/>
          <w:i/>
          <w:iCs/>
          <w:lang w:val="en-ZA"/>
        </w:rPr>
        <w:tab/>
      </w:r>
      <w:r w:rsidRPr="00285192">
        <w:rPr>
          <w:rFonts w:ascii="Bookman Old Style" w:hAnsi="Bookman Old Style"/>
          <w:sz w:val="24"/>
          <w:szCs w:val="24"/>
          <w:lang w:val="en-ZA"/>
        </w:rPr>
        <w:t>Ms De Lange filed a confir</w:t>
      </w:r>
      <w:r>
        <w:rPr>
          <w:rFonts w:ascii="Bookman Old Style" w:hAnsi="Bookman Old Style"/>
          <w:sz w:val="24"/>
          <w:szCs w:val="24"/>
          <w:lang w:val="en-ZA"/>
        </w:rPr>
        <w:t>matory affidavit</w:t>
      </w:r>
      <w:r>
        <w:rPr>
          <w:rStyle w:val="FootnoteReference"/>
          <w:rFonts w:ascii="Bookman Old Style" w:hAnsi="Bookman Old Style"/>
          <w:sz w:val="24"/>
          <w:szCs w:val="24"/>
          <w:lang w:val="en-ZA"/>
        </w:rPr>
        <w:footnoteReference w:id="13"/>
      </w:r>
      <w:r w:rsidR="00D41670">
        <w:rPr>
          <w:rFonts w:ascii="Bookman Old Style" w:hAnsi="Bookman Old Style"/>
          <w:sz w:val="24"/>
          <w:szCs w:val="24"/>
          <w:lang w:val="en-ZA"/>
        </w:rPr>
        <w:t>. Firstly, t</w:t>
      </w:r>
      <w:r>
        <w:rPr>
          <w:rFonts w:ascii="Bookman Old Style" w:hAnsi="Bookman Old Style"/>
          <w:sz w:val="24"/>
          <w:szCs w:val="24"/>
          <w:lang w:val="en-ZA"/>
        </w:rPr>
        <w:t xml:space="preserve">he prejudice refers to the delay and secondly, to the respondent’s share price. Objectively, there is no doubt that the respondent suffers prejudice as a result of the applicant’s failure to honour the time frames set by the </w:t>
      </w:r>
      <w:r w:rsidR="00FC615C">
        <w:rPr>
          <w:rFonts w:ascii="Bookman Old Style" w:hAnsi="Bookman Old Style"/>
          <w:sz w:val="24"/>
          <w:szCs w:val="24"/>
          <w:lang w:val="en-ZA"/>
        </w:rPr>
        <w:t>R</w:t>
      </w:r>
      <w:r>
        <w:rPr>
          <w:rFonts w:ascii="Bookman Old Style" w:hAnsi="Bookman Old Style"/>
          <w:sz w:val="24"/>
          <w:szCs w:val="24"/>
          <w:lang w:val="en-ZA"/>
        </w:rPr>
        <w:t>ules</w:t>
      </w:r>
      <w:r w:rsidR="00EE0432">
        <w:rPr>
          <w:rFonts w:ascii="Bookman Old Style" w:hAnsi="Bookman Old Style"/>
          <w:sz w:val="24"/>
          <w:szCs w:val="24"/>
          <w:lang w:val="en-ZA"/>
        </w:rPr>
        <w:t xml:space="preserve">, court order and by itself. </w:t>
      </w:r>
    </w:p>
    <w:p w14:paraId="6794B995" w14:textId="4FA07A92" w:rsidR="00285192" w:rsidRDefault="00285192" w:rsidP="00016DC2">
      <w:pPr>
        <w:spacing w:after="0" w:line="360" w:lineRule="auto"/>
        <w:ind w:left="720" w:hanging="720"/>
        <w:jc w:val="both"/>
        <w:rPr>
          <w:rFonts w:ascii="Bookman Old Style" w:hAnsi="Bookman Old Style"/>
          <w:sz w:val="24"/>
          <w:szCs w:val="24"/>
          <w:lang w:val="en-ZA"/>
        </w:rPr>
      </w:pPr>
    </w:p>
    <w:p w14:paraId="5A8B0D07" w14:textId="2A02581D" w:rsidR="00285192" w:rsidRDefault="00285192"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[22]</w:t>
      </w:r>
      <w:r>
        <w:rPr>
          <w:rFonts w:ascii="Bookman Old Style" w:hAnsi="Bookman Old Style"/>
          <w:sz w:val="24"/>
          <w:szCs w:val="24"/>
          <w:lang w:val="en-ZA"/>
        </w:rPr>
        <w:tab/>
        <w:t>Concerning the respondent’s share price, I was referred to the respondent’s integrated annual report for 2020</w:t>
      </w:r>
      <w:r w:rsidR="00DF102D">
        <w:rPr>
          <w:rFonts w:ascii="Bookman Old Style" w:hAnsi="Bookman Old Style"/>
          <w:sz w:val="24"/>
          <w:szCs w:val="24"/>
          <w:lang w:val="en-ZA"/>
        </w:rPr>
        <w:t>,</w:t>
      </w:r>
      <w:r>
        <w:rPr>
          <w:rFonts w:ascii="Bookman Old Style" w:hAnsi="Bookman Old Style"/>
          <w:sz w:val="24"/>
          <w:szCs w:val="24"/>
          <w:lang w:val="en-ZA"/>
        </w:rPr>
        <w:t xml:space="preserve"> wherein a contingency liability </w:t>
      </w:r>
      <w:r w:rsidR="00876A78">
        <w:rPr>
          <w:rFonts w:ascii="Bookman Old Style" w:hAnsi="Bookman Old Style"/>
          <w:sz w:val="24"/>
          <w:szCs w:val="24"/>
          <w:lang w:val="en-ZA"/>
        </w:rPr>
        <w:t>anticipated from the applicant’s claim was disclosed to the shareholders. The contingency liability is a substantial amount which normally would cause volatility in the value of a share which could be goo</w:t>
      </w:r>
      <w:r w:rsidR="005353EA">
        <w:rPr>
          <w:rFonts w:ascii="Bookman Old Style" w:hAnsi="Bookman Old Style"/>
          <w:sz w:val="24"/>
          <w:szCs w:val="24"/>
          <w:lang w:val="en-ZA"/>
        </w:rPr>
        <w:t xml:space="preserve">d for </w:t>
      </w:r>
      <w:r w:rsidR="00876A78">
        <w:rPr>
          <w:rFonts w:ascii="Bookman Old Style" w:hAnsi="Bookman Old Style"/>
          <w:sz w:val="24"/>
          <w:szCs w:val="24"/>
          <w:lang w:val="en-ZA"/>
        </w:rPr>
        <w:t>investors</w:t>
      </w:r>
      <w:r w:rsidR="00EE0432">
        <w:rPr>
          <w:rFonts w:ascii="Bookman Old Style" w:hAnsi="Bookman Old Style"/>
          <w:sz w:val="24"/>
          <w:szCs w:val="24"/>
          <w:lang w:val="en-ZA"/>
        </w:rPr>
        <w:t xml:space="preserve"> and </w:t>
      </w:r>
      <w:r w:rsidR="00090156">
        <w:rPr>
          <w:rFonts w:ascii="Bookman Old Style" w:hAnsi="Bookman Old Style"/>
          <w:sz w:val="24"/>
          <w:szCs w:val="24"/>
          <w:lang w:val="en-ZA"/>
        </w:rPr>
        <w:t>bad for other investors</w:t>
      </w:r>
      <w:r w:rsidR="00EE0432">
        <w:rPr>
          <w:rFonts w:ascii="Bookman Old Style" w:hAnsi="Bookman Old Style"/>
          <w:sz w:val="24"/>
          <w:szCs w:val="24"/>
          <w:lang w:val="en-ZA"/>
        </w:rPr>
        <w:t>.</w:t>
      </w:r>
      <w:r w:rsidR="00876A78">
        <w:rPr>
          <w:rFonts w:ascii="Bookman Old Style" w:hAnsi="Bookman Old Style"/>
          <w:sz w:val="24"/>
          <w:szCs w:val="24"/>
          <w:lang w:val="en-ZA"/>
        </w:rPr>
        <w:t xml:space="preserve"> </w:t>
      </w:r>
    </w:p>
    <w:p w14:paraId="5EBE6BE1" w14:textId="4A3D8DCD" w:rsidR="00876A78" w:rsidRDefault="00876A78" w:rsidP="00090156">
      <w:pPr>
        <w:spacing w:after="0" w:line="360" w:lineRule="auto"/>
        <w:jc w:val="both"/>
        <w:rPr>
          <w:rFonts w:ascii="Bookman Old Style" w:hAnsi="Bookman Old Style"/>
          <w:sz w:val="24"/>
          <w:szCs w:val="24"/>
          <w:lang w:val="en-ZA"/>
        </w:rPr>
      </w:pPr>
    </w:p>
    <w:p w14:paraId="3675BD00" w14:textId="210FD548" w:rsidR="00876A78" w:rsidRDefault="00876A78" w:rsidP="00016DC2">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[2</w:t>
      </w:r>
      <w:r w:rsidR="00090156">
        <w:rPr>
          <w:rFonts w:ascii="Bookman Old Style" w:hAnsi="Bookman Old Style"/>
          <w:sz w:val="24"/>
          <w:szCs w:val="24"/>
          <w:lang w:val="en-ZA"/>
        </w:rPr>
        <w:t>3</w:t>
      </w:r>
      <w:r>
        <w:rPr>
          <w:rFonts w:ascii="Bookman Old Style" w:hAnsi="Bookman Old Style"/>
          <w:sz w:val="24"/>
          <w:szCs w:val="24"/>
          <w:lang w:val="en-ZA"/>
        </w:rPr>
        <w:t>]</w:t>
      </w:r>
      <w:r>
        <w:rPr>
          <w:rFonts w:ascii="Bookman Old Style" w:hAnsi="Bookman Old Style"/>
          <w:sz w:val="24"/>
          <w:szCs w:val="24"/>
          <w:lang w:val="en-ZA"/>
        </w:rPr>
        <w:tab/>
        <w:t>In denying the existence of prejudice the applicant states in paragraph 6 and 7</w:t>
      </w:r>
      <w:r w:rsidR="00090156">
        <w:rPr>
          <w:rFonts w:ascii="Bookman Old Style" w:hAnsi="Bookman Old Style"/>
          <w:sz w:val="24"/>
          <w:szCs w:val="24"/>
          <w:lang w:val="en-ZA"/>
        </w:rPr>
        <w:t xml:space="preserve"> of its replying affidavit</w:t>
      </w:r>
      <w:r>
        <w:rPr>
          <w:rFonts w:ascii="Bookman Old Style" w:hAnsi="Bookman Old Style"/>
          <w:sz w:val="24"/>
          <w:szCs w:val="24"/>
          <w:lang w:val="en-ZA"/>
        </w:rPr>
        <w:t xml:space="preserve"> that: </w:t>
      </w:r>
    </w:p>
    <w:p w14:paraId="702424AE" w14:textId="35A02205" w:rsidR="00876A78" w:rsidRDefault="00876A78" w:rsidP="00016DC2">
      <w:pPr>
        <w:spacing w:after="0" w:line="360" w:lineRule="auto"/>
        <w:ind w:left="720" w:hanging="720"/>
        <w:jc w:val="both"/>
        <w:rPr>
          <w:rFonts w:ascii="Bookman Old Style" w:hAnsi="Bookman Old Style"/>
          <w:sz w:val="24"/>
          <w:szCs w:val="24"/>
          <w:lang w:val="en-ZA"/>
        </w:rPr>
      </w:pPr>
    </w:p>
    <w:p w14:paraId="5B45E891" w14:textId="3C1BB903" w:rsidR="00876A78" w:rsidRPr="00282DB7" w:rsidRDefault="00876A78" w:rsidP="00876A78">
      <w:pPr>
        <w:spacing w:after="0" w:line="360" w:lineRule="auto"/>
        <w:ind w:left="1440" w:hanging="720"/>
        <w:jc w:val="both"/>
        <w:rPr>
          <w:rFonts w:ascii="Bookman Old Style" w:hAnsi="Bookman Old Style"/>
          <w:i/>
          <w:iCs/>
          <w:lang w:val="en-ZA"/>
        </w:rPr>
      </w:pPr>
      <w:r w:rsidRPr="00282DB7">
        <w:rPr>
          <w:rFonts w:ascii="Bookman Old Style" w:hAnsi="Bookman Old Style"/>
          <w:lang w:val="en-ZA"/>
        </w:rPr>
        <w:t>“</w:t>
      </w:r>
      <w:r w:rsidRPr="00282DB7">
        <w:rPr>
          <w:rFonts w:ascii="Bookman Old Style" w:hAnsi="Bookman Old Style"/>
          <w:i/>
          <w:iCs/>
          <w:lang w:val="en-ZA"/>
        </w:rPr>
        <w:t>6.</w:t>
      </w:r>
      <w:r w:rsidRPr="00282DB7">
        <w:rPr>
          <w:rFonts w:ascii="Bookman Old Style" w:hAnsi="Bookman Old Style"/>
          <w:i/>
          <w:iCs/>
          <w:lang w:val="en-ZA"/>
        </w:rPr>
        <w:tab/>
        <w:t>It is evident that the basis upon which the respondent alleges prejudice, and based on which the respondent seeks the dismissal of the condonation application, is the fact that the respondent is a public company and that as a result of the action, there is litigation pending against the respondent.</w:t>
      </w:r>
    </w:p>
    <w:p w14:paraId="72D9253F" w14:textId="0F76E47D" w:rsidR="00876A78" w:rsidRPr="00282DB7" w:rsidRDefault="00876A78" w:rsidP="00876A78">
      <w:pPr>
        <w:spacing w:after="0" w:line="360" w:lineRule="auto"/>
        <w:ind w:left="1440" w:hanging="720"/>
        <w:jc w:val="both"/>
        <w:rPr>
          <w:rFonts w:ascii="Bookman Old Style" w:hAnsi="Bookman Old Style"/>
          <w:i/>
          <w:iCs/>
          <w:lang w:val="en-ZA"/>
        </w:rPr>
      </w:pPr>
    </w:p>
    <w:p w14:paraId="5F2859F6" w14:textId="77D261E5" w:rsidR="00876A78" w:rsidRPr="00282DB7" w:rsidRDefault="00876A78" w:rsidP="00876A78">
      <w:pPr>
        <w:spacing w:after="0" w:line="360" w:lineRule="auto"/>
        <w:ind w:left="1440" w:hanging="720"/>
        <w:jc w:val="both"/>
        <w:rPr>
          <w:rFonts w:ascii="Bookman Old Style" w:hAnsi="Bookman Old Style"/>
          <w:lang w:val="en-ZA"/>
        </w:rPr>
      </w:pPr>
      <w:r w:rsidRPr="00282DB7">
        <w:rPr>
          <w:rFonts w:ascii="Bookman Old Style" w:hAnsi="Bookman Old Style"/>
          <w:i/>
          <w:iCs/>
          <w:lang w:val="en-ZA"/>
        </w:rPr>
        <w:t>7.</w:t>
      </w:r>
      <w:r w:rsidRPr="00282DB7">
        <w:rPr>
          <w:rFonts w:ascii="Bookman Old Style" w:hAnsi="Bookman Old Style"/>
          <w:i/>
          <w:iCs/>
          <w:lang w:val="en-ZA"/>
        </w:rPr>
        <w:tab/>
        <w:t xml:space="preserve">Self-evidently this does not constitute actual prejudice, and it most definitely does not constitute prejudice as would justify the dismissal of the condonation application, or </w:t>
      </w:r>
      <w:r w:rsidR="00090156">
        <w:rPr>
          <w:rFonts w:ascii="Bookman Old Style" w:hAnsi="Bookman Old Style"/>
          <w:i/>
          <w:iCs/>
          <w:lang w:val="en-ZA"/>
        </w:rPr>
        <w:t xml:space="preserve">the </w:t>
      </w:r>
      <w:r w:rsidRPr="00282DB7">
        <w:rPr>
          <w:rFonts w:ascii="Bookman Old Style" w:hAnsi="Bookman Old Style"/>
          <w:i/>
          <w:iCs/>
          <w:lang w:val="en-ZA"/>
        </w:rPr>
        <w:t>striking out</w:t>
      </w:r>
      <w:r w:rsidR="00090156">
        <w:rPr>
          <w:rFonts w:ascii="Bookman Old Style" w:hAnsi="Bookman Old Style"/>
          <w:i/>
          <w:iCs/>
          <w:lang w:val="en-ZA"/>
        </w:rPr>
        <w:t xml:space="preserve"> of</w:t>
      </w:r>
      <w:r w:rsidRPr="00282DB7">
        <w:rPr>
          <w:rFonts w:ascii="Bookman Old Style" w:hAnsi="Bookman Old Style"/>
          <w:i/>
          <w:iCs/>
          <w:lang w:val="en-ZA"/>
        </w:rPr>
        <w:t xml:space="preserve"> the applicant’s claim</w:t>
      </w:r>
      <w:r w:rsidRPr="00282DB7">
        <w:rPr>
          <w:rFonts w:ascii="Bookman Old Style" w:hAnsi="Bookman Old Style"/>
          <w:lang w:val="en-ZA"/>
        </w:rPr>
        <w:t>.”</w:t>
      </w:r>
      <w:r w:rsidR="00090156">
        <w:rPr>
          <w:rStyle w:val="FootnoteReference"/>
          <w:rFonts w:ascii="Bookman Old Style" w:hAnsi="Bookman Old Style"/>
          <w:lang w:val="en-ZA"/>
        </w:rPr>
        <w:footnoteReference w:id="14"/>
      </w:r>
    </w:p>
    <w:p w14:paraId="4958FB06" w14:textId="75A2FC34" w:rsidR="00876A78" w:rsidRDefault="00876A78" w:rsidP="00876A78">
      <w:pPr>
        <w:spacing w:after="0" w:line="360" w:lineRule="auto"/>
        <w:jc w:val="both"/>
        <w:rPr>
          <w:rFonts w:ascii="Bookman Old Style" w:hAnsi="Bookman Old Style"/>
          <w:sz w:val="24"/>
          <w:szCs w:val="24"/>
          <w:lang w:val="en-ZA"/>
        </w:rPr>
      </w:pPr>
    </w:p>
    <w:p w14:paraId="08B24DBB" w14:textId="01A3F333" w:rsidR="00876A78" w:rsidRDefault="00876A78"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[2</w:t>
      </w:r>
      <w:r w:rsidR="00EB3D4E">
        <w:rPr>
          <w:rFonts w:ascii="Bookman Old Style" w:hAnsi="Bookman Old Style"/>
          <w:sz w:val="24"/>
          <w:szCs w:val="24"/>
          <w:lang w:val="en-ZA"/>
        </w:rPr>
        <w:t>4</w:t>
      </w:r>
      <w:r>
        <w:rPr>
          <w:rFonts w:ascii="Bookman Old Style" w:hAnsi="Bookman Old Style"/>
          <w:sz w:val="24"/>
          <w:szCs w:val="24"/>
          <w:lang w:val="en-ZA"/>
        </w:rPr>
        <w:t>]</w:t>
      </w:r>
      <w:r>
        <w:rPr>
          <w:rFonts w:ascii="Bookman Old Style" w:hAnsi="Bookman Old Style"/>
          <w:sz w:val="24"/>
          <w:szCs w:val="24"/>
          <w:lang w:val="en-ZA"/>
        </w:rPr>
        <w:tab/>
        <w:t xml:space="preserve">The applicant’s submissions fail to acknowledge that the prejudice claimed by the respondent is as a result of the delay caused by the applicant in finalising the mater and that the ongoing litigation has affected the share price. The prejudice is not based merely on the fact that the respondent is a public company. </w:t>
      </w:r>
    </w:p>
    <w:p w14:paraId="437A3111" w14:textId="41B944D9" w:rsidR="00876A78" w:rsidRDefault="00876A78" w:rsidP="00876A78">
      <w:pPr>
        <w:spacing w:after="0" w:line="360" w:lineRule="auto"/>
        <w:ind w:left="720" w:hanging="720"/>
        <w:jc w:val="both"/>
        <w:rPr>
          <w:rFonts w:ascii="Bookman Old Style" w:hAnsi="Bookman Old Style"/>
          <w:sz w:val="24"/>
          <w:szCs w:val="24"/>
          <w:lang w:val="en-ZA"/>
        </w:rPr>
      </w:pPr>
    </w:p>
    <w:p w14:paraId="7B931358" w14:textId="172060DC" w:rsidR="00876A78" w:rsidRDefault="00876A78"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[2</w:t>
      </w:r>
      <w:r w:rsidR="00EB3D4E">
        <w:rPr>
          <w:rFonts w:ascii="Bookman Old Style" w:hAnsi="Bookman Old Style"/>
          <w:sz w:val="24"/>
          <w:szCs w:val="24"/>
          <w:lang w:val="en-ZA"/>
        </w:rPr>
        <w:t>5</w:t>
      </w:r>
      <w:r>
        <w:rPr>
          <w:rFonts w:ascii="Bookman Old Style" w:hAnsi="Bookman Old Style"/>
          <w:sz w:val="24"/>
          <w:szCs w:val="24"/>
          <w:lang w:val="en-ZA"/>
        </w:rPr>
        <w:t>]</w:t>
      </w:r>
      <w:r>
        <w:rPr>
          <w:rFonts w:ascii="Bookman Old Style" w:hAnsi="Bookman Old Style"/>
          <w:sz w:val="24"/>
          <w:szCs w:val="24"/>
          <w:lang w:val="en-ZA"/>
        </w:rPr>
        <w:tab/>
      </w:r>
      <w:r w:rsidRPr="00DF102D">
        <w:rPr>
          <w:rFonts w:ascii="Bookman Old Style" w:hAnsi="Bookman Old Style"/>
          <w:sz w:val="24"/>
          <w:szCs w:val="24"/>
          <w:lang w:val="en-ZA"/>
        </w:rPr>
        <w:t>The parties respectively referred to media articles in support or denial of the existence of prejudice</w:t>
      </w:r>
      <w:r w:rsidR="00AA31C6" w:rsidRPr="00DF102D">
        <w:rPr>
          <w:rFonts w:ascii="Bookman Old Style" w:hAnsi="Bookman Old Style"/>
          <w:sz w:val="24"/>
          <w:szCs w:val="24"/>
          <w:lang w:val="en-ZA"/>
        </w:rPr>
        <w:t>.</w:t>
      </w:r>
      <w:r w:rsidRPr="00DF102D">
        <w:rPr>
          <w:rFonts w:ascii="Bookman Old Style" w:hAnsi="Bookman Old Style"/>
          <w:sz w:val="24"/>
          <w:szCs w:val="24"/>
          <w:lang w:val="en-ZA"/>
        </w:rPr>
        <w:t xml:space="preserve"> </w:t>
      </w:r>
      <w:r w:rsidR="00AA31C6" w:rsidRPr="00DF102D">
        <w:rPr>
          <w:rFonts w:ascii="Bookman Old Style" w:hAnsi="Bookman Old Style"/>
          <w:sz w:val="24"/>
          <w:szCs w:val="24"/>
          <w:lang w:val="en-ZA"/>
        </w:rPr>
        <w:t>W</w:t>
      </w:r>
      <w:r w:rsidRPr="00DF102D">
        <w:rPr>
          <w:rFonts w:ascii="Bookman Old Style" w:hAnsi="Bookman Old Style"/>
          <w:sz w:val="24"/>
          <w:szCs w:val="24"/>
          <w:lang w:val="en-ZA"/>
        </w:rPr>
        <w:t xml:space="preserve">hat is abundantly clear from the article referred to by the respondent, is the fact that it is alleged that the respondent owes the applicant an amount of R165 million whereas the applicant </w:t>
      </w:r>
      <w:r w:rsidR="00AA31C6" w:rsidRPr="00DF102D">
        <w:rPr>
          <w:rFonts w:ascii="Bookman Old Style" w:hAnsi="Bookman Old Style"/>
          <w:sz w:val="24"/>
          <w:szCs w:val="24"/>
          <w:lang w:val="en-ZA"/>
        </w:rPr>
        <w:t xml:space="preserve">is </w:t>
      </w:r>
      <w:r w:rsidRPr="00DF102D">
        <w:rPr>
          <w:rFonts w:ascii="Bookman Old Style" w:hAnsi="Bookman Old Style"/>
          <w:sz w:val="24"/>
          <w:szCs w:val="24"/>
          <w:lang w:val="en-ZA"/>
        </w:rPr>
        <w:t xml:space="preserve">in the process of business rescue. My conclusion that </w:t>
      </w:r>
      <w:r w:rsidR="006331D8" w:rsidRPr="00DF102D">
        <w:rPr>
          <w:rFonts w:ascii="Bookman Old Style" w:hAnsi="Bookman Old Style"/>
          <w:sz w:val="24"/>
          <w:szCs w:val="24"/>
          <w:lang w:val="en-ZA"/>
        </w:rPr>
        <w:t>“</w:t>
      </w:r>
      <w:r w:rsidR="006331D8" w:rsidRPr="00282DB7">
        <w:rPr>
          <w:rFonts w:ascii="Bookman Old Style" w:hAnsi="Bookman Old Style"/>
          <w:i/>
          <w:iCs/>
          <w:sz w:val="24"/>
          <w:szCs w:val="24"/>
          <w:lang w:val="en-ZA"/>
        </w:rPr>
        <w:t>the possibility that the share price may have gone down in December 2019 as a result of litigation and to the prejudice of the respondent can’t be ruled out</w:t>
      </w:r>
      <w:r w:rsidR="006331D8" w:rsidRPr="00DF102D">
        <w:rPr>
          <w:rFonts w:ascii="Bookman Old Style" w:hAnsi="Bookman Old Style"/>
          <w:sz w:val="24"/>
          <w:szCs w:val="24"/>
          <w:lang w:val="en-ZA"/>
        </w:rPr>
        <w:t>”</w:t>
      </w:r>
      <w:r w:rsidR="006331D8" w:rsidRPr="00DF102D">
        <w:rPr>
          <w:rStyle w:val="FootnoteReference"/>
          <w:rFonts w:ascii="Bookman Old Style" w:hAnsi="Bookman Old Style"/>
          <w:sz w:val="24"/>
          <w:szCs w:val="24"/>
          <w:lang w:val="en-ZA"/>
        </w:rPr>
        <w:footnoteReference w:id="15"/>
      </w:r>
      <w:r w:rsidR="006331D8" w:rsidRPr="00DF102D">
        <w:rPr>
          <w:rFonts w:ascii="Bookman Old Style" w:hAnsi="Bookman Old Style"/>
          <w:sz w:val="24"/>
          <w:szCs w:val="24"/>
          <w:lang w:val="en-ZA"/>
        </w:rPr>
        <w:t xml:space="preserve"> is not speculative but based on the fact that the applicant caused delay in its litigation and the </w:t>
      </w:r>
      <w:r w:rsidR="00FA2AB6" w:rsidRPr="00DF102D">
        <w:rPr>
          <w:rFonts w:ascii="Bookman Old Style" w:hAnsi="Bookman Old Style"/>
          <w:sz w:val="24"/>
          <w:szCs w:val="24"/>
          <w:lang w:val="en-ZA"/>
        </w:rPr>
        <w:t>shareholders</w:t>
      </w:r>
      <w:r w:rsidR="006331D8" w:rsidRPr="00DF102D">
        <w:rPr>
          <w:rFonts w:ascii="Bookman Old Style" w:hAnsi="Bookman Old Style"/>
          <w:sz w:val="24"/>
          <w:szCs w:val="24"/>
          <w:lang w:val="en-ZA"/>
        </w:rPr>
        <w:t xml:space="preserve"> were aware of the litigation. The prejudice was not artificial. It manifests itself through applicant’s various failures to adhere to the time limits and failure to show good cause for the delay.</w:t>
      </w:r>
    </w:p>
    <w:p w14:paraId="53988EB1" w14:textId="2DE558BC" w:rsidR="006331D8" w:rsidRDefault="006331D8" w:rsidP="00876A78">
      <w:pPr>
        <w:spacing w:after="0" w:line="360" w:lineRule="auto"/>
        <w:ind w:left="720" w:hanging="720"/>
        <w:jc w:val="both"/>
        <w:rPr>
          <w:rFonts w:ascii="Bookman Old Style" w:hAnsi="Bookman Old Style"/>
          <w:sz w:val="24"/>
          <w:szCs w:val="24"/>
          <w:lang w:val="en-ZA"/>
        </w:rPr>
      </w:pPr>
    </w:p>
    <w:p w14:paraId="5289DCF1" w14:textId="5C0379E7" w:rsidR="006331D8" w:rsidRDefault="006331D8"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PEREMPTION OF APPEAL</w:t>
      </w:r>
    </w:p>
    <w:p w14:paraId="5449CA5E" w14:textId="418170C9" w:rsidR="006331D8" w:rsidRDefault="006331D8" w:rsidP="00876A78">
      <w:pPr>
        <w:spacing w:after="0" w:line="360" w:lineRule="auto"/>
        <w:ind w:left="720" w:hanging="720"/>
        <w:jc w:val="both"/>
        <w:rPr>
          <w:rFonts w:ascii="Bookman Old Style" w:hAnsi="Bookman Old Style"/>
          <w:sz w:val="24"/>
          <w:szCs w:val="24"/>
          <w:lang w:val="en-ZA"/>
        </w:rPr>
      </w:pPr>
    </w:p>
    <w:p w14:paraId="6A8DEF69" w14:textId="721441A4" w:rsidR="000E4E9A" w:rsidRDefault="000E4E9A"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[2</w:t>
      </w:r>
      <w:r w:rsidR="00EB3D4E">
        <w:rPr>
          <w:rFonts w:ascii="Bookman Old Style" w:hAnsi="Bookman Old Style"/>
          <w:sz w:val="24"/>
          <w:szCs w:val="24"/>
          <w:lang w:val="en-ZA"/>
        </w:rPr>
        <w:t>6</w:t>
      </w:r>
      <w:r>
        <w:rPr>
          <w:rFonts w:ascii="Bookman Old Style" w:hAnsi="Bookman Old Style"/>
          <w:sz w:val="24"/>
          <w:szCs w:val="24"/>
          <w:lang w:val="en-ZA"/>
        </w:rPr>
        <w:t>]</w:t>
      </w:r>
      <w:r>
        <w:rPr>
          <w:rFonts w:ascii="Bookman Old Style" w:hAnsi="Bookman Old Style"/>
          <w:sz w:val="24"/>
          <w:szCs w:val="24"/>
          <w:lang w:val="en-ZA"/>
        </w:rPr>
        <w:tab/>
        <w:t>I now t</w:t>
      </w:r>
      <w:r w:rsidR="00AA31C6">
        <w:rPr>
          <w:rFonts w:ascii="Bookman Old Style" w:hAnsi="Bookman Old Style"/>
          <w:sz w:val="24"/>
          <w:szCs w:val="24"/>
          <w:lang w:val="en-ZA"/>
        </w:rPr>
        <w:t>ur</w:t>
      </w:r>
      <w:r>
        <w:rPr>
          <w:rFonts w:ascii="Bookman Old Style" w:hAnsi="Bookman Old Style"/>
          <w:sz w:val="24"/>
          <w:szCs w:val="24"/>
          <w:lang w:val="en-ZA"/>
        </w:rPr>
        <w:t>n to deal with the respondent’s</w:t>
      </w:r>
      <w:r w:rsidR="00090156">
        <w:rPr>
          <w:rFonts w:ascii="Bookman Old Style" w:hAnsi="Bookman Old Style"/>
          <w:sz w:val="24"/>
          <w:szCs w:val="24"/>
          <w:lang w:val="en-ZA"/>
        </w:rPr>
        <w:t xml:space="preserve"> two grounds challenging this application and shall deal with both simultaneously.</w:t>
      </w:r>
    </w:p>
    <w:p w14:paraId="329D7E95" w14:textId="77777777" w:rsidR="000E4E9A" w:rsidRDefault="000E4E9A" w:rsidP="00876A78">
      <w:pPr>
        <w:spacing w:after="0" w:line="360" w:lineRule="auto"/>
        <w:ind w:left="720" w:hanging="720"/>
        <w:jc w:val="both"/>
        <w:rPr>
          <w:rFonts w:ascii="Bookman Old Style" w:hAnsi="Bookman Old Style"/>
          <w:sz w:val="24"/>
          <w:szCs w:val="24"/>
          <w:lang w:val="en-ZA"/>
        </w:rPr>
      </w:pPr>
    </w:p>
    <w:p w14:paraId="0A09290B" w14:textId="0F3CA934" w:rsidR="006331D8" w:rsidRDefault="006331D8"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[2</w:t>
      </w:r>
      <w:r w:rsidR="00EB3D4E">
        <w:rPr>
          <w:rFonts w:ascii="Bookman Old Style" w:hAnsi="Bookman Old Style"/>
          <w:sz w:val="24"/>
          <w:szCs w:val="24"/>
          <w:lang w:val="en-ZA"/>
        </w:rPr>
        <w:t>7</w:t>
      </w:r>
      <w:r>
        <w:rPr>
          <w:rFonts w:ascii="Bookman Old Style" w:hAnsi="Bookman Old Style"/>
          <w:sz w:val="24"/>
          <w:szCs w:val="24"/>
          <w:lang w:val="en-ZA"/>
        </w:rPr>
        <w:t>]</w:t>
      </w:r>
      <w:r>
        <w:rPr>
          <w:rFonts w:ascii="Bookman Old Style" w:hAnsi="Bookman Old Style"/>
          <w:sz w:val="24"/>
          <w:szCs w:val="24"/>
          <w:lang w:val="en-ZA"/>
        </w:rPr>
        <w:tab/>
        <w:t>A party acquie</w:t>
      </w:r>
      <w:r w:rsidR="00C30363">
        <w:rPr>
          <w:rFonts w:ascii="Bookman Old Style" w:hAnsi="Bookman Old Style"/>
          <w:sz w:val="24"/>
          <w:szCs w:val="24"/>
          <w:lang w:val="en-ZA"/>
        </w:rPr>
        <w:t>scence</w:t>
      </w:r>
      <w:r>
        <w:rPr>
          <w:rFonts w:ascii="Bookman Old Style" w:hAnsi="Bookman Old Style"/>
          <w:sz w:val="24"/>
          <w:szCs w:val="24"/>
          <w:lang w:val="en-ZA"/>
        </w:rPr>
        <w:t xml:space="preserve"> in a judgment when its conduct after judgment is delivered, is inconsistent with the intention to appeal. The onus of proof rests on the party alleging acquiescence and in doubtful cases it must be held not to be proven. Although peremption has its origin in policy considerations similar to those of waiver and estoppel, the question of acquiescence does not involve an enquiry into the subject of state of </w:t>
      </w:r>
      <w:r>
        <w:rPr>
          <w:rFonts w:ascii="Bookman Old Style" w:hAnsi="Bookman Old Style"/>
          <w:sz w:val="24"/>
          <w:szCs w:val="24"/>
          <w:lang w:val="en-ZA"/>
        </w:rPr>
        <w:lastRenderedPageBreak/>
        <w:t xml:space="preserve">mind of the person alleged to have </w:t>
      </w:r>
      <w:r w:rsidR="002325D8">
        <w:rPr>
          <w:rFonts w:ascii="Bookman Old Style" w:hAnsi="Bookman Old Style"/>
          <w:sz w:val="24"/>
          <w:szCs w:val="24"/>
          <w:lang w:val="en-ZA"/>
        </w:rPr>
        <w:t>acquiescence in the judgment. Rather it involves a consideration of the objective conduct of such person and the conclusion to be drawn therefrom</w:t>
      </w:r>
      <w:r w:rsidR="002325D8">
        <w:rPr>
          <w:rStyle w:val="FootnoteReference"/>
          <w:rFonts w:ascii="Bookman Old Style" w:hAnsi="Bookman Old Style"/>
          <w:sz w:val="24"/>
          <w:szCs w:val="24"/>
          <w:lang w:val="en-ZA"/>
        </w:rPr>
        <w:footnoteReference w:id="16"/>
      </w:r>
      <w:r w:rsidR="00870BE4">
        <w:rPr>
          <w:rFonts w:ascii="Bookman Old Style" w:hAnsi="Bookman Old Style"/>
          <w:sz w:val="24"/>
          <w:szCs w:val="24"/>
          <w:lang w:val="en-ZA"/>
        </w:rPr>
        <w:t>.</w:t>
      </w:r>
    </w:p>
    <w:p w14:paraId="21E3263D" w14:textId="2F6C5C37" w:rsidR="00870BE4" w:rsidRDefault="00870BE4" w:rsidP="00876A78">
      <w:pPr>
        <w:spacing w:after="0" w:line="360" w:lineRule="auto"/>
        <w:ind w:left="720" w:hanging="720"/>
        <w:jc w:val="both"/>
        <w:rPr>
          <w:rFonts w:ascii="Bookman Old Style" w:hAnsi="Bookman Old Style"/>
          <w:sz w:val="24"/>
          <w:szCs w:val="24"/>
          <w:lang w:val="en-ZA"/>
        </w:rPr>
      </w:pPr>
    </w:p>
    <w:p w14:paraId="6B1A6E17" w14:textId="549D6830" w:rsidR="00870BE4" w:rsidRDefault="00870BE4"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[2</w:t>
      </w:r>
      <w:r w:rsidR="00EB3D4E">
        <w:rPr>
          <w:rFonts w:ascii="Bookman Old Style" w:hAnsi="Bookman Old Style"/>
          <w:sz w:val="24"/>
          <w:szCs w:val="24"/>
          <w:lang w:val="en-ZA"/>
        </w:rPr>
        <w:t>8</w:t>
      </w:r>
      <w:r>
        <w:rPr>
          <w:rFonts w:ascii="Bookman Old Style" w:hAnsi="Bookman Old Style"/>
          <w:sz w:val="24"/>
          <w:szCs w:val="24"/>
          <w:lang w:val="en-ZA"/>
        </w:rPr>
        <w:t>]</w:t>
      </w:r>
      <w:r>
        <w:rPr>
          <w:rFonts w:ascii="Bookman Old Style" w:hAnsi="Bookman Old Style"/>
          <w:sz w:val="24"/>
          <w:szCs w:val="24"/>
          <w:lang w:val="en-ZA"/>
        </w:rPr>
        <w:tab/>
        <w:t>The applicant’s application to uplift the bar was dismissed when the judgment was handed down on 19 April 2021</w:t>
      </w:r>
      <w:r w:rsidR="00AA31C6">
        <w:rPr>
          <w:rFonts w:ascii="Bookman Old Style" w:hAnsi="Bookman Old Style"/>
          <w:sz w:val="24"/>
          <w:szCs w:val="24"/>
          <w:lang w:val="en-ZA"/>
        </w:rPr>
        <w:t>.</w:t>
      </w:r>
      <w:r>
        <w:rPr>
          <w:rFonts w:ascii="Bookman Old Style" w:hAnsi="Bookman Old Style"/>
          <w:sz w:val="24"/>
          <w:szCs w:val="24"/>
          <w:lang w:val="en-ZA"/>
        </w:rPr>
        <w:t xml:space="preserve"> </w:t>
      </w:r>
      <w:r w:rsidR="00AA31C6">
        <w:rPr>
          <w:rFonts w:ascii="Bookman Old Style" w:hAnsi="Bookman Old Style"/>
          <w:sz w:val="24"/>
          <w:szCs w:val="24"/>
          <w:lang w:val="en-ZA"/>
        </w:rPr>
        <w:t>A</w:t>
      </w:r>
      <w:r>
        <w:rPr>
          <w:rFonts w:ascii="Bookman Old Style" w:hAnsi="Bookman Old Style"/>
          <w:sz w:val="24"/>
          <w:szCs w:val="24"/>
          <w:lang w:val="en-ZA"/>
        </w:rPr>
        <w:t xml:space="preserve">t that stage, the </w:t>
      </w:r>
      <w:r w:rsidR="00AA31C6">
        <w:rPr>
          <w:rFonts w:ascii="Bookman Old Style" w:hAnsi="Bookman Old Style"/>
          <w:sz w:val="24"/>
          <w:szCs w:val="24"/>
          <w:lang w:val="en-ZA"/>
        </w:rPr>
        <w:t>course</w:t>
      </w:r>
      <w:r>
        <w:rPr>
          <w:rFonts w:ascii="Bookman Old Style" w:hAnsi="Bookman Old Style"/>
          <w:sz w:val="24"/>
          <w:szCs w:val="24"/>
          <w:lang w:val="en-ZA"/>
        </w:rPr>
        <w:t xml:space="preserve"> available to the applicant was to seek leave of the </w:t>
      </w:r>
      <w:r w:rsidR="00A0092C">
        <w:rPr>
          <w:rFonts w:ascii="Bookman Old Style" w:hAnsi="Bookman Old Style"/>
          <w:sz w:val="24"/>
          <w:szCs w:val="24"/>
          <w:lang w:val="en-ZA"/>
        </w:rPr>
        <w:t>C</w:t>
      </w:r>
      <w:r>
        <w:rPr>
          <w:rFonts w:ascii="Bookman Old Style" w:hAnsi="Bookman Old Style"/>
          <w:sz w:val="24"/>
          <w:szCs w:val="24"/>
          <w:lang w:val="en-ZA"/>
        </w:rPr>
        <w:t xml:space="preserve">ourt to appeal the </w:t>
      </w:r>
      <w:r w:rsidR="00156819">
        <w:rPr>
          <w:rFonts w:ascii="Bookman Old Style" w:hAnsi="Bookman Old Style"/>
          <w:sz w:val="24"/>
          <w:szCs w:val="24"/>
          <w:lang w:val="en-ZA"/>
        </w:rPr>
        <w:t>C</w:t>
      </w:r>
      <w:r>
        <w:rPr>
          <w:rFonts w:ascii="Bookman Old Style" w:hAnsi="Bookman Old Style"/>
          <w:sz w:val="24"/>
          <w:szCs w:val="24"/>
          <w:lang w:val="en-ZA"/>
        </w:rPr>
        <w:t>ourt</w:t>
      </w:r>
      <w:r w:rsidR="00AA31C6">
        <w:rPr>
          <w:rFonts w:ascii="Bookman Old Style" w:hAnsi="Bookman Old Style"/>
          <w:sz w:val="24"/>
          <w:szCs w:val="24"/>
          <w:lang w:val="en-ZA"/>
        </w:rPr>
        <w:t>’</w:t>
      </w:r>
      <w:r>
        <w:rPr>
          <w:rFonts w:ascii="Bookman Old Style" w:hAnsi="Bookman Old Style"/>
          <w:sz w:val="24"/>
          <w:szCs w:val="24"/>
          <w:lang w:val="en-ZA"/>
        </w:rPr>
        <w:t>s decision</w:t>
      </w:r>
      <w:r w:rsidR="00156819">
        <w:rPr>
          <w:rFonts w:ascii="Bookman Old Style" w:hAnsi="Bookman Old Style"/>
          <w:sz w:val="24"/>
          <w:szCs w:val="24"/>
          <w:lang w:val="en-ZA"/>
        </w:rPr>
        <w:t>,</w:t>
      </w:r>
      <w:r w:rsidR="00AA31C6">
        <w:rPr>
          <w:rFonts w:ascii="Bookman Old Style" w:hAnsi="Bookman Old Style"/>
          <w:sz w:val="24"/>
          <w:szCs w:val="24"/>
          <w:lang w:val="en-ZA"/>
        </w:rPr>
        <w:t xml:space="preserve"> if it intended to challenge the </w:t>
      </w:r>
      <w:r w:rsidR="00156819">
        <w:rPr>
          <w:rFonts w:ascii="Bookman Old Style" w:hAnsi="Bookman Old Style"/>
          <w:sz w:val="24"/>
          <w:szCs w:val="24"/>
          <w:lang w:val="en-ZA"/>
        </w:rPr>
        <w:t>C</w:t>
      </w:r>
      <w:r w:rsidR="00AA31C6">
        <w:rPr>
          <w:rFonts w:ascii="Bookman Old Style" w:hAnsi="Bookman Old Style"/>
          <w:sz w:val="24"/>
          <w:szCs w:val="24"/>
          <w:lang w:val="en-ZA"/>
        </w:rPr>
        <w:t>ourt’s decision</w:t>
      </w:r>
      <w:r>
        <w:rPr>
          <w:rFonts w:ascii="Bookman Old Style" w:hAnsi="Bookman Old Style"/>
          <w:sz w:val="24"/>
          <w:szCs w:val="24"/>
          <w:lang w:val="en-ZA"/>
        </w:rPr>
        <w:t xml:space="preserve">. Instead, </w:t>
      </w:r>
      <w:r w:rsidR="00156819">
        <w:rPr>
          <w:rFonts w:ascii="Bookman Old Style" w:hAnsi="Bookman Old Style"/>
          <w:sz w:val="24"/>
          <w:szCs w:val="24"/>
          <w:lang w:val="en-ZA"/>
        </w:rPr>
        <w:t xml:space="preserve">on 22 April 2021, </w:t>
      </w:r>
      <w:r>
        <w:rPr>
          <w:rFonts w:ascii="Bookman Old Style" w:hAnsi="Bookman Old Style"/>
          <w:sz w:val="24"/>
          <w:szCs w:val="24"/>
          <w:lang w:val="en-ZA"/>
        </w:rPr>
        <w:t xml:space="preserve">the applicant issued and served a new action identical to </w:t>
      </w:r>
      <w:r w:rsidR="00A0092C">
        <w:rPr>
          <w:rFonts w:ascii="Bookman Old Style" w:hAnsi="Bookman Old Style"/>
          <w:sz w:val="24"/>
          <w:szCs w:val="24"/>
          <w:lang w:val="en-ZA"/>
        </w:rPr>
        <w:t>its</w:t>
      </w:r>
      <w:r>
        <w:rPr>
          <w:rFonts w:ascii="Bookman Old Style" w:hAnsi="Bookman Old Style"/>
          <w:sz w:val="24"/>
          <w:szCs w:val="24"/>
          <w:lang w:val="en-ZA"/>
        </w:rPr>
        <w:t xml:space="preserve"> proposed </w:t>
      </w:r>
      <w:r w:rsidR="00156819">
        <w:rPr>
          <w:rFonts w:ascii="Bookman Old Style" w:hAnsi="Bookman Old Style"/>
          <w:sz w:val="24"/>
          <w:szCs w:val="24"/>
          <w:lang w:val="en-ZA"/>
        </w:rPr>
        <w:t xml:space="preserve">intention to </w:t>
      </w:r>
      <w:r>
        <w:rPr>
          <w:rFonts w:ascii="Bookman Old Style" w:hAnsi="Bookman Old Style"/>
          <w:sz w:val="24"/>
          <w:szCs w:val="24"/>
          <w:lang w:val="en-ZA"/>
        </w:rPr>
        <w:t>amend which is the subject</w:t>
      </w:r>
      <w:r w:rsidR="008066B8">
        <w:rPr>
          <w:rFonts w:ascii="Bookman Old Style" w:hAnsi="Bookman Old Style"/>
          <w:sz w:val="24"/>
          <w:szCs w:val="24"/>
          <w:lang w:val="en-ZA"/>
        </w:rPr>
        <w:t xml:space="preserve"> matter</w:t>
      </w:r>
      <w:r>
        <w:rPr>
          <w:rFonts w:ascii="Bookman Old Style" w:hAnsi="Bookman Old Style"/>
          <w:sz w:val="24"/>
          <w:szCs w:val="24"/>
          <w:lang w:val="en-ZA"/>
        </w:rPr>
        <w:t xml:space="preserve"> of this appeal. </w:t>
      </w:r>
    </w:p>
    <w:p w14:paraId="0E9ED5F3" w14:textId="7E8282F2" w:rsidR="00870BE4" w:rsidRDefault="00870BE4" w:rsidP="00876A78">
      <w:pPr>
        <w:spacing w:after="0" w:line="360" w:lineRule="auto"/>
        <w:ind w:left="720" w:hanging="720"/>
        <w:jc w:val="both"/>
        <w:rPr>
          <w:rFonts w:ascii="Bookman Old Style" w:hAnsi="Bookman Old Style"/>
          <w:sz w:val="24"/>
          <w:szCs w:val="24"/>
          <w:lang w:val="en-ZA"/>
        </w:rPr>
      </w:pPr>
    </w:p>
    <w:p w14:paraId="6FE67C8A" w14:textId="4F2A37A8" w:rsidR="00870BE4" w:rsidRDefault="00870BE4"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w:t>
      </w:r>
      <w:r w:rsidR="00EB3D4E">
        <w:rPr>
          <w:rFonts w:ascii="Bookman Old Style" w:hAnsi="Bookman Old Style"/>
          <w:sz w:val="24"/>
          <w:szCs w:val="24"/>
          <w:lang w:val="en-ZA"/>
        </w:rPr>
        <w:t>29</w:t>
      </w:r>
      <w:r>
        <w:rPr>
          <w:rFonts w:ascii="Bookman Old Style" w:hAnsi="Bookman Old Style"/>
          <w:sz w:val="24"/>
          <w:szCs w:val="24"/>
          <w:lang w:val="en-ZA"/>
        </w:rPr>
        <w:t xml:space="preserve">] </w:t>
      </w:r>
      <w:r>
        <w:rPr>
          <w:rFonts w:ascii="Bookman Old Style" w:hAnsi="Bookman Old Style"/>
          <w:sz w:val="24"/>
          <w:szCs w:val="24"/>
          <w:lang w:val="en-ZA"/>
        </w:rPr>
        <w:tab/>
        <w:t xml:space="preserve">The message communicated by the applicant </w:t>
      </w:r>
      <w:r w:rsidR="005E6B82">
        <w:rPr>
          <w:rFonts w:ascii="Bookman Old Style" w:hAnsi="Bookman Old Style"/>
          <w:sz w:val="24"/>
          <w:szCs w:val="24"/>
          <w:lang w:val="en-ZA"/>
        </w:rPr>
        <w:t>when</w:t>
      </w:r>
      <w:r>
        <w:rPr>
          <w:rFonts w:ascii="Bookman Old Style" w:hAnsi="Bookman Old Style"/>
          <w:sz w:val="24"/>
          <w:szCs w:val="24"/>
          <w:lang w:val="en-ZA"/>
        </w:rPr>
        <w:t xml:space="preserve"> issuing and serving the new action is objectively clear</w:t>
      </w:r>
      <w:r w:rsidR="006D2661">
        <w:rPr>
          <w:rFonts w:ascii="Bookman Old Style" w:hAnsi="Bookman Old Style"/>
          <w:sz w:val="24"/>
          <w:szCs w:val="24"/>
          <w:lang w:val="en-ZA"/>
        </w:rPr>
        <w:t xml:space="preserve">. </w:t>
      </w:r>
      <w:r w:rsidR="00DD4D1F">
        <w:rPr>
          <w:rFonts w:ascii="Bookman Old Style" w:hAnsi="Bookman Old Style"/>
          <w:sz w:val="24"/>
          <w:szCs w:val="24"/>
          <w:lang w:val="en-ZA"/>
        </w:rPr>
        <w:t>It simply means that the applicant has waived its right to appeal, it is not what the applicant intended to do but what objectively is communicated</w:t>
      </w:r>
      <w:r w:rsidR="000E7C44">
        <w:rPr>
          <w:rFonts w:ascii="Bookman Old Style" w:hAnsi="Bookman Old Style"/>
          <w:sz w:val="24"/>
          <w:szCs w:val="24"/>
          <w:lang w:val="en-ZA"/>
        </w:rPr>
        <w:t>.</w:t>
      </w:r>
    </w:p>
    <w:p w14:paraId="0DFAE98A" w14:textId="6DDDFF43" w:rsidR="000E7C44" w:rsidRDefault="000E7C44" w:rsidP="00876A78">
      <w:pPr>
        <w:spacing w:after="0" w:line="360" w:lineRule="auto"/>
        <w:ind w:left="720" w:hanging="720"/>
        <w:jc w:val="both"/>
        <w:rPr>
          <w:rFonts w:ascii="Bookman Old Style" w:hAnsi="Bookman Old Style"/>
          <w:sz w:val="24"/>
          <w:szCs w:val="24"/>
          <w:lang w:val="en-ZA"/>
        </w:rPr>
      </w:pPr>
    </w:p>
    <w:p w14:paraId="7896AD04" w14:textId="77130BA8" w:rsidR="000E7C44" w:rsidRDefault="000E7C44"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[3</w:t>
      </w:r>
      <w:r w:rsidR="00EB3D4E">
        <w:rPr>
          <w:rFonts w:ascii="Bookman Old Style" w:hAnsi="Bookman Old Style"/>
          <w:sz w:val="24"/>
          <w:szCs w:val="24"/>
          <w:lang w:val="en-ZA"/>
        </w:rPr>
        <w:t>0</w:t>
      </w:r>
      <w:r>
        <w:rPr>
          <w:rFonts w:ascii="Bookman Old Style" w:hAnsi="Bookman Old Style"/>
          <w:sz w:val="24"/>
          <w:szCs w:val="24"/>
          <w:lang w:val="en-ZA"/>
        </w:rPr>
        <w:t>]</w:t>
      </w:r>
      <w:r>
        <w:rPr>
          <w:rFonts w:ascii="Bookman Old Style" w:hAnsi="Bookman Old Style"/>
          <w:sz w:val="24"/>
          <w:szCs w:val="24"/>
          <w:lang w:val="en-ZA"/>
        </w:rPr>
        <w:tab/>
        <w:t>The application for leave to appeal was filed seven days after the new action was instituted. Even then it was not clear what the applicant intend</w:t>
      </w:r>
      <w:r w:rsidR="00AA31C6">
        <w:rPr>
          <w:rFonts w:ascii="Bookman Old Style" w:hAnsi="Bookman Old Style"/>
          <w:sz w:val="24"/>
          <w:szCs w:val="24"/>
          <w:lang w:val="en-ZA"/>
        </w:rPr>
        <w:t>ed</w:t>
      </w:r>
      <w:r>
        <w:rPr>
          <w:rFonts w:ascii="Bookman Old Style" w:hAnsi="Bookman Old Style"/>
          <w:sz w:val="24"/>
          <w:szCs w:val="24"/>
          <w:lang w:val="en-ZA"/>
        </w:rPr>
        <w:t xml:space="preserve"> to do. It was only the applicant who had the subjective knowledge of the course it intends to follow</w:t>
      </w:r>
      <w:r w:rsidR="00005ABC">
        <w:rPr>
          <w:rFonts w:ascii="Bookman Old Style" w:hAnsi="Bookman Old Style"/>
          <w:sz w:val="24"/>
          <w:szCs w:val="24"/>
          <w:lang w:val="en-ZA"/>
        </w:rPr>
        <w:t xml:space="preserve">. </w:t>
      </w:r>
      <w:r>
        <w:rPr>
          <w:rFonts w:ascii="Bookman Old Style" w:hAnsi="Bookman Old Style"/>
          <w:sz w:val="24"/>
          <w:szCs w:val="24"/>
          <w:lang w:val="en-ZA"/>
        </w:rPr>
        <w:t xml:space="preserve"> </w:t>
      </w:r>
      <w:r w:rsidR="00005ABC">
        <w:rPr>
          <w:rFonts w:ascii="Bookman Old Style" w:hAnsi="Bookman Old Style"/>
          <w:sz w:val="24"/>
          <w:szCs w:val="24"/>
          <w:lang w:val="en-ZA"/>
        </w:rPr>
        <w:t>T</w:t>
      </w:r>
      <w:r>
        <w:rPr>
          <w:rFonts w:ascii="Bookman Old Style" w:hAnsi="Bookman Old Style"/>
          <w:sz w:val="24"/>
          <w:szCs w:val="24"/>
          <w:lang w:val="en-ZA"/>
        </w:rPr>
        <w:t>h</w:t>
      </w:r>
      <w:r w:rsidR="005E6B82">
        <w:rPr>
          <w:rFonts w:ascii="Bookman Old Style" w:hAnsi="Bookman Old Style"/>
          <w:sz w:val="24"/>
          <w:szCs w:val="24"/>
          <w:lang w:val="en-ZA"/>
        </w:rPr>
        <w:t>e applicant’s intention</w:t>
      </w:r>
      <w:r>
        <w:rPr>
          <w:rFonts w:ascii="Bookman Old Style" w:hAnsi="Bookman Old Style"/>
          <w:sz w:val="24"/>
          <w:szCs w:val="24"/>
          <w:lang w:val="en-ZA"/>
        </w:rPr>
        <w:t xml:space="preserve"> was made known only on 12 May 2021</w:t>
      </w:r>
      <w:r w:rsidR="008066B8">
        <w:rPr>
          <w:rFonts w:ascii="Bookman Old Style" w:hAnsi="Bookman Old Style"/>
          <w:sz w:val="24"/>
          <w:szCs w:val="24"/>
          <w:lang w:val="en-ZA"/>
        </w:rPr>
        <w:t>,</w:t>
      </w:r>
      <w:r>
        <w:rPr>
          <w:rFonts w:ascii="Bookman Old Style" w:hAnsi="Bookman Old Style"/>
          <w:sz w:val="24"/>
          <w:szCs w:val="24"/>
          <w:lang w:val="en-ZA"/>
        </w:rPr>
        <w:t xml:space="preserve"> </w:t>
      </w:r>
      <w:r w:rsidR="00005ABC">
        <w:rPr>
          <w:rFonts w:ascii="Bookman Old Style" w:hAnsi="Bookman Old Style"/>
          <w:sz w:val="24"/>
          <w:szCs w:val="24"/>
          <w:lang w:val="en-ZA"/>
        </w:rPr>
        <w:t>after the respondent had warned the applicant that the right to appeal had been waived. The new action has not been withdrawn whilst on the other hand the applicant pursues the appeal.</w:t>
      </w:r>
    </w:p>
    <w:p w14:paraId="33878E65" w14:textId="726E78E7" w:rsidR="00005ABC" w:rsidRDefault="00005ABC" w:rsidP="00876A78">
      <w:pPr>
        <w:spacing w:after="0" w:line="360" w:lineRule="auto"/>
        <w:ind w:left="720" w:hanging="720"/>
        <w:jc w:val="both"/>
        <w:rPr>
          <w:rFonts w:ascii="Bookman Old Style" w:hAnsi="Bookman Old Style"/>
          <w:sz w:val="24"/>
          <w:szCs w:val="24"/>
          <w:lang w:val="en-ZA"/>
        </w:rPr>
      </w:pPr>
    </w:p>
    <w:p w14:paraId="13212950" w14:textId="643EF0EB" w:rsidR="00005ABC" w:rsidRDefault="00005ABC"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[3</w:t>
      </w:r>
      <w:r w:rsidR="00EB3D4E">
        <w:rPr>
          <w:rFonts w:ascii="Bookman Old Style" w:hAnsi="Bookman Old Style"/>
          <w:sz w:val="24"/>
          <w:szCs w:val="24"/>
          <w:lang w:val="en-ZA"/>
        </w:rPr>
        <w:t>1</w:t>
      </w:r>
      <w:r>
        <w:rPr>
          <w:rFonts w:ascii="Bookman Old Style" w:hAnsi="Bookman Old Style"/>
          <w:sz w:val="24"/>
          <w:szCs w:val="24"/>
          <w:lang w:val="en-ZA"/>
        </w:rPr>
        <w:t>]</w:t>
      </w:r>
      <w:r>
        <w:rPr>
          <w:rFonts w:ascii="Bookman Old Style" w:hAnsi="Bookman Old Style"/>
          <w:sz w:val="24"/>
          <w:szCs w:val="24"/>
          <w:lang w:val="en-ZA"/>
        </w:rPr>
        <w:tab/>
      </w:r>
      <w:r w:rsidR="005E6B82">
        <w:rPr>
          <w:rFonts w:ascii="Bookman Old Style" w:hAnsi="Bookman Old Style"/>
          <w:sz w:val="24"/>
          <w:szCs w:val="24"/>
          <w:lang w:val="en-ZA"/>
        </w:rPr>
        <w:t>In making its intention known</w:t>
      </w:r>
      <w:r w:rsidR="008066B8">
        <w:rPr>
          <w:rFonts w:ascii="Bookman Old Style" w:hAnsi="Bookman Old Style"/>
          <w:sz w:val="24"/>
          <w:szCs w:val="24"/>
          <w:lang w:val="en-ZA"/>
        </w:rPr>
        <w:t>,</w:t>
      </w:r>
      <w:r w:rsidR="005E6B82">
        <w:rPr>
          <w:rFonts w:ascii="Bookman Old Style" w:hAnsi="Bookman Old Style"/>
          <w:sz w:val="24"/>
          <w:szCs w:val="24"/>
          <w:lang w:val="en-ZA"/>
        </w:rPr>
        <w:t xml:space="preserve"> t</w:t>
      </w:r>
      <w:r>
        <w:rPr>
          <w:rFonts w:ascii="Bookman Old Style" w:hAnsi="Bookman Old Style"/>
          <w:sz w:val="24"/>
          <w:szCs w:val="24"/>
          <w:lang w:val="en-ZA"/>
        </w:rPr>
        <w:t xml:space="preserve">he applicant </w:t>
      </w:r>
      <w:r w:rsidR="006F2472">
        <w:rPr>
          <w:rFonts w:ascii="Bookman Old Style" w:hAnsi="Bookman Old Style"/>
          <w:sz w:val="24"/>
          <w:szCs w:val="24"/>
          <w:lang w:val="en-ZA"/>
        </w:rPr>
        <w:t>replied to the respondent’s letter and in essence argued</w:t>
      </w:r>
      <w:r>
        <w:rPr>
          <w:rFonts w:ascii="Bookman Old Style" w:hAnsi="Bookman Old Style"/>
          <w:sz w:val="24"/>
          <w:szCs w:val="24"/>
          <w:lang w:val="en-ZA"/>
        </w:rPr>
        <w:t xml:space="preserve"> that </w:t>
      </w:r>
      <w:r w:rsidR="006F2472">
        <w:rPr>
          <w:rFonts w:ascii="Bookman Old Style" w:hAnsi="Bookman Old Style"/>
          <w:sz w:val="24"/>
          <w:szCs w:val="24"/>
          <w:lang w:val="en-ZA"/>
        </w:rPr>
        <w:t>if the</w:t>
      </w:r>
      <w:r>
        <w:rPr>
          <w:rFonts w:ascii="Bookman Old Style" w:hAnsi="Bookman Old Style"/>
          <w:sz w:val="24"/>
          <w:szCs w:val="24"/>
          <w:lang w:val="en-ZA"/>
        </w:rPr>
        <w:t xml:space="preserve"> appeal</w:t>
      </w:r>
      <w:r w:rsidR="006F2472">
        <w:rPr>
          <w:rFonts w:ascii="Bookman Old Style" w:hAnsi="Bookman Old Style"/>
          <w:sz w:val="24"/>
          <w:szCs w:val="24"/>
          <w:lang w:val="en-ZA"/>
        </w:rPr>
        <w:t xml:space="preserve"> is </w:t>
      </w:r>
      <w:r>
        <w:rPr>
          <w:rFonts w:ascii="Bookman Old Style" w:hAnsi="Bookman Old Style"/>
          <w:sz w:val="24"/>
          <w:szCs w:val="24"/>
          <w:lang w:val="en-ZA"/>
        </w:rPr>
        <w:t>successful</w:t>
      </w:r>
      <w:r w:rsidR="006F2472">
        <w:rPr>
          <w:rFonts w:ascii="Bookman Old Style" w:hAnsi="Bookman Old Style"/>
          <w:sz w:val="24"/>
          <w:szCs w:val="24"/>
          <w:lang w:val="en-ZA"/>
        </w:rPr>
        <w:t>,</w:t>
      </w:r>
      <w:r>
        <w:rPr>
          <w:rFonts w:ascii="Bookman Old Style" w:hAnsi="Bookman Old Style"/>
          <w:sz w:val="24"/>
          <w:szCs w:val="24"/>
          <w:lang w:val="en-ZA"/>
        </w:rPr>
        <w:t xml:space="preserve"> a portion of its claim</w:t>
      </w:r>
      <w:r w:rsidR="006F2472">
        <w:rPr>
          <w:rFonts w:ascii="Bookman Old Style" w:hAnsi="Bookman Old Style"/>
          <w:sz w:val="24"/>
          <w:szCs w:val="24"/>
          <w:lang w:val="en-ZA"/>
        </w:rPr>
        <w:t xml:space="preserve"> would be saved</w:t>
      </w:r>
      <w:r>
        <w:rPr>
          <w:rFonts w:ascii="Bookman Old Style" w:hAnsi="Bookman Old Style"/>
          <w:sz w:val="24"/>
          <w:szCs w:val="24"/>
          <w:lang w:val="en-ZA"/>
        </w:rPr>
        <w:t xml:space="preserve"> from prescription and therefore to protect </w:t>
      </w:r>
      <w:r>
        <w:rPr>
          <w:rFonts w:ascii="Bookman Old Style" w:hAnsi="Bookman Old Style"/>
          <w:sz w:val="24"/>
          <w:szCs w:val="24"/>
          <w:lang w:val="en-ZA"/>
        </w:rPr>
        <w:lastRenderedPageBreak/>
        <w:t>its interest, it is pursuing both the appeal and the action</w:t>
      </w:r>
      <w:r w:rsidR="00EB3D4E">
        <w:rPr>
          <w:rFonts w:ascii="Bookman Old Style" w:hAnsi="Bookman Old Style"/>
          <w:sz w:val="24"/>
          <w:szCs w:val="24"/>
          <w:lang w:val="en-ZA"/>
        </w:rPr>
        <w:t xml:space="preserve">. This submission </w:t>
      </w:r>
      <w:r>
        <w:rPr>
          <w:rFonts w:ascii="Bookman Old Style" w:hAnsi="Bookman Old Style"/>
          <w:sz w:val="24"/>
          <w:szCs w:val="24"/>
          <w:lang w:val="en-ZA"/>
        </w:rPr>
        <w:t>would have carried weight if the applicant had prior to the institution of the new action advised the respondent and made its intention clear that the new action was purely for convenience in the event that the appeal fails</w:t>
      </w:r>
      <w:r w:rsidR="006F2472">
        <w:rPr>
          <w:rFonts w:ascii="Bookman Old Style" w:hAnsi="Bookman Old Style"/>
          <w:sz w:val="24"/>
          <w:szCs w:val="24"/>
          <w:lang w:val="en-ZA"/>
        </w:rPr>
        <w:t>.</w:t>
      </w:r>
      <w:r>
        <w:rPr>
          <w:rFonts w:ascii="Bookman Old Style" w:hAnsi="Bookman Old Style"/>
          <w:sz w:val="24"/>
          <w:szCs w:val="24"/>
          <w:lang w:val="en-ZA"/>
        </w:rPr>
        <w:t xml:space="preserve"> </w:t>
      </w:r>
      <w:r w:rsidR="006F2472">
        <w:rPr>
          <w:rFonts w:ascii="Bookman Old Style" w:hAnsi="Bookman Old Style"/>
          <w:sz w:val="24"/>
          <w:szCs w:val="24"/>
          <w:lang w:val="en-ZA"/>
        </w:rPr>
        <w:t>I</w:t>
      </w:r>
      <w:r>
        <w:rPr>
          <w:rFonts w:ascii="Bookman Old Style" w:hAnsi="Bookman Old Style"/>
          <w:sz w:val="24"/>
          <w:szCs w:val="24"/>
          <w:lang w:val="en-ZA"/>
        </w:rPr>
        <w:t xml:space="preserve">n that </w:t>
      </w:r>
      <w:r w:rsidR="006F2472">
        <w:rPr>
          <w:rFonts w:ascii="Bookman Old Style" w:hAnsi="Bookman Old Style"/>
          <w:sz w:val="24"/>
          <w:szCs w:val="24"/>
          <w:lang w:val="en-ZA"/>
        </w:rPr>
        <w:t>instance</w:t>
      </w:r>
      <w:r>
        <w:rPr>
          <w:rFonts w:ascii="Bookman Old Style" w:hAnsi="Bookman Old Style"/>
          <w:sz w:val="24"/>
          <w:szCs w:val="24"/>
          <w:lang w:val="en-ZA"/>
        </w:rPr>
        <w:t xml:space="preserve"> the intention of the applicant would have been clear</w:t>
      </w:r>
      <w:r w:rsidR="006F2472">
        <w:rPr>
          <w:rFonts w:ascii="Bookman Old Style" w:hAnsi="Bookman Old Style"/>
          <w:sz w:val="24"/>
          <w:szCs w:val="24"/>
          <w:lang w:val="en-ZA"/>
        </w:rPr>
        <w:t xml:space="preserve"> and the subsequent course adopted by the applicant would </w:t>
      </w:r>
      <w:r w:rsidR="00C37763">
        <w:rPr>
          <w:rFonts w:ascii="Bookman Old Style" w:hAnsi="Bookman Old Style"/>
          <w:sz w:val="24"/>
          <w:szCs w:val="24"/>
          <w:lang w:val="en-ZA"/>
        </w:rPr>
        <w:t>have been</w:t>
      </w:r>
      <w:r w:rsidR="006F2472">
        <w:rPr>
          <w:rFonts w:ascii="Bookman Old Style" w:hAnsi="Bookman Old Style"/>
          <w:sz w:val="24"/>
          <w:szCs w:val="24"/>
          <w:lang w:val="en-ZA"/>
        </w:rPr>
        <w:t xml:space="preserve"> understood</w:t>
      </w:r>
      <w:r w:rsidR="00C37763">
        <w:rPr>
          <w:rFonts w:ascii="Bookman Old Style" w:hAnsi="Bookman Old Style"/>
          <w:sz w:val="24"/>
          <w:szCs w:val="24"/>
          <w:lang w:val="en-ZA"/>
        </w:rPr>
        <w:t xml:space="preserve"> objectively to </w:t>
      </w:r>
      <w:r w:rsidR="008066B8">
        <w:rPr>
          <w:rFonts w:ascii="Bookman Old Style" w:hAnsi="Bookman Old Style"/>
          <w:sz w:val="24"/>
          <w:szCs w:val="24"/>
          <w:lang w:val="en-ZA"/>
        </w:rPr>
        <w:t>mean a</w:t>
      </w:r>
      <w:r w:rsidR="006F2472">
        <w:rPr>
          <w:rFonts w:ascii="Bookman Old Style" w:hAnsi="Bookman Old Style"/>
          <w:sz w:val="24"/>
          <w:szCs w:val="24"/>
          <w:lang w:val="en-ZA"/>
        </w:rPr>
        <w:t xml:space="preserve"> non- waiver of its right to pursue the appeal. </w:t>
      </w:r>
    </w:p>
    <w:p w14:paraId="445AB309" w14:textId="6693366F" w:rsidR="003F2154" w:rsidRDefault="003F2154" w:rsidP="00876A78">
      <w:pPr>
        <w:spacing w:after="0" w:line="360" w:lineRule="auto"/>
        <w:ind w:left="720" w:hanging="720"/>
        <w:jc w:val="both"/>
        <w:rPr>
          <w:rFonts w:ascii="Bookman Old Style" w:hAnsi="Bookman Old Style"/>
          <w:sz w:val="24"/>
          <w:szCs w:val="24"/>
          <w:lang w:val="en-ZA"/>
        </w:rPr>
      </w:pPr>
    </w:p>
    <w:p w14:paraId="389C3C2E" w14:textId="5F03F43D" w:rsidR="003F2154" w:rsidRDefault="003F2154"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[3</w:t>
      </w:r>
      <w:r w:rsidR="00EB3D4E">
        <w:rPr>
          <w:rFonts w:ascii="Bookman Old Style" w:hAnsi="Bookman Old Style"/>
          <w:sz w:val="24"/>
          <w:szCs w:val="24"/>
          <w:lang w:val="en-ZA"/>
        </w:rPr>
        <w:t>2</w:t>
      </w:r>
      <w:r>
        <w:rPr>
          <w:rFonts w:ascii="Bookman Old Style" w:hAnsi="Bookman Old Style"/>
          <w:sz w:val="24"/>
          <w:szCs w:val="24"/>
          <w:lang w:val="en-ZA"/>
        </w:rPr>
        <w:t>]</w:t>
      </w:r>
      <w:r>
        <w:rPr>
          <w:rFonts w:ascii="Bookman Old Style" w:hAnsi="Bookman Old Style"/>
          <w:sz w:val="24"/>
          <w:szCs w:val="24"/>
          <w:lang w:val="en-ZA"/>
        </w:rPr>
        <w:tab/>
        <w:t xml:space="preserve">Counsel for the applicant referred to me the decision in </w:t>
      </w:r>
      <w:r w:rsidRPr="003F2154">
        <w:rPr>
          <w:rFonts w:ascii="Bookman Old Style" w:hAnsi="Bookman Old Style"/>
          <w:i/>
          <w:iCs/>
          <w:sz w:val="24"/>
          <w:szCs w:val="24"/>
          <w:lang w:val="en-ZA"/>
        </w:rPr>
        <w:t>Road Accident Fund v Hansa</w:t>
      </w:r>
      <w:r>
        <w:rPr>
          <w:rStyle w:val="FootnoteReference"/>
          <w:rFonts w:ascii="Bookman Old Style" w:hAnsi="Bookman Old Style"/>
          <w:sz w:val="24"/>
          <w:szCs w:val="24"/>
          <w:lang w:val="en-ZA"/>
        </w:rPr>
        <w:footnoteReference w:id="17"/>
      </w:r>
      <w:r>
        <w:rPr>
          <w:rFonts w:ascii="Bookman Old Style" w:hAnsi="Bookman Old Style"/>
          <w:i/>
          <w:iCs/>
          <w:sz w:val="24"/>
          <w:szCs w:val="24"/>
          <w:lang w:val="en-ZA"/>
        </w:rPr>
        <w:t xml:space="preserve"> </w:t>
      </w:r>
      <w:r>
        <w:rPr>
          <w:rFonts w:ascii="Bookman Old Style" w:hAnsi="Bookman Old Style"/>
          <w:sz w:val="24"/>
          <w:szCs w:val="24"/>
          <w:lang w:val="en-ZA"/>
        </w:rPr>
        <w:t xml:space="preserve">where Nienaber JA dismissed the respondents peremption argument. </w:t>
      </w:r>
      <w:r w:rsidR="00C37763">
        <w:rPr>
          <w:rFonts w:ascii="Bookman Old Style" w:hAnsi="Bookman Old Style"/>
          <w:sz w:val="24"/>
          <w:szCs w:val="24"/>
          <w:lang w:val="en-ZA"/>
        </w:rPr>
        <w:t>At</w:t>
      </w:r>
      <w:r>
        <w:rPr>
          <w:rFonts w:ascii="Bookman Old Style" w:hAnsi="Bookman Old Style"/>
          <w:sz w:val="24"/>
          <w:szCs w:val="24"/>
          <w:lang w:val="en-ZA"/>
        </w:rPr>
        <w:t xml:space="preserve"> paragraph 25 </w:t>
      </w:r>
      <w:r w:rsidR="00C37763">
        <w:rPr>
          <w:rFonts w:ascii="Bookman Old Style" w:hAnsi="Bookman Old Style"/>
          <w:sz w:val="24"/>
          <w:szCs w:val="24"/>
          <w:lang w:val="en-ZA"/>
        </w:rPr>
        <w:t>of</w:t>
      </w:r>
      <w:r>
        <w:rPr>
          <w:rFonts w:ascii="Bookman Old Style" w:hAnsi="Bookman Old Style"/>
          <w:sz w:val="24"/>
          <w:szCs w:val="24"/>
          <w:lang w:val="en-ZA"/>
        </w:rPr>
        <w:t xml:space="preserve"> the judgment, he said:</w:t>
      </w:r>
    </w:p>
    <w:p w14:paraId="6E9529AF" w14:textId="6B6D0FA4" w:rsidR="003F2154" w:rsidRDefault="003F2154" w:rsidP="00876A78">
      <w:pPr>
        <w:spacing w:after="0" w:line="360" w:lineRule="auto"/>
        <w:ind w:left="720" w:hanging="720"/>
        <w:jc w:val="both"/>
        <w:rPr>
          <w:rFonts w:ascii="Bookman Old Style" w:hAnsi="Bookman Old Style"/>
          <w:sz w:val="24"/>
          <w:szCs w:val="24"/>
          <w:lang w:val="en-ZA"/>
        </w:rPr>
      </w:pPr>
    </w:p>
    <w:p w14:paraId="51FDE42A" w14:textId="1D013292" w:rsidR="003F2154" w:rsidRPr="00282DB7" w:rsidRDefault="003F2154" w:rsidP="00876A78">
      <w:pPr>
        <w:spacing w:after="0" w:line="360" w:lineRule="auto"/>
        <w:ind w:left="720" w:hanging="720"/>
        <w:jc w:val="both"/>
        <w:rPr>
          <w:rFonts w:ascii="Bookman Old Style" w:hAnsi="Bookman Old Style"/>
          <w:i/>
          <w:iCs/>
          <w:lang w:val="en-ZA"/>
        </w:rPr>
      </w:pPr>
      <w:r>
        <w:rPr>
          <w:rFonts w:ascii="Bookman Old Style" w:hAnsi="Bookman Old Style"/>
          <w:sz w:val="24"/>
          <w:szCs w:val="24"/>
          <w:lang w:val="en-ZA"/>
        </w:rPr>
        <w:tab/>
      </w:r>
      <w:r w:rsidRPr="00282DB7">
        <w:rPr>
          <w:rFonts w:ascii="Bookman Old Style" w:hAnsi="Bookman Old Style"/>
          <w:i/>
          <w:iCs/>
          <w:lang w:val="en-ZA"/>
        </w:rPr>
        <w:t>“In its answering affidavit the RAF explained that it followed that procedure at the time ‘as a precautionary measure’ should its current appeal prove to be unsuccessful. Far from an unequivocal election not to proceed with its appeal (Natal Ruby Union v Gould 1999 (1) SA 432 (SCA) at 443E – G), it exemplified a determination to persist in it. In this Court counsel for the plaintiff readily conceded that he could not usefully pursue the point and no more need be said about it”</w:t>
      </w:r>
      <w:r w:rsidR="008066B8" w:rsidRPr="00282DB7">
        <w:rPr>
          <w:rFonts w:ascii="Bookman Old Style" w:hAnsi="Bookman Old Style"/>
          <w:i/>
          <w:iCs/>
          <w:lang w:val="en-ZA"/>
        </w:rPr>
        <w:t>.</w:t>
      </w:r>
    </w:p>
    <w:p w14:paraId="4F3C4BA4" w14:textId="572EAFCA" w:rsidR="003F2154" w:rsidRDefault="003F2154" w:rsidP="00876A78">
      <w:pPr>
        <w:spacing w:after="0" w:line="360" w:lineRule="auto"/>
        <w:ind w:left="720" w:hanging="720"/>
        <w:jc w:val="both"/>
        <w:rPr>
          <w:rFonts w:ascii="Bookman Old Style" w:hAnsi="Bookman Old Style"/>
          <w:i/>
          <w:iCs/>
          <w:lang w:val="en-ZA"/>
        </w:rPr>
      </w:pPr>
    </w:p>
    <w:p w14:paraId="665E7243" w14:textId="124E33EA" w:rsidR="00236022" w:rsidRDefault="003F2154" w:rsidP="00876A78">
      <w:pPr>
        <w:spacing w:after="0" w:line="360" w:lineRule="auto"/>
        <w:ind w:left="720" w:hanging="720"/>
        <w:jc w:val="both"/>
        <w:rPr>
          <w:rFonts w:ascii="Bookman Old Style" w:hAnsi="Bookman Old Style"/>
          <w:sz w:val="24"/>
          <w:szCs w:val="24"/>
          <w:lang w:val="en-ZA"/>
        </w:rPr>
      </w:pPr>
      <w:r>
        <w:rPr>
          <w:rFonts w:ascii="Bookman Old Style" w:hAnsi="Bookman Old Style"/>
          <w:lang w:val="en-ZA"/>
        </w:rPr>
        <w:tab/>
      </w:r>
      <w:r w:rsidRPr="003F2154">
        <w:rPr>
          <w:rFonts w:ascii="Bookman Old Style" w:hAnsi="Bookman Old Style"/>
          <w:sz w:val="24"/>
          <w:szCs w:val="24"/>
          <w:lang w:val="en-ZA"/>
        </w:rPr>
        <w:t xml:space="preserve">In that case </w:t>
      </w:r>
      <w:r>
        <w:rPr>
          <w:rFonts w:ascii="Bookman Old Style" w:hAnsi="Bookman Old Style"/>
          <w:sz w:val="24"/>
          <w:szCs w:val="24"/>
          <w:lang w:val="en-ZA"/>
        </w:rPr>
        <w:t xml:space="preserve">the Road Accident Fund </w:t>
      </w:r>
      <w:r w:rsidR="008066B8">
        <w:rPr>
          <w:rFonts w:ascii="Bookman Old Style" w:hAnsi="Bookman Old Style"/>
          <w:sz w:val="24"/>
          <w:szCs w:val="24"/>
          <w:lang w:val="en-ZA"/>
        </w:rPr>
        <w:t xml:space="preserve">clearly </w:t>
      </w:r>
      <w:r w:rsidR="00236022">
        <w:rPr>
          <w:rFonts w:ascii="Bookman Old Style" w:hAnsi="Bookman Old Style"/>
          <w:sz w:val="24"/>
          <w:szCs w:val="24"/>
          <w:lang w:val="en-ZA"/>
        </w:rPr>
        <w:t xml:space="preserve">demonstrated its intention to challenge the </w:t>
      </w:r>
      <w:r w:rsidR="00C86142">
        <w:rPr>
          <w:rFonts w:ascii="Bookman Old Style" w:hAnsi="Bookman Old Style"/>
          <w:sz w:val="24"/>
          <w:szCs w:val="24"/>
          <w:lang w:val="en-ZA"/>
        </w:rPr>
        <w:t>C</w:t>
      </w:r>
      <w:r w:rsidR="00236022">
        <w:rPr>
          <w:rFonts w:ascii="Bookman Old Style" w:hAnsi="Bookman Old Style"/>
          <w:sz w:val="24"/>
          <w:szCs w:val="24"/>
          <w:lang w:val="en-ZA"/>
        </w:rPr>
        <w:t>ourts decision and objectively pursued its intention, unlike in the present case</w:t>
      </w:r>
      <w:r w:rsidR="00276F45">
        <w:rPr>
          <w:rFonts w:ascii="Bookman Old Style" w:hAnsi="Bookman Old Style"/>
          <w:sz w:val="24"/>
          <w:szCs w:val="24"/>
          <w:lang w:val="en-ZA"/>
        </w:rPr>
        <w:t>,</w:t>
      </w:r>
      <w:r w:rsidR="00236022">
        <w:rPr>
          <w:rFonts w:ascii="Bookman Old Style" w:hAnsi="Bookman Old Style"/>
          <w:sz w:val="24"/>
          <w:szCs w:val="24"/>
          <w:lang w:val="en-ZA"/>
        </w:rPr>
        <w:t xml:space="preserve"> where the </w:t>
      </w:r>
      <w:r w:rsidR="008152A8">
        <w:rPr>
          <w:rFonts w:ascii="Bookman Old Style" w:hAnsi="Bookman Old Style"/>
          <w:sz w:val="24"/>
          <w:szCs w:val="24"/>
          <w:lang w:val="en-ZA"/>
        </w:rPr>
        <w:t xml:space="preserve">applicant opted for a procedure inconsistent with the intention to prosecute the application for leave to appeal. </w:t>
      </w:r>
    </w:p>
    <w:p w14:paraId="03E0E61B" w14:textId="77777777" w:rsidR="00236022" w:rsidRDefault="00236022" w:rsidP="00876A78">
      <w:pPr>
        <w:spacing w:after="0" w:line="360" w:lineRule="auto"/>
        <w:ind w:left="720" w:hanging="720"/>
        <w:jc w:val="both"/>
        <w:rPr>
          <w:rFonts w:ascii="Bookman Old Style" w:hAnsi="Bookman Old Style"/>
          <w:sz w:val="24"/>
          <w:szCs w:val="24"/>
          <w:lang w:val="en-ZA"/>
        </w:rPr>
      </w:pPr>
    </w:p>
    <w:p w14:paraId="351AB0B9" w14:textId="4960F020" w:rsidR="003F2154" w:rsidRDefault="00236022"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[3</w:t>
      </w:r>
      <w:r w:rsidR="00EB3D4E">
        <w:rPr>
          <w:rFonts w:ascii="Bookman Old Style" w:hAnsi="Bookman Old Style"/>
          <w:sz w:val="24"/>
          <w:szCs w:val="24"/>
          <w:lang w:val="en-ZA"/>
        </w:rPr>
        <w:t>3</w:t>
      </w:r>
      <w:r>
        <w:rPr>
          <w:rFonts w:ascii="Bookman Old Style" w:hAnsi="Bookman Old Style"/>
          <w:sz w:val="24"/>
          <w:szCs w:val="24"/>
          <w:lang w:val="en-ZA"/>
        </w:rPr>
        <w:t>]</w:t>
      </w:r>
      <w:r>
        <w:rPr>
          <w:rFonts w:ascii="Bookman Old Style" w:hAnsi="Bookman Old Style"/>
          <w:sz w:val="24"/>
          <w:szCs w:val="24"/>
          <w:lang w:val="en-ZA"/>
        </w:rPr>
        <w:tab/>
        <w:t xml:space="preserve"> </w:t>
      </w:r>
      <w:r w:rsidR="009E1DD7">
        <w:rPr>
          <w:rFonts w:ascii="Bookman Old Style" w:hAnsi="Bookman Old Style"/>
          <w:sz w:val="24"/>
          <w:szCs w:val="24"/>
          <w:lang w:val="en-ZA"/>
        </w:rPr>
        <w:t>In its letter dated 6 May 2021, the respondent proposed to the applicant to withdraw either the application for leave to appeal or the new action, failing which, it would argue that the applicant had waived its right to appeal. It further suggested to the applicant that ins</w:t>
      </w:r>
      <w:r w:rsidR="00276F45">
        <w:rPr>
          <w:rFonts w:ascii="Bookman Old Style" w:hAnsi="Bookman Old Style"/>
          <w:sz w:val="24"/>
          <w:szCs w:val="24"/>
          <w:lang w:val="en-ZA"/>
        </w:rPr>
        <w:t>o</w:t>
      </w:r>
      <w:r w:rsidR="009E1DD7">
        <w:rPr>
          <w:rFonts w:ascii="Bookman Old Style" w:hAnsi="Bookman Old Style"/>
          <w:sz w:val="24"/>
          <w:szCs w:val="24"/>
          <w:lang w:val="en-ZA"/>
        </w:rPr>
        <w:t xml:space="preserve">far as the applicant is unwilling to withdraw either the appeal or the new </w:t>
      </w:r>
      <w:r w:rsidR="009E1DD7">
        <w:rPr>
          <w:rFonts w:ascii="Bookman Old Style" w:hAnsi="Bookman Old Style"/>
          <w:sz w:val="24"/>
          <w:szCs w:val="24"/>
          <w:lang w:val="en-ZA"/>
        </w:rPr>
        <w:lastRenderedPageBreak/>
        <w:t>action, the filing of subsequent pleadings in the new action be suspended. In reply to the proposal the applicant</w:t>
      </w:r>
      <w:r w:rsidR="00276F45">
        <w:rPr>
          <w:rFonts w:ascii="Bookman Old Style" w:hAnsi="Bookman Old Style"/>
          <w:sz w:val="24"/>
          <w:szCs w:val="24"/>
          <w:lang w:val="en-ZA"/>
        </w:rPr>
        <w:t>,</w:t>
      </w:r>
      <w:r w:rsidR="009E1DD7">
        <w:rPr>
          <w:rFonts w:ascii="Bookman Old Style" w:hAnsi="Bookman Old Style"/>
          <w:sz w:val="24"/>
          <w:szCs w:val="24"/>
          <w:lang w:val="en-ZA"/>
        </w:rPr>
        <w:t xml:space="preserve"> in its letter dated 12 May 2021</w:t>
      </w:r>
      <w:r w:rsidR="00276F45">
        <w:rPr>
          <w:rFonts w:ascii="Bookman Old Style" w:hAnsi="Bookman Old Style"/>
          <w:sz w:val="24"/>
          <w:szCs w:val="24"/>
          <w:lang w:val="en-ZA"/>
        </w:rPr>
        <w:t>,</w:t>
      </w:r>
      <w:r w:rsidR="009E1DD7">
        <w:rPr>
          <w:rFonts w:ascii="Bookman Old Style" w:hAnsi="Bookman Old Style"/>
          <w:sz w:val="24"/>
          <w:szCs w:val="24"/>
          <w:lang w:val="en-ZA"/>
        </w:rPr>
        <w:t xml:space="preserve"> agreed to the stay of further pleadings pending the outcome of the application for leave to appeal. </w:t>
      </w:r>
    </w:p>
    <w:p w14:paraId="01DD5BC1" w14:textId="2415A753" w:rsidR="009E1DD7" w:rsidRDefault="009E1DD7" w:rsidP="00876A78">
      <w:pPr>
        <w:spacing w:after="0" w:line="360" w:lineRule="auto"/>
        <w:ind w:left="720" w:hanging="720"/>
        <w:jc w:val="both"/>
        <w:rPr>
          <w:rFonts w:ascii="Bookman Old Style" w:hAnsi="Bookman Old Style"/>
          <w:sz w:val="24"/>
          <w:szCs w:val="24"/>
          <w:lang w:val="en-ZA"/>
        </w:rPr>
      </w:pPr>
    </w:p>
    <w:p w14:paraId="6C4DB7EF" w14:textId="4DF020CA" w:rsidR="00AE47C0" w:rsidRDefault="009E1DD7"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[3</w:t>
      </w:r>
      <w:r w:rsidR="00EB3D4E">
        <w:rPr>
          <w:rFonts w:ascii="Bookman Old Style" w:hAnsi="Bookman Old Style"/>
          <w:sz w:val="24"/>
          <w:szCs w:val="24"/>
          <w:lang w:val="en-ZA"/>
        </w:rPr>
        <w:t>4</w:t>
      </w:r>
      <w:r>
        <w:rPr>
          <w:rFonts w:ascii="Bookman Old Style" w:hAnsi="Bookman Old Style"/>
          <w:sz w:val="24"/>
          <w:szCs w:val="24"/>
          <w:lang w:val="en-ZA"/>
        </w:rPr>
        <w:t>]</w:t>
      </w:r>
      <w:r>
        <w:rPr>
          <w:rFonts w:ascii="Bookman Old Style" w:hAnsi="Bookman Old Style"/>
          <w:sz w:val="24"/>
          <w:szCs w:val="24"/>
          <w:lang w:val="en-ZA"/>
        </w:rPr>
        <w:tab/>
      </w:r>
      <w:r w:rsidR="00AE47C0">
        <w:rPr>
          <w:rFonts w:ascii="Bookman Old Style" w:hAnsi="Bookman Old Style"/>
          <w:sz w:val="24"/>
          <w:szCs w:val="24"/>
          <w:lang w:val="en-ZA"/>
        </w:rPr>
        <w:t>I agree with the respondent</w:t>
      </w:r>
      <w:r w:rsidR="00C37763">
        <w:rPr>
          <w:rFonts w:ascii="Bookman Old Style" w:hAnsi="Bookman Old Style"/>
          <w:sz w:val="24"/>
          <w:szCs w:val="24"/>
          <w:lang w:val="en-ZA"/>
        </w:rPr>
        <w:t>’</w:t>
      </w:r>
      <w:r w:rsidR="00AE47C0">
        <w:rPr>
          <w:rFonts w:ascii="Bookman Old Style" w:hAnsi="Bookman Old Style"/>
          <w:sz w:val="24"/>
          <w:szCs w:val="24"/>
          <w:lang w:val="en-ZA"/>
        </w:rPr>
        <w:t>s contention that the applicant</w:t>
      </w:r>
      <w:r w:rsidR="00C37763">
        <w:rPr>
          <w:rFonts w:ascii="Bookman Old Style" w:hAnsi="Bookman Old Style"/>
          <w:sz w:val="24"/>
          <w:szCs w:val="24"/>
          <w:lang w:val="en-ZA"/>
        </w:rPr>
        <w:t>’</w:t>
      </w:r>
      <w:r w:rsidR="00AE47C0">
        <w:rPr>
          <w:rFonts w:ascii="Bookman Old Style" w:hAnsi="Bookman Old Style"/>
          <w:sz w:val="24"/>
          <w:szCs w:val="24"/>
          <w:lang w:val="en-ZA"/>
        </w:rPr>
        <w:t>s actions are inconsistent with a party that is dissatisfied with the judgment and intends to appeal. This therefore means that the application for leave to appeal is moot</w:t>
      </w:r>
      <w:r w:rsidR="00276F45">
        <w:rPr>
          <w:rFonts w:ascii="Bookman Old Style" w:hAnsi="Bookman Old Style"/>
          <w:sz w:val="24"/>
          <w:szCs w:val="24"/>
          <w:lang w:val="en-ZA"/>
        </w:rPr>
        <w:t>, particularly,</w:t>
      </w:r>
      <w:r w:rsidR="00AE47C0">
        <w:rPr>
          <w:rFonts w:ascii="Bookman Old Style" w:hAnsi="Bookman Old Style"/>
          <w:sz w:val="24"/>
          <w:szCs w:val="24"/>
          <w:lang w:val="en-ZA"/>
        </w:rPr>
        <w:t xml:space="preserve"> in the circumstances of this case where a new action has been instituted before an appeal has been launched. In terms of </w:t>
      </w:r>
      <w:r w:rsidR="00276F45">
        <w:rPr>
          <w:rFonts w:ascii="Bookman Old Style" w:hAnsi="Bookman Old Style"/>
          <w:sz w:val="24"/>
          <w:szCs w:val="24"/>
          <w:lang w:val="en-ZA"/>
        </w:rPr>
        <w:t>s</w:t>
      </w:r>
      <w:r w:rsidR="00AE47C0">
        <w:rPr>
          <w:rFonts w:ascii="Bookman Old Style" w:hAnsi="Bookman Old Style"/>
          <w:sz w:val="24"/>
          <w:szCs w:val="24"/>
          <w:lang w:val="en-ZA"/>
        </w:rPr>
        <w:t xml:space="preserve">ection 16(2)(a) of the Superior Courts Act 10 of 2013 this application should be dismissed because it would have no practical effect or result. </w:t>
      </w:r>
    </w:p>
    <w:p w14:paraId="2C15041F" w14:textId="3D4BD9A0" w:rsidR="00AE47C0" w:rsidRDefault="00AE47C0" w:rsidP="00876A78">
      <w:pPr>
        <w:spacing w:after="0" w:line="360" w:lineRule="auto"/>
        <w:ind w:left="720" w:hanging="720"/>
        <w:jc w:val="both"/>
        <w:rPr>
          <w:rFonts w:ascii="Bookman Old Style" w:hAnsi="Bookman Old Style"/>
          <w:sz w:val="24"/>
          <w:szCs w:val="24"/>
          <w:lang w:val="en-ZA"/>
        </w:rPr>
      </w:pPr>
    </w:p>
    <w:p w14:paraId="21E8AA17" w14:textId="17658D43" w:rsidR="00AE47C0" w:rsidRDefault="00AE47C0"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 xml:space="preserve">CONCLUSION </w:t>
      </w:r>
    </w:p>
    <w:p w14:paraId="2DE90DE5" w14:textId="60C6D9C3" w:rsidR="00AE47C0" w:rsidRDefault="00AE47C0" w:rsidP="00876A78">
      <w:pPr>
        <w:spacing w:after="0" w:line="360" w:lineRule="auto"/>
        <w:ind w:left="720" w:hanging="720"/>
        <w:jc w:val="both"/>
        <w:rPr>
          <w:rFonts w:ascii="Bookman Old Style" w:hAnsi="Bookman Old Style"/>
          <w:sz w:val="24"/>
          <w:szCs w:val="24"/>
          <w:lang w:val="en-ZA"/>
        </w:rPr>
      </w:pPr>
    </w:p>
    <w:p w14:paraId="479D0A4C" w14:textId="39F89A14" w:rsidR="00AE47C0" w:rsidRDefault="00AE47C0" w:rsidP="00876A78">
      <w:pPr>
        <w:spacing w:after="0" w:line="360" w:lineRule="auto"/>
        <w:ind w:left="720" w:hanging="720"/>
        <w:jc w:val="both"/>
        <w:rPr>
          <w:rFonts w:ascii="Bookman Old Style" w:hAnsi="Bookman Old Style"/>
          <w:sz w:val="24"/>
          <w:szCs w:val="24"/>
          <w:lang w:val="en-ZA"/>
        </w:rPr>
      </w:pPr>
      <w:r>
        <w:rPr>
          <w:rFonts w:ascii="Bookman Old Style" w:hAnsi="Bookman Old Style"/>
          <w:sz w:val="24"/>
          <w:szCs w:val="24"/>
          <w:lang w:val="en-ZA"/>
        </w:rPr>
        <w:t>[3</w:t>
      </w:r>
      <w:r w:rsidR="00EB3D4E">
        <w:rPr>
          <w:rFonts w:ascii="Bookman Old Style" w:hAnsi="Bookman Old Style"/>
          <w:sz w:val="24"/>
          <w:szCs w:val="24"/>
          <w:lang w:val="en-ZA"/>
        </w:rPr>
        <w:t>5</w:t>
      </w:r>
      <w:r>
        <w:rPr>
          <w:rFonts w:ascii="Bookman Old Style" w:hAnsi="Bookman Old Style"/>
          <w:sz w:val="24"/>
          <w:szCs w:val="24"/>
          <w:lang w:val="en-ZA"/>
        </w:rPr>
        <w:t>]</w:t>
      </w:r>
      <w:r>
        <w:rPr>
          <w:rFonts w:ascii="Bookman Old Style" w:hAnsi="Bookman Old Style"/>
          <w:sz w:val="24"/>
          <w:szCs w:val="24"/>
          <w:lang w:val="en-ZA"/>
        </w:rPr>
        <w:tab/>
        <w:t>It is my considered view that the appeal has no reasonable prospects of success and should be dismissed. In the circumstances, I make the following order:</w:t>
      </w:r>
    </w:p>
    <w:p w14:paraId="1351A4EA" w14:textId="3E305E1B" w:rsidR="00AE47C0" w:rsidRDefault="00AE47C0" w:rsidP="00876A78">
      <w:pPr>
        <w:spacing w:after="0" w:line="360" w:lineRule="auto"/>
        <w:ind w:left="720" w:hanging="720"/>
        <w:jc w:val="both"/>
        <w:rPr>
          <w:rFonts w:ascii="Bookman Old Style" w:hAnsi="Bookman Old Style"/>
          <w:sz w:val="24"/>
          <w:szCs w:val="24"/>
          <w:lang w:val="en-ZA"/>
        </w:rPr>
      </w:pPr>
    </w:p>
    <w:p w14:paraId="6096F505" w14:textId="322EB748" w:rsidR="00AE47C0" w:rsidRPr="00A64A89" w:rsidRDefault="00A64A89" w:rsidP="00A64A89">
      <w:pPr>
        <w:spacing w:after="0" w:line="360" w:lineRule="auto"/>
        <w:ind w:left="1276" w:hanging="556"/>
        <w:jc w:val="both"/>
        <w:rPr>
          <w:rFonts w:ascii="Bookman Old Style" w:hAnsi="Bookman Old Style"/>
          <w:sz w:val="24"/>
          <w:szCs w:val="24"/>
          <w:lang w:val="en-ZA"/>
        </w:rPr>
      </w:pPr>
      <w:r w:rsidRPr="00AE47C0">
        <w:rPr>
          <w:rFonts w:ascii="Bookman Old Style" w:hAnsi="Bookman Old Style"/>
          <w:sz w:val="24"/>
          <w:szCs w:val="24"/>
          <w:lang w:val="en-ZA"/>
        </w:rPr>
        <w:t>1.</w:t>
      </w:r>
      <w:r w:rsidRPr="00AE47C0">
        <w:rPr>
          <w:rFonts w:ascii="Bookman Old Style" w:hAnsi="Bookman Old Style"/>
          <w:sz w:val="24"/>
          <w:szCs w:val="24"/>
          <w:lang w:val="en-ZA"/>
        </w:rPr>
        <w:tab/>
      </w:r>
      <w:r w:rsidR="00AE47C0" w:rsidRPr="00A64A89">
        <w:rPr>
          <w:rFonts w:ascii="Bookman Old Style" w:hAnsi="Bookman Old Style"/>
          <w:sz w:val="24"/>
          <w:szCs w:val="24"/>
          <w:lang w:val="en-ZA"/>
        </w:rPr>
        <w:t>The application for leave to appeal is dismissed with costs, including the costs occasioned by the employment of two Counsel</w:t>
      </w:r>
      <w:r w:rsidR="00B30A27" w:rsidRPr="00A64A89">
        <w:rPr>
          <w:rFonts w:ascii="Bookman Old Style" w:hAnsi="Bookman Old Style"/>
          <w:sz w:val="24"/>
          <w:szCs w:val="24"/>
          <w:lang w:val="en-ZA"/>
        </w:rPr>
        <w:t xml:space="preserve">. </w:t>
      </w:r>
      <w:r w:rsidR="00AE47C0" w:rsidRPr="00A64A89">
        <w:rPr>
          <w:rFonts w:ascii="Bookman Old Style" w:hAnsi="Bookman Old Style"/>
          <w:sz w:val="24"/>
          <w:szCs w:val="24"/>
          <w:lang w:val="en-ZA"/>
        </w:rPr>
        <w:tab/>
      </w:r>
    </w:p>
    <w:p w14:paraId="62F66678" w14:textId="77777777" w:rsidR="00B30A27" w:rsidRDefault="00B30A27" w:rsidP="007B0A5C">
      <w:pPr>
        <w:spacing w:after="0" w:line="240" w:lineRule="auto"/>
        <w:jc w:val="both"/>
        <w:rPr>
          <w:rFonts w:ascii="Bookman Old Style" w:hAnsi="Bookman Old Style"/>
        </w:rPr>
      </w:pPr>
    </w:p>
    <w:p w14:paraId="411E8A99" w14:textId="77777777" w:rsidR="00B30A27" w:rsidRDefault="00B30A27" w:rsidP="007B0A5C">
      <w:pPr>
        <w:spacing w:after="0" w:line="240" w:lineRule="auto"/>
        <w:jc w:val="both"/>
        <w:rPr>
          <w:rFonts w:ascii="Bookman Old Style" w:hAnsi="Bookman Old Style"/>
        </w:rPr>
      </w:pPr>
    </w:p>
    <w:p w14:paraId="36D61340" w14:textId="77777777" w:rsidR="00B30A27" w:rsidRDefault="00B30A27" w:rsidP="007B0A5C">
      <w:pPr>
        <w:spacing w:after="0" w:line="240" w:lineRule="auto"/>
        <w:jc w:val="both"/>
        <w:rPr>
          <w:rFonts w:ascii="Bookman Old Style" w:hAnsi="Bookman Old Style"/>
        </w:rPr>
      </w:pPr>
    </w:p>
    <w:p w14:paraId="09E90C45" w14:textId="77777777" w:rsidR="00B30A27" w:rsidRDefault="00B30A27" w:rsidP="007B0A5C">
      <w:pPr>
        <w:spacing w:after="0" w:line="240" w:lineRule="auto"/>
        <w:jc w:val="both"/>
        <w:rPr>
          <w:rFonts w:ascii="Bookman Old Style" w:hAnsi="Bookman Old Style"/>
        </w:rPr>
      </w:pPr>
    </w:p>
    <w:p w14:paraId="2826106B" w14:textId="77777777" w:rsidR="00B30A27" w:rsidRDefault="00B30A27" w:rsidP="007B0A5C">
      <w:pPr>
        <w:spacing w:after="0" w:line="240" w:lineRule="auto"/>
        <w:jc w:val="both"/>
        <w:rPr>
          <w:rFonts w:ascii="Bookman Old Style" w:hAnsi="Bookman Old Style"/>
        </w:rPr>
      </w:pPr>
    </w:p>
    <w:p w14:paraId="1F30C440" w14:textId="79EA5D1A" w:rsidR="007B0A5C" w:rsidRPr="00F16818" w:rsidRDefault="007B0A5C" w:rsidP="00282DB7">
      <w:pPr>
        <w:spacing w:after="0" w:line="240" w:lineRule="auto"/>
        <w:ind w:left="5760" w:firstLine="720"/>
        <w:jc w:val="both"/>
        <w:rPr>
          <w:rFonts w:ascii="Bookman Old Style" w:hAnsi="Bookman Old Style"/>
          <w:u w:val="thick"/>
        </w:rPr>
      </w:pPr>
      <w:r w:rsidRPr="00F16818">
        <w:rPr>
          <w:rFonts w:ascii="Bookman Old Style" w:hAnsi="Bookman Old Style"/>
          <w:u w:val="thick"/>
        </w:rPr>
        <w:t>_______________________</w:t>
      </w:r>
    </w:p>
    <w:p w14:paraId="719A61A8" w14:textId="101C0AE1" w:rsidR="007B0A5C" w:rsidRPr="00282DB7" w:rsidRDefault="007B0A5C" w:rsidP="00282DB7">
      <w:pPr>
        <w:spacing w:after="0" w:line="240" w:lineRule="auto"/>
        <w:ind w:left="5760" w:firstLine="720"/>
        <w:jc w:val="both"/>
        <w:rPr>
          <w:rFonts w:ascii="Bookman Old Style" w:hAnsi="Bookman Old Style"/>
          <w:b/>
          <w:sz w:val="24"/>
          <w:szCs w:val="24"/>
          <w:lang w:val="en-ZA"/>
        </w:rPr>
      </w:pPr>
      <w:r w:rsidRPr="00282DB7">
        <w:rPr>
          <w:rFonts w:ascii="Bookman Old Style" w:hAnsi="Bookman Old Style"/>
          <w:b/>
          <w:sz w:val="24"/>
          <w:szCs w:val="24"/>
        </w:rPr>
        <w:t>NE NKOSI, AJ</w:t>
      </w:r>
      <w:r w:rsidR="00276F45">
        <w:rPr>
          <w:rFonts w:ascii="Bookman Old Style" w:hAnsi="Bookman Old Style"/>
          <w:b/>
          <w:sz w:val="24"/>
          <w:szCs w:val="24"/>
          <w:lang w:val="en-ZA"/>
        </w:rPr>
        <w:tab/>
      </w:r>
      <w:r w:rsidR="00276F45">
        <w:rPr>
          <w:rFonts w:ascii="Bookman Old Style" w:hAnsi="Bookman Old Style"/>
          <w:b/>
          <w:sz w:val="24"/>
          <w:szCs w:val="24"/>
          <w:lang w:val="en-ZA"/>
        </w:rPr>
        <w:tab/>
      </w:r>
      <w:r w:rsidRPr="00282DB7">
        <w:rPr>
          <w:rFonts w:ascii="Bookman Old Style" w:hAnsi="Bookman Old Style"/>
          <w:b/>
          <w:sz w:val="24"/>
          <w:szCs w:val="24"/>
          <w:lang w:val="en-ZA"/>
        </w:rPr>
        <w:t>Acting judge of the</w:t>
      </w:r>
      <w:r w:rsidR="00276F45">
        <w:rPr>
          <w:rFonts w:ascii="Bookman Old Style" w:hAnsi="Bookman Old Style"/>
          <w:b/>
          <w:sz w:val="24"/>
          <w:szCs w:val="24"/>
          <w:lang w:val="en-ZA"/>
        </w:rPr>
        <w:t xml:space="preserve"> </w:t>
      </w:r>
      <w:r w:rsidR="00276F45">
        <w:rPr>
          <w:rFonts w:ascii="Bookman Old Style" w:hAnsi="Bookman Old Style"/>
          <w:b/>
          <w:sz w:val="24"/>
          <w:szCs w:val="24"/>
          <w:lang w:val="en-ZA"/>
        </w:rPr>
        <w:tab/>
      </w:r>
      <w:r w:rsidRPr="00282DB7">
        <w:rPr>
          <w:rFonts w:ascii="Bookman Old Style" w:hAnsi="Bookman Old Style"/>
          <w:b/>
          <w:sz w:val="24"/>
          <w:szCs w:val="24"/>
          <w:lang w:val="en-ZA"/>
        </w:rPr>
        <w:t>High Court</w:t>
      </w:r>
    </w:p>
    <w:p w14:paraId="09D43EB2" w14:textId="77777777" w:rsidR="00B30A27" w:rsidRPr="00282DB7" w:rsidRDefault="00B30A27" w:rsidP="00282DB7">
      <w:pPr>
        <w:spacing w:after="0" w:line="360" w:lineRule="auto"/>
        <w:jc w:val="both"/>
        <w:rPr>
          <w:rFonts w:ascii="Bookman Old Style" w:hAnsi="Bookman Old Style"/>
          <w:b/>
          <w:sz w:val="24"/>
          <w:szCs w:val="24"/>
          <w:lang w:val="en-ZA"/>
        </w:rPr>
      </w:pPr>
    </w:p>
    <w:p w14:paraId="6431920D" w14:textId="77777777" w:rsidR="00B30A27" w:rsidRPr="00282DB7" w:rsidRDefault="00B30A27" w:rsidP="00282DB7">
      <w:pPr>
        <w:spacing w:after="0" w:line="360" w:lineRule="auto"/>
        <w:jc w:val="both"/>
        <w:rPr>
          <w:rFonts w:ascii="Bookman Old Style" w:hAnsi="Bookman Old Style"/>
          <w:b/>
          <w:sz w:val="24"/>
          <w:szCs w:val="24"/>
          <w:lang w:val="en-ZA"/>
        </w:rPr>
      </w:pPr>
    </w:p>
    <w:p w14:paraId="5C18DFBF" w14:textId="14730719" w:rsidR="00F45B7E" w:rsidRPr="00B82B1C" w:rsidRDefault="00F45B7E">
      <w:pPr>
        <w:spacing w:after="0" w:line="360" w:lineRule="auto"/>
        <w:jc w:val="both"/>
        <w:rPr>
          <w:rFonts w:ascii="Bookman Old Style" w:hAnsi="Bookman Old Style"/>
          <w:sz w:val="24"/>
          <w:szCs w:val="24"/>
          <w:lang w:val="en-ZA"/>
        </w:rPr>
      </w:pPr>
      <w:bookmarkStart w:id="1" w:name="_Hlk74314846"/>
      <w:r w:rsidRPr="00B82B1C">
        <w:rPr>
          <w:rFonts w:ascii="Bookman Old Style" w:hAnsi="Bookman Old Style"/>
          <w:sz w:val="24"/>
          <w:szCs w:val="24"/>
          <w:lang w:val="en-ZA"/>
        </w:rPr>
        <w:t>Date of hearing</w:t>
      </w:r>
      <w:r w:rsidRPr="00B82B1C">
        <w:rPr>
          <w:rFonts w:ascii="Bookman Old Style" w:hAnsi="Bookman Old Style"/>
          <w:sz w:val="24"/>
          <w:szCs w:val="24"/>
          <w:lang w:val="en-ZA"/>
        </w:rPr>
        <w:tab/>
      </w:r>
      <w:r w:rsidR="00B30A27">
        <w:rPr>
          <w:rFonts w:ascii="Bookman Old Style" w:hAnsi="Bookman Old Style"/>
          <w:sz w:val="24"/>
          <w:szCs w:val="24"/>
          <w:lang w:val="en-ZA"/>
        </w:rPr>
        <w:tab/>
        <w:t>: 23 June 2021</w:t>
      </w:r>
      <w:r w:rsidRPr="00B82B1C">
        <w:rPr>
          <w:rFonts w:ascii="Bookman Old Style" w:hAnsi="Bookman Old Style"/>
          <w:sz w:val="24"/>
          <w:szCs w:val="24"/>
          <w:lang w:val="en-ZA"/>
        </w:rPr>
        <w:tab/>
      </w:r>
    </w:p>
    <w:p w14:paraId="414C85D1" w14:textId="3404D825" w:rsidR="00F45B7E" w:rsidRPr="00B82B1C" w:rsidRDefault="00F45B7E">
      <w:pPr>
        <w:spacing w:after="0" w:line="360" w:lineRule="auto"/>
        <w:jc w:val="both"/>
        <w:rPr>
          <w:rFonts w:ascii="Bookman Old Style" w:hAnsi="Bookman Old Style"/>
          <w:sz w:val="24"/>
          <w:szCs w:val="24"/>
          <w:lang w:val="en-ZA"/>
        </w:rPr>
      </w:pPr>
      <w:r w:rsidRPr="00B82B1C">
        <w:rPr>
          <w:rFonts w:ascii="Bookman Old Style" w:hAnsi="Bookman Old Style"/>
          <w:sz w:val="24"/>
          <w:szCs w:val="24"/>
          <w:lang w:val="en-ZA"/>
        </w:rPr>
        <w:t>Date of Judgement</w:t>
      </w:r>
      <w:r w:rsidRPr="00B82B1C">
        <w:rPr>
          <w:rFonts w:ascii="Bookman Old Style" w:hAnsi="Bookman Old Style"/>
          <w:sz w:val="24"/>
          <w:szCs w:val="24"/>
          <w:lang w:val="en-ZA"/>
        </w:rPr>
        <w:tab/>
      </w:r>
      <w:r w:rsidR="00B30A27">
        <w:rPr>
          <w:rFonts w:ascii="Bookman Old Style" w:hAnsi="Bookman Old Style"/>
          <w:sz w:val="24"/>
          <w:szCs w:val="24"/>
          <w:lang w:val="en-ZA"/>
        </w:rPr>
        <w:t>: 1</w:t>
      </w:r>
      <w:r w:rsidR="00EB3D4E">
        <w:rPr>
          <w:rFonts w:ascii="Bookman Old Style" w:hAnsi="Bookman Old Style"/>
          <w:sz w:val="24"/>
          <w:szCs w:val="24"/>
          <w:lang w:val="en-ZA"/>
        </w:rPr>
        <w:t>9</w:t>
      </w:r>
      <w:r w:rsidR="00B30A27">
        <w:rPr>
          <w:rFonts w:ascii="Bookman Old Style" w:hAnsi="Bookman Old Style"/>
          <w:sz w:val="24"/>
          <w:szCs w:val="24"/>
          <w:lang w:val="en-ZA"/>
        </w:rPr>
        <w:t xml:space="preserve"> Ju</w:t>
      </w:r>
      <w:r w:rsidR="00C37763">
        <w:rPr>
          <w:rFonts w:ascii="Bookman Old Style" w:hAnsi="Bookman Old Style"/>
          <w:sz w:val="24"/>
          <w:szCs w:val="24"/>
          <w:lang w:val="en-ZA"/>
        </w:rPr>
        <w:t>ly</w:t>
      </w:r>
      <w:r w:rsidR="00B30A27">
        <w:rPr>
          <w:rFonts w:ascii="Bookman Old Style" w:hAnsi="Bookman Old Style"/>
          <w:sz w:val="24"/>
          <w:szCs w:val="24"/>
          <w:lang w:val="en-ZA"/>
        </w:rPr>
        <w:t xml:space="preserve"> 2021</w:t>
      </w:r>
    </w:p>
    <w:bookmarkEnd w:id="1"/>
    <w:p w14:paraId="5D710A72" w14:textId="77777777" w:rsidR="00F45B7E" w:rsidRDefault="00F45B7E" w:rsidP="00282DB7">
      <w:pPr>
        <w:pStyle w:val="NoSpacing"/>
        <w:spacing w:line="360" w:lineRule="auto"/>
        <w:ind w:right="-45"/>
        <w:rPr>
          <w:rFonts w:ascii="Bookman Old Style" w:hAnsi="Bookman Old Style"/>
          <w:b/>
        </w:rPr>
      </w:pPr>
    </w:p>
    <w:p w14:paraId="5FBBBCB7" w14:textId="40439923" w:rsidR="004273CE" w:rsidRDefault="004273CE" w:rsidP="00282DB7">
      <w:pPr>
        <w:pStyle w:val="NoSpacing"/>
        <w:spacing w:line="360" w:lineRule="auto"/>
        <w:ind w:right="-45"/>
        <w:rPr>
          <w:rFonts w:ascii="Bookman Old Style" w:hAnsi="Bookman Old Style"/>
          <w:b/>
        </w:rPr>
      </w:pPr>
    </w:p>
    <w:p w14:paraId="6CE20374" w14:textId="0A9C6645" w:rsidR="00C60EDE" w:rsidRDefault="000F2660" w:rsidP="00282DB7">
      <w:pPr>
        <w:spacing w:after="0" w:line="360" w:lineRule="auto"/>
        <w:rPr>
          <w:rFonts w:ascii="Bookman Old Style" w:hAnsi="Bookman Old Style"/>
          <w:sz w:val="24"/>
          <w:szCs w:val="24"/>
        </w:rPr>
      </w:pPr>
      <w:r w:rsidRPr="000F2660">
        <w:rPr>
          <w:rFonts w:ascii="Bookman Old Style" w:hAnsi="Bookman Old Style"/>
          <w:sz w:val="24"/>
          <w:szCs w:val="24"/>
        </w:rPr>
        <w:t>For the app</w:t>
      </w:r>
      <w:r w:rsidR="00C37763">
        <w:rPr>
          <w:rFonts w:ascii="Bookman Old Style" w:hAnsi="Bookman Old Style"/>
          <w:sz w:val="24"/>
          <w:szCs w:val="24"/>
        </w:rPr>
        <w:t>lica</w:t>
      </w:r>
      <w:r w:rsidR="00276F45">
        <w:rPr>
          <w:rFonts w:ascii="Bookman Old Style" w:hAnsi="Bookman Old Style"/>
          <w:sz w:val="24"/>
          <w:szCs w:val="24"/>
        </w:rPr>
        <w:t>n</w:t>
      </w:r>
      <w:r w:rsidR="00C37763">
        <w:rPr>
          <w:rFonts w:ascii="Bookman Old Style" w:hAnsi="Bookman Old Style"/>
          <w:sz w:val="24"/>
          <w:szCs w:val="24"/>
        </w:rPr>
        <w:t>ts</w:t>
      </w:r>
      <w:r>
        <w:rPr>
          <w:rFonts w:ascii="Bookman Old Style" w:hAnsi="Bookman Old Style"/>
          <w:sz w:val="24"/>
          <w:szCs w:val="24"/>
        </w:rPr>
        <w:tab/>
      </w:r>
      <w:r w:rsidRPr="000F2660">
        <w:rPr>
          <w:rFonts w:ascii="Bookman Old Style" w:hAnsi="Bookman Old Style"/>
          <w:sz w:val="24"/>
          <w:szCs w:val="24"/>
        </w:rPr>
        <w:tab/>
        <w:t xml:space="preserve">: </w:t>
      </w:r>
      <w:r w:rsidR="00FA49D1">
        <w:rPr>
          <w:rFonts w:ascii="Bookman Old Style" w:hAnsi="Bookman Old Style"/>
          <w:sz w:val="24"/>
          <w:szCs w:val="24"/>
        </w:rPr>
        <w:t>A Bester (SC);</w:t>
      </w:r>
    </w:p>
    <w:p w14:paraId="2487376B" w14:textId="025B9EA1" w:rsidR="00FA49D1" w:rsidRPr="000F2660" w:rsidRDefault="00FA49D1" w:rsidP="00282DB7">
      <w:pPr>
        <w:spacing w:after="0" w:line="36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M Mostert</w:t>
      </w:r>
    </w:p>
    <w:p w14:paraId="184CC6B6" w14:textId="3EAE5F31" w:rsidR="004273CE" w:rsidRPr="000F2660" w:rsidRDefault="000F2660" w:rsidP="00282DB7">
      <w:pPr>
        <w:tabs>
          <w:tab w:val="center" w:pos="900"/>
          <w:tab w:val="center" w:pos="1440"/>
        </w:tabs>
        <w:spacing w:after="0" w:line="360" w:lineRule="auto"/>
        <w:jc w:val="both"/>
        <w:rPr>
          <w:rFonts w:ascii="Bookman Old Style" w:hAnsi="Bookman Old Style"/>
          <w:sz w:val="24"/>
          <w:szCs w:val="24"/>
        </w:rPr>
      </w:pPr>
      <w:r w:rsidRPr="000F2660">
        <w:rPr>
          <w:rFonts w:ascii="Bookman Old Style" w:hAnsi="Bookman Old Style"/>
          <w:sz w:val="24"/>
          <w:szCs w:val="24"/>
        </w:rPr>
        <w:t>Instructed by</w:t>
      </w:r>
      <w:r w:rsidRPr="000F2660">
        <w:rPr>
          <w:rFonts w:ascii="Bookman Old Style" w:hAnsi="Bookman Old Style"/>
          <w:sz w:val="24"/>
          <w:szCs w:val="24"/>
        </w:rPr>
        <w:tab/>
      </w:r>
      <w:r w:rsidRPr="000F2660">
        <w:rPr>
          <w:rFonts w:ascii="Bookman Old Style" w:hAnsi="Bookman Old Style"/>
          <w:sz w:val="24"/>
          <w:szCs w:val="24"/>
        </w:rPr>
        <w:tab/>
        <w:t xml:space="preserve">: </w:t>
      </w:r>
      <w:r w:rsidR="00F45B7E">
        <w:rPr>
          <w:rFonts w:ascii="Bookman Old Style" w:hAnsi="Bookman Old Style"/>
          <w:sz w:val="24"/>
          <w:szCs w:val="24"/>
        </w:rPr>
        <w:t>K</w:t>
      </w:r>
      <w:r w:rsidR="00FA49D1">
        <w:rPr>
          <w:rFonts w:ascii="Bookman Old Style" w:hAnsi="Bookman Old Style"/>
          <w:sz w:val="24"/>
          <w:szCs w:val="24"/>
        </w:rPr>
        <w:t>yriacou Incorporated</w:t>
      </w:r>
    </w:p>
    <w:p w14:paraId="084FC603" w14:textId="46F7904A" w:rsidR="000F2660" w:rsidRDefault="000F2660" w:rsidP="00282DB7">
      <w:pPr>
        <w:tabs>
          <w:tab w:val="center" w:pos="900"/>
          <w:tab w:val="center" w:pos="1440"/>
        </w:tabs>
        <w:spacing w:after="0" w:line="360" w:lineRule="auto"/>
        <w:jc w:val="both"/>
        <w:rPr>
          <w:rFonts w:ascii="Bookman Old Style" w:hAnsi="Bookman Old Style"/>
          <w:sz w:val="24"/>
          <w:szCs w:val="24"/>
        </w:rPr>
      </w:pPr>
      <w:r w:rsidRPr="000F2660">
        <w:rPr>
          <w:rFonts w:ascii="Bookman Old Style" w:hAnsi="Bookman Old Style"/>
          <w:sz w:val="24"/>
          <w:szCs w:val="24"/>
        </w:rPr>
        <w:tab/>
      </w:r>
      <w:r w:rsidRPr="000F2660">
        <w:rPr>
          <w:rFonts w:ascii="Bookman Old Style" w:hAnsi="Bookman Old Style"/>
          <w:sz w:val="24"/>
          <w:szCs w:val="24"/>
        </w:rPr>
        <w:tab/>
      </w:r>
      <w:r w:rsidRPr="000F2660">
        <w:rPr>
          <w:rFonts w:ascii="Bookman Old Style" w:hAnsi="Bookman Old Style"/>
          <w:sz w:val="24"/>
          <w:szCs w:val="24"/>
        </w:rPr>
        <w:tab/>
      </w:r>
      <w:r w:rsidRPr="000F2660">
        <w:rPr>
          <w:rFonts w:ascii="Bookman Old Style" w:hAnsi="Bookman Old Style"/>
          <w:sz w:val="24"/>
          <w:szCs w:val="24"/>
        </w:rPr>
        <w:tab/>
      </w:r>
    </w:p>
    <w:p w14:paraId="2A90E51D" w14:textId="77777777" w:rsidR="00F45B7E" w:rsidRPr="000F2660" w:rsidRDefault="00F45B7E" w:rsidP="00282DB7">
      <w:pPr>
        <w:tabs>
          <w:tab w:val="center" w:pos="900"/>
          <w:tab w:val="center" w:pos="1440"/>
        </w:tabs>
        <w:spacing w:after="0" w:line="360" w:lineRule="auto"/>
        <w:jc w:val="both"/>
        <w:rPr>
          <w:rFonts w:ascii="Bookman Old Style" w:hAnsi="Bookman Old Style"/>
          <w:sz w:val="24"/>
          <w:szCs w:val="24"/>
        </w:rPr>
      </w:pPr>
    </w:p>
    <w:p w14:paraId="322E511E" w14:textId="7198CA12" w:rsidR="000F2660" w:rsidRDefault="000F2660" w:rsidP="00282DB7">
      <w:pPr>
        <w:tabs>
          <w:tab w:val="center" w:pos="900"/>
          <w:tab w:val="center" w:pos="1440"/>
        </w:tabs>
        <w:spacing w:after="0" w:line="360" w:lineRule="auto"/>
        <w:jc w:val="both"/>
        <w:rPr>
          <w:rFonts w:ascii="Bookman Old Style" w:hAnsi="Bookman Old Style"/>
          <w:sz w:val="24"/>
          <w:szCs w:val="24"/>
        </w:rPr>
      </w:pPr>
      <w:r w:rsidRPr="000F2660">
        <w:rPr>
          <w:rFonts w:ascii="Bookman Old Style" w:hAnsi="Bookman Old Style"/>
          <w:sz w:val="24"/>
          <w:szCs w:val="24"/>
        </w:rPr>
        <w:t>For the Respondent</w:t>
      </w:r>
      <w:r w:rsidRPr="000F2660">
        <w:rPr>
          <w:rFonts w:ascii="Bookman Old Style" w:hAnsi="Bookman Old Style"/>
          <w:sz w:val="24"/>
          <w:szCs w:val="24"/>
        </w:rPr>
        <w:tab/>
        <w:t xml:space="preserve">: </w:t>
      </w:r>
      <w:r w:rsidR="00F45B7E">
        <w:rPr>
          <w:rFonts w:ascii="Bookman Old Style" w:hAnsi="Bookman Old Style"/>
          <w:sz w:val="24"/>
          <w:szCs w:val="24"/>
        </w:rPr>
        <w:t>KD ILES</w:t>
      </w:r>
      <w:r w:rsidR="00FA49D1">
        <w:rPr>
          <w:rFonts w:ascii="Bookman Old Style" w:hAnsi="Bookman Old Style"/>
          <w:sz w:val="24"/>
          <w:szCs w:val="24"/>
        </w:rPr>
        <w:t xml:space="preserve"> (SC)</w:t>
      </w:r>
    </w:p>
    <w:p w14:paraId="702BD652" w14:textId="0D8CF905" w:rsidR="00F45B7E" w:rsidRPr="000F2660" w:rsidRDefault="00F45B7E" w:rsidP="00282DB7">
      <w:pPr>
        <w:tabs>
          <w:tab w:val="center" w:pos="900"/>
          <w:tab w:val="center" w:pos="1440"/>
        </w:tabs>
        <w:spacing w:after="0"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A Saldulker </w:t>
      </w:r>
    </w:p>
    <w:p w14:paraId="7DC3DDCB" w14:textId="77777777" w:rsidR="00F45B7E" w:rsidRDefault="00F45B7E" w:rsidP="00282DB7">
      <w:pPr>
        <w:tabs>
          <w:tab w:val="center" w:pos="900"/>
          <w:tab w:val="center" w:pos="1440"/>
        </w:tabs>
        <w:spacing w:after="0" w:line="360" w:lineRule="auto"/>
        <w:jc w:val="both"/>
        <w:rPr>
          <w:rFonts w:ascii="Bookman Old Style" w:hAnsi="Bookman Old Style"/>
          <w:sz w:val="24"/>
          <w:szCs w:val="24"/>
        </w:rPr>
      </w:pPr>
      <w:r>
        <w:rPr>
          <w:rFonts w:ascii="Bookman Old Style" w:hAnsi="Bookman Old Style"/>
          <w:sz w:val="24"/>
          <w:szCs w:val="24"/>
        </w:rPr>
        <w:t>Instructed by</w:t>
      </w:r>
      <w:r>
        <w:rPr>
          <w:rFonts w:ascii="Bookman Old Style" w:hAnsi="Bookman Old Style"/>
          <w:sz w:val="24"/>
          <w:szCs w:val="24"/>
        </w:rPr>
        <w:tab/>
      </w:r>
      <w:r>
        <w:rPr>
          <w:rFonts w:ascii="Bookman Old Style" w:hAnsi="Bookman Old Style"/>
          <w:sz w:val="24"/>
          <w:szCs w:val="24"/>
        </w:rPr>
        <w:tab/>
        <w:t>:</w:t>
      </w:r>
      <w:r w:rsidR="000F2660" w:rsidRPr="000F2660">
        <w:rPr>
          <w:rFonts w:ascii="Bookman Old Style" w:hAnsi="Bookman Old Style"/>
          <w:sz w:val="24"/>
          <w:szCs w:val="24"/>
        </w:rPr>
        <w:t xml:space="preserve"> </w:t>
      </w:r>
      <w:r>
        <w:rPr>
          <w:rFonts w:ascii="Bookman Old Style" w:hAnsi="Bookman Old Style"/>
          <w:sz w:val="24"/>
          <w:szCs w:val="24"/>
        </w:rPr>
        <w:t>Bowmans Gilfillan Inc</w:t>
      </w:r>
    </w:p>
    <w:p w14:paraId="2615FAA1" w14:textId="7439FE9E" w:rsidR="00F04834" w:rsidRPr="0076737F" w:rsidRDefault="00F45B7E" w:rsidP="0076737F">
      <w:pPr>
        <w:tabs>
          <w:tab w:val="center" w:pos="900"/>
          <w:tab w:val="center" w:pos="1440"/>
        </w:tabs>
        <w:spacing w:line="240" w:lineRule="auto"/>
        <w:jc w:val="both"/>
        <w:rPr>
          <w:rFonts w:ascii="Bookman Old Style" w:hAnsi="Bookman Old Style"/>
          <w:b/>
          <w:bCs/>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sectPr w:rsidR="00F04834" w:rsidRPr="007673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BF3D3" w14:textId="77777777" w:rsidR="00A30E6A" w:rsidRDefault="00A30E6A" w:rsidP="00F04834">
      <w:pPr>
        <w:spacing w:after="0" w:line="240" w:lineRule="auto"/>
      </w:pPr>
      <w:r>
        <w:separator/>
      </w:r>
    </w:p>
  </w:endnote>
  <w:endnote w:type="continuationSeparator" w:id="0">
    <w:p w14:paraId="3D4C7E35" w14:textId="77777777" w:rsidR="00A30E6A" w:rsidRDefault="00A30E6A" w:rsidP="00F0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090443"/>
      <w:docPartObj>
        <w:docPartGallery w:val="Page Numbers (Bottom of Page)"/>
        <w:docPartUnique/>
      </w:docPartObj>
    </w:sdtPr>
    <w:sdtEndPr>
      <w:rPr>
        <w:noProof/>
      </w:rPr>
    </w:sdtEndPr>
    <w:sdtContent>
      <w:p w14:paraId="307EDC29" w14:textId="2D5C9A69" w:rsidR="00DE6E42" w:rsidRDefault="00DE6E42">
        <w:pPr>
          <w:pStyle w:val="Footer"/>
          <w:jc w:val="right"/>
        </w:pPr>
        <w:r>
          <w:fldChar w:fldCharType="begin"/>
        </w:r>
        <w:r>
          <w:instrText xml:space="preserve"> PAGE   \* MERGEFORMAT </w:instrText>
        </w:r>
        <w:r>
          <w:fldChar w:fldCharType="separate"/>
        </w:r>
        <w:r w:rsidR="00A64A89">
          <w:rPr>
            <w:noProof/>
          </w:rPr>
          <w:t>2</w:t>
        </w:r>
        <w:r>
          <w:rPr>
            <w:noProof/>
          </w:rPr>
          <w:fldChar w:fldCharType="end"/>
        </w:r>
      </w:p>
    </w:sdtContent>
  </w:sdt>
  <w:p w14:paraId="0DD0E51E" w14:textId="77777777" w:rsidR="00DE6E42" w:rsidRDefault="00DE6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2241E" w14:textId="77777777" w:rsidR="00A30E6A" w:rsidRDefault="00A30E6A" w:rsidP="00F04834">
      <w:pPr>
        <w:spacing w:after="0" w:line="240" w:lineRule="auto"/>
      </w:pPr>
      <w:r>
        <w:separator/>
      </w:r>
    </w:p>
  </w:footnote>
  <w:footnote w:type="continuationSeparator" w:id="0">
    <w:p w14:paraId="7314A8CF" w14:textId="77777777" w:rsidR="00A30E6A" w:rsidRDefault="00A30E6A" w:rsidP="00F04834">
      <w:pPr>
        <w:spacing w:after="0" w:line="240" w:lineRule="auto"/>
      </w:pPr>
      <w:r>
        <w:continuationSeparator/>
      </w:r>
    </w:p>
  </w:footnote>
  <w:footnote w:id="1">
    <w:p w14:paraId="77975253" w14:textId="1E1C8B66" w:rsidR="002C5955" w:rsidRPr="002C5955" w:rsidRDefault="002C5955">
      <w:pPr>
        <w:pStyle w:val="FootnoteText"/>
        <w:rPr>
          <w:lang w:val="en-ZA"/>
        </w:rPr>
      </w:pPr>
      <w:r>
        <w:rPr>
          <w:rStyle w:val="FootnoteReference"/>
        </w:rPr>
        <w:footnoteRef/>
      </w:r>
      <w:r>
        <w:t xml:space="preserve"> </w:t>
      </w:r>
      <w:r>
        <w:rPr>
          <w:lang w:val="en-ZA"/>
        </w:rPr>
        <w:t>Caselines 012 – 2.</w:t>
      </w:r>
    </w:p>
  </w:footnote>
  <w:footnote w:id="2">
    <w:p w14:paraId="496D4013" w14:textId="6FF7C6AE" w:rsidR="002C5955" w:rsidRPr="002C5955" w:rsidRDefault="002C5955">
      <w:pPr>
        <w:pStyle w:val="FootnoteText"/>
        <w:rPr>
          <w:lang w:val="en-ZA"/>
        </w:rPr>
      </w:pPr>
      <w:r>
        <w:rPr>
          <w:rStyle w:val="FootnoteReference"/>
        </w:rPr>
        <w:footnoteRef/>
      </w:r>
      <w:r>
        <w:t xml:space="preserve"> </w:t>
      </w:r>
      <w:r>
        <w:rPr>
          <w:lang w:val="en-ZA"/>
        </w:rPr>
        <w:t>Superior Courts Act No. 10 of 2013.</w:t>
      </w:r>
    </w:p>
  </w:footnote>
  <w:footnote w:id="3">
    <w:p w14:paraId="629BD725" w14:textId="5E726076" w:rsidR="00372C19" w:rsidRPr="00372C19" w:rsidRDefault="00372C19">
      <w:pPr>
        <w:pStyle w:val="FootnoteText"/>
        <w:rPr>
          <w:lang w:val="en-ZA"/>
        </w:rPr>
      </w:pPr>
      <w:r>
        <w:rPr>
          <w:rStyle w:val="FootnoteReference"/>
        </w:rPr>
        <w:footnoteRef/>
      </w:r>
      <w:r>
        <w:t xml:space="preserve"> </w:t>
      </w:r>
      <w:r w:rsidR="006C0ACB">
        <w:t>The Mont Chevaux Trust (IT2012/28) v Tina Goosen and 18 others (LCC14R/2014) at para 6</w:t>
      </w:r>
      <w:r w:rsidR="00FC74DC">
        <w:t>.</w:t>
      </w:r>
    </w:p>
  </w:footnote>
  <w:footnote w:id="4">
    <w:p w14:paraId="6778BAE1" w14:textId="7A1CEACA" w:rsidR="00372C19" w:rsidRPr="00372C19" w:rsidRDefault="00372C19">
      <w:pPr>
        <w:pStyle w:val="FootnoteText"/>
        <w:rPr>
          <w:lang w:val="en-ZA"/>
        </w:rPr>
      </w:pPr>
      <w:r>
        <w:rPr>
          <w:rStyle w:val="FootnoteReference"/>
        </w:rPr>
        <w:footnoteRef/>
      </w:r>
      <w:r>
        <w:t xml:space="preserve"> </w:t>
      </w:r>
      <w:r w:rsidR="00A65171">
        <w:t>The Mont Chevaux Trust (supra) at para 6</w:t>
      </w:r>
      <w:r w:rsidR="00605614">
        <w:t>.</w:t>
      </w:r>
    </w:p>
  </w:footnote>
  <w:footnote w:id="5">
    <w:p w14:paraId="2DAB45A9" w14:textId="64EB8075" w:rsidR="007F23A2" w:rsidRPr="00016DC2" w:rsidRDefault="007F23A2" w:rsidP="007F23A2">
      <w:pPr>
        <w:pStyle w:val="FootnoteText"/>
        <w:rPr>
          <w:lang w:val="en-ZA"/>
        </w:rPr>
      </w:pPr>
      <w:r>
        <w:rPr>
          <w:rStyle w:val="FootnoteReference"/>
        </w:rPr>
        <w:footnoteRef/>
      </w:r>
      <w:r>
        <w:t xml:space="preserve"> </w:t>
      </w:r>
      <w:r w:rsidR="006C0ACB">
        <w:t>Smith v S (475/10) [2011] ZA</w:t>
      </w:r>
      <w:r w:rsidR="00C30363">
        <w:t>SCA</w:t>
      </w:r>
      <w:r w:rsidR="006C0ACB">
        <w:t xml:space="preserve"> 15; 2012 (</w:t>
      </w:r>
      <w:r w:rsidR="00C30363">
        <w:t>1) SACR 567 (SCA) (15 March 2011) at para 7</w:t>
      </w:r>
      <w:r w:rsidR="00FC74DC">
        <w:t>.</w:t>
      </w:r>
    </w:p>
  </w:footnote>
  <w:footnote w:id="6">
    <w:p w14:paraId="68CA82E3" w14:textId="0475BD91" w:rsidR="00E81FBA" w:rsidRPr="005871E3" w:rsidRDefault="00E81FBA" w:rsidP="00E81FBA">
      <w:pPr>
        <w:pStyle w:val="FootnoteText"/>
        <w:rPr>
          <w:lang w:val="en-ZA"/>
        </w:rPr>
      </w:pPr>
      <w:r>
        <w:rPr>
          <w:rStyle w:val="FootnoteReference"/>
        </w:rPr>
        <w:footnoteRef/>
      </w:r>
      <w:r>
        <w:t xml:space="preserve"> </w:t>
      </w:r>
      <w:r w:rsidRPr="00EB3D4E">
        <w:t>Caseline</w:t>
      </w:r>
      <w:r w:rsidR="00EB3D4E">
        <w:t>s</w:t>
      </w:r>
      <w:r w:rsidRPr="00EB3D4E">
        <w:t xml:space="preserve"> </w:t>
      </w:r>
      <w:r w:rsidR="00EB3D4E">
        <w:t>012 – 7 at para 11 “conclusion”.</w:t>
      </w:r>
    </w:p>
  </w:footnote>
  <w:footnote w:id="7">
    <w:p w14:paraId="7E570E82" w14:textId="00C0F691" w:rsidR="00F27F39" w:rsidRPr="00F27F39" w:rsidRDefault="00F27F39">
      <w:pPr>
        <w:pStyle w:val="FootnoteText"/>
        <w:rPr>
          <w:lang w:val="en-ZA"/>
        </w:rPr>
      </w:pPr>
      <w:r>
        <w:rPr>
          <w:rStyle w:val="FootnoteReference"/>
        </w:rPr>
        <w:footnoteRef/>
      </w:r>
      <w:r>
        <w:t xml:space="preserve"> </w:t>
      </w:r>
      <w:r w:rsidR="00C30363">
        <w:t>Uniform Rules of Court Rules regarding the conduct of</w:t>
      </w:r>
      <w:r w:rsidR="006D3673">
        <w:t xml:space="preserve"> the</w:t>
      </w:r>
      <w:r w:rsidR="00C30363">
        <w:t xml:space="preserve"> proceedings of </w:t>
      </w:r>
      <w:r w:rsidR="006D3673">
        <w:t xml:space="preserve">the </w:t>
      </w:r>
      <w:r w:rsidR="00C30363">
        <w:t xml:space="preserve">several provincial &amp; local divisions of </w:t>
      </w:r>
      <w:r w:rsidR="006D3673">
        <w:t xml:space="preserve">the </w:t>
      </w:r>
      <w:r w:rsidR="00C30363">
        <w:t>H</w:t>
      </w:r>
      <w:r w:rsidR="00FC74DC">
        <w:t>igh Court</w:t>
      </w:r>
      <w:r w:rsidR="00C30363">
        <w:t xml:space="preserve"> of S</w:t>
      </w:r>
      <w:r w:rsidR="00FC74DC">
        <w:t xml:space="preserve">outh </w:t>
      </w:r>
      <w:r w:rsidR="00C30363">
        <w:t>A</w:t>
      </w:r>
      <w:r w:rsidR="00FC74DC">
        <w:t xml:space="preserve">frica. </w:t>
      </w:r>
    </w:p>
  </w:footnote>
  <w:footnote w:id="8">
    <w:p w14:paraId="4035D610" w14:textId="77777777" w:rsidR="00874218" w:rsidRPr="003A7851" w:rsidRDefault="00874218" w:rsidP="00874218">
      <w:pPr>
        <w:pStyle w:val="FootnoteText"/>
        <w:rPr>
          <w:lang w:val="en-ZA"/>
        </w:rPr>
      </w:pPr>
      <w:r>
        <w:rPr>
          <w:rStyle w:val="FootnoteReference"/>
        </w:rPr>
        <w:footnoteRef/>
      </w:r>
      <w:r>
        <w:t xml:space="preserve">Standard General Insurance Co Ltd v Eversafe (Pty) Ltd </w:t>
      </w:r>
      <w:r>
        <w:rPr>
          <w:lang w:val="en-ZA"/>
        </w:rPr>
        <w:t>2002 (3) SA 87 (w) at 93. See also Sanford v Haley NO 2004 (3) SA 296 (c) at 302.</w:t>
      </w:r>
    </w:p>
  </w:footnote>
  <w:footnote w:id="9">
    <w:p w14:paraId="1D6F60BF" w14:textId="1ABA1BE6" w:rsidR="004149A6" w:rsidRPr="004149A6" w:rsidRDefault="004149A6">
      <w:pPr>
        <w:pStyle w:val="FootnoteText"/>
        <w:rPr>
          <w:lang w:val="en-ZA"/>
        </w:rPr>
      </w:pPr>
      <w:r>
        <w:rPr>
          <w:rStyle w:val="FootnoteReference"/>
        </w:rPr>
        <w:footnoteRef/>
      </w:r>
      <w:r>
        <w:t xml:space="preserve"> </w:t>
      </w:r>
      <w:r>
        <w:rPr>
          <w:lang w:val="en-ZA"/>
        </w:rPr>
        <w:t>Nedcor Investment Bank Ltd v Visser NO 2002 (4) SA 588 (T) at 591. Also see Herbstein &amp; Van Winsen, The Civil Practice of the High Court of South Africa Fifth edition Vol 1 at pp 723.</w:t>
      </w:r>
      <w:r w:rsidR="00C2021B">
        <w:rPr>
          <w:lang w:val="en-ZA"/>
        </w:rPr>
        <w:t xml:space="preserve"> Also see Ingosstrakh v Global Aviation Investments (Pty) Ltd and Others (934/2019) [2021] ZASCA 69 (4 June 2021) at para 21</w:t>
      </w:r>
      <w:r w:rsidR="00C92700">
        <w:rPr>
          <w:lang w:val="en-ZA"/>
        </w:rPr>
        <w:t>, Van Wyk v Unitas Hospital (CCT12/07)</w:t>
      </w:r>
      <w:r w:rsidR="002E2542">
        <w:rPr>
          <w:lang w:val="en-ZA"/>
        </w:rPr>
        <w:t xml:space="preserve"> </w:t>
      </w:r>
      <w:r w:rsidR="00C92700">
        <w:rPr>
          <w:lang w:val="en-ZA"/>
        </w:rPr>
        <w:t>[2007] ZACC 24, 2008 (2) SA 472 (cc) at para 22.</w:t>
      </w:r>
    </w:p>
  </w:footnote>
  <w:footnote w:id="10">
    <w:p w14:paraId="028A826A" w14:textId="52DD8C55" w:rsidR="00A47B67" w:rsidRPr="00A47B67" w:rsidRDefault="00A47B67">
      <w:pPr>
        <w:pStyle w:val="FootnoteText"/>
        <w:rPr>
          <w:lang w:val="en-ZA"/>
        </w:rPr>
      </w:pPr>
      <w:r>
        <w:rPr>
          <w:rStyle w:val="FootnoteReference"/>
        </w:rPr>
        <w:footnoteRef/>
      </w:r>
      <w:r>
        <w:t xml:space="preserve"> </w:t>
      </w:r>
      <w:r w:rsidR="00AE0282">
        <w:t>Ingosstrakh v Global Avaiation Investments (Pty) Ltd and Others (934/2019)[2021] ZASCA 69 (4 June 2021) at para 21.</w:t>
      </w:r>
    </w:p>
  </w:footnote>
  <w:footnote w:id="11">
    <w:p w14:paraId="17257D93" w14:textId="6DF6BCD6" w:rsidR="0002464D" w:rsidRPr="0002464D" w:rsidRDefault="0002464D">
      <w:pPr>
        <w:pStyle w:val="FootnoteText"/>
        <w:rPr>
          <w:lang w:val="en-ZA"/>
        </w:rPr>
      </w:pPr>
      <w:r>
        <w:rPr>
          <w:rStyle w:val="FootnoteReference"/>
        </w:rPr>
        <w:footnoteRef/>
      </w:r>
      <w:r>
        <w:t xml:space="preserve"> </w:t>
      </w:r>
      <w:r w:rsidR="006A57D7">
        <w:t>Van Wyk v Unitas Hospital and Another (Open Democratic Advice Centre as Amicus Curiae) [2007] ZACC 24, 2008 (2) SA 472 at [33]; see also Standard Bank of South Africa Ltd v Erasmus (56672/2013) [2016] ZAGPPHC 126 (23 March 2016) at para 14.</w:t>
      </w:r>
    </w:p>
  </w:footnote>
  <w:footnote w:id="12">
    <w:p w14:paraId="0556A166" w14:textId="3A7BBBBE" w:rsidR="00285192" w:rsidRPr="00285192" w:rsidRDefault="00285192">
      <w:pPr>
        <w:pStyle w:val="FootnoteText"/>
        <w:rPr>
          <w:lang w:val="en-ZA"/>
        </w:rPr>
      </w:pPr>
      <w:r>
        <w:rPr>
          <w:rStyle w:val="FootnoteReference"/>
        </w:rPr>
        <w:footnoteRef/>
      </w:r>
      <w:r>
        <w:t xml:space="preserve"> </w:t>
      </w:r>
      <w:r>
        <w:rPr>
          <w:lang w:val="en-ZA"/>
        </w:rPr>
        <w:t>Caselines 001 – 6</w:t>
      </w:r>
      <w:r w:rsidR="006F128C">
        <w:rPr>
          <w:lang w:val="en-ZA"/>
        </w:rPr>
        <w:t>3</w:t>
      </w:r>
      <w:r>
        <w:rPr>
          <w:lang w:val="en-ZA"/>
        </w:rPr>
        <w:t xml:space="preserve"> at para 5.</w:t>
      </w:r>
    </w:p>
  </w:footnote>
  <w:footnote w:id="13">
    <w:p w14:paraId="22DC028F" w14:textId="365D809C" w:rsidR="00285192" w:rsidRPr="00285192" w:rsidRDefault="00285192">
      <w:pPr>
        <w:pStyle w:val="FootnoteText"/>
        <w:rPr>
          <w:lang w:val="en-ZA"/>
        </w:rPr>
      </w:pPr>
      <w:r>
        <w:rPr>
          <w:rStyle w:val="FootnoteReference"/>
        </w:rPr>
        <w:footnoteRef/>
      </w:r>
      <w:r>
        <w:t xml:space="preserve"> </w:t>
      </w:r>
      <w:r>
        <w:rPr>
          <w:lang w:val="en-ZA"/>
        </w:rPr>
        <w:t>Caselines 001 – 8</w:t>
      </w:r>
      <w:r w:rsidR="006F128C">
        <w:rPr>
          <w:lang w:val="en-ZA"/>
        </w:rPr>
        <w:t>4</w:t>
      </w:r>
      <w:r>
        <w:rPr>
          <w:lang w:val="en-ZA"/>
        </w:rPr>
        <w:t>.</w:t>
      </w:r>
    </w:p>
  </w:footnote>
  <w:footnote w:id="14">
    <w:p w14:paraId="5D0280FB" w14:textId="47B46D21" w:rsidR="00090156" w:rsidRPr="00090156" w:rsidRDefault="00090156">
      <w:pPr>
        <w:pStyle w:val="FootnoteText"/>
        <w:rPr>
          <w:lang w:val="en-ZA"/>
        </w:rPr>
      </w:pPr>
      <w:r>
        <w:rPr>
          <w:rStyle w:val="FootnoteReference"/>
        </w:rPr>
        <w:footnoteRef/>
      </w:r>
      <w:r>
        <w:t xml:space="preserve"> </w:t>
      </w:r>
      <w:r>
        <w:rPr>
          <w:lang w:val="en-ZA"/>
        </w:rPr>
        <w:t xml:space="preserve">Caselines 001 – 145. </w:t>
      </w:r>
    </w:p>
  </w:footnote>
  <w:footnote w:id="15">
    <w:p w14:paraId="3B7C4D89" w14:textId="0BBC28C6" w:rsidR="006331D8" w:rsidRPr="006331D8" w:rsidRDefault="006331D8">
      <w:pPr>
        <w:pStyle w:val="FootnoteText"/>
        <w:rPr>
          <w:lang w:val="en-ZA"/>
        </w:rPr>
      </w:pPr>
      <w:r>
        <w:rPr>
          <w:rStyle w:val="FootnoteReference"/>
        </w:rPr>
        <w:footnoteRef/>
      </w:r>
      <w:r>
        <w:t xml:space="preserve"> </w:t>
      </w:r>
      <w:r>
        <w:rPr>
          <w:lang w:val="en-ZA"/>
        </w:rPr>
        <w:t xml:space="preserve">Caselines 024- 10 at para 25. </w:t>
      </w:r>
    </w:p>
  </w:footnote>
  <w:footnote w:id="16">
    <w:p w14:paraId="6AE13FEE" w14:textId="62362216" w:rsidR="002325D8" w:rsidRPr="002325D8" w:rsidRDefault="002325D8">
      <w:pPr>
        <w:pStyle w:val="FootnoteText"/>
        <w:rPr>
          <w:lang w:val="en-ZA"/>
        </w:rPr>
      </w:pPr>
      <w:r>
        <w:rPr>
          <w:rStyle w:val="FootnoteReference"/>
        </w:rPr>
        <w:footnoteRef/>
      </w:r>
      <w:r>
        <w:t xml:space="preserve"> </w:t>
      </w:r>
      <w:r>
        <w:rPr>
          <w:lang w:val="en-ZA"/>
        </w:rPr>
        <w:t>South African Railways and Habours 1920 AD 583 at 594</w:t>
      </w:r>
      <w:r w:rsidR="006814B7">
        <w:rPr>
          <w:lang w:val="en-ZA"/>
        </w:rPr>
        <w:t>;</w:t>
      </w:r>
      <w:r>
        <w:rPr>
          <w:lang w:val="en-ZA"/>
        </w:rPr>
        <w:t xml:space="preserve"> Standard Bank v Estate Van Rhy</w:t>
      </w:r>
      <w:r w:rsidR="006814B7">
        <w:rPr>
          <w:lang w:val="en-ZA"/>
        </w:rPr>
        <w:t>n 1925 AD 266 at 268; Gentiruco AG v Firestone SA (Pty) Ltd 1972 (1) SA 589 (A) at 600 A – D; Natal Rugby Union v Gould [1998] ZSCA 62, 1999 (1) SA 432 (SCA) at 443 F – D; Samancor Groups Pension Fund v Samancor Chrome and Others 2010 (4) SA 540 (SCA) at 546 para 25 and Qoboshiyane NO and Others v Arusa Publishing Eastern Cape (Pty) Ltd and Others 2013 (3) SA 315 (SCA) at 318.</w:t>
      </w:r>
    </w:p>
  </w:footnote>
  <w:footnote w:id="17">
    <w:p w14:paraId="338C37DC" w14:textId="1904A95D" w:rsidR="003F2154" w:rsidRPr="003F2154" w:rsidRDefault="003F2154">
      <w:pPr>
        <w:pStyle w:val="FootnoteText"/>
        <w:rPr>
          <w:lang w:val="en-ZA"/>
        </w:rPr>
      </w:pPr>
      <w:r>
        <w:rPr>
          <w:rStyle w:val="FootnoteReference"/>
        </w:rPr>
        <w:footnoteRef/>
      </w:r>
      <w:r>
        <w:t xml:space="preserve"> </w:t>
      </w:r>
      <w:r>
        <w:rPr>
          <w:lang w:val="en-ZA"/>
        </w:rPr>
        <w:t xml:space="preserve">Road Accident Fund v Hansa 2001 (4) SA 1204 (SCA).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996"/>
    <w:multiLevelType w:val="hybridMultilevel"/>
    <w:tmpl w:val="299CB436"/>
    <w:lvl w:ilvl="0" w:tplc="4A8683A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7FC6C25"/>
    <w:multiLevelType w:val="hybridMultilevel"/>
    <w:tmpl w:val="DEF4D63E"/>
    <w:lvl w:ilvl="0" w:tplc="CD6885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9271723"/>
    <w:multiLevelType w:val="hybridMultilevel"/>
    <w:tmpl w:val="AAD073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8D5559"/>
    <w:multiLevelType w:val="hybridMultilevel"/>
    <w:tmpl w:val="377C1E78"/>
    <w:lvl w:ilvl="0" w:tplc="A5B219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4981F40"/>
    <w:multiLevelType w:val="hybridMultilevel"/>
    <w:tmpl w:val="D6D67E44"/>
    <w:lvl w:ilvl="0" w:tplc="B402255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4F57A88"/>
    <w:multiLevelType w:val="hybridMultilevel"/>
    <w:tmpl w:val="C4E2C4C4"/>
    <w:lvl w:ilvl="0" w:tplc="4B766B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53A6A81"/>
    <w:multiLevelType w:val="hybridMultilevel"/>
    <w:tmpl w:val="25801B2C"/>
    <w:lvl w:ilvl="0" w:tplc="2268522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4681EEE"/>
    <w:multiLevelType w:val="hybridMultilevel"/>
    <w:tmpl w:val="1608AF94"/>
    <w:lvl w:ilvl="0" w:tplc="720EE2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95345BE"/>
    <w:multiLevelType w:val="hybridMultilevel"/>
    <w:tmpl w:val="75F804E2"/>
    <w:lvl w:ilvl="0" w:tplc="F97E02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14927A7"/>
    <w:multiLevelType w:val="hybridMultilevel"/>
    <w:tmpl w:val="571A1AAE"/>
    <w:lvl w:ilvl="0" w:tplc="7A7693D2">
      <w:start w:val="1"/>
      <w:numFmt w:val="lowerRoman"/>
      <w:lvlText w:val="(%1)"/>
      <w:lvlJc w:val="left"/>
      <w:pPr>
        <w:ind w:left="1440" w:hanging="72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3D55FCD"/>
    <w:multiLevelType w:val="hybridMultilevel"/>
    <w:tmpl w:val="12FCBD84"/>
    <w:lvl w:ilvl="0" w:tplc="4D4AA7F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4A166C7"/>
    <w:multiLevelType w:val="hybridMultilevel"/>
    <w:tmpl w:val="088E9AFC"/>
    <w:lvl w:ilvl="0" w:tplc="1A56CB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509131F"/>
    <w:multiLevelType w:val="hybridMultilevel"/>
    <w:tmpl w:val="D320F562"/>
    <w:lvl w:ilvl="0" w:tplc="7662184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EFF37C5"/>
    <w:multiLevelType w:val="hybridMultilevel"/>
    <w:tmpl w:val="8E0E1FE4"/>
    <w:lvl w:ilvl="0" w:tplc="77D0E0E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0892365"/>
    <w:multiLevelType w:val="hybridMultilevel"/>
    <w:tmpl w:val="B72C8F4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07EF9"/>
    <w:multiLevelType w:val="hybridMultilevel"/>
    <w:tmpl w:val="CDE6A7C8"/>
    <w:lvl w:ilvl="0" w:tplc="676CF88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1"/>
  </w:num>
  <w:num w:numId="3">
    <w:abstractNumId w:val="14"/>
  </w:num>
  <w:num w:numId="4">
    <w:abstractNumId w:val="5"/>
  </w:num>
  <w:num w:numId="5">
    <w:abstractNumId w:val="10"/>
  </w:num>
  <w:num w:numId="6">
    <w:abstractNumId w:val="15"/>
  </w:num>
  <w:num w:numId="7">
    <w:abstractNumId w:val="12"/>
  </w:num>
  <w:num w:numId="8">
    <w:abstractNumId w:val="4"/>
  </w:num>
  <w:num w:numId="9">
    <w:abstractNumId w:val="7"/>
  </w:num>
  <w:num w:numId="10">
    <w:abstractNumId w:val="9"/>
  </w:num>
  <w:num w:numId="11">
    <w:abstractNumId w:val="13"/>
  </w:num>
  <w:num w:numId="12">
    <w:abstractNumId w:val="6"/>
  </w:num>
  <w:num w:numId="13">
    <w:abstractNumId w:val="8"/>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4"/>
    <w:rsid w:val="00004334"/>
    <w:rsid w:val="00005146"/>
    <w:rsid w:val="00005ABC"/>
    <w:rsid w:val="00012DAD"/>
    <w:rsid w:val="00016DC2"/>
    <w:rsid w:val="00021175"/>
    <w:rsid w:val="0002464D"/>
    <w:rsid w:val="00037418"/>
    <w:rsid w:val="000632EA"/>
    <w:rsid w:val="00070E16"/>
    <w:rsid w:val="00071B2D"/>
    <w:rsid w:val="0007513B"/>
    <w:rsid w:val="00087CAA"/>
    <w:rsid w:val="00090156"/>
    <w:rsid w:val="00095FB2"/>
    <w:rsid w:val="000E4E9A"/>
    <w:rsid w:val="000E7C44"/>
    <w:rsid w:val="000F15D0"/>
    <w:rsid w:val="000F2660"/>
    <w:rsid w:val="000F6356"/>
    <w:rsid w:val="00102A80"/>
    <w:rsid w:val="00103283"/>
    <w:rsid w:val="00115C8F"/>
    <w:rsid w:val="001256EE"/>
    <w:rsid w:val="00134FD2"/>
    <w:rsid w:val="00141280"/>
    <w:rsid w:val="00144294"/>
    <w:rsid w:val="00146CC8"/>
    <w:rsid w:val="0015130B"/>
    <w:rsid w:val="0015330C"/>
    <w:rsid w:val="0015431E"/>
    <w:rsid w:val="00156819"/>
    <w:rsid w:val="0016227F"/>
    <w:rsid w:val="00165C28"/>
    <w:rsid w:val="00174003"/>
    <w:rsid w:val="00176EFA"/>
    <w:rsid w:val="00182395"/>
    <w:rsid w:val="00187D53"/>
    <w:rsid w:val="001A2700"/>
    <w:rsid w:val="001A7122"/>
    <w:rsid w:val="001A77FE"/>
    <w:rsid w:val="001E6BD3"/>
    <w:rsid w:val="001F1519"/>
    <w:rsid w:val="001F32A6"/>
    <w:rsid w:val="00205C11"/>
    <w:rsid w:val="00220800"/>
    <w:rsid w:val="002272B0"/>
    <w:rsid w:val="002325D8"/>
    <w:rsid w:val="00236022"/>
    <w:rsid w:val="00236F40"/>
    <w:rsid w:val="0023781C"/>
    <w:rsid w:val="00251C30"/>
    <w:rsid w:val="0025336F"/>
    <w:rsid w:val="00255AE9"/>
    <w:rsid w:val="002739F8"/>
    <w:rsid w:val="00276F45"/>
    <w:rsid w:val="00282DB7"/>
    <w:rsid w:val="00285192"/>
    <w:rsid w:val="00291C29"/>
    <w:rsid w:val="00297627"/>
    <w:rsid w:val="002A5F6B"/>
    <w:rsid w:val="002C5955"/>
    <w:rsid w:val="002D3609"/>
    <w:rsid w:val="002E2542"/>
    <w:rsid w:val="002F1193"/>
    <w:rsid w:val="003113E5"/>
    <w:rsid w:val="00315826"/>
    <w:rsid w:val="00324EF0"/>
    <w:rsid w:val="00331016"/>
    <w:rsid w:val="00332BC6"/>
    <w:rsid w:val="00334D6B"/>
    <w:rsid w:val="003528C1"/>
    <w:rsid w:val="0035494F"/>
    <w:rsid w:val="003617F9"/>
    <w:rsid w:val="0037257C"/>
    <w:rsid w:val="00372C19"/>
    <w:rsid w:val="00380C98"/>
    <w:rsid w:val="00386AE9"/>
    <w:rsid w:val="0038735F"/>
    <w:rsid w:val="003A6525"/>
    <w:rsid w:val="003A7851"/>
    <w:rsid w:val="003B1826"/>
    <w:rsid w:val="003C1DCC"/>
    <w:rsid w:val="003C439E"/>
    <w:rsid w:val="003D010C"/>
    <w:rsid w:val="003D08DF"/>
    <w:rsid w:val="003F00AA"/>
    <w:rsid w:val="003F18F5"/>
    <w:rsid w:val="003F2154"/>
    <w:rsid w:val="004012B6"/>
    <w:rsid w:val="00402624"/>
    <w:rsid w:val="00403134"/>
    <w:rsid w:val="004053EE"/>
    <w:rsid w:val="004149A6"/>
    <w:rsid w:val="00415AD7"/>
    <w:rsid w:val="0041667B"/>
    <w:rsid w:val="004273CE"/>
    <w:rsid w:val="00431AC3"/>
    <w:rsid w:val="00437D8A"/>
    <w:rsid w:val="00441FAB"/>
    <w:rsid w:val="00444D63"/>
    <w:rsid w:val="004502D0"/>
    <w:rsid w:val="004667BF"/>
    <w:rsid w:val="00473AF9"/>
    <w:rsid w:val="00484AC2"/>
    <w:rsid w:val="004C705D"/>
    <w:rsid w:val="004D343E"/>
    <w:rsid w:val="004D4DF8"/>
    <w:rsid w:val="004E14B1"/>
    <w:rsid w:val="004E27D2"/>
    <w:rsid w:val="004F42B2"/>
    <w:rsid w:val="00507146"/>
    <w:rsid w:val="00512F36"/>
    <w:rsid w:val="00514609"/>
    <w:rsid w:val="005212E9"/>
    <w:rsid w:val="00524387"/>
    <w:rsid w:val="00527253"/>
    <w:rsid w:val="00533785"/>
    <w:rsid w:val="005353EA"/>
    <w:rsid w:val="00536260"/>
    <w:rsid w:val="0054145A"/>
    <w:rsid w:val="00541C60"/>
    <w:rsid w:val="00546011"/>
    <w:rsid w:val="00551BA2"/>
    <w:rsid w:val="005871E3"/>
    <w:rsid w:val="005C36D6"/>
    <w:rsid w:val="005C3C78"/>
    <w:rsid w:val="005E044E"/>
    <w:rsid w:val="005E2FF7"/>
    <w:rsid w:val="005E4D7A"/>
    <w:rsid w:val="005E6B82"/>
    <w:rsid w:val="005E78B1"/>
    <w:rsid w:val="005F6F6D"/>
    <w:rsid w:val="00605614"/>
    <w:rsid w:val="00617140"/>
    <w:rsid w:val="006300A8"/>
    <w:rsid w:val="00632F65"/>
    <w:rsid w:val="006331D8"/>
    <w:rsid w:val="00641E29"/>
    <w:rsid w:val="0065194D"/>
    <w:rsid w:val="00655846"/>
    <w:rsid w:val="0066035B"/>
    <w:rsid w:val="00662D64"/>
    <w:rsid w:val="006809ED"/>
    <w:rsid w:val="006814B7"/>
    <w:rsid w:val="00690A71"/>
    <w:rsid w:val="006A57D7"/>
    <w:rsid w:val="006B1966"/>
    <w:rsid w:val="006B5434"/>
    <w:rsid w:val="006C0ACB"/>
    <w:rsid w:val="006C6ADD"/>
    <w:rsid w:val="006D0DB4"/>
    <w:rsid w:val="006D2661"/>
    <w:rsid w:val="006D3673"/>
    <w:rsid w:val="006D7F50"/>
    <w:rsid w:val="006E2762"/>
    <w:rsid w:val="006F128C"/>
    <w:rsid w:val="006F2472"/>
    <w:rsid w:val="00700DFA"/>
    <w:rsid w:val="00714769"/>
    <w:rsid w:val="0072516B"/>
    <w:rsid w:val="00731EC7"/>
    <w:rsid w:val="00742604"/>
    <w:rsid w:val="00742DE7"/>
    <w:rsid w:val="0076737F"/>
    <w:rsid w:val="007704DA"/>
    <w:rsid w:val="0077727C"/>
    <w:rsid w:val="00785165"/>
    <w:rsid w:val="007900CC"/>
    <w:rsid w:val="00796514"/>
    <w:rsid w:val="007A1F9D"/>
    <w:rsid w:val="007A3282"/>
    <w:rsid w:val="007A72DE"/>
    <w:rsid w:val="007B0A5C"/>
    <w:rsid w:val="007B7074"/>
    <w:rsid w:val="007C15ED"/>
    <w:rsid w:val="007C2918"/>
    <w:rsid w:val="007F23A2"/>
    <w:rsid w:val="008066B8"/>
    <w:rsid w:val="008152A8"/>
    <w:rsid w:val="00816927"/>
    <w:rsid w:val="00823BA8"/>
    <w:rsid w:val="00826327"/>
    <w:rsid w:val="00826C65"/>
    <w:rsid w:val="00832BF5"/>
    <w:rsid w:val="008369AF"/>
    <w:rsid w:val="00843377"/>
    <w:rsid w:val="008445C5"/>
    <w:rsid w:val="008532AB"/>
    <w:rsid w:val="008603BC"/>
    <w:rsid w:val="0086460B"/>
    <w:rsid w:val="00870BE4"/>
    <w:rsid w:val="00874218"/>
    <w:rsid w:val="00876A78"/>
    <w:rsid w:val="00897555"/>
    <w:rsid w:val="008A7A07"/>
    <w:rsid w:val="008B012F"/>
    <w:rsid w:val="008B1ABE"/>
    <w:rsid w:val="008E4EF3"/>
    <w:rsid w:val="008F1C5E"/>
    <w:rsid w:val="008F5974"/>
    <w:rsid w:val="00901A6C"/>
    <w:rsid w:val="00910A19"/>
    <w:rsid w:val="00922596"/>
    <w:rsid w:val="00926AE9"/>
    <w:rsid w:val="00932B23"/>
    <w:rsid w:val="0097395F"/>
    <w:rsid w:val="0098123B"/>
    <w:rsid w:val="00981785"/>
    <w:rsid w:val="009927F7"/>
    <w:rsid w:val="009940B0"/>
    <w:rsid w:val="00996906"/>
    <w:rsid w:val="009B7CB4"/>
    <w:rsid w:val="009C2566"/>
    <w:rsid w:val="009E1DD7"/>
    <w:rsid w:val="009E3496"/>
    <w:rsid w:val="009F3665"/>
    <w:rsid w:val="00A0092C"/>
    <w:rsid w:val="00A00AE5"/>
    <w:rsid w:val="00A0596A"/>
    <w:rsid w:val="00A05EFB"/>
    <w:rsid w:val="00A171DF"/>
    <w:rsid w:val="00A30E6A"/>
    <w:rsid w:val="00A47B67"/>
    <w:rsid w:val="00A47CDF"/>
    <w:rsid w:val="00A519C4"/>
    <w:rsid w:val="00A53267"/>
    <w:rsid w:val="00A53FE8"/>
    <w:rsid w:val="00A648F7"/>
    <w:rsid w:val="00A64A89"/>
    <w:rsid w:val="00A65171"/>
    <w:rsid w:val="00A77131"/>
    <w:rsid w:val="00A77D7E"/>
    <w:rsid w:val="00A83783"/>
    <w:rsid w:val="00A90289"/>
    <w:rsid w:val="00A9524C"/>
    <w:rsid w:val="00AA120D"/>
    <w:rsid w:val="00AA2E54"/>
    <w:rsid w:val="00AA31C6"/>
    <w:rsid w:val="00AA7148"/>
    <w:rsid w:val="00AB20B5"/>
    <w:rsid w:val="00AC18F1"/>
    <w:rsid w:val="00AC5388"/>
    <w:rsid w:val="00AC7D6C"/>
    <w:rsid w:val="00AD3408"/>
    <w:rsid w:val="00AD3869"/>
    <w:rsid w:val="00AD4301"/>
    <w:rsid w:val="00AE0282"/>
    <w:rsid w:val="00AE47C0"/>
    <w:rsid w:val="00AE7620"/>
    <w:rsid w:val="00B1785A"/>
    <w:rsid w:val="00B23926"/>
    <w:rsid w:val="00B30A27"/>
    <w:rsid w:val="00B314F8"/>
    <w:rsid w:val="00B31FF8"/>
    <w:rsid w:val="00B35BA2"/>
    <w:rsid w:val="00B52F48"/>
    <w:rsid w:val="00B6029F"/>
    <w:rsid w:val="00B75BBA"/>
    <w:rsid w:val="00B8608E"/>
    <w:rsid w:val="00B86557"/>
    <w:rsid w:val="00B92C8A"/>
    <w:rsid w:val="00BA0002"/>
    <w:rsid w:val="00BA65BB"/>
    <w:rsid w:val="00BC0746"/>
    <w:rsid w:val="00BC440B"/>
    <w:rsid w:val="00BE150C"/>
    <w:rsid w:val="00BE255A"/>
    <w:rsid w:val="00BE716F"/>
    <w:rsid w:val="00BF348C"/>
    <w:rsid w:val="00BF3B6B"/>
    <w:rsid w:val="00BF5D2B"/>
    <w:rsid w:val="00C01389"/>
    <w:rsid w:val="00C174BB"/>
    <w:rsid w:val="00C2021B"/>
    <w:rsid w:val="00C30363"/>
    <w:rsid w:val="00C367CF"/>
    <w:rsid w:val="00C37763"/>
    <w:rsid w:val="00C518C2"/>
    <w:rsid w:val="00C522AA"/>
    <w:rsid w:val="00C57C08"/>
    <w:rsid w:val="00C60EDE"/>
    <w:rsid w:val="00C64FD3"/>
    <w:rsid w:val="00C670B4"/>
    <w:rsid w:val="00C86142"/>
    <w:rsid w:val="00C91BC9"/>
    <w:rsid w:val="00C92700"/>
    <w:rsid w:val="00CA6044"/>
    <w:rsid w:val="00CB3257"/>
    <w:rsid w:val="00CD0AAD"/>
    <w:rsid w:val="00CD17B7"/>
    <w:rsid w:val="00CD4C41"/>
    <w:rsid w:val="00CE03F5"/>
    <w:rsid w:val="00CE46F7"/>
    <w:rsid w:val="00CF02CA"/>
    <w:rsid w:val="00CF5171"/>
    <w:rsid w:val="00D04829"/>
    <w:rsid w:val="00D05AD6"/>
    <w:rsid w:val="00D11A84"/>
    <w:rsid w:val="00D15BDF"/>
    <w:rsid w:val="00D313B3"/>
    <w:rsid w:val="00D33C54"/>
    <w:rsid w:val="00D40998"/>
    <w:rsid w:val="00D41670"/>
    <w:rsid w:val="00D44E07"/>
    <w:rsid w:val="00D605EE"/>
    <w:rsid w:val="00D83F88"/>
    <w:rsid w:val="00DA7C20"/>
    <w:rsid w:val="00DB37D2"/>
    <w:rsid w:val="00DC5079"/>
    <w:rsid w:val="00DC5AC1"/>
    <w:rsid w:val="00DD4D1F"/>
    <w:rsid w:val="00DE6E42"/>
    <w:rsid w:val="00DF102D"/>
    <w:rsid w:val="00DF3558"/>
    <w:rsid w:val="00DF5DCB"/>
    <w:rsid w:val="00DF751D"/>
    <w:rsid w:val="00E005CC"/>
    <w:rsid w:val="00E021BD"/>
    <w:rsid w:val="00E02DFB"/>
    <w:rsid w:val="00E04755"/>
    <w:rsid w:val="00E13375"/>
    <w:rsid w:val="00E4014A"/>
    <w:rsid w:val="00E5441A"/>
    <w:rsid w:val="00E548ED"/>
    <w:rsid w:val="00E81FBA"/>
    <w:rsid w:val="00E82961"/>
    <w:rsid w:val="00E8385E"/>
    <w:rsid w:val="00E9095D"/>
    <w:rsid w:val="00E93393"/>
    <w:rsid w:val="00E96522"/>
    <w:rsid w:val="00EA08F2"/>
    <w:rsid w:val="00EA4C7C"/>
    <w:rsid w:val="00EB3D4E"/>
    <w:rsid w:val="00EC07B0"/>
    <w:rsid w:val="00ED7B51"/>
    <w:rsid w:val="00EE0432"/>
    <w:rsid w:val="00F04834"/>
    <w:rsid w:val="00F056D5"/>
    <w:rsid w:val="00F06D89"/>
    <w:rsid w:val="00F16818"/>
    <w:rsid w:val="00F2477C"/>
    <w:rsid w:val="00F27F39"/>
    <w:rsid w:val="00F33DD9"/>
    <w:rsid w:val="00F45B7E"/>
    <w:rsid w:val="00F64734"/>
    <w:rsid w:val="00F65164"/>
    <w:rsid w:val="00F655DE"/>
    <w:rsid w:val="00F70907"/>
    <w:rsid w:val="00F7528D"/>
    <w:rsid w:val="00F815A3"/>
    <w:rsid w:val="00FA2AB6"/>
    <w:rsid w:val="00FA49D1"/>
    <w:rsid w:val="00FC615C"/>
    <w:rsid w:val="00FC74DC"/>
    <w:rsid w:val="00FD2CDA"/>
    <w:rsid w:val="00FF51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788B"/>
  <w15:chartTrackingRefBased/>
  <w15:docId w15:val="{AB7D0043-C45A-4080-81B9-4415ABCF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3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834"/>
    <w:rPr>
      <w:rFonts w:ascii="Calibri" w:eastAsia="Calibri" w:hAnsi="Calibri" w:cs="Times New Roman"/>
      <w:lang w:val="en-US"/>
    </w:rPr>
  </w:style>
  <w:style w:type="paragraph" w:styleId="Footer">
    <w:name w:val="footer"/>
    <w:basedOn w:val="Normal"/>
    <w:link w:val="FooterChar"/>
    <w:uiPriority w:val="99"/>
    <w:unhideWhenUsed/>
    <w:rsid w:val="00F04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834"/>
    <w:rPr>
      <w:rFonts w:ascii="Calibri" w:eastAsia="Calibri" w:hAnsi="Calibri" w:cs="Times New Roman"/>
      <w:lang w:val="en-US"/>
    </w:rPr>
  </w:style>
  <w:style w:type="paragraph" w:styleId="FootnoteText">
    <w:name w:val="footnote text"/>
    <w:basedOn w:val="Normal"/>
    <w:link w:val="FootnoteTextChar"/>
    <w:uiPriority w:val="99"/>
    <w:semiHidden/>
    <w:unhideWhenUsed/>
    <w:rsid w:val="00B75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BB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75BBA"/>
    <w:rPr>
      <w:vertAlign w:val="superscript"/>
    </w:rPr>
  </w:style>
  <w:style w:type="paragraph" w:styleId="ListParagraph">
    <w:name w:val="List Paragraph"/>
    <w:basedOn w:val="Normal"/>
    <w:uiPriority w:val="34"/>
    <w:qFormat/>
    <w:rsid w:val="00632F65"/>
    <w:pPr>
      <w:ind w:left="720"/>
      <w:contextualSpacing/>
    </w:pPr>
  </w:style>
  <w:style w:type="paragraph" w:styleId="BalloonText">
    <w:name w:val="Balloon Text"/>
    <w:basedOn w:val="Normal"/>
    <w:link w:val="BalloonTextChar"/>
    <w:uiPriority w:val="99"/>
    <w:semiHidden/>
    <w:unhideWhenUsed/>
    <w:rsid w:val="0063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F65"/>
    <w:rPr>
      <w:rFonts w:ascii="Segoe UI" w:eastAsia="Calibri" w:hAnsi="Segoe UI" w:cs="Segoe UI"/>
      <w:sz w:val="18"/>
      <w:szCs w:val="18"/>
      <w:lang w:val="en-US"/>
    </w:rPr>
  </w:style>
  <w:style w:type="paragraph" w:styleId="NoSpacing">
    <w:name w:val="No Spacing"/>
    <w:uiPriority w:val="1"/>
    <w:qFormat/>
    <w:rsid w:val="00F1681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1740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00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174003"/>
    <w:rPr>
      <w:vertAlign w:val="superscript"/>
    </w:rPr>
  </w:style>
  <w:style w:type="character" w:styleId="Hyperlink">
    <w:name w:val="Hyperlink"/>
    <w:basedOn w:val="DefaultParagraphFont"/>
    <w:uiPriority w:val="99"/>
    <w:unhideWhenUsed/>
    <w:rsid w:val="00331016"/>
    <w:rPr>
      <w:color w:val="0000FF"/>
      <w:u w:val="single"/>
    </w:rPr>
  </w:style>
  <w:style w:type="character" w:customStyle="1" w:styleId="UnresolvedMention">
    <w:name w:val="Unresolved Mention"/>
    <w:basedOn w:val="DefaultParagraphFont"/>
    <w:uiPriority w:val="99"/>
    <w:semiHidden/>
    <w:unhideWhenUsed/>
    <w:rsid w:val="004273CE"/>
    <w:rPr>
      <w:color w:val="605E5C"/>
      <w:shd w:val="clear" w:color="auto" w:fill="E1DFDD"/>
    </w:rPr>
  </w:style>
  <w:style w:type="character" w:styleId="CommentReference">
    <w:name w:val="annotation reference"/>
    <w:basedOn w:val="DefaultParagraphFont"/>
    <w:uiPriority w:val="99"/>
    <w:semiHidden/>
    <w:unhideWhenUsed/>
    <w:rsid w:val="00EC07B0"/>
    <w:rPr>
      <w:sz w:val="16"/>
      <w:szCs w:val="16"/>
    </w:rPr>
  </w:style>
  <w:style w:type="paragraph" w:styleId="CommentText">
    <w:name w:val="annotation text"/>
    <w:basedOn w:val="Normal"/>
    <w:link w:val="CommentTextChar"/>
    <w:uiPriority w:val="99"/>
    <w:semiHidden/>
    <w:unhideWhenUsed/>
    <w:rsid w:val="00EC07B0"/>
    <w:pPr>
      <w:spacing w:line="240" w:lineRule="auto"/>
    </w:pPr>
    <w:rPr>
      <w:sz w:val="20"/>
      <w:szCs w:val="20"/>
    </w:rPr>
  </w:style>
  <w:style w:type="character" w:customStyle="1" w:styleId="CommentTextChar">
    <w:name w:val="Comment Text Char"/>
    <w:basedOn w:val="DefaultParagraphFont"/>
    <w:link w:val="CommentText"/>
    <w:uiPriority w:val="99"/>
    <w:semiHidden/>
    <w:rsid w:val="00EC07B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C07B0"/>
    <w:rPr>
      <w:b/>
      <w:bCs/>
    </w:rPr>
  </w:style>
  <w:style w:type="character" w:customStyle="1" w:styleId="CommentSubjectChar">
    <w:name w:val="Comment Subject Char"/>
    <w:basedOn w:val="CommentTextChar"/>
    <w:link w:val="CommentSubject"/>
    <w:uiPriority w:val="99"/>
    <w:semiHidden/>
    <w:rsid w:val="00EC07B0"/>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2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7ECF-3631-4EC9-8B67-7E8A52DD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NNINC Boksburg</dc:creator>
  <cp:keywords/>
  <dc:description/>
  <cp:lastModifiedBy>Mokone</cp:lastModifiedBy>
  <cp:revision>3</cp:revision>
  <cp:lastPrinted>2021-07-12T09:58:00Z</cp:lastPrinted>
  <dcterms:created xsi:type="dcterms:W3CDTF">2022-01-31T07:59:00Z</dcterms:created>
  <dcterms:modified xsi:type="dcterms:W3CDTF">2022-01-31T07:59:00Z</dcterms:modified>
</cp:coreProperties>
</file>