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1A048" w14:textId="77777777" w:rsidR="00F51254" w:rsidRDefault="0044629A" w:rsidP="0044629A">
      <w:pPr>
        <w:jc w:val="center"/>
      </w:pPr>
      <w:bookmarkStart w:id="0" w:name="_GoBack"/>
      <w:bookmarkEnd w:id="0"/>
      <w:r w:rsidRPr="0073359C">
        <w:rPr>
          <w:rFonts w:ascii="Arial Unicode MS" w:hAnsi="Arial Unicode MS"/>
          <w:noProof/>
          <w:lang w:val="en-ZA" w:eastAsia="en-ZA"/>
        </w:rPr>
        <w:drawing>
          <wp:inline distT="0" distB="0" distL="0" distR="0" wp14:anchorId="7F569DAF" wp14:editId="38EC4720">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0BECE7D" w14:textId="77777777" w:rsidR="0044629A" w:rsidRPr="00F62DD4" w:rsidRDefault="0044629A" w:rsidP="000E2FE1">
      <w:pPr>
        <w:spacing w:line="240" w:lineRule="auto"/>
        <w:jc w:val="center"/>
        <w:rPr>
          <w:b/>
        </w:rPr>
      </w:pPr>
      <w:r w:rsidRPr="00F62DD4">
        <w:rPr>
          <w:b/>
        </w:rPr>
        <w:t>IN THE HIGH COURT OF SOUTH AFRICA</w:t>
      </w:r>
    </w:p>
    <w:tbl>
      <w:tblPr>
        <w:tblpPr w:leftFromText="180" w:rightFromText="180" w:vertAnchor="text" w:horzAnchor="page" w:tblpX="1395" w:tblpY="3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5"/>
      </w:tblGrid>
      <w:tr w:rsidR="00EF7523" w:rsidRPr="00517C89" w14:paraId="11B681AD" w14:textId="77777777" w:rsidTr="00EF7523">
        <w:trPr>
          <w:trHeight w:val="1868"/>
        </w:trPr>
        <w:tc>
          <w:tcPr>
            <w:tcW w:w="5775" w:type="dxa"/>
          </w:tcPr>
          <w:p w14:paraId="3EA31AE5" w14:textId="77777777" w:rsidR="00EF7523" w:rsidRPr="00517C89" w:rsidRDefault="00EF7523" w:rsidP="00EF7523">
            <w:pPr>
              <w:spacing w:line="240" w:lineRule="auto"/>
              <w:rPr>
                <w:rFonts w:ascii="Arial Unicode MS" w:hAnsi="Arial Unicode MS" w:cs="Arial Unicode MS"/>
                <w:b/>
                <w:sz w:val="16"/>
                <w:szCs w:val="16"/>
              </w:rPr>
            </w:pPr>
            <w:r w:rsidRPr="00517C89">
              <w:rPr>
                <w:rFonts w:ascii="Arial Unicode MS" w:hAnsi="Arial Unicode MS" w:cs="Arial Unicode MS"/>
                <w:b/>
                <w:sz w:val="16"/>
                <w:szCs w:val="16"/>
              </w:rPr>
              <w:t>DELETE WHICHEVER IS NOT APPLICABLE</w:t>
            </w:r>
          </w:p>
          <w:p w14:paraId="124B9C22" w14:textId="77777777" w:rsidR="00EF7523" w:rsidRDefault="00EF7523" w:rsidP="00EF7523">
            <w:pPr>
              <w:spacing w:line="240" w:lineRule="auto"/>
              <w:rPr>
                <w:rFonts w:ascii="Arial Unicode MS" w:hAnsi="Arial Unicode MS" w:cs="Arial Unicode MS"/>
                <w:sz w:val="16"/>
                <w:szCs w:val="16"/>
              </w:rPr>
            </w:pPr>
            <w:r>
              <w:rPr>
                <w:rFonts w:ascii="Arial Unicode MS" w:hAnsi="Arial Unicode MS" w:cs="Arial Unicode MS"/>
                <w:sz w:val="16"/>
                <w:szCs w:val="16"/>
              </w:rPr>
              <w:t>(1)</w:t>
            </w:r>
            <w:r>
              <w:rPr>
                <w:rFonts w:ascii="Arial Unicode MS" w:hAnsi="Arial Unicode MS" w:cs="Arial Unicode MS"/>
                <w:sz w:val="16"/>
                <w:szCs w:val="16"/>
              </w:rPr>
              <w:tab/>
              <w:t>REPORTABLE:</w:t>
            </w:r>
            <w:r>
              <w:rPr>
                <w:rFonts w:ascii="Arial Unicode MS" w:hAnsi="Arial Unicode MS" w:cs="Arial Unicode MS"/>
                <w:sz w:val="16"/>
                <w:szCs w:val="16"/>
              </w:rPr>
              <w:tab/>
              <w:t>NO</w:t>
            </w:r>
          </w:p>
          <w:p w14:paraId="79B18F20" w14:textId="77777777" w:rsidR="00EF7523" w:rsidRPr="00517C89" w:rsidRDefault="00EF7523" w:rsidP="00EF7523">
            <w:pPr>
              <w:spacing w:line="240" w:lineRule="auto"/>
              <w:rPr>
                <w:rFonts w:ascii="Arial Unicode MS" w:hAnsi="Arial Unicode MS" w:cs="Arial Unicode MS"/>
                <w:sz w:val="16"/>
                <w:szCs w:val="16"/>
              </w:rPr>
            </w:pPr>
            <w:r w:rsidRPr="00517C89">
              <w:rPr>
                <w:rFonts w:ascii="Arial Unicode MS" w:hAnsi="Arial Unicode MS" w:cs="Arial Unicode MS"/>
                <w:sz w:val="16"/>
                <w:szCs w:val="16"/>
              </w:rPr>
              <w:t>(2)</w:t>
            </w:r>
            <w:r w:rsidRPr="00517C89">
              <w:rPr>
                <w:rFonts w:ascii="Arial Unicode MS" w:hAnsi="Arial Unicode MS" w:cs="Arial Unicode MS"/>
                <w:sz w:val="16"/>
                <w:szCs w:val="16"/>
              </w:rPr>
              <w:tab/>
              <w:t>OF I</w:t>
            </w:r>
            <w:r>
              <w:rPr>
                <w:rFonts w:ascii="Arial Unicode MS" w:hAnsi="Arial Unicode MS" w:cs="Arial Unicode MS"/>
                <w:sz w:val="16"/>
                <w:szCs w:val="16"/>
              </w:rPr>
              <w:t xml:space="preserve">NTEREST TO OTHER JUDGES: </w:t>
            </w:r>
            <w:r>
              <w:rPr>
                <w:rFonts w:ascii="Arial Unicode MS" w:hAnsi="Arial Unicode MS" w:cs="Arial Unicode MS"/>
                <w:sz w:val="16"/>
                <w:szCs w:val="16"/>
              </w:rPr>
              <w:tab/>
              <w:t>NO</w:t>
            </w:r>
          </w:p>
          <w:p w14:paraId="2BCCC978" w14:textId="77777777" w:rsidR="00EF7523" w:rsidRPr="00517C89" w:rsidRDefault="00EF7523" w:rsidP="00EF7523">
            <w:pPr>
              <w:spacing w:line="240" w:lineRule="auto"/>
              <w:rPr>
                <w:rFonts w:ascii="Arial Unicode MS" w:hAnsi="Arial Unicode MS" w:cs="Arial Unicode MS"/>
                <w:sz w:val="16"/>
                <w:szCs w:val="16"/>
              </w:rPr>
            </w:pPr>
            <w:r w:rsidRPr="00517C89">
              <w:rPr>
                <w:rFonts w:ascii="Arial Unicode MS" w:hAnsi="Arial Unicode MS" w:cs="Arial Unicode MS"/>
                <w:sz w:val="16"/>
                <w:szCs w:val="16"/>
              </w:rPr>
              <w:t>(3)</w:t>
            </w:r>
            <w:r w:rsidRPr="00517C89">
              <w:rPr>
                <w:rFonts w:ascii="Arial Unicode MS" w:hAnsi="Arial Unicode MS" w:cs="Arial Unicode MS"/>
                <w:sz w:val="16"/>
                <w:szCs w:val="16"/>
              </w:rPr>
              <w:tab/>
              <w:t>REVISED</w:t>
            </w:r>
          </w:p>
          <w:p w14:paraId="6A59CA65" w14:textId="77777777" w:rsidR="00EF7523" w:rsidRPr="0073359C" w:rsidRDefault="00EF7523" w:rsidP="00EF7523">
            <w:pPr>
              <w:spacing w:line="240" w:lineRule="auto"/>
              <w:rPr>
                <w:rFonts w:ascii="Arial Unicode MS" w:hAnsi="Arial Unicode MS"/>
              </w:rPr>
            </w:pPr>
            <w:r>
              <w:rPr>
                <w:rFonts w:ascii="Arial Unicode MS" w:hAnsi="Arial Unicode MS" w:cs="Arial Unicode MS"/>
                <w:sz w:val="16"/>
                <w:szCs w:val="16"/>
              </w:rPr>
              <w:t xml:space="preserve">    </w:t>
            </w:r>
            <w:r w:rsidRPr="00517C89">
              <w:rPr>
                <w:rFonts w:ascii="Arial Unicode MS" w:hAnsi="Arial Unicode MS" w:cs="Arial Unicode MS"/>
                <w:sz w:val="16"/>
                <w:szCs w:val="16"/>
              </w:rPr>
              <w:t>DATE:</w:t>
            </w:r>
            <w:r>
              <w:rPr>
                <w:rFonts w:ascii="Arial Unicode MS" w:hAnsi="Arial Unicode MS" w:cs="Arial Unicode MS"/>
                <w:sz w:val="16"/>
                <w:szCs w:val="16"/>
              </w:rPr>
              <w:t xml:space="preserve">………………………..                           </w:t>
            </w:r>
            <w:r w:rsidRPr="00517C89">
              <w:rPr>
                <w:rFonts w:ascii="Arial Unicode MS" w:hAnsi="Arial Unicode MS" w:cs="Arial Unicode MS"/>
                <w:sz w:val="16"/>
                <w:szCs w:val="16"/>
              </w:rPr>
              <w:t>SIGNATURE:</w:t>
            </w:r>
            <w:r>
              <w:rPr>
                <w:rFonts w:ascii="Arial Unicode MS" w:hAnsi="Arial Unicode MS" w:cs="Arial Unicode MS"/>
                <w:sz w:val="16"/>
                <w:szCs w:val="16"/>
              </w:rPr>
              <w:t>…………………...</w:t>
            </w:r>
            <w:r w:rsidRPr="00517C89">
              <w:rPr>
                <w:rFonts w:ascii="Arial Unicode MS" w:hAnsi="Arial Unicode MS" w:cs="Arial Unicode MS"/>
                <w:sz w:val="16"/>
                <w:szCs w:val="16"/>
              </w:rPr>
              <w:tab/>
            </w:r>
          </w:p>
        </w:tc>
      </w:tr>
    </w:tbl>
    <w:p w14:paraId="53044D34" w14:textId="77777777" w:rsidR="0044629A" w:rsidRPr="00F62DD4" w:rsidRDefault="0044629A" w:rsidP="000E2FE1">
      <w:pPr>
        <w:spacing w:line="240" w:lineRule="auto"/>
        <w:jc w:val="center"/>
        <w:rPr>
          <w:b/>
        </w:rPr>
      </w:pPr>
      <w:r w:rsidRPr="00F62DD4">
        <w:rPr>
          <w:b/>
        </w:rPr>
        <w:t>GAUTENG DIVISION, JOHANNESBURG</w:t>
      </w:r>
    </w:p>
    <w:p w14:paraId="67129BC8" w14:textId="5AEFB386" w:rsidR="0044629A" w:rsidRDefault="0044629A" w:rsidP="000E2FE1">
      <w:pPr>
        <w:spacing w:line="240" w:lineRule="auto"/>
        <w:jc w:val="right"/>
      </w:pPr>
      <w:r>
        <w:t xml:space="preserve">Case </w:t>
      </w:r>
      <w:r w:rsidR="00342E52">
        <w:t>number:</w:t>
      </w:r>
      <w:r w:rsidR="00F62DD4" w:rsidRPr="00F62DD4">
        <w:rPr>
          <w:rFonts w:ascii="Arial Unicode MS" w:hAnsi="Arial Unicode MS" w:cs="Arial Unicode MS"/>
        </w:rPr>
        <w:t xml:space="preserve"> </w:t>
      </w:r>
      <w:r w:rsidR="00EF7523">
        <w:rPr>
          <w:rFonts w:ascii="Arial Unicode MS" w:hAnsi="Arial Unicode MS" w:cs="Arial Unicode MS"/>
        </w:rPr>
        <w:t>2010/24986</w:t>
      </w:r>
    </w:p>
    <w:p w14:paraId="3E0C42BF" w14:textId="77777777" w:rsidR="0044629A" w:rsidRPr="00517C89" w:rsidRDefault="0044629A" w:rsidP="000E2FE1">
      <w:pPr>
        <w:spacing w:line="240" w:lineRule="auto"/>
        <w:jc w:val="right"/>
        <w:rPr>
          <w:rFonts w:ascii="Arial Unicode MS" w:hAnsi="Arial Unicode MS" w:cs="Arial Unicode MS"/>
        </w:rPr>
      </w:pPr>
    </w:p>
    <w:p w14:paraId="77696848" w14:textId="77777777" w:rsidR="0044629A" w:rsidRDefault="0044629A" w:rsidP="000E2FE1">
      <w:pPr>
        <w:spacing w:line="240" w:lineRule="auto"/>
        <w:rPr>
          <w:rFonts w:ascii="Arial Unicode MS" w:hAnsi="Arial Unicode MS" w:cs="Arial Unicode MS"/>
        </w:rPr>
      </w:pPr>
      <w:r>
        <w:rPr>
          <w:rFonts w:ascii="Arial Unicode MS" w:hAnsi="Arial Unicode MS" w:cs="Arial Unicode MS"/>
        </w:rPr>
        <w:br w:type="textWrapping" w:clear="all"/>
      </w:r>
    </w:p>
    <w:p w14:paraId="21D29CA0" w14:textId="77777777" w:rsidR="0044629A" w:rsidRDefault="0044629A" w:rsidP="0044629A">
      <w:pPr>
        <w:jc w:val="left"/>
      </w:pPr>
      <w:r>
        <w:t>IN THE MATTER BETWEEN:</w:t>
      </w:r>
    </w:p>
    <w:p w14:paraId="4AFE201F" w14:textId="6CEE392D" w:rsidR="00F62DD4" w:rsidRPr="000A6F08" w:rsidRDefault="00EF7523" w:rsidP="00F62DD4">
      <w:pPr>
        <w:rPr>
          <w:rFonts w:ascii="Arial Unicode MS" w:hAnsi="Arial Unicode MS" w:cs="Arial Unicode MS"/>
          <w:b/>
          <w:bCs/>
        </w:rPr>
      </w:pPr>
      <w:r w:rsidRPr="000A6F08">
        <w:rPr>
          <w:rFonts w:ascii="Arial Unicode MS" w:hAnsi="Arial Unicode MS" w:cs="Arial Unicode MS"/>
          <w:b/>
          <w:bCs/>
        </w:rPr>
        <w:t>MICHAEL G</w:t>
      </w:r>
      <w:r w:rsidR="00F62DD4" w:rsidRPr="000A6F08">
        <w:rPr>
          <w:rFonts w:ascii="Arial Unicode MS" w:hAnsi="Arial Unicode MS" w:cs="Arial Unicode MS"/>
          <w:b/>
          <w:bCs/>
        </w:rPr>
        <w:tab/>
      </w:r>
      <w:r w:rsidR="00F62DD4" w:rsidRPr="000A6F08">
        <w:rPr>
          <w:rFonts w:ascii="Arial Unicode MS" w:hAnsi="Arial Unicode MS" w:cs="Arial Unicode MS"/>
          <w:b/>
          <w:bCs/>
        </w:rPr>
        <w:tab/>
      </w:r>
      <w:r w:rsidRPr="000A6F08">
        <w:rPr>
          <w:rFonts w:ascii="Arial Unicode MS" w:hAnsi="Arial Unicode MS" w:cs="Arial Unicode MS"/>
          <w:b/>
          <w:bCs/>
        </w:rPr>
        <w:tab/>
      </w:r>
      <w:r w:rsidRPr="000A6F08">
        <w:rPr>
          <w:rFonts w:ascii="Arial Unicode MS" w:hAnsi="Arial Unicode MS" w:cs="Arial Unicode MS"/>
          <w:b/>
          <w:bCs/>
        </w:rPr>
        <w:tab/>
      </w:r>
      <w:r w:rsidRPr="000A6F08">
        <w:rPr>
          <w:rFonts w:ascii="Arial Unicode MS" w:hAnsi="Arial Unicode MS" w:cs="Arial Unicode MS"/>
          <w:b/>
          <w:bCs/>
        </w:rPr>
        <w:tab/>
      </w:r>
      <w:r w:rsidRPr="000A6F08">
        <w:rPr>
          <w:rFonts w:ascii="Arial Unicode MS" w:hAnsi="Arial Unicode MS" w:cs="Arial Unicode MS"/>
          <w:b/>
          <w:bCs/>
        </w:rPr>
        <w:tab/>
        <w:t xml:space="preserve">First </w:t>
      </w:r>
      <w:r w:rsidR="00F62DD4" w:rsidRPr="000A6F08">
        <w:rPr>
          <w:rFonts w:ascii="Arial Unicode MS" w:hAnsi="Arial Unicode MS" w:cs="Arial Unicode MS"/>
          <w:b/>
          <w:bCs/>
        </w:rPr>
        <w:t>Applicant</w:t>
      </w:r>
    </w:p>
    <w:p w14:paraId="37FB6306" w14:textId="7D603997" w:rsidR="00EF7523" w:rsidRPr="000A6F08" w:rsidRDefault="00EF7523" w:rsidP="00F62DD4">
      <w:pPr>
        <w:rPr>
          <w:rFonts w:ascii="Arial Unicode MS" w:hAnsi="Arial Unicode MS" w:cs="Arial Unicode MS"/>
          <w:b/>
          <w:bCs/>
        </w:rPr>
      </w:pPr>
      <w:r w:rsidRPr="000A6F08">
        <w:rPr>
          <w:rFonts w:ascii="Arial Unicode MS" w:hAnsi="Arial Unicode MS" w:cs="Arial Unicode MS"/>
          <w:b/>
          <w:bCs/>
        </w:rPr>
        <w:t>MICHAEL L.C</w:t>
      </w:r>
      <w:r w:rsidRPr="000A6F08">
        <w:rPr>
          <w:rFonts w:ascii="Arial Unicode MS" w:hAnsi="Arial Unicode MS" w:cs="Arial Unicode MS"/>
          <w:b/>
          <w:bCs/>
        </w:rPr>
        <w:tab/>
      </w:r>
      <w:r w:rsidRPr="000A6F08">
        <w:rPr>
          <w:rFonts w:ascii="Arial Unicode MS" w:hAnsi="Arial Unicode MS" w:cs="Arial Unicode MS"/>
          <w:b/>
          <w:bCs/>
        </w:rPr>
        <w:tab/>
      </w:r>
      <w:r w:rsidRPr="000A6F08">
        <w:rPr>
          <w:rFonts w:ascii="Arial Unicode MS" w:hAnsi="Arial Unicode MS" w:cs="Arial Unicode MS"/>
          <w:b/>
          <w:bCs/>
        </w:rPr>
        <w:tab/>
      </w:r>
      <w:r w:rsidRPr="000A6F08">
        <w:rPr>
          <w:rFonts w:ascii="Arial Unicode MS" w:hAnsi="Arial Unicode MS" w:cs="Arial Unicode MS"/>
          <w:b/>
          <w:bCs/>
        </w:rPr>
        <w:tab/>
      </w:r>
      <w:r w:rsidRPr="000A6F08">
        <w:rPr>
          <w:rFonts w:ascii="Arial Unicode MS" w:hAnsi="Arial Unicode MS" w:cs="Arial Unicode MS"/>
          <w:b/>
          <w:bCs/>
        </w:rPr>
        <w:tab/>
        <w:t xml:space="preserve">Second Applicant </w:t>
      </w:r>
    </w:p>
    <w:p w14:paraId="12231178" w14:textId="77777777" w:rsidR="00F62DD4" w:rsidRDefault="00F62DD4" w:rsidP="00F62DD4">
      <w:pPr>
        <w:rPr>
          <w:rFonts w:ascii="Arial Unicode MS" w:hAnsi="Arial Unicode MS" w:cs="Arial Unicode MS"/>
        </w:rPr>
      </w:pPr>
      <w:r>
        <w:rPr>
          <w:rFonts w:ascii="Arial Unicode MS" w:hAnsi="Arial Unicode MS" w:cs="Arial Unicode MS"/>
        </w:rPr>
        <w:t xml:space="preserve">and </w:t>
      </w:r>
    </w:p>
    <w:p w14:paraId="6661D1A7" w14:textId="0A1452BC" w:rsidR="00F62DD4" w:rsidRPr="000A6F08" w:rsidRDefault="00EF7523" w:rsidP="00F62DD4">
      <w:pPr>
        <w:widowControl w:val="0"/>
        <w:autoSpaceDE w:val="0"/>
        <w:autoSpaceDN w:val="0"/>
        <w:adjustRightInd w:val="0"/>
        <w:spacing w:after="0"/>
        <w:rPr>
          <w:b/>
          <w:bCs/>
          <w:lang w:val="en-US"/>
        </w:rPr>
      </w:pPr>
      <w:r w:rsidRPr="000A6F08">
        <w:rPr>
          <w:b/>
          <w:bCs/>
          <w:lang w:val="en-US"/>
        </w:rPr>
        <w:t>FIRST RAND BANK LIMITED</w:t>
      </w:r>
      <w:r w:rsidR="00F62DD4" w:rsidRPr="000A6F08">
        <w:rPr>
          <w:b/>
          <w:bCs/>
          <w:lang w:val="en-US"/>
        </w:rPr>
        <w:tab/>
      </w:r>
      <w:r w:rsidR="00F62DD4" w:rsidRPr="000A6F08">
        <w:rPr>
          <w:b/>
          <w:bCs/>
          <w:lang w:val="en-US"/>
        </w:rPr>
        <w:tab/>
      </w:r>
      <w:r w:rsidRPr="000A6F08">
        <w:rPr>
          <w:b/>
          <w:bCs/>
          <w:lang w:val="en-US"/>
        </w:rPr>
        <w:tab/>
      </w:r>
      <w:r w:rsidR="00F62DD4" w:rsidRPr="000A6F08">
        <w:rPr>
          <w:b/>
          <w:bCs/>
          <w:lang w:val="en-US"/>
        </w:rPr>
        <w:t>Respondent</w:t>
      </w:r>
    </w:p>
    <w:p w14:paraId="786BF883" w14:textId="3680B430" w:rsidR="008D7E41" w:rsidRDefault="00F62DD4" w:rsidP="00EF7523">
      <w:pPr>
        <w:widowControl w:val="0"/>
        <w:autoSpaceDE w:val="0"/>
        <w:autoSpaceDN w:val="0"/>
        <w:adjustRightInd w:val="0"/>
        <w:spacing w:after="0"/>
        <w:rPr>
          <w:lang w:val="en-US"/>
        </w:rPr>
      </w:pPr>
      <w:r>
        <w:rPr>
          <w:lang w:val="en-US"/>
        </w:rPr>
        <w:tab/>
      </w:r>
      <w:r>
        <w:rPr>
          <w:lang w:val="en-US"/>
        </w:rPr>
        <w:tab/>
      </w:r>
      <w:r>
        <w:rPr>
          <w:lang w:val="en-US"/>
        </w:rPr>
        <w:tab/>
      </w:r>
      <w:r w:rsidR="008D7E41">
        <w:rPr>
          <w:lang w:val="en-US"/>
        </w:rPr>
        <w:tab/>
      </w:r>
    </w:p>
    <w:p w14:paraId="1BB4115D" w14:textId="0EDBB942" w:rsidR="0044629A" w:rsidRDefault="0044629A" w:rsidP="0044629A">
      <w:pPr>
        <w:spacing w:line="240" w:lineRule="auto"/>
        <w:jc w:val="left"/>
      </w:pPr>
      <w:r>
        <w:t>_____________________________________________________________</w:t>
      </w:r>
    </w:p>
    <w:p w14:paraId="41CFC539" w14:textId="5ACDEA61" w:rsidR="00B03069" w:rsidRPr="00B03069" w:rsidRDefault="00B03069" w:rsidP="00B03069">
      <w:pPr>
        <w:spacing w:line="240" w:lineRule="auto"/>
        <w:ind w:left="2880" w:firstLine="720"/>
        <w:rPr>
          <w:b/>
          <w:bCs/>
        </w:rPr>
      </w:pPr>
      <w:r w:rsidRPr="00B03069">
        <w:rPr>
          <w:b/>
          <w:bCs/>
        </w:rPr>
        <w:t>Judgment</w:t>
      </w:r>
    </w:p>
    <w:p w14:paraId="4834E864" w14:textId="2F364978" w:rsidR="0044629A" w:rsidRDefault="0044629A" w:rsidP="00B03069">
      <w:pPr>
        <w:spacing w:line="240" w:lineRule="auto"/>
      </w:pPr>
      <w:r>
        <w:t>______________________________________</w:t>
      </w:r>
      <w:r w:rsidR="00B03069">
        <w:t>______________________</w:t>
      </w:r>
      <w:r>
        <w:t>_</w:t>
      </w:r>
    </w:p>
    <w:p w14:paraId="660163CD" w14:textId="67FC41C0" w:rsidR="008534AC" w:rsidRDefault="0044629A" w:rsidP="008534AC">
      <w:pPr>
        <w:jc w:val="left"/>
        <w:rPr>
          <w:u w:val="single"/>
        </w:rPr>
      </w:pPr>
      <w:r w:rsidRPr="006C5AE2">
        <w:rPr>
          <w:u w:val="single"/>
        </w:rPr>
        <w:t>BHOOLA AJ:</w:t>
      </w:r>
    </w:p>
    <w:p w14:paraId="53733FE3" w14:textId="440788C6" w:rsidR="00F47A45" w:rsidRPr="00935D98" w:rsidRDefault="00F47A45" w:rsidP="008534AC">
      <w:pPr>
        <w:jc w:val="left"/>
        <w:rPr>
          <w:u w:val="single"/>
        </w:rPr>
      </w:pPr>
      <w:r w:rsidRPr="00935D98">
        <w:rPr>
          <w:u w:val="single"/>
        </w:rPr>
        <w:lastRenderedPageBreak/>
        <w:t>Introduction</w:t>
      </w:r>
    </w:p>
    <w:p w14:paraId="79AEC181" w14:textId="6E73B614" w:rsidR="00775A1D" w:rsidRDefault="008534AC" w:rsidP="00775A1D">
      <w:r w:rsidRPr="00935D98">
        <w:t>[1]</w:t>
      </w:r>
      <w:r w:rsidRPr="00935D98">
        <w:tab/>
      </w:r>
      <w:r w:rsidR="00EF7523">
        <w:t xml:space="preserve">This is an application for leave to appeal against the whole of my judgment and order handed down on 28 January 2019. The applicants </w:t>
      </w:r>
      <w:r w:rsidR="006E7538">
        <w:t xml:space="preserve">are the defendants in the main action and </w:t>
      </w:r>
      <w:r w:rsidR="004151C9">
        <w:t xml:space="preserve">the appellants in the application for leave to appeal. They are </w:t>
      </w:r>
      <w:r w:rsidR="006E7538">
        <w:t>referred to herein as “</w:t>
      </w:r>
      <w:r w:rsidR="006E7538" w:rsidRPr="000A6F08">
        <w:t>the applicants</w:t>
      </w:r>
      <w:r w:rsidR="006E7538" w:rsidRPr="006E7538">
        <w:rPr>
          <w:i/>
          <w:iCs/>
        </w:rPr>
        <w:t>”.</w:t>
      </w:r>
      <w:r w:rsidR="006E7538">
        <w:t xml:space="preserve"> The respondent is the plaintiff in the main action</w:t>
      </w:r>
      <w:r w:rsidR="003764C4">
        <w:t>.</w:t>
      </w:r>
    </w:p>
    <w:p w14:paraId="76799649" w14:textId="6E986AA1" w:rsidR="006E7538" w:rsidRDefault="002E0EBF" w:rsidP="00775A1D">
      <w:r>
        <w:t>[2]</w:t>
      </w:r>
      <w:r>
        <w:tab/>
      </w:r>
      <w:r w:rsidR="006E7538">
        <w:t xml:space="preserve">The cause of action arose in 2010. </w:t>
      </w:r>
      <w:r>
        <w:t xml:space="preserve">Default  judgment was entered against the </w:t>
      </w:r>
      <w:r w:rsidR="006E7538">
        <w:t>applicants</w:t>
      </w:r>
      <w:r>
        <w:t xml:space="preserve"> on 21 June 2017.</w:t>
      </w:r>
      <w:r w:rsidR="006E7538">
        <w:t xml:space="preserve"> </w:t>
      </w:r>
      <w:r>
        <w:t xml:space="preserve">They launched an application for rescission on 22 August </w:t>
      </w:r>
      <w:r w:rsidR="000A6F08">
        <w:t xml:space="preserve"> </w:t>
      </w:r>
      <w:r>
        <w:t>2017</w:t>
      </w:r>
      <w:r w:rsidR="000A6F08">
        <w:t xml:space="preserve">. </w:t>
      </w:r>
      <w:r w:rsidR="006E7538">
        <w:t xml:space="preserve"> They </w:t>
      </w:r>
      <w:r w:rsidR="003764C4">
        <w:t xml:space="preserve">now seek leave to </w:t>
      </w:r>
      <w:r w:rsidR="006E7538">
        <w:t xml:space="preserve">appeal against my order </w:t>
      </w:r>
      <w:r w:rsidR="003764C4">
        <w:t xml:space="preserve">and judgment </w:t>
      </w:r>
      <w:r w:rsidR="006E7538">
        <w:t xml:space="preserve">of 28 January 2019 refusing to grant the rescission application. The applicants also seek condonation for the late filing of their notice of application for leave to appeal. </w:t>
      </w:r>
    </w:p>
    <w:p w14:paraId="17E92196" w14:textId="24EB42EA" w:rsidR="00EF7523" w:rsidRDefault="00EF7523" w:rsidP="00775A1D">
      <w:pPr>
        <w:rPr>
          <w:u w:val="single"/>
        </w:rPr>
      </w:pPr>
      <w:r w:rsidRPr="00EF7523">
        <w:rPr>
          <w:u w:val="single"/>
        </w:rPr>
        <w:t>Application for condonation</w:t>
      </w:r>
    </w:p>
    <w:p w14:paraId="462AD9F9" w14:textId="533F9BC8" w:rsidR="006E7538" w:rsidRPr="00EF7523" w:rsidRDefault="006E7538" w:rsidP="006E7538">
      <w:pPr>
        <w:suppressAutoHyphens w:val="0"/>
        <w:autoSpaceDE w:val="0"/>
        <w:autoSpaceDN w:val="0"/>
        <w:adjustRightInd w:val="0"/>
        <w:spacing w:after="0"/>
        <w:outlineLvl w:val="9"/>
        <w:rPr>
          <w:color w:val="222222"/>
          <w:lang w:eastAsia="en-US"/>
        </w:rPr>
      </w:pPr>
      <w:r>
        <w:rPr>
          <w:color w:val="000000"/>
          <w:lang w:val="en-US"/>
        </w:rPr>
        <w:t>[3]</w:t>
      </w:r>
      <w:r>
        <w:rPr>
          <w:color w:val="000000"/>
          <w:lang w:val="en-US"/>
        </w:rPr>
        <w:tab/>
      </w:r>
      <w:r w:rsidR="00EF7523" w:rsidRPr="00EF7523">
        <w:rPr>
          <w:color w:val="000000"/>
          <w:lang w:val="en-US"/>
        </w:rPr>
        <w:t>The application for leave to appeal is dated 18 February 2019 and was served on the respondent’s attorneys on 2</w:t>
      </w:r>
      <w:r w:rsidR="00EF7523">
        <w:rPr>
          <w:color w:val="000000"/>
          <w:lang w:val="en-US"/>
        </w:rPr>
        <w:t>5</w:t>
      </w:r>
      <w:r w:rsidR="00EF7523" w:rsidRPr="00EF7523">
        <w:rPr>
          <w:color w:val="000000"/>
          <w:lang w:val="en-US"/>
        </w:rPr>
        <w:t xml:space="preserve"> February 2019.</w:t>
      </w:r>
      <w:r w:rsidR="00EF7523">
        <w:rPr>
          <w:color w:val="000000"/>
          <w:lang w:val="en-US"/>
        </w:rPr>
        <w:t xml:space="preserve"> However,  it </w:t>
      </w:r>
      <w:r>
        <w:rPr>
          <w:color w:val="000000"/>
          <w:lang w:val="en-US"/>
        </w:rPr>
        <w:t xml:space="preserve">appears to have </w:t>
      </w:r>
      <w:r w:rsidR="00EF7523">
        <w:rPr>
          <w:color w:val="000000"/>
          <w:lang w:val="en-US"/>
        </w:rPr>
        <w:t xml:space="preserve">only </w:t>
      </w:r>
      <w:r>
        <w:rPr>
          <w:color w:val="000000"/>
          <w:lang w:val="en-US"/>
        </w:rPr>
        <w:t xml:space="preserve">been </w:t>
      </w:r>
      <w:r w:rsidR="00EF7523">
        <w:rPr>
          <w:color w:val="000000"/>
          <w:lang w:val="en-US"/>
        </w:rPr>
        <w:t>filed with the Registrar of civil appeals almost a year later, on 18 February 2020</w:t>
      </w:r>
      <w:r>
        <w:rPr>
          <w:color w:val="000000"/>
          <w:lang w:val="en-US"/>
        </w:rPr>
        <w:t xml:space="preserve">, in contravention of the </w:t>
      </w:r>
      <w:r w:rsidR="00EF7523">
        <w:rPr>
          <w:color w:val="000000"/>
          <w:lang w:val="en-US"/>
        </w:rPr>
        <w:t xml:space="preserve"> </w:t>
      </w:r>
      <w:r>
        <w:rPr>
          <w:color w:val="222222"/>
          <w:lang w:eastAsia="en-US"/>
        </w:rPr>
        <w:t xml:space="preserve">requirements of </w:t>
      </w:r>
      <w:r w:rsidRPr="00EF7523">
        <w:rPr>
          <w:color w:val="222222"/>
          <w:lang w:eastAsia="en-US"/>
        </w:rPr>
        <w:t xml:space="preserve">paragraph 1 of Chapter 11 of this Court’s </w:t>
      </w:r>
      <w:r>
        <w:rPr>
          <w:color w:val="222222"/>
          <w:lang w:eastAsia="en-US"/>
        </w:rPr>
        <w:t>P</w:t>
      </w:r>
      <w:r w:rsidRPr="00EF7523">
        <w:rPr>
          <w:color w:val="222222"/>
          <w:lang w:eastAsia="en-US"/>
        </w:rPr>
        <w:t xml:space="preserve">ractice </w:t>
      </w:r>
      <w:r>
        <w:rPr>
          <w:color w:val="222222"/>
          <w:lang w:eastAsia="en-US"/>
        </w:rPr>
        <w:t xml:space="preserve">Manual </w:t>
      </w:r>
      <w:r w:rsidRPr="00EF7523">
        <w:rPr>
          <w:color w:val="222222"/>
          <w:lang w:eastAsia="en-US"/>
        </w:rPr>
        <w:t>which states</w:t>
      </w:r>
      <w:r>
        <w:rPr>
          <w:color w:val="222222"/>
          <w:lang w:eastAsia="en-US"/>
        </w:rPr>
        <w:t xml:space="preserve"> </w:t>
      </w:r>
      <w:r w:rsidRPr="00EF7523">
        <w:rPr>
          <w:color w:val="222222"/>
          <w:lang w:eastAsia="en-US"/>
        </w:rPr>
        <w:t>that:</w:t>
      </w:r>
    </w:p>
    <w:p w14:paraId="74F90E47" w14:textId="77777777" w:rsidR="006E7538" w:rsidRPr="006E7538" w:rsidRDefault="006E7538" w:rsidP="006E7538">
      <w:pPr>
        <w:suppressAutoHyphens w:val="0"/>
        <w:autoSpaceDE w:val="0"/>
        <w:autoSpaceDN w:val="0"/>
        <w:adjustRightInd w:val="0"/>
        <w:spacing w:after="0"/>
        <w:outlineLvl w:val="9"/>
        <w:rPr>
          <w:i/>
          <w:iCs/>
          <w:color w:val="222222"/>
          <w:lang w:eastAsia="en-US"/>
        </w:rPr>
      </w:pPr>
      <w:r w:rsidRPr="006E7538">
        <w:rPr>
          <w:i/>
          <w:iCs/>
          <w:color w:val="222222"/>
          <w:lang w:eastAsia="en-US"/>
        </w:rPr>
        <w:t>“An application for leave to appeal must be filed with the registrar in charge of civil appeals. A copy of the application must also be filed with the Judge’s Secretary.”</w:t>
      </w:r>
    </w:p>
    <w:p w14:paraId="3BAD0172" w14:textId="77777777" w:rsidR="006E7538" w:rsidRDefault="006E7538" w:rsidP="006E7538">
      <w:pPr>
        <w:widowControl w:val="0"/>
        <w:autoSpaceDE w:val="0"/>
        <w:autoSpaceDN w:val="0"/>
        <w:adjustRightInd w:val="0"/>
        <w:spacing w:after="0"/>
        <w:rPr>
          <w:color w:val="000000"/>
          <w:lang w:val="en-US"/>
        </w:rPr>
      </w:pPr>
    </w:p>
    <w:p w14:paraId="7EBFF8AB" w14:textId="678B8915" w:rsidR="00EF7523" w:rsidRDefault="006E7538" w:rsidP="00EF7523">
      <w:pPr>
        <w:widowControl w:val="0"/>
        <w:autoSpaceDE w:val="0"/>
        <w:autoSpaceDN w:val="0"/>
        <w:adjustRightInd w:val="0"/>
        <w:spacing w:after="0"/>
        <w:rPr>
          <w:color w:val="000000"/>
          <w:lang w:val="en-US"/>
        </w:rPr>
      </w:pPr>
      <w:r>
        <w:rPr>
          <w:color w:val="000000"/>
          <w:lang w:val="en-US"/>
        </w:rPr>
        <w:t>[4]</w:t>
      </w:r>
      <w:r>
        <w:rPr>
          <w:color w:val="000000"/>
          <w:lang w:val="en-US"/>
        </w:rPr>
        <w:tab/>
      </w:r>
      <w:r w:rsidR="00EF7523">
        <w:rPr>
          <w:color w:val="000000"/>
          <w:lang w:val="en-US"/>
        </w:rPr>
        <w:t>Th</w:t>
      </w:r>
      <w:r w:rsidR="003764C4">
        <w:rPr>
          <w:color w:val="000000"/>
          <w:lang w:val="en-US"/>
        </w:rPr>
        <w:t>e dates of filing</w:t>
      </w:r>
      <w:r w:rsidR="00EF7523">
        <w:rPr>
          <w:color w:val="000000"/>
          <w:lang w:val="en-US"/>
        </w:rPr>
        <w:t xml:space="preserve"> appear on </w:t>
      </w:r>
      <w:r>
        <w:rPr>
          <w:color w:val="000000"/>
          <w:lang w:val="en-US"/>
        </w:rPr>
        <w:t>C</w:t>
      </w:r>
      <w:r w:rsidR="00EF7523">
        <w:rPr>
          <w:color w:val="000000"/>
          <w:lang w:val="en-US"/>
        </w:rPr>
        <w:t xml:space="preserve">aselines from the pleadings filed by the respondent from their files. The applicants denied that the notice of application </w:t>
      </w:r>
      <w:r w:rsidR="003764C4">
        <w:rPr>
          <w:color w:val="000000"/>
          <w:lang w:val="en-US"/>
        </w:rPr>
        <w:t xml:space="preserve">for leave to appeal </w:t>
      </w:r>
      <w:r w:rsidR="00EF7523">
        <w:rPr>
          <w:color w:val="000000"/>
          <w:lang w:val="en-US"/>
        </w:rPr>
        <w:t xml:space="preserve">was filed more than a year late and contend that the application was served and filed </w:t>
      </w:r>
      <w:r>
        <w:rPr>
          <w:color w:val="000000"/>
          <w:lang w:val="en-US"/>
        </w:rPr>
        <w:t xml:space="preserve">a mere four days late. They </w:t>
      </w:r>
      <w:r w:rsidR="00EF7523">
        <w:rPr>
          <w:color w:val="000000"/>
          <w:lang w:val="en-US"/>
        </w:rPr>
        <w:t xml:space="preserve">were not able to </w:t>
      </w:r>
      <w:r>
        <w:rPr>
          <w:color w:val="000000"/>
          <w:lang w:val="en-US"/>
        </w:rPr>
        <w:t>prove that the application was filed timeously, and Mr Mar</w:t>
      </w:r>
      <w:r w:rsidR="005245A1">
        <w:rPr>
          <w:color w:val="000000"/>
          <w:lang w:val="en-US"/>
        </w:rPr>
        <w:t>ks</w:t>
      </w:r>
      <w:r>
        <w:rPr>
          <w:color w:val="000000"/>
          <w:lang w:val="en-US"/>
        </w:rPr>
        <w:t>, applicants’ counsel, submitted that th</w:t>
      </w:r>
      <w:r w:rsidR="003764C4">
        <w:rPr>
          <w:color w:val="000000"/>
          <w:lang w:val="en-US"/>
        </w:rPr>
        <w:t xml:space="preserve">ey were not able to respond timeously as this </w:t>
      </w:r>
      <w:r>
        <w:rPr>
          <w:color w:val="000000"/>
          <w:lang w:val="en-US"/>
        </w:rPr>
        <w:t>point had belatedly been taken in the respondent’s heads of argument</w:t>
      </w:r>
      <w:r w:rsidR="003764C4">
        <w:rPr>
          <w:color w:val="000000"/>
          <w:lang w:val="en-US"/>
        </w:rPr>
        <w:t xml:space="preserve"> in the application for leave to appeal. He submitted that the </w:t>
      </w:r>
      <w:r w:rsidR="000A6F08">
        <w:rPr>
          <w:color w:val="000000"/>
          <w:lang w:val="en-US"/>
        </w:rPr>
        <w:t>a</w:t>
      </w:r>
      <w:r>
        <w:rPr>
          <w:color w:val="000000"/>
          <w:lang w:val="en-US"/>
        </w:rPr>
        <w:t>pplicants d</w:t>
      </w:r>
      <w:r w:rsidR="003764C4">
        <w:rPr>
          <w:color w:val="000000"/>
          <w:lang w:val="en-US"/>
        </w:rPr>
        <w:t>o</w:t>
      </w:r>
      <w:r>
        <w:rPr>
          <w:color w:val="000000"/>
          <w:lang w:val="en-US"/>
        </w:rPr>
        <w:t xml:space="preserve"> not have </w:t>
      </w:r>
      <w:r>
        <w:rPr>
          <w:color w:val="000000"/>
          <w:lang w:val="en-US"/>
        </w:rPr>
        <w:lastRenderedPageBreak/>
        <w:t xml:space="preserve">access to their files and were unable to </w:t>
      </w:r>
      <w:r w:rsidR="00EF7523">
        <w:rPr>
          <w:color w:val="000000"/>
          <w:lang w:val="en-US"/>
        </w:rPr>
        <w:t>produce evidence in substantiation of th</w:t>
      </w:r>
      <w:r>
        <w:rPr>
          <w:color w:val="000000"/>
          <w:lang w:val="en-US"/>
        </w:rPr>
        <w:t>e</w:t>
      </w:r>
      <w:r w:rsidR="00EF7523">
        <w:rPr>
          <w:color w:val="000000"/>
          <w:lang w:val="en-US"/>
        </w:rPr>
        <w:t xml:space="preserve"> submission</w:t>
      </w:r>
      <w:r>
        <w:rPr>
          <w:color w:val="000000"/>
          <w:lang w:val="en-US"/>
        </w:rPr>
        <w:t xml:space="preserve"> that the application was </w:t>
      </w:r>
      <w:r w:rsidR="003764C4">
        <w:rPr>
          <w:color w:val="000000"/>
          <w:lang w:val="en-US"/>
        </w:rPr>
        <w:t xml:space="preserve">only </w:t>
      </w:r>
      <w:r>
        <w:rPr>
          <w:color w:val="000000"/>
          <w:lang w:val="en-US"/>
        </w:rPr>
        <w:t>four days not more than a year late</w:t>
      </w:r>
      <w:r w:rsidR="00EF7523">
        <w:rPr>
          <w:color w:val="000000"/>
          <w:lang w:val="en-US"/>
        </w:rPr>
        <w:t xml:space="preserve">. </w:t>
      </w:r>
      <w:r>
        <w:rPr>
          <w:color w:val="000000"/>
          <w:lang w:val="en-US"/>
        </w:rPr>
        <w:t>Mr Mar</w:t>
      </w:r>
      <w:r w:rsidR="005245A1">
        <w:rPr>
          <w:color w:val="000000"/>
          <w:lang w:val="en-US"/>
        </w:rPr>
        <w:t>ks</w:t>
      </w:r>
      <w:r>
        <w:rPr>
          <w:color w:val="000000"/>
          <w:lang w:val="en-US"/>
        </w:rPr>
        <w:t xml:space="preserve"> </w:t>
      </w:r>
      <w:r w:rsidR="00EF7523">
        <w:rPr>
          <w:color w:val="000000"/>
          <w:lang w:val="en-US"/>
        </w:rPr>
        <w:t>sought a postponement proposing that the respondent should file an explanatory affidavit setting out the facts on which they rely</w:t>
      </w:r>
      <w:r>
        <w:rPr>
          <w:color w:val="000000"/>
          <w:lang w:val="en-US"/>
        </w:rPr>
        <w:t xml:space="preserve"> for this contention. </w:t>
      </w:r>
      <w:r w:rsidR="00EF7523">
        <w:rPr>
          <w:color w:val="000000"/>
          <w:lang w:val="en-US"/>
        </w:rPr>
        <w:t xml:space="preserve">This was not a formal application for a postponement and </w:t>
      </w:r>
      <w:r>
        <w:rPr>
          <w:color w:val="000000"/>
          <w:lang w:val="en-US"/>
        </w:rPr>
        <w:t xml:space="preserve">I refused </w:t>
      </w:r>
      <w:r w:rsidR="00EF7523">
        <w:rPr>
          <w:color w:val="000000"/>
          <w:lang w:val="en-US"/>
        </w:rPr>
        <w:t>counsel’s request for a postponement</w:t>
      </w:r>
      <w:r>
        <w:rPr>
          <w:color w:val="000000"/>
          <w:lang w:val="en-US"/>
        </w:rPr>
        <w:t>.</w:t>
      </w:r>
      <w:r w:rsidR="00EF7523">
        <w:rPr>
          <w:color w:val="000000"/>
          <w:lang w:val="en-US"/>
        </w:rPr>
        <w:t xml:space="preserve"> </w:t>
      </w:r>
      <w:r w:rsidR="003764C4">
        <w:rPr>
          <w:color w:val="000000"/>
          <w:lang w:val="en-US"/>
        </w:rPr>
        <w:t xml:space="preserve">In any event it is the applicants as </w:t>
      </w:r>
      <w:r w:rsidR="003764C4" w:rsidRPr="003764C4">
        <w:rPr>
          <w:i/>
          <w:iCs/>
          <w:color w:val="000000"/>
          <w:lang w:val="en-US"/>
        </w:rPr>
        <w:t>dominus litis</w:t>
      </w:r>
      <w:r w:rsidR="003764C4">
        <w:rPr>
          <w:color w:val="000000"/>
          <w:lang w:val="en-US"/>
        </w:rPr>
        <w:t xml:space="preserve"> who bear the duty to prove that they filed the application for leave to appeal timeously.</w:t>
      </w:r>
    </w:p>
    <w:p w14:paraId="2726BC8B" w14:textId="77777777" w:rsidR="00EF7523" w:rsidRDefault="00EF7523" w:rsidP="00EF7523">
      <w:pPr>
        <w:suppressAutoHyphens w:val="0"/>
        <w:autoSpaceDE w:val="0"/>
        <w:autoSpaceDN w:val="0"/>
        <w:adjustRightInd w:val="0"/>
        <w:spacing w:after="0"/>
        <w:jc w:val="left"/>
        <w:outlineLvl w:val="9"/>
        <w:rPr>
          <w:color w:val="222222"/>
          <w:lang w:eastAsia="en-US"/>
        </w:rPr>
      </w:pPr>
    </w:p>
    <w:p w14:paraId="4295770B" w14:textId="6F16EB0E" w:rsidR="006E7538" w:rsidRPr="006E7538" w:rsidRDefault="006E7538" w:rsidP="006E7538">
      <w:pPr>
        <w:suppressAutoHyphens w:val="0"/>
        <w:autoSpaceDE w:val="0"/>
        <w:autoSpaceDN w:val="0"/>
        <w:adjustRightInd w:val="0"/>
        <w:spacing w:after="0"/>
        <w:outlineLvl w:val="9"/>
        <w:rPr>
          <w:color w:val="222222"/>
          <w:lang w:eastAsia="en-US"/>
        </w:rPr>
      </w:pPr>
      <w:r>
        <w:rPr>
          <w:color w:val="222222"/>
          <w:lang w:eastAsia="en-US"/>
        </w:rPr>
        <w:t>[5]</w:t>
      </w:r>
      <w:r>
        <w:rPr>
          <w:color w:val="222222"/>
          <w:lang w:eastAsia="en-US"/>
        </w:rPr>
        <w:tab/>
      </w:r>
      <w:r w:rsidR="00EF7523" w:rsidRPr="00EF7523">
        <w:rPr>
          <w:color w:val="222222"/>
          <w:lang w:eastAsia="en-US"/>
        </w:rPr>
        <w:t xml:space="preserve">The application for leave to appeal would thus appear to be out of time by more than a year, not only </w:t>
      </w:r>
      <w:r w:rsidR="00EF7523">
        <w:rPr>
          <w:color w:val="222222"/>
          <w:lang w:eastAsia="en-US"/>
        </w:rPr>
        <w:t xml:space="preserve">by </w:t>
      </w:r>
      <w:r w:rsidR="003764C4">
        <w:rPr>
          <w:color w:val="222222"/>
          <w:lang w:eastAsia="en-US"/>
        </w:rPr>
        <w:t xml:space="preserve">four </w:t>
      </w:r>
      <w:r w:rsidR="00EF7523" w:rsidRPr="00EF7523">
        <w:rPr>
          <w:color w:val="222222"/>
          <w:lang w:eastAsia="en-US"/>
        </w:rPr>
        <w:t>days as the applicants contend</w:t>
      </w:r>
      <w:r w:rsidR="003764C4">
        <w:rPr>
          <w:color w:val="222222"/>
          <w:lang w:eastAsia="en-US"/>
        </w:rPr>
        <w:t xml:space="preserve">. </w:t>
      </w:r>
      <w:r w:rsidRPr="00EF7523">
        <w:rPr>
          <w:color w:val="222222"/>
          <w:lang w:eastAsia="en-US"/>
        </w:rPr>
        <w:t>The</w:t>
      </w:r>
      <w:r>
        <w:rPr>
          <w:color w:val="222222"/>
          <w:lang w:eastAsia="en-US"/>
        </w:rPr>
        <w:t xml:space="preserve"> applicants allege that </w:t>
      </w:r>
      <w:r w:rsidRPr="00EF7523">
        <w:rPr>
          <w:color w:val="222222"/>
          <w:lang w:eastAsia="en-US"/>
        </w:rPr>
        <w:t xml:space="preserve"> reason for  the lateness of the application is due to the fact that they were “stretched in terms of funding”. They were only able to </w:t>
      </w:r>
      <w:r w:rsidR="003764C4">
        <w:rPr>
          <w:color w:val="222222"/>
          <w:lang w:eastAsia="en-US"/>
        </w:rPr>
        <w:t>place their attorneys in</w:t>
      </w:r>
      <w:r w:rsidRPr="00EF7523">
        <w:rPr>
          <w:color w:val="222222"/>
          <w:lang w:eastAsia="en-US"/>
        </w:rPr>
        <w:t xml:space="preserve"> funds on or about 23 February 2019. However, they provide no explanation why</w:t>
      </w:r>
      <w:r w:rsidR="003764C4">
        <w:rPr>
          <w:color w:val="222222"/>
          <w:lang w:eastAsia="en-US"/>
        </w:rPr>
        <w:t>, although</w:t>
      </w:r>
      <w:r>
        <w:rPr>
          <w:color w:val="222222"/>
          <w:lang w:eastAsia="en-US"/>
        </w:rPr>
        <w:t xml:space="preserve"> </w:t>
      </w:r>
      <w:r w:rsidRPr="00EF7523">
        <w:rPr>
          <w:color w:val="222222"/>
          <w:lang w:eastAsia="en-US"/>
        </w:rPr>
        <w:t>the application for leave to appeal was served on 25 February 2019</w:t>
      </w:r>
      <w:r w:rsidR="003764C4">
        <w:rPr>
          <w:color w:val="222222"/>
          <w:lang w:eastAsia="en-US"/>
        </w:rPr>
        <w:t>, it was</w:t>
      </w:r>
      <w:r>
        <w:rPr>
          <w:color w:val="222222"/>
          <w:lang w:eastAsia="en-US"/>
        </w:rPr>
        <w:t xml:space="preserve"> </w:t>
      </w:r>
      <w:r w:rsidR="003764C4">
        <w:rPr>
          <w:color w:val="222222"/>
          <w:lang w:eastAsia="en-US"/>
        </w:rPr>
        <w:t xml:space="preserve">only </w:t>
      </w:r>
      <w:r w:rsidRPr="00EF7523">
        <w:rPr>
          <w:color w:val="222222"/>
          <w:lang w:eastAsia="en-US"/>
        </w:rPr>
        <w:t>filed a year later on 18 February 2020;</w:t>
      </w:r>
      <w:r>
        <w:rPr>
          <w:color w:val="222222"/>
          <w:lang w:eastAsia="en-US"/>
        </w:rPr>
        <w:t xml:space="preserve"> why </w:t>
      </w:r>
      <w:r w:rsidR="003764C4">
        <w:rPr>
          <w:color w:val="222222"/>
          <w:lang w:eastAsia="en-US"/>
        </w:rPr>
        <w:t xml:space="preserve">they took </w:t>
      </w:r>
      <w:r w:rsidRPr="00EF7523">
        <w:rPr>
          <w:color w:val="222222"/>
          <w:lang w:eastAsia="en-US"/>
        </w:rPr>
        <w:t xml:space="preserve">no further steps </w:t>
      </w:r>
      <w:r w:rsidR="003764C4">
        <w:rPr>
          <w:color w:val="222222"/>
          <w:lang w:eastAsia="en-US"/>
        </w:rPr>
        <w:t>to prosecute the appeal</w:t>
      </w:r>
      <w:r w:rsidR="00827A5F">
        <w:rPr>
          <w:color w:val="222222"/>
          <w:lang w:eastAsia="en-US"/>
        </w:rPr>
        <w:t xml:space="preserve">; </w:t>
      </w:r>
      <w:r w:rsidR="003764C4">
        <w:rPr>
          <w:color w:val="222222"/>
          <w:lang w:eastAsia="en-US"/>
        </w:rPr>
        <w:t xml:space="preserve">and </w:t>
      </w:r>
      <w:r w:rsidRPr="00EF7523">
        <w:rPr>
          <w:color w:val="222222"/>
          <w:lang w:eastAsia="en-US"/>
        </w:rPr>
        <w:t>w</w:t>
      </w:r>
      <w:r w:rsidR="003764C4">
        <w:rPr>
          <w:color w:val="222222"/>
          <w:lang w:eastAsia="en-US"/>
        </w:rPr>
        <w:t xml:space="preserve">hy </w:t>
      </w:r>
      <w:r w:rsidRPr="00EF7523">
        <w:rPr>
          <w:color w:val="222222"/>
          <w:lang w:eastAsia="en-US"/>
        </w:rPr>
        <w:t>the application for condonation was only served on 22 June 2021</w:t>
      </w:r>
      <w:r>
        <w:rPr>
          <w:color w:val="222222"/>
          <w:lang w:eastAsia="en-US"/>
        </w:rPr>
        <w:t xml:space="preserve">, a week before the application for leave to appeal was set down for hearing. </w:t>
      </w:r>
      <w:r w:rsidR="003764C4">
        <w:rPr>
          <w:color w:val="222222"/>
          <w:lang w:eastAsia="en-US"/>
        </w:rPr>
        <w:t>A</w:t>
      </w:r>
      <w:r w:rsidR="003764C4" w:rsidRPr="00EF7523">
        <w:rPr>
          <w:color w:val="222222"/>
          <w:lang w:eastAsia="en-US"/>
        </w:rPr>
        <w:t xml:space="preserve">ll steps to prosecute </w:t>
      </w:r>
      <w:r w:rsidR="003764C4">
        <w:rPr>
          <w:color w:val="222222"/>
          <w:lang w:eastAsia="en-US"/>
        </w:rPr>
        <w:t>the appeal, including enrolment of the appeal for hearing,</w:t>
      </w:r>
      <w:r w:rsidR="003764C4" w:rsidRPr="00EF7523">
        <w:rPr>
          <w:color w:val="222222"/>
          <w:lang w:eastAsia="en-US"/>
        </w:rPr>
        <w:t xml:space="preserve"> were in fact taken by the responden</w:t>
      </w:r>
      <w:r w:rsidR="003764C4">
        <w:rPr>
          <w:color w:val="222222"/>
          <w:lang w:eastAsia="en-US"/>
        </w:rPr>
        <w:t>t’s attorneys</w:t>
      </w:r>
      <w:r w:rsidR="003764C4" w:rsidRPr="00EF7523">
        <w:rPr>
          <w:color w:val="222222"/>
          <w:lang w:eastAsia="en-US"/>
        </w:rPr>
        <w:t xml:space="preserve">. </w:t>
      </w:r>
      <w:r w:rsidR="003764C4">
        <w:rPr>
          <w:color w:val="222222"/>
          <w:lang w:eastAsia="en-US"/>
        </w:rPr>
        <w:t>This is an indication of the dilatory manner with which the applicants have treated this matter, and it is of some concern that the cause of action arose in 2010.</w:t>
      </w:r>
      <w:r w:rsidR="00827A5F">
        <w:rPr>
          <w:color w:val="222222"/>
          <w:lang w:eastAsia="en-US"/>
        </w:rPr>
        <w:t xml:space="preserve"> </w:t>
      </w:r>
      <w:r w:rsidRPr="002E0EBF">
        <w:rPr>
          <w:lang w:eastAsia="en-US"/>
        </w:rPr>
        <w:t xml:space="preserve">The </w:t>
      </w:r>
      <w:r>
        <w:rPr>
          <w:lang w:eastAsia="en-US"/>
        </w:rPr>
        <w:t>Applicants’ main</w:t>
      </w:r>
      <w:r w:rsidRPr="002E0EBF">
        <w:rPr>
          <w:lang w:eastAsia="en-US"/>
        </w:rPr>
        <w:t xml:space="preserve">  submi</w:t>
      </w:r>
      <w:r>
        <w:rPr>
          <w:lang w:eastAsia="en-US"/>
        </w:rPr>
        <w:t xml:space="preserve">ssion was that </w:t>
      </w:r>
      <w:r w:rsidRPr="002E0EBF">
        <w:rPr>
          <w:lang w:eastAsia="en-US"/>
        </w:rPr>
        <w:t xml:space="preserve"> that it would be a travesty of </w:t>
      </w:r>
      <w:r>
        <w:rPr>
          <w:lang w:eastAsia="en-US"/>
        </w:rPr>
        <w:t>j</w:t>
      </w:r>
      <w:r w:rsidRPr="002E0EBF">
        <w:rPr>
          <w:lang w:eastAsia="en-US"/>
        </w:rPr>
        <w:t>ustice to refuse the</w:t>
      </w:r>
      <w:r>
        <w:rPr>
          <w:lang w:eastAsia="en-US"/>
        </w:rPr>
        <w:t xml:space="preserve"> </w:t>
      </w:r>
      <w:r w:rsidRPr="002E0EBF">
        <w:rPr>
          <w:lang w:eastAsia="en-US"/>
        </w:rPr>
        <w:t>condonation application and thus the appeal itself when the application was only</w:t>
      </w:r>
      <w:r>
        <w:rPr>
          <w:lang w:eastAsia="en-US"/>
        </w:rPr>
        <w:t xml:space="preserve"> </w:t>
      </w:r>
      <w:r w:rsidRPr="002E0EBF">
        <w:rPr>
          <w:lang w:eastAsia="en-US"/>
        </w:rPr>
        <w:t xml:space="preserve">a few short days late and to shut the door to the </w:t>
      </w:r>
      <w:r>
        <w:rPr>
          <w:lang w:eastAsia="en-US"/>
        </w:rPr>
        <w:t>applicants</w:t>
      </w:r>
      <w:r w:rsidRPr="002E0EBF">
        <w:rPr>
          <w:lang w:eastAsia="en-US"/>
        </w:rPr>
        <w:t xml:space="preserve"> in these circumstances</w:t>
      </w:r>
      <w:r>
        <w:rPr>
          <w:lang w:eastAsia="en-US"/>
        </w:rPr>
        <w:t>.</w:t>
      </w:r>
    </w:p>
    <w:p w14:paraId="74C62D51" w14:textId="77777777" w:rsidR="006E7538" w:rsidRDefault="006E7538" w:rsidP="00EF7523">
      <w:pPr>
        <w:suppressAutoHyphens w:val="0"/>
        <w:autoSpaceDE w:val="0"/>
        <w:autoSpaceDN w:val="0"/>
        <w:adjustRightInd w:val="0"/>
        <w:spacing w:after="0"/>
        <w:outlineLvl w:val="9"/>
        <w:rPr>
          <w:color w:val="222222"/>
          <w:lang w:eastAsia="en-US"/>
        </w:rPr>
      </w:pPr>
    </w:p>
    <w:p w14:paraId="6BBFA155" w14:textId="0F903890" w:rsidR="006E7538" w:rsidRPr="00EF7523" w:rsidRDefault="00827A5F" w:rsidP="006E7538">
      <w:pPr>
        <w:suppressAutoHyphens w:val="0"/>
        <w:autoSpaceDE w:val="0"/>
        <w:autoSpaceDN w:val="0"/>
        <w:adjustRightInd w:val="0"/>
        <w:spacing w:after="0"/>
        <w:outlineLvl w:val="9"/>
        <w:rPr>
          <w:color w:val="222222"/>
          <w:lang w:eastAsia="en-US"/>
        </w:rPr>
      </w:pPr>
      <w:r>
        <w:rPr>
          <w:color w:val="222222"/>
          <w:lang w:eastAsia="en-US"/>
        </w:rPr>
        <w:t>[6]</w:t>
      </w:r>
      <w:r w:rsidR="006E7538">
        <w:rPr>
          <w:color w:val="222222"/>
          <w:lang w:eastAsia="en-US"/>
        </w:rPr>
        <w:tab/>
      </w:r>
      <w:r w:rsidR="006E7538" w:rsidRPr="00EF7523">
        <w:rPr>
          <w:color w:val="222222"/>
          <w:lang w:eastAsia="en-US"/>
        </w:rPr>
        <w:t xml:space="preserve">In the matter of </w:t>
      </w:r>
      <w:r w:rsidR="006E7538" w:rsidRPr="00EF7523">
        <w:rPr>
          <w:i/>
          <w:iCs/>
          <w:color w:val="222222"/>
          <w:lang w:eastAsia="en-US"/>
        </w:rPr>
        <w:t>S v Yusuf</w:t>
      </w:r>
      <w:r w:rsidR="006E7538">
        <w:rPr>
          <w:color w:val="222222"/>
          <w:lang w:eastAsia="en-US"/>
        </w:rPr>
        <w:t xml:space="preserve"> </w:t>
      </w:r>
      <w:r w:rsidR="006E7538">
        <w:rPr>
          <w:rStyle w:val="FootnoteReference"/>
          <w:color w:val="222222"/>
          <w:lang w:eastAsia="en-US"/>
        </w:rPr>
        <w:footnoteReference w:id="1"/>
      </w:r>
      <w:r w:rsidR="003764C4">
        <w:rPr>
          <w:color w:val="222222"/>
          <w:lang w:eastAsia="en-US"/>
        </w:rPr>
        <w:t xml:space="preserve"> </w:t>
      </w:r>
      <w:r w:rsidR="006E7538" w:rsidRPr="00EF7523">
        <w:rPr>
          <w:color w:val="222222"/>
          <w:lang w:eastAsia="en-US"/>
        </w:rPr>
        <w:t xml:space="preserve">the </w:t>
      </w:r>
      <w:r>
        <w:rPr>
          <w:color w:val="222222"/>
          <w:lang w:eastAsia="en-US"/>
        </w:rPr>
        <w:t>A</w:t>
      </w:r>
      <w:r w:rsidR="006E7538" w:rsidRPr="00EF7523">
        <w:rPr>
          <w:color w:val="222222"/>
          <w:lang w:eastAsia="en-US"/>
        </w:rPr>
        <w:t xml:space="preserve">ppellate </w:t>
      </w:r>
      <w:r>
        <w:rPr>
          <w:color w:val="222222"/>
          <w:lang w:eastAsia="en-US"/>
        </w:rPr>
        <w:t>D</w:t>
      </w:r>
      <w:r w:rsidR="006E7538" w:rsidRPr="00EF7523">
        <w:rPr>
          <w:color w:val="222222"/>
          <w:lang w:eastAsia="en-US"/>
        </w:rPr>
        <w:t>ivision had regard to the requirement of</w:t>
      </w:r>
      <w:r w:rsidR="006E7538">
        <w:rPr>
          <w:color w:val="222222"/>
          <w:lang w:eastAsia="en-US"/>
        </w:rPr>
        <w:t xml:space="preserve"> </w:t>
      </w:r>
      <w:r w:rsidR="006E7538" w:rsidRPr="00EF7523">
        <w:rPr>
          <w:color w:val="222222"/>
          <w:lang w:eastAsia="en-US"/>
        </w:rPr>
        <w:t>good cause in relation to a request to be excused from non-compliance with the</w:t>
      </w:r>
      <w:r w:rsidR="006E7538">
        <w:rPr>
          <w:color w:val="222222"/>
          <w:lang w:eastAsia="en-US"/>
        </w:rPr>
        <w:t xml:space="preserve"> </w:t>
      </w:r>
      <w:r w:rsidR="006E7538" w:rsidRPr="00EF7523">
        <w:rPr>
          <w:color w:val="222222"/>
          <w:lang w:eastAsia="en-US"/>
        </w:rPr>
        <w:t>Rules of Court. It held as follows:</w:t>
      </w:r>
    </w:p>
    <w:p w14:paraId="319D27BA" w14:textId="77777777" w:rsidR="006E7538" w:rsidRPr="00827A5F" w:rsidRDefault="006E7538" w:rsidP="006E7538">
      <w:pPr>
        <w:suppressAutoHyphens w:val="0"/>
        <w:autoSpaceDE w:val="0"/>
        <w:autoSpaceDN w:val="0"/>
        <w:adjustRightInd w:val="0"/>
        <w:spacing w:after="0"/>
        <w:outlineLvl w:val="9"/>
        <w:rPr>
          <w:i/>
          <w:iCs/>
          <w:color w:val="000000"/>
          <w:lang w:eastAsia="en-US"/>
        </w:rPr>
      </w:pPr>
      <w:r w:rsidRPr="00827A5F">
        <w:rPr>
          <w:i/>
          <w:iCs/>
          <w:color w:val="000000"/>
          <w:lang w:eastAsia="en-US"/>
        </w:rPr>
        <w:t>“Thus the Court has had regard to factors such as the efforts made towards</w:t>
      </w:r>
    </w:p>
    <w:p w14:paraId="7509C922" w14:textId="77777777" w:rsidR="006E7538" w:rsidRPr="00827A5F" w:rsidRDefault="006E7538" w:rsidP="006E7538">
      <w:pPr>
        <w:suppressAutoHyphens w:val="0"/>
        <w:autoSpaceDE w:val="0"/>
        <w:autoSpaceDN w:val="0"/>
        <w:adjustRightInd w:val="0"/>
        <w:spacing w:after="0"/>
        <w:outlineLvl w:val="9"/>
        <w:rPr>
          <w:i/>
          <w:iCs/>
          <w:color w:val="000000"/>
          <w:lang w:eastAsia="en-US"/>
        </w:rPr>
      </w:pPr>
      <w:r w:rsidRPr="00827A5F">
        <w:rPr>
          <w:i/>
          <w:iCs/>
          <w:color w:val="000000"/>
          <w:lang w:eastAsia="en-US"/>
        </w:rPr>
        <w:lastRenderedPageBreak/>
        <w:t xml:space="preserve">compliance with the Rules, the degree of non-compliance (in this case the length of the delay), the explanation therefor, the prospects of success, and the importance of the case. Such factors are not individually decisive, but must be weighed one against another, for example a short delay and good prospects of success might compensate for a weak explanation. In each case the question is whether sufficient cause has been shown for the relief sought.” </w:t>
      </w:r>
    </w:p>
    <w:p w14:paraId="3372D844" w14:textId="77777777" w:rsidR="006E7538" w:rsidRDefault="006E7538" w:rsidP="006E7538">
      <w:pPr>
        <w:suppressAutoHyphens w:val="0"/>
        <w:autoSpaceDE w:val="0"/>
        <w:autoSpaceDN w:val="0"/>
        <w:adjustRightInd w:val="0"/>
        <w:spacing w:after="0"/>
        <w:outlineLvl w:val="9"/>
        <w:rPr>
          <w:color w:val="222222"/>
          <w:lang w:eastAsia="en-US"/>
        </w:rPr>
      </w:pPr>
    </w:p>
    <w:p w14:paraId="2E71A729" w14:textId="6AC84EB1" w:rsidR="006E7538" w:rsidRPr="00EF7523" w:rsidRDefault="006E7538" w:rsidP="006E7538">
      <w:pPr>
        <w:suppressAutoHyphens w:val="0"/>
        <w:autoSpaceDE w:val="0"/>
        <w:autoSpaceDN w:val="0"/>
        <w:adjustRightInd w:val="0"/>
        <w:spacing w:after="0"/>
        <w:outlineLvl w:val="9"/>
        <w:rPr>
          <w:color w:val="222222"/>
          <w:lang w:eastAsia="en-US"/>
        </w:rPr>
      </w:pPr>
      <w:r>
        <w:rPr>
          <w:color w:val="222222"/>
          <w:lang w:eastAsia="en-US"/>
        </w:rPr>
        <w:t>[</w:t>
      </w:r>
      <w:r w:rsidR="00827A5F">
        <w:rPr>
          <w:color w:val="222222"/>
          <w:lang w:eastAsia="en-US"/>
        </w:rPr>
        <w:t>7</w:t>
      </w:r>
      <w:r>
        <w:rPr>
          <w:color w:val="222222"/>
          <w:lang w:eastAsia="en-US"/>
        </w:rPr>
        <w:t>]</w:t>
      </w:r>
      <w:r>
        <w:rPr>
          <w:color w:val="222222"/>
          <w:lang w:eastAsia="en-US"/>
        </w:rPr>
        <w:tab/>
      </w:r>
      <w:r w:rsidRPr="00EF7523">
        <w:rPr>
          <w:color w:val="222222"/>
          <w:lang w:eastAsia="en-US"/>
        </w:rPr>
        <w:t xml:space="preserve">In order to succeed with an application for condonation, the </w:t>
      </w:r>
      <w:r>
        <w:rPr>
          <w:color w:val="222222"/>
          <w:lang w:eastAsia="en-US"/>
        </w:rPr>
        <w:t xml:space="preserve">applicants </w:t>
      </w:r>
      <w:r w:rsidRPr="00EF7523">
        <w:rPr>
          <w:color w:val="222222"/>
          <w:lang w:eastAsia="en-US"/>
        </w:rPr>
        <w:t xml:space="preserve">must </w:t>
      </w:r>
      <w:r w:rsidR="00827A5F">
        <w:rPr>
          <w:color w:val="222222"/>
          <w:lang w:eastAsia="en-US"/>
        </w:rPr>
        <w:t xml:space="preserve">therefore </w:t>
      </w:r>
      <w:r w:rsidRPr="00EF7523">
        <w:rPr>
          <w:color w:val="222222"/>
          <w:lang w:eastAsia="en-US"/>
        </w:rPr>
        <w:t>show</w:t>
      </w:r>
      <w:r>
        <w:rPr>
          <w:color w:val="222222"/>
          <w:lang w:eastAsia="en-US"/>
        </w:rPr>
        <w:t xml:space="preserve"> </w:t>
      </w:r>
      <w:r w:rsidRPr="00EF7523">
        <w:rPr>
          <w:color w:val="222222"/>
          <w:lang w:eastAsia="en-US"/>
        </w:rPr>
        <w:t xml:space="preserve">good cause. This entails </w:t>
      </w:r>
      <w:r>
        <w:rPr>
          <w:color w:val="222222"/>
          <w:lang w:eastAsia="en-US"/>
        </w:rPr>
        <w:t>three</w:t>
      </w:r>
      <w:r w:rsidRPr="00EF7523">
        <w:rPr>
          <w:color w:val="222222"/>
          <w:lang w:eastAsia="en-US"/>
        </w:rPr>
        <w:t xml:space="preserve"> elements. Firstly, they must give a reasonable</w:t>
      </w:r>
      <w:r>
        <w:rPr>
          <w:color w:val="222222"/>
          <w:lang w:eastAsia="en-US"/>
        </w:rPr>
        <w:t xml:space="preserve"> </w:t>
      </w:r>
      <w:r w:rsidRPr="00EF7523">
        <w:rPr>
          <w:color w:val="222222"/>
          <w:lang w:eastAsia="en-US"/>
        </w:rPr>
        <w:t>explanation for their default. Secondly, they must show that the application is made</w:t>
      </w:r>
      <w:r>
        <w:rPr>
          <w:color w:val="222222"/>
          <w:lang w:eastAsia="en-US"/>
        </w:rPr>
        <w:t xml:space="preserve"> </w:t>
      </w:r>
      <w:r w:rsidRPr="00EF7523">
        <w:rPr>
          <w:i/>
          <w:iCs/>
          <w:color w:val="222222"/>
          <w:lang w:eastAsia="en-US"/>
        </w:rPr>
        <w:t>bona fide</w:t>
      </w:r>
      <w:r w:rsidRPr="00EF7523">
        <w:rPr>
          <w:color w:val="222222"/>
          <w:lang w:eastAsia="en-US"/>
        </w:rPr>
        <w:t xml:space="preserve">. </w:t>
      </w:r>
      <w:r w:rsidR="00827A5F" w:rsidRPr="00EF7523">
        <w:rPr>
          <w:color w:val="222222"/>
          <w:lang w:eastAsia="en-US"/>
        </w:rPr>
        <w:t xml:space="preserve">The third element is that the defendants must show that they have a </w:t>
      </w:r>
      <w:r w:rsidR="00827A5F" w:rsidRPr="006E7538">
        <w:rPr>
          <w:i/>
          <w:iCs/>
          <w:color w:val="222222"/>
          <w:lang w:eastAsia="en-US"/>
        </w:rPr>
        <w:t>bona fide</w:t>
      </w:r>
      <w:r w:rsidR="00827A5F">
        <w:rPr>
          <w:i/>
          <w:iCs/>
          <w:color w:val="222222"/>
          <w:lang w:eastAsia="en-US"/>
        </w:rPr>
        <w:t xml:space="preserve"> </w:t>
      </w:r>
      <w:r w:rsidR="00827A5F" w:rsidRPr="00EF7523">
        <w:rPr>
          <w:color w:val="222222"/>
          <w:lang w:eastAsia="en-US"/>
        </w:rPr>
        <w:t xml:space="preserve">defence, which </w:t>
      </w:r>
      <w:r w:rsidR="00827A5F" w:rsidRPr="00EF7523">
        <w:rPr>
          <w:i/>
          <w:iCs/>
          <w:color w:val="222222"/>
          <w:lang w:eastAsia="en-US"/>
        </w:rPr>
        <w:t>prima facie</w:t>
      </w:r>
      <w:r w:rsidR="00827A5F" w:rsidRPr="00EF7523">
        <w:rPr>
          <w:color w:val="222222"/>
          <w:lang w:eastAsia="en-US"/>
        </w:rPr>
        <w:t xml:space="preserve"> carries some prospect of success.</w:t>
      </w:r>
    </w:p>
    <w:p w14:paraId="5926ABD5" w14:textId="77777777" w:rsidR="006E7538" w:rsidRDefault="006E7538" w:rsidP="006E7538">
      <w:pPr>
        <w:suppressAutoHyphens w:val="0"/>
        <w:autoSpaceDE w:val="0"/>
        <w:autoSpaceDN w:val="0"/>
        <w:adjustRightInd w:val="0"/>
        <w:spacing w:after="0"/>
        <w:outlineLvl w:val="9"/>
        <w:rPr>
          <w:color w:val="222222"/>
          <w:lang w:eastAsia="en-US"/>
        </w:rPr>
      </w:pPr>
    </w:p>
    <w:p w14:paraId="3BB33AA2" w14:textId="538D36D0" w:rsidR="006E7538" w:rsidRPr="000A6F08" w:rsidRDefault="006E7538" w:rsidP="006E7538">
      <w:pPr>
        <w:suppressAutoHyphens w:val="0"/>
        <w:autoSpaceDE w:val="0"/>
        <w:autoSpaceDN w:val="0"/>
        <w:adjustRightInd w:val="0"/>
        <w:spacing w:after="0"/>
        <w:outlineLvl w:val="9"/>
        <w:rPr>
          <w:i/>
          <w:iCs/>
          <w:color w:val="222222"/>
          <w:lang w:eastAsia="en-US"/>
        </w:rPr>
      </w:pPr>
      <w:r>
        <w:rPr>
          <w:color w:val="222222"/>
          <w:lang w:eastAsia="en-US"/>
        </w:rPr>
        <w:t>[</w:t>
      </w:r>
      <w:r w:rsidR="00827A5F">
        <w:rPr>
          <w:color w:val="222222"/>
          <w:lang w:eastAsia="en-US"/>
        </w:rPr>
        <w:t>8</w:t>
      </w:r>
      <w:r>
        <w:rPr>
          <w:color w:val="222222"/>
          <w:lang w:eastAsia="en-US"/>
        </w:rPr>
        <w:t>]</w:t>
      </w:r>
      <w:r>
        <w:rPr>
          <w:color w:val="222222"/>
          <w:lang w:eastAsia="en-US"/>
        </w:rPr>
        <w:tab/>
        <w:t xml:space="preserve">In assessing the </w:t>
      </w:r>
      <w:r w:rsidRPr="00EF7523">
        <w:rPr>
          <w:color w:val="222222"/>
          <w:lang w:eastAsia="en-US"/>
        </w:rPr>
        <w:t xml:space="preserve"> </w:t>
      </w:r>
      <w:r>
        <w:rPr>
          <w:color w:val="222222"/>
          <w:lang w:eastAsia="en-US"/>
        </w:rPr>
        <w:t xml:space="preserve">reasonableness of the explanation for the default, this </w:t>
      </w:r>
      <w:r w:rsidRPr="00EF7523">
        <w:rPr>
          <w:color w:val="222222"/>
          <w:lang w:eastAsia="en-US"/>
        </w:rPr>
        <w:t>Court has to consider not only the lateness of the application for</w:t>
      </w:r>
      <w:r>
        <w:rPr>
          <w:color w:val="222222"/>
          <w:lang w:eastAsia="en-US"/>
        </w:rPr>
        <w:t xml:space="preserve"> </w:t>
      </w:r>
      <w:r w:rsidRPr="00EF7523">
        <w:rPr>
          <w:color w:val="222222"/>
          <w:lang w:eastAsia="en-US"/>
        </w:rPr>
        <w:t>leave to appeal but also th</w:t>
      </w:r>
      <w:r>
        <w:rPr>
          <w:color w:val="222222"/>
          <w:lang w:eastAsia="en-US"/>
        </w:rPr>
        <w:t xml:space="preserve">e </w:t>
      </w:r>
      <w:r w:rsidRPr="00EF7523">
        <w:rPr>
          <w:color w:val="222222"/>
          <w:lang w:eastAsia="en-US"/>
        </w:rPr>
        <w:t>delay in seeking condonation for such</w:t>
      </w:r>
      <w:r>
        <w:rPr>
          <w:color w:val="222222"/>
          <w:lang w:eastAsia="en-US"/>
        </w:rPr>
        <w:t xml:space="preserve"> </w:t>
      </w:r>
      <w:r w:rsidRPr="00EF7523">
        <w:rPr>
          <w:color w:val="222222"/>
          <w:lang w:eastAsia="en-US"/>
        </w:rPr>
        <w:t>lateness. I</w:t>
      </w:r>
      <w:r>
        <w:rPr>
          <w:color w:val="222222"/>
          <w:lang w:eastAsia="en-US"/>
        </w:rPr>
        <w:t xml:space="preserve"> agree with the submission by respondent’s counsel</w:t>
      </w:r>
      <w:r w:rsidR="00827A5F">
        <w:rPr>
          <w:color w:val="222222"/>
          <w:lang w:eastAsia="en-US"/>
        </w:rPr>
        <w:t>, Ms Denichaud,</w:t>
      </w:r>
      <w:r>
        <w:rPr>
          <w:color w:val="222222"/>
          <w:lang w:eastAsia="en-US"/>
        </w:rPr>
        <w:t xml:space="preserve"> </w:t>
      </w:r>
      <w:r w:rsidRPr="00EF7523">
        <w:rPr>
          <w:color w:val="222222"/>
          <w:lang w:eastAsia="en-US"/>
        </w:rPr>
        <w:t>that there is no satisfactory explanation for either of the delays</w:t>
      </w:r>
      <w:r>
        <w:rPr>
          <w:color w:val="222222"/>
          <w:lang w:eastAsia="en-US"/>
        </w:rPr>
        <w:t xml:space="preserve"> </w:t>
      </w:r>
      <w:r w:rsidRPr="00EF7523">
        <w:rPr>
          <w:color w:val="222222"/>
          <w:lang w:eastAsia="en-US"/>
        </w:rPr>
        <w:t xml:space="preserve">caused by the </w:t>
      </w:r>
      <w:r>
        <w:rPr>
          <w:color w:val="222222"/>
          <w:lang w:eastAsia="en-US"/>
        </w:rPr>
        <w:t xml:space="preserve">applicants. Indeed, there are no facts and/or reasons provided for the </w:t>
      </w:r>
      <w:r w:rsidRPr="00EF7523">
        <w:rPr>
          <w:color w:val="222222"/>
          <w:lang w:eastAsia="en-US"/>
        </w:rPr>
        <w:t>delay</w:t>
      </w:r>
      <w:r w:rsidR="00827A5F">
        <w:rPr>
          <w:color w:val="222222"/>
          <w:lang w:eastAsia="en-US"/>
        </w:rPr>
        <w:t xml:space="preserve"> at all</w:t>
      </w:r>
      <w:r w:rsidR="000A6F08">
        <w:rPr>
          <w:color w:val="222222"/>
          <w:lang w:eastAsia="en-US"/>
        </w:rPr>
        <w:t xml:space="preserve">, and that the conduct of the applicants in the matter reflects their lack of </w:t>
      </w:r>
      <w:r w:rsidR="000A6F08" w:rsidRPr="000A6F08">
        <w:rPr>
          <w:i/>
          <w:iCs/>
          <w:color w:val="222222"/>
          <w:lang w:eastAsia="en-US"/>
        </w:rPr>
        <w:t>bona fides.</w:t>
      </w:r>
    </w:p>
    <w:p w14:paraId="71E5E25C" w14:textId="77777777" w:rsidR="006E7538" w:rsidRDefault="006E7538" w:rsidP="006E7538">
      <w:pPr>
        <w:suppressAutoHyphens w:val="0"/>
        <w:autoSpaceDE w:val="0"/>
        <w:autoSpaceDN w:val="0"/>
        <w:adjustRightInd w:val="0"/>
        <w:spacing w:after="0"/>
        <w:outlineLvl w:val="9"/>
        <w:rPr>
          <w:color w:val="222222"/>
          <w:lang w:eastAsia="en-US"/>
        </w:rPr>
      </w:pPr>
    </w:p>
    <w:p w14:paraId="03AE1D72" w14:textId="7712206C" w:rsidR="006E7538" w:rsidRPr="00EF7523" w:rsidRDefault="006E7538" w:rsidP="006E7538">
      <w:pPr>
        <w:suppressAutoHyphens w:val="0"/>
        <w:autoSpaceDE w:val="0"/>
        <w:autoSpaceDN w:val="0"/>
        <w:adjustRightInd w:val="0"/>
        <w:spacing w:after="0"/>
        <w:outlineLvl w:val="9"/>
        <w:rPr>
          <w:color w:val="222222"/>
          <w:lang w:eastAsia="en-US"/>
        </w:rPr>
      </w:pPr>
      <w:r>
        <w:rPr>
          <w:color w:val="222222"/>
          <w:lang w:eastAsia="en-US"/>
        </w:rPr>
        <w:t>[</w:t>
      </w:r>
      <w:r w:rsidR="00827A5F">
        <w:rPr>
          <w:color w:val="222222"/>
          <w:lang w:eastAsia="en-US"/>
        </w:rPr>
        <w:t>9</w:t>
      </w:r>
      <w:r>
        <w:rPr>
          <w:color w:val="222222"/>
          <w:lang w:eastAsia="en-US"/>
        </w:rPr>
        <w:t>]</w:t>
      </w:r>
      <w:r>
        <w:rPr>
          <w:color w:val="222222"/>
          <w:lang w:eastAsia="en-US"/>
        </w:rPr>
        <w:tab/>
        <w:t>It is trite that w</w:t>
      </w:r>
      <w:r w:rsidRPr="00EF7523">
        <w:rPr>
          <w:color w:val="222222"/>
          <w:lang w:eastAsia="en-US"/>
        </w:rPr>
        <w:t>hen a litigant realizes that he has not complied with a Rule of Court, he should</w:t>
      </w:r>
      <w:r>
        <w:rPr>
          <w:color w:val="222222"/>
          <w:lang w:eastAsia="en-US"/>
        </w:rPr>
        <w:t xml:space="preserve"> </w:t>
      </w:r>
      <w:r w:rsidRPr="00EF7523">
        <w:rPr>
          <w:color w:val="222222"/>
          <w:lang w:eastAsia="en-US"/>
        </w:rPr>
        <w:t xml:space="preserve">apply, without delay, for condonation. It was held as follows in the matter of </w:t>
      </w:r>
      <w:r w:rsidRPr="00EF7523">
        <w:rPr>
          <w:i/>
          <w:iCs/>
          <w:color w:val="000000"/>
          <w:lang w:eastAsia="en-US"/>
        </w:rPr>
        <w:t>De</w:t>
      </w:r>
      <w:r>
        <w:rPr>
          <w:color w:val="222222"/>
          <w:lang w:eastAsia="en-US"/>
        </w:rPr>
        <w:t xml:space="preserve"> </w:t>
      </w:r>
      <w:r w:rsidRPr="00EF7523">
        <w:rPr>
          <w:i/>
          <w:iCs/>
          <w:color w:val="000000"/>
          <w:lang w:eastAsia="en-US"/>
        </w:rPr>
        <w:t>Beer en ‘n Ander v Western Bank Ltd</w:t>
      </w:r>
      <w:r>
        <w:rPr>
          <w:rStyle w:val="FootnoteReference"/>
          <w:i/>
          <w:iCs/>
          <w:color w:val="000000"/>
          <w:lang w:eastAsia="en-US"/>
        </w:rPr>
        <w:footnoteReference w:id="2"/>
      </w:r>
      <w:r w:rsidRPr="00EF7523">
        <w:rPr>
          <w:color w:val="222222"/>
          <w:lang w:eastAsia="en-US"/>
        </w:rPr>
        <w:t>:</w:t>
      </w:r>
    </w:p>
    <w:p w14:paraId="49AC4CF2" w14:textId="77777777" w:rsidR="006E7538" w:rsidRPr="006E7538" w:rsidRDefault="006E7538" w:rsidP="006E7538">
      <w:pPr>
        <w:suppressAutoHyphens w:val="0"/>
        <w:autoSpaceDE w:val="0"/>
        <w:autoSpaceDN w:val="0"/>
        <w:adjustRightInd w:val="0"/>
        <w:spacing w:after="0"/>
        <w:outlineLvl w:val="9"/>
        <w:rPr>
          <w:i/>
          <w:iCs/>
          <w:color w:val="000000"/>
          <w:lang w:eastAsia="en-US"/>
        </w:rPr>
      </w:pPr>
      <w:r w:rsidRPr="006E7538">
        <w:rPr>
          <w:i/>
          <w:iCs/>
          <w:color w:val="222222"/>
          <w:lang w:eastAsia="en-US"/>
        </w:rPr>
        <w:t>“</w:t>
      </w:r>
      <w:r w:rsidRPr="006E7538">
        <w:rPr>
          <w:i/>
          <w:iCs/>
          <w:color w:val="000000"/>
          <w:lang w:eastAsia="en-US"/>
        </w:rPr>
        <w:t>Dit is reeds by herhaling in uitsprake van hierdie Hof gestel dat 'n aansoek om</w:t>
      </w:r>
    </w:p>
    <w:p w14:paraId="7210B208" w14:textId="77777777" w:rsidR="006E7538" w:rsidRPr="006E7538" w:rsidRDefault="006E7538" w:rsidP="006E7538">
      <w:pPr>
        <w:suppressAutoHyphens w:val="0"/>
        <w:autoSpaceDE w:val="0"/>
        <w:autoSpaceDN w:val="0"/>
        <w:adjustRightInd w:val="0"/>
        <w:spacing w:after="0"/>
        <w:outlineLvl w:val="9"/>
        <w:rPr>
          <w:i/>
          <w:iCs/>
          <w:color w:val="000000"/>
          <w:lang w:eastAsia="en-US"/>
        </w:rPr>
      </w:pPr>
      <w:r w:rsidRPr="006E7538">
        <w:rPr>
          <w:i/>
          <w:iCs/>
          <w:color w:val="000000"/>
          <w:lang w:eastAsia="en-US"/>
        </w:rPr>
        <w:t>kondonasie gedoen moet word so gou doenlik na 'n betrokke party tot die besef</w:t>
      </w:r>
    </w:p>
    <w:p w14:paraId="058AE01C" w14:textId="77777777" w:rsidR="006E7538" w:rsidRPr="006E7538" w:rsidRDefault="006E7538" w:rsidP="006E7538">
      <w:pPr>
        <w:suppressAutoHyphens w:val="0"/>
        <w:autoSpaceDE w:val="0"/>
        <w:autoSpaceDN w:val="0"/>
        <w:adjustRightInd w:val="0"/>
        <w:spacing w:after="0"/>
        <w:outlineLvl w:val="9"/>
        <w:rPr>
          <w:i/>
          <w:iCs/>
          <w:color w:val="000000"/>
          <w:lang w:eastAsia="en-US"/>
        </w:rPr>
      </w:pPr>
      <w:r w:rsidRPr="006E7538">
        <w:rPr>
          <w:i/>
          <w:iCs/>
          <w:color w:val="000000"/>
          <w:lang w:eastAsia="en-US"/>
        </w:rPr>
        <w:t>kom dat hy nagelaat het om aan voorskrifte van die Appèlhofreëls te voldoen.”</w:t>
      </w:r>
    </w:p>
    <w:p w14:paraId="3BC447BF" w14:textId="697C3FFB" w:rsidR="006E7538" w:rsidRDefault="006E7538" w:rsidP="006E7538">
      <w:pPr>
        <w:suppressAutoHyphens w:val="0"/>
        <w:autoSpaceDE w:val="0"/>
        <w:autoSpaceDN w:val="0"/>
        <w:adjustRightInd w:val="0"/>
        <w:spacing w:after="0"/>
        <w:outlineLvl w:val="9"/>
        <w:rPr>
          <w:color w:val="222222"/>
          <w:lang w:eastAsia="en-US"/>
        </w:rPr>
      </w:pPr>
    </w:p>
    <w:p w14:paraId="0DE8D9C8" w14:textId="4B74A2B1" w:rsidR="00EF7523" w:rsidRPr="006E7538" w:rsidRDefault="006E7538" w:rsidP="006E7538">
      <w:pPr>
        <w:suppressAutoHyphens w:val="0"/>
        <w:autoSpaceDE w:val="0"/>
        <w:autoSpaceDN w:val="0"/>
        <w:adjustRightInd w:val="0"/>
        <w:spacing w:after="0"/>
        <w:outlineLvl w:val="9"/>
        <w:rPr>
          <w:i/>
          <w:iCs/>
          <w:color w:val="222222"/>
          <w:lang w:eastAsia="en-US"/>
        </w:rPr>
      </w:pPr>
      <w:r>
        <w:rPr>
          <w:color w:val="222222"/>
          <w:lang w:eastAsia="en-US"/>
        </w:rPr>
        <w:t>[1</w:t>
      </w:r>
      <w:r w:rsidR="00827A5F">
        <w:rPr>
          <w:color w:val="222222"/>
          <w:lang w:eastAsia="en-US"/>
        </w:rPr>
        <w:t>0</w:t>
      </w:r>
      <w:r>
        <w:rPr>
          <w:color w:val="222222"/>
          <w:lang w:eastAsia="en-US"/>
        </w:rPr>
        <w:t>]</w:t>
      </w:r>
      <w:r>
        <w:rPr>
          <w:color w:val="222222"/>
          <w:lang w:eastAsia="en-US"/>
        </w:rPr>
        <w:tab/>
      </w:r>
      <w:r w:rsidR="00827A5F">
        <w:rPr>
          <w:color w:val="222222"/>
          <w:lang w:eastAsia="en-US"/>
        </w:rPr>
        <w:t>In relation to the third</w:t>
      </w:r>
      <w:r w:rsidRPr="00EF7523">
        <w:rPr>
          <w:color w:val="222222"/>
          <w:lang w:eastAsia="en-US"/>
        </w:rPr>
        <w:t xml:space="preserve"> element</w:t>
      </w:r>
      <w:r w:rsidR="00827A5F">
        <w:rPr>
          <w:color w:val="222222"/>
          <w:lang w:eastAsia="en-US"/>
        </w:rPr>
        <w:t>, which</w:t>
      </w:r>
      <w:r w:rsidRPr="00EF7523">
        <w:rPr>
          <w:color w:val="222222"/>
          <w:lang w:eastAsia="en-US"/>
        </w:rPr>
        <w:t xml:space="preserve"> is that the defendants must show that they have a </w:t>
      </w:r>
      <w:r w:rsidRPr="006E7538">
        <w:rPr>
          <w:i/>
          <w:iCs/>
          <w:color w:val="222222"/>
          <w:lang w:eastAsia="en-US"/>
        </w:rPr>
        <w:t>bona fide</w:t>
      </w:r>
      <w:r>
        <w:rPr>
          <w:i/>
          <w:iCs/>
          <w:color w:val="222222"/>
          <w:lang w:eastAsia="en-US"/>
        </w:rPr>
        <w:t xml:space="preserve"> </w:t>
      </w:r>
      <w:r w:rsidRPr="00EF7523">
        <w:rPr>
          <w:color w:val="222222"/>
          <w:lang w:eastAsia="en-US"/>
        </w:rPr>
        <w:t xml:space="preserve">defence, which </w:t>
      </w:r>
      <w:r w:rsidRPr="00EF7523">
        <w:rPr>
          <w:i/>
          <w:iCs/>
          <w:color w:val="222222"/>
          <w:lang w:eastAsia="en-US"/>
        </w:rPr>
        <w:t>prima facie</w:t>
      </w:r>
      <w:r w:rsidRPr="00EF7523">
        <w:rPr>
          <w:color w:val="222222"/>
          <w:lang w:eastAsia="en-US"/>
        </w:rPr>
        <w:t xml:space="preserve"> carries some prospect of success</w:t>
      </w:r>
      <w:r w:rsidR="00827A5F">
        <w:rPr>
          <w:color w:val="222222"/>
          <w:lang w:eastAsia="en-US"/>
        </w:rPr>
        <w:t xml:space="preserve">, </w:t>
      </w:r>
      <w:r w:rsidR="00EF7523">
        <w:rPr>
          <w:color w:val="222222"/>
          <w:lang w:eastAsia="en-US"/>
        </w:rPr>
        <w:t xml:space="preserve">Ms Denichaud submitted that the </w:t>
      </w:r>
      <w:r w:rsidR="00EF7523" w:rsidRPr="00EF7523">
        <w:rPr>
          <w:color w:val="222222"/>
          <w:lang w:eastAsia="en-US"/>
        </w:rPr>
        <w:t xml:space="preserve">application for condonation is not </w:t>
      </w:r>
      <w:r w:rsidR="00EF7523">
        <w:rPr>
          <w:color w:val="222222"/>
          <w:lang w:eastAsia="en-US"/>
        </w:rPr>
        <w:lastRenderedPageBreak/>
        <w:t xml:space="preserve">made </w:t>
      </w:r>
      <w:r w:rsidR="00EF7523" w:rsidRPr="00EF7523">
        <w:rPr>
          <w:i/>
          <w:iCs/>
          <w:color w:val="222222"/>
          <w:lang w:eastAsia="en-US"/>
        </w:rPr>
        <w:t>bona fide</w:t>
      </w:r>
      <w:r>
        <w:rPr>
          <w:i/>
          <w:iCs/>
          <w:color w:val="222222"/>
          <w:lang w:eastAsia="en-US"/>
        </w:rPr>
        <w:t xml:space="preserve">, </w:t>
      </w:r>
      <w:r w:rsidRPr="006E7538">
        <w:rPr>
          <w:color w:val="222222"/>
          <w:lang w:eastAsia="en-US"/>
        </w:rPr>
        <w:t xml:space="preserve">nor is there a </w:t>
      </w:r>
      <w:r>
        <w:rPr>
          <w:i/>
          <w:iCs/>
          <w:color w:val="222222"/>
          <w:lang w:eastAsia="en-US"/>
        </w:rPr>
        <w:t xml:space="preserve">bona fide </w:t>
      </w:r>
      <w:r w:rsidRPr="006E7538">
        <w:rPr>
          <w:color w:val="222222"/>
          <w:lang w:eastAsia="en-US"/>
        </w:rPr>
        <w:t>defence.</w:t>
      </w:r>
      <w:r w:rsidR="00EF7523">
        <w:rPr>
          <w:color w:val="222222"/>
          <w:lang w:eastAsia="en-US"/>
        </w:rPr>
        <w:t xml:space="preserve"> </w:t>
      </w:r>
      <w:r w:rsidR="00EF7523" w:rsidRPr="00EF7523">
        <w:rPr>
          <w:color w:val="222222"/>
          <w:lang w:eastAsia="en-US"/>
        </w:rPr>
        <w:t xml:space="preserve">An application for condonation is not a mere formality. </w:t>
      </w:r>
      <w:r>
        <w:rPr>
          <w:color w:val="222222"/>
          <w:lang w:eastAsia="en-US"/>
        </w:rPr>
        <w:t xml:space="preserve">Counsel submitted that applicants </w:t>
      </w:r>
      <w:r w:rsidR="00827A5F">
        <w:rPr>
          <w:color w:val="222222"/>
          <w:lang w:eastAsia="en-US"/>
        </w:rPr>
        <w:t xml:space="preserve">also </w:t>
      </w:r>
      <w:r w:rsidR="00EF7523" w:rsidRPr="00EF7523">
        <w:rPr>
          <w:color w:val="222222"/>
          <w:lang w:eastAsia="en-US"/>
        </w:rPr>
        <w:t>had an</w:t>
      </w:r>
      <w:r w:rsidR="00EF7523">
        <w:rPr>
          <w:color w:val="222222"/>
          <w:lang w:eastAsia="en-US"/>
        </w:rPr>
        <w:t xml:space="preserve"> </w:t>
      </w:r>
      <w:r w:rsidR="00EF7523" w:rsidRPr="00EF7523">
        <w:rPr>
          <w:color w:val="222222"/>
          <w:lang w:eastAsia="en-US"/>
        </w:rPr>
        <w:t>obligation, yet failed, to show that the grant of the indulgence sought will not</w:t>
      </w:r>
      <w:r w:rsidR="00EF7523">
        <w:rPr>
          <w:color w:val="222222"/>
          <w:lang w:eastAsia="en-US"/>
        </w:rPr>
        <w:t xml:space="preserve"> </w:t>
      </w:r>
      <w:r w:rsidR="00EF7523" w:rsidRPr="00EF7523">
        <w:rPr>
          <w:color w:val="222222"/>
          <w:lang w:eastAsia="en-US"/>
        </w:rPr>
        <w:t xml:space="preserve">prejudice the </w:t>
      </w:r>
      <w:r w:rsidR="00EF7523">
        <w:rPr>
          <w:color w:val="222222"/>
          <w:lang w:eastAsia="en-US"/>
        </w:rPr>
        <w:t>respondent</w:t>
      </w:r>
      <w:r w:rsidR="00EF7523" w:rsidRPr="00EF7523">
        <w:rPr>
          <w:color w:val="222222"/>
          <w:lang w:eastAsia="en-US"/>
        </w:rPr>
        <w:t xml:space="preserve"> in any way.</w:t>
      </w:r>
      <w:r>
        <w:rPr>
          <w:color w:val="222222"/>
          <w:lang w:eastAsia="en-US"/>
        </w:rPr>
        <w:t xml:space="preserve"> </w:t>
      </w:r>
      <w:r w:rsidR="00EF7523">
        <w:rPr>
          <w:color w:val="222222"/>
          <w:lang w:eastAsia="en-US"/>
        </w:rPr>
        <w:t xml:space="preserve">She </w:t>
      </w:r>
      <w:r w:rsidR="00EF7523" w:rsidRPr="00EF7523">
        <w:rPr>
          <w:color w:val="222222"/>
          <w:lang w:eastAsia="en-US"/>
        </w:rPr>
        <w:t>submit</w:t>
      </w:r>
      <w:r w:rsidR="00EF7523">
        <w:rPr>
          <w:color w:val="222222"/>
          <w:lang w:eastAsia="en-US"/>
        </w:rPr>
        <w:t>ted</w:t>
      </w:r>
      <w:r w:rsidR="00EF7523" w:rsidRPr="00EF7523">
        <w:rPr>
          <w:color w:val="222222"/>
          <w:lang w:eastAsia="en-US"/>
        </w:rPr>
        <w:t xml:space="preserve"> that it is clear from the manner in which the </w:t>
      </w:r>
      <w:r w:rsidR="00EF7523">
        <w:rPr>
          <w:color w:val="222222"/>
          <w:lang w:eastAsia="en-US"/>
        </w:rPr>
        <w:t xml:space="preserve">applicants </w:t>
      </w:r>
      <w:r w:rsidR="00EF7523" w:rsidRPr="00EF7523">
        <w:rPr>
          <w:color w:val="222222"/>
          <w:lang w:eastAsia="en-US"/>
        </w:rPr>
        <w:t>are litigating, and</w:t>
      </w:r>
      <w:r w:rsidR="00EF7523">
        <w:rPr>
          <w:color w:val="222222"/>
          <w:lang w:eastAsia="en-US"/>
        </w:rPr>
        <w:t xml:space="preserve"> </w:t>
      </w:r>
      <w:r w:rsidR="00EF7523" w:rsidRPr="00EF7523">
        <w:rPr>
          <w:color w:val="222222"/>
          <w:lang w:eastAsia="en-US"/>
        </w:rPr>
        <w:t>with specific reference to the background facts, that the</w:t>
      </w:r>
      <w:r w:rsidR="00EF7523">
        <w:rPr>
          <w:color w:val="222222"/>
          <w:lang w:eastAsia="en-US"/>
        </w:rPr>
        <w:t>ir</w:t>
      </w:r>
      <w:r w:rsidR="00EF7523" w:rsidRPr="00EF7523">
        <w:rPr>
          <w:color w:val="222222"/>
          <w:lang w:eastAsia="en-US"/>
        </w:rPr>
        <w:t xml:space="preserve"> conduct </w:t>
      </w:r>
      <w:r w:rsidR="00EF7523">
        <w:rPr>
          <w:color w:val="222222"/>
          <w:lang w:eastAsia="en-US"/>
        </w:rPr>
        <w:t xml:space="preserve">is  </w:t>
      </w:r>
      <w:r w:rsidR="00EF7523" w:rsidRPr="00EF7523">
        <w:rPr>
          <w:color w:val="222222"/>
          <w:lang w:eastAsia="en-US"/>
        </w:rPr>
        <w:t xml:space="preserve">prejudicial to the </w:t>
      </w:r>
      <w:r w:rsidR="00EF7523">
        <w:rPr>
          <w:color w:val="222222"/>
          <w:lang w:eastAsia="en-US"/>
        </w:rPr>
        <w:t xml:space="preserve">respondent </w:t>
      </w:r>
      <w:r w:rsidR="00EF7523" w:rsidRPr="00EF7523">
        <w:rPr>
          <w:color w:val="222222"/>
          <w:lang w:eastAsia="en-US"/>
        </w:rPr>
        <w:t>in that</w:t>
      </w:r>
      <w:r>
        <w:rPr>
          <w:color w:val="222222"/>
          <w:lang w:eastAsia="en-US"/>
        </w:rPr>
        <w:t xml:space="preserve"> </w:t>
      </w:r>
      <w:r w:rsidR="00EF7523" w:rsidRPr="00EF7523">
        <w:rPr>
          <w:color w:val="222222"/>
          <w:lang w:eastAsia="en-US"/>
        </w:rPr>
        <w:t>unnecessary legal costs are being incurre</w:t>
      </w:r>
      <w:r>
        <w:rPr>
          <w:color w:val="222222"/>
          <w:lang w:eastAsia="en-US"/>
        </w:rPr>
        <w:t xml:space="preserve">d as result of time and legal </w:t>
      </w:r>
      <w:r w:rsidR="00EF7523" w:rsidRPr="00EF7523">
        <w:rPr>
          <w:color w:val="222222"/>
          <w:lang w:eastAsia="en-US"/>
        </w:rPr>
        <w:t>resources being wasted; and</w:t>
      </w:r>
      <w:r>
        <w:rPr>
          <w:color w:val="222222"/>
          <w:lang w:eastAsia="en-US"/>
        </w:rPr>
        <w:t xml:space="preserve"> </w:t>
      </w:r>
      <w:r w:rsidR="00EF7523" w:rsidRPr="00EF7523">
        <w:rPr>
          <w:color w:val="222222"/>
          <w:lang w:eastAsia="en-US"/>
        </w:rPr>
        <w:t>th</w:t>
      </w:r>
      <w:r>
        <w:rPr>
          <w:color w:val="222222"/>
          <w:lang w:eastAsia="en-US"/>
        </w:rPr>
        <w:t xml:space="preserve">at the </w:t>
      </w:r>
      <w:r w:rsidR="00EF7523">
        <w:rPr>
          <w:color w:val="222222"/>
          <w:lang w:eastAsia="en-US"/>
        </w:rPr>
        <w:t xml:space="preserve">respondent </w:t>
      </w:r>
      <w:r w:rsidR="00EF7523" w:rsidRPr="00EF7523">
        <w:rPr>
          <w:color w:val="222222"/>
          <w:lang w:eastAsia="en-US"/>
        </w:rPr>
        <w:t>is required to address bogus defences which are</w:t>
      </w:r>
      <w:r w:rsidR="00EF7523">
        <w:rPr>
          <w:color w:val="222222"/>
          <w:lang w:eastAsia="en-US"/>
        </w:rPr>
        <w:t xml:space="preserve"> </w:t>
      </w:r>
      <w:r w:rsidR="00EF7523" w:rsidRPr="00EF7523">
        <w:rPr>
          <w:color w:val="222222"/>
          <w:lang w:eastAsia="en-US"/>
        </w:rPr>
        <w:t>clearly untenable.</w:t>
      </w:r>
    </w:p>
    <w:p w14:paraId="2BC5E771" w14:textId="77777777" w:rsidR="00EF7523" w:rsidRDefault="00EF7523" w:rsidP="00EF7523">
      <w:pPr>
        <w:suppressAutoHyphens w:val="0"/>
        <w:autoSpaceDE w:val="0"/>
        <w:autoSpaceDN w:val="0"/>
        <w:adjustRightInd w:val="0"/>
        <w:spacing w:after="0"/>
        <w:outlineLvl w:val="9"/>
        <w:rPr>
          <w:color w:val="222222"/>
          <w:lang w:eastAsia="en-US"/>
        </w:rPr>
      </w:pPr>
    </w:p>
    <w:p w14:paraId="63970D98" w14:textId="6732B645" w:rsidR="006E7538" w:rsidRPr="00827A5F" w:rsidRDefault="006E7538" w:rsidP="002E0EBF">
      <w:pPr>
        <w:suppressAutoHyphens w:val="0"/>
        <w:autoSpaceDE w:val="0"/>
        <w:autoSpaceDN w:val="0"/>
        <w:adjustRightInd w:val="0"/>
        <w:spacing w:after="0"/>
        <w:outlineLvl w:val="9"/>
        <w:rPr>
          <w:color w:val="222222"/>
          <w:lang w:eastAsia="en-US"/>
        </w:rPr>
      </w:pPr>
      <w:r>
        <w:rPr>
          <w:color w:val="222222"/>
          <w:lang w:eastAsia="en-US"/>
        </w:rPr>
        <w:t>[1</w:t>
      </w:r>
      <w:r w:rsidR="00827A5F">
        <w:rPr>
          <w:color w:val="222222"/>
          <w:lang w:eastAsia="en-US"/>
        </w:rPr>
        <w:t>1</w:t>
      </w:r>
      <w:r>
        <w:rPr>
          <w:color w:val="222222"/>
          <w:lang w:eastAsia="en-US"/>
        </w:rPr>
        <w:t>]</w:t>
      </w:r>
      <w:r>
        <w:rPr>
          <w:color w:val="222222"/>
          <w:lang w:eastAsia="en-US"/>
        </w:rPr>
        <w:tab/>
      </w:r>
      <w:r w:rsidR="00EF7523">
        <w:rPr>
          <w:color w:val="222222"/>
          <w:lang w:eastAsia="en-US"/>
        </w:rPr>
        <w:t xml:space="preserve">Ms Denichaud </w:t>
      </w:r>
      <w:r w:rsidR="00EF7523" w:rsidRPr="00EF7523">
        <w:rPr>
          <w:color w:val="222222"/>
          <w:lang w:eastAsia="en-US"/>
        </w:rPr>
        <w:t>submit</w:t>
      </w:r>
      <w:r w:rsidR="00EF7523">
        <w:rPr>
          <w:color w:val="222222"/>
          <w:lang w:eastAsia="en-US"/>
        </w:rPr>
        <w:t>ted</w:t>
      </w:r>
      <w:r w:rsidR="00EF7523" w:rsidRPr="00EF7523">
        <w:rPr>
          <w:color w:val="222222"/>
          <w:lang w:eastAsia="en-US"/>
        </w:rPr>
        <w:t xml:space="preserve"> that </w:t>
      </w:r>
      <w:r w:rsidR="00EF7523">
        <w:rPr>
          <w:color w:val="222222"/>
          <w:lang w:eastAsia="en-US"/>
        </w:rPr>
        <w:t>the</w:t>
      </w:r>
      <w:r>
        <w:rPr>
          <w:color w:val="222222"/>
          <w:lang w:eastAsia="en-US"/>
        </w:rPr>
        <w:t xml:space="preserve"> applicants</w:t>
      </w:r>
      <w:r w:rsidR="00EF7523">
        <w:rPr>
          <w:color w:val="222222"/>
          <w:lang w:eastAsia="en-US"/>
        </w:rPr>
        <w:t xml:space="preserve"> have </w:t>
      </w:r>
      <w:r w:rsidR="00EF7523" w:rsidRPr="00EF7523">
        <w:rPr>
          <w:color w:val="222222"/>
          <w:lang w:eastAsia="en-US"/>
        </w:rPr>
        <w:t>also failed to satisfy the element</w:t>
      </w:r>
      <w:r w:rsidR="00827A5F">
        <w:rPr>
          <w:color w:val="222222"/>
          <w:lang w:eastAsia="en-US"/>
        </w:rPr>
        <w:t>s required to prove good cause</w:t>
      </w:r>
      <w:r w:rsidR="00EF7523" w:rsidRPr="00EF7523">
        <w:rPr>
          <w:color w:val="222222"/>
          <w:lang w:eastAsia="en-US"/>
        </w:rPr>
        <w:t>.</w:t>
      </w:r>
      <w:r w:rsidR="00EF7523">
        <w:rPr>
          <w:color w:val="222222"/>
          <w:lang w:eastAsia="en-US"/>
        </w:rPr>
        <w:t xml:space="preserve"> </w:t>
      </w:r>
      <w:r w:rsidR="00EF7523" w:rsidRPr="00EF7523">
        <w:rPr>
          <w:color w:val="222222"/>
          <w:lang w:eastAsia="en-US"/>
        </w:rPr>
        <w:t xml:space="preserve">Accordingly, </w:t>
      </w:r>
      <w:r w:rsidR="00EF7523">
        <w:rPr>
          <w:color w:val="222222"/>
          <w:lang w:eastAsia="en-US"/>
        </w:rPr>
        <w:t xml:space="preserve">she </w:t>
      </w:r>
      <w:r w:rsidR="00EF7523" w:rsidRPr="00EF7523">
        <w:rPr>
          <w:color w:val="222222"/>
          <w:lang w:eastAsia="en-US"/>
        </w:rPr>
        <w:t>submit</w:t>
      </w:r>
      <w:r w:rsidR="00EF7523">
        <w:rPr>
          <w:color w:val="222222"/>
          <w:lang w:eastAsia="en-US"/>
        </w:rPr>
        <w:t>ted</w:t>
      </w:r>
      <w:r w:rsidR="00EF7523" w:rsidRPr="00EF7523">
        <w:rPr>
          <w:color w:val="222222"/>
          <w:lang w:eastAsia="en-US"/>
        </w:rPr>
        <w:t xml:space="preserve"> that the application for condonation is lacking in material</w:t>
      </w:r>
      <w:r w:rsidR="00EF7523">
        <w:rPr>
          <w:color w:val="222222"/>
          <w:lang w:eastAsia="en-US"/>
        </w:rPr>
        <w:t xml:space="preserve"> </w:t>
      </w:r>
      <w:r w:rsidR="00EF7523" w:rsidRPr="00EF7523">
        <w:rPr>
          <w:color w:val="222222"/>
          <w:lang w:eastAsia="en-US"/>
        </w:rPr>
        <w:t>respects, is fatally defective and ought to be dismissed with costs on the attorney</w:t>
      </w:r>
      <w:r w:rsidR="00EF7523">
        <w:rPr>
          <w:color w:val="222222"/>
          <w:lang w:eastAsia="en-US"/>
        </w:rPr>
        <w:t xml:space="preserve"> </w:t>
      </w:r>
      <w:r w:rsidR="00EF7523" w:rsidRPr="00EF7523">
        <w:rPr>
          <w:color w:val="222222"/>
          <w:lang w:eastAsia="en-US"/>
        </w:rPr>
        <w:t>and client scale.</w:t>
      </w:r>
      <w:r>
        <w:rPr>
          <w:color w:val="222222"/>
          <w:lang w:eastAsia="en-US"/>
        </w:rPr>
        <w:t xml:space="preserve"> In my view, if regard is had to the grounds of appeal, as embellished in the applicants’ heads of argument, there is indeed no </w:t>
      </w:r>
      <w:r w:rsidRPr="006E7538">
        <w:rPr>
          <w:i/>
          <w:iCs/>
          <w:color w:val="222222"/>
          <w:lang w:eastAsia="en-US"/>
        </w:rPr>
        <w:t>bona fide</w:t>
      </w:r>
      <w:r>
        <w:rPr>
          <w:color w:val="222222"/>
          <w:lang w:eastAsia="en-US"/>
        </w:rPr>
        <w:t xml:space="preserve"> defence and hence no prospects of success in the appeal.</w:t>
      </w:r>
      <w:r w:rsidR="00827A5F">
        <w:rPr>
          <w:color w:val="222222"/>
          <w:lang w:eastAsia="en-US"/>
        </w:rPr>
        <w:t xml:space="preserve"> </w:t>
      </w:r>
      <w:r>
        <w:rPr>
          <w:lang w:eastAsia="en-US"/>
        </w:rPr>
        <w:t xml:space="preserve">I deal with this below. </w:t>
      </w:r>
    </w:p>
    <w:p w14:paraId="2B82F2D4" w14:textId="77777777" w:rsidR="006E7538" w:rsidRPr="002E0EBF" w:rsidRDefault="006E7538" w:rsidP="002E0EBF">
      <w:pPr>
        <w:suppressAutoHyphens w:val="0"/>
        <w:autoSpaceDE w:val="0"/>
        <w:autoSpaceDN w:val="0"/>
        <w:adjustRightInd w:val="0"/>
        <w:spacing w:after="0"/>
        <w:outlineLvl w:val="9"/>
        <w:rPr>
          <w:lang w:eastAsia="en-US"/>
        </w:rPr>
      </w:pPr>
    </w:p>
    <w:p w14:paraId="00DA4E8D" w14:textId="427C85B3" w:rsidR="00EF7523" w:rsidRDefault="00EF7523" w:rsidP="00EF7523">
      <w:pPr>
        <w:widowControl w:val="0"/>
        <w:autoSpaceDE w:val="0"/>
        <w:autoSpaceDN w:val="0"/>
        <w:adjustRightInd w:val="0"/>
        <w:spacing w:after="0"/>
        <w:rPr>
          <w:color w:val="000000"/>
          <w:u w:val="single"/>
          <w:lang w:val="en-US"/>
        </w:rPr>
      </w:pPr>
      <w:r>
        <w:rPr>
          <w:color w:val="000000"/>
          <w:u w:val="single"/>
          <w:lang w:val="en-US"/>
        </w:rPr>
        <w:t>Leave to appeal</w:t>
      </w:r>
    </w:p>
    <w:p w14:paraId="5A24D123" w14:textId="77777777" w:rsidR="00EF7523" w:rsidRPr="00EF7523" w:rsidRDefault="00EF7523" w:rsidP="00EF7523">
      <w:pPr>
        <w:suppressAutoHyphens w:val="0"/>
        <w:autoSpaceDE w:val="0"/>
        <w:autoSpaceDN w:val="0"/>
        <w:adjustRightInd w:val="0"/>
        <w:spacing w:after="0" w:line="240" w:lineRule="auto"/>
        <w:jc w:val="left"/>
        <w:outlineLvl w:val="9"/>
        <w:rPr>
          <w:rFonts w:ascii="Times New Roman" w:hAnsi="Times New Roman" w:cs="Times New Roman"/>
          <w:color w:val="222222"/>
          <w:sz w:val="23"/>
          <w:szCs w:val="23"/>
          <w:lang w:eastAsia="en-US"/>
        </w:rPr>
      </w:pPr>
    </w:p>
    <w:p w14:paraId="657EEC5B" w14:textId="10CAEC3C" w:rsidR="00744E7B" w:rsidRDefault="00775A1D" w:rsidP="00775A1D">
      <w:r w:rsidRPr="00935D98">
        <w:t>[</w:t>
      </w:r>
      <w:r w:rsidR="006E7538">
        <w:t>1</w:t>
      </w:r>
      <w:r w:rsidR="00827A5F">
        <w:t>2</w:t>
      </w:r>
      <w:r w:rsidRPr="00935D98">
        <w:t>]</w:t>
      </w:r>
      <w:r w:rsidRPr="00935D98">
        <w:tab/>
      </w:r>
      <w:r w:rsidR="009D0392">
        <w:t xml:space="preserve"> </w:t>
      </w:r>
      <w:r w:rsidR="00EF7523">
        <w:t>The following grounds of appeal</w:t>
      </w:r>
      <w:r w:rsidR="00927FF6">
        <w:t xml:space="preserve">, </w:t>
      </w:r>
      <w:r w:rsidR="00927FF6" w:rsidRPr="00927FF6">
        <w:rPr>
          <w:i/>
          <w:iCs/>
        </w:rPr>
        <w:t>inter alia,</w:t>
      </w:r>
      <w:r w:rsidR="00EF7523">
        <w:t xml:space="preserve"> were raised in the notice of application for leave to appeal :</w:t>
      </w:r>
    </w:p>
    <w:p w14:paraId="2C8A5441" w14:textId="2EC72C30" w:rsidR="00EF7523" w:rsidRPr="00927FF6" w:rsidRDefault="006E7538" w:rsidP="00927FF6">
      <w:pPr>
        <w:ind w:left="720" w:hanging="720"/>
      </w:pPr>
      <w:r w:rsidRPr="00927FF6">
        <w:t>1</w:t>
      </w:r>
      <w:r w:rsidR="00827A5F" w:rsidRPr="00927FF6">
        <w:t>2</w:t>
      </w:r>
      <w:r w:rsidR="00EF7523" w:rsidRPr="00927FF6">
        <w:t>.1</w:t>
      </w:r>
      <w:r w:rsidR="00EF7523" w:rsidRPr="00927FF6">
        <w:tab/>
        <w:t>The learned Judge erred in not finding that the appl</w:t>
      </w:r>
      <w:r w:rsidR="002E0EBF" w:rsidRPr="00927FF6">
        <w:t>i</w:t>
      </w:r>
      <w:r w:rsidR="00EF7523" w:rsidRPr="00927FF6">
        <w:t>cants’ claim has prescribed in terms of section 11 of the Prescription Act 68 of 1969. The respondent’s amendment to the Declaration was only granted on 5 October 2016 and served on the first and second defendants on or about 18 November 2016.</w:t>
      </w:r>
    </w:p>
    <w:p w14:paraId="45727A8C" w14:textId="301D22DC" w:rsidR="00EF7523" w:rsidRPr="00927FF6" w:rsidRDefault="00EF7523" w:rsidP="00EF7523">
      <w:pPr>
        <w:ind w:left="720" w:hanging="720"/>
      </w:pPr>
      <w:r w:rsidRPr="00EF7523">
        <w:rPr>
          <w:i/>
          <w:iCs/>
        </w:rPr>
        <w:tab/>
      </w:r>
      <w:r w:rsidRPr="00927FF6">
        <w:t>The pleadings did not prior to that make out a sustainable action sufficient to found a proper action in law.</w:t>
      </w:r>
    </w:p>
    <w:p w14:paraId="63AE0CBC" w14:textId="420BA890" w:rsidR="00EF7523" w:rsidRPr="00927FF6" w:rsidRDefault="00EF7523" w:rsidP="00EF7523">
      <w:pPr>
        <w:ind w:left="720" w:hanging="720"/>
      </w:pPr>
      <w:r w:rsidRPr="00927FF6">
        <w:tab/>
        <w:t xml:space="preserve">The cause of action as pleaded, is based on a transaction and facility agreement (loan agreement),and letters of demand, placing the debtor </w:t>
      </w:r>
      <w:r w:rsidRPr="00927FF6">
        <w:lastRenderedPageBreak/>
        <w:t>(</w:t>
      </w:r>
      <w:r w:rsidR="006E7538" w:rsidRPr="00927FF6">
        <w:t>Applicants</w:t>
      </w:r>
      <w:r w:rsidRPr="00927FF6">
        <w:t xml:space="preserve">) in mora, ostensibly sent on or about 19 or 23 March 2010 and or 16 June 2010 and a proper action was only before the court (after the amendment) being on the 14 October 2016. Prior to that an expiable action had been instructed and no proper action was before the court and prescription was accordingly not interrupted by the issue of summons in 2011.  </w:t>
      </w:r>
    </w:p>
    <w:p w14:paraId="4AEDD1FA" w14:textId="7BFC2461" w:rsidR="00EF7523" w:rsidRPr="00927FF6" w:rsidRDefault="00EF7523" w:rsidP="00EF7523">
      <w:pPr>
        <w:ind w:left="720"/>
      </w:pPr>
      <w:r w:rsidRPr="00927FF6">
        <w:t>Accordingly, the respondent’s claim has prescribed in terms of section 11 of the Prescription Act 68 of 1969.</w:t>
      </w:r>
    </w:p>
    <w:p w14:paraId="23E6534C" w14:textId="041B8943" w:rsidR="00EF7523" w:rsidRPr="00927FF6" w:rsidRDefault="006E7538" w:rsidP="00927FF6">
      <w:pPr>
        <w:ind w:left="720" w:hanging="720"/>
      </w:pPr>
      <w:r w:rsidRPr="00927FF6">
        <w:t>1</w:t>
      </w:r>
      <w:r w:rsidR="00827A5F" w:rsidRPr="00927FF6">
        <w:t>2</w:t>
      </w:r>
      <w:r w:rsidR="00EF7523" w:rsidRPr="00927FF6">
        <w:t>.</w:t>
      </w:r>
      <w:r w:rsidR="00927FF6" w:rsidRPr="00927FF6">
        <w:t>2</w:t>
      </w:r>
      <w:r w:rsidR="00EF7523" w:rsidRPr="00927FF6">
        <w:tab/>
        <w:t>The Court erred further in that it failed to consider the merits of the rescission application on affidavit:</w:t>
      </w:r>
    </w:p>
    <w:p w14:paraId="2DD04A32" w14:textId="13A5D1B4" w:rsidR="00EF7523" w:rsidRPr="00927FF6" w:rsidRDefault="00EF7523" w:rsidP="00EF7523">
      <w:pPr>
        <w:ind w:left="720" w:hanging="720"/>
      </w:pPr>
      <w:r w:rsidRPr="00927FF6">
        <w:tab/>
      </w:r>
      <w:r w:rsidR="006E7538" w:rsidRPr="00927FF6">
        <w:t>1</w:t>
      </w:r>
      <w:r w:rsidR="00827A5F" w:rsidRPr="00927FF6">
        <w:t>2</w:t>
      </w:r>
      <w:r w:rsidRPr="00927FF6">
        <w:t>.3.1</w:t>
      </w:r>
      <w:r w:rsidRPr="00927FF6">
        <w:tab/>
        <w:t xml:space="preserve">The Court erred in upholding that the deponent to the application for summary judgement had authority to depose to the affidavit in support of the application for default judgement and that she had sufficient knowledge of the facts she verified on affidavit as no proof of authority (sic).  </w:t>
      </w:r>
    </w:p>
    <w:p w14:paraId="573CC3CB" w14:textId="6EC2F9D5" w:rsidR="00EF7523" w:rsidRPr="00927FF6" w:rsidRDefault="006E7538" w:rsidP="00927FF6">
      <w:pPr>
        <w:ind w:left="720" w:hanging="720"/>
      </w:pPr>
      <w:r w:rsidRPr="00927FF6">
        <w:t>1</w:t>
      </w:r>
      <w:r w:rsidR="00827A5F" w:rsidRPr="00927FF6">
        <w:t>2</w:t>
      </w:r>
      <w:r w:rsidR="00EF7523" w:rsidRPr="00927FF6">
        <w:t>.</w:t>
      </w:r>
      <w:r w:rsidR="00927FF6" w:rsidRPr="00927FF6">
        <w:t>3</w:t>
      </w:r>
      <w:r w:rsidR="00EF7523" w:rsidRPr="00927FF6">
        <w:tab/>
        <w:t xml:space="preserve">The learned Judge erred in finding categorically that there had been compliance with section 129 in the face of a material and substantial factual dispute and should have rescinded the judgment and order </w:t>
      </w:r>
      <w:r w:rsidR="000A6F08">
        <w:t xml:space="preserve">in </w:t>
      </w:r>
      <w:r w:rsidR="00EF7523" w:rsidRPr="00927FF6">
        <w:t>compliance with section 129 by Plaintiff prior to the matter proceeding.</w:t>
      </w:r>
    </w:p>
    <w:p w14:paraId="2E0E9BBD" w14:textId="483B7006" w:rsidR="00EF7523" w:rsidRPr="00927FF6" w:rsidRDefault="006E7538" w:rsidP="00EF7523">
      <w:pPr>
        <w:ind w:left="720" w:hanging="720"/>
      </w:pPr>
      <w:r w:rsidRPr="00927FF6">
        <w:t>1</w:t>
      </w:r>
      <w:r w:rsidR="00827A5F" w:rsidRPr="00927FF6">
        <w:t>2</w:t>
      </w:r>
      <w:r w:rsidR="00EF7523" w:rsidRPr="00927FF6">
        <w:t>.</w:t>
      </w:r>
      <w:r w:rsidR="00927FF6">
        <w:t>4</w:t>
      </w:r>
      <w:r w:rsidR="00EF7523" w:rsidRPr="00927FF6">
        <w:tab/>
        <w:t>The Honourable Judge erred in fi</w:t>
      </w:r>
      <w:r w:rsidR="002E0EBF" w:rsidRPr="00927FF6">
        <w:t>nd</w:t>
      </w:r>
      <w:r w:rsidR="00EF7523" w:rsidRPr="00927FF6">
        <w:t>i</w:t>
      </w:r>
      <w:r w:rsidR="002E0EBF" w:rsidRPr="00927FF6">
        <w:t>n</w:t>
      </w:r>
      <w:r w:rsidR="00EF7523" w:rsidRPr="00927FF6">
        <w:t>g that the institution of court process was not premature, and in breach of the provisions of section 129 of The National Credit Act</w:t>
      </w:r>
      <w:r w:rsidR="000A6F08">
        <w:t xml:space="preserve">. </w:t>
      </w:r>
    </w:p>
    <w:p w14:paraId="59BDFDF5" w14:textId="18C8C076" w:rsidR="00EF7523" w:rsidRPr="00927FF6" w:rsidRDefault="006E7538" w:rsidP="00927FF6">
      <w:pPr>
        <w:ind w:left="720" w:hanging="720"/>
      </w:pPr>
      <w:r w:rsidRPr="00927FF6">
        <w:t>1</w:t>
      </w:r>
      <w:r w:rsidR="00827A5F" w:rsidRPr="00927FF6">
        <w:t>2</w:t>
      </w:r>
      <w:r w:rsidR="00EF7523" w:rsidRPr="00927FF6">
        <w:t>.</w:t>
      </w:r>
      <w:r w:rsidR="00927FF6" w:rsidRPr="00927FF6">
        <w:t>5</w:t>
      </w:r>
      <w:r w:rsidR="00EF7523" w:rsidRPr="00927FF6">
        <w:tab/>
        <w:t>The Honourable Judge erred in finding that the applicant had failed to discharge the onus of proving that it was entitled to an order granting the application for rescission of judgment, on a balance of probabilities.</w:t>
      </w:r>
    </w:p>
    <w:p w14:paraId="4C7CC3EA" w14:textId="409F2F44" w:rsidR="00EF7523" w:rsidRPr="000A6F08" w:rsidRDefault="006E7538" w:rsidP="000A6F08">
      <w:pPr>
        <w:ind w:left="720" w:hanging="720"/>
      </w:pPr>
      <w:r w:rsidRPr="00927FF6">
        <w:lastRenderedPageBreak/>
        <w:t>1</w:t>
      </w:r>
      <w:r w:rsidR="00827A5F" w:rsidRPr="00927FF6">
        <w:t>2</w:t>
      </w:r>
      <w:r w:rsidR="00EF7523" w:rsidRPr="00927FF6">
        <w:t>.</w:t>
      </w:r>
      <w:r w:rsidR="00927FF6" w:rsidRPr="00927FF6">
        <w:t>6</w:t>
      </w:r>
      <w:r w:rsidR="00EF7523" w:rsidRPr="00927FF6">
        <w:tab/>
        <w:t xml:space="preserve">Another court could have and should have come to a different conclusion and on a conspectus of the above </w:t>
      </w:r>
      <w:r w:rsidR="000A6F08">
        <w:t xml:space="preserve">grounds </w:t>
      </w:r>
      <w:r w:rsidR="00EF7523" w:rsidRPr="00927FF6">
        <w:t xml:space="preserve">the application </w:t>
      </w:r>
      <w:r w:rsidR="000A6F08">
        <w:t xml:space="preserve">for leave to appeal </w:t>
      </w:r>
      <w:r w:rsidR="00EF7523" w:rsidRPr="00927FF6">
        <w:t>should have been granted.</w:t>
      </w:r>
    </w:p>
    <w:p w14:paraId="1B5F1B48" w14:textId="54EE1544" w:rsidR="00EF7523" w:rsidRDefault="00EF7523" w:rsidP="00775A1D">
      <w:pPr>
        <w:widowControl w:val="0"/>
        <w:autoSpaceDE w:val="0"/>
        <w:autoSpaceDN w:val="0"/>
        <w:adjustRightInd w:val="0"/>
        <w:spacing w:after="0"/>
        <w:rPr>
          <w:color w:val="000000"/>
          <w:lang w:val="en-US"/>
        </w:rPr>
      </w:pPr>
      <w:r>
        <w:rPr>
          <w:color w:val="000000"/>
          <w:u w:val="single"/>
          <w:lang w:val="en-US"/>
        </w:rPr>
        <w:t>[</w:t>
      </w:r>
      <w:r w:rsidR="006E7538">
        <w:rPr>
          <w:color w:val="000000"/>
          <w:lang w:val="en-US"/>
        </w:rPr>
        <w:t>1</w:t>
      </w:r>
      <w:r w:rsidR="00827A5F">
        <w:rPr>
          <w:color w:val="000000"/>
          <w:lang w:val="en-US"/>
        </w:rPr>
        <w:t>3</w:t>
      </w:r>
      <w:r w:rsidRPr="00EF7523">
        <w:rPr>
          <w:color w:val="000000"/>
          <w:lang w:val="en-US"/>
        </w:rPr>
        <w:t>]</w:t>
      </w:r>
      <w:r w:rsidRPr="00EF7523">
        <w:rPr>
          <w:color w:val="000000"/>
          <w:lang w:val="en-US"/>
        </w:rPr>
        <w:tab/>
      </w:r>
      <w:r w:rsidR="002E0EBF">
        <w:rPr>
          <w:color w:val="000000"/>
          <w:lang w:val="en-US"/>
        </w:rPr>
        <w:t xml:space="preserve">In </w:t>
      </w:r>
      <w:r w:rsidR="005726C0">
        <w:rPr>
          <w:color w:val="000000"/>
          <w:lang w:val="en-US"/>
        </w:rPr>
        <w:t xml:space="preserve">considering the prospects of success in the </w:t>
      </w:r>
      <w:r w:rsidR="002E0EBF">
        <w:rPr>
          <w:color w:val="000000"/>
          <w:lang w:val="en-US"/>
        </w:rPr>
        <w:t>application for leave t</w:t>
      </w:r>
      <w:r w:rsidR="005726C0">
        <w:rPr>
          <w:color w:val="000000"/>
          <w:lang w:val="en-US"/>
        </w:rPr>
        <w:t>he</w:t>
      </w:r>
      <w:r w:rsidR="002E0EBF">
        <w:rPr>
          <w:color w:val="000000"/>
          <w:lang w:val="en-US"/>
        </w:rPr>
        <w:t xml:space="preserve"> </w:t>
      </w:r>
      <w:r w:rsidR="005726C0">
        <w:rPr>
          <w:color w:val="000000"/>
          <w:lang w:val="en-US"/>
        </w:rPr>
        <w:t xml:space="preserve">following submissions are relevant : </w:t>
      </w:r>
    </w:p>
    <w:p w14:paraId="6626AD04" w14:textId="77777777" w:rsidR="006E7538" w:rsidRDefault="006E7538" w:rsidP="006E7538">
      <w:pPr>
        <w:suppressAutoHyphens w:val="0"/>
        <w:autoSpaceDE w:val="0"/>
        <w:autoSpaceDN w:val="0"/>
        <w:adjustRightInd w:val="0"/>
        <w:spacing w:after="0"/>
        <w:outlineLvl w:val="9"/>
        <w:rPr>
          <w:color w:val="000000"/>
          <w:u w:val="single"/>
          <w:lang w:val="en-US"/>
        </w:rPr>
      </w:pPr>
    </w:p>
    <w:p w14:paraId="21BC4ED6" w14:textId="7EA13E02" w:rsidR="006E7538" w:rsidRPr="00D90A1E" w:rsidRDefault="002E0EBF" w:rsidP="006E7538">
      <w:pPr>
        <w:suppressAutoHyphens w:val="0"/>
        <w:autoSpaceDE w:val="0"/>
        <w:autoSpaceDN w:val="0"/>
        <w:adjustRightInd w:val="0"/>
        <w:spacing w:after="0"/>
        <w:outlineLvl w:val="9"/>
        <w:rPr>
          <w:color w:val="000000"/>
          <w:u w:val="single"/>
          <w:lang w:val="en-US"/>
        </w:rPr>
      </w:pPr>
      <w:r w:rsidRPr="00D90A1E">
        <w:rPr>
          <w:color w:val="000000"/>
          <w:u w:val="single"/>
          <w:lang w:val="en-US"/>
        </w:rPr>
        <w:t>Prescription</w:t>
      </w:r>
    </w:p>
    <w:p w14:paraId="6B5AF404" w14:textId="296E5A93" w:rsidR="002E0EBF" w:rsidRPr="002E0EBF" w:rsidRDefault="00D90A1E" w:rsidP="006E7538">
      <w:pPr>
        <w:suppressAutoHyphens w:val="0"/>
        <w:autoSpaceDE w:val="0"/>
        <w:autoSpaceDN w:val="0"/>
        <w:adjustRightInd w:val="0"/>
        <w:spacing w:after="0"/>
        <w:outlineLvl w:val="9"/>
        <w:rPr>
          <w:color w:val="222222"/>
          <w:lang w:eastAsia="en-US"/>
        </w:rPr>
      </w:pPr>
      <w:r>
        <w:rPr>
          <w:color w:val="222222"/>
          <w:lang w:eastAsia="en-US"/>
        </w:rPr>
        <w:t>13.</w:t>
      </w:r>
      <w:r w:rsidR="00495650">
        <w:rPr>
          <w:color w:val="222222"/>
          <w:lang w:eastAsia="en-US"/>
        </w:rPr>
        <w:t>1</w:t>
      </w:r>
      <w:r>
        <w:rPr>
          <w:color w:val="222222"/>
          <w:lang w:eastAsia="en-US"/>
        </w:rPr>
        <w:tab/>
      </w:r>
      <w:r w:rsidR="005726C0">
        <w:rPr>
          <w:color w:val="222222"/>
          <w:lang w:eastAsia="en-US"/>
        </w:rPr>
        <w:t>Ms Denichaud submitted that t</w:t>
      </w:r>
      <w:r w:rsidR="006E7538">
        <w:rPr>
          <w:color w:val="222222"/>
          <w:lang w:eastAsia="en-US"/>
        </w:rPr>
        <w:t xml:space="preserve">his point had been </w:t>
      </w:r>
      <w:r w:rsidR="002E0EBF" w:rsidRPr="002E0EBF">
        <w:rPr>
          <w:color w:val="222222"/>
          <w:lang w:eastAsia="en-US"/>
        </w:rPr>
        <w:t xml:space="preserve"> abandoned </w:t>
      </w:r>
      <w:r w:rsidR="00927FF6">
        <w:rPr>
          <w:color w:val="222222"/>
          <w:lang w:eastAsia="en-US"/>
        </w:rPr>
        <w:t xml:space="preserve">by the applicants </w:t>
      </w:r>
      <w:r w:rsidR="002E0EBF" w:rsidRPr="002E0EBF">
        <w:rPr>
          <w:color w:val="222222"/>
          <w:lang w:eastAsia="en-US"/>
        </w:rPr>
        <w:t xml:space="preserve">during the rescission application and it cannot be revived now. In any event, the point is </w:t>
      </w:r>
      <w:r w:rsidR="002E0EBF">
        <w:rPr>
          <w:color w:val="222222"/>
          <w:lang w:eastAsia="en-US"/>
        </w:rPr>
        <w:t xml:space="preserve">legally and procedurally unsound in that </w:t>
      </w:r>
      <w:r w:rsidR="002E0EBF" w:rsidRPr="002E0EBF">
        <w:rPr>
          <w:color w:val="222222"/>
          <w:lang w:eastAsia="en-US"/>
        </w:rPr>
        <w:t xml:space="preserve">even if the </w:t>
      </w:r>
      <w:r w:rsidR="006E7538">
        <w:rPr>
          <w:color w:val="222222"/>
          <w:lang w:eastAsia="en-US"/>
        </w:rPr>
        <w:t xml:space="preserve">applicants </w:t>
      </w:r>
      <w:r w:rsidR="002E0EBF" w:rsidRPr="002E0EBF">
        <w:rPr>
          <w:color w:val="222222"/>
          <w:lang w:eastAsia="en-US"/>
        </w:rPr>
        <w:t xml:space="preserve">submit, as they appear to do now, that the  cause of action arose on 16 June 2010 but that a “proper action” was only proceeded with on 18 November 2016, when the respondent/plaintiff’s amendment was effected, the </w:t>
      </w:r>
      <w:r w:rsidR="002E0EBF">
        <w:rPr>
          <w:color w:val="222222"/>
          <w:lang w:eastAsia="en-US"/>
        </w:rPr>
        <w:t xml:space="preserve">claim would not have prescribed. In this regard </w:t>
      </w:r>
      <w:r w:rsidR="002E0EBF" w:rsidRPr="002E0EBF">
        <w:rPr>
          <w:color w:val="222222"/>
          <w:lang w:eastAsia="en-US"/>
        </w:rPr>
        <w:t>section 11(a)(i) of the Prescription Act provides that:</w:t>
      </w:r>
    </w:p>
    <w:p w14:paraId="1B5032CB" w14:textId="77777777" w:rsidR="002E0EBF" w:rsidRPr="00D90A1E" w:rsidRDefault="002E0EBF" w:rsidP="002E0EBF">
      <w:pPr>
        <w:suppressAutoHyphens w:val="0"/>
        <w:autoSpaceDE w:val="0"/>
        <w:autoSpaceDN w:val="0"/>
        <w:adjustRightInd w:val="0"/>
        <w:spacing w:after="0"/>
        <w:outlineLvl w:val="9"/>
        <w:rPr>
          <w:i/>
          <w:iCs/>
          <w:color w:val="222222"/>
          <w:lang w:eastAsia="en-US"/>
        </w:rPr>
      </w:pPr>
      <w:r w:rsidRPr="00D90A1E">
        <w:rPr>
          <w:i/>
          <w:iCs/>
          <w:color w:val="222222"/>
          <w:lang w:eastAsia="en-US"/>
        </w:rPr>
        <w:t>“The periods of prescription of debts shall be the following:</w:t>
      </w:r>
    </w:p>
    <w:p w14:paraId="6EB95A9A" w14:textId="77777777" w:rsidR="002E0EBF" w:rsidRPr="00D90A1E" w:rsidRDefault="002E0EBF" w:rsidP="002E0EBF">
      <w:pPr>
        <w:suppressAutoHyphens w:val="0"/>
        <w:autoSpaceDE w:val="0"/>
        <w:autoSpaceDN w:val="0"/>
        <w:adjustRightInd w:val="0"/>
        <w:spacing w:after="0"/>
        <w:outlineLvl w:val="9"/>
        <w:rPr>
          <w:i/>
          <w:iCs/>
          <w:color w:val="222222"/>
          <w:lang w:eastAsia="en-US"/>
        </w:rPr>
      </w:pPr>
      <w:r w:rsidRPr="00D90A1E">
        <w:rPr>
          <w:i/>
          <w:iCs/>
          <w:color w:val="222222"/>
          <w:lang w:eastAsia="en-US"/>
        </w:rPr>
        <w:t>(a) thirty years in respect of-</w:t>
      </w:r>
    </w:p>
    <w:p w14:paraId="57D5C360" w14:textId="77777777" w:rsidR="002E0EBF" w:rsidRPr="00D90A1E" w:rsidRDefault="002E0EBF" w:rsidP="002E0EBF">
      <w:pPr>
        <w:suppressAutoHyphens w:val="0"/>
        <w:autoSpaceDE w:val="0"/>
        <w:autoSpaceDN w:val="0"/>
        <w:adjustRightInd w:val="0"/>
        <w:spacing w:after="0"/>
        <w:outlineLvl w:val="9"/>
        <w:rPr>
          <w:i/>
          <w:iCs/>
          <w:color w:val="222222"/>
          <w:lang w:eastAsia="en-US"/>
        </w:rPr>
      </w:pPr>
      <w:r w:rsidRPr="00D90A1E">
        <w:rPr>
          <w:i/>
          <w:iCs/>
          <w:color w:val="222222"/>
          <w:lang w:eastAsia="en-US"/>
        </w:rPr>
        <w:t>(i) any debt secured by mortgage bond;”</w:t>
      </w:r>
    </w:p>
    <w:p w14:paraId="5754E054" w14:textId="77777777" w:rsidR="00D90A1E" w:rsidRDefault="00D90A1E" w:rsidP="002E0EBF">
      <w:pPr>
        <w:suppressAutoHyphens w:val="0"/>
        <w:autoSpaceDE w:val="0"/>
        <w:autoSpaceDN w:val="0"/>
        <w:adjustRightInd w:val="0"/>
        <w:spacing w:after="0"/>
        <w:outlineLvl w:val="9"/>
        <w:rPr>
          <w:color w:val="222222"/>
          <w:lang w:eastAsia="en-US"/>
        </w:rPr>
      </w:pPr>
    </w:p>
    <w:p w14:paraId="5D2BEF5D" w14:textId="5119316B" w:rsidR="002E0EBF" w:rsidRPr="006E7538" w:rsidRDefault="00D90A1E" w:rsidP="002E0EBF">
      <w:pPr>
        <w:suppressAutoHyphens w:val="0"/>
        <w:autoSpaceDE w:val="0"/>
        <w:autoSpaceDN w:val="0"/>
        <w:adjustRightInd w:val="0"/>
        <w:spacing w:after="0"/>
        <w:outlineLvl w:val="9"/>
        <w:rPr>
          <w:color w:val="222222"/>
          <w:lang w:eastAsia="en-US"/>
        </w:rPr>
      </w:pPr>
      <w:r>
        <w:rPr>
          <w:color w:val="222222"/>
          <w:lang w:eastAsia="en-US"/>
        </w:rPr>
        <w:t>13.2</w:t>
      </w:r>
      <w:r>
        <w:rPr>
          <w:color w:val="222222"/>
          <w:lang w:eastAsia="en-US"/>
        </w:rPr>
        <w:tab/>
      </w:r>
      <w:r w:rsidR="002E0EBF" w:rsidRPr="002E0EBF">
        <w:rPr>
          <w:color w:val="222222"/>
          <w:lang w:eastAsia="en-US"/>
        </w:rPr>
        <w:t>The debt incurred by the applicants under the facility agreement was secured by two</w:t>
      </w:r>
      <w:r w:rsidR="006E7538">
        <w:rPr>
          <w:color w:val="222222"/>
          <w:lang w:eastAsia="en-US"/>
        </w:rPr>
        <w:t xml:space="preserve"> </w:t>
      </w:r>
      <w:r w:rsidR="002E0EBF" w:rsidRPr="002E0EBF">
        <w:rPr>
          <w:color w:val="222222"/>
          <w:lang w:eastAsia="en-US"/>
        </w:rPr>
        <w:t>covering mortgage bonds, the first mortgage bond being registered on 22 October</w:t>
      </w:r>
      <w:r w:rsidR="002E0EBF">
        <w:rPr>
          <w:color w:val="222222"/>
          <w:lang w:eastAsia="en-US"/>
        </w:rPr>
        <w:t xml:space="preserve"> </w:t>
      </w:r>
      <w:r w:rsidR="002E0EBF" w:rsidRPr="002E0EBF">
        <w:rPr>
          <w:color w:val="222222"/>
          <w:lang w:eastAsia="en-US"/>
        </w:rPr>
        <w:t>2007 and the second mortgage bond being registered on 23 October 2007 (see</w:t>
      </w:r>
      <w:r w:rsidR="002E0EBF">
        <w:rPr>
          <w:color w:val="222222"/>
          <w:lang w:eastAsia="en-US"/>
        </w:rPr>
        <w:t xml:space="preserve"> </w:t>
      </w:r>
      <w:r w:rsidR="002E0EBF" w:rsidRPr="002E0EBF">
        <w:rPr>
          <w:color w:val="222222"/>
          <w:lang w:eastAsia="en-US"/>
        </w:rPr>
        <w:t>annexures “B” and “C” to the declaration). Thus the applicable period of prescription is 30 years.</w:t>
      </w:r>
      <w:r w:rsidR="006E7538">
        <w:rPr>
          <w:color w:val="222222"/>
          <w:lang w:eastAsia="en-US"/>
        </w:rPr>
        <w:t xml:space="preserve"> I agree </w:t>
      </w:r>
      <w:r>
        <w:rPr>
          <w:color w:val="222222"/>
          <w:lang w:eastAsia="en-US"/>
        </w:rPr>
        <w:t>with Ms Denichaud t</w:t>
      </w:r>
      <w:r w:rsidR="006E7538">
        <w:rPr>
          <w:color w:val="222222"/>
          <w:lang w:eastAsia="en-US"/>
        </w:rPr>
        <w:t xml:space="preserve">hat there is </w:t>
      </w:r>
      <w:r>
        <w:rPr>
          <w:color w:val="222222"/>
          <w:lang w:eastAsia="en-US"/>
        </w:rPr>
        <w:t xml:space="preserve">in the circumstances </w:t>
      </w:r>
      <w:r w:rsidR="002E0EBF" w:rsidRPr="002E0EBF">
        <w:rPr>
          <w:color w:val="000000"/>
          <w:lang w:eastAsia="en-US"/>
        </w:rPr>
        <w:t xml:space="preserve">no merit to this </w:t>
      </w:r>
      <w:r>
        <w:rPr>
          <w:color w:val="000000"/>
          <w:lang w:eastAsia="en-US"/>
        </w:rPr>
        <w:t>ground of appeal.</w:t>
      </w:r>
    </w:p>
    <w:p w14:paraId="43695E21" w14:textId="3C4CECBC" w:rsidR="002E0EBF" w:rsidRDefault="002E0EBF" w:rsidP="002E0EBF">
      <w:pPr>
        <w:suppressAutoHyphens w:val="0"/>
        <w:autoSpaceDE w:val="0"/>
        <w:autoSpaceDN w:val="0"/>
        <w:adjustRightInd w:val="0"/>
        <w:spacing w:after="0"/>
        <w:outlineLvl w:val="9"/>
        <w:rPr>
          <w:rFonts w:ascii="Times New Roman" w:hAnsi="Times New Roman" w:cs="Times New Roman"/>
          <w:color w:val="000000"/>
          <w:sz w:val="21"/>
          <w:szCs w:val="21"/>
          <w:lang w:eastAsia="en-US"/>
        </w:rPr>
      </w:pPr>
    </w:p>
    <w:p w14:paraId="62BA0F63" w14:textId="0382A6C9" w:rsidR="00D90A1E" w:rsidRDefault="00D90A1E" w:rsidP="002E0EBF">
      <w:pPr>
        <w:suppressAutoHyphens w:val="0"/>
        <w:autoSpaceDE w:val="0"/>
        <w:autoSpaceDN w:val="0"/>
        <w:adjustRightInd w:val="0"/>
        <w:spacing w:after="0"/>
        <w:outlineLvl w:val="9"/>
        <w:rPr>
          <w:color w:val="000000"/>
          <w:lang w:eastAsia="en-US"/>
        </w:rPr>
      </w:pPr>
      <w:r>
        <w:rPr>
          <w:color w:val="000000"/>
          <w:u w:val="single"/>
          <w:lang w:eastAsia="en-US"/>
        </w:rPr>
        <w:t>A</w:t>
      </w:r>
      <w:r w:rsidR="006E7538" w:rsidRPr="006E7538">
        <w:rPr>
          <w:color w:val="000000"/>
          <w:u w:val="single"/>
          <w:lang w:eastAsia="en-US"/>
        </w:rPr>
        <w:t>uthority and section 129</w:t>
      </w:r>
      <w:r w:rsidR="006E7538">
        <w:rPr>
          <w:color w:val="000000"/>
          <w:lang w:eastAsia="en-US"/>
        </w:rPr>
        <w:t xml:space="preserve"> </w:t>
      </w:r>
    </w:p>
    <w:p w14:paraId="6E22AC7B" w14:textId="6B66BE2D" w:rsidR="002E0EBF" w:rsidRDefault="00D90A1E" w:rsidP="002E0EBF">
      <w:pPr>
        <w:suppressAutoHyphens w:val="0"/>
        <w:autoSpaceDE w:val="0"/>
        <w:autoSpaceDN w:val="0"/>
        <w:adjustRightInd w:val="0"/>
        <w:spacing w:after="0"/>
        <w:outlineLvl w:val="9"/>
        <w:rPr>
          <w:color w:val="000000"/>
          <w:lang w:eastAsia="en-US"/>
        </w:rPr>
      </w:pPr>
      <w:r>
        <w:rPr>
          <w:color w:val="000000"/>
          <w:lang w:eastAsia="en-US"/>
        </w:rPr>
        <w:t>13.3</w:t>
      </w:r>
      <w:r>
        <w:rPr>
          <w:color w:val="000000"/>
          <w:lang w:eastAsia="en-US"/>
        </w:rPr>
        <w:tab/>
        <w:t>T</w:t>
      </w:r>
      <w:r w:rsidR="002E0EBF" w:rsidRPr="002E0EBF">
        <w:rPr>
          <w:color w:val="000000"/>
          <w:lang w:eastAsia="en-US"/>
        </w:rPr>
        <w:t>he</w:t>
      </w:r>
      <w:r w:rsidR="006E7538">
        <w:rPr>
          <w:color w:val="000000"/>
          <w:lang w:eastAsia="en-US"/>
        </w:rPr>
        <w:t>se</w:t>
      </w:r>
      <w:r w:rsidR="002E0EBF" w:rsidRPr="002E0EBF">
        <w:rPr>
          <w:color w:val="000000"/>
          <w:lang w:eastAsia="en-US"/>
        </w:rPr>
        <w:t xml:space="preserve"> grounds of appeal are nonsensical.</w:t>
      </w:r>
      <w:r w:rsidR="002E0EBF">
        <w:rPr>
          <w:color w:val="000000"/>
          <w:lang w:eastAsia="en-US"/>
        </w:rPr>
        <w:t xml:space="preserve"> In his heads of argument, Mr </w:t>
      </w:r>
      <w:r w:rsidR="005245A1">
        <w:rPr>
          <w:color w:val="000000"/>
          <w:lang w:eastAsia="en-US"/>
        </w:rPr>
        <w:t>Marks</w:t>
      </w:r>
      <w:r w:rsidR="002E0EBF">
        <w:rPr>
          <w:color w:val="000000"/>
          <w:lang w:eastAsia="en-US"/>
        </w:rPr>
        <w:t xml:space="preserve"> </w:t>
      </w:r>
      <w:r w:rsidR="006E7538">
        <w:rPr>
          <w:color w:val="000000"/>
          <w:lang w:eastAsia="en-US"/>
        </w:rPr>
        <w:t xml:space="preserve">conceded </w:t>
      </w:r>
      <w:r w:rsidR="002E0EBF">
        <w:rPr>
          <w:color w:val="000000"/>
          <w:lang w:eastAsia="en-US"/>
        </w:rPr>
        <w:t>that there is no issue of authority nor was there an application for summary judgment. Furthermore, section 129 is not at issue in this matter.</w:t>
      </w:r>
    </w:p>
    <w:p w14:paraId="44DB7722" w14:textId="77777777" w:rsidR="006E7538" w:rsidRDefault="006E7538" w:rsidP="002E0EBF">
      <w:pPr>
        <w:suppressAutoHyphens w:val="0"/>
        <w:autoSpaceDE w:val="0"/>
        <w:autoSpaceDN w:val="0"/>
        <w:adjustRightInd w:val="0"/>
        <w:spacing w:after="0"/>
        <w:outlineLvl w:val="9"/>
        <w:rPr>
          <w:color w:val="000000"/>
          <w:u w:val="single"/>
          <w:lang w:eastAsia="en-US"/>
        </w:rPr>
      </w:pPr>
    </w:p>
    <w:p w14:paraId="7FD62050" w14:textId="6777F49C" w:rsidR="006E7538" w:rsidRPr="006E7538" w:rsidRDefault="006E7538" w:rsidP="002E0EBF">
      <w:pPr>
        <w:suppressAutoHyphens w:val="0"/>
        <w:autoSpaceDE w:val="0"/>
        <w:autoSpaceDN w:val="0"/>
        <w:adjustRightInd w:val="0"/>
        <w:spacing w:after="0"/>
        <w:outlineLvl w:val="9"/>
        <w:rPr>
          <w:color w:val="000000"/>
          <w:u w:val="single"/>
          <w:lang w:eastAsia="en-US"/>
        </w:rPr>
      </w:pPr>
      <w:r w:rsidRPr="006E7538">
        <w:rPr>
          <w:color w:val="000000"/>
          <w:u w:val="single"/>
          <w:lang w:eastAsia="en-US"/>
        </w:rPr>
        <w:t>C</w:t>
      </w:r>
      <w:r w:rsidR="002E0EBF" w:rsidRPr="006E7538">
        <w:rPr>
          <w:color w:val="000000"/>
          <w:u w:val="single"/>
          <w:lang w:eastAsia="en-US"/>
        </w:rPr>
        <w:t>alculation of the interest rate</w:t>
      </w:r>
    </w:p>
    <w:p w14:paraId="61DBDAC1" w14:textId="4D5C7F06" w:rsidR="00495650" w:rsidRDefault="00D90A1E" w:rsidP="006E7538">
      <w:pPr>
        <w:suppressAutoHyphens w:val="0"/>
        <w:autoSpaceDE w:val="0"/>
        <w:autoSpaceDN w:val="0"/>
        <w:adjustRightInd w:val="0"/>
        <w:spacing w:after="0"/>
        <w:outlineLvl w:val="9"/>
        <w:rPr>
          <w:lang w:eastAsia="en-US"/>
        </w:rPr>
      </w:pPr>
      <w:r>
        <w:rPr>
          <w:color w:val="000000"/>
          <w:lang w:eastAsia="en-US"/>
        </w:rPr>
        <w:lastRenderedPageBreak/>
        <w:t>13.4</w:t>
      </w:r>
      <w:r w:rsidR="00495650">
        <w:rPr>
          <w:color w:val="000000"/>
          <w:lang w:eastAsia="en-US"/>
        </w:rPr>
        <w:tab/>
      </w:r>
      <w:r w:rsidR="002E0EBF" w:rsidRPr="002E0EBF">
        <w:rPr>
          <w:color w:val="000000"/>
          <w:lang w:eastAsia="en-US"/>
        </w:rPr>
        <w:t xml:space="preserve">Mr </w:t>
      </w:r>
      <w:r w:rsidR="005245A1">
        <w:rPr>
          <w:color w:val="000000"/>
          <w:lang w:eastAsia="en-US"/>
        </w:rPr>
        <w:t>Marks</w:t>
      </w:r>
      <w:r w:rsidR="002E0EBF" w:rsidRPr="002E0EBF">
        <w:rPr>
          <w:color w:val="000000"/>
          <w:lang w:eastAsia="en-US"/>
        </w:rPr>
        <w:t xml:space="preserve"> submitted</w:t>
      </w:r>
      <w:r w:rsidR="006E7538">
        <w:rPr>
          <w:color w:val="000000"/>
          <w:lang w:eastAsia="en-US"/>
        </w:rPr>
        <w:t xml:space="preserve"> </w:t>
      </w:r>
      <w:r w:rsidR="002E0EBF" w:rsidRPr="002E0EBF">
        <w:rPr>
          <w:color w:val="000000"/>
          <w:lang w:eastAsia="en-US"/>
        </w:rPr>
        <w:t xml:space="preserve">that the Court erred in that it failed to consider </w:t>
      </w:r>
      <w:r>
        <w:rPr>
          <w:color w:val="000000"/>
          <w:lang w:eastAsia="en-US"/>
        </w:rPr>
        <w:t xml:space="preserve">the </w:t>
      </w:r>
      <w:r w:rsidR="002E0EBF" w:rsidRPr="002E0EBF">
        <w:rPr>
          <w:color w:val="000000"/>
          <w:lang w:eastAsia="en-US"/>
        </w:rPr>
        <w:t>merits of the rescission</w:t>
      </w:r>
      <w:r w:rsidR="002E0EBF">
        <w:rPr>
          <w:color w:val="000000"/>
          <w:lang w:eastAsia="en-US"/>
        </w:rPr>
        <w:t xml:space="preserve"> </w:t>
      </w:r>
      <w:r w:rsidR="002E0EBF" w:rsidRPr="002E0EBF">
        <w:rPr>
          <w:color w:val="000000"/>
          <w:lang w:eastAsia="en-US"/>
        </w:rPr>
        <w:t>application in regard to the contradiction between the allegation on the interest rate</w:t>
      </w:r>
      <w:r w:rsidR="002E0EBF">
        <w:rPr>
          <w:color w:val="000000"/>
          <w:lang w:eastAsia="en-US"/>
        </w:rPr>
        <w:t xml:space="preserve"> </w:t>
      </w:r>
      <w:r w:rsidR="002E0EBF" w:rsidRPr="002E0EBF">
        <w:rPr>
          <w:color w:val="000000"/>
          <w:lang w:eastAsia="en-US"/>
        </w:rPr>
        <w:t xml:space="preserve">and the contents of </w:t>
      </w:r>
      <w:r>
        <w:rPr>
          <w:color w:val="000000"/>
          <w:lang w:eastAsia="en-US"/>
        </w:rPr>
        <w:t xml:space="preserve">annexure </w:t>
      </w:r>
      <w:r w:rsidR="002E0EBF" w:rsidRPr="002E0EBF">
        <w:rPr>
          <w:color w:val="000000"/>
          <w:lang w:eastAsia="en-US"/>
        </w:rPr>
        <w:t xml:space="preserve">CS11 as read with CS7. </w:t>
      </w:r>
      <w:r w:rsidR="006E7538">
        <w:rPr>
          <w:color w:val="000000"/>
          <w:lang w:eastAsia="en-US"/>
        </w:rPr>
        <w:t xml:space="preserve"> </w:t>
      </w:r>
      <w:r w:rsidR="006E7538" w:rsidRPr="002E0EBF">
        <w:rPr>
          <w:lang w:eastAsia="en-US"/>
        </w:rPr>
        <w:t>The Court failed to find that the allegations contained in the particulars</w:t>
      </w:r>
      <w:r w:rsidR="006E7538">
        <w:rPr>
          <w:lang w:eastAsia="en-US"/>
        </w:rPr>
        <w:t xml:space="preserve"> </w:t>
      </w:r>
      <w:r w:rsidR="006E7538" w:rsidRPr="002E0EBF">
        <w:rPr>
          <w:lang w:eastAsia="en-US"/>
        </w:rPr>
        <w:t>of claim as well as the agreement attached thereto contradicted the allegations as</w:t>
      </w:r>
      <w:r w:rsidR="006E7538">
        <w:rPr>
          <w:lang w:eastAsia="en-US"/>
        </w:rPr>
        <w:t xml:space="preserve"> </w:t>
      </w:r>
      <w:r w:rsidR="006E7538" w:rsidRPr="002E0EBF">
        <w:rPr>
          <w:lang w:eastAsia="en-US"/>
        </w:rPr>
        <w:t xml:space="preserve">more fully detailed in </w:t>
      </w:r>
      <w:r>
        <w:rPr>
          <w:lang w:eastAsia="en-US"/>
        </w:rPr>
        <w:t>a</w:t>
      </w:r>
      <w:r w:rsidR="006E7538" w:rsidRPr="002E0EBF">
        <w:rPr>
          <w:lang w:eastAsia="en-US"/>
        </w:rPr>
        <w:t xml:space="preserve">nnexure CS11 </w:t>
      </w:r>
      <w:r w:rsidR="006E7538">
        <w:rPr>
          <w:lang w:eastAsia="en-US"/>
        </w:rPr>
        <w:t xml:space="preserve">which states </w:t>
      </w:r>
      <w:r w:rsidR="006E7538" w:rsidRPr="002E0EBF">
        <w:rPr>
          <w:lang w:eastAsia="en-US"/>
        </w:rPr>
        <w:t xml:space="preserve">specifically </w:t>
      </w:r>
      <w:r w:rsidR="006E7538" w:rsidRPr="006E7538">
        <w:rPr>
          <w:i/>
          <w:iCs/>
          <w:lang w:eastAsia="en-US"/>
        </w:rPr>
        <w:t>“[a]s a token of goodwill we have reduced your interest rate by a further 50%”</w:t>
      </w:r>
      <w:r w:rsidR="006E7538" w:rsidRPr="002E0EBF">
        <w:rPr>
          <w:lang w:eastAsia="en-US"/>
        </w:rPr>
        <w:t xml:space="preserve"> to the Application for</w:t>
      </w:r>
      <w:r w:rsidR="006E7538">
        <w:rPr>
          <w:lang w:eastAsia="en-US"/>
        </w:rPr>
        <w:t xml:space="preserve"> </w:t>
      </w:r>
      <w:r w:rsidR="006E7538" w:rsidRPr="002E0EBF">
        <w:rPr>
          <w:lang w:eastAsia="en-US"/>
        </w:rPr>
        <w:t>Rescission of Judgement, which annexure is a letter dated 11 April 2008, from the</w:t>
      </w:r>
      <w:r w:rsidR="006E7538">
        <w:rPr>
          <w:lang w:eastAsia="en-US"/>
        </w:rPr>
        <w:t xml:space="preserve"> </w:t>
      </w:r>
      <w:r w:rsidR="006E7538" w:rsidRPr="002E0EBF">
        <w:rPr>
          <w:lang w:eastAsia="en-US"/>
        </w:rPr>
        <w:t xml:space="preserve">Plaintiff to Defendants. </w:t>
      </w:r>
    </w:p>
    <w:p w14:paraId="7A7682ED" w14:textId="77777777" w:rsidR="00495650" w:rsidRDefault="00495650" w:rsidP="006E7538">
      <w:pPr>
        <w:suppressAutoHyphens w:val="0"/>
        <w:autoSpaceDE w:val="0"/>
        <w:autoSpaceDN w:val="0"/>
        <w:adjustRightInd w:val="0"/>
        <w:spacing w:after="0"/>
        <w:outlineLvl w:val="9"/>
        <w:rPr>
          <w:lang w:eastAsia="en-US"/>
        </w:rPr>
      </w:pPr>
    </w:p>
    <w:p w14:paraId="3BBFD85E" w14:textId="42CC5E88" w:rsidR="006E7538" w:rsidRDefault="00495650" w:rsidP="006E7538">
      <w:pPr>
        <w:suppressAutoHyphens w:val="0"/>
        <w:autoSpaceDE w:val="0"/>
        <w:autoSpaceDN w:val="0"/>
        <w:adjustRightInd w:val="0"/>
        <w:spacing w:after="0"/>
        <w:outlineLvl w:val="9"/>
        <w:rPr>
          <w:lang w:eastAsia="en-US"/>
        </w:rPr>
      </w:pPr>
      <w:r>
        <w:rPr>
          <w:lang w:eastAsia="en-US"/>
        </w:rPr>
        <w:t>13.5</w:t>
      </w:r>
      <w:r>
        <w:rPr>
          <w:lang w:eastAsia="en-US"/>
        </w:rPr>
        <w:tab/>
      </w:r>
      <w:r w:rsidR="006E7538">
        <w:rPr>
          <w:lang w:eastAsia="en-US"/>
        </w:rPr>
        <w:t xml:space="preserve">Mr </w:t>
      </w:r>
      <w:r w:rsidR="005245A1">
        <w:rPr>
          <w:lang w:eastAsia="en-US"/>
        </w:rPr>
        <w:t>Marks</w:t>
      </w:r>
      <w:r w:rsidR="006E7538">
        <w:rPr>
          <w:lang w:eastAsia="en-US"/>
        </w:rPr>
        <w:t xml:space="preserve"> submitted, relying on </w:t>
      </w:r>
      <w:r w:rsidR="006E7538" w:rsidRPr="006E7538">
        <w:rPr>
          <w:i/>
          <w:iCs/>
          <w:lang w:eastAsia="en-US"/>
        </w:rPr>
        <w:t>ABSA Bank Ltd v Havenga</w:t>
      </w:r>
      <w:r w:rsidR="006E7538">
        <w:rPr>
          <w:i/>
          <w:iCs/>
          <w:lang w:eastAsia="en-US"/>
        </w:rPr>
        <w:t>,</w:t>
      </w:r>
      <w:r w:rsidR="006E7538" w:rsidRPr="002E0EBF">
        <w:rPr>
          <w:lang w:eastAsia="en-US"/>
        </w:rPr>
        <w:t xml:space="preserve"> </w:t>
      </w:r>
      <w:r w:rsidR="006E7538">
        <w:rPr>
          <w:rStyle w:val="FootnoteReference"/>
          <w:lang w:eastAsia="en-US"/>
        </w:rPr>
        <w:footnoteReference w:id="3"/>
      </w:r>
      <w:r w:rsidR="006E7538">
        <w:rPr>
          <w:lang w:eastAsia="en-US"/>
        </w:rPr>
        <w:t xml:space="preserve"> that </w:t>
      </w:r>
      <w:r w:rsidR="006E7538">
        <w:rPr>
          <w:color w:val="000000"/>
          <w:lang w:eastAsia="en-US"/>
        </w:rPr>
        <w:t xml:space="preserve"> </w:t>
      </w:r>
      <w:r w:rsidR="006E7538">
        <w:rPr>
          <w:lang w:eastAsia="en-US"/>
        </w:rPr>
        <w:t>t</w:t>
      </w:r>
      <w:r w:rsidR="006E7538" w:rsidRPr="002E0EBF">
        <w:rPr>
          <w:lang w:eastAsia="en-US"/>
        </w:rPr>
        <w:t>his is a clear variation of the agreement, which it is trite</w:t>
      </w:r>
      <w:r w:rsidR="006E7538">
        <w:rPr>
          <w:lang w:eastAsia="en-US"/>
        </w:rPr>
        <w:t xml:space="preserve"> </w:t>
      </w:r>
      <w:r w:rsidR="006E7538" w:rsidRPr="002E0EBF">
        <w:rPr>
          <w:lang w:eastAsia="en-US"/>
        </w:rPr>
        <w:t xml:space="preserve">was never applied by the </w:t>
      </w:r>
      <w:r w:rsidR="006E7538">
        <w:rPr>
          <w:lang w:eastAsia="en-US"/>
        </w:rPr>
        <w:t xml:space="preserve">respondent </w:t>
      </w:r>
      <w:r w:rsidR="006E7538" w:rsidRPr="002E0EBF">
        <w:rPr>
          <w:lang w:eastAsia="en-US"/>
        </w:rPr>
        <w:t>in calculating the debt and accordingly is not</w:t>
      </w:r>
      <w:r w:rsidR="006E7538">
        <w:rPr>
          <w:lang w:eastAsia="en-US"/>
        </w:rPr>
        <w:t xml:space="preserve"> </w:t>
      </w:r>
      <w:r w:rsidR="006E7538" w:rsidRPr="002E0EBF">
        <w:rPr>
          <w:lang w:eastAsia="en-US"/>
        </w:rPr>
        <w:t>even alleged in the particulars of claim</w:t>
      </w:r>
      <w:r w:rsidR="00D90A1E">
        <w:rPr>
          <w:lang w:eastAsia="en-US"/>
        </w:rPr>
        <w:t>. Thus,</w:t>
      </w:r>
      <w:r w:rsidR="006E7538" w:rsidRPr="002E0EBF">
        <w:rPr>
          <w:lang w:eastAsia="en-US"/>
        </w:rPr>
        <w:t xml:space="preserve"> the certificate of </w:t>
      </w:r>
      <w:r w:rsidR="006E7538">
        <w:rPr>
          <w:lang w:eastAsia="en-US"/>
        </w:rPr>
        <w:t>b</w:t>
      </w:r>
      <w:r w:rsidR="006E7538" w:rsidRPr="002E0EBF">
        <w:rPr>
          <w:lang w:eastAsia="en-US"/>
        </w:rPr>
        <w:t>alance is incorrect</w:t>
      </w:r>
      <w:r w:rsidR="006E7538">
        <w:rPr>
          <w:lang w:eastAsia="en-US"/>
        </w:rPr>
        <w:t xml:space="preserve"> </w:t>
      </w:r>
      <w:r w:rsidR="006E7538" w:rsidRPr="002E0EBF">
        <w:rPr>
          <w:lang w:eastAsia="en-US"/>
        </w:rPr>
        <w:t xml:space="preserve">and rescission should have been granted on this ground alone. Accordingly, the </w:t>
      </w:r>
      <w:r w:rsidR="00D90A1E">
        <w:rPr>
          <w:lang w:eastAsia="en-US"/>
        </w:rPr>
        <w:t xml:space="preserve">Court </w:t>
      </w:r>
      <w:r w:rsidR="006E7538" w:rsidRPr="002E0EBF">
        <w:rPr>
          <w:lang w:eastAsia="en-US"/>
        </w:rPr>
        <w:t>erred in finding that the terms as appearing on</w:t>
      </w:r>
      <w:r w:rsidR="00D90A1E">
        <w:rPr>
          <w:color w:val="000000"/>
          <w:lang w:eastAsia="en-US"/>
        </w:rPr>
        <w:t xml:space="preserve"> </w:t>
      </w:r>
      <w:r w:rsidR="006E7538" w:rsidRPr="002E0EBF">
        <w:rPr>
          <w:lang w:eastAsia="en-US"/>
        </w:rPr>
        <w:t>annexures CS7 (Case lines 01-22)</w:t>
      </w:r>
      <w:r w:rsidR="006E7538">
        <w:rPr>
          <w:lang w:eastAsia="en-US"/>
        </w:rPr>
        <w:t>, i.e. t</w:t>
      </w:r>
      <w:r w:rsidR="006E7538" w:rsidRPr="002E0EBF">
        <w:rPr>
          <w:lang w:eastAsia="en-US"/>
        </w:rPr>
        <w:t xml:space="preserve">he agreement relied upon by the </w:t>
      </w:r>
      <w:r w:rsidR="006E7538">
        <w:rPr>
          <w:lang w:eastAsia="en-US"/>
        </w:rPr>
        <w:t xml:space="preserve">respondent, </w:t>
      </w:r>
      <w:r w:rsidR="006E7538" w:rsidRPr="002E0EBF">
        <w:rPr>
          <w:lang w:eastAsia="en-US"/>
        </w:rPr>
        <w:t>were in fact terms agreed upon by</w:t>
      </w:r>
      <w:r w:rsidR="006E7538">
        <w:rPr>
          <w:lang w:eastAsia="en-US"/>
        </w:rPr>
        <w:t xml:space="preserve"> </w:t>
      </w:r>
      <w:r w:rsidR="006E7538" w:rsidRPr="002E0EBF">
        <w:rPr>
          <w:lang w:eastAsia="en-US"/>
        </w:rPr>
        <w:t>the parties, which finding was material to the court granting the order against the</w:t>
      </w:r>
      <w:r w:rsidR="006E7538">
        <w:rPr>
          <w:lang w:eastAsia="en-US"/>
        </w:rPr>
        <w:t xml:space="preserve"> applicants, </w:t>
      </w:r>
      <w:r w:rsidR="006E7538" w:rsidRPr="002E0EBF">
        <w:rPr>
          <w:lang w:eastAsia="en-US"/>
        </w:rPr>
        <w:t xml:space="preserve">as it is submitted that </w:t>
      </w:r>
      <w:r w:rsidR="00D90A1E">
        <w:rPr>
          <w:lang w:eastAsia="en-US"/>
        </w:rPr>
        <w:t xml:space="preserve">annexure </w:t>
      </w:r>
      <w:r w:rsidR="006E7538" w:rsidRPr="002E0EBF">
        <w:rPr>
          <w:lang w:eastAsia="en-US"/>
        </w:rPr>
        <w:t>CS11 was an agreed variation of the terms in</w:t>
      </w:r>
      <w:r w:rsidR="006E7538">
        <w:rPr>
          <w:lang w:eastAsia="en-US"/>
        </w:rPr>
        <w:t xml:space="preserve"> </w:t>
      </w:r>
      <w:r w:rsidR="006E7538" w:rsidRPr="002E0EBF">
        <w:rPr>
          <w:lang w:eastAsia="en-US"/>
        </w:rPr>
        <w:t>regard to the interest rate.</w:t>
      </w:r>
      <w:r w:rsidR="00D90A1E">
        <w:rPr>
          <w:color w:val="000000"/>
          <w:lang w:eastAsia="en-US"/>
        </w:rPr>
        <w:t xml:space="preserve"> </w:t>
      </w:r>
      <w:r w:rsidR="006E7538" w:rsidRPr="002E0EBF">
        <w:rPr>
          <w:lang w:eastAsia="en-US"/>
        </w:rPr>
        <w:t xml:space="preserve">The Court erred further in finding that the interest rate claimed by the </w:t>
      </w:r>
      <w:r w:rsidR="00D90A1E">
        <w:rPr>
          <w:lang w:eastAsia="en-US"/>
        </w:rPr>
        <w:t xml:space="preserve">respondent </w:t>
      </w:r>
      <w:r w:rsidR="006E7538" w:rsidRPr="002E0EBF">
        <w:rPr>
          <w:lang w:eastAsia="en-US"/>
        </w:rPr>
        <w:t>was</w:t>
      </w:r>
      <w:r w:rsidR="006E7538">
        <w:rPr>
          <w:lang w:eastAsia="en-US"/>
        </w:rPr>
        <w:t xml:space="preserve"> </w:t>
      </w:r>
      <w:r w:rsidR="006E7538" w:rsidRPr="002E0EBF">
        <w:rPr>
          <w:lang w:eastAsia="en-US"/>
        </w:rPr>
        <w:t>correct insofar as it is trite that the 50% reduction was not in fact applied</w:t>
      </w:r>
      <w:r w:rsidR="00D90A1E">
        <w:rPr>
          <w:lang w:eastAsia="en-US"/>
        </w:rPr>
        <w:t>.</w:t>
      </w:r>
      <w:r w:rsidR="006E7538" w:rsidRPr="002E0EBF">
        <w:rPr>
          <w:lang w:eastAsia="en-US"/>
        </w:rPr>
        <w:t xml:space="preserve"> Accordingly, the </w:t>
      </w:r>
      <w:r w:rsidR="006E7538">
        <w:rPr>
          <w:lang w:eastAsia="en-US"/>
        </w:rPr>
        <w:t xml:space="preserve">applicants have </w:t>
      </w:r>
      <w:r w:rsidR="006E7538" w:rsidRPr="002E0EBF">
        <w:rPr>
          <w:lang w:eastAsia="en-US"/>
        </w:rPr>
        <w:t>alleged facts which would clearly constitute a</w:t>
      </w:r>
      <w:r w:rsidR="006E7538">
        <w:rPr>
          <w:lang w:eastAsia="en-US"/>
        </w:rPr>
        <w:t xml:space="preserve"> </w:t>
      </w:r>
      <w:r w:rsidR="006E7538" w:rsidRPr="002E0EBF">
        <w:rPr>
          <w:lang w:eastAsia="en-US"/>
        </w:rPr>
        <w:t>reviewable irregularity, entitling the</w:t>
      </w:r>
      <w:r w:rsidR="006E7538">
        <w:rPr>
          <w:lang w:eastAsia="en-US"/>
        </w:rPr>
        <w:t xml:space="preserve">m </w:t>
      </w:r>
      <w:r w:rsidR="006E7538" w:rsidRPr="002E0EBF">
        <w:rPr>
          <w:lang w:eastAsia="en-US"/>
        </w:rPr>
        <w:t>to an order setting aside the</w:t>
      </w:r>
      <w:r w:rsidR="006E7538">
        <w:rPr>
          <w:lang w:eastAsia="en-US"/>
        </w:rPr>
        <w:t xml:space="preserve"> </w:t>
      </w:r>
      <w:r w:rsidR="006E7538" w:rsidRPr="002E0EBF">
        <w:rPr>
          <w:lang w:eastAsia="en-US"/>
        </w:rPr>
        <w:t>Default Judgement and having the matter referred to evidence, even if only on this</w:t>
      </w:r>
      <w:r w:rsidR="006E7538">
        <w:rPr>
          <w:lang w:eastAsia="en-US"/>
        </w:rPr>
        <w:t xml:space="preserve"> </w:t>
      </w:r>
      <w:r w:rsidR="006E7538" w:rsidRPr="002E0EBF">
        <w:rPr>
          <w:lang w:eastAsia="en-US"/>
        </w:rPr>
        <w:t xml:space="preserve">narrow issue. </w:t>
      </w:r>
      <w:r w:rsidR="006E7538">
        <w:rPr>
          <w:lang w:eastAsia="en-US"/>
        </w:rPr>
        <w:t xml:space="preserve"> </w:t>
      </w:r>
    </w:p>
    <w:p w14:paraId="0CCCA2EF" w14:textId="6824FFD1" w:rsidR="00D90A1E" w:rsidRDefault="00D90A1E" w:rsidP="006E7538">
      <w:pPr>
        <w:suppressAutoHyphens w:val="0"/>
        <w:autoSpaceDE w:val="0"/>
        <w:autoSpaceDN w:val="0"/>
        <w:adjustRightInd w:val="0"/>
        <w:spacing w:after="0"/>
        <w:outlineLvl w:val="9"/>
        <w:rPr>
          <w:lang w:eastAsia="en-US"/>
        </w:rPr>
      </w:pPr>
    </w:p>
    <w:p w14:paraId="623140FB" w14:textId="097F6F66" w:rsidR="00D90A1E" w:rsidRPr="002E0EBF" w:rsidRDefault="00495650" w:rsidP="00D90A1E">
      <w:pPr>
        <w:suppressAutoHyphens w:val="0"/>
        <w:autoSpaceDE w:val="0"/>
        <w:autoSpaceDN w:val="0"/>
        <w:adjustRightInd w:val="0"/>
        <w:spacing w:after="0"/>
        <w:outlineLvl w:val="9"/>
        <w:rPr>
          <w:color w:val="000000"/>
          <w:lang w:eastAsia="en-US"/>
        </w:rPr>
      </w:pPr>
      <w:r>
        <w:rPr>
          <w:color w:val="000000"/>
          <w:lang w:eastAsia="en-US"/>
        </w:rPr>
        <w:t>13.6</w:t>
      </w:r>
      <w:r>
        <w:rPr>
          <w:color w:val="000000"/>
          <w:lang w:eastAsia="en-US"/>
        </w:rPr>
        <w:tab/>
      </w:r>
      <w:r w:rsidR="00D90A1E">
        <w:rPr>
          <w:color w:val="000000"/>
          <w:lang w:eastAsia="en-US"/>
        </w:rPr>
        <w:t xml:space="preserve">Ms Denichaud submitted in regard to the interest rate point that it was clear from the respondent’s answering affidavit that the interest rate was reduced by 0,5% or 50 basis points and that the reference to 50% in the letter (annexure CS11) was a typographical error. The applicants were aware of this and refer in their founding affidavit (Caselines 01-3-11) to a total -2% reduction </w:t>
      </w:r>
      <w:r w:rsidR="00D90A1E">
        <w:rPr>
          <w:color w:val="000000"/>
          <w:lang w:eastAsia="en-US"/>
        </w:rPr>
        <w:lastRenderedPageBreak/>
        <w:t xml:space="preserve">that they are entitled to on the interest rate applicable. Annexure AA16 to the replying affidavit makes it clear that the respondent applied a rate of 14% less 2% and then a 0,5% further reduction. It had never been the applicants’ understanding that they would receive a 50% reduction and the respondent’s evidence clearly establishes this. In any event, counsel submitted, this point obscures the fact that the respondent is seeking a money judgment on the capital plus interest but the applicants have not made payment even of the capital amount in over ten years while they continue to occupy the property. I agree </w:t>
      </w:r>
      <w:r w:rsidR="005726C0">
        <w:rPr>
          <w:color w:val="000000"/>
          <w:lang w:eastAsia="en-US"/>
        </w:rPr>
        <w:t xml:space="preserve">with Ms Denichaud that in addition </w:t>
      </w:r>
      <w:r w:rsidR="00D90A1E">
        <w:rPr>
          <w:color w:val="000000"/>
          <w:lang w:eastAsia="en-US"/>
        </w:rPr>
        <w:t xml:space="preserve">that there would have been no basis for referral of this point to oral evidence as was submitted by Mr </w:t>
      </w:r>
      <w:r w:rsidR="005245A1">
        <w:rPr>
          <w:color w:val="000000"/>
          <w:lang w:eastAsia="en-US"/>
        </w:rPr>
        <w:t>Marks</w:t>
      </w:r>
      <w:r w:rsidR="00D90A1E">
        <w:rPr>
          <w:color w:val="000000"/>
          <w:lang w:eastAsia="en-US"/>
        </w:rPr>
        <w:t>, and that it this ground of appeal has no prospects of success.</w:t>
      </w:r>
    </w:p>
    <w:p w14:paraId="6E76E4B7" w14:textId="77777777" w:rsidR="00D90A1E" w:rsidRPr="00D90A1E" w:rsidRDefault="00D90A1E" w:rsidP="006E7538">
      <w:pPr>
        <w:suppressAutoHyphens w:val="0"/>
        <w:autoSpaceDE w:val="0"/>
        <w:autoSpaceDN w:val="0"/>
        <w:adjustRightInd w:val="0"/>
        <w:spacing w:after="0"/>
        <w:outlineLvl w:val="9"/>
        <w:rPr>
          <w:color w:val="000000"/>
          <w:lang w:eastAsia="en-US"/>
        </w:rPr>
      </w:pPr>
    </w:p>
    <w:p w14:paraId="643567D5" w14:textId="5A72726A" w:rsidR="006E7538" w:rsidRPr="006E7538" w:rsidRDefault="002E0EBF" w:rsidP="006E7538">
      <w:pPr>
        <w:suppressAutoHyphens w:val="0"/>
        <w:autoSpaceDE w:val="0"/>
        <w:autoSpaceDN w:val="0"/>
        <w:adjustRightInd w:val="0"/>
        <w:spacing w:after="0"/>
        <w:outlineLvl w:val="9"/>
        <w:rPr>
          <w:u w:val="single"/>
          <w:lang w:eastAsia="en-US"/>
        </w:rPr>
      </w:pPr>
      <w:r w:rsidRPr="006E7538">
        <w:rPr>
          <w:u w:val="single"/>
          <w:lang w:eastAsia="en-US"/>
        </w:rPr>
        <w:t>Notice in terms of Section 86(10)</w:t>
      </w:r>
    </w:p>
    <w:p w14:paraId="76CDC190" w14:textId="50940C9A" w:rsidR="002E0EBF" w:rsidRPr="00495650" w:rsidRDefault="00495650" w:rsidP="002E0EBF">
      <w:pPr>
        <w:suppressAutoHyphens w:val="0"/>
        <w:autoSpaceDE w:val="0"/>
        <w:autoSpaceDN w:val="0"/>
        <w:adjustRightInd w:val="0"/>
        <w:spacing w:after="0"/>
        <w:outlineLvl w:val="9"/>
        <w:rPr>
          <w:i/>
          <w:iCs/>
          <w:lang w:eastAsia="en-US"/>
        </w:rPr>
      </w:pPr>
      <w:r>
        <w:rPr>
          <w:lang w:eastAsia="en-US"/>
        </w:rPr>
        <w:t>13.7</w:t>
      </w:r>
      <w:r>
        <w:rPr>
          <w:lang w:eastAsia="en-US"/>
        </w:rPr>
        <w:tab/>
      </w:r>
      <w:r w:rsidR="006E7538">
        <w:rPr>
          <w:lang w:eastAsia="en-US"/>
        </w:rPr>
        <w:t xml:space="preserve">Mr </w:t>
      </w:r>
      <w:r w:rsidR="005245A1">
        <w:rPr>
          <w:lang w:eastAsia="en-US"/>
        </w:rPr>
        <w:t>Marks</w:t>
      </w:r>
      <w:r w:rsidR="006E7538">
        <w:rPr>
          <w:lang w:eastAsia="en-US"/>
        </w:rPr>
        <w:t xml:space="preserve"> submitted that the Court </w:t>
      </w:r>
      <w:r w:rsidR="002E0EBF" w:rsidRPr="002E0EBF">
        <w:rPr>
          <w:lang w:eastAsia="en-US"/>
        </w:rPr>
        <w:t xml:space="preserve">erred in not finding that the </w:t>
      </w:r>
      <w:r w:rsidR="006E7538">
        <w:rPr>
          <w:lang w:eastAsia="en-US"/>
        </w:rPr>
        <w:t xml:space="preserve">Respondent </w:t>
      </w:r>
      <w:r w:rsidR="002E0EBF" w:rsidRPr="002E0EBF">
        <w:rPr>
          <w:lang w:eastAsia="en-US"/>
        </w:rPr>
        <w:t>had failed to comply with</w:t>
      </w:r>
      <w:r w:rsidR="002E0EBF">
        <w:rPr>
          <w:lang w:eastAsia="en-US"/>
        </w:rPr>
        <w:t xml:space="preserve"> </w:t>
      </w:r>
      <w:r w:rsidR="002E0EBF" w:rsidRPr="002E0EBF">
        <w:rPr>
          <w:lang w:eastAsia="en-US"/>
        </w:rPr>
        <w:t>the provisions of Section 86 of the National Credit Act 34 of 2005 and that as a</w:t>
      </w:r>
      <w:r w:rsidR="002E0EBF">
        <w:rPr>
          <w:lang w:eastAsia="en-US"/>
        </w:rPr>
        <w:t xml:space="preserve"> </w:t>
      </w:r>
      <w:r w:rsidR="002E0EBF" w:rsidRPr="002E0EBF">
        <w:rPr>
          <w:lang w:eastAsia="en-US"/>
        </w:rPr>
        <w:t xml:space="preserve">result the judgment had been granted in error. </w:t>
      </w:r>
      <w:r w:rsidR="006E7538">
        <w:rPr>
          <w:lang w:eastAsia="en-US"/>
        </w:rPr>
        <w:t xml:space="preserve">The Court </w:t>
      </w:r>
      <w:r w:rsidR="002E0EBF" w:rsidRPr="002E0EBF">
        <w:rPr>
          <w:lang w:eastAsia="en-US"/>
        </w:rPr>
        <w:t>erred in not</w:t>
      </w:r>
      <w:r w:rsidR="002E0EBF">
        <w:rPr>
          <w:lang w:eastAsia="en-US"/>
        </w:rPr>
        <w:t xml:space="preserve"> </w:t>
      </w:r>
      <w:r w:rsidR="002E0EBF" w:rsidRPr="002E0EBF">
        <w:rPr>
          <w:lang w:eastAsia="en-US"/>
        </w:rPr>
        <w:t xml:space="preserve">finding that no proper notification was sent to each of the </w:t>
      </w:r>
      <w:r>
        <w:rPr>
          <w:lang w:eastAsia="en-US"/>
        </w:rPr>
        <w:t>a</w:t>
      </w:r>
      <w:r w:rsidR="006E7538">
        <w:rPr>
          <w:lang w:eastAsia="en-US"/>
        </w:rPr>
        <w:t xml:space="preserve">pplicants in </w:t>
      </w:r>
      <w:r w:rsidR="002E0EBF" w:rsidRPr="002E0EBF">
        <w:rPr>
          <w:lang w:eastAsia="en-US"/>
        </w:rPr>
        <w:t>respect</w:t>
      </w:r>
      <w:r w:rsidR="002E0EBF">
        <w:rPr>
          <w:lang w:eastAsia="en-US"/>
        </w:rPr>
        <w:t xml:space="preserve"> </w:t>
      </w:r>
      <w:r w:rsidR="002E0EBF" w:rsidRPr="002E0EBF">
        <w:rPr>
          <w:lang w:eastAsia="en-US"/>
        </w:rPr>
        <w:t>of the section 86 notice</w:t>
      </w:r>
      <w:r w:rsidR="006E7538">
        <w:rPr>
          <w:lang w:eastAsia="en-US"/>
        </w:rPr>
        <w:t xml:space="preserve">. </w:t>
      </w:r>
      <w:r w:rsidR="002E0EBF" w:rsidRPr="002E0EBF">
        <w:rPr>
          <w:lang w:eastAsia="en-US"/>
        </w:rPr>
        <w:t xml:space="preserve">The </w:t>
      </w:r>
      <w:r>
        <w:rPr>
          <w:lang w:eastAsia="en-US"/>
        </w:rPr>
        <w:t>r</w:t>
      </w:r>
      <w:r w:rsidR="006E7538">
        <w:rPr>
          <w:lang w:eastAsia="en-US"/>
        </w:rPr>
        <w:t>espondent r</w:t>
      </w:r>
      <w:r w:rsidR="002E0EBF" w:rsidRPr="002E0EBF">
        <w:rPr>
          <w:lang w:eastAsia="en-US"/>
        </w:rPr>
        <w:t>elied upon</w:t>
      </w:r>
      <w:r w:rsidR="002E0EBF">
        <w:rPr>
          <w:lang w:eastAsia="en-US"/>
        </w:rPr>
        <w:t xml:space="preserve"> </w:t>
      </w:r>
      <w:r w:rsidR="002E0EBF" w:rsidRPr="002E0EBF">
        <w:rPr>
          <w:lang w:eastAsia="en-US"/>
        </w:rPr>
        <w:t>annexure D1, D2 and D3 as evidence of compliance</w:t>
      </w:r>
      <w:r w:rsidR="006E7538">
        <w:rPr>
          <w:lang w:eastAsia="en-US"/>
        </w:rPr>
        <w:t>.</w:t>
      </w:r>
      <w:r w:rsidR="002E0EBF" w:rsidRPr="002E0EBF">
        <w:rPr>
          <w:lang w:eastAsia="en-US"/>
        </w:rPr>
        <w:t xml:space="preserve"> (Caselines 09-85 to 09-86)</w:t>
      </w:r>
      <w:r>
        <w:rPr>
          <w:lang w:eastAsia="en-US"/>
        </w:rPr>
        <w:t>.</w:t>
      </w:r>
      <w:r w:rsidR="002E0EBF">
        <w:rPr>
          <w:lang w:eastAsia="en-US"/>
        </w:rPr>
        <w:t xml:space="preserve"> </w:t>
      </w:r>
      <w:r w:rsidR="002E0EBF" w:rsidRPr="002E0EBF">
        <w:rPr>
          <w:lang w:eastAsia="en-US"/>
        </w:rPr>
        <w:t xml:space="preserve">D1 is addressed to both </w:t>
      </w:r>
      <w:r w:rsidR="006E7538">
        <w:rPr>
          <w:lang w:eastAsia="en-US"/>
        </w:rPr>
        <w:t>applicants</w:t>
      </w:r>
      <w:r w:rsidR="002E0EBF" w:rsidRPr="002E0EBF">
        <w:rPr>
          <w:lang w:eastAsia="en-US"/>
        </w:rPr>
        <w:t>, in a single document. D2 is a registered slip</w:t>
      </w:r>
      <w:r w:rsidR="002E0EBF">
        <w:rPr>
          <w:lang w:eastAsia="en-US"/>
        </w:rPr>
        <w:t xml:space="preserve"> </w:t>
      </w:r>
      <w:r w:rsidR="002E0EBF" w:rsidRPr="002E0EBF">
        <w:rPr>
          <w:lang w:eastAsia="en-US"/>
        </w:rPr>
        <w:t xml:space="preserve">also addressed to both </w:t>
      </w:r>
      <w:r w:rsidR="006E7538">
        <w:rPr>
          <w:lang w:eastAsia="en-US"/>
        </w:rPr>
        <w:t>applicants</w:t>
      </w:r>
      <w:r w:rsidR="002E0EBF" w:rsidRPr="002E0EBF">
        <w:rPr>
          <w:lang w:eastAsia="en-US"/>
        </w:rPr>
        <w:t>. There is no evidence as to whether each</w:t>
      </w:r>
      <w:r w:rsidR="002E0EBF">
        <w:rPr>
          <w:lang w:eastAsia="en-US"/>
        </w:rPr>
        <w:t xml:space="preserve"> </w:t>
      </w:r>
      <w:r w:rsidR="006E7538">
        <w:rPr>
          <w:lang w:eastAsia="en-US"/>
        </w:rPr>
        <w:t>app</w:t>
      </w:r>
      <w:r w:rsidR="005726C0">
        <w:rPr>
          <w:lang w:eastAsia="en-US"/>
        </w:rPr>
        <w:t>licant</w:t>
      </w:r>
      <w:r w:rsidR="006E7538">
        <w:rPr>
          <w:lang w:eastAsia="en-US"/>
        </w:rPr>
        <w:t xml:space="preserve"> or </w:t>
      </w:r>
      <w:r w:rsidR="005726C0">
        <w:rPr>
          <w:lang w:eastAsia="en-US"/>
        </w:rPr>
        <w:t>either</w:t>
      </w:r>
      <w:r w:rsidR="002E0EBF" w:rsidRPr="002E0EBF">
        <w:rPr>
          <w:lang w:eastAsia="en-US"/>
        </w:rPr>
        <w:t xml:space="preserve"> of the</w:t>
      </w:r>
      <w:r w:rsidR="005726C0">
        <w:rPr>
          <w:lang w:eastAsia="en-US"/>
        </w:rPr>
        <w:t>m</w:t>
      </w:r>
      <w:r w:rsidR="002E0EBF" w:rsidRPr="002E0EBF">
        <w:rPr>
          <w:lang w:eastAsia="en-US"/>
        </w:rPr>
        <w:t xml:space="preserve"> received notice, no printout from the post office</w:t>
      </w:r>
      <w:r w:rsidR="005726C0">
        <w:rPr>
          <w:lang w:eastAsia="en-US"/>
        </w:rPr>
        <w:t>,</w:t>
      </w:r>
      <w:r w:rsidR="002E0EBF">
        <w:rPr>
          <w:lang w:eastAsia="en-US"/>
        </w:rPr>
        <w:t xml:space="preserve"> </w:t>
      </w:r>
      <w:r w:rsidR="002E0EBF" w:rsidRPr="002E0EBF">
        <w:rPr>
          <w:lang w:eastAsia="en-US"/>
        </w:rPr>
        <w:t>and even if there was compliance in that the post office sent a notification, at least</w:t>
      </w:r>
      <w:r w:rsidR="002E0EBF">
        <w:rPr>
          <w:lang w:eastAsia="en-US"/>
        </w:rPr>
        <w:t xml:space="preserve"> </w:t>
      </w:r>
      <w:r w:rsidR="002E0EBF" w:rsidRPr="002E0EBF">
        <w:rPr>
          <w:lang w:eastAsia="en-US"/>
        </w:rPr>
        <w:t xml:space="preserve">one of the </w:t>
      </w:r>
      <w:r w:rsidR="006E7538">
        <w:rPr>
          <w:lang w:eastAsia="en-US"/>
        </w:rPr>
        <w:t xml:space="preserve">applicants </w:t>
      </w:r>
      <w:r w:rsidR="002E0EBF" w:rsidRPr="002E0EBF">
        <w:rPr>
          <w:lang w:eastAsia="en-US"/>
        </w:rPr>
        <w:t>would not have received notice as required by section 86.</w:t>
      </w:r>
      <w:r w:rsidR="002E0EBF">
        <w:rPr>
          <w:lang w:eastAsia="en-US"/>
        </w:rPr>
        <w:t xml:space="preserve"> </w:t>
      </w:r>
      <w:r w:rsidR="002E0EBF" w:rsidRPr="002E0EBF">
        <w:rPr>
          <w:lang w:eastAsia="en-US"/>
        </w:rPr>
        <w:t xml:space="preserve">Thus, </w:t>
      </w:r>
      <w:r w:rsidR="005726C0">
        <w:rPr>
          <w:lang w:eastAsia="en-US"/>
        </w:rPr>
        <w:t xml:space="preserve">the submission is that </w:t>
      </w:r>
      <w:r w:rsidR="002E0EBF" w:rsidRPr="002E0EBF">
        <w:rPr>
          <w:lang w:eastAsia="en-US"/>
        </w:rPr>
        <w:t xml:space="preserve">there was no compliance with Section 86 </w:t>
      </w:r>
      <w:r w:rsidR="002E0EBF" w:rsidRPr="00495650">
        <w:rPr>
          <w:i/>
          <w:iCs/>
          <w:lang w:eastAsia="en-US"/>
        </w:rPr>
        <w:t>ab initio.</w:t>
      </w:r>
    </w:p>
    <w:p w14:paraId="763CDA50" w14:textId="77777777" w:rsidR="002E0EBF" w:rsidRDefault="002E0EBF" w:rsidP="002E0EBF">
      <w:pPr>
        <w:suppressAutoHyphens w:val="0"/>
        <w:autoSpaceDE w:val="0"/>
        <w:autoSpaceDN w:val="0"/>
        <w:adjustRightInd w:val="0"/>
        <w:spacing w:after="0"/>
        <w:jc w:val="left"/>
        <w:outlineLvl w:val="9"/>
        <w:rPr>
          <w:lang w:eastAsia="en-US"/>
        </w:rPr>
      </w:pPr>
    </w:p>
    <w:p w14:paraId="6E625B90" w14:textId="4A66AFB3" w:rsidR="002E0EBF" w:rsidRPr="002E0EBF" w:rsidRDefault="00495650" w:rsidP="002E0EBF">
      <w:pPr>
        <w:suppressAutoHyphens w:val="0"/>
        <w:autoSpaceDE w:val="0"/>
        <w:autoSpaceDN w:val="0"/>
        <w:adjustRightInd w:val="0"/>
        <w:spacing w:after="0"/>
        <w:outlineLvl w:val="9"/>
        <w:rPr>
          <w:lang w:eastAsia="en-US"/>
        </w:rPr>
      </w:pPr>
      <w:r>
        <w:rPr>
          <w:lang w:eastAsia="en-US"/>
        </w:rPr>
        <w:t>13.8</w:t>
      </w:r>
      <w:r>
        <w:rPr>
          <w:lang w:eastAsia="en-US"/>
        </w:rPr>
        <w:tab/>
      </w:r>
      <w:r w:rsidR="002E0EBF" w:rsidRPr="002E0EBF">
        <w:rPr>
          <w:lang w:eastAsia="en-US"/>
        </w:rPr>
        <w:t xml:space="preserve">On this basis alone the </w:t>
      </w:r>
      <w:r>
        <w:rPr>
          <w:lang w:eastAsia="en-US"/>
        </w:rPr>
        <w:t>C</w:t>
      </w:r>
      <w:r w:rsidR="002E0EBF" w:rsidRPr="002E0EBF">
        <w:rPr>
          <w:lang w:eastAsia="en-US"/>
        </w:rPr>
        <w:t>ourt should have found on considering the papers in the</w:t>
      </w:r>
      <w:r w:rsidR="002E0EBF">
        <w:rPr>
          <w:lang w:eastAsia="en-US"/>
        </w:rPr>
        <w:t xml:space="preserve"> </w:t>
      </w:r>
      <w:r w:rsidR="002E0EBF" w:rsidRPr="002E0EBF">
        <w:rPr>
          <w:lang w:eastAsia="en-US"/>
        </w:rPr>
        <w:t>rescission that an order rescinding the judgement should have been granted as</w:t>
      </w:r>
      <w:r w:rsidR="002E0EBF">
        <w:rPr>
          <w:lang w:eastAsia="en-US"/>
        </w:rPr>
        <w:t xml:space="preserve"> </w:t>
      </w:r>
      <w:r w:rsidR="002E0EBF" w:rsidRPr="002E0EBF">
        <w:rPr>
          <w:lang w:eastAsia="en-US"/>
        </w:rPr>
        <w:t xml:space="preserve">there was no evidence before the </w:t>
      </w:r>
      <w:r>
        <w:rPr>
          <w:lang w:eastAsia="en-US"/>
        </w:rPr>
        <w:t>C</w:t>
      </w:r>
      <w:r w:rsidR="002E0EBF" w:rsidRPr="002E0EBF">
        <w:rPr>
          <w:lang w:eastAsia="en-US"/>
        </w:rPr>
        <w:t>ourt when the order was granted of compliance</w:t>
      </w:r>
      <w:r w:rsidR="002E0EBF">
        <w:rPr>
          <w:lang w:eastAsia="en-US"/>
        </w:rPr>
        <w:t xml:space="preserve"> </w:t>
      </w:r>
      <w:r w:rsidR="002E0EBF" w:rsidRPr="002E0EBF">
        <w:rPr>
          <w:lang w:eastAsia="en-US"/>
        </w:rPr>
        <w:t xml:space="preserve">with section 86 and the Default order </w:t>
      </w:r>
      <w:r>
        <w:rPr>
          <w:lang w:eastAsia="en-US"/>
        </w:rPr>
        <w:t xml:space="preserve">had been </w:t>
      </w:r>
      <w:r w:rsidR="002E0EBF" w:rsidRPr="002E0EBF">
        <w:rPr>
          <w:lang w:eastAsia="en-US"/>
        </w:rPr>
        <w:t xml:space="preserve">improperly granted </w:t>
      </w:r>
      <w:r>
        <w:rPr>
          <w:lang w:eastAsia="en-US"/>
        </w:rPr>
        <w:t xml:space="preserve">based </w:t>
      </w:r>
      <w:r w:rsidR="002E0EBF" w:rsidRPr="002E0EBF">
        <w:rPr>
          <w:lang w:eastAsia="en-US"/>
        </w:rPr>
        <w:t>on the error that</w:t>
      </w:r>
      <w:r w:rsidR="002E0EBF">
        <w:rPr>
          <w:lang w:eastAsia="en-US"/>
        </w:rPr>
        <w:t xml:space="preserve"> </w:t>
      </w:r>
      <w:r w:rsidR="002E0EBF" w:rsidRPr="002E0EBF">
        <w:rPr>
          <w:lang w:eastAsia="en-US"/>
        </w:rPr>
        <w:t>there had been proper compliance with section 86. The non-compliance was a</w:t>
      </w:r>
      <w:r w:rsidR="002E0EBF">
        <w:rPr>
          <w:lang w:eastAsia="en-US"/>
        </w:rPr>
        <w:t xml:space="preserve"> </w:t>
      </w:r>
      <w:r w:rsidR="002E0EBF" w:rsidRPr="002E0EBF">
        <w:rPr>
          <w:lang w:eastAsia="en-US"/>
        </w:rPr>
        <w:t xml:space="preserve">statutory breach, and no proper action was before the </w:t>
      </w:r>
      <w:r>
        <w:rPr>
          <w:lang w:eastAsia="en-US"/>
        </w:rPr>
        <w:t>C</w:t>
      </w:r>
      <w:r w:rsidR="002E0EBF" w:rsidRPr="002E0EBF">
        <w:rPr>
          <w:lang w:eastAsia="en-US"/>
        </w:rPr>
        <w:t>ourt</w:t>
      </w:r>
      <w:r>
        <w:rPr>
          <w:lang w:eastAsia="en-US"/>
        </w:rPr>
        <w:t xml:space="preserve">, which </w:t>
      </w:r>
      <w:r w:rsidR="002E0EBF" w:rsidRPr="002E0EBF">
        <w:rPr>
          <w:lang w:eastAsia="en-US"/>
        </w:rPr>
        <w:t xml:space="preserve"> should</w:t>
      </w:r>
      <w:r w:rsidR="002E0EBF">
        <w:rPr>
          <w:lang w:eastAsia="en-US"/>
        </w:rPr>
        <w:t xml:space="preserve"> </w:t>
      </w:r>
      <w:r w:rsidR="002E0EBF" w:rsidRPr="002E0EBF">
        <w:rPr>
          <w:lang w:eastAsia="en-US"/>
        </w:rPr>
        <w:t xml:space="preserve">have rescinded the judgment on this </w:t>
      </w:r>
      <w:r w:rsidR="002E0EBF" w:rsidRPr="002E0EBF">
        <w:rPr>
          <w:lang w:eastAsia="en-US"/>
        </w:rPr>
        <w:lastRenderedPageBreak/>
        <w:t>ground alone.</w:t>
      </w:r>
      <w:r>
        <w:rPr>
          <w:lang w:eastAsia="en-US"/>
        </w:rPr>
        <w:t xml:space="preserve"> </w:t>
      </w:r>
      <w:r w:rsidR="002E0EBF" w:rsidRPr="002E0EBF">
        <w:rPr>
          <w:lang w:eastAsia="en-US"/>
        </w:rPr>
        <w:t xml:space="preserve">By analogy, the Rules of Court and common law require that in any legal action each defendant is to be served with any court papers where they are cited as a defendant, separately, even if they happen to be spouses and even if they happen to use the same </w:t>
      </w:r>
      <w:r w:rsidR="002E0EBF" w:rsidRPr="006E7538">
        <w:rPr>
          <w:i/>
          <w:iCs/>
          <w:lang w:eastAsia="en-US"/>
        </w:rPr>
        <w:t xml:space="preserve">domicilium </w:t>
      </w:r>
      <w:r w:rsidR="002E0EBF" w:rsidRPr="002E0EBF">
        <w:rPr>
          <w:lang w:eastAsia="en-US"/>
        </w:rPr>
        <w:t>or residential address, why then should a mandatory statutory notice be subject to a lesser requirement when same is mandatory under legislation.</w:t>
      </w:r>
    </w:p>
    <w:p w14:paraId="0B3F4188" w14:textId="77777777" w:rsidR="002E0EBF" w:rsidRDefault="002E0EBF" w:rsidP="002E0EBF">
      <w:pPr>
        <w:suppressAutoHyphens w:val="0"/>
        <w:autoSpaceDE w:val="0"/>
        <w:autoSpaceDN w:val="0"/>
        <w:adjustRightInd w:val="0"/>
        <w:spacing w:after="0"/>
        <w:outlineLvl w:val="9"/>
        <w:rPr>
          <w:lang w:eastAsia="en-US"/>
        </w:rPr>
      </w:pPr>
    </w:p>
    <w:p w14:paraId="05C17E13" w14:textId="55439DCD" w:rsidR="002E0EBF" w:rsidRPr="002E0EBF" w:rsidRDefault="00495650" w:rsidP="006E7538">
      <w:pPr>
        <w:suppressAutoHyphens w:val="0"/>
        <w:autoSpaceDE w:val="0"/>
        <w:autoSpaceDN w:val="0"/>
        <w:adjustRightInd w:val="0"/>
        <w:spacing w:after="0"/>
        <w:outlineLvl w:val="9"/>
        <w:rPr>
          <w:lang w:eastAsia="en-US"/>
        </w:rPr>
      </w:pPr>
      <w:r>
        <w:rPr>
          <w:lang w:eastAsia="en-US"/>
        </w:rPr>
        <w:t>13.9</w:t>
      </w:r>
      <w:r>
        <w:rPr>
          <w:lang w:eastAsia="en-US"/>
        </w:rPr>
        <w:tab/>
      </w:r>
      <w:r w:rsidR="002E0EBF">
        <w:rPr>
          <w:lang w:eastAsia="en-US"/>
        </w:rPr>
        <w:t xml:space="preserve">Mr </w:t>
      </w:r>
      <w:r w:rsidR="005245A1">
        <w:rPr>
          <w:lang w:eastAsia="en-US"/>
        </w:rPr>
        <w:t>Marks</w:t>
      </w:r>
      <w:r w:rsidR="002E0EBF">
        <w:rPr>
          <w:lang w:eastAsia="en-US"/>
        </w:rPr>
        <w:t xml:space="preserve"> submitted that t</w:t>
      </w:r>
      <w:r w:rsidR="002E0EBF" w:rsidRPr="002E0EBF">
        <w:rPr>
          <w:lang w:eastAsia="en-US"/>
        </w:rPr>
        <w:t xml:space="preserve">he </w:t>
      </w:r>
      <w:r w:rsidR="002E0EBF">
        <w:rPr>
          <w:lang w:eastAsia="en-US"/>
        </w:rPr>
        <w:t xml:space="preserve">Court </w:t>
      </w:r>
      <w:r w:rsidR="002E0EBF" w:rsidRPr="002E0EBF">
        <w:rPr>
          <w:lang w:eastAsia="en-US"/>
        </w:rPr>
        <w:t>erred in not finding that there had been noncompliance with section 86 in the face of a material and substantial factual dispute and should have rescinded the judgment and either dismissed the action in toto or alternatively exercised its discretion and ordered compliance with section 86 by the respondent prior to the matter proceeding.</w:t>
      </w:r>
      <w:r w:rsidR="006E7538">
        <w:rPr>
          <w:lang w:eastAsia="en-US"/>
        </w:rPr>
        <w:t xml:space="preserve"> </w:t>
      </w:r>
      <w:r w:rsidR="002E0EBF">
        <w:rPr>
          <w:lang w:eastAsia="en-US"/>
        </w:rPr>
        <w:t>He submitted that a</w:t>
      </w:r>
      <w:r w:rsidR="002E0EBF" w:rsidRPr="002E0EBF">
        <w:rPr>
          <w:lang w:eastAsia="en-US"/>
        </w:rPr>
        <w:t xml:space="preserve">lthough </w:t>
      </w:r>
      <w:r w:rsidR="002E0EBF" w:rsidRPr="002E0EBF">
        <w:rPr>
          <w:i/>
          <w:iCs/>
          <w:lang w:eastAsia="en-US"/>
        </w:rPr>
        <w:t>Sebola</w:t>
      </w:r>
      <w:r w:rsidR="006E7538">
        <w:rPr>
          <w:rStyle w:val="FootnoteReference"/>
          <w:i/>
          <w:iCs/>
          <w:lang w:eastAsia="en-US"/>
        </w:rPr>
        <w:footnoteReference w:id="4"/>
      </w:r>
      <w:r w:rsidR="002E0EBF" w:rsidRPr="002E0EBF">
        <w:rPr>
          <w:lang w:eastAsia="en-US"/>
        </w:rPr>
        <w:t xml:space="preserve"> deals with Notices under Section 129, the principles of service and delivery are directly analogous and on point</w:t>
      </w:r>
      <w:r w:rsidR="002E0EBF">
        <w:rPr>
          <w:lang w:eastAsia="en-US"/>
        </w:rPr>
        <w:t xml:space="preserve"> </w:t>
      </w:r>
      <w:r w:rsidR="002E0EBF" w:rsidRPr="002E0EBF">
        <w:rPr>
          <w:lang w:eastAsia="en-US"/>
        </w:rPr>
        <w:t xml:space="preserve">as regard section 86 Notices. </w:t>
      </w:r>
    </w:p>
    <w:p w14:paraId="21F66855" w14:textId="77777777" w:rsidR="002E0EBF" w:rsidRPr="002E0EBF" w:rsidRDefault="002E0EBF" w:rsidP="002E0EBF">
      <w:pPr>
        <w:suppressAutoHyphens w:val="0"/>
        <w:autoSpaceDE w:val="0"/>
        <w:autoSpaceDN w:val="0"/>
        <w:adjustRightInd w:val="0"/>
        <w:spacing w:after="0" w:line="240" w:lineRule="auto"/>
        <w:jc w:val="left"/>
        <w:outlineLvl w:val="9"/>
        <w:rPr>
          <w:lang w:eastAsia="en-US"/>
        </w:rPr>
      </w:pPr>
    </w:p>
    <w:p w14:paraId="68A7BC2D" w14:textId="727853A5" w:rsidR="002E0EBF" w:rsidRDefault="00495650" w:rsidP="002E0EBF">
      <w:pPr>
        <w:suppressAutoHyphens w:val="0"/>
        <w:autoSpaceDE w:val="0"/>
        <w:autoSpaceDN w:val="0"/>
        <w:adjustRightInd w:val="0"/>
        <w:spacing w:after="0"/>
        <w:outlineLvl w:val="9"/>
        <w:rPr>
          <w:lang w:eastAsia="en-US"/>
        </w:rPr>
      </w:pPr>
      <w:r>
        <w:rPr>
          <w:lang w:eastAsia="en-US"/>
        </w:rPr>
        <w:t>13.10</w:t>
      </w:r>
      <w:r>
        <w:rPr>
          <w:lang w:eastAsia="en-US"/>
        </w:rPr>
        <w:tab/>
      </w:r>
      <w:r w:rsidR="006E7538">
        <w:rPr>
          <w:lang w:eastAsia="en-US"/>
        </w:rPr>
        <w:t xml:space="preserve">Mr </w:t>
      </w:r>
      <w:r w:rsidR="005245A1">
        <w:rPr>
          <w:lang w:eastAsia="en-US"/>
        </w:rPr>
        <w:t>Marks</w:t>
      </w:r>
      <w:r w:rsidR="006E7538">
        <w:rPr>
          <w:lang w:eastAsia="en-US"/>
        </w:rPr>
        <w:t xml:space="preserve"> submitted that in </w:t>
      </w:r>
      <w:r w:rsidR="002E0EBF" w:rsidRPr="006E7538">
        <w:rPr>
          <w:i/>
          <w:iCs/>
          <w:lang w:eastAsia="en-US"/>
        </w:rPr>
        <w:t>Standard Bank of South Africa Ltd v Visagie and Another</w:t>
      </w:r>
      <w:r w:rsidR="006E7538">
        <w:rPr>
          <w:rStyle w:val="FootnoteReference"/>
          <w:i/>
          <w:iCs/>
          <w:lang w:eastAsia="en-US"/>
        </w:rPr>
        <w:footnoteReference w:id="5"/>
      </w:r>
      <w:r w:rsidR="002E0EBF" w:rsidRPr="006E7538">
        <w:rPr>
          <w:i/>
          <w:iCs/>
          <w:lang w:eastAsia="en-US"/>
        </w:rPr>
        <w:t xml:space="preserve"> </w:t>
      </w:r>
      <w:r w:rsidR="002E0EBF" w:rsidRPr="002E0EBF">
        <w:rPr>
          <w:lang w:eastAsia="en-US"/>
        </w:rPr>
        <w:t>Kruger J refused summary</w:t>
      </w:r>
      <w:r w:rsidR="002E0EBF">
        <w:rPr>
          <w:lang w:eastAsia="en-US"/>
        </w:rPr>
        <w:t xml:space="preserve"> </w:t>
      </w:r>
      <w:r w:rsidR="002E0EBF" w:rsidRPr="002E0EBF">
        <w:rPr>
          <w:lang w:eastAsia="en-US"/>
        </w:rPr>
        <w:t>judgment as there was no proof that the 86(10)</w:t>
      </w:r>
      <w:r>
        <w:rPr>
          <w:lang w:eastAsia="en-US"/>
        </w:rPr>
        <w:t xml:space="preserve"> n</w:t>
      </w:r>
      <w:r w:rsidR="002E0EBF" w:rsidRPr="002E0EBF">
        <w:rPr>
          <w:lang w:eastAsia="en-US"/>
        </w:rPr>
        <w:t>otice had in fact been</w:t>
      </w:r>
      <w:r w:rsidR="002E0EBF">
        <w:rPr>
          <w:lang w:eastAsia="en-US"/>
        </w:rPr>
        <w:t xml:space="preserve"> </w:t>
      </w:r>
      <w:r w:rsidR="002E0EBF" w:rsidRPr="002E0EBF">
        <w:rPr>
          <w:lang w:eastAsia="en-US"/>
        </w:rPr>
        <w:t>delivered to the post office where the defendant resided. The pleadings that</w:t>
      </w:r>
      <w:r w:rsidR="002E0EBF">
        <w:rPr>
          <w:lang w:eastAsia="en-US"/>
        </w:rPr>
        <w:t xml:space="preserve"> </w:t>
      </w:r>
      <w:r w:rsidR="002E0EBF" w:rsidRPr="002E0EBF">
        <w:rPr>
          <w:lang w:eastAsia="en-US"/>
        </w:rPr>
        <w:t xml:space="preserve">are before this </w:t>
      </w:r>
      <w:r>
        <w:rPr>
          <w:lang w:eastAsia="en-US"/>
        </w:rPr>
        <w:t>C</w:t>
      </w:r>
      <w:r w:rsidR="002E0EBF" w:rsidRPr="002E0EBF">
        <w:rPr>
          <w:lang w:eastAsia="en-US"/>
        </w:rPr>
        <w:t>ourt likewise have no proof of delivery to the post office</w:t>
      </w:r>
      <w:r w:rsidR="002E0EBF">
        <w:rPr>
          <w:lang w:eastAsia="en-US"/>
        </w:rPr>
        <w:t xml:space="preserve"> </w:t>
      </w:r>
      <w:r w:rsidR="002E0EBF" w:rsidRPr="002E0EBF">
        <w:rPr>
          <w:lang w:eastAsia="en-US"/>
        </w:rPr>
        <w:t>where it was ostensibly sent</w:t>
      </w:r>
      <w:r>
        <w:rPr>
          <w:lang w:eastAsia="en-US"/>
        </w:rPr>
        <w:t>.</w:t>
      </w:r>
      <w:r w:rsidR="002E0EBF">
        <w:rPr>
          <w:lang w:eastAsia="en-US"/>
        </w:rPr>
        <w:t xml:space="preserve"> </w:t>
      </w:r>
      <w:r w:rsidR="002E0EBF" w:rsidRPr="002E0EBF">
        <w:rPr>
          <w:lang w:eastAsia="en-US"/>
        </w:rPr>
        <w:t>By extension of this principle, the failure to send a notice to each defendant</w:t>
      </w:r>
      <w:r w:rsidR="002E0EBF">
        <w:rPr>
          <w:lang w:eastAsia="en-US"/>
        </w:rPr>
        <w:t xml:space="preserve"> </w:t>
      </w:r>
      <w:r w:rsidR="002E0EBF" w:rsidRPr="002E0EBF">
        <w:rPr>
          <w:lang w:eastAsia="en-US"/>
        </w:rPr>
        <w:t>and the lack of proof of actual delivery to the post office where the</w:t>
      </w:r>
      <w:r w:rsidR="006E7538">
        <w:rPr>
          <w:lang w:eastAsia="en-US"/>
        </w:rPr>
        <w:t xml:space="preserve"> </w:t>
      </w:r>
      <w:r w:rsidR="002E0EBF" w:rsidRPr="002E0EBF">
        <w:rPr>
          <w:lang w:eastAsia="en-US"/>
        </w:rPr>
        <w:t>defendant(s) reside is irregular and is grounds to set aside the default order</w:t>
      </w:r>
      <w:r w:rsidR="006E7538">
        <w:rPr>
          <w:lang w:eastAsia="en-US"/>
        </w:rPr>
        <w:t xml:space="preserve"> </w:t>
      </w:r>
      <w:r w:rsidR="002E0EBF" w:rsidRPr="002E0EBF">
        <w:rPr>
          <w:lang w:eastAsia="en-US"/>
        </w:rPr>
        <w:t xml:space="preserve">and the </w:t>
      </w:r>
      <w:r>
        <w:rPr>
          <w:lang w:eastAsia="en-US"/>
        </w:rPr>
        <w:t>C</w:t>
      </w:r>
      <w:r w:rsidR="002E0EBF" w:rsidRPr="002E0EBF">
        <w:rPr>
          <w:lang w:eastAsia="en-US"/>
        </w:rPr>
        <w:t>ourt should have granted the order for rescission on</w:t>
      </w:r>
      <w:r w:rsidR="006E7538">
        <w:rPr>
          <w:lang w:eastAsia="en-US"/>
        </w:rPr>
        <w:t xml:space="preserve"> </w:t>
      </w:r>
      <w:r w:rsidR="002E0EBF" w:rsidRPr="002E0EBF">
        <w:rPr>
          <w:lang w:eastAsia="en-US"/>
        </w:rPr>
        <w:t xml:space="preserve">this ground alone and accordingly the </w:t>
      </w:r>
      <w:r w:rsidR="002E0EBF">
        <w:rPr>
          <w:lang w:eastAsia="en-US"/>
        </w:rPr>
        <w:t xml:space="preserve">applicants </w:t>
      </w:r>
      <w:r w:rsidR="002E0EBF" w:rsidRPr="002E0EBF">
        <w:rPr>
          <w:lang w:eastAsia="en-US"/>
        </w:rPr>
        <w:t>submit</w:t>
      </w:r>
      <w:r w:rsidR="002E0EBF">
        <w:rPr>
          <w:lang w:eastAsia="en-US"/>
        </w:rPr>
        <w:t>ted</w:t>
      </w:r>
      <w:r w:rsidR="002E0EBF" w:rsidRPr="002E0EBF">
        <w:rPr>
          <w:lang w:eastAsia="en-US"/>
        </w:rPr>
        <w:t xml:space="preserve"> that the</w:t>
      </w:r>
      <w:r w:rsidR="006E7538">
        <w:rPr>
          <w:lang w:eastAsia="en-US"/>
        </w:rPr>
        <w:t xml:space="preserve"> </w:t>
      </w:r>
      <w:r w:rsidR="002E0EBF" w:rsidRPr="002E0EBF">
        <w:rPr>
          <w:lang w:eastAsia="en-US"/>
        </w:rPr>
        <w:t>appeal should be granted on this ground</w:t>
      </w:r>
      <w:r w:rsidR="002E0EBF">
        <w:rPr>
          <w:lang w:eastAsia="en-US"/>
        </w:rPr>
        <w:t>.</w:t>
      </w:r>
    </w:p>
    <w:p w14:paraId="0C988D7A" w14:textId="77777777" w:rsidR="006E7538" w:rsidRDefault="006E7538" w:rsidP="002E0EBF">
      <w:pPr>
        <w:suppressAutoHyphens w:val="0"/>
        <w:autoSpaceDE w:val="0"/>
        <w:autoSpaceDN w:val="0"/>
        <w:adjustRightInd w:val="0"/>
        <w:spacing w:after="0"/>
        <w:outlineLvl w:val="9"/>
        <w:rPr>
          <w:lang w:eastAsia="en-US"/>
        </w:rPr>
      </w:pPr>
    </w:p>
    <w:p w14:paraId="2B384414" w14:textId="735DA9E0" w:rsidR="002E0EBF" w:rsidRDefault="005245A1" w:rsidP="002E0EBF">
      <w:pPr>
        <w:suppressAutoHyphens w:val="0"/>
        <w:autoSpaceDE w:val="0"/>
        <w:autoSpaceDN w:val="0"/>
        <w:adjustRightInd w:val="0"/>
        <w:spacing w:after="0"/>
        <w:outlineLvl w:val="9"/>
        <w:rPr>
          <w:color w:val="000000"/>
          <w:lang w:eastAsia="en-US"/>
        </w:rPr>
      </w:pPr>
      <w:r>
        <w:rPr>
          <w:lang w:eastAsia="en-US"/>
        </w:rPr>
        <w:t>13.11</w:t>
      </w:r>
      <w:r>
        <w:rPr>
          <w:lang w:eastAsia="en-US"/>
        </w:rPr>
        <w:tab/>
        <w:t xml:space="preserve"> Accordingly, </w:t>
      </w:r>
      <w:r>
        <w:rPr>
          <w:color w:val="000000"/>
          <w:lang w:eastAsia="en-US"/>
        </w:rPr>
        <w:t>t</w:t>
      </w:r>
      <w:r w:rsidRPr="002E0EBF">
        <w:rPr>
          <w:color w:val="000000"/>
          <w:lang w:eastAsia="en-US"/>
        </w:rPr>
        <w:t xml:space="preserve">he </w:t>
      </w:r>
      <w:r>
        <w:rPr>
          <w:color w:val="000000"/>
          <w:lang w:eastAsia="en-US"/>
        </w:rPr>
        <w:t xml:space="preserve">Court </w:t>
      </w:r>
      <w:r w:rsidRPr="002E0EBF">
        <w:rPr>
          <w:color w:val="000000"/>
          <w:lang w:eastAsia="en-US"/>
        </w:rPr>
        <w:t>erred in finding that the institution of court process was not</w:t>
      </w:r>
      <w:r>
        <w:rPr>
          <w:color w:val="000000"/>
          <w:lang w:eastAsia="en-US"/>
        </w:rPr>
        <w:t xml:space="preserve"> </w:t>
      </w:r>
      <w:r w:rsidRPr="002E0EBF">
        <w:rPr>
          <w:color w:val="000000"/>
          <w:lang w:eastAsia="en-US"/>
        </w:rPr>
        <w:t xml:space="preserve">premature, and in breach of the provisions of section 86 of </w:t>
      </w:r>
      <w:r>
        <w:rPr>
          <w:color w:val="000000"/>
          <w:lang w:eastAsia="en-US"/>
        </w:rPr>
        <w:t>t</w:t>
      </w:r>
      <w:r w:rsidRPr="002E0EBF">
        <w:rPr>
          <w:color w:val="000000"/>
          <w:lang w:eastAsia="en-US"/>
        </w:rPr>
        <w:t>he National Credit Act</w:t>
      </w:r>
      <w:r>
        <w:rPr>
          <w:color w:val="000000"/>
          <w:lang w:eastAsia="en-US"/>
        </w:rPr>
        <w:t xml:space="preserve"> </w:t>
      </w:r>
      <w:r w:rsidRPr="002E0EBF">
        <w:rPr>
          <w:color w:val="000000"/>
          <w:lang w:eastAsia="en-US"/>
        </w:rPr>
        <w:t>in that factually one of the defendants had never been served with</w:t>
      </w:r>
      <w:r>
        <w:rPr>
          <w:color w:val="000000"/>
          <w:lang w:eastAsia="en-US"/>
        </w:rPr>
        <w:t xml:space="preserve"> a notice</w:t>
      </w:r>
      <w:r w:rsidRPr="002E0EBF">
        <w:rPr>
          <w:color w:val="000000"/>
          <w:lang w:eastAsia="en-US"/>
        </w:rPr>
        <w:t>, nor was one</w:t>
      </w:r>
      <w:r>
        <w:rPr>
          <w:color w:val="000000"/>
          <w:lang w:eastAsia="en-US"/>
        </w:rPr>
        <w:t xml:space="preserve"> </w:t>
      </w:r>
      <w:r w:rsidRPr="002E0EBF">
        <w:rPr>
          <w:color w:val="000000"/>
          <w:lang w:eastAsia="en-US"/>
        </w:rPr>
        <w:t xml:space="preserve">despatched to at least one of or perhaps </w:t>
      </w:r>
      <w:r w:rsidRPr="002E0EBF">
        <w:rPr>
          <w:color w:val="000000"/>
          <w:lang w:eastAsia="en-US"/>
        </w:rPr>
        <w:lastRenderedPageBreak/>
        <w:t xml:space="preserve">even both </w:t>
      </w:r>
      <w:r>
        <w:rPr>
          <w:color w:val="000000"/>
          <w:lang w:eastAsia="en-US"/>
        </w:rPr>
        <w:t>d</w:t>
      </w:r>
      <w:r w:rsidRPr="002E0EBF">
        <w:rPr>
          <w:color w:val="000000"/>
          <w:lang w:eastAsia="en-US"/>
        </w:rPr>
        <w:t xml:space="preserve">efendants. </w:t>
      </w:r>
      <w:r w:rsidR="002E0EBF" w:rsidRPr="002E0EBF">
        <w:rPr>
          <w:color w:val="000000"/>
          <w:lang w:eastAsia="en-US"/>
        </w:rPr>
        <w:t>The consequence</w:t>
      </w:r>
      <w:r w:rsidR="002E0EBF">
        <w:rPr>
          <w:color w:val="000000"/>
          <w:lang w:eastAsia="en-US"/>
        </w:rPr>
        <w:t xml:space="preserve"> </w:t>
      </w:r>
      <w:r w:rsidR="002E0EBF" w:rsidRPr="002E0EBF">
        <w:rPr>
          <w:color w:val="000000"/>
          <w:lang w:eastAsia="en-US"/>
        </w:rPr>
        <w:t xml:space="preserve">of not having been provided with a section 86(10) </w:t>
      </w:r>
      <w:r w:rsidR="00495650">
        <w:rPr>
          <w:color w:val="000000"/>
          <w:lang w:eastAsia="en-US"/>
        </w:rPr>
        <w:t>n</w:t>
      </w:r>
      <w:r w:rsidR="002E0EBF" w:rsidRPr="002E0EBF">
        <w:rPr>
          <w:color w:val="000000"/>
          <w:lang w:eastAsia="en-US"/>
        </w:rPr>
        <w:t>otice is that no proper action</w:t>
      </w:r>
      <w:r w:rsidR="002E0EBF">
        <w:rPr>
          <w:color w:val="000000"/>
          <w:lang w:eastAsia="en-US"/>
        </w:rPr>
        <w:t xml:space="preserve"> </w:t>
      </w:r>
      <w:r w:rsidR="002E0EBF" w:rsidRPr="002E0EBF">
        <w:rPr>
          <w:color w:val="000000"/>
          <w:lang w:eastAsia="en-US"/>
        </w:rPr>
        <w:t xml:space="preserve">commenced or served before the </w:t>
      </w:r>
      <w:r w:rsidR="00495650">
        <w:rPr>
          <w:color w:val="000000"/>
          <w:lang w:eastAsia="en-US"/>
        </w:rPr>
        <w:t>C</w:t>
      </w:r>
      <w:r w:rsidR="002E0EBF" w:rsidRPr="002E0EBF">
        <w:rPr>
          <w:color w:val="000000"/>
          <w:lang w:eastAsia="en-US"/>
        </w:rPr>
        <w:t>ourt when the order was granted</w:t>
      </w:r>
      <w:r w:rsidR="00495650">
        <w:rPr>
          <w:color w:val="000000"/>
          <w:lang w:eastAsia="en-US"/>
        </w:rPr>
        <w:t>.</w:t>
      </w:r>
    </w:p>
    <w:p w14:paraId="29A67733" w14:textId="77777777" w:rsidR="00495650" w:rsidRDefault="00495650" w:rsidP="002E0EBF">
      <w:pPr>
        <w:suppressAutoHyphens w:val="0"/>
        <w:autoSpaceDE w:val="0"/>
        <w:autoSpaceDN w:val="0"/>
        <w:adjustRightInd w:val="0"/>
        <w:spacing w:after="0"/>
        <w:outlineLvl w:val="9"/>
        <w:rPr>
          <w:color w:val="000000"/>
          <w:lang w:eastAsia="en-US"/>
        </w:rPr>
      </w:pPr>
    </w:p>
    <w:p w14:paraId="054FCA8C" w14:textId="2F92D655" w:rsidR="002E0EBF" w:rsidRPr="00B802B3" w:rsidRDefault="00495650" w:rsidP="00495650">
      <w:pPr>
        <w:suppressAutoHyphens w:val="0"/>
        <w:autoSpaceDE w:val="0"/>
        <w:autoSpaceDN w:val="0"/>
        <w:adjustRightInd w:val="0"/>
        <w:spacing w:after="0"/>
        <w:outlineLvl w:val="9"/>
        <w:rPr>
          <w:color w:val="000000"/>
          <w:lang w:eastAsia="en-US"/>
        </w:rPr>
      </w:pPr>
      <w:r>
        <w:rPr>
          <w:color w:val="000000"/>
          <w:lang w:eastAsia="en-US"/>
        </w:rPr>
        <w:t>13.12</w:t>
      </w:r>
      <w:r>
        <w:rPr>
          <w:color w:val="000000"/>
          <w:lang w:eastAsia="en-US"/>
        </w:rPr>
        <w:tab/>
        <w:t xml:space="preserve"> In regard to the section 86(10) notice, Ms Denichaud submitted, correctly in my view, that the applicants are amplifying their grounds of appeal in their heads of argument by raising for the first time that although the reference to section 129 in their application for leave to appeal was an error, that the law relating to section 129 notices is nevertheless applicable. The applicants at no stage disputed receipt of the section 86(10) notices, and it cannot behove them to raise this on appeal, and in their heads of argument, for the first time. Moreover, at the time default judgment was granted, </w:t>
      </w:r>
      <w:r w:rsidRPr="006E7538">
        <w:rPr>
          <w:i/>
          <w:iCs/>
          <w:color w:val="000000"/>
          <w:lang w:eastAsia="en-US"/>
        </w:rPr>
        <w:t xml:space="preserve">Sebola </w:t>
      </w:r>
      <w:r>
        <w:rPr>
          <w:color w:val="000000"/>
          <w:lang w:eastAsia="en-US"/>
        </w:rPr>
        <w:t>was not applicable. I agree with Ms Denichaud that this ground of appeal is similarly without merit.</w:t>
      </w:r>
    </w:p>
    <w:p w14:paraId="37BE7B15" w14:textId="77777777" w:rsidR="002E0EBF" w:rsidRPr="002E0EBF" w:rsidRDefault="002E0EBF" w:rsidP="002E0EBF">
      <w:pPr>
        <w:suppressAutoHyphens w:val="0"/>
        <w:autoSpaceDE w:val="0"/>
        <w:autoSpaceDN w:val="0"/>
        <w:adjustRightInd w:val="0"/>
        <w:spacing w:after="0" w:line="240" w:lineRule="auto"/>
        <w:outlineLvl w:val="9"/>
        <w:rPr>
          <w:color w:val="000000"/>
          <w:lang w:eastAsia="en-US"/>
        </w:rPr>
      </w:pPr>
    </w:p>
    <w:p w14:paraId="0FFEAB35" w14:textId="6DF22853" w:rsidR="002E0EBF" w:rsidRPr="006E7538" w:rsidRDefault="002E0EBF" w:rsidP="006E7538">
      <w:pPr>
        <w:suppressAutoHyphens w:val="0"/>
        <w:autoSpaceDE w:val="0"/>
        <w:autoSpaceDN w:val="0"/>
        <w:adjustRightInd w:val="0"/>
        <w:spacing w:after="0"/>
        <w:outlineLvl w:val="9"/>
        <w:rPr>
          <w:color w:val="000000"/>
          <w:u w:val="single"/>
          <w:lang w:eastAsia="en-US"/>
        </w:rPr>
      </w:pPr>
      <w:r w:rsidRPr="006E7538">
        <w:rPr>
          <w:color w:val="000000"/>
          <w:u w:val="single"/>
          <w:lang w:eastAsia="en-US"/>
        </w:rPr>
        <w:t>The Default Judgment (Second Application)</w:t>
      </w:r>
    </w:p>
    <w:p w14:paraId="2AA5D864" w14:textId="2FC15741" w:rsidR="00495650" w:rsidRDefault="00495650" w:rsidP="00495650">
      <w:pPr>
        <w:suppressAutoHyphens w:val="0"/>
        <w:autoSpaceDE w:val="0"/>
        <w:autoSpaceDN w:val="0"/>
        <w:adjustRightInd w:val="0"/>
        <w:spacing w:after="0"/>
        <w:outlineLvl w:val="9"/>
        <w:rPr>
          <w:color w:val="000000"/>
          <w:lang w:eastAsia="en-US"/>
        </w:rPr>
      </w:pPr>
      <w:r>
        <w:rPr>
          <w:color w:val="000000"/>
          <w:lang w:eastAsia="en-US"/>
        </w:rPr>
        <w:t>13.13</w:t>
      </w:r>
      <w:r>
        <w:rPr>
          <w:color w:val="000000"/>
          <w:lang w:eastAsia="en-US"/>
        </w:rPr>
        <w:tab/>
      </w:r>
      <w:r w:rsidR="006E7538">
        <w:rPr>
          <w:color w:val="000000"/>
          <w:lang w:eastAsia="en-US"/>
        </w:rPr>
        <w:t>Th</w:t>
      </w:r>
      <w:r>
        <w:rPr>
          <w:color w:val="000000"/>
          <w:lang w:eastAsia="en-US"/>
        </w:rPr>
        <w:t xml:space="preserve">is ground of appeal is that the </w:t>
      </w:r>
      <w:r w:rsidR="006E7538">
        <w:rPr>
          <w:color w:val="000000"/>
          <w:lang w:eastAsia="en-US"/>
        </w:rPr>
        <w:t>r</w:t>
      </w:r>
      <w:r w:rsidR="002E0EBF">
        <w:rPr>
          <w:color w:val="000000"/>
          <w:lang w:eastAsia="en-US"/>
        </w:rPr>
        <w:t xml:space="preserve">espondent </w:t>
      </w:r>
      <w:r w:rsidR="002E0EBF" w:rsidRPr="002E0EBF">
        <w:rPr>
          <w:color w:val="000000"/>
          <w:lang w:eastAsia="en-US"/>
        </w:rPr>
        <w:t>ostensibly served a second application for Default Judgement</w:t>
      </w:r>
      <w:r>
        <w:rPr>
          <w:color w:val="000000"/>
          <w:lang w:eastAsia="en-US"/>
        </w:rPr>
        <w:t xml:space="preserve">, </w:t>
      </w:r>
      <w:r w:rsidR="002E0EBF" w:rsidRPr="002E0EBF">
        <w:rPr>
          <w:color w:val="000000"/>
          <w:lang w:eastAsia="en-US"/>
        </w:rPr>
        <w:t>simultaneously with a notice that purported to withdraw the</w:t>
      </w:r>
      <w:r w:rsidR="002E0EBF">
        <w:rPr>
          <w:color w:val="000000"/>
          <w:lang w:eastAsia="en-US"/>
        </w:rPr>
        <w:t xml:space="preserve"> </w:t>
      </w:r>
      <w:r w:rsidR="002E0EBF" w:rsidRPr="002E0EBF">
        <w:rPr>
          <w:color w:val="000000"/>
          <w:lang w:eastAsia="en-US"/>
        </w:rPr>
        <w:t>first application</w:t>
      </w:r>
      <w:r>
        <w:rPr>
          <w:color w:val="000000"/>
          <w:lang w:eastAsia="en-US"/>
        </w:rPr>
        <w:t xml:space="preserve">. </w:t>
      </w:r>
      <w:r w:rsidR="002E0EBF" w:rsidRPr="002E0EBF">
        <w:rPr>
          <w:color w:val="000000"/>
          <w:lang w:eastAsia="en-US"/>
        </w:rPr>
        <w:t>The purported notice of withdrawal is irregular, alternatively</w:t>
      </w:r>
      <w:r w:rsidR="002E0EBF">
        <w:rPr>
          <w:color w:val="000000"/>
          <w:lang w:eastAsia="en-US"/>
        </w:rPr>
        <w:t xml:space="preserve"> </w:t>
      </w:r>
      <w:r w:rsidR="002E0EBF" w:rsidRPr="002E0EBF">
        <w:rPr>
          <w:color w:val="000000"/>
          <w:lang w:eastAsia="en-US"/>
        </w:rPr>
        <w:t>defective as same clearly fails to make any tender of costs, as required by the</w:t>
      </w:r>
      <w:r w:rsidR="002E0EBF">
        <w:rPr>
          <w:color w:val="000000"/>
          <w:lang w:eastAsia="en-US"/>
        </w:rPr>
        <w:t xml:space="preserve"> </w:t>
      </w:r>
      <w:r w:rsidR="002E0EBF" w:rsidRPr="002E0EBF">
        <w:rPr>
          <w:color w:val="000000"/>
          <w:lang w:eastAsia="en-US"/>
        </w:rPr>
        <w:t>Practice Directive and the Rules of this court.</w:t>
      </w:r>
      <w:r>
        <w:rPr>
          <w:color w:val="000000"/>
          <w:lang w:eastAsia="en-US"/>
        </w:rPr>
        <w:t xml:space="preserve"> T</w:t>
      </w:r>
      <w:r w:rsidRPr="002E0EBF">
        <w:rPr>
          <w:color w:val="000000"/>
          <w:lang w:eastAsia="en-US"/>
        </w:rPr>
        <w:t>h</w:t>
      </w:r>
      <w:r>
        <w:rPr>
          <w:color w:val="000000"/>
          <w:lang w:eastAsia="en-US"/>
        </w:rPr>
        <w:t>is ground of appeal is raised for the first time in heads of argument and can in my view be disposed of on this basis alone.</w:t>
      </w:r>
    </w:p>
    <w:p w14:paraId="62E94917" w14:textId="77777777" w:rsidR="00495650" w:rsidRPr="002E0EBF" w:rsidRDefault="00495650" w:rsidP="006E7538">
      <w:pPr>
        <w:suppressAutoHyphens w:val="0"/>
        <w:autoSpaceDE w:val="0"/>
        <w:autoSpaceDN w:val="0"/>
        <w:adjustRightInd w:val="0"/>
        <w:spacing w:after="0"/>
        <w:outlineLvl w:val="9"/>
        <w:rPr>
          <w:color w:val="000000"/>
          <w:lang w:eastAsia="en-US"/>
        </w:rPr>
      </w:pPr>
    </w:p>
    <w:p w14:paraId="209F8755" w14:textId="77777777" w:rsidR="002E0EBF" w:rsidRDefault="002E0EBF" w:rsidP="002E0EBF">
      <w:pPr>
        <w:suppressAutoHyphens w:val="0"/>
        <w:autoSpaceDE w:val="0"/>
        <w:autoSpaceDN w:val="0"/>
        <w:adjustRightInd w:val="0"/>
        <w:spacing w:after="0" w:line="240" w:lineRule="auto"/>
        <w:jc w:val="left"/>
        <w:outlineLvl w:val="9"/>
        <w:rPr>
          <w:rFonts w:ascii="Times New Roman" w:hAnsi="Times New Roman" w:cs="Times New Roman"/>
          <w:sz w:val="21"/>
          <w:szCs w:val="21"/>
          <w:lang w:eastAsia="en-US"/>
        </w:rPr>
      </w:pPr>
    </w:p>
    <w:p w14:paraId="44DC0113" w14:textId="1C2EDFBD" w:rsidR="006E7538" w:rsidRPr="006E7538" w:rsidRDefault="00495650" w:rsidP="006E7538">
      <w:pPr>
        <w:suppressAutoHyphens w:val="0"/>
        <w:autoSpaceDE w:val="0"/>
        <w:autoSpaceDN w:val="0"/>
        <w:adjustRightInd w:val="0"/>
        <w:spacing w:after="0"/>
        <w:outlineLvl w:val="9"/>
        <w:rPr>
          <w:color w:val="000000"/>
          <w:lang w:eastAsia="en-US"/>
        </w:rPr>
      </w:pPr>
      <w:r>
        <w:rPr>
          <w:color w:val="000000"/>
          <w:lang w:eastAsia="en-US"/>
        </w:rPr>
        <w:t>[14]</w:t>
      </w:r>
      <w:r>
        <w:rPr>
          <w:color w:val="000000"/>
          <w:lang w:eastAsia="en-US"/>
        </w:rPr>
        <w:tab/>
        <w:t>On the</w:t>
      </w:r>
      <w:r w:rsidR="007C167D">
        <w:rPr>
          <w:color w:val="000000"/>
          <w:lang w:eastAsia="en-US"/>
        </w:rPr>
        <w:t xml:space="preserve"> above </w:t>
      </w:r>
      <w:r>
        <w:rPr>
          <w:color w:val="000000"/>
          <w:lang w:eastAsia="en-US"/>
        </w:rPr>
        <w:t xml:space="preserve">grounds, </w:t>
      </w:r>
      <w:r w:rsidR="006E7538">
        <w:rPr>
          <w:color w:val="000000"/>
          <w:lang w:eastAsia="en-US"/>
        </w:rPr>
        <w:t xml:space="preserve">Mr  </w:t>
      </w:r>
      <w:r w:rsidR="005245A1">
        <w:rPr>
          <w:color w:val="000000"/>
          <w:lang w:eastAsia="en-US"/>
        </w:rPr>
        <w:t>Marks</w:t>
      </w:r>
      <w:r w:rsidR="006E7538">
        <w:rPr>
          <w:color w:val="000000"/>
          <w:lang w:eastAsia="en-US"/>
        </w:rPr>
        <w:t xml:space="preserve"> submitted that a</w:t>
      </w:r>
      <w:r w:rsidR="006E7538" w:rsidRPr="002E0EBF">
        <w:rPr>
          <w:color w:val="000000"/>
          <w:lang w:eastAsia="en-US"/>
        </w:rPr>
        <w:t>nother court could have and would have come to a different conclusion and on a</w:t>
      </w:r>
      <w:r w:rsidR="006E7538">
        <w:rPr>
          <w:color w:val="000000"/>
          <w:lang w:eastAsia="en-US"/>
        </w:rPr>
        <w:t xml:space="preserve"> </w:t>
      </w:r>
      <w:r w:rsidR="006E7538" w:rsidRPr="002E0EBF">
        <w:rPr>
          <w:color w:val="000000"/>
          <w:lang w:eastAsia="en-US"/>
        </w:rPr>
        <w:t xml:space="preserve">conspectus of the above </w:t>
      </w:r>
      <w:r w:rsidR="006E7538">
        <w:rPr>
          <w:color w:val="000000"/>
          <w:lang w:eastAsia="en-US"/>
        </w:rPr>
        <w:t xml:space="preserve">grounds </w:t>
      </w:r>
      <w:r w:rsidR="006E7538" w:rsidRPr="002E0EBF">
        <w:rPr>
          <w:color w:val="000000"/>
          <w:lang w:eastAsia="en-US"/>
        </w:rPr>
        <w:t xml:space="preserve">the application </w:t>
      </w:r>
      <w:r w:rsidR="006E7538">
        <w:rPr>
          <w:color w:val="000000"/>
          <w:lang w:eastAsia="en-US"/>
        </w:rPr>
        <w:t xml:space="preserve">for leave to appeal </w:t>
      </w:r>
      <w:r w:rsidR="006E7538" w:rsidRPr="002E0EBF">
        <w:rPr>
          <w:color w:val="000000"/>
          <w:lang w:eastAsia="en-US"/>
        </w:rPr>
        <w:t xml:space="preserve">should </w:t>
      </w:r>
      <w:r w:rsidR="006E7538">
        <w:rPr>
          <w:color w:val="000000"/>
          <w:lang w:eastAsia="en-US"/>
        </w:rPr>
        <w:t>succeed.</w:t>
      </w:r>
      <w:r w:rsidR="007C167D">
        <w:rPr>
          <w:color w:val="000000"/>
          <w:lang w:eastAsia="en-US"/>
        </w:rPr>
        <w:t xml:space="preserve"> </w:t>
      </w:r>
      <w:r w:rsidR="006E7538" w:rsidRPr="006E7538">
        <w:rPr>
          <w:color w:val="000000"/>
          <w:lang w:eastAsia="en-US"/>
        </w:rPr>
        <w:t>Ms Denichaud submitted that the application for rescission was correctly dismissed and there is no prospect that another court would come to a different conclusion on appeal. I agree</w:t>
      </w:r>
      <w:r w:rsidR="007C167D">
        <w:rPr>
          <w:color w:val="000000"/>
          <w:lang w:eastAsia="en-US"/>
        </w:rPr>
        <w:t>. H</w:t>
      </w:r>
      <w:r w:rsidR="006E7538" w:rsidRPr="006E7538">
        <w:rPr>
          <w:color w:val="000000"/>
          <w:lang w:eastAsia="en-US"/>
        </w:rPr>
        <w:t>ence</w:t>
      </w:r>
      <w:r w:rsidR="005245A1">
        <w:rPr>
          <w:color w:val="000000"/>
          <w:lang w:eastAsia="en-US"/>
        </w:rPr>
        <w:t>, in my view</w:t>
      </w:r>
      <w:r w:rsidR="006E7538" w:rsidRPr="006E7538">
        <w:rPr>
          <w:color w:val="000000"/>
          <w:lang w:eastAsia="en-US"/>
        </w:rPr>
        <w:t xml:space="preserve"> the application for leave to appeal </w:t>
      </w:r>
      <w:r w:rsidR="007C167D">
        <w:rPr>
          <w:color w:val="000000"/>
          <w:lang w:eastAsia="en-US"/>
        </w:rPr>
        <w:t xml:space="preserve">lacks a </w:t>
      </w:r>
      <w:r w:rsidR="007C167D" w:rsidRPr="007C167D">
        <w:rPr>
          <w:i/>
          <w:iCs/>
          <w:color w:val="000000"/>
          <w:lang w:eastAsia="en-US"/>
        </w:rPr>
        <w:t>bona fide</w:t>
      </w:r>
      <w:r w:rsidR="007C167D">
        <w:rPr>
          <w:color w:val="000000"/>
          <w:lang w:eastAsia="en-US"/>
        </w:rPr>
        <w:t xml:space="preserve"> defence and has no prospects of success. </w:t>
      </w:r>
    </w:p>
    <w:p w14:paraId="4949AF5A" w14:textId="0B4ABD85" w:rsidR="00EF7523" w:rsidRPr="006E7538" w:rsidRDefault="00EF7523" w:rsidP="006E7538">
      <w:pPr>
        <w:widowControl w:val="0"/>
        <w:autoSpaceDE w:val="0"/>
        <w:autoSpaceDN w:val="0"/>
        <w:adjustRightInd w:val="0"/>
        <w:spacing w:after="0"/>
        <w:rPr>
          <w:color w:val="000000"/>
          <w:lang w:val="en-US"/>
        </w:rPr>
      </w:pPr>
      <w:r w:rsidRPr="006E7538">
        <w:rPr>
          <w:color w:val="FFFFFF"/>
          <w:lang w:eastAsia="en-US"/>
        </w:rPr>
        <w:t>-4</w:t>
      </w:r>
    </w:p>
    <w:p w14:paraId="6519F09A" w14:textId="439728CE" w:rsidR="006E7538" w:rsidRPr="00EF7523" w:rsidRDefault="007C167D" w:rsidP="006E7538">
      <w:pPr>
        <w:suppressAutoHyphens w:val="0"/>
        <w:autoSpaceDE w:val="0"/>
        <w:autoSpaceDN w:val="0"/>
        <w:adjustRightInd w:val="0"/>
        <w:spacing w:after="0"/>
        <w:outlineLvl w:val="9"/>
        <w:rPr>
          <w:color w:val="222222"/>
          <w:lang w:eastAsia="en-US"/>
        </w:rPr>
      </w:pPr>
      <w:r>
        <w:rPr>
          <w:color w:val="222222"/>
          <w:lang w:eastAsia="en-US"/>
        </w:rPr>
        <w:lastRenderedPageBreak/>
        <w:t>[15]</w:t>
      </w:r>
      <w:r>
        <w:rPr>
          <w:color w:val="222222"/>
          <w:lang w:eastAsia="en-US"/>
        </w:rPr>
        <w:tab/>
      </w:r>
      <w:r w:rsidR="006E7538">
        <w:rPr>
          <w:color w:val="222222"/>
          <w:lang w:eastAsia="en-US"/>
        </w:rPr>
        <w:t>In conclusion, t</w:t>
      </w:r>
      <w:r w:rsidR="006E7538" w:rsidRPr="00EF7523">
        <w:rPr>
          <w:color w:val="222222"/>
          <w:lang w:eastAsia="en-US"/>
        </w:rPr>
        <w:t>he application for condonation falls short of the legal requirements pertaining to</w:t>
      </w:r>
      <w:r w:rsidR="006E7538">
        <w:rPr>
          <w:color w:val="222222"/>
          <w:lang w:eastAsia="en-US"/>
        </w:rPr>
        <w:t xml:space="preserve"> </w:t>
      </w:r>
      <w:r w:rsidR="006E7538" w:rsidRPr="00EF7523">
        <w:rPr>
          <w:color w:val="222222"/>
          <w:lang w:eastAsia="en-US"/>
        </w:rPr>
        <w:t xml:space="preserve">Uniform Rule 27 applications. </w:t>
      </w:r>
      <w:r w:rsidR="006E7538">
        <w:rPr>
          <w:color w:val="222222"/>
          <w:lang w:eastAsia="en-US"/>
        </w:rPr>
        <w:t xml:space="preserve">The applicants </w:t>
      </w:r>
      <w:r w:rsidR="006E7538" w:rsidRPr="00EF7523">
        <w:rPr>
          <w:color w:val="222222"/>
          <w:lang w:eastAsia="en-US"/>
        </w:rPr>
        <w:t>clearly dragged their feet in their compliance with</w:t>
      </w:r>
      <w:r w:rsidR="006E7538">
        <w:rPr>
          <w:color w:val="222222"/>
          <w:lang w:eastAsia="en-US"/>
        </w:rPr>
        <w:t xml:space="preserve"> </w:t>
      </w:r>
      <w:r w:rsidR="006E7538" w:rsidRPr="00EF7523">
        <w:rPr>
          <w:color w:val="222222"/>
          <w:lang w:eastAsia="en-US"/>
        </w:rPr>
        <w:t xml:space="preserve">the Rules of </w:t>
      </w:r>
      <w:r w:rsidR="006E7538">
        <w:rPr>
          <w:color w:val="222222"/>
          <w:lang w:eastAsia="en-US"/>
        </w:rPr>
        <w:t xml:space="preserve">this </w:t>
      </w:r>
      <w:r w:rsidR="006E7538" w:rsidRPr="00EF7523">
        <w:rPr>
          <w:color w:val="222222"/>
          <w:lang w:eastAsia="en-US"/>
        </w:rPr>
        <w:t>Court</w:t>
      </w:r>
      <w:r w:rsidR="006E7538">
        <w:rPr>
          <w:color w:val="222222"/>
          <w:lang w:eastAsia="en-US"/>
        </w:rPr>
        <w:t xml:space="preserve"> and have not provided good cause for the delays occasioned by their failure to prosecute this appeal. </w:t>
      </w:r>
      <w:r w:rsidR="006E7538" w:rsidRPr="00EF7523">
        <w:rPr>
          <w:color w:val="222222"/>
          <w:lang w:eastAsia="en-US"/>
        </w:rPr>
        <w:t>The</w:t>
      </w:r>
      <w:r w:rsidR="006E7538">
        <w:rPr>
          <w:color w:val="222222"/>
          <w:lang w:eastAsia="en-US"/>
        </w:rPr>
        <w:t>y</w:t>
      </w:r>
      <w:r w:rsidR="006E7538" w:rsidRPr="00EF7523">
        <w:rPr>
          <w:color w:val="222222"/>
          <w:lang w:eastAsia="en-US"/>
        </w:rPr>
        <w:t xml:space="preserve"> </w:t>
      </w:r>
      <w:r w:rsidR="006E7538">
        <w:rPr>
          <w:color w:val="222222"/>
          <w:lang w:eastAsia="en-US"/>
        </w:rPr>
        <w:t xml:space="preserve">have in my view </w:t>
      </w:r>
      <w:r w:rsidR="006E7538" w:rsidRPr="00EF7523">
        <w:rPr>
          <w:color w:val="222222"/>
          <w:lang w:eastAsia="en-US"/>
        </w:rPr>
        <w:t xml:space="preserve">failed to show good and sufficient cause to entitle them to condonation in this instance. </w:t>
      </w:r>
      <w:r w:rsidR="006E7538">
        <w:rPr>
          <w:color w:val="222222"/>
          <w:lang w:eastAsia="en-US"/>
        </w:rPr>
        <w:t>They have furthermore failed to show that there are any prospects of success in the appeal</w:t>
      </w:r>
      <w:r w:rsidR="005245A1">
        <w:rPr>
          <w:color w:val="222222"/>
          <w:lang w:eastAsia="en-US"/>
        </w:rPr>
        <w:t>.</w:t>
      </w:r>
    </w:p>
    <w:p w14:paraId="4BFD2A83" w14:textId="77777777" w:rsidR="00EF7523" w:rsidRDefault="00EF7523" w:rsidP="00775A1D">
      <w:pPr>
        <w:widowControl w:val="0"/>
        <w:autoSpaceDE w:val="0"/>
        <w:autoSpaceDN w:val="0"/>
        <w:adjustRightInd w:val="0"/>
        <w:spacing w:after="0"/>
        <w:rPr>
          <w:color w:val="000000"/>
          <w:u w:val="single"/>
          <w:lang w:val="en-US"/>
        </w:rPr>
      </w:pPr>
    </w:p>
    <w:p w14:paraId="0F978F69" w14:textId="6CF34724" w:rsidR="00775A1D" w:rsidRPr="00323944" w:rsidRDefault="00775A1D" w:rsidP="00775A1D">
      <w:pPr>
        <w:widowControl w:val="0"/>
        <w:autoSpaceDE w:val="0"/>
        <w:autoSpaceDN w:val="0"/>
        <w:adjustRightInd w:val="0"/>
        <w:spacing w:after="0"/>
        <w:rPr>
          <w:color w:val="000000"/>
          <w:u w:val="single"/>
          <w:lang w:val="en-US"/>
        </w:rPr>
      </w:pPr>
      <w:r w:rsidRPr="00323944">
        <w:rPr>
          <w:color w:val="000000"/>
          <w:u w:val="single"/>
          <w:lang w:val="en-US"/>
        </w:rPr>
        <w:t xml:space="preserve">Order </w:t>
      </w:r>
    </w:p>
    <w:p w14:paraId="4EF774A8" w14:textId="77777777" w:rsidR="00935D98" w:rsidRDefault="00935D98" w:rsidP="00775A1D">
      <w:pPr>
        <w:widowControl w:val="0"/>
        <w:autoSpaceDE w:val="0"/>
        <w:autoSpaceDN w:val="0"/>
        <w:adjustRightInd w:val="0"/>
        <w:spacing w:after="0"/>
        <w:rPr>
          <w:color w:val="000000"/>
          <w:lang w:val="en-US"/>
        </w:rPr>
      </w:pPr>
    </w:p>
    <w:p w14:paraId="10C8D5C6" w14:textId="6E52733A" w:rsidR="006B3DD4" w:rsidRDefault="00E93C82" w:rsidP="00775A1D">
      <w:pPr>
        <w:widowControl w:val="0"/>
        <w:autoSpaceDE w:val="0"/>
        <w:autoSpaceDN w:val="0"/>
        <w:adjustRightInd w:val="0"/>
        <w:spacing w:after="0"/>
        <w:rPr>
          <w:color w:val="000000"/>
          <w:lang w:val="en-US"/>
        </w:rPr>
      </w:pPr>
      <w:r>
        <w:rPr>
          <w:color w:val="000000"/>
          <w:lang w:val="en-US"/>
        </w:rPr>
        <w:t>[</w:t>
      </w:r>
      <w:r w:rsidR="007C167D">
        <w:rPr>
          <w:color w:val="000000"/>
          <w:lang w:val="en-US"/>
        </w:rPr>
        <w:t>16</w:t>
      </w:r>
      <w:r w:rsidR="00323944">
        <w:rPr>
          <w:color w:val="000000"/>
          <w:lang w:val="en-US"/>
        </w:rPr>
        <w:t>]</w:t>
      </w:r>
      <w:r w:rsidR="00323944">
        <w:rPr>
          <w:color w:val="000000"/>
          <w:lang w:val="en-US"/>
        </w:rPr>
        <w:tab/>
      </w:r>
      <w:r w:rsidR="006F01BB">
        <w:rPr>
          <w:color w:val="000000"/>
          <w:lang w:val="en-US"/>
        </w:rPr>
        <w:t>In the res</w:t>
      </w:r>
      <w:r w:rsidR="00323944">
        <w:rPr>
          <w:color w:val="000000"/>
          <w:lang w:val="en-US"/>
        </w:rPr>
        <w:t>ult, I make the following order</w:t>
      </w:r>
      <w:r w:rsidR="006F01BB">
        <w:rPr>
          <w:color w:val="000000"/>
          <w:lang w:val="en-US"/>
        </w:rPr>
        <w:t>:</w:t>
      </w:r>
    </w:p>
    <w:p w14:paraId="73D3B355" w14:textId="77777777" w:rsidR="007C167D" w:rsidRDefault="007C167D" w:rsidP="00775A1D">
      <w:pPr>
        <w:widowControl w:val="0"/>
        <w:autoSpaceDE w:val="0"/>
        <w:autoSpaceDN w:val="0"/>
        <w:adjustRightInd w:val="0"/>
        <w:spacing w:after="0"/>
        <w:rPr>
          <w:color w:val="000000"/>
          <w:lang w:val="en-US"/>
        </w:rPr>
      </w:pPr>
    </w:p>
    <w:p w14:paraId="45A900CE" w14:textId="77777777" w:rsidR="007C167D" w:rsidRPr="007C167D" w:rsidRDefault="007C167D" w:rsidP="007C167D">
      <w:pPr>
        <w:suppressAutoHyphens w:val="0"/>
        <w:autoSpaceDE w:val="0"/>
        <w:autoSpaceDN w:val="0"/>
        <w:adjustRightInd w:val="0"/>
        <w:spacing w:after="0"/>
        <w:jc w:val="left"/>
        <w:outlineLvl w:val="9"/>
        <w:rPr>
          <w:lang w:eastAsia="en-US"/>
        </w:rPr>
      </w:pPr>
      <w:r w:rsidRPr="007C167D">
        <w:rPr>
          <w:lang w:eastAsia="en-US"/>
        </w:rPr>
        <w:t>1. The condonation application is dismissed.</w:t>
      </w:r>
    </w:p>
    <w:p w14:paraId="7F90C782" w14:textId="77777777" w:rsidR="007C167D" w:rsidRPr="007C167D" w:rsidRDefault="007C167D" w:rsidP="007C167D">
      <w:pPr>
        <w:suppressAutoHyphens w:val="0"/>
        <w:autoSpaceDE w:val="0"/>
        <w:autoSpaceDN w:val="0"/>
        <w:adjustRightInd w:val="0"/>
        <w:spacing w:after="0"/>
        <w:jc w:val="left"/>
        <w:outlineLvl w:val="9"/>
        <w:rPr>
          <w:lang w:eastAsia="en-US"/>
        </w:rPr>
      </w:pPr>
      <w:r w:rsidRPr="007C167D">
        <w:rPr>
          <w:lang w:eastAsia="en-US"/>
        </w:rPr>
        <w:t>2. The First and Second Applicants shall pay the costs of the condonation</w:t>
      </w:r>
    </w:p>
    <w:p w14:paraId="7042BCE9" w14:textId="77777777" w:rsidR="007C167D" w:rsidRPr="007C167D" w:rsidRDefault="007C167D" w:rsidP="007C167D">
      <w:pPr>
        <w:suppressAutoHyphens w:val="0"/>
        <w:autoSpaceDE w:val="0"/>
        <w:autoSpaceDN w:val="0"/>
        <w:adjustRightInd w:val="0"/>
        <w:spacing w:after="0"/>
        <w:jc w:val="left"/>
        <w:outlineLvl w:val="9"/>
        <w:rPr>
          <w:lang w:eastAsia="en-US"/>
        </w:rPr>
      </w:pPr>
      <w:r w:rsidRPr="007C167D">
        <w:rPr>
          <w:lang w:eastAsia="en-US"/>
        </w:rPr>
        <w:t>application on the scale as between attorney and client.</w:t>
      </w:r>
    </w:p>
    <w:p w14:paraId="4B562C0F" w14:textId="77777777" w:rsidR="007C167D" w:rsidRPr="007C167D" w:rsidRDefault="007C167D" w:rsidP="007C167D">
      <w:pPr>
        <w:suppressAutoHyphens w:val="0"/>
        <w:autoSpaceDE w:val="0"/>
        <w:autoSpaceDN w:val="0"/>
        <w:adjustRightInd w:val="0"/>
        <w:spacing w:after="0"/>
        <w:jc w:val="left"/>
        <w:outlineLvl w:val="9"/>
        <w:rPr>
          <w:lang w:eastAsia="en-US"/>
        </w:rPr>
      </w:pPr>
      <w:r w:rsidRPr="007C167D">
        <w:rPr>
          <w:lang w:eastAsia="en-US"/>
        </w:rPr>
        <w:t>3. The application for leave to appeal is dismissed.</w:t>
      </w:r>
    </w:p>
    <w:p w14:paraId="43E50734" w14:textId="77777777" w:rsidR="007C167D" w:rsidRPr="007C167D" w:rsidRDefault="007C167D" w:rsidP="007C167D">
      <w:pPr>
        <w:suppressAutoHyphens w:val="0"/>
        <w:autoSpaceDE w:val="0"/>
        <w:autoSpaceDN w:val="0"/>
        <w:adjustRightInd w:val="0"/>
        <w:spacing w:after="0"/>
        <w:jc w:val="left"/>
        <w:outlineLvl w:val="9"/>
        <w:rPr>
          <w:lang w:eastAsia="en-US"/>
        </w:rPr>
      </w:pPr>
      <w:r w:rsidRPr="007C167D">
        <w:rPr>
          <w:lang w:eastAsia="en-US"/>
        </w:rPr>
        <w:t>4. The First and Second Applicants shall pay the costs of the application for</w:t>
      </w:r>
    </w:p>
    <w:p w14:paraId="0B45E01B" w14:textId="77777777" w:rsidR="007C167D" w:rsidRPr="007C167D" w:rsidRDefault="007C167D" w:rsidP="007C167D">
      <w:pPr>
        <w:widowControl w:val="0"/>
        <w:autoSpaceDE w:val="0"/>
        <w:autoSpaceDN w:val="0"/>
        <w:adjustRightInd w:val="0"/>
        <w:spacing w:after="0"/>
        <w:rPr>
          <w:lang w:eastAsia="en-US"/>
        </w:rPr>
      </w:pPr>
      <w:r w:rsidRPr="007C167D">
        <w:rPr>
          <w:lang w:eastAsia="en-US"/>
        </w:rPr>
        <w:t>leave to appeal on the scale as between attorney and client.</w:t>
      </w:r>
    </w:p>
    <w:p w14:paraId="7CC9C4EE" w14:textId="77777777" w:rsidR="007C167D" w:rsidRPr="007C167D" w:rsidRDefault="007C167D" w:rsidP="007C167D">
      <w:pPr>
        <w:widowControl w:val="0"/>
        <w:autoSpaceDE w:val="0"/>
        <w:autoSpaceDN w:val="0"/>
        <w:adjustRightInd w:val="0"/>
        <w:spacing w:after="0"/>
        <w:rPr>
          <w:lang w:eastAsia="en-US"/>
        </w:rPr>
      </w:pPr>
    </w:p>
    <w:p w14:paraId="077B6F8B" w14:textId="77777777" w:rsidR="00F47A45" w:rsidRDefault="00F47A45" w:rsidP="00775A1D">
      <w:pPr>
        <w:widowControl w:val="0"/>
        <w:autoSpaceDE w:val="0"/>
        <w:autoSpaceDN w:val="0"/>
        <w:adjustRightInd w:val="0"/>
        <w:spacing w:after="0"/>
        <w:rPr>
          <w:color w:val="000000"/>
          <w:lang w:val="en-US"/>
        </w:rPr>
      </w:pPr>
    </w:p>
    <w:p w14:paraId="1399A7EC" w14:textId="77777777" w:rsidR="00F62DD4" w:rsidRPr="0073359C" w:rsidRDefault="00F62DD4" w:rsidP="00F62DD4">
      <w:pPr>
        <w:keepNext/>
        <w:keepLines/>
        <w:tabs>
          <w:tab w:val="left" w:pos="0"/>
        </w:tabs>
        <w:spacing w:before="240" w:after="120" w:line="240" w:lineRule="auto"/>
        <w:ind w:right="95"/>
        <w:jc w:val="right"/>
        <w:rPr>
          <w:rFonts w:ascii="Arial Unicode MS" w:hAnsi="Arial Unicode MS"/>
          <w:b/>
        </w:rPr>
      </w:pPr>
      <w:r>
        <w:rPr>
          <w:rFonts w:ascii="Arial Unicode MS" w:hAnsi="Arial Unicode MS"/>
          <w:b/>
        </w:rPr>
        <w:t>______</w:t>
      </w:r>
      <w:r w:rsidRPr="0073359C">
        <w:rPr>
          <w:rFonts w:ascii="Arial Unicode MS" w:hAnsi="Arial Unicode MS"/>
          <w:b/>
        </w:rPr>
        <w:t>_________________________</w:t>
      </w:r>
    </w:p>
    <w:p w14:paraId="08CBB9D1" w14:textId="77777777" w:rsidR="00F62DD4" w:rsidRPr="0073359C" w:rsidRDefault="00F62DD4" w:rsidP="00F62DD4">
      <w:pPr>
        <w:keepNext/>
        <w:spacing w:line="240" w:lineRule="auto"/>
        <w:jc w:val="right"/>
        <w:rPr>
          <w:rFonts w:ascii="Arial Unicode MS" w:hAnsi="Arial Unicode MS"/>
        </w:rPr>
      </w:pPr>
      <w:r w:rsidRPr="0073359C">
        <w:rPr>
          <w:rFonts w:ascii="Arial Unicode MS" w:hAnsi="Arial Unicode MS"/>
        </w:rPr>
        <w:t xml:space="preserve">U. BHOOLA </w:t>
      </w:r>
    </w:p>
    <w:p w14:paraId="0AA4396E" w14:textId="77777777" w:rsidR="00F62DD4" w:rsidRPr="0073359C" w:rsidRDefault="00F62DD4" w:rsidP="00F62DD4">
      <w:pPr>
        <w:keepNext/>
        <w:spacing w:line="240" w:lineRule="auto"/>
        <w:jc w:val="right"/>
        <w:rPr>
          <w:rFonts w:ascii="Arial Unicode MS" w:hAnsi="Arial Unicode MS"/>
        </w:rPr>
      </w:pPr>
      <w:r w:rsidRPr="0073359C">
        <w:rPr>
          <w:rFonts w:ascii="Arial Unicode MS" w:hAnsi="Arial Unicode MS"/>
        </w:rPr>
        <w:t>Acting Judge of the High Court of South Africa</w:t>
      </w:r>
    </w:p>
    <w:p w14:paraId="593BF4C5" w14:textId="77777777" w:rsidR="00F62DD4" w:rsidRPr="0073359C" w:rsidRDefault="00F62DD4" w:rsidP="00F62DD4">
      <w:pPr>
        <w:spacing w:after="600" w:line="240" w:lineRule="auto"/>
        <w:jc w:val="right"/>
        <w:rPr>
          <w:rFonts w:ascii="Arial Unicode MS" w:hAnsi="Arial Unicode MS"/>
          <w:i/>
        </w:rPr>
      </w:pPr>
      <w:r w:rsidRPr="0073359C">
        <w:rPr>
          <w:rFonts w:ascii="Arial Unicode MS" w:hAnsi="Arial Unicode MS"/>
        </w:rPr>
        <w:t>Gauteng Local Division, Johannesburg</w:t>
      </w:r>
    </w:p>
    <w:p w14:paraId="6C2A122A" w14:textId="77777777" w:rsidR="00F62DD4" w:rsidRPr="0073359C" w:rsidRDefault="00F62DD4" w:rsidP="00F62DD4">
      <w:pPr>
        <w:spacing w:line="240" w:lineRule="auto"/>
        <w:rPr>
          <w:rFonts w:ascii="Arial Unicode MS" w:hAnsi="Arial Unicode MS"/>
        </w:rPr>
      </w:pPr>
      <w:r w:rsidRPr="0073359C">
        <w:rPr>
          <w:rFonts w:ascii="Arial Unicode MS" w:hAnsi="Arial Unicode MS"/>
        </w:rPr>
        <w:tab/>
      </w:r>
      <w:r w:rsidRPr="0073359C">
        <w:rPr>
          <w:rFonts w:ascii="Arial Unicode MS" w:hAnsi="Arial Unicode MS"/>
        </w:rPr>
        <w:tab/>
      </w:r>
      <w:r w:rsidRPr="0073359C">
        <w:rPr>
          <w:rFonts w:ascii="Arial Unicode MS" w:hAnsi="Arial Unicode MS"/>
        </w:rPr>
        <w:tab/>
      </w:r>
      <w:r w:rsidRPr="0073359C">
        <w:rPr>
          <w:rFonts w:ascii="Arial Unicode MS" w:hAnsi="Arial Unicode MS"/>
        </w:rPr>
        <w:tab/>
      </w:r>
      <w:r w:rsidRPr="0073359C">
        <w:rPr>
          <w:rFonts w:ascii="Arial Unicode MS" w:hAnsi="Arial Unicode MS"/>
        </w:rPr>
        <w:tab/>
      </w:r>
      <w:r w:rsidRPr="0073359C">
        <w:rPr>
          <w:rFonts w:ascii="Arial Unicode MS" w:hAnsi="Arial Unicode MS"/>
        </w:rPr>
        <w:tab/>
      </w:r>
      <w:r w:rsidRPr="0073359C">
        <w:rPr>
          <w:rFonts w:ascii="Arial Unicode MS" w:hAnsi="Arial Unicode MS"/>
        </w:rPr>
        <w:tab/>
      </w:r>
    </w:p>
    <w:p w14:paraId="2507C4FA" w14:textId="64D2B11C" w:rsidR="00F62DD4" w:rsidRPr="00EC3803" w:rsidRDefault="00F62DD4" w:rsidP="00F62DD4">
      <w:pPr>
        <w:tabs>
          <w:tab w:val="left" w:pos="2013"/>
        </w:tabs>
        <w:spacing w:line="240" w:lineRule="auto"/>
        <w:rPr>
          <w:rFonts w:ascii="Arial Unicode MS" w:hAnsi="Arial Unicode MS"/>
        </w:rPr>
      </w:pPr>
      <w:r w:rsidRPr="00EC3803">
        <w:rPr>
          <w:rFonts w:ascii="Arial Unicode MS" w:hAnsi="Arial Unicode MS"/>
        </w:rPr>
        <w:t xml:space="preserve">Date of </w:t>
      </w:r>
      <w:r w:rsidR="008178A0" w:rsidRPr="00EC3803">
        <w:rPr>
          <w:rFonts w:ascii="Arial Unicode MS" w:hAnsi="Arial Unicode MS"/>
        </w:rPr>
        <w:t>hearing:</w:t>
      </w:r>
      <w:r w:rsidR="00E93C82">
        <w:rPr>
          <w:rFonts w:ascii="Arial Unicode MS" w:hAnsi="Arial Unicode MS"/>
        </w:rPr>
        <w:t xml:space="preserve"> </w:t>
      </w:r>
      <w:r w:rsidR="00EF7523">
        <w:rPr>
          <w:rFonts w:ascii="Arial Unicode MS" w:hAnsi="Arial Unicode MS"/>
        </w:rPr>
        <w:t xml:space="preserve">2 July 2021. </w:t>
      </w:r>
      <w:r w:rsidRPr="00EC3803">
        <w:rPr>
          <w:rFonts w:ascii="Arial Unicode MS" w:hAnsi="Arial Unicode MS"/>
        </w:rPr>
        <w:t xml:space="preserve">Heard by videoconference as per the Consolidated Directive of the Judge </w:t>
      </w:r>
      <w:r w:rsidR="00E93C82">
        <w:rPr>
          <w:rFonts w:ascii="Arial Unicode MS" w:hAnsi="Arial Unicode MS"/>
        </w:rPr>
        <w:t xml:space="preserve">President of 11 May </w:t>
      </w:r>
      <w:r w:rsidR="00F47A45">
        <w:rPr>
          <w:rFonts w:ascii="Arial Unicode MS" w:hAnsi="Arial Unicode MS"/>
        </w:rPr>
        <w:t xml:space="preserve">2020 </w:t>
      </w:r>
      <w:r w:rsidR="00B03069">
        <w:rPr>
          <w:rFonts w:ascii="Arial Unicode MS" w:hAnsi="Arial Unicode MS"/>
        </w:rPr>
        <w:t>as extended</w:t>
      </w:r>
      <w:r w:rsidR="00EF7523">
        <w:rPr>
          <w:rFonts w:ascii="Arial Unicode MS" w:hAnsi="Arial Unicode MS"/>
        </w:rPr>
        <w:t>.</w:t>
      </w:r>
    </w:p>
    <w:p w14:paraId="361C7E11" w14:textId="644D2C01" w:rsidR="00F62DD4" w:rsidRPr="00EC3803" w:rsidRDefault="00F62DD4" w:rsidP="00F62DD4">
      <w:pPr>
        <w:tabs>
          <w:tab w:val="left" w:pos="2013"/>
        </w:tabs>
        <w:spacing w:line="240" w:lineRule="auto"/>
        <w:rPr>
          <w:rFonts w:ascii="Arial Unicode MS" w:hAnsi="Arial Unicode MS"/>
        </w:rPr>
      </w:pPr>
      <w:r w:rsidRPr="00EC3803">
        <w:rPr>
          <w:rFonts w:ascii="Arial Unicode MS" w:hAnsi="Arial Unicode MS"/>
        </w:rPr>
        <w:lastRenderedPageBreak/>
        <w:t>Date of</w:t>
      </w:r>
      <w:r>
        <w:rPr>
          <w:rFonts w:ascii="Arial Unicode MS" w:hAnsi="Arial Unicode MS"/>
        </w:rPr>
        <w:t xml:space="preserve"> </w:t>
      </w:r>
      <w:r w:rsidR="0003176D">
        <w:rPr>
          <w:rFonts w:ascii="Arial Unicode MS" w:hAnsi="Arial Unicode MS"/>
        </w:rPr>
        <w:t>judgment:</w:t>
      </w:r>
      <w:r w:rsidR="00F47A45">
        <w:rPr>
          <w:rFonts w:ascii="Arial Unicode MS" w:hAnsi="Arial Unicode MS"/>
        </w:rPr>
        <w:t xml:space="preserve"> </w:t>
      </w:r>
      <w:r w:rsidR="007C167D">
        <w:rPr>
          <w:rFonts w:ascii="Arial Unicode MS" w:hAnsi="Arial Unicode MS"/>
        </w:rPr>
        <w:t>14 July 2021.</w:t>
      </w:r>
    </w:p>
    <w:p w14:paraId="7E1D2472" w14:textId="77777777" w:rsidR="00F62DD4" w:rsidRPr="00EC3803" w:rsidRDefault="00F62DD4" w:rsidP="00F62DD4">
      <w:pPr>
        <w:spacing w:after="0" w:line="240" w:lineRule="auto"/>
        <w:rPr>
          <w:rFonts w:ascii="Arial Unicode MS" w:hAnsi="Arial Unicode MS"/>
          <w:u w:val="single"/>
        </w:rPr>
      </w:pPr>
      <w:r w:rsidRPr="00EC3803">
        <w:rPr>
          <w:rFonts w:ascii="Arial Unicode MS" w:hAnsi="Arial Unicode MS"/>
          <w:u w:val="single"/>
        </w:rPr>
        <w:t>Appearance:</w:t>
      </w:r>
    </w:p>
    <w:p w14:paraId="3F0C1430" w14:textId="77777777" w:rsidR="00F62DD4" w:rsidRPr="00EC3803" w:rsidRDefault="00F62DD4" w:rsidP="00F62DD4">
      <w:pPr>
        <w:spacing w:after="0" w:line="240" w:lineRule="auto"/>
        <w:rPr>
          <w:rFonts w:ascii="Arial Unicode MS" w:hAnsi="Arial Unicode MS"/>
        </w:rPr>
      </w:pPr>
    </w:p>
    <w:p w14:paraId="02B7C905" w14:textId="4C19B203" w:rsidR="00DD6D7C" w:rsidRPr="00AE4121" w:rsidRDefault="00F62DD4" w:rsidP="00DD6D7C">
      <w:pPr>
        <w:widowControl w:val="0"/>
        <w:suppressAutoHyphens w:val="0"/>
        <w:autoSpaceDE w:val="0"/>
        <w:autoSpaceDN w:val="0"/>
        <w:adjustRightInd w:val="0"/>
        <w:spacing w:after="0" w:line="240" w:lineRule="auto"/>
        <w:jc w:val="left"/>
        <w:outlineLvl w:val="9"/>
        <w:rPr>
          <w:lang w:val="en-US" w:eastAsia="en-US"/>
        </w:rPr>
      </w:pPr>
      <w:r w:rsidRPr="00EC3803">
        <w:rPr>
          <w:rFonts w:ascii="Arial Unicode MS" w:hAnsi="Arial Unicode MS"/>
        </w:rPr>
        <w:t xml:space="preserve">Counsel for the </w:t>
      </w:r>
      <w:r w:rsidR="00342E52" w:rsidRPr="00EC3803">
        <w:rPr>
          <w:rFonts w:ascii="Arial Unicode MS" w:hAnsi="Arial Unicode MS"/>
        </w:rPr>
        <w:t>Applicant</w:t>
      </w:r>
      <w:r w:rsidR="00342E52">
        <w:rPr>
          <w:rFonts w:ascii="Arial Unicode MS" w:hAnsi="Arial Unicode MS"/>
        </w:rPr>
        <w:t>s</w:t>
      </w:r>
      <w:r w:rsidR="00342E52" w:rsidRPr="00EC3803">
        <w:rPr>
          <w:rFonts w:ascii="Arial Unicode MS" w:hAnsi="Arial Unicode MS"/>
        </w:rPr>
        <w:t>:</w:t>
      </w:r>
      <w:r w:rsidRPr="00EC3803">
        <w:rPr>
          <w:rFonts w:ascii="Arial Unicode MS" w:hAnsi="Arial Unicode MS"/>
        </w:rPr>
        <w:t xml:space="preserve"> </w:t>
      </w:r>
      <w:r w:rsidR="00EF7523">
        <w:rPr>
          <w:rFonts w:ascii="Arial Unicode MS" w:hAnsi="Arial Unicode MS"/>
        </w:rPr>
        <w:t>L</w:t>
      </w:r>
      <w:r w:rsidR="007C167D">
        <w:rPr>
          <w:rFonts w:ascii="Arial Unicode MS" w:hAnsi="Arial Unicode MS"/>
        </w:rPr>
        <w:t>.</w:t>
      </w:r>
      <w:r w:rsidR="00EF7523">
        <w:rPr>
          <w:rFonts w:ascii="Arial Unicode MS" w:hAnsi="Arial Unicode MS"/>
        </w:rPr>
        <w:t xml:space="preserve"> Marks</w:t>
      </w:r>
    </w:p>
    <w:p w14:paraId="41557312" w14:textId="1093157E" w:rsidR="00F62DD4" w:rsidRDefault="00F62DD4" w:rsidP="00F62DD4">
      <w:pPr>
        <w:spacing w:after="0" w:line="240" w:lineRule="auto"/>
        <w:rPr>
          <w:rFonts w:ascii="Arial Unicode MS" w:hAnsi="Arial Unicode MS"/>
        </w:rPr>
      </w:pPr>
      <w:r w:rsidRPr="00EC3803">
        <w:rPr>
          <w:rFonts w:ascii="Arial Unicode MS" w:hAnsi="Arial Unicode MS"/>
        </w:rPr>
        <w:t xml:space="preserve">Instructed </w:t>
      </w:r>
      <w:r w:rsidR="008178A0" w:rsidRPr="00EC3803">
        <w:rPr>
          <w:rFonts w:ascii="Arial Unicode MS" w:hAnsi="Arial Unicode MS"/>
        </w:rPr>
        <w:t>by:</w:t>
      </w:r>
      <w:r w:rsidR="00EF7523">
        <w:rPr>
          <w:rFonts w:ascii="Arial Unicode MS" w:hAnsi="Arial Unicode MS"/>
        </w:rPr>
        <w:t xml:space="preserve"> Larry Marks</w:t>
      </w:r>
      <w:r w:rsidR="005245A1">
        <w:rPr>
          <w:rFonts w:ascii="Arial Unicode MS" w:hAnsi="Arial Unicode MS"/>
        </w:rPr>
        <w:t xml:space="preserve"> Attorneys</w:t>
      </w:r>
    </w:p>
    <w:p w14:paraId="363EBB71" w14:textId="77777777" w:rsidR="005245A1" w:rsidRDefault="005245A1" w:rsidP="00F62DD4">
      <w:pPr>
        <w:spacing w:after="0" w:line="240" w:lineRule="auto"/>
        <w:rPr>
          <w:rFonts w:ascii="Arial Unicode MS" w:hAnsi="Arial Unicode MS"/>
        </w:rPr>
      </w:pPr>
      <w:r>
        <w:rPr>
          <w:rFonts w:ascii="Arial Unicode MS" w:hAnsi="Arial Unicode MS"/>
        </w:rPr>
        <w:t xml:space="preserve">37 Fricker Road </w:t>
      </w:r>
    </w:p>
    <w:p w14:paraId="29F3CACB" w14:textId="77777777" w:rsidR="005245A1" w:rsidRDefault="005245A1" w:rsidP="00F62DD4">
      <w:pPr>
        <w:spacing w:after="0" w:line="240" w:lineRule="auto"/>
        <w:rPr>
          <w:rFonts w:ascii="Arial Unicode MS" w:hAnsi="Arial Unicode MS"/>
        </w:rPr>
      </w:pPr>
      <w:r>
        <w:rPr>
          <w:rFonts w:ascii="Arial Unicode MS" w:hAnsi="Arial Unicode MS"/>
        </w:rPr>
        <w:t>Illovo</w:t>
      </w:r>
    </w:p>
    <w:p w14:paraId="01A2A1E8" w14:textId="77777777" w:rsidR="005245A1" w:rsidRDefault="005245A1" w:rsidP="005245A1">
      <w:pPr>
        <w:spacing w:after="0" w:line="240" w:lineRule="auto"/>
        <w:rPr>
          <w:rFonts w:ascii="Arial Unicode MS" w:hAnsi="Arial Unicode MS"/>
        </w:rPr>
      </w:pPr>
      <w:r>
        <w:rPr>
          <w:rFonts w:ascii="Arial Unicode MS" w:hAnsi="Arial Unicode MS"/>
        </w:rPr>
        <w:t>Ref: Mr L Marks/OLM/M653</w:t>
      </w:r>
    </w:p>
    <w:p w14:paraId="7A413680" w14:textId="0D3E4BEF" w:rsidR="005245A1" w:rsidRDefault="005245A1" w:rsidP="00F62DD4">
      <w:pPr>
        <w:spacing w:after="0" w:line="240" w:lineRule="auto"/>
        <w:rPr>
          <w:rFonts w:ascii="Arial Unicode MS" w:hAnsi="Arial Unicode MS"/>
        </w:rPr>
      </w:pPr>
      <w:r>
        <w:rPr>
          <w:rFonts w:ascii="Arial Unicode MS" w:hAnsi="Arial Unicode MS"/>
        </w:rPr>
        <w:t>Tel : (011) 024 6174</w:t>
      </w:r>
    </w:p>
    <w:p w14:paraId="6F99C0D6" w14:textId="77777777" w:rsidR="005245A1" w:rsidRDefault="005245A1" w:rsidP="00F62DD4">
      <w:pPr>
        <w:spacing w:after="0" w:line="240" w:lineRule="auto"/>
        <w:rPr>
          <w:rFonts w:ascii="Arial Unicode MS" w:hAnsi="Arial Unicode MS"/>
        </w:rPr>
      </w:pPr>
      <w:r>
        <w:rPr>
          <w:rFonts w:ascii="Arial Unicode MS" w:hAnsi="Arial Unicode MS"/>
        </w:rPr>
        <w:t>Fax (086) 612 6004</w:t>
      </w:r>
    </w:p>
    <w:p w14:paraId="0B9CB91D" w14:textId="3D7BAE27" w:rsidR="005245A1" w:rsidRDefault="00596A10" w:rsidP="007C167D">
      <w:pPr>
        <w:suppressAutoHyphens w:val="0"/>
        <w:autoSpaceDE w:val="0"/>
        <w:autoSpaceDN w:val="0"/>
        <w:adjustRightInd w:val="0"/>
        <w:spacing w:after="0" w:line="240" w:lineRule="auto"/>
        <w:jc w:val="left"/>
        <w:outlineLvl w:val="9"/>
        <w:rPr>
          <w:rFonts w:ascii="Arial Unicode MS" w:hAnsi="Arial Unicode MS"/>
        </w:rPr>
      </w:pPr>
      <w:r>
        <w:rPr>
          <w:rFonts w:ascii="Arial Unicode MS" w:hAnsi="Arial Unicode MS"/>
        </w:rPr>
        <w:t xml:space="preserve">Email: </w:t>
      </w:r>
      <w:hyperlink r:id="rId9" w:history="1">
        <w:r w:rsidRPr="00A950A5">
          <w:rPr>
            <w:rStyle w:val="Hyperlink"/>
            <w:rFonts w:ascii="Arial Unicode MS" w:hAnsi="Arial Unicode MS"/>
          </w:rPr>
          <w:t>info@lam.co.za</w:t>
        </w:r>
      </w:hyperlink>
      <w:r>
        <w:rPr>
          <w:rFonts w:ascii="Arial Unicode MS" w:hAnsi="Arial Unicode MS"/>
        </w:rPr>
        <w:t xml:space="preserve"> </w:t>
      </w:r>
    </w:p>
    <w:p w14:paraId="4EC1C438" w14:textId="77777777" w:rsidR="00596A10" w:rsidRDefault="00596A10" w:rsidP="007C167D">
      <w:pPr>
        <w:suppressAutoHyphens w:val="0"/>
        <w:autoSpaceDE w:val="0"/>
        <w:autoSpaceDN w:val="0"/>
        <w:adjustRightInd w:val="0"/>
        <w:spacing w:after="0" w:line="240" w:lineRule="auto"/>
        <w:jc w:val="left"/>
        <w:outlineLvl w:val="9"/>
        <w:rPr>
          <w:rFonts w:ascii="Arial Unicode MS" w:hAnsi="Arial Unicode MS"/>
        </w:rPr>
      </w:pPr>
    </w:p>
    <w:p w14:paraId="6C5C8F5C" w14:textId="7A917A7F" w:rsidR="00F62DD4" w:rsidRPr="00596A10" w:rsidRDefault="00F62DD4" w:rsidP="00596A10">
      <w:pPr>
        <w:suppressAutoHyphens w:val="0"/>
        <w:autoSpaceDE w:val="0"/>
        <w:autoSpaceDN w:val="0"/>
        <w:adjustRightInd w:val="0"/>
        <w:spacing w:after="0" w:line="240" w:lineRule="auto"/>
        <w:jc w:val="left"/>
        <w:outlineLvl w:val="9"/>
        <w:rPr>
          <w:rFonts w:ascii="Arial Unicode MS" w:hAnsi="Arial Unicode MS"/>
        </w:rPr>
      </w:pPr>
      <w:r w:rsidRPr="00EC3803">
        <w:rPr>
          <w:rFonts w:ascii="Arial Unicode MS" w:hAnsi="Arial Unicode MS"/>
        </w:rPr>
        <w:t xml:space="preserve">Counsel for the </w:t>
      </w:r>
      <w:r w:rsidR="00212710" w:rsidRPr="00EC3803">
        <w:rPr>
          <w:rFonts w:ascii="Arial Unicode MS" w:hAnsi="Arial Unicode MS"/>
        </w:rPr>
        <w:t>Respondent:</w:t>
      </w:r>
      <w:r w:rsidRPr="00EC3803">
        <w:rPr>
          <w:rFonts w:ascii="Arial Unicode MS" w:hAnsi="Arial Unicode MS"/>
        </w:rPr>
        <w:t xml:space="preserve"> </w:t>
      </w:r>
      <w:r w:rsidR="00935D98">
        <w:rPr>
          <w:rFonts w:ascii="Arial Unicode MS" w:hAnsi="Arial Unicode MS"/>
        </w:rPr>
        <w:t xml:space="preserve"> </w:t>
      </w:r>
      <w:r w:rsidR="00EF7523">
        <w:rPr>
          <w:rFonts w:ascii="Arial Unicode MS" w:hAnsi="Arial Unicode MS"/>
        </w:rPr>
        <w:t>C</w:t>
      </w:r>
      <w:r w:rsidR="007C167D">
        <w:rPr>
          <w:rFonts w:ascii="Arial Unicode MS" w:hAnsi="Arial Unicode MS"/>
        </w:rPr>
        <w:t>.</w:t>
      </w:r>
      <w:r w:rsidR="00EF7523">
        <w:rPr>
          <w:rFonts w:ascii="Arial Unicode MS" w:hAnsi="Arial Unicode MS"/>
        </w:rPr>
        <w:t xml:space="preserve"> D</w:t>
      </w:r>
      <w:r w:rsidR="002E0EBF">
        <w:rPr>
          <w:rFonts w:ascii="Arial Unicode MS" w:hAnsi="Arial Unicode MS"/>
        </w:rPr>
        <w:t>e</w:t>
      </w:r>
      <w:r w:rsidR="00EF7523">
        <w:rPr>
          <w:rFonts w:ascii="Arial Unicode MS" w:hAnsi="Arial Unicode MS"/>
        </w:rPr>
        <w:t>nichaud</w:t>
      </w:r>
      <w:r w:rsidR="007C167D">
        <w:rPr>
          <w:rFonts w:ascii="Arial Unicode MS" w:hAnsi="Arial Unicode MS"/>
        </w:rPr>
        <w:t xml:space="preserve"> </w:t>
      </w:r>
    </w:p>
    <w:p w14:paraId="083F30D6" w14:textId="5F9CC87B" w:rsidR="008178A0" w:rsidRDefault="00F62DD4" w:rsidP="005245A1">
      <w:pPr>
        <w:spacing w:after="0" w:line="276" w:lineRule="auto"/>
        <w:rPr>
          <w:rFonts w:ascii="Arial Unicode MS" w:hAnsi="Arial Unicode MS"/>
        </w:rPr>
      </w:pPr>
      <w:r w:rsidRPr="00EC3803">
        <w:rPr>
          <w:rFonts w:ascii="Arial Unicode MS" w:hAnsi="Arial Unicode MS"/>
        </w:rPr>
        <w:t xml:space="preserve">Instructed </w:t>
      </w:r>
      <w:r w:rsidR="008178A0" w:rsidRPr="00EC3803">
        <w:rPr>
          <w:rFonts w:ascii="Arial Unicode MS" w:hAnsi="Arial Unicode MS"/>
        </w:rPr>
        <w:t>by:</w:t>
      </w:r>
      <w:r w:rsidR="008178A0">
        <w:rPr>
          <w:rFonts w:ascii="Arial Unicode MS" w:hAnsi="Arial Unicode MS"/>
        </w:rPr>
        <w:t xml:space="preserve"> </w:t>
      </w:r>
      <w:r w:rsidR="00EF7523">
        <w:rPr>
          <w:rFonts w:ascii="Arial Unicode MS" w:hAnsi="Arial Unicode MS"/>
        </w:rPr>
        <w:t>Glover Kannipan</w:t>
      </w:r>
      <w:r w:rsidR="00596A10">
        <w:rPr>
          <w:rFonts w:ascii="Arial Unicode MS" w:hAnsi="Arial Unicode MS"/>
        </w:rPr>
        <w:t xml:space="preserve"> Inc</w:t>
      </w:r>
    </w:p>
    <w:p w14:paraId="5FECD0B7" w14:textId="1B0FD4E6" w:rsidR="00596A10" w:rsidRDefault="007C167D" w:rsidP="00596A10">
      <w:pPr>
        <w:suppressAutoHyphens w:val="0"/>
        <w:autoSpaceDE w:val="0"/>
        <w:autoSpaceDN w:val="0"/>
        <w:adjustRightInd w:val="0"/>
        <w:spacing w:after="0"/>
        <w:jc w:val="left"/>
        <w:outlineLvl w:val="9"/>
        <w:rPr>
          <w:color w:val="000000"/>
          <w:lang w:eastAsia="en-US"/>
        </w:rPr>
      </w:pPr>
      <w:r>
        <w:rPr>
          <w:color w:val="000000"/>
          <w:lang w:eastAsia="en-US"/>
        </w:rPr>
        <w:t>18 Jan Smuts Ave</w:t>
      </w:r>
    </w:p>
    <w:p w14:paraId="4D096FE4" w14:textId="3A155864" w:rsidR="007C167D" w:rsidRDefault="007C167D" w:rsidP="00596A10">
      <w:pPr>
        <w:suppressAutoHyphens w:val="0"/>
        <w:autoSpaceDE w:val="0"/>
        <w:autoSpaceDN w:val="0"/>
        <w:adjustRightInd w:val="0"/>
        <w:spacing w:after="0"/>
        <w:jc w:val="left"/>
        <w:outlineLvl w:val="9"/>
        <w:rPr>
          <w:color w:val="000000"/>
          <w:lang w:eastAsia="en-US"/>
        </w:rPr>
      </w:pPr>
      <w:r>
        <w:rPr>
          <w:color w:val="000000"/>
          <w:lang w:eastAsia="en-US"/>
        </w:rPr>
        <w:t>Parktown</w:t>
      </w:r>
    </w:p>
    <w:p w14:paraId="7F380CCD" w14:textId="6A06D595" w:rsidR="005245A1" w:rsidRDefault="005245A1" w:rsidP="00596A10">
      <w:pPr>
        <w:suppressAutoHyphens w:val="0"/>
        <w:autoSpaceDE w:val="0"/>
        <w:autoSpaceDN w:val="0"/>
        <w:adjustRightInd w:val="0"/>
        <w:spacing w:after="0"/>
        <w:jc w:val="left"/>
        <w:outlineLvl w:val="9"/>
        <w:rPr>
          <w:color w:val="000000"/>
          <w:lang w:eastAsia="en-US"/>
        </w:rPr>
      </w:pPr>
      <w:r>
        <w:rPr>
          <w:color w:val="000000"/>
          <w:lang w:eastAsia="en-US"/>
        </w:rPr>
        <w:t xml:space="preserve">Ref : K. Benatar/15312 </w:t>
      </w:r>
    </w:p>
    <w:p w14:paraId="34FC4CAA" w14:textId="32FD4350" w:rsidR="007C167D" w:rsidRDefault="005245A1" w:rsidP="00596A10">
      <w:pPr>
        <w:suppressAutoHyphens w:val="0"/>
        <w:autoSpaceDE w:val="0"/>
        <w:autoSpaceDN w:val="0"/>
        <w:adjustRightInd w:val="0"/>
        <w:spacing w:after="0"/>
        <w:jc w:val="left"/>
        <w:outlineLvl w:val="9"/>
        <w:rPr>
          <w:color w:val="000000"/>
          <w:lang w:eastAsia="en-US"/>
        </w:rPr>
      </w:pPr>
      <w:r>
        <w:rPr>
          <w:color w:val="000000"/>
          <w:lang w:eastAsia="en-US"/>
        </w:rPr>
        <w:t xml:space="preserve">Tel </w:t>
      </w:r>
      <w:r w:rsidR="007C167D">
        <w:rPr>
          <w:color w:val="000000"/>
          <w:lang w:eastAsia="en-US"/>
        </w:rPr>
        <w:t xml:space="preserve">: </w:t>
      </w:r>
      <w:r>
        <w:rPr>
          <w:color w:val="000000"/>
          <w:lang w:eastAsia="en-US"/>
        </w:rPr>
        <w:t>(</w:t>
      </w:r>
      <w:r w:rsidR="007C167D">
        <w:rPr>
          <w:color w:val="000000"/>
          <w:lang w:eastAsia="en-US"/>
        </w:rPr>
        <w:t>011</w:t>
      </w:r>
      <w:r>
        <w:rPr>
          <w:color w:val="000000"/>
          <w:lang w:eastAsia="en-US"/>
        </w:rPr>
        <w:t>)</w:t>
      </w:r>
      <w:r w:rsidR="007C167D">
        <w:rPr>
          <w:color w:val="000000"/>
          <w:lang w:eastAsia="en-US"/>
        </w:rPr>
        <w:t xml:space="preserve"> 482 5652 </w:t>
      </w:r>
    </w:p>
    <w:p w14:paraId="739CF0C6" w14:textId="20EE3AC1" w:rsidR="005245A1" w:rsidRPr="007C167D" w:rsidRDefault="005245A1" w:rsidP="00596A10">
      <w:pPr>
        <w:suppressAutoHyphens w:val="0"/>
        <w:autoSpaceDE w:val="0"/>
        <w:autoSpaceDN w:val="0"/>
        <w:adjustRightInd w:val="0"/>
        <w:spacing w:after="0"/>
        <w:jc w:val="left"/>
        <w:outlineLvl w:val="9"/>
        <w:rPr>
          <w:color w:val="000000"/>
          <w:lang w:eastAsia="en-US"/>
        </w:rPr>
      </w:pPr>
      <w:r>
        <w:rPr>
          <w:color w:val="000000"/>
          <w:lang w:eastAsia="en-US"/>
        </w:rPr>
        <w:t>Fax: (011) 482 5653</w:t>
      </w:r>
    </w:p>
    <w:p w14:paraId="746AD8BA" w14:textId="68395650" w:rsidR="00306E0A" w:rsidRDefault="005245A1" w:rsidP="00596A10">
      <w:pPr>
        <w:jc w:val="left"/>
      </w:pPr>
      <w:r>
        <w:t xml:space="preserve">Email : </w:t>
      </w:r>
      <w:hyperlink r:id="rId10" w:history="1">
        <w:r w:rsidR="00596A10" w:rsidRPr="00A950A5">
          <w:rPr>
            <w:rStyle w:val="Hyperlink"/>
          </w:rPr>
          <w:t>dr2@gkinc.co.za</w:t>
        </w:r>
      </w:hyperlink>
      <w:r w:rsidR="00596A10">
        <w:t xml:space="preserve"> ; </w:t>
      </w:r>
      <w:hyperlink r:id="rId11" w:history="1">
        <w:r w:rsidR="00596A10" w:rsidRPr="00A950A5">
          <w:rPr>
            <w:rStyle w:val="Hyperlink"/>
          </w:rPr>
          <w:t>lue@gkinc.co.za</w:t>
        </w:r>
      </w:hyperlink>
    </w:p>
    <w:p w14:paraId="6AB47C96" w14:textId="77777777" w:rsidR="00596A10" w:rsidRPr="005245A1" w:rsidRDefault="00596A10" w:rsidP="00596A10">
      <w:pPr>
        <w:jc w:val="left"/>
      </w:pPr>
    </w:p>
    <w:p w14:paraId="15BFEF93" w14:textId="77777777" w:rsidR="00306E0A" w:rsidRPr="0044629A" w:rsidRDefault="00306E0A" w:rsidP="00306E0A">
      <w:pPr>
        <w:jc w:val="right"/>
        <w:rPr>
          <w:u w:val="single"/>
        </w:rPr>
      </w:pPr>
    </w:p>
    <w:sectPr w:rsidR="00306E0A" w:rsidRPr="0044629A" w:rsidSect="00276E0A">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06829" w14:textId="77777777" w:rsidR="00934C3D" w:rsidRDefault="00934C3D" w:rsidP="0044629A">
      <w:pPr>
        <w:spacing w:after="0" w:line="240" w:lineRule="auto"/>
      </w:pPr>
      <w:r>
        <w:separator/>
      </w:r>
    </w:p>
  </w:endnote>
  <w:endnote w:type="continuationSeparator" w:id="0">
    <w:p w14:paraId="2E9DA46A" w14:textId="77777777" w:rsidR="00934C3D" w:rsidRDefault="00934C3D" w:rsidP="0044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5137" w14:textId="77777777" w:rsidR="005E4E1C" w:rsidRDefault="005E4E1C" w:rsidP="008E5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38A4A" w14:textId="77777777" w:rsidR="005E4E1C" w:rsidRDefault="005E4E1C" w:rsidP="00446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11C7" w14:textId="0D1CEA43" w:rsidR="005E4E1C" w:rsidRDefault="005E4E1C" w:rsidP="008E5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1B0">
      <w:rPr>
        <w:rStyle w:val="PageNumber"/>
        <w:noProof/>
      </w:rPr>
      <w:t>13</w:t>
    </w:r>
    <w:r>
      <w:rPr>
        <w:rStyle w:val="PageNumber"/>
      </w:rPr>
      <w:fldChar w:fldCharType="end"/>
    </w:r>
  </w:p>
  <w:p w14:paraId="53ABC281" w14:textId="77777777" w:rsidR="005E4E1C" w:rsidRDefault="005E4E1C" w:rsidP="004462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0B50" w14:textId="77777777" w:rsidR="00934C3D" w:rsidRDefault="00934C3D" w:rsidP="0044629A">
      <w:pPr>
        <w:spacing w:after="0" w:line="240" w:lineRule="auto"/>
      </w:pPr>
      <w:r>
        <w:separator/>
      </w:r>
    </w:p>
  </w:footnote>
  <w:footnote w:type="continuationSeparator" w:id="0">
    <w:p w14:paraId="709F45EE" w14:textId="77777777" w:rsidR="00934C3D" w:rsidRDefault="00934C3D" w:rsidP="0044629A">
      <w:pPr>
        <w:spacing w:after="0" w:line="240" w:lineRule="auto"/>
      </w:pPr>
      <w:r>
        <w:continuationSeparator/>
      </w:r>
    </w:p>
  </w:footnote>
  <w:footnote w:id="1">
    <w:p w14:paraId="3B5CAFBC" w14:textId="721B7E50" w:rsidR="006E7538" w:rsidRPr="006E7538" w:rsidRDefault="006E7538">
      <w:pPr>
        <w:pStyle w:val="FootnoteText"/>
        <w:rPr>
          <w:lang w:val="en-US"/>
        </w:rPr>
      </w:pPr>
      <w:r>
        <w:rPr>
          <w:rStyle w:val="FootnoteReference"/>
        </w:rPr>
        <w:footnoteRef/>
      </w:r>
      <w:r>
        <w:t xml:space="preserve"> </w:t>
      </w:r>
      <w:r w:rsidRPr="006E7538">
        <w:rPr>
          <w:rFonts w:ascii="Arial" w:hAnsi="Arial" w:cs="Arial"/>
          <w:color w:val="222222"/>
        </w:rPr>
        <w:t>1968 (2) SA 52 (A)</w:t>
      </w:r>
      <w:r>
        <w:rPr>
          <w:rFonts w:ascii="Arial" w:hAnsi="Arial" w:cs="Arial"/>
          <w:color w:val="222222"/>
        </w:rPr>
        <w:t>.</w:t>
      </w:r>
    </w:p>
  </w:footnote>
  <w:footnote w:id="2">
    <w:p w14:paraId="0735E61D" w14:textId="23C9B8ED" w:rsidR="006E7538" w:rsidRPr="006E7538" w:rsidRDefault="006E7538">
      <w:pPr>
        <w:pStyle w:val="FootnoteText"/>
        <w:rPr>
          <w:lang w:val="en-US"/>
        </w:rPr>
      </w:pPr>
      <w:r>
        <w:rPr>
          <w:rStyle w:val="FootnoteReference"/>
        </w:rPr>
        <w:footnoteRef/>
      </w:r>
      <w:r>
        <w:t xml:space="preserve"> </w:t>
      </w:r>
      <w:r w:rsidRPr="006E7538">
        <w:rPr>
          <w:rFonts w:ascii="Arial" w:hAnsi="Arial" w:cs="Arial"/>
        </w:rPr>
        <w:t>1981 (4) SA 255 (A)</w:t>
      </w:r>
      <w:r>
        <w:rPr>
          <w:rFonts w:ascii="Arial" w:hAnsi="Arial" w:cs="Arial"/>
        </w:rPr>
        <w:t>.</w:t>
      </w:r>
    </w:p>
  </w:footnote>
  <w:footnote w:id="3">
    <w:p w14:paraId="02F07872" w14:textId="3FB520E6" w:rsidR="006E7538" w:rsidRPr="006E7538" w:rsidRDefault="006E7538" w:rsidP="006E7538">
      <w:pPr>
        <w:suppressAutoHyphens w:val="0"/>
        <w:autoSpaceDE w:val="0"/>
        <w:autoSpaceDN w:val="0"/>
        <w:adjustRightInd w:val="0"/>
        <w:spacing w:after="0"/>
        <w:outlineLvl w:val="9"/>
        <w:rPr>
          <w:color w:val="000000"/>
          <w:lang w:eastAsia="en-US"/>
        </w:rPr>
      </w:pPr>
      <w:r>
        <w:rPr>
          <w:rStyle w:val="FootnoteReference"/>
        </w:rPr>
        <w:footnoteRef/>
      </w:r>
      <w:r>
        <w:t xml:space="preserve"> </w:t>
      </w:r>
      <w:r w:rsidRPr="006E7538">
        <w:rPr>
          <w:sz w:val="20"/>
          <w:szCs w:val="20"/>
        </w:rPr>
        <w:t>(</w:t>
      </w:r>
      <w:r w:rsidRPr="006E7538">
        <w:rPr>
          <w:sz w:val="20"/>
          <w:szCs w:val="20"/>
          <w:lang w:eastAsia="en-US"/>
        </w:rPr>
        <w:t>21558-10) [2010] ZAGPPH 147 2010 (5) SA 533 (GNP) (10 August 2010).</w:t>
      </w:r>
    </w:p>
    <w:p w14:paraId="3CF452F7" w14:textId="5E495E57" w:rsidR="006E7538" w:rsidRPr="006E7538" w:rsidRDefault="006E7538">
      <w:pPr>
        <w:pStyle w:val="FootnoteText"/>
        <w:rPr>
          <w:lang w:val="en-US"/>
        </w:rPr>
      </w:pPr>
    </w:p>
  </w:footnote>
  <w:footnote w:id="4">
    <w:p w14:paraId="45E70D68" w14:textId="0FF72E89" w:rsidR="006E7538" w:rsidRPr="002E0EBF" w:rsidRDefault="006E7538" w:rsidP="006E7538">
      <w:pPr>
        <w:suppressAutoHyphens w:val="0"/>
        <w:autoSpaceDE w:val="0"/>
        <w:autoSpaceDN w:val="0"/>
        <w:adjustRightInd w:val="0"/>
        <w:spacing w:after="0" w:line="240" w:lineRule="auto"/>
        <w:outlineLvl w:val="9"/>
        <w:rPr>
          <w:lang w:eastAsia="en-US"/>
        </w:rPr>
      </w:pPr>
      <w:r>
        <w:rPr>
          <w:rStyle w:val="FootnoteReference"/>
        </w:rPr>
        <w:footnoteRef/>
      </w:r>
      <w:r>
        <w:t xml:space="preserve"> </w:t>
      </w:r>
      <w:r w:rsidRPr="006E7538">
        <w:rPr>
          <w:i/>
          <w:iCs/>
          <w:sz w:val="20"/>
          <w:szCs w:val="20"/>
          <w:lang w:eastAsia="en-US"/>
        </w:rPr>
        <w:t>Sebola and Another v Standard Bank of South Africa Ltd and Another</w:t>
      </w:r>
      <w:r w:rsidRPr="006E7538">
        <w:rPr>
          <w:sz w:val="20"/>
          <w:szCs w:val="20"/>
          <w:lang w:eastAsia="en-US"/>
        </w:rPr>
        <w:t xml:space="preserve"> (CCT 98/11) [2012] ZACC 11; 2012 (5) SA 142 (CC); 2012 (8) BCLR 785 (CC) (7 June 2012).</w:t>
      </w:r>
      <w:r>
        <w:rPr>
          <w:lang w:eastAsia="en-US"/>
        </w:rPr>
        <w:t xml:space="preserve"> </w:t>
      </w:r>
    </w:p>
    <w:p w14:paraId="4135F767" w14:textId="4BFA391B" w:rsidR="006E7538" w:rsidRPr="006E7538" w:rsidRDefault="006E7538" w:rsidP="006E7538">
      <w:pPr>
        <w:pStyle w:val="FootnoteText"/>
        <w:rPr>
          <w:lang w:val="en-US"/>
        </w:rPr>
      </w:pPr>
    </w:p>
  </w:footnote>
  <w:footnote w:id="5">
    <w:p w14:paraId="7EC77162" w14:textId="5B26446A" w:rsidR="006E7538" w:rsidRPr="006E7538" w:rsidRDefault="006E7538" w:rsidP="006E7538">
      <w:pPr>
        <w:pStyle w:val="FootnoteText"/>
        <w:rPr>
          <w:lang w:val="en-US"/>
        </w:rPr>
      </w:pPr>
      <w:r>
        <w:rPr>
          <w:rStyle w:val="FootnoteReference"/>
        </w:rPr>
        <w:footnoteRef/>
      </w:r>
      <w:r>
        <w:t xml:space="preserve"> </w:t>
      </w:r>
      <w:r w:rsidRPr="006E7538">
        <w:rPr>
          <w:rFonts w:ascii="Arial" w:hAnsi="Arial" w:cs="Arial"/>
        </w:rPr>
        <w:t>[2015] ZAFSHC 117 (25 June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10201"/>
    <w:multiLevelType w:val="hybridMultilevel"/>
    <w:tmpl w:val="29BC6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9A"/>
    <w:rsid w:val="0000143E"/>
    <w:rsid w:val="00005790"/>
    <w:rsid w:val="00025A1C"/>
    <w:rsid w:val="00031442"/>
    <w:rsid w:val="0003176D"/>
    <w:rsid w:val="00040E32"/>
    <w:rsid w:val="00045F66"/>
    <w:rsid w:val="00082C26"/>
    <w:rsid w:val="00085933"/>
    <w:rsid w:val="000A18E5"/>
    <w:rsid w:val="000A2EC6"/>
    <w:rsid w:val="000A6F08"/>
    <w:rsid w:val="000A7272"/>
    <w:rsid w:val="000B54FA"/>
    <w:rsid w:val="000B7E69"/>
    <w:rsid w:val="000C6456"/>
    <w:rsid w:val="000D062B"/>
    <w:rsid w:val="000E2FE1"/>
    <w:rsid w:val="000E497C"/>
    <w:rsid w:val="000E6E7A"/>
    <w:rsid w:val="000E7152"/>
    <w:rsid w:val="000F569C"/>
    <w:rsid w:val="00107ABA"/>
    <w:rsid w:val="00116A45"/>
    <w:rsid w:val="00130F88"/>
    <w:rsid w:val="001362A4"/>
    <w:rsid w:val="00153894"/>
    <w:rsid w:val="001561B0"/>
    <w:rsid w:val="00161D6B"/>
    <w:rsid w:val="001744D5"/>
    <w:rsid w:val="001877AF"/>
    <w:rsid w:val="001A69F1"/>
    <w:rsid w:val="001D725F"/>
    <w:rsid w:val="001E2248"/>
    <w:rsid w:val="001F0D78"/>
    <w:rsid w:val="001F41B0"/>
    <w:rsid w:val="002007BD"/>
    <w:rsid w:val="002016AA"/>
    <w:rsid w:val="00201EBF"/>
    <w:rsid w:val="00212710"/>
    <w:rsid w:val="00216DE5"/>
    <w:rsid w:val="0023492D"/>
    <w:rsid w:val="002418CF"/>
    <w:rsid w:val="00242D30"/>
    <w:rsid w:val="002479DF"/>
    <w:rsid w:val="002544F4"/>
    <w:rsid w:val="00262A9C"/>
    <w:rsid w:val="00276E0A"/>
    <w:rsid w:val="00293C1E"/>
    <w:rsid w:val="002A1F59"/>
    <w:rsid w:val="002A5035"/>
    <w:rsid w:val="002A79A3"/>
    <w:rsid w:val="002B2E8A"/>
    <w:rsid w:val="002C05D5"/>
    <w:rsid w:val="002D0343"/>
    <w:rsid w:val="002D69B6"/>
    <w:rsid w:val="002E0EBF"/>
    <w:rsid w:val="00306E0A"/>
    <w:rsid w:val="0031669B"/>
    <w:rsid w:val="00323944"/>
    <w:rsid w:val="00342E52"/>
    <w:rsid w:val="003573DA"/>
    <w:rsid w:val="00371F3C"/>
    <w:rsid w:val="003734E7"/>
    <w:rsid w:val="00375892"/>
    <w:rsid w:val="003764C4"/>
    <w:rsid w:val="00387FD1"/>
    <w:rsid w:val="003B0527"/>
    <w:rsid w:val="003B08E1"/>
    <w:rsid w:val="003D5D19"/>
    <w:rsid w:val="003D7EDE"/>
    <w:rsid w:val="003E19EC"/>
    <w:rsid w:val="003F0ED0"/>
    <w:rsid w:val="00410DCA"/>
    <w:rsid w:val="0041309F"/>
    <w:rsid w:val="004151C9"/>
    <w:rsid w:val="0043446B"/>
    <w:rsid w:val="004355AB"/>
    <w:rsid w:val="0043637B"/>
    <w:rsid w:val="00442DB7"/>
    <w:rsid w:val="0044629A"/>
    <w:rsid w:val="00457151"/>
    <w:rsid w:val="00475BC8"/>
    <w:rsid w:val="004766AE"/>
    <w:rsid w:val="004942AB"/>
    <w:rsid w:val="00495650"/>
    <w:rsid w:val="004A7691"/>
    <w:rsid w:val="004D2BDA"/>
    <w:rsid w:val="004D696F"/>
    <w:rsid w:val="004F2D65"/>
    <w:rsid w:val="00500F20"/>
    <w:rsid w:val="0050139E"/>
    <w:rsid w:val="00501CCE"/>
    <w:rsid w:val="0051065D"/>
    <w:rsid w:val="00521E2A"/>
    <w:rsid w:val="005245A1"/>
    <w:rsid w:val="005524FA"/>
    <w:rsid w:val="0056528B"/>
    <w:rsid w:val="005726C0"/>
    <w:rsid w:val="0057312A"/>
    <w:rsid w:val="00576142"/>
    <w:rsid w:val="00581F38"/>
    <w:rsid w:val="00585AC1"/>
    <w:rsid w:val="00587182"/>
    <w:rsid w:val="005878F7"/>
    <w:rsid w:val="005927AD"/>
    <w:rsid w:val="00596A10"/>
    <w:rsid w:val="005B5026"/>
    <w:rsid w:val="005C3383"/>
    <w:rsid w:val="005C565A"/>
    <w:rsid w:val="005E251B"/>
    <w:rsid w:val="005E4E1C"/>
    <w:rsid w:val="005F09DC"/>
    <w:rsid w:val="00605214"/>
    <w:rsid w:val="00607033"/>
    <w:rsid w:val="00613C69"/>
    <w:rsid w:val="00616C15"/>
    <w:rsid w:val="0062721C"/>
    <w:rsid w:val="00641560"/>
    <w:rsid w:val="00641DB4"/>
    <w:rsid w:val="00660F9D"/>
    <w:rsid w:val="006661EB"/>
    <w:rsid w:val="0067137C"/>
    <w:rsid w:val="00677239"/>
    <w:rsid w:val="00677D38"/>
    <w:rsid w:val="00682604"/>
    <w:rsid w:val="00697551"/>
    <w:rsid w:val="006A1E03"/>
    <w:rsid w:val="006B3DD4"/>
    <w:rsid w:val="006B6B1C"/>
    <w:rsid w:val="006C17FC"/>
    <w:rsid w:val="006C5AE2"/>
    <w:rsid w:val="006C77EF"/>
    <w:rsid w:val="006D1E68"/>
    <w:rsid w:val="006E7538"/>
    <w:rsid w:val="006F01BB"/>
    <w:rsid w:val="006F4B41"/>
    <w:rsid w:val="00705CFB"/>
    <w:rsid w:val="00707E8B"/>
    <w:rsid w:val="007128AE"/>
    <w:rsid w:val="00725107"/>
    <w:rsid w:val="007325A1"/>
    <w:rsid w:val="00736315"/>
    <w:rsid w:val="00737139"/>
    <w:rsid w:val="00744E7B"/>
    <w:rsid w:val="0075056A"/>
    <w:rsid w:val="007526A1"/>
    <w:rsid w:val="00755B1D"/>
    <w:rsid w:val="00756EBD"/>
    <w:rsid w:val="00757002"/>
    <w:rsid w:val="007677E4"/>
    <w:rsid w:val="00775A1D"/>
    <w:rsid w:val="007827F6"/>
    <w:rsid w:val="007872BF"/>
    <w:rsid w:val="00787EED"/>
    <w:rsid w:val="00793894"/>
    <w:rsid w:val="0079483F"/>
    <w:rsid w:val="00797D26"/>
    <w:rsid w:val="007A447E"/>
    <w:rsid w:val="007A51E8"/>
    <w:rsid w:val="007B09BD"/>
    <w:rsid w:val="007C167D"/>
    <w:rsid w:val="007C3306"/>
    <w:rsid w:val="007D66B5"/>
    <w:rsid w:val="007E09DE"/>
    <w:rsid w:val="007F7BA7"/>
    <w:rsid w:val="008178A0"/>
    <w:rsid w:val="00827A5F"/>
    <w:rsid w:val="00844E74"/>
    <w:rsid w:val="00847EF7"/>
    <w:rsid w:val="00852BCC"/>
    <w:rsid w:val="008534AC"/>
    <w:rsid w:val="00853E73"/>
    <w:rsid w:val="00856D34"/>
    <w:rsid w:val="0085756E"/>
    <w:rsid w:val="008630D9"/>
    <w:rsid w:val="00872309"/>
    <w:rsid w:val="00877B66"/>
    <w:rsid w:val="008A7694"/>
    <w:rsid w:val="008B1199"/>
    <w:rsid w:val="008B7454"/>
    <w:rsid w:val="008C08DA"/>
    <w:rsid w:val="008D149D"/>
    <w:rsid w:val="008D7E41"/>
    <w:rsid w:val="008E5BEC"/>
    <w:rsid w:val="008F417C"/>
    <w:rsid w:val="008F7113"/>
    <w:rsid w:val="009205DB"/>
    <w:rsid w:val="00924088"/>
    <w:rsid w:val="00927FF6"/>
    <w:rsid w:val="00932FCC"/>
    <w:rsid w:val="00934C3D"/>
    <w:rsid w:val="00935D98"/>
    <w:rsid w:val="00936D09"/>
    <w:rsid w:val="00943854"/>
    <w:rsid w:val="00944C37"/>
    <w:rsid w:val="0095316A"/>
    <w:rsid w:val="00957638"/>
    <w:rsid w:val="00957C09"/>
    <w:rsid w:val="00957FE8"/>
    <w:rsid w:val="009633FB"/>
    <w:rsid w:val="009A65D0"/>
    <w:rsid w:val="009A676E"/>
    <w:rsid w:val="009B1363"/>
    <w:rsid w:val="009B2E36"/>
    <w:rsid w:val="009D0392"/>
    <w:rsid w:val="009F0DE5"/>
    <w:rsid w:val="00A02996"/>
    <w:rsid w:val="00A166FE"/>
    <w:rsid w:val="00A20EB3"/>
    <w:rsid w:val="00A221AA"/>
    <w:rsid w:val="00A23BF2"/>
    <w:rsid w:val="00A27752"/>
    <w:rsid w:val="00A35B4A"/>
    <w:rsid w:val="00A40580"/>
    <w:rsid w:val="00A41803"/>
    <w:rsid w:val="00A52F66"/>
    <w:rsid w:val="00A53050"/>
    <w:rsid w:val="00A549D7"/>
    <w:rsid w:val="00A60736"/>
    <w:rsid w:val="00A71951"/>
    <w:rsid w:val="00A80190"/>
    <w:rsid w:val="00A84401"/>
    <w:rsid w:val="00A93360"/>
    <w:rsid w:val="00A95866"/>
    <w:rsid w:val="00AB21DB"/>
    <w:rsid w:val="00AB7CA7"/>
    <w:rsid w:val="00AC2151"/>
    <w:rsid w:val="00AC6686"/>
    <w:rsid w:val="00AD233C"/>
    <w:rsid w:val="00AE26DD"/>
    <w:rsid w:val="00AE4121"/>
    <w:rsid w:val="00AE6590"/>
    <w:rsid w:val="00AE7BE2"/>
    <w:rsid w:val="00AF3E7E"/>
    <w:rsid w:val="00AF5ADC"/>
    <w:rsid w:val="00B011E1"/>
    <w:rsid w:val="00B03069"/>
    <w:rsid w:val="00B043D7"/>
    <w:rsid w:val="00B13CF8"/>
    <w:rsid w:val="00B21B11"/>
    <w:rsid w:val="00B26E11"/>
    <w:rsid w:val="00B317CF"/>
    <w:rsid w:val="00B47C58"/>
    <w:rsid w:val="00B50592"/>
    <w:rsid w:val="00B727E2"/>
    <w:rsid w:val="00B80086"/>
    <w:rsid w:val="00B802B3"/>
    <w:rsid w:val="00B80EE8"/>
    <w:rsid w:val="00B91F83"/>
    <w:rsid w:val="00B955BB"/>
    <w:rsid w:val="00BB4184"/>
    <w:rsid w:val="00BB5167"/>
    <w:rsid w:val="00BC0BAC"/>
    <w:rsid w:val="00BD0EA5"/>
    <w:rsid w:val="00BD1BA9"/>
    <w:rsid w:val="00BD48DA"/>
    <w:rsid w:val="00BE168B"/>
    <w:rsid w:val="00BE51BF"/>
    <w:rsid w:val="00BF26F1"/>
    <w:rsid w:val="00C012D2"/>
    <w:rsid w:val="00C27B46"/>
    <w:rsid w:val="00C34AC2"/>
    <w:rsid w:val="00C45303"/>
    <w:rsid w:val="00C554EF"/>
    <w:rsid w:val="00C64A9D"/>
    <w:rsid w:val="00C6741D"/>
    <w:rsid w:val="00C763E9"/>
    <w:rsid w:val="00C80FBB"/>
    <w:rsid w:val="00C821BF"/>
    <w:rsid w:val="00C82283"/>
    <w:rsid w:val="00C8697E"/>
    <w:rsid w:val="00C87154"/>
    <w:rsid w:val="00C875F4"/>
    <w:rsid w:val="00CB0A00"/>
    <w:rsid w:val="00CB2DC7"/>
    <w:rsid w:val="00CF364C"/>
    <w:rsid w:val="00D15073"/>
    <w:rsid w:val="00D16FE5"/>
    <w:rsid w:val="00D26302"/>
    <w:rsid w:val="00D33A55"/>
    <w:rsid w:val="00D472AF"/>
    <w:rsid w:val="00D556CD"/>
    <w:rsid w:val="00D638FA"/>
    <w:rsid w:val="00D819CE"/>
    <w:rsid w:val="00D8382C"/>
    <w:rsid w:val="00D84D07"/>
    <w:rsid w:val="00D85A98"/>
    <w:rsid w:val="00D90A1E"/>
    <w:rsid w:val="00D90F79"/>
    <w:rsid w:val="00D966A8"/>
    <w:rsid w:val="00DA2E82"/>
    <w:rsid w:val="00DB19C8"/>
    <w:rsid w:val="00DB213E"/>
    <w:rsid w:val="00DB5712"/>
    <w:rsid w:val="00DD22EB"/>
    <w:rsid w:val="00DD6D7C"/>
    <w:rsid w:val="00DF2302"/>
    <w:rsid w:val="00DF26D7"/>
    <w:rsid w:val="00E03374"/>
    <w:rsid w:val="00E07B49"/>
    <w:rsid w:val="00E13BD4"/>
    <w:rsid w:val="00E223FE"/>
    <w:rsid w:val="00E27470"/>
    <w:rsid w:val="00E33707"/>
    <w:rsid w:val="00E3588D"/>
    <w:rsid w:val="00E4463F"/>
    <w:rsid w:val="00E53EDF"/>
    <w:rsid w:val="00E6053B"/>
    <w:rsid w:val="00E613D7"/>
    <w:rsid w:val="00E712CB"/>
    <w:rsid w:val="00E71EC7"/>
    <w:rsid w:val="00E77226"/>
    <w:rsid w:val="00E93C82"/>
    <w:rsid w:val="00EA4B4C"/>
    <w:rsid w:val="00EA5FEB"/>
    <w:rsid w:val="00EA693A"/>
    <w:rsid w:val="00EB30F2"/>
    <w:rsid w:val="00EB6EC7"/>
    <w:rsid w:val="00EC0D25"/>
    <w:rsid w:val="00EC69AB"/>
    <w:rsid w:val="00EE4380"/>
    <w:rsid w:val="00EF6233"/>
    <w:rsid w:val="00EF7523"/>
    <w:rsid w:val="00F4086C"/>
    <w:rsid w:val="00F473A2"/>
    <w:rsid w:val="00F47A45"/>
    <w:rsid w:val="00F51254"/>
    <w:rsid w:val="00F560E8"/>
    <w:rsid w:val="00F61917"/>
    <w:rsid w:val="00F62CD1"/>
    <w:rsid w:val="00F62DD4"/>
    <w:rsid w:val="00F6569A"/>
    <w:rsid w:val="00F70EAB"/>
    <w:rsid w:val="00F73CAA"/>
    <w:rsid w:val="00F763A8"/>
    <w:rsid w:val="00F90312"/>
    <w:rsid w:val="00FB41EC"/>
    <w:rsid w:val="00FB41EE"/>
    <w:rsid w:val="00FB5C11"/>
    <w:rsid w:val="00FB6285"/>
    <w:rsid w:val="00FD77C8"/>
    <w:rsid w:val="00FE1937"/>
    <w:rsid w:val="00FE1D41"/>
    <w:rsid w:val="00FE6780"/>
    <w:rsid w:val="00FF502A"/>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20FF7"/>
  <w14:defaultImageDpi w14:val="300"/>
  <w15:docId w15:val="{47D29390-74A2-0D48-B9C9-6E04D5AF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3C"/>
    <w:pPr>
      <w:suppressAutoHyphens/>
      <w:spacing w:after="360" w:line="360" w:lineRule="auto"/>
      <w:jc w:val="both"/>
      <w:outlineLvl w:val="0"/>
    </w:pPr>
    <w:rPr>
      <w:rFonts w:ascii="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29A"/>
    <w:rPr>
      <w:rFonts w:ascii="Lucida Grande" w:hAnsi="Lucida Grande" w:cs="Lucida Grande"/>
      <w:sz w:val="18"/>
      <w:szCs w:val="18"/>
      <w:lang w:val="en-GB" w:eastAsia="en-GB"/>
    </w:rPr>
  </w:style>
  <w:style w:type="paragraph" w:styleId="Footer">
    <w:name w:val="footer"/>
    <w:basedOn w:val="Normal"/>
    <w:link w:val="FooterChar"/>
    <w:uiPriority w:val="99"/>
    <w:unhideWhenUsed/>
    <w:rsid w:val="00446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629A"/>
    <w:rPr>
      <w:rFonts w:ascii="Arial" w:hAnsi="Arial" w:cs="Arial"/>
      <w:lang w:val="en-GB" w:eastAsia="en-GB"/>
    </w:rPr>
  </w:style>
  <w:style w:type="character" w:styleId="PageNumber">
    <w:name w:val="page number"/>
    <w:basedOn w:val="DefaultParagraphFont"/>
    <w:uiPriority w:val="99"/>
    <w:semiHidden/>
    <w:unhideWhenUsed/>
    <w:rsid w:val="0044629A"/>
  </w:style>
  <w:style w:type="paragraph" w:styleId="FootnoteText">
    <w:name w:val="footnote text"/>
    <w:basedOn w:val="Normal"/>
    <w:link w:val="FootnoteTextChar"/>
    <w:uiPriority w:val="99"/>
    <w:unhideWhenUsed/>
    <w:rsid w:val="00F62DD4"/>
    <w:pPr>
      <w:suppressAutoHyphens w:val="0"/>
      <w:spacing w:after="0" w:line="240" w:lineRule="auto"/>
      <w:jc w:val="left"/>
      <w:outlineLvl w:val="9"/>
    </w:pPr>
    <w:rPr>
      <w:rFonts w:asciiTheme="minorHAnsi" w:eastAsiaTheme="minorHAnsi" w:hAnsiTheme="minorHAnsi" w:cstheme="minorBidi"/>
      <w:sz w:val="20"/>
      <w:szCs w:val="20"/>
      <w:lang w:val="en-ZA" w:eastAsia="en-US"/>
    </w:rPr>
  </w:style>
  <w:style w:type="character" w:customStyle="1" w:styleId="FootnoteTextChar">
    <w:name w:val="Footnote Text Char"/>
    <w:basedOn w:val="DefaultParagraphFont"/>
    <w:link w:val="FootnoteText"/>
    <w:uiPriority w:val="99"/>
    <w:rsid w:val="00F62DD4"/>
    <w:rPr>
      <w:rFonts w:eastAsiaTheme="minorHAnsi"/>
      <w:sz w:val="20"/>
      <w:szCs w:val="20"/>
      <w:lang w:val="en-ZA"/>
    </w:rPr>
  </w:style>
  <w:style w:type="character" w:styleId="FootnoteReference">
    <w:name w:val="footnote reference"/>
    <w:uiPriority w:val="99"/>
    <w:unhideWhenUsed/>
    <w:rsid w:val="00F62DD4"/>
    <w:rPr>
      <w:vertAlign w:val="superscript"/>
    </w:rPr>
  </w:style>
  <w:style w:type="paragraph" w:customStyle="1" w:styleId="Default">
    <w:name w:val="Default"/>
    <w:rsid w:val="001561B0"/>
    <w:pPr>
      <w:widowControl w:val="0"/>
      <w:autoSpaceDE w:val="0"/>
      <w:autoSpaceDN w:val="0"/>
      <w:adjustRightInd w:val="0"/>
    </w:pPr>
    <w:rPr>
      <w:rFonts w:ascii="Arial" w:hAnsi="Arial" w:cs="Arial"/>
      <w:color w:val="000000"/>
    </w:rPr>
  </w:style>
  <w:style w:type="paragraph" w:customStyle="1" w:styleId="western">
    <w:name w:val="western"/>
    <w:basedOn w:val="Normal"/>
    <w:rsid w:val="00A41803"/>
    <w:pPr>
      <w:suppressAutoHyphens w:val="0"/>
      <w:spacing w:before="100" w:beforeAutospacing="1" w:after="100" w:afterAutospacing="1" w:line="240" w:lineRule="auto"/>
      <w:jc w:val="left"/>
      <w:outlineLvl w:val="9"/>
    </w:pPr>
    <w:rPr>
      <w:rFonts w:ascii="Times" w:hAnsi="Times" w:cstheme="minorBidi"/>
      <w:sz w:val="20"/>
      <w:szCs w:val="20"/>
      <w:lang w:val="en-ZA" w:eastAsia="en-US"/>
    </w:rPr>
  </w:style>
  <w:style w:type="paragraph" w:styleId="ListParagraph">
    <w:name w:val="List Paragraph"/>
    <w:basedOn w:val="Normal"/>
    <w:uiPriority w:val="34"/>
    <w:qFormat/>
    <w:rsid w:val="00F47A45"/>
    <w:pPr>
      <w:ind w:left="720"/>
      <w:contextualSpacing/>
    </w:pPr>
  </w:style>
  <w:style w:type="character" w:styleId="Hyperlink">
    <w:name w:val="Hyperlink"/>
    <w:basedOn w:val="DefaultParagraphFont"/>
    <w:uiPriority w:val="99"/>
    <w:unhideWhenUsed/>
    <w:rsid w:val="00596A10"/>
    <w:rPr>
      <w:color w:val="0000FF" w:themeColor="hyperlink"/>
      <w:u w:val="single"/>
    </w:rPr>
  </w:style>
  <w:style w:type="character" w:customStyle="1" w:styleId="UnresolvedMention">
    <w:name w:val="Unresolved Mention"/>
    <w:basedOn w:val="DefaultParagraphFont"/>
    <w:uiPriority w:val="99"/>
    <w:semiHidden/>
    <w:unhideWhenUsed/>
    <w:rsid w:val="0059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2413">
      <w:bodyDiv w:val="1"/>
      <w:marLeft w:val="0"/>
      <w:marRight w:val="0"/>
      <w:marTop w:val="0"/>
      <w:marBottom w:val="0"/>
      <w:divBdr>
        <w:top w:val="none" w:sz="0" w:space="0" w:color="auto"/>
        <w:left w:val="none" w:sz="0" w:space="0" w:color="auto"/>
        <w:bottom w:val="none" w:sz="0" w:space="0" w:color="auto"/>
        <w:right w:val="none" w:sz="0" w:space="0" w:color="auto"/>
      </w:divBdr>
    </w:div>
    <w:div w:id="101924725">
      <w:bodyDiv w:val="1"/>
      <w:marLeft w:val="0"/>
      <w:marRight w:val="0"/>
      <w:marTop w:val="0"/>
      <w:marBottom w:val="0"/>
      <w:divBdr>
        <w:top w:val="none" w:sz="0" w:space="0" w:color="auto"/>
        <w:left w:val="none" w:sz="0" w:space="0" w:color="auto"/>
        <w:bottom w:val="none" w:sz="0" w:space="0" w:color="auto"/>
        <w:right w:val="none" w:sz="0" w:space="0" w:color="auto"/>
      </w:divBdr>
    </w:div>
    <w:div w:id="208688160">
      <w:bodyDiv w:val="1"/>
      <w:marLeft w:val="0"/>
      <w:marRight w:val="0"/>
      <w:marTop w:val="0"/>
      <w:marBottom w:val="0"/>
      <w:divBdr>
        <w:top w:val="none" w:sz="0" w:space="0" w:color="auto"/>
        <w:left w:val="none" w:sz="0" w:space="0" w:color="auto"/>
        <w:bottom w:val="none" w:sz="0" w:space="0" w:color="auto"/>
        <w:right w:val="none" w:sz="0" w:space="0" w:color="auto"/>
      </w:divBdr>
    </w:div>
    <w:div w:id="658076563">
      <w:bodyDiv w:val="1"/>
      <w:marLeft w:val="0"/>
      <w:marRight w:val="0"/>
      <w:marTop w:val="0"/>
      <w:marBottom w:val="0"/>
      <w:divBdr>
        <w:top w:val="none" w:sz="0" w:space="0" w:color="auto"/>
        <w:left w:val="none" w:sz="0" w:space="0" w:color="auto"/>
        <w:bottom w:val="none" w:sz="0" w:space="0" w:color="auto"/>
        <w:right w:val="none" w:sz="0" w:space="0" w:color="auto"/>
      </w:divBdr>
    </w:div>
    <w:div w:id="761027451">
      <w:bodyDiv w:val="1"/>
      <w:marLeft w:val="0"/>
      <w:marRight w:val="0"/>
      <w:marTop w:val="0"/>
      <w:marBottom w:val="0"/>
      <w:divBdr>
        <w:top w:val="none" w:sz="0" w:space="0" w:color="auto"/>
        <w:left w:val="none" w:sz="0" w:space="0" w:color="auto"/>
        <w:bottom w:val="none" w:sz="0" w:space="0" w:color="auto"/>
        <w:right w:val="none" w:sz="0" w:space="0" w:color="auto"/>
      </w:divBdr>
    </w:div>
    <w:div w:id="2007173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e@gkinc.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r2@gkinc.co.za" TargetMode="External"/><Relationship Id="rId4" Type="http://schemas.openxmlformats.org/officeDocument/2006/relationships/webSettings" Target="webSettings.xml"/><Relationship Id="rId9" Type="http://schemas.openxmlformats.org/officeDocument/2006/relationships/hyperlink" Target="mailto:info@lam.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Urmila Bhoola</dc:creator>
  <cp:keywords/>
  <dc:description/>
  <cp:lastModifiedBy>Lazarus Rakgwale</cp:lastModifiedBy>
  <cp:revision>2</cp:revision>
  <dcterms:created xsi:type="dcterms:W3CDTF">2022-01-25T10:48:00Z</dcterms:created>
  <dcterms:modified xsi:type="dcterms:W3CDTF">2022-01-25T10:48:00Z</dcterms:modified>
</cp:coreProperties>
</file>