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CC94" w14:textId="77777777" w:rsidR="005E64B1" w:rsidRPr="00CC3BDA" w:rsidRDefault="005E64B1" w:rsidP="005E64B1">
      <w:pPr>
        <w:spacing w:line="360" w:lineRule="auto"/>
        <w:contextualSpacing/>
        <w:jc w:val="center"/>
        <w:rPr>
          <w:rFonts w:ascii="Times New Roman" w:eastAsiaTheme="minorHAnsi" w:hAnsi="Times New Roman"/>
          <w:b/>
          <w:bCs/>
          <w:color w:val="1F497D"/>
          <w:sz w:val="20"/>
          <w:lang w:eastAsia="en-ZA"/>
        </w:rPr>
      </w:pPr>
      <w:bookmarkStart w:id="0" w:name="_GoBack"/>
      <w:bookmarkEnd w:id="0"/>
      <w:r w:rsidRPr="00CC3BDA">
        <w:rPr>
          <w:rFonts w:ascii="Times New Roman" w:eastAsiaTheme="minorHAnsi" w:hAnsi="Times New Roman"/>
          <w:b/>
          <w:bCs/>
          <w:noProof/>
          <w:color w:val="1F497D"/>
          <w:sz w:val="20"/>
          <w:lang w:eastAsia="en-ZA"/>
        </w:rPr>
        <w:drawing>
          <wp:inline distT="0" distB="0" distL="0" distR="0" wp14:anchorId="15B20DCD" wp14:editId="6AC840BF">
            <wp:extent cx="1244009" cy="1201480"/>
            <wp:effectExtent l="0" t="0" r="0" b="0"/>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FFCC1.C2EE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FFCC1.C2EE2B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642" cy="1206920"/>
                    </a:xfrm>
                    <a:prstGeom prst="rect">
                      <a:avLst/>
                    </a:prstGeom>
                    <a:noFill/>
                    <a:ln>
                      <a:noFill/>
                    </a:ln>
                  </pic:spPr>
                </pic:pic>
              </a:graphicData>
            </a:graphic>
          </wp:inline>
        </w:drawing>
      </w:r>
    </w:p>
    <w:p w14:paraId="09EB2A94" w14:textId="77777777" w:rsidR="005E64B1" w:rsidRPr="00CC3BDA" w:rsidRDefault="005E64B1" w:rsidP="005E64B1">
      <w:pPr>
        <w:contextualSpacing/>
        <w:jc w:val="center"/>
        <w:rPr>
          <w:rFonts w:eastAsiaTheme="minorHAnsi"/>
          <w:b/>
          <w:bCs/>
          <w:lang w:eastAsia="en-ZA"/>
        </w:rPr>
      </w:pPr>
      <w:r w:rsidRPr="00CC3BDA">
        <w:rPr>
          <w:rFonts w:eastAsiaTheme="minorHAnsi"/>
          <w:b/>
          <w:bCs/>
          <w:lang w:eastAsia="en-ZA"/>
        </w:rPr>
        <w:t>OFFICE OF THE CHIEF JUSTICE</w:t>
      </w:r>
    </w:p>
    <w:p w14:paraId="1DCD16F5" w14:textId="77777777" w:rsidR="005E64B1" w:rsidRDefault="005E64B1" w:rsidP="005E64B1">
      <w:pPr>
        <w:contextualSpacing/>
        <w:jc w:val="center"/>
        <w:rPr>
          <w:b/>
        </w:rPr>
      </w:pPr>
      <w:r w:rsidRPr="00CC3BDA">
        <w:rPr>
          <w:rFonts w:eastAsiaTheme="minorHAnsi"/>
          <w:b/>
          <w:bCs/>
          <w:lang w:eastAsia="en-ZA"/>
        </w:rPr>
        <w:t>REPUBLIC OF SOUTH AFRICA</w:t>
      </w:r>
      <w:r>
        <w:rPr>
          <w:rFonts w:eastAsiaTheme="minorHAnsi"/>
          <w:b/>
          <w:bCs/>
          <w:lang w:eastAsia="en-ZA"/>
        </w:rPr>
        <w:t xml:space="preserve"> </w:t>
      </w:r>
      <w:r>
        <w:rPr>
          <w:b/>
        </w:rPr>
        <w:t xml:space="preserve">HIGH COURT </w:t>
      </w:r>
    </w:p>
    <w:p w14:paraId="5FF66867" w14:textId="77777777" w:rsidR="005E64B1" w:rsidRDefault="005E64B1" w:rsidP="005E64B1">
      <w:pPr>
        <w:ind w:right="283"/>
        <w:contextualSpacing/>
        <w:jc w:val="center"/>
        <w:rPr>
          <w:b/>
        </w:rPr>
      </w:pPr>
      <w:r>
        <w:rPr>
          <w:b/>
        </w:rPr>
        <w:t>GAUTENG LOCAL DIVISION, JOHANNESBURG</w:t>
      </w:r>
    </w:p>
    <w:p w14:paraId="0B10287D" w14:textId="77777777" w:rsidR="005E64B1" w:rsidRPr="00CF072A" w:rsidRDefault="005E64B1" w:rsidP="005E64B1">
      <w:pPr>
        <w:ind w:right="283"/>
        <w:contextualSpacing/>
        <w:jc w:val="center"/>
        <w:rPr>
          <w:b/>
        </w:rPr>
      </w:pPr>
    </w:p>
    <w:p w14:paraId="05EDFA90" w14:textId="52988CC3" w:rsidR="005E64B1" w:rsidRDefault="005E64B1" w:rsidP="005E64B1">
      <w:pPr>
        <w:pStyle w:val="NoSpacing"/>
        <w:contextualSpacing/>
        <w:jc w:val="righ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sidRPr="00793E88">
        <w:rPr>
          <w:rFonts w:ascii="Arial" w:hAnsi="Arial" w:cs="Arial"/>
          <w:b/>
          <w:sz w:val="24"/>
          <w:szCs w:val="24"/>
          <w:lang w:val="en-ZA"/>
        </w:rPr>
        <w:t xml:space="preserve">CASE NUMBER: </w:t>
      </w:r>
      <w:r>
        <w:rPr>
          <w:rFonts w:ascii="Arial" w:hAnsi="Arial" w:cs="Arial"/>
          <w:b/>
          <w:sz w:val="24"/>
          <w:szCs w:val="24"/>
          <w:lang w:val="en-ZA"/>
        </w:rPr>
        <w:t>39819/2016</w:t>
      </w:r>
    </w:p>
    <w:p w14:paraId="0BDAAA1F" w14:textId="77777777" w:rsidR="005E64B1" w:rsidRDefault="005E64B1" w:rsidP="005E64B1">
      <w:pPr>
        <w:pStyle w:val="NoSpacing"/>
        <w:contextualSpacing/>
        <w:jc w:val="right"/>
        <w:rPr>
          <w:rFonts w:ascii="Arial" w:hAnsi="Arial" w:cs="Arial"/>
          <w:b/>
          <w:sz w:val="24"/>
          <w:szCs w:val="24"/>
          <w:lang w:val="en-ZA"/>
        </w:rPr>
      </w:pPr>
    </w:p>
    <w:p w14:paraId="6A4D5E32" w14:textId="26B143C7" w:rsidR="005E64B1" w:rsidRDefault="005E64B1" w:rsidP="005E64B1">
      <w:pPr>
        <w:pStyle w:val="NoSpacing"/>
        <w:contextualSpacing/>
        <w:rPr>
          <w:rFonts w:ascii="Arial" w:hAnsi="Arial" w:cs="Arial"/>
          <w:b/>
          <w:sz w:val="24"/>
          <w:szCs w:val="24"/>
          <w:lang w:val="en-ZA"/>
        </w:rPr>
      </w:pPr>
      <w:r>
        <w:rPr>
          <w:rFonts w:ascii="Arial" w:hAnsi="Arial" w:cs="Arial"/>
          <w:b/>
          <w:noProof/>
          <w:sz w:val="24"/>
          <w:szCs w:val="24"/>
          <w:lang w:val="en-ZA" w:eastAsia="en-ZA"/>
        </w:rPr>
        <w:drawing>
          <wp:inline distT="0" distB="0" distL="0" distR="0" wp14:anchorId="29429005" wp14:editId="7E629313">
            <wp:extent cx="333438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1390650"/>
                    </a:xfrm>
                    <a:prstGeom prst="rect">
                      <a:avLst/>
                    </a:prstGeom>
                    <a:noFill/>
                  </pic:spPr>
                </pic:pic>
              </a:graphicData>
            </a:graphic>
          </wp:inline>
        </w:drawing>
      </w:r>
    </w:p>
    <w:p w14:paraId="6CD7748F" w14:textId="77777777" w:rsidR="005E64B1" w:rsidRDefault="005E64B1" w:rsidP="005E64B1">
      <w:pPr>
        <w:pStyle w:val="NoSpacing"/>
        <w:contextualSpacing/>
        <w:jc w:val="right"/>
        <w:rPr>
          <w:rFonts w:ascii="Arial" w:hAnsi="Arial" w:cs="Arial"/>
          <w:b/>
          <w:sz w:val="24"/>
          <w:szCs w:val="24"/>
          <w:lang w:val="en-ZA"/>
        </w:rPr>
      </w:pPr>
    </w:p>
    <w:p w14:paraId="039A3462" w14:textId="77777777" w:rsidR="005E64B1" w:rsidRPr="00793E88" w:rsidRDefault="005E64B1" w:rsidP="005E64B1">
      <w:pPr>
        <w:pStyle w:val="NoSpacing"/>
        <w:contextualSpacing/>
        <w:jc w:val="right"/>
        <w:rPr>
          <w:rFonts w:ascii="Arial" w:hAnsi="Arial" w:cs="Arial"/>
          <w:b/>
          <w:sz w:val="24"/>
          <w:szCs w:val="24"/>
          <w:lang w:val="en-ZA"/>
        </w:rPr>
      </w:pPr>
    </w:p>
    <w:p w14:paraId="723FF912" w14:textId="77777777" w:rsidR="00B958BA" w:rsidRDefault="00B958BA" w:rsidP="00081824">
      <w:pPr>
        <w:pStyle w:val="Title"/>
        <w:spacing w:after="240" w:line="360" w:lineRule="auto"/>
      </w:pPr>
      <w:r>
        <w:t>In the matter between:</w:t>
      </w:r>
    </w:p>
    <w:tbl>
      <w:tblPr>
        <w:tblW w:w="0" w:type="auto"/>
        <w:tblLayout w:type="fixed"/>
        <w:tblLook w:val="0000" w:firstRow="0" w:lastRow="0" w:firstColumn="0" w:lastColumn="0" w:noHBand="0" w:noVBand="0"/>
      </w:tblPr>
      <w:tblGrid>
        <w:gridCol w:w="6204"/>
        <w:gridCol w:w="2606"/>
      </w:tblGrid>
      <w:tr w:rsidR="00B958BA" w14:paraId="0544D44E" w14:textId="77777777">
        <w:tc>
          <w:tcPr>
            <w:tcW w:w="6204" w:type="dxa"/>
          </w:tcPr>
          <w:p w14:paraId="1B43298B" w14:textId="4930A440" w:rsidR="007E1556" w:rsidRDefault="008B78A1" w:rsidP="008F6C0F">
            <w:pPr>
              <w:pStyle w:val="Title"/>
              <w:spacing w:after="120"/>
              <w:rPr>
                <w:u w:val="single"/>
              </w:rPr>
            </w:pPr>
            <w:r>
              <w:rPr>
                <w:b/>
              </w:rPr>
              <w:t xml:space="preserve">SELLO MAMASEDI </w:t>
            </w:r>
            <w:r w:rsidR="00B958BA" w:rsidRPr="008F6C0F">
              <w:rPr>
                <w:b/>
              </w:rPr>
              <w:fldChar w:fldCharType="begin"/>
            </w:r>
            <w:r w:rsidR="00B958BA" w:rsidRPr="008F6C0F">
              <w:rPr>
                <w:b/>
              </w:rPr>
              <w:instrText xml:space="preserve">  </w:instrText>
            </w:r>
            <w:r w:rsidR="00B958BA" w:rsidRPr="008F6C0F">
              <w:rPr>
                <w:b/>
              </w:rPr>
              <w:fldChar w:fldCharType="end"/>
            </w:r>
          </w:p>
        </w:tc>
        <w:tc>
          <w:tcPr>
            <w:tcW w:w="2606" w:type="dxa"/>
          </w:tcPr>
          <w:p w14:paraId="7A9D72AA" w14:textId="6984859F" w:rsidR="00B958BA" w:rsidRDefault="008B78A1" w:rsidP="007E1556">
            <w:pPr>
              <w:pStyle w:val="Title"/>
              <w:spacing w:line="360" w:lineRule="auto"/>
              <w:jc w:val="right"/>
            </w:pPr>
            <w:r>
              <w:t xml:space="preserve">First </w:t>
            </w:r>
            <w:r w:rsidR="00625E58">
              <w:t>Applicant</w:t>
            </w:r>
            <w:r w:rsidR="00FC4520">
              <w:t xml:space="preserve"> </w:t>
            </w:r>
          </w:p>
        </w:tc>
      </w:tr>
      <w:tr w:rsidR="008B78A1" w14:paraId="130E5429" w14:textId="77777777">
        <w:tc>
          <w:tcPr>
            <w:tcW w:w="6204" w:type="dxa"/>
          </w:tcPr>
          <w:p w14:paraId="020E53E5" w14:textId="5A879F1F" w:rsidR="008B78A1" w:rsidRPr="008B78A1" w:rsidRDefault="008B78A1" w:rsidP="007E1556">
            <w:pPr>
              <w:pStyle w:val="Title"/>
              <w:spacing w:line="360" w:lineRule="auto"/>
              <w:rPr>
                <w:b/>
                <w:bCs/>
              </w:rPr>
            </w:pPr>
            <w:r>
              <w:rPr>
                <w:b/>
                <w:bCs/>
              </w:rPr>
              <w:t>THANYANI SIMANI</w:t>
            </w:r>
          </w:p>
        </w:tc>
        <w:tc>
          <w:tcPr>
            <w:tcW w:w="2606" w:type="dxa"/>
          </w:tcPr>
          <w:p w14:paraId="7AB529B7" w14:textId="18B108F5" w:rsidR="008B78A1" w:rsidRDefault="00625E58" w:rsidP="007E1556">
            <w:pPr>
              <w:pStyle w:val="Title"/>
              <w:spacing w:line="360" w:lineRule="auto"/>
              <w:jc w:val="right"/>
            </w:pPr>
            <w:r>
              <w:t>Second Applicant</w:t>
            </w:r>
            <w:r w:rsidR="008B78A1">
              <w:t xml:space="preserve"> </w:t>
            </w:r>
          </w:p>
        </w:tc>
      </w:tr>
      <w:tr w:rsidR="008B78A1" w14:paraId="660A6BA1" w14:textId="77777777">
        <w:tc>
          <w:tcPr>
            <w:tcW w:w="6204" w:type="dxa"/>
          </w:tcPr>
          <w:p w14:paraId="3F05B167" w14:textId="58C9C535" w:rsidR="008B78A1" w:rsidRPr="008B78A1" w:rsidRDefault="008B78A1" w:rsidP="007E1556">
            <w:pPr>
              <w:pStyle w:val="Title"/>
              <w:spacing w:line="360" w:lineRule="auto"/>
              <w:rPr>
                <w:b/>
                <w:bCs/>
              </w:rPr>
            </w:pPr>
            <w:r>
              <w:rPr>
                <w:b/>
                <w:bCs/>
              </w:rPr>
              <w:t>LEBOHANG DAVID MOTLATSI</w:t>
            </w:r>
          </w:p>
        </w:tc>
        <w:tc>
          <w:tcPr>
            <w:tcW w:w="2606" w:type="dxa"/>
          </w:tcPr>
          <w:p w14:paraId="58739AE7" w14:textId="291B4737" w:rsidR="008B78A1" w:rsidRDefault="00625E58" w:rsidP="007E1556">
            <w:pPr>
              <w:pStyle w:val="Title"/>
              <w:spacing w:line="360" w:lineRule="auto"/>
              <w:jc w:val="right"/>
            </w:pPr>
            <w:r>
              <w:t>Third Applicant</w:t>
            </w:r>
            <w:r w:rsidR="008B78A1">
              <w:t xml:space="preserve"> </w:t>
            </w:r>
          </w:p>
        </w:tc>
      </w:tr>
      <w:tr w:rsidR="008B78A1" w14:paraId="3F206641" w14:textId="77777777">
        <w:tc>
          <w:tcPr>
            <w:tcW w:w="6204" w:type="dxa"/>
          </w:tcPr>
          <w:p w14:paraId="516E372F" w14:textId="68DAAEBB" w:rsidR="008B78A1" w:rsidRPr="008B78A1" w:rsidRDefault="008B78A1" w:rsidP="007E1556">
            <w:pPr>
              <w:pStyle w:val="Title"/>
              <w:spacing w:line="360" w:lineRule="auto"/>
              <w:rPr>
                <w:b/>
                <w:bCs/>
              </w:rPr>
            </w:pPr>
            <w:r>
              <w:rPr>
                <w:b/>
                <w:bCs/>
              </w:rPr>
              <w:t>BABA ISAAC MOFOKENG</w:t>
            </w:r>
          </w:p>
        </w:tc>
        <w:tc>
          <w:tcPr>
            <w:tcW w:w="2606" w:type="dxa"/>
          </w:tcPr>
          <w:p w14:paraId="0C47F220" w14:textId="5C3AA042" w:rsidR="008B78A1" w:rsidRDefault="00625E58" w:rsidP="007E1556">
            <w:pPr>
              <w:pStyle w:val="Title"/>
              <w:spacing w:line="360" w:lineRule="auto"/>
              <w:jc w:val="right"/>
            </w:pPr>
            <w:r>
              <w:t>Fourth Applicant</w:t>
            </w:r>
            <w:r w:rsidR="008B78A1">
              <w:t xml:space="preserve"> </w:t>
            </w:r>
          </w:p>
        </w:tc>
      </w:tr>
      <w:tr w:rsidR="008B78A1" w14:paraId="339ECC8F" w14:textId="77777777">
        <w:tc>
          <w:tcPr>
            <w:tcW w:w="6204" w:type="dxa"/>
          </w:tcPr>
          <w:p w14:paraId="5504EC97" w14:textId="2E1AAF0C" w:rsidR="008B78A1" w:rsidRPr="008B78A1" w:rsidRDefault="008B78A1" w:rsidP="007E1556">
            <w:pPr>
              <w:pStyle w:val="Title"/>
              <w:spacing w:line="360" w:lineRule="auto"/>
              <w:rPr>
                <w:b/>
                <w:bCs/>
              </w:rPr>
            </w:pPr>
            <w:r>
              <w:rPr>
                <w:b/>
                <w:bCs/>
              </w:rPr>
              <w:t>FRANS VUSI LEBERA</w:t>
            </w:r>
          </w:p>
        </w:tc>
        <w:tc>
          <w:tcPr>
            <w:tcW w:w="2606" w:type="dxa"/>
          </w:tcPr>
          <w:p w14:paraId="38F53FD6" w14:textId="4AD7BFBC" w:rsidR="008B78A1" w:rsidRDefault="00625E58" w:rsidP="007E1556">
            <w:pPr>
              <w:pStyle w:val="Title"/>
              <w:spacing w:line="360" w:lineRule="auto"/>
              <w:jc w:val="right"/>
            </w:pPr>
            <w:r>
              <w:t>Fifth Applicant</w:t>
            </w:r>
            <w:r w:rsidR="008B78A1">
              <w:t xml:space="preserve"> </w:t>
            </w:r>
          </w:p>
        </w:tc>
      </w:tr>
      <w:tr w:rsidR="008B78A1" w14:paraId="35D94461" w14:textId="77777777">
        <w:tc>
          <w:tcPr>
            <w:tcW w:w="6204" w:type="dxa"/>
          </w:tcPr>
          <w:p w14:paraId="7C463A07" w14:textId="52493B19" w:rsidR="008B78A1" w:rsidRPr="008B78A1" w:rsidRDefault="008B78A1" w:rsidP="007E1556">
            <w:pPr>
              <w:pStyle w:val="Title"/>
              <w:spacing w:line="360" w:lineRule="auto"/>
              <w:rPr>
                <w:b/>
                <w:bCs/>
              </w:rPr>
            </w:pPr>
            <w:r>
              <w:rPr>
                <w:b/>
                <w:bCs/>
              </w:rPr>
              <w:t>LERUNO LUCAS MOTSOAGAE</w:t>
            </w:r>
          </w:p>
        </w:tc>
        <w:tc>
          <w:tcPr>
            <w:tcW w:w="2606" w:type="dxa"/>
          </w:tcPr>
          <w:p w14:paraId="2D2D1707" w14:textId="0BC69001" w:rsidR="008B78A1" w:rsidRDefault="00625E58" w:rsidP="007E1556">
            <w:pPr>
              <w:pStyle w:val="Title"/>
              <w:spacing w:line="360" w:lineRule="auto"/>
              <w:jc w:val="right"/>
            </w:pPr>
            <w:r>
              <w:t>Sixth Applicant</w:t>
            </w:r>
            <w:r w:rsidR="008B78A1">
              <w:t xml:space="preserve"> </w:t>
            </w:r>
          </w:p>
        </w:tc>
      </w:tr>
      <w:tr w:rsidR="008B78A1" w14:paraId="433C6CB7" w14:textId="77777777">
        <w:tc>
          <w:tcPr>
            <w:tcW w:w="6204" w:type="dxa"/>
          </w:tcPr>
          <w:p w14:paraId="362CCBAC" w14:textId="47E7470C" w:rsidR="008B78A1" w:rsidRPr="008B78A1" w:rsidRDefault="008B78A1" w:rsidP="007E1556">
            <w:pPr>
              <w:pStyle w:val="Title"/>
              <w:spacing w:line="360" w:lineRule="auto"/>
              <w:rPr>
                <w:b/>
                <w:bCs/>
              </w:rPr>
            </w:pPr>
            <w:r>
              <w:rPr>
                <w:b/>
                <w:bCs/>
              </w:rPr>
              <w:t>RAJOALANE MARIA TSOTETSI</w:t>
            </w:r>
          </w:p>
        </w:tc>
        <w:tc>
          <w:tcPr>
            <w:tcW w:w="2606" w:type="dxa"/>
          </w:tcPr>
          <w:p w14:paraId="6F8E5AC0" w14:textId="4B380755" w:rsidR="008B78A1" w:rsidRDefault="00625E58" w:rsidP="007E1556">
            <w:pPr>
              <w:pStyle w:val="Title"/>
              <w:spacing w:line="360" w:lineRule="auto"/>
              <w:jc w:val="right"/>
            </w:pPr>
            <w:r>
              <w:t>Seventh Applicant</w:t>
            </w:r>
            <w:r w:rsidR="008B78A1">
              <w:t xml:space="preserve"> </w:t>
            </w:r>
          </w:p>
        </w:tc>
      </w:tr>
      <w:tr w:rsidR="00B958BA" w14:paraId="599F38CF" w14:textId="77777777">
        <w:tc>
          <w:tcPr>
            <w:tcW w:w="6204" w:type="dxa"/>
          </w:tcPr>
          <w:p w14:paraId="3C916138" w14:textId="77777777" w:rsidR="00B958BA" w:rsidRPr="001C4CC1" w:rsidRDefault="00B958BA" w:rsidP="007E1556">
            <w:pPr>
              <w:pStyle w:val="Title"/>
              <w:spacing w:line="360" w:lineRule="auto"/>
            </w:pPr>
          </w:p>
        </w:tc>
        <w:tc>
          <w:tcPr>
            <w:tcW w:w="2606" w:type="dxa"/>
          </w:tcPr>
          <w:p w14:paraId="304B739E" w14:textId="77777777" w:rsidR="00B958BA" w:rsidRDefault="00B958BA" w:rsidP="007E1556">
            <w:pPr>
              <w:pStyle w:val="Title"/>
              <w:spacing w:line="360" w:lineRule="auto"/>
              <w:jc w:val="right"/>
            </w:pPr>
          </w:p>
        </w:tc>
      </w:tr>
      <w:tr w:rsidR="00B958BA" w14:paraId="346ED0CD" w14:textId="77777777">
        <w:tc>
          <w:tcPr>
            <w:tcW w:w="6204" w:type="dxa"/>
          </w:tcPr>
          <w:p w14:paraId="4C5330D2" w14:textId="77777777" w:rsidR="00B958BA" w:rsidRDefault="006E77C0" w:rsidP="007E1556">
            <w:pPr>
              <w:pStyle w:val="Title"/>
              <w:spacing w:line="360" w:lineRule="auto"/>
            </w:pPr>
            <w:r>
              <w:t>and</w:t>
            </w:r>
          </w:p>
        </w:tc>
        <w:tc>
          <w:tcPr>
            <w:tcW w:w="2606" w:type="dxa"/>
          </w:tcPr>
          <w:p w14:paraId="2E84B70A" w14:textId="77777777" w:rsidR="00B958BA" w:rsidRDefault="00B958BA" w:rsidP="007E1556">
            <w:pPr>
              <w:pStyle w:val="Title"/>
              <w:spacing w:line="360" w:lineRule="auto"/>
            </w:pPr>
          </w:p>
        </w:tc>
      </w:tr>
      <w:tr w:rsidR="00B958BA" w14:paraId="1C759008" w14:textId="77777777">
        <w:tc>
          <w:tcPr>
            <w:tcW w:w="6204" w:type="dxa"/>
          </w:tcPr>
          <w:p w14:paraId="1A4D1DF8" w14:textId="77777777" w:rsidR="00B958BA" w:rsidRPr="001C4CC1" w:rsidRDefault="00B958BA" w:rsidP="007E1556">
            <w:pPr>
              <w:pStyle w:val="Title"/>
              <w:spacing w:line="360" w:lineRule="auto"/>
            </w:pPr>
          </w:p>
        </w:tc>
        <w:tc>
          <w:tcPr>
            <w:tcW w:w="2606" w:type="dxa"/>
          </w:tcPr>
          <w:p w14:paraId="1B83703D" w14:textId="77777777" w:rsidR="00B958BA" w:rsidRDefault="00B958BA" w:rsidP="007E1556">
            <w:pPr>
              <w:pStyle w:val="Title"/>
              <w:spacing w:line="360" w:lineRule="auto"/>
            </w:pPr>
          </w:p>
        </w:tc>
      </w:tr>
      <w:tr w:rsidR="00B958BA" w14:paraId="172C507F" w14:textId="77777777">
        <w:tc>
          <w:tcPr>
            <w:tcW w:w="6204" w:type="dxa"/>
          </w:tcPr>
          <w:p w14:paraId="65233B66" w14:textId="132FB6AE" w:rsidR="00B958BA" w:rsidRPr="008F6C0F" w:rsidRDefault="008B78A1" w:rsidP="008B78A1">
            <w:pPr>
              <w:pStyle w:val="Title"/>
              <w:spacing w:after="120"/>
              <w:rPr>
                <w:b/>
              </w:rPr>
            </w:pPr>
            <w:r>
              <w:rPr>
                <w:b/>
              </w:rPr>
              <w:t>ANTONIO FERNANDEZ GOMEZ</w:t>
            </w:r>
            <w:r w:rsidR="00B958BA" w:rsidRPr="008F6C0F">
              <w:rPr>
                <w:b/>
              </w:rPr>
              <w:fldChar w:fldCharType="begin"/>
            </w:r>
            <w:r w:rsidR="00B958BA" w:rsidRPr="008F6C0F">
              <w:rPr>
                <w:b/>
              </w:rPr>
              <w:instrText xml:space="preserve">  </w:instrText>
            </w:r>
            <w:r w:rsidR="00B958BA" w:rsidRPr="008F6C0F">
              <w:rPr>
                <w:b/>
              </w:rPr>
              <w:fldChar w:fldCharType="end"/>
            </w:r>
          </w:p>
        </w:tc>
        <w:tc>
          <w:tcPr>
            <w:tcW w:w="2606" w:type="dxa"/>
          </w:tcPr>
          <w:p w14:paraId="13AAB69D" w14:textId="4B9B69AC" w:rsidR="00B958BA" w:rsidRDefault="008B78A1" w:rsidP="007E1556">
            <w:pPr>
              <w:pStyle w:val="Title"/>
              <w:spacing w:line="360" w:lineRule="auto"/>
              <w:jc w:val="right"/>
            </w:pPr>
            <w:r>
              <w:t xml:space="preserve">First </w:t>
            </w:r>
            <w:r w:rsidR="00625E58">
              <w:t>Respondent</w:t>
            </w:r>
            <w:r w:rsidR="00FC4520">
              <w:t xml:space="preserve"> </w:t>
            </w:r>
          </w:p>
        </w:tc>
      </w:tr>
      <w:tr w:rsidR="008B78A1" w14:paraId="1FDD9D67" w14:textId="77777777">
        <w:tc>
          <w:tcPr>
            <w:tcW w:w="6204" w:type="dxa"/>
          </w:tcPr>
          <w:p w14:paraId="07BC4EB3" w14:textId="0D97195E" w:rsidR="008B78A1" w:rsidRDefault="008B78A1" w:rsidP="008B78A1">
            <w:pPr>
              <w:pStyle w:val="Title"/>
              <w:spacing w:after="120"/>
              <w:rPr>
                <w:b/>
              </w:rPr>
            </w:pPr>
            <w:r>
              <w:rPr>
                <w:b/>
              </w:rPr>
              <w:lastRenderedPageBreak/>
              <w:t>PENSION FUNDS ADJUDICATOR</w:t>
            </w:r>
          </w:p>
        </w:tc>
        <w:tc>
          <w:tcPr>
            <w:tcW w:w="2606" w:type="dxa"/>
          </w:tcPr>
          <w:p w14:paraId="5E23D635" w14:textId="6CD05756" w:rsidR="008B78A1" w:rsidRDefault="00625E58" w:rsidP="007E1556">
            <w:pPr>
              <w:pStyle w:val="Title"/>
              <w:spacing w:line="360" w:lineRule="auto"/>
              <w:jc w:val="right"/>
            </w:pPr>
            <w:r>
              <w:t>Second Respondent</w:t>
            </w:r>
            <w:r w:rsidR="008B78A1">
              <w:t xml:space="preserve"> </w:t>
            </w:r>
          </w:p>
        </w:tc>
      </w:tr>
      <w:tr w:rsidR="008B78A1" w14:paraId="2D97116E" w14:textId="77777777">
        <w:tc>
          <w:tcPr>
            <w:tcW w:w="6204" w:type="dxa"/>
          </w:tcPr>
          <w:p w14:paraId="57564A3C" w14:textId="6152E0C7" w:rsidR="008B78A1" w:rsidRDefault="008B78A1" w:rsidP="008B78A1">
            <w:pPr>
              <w:pStyle w:val="Title"/>
              <w:spacing w:after="120"/>
              <w:rPr>
                <w:b/>
              </w:rPr>
            </w:pPr>
            <w:r>
              <w:rPr>
                <w:b/>
              </w:rPr>
              <w:t>AN</w:t>
            </w:r>
            <w:r w:rsidR="00A55ACB">
              <w:rPr>
                <w:b/>
              </w:rPr>
              <w:t>NEKE BARNARD N.O.</w:t>
            </w:r>
          </w:p>
        </w:tc>
        <w:tc>
          <w:tcPr>
            <w:tcW w:w="2606" w:type="dxa"/>
          </w:tcPr>
          <w:p w14:paraId="246ABB10" w14:textId="0F4C200D" w:rsidR="008B78A1" w:rsidRDefault="00625E58" w:rsidP="007E1556">
            <w:pPr>
              <w:pStyle w:val="Title"/>
              <w:spacing w:line="360" w:lineRule="auto"/>
              <w:jc w:val="right"/>
            </w:pPr>
            <w:r>
              <w:t>Third Respondent</w:t>
            </w:r>
            <w:r w:rsidR="00A55ACB">
              <w:t xml:space="preserve"> </w:t>
            </w:r>
          </w:p>
        </w:tc>
      </w:tr>
      <w:tr w:rsidR="00A55ACB" w14:paraId="30928CFE" w14:textId="77777777">
        <w:tc>
          <w:tcPr>
            <w:tcW w:w="6204" w:type="dxa"/>
          </w:tcPr>
          <w:p w14:paraId="61A020F9" w14:textId="6ADCD1E2" w:rsidR="00A55ACB" w:rsidRDefault="00A55ACB" w:rsidP="008B78A1">
            <w:pPr>
              <w:pStyle w:val="Title"/>
              <w:spacing w:after="120"/>
              <w:rPr>
                <w:b/>
              </w:rPr>
            </w:pPr>
            <w:r>
              <w:rPr>
                <w:b/>
              </w:rPr>
              <w:t>KGASHANE CHRISTOPHER MONYELA N.O.</w:t>
            </w:r>
          </w:p>
        </w:tc>
        <w:tc>
          <w:tcPr>
            <w:tcW w:w="2606" w:type="dxa"/>
          </w:tcPr>
          <w:p w14:paraId="571DE2CC" w14:textId="48ABA1E9" w:rsidR="00A55ACB" w:rsidRDefault="00625E58" w:rsidP="007E1556">
            <w:pPr>
              <w:pStyle w:val="Title"/>
              <w:spacing w:line="360" w:lineRule="auto"/>
              <w:jc w:val="right"/>
            </w:pPr>
            <w:r>
              <w:t>Fourth Respondent</w:t>
            </w:r>
            <w:r w:rsidR="00A55ACB">
              <w:t xml:space="preserve"> </w:t>
            </w:r>
          </w:p>
        </w:tc>
      </w:tr>
      <w:tr w:rsidR="00A55ACB" w14:paraId="59BC8478" w14:textId="77777777">
        <w:tc>
          <w:tcPr>
            <w:tcW w:w="6204" w:type="dxa"/>
          </w:tcPr>
          <w:p w14:paraId="640B782A" w14:textId="36045A00" w:rsidR="00A55ACB" w:rsidRDefault="00A55ACB" w:rsidP="008B78A1">
            <w:pPr>
              <w:pStyle w:val="Title"/>
              <w:spacing w:after="120"/>
              <w:rPr>
                <w:b/>
              </w:rPr>
            </w:pPr>
            <w:r>
              <w:rPr>
                <w:b/>
              </w:rPr>
              <w:t>SURAIYA BALLIM</w:t>
            </w:r>
          </w:p>
        </w:tc>
        <w:tc>
          <w:tcPr>
            <w:tcW w:w="2606" w:type="dxa"/>
          </w:tcPr>
          <w:p w14:paraId="270DDBF8" w14:textId="66F0C2DE" w:rsidR="00A55ACB" w:rsidRDefault="00625E58" w:rsidP="007E1556">
            <w:pPr>
              <w:pStyle w:val="Title"/>
              <w:spacing w:line="360" w:lineRule="auto"/>
              <w:jc w:val="right"/>
            </w:pPr>
            <w:r>
              <w:t>Fifth Respondent</w:t>
            </w:r>
            <w:r w:rsidR="00A55ACB">
              <w:t xml:space="preserve"> </w:t>
            </w:r>
          </w:p>
        </w:tc>
      </w:tr>
      <w:tr w:rsidR="00A55ACB" w14:paraId="7B00B8FF" w14:textId="77777777">
        <w:tc>
          <w:tcPr>
            <w:tcW w:w="6204" w:type="dxa"/>
          </w:tcPr>
          <w:p w14:paraId="73B26A9B" w14:textId="666C890D" w:rsidR="00A55ACB" w:rsidRDefault="00A55ACB" w:rsidP="008B78A1">
            <w:pPr>
              <w:pStyle w:val="Title"/>
              <w:spacing w:after="120"/>
              <w:rPr>
                <w:b/>
              </w:rPr>
            </w:pPr>
            <w:r>
              <w:rPr>
                <w:b/>
              </w:rPr>
              <w:t>THE METAL INDUSTRIES BENEFIT FUNDS ADMINISTRATORS (MIBFA)</w:t>
            </w:r>
          </w:p>
        </w:tc>
        <w:tc>
          <w:tcPr>
            <w:tcW w:w="2606" w:type="dxa"/>
          </w:tcPr>
          <w:p w14:paraId="1EB0AD9A" w14:textId="1232F93F" w:rsidR="00A55ACB" w:rsidRDefault="00625E58" w:rsidP="007E1556">
            <w:pPr>
              <w:pStyle w:val="Title"/>
              <w:spacing w:line="360" w:lineRule="auto"/>
              <w:jc w:val="right"/>
            </w:pPr>
            <w:r>
              <w:t>Sixth Respondent</w:t>
            </w:r>
            <w:r w:rsidR="00A55ACB">
              <w:t xml:space="preserve"> </w:t>
            </w:r>
          </w:p>
        </w:tc>
      </w:tr>
      <w:tr w:rsidR="00A55ACB" w14:paraId="3A074C9C" w14:textId="77777777">
        <w:tc>
          <w:tcPr>
            <w:tcW w:w="6204" w:type="dxa"/>
          </w:tcPr>
          <w:p w14:paraId="4255BFF5" w14:textId="084E9D3C" w:rsidR="00A55ACB" w:rsidRDefault="00A55ACB" w:rsidP="008B78A1">
            <w:pPr>
              <w:pStyle w:val="Title"/>
              <w:spacing w:after="120"/>
              <w:rPr>
                <w:b/>
              </w:rPr>
            </w:pPr>
            <w:r>
              <w:rPr>
                <w:b/>
              </w:rPr>
              <w:t>THE MASTER OF THE HIGH COURT</w:t>
            </w:r>
          </w:p>
        </w:tc>
        <w:tc>
          <w:tcPr>
            <w:tcW w:w="2606" w:type="dxa"/>
          </w:tcPr>
          <w:p w14:paraId="6EB1E767" w14:textId="7DC474AC" w:rsidR="00A55ACB" w:rsidRDefault="00625E58" w:rsidP="007E1556">
            <w:pPr>
              <w:pStyle w:val="Title"/>
              <w:spacing w:line="360" w:lineRule="auto"/>
              <w:jc w:val="right"/>
            </w:pPr>
            <w:r>
              <w:t>Seventh Respondent</w:t>
            </w:r>
            <w:r w:rsidR="00A55ACB">
              <w:t xml:space="preserve"> </w:t>
            </w:r>
          </w:p>
        </w:tc>
      </w:tr>
    </w:tbl>
    <w:p w14:paraId="1A18D91A" w14:textId="77777777" w:rsidR="00B958BA" w:rsidRDefault="00B958BA">
      <w:pPr>
        <w:pStyle w:val="Title"/>
      </w:pPr>
    </w:p>
    <w:p w14:paraId="464D806E" w14:textId="77777777" w:rsidR="008F6C0F" w:rsidRDefault="008F6C0F">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14:paraId="6574CC82" w14:textId="77777777">
        <w:tc>
          <w:tcPr>
            <w:tcW w:w="8811" w:type="dxa"/>
            <w:tcBorders>
              <w:top w:val="single" w:sz="4" w:space="0" w:color="auto"/>
              <w:left w:val="nil"/>
              <w:bottom w:val="single" w:sz="4" w:space="0" w:color="auto"/>
              <w:right w:val="nil"/>
            </w:tcBorders>
          </w:tcPr>
          <w:p w14:paraId="2644C877" w14:textId="77777777" w:rsidR="00B958BA" w:rsidRDefault="00B958BA">
            <w:pPr>
              <w:pStyle w:val="SingleLineSpacing"/>
            </w:pPr>
          </w:p>
          <w:p w14:paraId="37CB422A" w14:textId="7A66661D" w:rsidR="00B958BA" w:rsidRPr="008F6C0F" w:rsidRDefault="00374B32">
            <w:pPr>
              <w:pStyle w:val="SingleLineSpacing"/>
              <w:spacing w:before="120" w:after="120"/>
              <w:jc w:val="center"/>
              <w:rPr>
                <w:b/>
              </w:rPr>
            </w:pPr>
            <w:r>
              <w:rPr>
                <w:b/>
              </w:rPr>
              <w:t>JUDGMENT</w:t>
            </w:r>
            <w:r w:rsidR="00B958BA" w:rsidRPr="008F6C0F">
              <w:rPr>
                <w:b/>
              </w:rPr>
              <w:fldChar w:fldCharType="begin"/>
            </w:r>
            <w:r w:rsidR="00B958BA" w:rsidRPr="008F6C0F">
              <w:rPr>
                <w:b/>
              </w:rPr>
              <w:instrText xml:space="preserve">  </w:instrText>
            </w:r>
            <w:r w:rsidR="00B958BA" w:rsidRPr="008F6C0F">
              <w:rPr>
                <w:b/>
              </w:rPr>
              <w:fldChar w:fldCharType="end"/>
            </w:r>
          </w:p>
          <w:p w14:paraId="0BB6234C" w14:textId="77777777" w:rsidR="00B958BA" w:rsidRDefault="00B958BA">
            <w:pPr>
              <w:pStyle w:val="SingleLineSpacing"/>
            </w:pPr>
          </w:p>
        </w:tc>
      </w:tr>
    </w:tbl>
    <w:p w14:paraId="4CD69661" w14:textId="77777777" w:rsidR="00B958BA" w:rsidRDefault="00B958BA">
      <w:pPr>
        <w:pStyle w:val="Footer"/>
        <w:tabs>
          <w:tab w:val="clear" w:pos="4153"/>
          <w:tab w:val="clear" w:pos="8306"/>
        </w:tabs>
        <w:spacing w:after="120"/>
      </w:pPr>
    </w:p>
    <w:p w14:paraId="5F53EA71" w14:textId="2933C605" w:rsidR="006F7C73" w:rsidRPr="005E64B1" w:rsidRDefault="00374B32" w:rsidP="0031638A">
      <w:pPr>
        <w:pStyle w:val="Heading1"/>
        <w:numPr>
          <w:ilvl w:val="0"/>
          <w:numId w:val="0"/>
        </w:numPr>
        <w:ind w:left="862" w:hanging="862"/>
        <w:rPr>
          <w:b/>
          <w:bCs/>
        </w:rPr>
      </w:pPr>
      <w:r w:rsidRPr="005E64B1">
        <w:rPr>
          <w:b/>
          <w:bCs/>
        </w:rPr>
        <w:t>TERNENT AJ</w:t>
      </w:r>
    </w:p>
    <w:p w14:paraId="0F0A02A1" w14:textId="68A999E3" w:rsidR="00A55ACB" w:rsidRPr="005026D5" w:rsidRDefault="00A55ACB" w:rsidP="00A55ACB">
      <w:pPr>
        <w:pStyle w:val="Heading1"/>
        <w:rPr>
          <w:b/>
          <w:bCs/>
        </w:rPr>
      </w:pPr>
      <w:r>
        <w:t xml:space="preserve">The plaintiffs have sought leave to amend their declaration in accordance with </w:t>
      </w:r>
      <w:r w:rsidR="0011240F">
        <w:t>the</w:t>
      </w:r>
      <w:r>
        <w:t xml:space="preserve"> notice of amendment</w:t>
      </w:r>
      <w:r w:rsidR="00672B91">
        <w:t xml:space="preserve"> dated </w:t>
      </w:r>
      <w:r w:rsidR="003E1995">
        <w:t>1 March 2019</w:t>
      </w:r>
      <w:r w:rsidR="0011240F">
        <w:t xml:space="preserve"> (as per the court stamp)</w:t>
      </w:r>
      <w:r>
        <w:t xml:space="preserve">.  </w:t>
      </w:r>
      <w:r w:rsidR="00672B91">
        <w:t>They do so</w:t>
      </w:r>
      <w:r>
        <w:t xml:space="preserve"> because the first defendant opposes the amendment by way of a notice of objection dated 14 February 2019.</w:t>
      </w:r>
      <w:r w:rsidR="005026D5">
        <w:t xml:space="preserve">  I was advised by Mr Gibson</w:t>
      </w:r>
      <w:r w:rsidR="00672B91">
        <w:t>, defendant’s counsel, at the outset of the hearing</w:t>
      </w:r>
      <w:r w:rsidR="005026D5">
        <w:t xml:space="preserve"> that the grounds of objection set out in this notice had been </w:t>
      </w:r>
      <w:r w:rsidR="00E63F00">
        <w:t xml:space="preserve">expanded </w:t>
      </w:r>
      <w:r w:rsidR="005026D5">
        <w:t>in a further notice of objection which had been delivered to the plaintiffs on 7 April 2021.  The plaintiffs’ attorney, Mr Lebethe</w:t>
      </w:r>
      <w:r w:rsidR="00672B91">
        <w:t>, who represented his clients in this application,</w:t>
      </w:r>
      <w:r w:rsidR="005026D5">
        <w:t xml:space="preserve"> confirmed that the plaintiffs had no objection to the further notice of amendment albeit delivered out of time</w:t>
      </w:r>
      <w:r w:rsidR="00672B91">
        <w:t>. As such</w:t>
      </w:r>
      <w:r w:rsidR="00E63F00">
        <w:t>,</w:t>
      </w:r>
      <w:r w:rsidR="005026D5">
        <w:t xml:space="preserve"> I was to consider all the grounds of objection </w:t>
      </w:r>
      <w:r w:rsidR="005026D5">
        <w:lastRenderedPageBreak/>
        <w:t>encapsulated in both notices in considering whether or not the plaintiffs’ application for leave to amend its declaration was sound.</w:t>
      </w:r>
    </w:p>
    <w:p w14:paraId="0FDD9E69" w14:textId="77777777" w:rsidR="00E63F00" w:rsidRPr="00E63F00" w:rsidRDefault="005026D5" w:rsidP="00A55ACB">
      <w:pPr>
        <w:pStyle w:val="Heading1"/>
        <w:rPr>
          <w:b/>
          <w:bCs/>
        </w:rPr>
      </w:pPr>
      <w:r>
        <w:t xml:space="preserve">The plaintiffs’ declaration </w:t>
      </w:r>
      <w:r w:rsidR="00672B91">
        <w:t xml:space="preserve">is </w:t>
      </w:r>
      <w:r>
        <w:t>founded in contract and seeks payment of certain pension fund contributions deducted from the plaintiffs’ monthly salaries in the course of their employment</w:t>
      </w:r>
      <w:r w:rsidR="00672B91">
        <w:t>. They were previously employed by the first defendant’s</w:t>
      </w:r>
      <w:r>
        <w:t xml:space="preserve"> close corporation</w:t>
      </w:r>
      <w:r w:rsidR="00E63F00">
        <w:t>,</w:t>
      </w:r>
      <w:r>
        <w:t xml:space="preserve"> Vaal Transformers CC (now in liquidation)</w:t>
      </w:r>
      <w:r w:rsidR="00672B91">
        <w:t>.</w:t>
      </w:r>
    </w:p>
    <w:p w14:paraId="5F04317D" w14:textId="3DD36D5C" w:rsidR="005026D5" w:rsidRPr="0053156E" w:rsidRDefault="005026D5" w:rsidP="00A55ACB">
      <w:pPr>
        <w:pStyle w:val="Heading1"/>
        <w:rPr>
          <w:b/>
          <w:bCs/>
        </w:rPr>
      </w:pPr>
      <w:r>
        <w:t xml:space="preserve">The declaration sets out the periods of employment of the first to seventh plaintiffs </w:t>
      </w:r>
      <w:r w:rsidR="00E63F00">
        <w:t xml:space="preserve">which </w:t>
      </w:r>
      <w:r>
        <w:t>variously extend over periods of 5½ to 12 years.  The declaration goes on to aver that Vaal Transformers</w:t>
      </w:r>
      <w:r w:rsidR="00E63F00">
        <w:t xml:space="preserve"> CC</w:t>
      </w:r>
      <w:r>
        <w:t xml:space="preserve"> failed or neglected to remit the plaintiffs’ pension fund contributions to the requisite pension fund</w:t>
      </w:r>
      <w:r w:rsidR="00E63F00">
        <w:t>.</w:t>
      </w:r>
      <w:r>
        <w:t xml:space="preserve"> </w:t>
      </w:r>
      <w:r w:rsidR="00E63F00">
        <w:t>L</w:t>
      </w:r>
      <w:r w:rsidR="0053156E">
        <w:t xml:space="preserve">iability is now </w:t>
      </w:r>
      <w:r w:rsidR="00672B91">
        <w:t xml:space="preserve">being </w:t>
      </w:r>
      <w:r w:rsidR="0053156E">
        <w:t>visited on the first defendant</w:t>
      </w:r>
      <w:r w:rsidR="00E63F00">
        <w:t>,</w:t>
      </w:r>
      <w:r w:rsidR="0053156E">
        <w:t xml:space="preserve"> as the sole member of Vaal Transformers CC</w:t>
      </w:r>
      <w:r w:rsidR="00E63F00">
        <w:t>,</w:t>
      </w:r>
      <w:r w:rsidR="0053156E">
        <w:t xml:space="preserve"> as a consequence thereof.  The claim sounds in a</w:t>
      </w:r>
      <w:r w:rsidR="003E1995">
        <w:t xml:space="preserve">n </w:t>
      </w:r>
      <w:r w:rsidR="0053156E">
        <w:t xml:space="preserve">amount </w:t>
      </w:r>
      <w:r w:rsidR="0053156E">
        <w:rPr>
          <w:i/>
          <w:iCs/>
        </w:rPr>
        <w:t>“in excess of R1 000 000,00 (one million rand</w:t>
      </w:r>
      <w:r w:rsidR="000911A6">
        <w:rPr>
          <w:i/>
          <w:iCs/>
        </w:rPr>
        <w:t xml:space="preserve">)” </w:t>
      </w:r>
      <w:r w:rsidR="0053156E">
        <w:t>for all of the plaintiffs, which amount</w:t>
      </w:r>
      <w:r w:rsidR="00672B91">
        <w:t>,</w:t>
      </w:r>
      <w:r w:rsidR="0053156E">
        <w:t xml:space="preserve"> </w:t>
      </w:r>
      <w:r w:rsidR="00672B91">
        <w:t>a</w:t>
      </w:r>
      <w:r w:rsidR="0053156E">
        <w:t>s averred in the declaration</w:t>
      </w:r>
      <w:r w:rsidR="00672B91">
        <w:t>,</w:t>
      </w:r>
      <w:r w:rsidR="0053156E">
        <w:t xml:space="preserve"> will ultimately be determined via actuarial calculations.</w:t>
      </w:r>
    </w:p>
    <w:p w14:paraId="74B0C133" w14:textId="13A81780" w:rsidR="0053156E" w:rsidRPr="0053156E" w:rsidRDefault="0053156E" w:rsidP="00A55ACB">
      <w:pPr>
        <w:pStyle w:val="Heading1"/>
        <w:rPr>
          <w:b/>
          <w:bCs/>
        </w:rPr>
      </w:pPr>
      <w:r>
        <w:t xml:space="preserve">The first notice of objection is squarely based on Rule 18(10) of the Uniform Rules of Court </w:t>
      </w:r>
      <w:r w:rsidR="00672B91">
        <w:t>and</w:t>
      </w:r>
      <w:r>
        <w:t xml:space="preserve"> provide</w:t>
      </w:r>
      <w:r w:rsidR="00672B91">
        <w:t>s that</w:t>
      </w:r>
      <w:r>
        <w:t>:</w:t>
      </w:r>
    </w:p>
    <w:p w14:paraId="7BC2B07F" w14:textId="231430B6" w:rsidR="0053156E" w:rsidRDefault="0053156E" w:rsidP="0053156E">
      <w:pPr>
        <w:spacing w:line="360" w:lineRule="auto"/>
        <w:ind w:left="3022" w:hanging="3022"/>
        <w:rPr>
          <w:i/>
          <w:iCs/>
        </w:rPr>
      </w:pPr>
      <w:r>
        <w:lastRenderedPageBreak/>
        <w:tab/>
      </w:r>
      <w:r>
        <w:tab/>
      </w:r>
      <w:r>
        <w:rPr>
          <w:i/>
          <w:iCs/>
        </w:rPr>
        <w:t>“10.</w:t>
      </w:r>
      <w:r>
        <w:rPr>
          <w:i/>
          <w:iCs/>
        </w:rPr>
        <w:tab/>
        <w:t>A plaintiff suing for damages shall set them out in such manner as will enable the defendant reasonably to assess the quantum thereof. …”</w:t>
      </w:r>
      <w:r w:rsidR="00672B91">
        <w:rPr>
          <w:rStyle w:val="FootnoteReference"/>
        </w:rPr>
        <w:footnoteReference w:id="1"/>
      </w:r>
    </w:p>
    <w:p w14:paraId="56F3E6FE" w14:textId="501D17BF" w:rsidR="0053156E" w:rsidRPr="008D0D40" w:rsidRDefault="00672B91" w:rsidP="0053156E">
      <w:pPr>
        <w:pStyle w:val="Heading1"/>
      </w:pPr>
      <w:r>
        <w:t xml:space="preserve">The declaration sets out </w:t>
      </w:r>
      <w:r w:rsidR="0053156E">
        <w:t>that the</w:t>
      </w:r>
      <w:r>
        <w:t xml:space="preserve"> </w:t>
      </w:r>
      <w:r w:rsidR="0053156E">
        <w:t xml:space="preserve">seven plaintiffs </w:t>
      </w:r>
      <w:r w:rsidR="005B39A3">
        <w:t>as a group are claiming an estimated amount of R1 million as damages</w:t>
      </w:r>
      <w:r w:rsidR="0053156E">
        <w:t>.</w:t>
      </w:r>
      <w:r w:rsidR="00E63F00">
        <w:t xml:space="preserve"> The</w:t>
      </w:r>
      <w:r w:rsidR="005B39A3">
        <w:t xml:space="preserve"> formulation of the quantum is unhelpful. </w:t>
      </w:r>
      <w:r w:rsidR="0053156E">
        <w:t xml:space="preserve">Mr Lebethe, </w:t>
      </w:r>
      <w:r w:rsidR="005B39A3">
        <w:t xml:space="preserve">in an attempt to explain the calculation </w:t>
      </w:r>
      <w:r w:rsidR="008D0D40">
        <w:t xml:space="preserve">directed me to </w:t>
      </w:r>
      <w:r w:rsidR="008D0D40" w:rsidRPr="00BF0ACB">
        <w:t xml:space="preserve">Annexure </w:t>
      </w:r>
      <w:r w:rsidR="008D0D40" w:rsidRPr="00BF0ACB">
        <w:rPr>
          <w:b/>
        </w:rPr>
        <w:t>“</w:t>
      </w:r>
      <w:r w:rsidR="008D0D40">
        <w:rPr>
          <w:b/>
        </w:rPr>
        <w:t xml:space="preserve">A” </w:t>
      </w:r>
      <w:r w:rsidR="008D0D40">
        <w:rPr>
          <w:bCs/>
        </w:rPr>
        <w:t>of the declaration</w:t>
      </w:r>
      <w:r w:rsidR="005B39A3">
        <w:rPr>
          <w:bCs/>
        </w:rPr>
        <w:t>. This document</w:t>
      </w:r>
      <w:r w:rsidR="008D0D40">
        <w:rPr>
          <w:bCs/>
        </w:rPr>
        <w:t xml:space="preserve"> is a declaration by Vaal Transformers CC</w:t>
      </w:r>
      <w:r w:rsidR="005B39A3">
        <w:rPr>
          <w:bCs/>
        </w:rPr>
        <w:t>,</w:t>
      </w:r>
      <w:r w:rsidR="008D0D40">
        <w:rPr>
          <w:bCs/>
        </w:rPr>
        <w:t xml:space="preserve"> and signed by the first defendant</w:t>
      </w:r>
      <w:r w:rsidR="005B39A3">
        <w:rPr>
          <w:bCs/>
        </w:rPr>
        <w:t>,</w:t>
      </w:r>
      <w:r w:rsidR="008D0D40">
        <w:rPr>
          <w:bCs/>
        </w:rPr>
        <w:t xml:space="preserve"> </w:t>
      </w:r>
      <w:r w:rsidR="005B39A3">
        <w:rPr>
          <w:bCs/>
        </w:rPr>
        <w:t xml:space="preserve">listing </w:t>
      </w:r>
      <w:r w:rsidR="008D0D40">
        <w:rPr>
          <w:bCs/>
        </w:rPr>
        <w:t xml:space="preserve">the employees in </w:t>
      </w:r>
      <w:r w:rsidR="005B39A3">
        <w:rPr>
          <w:bCs/>
        </w:rPr>
        <w:t xml:space="preserve">its </w:t>
      </w:r>
      <w:r w:rsidR="008D0D40">
        <w:rPr>
          <w:bCs/>
        </w:rPr>
        <w:t>employ</w:t>
      </w:r>
      <w:r w:rsidR="005B39A3">
        <w:rPr>
          <w:bCs/>
        </w:rPr>
        <w:t>, as required</w:t>
      </w:r>
      <w:r w:rsidR="008D0D40">
        <w:rPr>
          <w:bCs/>
        </w:rPr>
        <w:t xml:space="preserve"> under the Unemployment Insurance Act 63 of 2001</w:t>
      </w:r>
      <w:r w:rsidR="005B39A3">
        <w:rPr>
          <w:bCs/>
        </w:rPr>
        <w:t>. It</w:t>
      </w:r>
      <w:r w:rsidR="008D0D40">
        <w:rPr>
          <w:bCs/>
        </w:rPr>
        <w:t xml:space="preserve"> details </w:t>
      </w:r>
      <w:r w:rsidR="003E1995" w:rsidRPr="008D0D40">
        <w:rPr>
          <w:bCs/>
          <w:i/>
        </w:rPr>
        <w:t>inter alia</w:t>
      </w:r>
      <w:r w:rsidR="003E1995">
        <w:rPr>
          <w:bCs/>
        </w:rPr>
        <w:t xml:space="preserve"> </w:t>
      </w:r>
      <w:r w:rsidR="008D0D40">
        <w:rPr>
          <w:bCs/>
        </w:rPr>
        <w:t xml:space="preserve">the seven plaintiffs’ names, identity numbers, gross monthly salaries, hours worked during the month, </w:t>
      </w:r>
      <w:r w:rsidR="005B39A3">
        <w:rPr>
          <w:bCs/>
        </w:rPr>
        <w:t xml:space="preserve">and </w:t>
      </w:r>
      <w:r w:rsidR="008D0D40">
        <w:rPr>
          <w:bCs/>
        </w:rPr>
        <w:t>employment duration.</w:t>
      </w:r>
      <w:r w:rsidR="00E63F00">
        <w:rPr>
          <w:bCs/>
        </w:rPr>
        <w:t xml:space="preserve"> </w:t>
      </w:r>
      <w:r w:rsidR="008D0D40">
        <w:rPr>
          <w:bCs/>
        </w:rPr>
        <w:t xml:space="preserve">The contention </w:t>
      </w:r>
      <w:r w:rsidR="00E63F00">
        <w:rPr>
          <w:bCs/>
        </w:rPr>
        <w:t>i</w:t>
      </w:r>
      <w:r w:rsidR="008D0D40">
        <w:rPr>
          <w:bCs/>
        </w:rPr>
        <w:t xml:space="preserve">s that this document sufficed in </w:t>
      </w:r>
      <w:r w:rsidR="005B39A3">
        <w:rPr>
          <w:bCs/>
        </w:rPr>
        <w:t xml:space="preserve">explaining </w:t>
      </w:r>
      <w:r w:rsidR="008D0D40">
        <w:rPr>
          <w:bCs/>
        </w:rPr>
        <w:t xml:space="preserve">the damages </w:t>
      </w:r>
      <w:r w:rsidR="005B39A3">
        <w:rPr>
          <w:bCs/>
        </w:rPr>
        <w:t>claimed</w:t>
      </w:r>
      <w:r w:rsidR="008D0D40">
        <w:rPr>
          <w:bCs/>
        </w:rPr>
        <w:t xml:space="preserve">.  </w:t>
      </w:r>
      <w:r w:rsidR="005B39A3">
        <w:rPr>
          <w:bCs/>
        </w:rPr>
        <w:t xml:space="preserve">Unfortunately, </w:t>
      </w:r>
      <w:r w:rsidR="008D0D40">
        <w:rPr>
          <w:bCs/>
        </w:rPr>
        <w:t xml:space="preserve">this document does no such thing.  It </w:t>
      </w:r>
      <w:r w:rsidR="005B39A3">
        <w:rPr>
          <w:bCs/>
        </w:rPr>
        <w:t xml:space="preserve"> makes no reference to</w:t>
      </w:r>
      <w:r w:rsidR="003E1995">
        <w:rPr>
          <w:bCs/>
        </w:rPr>
        <w:t>,</w:t>
      </w:r>
      <w:r w:rsidR="005B39A3">
        <w:rPr>
          <w:bCs/>
        </w:rPr>
        <w:t xml:space="preserve">  and </w:t>
      </w:r>
      <w:r w:rsidR="008D0D40">
        <w:rPr>
          <w:bCs/>
        </w:rPr>
        <w:t>does not disclose</w:t>
      </w:r>
      <w:r w:rsidR="003E1995">
        <w:rPr>
          <w:bCs/>
        </w:rPr>
        <w:t>,</w:t>
      </w:r>
      <w:r w:rsidR="008D0D40">
        <w:rPr>
          <w:bCs/>
        </w:rPr>
        <w:t xml:space="preserve"> what pension deductions were made from each of the plaintiffs’ salaries</w:t>
      </w:r>
      <w:r w:rsidR="00E63F00">
        <w:rPr>
          <w:bCs/>
        </w:rPr>
        <w:t>,</w:t>
      </w:r>
      <w:r w:rsidR="008D0D40">
        <w:rPr>
          <w:bCs/>
        </w:rPr>
        <w:t xml:space="preserve"> each month over the period</w:t>
      </w:r>
      <w:r w:rsidR="005B39A3">
        <w:rPr>
          <w:bCs/>
        </w:rPr>
        <w:t>s</w:t>
      </w:r>
      <w:r w:rsidR="008D0D40">
        <w:rPr>
          <w:bCs/>
        </w:rPr>
        <w:t xml:space="preserve"> of their employment</w:t>
      </w:r>
      <w:r w:rsidR="005B39A3">
        <w:rPr>
          <w:bCs/>
        </w:rPr>
        <w:t>, and it is impossible to determine ho</w:t>
      </w:r>
      <w:r w:rsidR="003E1995">
        <w:rPr>
          <w:bCs/>
        </w:rPr>
        <w:t>w</w:t>
      </w:r>
      <w:r w:rsidR="005B39A3">
        <w:rPr>
          <w:bCs/>
        </w:rPr>
        <w:t xml:space="preserve"> the R1 million claim is arrived at.</w:t>
      </w:r>
      <w:r w:rsidR="008D0D40">
        <w:rPr>
          <w:bCs/>
        </w:rPr>
        <w:t xml:space="preserve"> </w:t>
      </w:r>
      <w:r w:rsidR="005B39A3">
        <w:rPr>
          <w:bCs/>
        </w:rPr>
        <w:t>T</w:t>
      </w:r>
      <w:r w:rsidR="008D0D40">
        <w:rPr>
          <w:bCs/>
        </w:rPr>
        <w:t xml:space="preserve">his </w:t>
      </w:r>
      <w:r w:rsidR="005B39A3">
        <w:rPr>
          <w:bCs/>
        </w:rPr>
        <w:t xml:space="preserve">information </w:t>
      </w:r>
      <w:r w:rsidR="008D0D40">
        <w:rPr>
          <w:bCs/>
        </w:rPr>
        <w:t>needs to be</w:t>
      </w:r>
      <w:r w:rsidR="005B39A3">
        <w:rPr>
          <w:bCs/>
        </w:rPr>
        <w:t xml:space="preserve"> drawn from the plaintiffs’ salary slips</w:t>
      </w:r>
      <w:r w:rsidR="008D0D40">
        <w:rPr>
          <w:bCs/>
        </w:rPr>
        <w:t xml:space="preserve"> </w:t>
      </w:r>
      <w:r w:rsidR="005B39A3">
        <w:rPr>
          <w:bCs/>
        </w:rPr>
        <w:t xml:space="preserve">so that each plaintiff can accurately reflect what pension contributions were deducted during his employ. Once this </w:t>
      </w:r>
      <w:r w:rsidR="005B39A3">
        <w:rPr>
          <w:bCs/>
        </w:rPr>
        <w:lastRenderedPageBreak/>
        <w:t>exercise has been carried out</w:t>
      </w:r>
      <w:r w:rsidR="00E63F00">
        <w:rPr>
          <w:bCs/>
        </w:rPr>
        <w:t>,</w:t>
      </w:r>
      <w:r w:rsidR="005B39A3">
        <w:rPr>
          <w:bCs/>
        </w:rPr>
        <w:t xml:space="preserve"> </w:t>
      </w:r>
      <w:r w:rsidR="008D0D40">
        <w:rPr>
          <w:bCs/>
        </w:rPr>
        <w:t xml:space="preserve">this </w:t>
      </w:r>
      <w:r w:rsidR="005B39A3">
        <w:rPr>
          <w:bCs/>
        </w:rPr>
        <w:t xml:space="preserve">individual </w:t>
      </w:r>
      <w:r w:rsidR="008D0D40">
        <w:rPr>
          <w:bCs/>
        </w:rPr>
        <w:t>information</w:t>
      </w:r>
      <w:r w:rsidR="005B39A3">
        <w:rPr>
          <w:bCs/>
        </w:rPr>
        <w:t xml:space="preserve"> should be </w:t>
      </w:r>
      <w:r w:rsidR="008D0D40">
        <w:rPr>
          <w:bCs/>
        </w:rPr>
        <w:t xml:space="preserve"> incorporated into the particulars of claim in order to give the detail that is reasonably required for </w:t>
      </w:r>
      <w:r w:rsidR="005B39A3">
        <w:rPr>
          <w:bCs/>
        </w:rPr>
        <w:t>the first</w:t>
      </w:r>
      <w:r w:rsidR="008D0D40">
        <w:rPr>
          <w:bCs/>
        </w:rPr>
        <w:t xml:space="preserve"> defendant to assess whether the individual claims of the plaintiffs are reasonable and accurate. </w:t>
      </w:r>
    </w:p>
    <w:p w14:paraId="2E1DA201" w14:textId="47AB4B74" w:rsidR="007701B7" w:rsidRPr="007701B7" w:rsidRDefault="008D0D40" w:rsidP="0053156E">
      <w:pPr>
        <w:pStyle w:val="Heading1"/>
      </w:pPr>
      <w:r>
        <w:rPr>
          <w:bCs/>
        </w:rPr>
        <w:t>To the extent that Mr Lebethe submitted to me that he is unable at this stage to properly quantify the claims and that</w:t>
      </w:r>
      <w:r w:rsidR="005B39A3">
        <w:rPr>
          <w:bCs/>
        </w:rPr>
        <w:t>,</w:t>
      </w:r>
      <w:r>
        <w:rPr>
          <w:bCs/>
        </w:rPr>
        <w:t xml:space="preserve"> as in personal injury matters for loss of future earnings</w:t>
      </w:r>
      <w:r w:rsidR="005B39A3">
        <w:rPr>
          <w:bCs/>
        </w:rPr>
        <w:t>,</w:t>
      </w:r>
      <w:r>
        <w:rPr>
          <w:bCs/>
        </w:rPr>
        <w:t xml:space="preserve"> an actuarial calculation will need to be furnished, it is apparent to me that Mr Lebethe </w:t>
      </w:r>
      <w:r w:rsidR="005B39A3">
        <w:rPr>
          <w:bCs/>
        </w:rPr>
        <w:t xml:space="preserve">is </w:t>
      </w:r>
      <w:r>
        <w:rPr>
          <w:bCs/>
        </w:rPr>
        <w:t xml:space="preserve">confusing claims for damages in personal injury matters with this claim which is </w:t>
      </w:r>
      <w:r w:rsidR="005B39A3">
        <w:rPr>
          <w:bCs/>
        </w:rPr>
        <w:t xml:space="preserve">not for loss of income and is </w:t>
      </w:r>
      <w:r>
        <w:rPr>
          <w:bCs/>
        </w:rPr>
        <w:t>grounded in contract, liquid and easily ascertainable</w:t>
      </w:r>
      <w:r w:rsidR="00EB2A4A">
        <w:rPr>
          <w:bCs/>
        </w:rPr>
        <w:t xml:space="preserve">, </w:t>
      </w:r>
      <w:r>
        <w:rPr>
          <w:bCs/>
        </w:rPr>
        <w:t xml:space="preserve">as also submitted to me by Mr Gibson.  </w:t>
      </w:r>
      <w:r w:rsidR="00097B14">
        <w:rPr>
          <w:bCs/>
        </w:rPr>
        <w:t>As correctly set out in the second notice of objection dated 7 April 2021</w:t>
      </w:r>
      <w:r w:rsidR="00EB2A4A">
        <w:rPr>
          <w:bCs/>
        </w:rPr>
        <w:t>, without this detail and explanation the quantum</w:t>
      </w:r>
      <w:r w:rsidR="0011240F">
        <w:rPr>
          <w:bCs/>
        </w:rPr>
        <w:t>,</w:t>
      </w:r>
      <w:r w:rsidR="00EB2A4A">
        <w:rPr>
          <w:bCs/>
        </w:rPr>
        <w:t xml:space="preserve"> in an estimated R1 million rand</w:t>
      </w:r>
      <w:r w:rsidR="0011240F">
        <w:rPr>
          <w:bCs/>
        </w:rPr>
        <w:t>,</w:t>
      </w:r>
      <w:r w:rsidR="00EB2A4A">
        <w:rPr>
          <w:bCs/>
        </w:rPr>
        <w:t xml:space="preserve"> cannot be understood.</w:t>
      </w:r>
    </w:p>
    <w:p w14:paraId="71D5A906" w14:textId="23974B49" w:rsidR="008D0D40" w:rsidRPr="00097B14" w:rsidRDefault="007701B7" w:rsidP="007701B7">
      <w:pPr>
        <w:pStyle w:val="Heading1"/>
      </w:pPr>
      <w:r>
        <w:t>As set out in Mr Gibson’s heads of argument, Cloete J</w:t>
      </w:r>
      <w:r>
        <w:rPr>
          <w:rStyle w:val="FootnoteReference"/>
        </w:rPr>
        <w:footnoteReference w:id="2"/>
      </w:r>
      <w:r>
        <w:t xml:space="preserve"> stated that in a claim for damages, a bald allegation as to the amount of the damages does not comply with Rule 18(10). </w:t>
      </w:r>
      <w:r w:rsidR="00EB2A4A" w:rsidRPr="007701B7">
        <w:rPr>
          <w:bCs/>
        </w:rPr>
        <w:t>If</w:t>
      </w:r>
      <w:r w:rsidR="00097B14" w:rsidRPr="007701B7">
        <w:rPr>
          <w:bCs/>
        </w:rPr>
        <w:t xml:space="preserve"> the proposed amendment</w:t>
      </w:r>
      <w:r w:rsidR="00EB2A4A" w:rsidRPr="007701B7">
        <w:rPr>
          <w:bCs/>
        </w:rPr>
        <w:t xml:space="preserve"> was allowed</w:t>
      </w:r>
      <w:r w:rsidR="00097B14" w:rsidRPr="007701B7">
        <w:rPr>
          <w:bCs/>
        </w:rPr>
        <w:t xml:space="preserve">, it would </w:t>
      </w:r>
      <w:r w:rsidR="00EB2A4A" w:rsidRPr="007701B7">
        <w:rPr>
          <w:bCs/>
        </w:rPr>
        <w:t xml:space="preserve">be </w:t>
      </w:r>
      <w:r>
        <w:rPr>
          <w:bCs/>
        </w:rPr>
        <w:t>non</w:t>
      </w:r>
      <w:r w:rsidR="003E1995">
        <w:rPr>
          <w:bCs/>
        </w:rPr>
        <w:t>-</w:t>
      </w:r>
      <w:r w:rsidR="00EB2A4A" w:rsidRPr="007701B7">
        <w:rPr>
          <w:bCs/>
        </w:rPr>
        <w:t xml:space="preserve">compliant with Rule 18(10) and would </w:t>
      </w:r>
      <w:r w:rsidR="00097B14" w:rsidRPr="007701B7">
        <w:rPr>
          <w:bCs/>
        </w:rPr>
        <w:t xml:space="preserve">render </w:t>
      </w:r>
      <w:r w:rsidR="00097B14" w:rsidRPr="007701B7">
        <w:rPr>
          <w:bCs/>
        </w:rPr>
        <w:lastRenderedPageBreak/>
        <w:t>the declaration excipiable.</w:t>
      </w:r>
    </w:p>
    <w:p w14:paraId="26B9E90F" w14:textId="117A7FDA" w:rsidR="007701B7" w:rsidRDefault="007701B7" w:rsidP="007701B7">
      <w:pPr>
        <w:pStyle w:val="Heading1"/>
      </w:pPr>
      <w:r>
        <w:t xml:space="preserve">Furthermore, this declaration </w:t>
      </w:r>
      <w:r w:rsidR="003E1995">
        <w:t xml:space="preserve">falls foul of the same objection raised against </w:t>
      </w:r>
      <w:r>
        <w:t xml:space="preserve">the particulars of claim in the matter </w:t>
      </w:r>
      <w:r w:rsidRPr="00247D6A">
        <w:rPr>
          <w:b/>
          <w:bCs/>
          <w:i/>
          <w:iCs/>
        </w:rPr>
        <w:t>Nasionale Aartappel Kooperasie Bpk v Price Waterhouse Coopers Inc</w:t>
      </w:r>
      <w:r>
        <w:rPr>
          <w:b/>
          <w:bCs/>
          <w:i/>
          <w:iCs/>
        </w:rPr>
        <w:t xml:space="preserve"> en Andere</w:t>
      </w:r>
      <w:r w:rsidR="003E1995">
        <w:t>.</w:t>
      </w:r>
      <w:r>
        <w:rPr>
          <w:rStyle w:val="FootnoteReference"/>
        </w:rPr>
        <w:footnoteReference w:id="3"/>
      </w:r>
      <w:r>
        <w:rPr>
          <w:b/>
          <w:bCs/>
          <w:i/>
          <w:iCs/>
        </w:rPr>
        <w:t xml:space="preserve"> </w:t>
      </w:r>
      <w:r w:rsidR="003E1995">
        <w:t>T</w:t>
      </w:r>
      <w:r>
        <w:t>he Court also upheld an objection</w:t>
      </w:r>
      <w:r w:rsidR="003E1995">
        <w:t xml:space="preserve">, as </w:t>
      </w:r>
      <w:r>
        <w:t>I intend to do here</w:t>
      </w:r>
      <w:r w:rsidR="0011240F">
        <w:t>,</w:t>
      </w:r>
      <w:r>
        <w:t xml:space="preserve"> on the basis that the particulars of claim there and the amendment here did not comply with Rule 18(10) as the plaintiff there and the plaintiffs here had simply pleaded conclusions of fact without setting out the particularity required as to how the amounts claimed had been calculated and arrived at.  </w:t>
      </w:r>
    </w:p>
    <w:p w14:paraId="5216D429" w14:textId="23F04DD8" w:rsidR="00097B14" w:rsidRPr="00097B14" w:rsidRDefault="00097B14" w:rsidP="0053156E">
      <w:pPr>
        <w:pStyle w:val="Heading1"/>
      </w:pPr>
      <w:r>
        <w:rPr>
          <w:bCs/>
        </w:rPr>
        <w:t>The second objection pertains to the amendment sought by the plaintiffs</w:t>
      </w:r>
      <w:r w:rsidR="0011240F">
        <w:rPr>
          <w:bCs/>
        </w:rPr>
        <w:t>,</w:t>
      </w:r>
      <w:r>
        <w:rPr>
          <w:bCs/>
        </w:rPr>
        <w:t xml:space="preserve"> in the alternative</w:t>
      </w:r>
      <w:r w:rsidR="0011240F">
        <w:rPr>
          <w:bCs/>
        </w:rPr>
        <w:t>,</w:t>
      </w:r>
      <w:r>
        <w:rPr>
          <w:bCs/>
        </w:rPr>
        <w:t xml:space="preserve"> and which is framed as follows:</w:t>
      </w:r>
    </w:p>
    <w:p w14:paraId="32B68407" w14:textId="1F6B0D31" w:rsidR="00097B14" w:rsidRDefault="00097B14" w:rsidP="00097B14">
      <w:pPr>
        <w:spacing w:line="360" w:lineRule="auto"/>
        <w:ind w:left="1871" w:hanging="1871"/>
        <w:rPr>
          <w:i/>
          <w:iCs/>
        </w:rPr>
      </w:pPr>
      <w:r>
        <w:tab/>
      </w:r>
      <w:r>
        <w:tab/>
      </w:r>
      <w:r>
        <w:rPr>
          <w:i/>
          <w:iCs/>
        </w:rPr>
        <w:t>“</w:t>
      </w:r>
      <w:r w:rsidRPr="00097B14">
        <w:rPr>
          <w:i/>
          <w:iCs/>
          <w:u w:val="single"/>
        </w:rPr>
        <w:t>Alternatively</w:t>
      </w:r>
      <w:r>
        <w:rPr>
          <w:i/>
          <w:iCs/>
        </w:rPr>
        <w:t>, both the 1</w:t>
      </w:r>
      <w:r w:rsidRPr="00097B14">
        <w:rPr>
          <w:i/>
          <w:iCs/>
          <w:vertAlign w:val="superscript"/>
        </w:rPr>
        <w:t>st</w:t>
      </w:r>
      <w:r>
        <w:rPr>
          <w:i/>
          <w:iCs/>
        </w:rPr>
        <w:t xml:space="preserve"> Defendant and the now liquidated Vaal Transformers CC colluded in misappropriating the Plaintiffs’ provident fund contribution to the tune of R1 000 000,00 and have so been enriched and unjustifiably at the expense of the Plaintiffs by not paying the Plaintiffs provident fund contributions to the 6</w:t>
      </w:r>
      <w:r w:rsidRPr="00097B14">
        <w:rPr>
          <w:i/>
          <w:iCs/>
          <w:vertAlign w:val="superscript"/>
        </w:rPr>
        <w:t>th</w:t>
      </w:r>
      <w:r>
        <w:rPr>
          <w:i/>
          <w:iCs/>
        </w:rPr>
        <w:t xml:space="preserve"> Defendant.”</w:t>
      </w:r>
    </w:p>
    <w:p w14:paraId="68E5E10C" w14:textId="19AF3D24" w:rsidR="00097B14" w:rsidRDefault="00097B14" w:rsidP="00097B14">
      <w:pPr>
        <w:pStyle w:val="Heading1"/>
      </w:pPr>
      <w:r>
        <w:t>Once again</w:t>
      </w:r>
      <w:r w:rsidR="00EB2A4A">
        <w:t>,</w:t>
      </w:r>
      <w:r>
        <w:t xml:space="preserve"> correctly so in my view</w:t>
      </w:r>
      <w:r w:rsidR="00EB2A4A">
        <w:t>,</w:t>
      </w:r>
      <w:r>
        <w:t xml:space="preserve"> the notice of objection set</w:t>
      </w:r>
      <w:r w:rsidR="00EB2A4A">
        <w:t>s</w:t>
      </w:r>
      <w:r>
        <w:t xml:space="preserve"> out </w:t>
      </w:r>
      <w:r>
        <w:lastRenderedPageBreak/>
        <w:t xml:space="preserve">that </w:t>
      </w:r>
      <w:r w:rsidR="00EB2A4A">
        <w:t xml:space="preserve"> these </w:t>
      </w:r>
      <w:r>
        <w:t>averments</w:t>
      </w:r>
      <w:r w:rsidR="00EB2A4A">
        <w:t xml:space="preserve"> alone do not sustain</w:t>
      </w:r>
      <w:r>
        <w:t xml:space="preserve"> an unjust enrichment claim </w:t>
      </w:r>
      <w:r w:rsidR="00EB2A4A">
        <w:t xml:space="preserve">which has not </w:t>
      </w:r>
      <w:r>
        <w:t>been pleaded</w:t>
      </w:r>
      <w:r w:rsidR="00EB2A4A">
        <w:t xml:space="preserve"> at all</w:t>
      </w:r>
      <w:r>
        <w:t>.  Furthermore, insofar as the declaration sought to rely on a claim based on enrichment, it was necessary for the plaintiffs to aver that the first defendant had received the pension fund deductions</w:t>
      </w:r>
      <w:r w:rsidR="0011240F">
        <w:t>,</w:t>
      </w:r>
      <w:r>
        <w:t xml:space="preserve"> deducted from the plaintiffs’ respective salaries</w:t>
      </w:r>
      <w:r w:rsidR="0011240F">
        <w:t>,</w:t>
      </w:r>
      <w:r>
        <w:t xml:space="preserve"> </w:t>
      </w:r>
      <w:r w:rsidR="00454ADB">
        <w:t>which allegation ha</w:t>
      </w:r>
      <w:r w:rsidR="0011240F">
        <w:t>s</w:t>
      </w:r>
      <w:r w:rsidR="00454ADB">
        <w:t xml:space="preserve"> not been made and</w:t>
      </w:r>
      <w:r w:rsidR="0011240F">
        <w:t>,</w:t>
      </w:r>
      <w:r w:rsidR="00454ADB">
        <w:t xml:space="preserve"> as a consequence</w:t>
      </w:r>
      <w:r w:rsidR="0011240F">
        <w:t>,</w:t>
      </w:r>
      <w:r w:rsidR="00454ADB">
        <w:t xml:space="preserve"> rendered the proposed amendment </w:t>
      </w:r>
      <w:r w:rsidR="00EB2A4A">
        <w:t xml:space="preserve">also </w:t>
      </w:r>
      <w:r w:rsidR="00454ADB">
        <w:t>vague and embarrassing.</w:t>
      </w:r>
    </w:p>
    <w:p w14:paraId="1D49EDEF" w14:textId="155C9D82" w:rsidR="00EB2A4A" w:rsidRDefault="00454ADB" w:rsidP="00097B14">
      <w:pPr>
        <w:pStyle w:val="Heading1"/>
      </w:pPr>
      <w:r>
        <w:t xml:space="preserve">On raising this objection with Mr Lebethe, he immediately conceded that the </w:t>
      </w:r>
      <w:r w:rsidR="00EB2A4A">
        <w:t xml:space="preserve">plaintiff’s </w:t>
      </w:r>
      <w:r>
        <w:t>cause of action was not fo</w:t>
      </w:r>
      <w:r w:rsidR="00EB2A4A">
        <w:t xml:space="preserve">rmulated on </w:t>
      </w:r>
      <w:r>
        <w:t>an enrichment claim</w:t>
      </w:r>
      <w:r w:rsidR="0011240F">
        <w:t xml:space="preserve"> and these allegations</w:t>
      </w:r>
      <w:r>
        <w:t xml:space="preserve"> were simply superfluous</w:t>
      </w:r>
      <w:r w:rsidR="00EB2A4A">
        <w:t>.</w:t>
      </w:r>
      <w:r>
        <w:t xml:space="preserve"> </w:t>
      </w:r>
      <w:r w:rsidR="00EB2A4A">
        <w:t xml:space="preserve">In so doing, this leg of the plaintiff’s </w:t>
      </w:r>
      <w:r>
        <w:t xml:space="preserve">notice of amendment </w:t>
      </w:r>
      <w:r w:rsidR="0011240F">
        <w:t>is</w:t>
      </w:r>
      <w:r>
        <w:t xml:space="preserve"> wanting.  </w:t>
      </w:r>
    </w:p>
    <w:p w14:paraId="0CF3B472" w14:textId="1C0EBF1D" w:rsidR="007701B7" w:rsidRDefault="00EB2A4A" w:rsidP="00097B14">
      <w:pPr>
        <w:pStyle w:val="Heading1"/>
      </w:pPr>
      <w:r>
        <w:t>Mr Lebethe</w:t>
      </w:r>
      <w:r w:rsidR="00454ADB">
        <w:t>,</w:t>
      </w:r>
      <w:r w:rsidR="003E1995">
        <w:t xml:space="preserve"> </w:t>
      </w:r>
      <w:r>
        <w:t>again</w:t>
      </w:r>
      <w:r w:rsidR="0011240F">
        <w:t>,</w:t>
      </w:r>
      <w:r>
        <w:t xml:space="preserve"> </w:t>
      </w:r>
      <w:r w:rsidR="00454ADB">
        <w:t xml:space="preserve">correctly conceded that the quantification of the plaintiffs’ claim could certainly be calculated by having regard to their </w:t>
      </w:r>
      <w:r w:rsidR="007701B7">
        <w:t xml:space="preserve">individual </w:t>
      </w:r>
      <w:r w:rsidR="00454ADB">
        <w:t xml:space="preserve">salary slips and that appeared to be in his words </w:t>
      </w:r>
      <w:r w:rsidR="00454ADB">
        <w:rPr>
          <w:i/>
          <w:iCs/>
        </w:rPr>
        <w:t>“another prudent way, to calculate the quantum”</w:t>
      </w:r>
      <w:r w:rsidR="00454ADB">
        <w:t>.  In my view, it is the only way in which this claim can be calculated.  This is not a claim for loss of income and it is not a claim for future loss of income</w:t>
      </w:r>
      <w:r w:rsidR="0011240F">
        <w:t>,</w:t>
      </w:r>
      <w:r w:rsidR="00454ADB">
        <w:t xml:space="preserve"> </w:t>
      </w:r>
      <w:r w:rsidR="007701B7">
        <w:t xml:space="preserve">as  encountered </w:t>
      </w:r>
      <w:r w:rsidR="00454ADB">
        <w:t xml:space="preserve">in personal injury claims. </w:t>
      </w:r>
    </w:p>
    <w:p w14:paraId="75AF0088" w14:textId="77777777" w:rsidR="007701B7" w:rsidRDefault="007701B7" w:rsidP="00097B14">
      <w:pPr>
        <w:pStyle w:val="Heading1"/>
      </w:pPr>
      <w:r>
        <w:t>I reiterate that the plaintiffs claims</w:t>
      </w:r>
      <w:r w:rsidR="00454ADB">
        <w:t xml:space="preserve"> aris</w:t>
      </w:r>
      <w:r>
        <w:t>e</w:t>
      </w:r>
      <w:r w:rsidR="00454ADB">
        <w:t xml:space="preserve"> from contracts of employment </w:t>
      </w:r>
      <w:r w:rsidR="00454ADB">
        <w:lastRenderedPageBreak/>
        <w:t>in terms of which pension fund contributions in fixed amounts were deducted from the plaintiffs’ salaries to provide for their retirement after termination of their employ.</w:t>
      </w:r>
    </w:p>
    <w:p w14:paraId="4488F4BF" w14:textId="55B44BA7" w:rsidR="00454ADB" w:rsidRDefault="00454ADB" w:rsidP="00097B14">
      <w:pPr>
        <w:pStyle w:val="Heading1"/>
      </w:pPr>
      <w:r>
        <w:t xml:space="preserve"> It is clear then, as Mr Lebethe graciously conceded, that the amendment is ill-founded, and cannot be allowed.</w:t>
      </w:r>
    </w:p>
    <w:p w14:paraId="18B2721E" w14:textId="1462EFC2" w:rsidR="00454ADB" w:rsidRDefault="00D30C1C" w:rsidP="00097B14">
      <w:pPr>
        <w:pStyle w:val="Heading1"/>
      </w:pPr>
      <w:r>
        <w:t>All that remain</w:t>
      </w:r>
      <w:r w:rsidR="003E1995">
        <w:t>s</w:t>
      </w:r>
      <w:r>
        <w:t xml:space="preserve"> then </w:t>
      </w:r>
      <w:r w:rsidR="003E1995">
        <w:t>i</w:t>
      </w:r>
      <w:r>
        <w:t xml:space="preserve">s to determine the issue of costs.  The first defendant had sought that I make an order against the plaintiffs on an attorney and client scale.  During the course of argument, I asked Mr Gibson to take instructions as to whether </w:t>
      </w:r>
      <w:r w:rsidR="007701B7">
        <w:t xml:space="preserve">the first defendant </w:t>
      </w:r>
      <w:r>
        <w:t>w</w:t>
      </w:r>
      <w:r w:rsidR="007701B7">
        <w:t>as</w:t>
      </w:r>
      <w:r>
        <w:t xml:space="preserve"> persisting with this scale of costs</w:t>
      </w:r>
      <w:r w:rsidR="0011240F">
        <w:t>,</w:t>
      </w:r>
      <w:r>
        <w:t xml:space="preserve"> given its punitive</w:t>
      </w:r>
      <w:r w:rsidR="007701B7">
        <w:t xml:space="preserve"> effect</w:t>
      </w:r>
      <w:r>
        <w:t>.  Mr Gibson took instructions and informed me</w:t>
      </w:r>
      <w:r w:rsidR="003E1995">
        <w:t xml:space="preserve"> </w:t>
      </w:r>
      <w:r>
        <w:t>that</w:t>
      </w:r>
      <w:r w:rsidR="0011240F">
        <w:t>,</w:t>
      </w:r>
      <w:r>
        <w:t xml:space="preserve"> in the event that I were to uphold the objection in favour of the first defendant, the first defendant would seek costs on the </w:t>
      </w:r>
      <w:r w:rsidR="007701B7">
        <w:t>party</w:t>
      </w:r>
      <w:r w:rsidR="003E1995">
        <w:t>-</w:t>
      </w:r>
      <w:r w:rsidR="007701B7">
        <w:t>party</w:t>
      </w:r>
      <w:r>
        <w:t xml:space="preserve"> scale.  Mr Lebethe, </w:t>
      </w:r>
      <w:r w:rsidR="007701B7">
        <w:t xml:space="preserve">in the face of his </w:t>
      </w:r>
      <w:r>
        <w:t xml:space="preserve">concessions, agreed that in the event that the application for amendment was unsuccessful costs should be </w:t>
      </w:r>
      <w:r w:rsidR="007701B7">
        <w:t xml:space="preserve">borne by the plaintiffs </w:t>
      </w:r>
      <w:r>
        <w:t>on the party party scale.</w:t>
      </w:r>
    </w:p>
    <w:p w14:paraId="482208D2" w14:textId="14D0BB00" w:rsidR="00D30C1C" w:rsidRDefault="00D30C1C" w:rsidP="00097B14">
      <w:pPr>
        <w:pStyle w:val="Heading1"/>
      </w:pPr>
      <w:r>
        <w:t>In the circumstances, an order is made in the following terms:</w:t>
      </w:r>
    </w:p>
    <w:p w14:paraId="26A2A147" w14:textId="43D43692" w:rsidR="00D30C1C" w:rsidRDefault="00D30C1C" w:rsidP="00D30C1C">
      <w:pPr>
        <w:ind w:left="1871" w:hanging="1009"/>
      </w:pPr>
      <w:r>
        <w:t>(1)</w:t>
      </w:r>
      <w:r>
        <w:tab/>
        <w:t>The application for leave to amend the declaration</w:t>
      </w:r>
      <w:r w:rsidR="0011240F">
        <w:t>,</w:t>
      </w:r>
      <w:r>
        <w:t xml:space="preserve"> in accordance with the notice of amendment dated</w:t>
      </w:r>
      <w:r w:rsidR="0011240F">
        <w:t xml:space="preserve"> 1 March</w:t>
      </w:r>
      <w:r>
        <w:t xml:space="preserve"> </w:t>
      </w:r>
      <w:r>
        <w:lastRenderedPageBreak/>
        <w:t>2019</w:t>
      </w:r>
      <w:r w:rsidR="007701B7">
        <w:t>,</w:t>
      </w:r>
      <w:r>
        <w:t xml:space="preserve"> is dismissed.</w:t>
      </w:r>
    </w:p>
    <w:p w14:paraId="31B0106D" w14:textId="0C071D6F" w:rsidR="00D30C1C" w:rsidRPr="00097B14" w:rsidRDefault="00D30C1C" w:rsidP="00D30C1C">
      <w:pPr>
        <w:ind w:left="1871" w:hanging="1009"/>
      </w:pPr>
      <w:r>
        <w:t>(2)</w:t>
      </w:r>
      <w:r>
        <w:tab/>
        <w:t>The plaintiffs are ordered to pay the first defendant’s costs</w:t>
      </w:r>
      <w:r w:rsidR="007701B7">
        <w:t>,</w:t>
      </w:r>
      <w:r>
        <w:t xml:space="preserve"> jointly and severally</w:t>
      </w:r>
      <w:r w:rsidR="007701B7">
        <w:t>,</w:t>
      </w:r>
      <w:r>
        <w:t xml:space="preserve"> the one paying the other to be absolved on the party party scale.</w:t>
      </w:r>
    </w:p>
    <w:p w14:paraId="1866B56F" w14:textId="3DFC31A9" w:rsidR="00482445" w:rsidRDefault="00433E1B" w:rsidP="00A55ACB">
      <w:pPr>
        <w:pStyle w:val="Heading1"/>
        <w:numPr>
          <w:ilvl w:val="0"/>
          <w:numId w:val="0"/>
        </w:numPr>
        <w:spacing w:after="0" w:line="240" w:lineRule="auto"/>
        <w:rPr>
          <w:b/>
          <w:bCs/>
        </w:rPr>
      </w:pPr>
      <w:r>
        <w:rPr>
          <w:b/>
          <w:bCs/>
        </w:rPr>
        <w:t xml:space="preserve">P V </w:t>
      </w:r>
      <w:r w:rsidR="00482445">
        <w:rPr>
          <w:b/>
          <w:bCs/>
        </w:rPr>
        <w:t>TERNENT</w:t>
      </w:r>
    </w:p>
    <w:p w14:paraId="6D84D711" w14:textId="77777777" w:rsidR="00433E1B" w:rsidRDefault="00433E1B" w:rsidP="00433E1B">
      <w:pPr>
        <w:spacing w:after="0" w:line="240" w:lineRule="auto"/>
      </w:pPr>
      <w:r>
        <w:t>ACTING JUDGE OF THE HIGH COURT</w:t>
      </w:r>
    </w:p>
    <w:p w14:paraId="52965B3C" w14:textId="4C6DF10C" w:rsidR="00482445" w:rsidRDefault="00433E1B" w:rsidP="00482445">
      <w:r>
        <w:t>(GAUTENG LOCAL DIVISION, JOHANNESBURG)</w:t>
      </w:r>
    </w:p>
    <w:p w14:paraId="30C528C9" w14:textId="3A5163CF" w:rsidR="00676142" w:rsidRDefault="00676142" w:rsidP="00482445">
      <w:r>
        <w:t xml:space="preserve">DATE OF </w:t>
      </w:r>
      <w:r w:rsidR="00625E58">
        <w:t>HEARING:</w:t>
      </w:r>
      <w:r>
        <w:t xml:space="preserve"> </w:t>
      </w:r>
      <w:r>
        <w:tab/>
        <w:t>12 April 2021</w:t>
      </w:r>
    </w:p>
    <w:p w14:paraId="5332179A" w14:textId="1EBCA67B" w:rsidR="00433E1B" w:rsidRDefault="00433E1B" w:rsidP="00482445">
      <w:r>
        <w:t>DATE OF JUDGMENT:</w:t>
      </w:r>
      <w:r>
        <w:tab/>
      </w:r>
      <w:r w:rsidR="003E1995">
        <w:t>2</w:t>
      </w:r>
      <w:r w:rsidR="00676142">
        <w:t>8</w:t>
      </w:r>
      <w:r w:rsidR="003E1995">
        <w:t xml:space="preserve"> April 2021</w:t>
      </w:r>
      <w:r w:rsidR="00BA6EDA">
        <w:t xml:space="preserve"> (handed down electronically, uploaded to </w:t>
      </w:r>
      <w:r w:rsidR="00676142">
        <w:t>C</w:t>
      </w:r>
      <w:r w:rsidR="00BA6EDA">
        <w:t>aselines and emailed to the parties)</w:t>
      </w:r>
    </w:p>
    <w:p w14:paraId="4125DCC9" w14:textId="4D29537D" w:rsidR="00433E1B" w:rsidRDefault="00433E1B" w:rsidP="00BA3EE4">
      <w:pPr>
        <w:spacing w:after="0" w:line="240" w:lineRule="auto"/>
        <w:rPr>
          <w:u w:val="single"/>
        </w:rPr>
      </w:pPr>
      <w:r>
        <w:rPr>
          <w:u w:val="single"/>
        </w:rPr>
        <w:t>APPEARANCES</w:t>
      </w:r>
    </w:p>
    <w:p w14:paraId="4574CF22" w14:textId="77777777" w:rsidR="00433E1B" w:rsidRPr="00433E1B" w:rsidRDefault="00433E1B" w:rsidP="00BA3EE4">
      <w:pPr>
        <w:spacing w:after="0" w:line="240" w:lineRule="auto"/>
        <w:rPr>
          <w:u w:val="single"/>
        </w:rPr>
      </w:pPr>
    </w:p>
    <w:p w14:paraId="1D57296F" w14:textId="77777777" w:rsidR="00433E1B" w:rsidRDefault="00433E1B" w:rsidP="00BA3EE4">
      <w:pPr>
        <w:spacing w:after="0" w:line="240" w:lineRule="auto"/>
      </w:pPr>
    </w:p>
    <w:p w14:paraId="2EC325DB" w14:textId="29B9EC24" w:rsidR="00482445" w:rsidRDefault="00625E58" w:rsidP="00BA3EE4">
      <w:pPr>
        <w:spacing w:after="0" w:line="240" w:lineRule="auto"/>
      </w:pPr>
      <w:r>
        <w:t>Applicant</w:t>
      </w:r>
      <w:r w:rsidR="00482445">
        <w:t>s</w:t>
      </w:r>
      <w:r w:rsidR="00D30C1C">
        <w:t>’</w:t>
      </w:r>
      <w:r w:rsidR="00482445">
        <w:t xml:space="preserve"> Counsel:</w:t>
      </w:r>
      <w:r w:rsidR="00482445">
        <w:tab/>
      </w:r>
      <w:r w:rsidR="00D30C1C">
        <w:t>Mr D Lebethe</w:t>
      </w:r>
    </w:p>
    <w:p w14:paraId="0131662F" w14:textId="0E70CDD4" w:rsidR="0017515A" w:rsidRDefault="0017515A" w:rsidP="0017515A">
      <w:pPr>
        <w:spacing w:after="0" w:line="240" w:lineRule="auto"/>
        <w:ind w:left="3022" w:hanging="3022"/>
      </w:pPr>
      <w:r>
        <w:tab/>
      </w:r>
      <w:r>
        <w:tab/>
      </w:r>
      <w:r>
        <w:tab/>
      </w:r>
      <w:r w:rsidR="00C65701">
        <w:t>Attorney w</w:t>
      </w:r>
      <w:r>
        <w:t>ith right of appearance in terms of section 4(2) of the Right of Appearance in Courts Act 62 of 1995</w:t>
      </w:r>
    </w:p>
    <w:p w14:paraId="291AD87B" w14:textId="77777777" w:rsidR="0017515A" w:rsidRDefault="0017515A" w:rsidP="0017515A">
      <w:pPr>
        <w:spacing w:after="0" w:line="240" w:lineRule="auto"/>
        <w:ind w:left="3022" w:hanging="3022"/>
      </w:pPr>
    </w:p>
    <w:p w14:paraId="5826E5D6" w14:textId="77777777" w:rsidR="0017515A" w:rsidRDefault="00482445" w:rsidP="00BA3EE4">
      <w:pPr>
        <w:spacing w:after="0" w:line="240" w:lineRule="auto"/>
      </w:pPr>
      <w:r>
        <w:t>Instructed by:</w:t>
      </w:r>
      <w:r>
        <w:tab/>
      </w:r>
      <w:r>
        <w:tab/>
      </w:r>
      <w:r w:rsidR="0017515A">
        <w:t>Ditheko Lebethe Attorneys</w:t>
      </w:r>
    </w:p>
    <w:p w14:paraId="3EFBDBF4" w14:textId="2920FC5C" w:rsidR="0017515A" w:rsidRDefault="0017515A" w:rsidP="0017515A">
      <w:pPr>
        <w:spacing w:after="0" w:line="240" w:lineRule="auto"/>
      </w:pPr>
      <w:r>
        <w:tab/>
      </w:r>
      <w:r>
        <w:tab/>
      </w:r>
      <w:r>
        <w:tab/>
        <w:t>Mr D Lebethe</w:t>
      </w:r>
    </w:p>
    <w:p w14:paraId="49CF009D" w14:textId="54FF3F32" w:rsidR="00482445" w:rsidRDefault="00482445" w:rsidP="00BA3EE4">
      <w:pPr>
        <w:spacing w:after="0" w:line="240" w:lineRule="auto"/>
      </w:pPr>
    </w:p>
    <w:p w14:paraId="4103E2A7" w14:textId="77777777" w:rsidR="00433E1B" w:rsidRDefault="00433E1B" w:rsidP="00BA3EE4">
      <w:pPr>
        <w:spacing w:after="0" w:line="240" w:lineRule="auto"/>
      </w:pPr>
    </w:p>
    <w:p w14:paraId="1EFD8D5B" w14:textId="5AF89FC1" w:rsidR="00482445" w:rsidRDefault="00625E58" w:rsidP="00BA3EE4">
      <w:pPr>
        <w:spacing w:after="0" w:line="240" w:lineRule="auto"/>
      </w:pPr>
      <w:r>
        <w:t>Respondent</w:t>
      </w:r>
      <w:r w:rsidR="00BA3EE4">
        <w:t>s</w:t>
      </w:r>
      <w:r w:rsidR="0017515A">
        <w:t>’</w:t>
      </w:r>
      <w:r w:rsidR="00BA3EE4">
        <w:t xml:space="preserve"> Counsel:</w:t>
      </w:r>
      <w:r w:rsidR="00BA3EE4">
        <w:tab/>
        <w:t xml:space="preserve">Advocate </w:t>
      </w:r>
      <w:r w:rsidR="0017515A">
        <w:t>C Gibson</w:t>
      </w:r>
    </w:p>
    <w:p w14:paraId="47333C62" w14:textId="77777777" w:rsidR="00BA6EDA" w:rsidRDefault="00BA6EDA" w:rsidP="00BA3EE4">
      <w:pPr>
        <w:spacing w:after="0" w:line="240" w:lineRule="auto"/>
      </w:pPr>
    </w:p>
    <w:p w14:paraId="4240D26B" w14:textId="4EA9CACE" w:rsidR="00BA3EE4" w:rsidRDefault="00BA3EE4" w:rsidP="00BA3EE4">
      <w:pPr>
        <w:spacing w:after="0" w:line="240" w:lineRule="auto"/>
      </w:pPr>
      <w:r>
        <w:t>Instructed by:</w:t>
      </w:r>
      <w:r>
        <w:tab/>
      </w:r>
      <w:r>
        <w:tab/>
      </w:r>
      <w:r w:rsidR="0017515A">
        <w:t>Meise Nkaiseng Inc.</w:t>
      </w:r>
    </w:p>
    <w:p w14:paraId="3DC1D44A" w14:textId="3C07BC48" w:rsidR="00BA3EE4" w:rsidRPr="00482445" w:rsidRDefault="00BA3EE4" w:rsidP="00BA3EE4">
      <w:pPr>
        <w:spacing w:after="0" w:line="240" w:lineRule="auto"/>
      </w:pPr>
      <w:r>
        <w:tab/>
      </w:r>
      <w:r>
        <w:tab/>
      </w:r>
      <w:r>
        <w:tab/>
        <w:t xml:space="preserve">Mr </w:t>
      </w:r>
      <w:r w:rsidR="0017515A">
        <w:t>M Samons</w:t>
      </w:r>
    </w:p>
    <w:sectPr w:rsidR="00BA3EE4" w:rsidRPr="00482445" w:rsidSect="008F6C0F">
      <w:headerReference w:type="even" r:id="rId10"/>
      <w:headerReference w:type="default" r:id="rId11"/>
      <w:headerReference w:type="first" r:id="rId12"/>
      <w:pgSz w:w="11906" w:h="16838" w:code="9"/>
      <w:pgMar w:top="1429" w:right="1729" w:bottom="993" w:left="1582" w:header="12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196B" w14:textId="77777777" w:rsidR="002E6256" w:rsidRDefault="002E6256" w:rsidP="00B958BA">
      <w:pPr>
        <w:pStyle w:val="Title"/>
      </w:pPr>
      <w:r>
        <w:separator/>
      </w:r>
    </w:p>
  </w:endnote>
  <w:endnote w:type="continuationSeparator" w:id="0">
    <w:p w14:paraId="2ECD65FD" w14:textId="77777777" w:rsidR="002E6256" w:rsidRDefault="002E6256"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DC41" w14:textId="77777777" w:rsidR="002E6256" w:rsidRDefault="002E6256" w:rsidP="00B958BA">
      <w:pPr>
        <w:pStyle w:val="Title"/>
      </w:pPr>
      <w:r>
        <w:separator/>
      </w:r>
    </w:p>
  </w:footnote>
  <w:footnote w:type="continuationSeparator" w:id="0">
    <w:p w14:paraId="441FED03" w14:textId="77777777" w:rsidR="002E6256" w:rsidRDefault="002E6256" w:rsidP="00B958BA">
      <w:pPr>
        <w:pStyle w:val="Title"/>
      </w:pPr>
      <w:r>
        <w:continuationSeparator/>
      </w:r>
    </w:p>
  </w:footnote>
  <w:footnote w:id="1">
    <w:p w14:paraId="589D6B8A" w14:textId="0E6A745A" w:rsidR="00672B91" w:rsidRDefault="00672B91" w:rsidP="00672B91">
      <w:pPr>
        <w:pStyle w:val="FootnoteText"/>
      </w:pPr>
      <w:r>
        <w:rPr>
          <w:rStyle w:val="FootnoteReference"/>
        </w:rPr>
        <w:footnoteRef/>
      </w:r>
      <w:r>
        <w:t xml:space="preserve"> </w:t>
      </w:r>
      <w:r>
        <w:tab/>
        <w:t>Erasmus, Superior Court Practice, D1</w:t>
      </w:r>
      <w:r w:rsidR="000911A6">
        <w:t>-</w:t>
      </w:r>
      <w:r>
        <w:t>241</w:t>
      </w:r>
    </w:p>
  </w:footnote>
  <w:footnote w:id="2">
    <w:p w14:paraId="4C36A1E8" w14:textId="77777777" w:rsidR="007701B7" w:rsidRPr="00247D6A" w:rsidRDefault="007701B7" w:rsidP="007701B7">
      <w:pPr>
        <w:pStyle w:val="FootnoteText"/>
      </w:pPr>
      <w:r>
        <w:rPr>
          <w:rStyle w:val="FootnoteReference"/>
        </w:rPr>
        <w:footnoteRef/>
      </w:r>
      <w:r>
        <w:t xml:space="preserve"> </w:t>
      </w:r>
      <w:r>
        <w:tab/>
      </w:r>
      <w:r>
        <w:rPr>
          <w:b/>
          <w:bCs/>
          <w:i/>
          <w:iCs/>
        </w:rPr>
        <w:t xml:space="preserve">Sasol Industries (Pty) Ltd t/a Sasol 1 v Electrical Repair Engineering (Pty) Ltd t/a LH Marthinusen </w:t>
      </w:r>
      <w:r>
        <w:t>1992 (4) SA 466 (W) at 472B-D</w:t>
      </w:r>
    </w:p>
  </w:footnote>
  <w:footnote w:id="3">
    <w:p w14:paraId="452EA483" w14:textId="77777777" w:rsidR="007701B7" w:rsidRDefault="007701B7" w:rsidP="007701B7">
      <w:pPr>
        <w:pStyle w:val="FootnoteText"/>
      </w:pPr>
      <w:r>
        <w:rPr>
          <w:rStyle w:val="FootnoteReference"/>
        </w:rPr>
        <w:footnoteRef/>
      </w:r>
      <w:r>
        <w:t xml:space="preserve"> </w:t>
      </w:r>
      <w:r>
        <w:tab/>
      </w:r>
      <w:r w:rsidRPr="00247D6A">
        <w:t xml:space="preserve">2001 (2) SA 790 (T) at </w:t>
      </w:r>
      <w:r>
        <w:t>803E/F-F/G and 804E/F-805E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50C"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490238B2"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D0BC" w14:textId="77777777" w:rsidR="00853FC4" w:rsidRDefault="00853FC4">
    <w:pPr>
      <w:pStyle w:val="Header"/>
      <w:ind w:right="360"/>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04070D">
      <w:rPr>
        <w:i/>
        <w:noProof/>
        <w:snapToGrid w:val="0"/>
        <w:sz w:val="16"/>
      </w:rPr>
      <w:t>Document1</w:t>
    </w:r>
    <w:r>
      <w:rPr>
        <w:i/>
        <w:snapToGrid w:val="0"/>
        <w:sz w:val="16"/>
      </w:rPr>
      <w:fldChar w:fldCharType="end"/>
    </w:r>
    <w:r>
      <w:rPr>
        <w:i/>
        <w:snapToGrid w:val="0"/>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04070D">
      <w:rPr>
        <w:i/>
        <w:noProof/>
        <w:snapToGrid w:val="0"/>
        <w:sz w:val="16"/>
      </w:rPr>
      <w:t>VL</w:t>
    </w:r>
    <w:r>
      <w:rPr>
        <w:i/>
        <w:snapToGrid w:val="0"/>
        <w:sz w:val="16"/>
      </w:rPr>
      <w:fldChar w:fldCharType="end"/>
    </w:r>
  </w:p>
  <w:p w14:paraId="23576BBB" w14:textId="77777777" w:rsidR="00853FC4" w:rsidRDefault="00853FC4">
    <w:pPr>
      <w:pStyle w:val="Header"/>
      <w:ind w:right="360"/>
      <w:rPr>
        <w:snapToGrid w:val="0"/>
        <w:sz w:val="16"/>
      </w:rPr>
    </w:pPr>
  </w:p>
  <w:p w14:paraId="6BCC9795" w14:textId="77777777" w:rsidR="00853FC4" w:rsidRDefault="00853FC4">
    <w:pPr>
      <w:pStyle w:val="Header"/>
      <w:ind w:right="360"/>
      <w:rPr>
        <w:snapToGrid w:val="0"/>
        <w:sz w:val="16"/>
      </w:rPr>
    </w:pPr>
  </w:p>
  <w:p w14:paraId="22E0273E" w14:textId="5F1D8315" w:rsidR="00853FC4" w:rsidRDefault="00853FC4">
    <w:pPr>
      <w:pStyle w:val="Header"/>
      <w:ind w:right="360"/>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0A2A54">
      <w:rPr>
        <w:noProof/>
        <w:snapToGrid w:val="0"/>
      </w:rPr>
      <w:t>2</w:t>
    </w:r>
    <w:r>
      <w:rPr>
        <w:snapToGrid w:val="0"/>
      </w:rPr>
      <w:fldChar w:fldCharType="end"/>
    </w:r>
    <w:r>
      <w:rPr>
        <w:snapToGrid w:val="0"/>
      </w:rPr>
      <w:t xml:space="preserve"> -</w:t>
    </w:r>
  </w:p>
  <w:p w14:paraId="0C4E2F99" w14:textId="77777777" w:rsidR="00853FC4" w:rsidRDefault="00853FC4">
    <w:pPr>
      <w:pStyle w:val="Header"/>
      <w:ind w:right="360"/>
      <w:jc w:val="center"/>
    </w:pPr>
  </w:p>
  <w:p w14:paraId="2E84AB4B" w14:textId="77777777" w:rsidR="00853FC4" w:rsidRDefault="00853FC4">
    <w:pPr>
      <w:pStyle w:val="Header"/>
      <w:ind w:right="360"/>
      <w:jc w:val="center"/>
    </w:pPr>
  </w:p>
  <w:p w14:paraId="32AC2441" w14:textId="77777777" w:rsidR="00853FC4" w:rsidRDefault="00853FC4">
    <w:pPr>
      <w:pStyle w:val="Header"/>
      <w:ind w:right="360"/>
      <w:jc w:val="center"/>
    </w:pPr>
  </w:p>
  <w:p w14:paraId="10F79A72" w14:textId="77777777" w:rsidR="00853FC4" w:rsidRDefault="00853FC4">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E9C5" w14:textId="77777777" w:rsidR="00853FC4" w:rsidRDefault="00853FC4">
    <w:pPr>
      <w:pStyle w:val="Header"/>
      <w:rPr>
        <w:i/>
        <w:snapToGrid w:val="0"/>
        <w:sz w:val="16"/>
      </w:rPr>
    </w:pPr>
    <w:r>
      <w:rPr>
        <w:i/>
        <w:snapToGrid w:val="0"/>
        <w:sz w:val="16"/>
      </w:rPr>
      <w:fldChar w:fldCharType="begin"/>
    </w:r>
    <w:r>
      <w:rPr>
        <w:i/>
        <w:snapToGrid w:val="0"/>
        <w:sz w:val="16"/>
      </w:rPr>
      <w:instrText xml:space="preserve"> FILENAME </w:instrText>
    </w:r>
    <w:r>
      <w:rPr>
        <w:i/>
        <w:snapToGrid w:val="0"/>
        <w:sz w:val="16"/>
      </w:rPr>
      <w:fldChar w:fldCharType="separate"/>
    </w:r>
    <w:r w:rsidR="0004070D">
      <w:rPr>
        <w:i/>
        <w:noProof/>
        <w:snapToGrid w:val="0"/>
        <w:sz w:val="16"/>
      </w:rPr>
      <w:t>Document1</w:t>
    </w:r>
    <w:r>
      <w:rPr>
        <w:i/>
        <w:snapToGrid w:val="0"/>
        <w:sz w:val="16"/>
      </w:rPr>
      <w:fldChar w:fldCharType="end"/>
    </w:r>
    <w:r>
      <w:rPr>
        <w:i/>
        <w:sz w:val="16"/>
      </w:rPr>
      <w:t>/</w:t>
    </w:r>
    <w:r>
      <w:rPr>
        <w:i/>
        <w:snapToGrid w:val="0"/>
        <w:sz w:val="16"/>
      </w:rPr>
      <w:fldChar w:fldCharType="begin"/>
    </w:r>
    <w:r>
      <w:rPr>
        <w:i/>
        <w:snapToGrid w:val="0"/>
        <w:sz w:val="16"/>
      </w:rPr>
      <w:instrText xml:space="preserve"> AUTHOR </w:instrText>
    </w:r>
    <w:r>
      <w:rPr>
        <w:i/>
        <w:snapToGrid w:val="0"/>
        <w:sz w:val="16"/>
      </w:rPr>
      <w:fldChar w:fldCharType="separate"/>
    </w:r>
    <w:r w:rsidR="0004070D">
      <w:rPr>
        <w:i/>
        <w:noProof/>
        <w:snapToGrid w:val="0"/>
        <w:sz w:val="16"/>
      </w:rPr>
      <w:t>VL</w:t>
    </w:r>
    <w:r>
      <w:rPr>
        <w:i/>
        <w:snapToGrid w:val="0"/>
        <w:sz w:val="16"/>
      </w:rPr>
      <w:fldChar w:fldCharType="end"/>
    </w:r>
  </w:p>
  <w:p w14:paraId="7CE716D6" w14:textId="77777777" w:rsidR="00853FC4" w:rsidRDefault="00853FC4">
    <w:pPr>
      <w:pStyle w:val="Header"/>
      <w:rPr>
        <w:i/>
        <w:snapToGrid w:val="0"/>
        <w:sz w:val="16"/>
      </w:rPr>
    </w:pPr>
  </w:p>
  <w:p w14:paraId="4863FBA4" w14:textId="77777777" w:rsidR="00853FC4" w:rsidRDefault="00853FC4">
    <w:pPr>
      <w:pStyle w:val="Header"/>
      <w:rPr>
        <w:i/>
        <w:snapToGrid w:val="0"/>
        <w:sz w:val="16"/>
      </w:rPr>
    </w:pPr>
  </w:p>
  <w:p w14:paraId="3EB98BA2" w14:textId="77777777" w:rsidR="00853FC4" w:rsidRDefault="00853FC4">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44"/>
    <w:multiLevelType w:val="multilevel"/>
    <w:tmpl w:val="3334DF58"/>
    <w:lvl w:ilvl="0">
      <w:start w:val="1"/>
      <w:numFmt w:val="decimal"/>
      <w:pStyle w:val="Heading1"/>
      <w:lvlText w:val="%1."/>
      <w:lvlJc w:val="left"/>
      <w:pPr>
        <w:tabs>
          <w:tab w:val="num" w:pos="862"/>
        </w:tabs>
        <w:ind w:left="862" w:hanging="862"/>
      </w:pPr>
      <w:rPr>
        <w:b w:val="0"/>
        <w:bCs w:val="0"/>
      </w:rPr>
    </w:lvl>
    <w:lvl w:ilvl="1">
      <w:start w:val="1"/>
      <w:numFmt w:val="decimal"/>
      <w:pStyle w:val="Heading2"/>
      <w:lvlText w:val="%1.%2"/>
      <w:lvlJc w:val="left"/>
      <w:pPr>
        <w:tabs>
          <w:tab w:val="num" w:pos="1871"/>
        </w:tabs>
        <w:ind w:left="1871" w:hanging="1009"/>
      </w:pPr>
    </w:lvl>
    <w:lvl w:ilvl="2">
      <w:start w:val="1"/>
      <w:numFmt w:val="decimal"/>
      <w:pStyle w:val="Heading3"/>
      <w:lvlText w:val="%1.%2.%3"/>
      <w:lvlJc w:val="left"/>
      <w:pPr>
        <w:tabs>
          <w:tab w:val="num" w:pos="3022"/>
        </w:tabs>
        <w:ind w:left="3022" w:hanging="1151"/>
      </w:pPr>
    </w:lvl>
    <w:lvl w:ilvl="3">
      <w:start w:val="1"/>
      <w:numFmt w:val="decimal"/>
      <w:pStyle w:val="Heading4"/>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0D"/>
    <w:rsid w:val="00013916"/>
    <w:rsid w:val="00016FCE"/>
    <w:rsid w:val="00021572"/>
    <w:rsid w:val="00024EC0"/>
    <w:rsid w:val="000330AA"/>
    <w:rsid w:val="00035295"/>
    <w:rsid w:val="0004070D"/>
    <w:rsid w:val="00045C2A"/>
    <w:rsid w:val="00081824"/>
    <w:rsid w:val="000911A6"/>
    <w:rsid w:val="00097B14"/>
    <w:rsid w:val="000A2A54"/>
    <w:rsid w:val="000A3B02"/>
    <w:rsid w:val="000A49C4"/>
    <w:rsid w:val="000A5255"/>
    <w:rsid w:val="000A7277"/>
    <w:rsid w:val="000B57CF"/>
    <w:rsid w:val="000C3DC6"/>
    <w:rsid w:val="000C4BAD"/>
    <w:rsid w:val="000C6E46"/>
    <w:rsid w:val="000E51FA"/>
    <w:rsid w:val="000E5E70"/>
    <w:rsid w:val="000F0879"/>
    <w:rsid w:val="0011240F"/>
    <w:rsid w:val="0012684E"/>
    <w:rsid w:val="00127FB4"/>
    <w:rsid w:val="001371F9"/>
    <w:rsid w:val="00141EEC"/>
    <w:rsid w:val="0014737C"/>
    <w:rsid w:val="001662A9"/>
    <w:rsid w:val="001740EB"/>
    <w:rsid w:val="0017515A"/>
    <w:rsid w:val="00193B63"/>
    <w:rsid w:val="00193BA1"/>
    <w:rsid w:val="001B3615"/>
    <w:rsid w:val="001C1534"/>
    <w:rsid w:val="001C4CC1"/>
    <w:rsid w:val="001D151A"/>
    <w:rsid w:val="001E48C8"/>
    <w:rsid w:val="001E5695"/>
    <w:rsid w:val="0020226C"/>
    <w:rsid w:val="00210EF6"/>
    <w:rsid w:val="00212F35"/>
    <w:rsid w:val="00213776"/>
    <w:rsid w:val="002167A8"/>
    <w:rsid w:val="00233C3C"/>
    <w:rsid w:val="00244807"/>
    <w:rsid w:val="00247D6A"/>
    <w:rsid w:val="0025399F"/>
    <w:rsid w:val="00285FB4"/>
    <w:rsid w:val="002A2729"/>
    <w:rsid w:val="002C6134"/>
    <w:rsid w:val="002E6256"/>
    <w:rsid w:val="002F30AA"/>
    <w:rsid w:val="00300F41"/>
    <w:rsid w:val="00307002"/>
    <w:rsid w:val="00310029"/>
    <w:rsid w:val="0031638A"/>
    <w:rsid w:val="00340B40"/>
    <w:rsid w:val="0035315B"/>
    <w:rsid w:val="0037012A"/>
    <w:rsid w:val="0037230C"/>
    <w:rsid w:val="00374B32"/>
    <w:rsid w:val="003C3E35"/>
    <w:rsid w:val="003D5E64"/>
    <w:rsid w:val="003E1995"/>
    <w:rsid w:val="003E2E2E"/>
    <w:rsid w:val="003E3B3D"/>
    <w:rsid w:val="003E6F1C"/>
    <w:rsid w:val="003F4D15"/>
    <w:rsid w:val="004031B7"/>
    <w:rsid w:val="00415AE9"/>
    <w:rsid w:val="00417C15"/>
    <w:rsid w:val="004253C5"/>
    <w:rsid w:val="00430D78"/>
    <w:rsid w:val="00433E1B"/>
    <w:rsid w:val="004363DF"/>
    <w:rsid w:val="00454ADB"/>
    <w:rsid w:val="00463B1B"/>
    <w:rsid w:val="00482445"/>
    <w:rsid w:val="0049082C"/>
    <w:rsid w:val="0049324B"/>
    <w:rsid w:val="004A4B36"/>
    <w:rsid w:val="004B214D"/>
    <w:rsid w:val="00501216"/>
    <w:rsid w:val="005026D5"/>
    <w:rsid w:val="00505F6E"/>
    <w:rsid w:val="0053156E"/>
    <w:rsid w:val="005361BD"/>
    <w:rsid w:val="00542D61"/>
    <w:rsid w:val="005546A8"/>
    <w:rsid w:val="00554864"/>
    <w:rsid w:val="00597C6F"/>
    <w:rsid w:val="005A0D18"/>
    <w:rsid w:val="005A66C2"/>
    <w:rsid w:val="005B39A3"/>
    <w:rsid w:val="005B6B8D"/>
    <w:rsid w:val="005C6062"/>
    <w:rsid w:val="005C68C7"/>
    <w:rsid w:val="005E64B1"/>
    <w:rsid w:val="005E7DCC"/>
    <w:rsid w:val="005F5DEF"/>
    <w:rsid w:val="0061578A"/>
    <w:rsid w:val="006211E1"/>
    <w:rsid w:val="00625E58"/>
    <w:rsid w:val="00636673"/>
    <w:rsid w:val="006435B6"/>
    <w:rsid w:val="00644462"/>
    <w:rsid w:val="0065514D"/>
    <w:rsid w:val="00662EF2"/>
    <w:rsid w:val="0067053A"/>
    <w:rsid w:val="006714D1"/>
    <w:rsid w:val="00672B91"/>
    <w:rsid w:val="00676142"/>
    <w:rsid w:val="0068303E"/>
    <w:rsid w:val="006B19F7"/>
    <w:rsid w:val="006D0E5D"/>
    <w:rsid w:val="006D4E2B"/>
    <w:rsid w:val="006D5F89"/>
    <w:rsid w:val="006E77C0"/>
    <w:rsid w:val="006F7C73"/>
    <w:rsid w:val="00716A2D"/>
    <w:rsid w:val="00741025"/>
    <w:rsid w:val="00742232"/>
    <w:rsid w:val="007425AB"/>
    <w:rsid w:val="00756B54"/>
    <w:rsid w:val="00763C6D"/>
    <w:rsid w:val="007701B7"/>
    <w:rsid w:val="00771A66"/>
    <w:rsid w:val="00796047"/>
    <w:rsid w:val="007B1C2A"/>
    <w:rsid w:val="007B7E35"/>
    <w:rsid w:val="007C0237"/>
    <w:rsid w:val="007C7824"/>
    <w:rsid w:val="007D63CE"/>
    <w:rsid w:val="007D7235"/>
    <w:rsid w:val="007E126A"/>
    <w:rsid w:val="007E1556"/>
    <w:rsid w:val="007F5466"/>
    <w:rsid w:val="00814CAA"/>
    <w:rsid w:val="008255C7"/>
    <w:rsid w:val="00833792"/>
    <w:rsid w:val="00844404"/>
    <w:rsid w:val="00844EA1"/>
    <w:rsid w:val="00846E44"/>
    <w:rsid w:val="0085264E"/>
    <w:rsid w:val="00853F12"/>
    <w:rsid w:val="00853FC4"/>
    <w:rsid w:val="008555DE"/>
    <w:rsid w:val="00860B9E"/>
    <w:rsid w:val="0086270F"/>
    <w:rsid w:val="00864519"/>
    <w:rsid w:val="008923E1"/>
    <w:rsid w:val="008924CA"/>
    <w:rsid w:val="00895C40"/>
    <w:rsid w:val="008A129D"/>
    <w:rsid w:val="008A2E5B"/>
    <w:rsid w:val="008B1DDB"/>
    <w:rsid w:val="008B78A1"/>
    <w:rsid w:val="008C2196"/>
    <w:rsid w:val="008C4C23"/>
    <w:rsid w:val="008C786A"/>
    <w:rsid w:val="008D0D40"/>
    <w:rsid w:val="008F6C0F"/>
    <w:rsid w:val="00912C24"/>
    <w:rsid w:val="0092135E"/>
    <w:rsid w:val="009303F8"/>
    <w:rsid w:val="0095600B"/>
    <w:rsid w:val="00965FAA"/>
    <w:rsid w:val="009A1259"/>
    <w:rsid w:val="009F0AC2"/>
    <w:rsid w:val="009F2F16"/>
    <w:rsid w:val="00A10756"/>
    <w:rsid w:val="00A124D5"/>
    <w:rsid w:val="00A1796E"/>
    <w:rsid w:val="00A42064"/>
    <w:rsid w:val="00A55ACB"/>
    <w:rsid w:val="00A60DA6"/>
    <w:rsid w:val="00A70EDD"/>
    <w:rsid w:val="00A71CAA"/>
    <w:rsid w:val="00A802F7"/>
    <w:rsid w:val="00A81DEE"/>
    <w:rsid w:val="00AD2B7D"/>
    <w:rsid w:val="00AD2B8A"/>
    <w:rsid w:val="00B82DF7"/>
    <w:rsid w:val="00B958BA"/>
    <w:rsid w:val="00B96E0E"/>
    <w:rsid w:val="00BA3EE4"/>
    <w:rsid w:val="00BA6EDA"/>
    <w:rsid w:val="00BB1870"/>
    <w:rsid w:val="00BE788A"/>
    <w:rsid w:val="00BF06A5"/>
    <w:rsid w:val="00BF34C6"/>
    <w:rsid w:val="00C050C9"/>
    <w:rsid w:val="00C17582"/>
    <w:rsid w:val="00C25A16"/>
    <w:rsid w:val="00C35AE6"/>
    <w:rsid w:val="00C65701"/>
    <w:rsid w:val="00C76CC4"/>
    <w:rsid w:val="00C77169"/>
    <w:rsid w:val="00C860FB"/>
    <w:rsid w:val="00C96454"/>
    <w:rsid w:val="00CA268A"/>
    <w:rsid w:val="00CA29A4"/>
    <w:rsid w:val="00CB2503"/>
    <w:rsid w:val="00CC5BF0"/>
    <w:rsid w:val="00CD50F3"/>
    <w:rsid w:val="00CD6D6A"/>
    <w:rsid w:val="00CF3964"/>
    <w:rsid w:val="00CF7F6C"/>
    <w:rsid w:val="00D10CBB"/>
    <w:rsid w:val="00D30C1C"/>
    <w:rsid w:val="00D31952"/>
    <w:rsid w:val="00D552FC"/>
    <w:rsid w:val="00D912C4"/>
    <w:rsid w:val="00D964BA"/>
    <w:rsid w:val="00DA4E0C"/>
    <w:rsid w:val="00DB1590"/>
    <w:rsid w:val="00DE0AE6"/>
    <w:rsid w:val="00E02C94"/>
    <w:rsid w:val="00E16C4F"/>
    <w:rsid w:val="00E303AF"/>
    <w:rsid w:val="00E34CF6"/>
    <w:rsid w:val="00E36B92"/>
    <w:rsid w:val="00E63F00"/>
    <w:rsid w:val="00E82176"/>
    <w:rsid w:val="00E927E5"/>
    <w:rsid w:val="00E940B8"/>
    <w:rsid w:val="00EB2A4A"/>
    <w:rsid w:val="00ED6717"/>
    <w:rsid w:val="00EE1F1C"/>
    <w:rsid w:val="00EF5857"/>
    <w:rsid w:val="00F04A6E"/>
    <w:rsid w:val="00F0722B"/>
    <w:rsid w:val="00F15C35"/>
    <w:rsid w:val="00F4606E"/>
    <w:rsid w:val="00F606EA"/>
    <w:rsid w:val="00F66A74"/>
    <w:rsid w:val="00F95C27"/>
    <w:rsid w:val="00F97B1F"/>
    <w:rsid w:val="00FB60F0"/>
    <w:rsid w:val="00FC4520"/>
    <w:rsid w:val="00FC48B7"/>
    <w:rsid w:val="00FE38D9"/>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7C59"/>
  <w15:chartTrackingRefBased/>
  <w15:docId w15:val="{F28A19EF-DFD9-4052-9E88-4C8AA26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76"/>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5"/>
      <w:lang w:eastAsia="en-US"/>
    </w:rPr>
  </w:style>
  <w:style w:type="paragraph" w:styleId="Heading1">
    <w:name w:val="heading 1"/>
    <w:qFormat/>
    <w:rsid w:val="00AD2B7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5"/>
      <w:lang w:eastAsia="en-US"/>
    </w:rPr>
  </w:style>
  <w:style w:type="paragraph" w:styleId="Heading2">
    <w:name w:val="heading 2"/>
    <w:basedOn w:val="Heading1"/>
    <w:qFormat/>
    <w:rsid w:val="00AD2B7D"/>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paragraph" w:styleId="NoSpacing">
    <w:name w:val="No Spacing"/>
    <w:uiPriority w:val="1"/>
    <w:qFormat/>
    <w:rsid w:val="005E64B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46E0.7C9607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5</TotalTime>
  <Pages>9</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cp:lastModifiedBy>Lazarus Rakgwale</cp:lastModifiedBy>
  <cp:revision>2</cp:revision>
  <cp:lastPrinted>2006-11-23T10:10:00Z</cp:lastPrinted>
  <dcterms:created xsi:type="dcterms:W3CDTF">2022-01-31T10:36:00Z</dcterms:created>
  <dcterms:modified xsi:type="dcterms:W3CDTF">2022-01-31T10:36:00Z</dcterms:modified>
</cp:coreProperties>
</file>