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41" w:rsidRPr="00C66DC7" w:rsidRDefault="00A73641" w:rsidP="00A73641">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REPUBLIC OF SOUTH AFRICA</w:t>
      </w:r>
    </w:p>
    <w:p w:rsidR="00A73641" w:rsidRPr="00C66DC7" w:rsidRDefault="00A73641" w:rsidP="00A73641">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MS Mincho" w:hAnsi="Arial" w:cs="Arial"/>
          <w:b/>
          <w:noProof/>
          <w:sz w:val="24"/>
          <w:szCs w:val="24"/>
          <w:lang w:eastAsia="en-ZA"/>
        </w:rPr>
        <w:drawing>
          <wp:inline distT="0" distB="0" distL="0" distR="0" wp14:anchorId="61D5DD8D" wp14:editId="64A1513F">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3200" cy="1473200"/>
                    </a:xfrm>
                    <a:prstGeom prst="rect">
                      <a:avLst/>
                    </a:prstGeom>
                    <a:noFill/>
                    <a:ln>
                      <a:noFill/>
                    </a:ln>
                  </pic:spPr>
                </pic:pic>
              </a:graphicData>
            </a:graphic>
          </wp:inline>
        </w:drawing>
      </w:r>
    </w:p>
    <w:p w:rsidR="00A73641" w:rsidRPr="00C66DC7" w:rsidRDefault="00A73641" w:rsidP="00A73641">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IN THE HIGH COURT OF SOUTH AFRICA</w:t>
      </w:r>
    </w:p>
    <w:p w:rsidR="00A73641" w:rsidRPr="00C66DC7" w:rsidRDefault="00A73641" w:rsidP="00A73641">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GAUTENG LOCAL DIVISION, JOHANNESBURG</w:t>
      </w:r>
    </w:p>
    <w:p w:rsidR="00A73641" w:rsidRPr="00C66DC7" w:rsidRDefault="00A73641" w:rsidP="00A73641">
      <w:pPr>
        <w:spacing w:after="0" w:line="360" w:lineRule="auto"/>
        <w:ind w:left="305" w:hangingChars="127" w:hanging="305"/>
        <w:jc w:val="center"/>
        <w:rPr>
          <w:rFonts w:ascii="Arial" w:eastAsia="Times New Roman" w:hAnsi="Arial" w:cs="Arial"/>
          <w:b/>
          <w:sz w:val="24"/>
          <w:szCs w:val="24"/>
          <w:lang w:eastAsia="en-GB"/>
        </w:rPr>
      </w:pPr>
    </w:p>
    <w:p w:rsidR="00A73641" w:rsidRPr="00C66DC7" w:rsidRDefault="00A73641" w:rsidP="00A73641">
      <w:pPr>
        <w:spacing w:after="0" w:line="360" w:lineRule="auto"/>
        <w:ind w:left="305" w:hangingChars="127" w:hanging="305"/>
        <w:rPr>
          <w:rFonts w:ascii="Arial" w:eastAsia="Times New Roman" w:hAnsi="Arial" w:cs="Arial"/>
          <w:b/>
          <w:sz w:val="24"/>
          <w:szCs w:val="24"/>
          <w:lang w:eastAsia="en-GB"/>
        </w:rPr>
      </w:pPr>
      <w:r w:rsidRPr="00C66DC7">
        <w:rPr>
          <w:rFonts w:ascii="Arial" w:eastAsia="Times New Roman" w:hAnsi="Arial" w:cs="Arial"/>
          <w:b/>
          <w:sz w:val="24"/>
          <w:szCs w:val="24"/>
          <w:lang w:eastAsia="en-GB"/>
        </w:rPr>
        <w:t xml:space="preserve">                                                                                            CASE NO: </w:t>
      </w:r>
      <w:r>
        <w:rPr>
          <w:rFonts w:ascii="Arial" w:eastAsia="Times New Roman" w:hAnsi="Arial" w:cs="Arial"/>
          <w:b/>
          <w:sz w:val="24"/>
          <w:szCs w:val="24"/>
          <w:lang w:eastAsia="en-GB"/>
        </w:rPr>
        <w:t>45040/2018</w:t>
      </w:r>
    </w:p>
    <w:p w:rsidR="00A73641" w:rsidRPr="00C66DC7" w:rsidRDefault="00A73641" w:rsidP="00A73641">
      <w:pPr>
        <w:spacing w:after="0" w:line="360" w:lineRule="auto"/>
        <w:ind w:left="305" w:hangingChars="127" w:hanging="305"/>
        <w:jc w:val="both"/>
        <w:rPr>
          <w:rFonts w:ascii="Arial" w:eastAsia="Times New Roman" w:hAnsi="Arial" w:cs="Arial"/>
          <w:sz w:val="24"/>
          <w:szCs w:val="24"/>
          <w:u w:val="single"/>
          <w:lang w:val="en-GB" w:eastAsia="en-GB"/>
        </w:rPr>
      </w:pPr>
      <w:r w:rsidRPr="00C66DC7">
        <w:rPr>
          <w:rFonts w:ascii="Arial" w:eastAsia="MS Mincho" w:hAnsi="Arial" w:cs="Arial"/>
          <w:noProof/>
          <w:sz w:val="24"/>
          <w:szCs w:val="24"/>
          <w:lang w:eastAsia="en-ZA"/>
        </w:rPr>
        <mc:AlternateContent>
          <mc:Choice Requires="wps">
            <w:drawing>
              <wp:anchor distT="0" distB="0" distL="114300" distR="114300" simplePos="0" relativeHeight="251659264" behindDoc="0" locked="0" layoutInCell="1" allowOverlap="1" wp14:anchorId="1BB6D4BA" wp14:editId="500B9A31">
                <wp:simplePos x="0" y="0"/>
                <wp:positionH relativeFrom="column">
                  <wp:posOffset>0</wp:posOffset>
                </wp:positionH>
                <wp:positionV relativeFrom="paragraph">
                  <wp:posOffset>167005</wp:posOffset>
                </wp:positionV>
                <wp:extent cx="3314700" cy="1266825"/>
                <wp:effectExtent l="0" t="0" r="381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9B7166" w:rsidRPr="004120A8" w:rsidRDefault="009B7166" w:rsidP="00A73641">
                            <w:pPr>
                              <w:jc w:val="center"/>
                              <w:rPr>
                                <w:rFonts w:ascii="Century Gothic" w:hAnsi="Century Gothic"/>
                                <w:b/>
                                <w:sz w:val="2"/>
                                <w:szCs w:val="18"/>
                              </w:rPr>
                            </w:pPr>
                          </w:p>
                          <w:p w:rsidR="009B7166" w:rsidRPr="004120A8" w:rsidRDefault="000845A8" w:rsidP="00A73641">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009B7166" w:rsidRPr="004120A8">
                              <w:rPr>
                                <w:rFonts w:ascii="Century Gothic" w:hAnsi="Century Gothic"/>
                                <w:sz w:val="18"/>
                                <w:szCs w:val="18"/>
                              </w:rPr>
                              <w:t>NO</w:t>
                            </w:r>
                          </w:p>
                          <w:p w:rsidR="009B7166" w:rsidRPr="004120A8" w:rsidRDefault="009B7166" w:rsidP="00A73641">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w:t>
                            </w:r>
                            <w:r w:rsidR="000845A8">
                              <w:rPr>
                                <w:rFonts w:ascii="Century Gothic" w:hAnsi="Century Gothic"/>
                                <w:sz w:val="18"/>
                                <w:szCs w:val="18"/>
                              </w:rPr>
                              <w:t xml:space="preserve"> INTEREST TO OTHER JUDGES: </w:t>
                            </w:r>
                            <w:r w:rsidRPr="004120A8">
                              <w:rPr>
                                <w:rFonts w:ascii="Century Gothic" w:hAnsi="Century Gothic"/>
                                <w:sz w:val="18"/>
                                <w:szCs w:val="18"/>
                              </w:rPr>
                              <w:t>NO</w:t>
                            </w:r>
                          </w:p>
                          <w:p w:rsidR="009B7166" w:rsidRPr="004120A8" w:rsidRDefault="009B7166" w:rsidP="00A73641">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9B7166" w:rsidRPr="004120A8" w:rsidRDefault="009B7166" w:rsidP="00A73641">
                            <w:pPr>
                              <w:rPr>
                                <w:rFonts w:ascii="Century Gothic" w:hAnsi="Century Gothic"/>
                                <w:b/>
                                <w:sz w:val="18"/>
                                <w:szCs w:val="18"/>
                              </w:rPr>
                            </w:pPr>
                          </w:p>
                          <w:p w:rsidR="009B7166" w:rsidRDefault="009B7166" w:rsidP="00A73641">
                            <w:pPr>
                              <w:spacing w:after="0"/>
                              <w:rPr>
                                <w:rFonts w:ascii="Century Gothic" w:hAnsi="Century Gothic"/>
                                <w:b/>
                                <w:sz w:val="18"/>
                                <w:szCs w:val="18"/>
                              </w:rPr>
                            </w:pPr>
                            <w:r>
                              <w:rPr>
                                <w:rFonts w:ascii="Century Gothic" w:hAnsi="Century Gothic"/>
                                <w:b/>
                                <w:sz w:val="18"/>
                                <w:szCs w:val="18"/>
                              </w:rPr>
                              <w:t xml:space="preserve"> </w:t>
                            </w:r>
                            <w:r w:rsidR="000845A8" w:rsidRPr="000845A8">
                              <w:rPr>
                                <w:rFonts w:ascii="Century Gothic" w:hAnsi="Century Gothic"/>
                                <w:sz w:val="18"/>
                                <w:szCs w:val="18"/>
                              </w:rPr>
                              <w:t>SENYATSI ML</w:t>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0845A8" w:rsidRPr="000845A8">
                              <w:rPr>
                                <w:rFonts w:ascii="Century Gothic" w:hAnsi="Century Gothic"/>
                                <w:sz w:val="18"/>
                                <w:szCs w:val="18"/>
                              </w:rPr>
                              <w:t>22-12-2021</w:t>
                            </w:r>
                            <w:r w:rsidRPr="000845A8">
                              <w:rPr>
                                <w:rFonts w:ascii="Century Gothic" w:hAnsi="Century Gothic"/>
                                <w:sz w:val="18"/>
                                <w:szCs w:val="18"/>
                              </w:rPr>
                              <w:tab/>
                            </w:r>
                          </w:p>
                          <w:p w:rsidR="009B7166" w:rsidRPr="004120A8" w:rsidRDefault="009B7166" w:rsidP="00A73641">
                            <w:pPr>
                              <w:spacing w:after="0"/>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4120A8">
                              <w:rPr>
                                <w:rFonts w:ascii="Century Gothic" w:hAnsi="Century Gothic"/>
                                <w:b/>
                                <w:sz w:val="18"/>
                                <w:szCs w:val="18"/>
                              </w:rPr>
                              <w:t>DATE</w:t>
                            </w:r>
                          </w:p>
                          <w:p w:rsidR="009B7166" w:rsidRPr="004120A8" w:rsidRDefault="009B7166" w:rsidP="00A73641">
                            <w:pPr>
                              <w:rPr>
                                <w:rFonts w:ascii="Century Gothic" w:hAnsi="Century Gothic"/>
                                <w:b/>
                                <w:sz w:val="2"/>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BB6D4BA" id="_x0000_t202" coordsize="21600,21600" o:spt="202" path="m,l,21600r21600,l21600,xe">
                <v:stroke joinstyle="miter"/>
                <v:path gradientshapeok="t" o:connecttype="rect"/>
              </v:shapetype>
              <v:shape id="Text Box 9" o:spid="_x0000_s1026" type="#_x0000_t202" style="position:absolute;left:0;text-align:left;margin-left:0;margin-top:13.1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GtGgIAADcEAAAOAAAAZHJzL2Uyb0RvYy54bWysU9tu2zAMfR+wfxD0vthJkzQx4hRbugwD&#10;ugvQ7gNkWbaF6TZKid19/Sg5TbML9jBMDwIpUofkIbm5GbQiRwFeWlPS6SSnRBhua2nakn552L9a&#10;UeIDMzVT1oiSPgpPb7YvX2x6V4iZ7ayqBRAEMb7oXUm7EFyRZZ53QjM/sU4YNDYWNAuoQpvVwHpE&#10;1yqb5fky6y3UDiwX3uPr7Wik24TfNIKHT03jRSCqpJhbSDeku4p3tt2wogXmOslPabB/yEIzaTDo&#10;GeqWBUYOIH+D0pKD9bYJE251ZptGcpFqwGqm+S/V3HfMiVQLkuPdmSb//2D5x+NnILIu6ZoSwzS2&#10;6EEMgbyxA1lHdnrnC3S6d+gWBnzGLqdKvbuz/Ksnxu46ZlrxGsD2nWA1ZjeNP7OLryOOjyBV/8HW&#10;GIYdgk1AQwM6UodkEETHLj2eOxNT4fh4dTWdX+do4mibzpbL1WyRYrDi6bsDH94Jq0kUSgrY+gTP&#10;jnc+xHRY8eQSo3mrZL2XSiUF2mqngBwZjsk+nRP6T27KkB6JWmDsv0Pk6fwJQsuA866kLunq7MSK&#10;yNtbU6dpDEyqUcaUlTkRGbkbWQxDNZwaU9n6ESkFO8417iEKnYXvlPQ40yX13w4MBCXqvcG2rKfz&#10;eVyCpMwX1zNU4NJSXVqY4QhV0kDJKO7CuDgHB7LtMNJzm3E6E8OnTYrjf6mnGp73ffsDAAD//wMA&#10;UEsDBBQABgAIAAAAIQB7GhBk3QAAAAcBAAAPAAAAZHJzL2Rvd25yZXYueG1sTI/BTsMwEETvSPyD&#10;tUhcEHVIaQghToWQQHCDguDqxtskwl4H203D37Oc4Dgzq5m39Xp2VkwY4uBJwcUiA4HUejNQp+Dt&#10;9f68BBGTJqOtJ1TwjRHWzfFRrSvjD/SC0yZ1gksoVlpBn9JYSRnbHp2OCz8icbbzwenEMnTSBH3g&#10;cmdlnmWFdHogXuj1iHc9tp+bvVNQXj5OH/Fp+fzeFjt7nc6upoevoNTpyXx7AyLhnP6O4Ref0aFh&#10;pq3fk4nCKuBHkoK8WILgdJXnbGzZyFclyKaW//mbHwAAAP//AwBQSwECLQAUAAYACAAAACEAtoM4&#10;kv4AAADhAQAAEwAAAAAAAAAAAAAAAAAAAAAAW0NvbnRlbnRfVHlwZXNdLnhtbFBLAQItABQABgAI&#10;AAAAIQA4/SH/1gAAAJQBAAALAAAAAAAAAAAAAAAAAC8BAABfcmVscy8ucmVsc1BLAQItABQABgAI&#10;AAAAIQDKt9GtGgIAADcEAAAOAAAAAAAAAAAAAAAAAC4CAABkcnMvZTJvRG9jLnhtbFBLAQItABQA&#10;BgAIAAAAIQB7GhBk3QAAAAcBAAAPAAAAAAAAAAAAAAAAAHQEAABkcnMvZG93bnJldi54bWxQSwUG&#10;AAAAAAQABADzAAAAfgUAAAAA&#10;">
                <v:textbox>
                  <w:txbxContent>
                    <w:p w:rsidR="009B7166" w:rsidRPr="004120A8" w:rsidRDefault="009B7166" w:rsidP="00A73641">
                      <w:pPr>
                        <w:jc w:val="center"/>
                        <w:rPr>
                          <w:rFonts w:ascii="Century Gothic" w:hAnsi="Century Gothic"/>
                          <w:b/>
                          <w:sz w:val="2"/>
                          <w:szCs w:val="18"/>
                        </w:rPr>
                      </w:pPr>
                    </w:p>
                    <w:p w:rsidR="009B7166" w:rsidRPr="004120A8" w:rsidRDefault="000845A8" w:rsidP="00A73641">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009B7166" w:rsidRPr="004120A8">
                        <w:rPr>
                          <w:rFonts w:ascii="Century Gothic" w:hAnsi="Century Gothic"/>
                          <w:sz w:val="18"/>
                          <w:szCs w:val="18"/>
                        </w:rPr>
                        <w:t>NO</w:t>
                      </w:r>
                    </w:p>
                    <w:p w:rsidR="009B7166" w:rsidRPr="004120A8" w:rsidRDefault="009B7166" w:rsidP="00A73641">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w:t>
                      </w:r>
                      <w:r w:rsidR="000845A8">
                        <w:rPr>
                          <w:rFonts w:ascii="Century Gothic" w:hAnsi="Century Gothic"/>
                          <w:sz w:val="18"/>
                          <w:szCs w:val="18"/>
                        </w:rPr>
                        <w:t xml:space="preserve"> INTEREST TO OTHER JUDGES: </w:t>
                      </w:r>
                      <w:r w:rsidRPr="004120A8">
                        <w:rPr>
                          <w:rFonts w:ascii="Century Gothic" w:hAnsi="Century Gothic"/>
                          <w:sz w:val="18"/>
                          <w:szCs w:val="18"/>
                        </w:rPr>
                        <w:t>NO</w:t>
                      </w:r>
                    </w:p>
                    <w:p w:rsidR="009B7166" w:rsidRPr="004120A8" w:rsidRDefault="009B7166" w:rsidP="00A73641">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9B7166" w:rsidRPr="004120A8" w:rsidRDefault="009B7166" w:rsidP="00A73641">
                      <w:pPr>
                        <w:rPr>
                          <w:rFonts w:ascii="Century Gothic" w:hAnsi="Century Gothic"/>
                          <w:b/>
                          <w:sz w:val="18"/>
                          <w:szCs w:val="18"/>
                        </w:rPr>
                      </w:pPr>
                    </w:p>
                    <w:p w:rsidR="009B7166" w:rsidRDefault="009B7166" w:rsidP="00A73641">
                      <w:pPr>
                        <w:spacing w:after="0"/>
                        <w:rPr>
                          <w:rFonts w:ascii="Century Gothic" w:hAnsi="Century Gothic"/>
                          <w:b/>
                          <w:sz w:val="18"/>
                          <w:szCs w:val="18"/>
                        </w:rPr>
                      </w:pPr>
                      <w:r>
                        <w:rPr>
                          <w:rFonts w:ascii="Century Gothic" w:hAnsi="Century Gothic"/>
                          <w:b/>
                          <w:sz w:val="18"/>
                          <w:szCs w:val="18"/>
                        </w:rPr>
                        <w:t xml:space="preserve"> </w:t>
                      </w:r>
                      <w:r w:rsidR="000845A8" w:rsidRPr="000845A8">
                        <w:rPr>
                          <w:rFonts w:ascii="Century Gothic" w:hAnsi="Century Gothic"/>
                          <w:sz w:val="18"/>
                          <w:szCs w:val="18"/>
                        </w:rPr>
                        <w:t>SENYATSI ML</w:t>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0845A8" w:rsidRPr="000845A8">
                        <w:rPr>
                          <w:rFonts w:ascii="Century Gothic" w:hAnsi="Century Gothic"/>
                          <w:sz w:val="18"/>
                          <w:szCs w:val="18"/>
                        </w:rPr>
                        <w:t>22-12-2021</w:t>
                      </w:r>
                      <w:r w:rsidRPr="000845A8">
                        <w:rPr>
                          <w:rFonts w:ascii="Century Gothic" w:hAnsi="Century Gothic"/>
                          <w:sz w:val="18"/>
                          <w:szCs w:val="18"/>
                        </w:rPr>
                        <w:tab/>
                      </w:r>
                    </w:p>
                    <w:p w:rsidR="009B7166" w:rsidRPr="004120A8" w:rsidRDefault="009B7166" w:rsidP="00A73641">
                      <w:pPr>
                        <w:spacing w:after="0"/>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4120A8">
                        <w:rPr>
                          <w:rFonts w:ascii="Century Gothic" w:hAnsi="Century Gothic"/>
                          <w:b/>
                          <w:sz w:val="18"/>
                          <w:szCs w:val="18"/>
                        </w:rPr>
                        <w:t>DATE</w:t>
                      </w:r>
                    </w:p>
                    <w:p w:rsidR="009B7166" w:rsidRPr="004120A8" w:rsidRDefault="009B7166" w:rsidP="00A73641">
                      <w:pPr>
                        <w:rPr>
                          <w:rFonts w:ascii="Century Gothic" w:hAnsi="Century Gothic"/>
                          <w:b/>
                          <w:sz w:val="2"/>
                          <w:szCs w:val="18"/>
                        </w:rPr>
                      </w:pPr>
                    </w:p>
                  </w:txbxContent>
                </v:textbox>
              </v:shape>
            </w:pict>
          </mc:Fallback>
        </mc:AlternateContent>
      </w:r>
    </w:p>
    <w:p w:rsidR="00A73641" w:rsidRPr="00C66DC7" w:rsidRDefault="00A73641" w:rsidP="00A73641">
      <w:pPr>
        <w:spacing w:after="0" w:line="360" w:lineRule="auto"/>
        <w:ind w:left="305" w:hangingChars="127" w:hanging="305"/>
        <w:jc w:val="both"/>
        <w:rPr>
          <w:rFonts w:ascii="Arial" w:eastAsia="Times New Roman" w:hAnsi="Arial" w:cs="Arial"/>
          <w:sz w:val="24"/>
          <w:szCs w:val="24"/>
          <w:u w:val="single"/>
          <w:lang w:val="en-GB" w:eastAsia="en-GB"/>
        </w:rPr>
      </w:pPr>
    </w:p>
    <w:p w:rsidR="00A73641" w:rsidRPr="00C66DC7" w:rsidRDefault="00A73641" w:rsidP="00A73641">
      <w:pPr>
        <w:spacing w:after="0" w:line="360" w:lineRule="auto"/>
        <w:ind w:left="305" w:hangingChars="127" w:hanging="305"/>
        <w:jc w:val="both"/>
        <w:rPr>
          <w:rFonts w:ascii="Arial" w:eastAsia="Times New Roman" w:hAnsi="Arial" w:cs="Arial"/>
          <w:sz w:val="24"/>
          <w:szCs w:val="24"/>
          <w:u w:val="single"/>
          <w:lang w:val="en-GB" w:eastAsia="en-GB"/>
        </w:rPr>
      </w:pPr>
    </w:p>
    <w:p w:rsidR="00A73641" w:rsidRPr="00C66DC7" w:rsidRDefault="00A73641" w:rsidP="00A73641">
      <w:pPr>
        <w:spacing w:after="0" w:line="360" w:lineRule="auto"/>
        <w:ind w:left="305" w:hangingChars="127" w:hanging="305"/>
        <w:jc w:val="both"/>
        <w:rPr>
          <w:rFonts w:ascii="Arial" w:eastAsia="Times New Roman" w:hAnsi="Arial" w:cs="Arial"/>
          <w:sz w:val="24"/>
          <w:szCs w:val="24"/>
          <w:u w:val="single"/>
          <w:lang w:val="en-GB" w:eastAsia="en-GB"/>
        </w:rPr>
      </w:pPr>
    </w:p>
    <w:p w:rsidR="00A73641" w:rsidRPr="00C66DC7" w:rsidRDefault="00A73641" w:rsidP="00A73641">
      <w:pPr>
        <w:spacing w:after="0" w:line="360" w:lineRule="auto"/>
        <w:ind w:left="305" w:hangingChars="127" w:hanging="305"/>
        <w:jc w:val="both"/>
        <w:rPr>
          <w:rFonts w:ascii="Arial" w:eastAsia="Calibri" w:hAnsi="Arial" w:cs="Arial"/>
          <w:sz w:val="24"/>
          <w:szCs w:val="24"/>
        </w:rPr>
      </w:pPr>
    </w:p>
    <w:p w:rsidR="00A73641" w:rsidRPr="00C66DC7" w:rsidRDefault="00A73641" w:rsidP="00A73641">
      <w:pPr>
        <w:widowControl w:val="0"/>
        <w:autoSpaceDE w:val="0"/>
        <w:autoSpaceDN w:val="0"/>
        <w:adjustRightInd w:val="0"/>
        <w:spacing w:after="0" w:line="360" w:lineRule="auto"/>
        <w:jc w:val="both"/>
        <w:rPr>
          <w:rFonts w:ascii="Arial" w:eastAsia="MS Mincho" w:hAnsi="Arial" w:cs="Arial"/>
          <w:color w:val="1B1919"/>
          <w:sz w:val="24"/>
          <w:szCs w:val="24"/>
          <w:lang w:val="en-GB" w:eastAsia="ja-JP"/>
        </w:rPr>
      </w:pPr>
    </w:p>
    <w:p w:rsidR="00A73641" w:rsidRPr="00C66DC7" w:rsidRDefault="00A73641" w:rsidP="00A73641">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C66DC7">
        <w:rPr>
          <w:rFonts w:ascii="Arial" w:eastAsia="MS Mincho" w:hAnsi="Arial" w:cs="Arial"/>
          <w:color w:val="1B1919"/>
          <w:sz w:val="24"/>
          <w:szCs w:val="24"/>
          <w:lang w:val="en-GB" w:eastAsia="ja-JP"/>
        </w:rPr>
        <w:t>In the matter between:</w:t>
      </w:r>
    </w:p>
    <w:p w:rsidR="00A73641" w:rsidRPr="00C66DC7" w:rsidRDefault="00A73641" w:rsidP="00A73641">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r>
        <w:rPr>
          <w:rFonts w:ascii="Arial" w:eastAsia="MS Mincho" w:hAnsi="Arial" w:cs="Arial"/>
          <w:b/>
          <w:color w:val="1B1919"/>
          <w:lang w:val="en-GB" w:eastAsia="ja-JP"/>
        </w:rPr>
        <w:t>MTHEMBU</w:t>
      </w:r>
      <w:r w:rsidR="00F30A0C">
        <w:rPr>
          <w:rFonts w:ascii="Arial" w:eastAsia="MS Mincho" w:hAnsi="Arial" w:cs="Arial"/>
          <w:b/>
          <w:color w:val="1B1919"/>
          <w:lang w:val="en-GB" w:eastAsia="ja-JP"/>
        </w:rPr>
        <w:t xml:space="preserve"> SYDNEY XOLANI</w:t>
      </w:r>
      <w:r w:rsidRPr="00C66DC7">
        <w:rPr>
          <w:rFonts w:ascii="Arial" w:eastAsia="MS Mincho" w:hAnsi="Arial" w:cs="Arial"/>
          <w:b/>
          <w:color w:val="1B1919"/>
          <w:lang w:val="en-GB" w:eastAsia="ja-JP"/>
        </w:rPr>
        <w:tab/>
      </w:r>
      <w:r>
        <w:rPr>
          <w:rFonts w:ascii="Arial" w:eastAsia="MS Mincho" w:hAnsi="Arial" w:cs="Arial"/>
          <w:b/>
          <w:color w:val="1B1919"/>
          <w:lang w:val="en-GB" w:eastAsia="ja-JP"/>
        </w:rPr>
        <w:tab/>
      </w:r>
      <w:r>
        <w:rPr>
          <w:rFonts w:ascii="Arial" w:eastAsia="MS Mincho" w:hAnsi="Arial" w:cs="Arial"/>
          <w:b/>
          <w:color w:val="1B1919"/>
          <w:lang w:val="en-GB" w:eastAsia="ja-JP"/>
        </w:rPr>
        <w:tab/>
      </w:r>
      <w:r>
        <w:rPr>
          <w:rFonts w:ascii="Arial" w:eastAsia="MS Mincho" w:hAnsi="Arial" w:cs="Arial"/>
          <w:b/>
          <w:color w:val="1B1919"/>
          <w:lang w:val="en-GB" w:eastAsia="ja-JP"/>
        </w:rPr>
        <w:tab/>
        <w:t xml:space="preserve">       </w:t>
      </w:r>
      <w:r w:rsidRPr="00C66DC7">
        <w:rPr>
          <w:rFonts w:ascii="Arial" w:eastAsia="MS Mincho" w:hAnsi="Arial" w:cs="Arial"/>
          <w:color w:val="1B1919"/>
          <w:lang w:val="en-GB" w:eastAsia="ja-JP"/>
        </w:rPr>
        <w:t xml:space="preserve"> </w:t>
      </w:r>
      <w:r>
        <w:rPr>
          <w:rFonts w:ascii="Arial" w:eastAsia="MS Mincho" w:hAnsi="Arial" w:cs="Arial"/>
          <w:color w:val="1B1919"/>
          <w:lang w:val="en-GB" w:eastAsia="ja-JP"/>
        </w:rPr>
        <w:tab/>
      </w:r>
      <w:r>
        <w:rPr>
          <w:rFonts w:ascii="Arial" w:eastAsia="MS Mincho" w:hAnsi="Arial" w:cs="Arial"/>
          <w:color w:val="1B1919"/>
          <w:lang w:val="en-GB" w:eastAsia="ja-JP"/>
        </w:rPr>
        <w:tab/>
        <w:t>Plaintiff</w:t>
      </w:r>
    </w:p>
    <w:p w:rsidR="00A73641" w:rsidRDefault="00A73641" w:rsidP="00A73641">
      <w:pPr>
        <w:widowControl w:val="0"/>
        <w:autoSpaceDE w:val="0"/>
        <w:autoSpaceDN w:val="0"/>
        <w:adjustRightInd w:val="0"/>
        <w:spacing w:after="0" w:line="600" w:lineRule="auto"/>
        <w:jc w:val="both"/>
        <w:rPr>
          <w:rFonts w:ascii="Arial" w:eastAsia="MS Mincho" w:hAnsi="Arial" w:cs="Arial"/>
          <w:b/>
          <w:bCs/>
          <w:color w:val="1B1919"/>
          <w:lang w:val="en-GB" w:eastAsia="ja-JP"/>
        </w:rPr>
      </w:pPr>
      <w:r w:rsidRPr="00C66DC7">
        <w:rPr>
          <w:rFonts w:ascii="Arial" w:eastAsia="MS Mincho" w:hAnsi="Arial" w:cs="Arial"/>
          <w:b/>
          <w:bCs/>
          <w:color w:val="1B1919"/>
          <w:lang w:val="en-GB" w:eastAsia="ja-JP"/>
        </w:rPr>
        <w:t xml:space="preserve">and   </w:t>
      </w:r>
    </w:p>
    <w:p w:rsidR="00F30A0C" w:rsidRDefault="00A73641" w:rsidP="00A73641">
      <w:pPr>
        <w:widowControl w:val="0"/>
        <w:autoSpaceDE w:val="0"/>
        <w:autoSpaceDN w:val="0"/>
        <w:adjustRightInd w:val="0"/>
        <w:spacing w:after="0" w:line="600" w:lineRule="auto"/>
        <w:jc w:val="both"/>
        <w:rPr>
          <w:rFonts w:ascii="Arial" w:eastAsia="MS Mincho" w:hAnsi="Arial" w:cs="Arial"/>
          <w:bCs/>
          <w:color w:val="1B1919"/>
          <w:lang w:val="en-GB" w:eastAsia="ja-JP"/>
        </w:rPr>
      </w:pPr>
      <w:r w:rsidRPr="00A73641">
        <w:rPr>
          <w:rFonts w:ascii="Arial" w:eastAsia="MS Mincho" w:hAnsi="Arial" w:cs="Arial"/>
          <w:b/>
          <w:bCs/>
          <w:color w:val="1B1919"/>
          <w:lang w:val="en-GB" w:eastAsia="ja-JP"/>
        </w:rPr>
        <w:t xml:space="preserve">MINISTER OF POLICE     </w:t>
      </w:r>
      <w:r w:rsidRPr="00C66DC7">
        <w:rPr>
          <w:rFonts w:ascii="Arial" w:eastAsia="MS Mincho" w:hAnsi="Arial" w:cs="Arial"/>
          <w:bCs/>
          <w:color w:val="1B1919"/>
          <w:lang w:val="en-GB" w:eastAsia="ja-JP"/>
        </w:rPr>
        <w:t xml:space="preserve"> </w:t>
      </w:r>
      <w:r>
        <w:rPr>
          <w:rFonts w:ascii="Arial" w:eastAsia="MS Mincho" w:hAnsi="Arial" w:cs="Arial"/>
          <w:bCs/>
          <w:color w:val="1B1919"/>
          <w:lang w:val="en-GB" w:eastAsia="ja-JP"/>
        </w:rPr>
        <w:tab/>
      </w:r>
      <w:r>
        <w:rPr>
          <w:rFonts w:ascii="Arial" w:eastAsia="MS Mincho" w:hAnsi="Arial" w:cs="Arial"/>
          <w:bCs/>
          <w:color w:val="1B1919"/>
          <w:lang w:val="en-GB" w:eastAsia="ja-JP"/>
        </w:rPr>
        <w:tab/>
      </w:r>
      <w:r>
        <w:rPr>
          <w:rFonts w:ascii="Arial" w:eastAsia="MS Mincho" w:hAnsi="Arial" w:cs="Arial"/>
          <w:bCs/>
          <w:color w:val="1B1919"/>
          <w:lang w:val="en-GB" w:eastAsia="ja-JP"/>
        </w:rPr>
        <w:tab/>
      </w:r>
      <w:r>
        <w:rPr>
          <w:rFonts w:ascii="Arial" w:eastAsia="MS Mincho" w:hAnsi="Arial" w:cs="Arial"/>
          <w:bCs/>
          <w:color w:val="1B1919"/>
          <w:lang w:val="en-GB" w:eastAsia="ja-JP"/>
        </w:rPr>
        <w:tab/>
      </w:r>
      <w:r w:rsidR="00F30A0C">
        <w:rPr>
          <w:rFonts w:ascii="Arial" w:eastAsia="MS Mincho" w:hAnsi="Arial" w:cs="Arial"/>
          <w:bCs/>
          <w:color w:val="1B1919"/>
          <w:lang w:val="en-GB" w:eastAsia="ja-JP"/>
        </w:rPr>
        <w:tab/>
      </w:r>
      <w:r w:rsidR="00F30A0C">
        <w:rPr>
          <w:rFonts w:ascii="Arial" w:eastAsia="MS Mincho" w:hAnsi="Arial" w:cs="Arial"/>
          <w:bCs/>
          <w:color w:val="1B1919"/>
          <w:lang w:val="en-GB" w:eastAsia="ja-JP"/>
        </w:rPr>
        <w:tab/>
      </w:r>
      <w:r w:rsidR="00F30A0C">
        <w:rPr>
          <w:rFonts w:ascii="Arial" w:eastAsia="MS Mincho" w:hAnsi="Arial" w:cs="Arial"/>
          <w:bCs/>
          <w:color w:val="1B1919"/>
          <w:lang w:val="en-GB" w:eastAsia="ja-JP"/>
        </w:rPr>
        <w:tab/>
        <w:t xml:space="preserve">First </w:t>
      </w:r>
      <w:r>
        <w:rPr>
          <w:rFonts w:ascii="Arial" w:eastAsia="MS Mincho" w:hAnsi="Arial" w:cs="Arial"/>
          <w:bCs/>
          <w:color w:val="1B1919"/>
          <w:lang w:val="en-GB" w:eastAsia="ja-JP"/>
        </w:rPr>
        <w:t>Defendant</w:t>
      </w:r>
      <w:r w:rsidRPr="00C66DC7">
        <w:rPr>
          <w:rFonts w:ascii="Arial" w:eastAsia="MS Mincho" w:hAnsi="Arial" w:cs="Arial"/>
          <w:bCs/>
          <w:color w:val="1B1919"/>
          <w:lang w:val="en-GB" w:eastAsia="ja-JP"/>
        </w:rPr>
        <w:t xml:space="preserve">  </w:t>
      </w:r>
    </w:p>
    <w:p w:rsidR="00A73641" w:rsidRPr="00F30A0C" w:rsidRDefault="00F30A0C" w:rsidP="00A73641">
      <w:pPr>
        <w:widowControl w:val="0"/>
        <w:autoSpaceDE w:val="0"/>
        <w:autoSpaceDN w:val="0"/>
        <w:adjustRightInd w:val="0"/>
        <w:spacing w:after="0" w:line="600" w:lineRule="auto"/>
        <w:jc w:val="both"/>
        <w:rPr>
          <w:rFonts w:ascii="Arial" w:eastAsia="MS Mincho" w:hAnsi="Arial" w:cs="Arial"/>
          <w:b/>
          <w:bCs/>
          <w:color w:val="1B1919"/>
          <w:lang w:val="en-GB" w:eastAsia="ja-JP"/>
        </w:rPr>
      </w:pPr>
      <w:r w:rsidRPr="00F30A0C">
        <w:rPr>
          <w:rFonts w:ascii="Arial" w:eastAsia="MS Mincho" w:hAnsi="Arial" w:cs="Arial"/>
          <w:b/>
          <w:bCs/>
          <w:color w:val="1B1919"/>
          <w:lang w:val="en-GB" w:eastAsia="ja-JP"/>
        </w:rPr>
        <w:t>NATIONAL DIRECTOR OF PUBLIC PROSECUTIONS</w:t>
      </w:r>
      <w:r w:rsidR="00A73641" w:rsidRPr="00C66DC7">
        <w:rPr>
          <w:rFonts w:ascii="Arial" w:eastAsia="MS Mincho" w:hAnsi="Arial" w:cs="Arial"/>
          <w:bCs/>
          <w:color w:val="1B1919"/>
          <w:lang w:val="en-GB" w:eastAsia="ja-JP"/>
        </w:rPr>
        <w:t xml:space="preserve">                   </w:t>
      </w:r>
      <w:r w:rsidR="00A73641">
        <w:rPr>
          <w:rFonts w:ascii="Arial" w:eastAsia="MS Mincho" w:hAnsi="Arial" w:cs="Arial"/>
          <w:bCs/>
          <w:color w:val="1B1919"/>
          <w:lang w:val="en-GB" w:eastAsia="ja-JP"/>
        </w:rPr>
        <w:tab/>
      </w:r>
      <w:r>
        <w:rPr>
          <w:rFonts w:ascii="Arial" w:eastAsia="MS Mincho" w:hAnsi="Arial" w:cs="Arial"/>
          <w:bCs/>
          <w:color w:val="1B1919"/>
          <w:lang w:val="en-GB" w:eastAsia="ja-JP"/>
        </w:rPr>
        <w:t>Second Defendant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73641" w:rsidRPr="00C66DC7" w:rsidTr="00487CC8">
        <w:trPr>
          <w:trHeight w:val="108"/>
        </w:trPr>
        <w:tc>
          <w:tcPr>
            <w:tcW w:w="8931" w:type="dxa"/>
          </w:tcPr>
          <w:p w:rsidR="00A73641" w:rsidRPr="00C66DC7" w:rsidRDefault="00A73641" w:rsidP="00487CC8">
            <w:pPr>
              <w:tabs>
                <w:tab w:val="left" w:pos="0"/>
              </w:tabs>
              <w:spacing w:after="0" w:line="480" w:lineRule="auto"/>
              <w:jc w:val="center"/>
              <w:rPr>
                <w:rFonts w:ascii="Arial" w:eastAsia="Times New Roman" w:hAnsi="Arial" w:cs="Arial"/>
                <w:b/>
                <w:color w:val="0E101A"/>
                <w:sz w:val="24"/>
                <w:szCs w:val="24"/>
                <w:lang w:eastAsia="en-ZA"/>
              </w:rPr>
            </w:pPr>
          </w:p>
          <w:p w:rsidR="00A73641" w:rsidRPr="00C66DC7" w:rsidRDefault="00A73641" w:rsidP="00487CC8">
            <w:pPr>
              <w:tabs>
                <w:tab w:val="left" w:pos="0"/>
              </w:tabs>
              <w:spacing w:after="0" w:line="480" w:lineRule="auto"/>
              <w:jc w:val="center"/>
              <w:rPr>
                <w:rFonts w:ascii="Arial" w:eastAsia="Times New Roman" w:hAnsi="Arial" w:cs="Arial"/>
                <w:b/>
                <w:color w:val="0E101A"/>
                <w:sz w:val="24"/>
                <w:szCs w:val="24"/>
                <w:lang w:eastAsia="en-ZA"/>
              </w:rPr>
            </w:pPr>
            <w:r w:rsidRPr="00C66DC7">
              <w:rPr>
                <w:rFonts w:ascii="Arial" w:eastAsia="Times New Roman" w:hAnsi="Arial" w:cs="Arial"/>
                <w:b/>
                <w:color w:val="0E101A"/>
                <w:sz w:val="24"/>
                <w:szCs w:val="24"/>
                <w:lang w:eastAsia="en-ZA"/>
              </w:rPr>
              <w:t>JUDGMENT</w:t>
            </w:r>
          </w:p>
        </w:tc>
      </w:tr>
    </w:tbl>
    <w:p w:rsidR="00A73641" w:rsidRPr="00C66DC7" w:rsidRDefault="00A73641" w:rsidP="00A73641">
      <w:pPr>
        <w:spacing w:after="200" w:line="240" w:lineRule="auto"/>
        <w:rPr>
          <w:rFonts w:ascii="Arial" w:eastAsia="Times New Roman" w:hAnsi="Arial" w:cs="Arial"/>
          <w:i/>
          <w:lang w:eastAsia="en-ZA"/>
        </w:rPr>
      </w:pPr>
    </w:p>
    <w:p w:rsidR="00A73641" w:rsidRPr="00C66DC7" w:rsidRDefault="00A73641" w:rsidP="00A73641">
      <w:pPr>
        <w:spacing w:after="200" w:line="240" w:lineRule="auto"/>
        <w:rPr>
          <w:rFonts w:ascii="Arial" w:eastAsia="Times New Roman" w:hAnsi="Arial" w:cs="Arial"/>
          <w:i/>
          <w:lang w:eastAsia="en-ZA"/>
        </w:rPr>
      </w:pPr>
    </w:p>
    <w:p w:rsidR="00A73641" w:rsidRPr="00C66DC7" w:rsidRDefault="00A73641" w:rsidP="00A73641">
      <w:pPr>
        <w:spacing w:after="200" w:line="240" w:lineRule="auto"/>
        <w:ind w:firstLine="720"/>
        <w:rPr>
          <w:rFonts w:ascii="Arial" w:eastAsia="Arial Unicode MS" w:hAnsi="Arial" w:cs="Arial"/>
          <w:bCs/>
          <w:i/>
          <w:lang w:val="en-GB" w:eastAsia="zh-CN"/>
        </w:rPr>
      </w:pPr>
      <w:r w:rsidRPr="00C66DC7">
        <w:rPr>
          <w:rFonts w:ascii="Arial" w:eastAsia="Arial Unicode MS" w:hAnsi="Arial" w:cs="Arial"/>
          <w:b/>
          <w:bCs/>
          <w:i/>
          <w:u w:val="single"/>
          <w:lang w:val="en-GB" w:eastAsia="zh-CN"/>
        </w:rPr>
        <w:t>Delivered:</w:t>
      </w:r>
      <w:r w:rsidRPr="00C66DC7">
        <w:rPr>
          <w:rFonts w:ascii="Arial" w:eastAsia="Arial Unicode MS" w:hAnsi="Arial" w:cs="Arial"/>
          <w:bCs/>
          <w:i/>
          <w:lang w:val="en-GB" w:eastAsia="zh-CN"/>
        </w:rPr>
        <w:t xml:space="preserve"> By transmission to the parties via email and uploading onto Case Lines</w:t>
      </w:r>
    </w:p>
    <w:p w:rsidR="00A73641" w:rsidRPr="00C66DC7" w:rsidRDefault="00A73641" w:rsidP="00A73641">
      <w:pPr>
        <w:spacing w:after="200" w:line="240" w:lineRule="auto"/>
        <w:ind w:firstLine="720"/>
        <w:rPr>
          <w:rFonts w:ascii="Arial" w:eastAsia="Arial Unicode MS" w:hAnsi="Arial" w:cs="Arial"/>
          <w:bCs/>
          <w:i/>
          <w:lang w:val="en-GB" w:eastAsia="zh-CN"/>
        </w:rPr>
      </w:pPr>
      <w:r w:rsidRPr="00C66DC7">
        <w:rPr>
          <w:rFonts w:ascii="Arial" w:eastAsia="Arial Unicode MS" w:hAnsi="Arial" w:cs="Arial"/>
          <w:bCs/>
          <w:i/>
          <w:lang w:val="en-GB" w:eastAsia="zh-CN"/>
        </w:rPr>
        <w:t>the Judgment is deemed to be delivered. The date for hand-down is deemed to be</w:t>
      </w:r>
    </w:p>
    <w:p w:rsidR="00A73641" w:rsidRPr="00C66DC7" w:rsidRDefault="00A73641" w:rsidP="00A73641">
      <w:pPr>
        <w:tabs>
          <w:tab w:val="left" w:pos="0"/>
        </w:tabs>
        <w:spacing w:after="0" w:line="480" w:lineRule="auto"/>
        <w:rPr>
          <w:rFonts w:ascii="Arial" w:eastAsia="Arial Unicode MS" w:hAnsi="Arial" w:cs="Arial"/>
          <w:bCs/>
          <w:i/>
          <w:lang w:val="en-GB" w:eastAsia="zh-CN"/>
        </w:rPr>
      </w:pPr>
      <w:r w:rsidRPr="00C66DC7">
        <w:rPr>
          <w:rFonts w:ascii="Arial" w:eastAsia="Arial Unicode MS" w:hAnsi="Arial" w:cs="Arial"/>
          <w:bCs/>
          <w:i/>
          <w:lang w:val="en-GB" w:eastAsia="zh-CN"/>
        </w:rPr>
        <w:tab/>
      </w:r>
      <w:r w:rsidR="000845A8">
        <w:rPr>
          <w:rFonts w:ascii="Arial" w:eastAsia="Arial Unicode MS" w:hAnsi="Arial" w:cs="Arial"/>
          <w:bCs/>
          <w:i/>
          <w:lang w:val="en-GB" w:eastAsia="zh-CN"/>
        </w:rPr>
        <w:t xml:space="preserve">22 </w:t>
      </w:r>
      <w:r>
        <w:rPr>
          <w:rFonts w:ascii="Arial" w:eastAsia="Arial Unicode MS" w:hAnsi="Arial" w:cs="Arial"/>
          <w:bCs/>
          <w:i/>
          <w:lang w:val="en-GB" w:eastAsia="zh-CN"/>
        </w:rPr>
        <w:t xml:space="preserve">December </w:t>
      </w:r>
      <w:r w:rsidRPr="00C66DC7">
        <w:rPr>
          <w:rFonts w:ascii="Arial" w:eastAsia="Arial Unicode MS" w:hAnsi="Arial" w:cs="Arial"/>
          <w:bCs/>
          <w:i/>
          <w:lang w:val="en-GB" w:eastAsia="zh-CN"/>
        </w:rPr>
        <w:t>2021</w:t>
      </w:r>
    </w:p>
    <w:p w:rsidR="00A73641" w:rsidRPr="00C66DC7" w:rsidRDefault="00A73641" w:rsidP="00A73641">
      <w:pPr>
        <w:tabs>
          <w:tab w:val="left" w:pos="0"/>
        </w:tabs>
        <w:spacing w:after="0" w:line="480" w:lineRule="auto"/>
        <w:rPr>
          <w:rFonts w:ascii="Arial" w:eastAsia="Times New Roman" w:hAnsi="Arial" w:cs="Arial"/>
          <w:i/>
          <w:lang w:eastAsia="en-ZA"/>
        </w:rPr>
      </w:pPr>
    </w:p>
    <w:p w:rsidR="00A73641" w:rsidRPr="00F30A0C" w:rsidRDefault="00A73641" w:rsidP="00A73641">
      <w:pPr>
        <w:widowControl w:val="0"/>
        <w:autoSpaceDE w:val="0"/>
        <w:autoSpaceDN w:val="0"/>
        <w:adjustRightInd w:val="0"/>
        <w:spacing w:after="0" w:line="600" w:lineRule="auto"/>
        <w:ind w:left="306" w:firstLine="414"/>
        <w:jc w:val="both"/>
        <w:rPr>
          <w:rFonts w:ascii="Arial" w:eastAsia="MS Mincho" w:hAnsi="Arial" w:cs="Arial"/>
          <w:b/>
          <w:color w:val="1B1919"/>
          <w:sz w:val="24"/>
          <w:szCs w:val="24"/>
          <w:u w:val="single"/>
          <w:lang w:val="en-GB" w:eastAsia="ja-JP"/>
        </w:rPr>
      </w:pPr>
      <w:r w:rsidRPr="00F30A0C">
        <w:rPr>
          <w:rFonts w:ascii="Arial" w:eastAsia="MS Mincho" w:hAnsi="Arial" w:cs="Arial"/>
          <w:b/>
          <w:color w:val="1B1919"/>
          <w:sz w:val="24"/>
          <w:szCs w:val="24"/>
          <w:u w:val="single"/>
          <w:lang w:val="en-GB" w:eastAsia="ja-JP"/>
        </w:rPr>
        <w:lastRenderedPageBreak/>
        <w:t xml:space="preserve">SENYATSI J: </w:t>
      </w:r>
    </w:p>
    <w:p w:rsidR="00A73641" w:rsidRPr="00F30A0C" w:rsidRDefault="00025B35" w:rsidP="00A73641">
      <w:pPr>
        <w:widowControl w:val="0"/>
        <w:autoSpaceDE w:val="0"/>
        <w:autoSpaceDN w:val="0"/>
        <w:adjustRightInd w:val="0"/>
        <w:spacing w:after="0" w:line="600" w:lineRule="auto"/>
        <w:ind w:left="306" w:firstLine="414"/>
        <w:jc w:val="both"/>
        <w:rPr>
          <w:rFonts w:ascii="Arial" w:eastAsia="MS Mincho" w:hAnsi="Arial" w:cs="Arial"/>
          <w:b/>
          <w:color w:val="1B1919"/>
          <w:sz w:val="24"/>
          <w:szCs w:val="24"/>
          <w:lang w:val="en-GB" w:eastAsia="ja-JP"/>
        </w:rPr>
      </w:pPr>
      <w:r>
        <w:rPr>
          <w:rFonts w:ascii="Arial" w:eastAsia="MS Mincho" w:hAnsi="Arial" w:cs="Arial"/>
          <w:b/>
          <w:color w:val="1B1919"/>
          <w:sz w:val="24"/>
          <w:szCs w:val="24"/>
          <w:lang w:val="en-GB" w:eastAsia="ja-JP"/>
        </w:rPr>
        <w:t>INTRODUCTION</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lang w:eastAsia="en-ZA"/>
        </w:rPr>
        <w:t>[1]</w:t>
      </w:r>
      <w:r>
        <w:rPr>
          <w:rFonts w:ascii="Arial" w:eastAsia="Times New Roman" w:hAnsi="Arial" w:cs="Arial"/>
          <w:color w:val="000000"/>
          <w:lang w:eastAsia="en-ZA"/>
        </w:rPr>
        <w:tab/>
      </w:r>
      <w:r w:rsidRPr="00631657">
        <w:rPr>
          <w:rFonts w:ascii="Arial" w:eastAsia="Times New Roman" w:hAnsi="Arial" w:cs="Arial"/>
          <w:color w:val="000000"/>
          <w:sz w:val="24"/>
          <w:szCs w:val="24"/>
          <w:lang w:eastAsia="en-ZA"/>
        </w:rPr>
        <w:t>This case highlights the importance of applying for condonation of l</w:t>
      </w:r>
      <w:r w:rsidR="000845A8">
        <w:rPr>
          <w:rFonts w:ascii="Arial" w:eastAsia="Times New Roman" w:hAnsi="Arial" w:cs="Arial"/>
          <w:color w:val="000000"/>
          <w:sz w:val="24"/>
          <w:szCs w:val="24"/>
          <w:lang w:eastAsia="en-ZA"/>
        </w:rPr>
        <w:t>ate filing of prescribed notice in terms of the rules of court when litigation is launched</w:t>
      </w:r>
      <w:r w:rsidRPr="00631657">
        <w:rPr>
          <w:rFonts w:ascii="Arial" w:eastAsia="Times New Roman" w:hAnsi="Arial" w:cs="Arial"/>
          <w:color w:val="000000"/>
          <w:sz w:val="24"/>
          <w:szCs w:val="24"/>
          <w:lang w:eastAsia="en-ZA"/>
        </w:rPr>
        <w:t xml:space="preserve"> against certain organs of the State.</w:t>
      </w:r>
    </w:p>
    <w:p w:rsidR="00A73641"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w:t>
      </w:r>
      <w:r w:rsidRPr="00631657">
        <w:rPr>
          <w:rFonts w:ascii="Arial" w:eastAsia="Times New Roman" w:hAnsi="Arial" w:cs="Arial"/>
          <w:color w:val="000000"/>
          <w:sz w:val="24"/>
          <w:szCs w:val="24"/>
          <w:lang w:eastAsia="en-ZA"/>
        </w:rPr>
        <w:tab/>
        <w:t>In a suit for damages for wrongful arrest and malicious prosecution of the Plaintiff,</w:t>
      </w:r>
      <w:r w:rsidR="000845A8">
        <w:rPr>
          <w:rFonts w:ascii="Arial" w:eastAsia="Times New Roman" w:hAnsi="Arial" w:cs="Arial"/>
          <w:color w:val="000000"/>
          <w:sz w:val="24"/>
          <w:szCs w:val="24"/>
          <w:lang w:eastAsia="en-ZA"/>
        </w:rPr>
        <w:t xml:space="preserve"> at hearing the parties applied</w:t>
      </w:r>
      <w:r w:rsidRPr="00631657">
        <w:rPr>
          <w:rFonts w:ascii="Arial" w:eastAsia="Times New Roman" w:hAnsi="Arial" w:cs="Arial"/>
          <w:color w:val="000000"/>
          <w:sz w:val="24"/>
          <w:szCs w:val="24"/>
          <w:lang w:eastAsia="en-ZA"/>
        </w:rPr>
        <w:t xml:space="preserve"> to separate the issues for determination. The special pleas filed on behalf of the Defendants were</w:t>
      </w:r>
      <w:r w:rsidR="000845A8">
        <w:rPr>
          <w:rFonts w:ascii="Arial" w:eastAsia="Times New Roman" w:hAnsi="Arial" w:cs="Arial"/>
          <w:color w:val="000000"/>
          <w:sz w:val="24"/>
          <w:szCs w:val="24"/>
          <w:lang w:eastAsia="en-ZA"/>
        </w:rPr>
        <w:t xml:space="preserve"> ordered by court</w:t>
      </w:r>
      <w:r w:rsidRPr="00631657">
        <w:rPr>
          <w:rFonts w:ascii="Arial" w:eastAsia="Times New Roman" w:hAnsi="Arial" w:cs="Arial"/>
          <w:color w:val="000000"/>
          <w:sz w:val="24"/>
          <w:szCs w:val="24"/>
          <w:lang w:eastAsia="en-ZA"/>
        </w:rPr>
        <w:t xml:space="preserve"> </w:t>
      </w:r>
      <w:r w:rsidR="000845A8">
        <w:rPr>
          <w:rFonts w:ascii="Arial" w:eastAsia="Times New Roman" w:hAnsi="Arial" w:cs="Arial"/>
          <w:color w:val="000000"/>
          <w:sz w:val="24"/>
          <w:szCs w:val="24"/>
          <w:lang w:eastAsia="en-ZA"/>
        </w:rPr>
        <w:t>to be dealt with and if the pleas were not successful then the merits would be dealt with at a later date.</w:t>
      </w:r>
    </w:p>
    <w:p w:rsidR="000845A8" w:rsidRPr="00631657" w:rsidRDefault="000845A8" w:rsidP="00A73641">
      <w:pPr>
        <w:spacing w:after="0" w:line="480" w:lineRule="auto"/>
        <w:ind w:left="720" w:hanging="720"/>
        <w:jc w:val="both"/>
        <w:rPr>
          <w:rFonts w:ascii="Arial" w:eastAsia="Times New Roman" w:hAnsi="Arial" w:cs="Arial"/>
          <w:color w:val="000000"/>
          <w:sz w:val="24"/>
          <w:szCs w:val="24"/>
          <w:lang w:eastAsia="en-ZA"/>
        </w:rPr>
      </w:pPr>
    </w:p>
    <w:p w:rsidR="00A73641" w:rsidRPr="00631657" w:rsidRDefault="00A73641" w:rsidP="00A73641">
      <w:pPr>
        <w:spacing w:after="0" w:line="480" w:lineRule="auto"/>
        <w:ind w:left="720" w:hanging="720"/>
        <w:jc w:val="both"/>
        <w:rPr>
          <w:rFonts w:ascii="Arial" w:eastAsia="Times New Roman" w:hAnsi="Arial" w:cs="Arial"/>
          <w:b/>
          <w:color w:val="000000"/>
          <w:sz w:val="24"/>
          <w:szCs w:val="24"/>
          <w:lang w:eastAsia="en-ZA"/>
        </w:rPr>
      </w:pPr>
      <w:r w:rsidRPr="00631657">
        <w:rPr>
          <w:rFonts w:ascii="Arial" w:eastAsia="Times New Roman" w:hAnsi="Arial" w:cs="Arial"/>
          <w:color w:val="000000"/>
          <w:sz w:val="24"/>
          <w:szCs w:val="24"/>
          <w:lang w:eastAsia="en-ZA"/>
        </w:rPr>
        <w:tab/>
      </w:r>
      <w:r w:rsidRPr="00631657">
        <w:rPr>
          <w:rFonts w:ascii="Arial" w:eastAsia="Times New Roman" w:hAnsi="Arial" w:cs="Arial"/>
          <w:b/>
          <w:color w:val="000000"/>
          <w:sz w:val="24"/>
          <w:szCs w:val="24"/>
          <w:lang w:eastAsia="en-ZA"/>
        </w:rPr>
        <w:t>BRIEF BACKGROUND</w:t>
      </w:r>
      <w:r w:rsidRPr="00631657">
        <w:rPr>
          <w:rFonts w:ascii="Arial" w:eastAsia="Times New Roman" w:hAnsi="Arial" w:cs="Arial"/>
          <w:b/>
          <w:color w:val="000000"/>
          <w:sz w:val="24"/>
          <w:szCs w:val="24"/>
          <w:lang w:eastAsia="en-ZA"/>
        </w:rPr>
        <w:tab/>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[3]</w:t>
      </w:r>
      <w:r w:rsidRPr="00631657">
        <w:rPr>
          <w:rFonts w:ascii="Arial" w:eastAsia="Times New Roman" w:hAnsi="Arial" w:cs="Arial"/>
          <w:color w:val="000000"/>
          <w:sz w:val="24"/>
          <w:szCs w:val="24"/>
          <w:lang w:eastAsia="en-ZA"/>
        </w:rPr>
        <w:tab/>
        <w:t xml:space="preserve">The Plaintiff </w:t>
      </w:r>
      <w:r w:rsidR="000845A8">
        <w:rPr>
          <w:rFonts w:ascii="Arial" w:eastAsia="Times New Roman" w:hAnsi="Arial" w:cs="Arial"/>
          <w:color w:val="000000"/>
          <w:sz w:val="24"/>
          <w:szCs w:val="24"/>
          <w:lang w:eastAsia="en-ZA"/>
        </w:rPr>
        <w:t xml:space="preserve">was </w:t>
      </w:r>
      <w:r w:rsidR="003E1FED" w:rsidRPr="00631657">
        <w:rPr>
          <w:rFonts w:ascii="Arial" w:eastAsia="Times New Roman" w:hAnsi="Arial" w:cs="Arial"/>
          <w:color w:val="000000"/>
          <w:sz w:val="24"/>
          <w:szCs w:val="24"/>
          <w:lang w:eastAsia="en-ZA"/>
        </w:rPr>
        <w:t>arrest</w:t>
      </w:r>
      <w:r w:rsidR="000845A8">
        <w:rPr>
          <w:rFonts w:ascii="Arial" w:eastAsia="Times New Roman" w:hAnsi="Arial" w:cs="Arial"/>
          <w:color w:val="000000"/>
          <w:sz w:val="24"/>
          <w:szCs w:val="24"/>
          <w:lang w:eastAsia="en-ZA"/>
        </w:rPr>
        <w:t>ed</w:t>
      </w:r>
      <w:r w:rsidR="003E1FED" w:rsidRPr="00631657">
        <w:rPr>
          <w:rFonts w:ascii="Arial" w:eastAsia="Times New Roman" w:hAnsi="Arial" w:cs="Arial"/>
          <w:color w:val="000000"/>
          <w:sz w:val="24"/>
          <w:szCs w:val="24"/>
          <w:lang w:eastAsia="en-ZA"/>
        </w:rPr>
        <w:t xml:space="preserve"> without a warrant by police on 27 July 2015. He remained in custody until 3 December 2015 when charges of robbery were withdrawn against him.</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[4]</w:t>
      </w:r>
      <w:r w:rsidR="003E1FED" w:rsidRPr="00631657">
        <w:rPr>
          <w:rFonts w:ascii="Arial" w:eastAsia="Times New Roman" w:hAnsi="Arial" w:cs="Arial"/>
          <w:color w:val="000000"/>
          <w:sz w:val="24"/>
          <w:szCs w:val="24"/>
          <w:lang w:eastAsia="en-ZA"/>
        </w:rPr>
        <w:tab/>
        <w:t>Summons was issued and served on the National Commissioner of the South African Police Service on 25 January 2019 and on the second Defendant on 12 February 2019.</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[5]</w:t>
      </w:r>
      <w:r w:rsidR="003E1FED" w:rsidRPr="00631657">
        <w:rPr>
          <w:rFonts w:ascii="Arial" w:eastAsia="Times New Roman" w:hAnsi="Arial" w:cs="Arial"/>
          <w:color w:val="000000"/>
          <w:sz w:val="24"/>
          <w:szCs w:val="24"/>
          <w:lang w:eastAsia="en-ZA"/>
        </w:rPr>
        <w:tab/>
        <w:t>On 8 March 2019 notice of intention to defend was filed on behalf of the Defendants by the State Attorney.</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[6]</w:t>
      </w:r>
      <w:r w:rsidR="003E1FED" w:rsidRPr="00631657">
        <w:rPr>
          <w:rFonts w:ascii="Arial" w:eastAsia="Times New Roman" w:hAnsi="Arial" w:cs="Arial"/>
          <w:color w:val="000000"/>
          <w:sz w:val="24"/>
          <w:szCs w:val="24"/>
          <w:lang w:eastAsia="en-ZA"/>
        </w:rPr>
        <w:tab/>
        <w:t>On 25 May 2020 summons was</w:t>
      </w:r>
      <w:r w:rsidR="00712FBA" w:rsidRPr="00631657">
        <w:rPr>
          <w:rFonts w:ascii="Arial" w:eastAsia="Times New Roman" w:hAnsi="Arial" w:cs="Arial"/>
          <w:color w:val="000000"/>
          <w:sz w:val="24"/>
          <w:szCs w:val="24"/>
          <w:lang w:eastAsia="en-ZA"/>
        </w:rPr>
        <w:t xml:space="preserve"> served on the Provincial Commissioner of South African on the State Attorney</w:t>
      </w:r>
      <w:r w:rsidR="000845A8">
        <w:rPr>
          <w:rFonts w:ascii="Arial" w:eastAsia="Times New Roman" w:hAnsi="Arial" w:cs="Arial"/>
          <w:color w:val="000000"/>
          <w:sz w:val="24"/>
          <w:szCs w:val="24"/>
          <w:lang w:eastAsia="en-ZA"/>
        </w:rPr>
        <w:t xml:space="preserve"> on 5 October 2021</w:t>
      </w:r>
      <w:r w:rsidR="00712FBA" w:rsidRPr="00631657">
        <w:rPr>
          <w:rFonts w:ascii="Arial" w:eastAsia="Times New Roman" w:hAnsi="Arial" w:cs="Arial"/>
          <w:color w:val="000000"/>
          <w:sz w:val="24"/>
          <w:szCs w:val="24"/>
          <w:lang w:eastAsia="en-ZA"/>
        </w:rPr>
        <w:t>.</w:t>
      </w:r>
    </w:p>
    <w:p w:rsidR="000845A8"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[7]</w:t>
      </w:r>
      <w:r w:rsidR="00712FBA" w:rsidRPr="00631657">
        <w:rPr>
          <w:rFonts w:ascii="Arial" w:eastAsia="Times New Roman" w:hAnsi="Arial" w:cs="Arial"/>
          <w:color w:val="000000"/>
          <w:sz w:val="24"/>
          <w:szCs w:val="24"/>
          <w:lang w:eastAsia="en-ZA"/>
        </w:rPr>
        <w:tab/>
        <w:t>Before summons was issued and served, notice of intention to</w:t>
      </w:r>
      <w:r w:rsidR="003F56C6" w:rsidRPr="00631657">
        <w:rPr>
          <w:rFonts w:ascii="Arial" w:eastAsia="Times New Roman" w:hAnsi="Arial" w:cs="Arial"/>
          <w:color w:val="000000"/>
          <w:sz w:val="24"/>
          <w:szCs w:val="24"/>
          <w:lang w:eastAsia="en-ZA"/>
        </w:rPr>
        <w:t xml:space="preserve"> instit</w:t>
      </w:r>
      <w:r w:rsidR="000845A8">
        <w:rPr>
          <w:rFonts w:ascii="Arial" w:eastAsia="Times New Roman" w:hAnsi="Arial" w:cs="Arial"/>
          <w:color w:val="000000"/>
          <w:sz w:val="24"/>
          <w:szCs w:val="24"/>
          <w:lang w:eastAsia="en-ZA"/>
        </w:rPr>
        <w:t>ute legal action had been sent on</w:t>
      </w:r>
      <w:r w:rsidR="003F56C6" w:rsidRPr="00631657">
        <w:rPr>
          <w:rFonts w:ascii="Arial" w:eastAsia="Times New Roman" w:hAnsi="Arial" w:cs="Arial"/>
          <w:color w:val="000000"/>
          <w:sz w:val="24"/>
          <w:szCs w:val="24"/>
          <w:lang w:eastAsia="en-ZA"/>
        </w:rPr>
        <w:t xml:space="preserve"> behalf of the Plaintiff on the National </w:t>
      </w:r>
      <w:r w:rsidR="000845A8">
        <w:rPr>
          <w:rFonts w:ascii="Arial" w:eastAsia="Times New Roman" w:hAnsi="Arial" w:cs="Arial"/>
          <w:color w:val="000000"/>
          <w:sz w:val="24"/>
          <w:szCs w:val="24"/>
          <w:lang w:eastAsia="en-ZA"/>
        </w:rPr>
        <w:t xml:space="preserve">Commissioner and the Provincial Commissioner of the South African Police Services on 8 </w:t>
      </w:r>
      <w:r w:rsidR="000845A8">
        <w:rPr>
          <w:rFonts w:ascii="Arial" w:eastAsia="Times New Roman" w:hAnsi="Arial" w:cs="Arial"/>
          <w:color w:val="000000"/>
          <w:sz w:val="24"/>
          <w:szCs w:val="24"/>
          <w:lang w:eastAsia="en-ZA"/>
        </w:rPr>
        <w:lastRenderedPageBreak/>
        <w:t>November 2018</w:t>
      </w:r>
      <w:r w:rsidR="00710AA8">
        <w:rPr>
          <w:rFonts w:ascii="Arial" w:eastAsia="Times New Roman" w:hAnsi="Arial" w:cs="Arial"/>
          <w:color w:val="000000"/>
          <w:sz w:val="24"/>
          <w:szCs w:val="24"/>
          <w:lang w:eastAsia="en-ZA"/>
        </w:rPr>
        <w:t>. On 9 November 2018 the Plaintiff served another notice of intention to institute legal proceedings on the National Director of Public Prosecutions.</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[8]</w:t>
      </w:r>
      <w:r w:rsidR="003F56C6" w:rsidRPr="00631657">
        <w:rPr>
          <w:rFonts w:ascii="Arial" w:eastAsia="Times New Roman" w:hAnsi="Arial" w:cs="Arial"/>
          <w:color w:val="000000"/>
          <w:sz w:val="24"/>
          <w:szCs w:val="24"/>
          <w:lang w:eastAsia="en-ZA"/>
        </w:rPr>
        <w:tab/>
        <w:t>In the pl</w:t>
      </w:r>
      <w:r w:rsidR="00710AA8">
        <w:rPr>
          <w:rFonts w:ascii="Arial" w:eastAsia="Times New Roman" w:hAnsi="Arial" w:cs="Arial"/>
          <w:color w:val="000000"/>
          <w:sz w:val="24"/>
          <w:szCs w:val="24"/>
          <w:lang w:eastAsia="en-ZA"/>
        </w:rPr>
        <w:t>ea, the Defendants raised</w:t>
      </w:r>
      <w:r w:rsidR="003F56C6" w:rsidRPr="00631657">
        <w:rPr>
          <w:rFonts w:ascii="Arial" w:eastAsia="Times New Roman" w:hAnsi="Arial" w:cs="Arial"/>
          <w:color w:val="000000"/>
          <w:sz w:val="24"/>
          <w:szCs w:val="24"/>
          <w:lang w:eastAsia="en-ZA"/>
        </w:rPr>
        <w:t xml:space="preserve"> the following</w:t>
      </w:r>
      <w:r w:rsidR="00710AA8">
        <w:rPr>
          <w:rFonts w:ascii="Arial" w:eastAsia="Times New Roman" w:hAnsi="Arial" w:cs="Arial"/>
          <w:color w:val="000000"/>
          <w:sz w:val="24"/>
          <w:szCs w:val="24"/>
          <w:lang w:eastAsia="en-ZA"/>
        </w:rPr>
        <w:t xml:space="preserve"> special plea</w:t>
      </w:r>
      <w:r w:rsidR="003F56C6" w:rsidRPr="00631657">
        <w:rPr>
          <w:rFonts w:ascii="Arial" w:eastAsia="Times New Roman" w:hAnsi="Arial" w:cs="Arial"/>
          <w:color w:val="000000"/>
          <w:sz w:val="24"/>
          <w:szCs w:val="24"/>
          <w:lang w:eastAsia="en-ZA"/>
        </w:rPr>
        <w:t>:</w:t>
      </w:r>
    </w:p>
    <w:p w:rsidR="003F56C6" w:rsidRPr="00631657" w:rsidRDefault="003F56C6" w:rsidP="00525A7B">
      <w:pPr>
        <w:spacing w:after="0" w:line="480" w:lineRule="auto"/>
        <w:ind w:left="216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 xml:space="preserve">(a) </w:t>
      </w:r>
      <w:r w:rsidR="00525A7B" w:rsidRPr="00631657">
        <w:rPr>
          <w:rFonts w:ascii="Arial" w:eastAsia="Times New Roman" w:hAnsi="Arial" w:cs="Arial"/>
          <w:color w:val="000000"/>
          <w:sz w:val="24"/>
          <w:szCs w:val="24"/>
          <w:lang w:eastAsia="en-ZA"/>
        </w:rPr>
        <w:tab/>
      </w:r>
      <w:r w:rsidR="00710AA8">
        <w:rPr>
          <w:rFonts w:ascii="Arial" w:eastAsia="Times New Roman" w:hAnsi="Arial" w:cs="Arial"/>
          <w:color w:val="000000"/>
          <w:sz w:val="24"/>
          <w:szCs w:val="24"/>
          <w:lang w:eastAsia="en-ZA"/>
        </w:rPr>
        <w:t>The Plaintiff’s claim has</w:t>
      </w:r>
      <w:r w:rsidRPr="00631657">
        <w:rPr>
          <w:rFonts w:ascii="Arial" w:eastAsia="Times New Roman" w:hAnsi="Arial" w:cs="Arial"/>
          <w:color w:val="000000"/>
          <w:sz w:val="24"/>
          <w:szCs w:val="24"/>
          <w:lang w:eastAsia="en-ZA"/>
        </w:rPr>
        <w:t xml:space="preserve"> prescribed as contemplated in the Prescription Act 68 of 1969 (“the Prescription Act”);</w:t>
      </w:r>
    </w:p>
    <w:p w:rsidR="003F56C6" w:rsidRPr="00631657" w:rsidRDefault="003F56C6" w:rsidP="00525A7B">
      <w:pPr>
        <w:spacing w:after="0" w:line="480" w:lineRule="auto"/>
        <w:ind w:left="216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(b)</w:t>
      </w:r>
      <w:r w:rsidR="00525A7B" w:rsidRPr="00631657">
        <w:rPr>
          <w:rFonts w:ascii="Arial" w:eastAsia="Times New Roman" w:hAnsi="Arial" w:cs="Arial"/>
          <w:color w:val="000000"/>
          <w:sz w:val="24"/>
          <w:szCs w:val="24"/>
          <w:lang w:eastAsia="en-ZA"/>
        </w:rPr>
        <w:tab/>
      </w:r>
      <w:r w:rsidRPr="00631657">
        <w:rPr>
          <w:rFonts w:ascii="Arial" w:eastAsia="Times New Roman" w:hAnsi="Arial" w:cs="Arial"/>
          <w:color w:val="000000"/>
          <w:sz w:val="24"/>
          <w:szCs w:val="24"/>
          <w:lang w:eastAsia="en-ZA"/>
        </w:rPr>
        <w:t xml:space="preserve"> Non-compliance with section 2(2) of the State Liability Act 20 of 1957 (“State Liability Act”) read with section 3</w:t>
      </w:r>
      <w:r w:rsidR="00A0558F" w:rsidRPr="00631657">
        <w:rPr>
          <w:rFonts w:ascii="Arial" w:eastAsia="Times New Roman" w:hAnsi="Arial" w:cs="Arial"/>
          <w:color w:val="000000"/>
          <w:sz w:val="24"/>
          <w:szCs w:val="24"/>
          <w:lang w:eastAsia="en-ZA"/>
        </w:rPr>
        <w:t xml:space="preserve"> of Judicial Matters Amendment Act 8 of 2017 (“the Judicial Matters Amendment Act”)</w:t>
      </w:r>
      <w:r w:rsidR="00710AA8">
        <w:rPr>
          <w:rFonts w:ascii="Arial" w:eastAsia="Times New Roman" w:hAnsi="Arial" w:cs="Arial"/>
          <w:color w:val="000000"/>
          <w:sz w:val="24"/>
          <w:szCs w:val="24"/>
          <w:lang w:eastAsia="en-ZA"/>
        </w:rPr>
        <w:t xml:space="preserve"> by the Plaintiff</w:t>
      </w:r>
      <w:r w:rsidR="00525A7B" w:rsidRPr="00631657">
        <w:rPr>
          <w:rFonts w:ascii="Arial" w:eastAsia="Times New Roman" w:hAnsi="Arial" w:cs="Arial"/>
          <w:color w:val="000000"/>
          <w:sz w:val="24"/>
          <w:szCs w:val="24"/>
          <w:lang w:eastAsia="en-ZA"/>
        </w:rPr>
        <w:t>;</w:t>
      </w:r>
    </w:p>
    <w:p w:rsidR="003F56C6" w:rsidRPr="00631657" w:rsidRDefault="003F56C6" w:rsidP="00525A7B">
      <w:pPr>
        <w:spacing w:after="0" w:line="480" w:lineRule="auto"/>
        <w:ind w:left="216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(c)</w:t>
      </w:r>
      <w:r w:rsidR="00A0558F" w:rsidRPr="00631657">
        <w:rPr>
          <w:rFonts w:ascii="Arial" w:eastAsia="Times New Roman" w:hAnsi="Arial" w:cs="Arial"/>
          <w:color w:val="000000"/>
          <w:sz w:val="24"/>
          <w:szCs w:val="24"/>
          <w:lang w:eastAsia="en-ZA"/>
        </w:rPr>
        <w:t xml:space="preserve"> </w:t>
      </w:r>
      <w:r w:rsidR="00525A7B" w:rsidRPr="00631657">
        <w:rPr>
          <w:rFonts w:ascii="Arial" w:eastAsia="Times New Roman" w:hAnsi="Arial" w:cs="Arial"/>
          <w:color w:val="000000"/>
          <w:sz w:val="24"/>
          <w:szCs w:val="24"/>
          <w:lang w:eastAsia="en-ZA"/>
        </w:rPr>
        <w:tab/>
      </w:r>
      <w:r w:rsidR="00A0558F" w:rsidRPr="00631657">
        <w:rPr>
          <w:rFonts w:ascii="Arial" w:eastAsia="Times New Roman" w:hAnsi="Arial" w:cs="Arial"/>
          <w:color w:val="000000"/>
          <w:sz w:val="24"/>
          <w:szCs w:val="24"/>
          <w:lang w:eastAsia="en-ZA"/>
        </w:rPr>
        <w:t>Non-compliance with section 3 of the Institution of Legal Proceedings Against Certain Organs of the State Act</w:t>
      </w:r>
      <w:r w:rsidR="00710AA8">
        <w:rPr>
          <w:rFonts w:ascii="Arial" w:eastAsia="Times New Roman" w:hAnsi="Arial" w:cs="Arial"/>
          <w:color w:val="000000"/>
          <w:sz w:val="24"/>
          <w:szCs w:val="24"/>
          <w:lang w:eastAsia="en-ZA"/>
        </w:rPr>
        <w:t xml:space="preserve"> 40 of 2002 (“the ILPACO</w:t>
      </w:r>
      <w:r w:rsidR="00525A7B" w:rsidRPr="00631657">
        <w:rPr>
          <w:rFonts w:ascii="Arial" w:eastAsia="Times New Roman" w:hAnsi="Arial" w:cs="Arial"/>
          <w:color w:val="000000"/>
          <w:sz w:val="24"/>
          <w:szCs w:val="24"/>
          <w:lang w:eastAsia="en-ZA"/>
        </w:rPr>
        <w:t>S Act”);</w:t>
      </w:r>
    </w:p>
    <w:p w:rsidR="00A0558F" w:rsidRPr="00631657" w:rsidRDefault="00A0558F" w:rsidP="00525A7B">
      <w:pPr>
        <w:spacing w:after="0" w:line="480" w:lineRule="auto"/>
        <w:ind w:left="2160" w:hanging="720"/>
        <w:jc w:val="both"/>
        <w:rPr>
          <w:rFonts w:ascii="Arial" w:eastAsia="Times New Roman" w:hAnsi="Arial" w:cs="Arial"/>
          <w:color w:val="000000"/>
          <w:sz w:val="24"/>
          <w:szCs w:val="24"/>
          <w:lang w:eastAsia="en-ZA"/>
        </w:rPr>
      </w:pP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[9]</w:t>
      </w:r>
      <w:r w:rsidR="00710AA8">
        <w:rPr>
          <w:rFonts w:ascii="Arial" w:eastAsia="Times New Roman" w:hAnsi="Arial" w:cs="Arial"/>
          <w:color w:val="000000"/>
          <w:sz w:val="24"/>
          <w:szCs w:val="24"/>
          <w:lang w:eastAsia="en-ZA"/>
        </w:rPr>
        <w:tab/>
        <w:t>As already stated, the</w:t>
      </w:r>
      <w:r w:rsidR="00A0558F" w:rsidRPr="00631657">
        <w:rPr>
          <w:rFonts w:ascii="Arial" w:eastAsia="Times New Roman" w:hAnsi="Arial" w:cs="Arial"/>
          <w:color w:val="000000"/>
          <w:sz w:val="24"/>
          <w:szCs w:val="24"/>
          <w:lang w:eastAsia="en-ZA"/>
        </w:rPr>
        <w:t>se special pleas</w:t>
      </w:r>
      <w:r w:rsidR="00710AA8">
        <w:rPr>
          <w:rFonts w:ascii="Arial" w:eastAsia="Times New Roman" w:hAnsi="Arial" w:cs="Arial"/>
          <w:color w:val="000000"/>
          <w:sz w:val="24"/>
          <w:szCs w:val="24"/>
          <w:lang w:eastAsia="en-ZA"/>
        </w:rPr>
        <w:t xml:space="preserve"> were ordered to be </w:t>
      </w:r>
      <w:r w:rsidR="00A0558F" w:rsidRPr="00631657">
        <w:rPr>
          <w:rFonts w:ascii="Arial" w:eastAsia="Times New Roman" w:hAnsi="Arial" w:cs="Arial"/>
          <w:color w:val="000000"/>
          <w:sz w:val="24"/>
          <w:szCs w:val="24"/>
          <w:lang w:eastAsia="en-ZA"/>
        </w:rPr>
        <w:t>separated from the merits and be dealt with at the hearing of the matter.</w:t>
      </w:r>
    </w:p>
    <w:p w:rsidR="00A73641" w:rsidRPr="00631657" w:rsidRDefault="00A73641" w:rsidP="00A73641">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[10]</w:t>
      </w:r>
      <w:r w:rsidR="00A0558F" w:rsidRPr="00631657">
        <w:rPr>
          <w:rFonts w:ascii="Arial" w:eastAsia="Times New Roman" w:hAnsi="Arial" w:cs="Arial"/>
          <w:color w:val="000000"/>
          <w:sz w:val="24"/>
          <w:szCs w:val="24"/>
          <w:lang w:eastAsia="en-ZA"/>
        </w:rPr>
        <w:tab/>
        <w:t>At the hearing of the matter the court was not provided with a formal application for condonation of late filing of section 3 notice in terms of the ILPACOS Act.</w:t>
      </w:r>
      <w:r w:rsidR="00710AA8">
        <w:rPr>
          <w:rFonts w:ascii="Arial" w:eastAsia="Times New Roman" w:hAnsi="Arial" w:cs="Arial"/>
          <w:color w:val="000000"/>
          <w:sz w:val="24"/>
          <w:szCs w:val="24"/>
          <w:lang w:eastAsia="en-ZA"/>
        </w:rPr>
        <w:t xml:space="preserve"> The submissions were made on behalf of the Plaintiff through heads of argument.</w:t>
      </w:r>
    </w:p>
    <w:p w:rsidR="00A0558F" w:rsidRPr="00631657" w:rsidRDefault="00A0558F" w:rsidP="00A73641">
      <w:pPr>
        <w:spacing w:after="0" w:line="480" w:lineRule="auto"/>
        <w:ind w:left="720" w:hanging="720"/>
        <w:jc w:val="both"/>
        <w:rPr>
          <w:rFonts w:ascii="Arial" w:eastAsia="Times New Roman" w:hAnsi="Arial" w:cs="Arial"/>
          <w:color w:val="000000"/>
          <w:sz w:val="24"/>
          <w:szCs w:val="24"/>
          <w:lang w:eastAsia="en-ZA"/>
        </w:rPr>
      </w:pPr>
    </w:p>
    <w:p w:rsidR="00A0558F" w:rsidRPr="00631657" w:rsidRDefault="00A0558F" w:rsidP="00A73641">
      <w:pPr>
        <w:spacing w:after="0" w:line="480" w:lineRule="auto"/>
        <w:ind w:left="720" w:hanging="720"/>
        <w:jc w:val="both"/>
        <w:rPr>
          <w:rFonts w:ascii="Arial" w:eastAsia="Times New Roman" w:hAnsi="Arial" w:cs="Arial"/>
          <w:b/>
          <w:color w:val="000000"/>
          <w:sz w:val="24"/>
          <w:szCs w:val="24"/>
          <w:u w:val="single"/>
          <w:lang w:eastAsia="en-ZA"/>
        </w:rPr>
      </w:pPr>
      <w:r w:rsidRPr="00631657">
        <w:rPr>
          <w:rFonts w:ascii="Arial" w:eastAsia="Times New Roman" w:hAnsi="Arial" w:cs="Arial"/>
          <w:color w:val="000000"/>
          <w:sz w:val="24"/>
          <w:szCs w:val="24"/>
          <w:lang w:eastAsia="en-ZA"/>
        </w:rPr>
        <w:tab/>
      </w:r>
      <w:r w:rsidRPr="00631657">
        <w:rPr>
          <w:rFonts w:ascii="Arial" w:eastAsia="Times New Roman" w:hAnsi="Arial" w:cs="Arial"/>
          <w:b/>
          <w:color w:val="000000"/>
          <w:sz w:val="24"/>
          <w:szCs w:val="24"/>
          <w:u w:val="single"/>
          <w:lang w:eastAsia="en-ZA"/>
        </w:rPr>
        <w:t>ISSUES</w:t>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[11]</w:t>
      </w:r>
      <w:r w:rsidRPr="00631657">
        <w:rPr>
          <w:rFonts w:ascii="Arial" w:eastAsia="Times New Roman" w:hAnsi="Arial" w:cs="Arial"/>
          <w:color w:val="000000"/>
          <w:sz w:val="24"/>
          <w:szCs w:val="24"/>
          <w:lang w:eastAsia="en-ZA"/>
        </w:rPr>
        <w:tab/>
        <w:t>The issues to be determined was whether the claim has prescribed as contended by the Defendants and whether non-compliance with section 3 of the ILPACOS Act without a formal condonation application is fatal to the case.</w:t>
      </w:r>
    </w:p>
    <w:p w:rsidR="00F30A0C" w:rsidRDefault="00A0558F" w:rsidP="00A0558F">
      <w:p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ab/>
      </w:r>
    </w:p>
    <w:p w:rsidR="00A0558F" w:rsidRDefault="00A0558F" w:rsidP="00710AA8">
      <w:pPr>
        <w:spacing w:after="0" w:line="480" w:lineRule="auto"/>
        <w:ind w:left="720"/>
        <w:jc w:val="both"/>
        <w:rPr>
          <w:rFonts w:ascii="Arial" w:eastAsia="Times New Roman" w:hAnsi="Arial" w:cs="Arial"/>
          <w:b/>
          <w:color w:val="000000"/>
          <w:sz w:val="24"/>
          <w:szCs w:val="24"/>
          <w:u w:val="single"/>
          <w:lang w:eastAsia="en-ZA"/>
        </w:rPr>
      </w:pPr>
      <w:r w:rsidRPr="00631657">
        <w:rPr>
          <w:rFonts w:ascii="Arial" w:eastAsia="Times New Roman" w:hAnsi="Arial" w:cs="Arial"/>
          <w:b/>
          <w:color w:val="000000"/>
          <w:sz w:val="24"/>
          <w:szCs w:val="24"/>
          <w:u w:val="single"/>
          <w:lang w:eastAsia="en-ZA"/>
        </w:rPr>
        <w:t>LEGAL PRINCIPLES</w:t>
      </w:r>
      <w:r w:rsidR="00710AA8">
        <w:rPr>
          <w:rFonts w:ascii="Arial" w:eastAsia="Times New Roman" w:hAnsi="Arial" w:cs="Arial"/>
          <w:b/>
          <w:color w:val="000000"/>
          <w:sz w:val="24"/>
          <w:szCs w:val="24"/>
          <w:u w:val="single"/>
          <w:lang w:eastAsia="en-ZA"/>
        </w:rPr>
        <w:t>, THE APPLICATION THEREOF TO THE FACTS AND REASONS FOR THE JUDGMENT</w:t>
      </w:r>
    </w:p>
    <w:p w:rsidR="00710AA8" w:rsidRDefault="00710AA8" w:rsidP="00710AA8">
      <w:pPr>
        <w:spacing w:after="0" w:line="480" w:lineRule="auto"/>
        <w:ind w:left="720"/>
        <w:jc w:val="both"/>
        <w:rPr>
          <w:rFonts w:ascii="Arial" w:eastAsia="Times New Roman" w:hAnsi="Arial" w:cs="Arial"/>
          <w:b/>
          <w:color w:val="000000"/>
          <w:sz w:val="24"/>
          <w:szCs w:val="24"/>
          <w:u w:val="single"/>
          <w:lang w:eastAsia="en-ZA"/>
        </w:rPr>
      </w:pPr>
    </w:p>
    <w:p w:rsidR="00710AA8" w:rsidRPr="00631657" w:rsidRDefault="00710AA8" w:rsidP="00710AA8">
      <w:pPr>
        <w:spacing w:after="0" w:line="480" w:lineRule="auto"/>
        <w:ind w:left="720"/>
        <w:jc w:val="both"/>
        <w:rPr>
          <w:rFonts w:ascii="Arial" w:eastAsia="Times New Roman" w:hAnsi="Arial" w:cs="Arial"/>
          <w:b/>
          <w:color w:val="000000"/>
          <w:sz w:val="24"/>
          <w:szCs w:val="24"/>
          <w:u w:val="single"/>
          <w:lang w:eastAsia="en-ZA"/>
        </w:rPr>
      </w:pPr>
      <w:r>
        <w:rPr>
          <w:rFonts w:ascii="Arial" w:eastAsia="Times New Roman" w:hAnsi="Arial" w:cs="Arial"/>
          <w:b/>
          <w:color w:val="000000"/>
          <w:sz w:val="24"/>
          <w:szCs w:val="24"/>
          <w:u w:val="single"/>
          <w:lang w:eastAsia="en-ZA"/>
        </w:rPr>
        <w:t>PRESCRIPTION</w:t>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[12]</w:t>
      </w:r>
      <w:r w:rsidRPr="00631657">
        <w:rPr>
          <w:rFonts w:ascii="Arial" w:eastAsia="Times New Roman" w:hAnsi="Arial" w:cs="Arial"/>
          <w:color w:val="000000"/>
          <w:sz w:val="24"/>
          <w:szCs w:val="24"/>
          <w:lang w:eastAsia="en-ZA"/>
        </w:rPr>
        <w:tab/>
      </w:r>
      <w:r w:rsidR="00710AA8">
        <w:rPr>
          <w:rFonts w:ascii="Arial" w:eastAsia="Times New Roman" w:hAnsi="Arial" w:cs="Arial"/>
          <w:color w:val="000000"/>
          <w:sz w:val="24"/>
          <w:szCs w:val="24"/>
          <w:lang w:eastAsia="en-ZA"/>
        </w:rPr>
        <w:t xml:space="preserve">I first deal with the applicable principles on prescription. </w:t>
      </w:r>
      <w:r w:rsidRPr="00631657">
        <w:rPr>
          <w:rFonts w:ascii="Arial" w:eastAsia="Times New Roman" w:hAnsi="Arial" w:cs="Arial"/>
          <w:color w:val="000000"/>
          <w:sz w:val="24"/>
          <w:szCs w:val="24"/>
          <w:lang w:eastAsia="en-ZA"/>
        </w:rPr>
        <w:t>Prescription as a defence is part of our law and is</w:t>
      </w:r>
      <w:r w:rsidR="00710AA8">
        <w:rPr>
          <w:rFonts w:ascii="Arial" w:eastAsia="Times New Roman" w:hAnsi="Arial" w:cs="Arial"/>
          <w:color w:val="000000"/>
          <w:sz w:val="24"/>
          <w:szCs w:val="24"/>
          <w:lang w:eastAsia="en-ZA"/>
        </w:rPr>
        <w:t xml:space="preserve"> recognised in our democratic dispe</w:t>
      </w:r>
      <w:r w:rsidRPr="00631657">
        <w:rPr>
          <w:rFonts w:ascii="Arial" w:eastAsia="Times New Roman" w:hAnsi="Arial" w:cs="Arial"/>
          <w:color w:val="000000"/>
          <w:sz w:val="24"/>
          <w:szCs w:val="24"/>
          <w:lang w:eastAsia="en-ZA"/>
        </w:rPr>
        <w:t>nsation.</w:t>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[13]</w:t>
      </w:r>
      <w:r w:rsidRPr="00631657">
        <w:rPr>
          <w:rFonts w:ascii="Arial" w:eastAsia="Times New Roman" w:hAnsi="Arial" w:cs="Arial"/>
          <w:color w:val="000000"/>
          <w:sz w:val="24"/>
          <w:szCs w:val="24"/>
          <w:lang w:eastAsia="en-ZA"/>
        </w:rPr>
        <w:tab/>
        <w:t>The time lines within which actions must be instituted are regulated</w:t>
      </w:r>
      <w:r w:rsidR="00F505C2" w:rsidRPr="00631657">
        <w:rPr>
          <w:rFonts w:ascii="Arial" w:eastAsia="Times New Roman" w:hAnsi="Arial" w:cs="Arial"/>
          <w:color w:val="000000"/>
          <w:sz w:val="24"/>
          <w:szCs w:val="24"/>
          <w:lang w:eastAsia="en-ZA"/>
        </w:rPr>
        <w:t xml:space="preserve"> by the Prescription Act sections 12(1), (2) and (3) of which provide as follows:</w:t>
      </w:r>
    </w:p>
    <w:p w:rsidR="00F505C2" w:rsidRPr="00F30A0C" w:rsidRDefault="00F505C2" w:rsidP="00A0558F">
      <w:pPr>
        <w:spacing w:after="0" w:line="480" w:lineRule="auto"/>
        <w:jc w:val="both"/>
        <w:rPr>
          <w:rFonts w:ascii="Arial" w:eastAsia="Times New Roman" w:hAnsi="Arial" w:cs="Arial"/>
          <w:color w:val="000000"/>
          <w:lang w:eastAsia="en-ZA"/>
        </w:rPr>
      </w:pPr>
      <w:r w:rsidRPr="00631657">
        <w:rPr>
          <w:rFonts w:ascii="Arial" w:eastAsia="Times New Roman" w:hAnsi="Arial" w:cs="Arial"/>
          <w:color w:val="000000"/>
          <w:sz w:val="24"/>
          <w:szCs w:val="24"/>
          <w:lang w:eastAsia="en-ZA"/>
        </w:rPr>
        <w:tab/>
      </w:r>
      <w:r w:rsidRPr="00631657">
        <w:rPr>
          <w:rFonts w:ascii="Arial" w:eastAsia="Times New Roman" w:hAnsi="Arial" w:cs="Arial"/>
          <w:color w:val="000000"/>
          <w:sz w:val="24"/>
          <w:szCs w:val="24"/>
          <w:lang w:eastAsia="en-ZA"/>
        </w:rPr>
        <w:tab/>
      </w:r>
      <w:r w:rsidRPr="00F30A0C">
        <w:rPr>
          <w:rFonts w:ascii="Arial" w:eastAsia="Times New Roman" w:hAnsi="Arial" w:cs="Arial"/>
          <w:color w:val="000000"/>
          <w:lang w:eastAsia="en-ZA"/>
        </w:rPr>
        <w:t>“</w:t>
      </w:r>
      <w:r w:rsidRPr="00F30A0C">
        <w:rPr>
          <w:rFonts w:ascii="Arial" w:eastAsia="Times New Roman" w:hAnsi="Arial" w:cs="Arial"/>
          <w:b/>
          <w:color w:val="000000"/>
          <w:lang w:eastAsia="en-ZA"/>
        </w:rPr>
        <w:t>When prescription begins to run</w:t>
      </w:r>
      <w:r w:rsidRPr="00F30A0C">
        <w:rPr>
          <w:rFonts w:ascii="Arial" w:eastAsia="Times New Roman" w:hAnsi="Arial" w:cs="Arial"/>
          <w:color w:val="000000"/>
          <w:lang w:eastAsia="en-ZA"/>
        </w:rPr>
        <w:t xml:space="preserve"> </w:t>
      </w:r>
    </w:p>
    <w:p w:rsidR="00F505C2" w:rsidRPr="00F30A0C" w:rsidRDefault="00F505C2" w:rsidP="00525A7B">
      <w:pPr>
        <w:spacing w:after="0" w:line="480" w:lineRule="auto"/>
        <w:ind w:left="2160"/>
        <w:jc w:val="both"/>
        <w:rPr>
          <w:rFonts w:ascii="Arial" w:eastAsia="Times New Roman" w:hAnsi="Arial" w:cs="Arial"/>
          <w:color w:val="000000"/>
          <w:lang w:eastAsia="en-ZA"/>
        </w:rPr>
      </w:pPr>
      <w:r w:rsidRPr="00F30A0C">
        <w:rPr>
          <w:rFonts w:ascii="Arial" w:eastAsia="Times New Roman" w:hAnsi="Arial" w:cs="Arial"/>
          <w:color w:val="000000"/>
          <w:lang w:eastAsia="en-ZA"/>
        </w:rPr>
        <w:t>(1) Subject to the provisions of subsections (2) and (3), prescription shall commence</w:t>
      </w:r>
      <w:r w:rsidR="00507D5D" w:rsidRPr="00F30A0C">
        <w:rPr>
          <w:rFonts w:ascii="Arial" w:eastAsia="Times New Roman" w:hAnsi="Arial" w:cs="Arial"/>
          <w:color w:val="000000"/>
          <w:lang w:eastAsia="en-ZA"/>
        </w:rPr>
        <w:t xml:space="preserve"> to run as soon as the debt is due;</w:t>
      </w:r>
    </w:p>
    <w:p w:rsidR="00F505C2" w:rsidRPr="00F30A0C" w:rsidRDefault="00F505C2" w:rsidP="00525A7B">
      <w:pPr>
        <w:spacing w:after="0" w:line="480" w:lineRule="auto"/>
        <w:ind w:left="2160"/>
        <w:jc w:val="both"/>
        <w:rPr>
          <w:rFonts w:ascii="Arial" w:eastAsia="Times New Roman" w:hAnsi="Arial" w:cs="Arial"/>
          <w:color w:val="000000"/>
          <w:lang w:eastAsia="en-ZA"/>
        </w:rPr>
      </w:pPr>
      <w:r w:rsidRPr="00F30A0C">
        <w:rPr>
          <w:rFonts w:ascii="Arial" w:eastAsia="Times New Roman" w:hAnsi="Arial" w:cs="Arial"/>
          <w:color w:val="000000"/>
          <w:lang w:eastAsia="en-ZA"/>
        </w:rPr>
        <w:t>(2) If the debtor wilfully prevents the creditor from coming to know of the existence of the debt prescription shall not commence to run until the creditor becomes aware of the existence of the debt.</w:t>
      </w:r>
    </w:p>
    <w:p w:rsidR="00B82B17" w:rsidRDefault="00507D5D" w:rsidP="00525A7B">
      <w:pPr>
        <w:spacing w:after="0" w:line="480" w:lineRule="auto"/>
        <w:ind w:left="2160"/>
        <w:jc w:val="both"/>
        <w:rPr>
          <w:rFonts w:ascii="Arial" w:eastAsia="Times New Roman" w:hAnsi="Arial" w:cs="Arial"/>
          <w:color w:val="000000"/>
          <w:lang w:eastAsia="en-ZA"/>
        </w:rPr>
      </w:pPr>
      <w:r w:rsidRPr="00F30A0C">
        <w:rPr>
          <w:rFonts w:ascii="Arial" w:eastAsia="Times New Roman" w:hAnsi="Arial" w:cs="Arial"/>
          <w:color w:val="000000"/>
          <w:lang w:eastAsia="en-ZA"/>
        </w:rPr>
        <w:t>(3) A debt which does not arise</w:t>
      </w:r>
      <w:r w:rsidR="00B82B17" w:rsidRPr="00F30A0C">
        <w:rPr>
          <w:rFonts w:ascii="Arial" w:eastAsia="Times New Roman" w:hAnsi="Arial" w:cs="Arial"/>
          <w:color w:val="000000"/>
          <w:lang w:eastAsia="en-ZA"/>
        </w:rPr>
        <w:t xml:space="preserve"> to have such</w:t>
      </w:r>
      <w:r w:rsidR="00525A7B" w:rsidRPr="00F30A0C">
        <w:rPr>
          <w:rFonts w:ascii="Arial" w:eastAsia="Times New Roman" w:hAnsi="Arial" w:cs="Arial"/>
          <w:color w:val="000000"/>
          <w:lang w:eastAsia="en-ZA"/>
        </w:rPr>
        <w:t xml:space="preserve"> c</w:t>
      </w:r>
      <w:r w:rsidR="00B82B17" w:rsidRPr="00F30A0C">
        <w:rPr>
          <w:rFonts w:ascii="Arial" w:eastAsia="Times New Roman" w:hAnsi="Arial" w:cs="Arial"/>
          <w:color w:val="000000"/>
          <w:lang w:eastAsia="en-ZA"/>
        </w:rPr>
        <w:t>ontract shall not be deemed to be due until the creditor has knowledge of the identity of the debtor and of the facts, from which the debt arises. Provided that a creditor shall be deemed to have such knowledge if he could have acquired it by exercising reasonable care.</w:t>
      </w:r>
      <w:r w:rsidR="00025B35">
        <w:rPr>
          <w:rFonts w:ascii="Arial" w:eastAsia="Times New Roman" w:hAnsi="Arial" w:cs="Arial"/>
          <w:color w:val="000000"/>
          <w:lang w:eastAsia="en-ZA"/>
        </w:rPr>
        <w:t>”</w:t>
      </w:r>
    </w:p>
    <w:p w:rsidR="00F30A0C" w:rsidRPr="00F30A0C" w:rsidRDefault="00F30A0C" w:rsidP="00525A7B">
      <w:pPr>
        <w:spacing w:after="0" w:line="480" w:lineRule="auto"/>
        <w:ind w:left="2160"/>
        <w:jc w:val="both"/>
        <w:rPr>
          <w:rFonts w:ascii="Arial" w:eastAsia="Times New Roman" w:hAnsi="Arial" w:cs="Arial"/>
          <w:color w:val="000000"/>
          <w:lang w:eastAsia="en-ZA"/>
        </w:rPr>
      </w:pPr>
    </w:p>
    <w:p w:rsidR="003F5694"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[14]</w:t>
      </w:r>
      <w:r w:rsidR="00B82B17" w:rsidRPr="00631657">
        <w:rPr>
          <w:rFonts w:ascii="Arial" w:eastAsia="Times New Roman" w:hAnsi="Arial" w:cs="Arial"/>
          <w:color w:val="000000"/>
          <w:sz w:val="24"/>
          <w:szCs w:val="24"/>
          <w:lang w:eastAsia="en-ZA"/>
        </w:rPr>
        <w:tab/>
        <w:t xml:space="preserve">Our Constitutional Court has dealt with prescription on a number of cases where it </w:t>
      </w:r>
      <w:r w:rsidR="00525A7B" w:rsidRPr="00631657">
        <w:rPr>
          <w:rFonts w:ascii="Arial" w:eastAsia="Times New Roman" w:hAnsi="Arial" w:cs="Arial"/>
          <w:color w:val="000000"/>
          <w:sz w:val="24"/>
          <w:szCs w:val="24"/>
          <w:lang w:eastAsia="en-ZA"/>
        </w:rPr>
        <w:t>was recognised</w:t>
      </w:r>
      <w:r w:rsidR="00710AA8">
        <w:rPr>
          <w:rFonts w:ascii="Arial" w:eastAsia="Times New Roman" w:hAnsi="Arial" w:cs="Arial"/>
          <w:color w:val="000000"/>
          <w:sz w:val="24"/>
          <w:szCs w:val="24"/>
          <w:lang w:eastAsia="en-ZA"/>
        </w:rPr>
        <w:t xml:space="preserve"> as part and parcel of</w:t>
      </w:r>
      <w:r w:rsidR="00B82B17" w:rsidRPr="00631657">
        <w:rPr>
          <w:rFonts w:ascii="Arial" w:eastAsia="Times New Roman" w:hAnsi="Arial" w:cs="Arial"/>
          <w:color w:val="000000"/>
          <w:sz w:val="24"/>
          <w:szCs w:val="24"/>
          <w:lang w:eastAsia="en-ZA"/>
        </w:rPr>
        <w:t xml:space="preserve"> our law. In </w:t>
      </w:r>
      <w:r w:rsidR="00B82B17" w:rsidRPr="00631657">
        <w:rPr>
          <w:rFonts w:ascii="Arial" w:eastAsia="Times New Roman" w:hAnsi="Arial" w:cs="Arial"/>
          <w:i/>
          <w:color w:val="000000"/>
          <w:sz w:val="24"/>
          <w:szCs w:val="24"/>
          <w:lang w:eastAsia="en-ZA"/>
        </w:rPr>
        <w:t>Road Accident Fund and Another v Mdeyide</w:t>
      </w:r>
      <w:r w:rsidR="003F5694" w:rsidRPr="00631657">
        <w:rPr>
          <w:rStyle w:val="FootnoteReference"/>
          <w:rFonts w:ascii="Arial" w:eastAsia="Times New Roman" w:hAnsi="Arial" w:cs="Arial"/>
          <w:color w:val="000000"/>
          <w:sz w:val="24"/>
          <w:szCs w:val="24"/>
          <w:lang w:eastAsia="en-ZA"/>
        </w:rPr>
        <w:footnoteReference w:id="1"/>
      </w:r>
      <w:r w:rsidR="00F30A0C">
        <w:rPr>
          <w:rFonts w:ascii="Arial" w:eastAsia="Times New Roman" w:hAnsi="Arial" w:cs="Arial"/>
          <w:color w:val="000000"/>
          <w:sz w:val="24"/>
          <w:szCs w:val="24"/>
          <w:lang w:eastAsia="en-ZA"/>
        </w:rPr>
        <w:t xml:space="preserve"> the court emphasised</w:t>
      </w:r>
      <w:r w:rsidR="00710AA8">
        <w:rPr>
          <w:rFonts w:ascii="Arial" w:eastAsia="Times New Roman" w:hAnsi="Arial" w:cs="Arial"/>
          <w:color w:val="000000"/>
          <w:sz w:val="24"/>
          <w:szCs w:val="24"/>
          <w:lang w:eastAsia="en-ZA"/>
        </w:rPr>
        <w:t xml:space="preserve"> the principle on the timelines imposed by the Prescription Act and said the following:</w:t>
      </w:r>
    </w:p>
    <w:p w:rsidR="00A0558F" w:rsidRPr="00F30A0C" w:rsidRDefault="003F5694" w:rsidP="00525A7B">
      <w:pPr>
        <w:spacing w:after="0" w:line="480" w:lineRule="auto"/>
        <w:ind w:left="1440"/>
        <w:jc w:val="both"/>
        <w:rPr>
          <w:rFonts w:ascii="Arial" w:eastAsia="Times New Roman" w:hAnsi="Arial" w:cs="Arial"/>
          <w:color w:val="000000"/>
          <w:lang w:eastAsia="en-ZA"/>
        </w:rPr>
      </w:pPr>
      <w:r w:rsidRPr="00F30A0C">
        <w:rPr>
          <w:rFonts w:ascii="Arial" w:eastAsia="Times New Roman" w:hAnsi="Arial" w:cs="Arial"/>
          <w:color w:val="000000"/>
          <w:lang w:eastAsia="en-ZA"/>
        </w:rPr>
        <w:lastRenderedPageBreak/>
        <w:t>“the vital role t</w:t>
      </w:r>
      <w:r w:rsidR="00525A7B" w:rsidRPr="00F30A0C">
        <w:rPr>
          <w:rFonts w:ascii="Arial" w:eastAsia="Times New Roman" w:hAnsi="Arial" w:cs="Arial"/>
          <w:color w:val="000000"/>
          <w:lang w:eastAsia="en-ZA"/>
        </w:rPr>
        <w:t>ime limits play in bringing</w:t>
      </w:r>
      <w:r w:rsidRPr="00F30A0C">
        <w:rPr>
          <w:rFonts w:ascii="Arial" w:eastAsia="Times New Roman" w:hAnsi="Arial" w:cs="Arial"/>
          <w:color w:val="000000"/>
          <w:lang w:eastAsia="en-ZA"/>
        </w:rPr>
        <w:t>,</w:t>
      </w:r>
      <w:r w:rsidR="00525A7B" w:rsidRPr="00F30A0C">
        <w:rPr>
          <w:rFonts w:ascii="Arial" w:eastAsia="Times New Roman" w:hAnsi="Arial" w:cs="Arial"/>
          <w:color w:val="000000"/>
          <w:lang w:eastAsia="en-ZA"/>
        </w:rPr>
        <w:t xml:space="preserve"> </w:t>
      </w:r>
      <w:r w:rsidRPr="00F30A0C">
        <w:rPr>
          <w:rFonts w:ascii="Arial" w:eastAsia="Times New Roman" w:hAnsi="Arial" w:cs="Arial"/>
          <w:color w:val="000000"/>
          <w:lang w:eastAsia="en-ZA"/>
        </w:rPr>
        <w:t xml:space="preserve">certainty and stability to social and legal affairs </w:t>
      </w:r>
      <w:r w:rsidR="00B82B17" w:rsidRPr="00F30A0C">
        <w:rPr>
          <w:rFonts w:ascii="Arial" w:eastAsia="Times New Roman" w:hAnsi="Arial" w:cs="Arial"/>
          <w:color w:val="000000"/>
          <w:lang w:eastAsia="en-ZA"/>
        </w:rPr>
        <w:t>and maintaining the quality of adjudication. Without prescription periods legal disputes would have the potential to be drawn out for indefinite periods of time bridging about prolonged uncertainty to the parties to the dispute. The quality of adjudication by courts is likely to suffer as time passes because evidence may have become lost, witnesses may no longer be available to testify, or their recollection of events may ha</w:t>
      </w:r>
      <w:r w:rsidR="00525A7B" w:rsidRPr="00F30A0C">
        <w:rPr>
          <w:rFonts w:ascii="Arial" w:eastAsia="Times New Roman" w:hAnsi="Arial" w:cs="Arial"/>
          <w:color w:val="000000"/>
          <w:lang w:eastAsia="en-ZA"/>
        </w:rPr>
        <w:t xml:space="preserve">ve </w:t>
      </w:r>
      <w:r w:rsidR="00B82B17" w:rsidRPr="00F30A0C">
        <w:rPr>
          <w:rFonts w:ascii="Arial" w:eastAsia="Times New Roman" w:hAnsi="Arial" w:cs="Arial"/>
          <w:color w:val="000000"/>
          <w:lang w:eastAsia="en-ZA"/>
        </w:rPr>
        <w:t>likely to suffer as time passes because evidence may have become lost, witnesses may no longer be available to testify, or their recollection of events may have faded.  The quality of adjudicati</w:t>
      </w:r>
      <w:r w:rsidRPr="00F30A0C">
        <w:rPr>
          <w:rFonts w:ascii="Arial" w:eastAsia="Times New Roman" w:hAnsi="Arial" w:cs="Arial"/>
          <w:color w:val="000000"/>
          <w:lang w:eastAsia="en-ZA"/>
        </w:rPr>
        <w:t>on is central to the rule of law. For the law to be respected, decisions of courts must be given as soon as possible after the events giving rise to disputes and must- follow from sound reasoning based on the best available evidence.”</w:t>
      </w:r>
    </w:p>
    <w:p w:rsidR="00525A7B" w:rsidRPr="00F30A0C" w:rsidRDefault="00525A7B" w:rsidP="00525A7B">
      <w:pPr>
        <w:spacing w:after="0" w:line="480" w:lineRule="auto"/>
        <w:ind w:left="1440"/>
        <w:jc w:val="both"/>
        <w:rPr>
          <w:rFonts w:ascii="Arial" w:eastAsia="Times New Roman" w:hAnsi="Arial" w:cs="Arial"/>
          <w:color w:val="000000"/>
          <w:lang w:eastAsia="en-ZA"/>
        </w:rPr>
      </w:pP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[15]</w:t>
      </w:r>
      <w:r w:rsidR="003F5694" w:rsidRPr="00631657">
        <w:rPr>
          <w:rFonts w:ascii="Arial" w:eastAsia="Times New Roman" w:hAnsi="Arial" w:cs="Arial"/>
          <w:color w:val="000000"/>
          <w:sz w:val="24"/>
          <w:szCs w:val="24"/>
          <w:lang w:eastAsia="en-ZA"/>
        </w:rPr>
        <w:tab/>
        <w:t>Section 11 (1)(a) of the Prescription Act provides that prescription shall be three years in respect in respect of ordinary debts unless any other legislation provided differently.</w:t>
      </w:r>
      <w:r w:rsidR="003F5694" w:rsidRPr="00631657">
        <w:rPr>
          <w:rStyle w:val="FootnoteReference"/>
          <w:rFonts w:ascii="Arial" w:eastAsia="Times New Roman" w:hAnsi="Arial" w:cs="Arial"/>
          <w:color w:val="000000"/>
          <w:sz w:val="24"/>
          <w:szCs w:val="24"/>
          <w:lang w:eastAsia="en-ZA"/>
        </w:rPr>
        <w:footnoteReference w:id="2"/>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[16]</w:t>
      </w:r>
      <w:r w:rsidR="003F5694" w:rsidRPr="00631657">
        <w:rPr>
          <w:rFonts w:ascii="Arial" w:eastAsia="Times New Roman" w:hAnsi="Arial" w:cs="Arial"/>
          <w:color w:val="000000"/>
          <w:sz w:val="24"/>
          <w:szCs w:val="24"/>
          <w:lang w:eastAsia="en-ZA"/>
        </w:rPr>
        <w:tab/>
        <w:t>In cases where a special plea of prescription is raised each</w:t>
      </w:r>
      <w:r w:rsidR="00710AA8">
        <w:rPr>
          <w:rFonts w:ascii="Arial" w:eastAsia="Times New Roman" w:hAnsi="Arial" w:cs="Arial"/>
          <w:color w:val="000000"/>
          <w:sz w:val="24"/>
          <w:szCs w:val="24"/>
          <w:lang w:eastAsia="en-ZA"/>
        </w:rPr>
        <w:t xml:space="preserve"> cas</w:t>
      </w:r>
      <w:r w:rsidR="003F5694" w:rsidRPr="00631657">
        <w:rPr>
          <w:rFonts w:ascii="Arial" w:eastAsia="Times New Roman" w:hAnsi="Arial" w:cs="Arial"/>
          <w:color w:val="000000"/>
          <w:sz w:val="24"/>
          <w:szCs w:val="24"/>
          <w:lang w:eastAsia="en-ZA"/>
        </w:rPr>
        <w:t xml:space="preserve"> must be decided on its own merits.</w:t>
      </w:r>
      <w:r w:rsidR="00B5412E" w:rsidRPr="00631657">
        <w:rPr>
          <w:rStyle w:val="FootnoteReference"/>
          <w:rFonts w:ascii="Arial" w:eastAsia="Times New Roman" w:hAnsi="Arial" w:cs="Arial"/>
          <w:color w:val="000000"/>
          <w:sz w:val="24"/>
          <w:szCs w:val="24"/>
          <w:lang w:eastAsia="en-ZA"/>
        </w:rPr>
        <w:footnoteReference w:id="3"/>
      </w:r>
      <w:r w:rsidR="003F5694" w:rsidRPr="00631657">
        <w:rPr>
          <w:rFonts w:ascii="Arial" w:eastAsia="Times New Roman" w:hAnsi="Arial" w:cs="Arial"/>
          <w:color w:val="000000"/>
          <w:sz w:val="24"/>
          <w:szCs w:val="24"/>
          <w:lang w:eastAsia="en-ZA"/>
        </w:rPr>
        <w:t xml:space="preserve"> It is also irrelevant</w:t>
      </w:r>
      <w:r w:rsidR="00B5412E" w:rsidRPr="00631657">
        <w:rPr>
          <w:rFonts w:ascii="Arial" w:eastAsia="Times New Roman" w:hAnsi="Arial" w:cs="Arial"/>
          <w:color w:val="000000"/>
          <w:sz w:val="24"/>
          <w:szCs w:val="24"/>
          <w:lang w:eastAsia="en-ZA"/>
        </w:rPr>
        <w:t>, for the prescription period to start running, that the creditor must have knowledge of his or her actionable claim.</w:t>
      </w:r>
      <w:r w:rsidR="00B5412E" w:rsidRPr="00631657">
        <w:rPr>
          <w:rStyle w:val="FootnoteReference"/>
          <w:rFonts w:ascii="Arial" w:eastAsia="Times New Roman" w:hAnsi="Arial" w:cs="Arial"/>
          <w:color w:val="000000"/>
          <w:sz w:val="24"/>
          <w:szCs w:val="24"/>
          <w:lang w:eastAsia="en-ZA"/>
        </w:rPr>
        <w:footnoteReference w:id="4"/>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[17]</w:t>
      </w:r>
      <w:r w:rsidR="00B5412E" w:rsidRPr="00631657">
        <w:rPr>
          <w:rFonts w:ascii="Arial" w:eastAsia="Times New Roman" w:hAnsi="Arial" w:cs="Arial"/>
          <w:color w:val="000000"/>
          <w:sz w:val="24"/>
          <w:szCs w:val="24"/>
          <w:lang w:eastAsia="en-ZA"/>
        </w:rPr>
        <w:tab/>
        <w:t>The facts from which a debt arises</w:t>
      </w:r>
      <w:r w:rsidR="00710AA8">
        <w:rPr>
          <w:rFonts w:ascii="Arial" w:eastAsia="Times New Roman" w:hAnsi="Arial" w:cs="Arial"/>
          <w:color w:val="000000"/>
          <w:sz w:val="24"/>
          <w:szCs w:val="24"/>
          <w:lang w:eastAsia="en-ZA"/>
        </w:rPr>
        <w:t xml:space="preserve"> will differ from case to case</w:t>
      </w:r>
      <w:r w:rsidR="00B5412E" w:rsidRPr="00631657">
        <w:rPr>
          <w:rFonts w:ascii="Arial" w:eastAsia="Times New Roman" w:hAnsi="Arial" w:cs="Arial"/>
          <w:color w:val="000000"/>
          <w:sz w:val="24"/>
          <w:szCs w:val="24"/>
          <w:lang w:eastAsia="en-ZA"/>
        </w:rPr>
        <w:t xml:space="preserve"> or from debt to debt. The facts from which a debt arises in case of, for example, a claim for </w:t>
      </w:r>
      <w:r w:rsidR="00B5412E" w:rsidRPr="00631657">
        <w:rPr>
          <w:rFonts w:ascii="Arial" w:eastAsia="Times New Roman" w:hAnsi="Arial" w:cs="Arial"/>
          <w:color w:val="000000"/>
          <w:sz w:val="24"/>
          <w:szCs w:val="24"/>
          <w:lang w:eastAsia="en-ZA"/>
        </w:rPr>
        <w:lastRenderedPageBreak/>
        <w:t>defamation and the facts from which a debt arises from a claim for wrongful arrest will differ.</w:t>
      </w:r>
      <w:r w:rsidR="00B5412E" w:rsidRPr="00631657">
        <w:rPr>
          <w:rStyle w:val="FootnoteReference"/>
          <w:rFonts w:ascii="Arial" w:eastAsia="Times New Roman" w:hAnsi="Arial" w:cs="Arial"/>
          <w:color w:val="000000"/>
          <w:sz w:val="24"/>
          <w:szCs w:val="24"/>
          <w:lang w:eastAsia="en-ZA"/>
        </w:rPr>
        <w:footnoteReference w:id="5"/>
      </w: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[18]</w:t>
      </w:r>
      <w:r w:rsidR="00B5412E" w:rsidRPr="00631657">
        <w:rPr>
          <w:rFonts w:ascii="Arial" w:eastAsia="Times New Roman" w:hAnsi="Arial" w:cs="Arial"/>
          <w:color w:val="000000"/>
          <w:sz w:val="24"/>
          <w:szCs w:val="24"/>
          <w:lang w:eastAsia="en-ZA"/>
        </w:rPr>
        <w:tab/>
        <w:t xml:space="preserve"> The Plaintiff’s counsel referred this court to the case of </w:t>
      </w:r>
      <w:r w:rsidR="00B5412E" w:rsidRPr="00631657">
        <w:rPr>
          <w:rFonts w:ascii="Arial" w:eastAsia="Times New Roman" w:hAnsi="Arial" w:cs="Arial"/>
          <w:i/>
          <w:color w:val="000000"/>
          <w:sz w:val="24"/>
          <w:szCs w:val="24"/>
          <w:lang w:eastAsia="en-ZA"/>
        </w:rPr>
        <w:t>Makate v Vodacom</w:t>
      </w:r>
      <w:r w:rsidR="00B5412E" w:rsidRPr="00631657">
        <w:rPr>
          <w:rStyle w:val="FootnoteReference"/>
          <w:rFonts w:ascii="Arial" w:eastAsia="Times New Roman" w:hAnsi="Arial" w:cs="Arial"/>
          <w:color w:val="000000"/>
          <w:sz w:val="24"/>
          <w:szCs w:val="24"/>
          <w:lang w:eastAsia="en-ZA"/>
        </w:rPr>
        <w:footnoteReference w:id="6"/>
      </w:r>
      <w:r w:rsidR="00B5412E" w:rsidRPr="00631657">
        <w:rPr>
          <w:rFonts w:ascii="Arial" w:eastAsia="Times New Roman" w:hAnsi="Arial" w:cs="Arial"/>
          <w:color w:val="000000"/>
          <w:sz w:val="24"/>
          <w:szCs w:val="24"/>
          <w:lang w:eastAsia="en-ZA"/>
        </w:rPr>
        <w:t xml:space="preserve"> where the court said the following in relation to section 12 of the Prescription Act:</w:t>
      </w:r>
    </w:p>
    <w:p w:rsidR="00B5412E" w:rsidRPr="00631657" w:rsidRDefault="00B5412E" w:rsidP="00525A7B">
      <w:pPr>
        <w:spacing w:after="0" w:line="480" w:lineRule="auto"/>
        <w:ind w:left="144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 xml:space="preserve">“[87] Since the coming into force of the Constitution in February 1997, every court that in interprets legislation is bound to read a legislative provision through the prism of the </w:t>
      </w:r>
      <w:r w:rsidR="00487CC8" w:rsidRPr="00631657">
        <w:rPr>
          <w:rFonts w:ascii="Arial" w:eastAsia="Times New Roman" w:hAnsi="Arial" w:cs="Arial"/>
          <w:color w:val="000000"/>
          <w:sz w:val="24"/>
          <w:szCs w:val="24"/>
          <w:lang w:eastAsia="en-ZA"/>
        </w:rPr>
        <w:t xml:space="preserve">Constitution. In </w:t>
      </w:r>
      <w:r w:rsidR="00487CC8" w:rsidRPr="00631657">
        <w:rPr>
          <w:rFonts w:ascii="Arial" w:eastAsia="Times New Roman" w:hAnsi="Arial" w:cs="Arial"/>
          <w:i/>
          <w:color w:val="000000"/>
          <w:sz w:val="24"/>
          <w:szCs w:val="24"/>
          <w:lang w:eastAsia="en-ZA"/>
        </w:rPr>
        <w:t>Fraser</w:t>
      </w:r>
      <w:r w:rsidR="00487CC8" w:rsidRPr="00631657">
        <w:rPr>
          <w:rFonts w:ascii="Arial" w:eastAsia="Times New Roman" w:hAnsi="Arial" w:cs="Arial"/>
          <w:color w:val="000000"/>
          <w:sz w:val="24"/>
          <w:szCs w:val="24"/>
          <w:lang w:eastAsia="en-ZA"/>
        </w:rPr>
        <w:t>, Van der Westhuizen J explained the role of section 39(2) in these terms:</w:t>
      </w:r>
    </w:p>
    <w:p w:rsidR="00487CC8" w:rsidRPr="00F30A0C" w:rsidRDefault="00487CC8" w:rsidP="00525A7B">
      <w:pPr>
        <w:spacing w:after="0" w:line="480" w:lineRule="auto"/>
        <w:ind w:left="2160"/>
        <w:jc w:val="both"/>
        <w:rPr>
          <w:rFonts w:ascii="Arial" w:eastAsia="Times New Roman" w:hAnsi="Arial" w:cs="Arial"/>
          <w:color w:val="000000"/>
          <w:lang w:eastAsia="en-ZA"/>
        </w:rPr>
      </w:pPr>
      <w:r w:rsidRPr="00F30A0C">
        <w:rPr>
          <w:rFonts w:ascii="Arial" w:eastAsia="Times New Roman" w:hAnsi="Arial" w:cs="Arial"/>
          <w:color w:val="000000"/>
          <w:lang w:eastAsia="en-ZA"/>
        </w:rPr>
        <w:t>‘When interpret</w:t>
      </w:r>
      <w:r w:rsidR="00525A7B" w:rsidRPr="00F30A0C">
        <w:rPr>
          <w:rFonts w:ascii="Arial" w:eastAsia="Times New Roman" w:hAnsi="Arial" w:cs="Arial"/>
          <w:color w:val="000000"/>
          <w:lang w:eastAsia="en-ZA"/>
        </w:rPr>
        <w:t>ing legislation, a court must p</w:t>
      </w:r>
      <w:r w:rsidRPr="00F30A0C">
        <w:rPr>
          <w:rFonts w:ascii="Arial" w:eastAsia="Times New Roman" w:hAnsi="Arial" w:cs="Arial"/>
          <w:color w:val="000000"/>
          <w:lang w:eastAsia="en-ZA"/>
        </w:rPr>
        <w:t>romote the spirit, purport and objects of the Bill of Rights in terms of the section 39(2) of the Constitution. This Court has made it clear that section 39(2) fashions a mandatory constitutional common of stationery interpretation.’</w:t>
      </w:r>
    </w:p>
    <w:p w:rsidR="00B5412E" w:rsidRPr="00631657" w:rsidRDefault="00487CC8" w:rsidP="00525A7B">
      <w:pPr>
        <w:spacing w:after="0" w:line="480" w:lineRule="auto"/>
        <w:ind w:left="144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 xml:space="preserve">[88] It is apparent from </w:t>
      </w:r>
      <w:r w:rsidRPr="00631657">
        <w:rPr>
          <w:rFonts w:ascii="Arial" w:eastAsia="Times New Roman" w:hAnsi="Arial" w:cs="Arial"/>
          <w:i/>
          <w:color w:val="000000"/>
          <w:sz w:val="24"/>
          <w:szCs w:val="24"/>
          <w:lang w:eastAsia="en-ZA"/>
        </w:rPr>
        <w:t>Frase</w:t>
      </w:r>
      <w:r w:rsidR="00525A7B" w:rsidRPr="00631657">
        <w:rPr>
          <w:rFonts w:ascii="Arial" w:eastAsia="Times New Roman" w:hAnsi="Arial" w:cs="Arial"/>
          <w:i/>
          <w:color w:val="000000"/>
          <w:sz w:val="24"/>
          <w:szCs w:val="24"/>
          <w:lang w:eastAsia="en-ZA"/>
        </w:rPr>
        <w:t>r</w:t>
      </w:r>
      <w:r w:rsidRPr="00631657">
        <w:rPr>
          <w:rFonts w:ascii="Arial" w:eastAsia="Times New Roman" w:hAnsi="Arial" w:cs="Arial"/>
          <w:color w:val="000000"/>
          <w:sz w:val="24"/>
          <w:szCs w:val="24"/>
          <w:lang w:eastAsia="en-ZA"/>
        </w:rPr>
        <w:t xml:space="preserve"> that section 39(2) introduced to our law a new rule in terms of which statutes must be construed. It also appears from the same statement that this new aid of interpretation is mandatory. This means that courts must at all times bear in mind the provisions of section 39(2) when interpreting legislation. If the provision under construction implicates or affects rights in the Bill of </w:t>
      </w:r>
      <w:r w:rsidR="00F30A0C" w:rsidRPr="00631657">
        <w:rPr>
          <w:rFonts w:ascii="Arial" w:eastAsia="Times New Roman" w:hAnsi="Arial" w:cs="Arial"/>
          <w:color w:val="000000"/>
          <w:sz w:val="24"/>
          <w:szCs w:val="24"/>
          <w:lang w:eastAsia="en-ZA"/>
        </w:rPr>
        <w:t>Rights,</w:t>
      </w:r>
      <w:r w:rsidRPr="00631657">
        <w:rPr>
          <w:rFonts w:ascii="Arial" w:eastAsia="Times New Roman" w:hAnsi="Arial" w:cs="Arial"/>
          <w:color w:val="000000"/>
          <w:sz w:val="24"/>
          <w:szCs w:val="24"/>
          <w:lang w:eastAsia="en-ZA"/>
        </w:rPr>
        <w:t xml:space="preserve"> then the obligation in section 39(2) is activated. The court is duty-bound to promote the purport, spirit and objects of the Bill of Rights in the process of interpreting the provision in question.</w:t>
      </w:r>
    </w:p>
    <w:p w:rsidR="00487CC8" w:rsidRPr="00F30A0C" w:rsidRDefault="00487CC8" w:rsidP="00A0558F">
      <w:pPr>
        <w:spacing w:after="0" w:line="480" w:lineRule="auto"/>
        <w:jc w:val="both"/>
        <w:rPr>
          <w:rFonts w:ascii="Arial" w:eastAsia="Times New Roman" w:hAnsi="Arial" w:cs="Arial"/>
          <w:i/>
          <w:color w:val="000000"/>
          <w:sz w:val="24"/>
          <w:szCs w:val="24"/>
          <w:lang w:eastAsia="en-ZA"/>
        </w:rPr>
      </w:pPr>
      <w:r w:rsidRPr="00631657">
        <w:rPr>
          <w:rFonts w:ascii="Arial" w:eastAsia="Times New Roman" w:hAnsi="Arial" w:cs="Arial"/>
          <w:color w:val="000000"/>
          <w:sz w:val="24"/>
          <w:szCs w:val="24"/>
          <w:lang w:eastAsia="en-ZA"/>
        </w:rPr>
        <w:tab/>
      </w:r>
      <w:r w:rsidRPr="00631657">
        <w:rPr>
          <w:rFonts w:ascii="Arial" w:eastAsia="Times New Roman" w:hAnsi="Arial" w:cs="Arial"/>
          <w:color w:val="000000"/>
          <w:sz w:val="24"/>
          <w:szCs w:val="24"/>
          <w:lang w:eastAsia="en-ZA"/>
        </w:rPr>
        <w:tab/>
        <w:t>[89]</w:t>
      </w:r>
      <w:r w:rsidRPr="00631657">
        <w:rPr>
          <w:rFonts w:ascii="Arial" w:eastAsia="Times New Roman" w:hAnsi="Arial" w:cs="Arial"/>
          <w:color w:val="000000"/>
          <w:sz w:val="24"/>
          <w:szCs w:val="24"/>
          <w:lang w:eastAsia="en-ZA"/>
        </w:rPr>
        <w:tab/>
        <w:t xml:space="preserve">For as this Court observed in </w:t>
      </w:r>
      <w:r w:rsidRPr="00F30A0C">
        <w:rPr>
          <w:rFonts w:ascii="Arial" w:eastAsia="Times New Roman" w:hAnsi="Arial" w:cs="Arial"/>
          <w:i/>
          <w:color w:val="000000"/>
          <w:sz w:val="24"/>
          <w:szCs w:val="24"/>
          <w:lang w:eastAsia="en-ZA"/>
        </w:rPr>
        <w:t>Fraser</w:t>
      </w:r>
      <w:r w:rsidR="00F30A0C">
        <w:rPr>
          <w:rFonts w:ascii="Arial" w:eastAsia="Times New Roman" w:hAnsi="Arial" w:cs="Arial"/>
          <w:i/>
          <w:color w:val="000000"/>
          <w:sz w:val="24"/>
          <w:szCs w:val="24"/>
          <w:lang w:eastAsia="en-ZA"/>
        </w:rPr>
        <w:t>:</w:t>
      </w:r>
    </w:p>
    <w:p w:rsidR="00487CC8" w:rsidRPr="00F30A0C" w:rsidRDefault="00487CC8" w:rsidP="00525A7B">
      <w:pPr>
        <w:spacing w:after="0" w:line="480" w:lineRule="auto"/>
        <w:ind w:left="2160"/>
        <w:jc w:val="both"/>
        <w:rPr>
          <w:rFonts w:ascii="Arial" w:eastAsia="Times New Roman" w:hAnsi="Arial" w:cs="Arial"/>
          <w:color w:val="000000"/>
          <w:lang w:eastAsia="en-ZA"/>
        </w:rPr>
      </w:pPr>
      <w:r w:rsidRPr="00F30A0C">
        <w:rPr>
          <w:rFonts w:ascii="Arial" w:eastAsia="Times New Roman" w:hAnsi="Arial" w:cs="Arial"/>
          <w:color w:val="000000"/>
          <w:lang w:eastAsia="en-ZA"/>
        </w:rPr>
        <w:lastRenderedPageBreak/>
        <w:t>‘Section 39(2) requires more form a court than to avoid an interpretation that conflicts with the Bill of Rights. It demands the promotion of the spirit, purport and objects of the Bill of Rights.’</w:t>
      </w:r>
    </w:p>
    <w:p w:rsidR="00487CC8" w:rsidRDefault="00487CC8" w:rsidP="00525A7B">
      <w:pPr>
        <w:spacing w:after="0" w:line="480" w:lineRule="auto"/>
        <w:ind w:left="216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[90]</w:t>
      </w:r>
      <w:r w:rsidRPr="00631657">
        <w:rPr>
          <w:rFonts w:ascii="Arial" w:eastAsia="Times New Roman" w:hAnsi="Arial" w:cs="Arial"/>
          <w:color w:val="000000"/>
          <w:sz w:val="24"/>
          <w:szCs w:val="24"/>
          <w:lang w:eastAsia="en-ZA"/>
        </w:rPr>
        <w:tab/>
        <w:t>It cannot be disputed that section 10(1) read with sections 11 and 12 of the Prescription Act limits the rights</w:t>
      </w:r>
      <w:r w:rsidR="00C029AC" w:rsidRPr="00631657">
        <w:rPr>
          <w:rFonts w:ascii="Arial" w:eastAsia="Times New Roman" w:hAnsi="Arial" w:cs="Arial"/>
          <w:color w:val="000000"/>
          <w:sz w:val="24"/>
          <w:szCs w:val="24"/>
          <w:lang w:eastAsia="en-ZA"/>
        </w:rPr>
        <w:t xml:space="preserve"> guaranteed by section 34 of the Constitution. Therefore, in construing those provisions, the High Court was obliged to follow section 39(2) … because the operation of section 39(2) does not depend on the wishes of litigants. The Constitution in plain terms mandates courts to invoke the section when discharging their judicial function of interpreting legislation. The duty is triggered as soon as the provision under interpretation affects the rights in the Bill of Rights.”</w:t>
      </w:r>
    </w:p>
    <w:p w:rsidR="00F30A0C" w:rsidRPr="00631657" w:rsidRDefault="00F30A0C" w:rsidP="00525A7B">
      <w:pPr>
        <w:spacing w:after="0" w:line="480" w:lineRule="auto"/>
        <w:ind w:left="2160" w:hanging="720"/>
        <w:jc w:val="both"/>
        <w:rPr>
          <w:rFonts w:ascii="Arial" w:eastAsia="Times New Roman" w:hAnsi="Arial" w:cs="Arial"/>
          <w:color w:val="000000"/>
          <w:sz w:val="24"/>
          <w:szCs w:val="24"/>
          <w:lang w:eastAsia="en-ZA"/>
        </w:rPr>
      </w:pP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[19]</w:t>
      </w:r>
      <w:r w:rsidR="00C029AC" w:rsidRPr="00631657">
        <w:rPr>
          <w:rFonts w:ascii="Arial" w:eastAsia="Times New Roman" w:hAnsi="Arial" w:cs="Arial"/>
          <w:color w:val="000000"/>
          <w:sz w:val="24"/>
          <w:szCs w:val="24"/>
          <w:lang w:eastAsia="en-ZA"/>
        </w:rPr>
        <w:tab/>
        <w:t xml:space="preserve">In </w:t>
      </w:r>
      <w:r w:rsidR="00C029AC" w:rsidRPr="00631657">
        <w:rPr>
          <w:rFonts w:ascii="Arial" w:eastAsia="Times New Roman" w:hAnsi="Arial" w:cs="Arial"/>
          <w:i/>
          <w:color w:val="000000"/>
          <w:sz w:val="24"/>
          <w:szCs w:val="24"/>
          <w:lang w:eastAsia="en-ZA"/>
        </w:rPr>
        <w:t>Links v MEC for Health Northern Cape</w:t>
      </w:r>
      <w:r w:rsidR="00C029AC" w:rsidRPr="00631657">
        <w:rPr>
          <w:rStyle w:val="FootnoteReference"/>
          <w:rFonts w:ascii="Arial" w:eastAsia="Times New Roman" w:hAnsi="Arial" w:cs="Arial"/>
          <w:i/>
          <w:color w:val="000000"/>
          <w:sz w:val="24"/>
          <w:szCs w:val="24"/>
          <w:lang w:eastAsia="en-ZA"/>
        </w:rPr>
        <w:footnoteReference w:id="7"/>
      </w:r>
      <w:r w:rsidR="00C029AC" w:rsidRPr="00631657">
        <w:rPr>
          <w:rFonts w:ascii="Arial" w:eastAsia="Times New Roman" w:hAnsi="Arial" w:cs="Arial"/>
          <w:color w:val="000000"/>
          <w:sz w:val="24"/>
          <w:szCs w:val="24"/>
          <w:lang w:eastAsia="en-ZA"/>
        </w:rPr>
        <w:t xml:space="preserve"> in considering the provisions of section 12 of the Prescription Act against the Constitution, the court held as follows:</w:t>
      </w:r>
    </w:p>
    <w:p w:rsidR="00C029AC" w:rsidRDefault="00C029AC" w:rsidP="00525A7B">
      <w:pPr>
        <w:spacing w:after="0" w:line="480" w:lineRule="auto"/>
        <w:ind w:left="2160"/>
        <w:jc w:val="both"/>
        <w:rPr>
          <w:rFonts w:ascii="Arial" w:eastAsia="Times New Roman" w:hAnsi="Arial" w:cs="Arial"/>
          <w:i/>
          <w:color w:val="000000"/>
          <w:lang w:eastAsia="en-ZA"/>
        </w:rPr>
      </w:pPr>
      <w:r w:rsidRPr="00F30A0C">
        <w:rPr>
          <w:rFonts w:ascii="Arial" w:eastAsia="Times New Roman" w:hAnsi="Arial" w:cs="Arial"/>
          <w:i/>
          <w:color w:val="000000"/>
          <w:lang w:eastAsia="en-ZA"/>
        </w:rPr>
        <w:t xml:space="preserve">“[26] The provision of section 12 seek to strike a fair balance between, on the one hand, the need for a cut-off point beyond which a person who has a claim to </w:t>
      </w:r>
      <w:r w:rsidR="00525A7B" w:rsidRPr="00F30A0C">
        <w:rPr>
          <w:rFonts w:ascii="Arial" w:eastAsia="Times New Roman" w:hAnsi="Arial" w:cs="Arial"/>
          <w:i/>
          <w:color w:val="000000"/>
          <w:lang w:eastAsia="en-ZA"/>
        </w:rPr>
        <w:t>pursue</w:t>
      </w:r>
      <w:r w:rsidRPr="00F30A0C">
        <w:rPr>
          <w:rFonts w:ascii="Arial" w:eastAsia="Times New Roman" w:hAnsi="Arial" w:cs="Arial"/>
          <w:i/>
          <w:color w:val="000000"/>
          <w:lang w:eastAsia="en-ZA"/>
        </w:rPr>
        <w:t xml:space="preserve"> against another may not do so after the lapse of a certain period of time if he or she has failed to act diligently and on the other need to ensure fairness in those cases in which a rigid application of prescription</w:t>
      </w:r>
      <w:r w:rsidR="00F30A0C">
        <w:rPr>
          <w:rFonts w:ascii="Arial" w:eastAsia="Times New Roman" w:hAnsi="Arial" w:cs="Arial"/>
          <w:i/>
          <w:color w:val="000000"/>
          <w:lang w:eastAsia="en-ZA"/>
        </w:rPr>
        <w:t>.”</w:t>
      </w:r>
    </w:p>
    <w:p w:rsidR="00F30A0C" w:rsidRPr="00F30A0C" w:rsidRDefault="00F30A0C" w:rsidP="00525A7B">
      <w:pPr>
        <w:spacing w:after="0" w:line="480" w:lineRule="auto"/>
        <w:ind w:left="2160"/>
        <w:jc w:val="both"/>
        <w:rPr>
          <w:rFonts w:ascii="Arial" w:eastAsia="Times New Roman" w:hAnsi="Arial" w:cs="Arial"/>
          <w:i/>
          <w:color w:val="000000"/>
          <w:lang w:eastAsia="en-ZA"/>
        </w:rPr>
      </w:pPr>
    </w:p>
    <w:p w:rsidR="00A0558F" w:rsidRPr="00631657" w:rsidRDefault="00A0558F"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[20]</w:t>
      </w:r>
      <w:r w:rsidR="00CF5086" w:rsidRPr="00631657">
        <w:rPr>
          <w:rFonts w:ascii="Arial" w:eastAsia="Times New Roman" w:hAnsi="Arial" w:cs="Arial"/>
          <w:color w:val="000000"/>
          <w:sz w:val="24"/>
          <w:szCs w:val="24"/>
          <w:lang w:eastAsia="en-ZA"/>
        </w:rPr>
        <w:tab/>
        <w:t>A party raising prescription must allege and prove the date upon which the creditor had knowledge of the facts from which the debt arose.</w:t>
      </w:r>
      <w:r w:rsidR="00CF5086" w:rsidRPr="00631657">
        <w:rPr>
          <w:rStyle w:val="FootnoteReference"/>
          <w:rFonts w:ascii="Arial" w:eastAsia="Times New Roman" w:hAnsi="Arial" w:cs="Arial"/>
          <w:color w:val="000000"/>
          <w:sz w:val="24"/>
          <w:szCs w:val="24"/>
          <w:lang w:eastAsia="en-ZA"/>
        </w:rPr>
        <w:footnoteReference w:id="8"/>
      </w:r>
    </w:p>
    <w:p w:rsidR="00C029AC" w:rsidRDefault="00C029AC"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[21]</w:t>
      </w:r>
      <w:r w:rsidR="00CF5086" w:rsidRPr="00631657">
        <w:rPr>
          <w:rFonts w:ascii="Arial" w:eastAsia="Times New Roman" w:hAnsi="Arial" w:cs="Arial"/>
          <w:color w:val="000000"/>
          <w:sz w:val="24"/>
          <w:szCs w:val="24"/>
          <w:lang w:eastAsia="en-ZA"/>
        </w:rPr>
        <w:tab/>
        <w:t>In applying the principles to the facts of this case, it is common facts that summons was served after the lapse of three years, the ultimate day beyond which it was to be served was 3 December 2018. This is so because the Plaintiff was released from custody on 3 December 2015. Counting from 2 December 2015 the three</w:t>
      </w:r>
      <w:r w:rsidR="00025B35">
        <w:rPr>
          <w:rFonts w:ascii="Arial" w:eastAsia="Times New Roman" w:hAnsi="Arial" w:cs="Arial"/>
          <w:color w:val="000000"/>
          <w:sz w:val="24"/>
          <w:szCs w:val="24"/>
          <w:lang w:eastAsia="en-ZA"/>
        </w:rPr>
        <w:t xml:space="preserve"> </w:t>
      </w:r>
      <w:r w:rsidR="00C5513F">
        <w:rPr>
          <w:rFonts w:ascii="Arial" w:eastAsia="Times New Roman" w:hAnsi="Arial" w:cs="Arial"/>
          <w:color w:val="000000"/>
          <w:sz w:val="24"/>
          <w:szCs w:val="24"/>
          <w:lang w:eastAsia="en-ZA"/>
        </w:rPr>
        <w:t>year period would be on 3</w:t>
      </w:r>
      <w:r w:rsidR="00CF5086" w:rsidRPr="00631657">
        <w:rPr>
          <w:rFonts w:ascii="Arial" w:eastAsia="Times New Roman" w:hAnsi="Arial" w:cs="Arial"/>
          <w:color w:val="000000"/>
          <w:sz w:val="24"/>
          <w:szCs w:val="24"/>
          <w:lang w:eastAsia="en-ZA"/>
        </w:rPr>
        <w:t xml:space="preserve"> December 2018. The defence of prescription must therefore succeed and cannot be ignored simply by reference to the interpretation of the provision with the guidance of section 39(2) of the Constitution because the facts of this case do not</w:t>
      </w:r>
      <w:r w:rsidR="00C5513F">
        <w:rPr>
          <w:rFonts w:ascii="Arial" w:eastAsia="Times New Roman" w:hAnsi="Arial" w:cs="Arial"/>
          <w:color w:val="000000"/>
          <w:sz w:val="24"/>
          <w:szCs w:val="24"/>
          <w:lang w:eastAsia="en-ZA"/>
        </w:rPr>
        <w:t xml:space="preserve"> support such an interpretation and this were so in all cases, then the defence of prescription would always not be upheld irrespective of the facts of each matter. This in my respectful view, not what the Constitution requires.</w:t>
      </w:r>
    </w:p>
    <w:p w:rsidR="00C5513F" w:rsidRDefault="00C5513F" w:rsidP="00525A7B">
      <w:pPr>
        <w:spacing w:after="0" w:line="480" w:lineRule="auto"/>
        <w:ind w:left="720" w:hanging="720"/>
        <w:jc w:val="both"/>
        <w:rPr>
          <w:rFonts w:ascii="Arial" w:eastAsia="Times New Roman" w:hAnsi="Arial" w:cs="Arial"/>
          <w:color w:val="000000"/>
          <w:sz w:val="24"/>
          <w:szCs w:val="24"/>
          <w:lang w:eastAsia="en-ZA"/>
        </w:rPr>
      </w:pPr>
    </w:p>
    <w:p w:rsidR="00CF5086" w:rsidRPr="00C5513F" w:rsidRDefault="00C5513F" w:rsidP="00C5513F">
      <w:pPr>
        <w:spacing w:after="0" w:line="480" w:lineRule="auto"/>
        <w:ind w:left="720" w:hanging="720"/>
        <w:jc w:val="both"/>
        <w:rPr>
          <w:rFonts w:ascii="Arial" w:eastAsia="Times New Roman" w:hAnsi="Arial" w:cs="Arial"/>
          <w:b/>
          <w:color w:val="000000"/>
          <w:sz w:val="24"/>
          <w:szCs w:val="24"/>
          <w:u w:val="single"/>
          <w:lang w:eastAsia="en-ZA"/>
        </w:rPr>
      </w:pPr>
      <w:r>
        <w:rPr>
          <w:rFonts w:ascii="Arial" w:eastAsia="Times New Roman" w:hAnsi="Arial" w:cs="Arial"/>
          <w:color w:val="000000"/>
          <w:sz w:val="24"/>
          <w:szCs w:val="24"/>
          <w:lang w:eastAsia="en-ZA"/>
        </w:rPr>
        <w:tab/>
      </w:r>
      <w:r w:rsidRPr="00C5513F">
        <w:rPr>
          <w:rFonts w:ascii="Arial" w:eastAsia="Times New Roman" w:hAnsi="Arial" w:cs="Arial"/>
          <w:b/>
          <w:color w:val="000000"/>
          <w:sz w:val="24"/>
          <w:szCs w:val="24"/>
          <w:u w:val="single"/>
          <w:lang w:eastAsia="en-ZA"/>
        </w:rPr>
        <w:t>NON-COMPLIANCE WITH SECTION 3 OF THE STATE LIABILITY ACT 20 OF 1957</w:t>
      </w:r>
    </w:p>
    <w:p w:rsidR="00C029AC" w:rsidRPr="00631657" w:rsidRDefault="00C029AC"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[22]</w:t>
      </w:r>
      <w:r w:rsidR="00CF5086" w:rsidRPr="00631657">
        <w:rPr>
          <w:rFonts w:ascii="Arial" w:eastAsia="Times New Roman" w:hAnsi="Arial" w:cs="Arial"/>
          <w:color w:val="000000"/>
          <w:sz w:val="24"/>
          <w:szCs w:val="24"/>
          <w:lang w:eastAsia="en-ZA"/>
        </w:rPr>
        <w:tab/>
        <w:t>I now deal with the second special defence of non-compliance with section 3 of the State Liability Act 20 of 1957. Section 2(2)</w:t>
      </w:r>
      <w:r w:rsidR="00352316" w:rsidRPr="00631657">
        <w:rPr>
          <w:rFonts w:ascii="Arial" w:eastAsia="Times New Roman" w:hAnsi="Arial" w:cs="Arial"/>
          <w:color w:val="000000"/>
          <w:sz w:val="24"/>
          <w:szCs w:val="24"/>
          <w:lang w:eastAsia="en-ZA"/>
        </w:rPr>
        <w:t xml:space="preserve"> provides as follows</w:t>
      </w:r>
      <w:r w:rsidR="00F30A0C">
        <w:rPr>
          <w:rFonts w:ascii="Arial" w:eastAsia="Times New Roman" w:hAnsi="Arial" w:cs="Arial"/>
          <w:color w:val="000000"/>
          <w:sz w:val="24"/>
          <w:szCs w:val="24"/>
          <w:lang w:eastAsia="en-ZA"/>
        </w:rPr>
        <w:t>:</w:t>
      </w:r>
    </w:p>
    <w:p w:rsidR="00352316" w:rsidRDefault="00352316" w:rsidP="00525A7B">
      <w:pPr>
        <w:spacing w:after="0" w:line="480" w:lineRule="auto"/>
        <w:ind w:left="1440"/>
        <w:jc w:val="both"/>
        <w:rPr>
          <w:rFonts w:ascii="Arial" w:eastAsia="Times New Roman" w:hAnsi="Arial" w:cs="Arial"/>
          <w:color w:val="000000"/>
          <w:lang w:eastAsia="en-ZA"/>
        </w:rPr>
      </w:pPr>
      <w:r w:rsidRPr="00F30A0C">
        <w:rPr>
          <w:rFonts w:ascii="Arial" w:eastAsia="Times New Roman" w:hAnsi="Arial" w:cs="Arial"/>
          <w:color w:val="000000"/>
          <w:lang w:eastAsia="en-ZA"/>
        </w:rPr>
        <w:t>“The Plaintiff or applicant, as the case may be, or his or her legal representation must, within seven days after summons or notice instituting proceeding, and in which the executive authority of a department is cited as nominal defendant or respondent has been issued, serve a copy of that summons or notice on the State Attorney</w:t>
      </w:r>
      <w:r w:rsidR="00F30A0C">
        <w:rPr>
          <w:rFonts w:ascii="Arial" w:eastAsia="Times New Roman" w:hAnsi="Arial" w:cs="Arial"/>
          <w:color w:val="000000"/>
          <w:lang w:eastAsia="en-ZA"/>
        </w:rPr>
        <w:t>.”</w:t>
      </w:r>
    </w:p>
    <w:p w:rsidR="00F30A0C" w:rsidRPr="00F30A0C" w:rsidRDefault="00F30A0C" w:rsidP="00525A7B">
      <w:pPr>
        <w:spacing w:after="0" w:line="480" w:lineRule="auto"/>
        <w:ind w:left="1440"/>
        <w:jc w:val="both"/>
        <w:rPr>
          <w:rFonts w:ascii="Arial" w:eastAsia="Times New Roman" w:hAnsi="Arial" w:cs="Arial"/>
          <w:color w:val="000000"/>
          <w:lang w:eastAsia="en-ZA"/>
        </w:rPr>
      </w:pPr>
    </w:p>
    <w:p w:rsidR="00C029AC" w:rsidRDefault="00C029AC"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[23]</w:t>
      </w:r>
      <w:r w:rsidR="00C5513F">
        <w:rPr>
          <w:rFonts w:ascii="Arial" w:eastAsia="Times New Roman" w:hAnsi="Arial" w:cs="Arial"/>
          <w:color w:val="000000"/>
          <w:sz w:val="24"/>
          <w:szCs w:val="24"/>
          <w:lang w:eastAsia="en-ZA"/>
        </w:rPr>
        <w:tab/>
        <w:t>Although t</w:t>
      </w:r>
      <w:r w:rsidR="00352316" w:rsidRPr="00631657">
        <w:rPr>
          <w:rFonts w:ascii="Arial" w:eastAsia="Times New Roman" w:hAnsi="Arial" w:cs="Arial"/>
          <w:color w:val="000000"/>
          <w:sz w:val="24"/>
          <w:szCs w:val="24"/>
          <w:lang w:eastAsia="en-ZA"/>
        </w:rPr>
        <w:t>he provisions of section 2 of the State Liability Act are stated in peremptory terms which means they</w:t>
      </w:r>
      <w:r w:rsidR="00C5513F">
        <w:rPr>
          <w:rFonts w:ascii="Arial" w:eastAsia="Times New Roman" w:hAnsi="Arial" w:cs="Arial"/>
          <w:color w:val="000000"/>
          <w:sz w:val="24"/>
          <w:szCs w:val="24"/>
          <w:lang w:eastAsia="en-ZA"/>
        </w:rPr>
        <w:t xml:space="preserve"> must strictly be complied with, this is not the only manner that service of the proceedings should be carried out as will be shown later on in this judgment.</w:t>
      </w:r>
    </w:p>
    <w:p w:rsidR="00F30A0C" w:rsidRPr="00631657" w:rsidRDefault="00F30A0C" w:rsidP="00525A7B">
      <w:pPr>
        <w:spacing w:after="0" w:line="480" w:lineRule="auto"/>
        <w:ind w:left="720" w:hanging="720"/>
        <w:jc w:val="both"/>
        <w:rPr>
          <w:rFonts w:ascii="Arial" w:eastAsia="Times New Roman" w:hAnsi="Arial" w:cs="Arial"/>
          <w:color w:val="000000"/>
          <w:sz w:val="24"/>
          <w:szCs w:val="24"/>
          <w:lang w:eastAsia="en-ZA"/>
        </w:rPr>
      </w:pPr>
    </w:p>
    <w:p w:rsidR="00C029AC" w:rsidRPr="00631657" w:rsidRDefault="00C029AC" w:rsidP="00525A7B">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[24]</w:t>
      </w:r>
      <w:r w:rsidR="00352316" w:rsidRPr="00631657">
        <w:rPr>
          <w:rFonts w:ascii="Arial" w:eastAsia="Times New Roman" w:hAnsi="Arial" w:cs="Arial"/>
          <w:color w:val="000000"/>
          <w:sz w:val="24"/>
          <w:szCs w:val="24"/>
          <w:lang w:eastAsia="en-ZA"/>
        </w:rPr>
        <w:t xml:space="preserve"> </w:t>
      </w:r>
      <w:r w:rsidR="00352316" w:rsidRPr="00631657">
        <w:rPr>
          <w:rFonts w:ascii="Arial" w:eastAsia="Times New Roman" w:hAnsi="Arial" w:cs="Arial"/>
          <w:color w:val="000000"/>
          <w:sz w:val="24"/>
          <w:szCs w:val="24"/>
          <w:lang w:eastAsia="en-ZA"/>
        </w:rPr>
        <w:tab/>
        <w:t>Our courts have occasionally dealt with the consequences of non-compliance with the provisions of the section. By way of example in</w:t>
      </w:r>
      <w:r w:rsidR="00C5513F">
        <w:rPr>
          <w:rFonts w:ascii="Arial" w:eastAsia="Times New Roman" w:hAnsi="Arial" w:cs="Arial"/>
          <w:color w:val="000000"/>
          <w:sz w:val="24"/>
          <w:szCs w:val="24"/>
          <w:lang w:eastAsia="en-ZA"/>
        </w:rPr>
        <w:t xml:space="preserve"> the unreported case of</w:t>
      </w:r>
      <w:r w:rsidR="00352316" w:rsidRPr="00631657">
        <w:rPr>
          <w:rFonts w:ascii="Arial" w:eastAsia="Times New Roman" w:hAnsi="Arial" w:cs="Arial"/>
          <w:color w:val="000000"/>
          <w:sz w:val="24"/>
          <w:szCs w:val="24"/>
          <w:lang w:eastAsia="en-ZA"/>
        </w:rPr>
        <w:t xml:space="preserve"> </w:t>
      </w:r>
      <w:r w:rsidR="00352316" w:rsidRPr="00631657">
        <w:rPr>
          <w:rFonts w:ascii="Arial" w:eastAsia="Times New Roman" w:hAnsi="Arial" w:cs="Arial"/>
          <w:i/>
          <w:color w:val="000000"/>
          <w:sz w:val="24"/>
          <w:szCs w:val="24"/>
          <w:lang w:eastAsia="en-ZA"/>
        </w:rPr>
        <w:t>Molokwane v Minister of Police and Others</w:t>
      </w:r>
      <w:r w:rsidR="00352316" w:rsidRPr="00631657">
        <w:rPr>
          <w:rStyle w:val="FootnoteReference"/>
          <w:rFonts w:ascii="Arial" w:eastAsia="Times New Roman" w:hAnsi="Arial" w:cs="Arial"/>
          <w:color w:val="000000"/>
          <w:sz w:val="24"/>
          <w:szCs w:val="24"/>
          <w:lang w:eastAsia="en-ZA"/>
        </w:rPr>
        <w:footnoteReference w:id="9"/>
      </w:r>
      <w:r w:rsidR="00352316" w:rsidRPr="00631657">
        <w:rPr>
          <w:rFonts w:ascii="Arial" w:eastAsia="Times New Roman" w:hAnsi="Arial" w:cs="Arial"/>
          <w:color w:val="000000"/>
          <w:sz w:val="24"/>
          <w:szCs w:val="24"/>
          <w:lang w:eastAsia="en-ZA"/>
        </w:rPr>
        <w:t xml:space="preserve"> the court held as follows in dismissing the special plea- of non-compliance with section 2(2) of the State Liability Act:</w:t>
      </w:r>
    </w:p>
    <w:p w:rsidR="00352316" w:rsidRPr="00025B35" w:rsidRDefault="00352316" w:rsidP="00525A7B">
      <w:pPr>
        <w:spacing w:after="0" w:line="480" w:lineRule="auto"/>
        <w:ind w:left="2160" w:hanging="720"/>
        <w:jc w:val="both"/>
        <w:rPr>
          <w:rFonts w:ascii="Arial" w:eastAsia="Times New Roman" w:hAnsi="Arial" w:cs="Arial"/>
          <w:color w:val="000000"/>
          <w:lang w:eastAsia="en-ZA"/>
        </w:rPr>
      </w:pPr>
      <w:r w:rsidRPr="00025B35">
        <w:rPr>
          <w:rFonts w:ascii="Arial" w:eastAsia="Times New Roman" w:hAnsi="Arial" w:cs="Arial"/>
          <w:color w:val="000000"/>
          <w:lang w:eastAsia="en-ZA"/>
        </w:rPr>
        <w:t>“[17]</w:t>
      </w:r>
      <w:r w:rsidR="00525A7B" w:rsidRPr="00025B35">
        <w:rPr>
          <w:rFonts w:ascii="Arial" w:eastAsia="Times New Roman" w:hAnsi="Arial" w:cs="Arial"/>
          <w:color w:val="000000"/>
          <w:lang w:eastAsia="en-ZA"/>
        </w:rPr>
        <w:t xml:space="preserve"> </w:t>
      </w:r>
      <w:r w:rsidR="00525A7B" w:rsidRPr="00025B35">
        <w:rPr>
          <w:rFonts w:ascii="Arial" w:eastAsia="Times New Roman" w:hAnsi="Arial" w:cs="Arial"/>
          <w:color w:val="000000"/>
          <w:lang w:eastAsia="en-ZA"/>
        </w:rPr>
        <w:tab/>
      </w:r>
      <w:r w:rsidRPr="00025B35">
        <w:rPr>
          <w:rFonts w:ascii="Arial" w:eastAsia="Times New Roman" w:hAnsi="Arial" w:cs="Arial"/>
          <w:color w:val="000000"/>
          <w:lang w:eastAsia="en-ZA"/>
        </w:rPr>
        <w:t>I do not read, either s2(2) of the SLA</w:t>
      </w:r>
      <w:r w:rsidR="00C5513F">
        <w:rPr>
          <w:rFonts w:ascii="Arial" w:eastAsia="Times New Roman" w:hAnsi="Arial" w:cs="Arial"/>
          <w:color w:val="000000"/>
          <w:lang w:eastAsia="en-ZA"/>
        </w:rPr>
        <w:t xml:space="preserve"> (State Liability Act)</w:t>
      </w:r>
      <w:r w:rsidRPr="00025B35">
        <w:rPr>
          <w:rFonts w:ascii="Arial" w:eastAsia="Times New Roman" w:hAnsi="Arial" w:cs="Arial"/>
          <w:color w:val="000000"/>
          <w:lang w:eastAsia="en-ZA"/>
        </w:rPr>
        <w:t xml:space="preserve"> or s5(1) of Act 40 of 2002 to limit effective service of process by which legal proceedings against the State are limited, exclusively to service on the State Attorney. At first glance, the tw</w:t>
      </w:r>
      <w:r w:rsidR="00C5513F">
        <w:rPr>
          <w:rFonts w:ascii="Arial" w:eastAsia="Times New Roman" w:hAnsi="Arial" w:cs="Arial"/>
          <w:color w:val="000000"/>
          <w:lang w:eastAsia="en-ZA"/>
        </w:rPr>
        <w:t>o provisions seem to be contradictory</w:t>
      </w:r>
      <w:r w:rsidR="0093096B" w:rsidRPr="00025B35">
        <w:rPr>
          <w:rFonts w:ascii="Arial" w:eastAsia="Times New Roman" w:hAnsi="Arial" w:cs="Arial"/>
          <w:color w:val="000000"/>
          <w:lang w:eastAsia="en-ZA"/>
        </w:rPr>
        <w:t>. Section 2(2) of the SLA required service on the State Attorney, while s5(1) of Act 40 of 2002 required service in the manner prescribed by the rules of court. However, although s2(2) prescribed that such process had to be served on the State attorney within seven days of the process being issued, it did not restrict or prohibit other ways of effective service on the Minister. Moreover, the rules of court did not, at the time prescribe any manner of service when legal proceedings were instituted against the State. The rules provided that process could (‘may’) be served on the State Attorney, i</w:t>
      </w:r>
      <w:r w:rsidR="00525A7B" w:rsidRPr="00025B35">
        <w:rPr>
          <w:rFonts w:ascii="Arial" w:eastAsia="Times New Roman" w:hAnsi="Arial" w:cs="Arial"/>
          <w:color w:val="000000"/>
          <w:lang w:eastAsia="en-ZA"/>
        </w:rPr>
        <w:t xml:space="preserve">t was not mandatory; when read </w:t>
      </w:r>
      <w:r w:rsidR="0093096B" w:rsidRPr="00025B35">
        <w:rPr>
          <w:rFonts w:ascii="Arial" w:eastAsia="Times New Roman" w:hAnsi="Arial" w:cs="Arial"/>
          <w:color w:val="000000"/>
          <w:lang w:eastAsia="en-ZA"/>
        </w:rPr>
        <w:t>in this context, the tension that seems to exist between the two statutes is diffused.</w:t>
      </w:r>
      <w:r w:rsidR="00025B35" w:rsidRPr="00025B35">
        <w:rPr>
          <w:rFonts w:ascii="Arial" w:eastAsia="Times New Roman" w:hAnsi="Arial" w:cs="Arial"/>
          <w:color w:val="000000"/>
          <w:lang w:eastAsia="en-ZA"/>
        </w:rPr>
        <w:t>”</w:t>
      </w:r>
    </w:p>
    <w:p w:rsidR="00352316" w:rsidRPr="00631657" w:rsidRDefault="00352316" w:rsidP="00A0558F">
      <w:p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ab/>
      </w:r>
      <w:r w:rsidRPr="00631657">
        <w:rPr>
          <w:rFonts w:ascii="Arial" w:eastAsia="Times New Roman" w:hAnsi="Arial" w:cs="Arial"/>
          <w:color w:val="000000"/>
          <w:sz w:val="24"/>
          <w:szCs w:val="24"/>
          <w:lang w:eastAsia="en-ZA"/>
        </w:rPr>
        <w:tab/>
      </w:r>
    </w:p>
    <w:p w:rsidR="005379D6" w:rsidRDefault="00C029AC" w:rsidP="00025B35">
      <w:pPr>
        <w:spacing w:after="0" w:line="480" w:lineRule="auto"/>
        <w:ind w:left="720" w:hanging="720"/>
        <w:jc w:val="both"/>
        <w:rPr>
          <w:rFonts w:ascii="Arial" w:eastAsia="Times New Roman" w:hAnsi="Arial" w:cs="Arial"/>
          <w:b/>
          <w:color w:val="000000"/>
          <w:sz w:val="24"/>
          <w:szCs w:val="24"/>
          <w:lang w:eastAsia="en-ZA"/>
        </w:rPr>
      </w:pPr>
      <w:r w:rsidRPr="00631657">
        <w:rPr>
          <w:rFonts w:ascii="Arial" w:eastAsia="Times New Roman" w:hAnsi="Arial" w:cs="Arial"/>
          <w:color w:val="000000"/>
          <w:sz w:val="24"/>
          <w:szCs w:val="24"/>
          <w:lang w:eastAsia="en-ZA"/>
        </w:rPr>
        <w:t>[25]</w:t>
      </w:r>
      <w:r w:rsidR="0093096B" w:rsidRPr="00631657">
        <w:rPr>
          <w:rFonts w:ascii="Arial" w:eastAsia="Times New Roman" w:hAnsi="Arial" w:cs="Arial"/>
          <w:color w:val="000000"/>
          <w:sz w:val="24"/>
          <w:szCs w:val="24"/>
          <w:lang w:eastAsia="en-ZA"/>
        </w:rPr>
        <w:tab/>
        <w:t>It cannot be denied that despite not having complied with the provisions of section 2(2) of the State Liability Act, the defendants are not alleging that the summons was never served</w:t>
      </w:r>
      <w:r w:rsidR="00C5513F">
        <w:rPr>
          <w:rFonts w:ascii="Arial" w:eastAsia="Times New Roman" w:hAnsi="Arial" w:cs="Arial"/>
          <w:color w:val="000000"/>
          <w:sz w:val="24"/>
          <w:szCs w:val="24"/>
          <w:lang w:eastAsia="en-ZA"/>
        </w:rPr>
        <w:t xml:space="preserve"> to the Minister of Police, </w:t>
      </w:r>
      <w:r w:rsidR="0093096B" w:rsidRPr="00631657">
        <w:rPr>
          <w:rFonts w:ascii="Arial" w:eastAsia="Times New Roman" w:hAnsi="Arial" w:cs="Arial"/>
          <w:color w:val="000000"/>
          <w:sz w:val="24"/>
          <w:szCs w:val="24"/>
          <w:lang w:eastAsia="en-ZA"/>
        </w:rPr>
        <w:t xml:space="preserve">the National Commissioner and the Provincial Commissioner of the South African Police Service. </w:t>
      </w:r>
      <w:r w:rsidR="00C5513F">
        <w:rPr>
          <w:rFonts w:ascii="Arial" w:eastAsia="Times New Roman" w:hAnsi="Arial" w:cs="Arial"/>
          <w:color w:val="000000"/>
          <w:sz w:val="24"/>
          <w:szCs w:val="24"/>
          <w:lang w:eastAsia="en-ZA"/>
        </w:rPr>
        <w:t xml:space="preserve">Service was effected and the parties were duly represented by the State Attorney. No prejudice was alleged to have been suffered by such non-service to the Minister. </w:t>
      </w:r>
      <w:r w:rsidR="0093096B" w:rsidRPr="00631657">
        <w:rPr>
          <w:rFonts w:ascii="Arial" w:eastAsia="Times New Roman" w:hAnsi="Arial" w:cs="Arial"/>
          <w:color w:val="000000"/>
          <w:sz w:val="24"/>
          <w:szCs w:val="24"/>
          <w:lang w:eastAsia="en-ZA"/>
        </w:rPr>
        <w:t xml:space="preserve">Accordingly, the non- compliance with section 2(2) of the State Liability Act has not caused nay prejudice to the defendant. Even if the court is incorrect in holding that view, in any event, </w:t>
      </w:r>
      <w:r w:rsidR="00C5513F">
        <w:rPr>
          <w:rFonts w:ascii="Arial" w:eastAsia="Times New Roman" w:hAnsi="Arial" w:cs="Arial"/>
          <w:color w:val="000000"/>
          <w:sz w:val="24"/>
          <w:szCs w:val="24"/>
          <w:lang w:eastAsia="en-ZA"/>
        </w:rPr>
        <w:t xml:space="preserve">the Plaintiff </w:t>
      </w:r>
      <w:r w:rsidR="000032CF">
        <w:rPr>
          <w:rFonts w:ascii="Arial" w:eastAsia="Times New Roman" w:hAnsi="Arial" w:cs="Arial"/>
          <w:color w:val="000000"/>
          <w:sz w:val="24"/>
          <w:szCs w:val="24"/>
          <w:lang w:eastAsia="en-ZA"/>
        </w:rPr>
        <w:t>served</w:t>
      </w:r>
      <w:r w:rsidR="0093096B" w:rsidRPr="00631657">
        <w:rPr>
          <w:rFonts w:ascii="Arial" w:eastAsia="Times New Roman" w:hAnsi="Arial" w:cs="Arial"/>
          <w:color w:val="000000"/>
          <w:sz w:val="24"/>
          <w:szCs w:val="24"/>
          <w:lang w:eastAsia="en-ZA"/>
        </w:rPr>
        <w:t xml:space="preserve"> a copy of summons on 5 October 2019</w:t>
      </w:r>
      <w:r w:rsidR="000032CF">
        <w:rPr>
          <w:rFonts w:ascii="Arial" w:eastAsia="Times New Roman" w:hAnsi="Arial" w:cs="Arial"/>
          <w:color w:val="000000"/>
          <w:sz w:val="24"/>
          <w:szCs w:val="24"/>
          <w:lang w:eastAsia="en-ZA"/>
        </w:rPr>
        <w:t xml:space="preserve"> </w:t>
      </w:r>
      <w:r w:rsidR="00C5513F">
        <w:rPr>
          <w:rFonts w:ascii="Arial" w:eastAsia="Times New Roman" w:hAnsi="Arial" w:cs="Arial"/>
          <w:color w:val="000000"/>
          <w:sz w:val="24"/>
          <w:szCs w:val="24"/>
          <w:lang w:eastAsia="en-ZA"/>
        </w:rPr>
        <w:t>on the State Attorney who was</w:t>
      </w:r>
      <w:r w:rsidR="000032CF">
        <w:rPr>
          <w:rFonts w:ascii="Arial" w:eastAsia="Times New Roman" w:hAnsi="Arial" w:cs="Arial"/>
          <w:color w:val="000000"/>
          <w:sz w:val="24"/>
          <w:szCs w:val="24"/>
          <w:lang w:eastAsia="en-ZA"/>
        </w:rPr>
        <w:t xml:space="preserve"> as already stated, </w:t>
      </w:r>
      <w:r w:rsidR="0093096B" w:rsidRPr="00631657">
        <w:rPr>
          <w:rFonts w:ascii="Arial" w:eastAsia="Times New Roman" w:hAnsi="Arial" w:cs="Arial"/>
          <w:color w:val="000000"/>
          <w:sz w:val="24"/>
          <w:szCs w:val="24"/>
          <w:lang w:eastAsia="en-ZA"/>
        </w:rPr>
        <w:t>representing both</w:t>
      </w:r>
      <w:r w:rsidR="00025B35">
        <w:rPr>
          <w:rFonts w:ascii="Arial" w:eastAsia="Times New Roman" w:hAnsi="Arial" w:cs="Arial"/>
          <w:color w:val="000000"/>
          <w:sz w:val="24"/>
          <w:szCs w:val="24"/>
          <w:lang w:eastAsia="en-ZA"/>
        </w:rPr>
        <w:t xml:space="preserve"> </w:t>
      </w:r>
      <w:r w:rsidR="0093096B" w:rsidRPr="00631657">
        <w:rPr>
          <w:rFonts w:ascii="Arial" w:eastAsia="Times New Roman" w:hAnsi="Arial" w:cs="Arial"/>
          <w:color w:val="000000"/>
          <w:sz w:val="24"/>
          <w:szCs w:val="24"/>
          <w:lang w:eastAsia="en-ZA"/>
        </w:rPr>
        <w:t>defendants prior to the service of the summons. It follows that the special plea on this ground should fail.</w:t>
      </w:r>
      <w:r w:rsidR="00631657" w:rsidRPr="00631657">
        <w:rPr>
          <w:rFonts w:ascii="Arial" w:eastAsia="Times New Roman" w:hAnsi="Arial" w:cs="Arial"/>
          <w:b/>
          <w:color w:val="000000"/>
          <w:sz w:val="24"/>
          <w:szCs w:val="24"/>
          <w:lang w:eastAsia="en-ZA"/>
        </w:rPr>
        <w:tab/>
      </w:r>
    </w:p>
    <w:p w:rsidR="000032CF" w:rsidRDefault="000032CF" w:rsidP="00025B35">
      <w:pPr>
        <w:spacing w:after="0" w:line="480" w:lineRule="auto"/>
        <w:ind w:left="720" w:hanging="720"/>
        <w:jc w:val="both"/>
        <w:rPr>
          <w:rFonts w:ascii="Arial" w:eastAsia="Times New Roman" w:hAnsi="Arial" w:cs="Arial"/>
          <w:b/>
          <w:color w:val="000000"/>
          <w:sz w:val="24"/>
          <w:szCs w:val="24"/>
          <w:lang w:eastAsia="en-ZA"/>
        </w:rPr>
      </w:pPr>
    </w:p>
    <w:p w:rsidR="000032CF" w:rsidRPr="000032CF" w:rsidRDefault="000032CF" w:rsidP="00025B35">
      <w:pPr>
        <w:spacing w:after="0" w:line="480" w:lineRule="auto"/>
        <w:ind w:left="720" w:hanging="720"/>
        <w:jc w:val="both"/>
        <w:rPr>
          <w:rFonts w:ascii="Arial" w:eastAsia="Times New Roman" w:hAnsi="Arial" w:cs="Arial"/>
          <w:color w:val="000000"/>
          <w:sz w:val="24"/>
          <w:szCs w:val="24"/>
          <w:u w:val="single"/>
          <w:lang w:eastAsia="en-ZA"/>
        </w:rPr>
      </w:pPr>
      <w:r>
        <w:rPr>
          <w:rFonts w:ascii="Arial" w:eastAsia="Times New Roman" w:hAnsi="Arial" w:cs="Arial"/>
          <w:b/>
          <w:color w:val="000000"/>
          <w:sz w:val="24"/>
          <w:szCs w:val="24"/>
          <w:lang w:eastAsia="en-ZA"/>
        </w:rPr>
        <w:tab/>
      </w:r>
      <w:r w:rsidRPr="000032CF">
        <w:rPr>
          <w:rFonts w:ascii="Arial" w:eastAsia="Times New Roman" w:hAnsi="Arial" w:cs="Arial"/>
          <w:b/>
          <w:color w:val="000000"/>
          <w:sz w:val="24"/>
          <w:szCs w:val="24"/>
          <w:u w:val="single"/>
          <w:lang w:eastAsia="en-ZA"/>
        </w:rPr>
        <w:t>NON-COMPLIANCE WITH SECTION 3 OF ILPACOS ACT</w:t>
      </w:r>
    </w:p>
    <w:p w:rsidR="00C029AC" w:rsidRPr="00631657" w:rsidRDefault="00C029AC" w:rsidP="005379D6">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[26]</w:t>
      </w:r>
      <w:r w:rsidR="005379D6" w:rsidRPr="00631657">
        <w:rPr>
          <w:rFonts w:ascii="Arial" w:eastAsia="Times New Roman" w:hAnsi="Arial" w:cs="Arial"/>
          <w:color w:val="000000"/>
          <w:sz w:val="24"/>
          <w:szCs w:val="24"/>
          <w:lang w:eastAsia="en-ZA"/>
        </w:rPr>
        <w:tab/>
        <w:t>I now deal with the third defence of special plea based on non-compliance with the provisions of section 3 of ILPACOS Act which I consider to be of significant impor</w:t>
      </w:r>
      <w:r w:rsidR="00025B35">
        <w:rPr>
          <w:rFonts w:ascii="Arial" w:eastAsia="Times New Roman" w:hAnsi="Arial" w:cs="Arial"/>
          <w:color w:val="000000"/>
          <w:sz w:val="24"/>
          <w:szCs w:val="24"/>
          <w:lang w:eastAsia="en-ZA"/>
        </w:rPr>
        <w:t>tance in this j</w:t>
      </w:r>
      <w:r w:rsidR="005379D6" w:rsidRPr="00631657">
        <w:rPr>
          <w:rFonts w:ascii="Arial" w:eastAsia="Times New Roman" w:hAnsi="Arial" w:cs="Arial"/>
          <w:color w:val="000000"/>
          <w:sz w:val="24"/>
          <w:szCs w:val="24"/>
          <w:lang w:eastAsia="en-ZA"/>
        </w:rPr>
        <w:t>udgment.</w:t>
      </w:r>
    </w:p>
    <w:p w:rsidR="00C029AC" w:rsidRDefault="00C029AC" w:rsidP="00631657">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[27]</w:t>
      </w:r>
      <w:r w:rsidR="005379D6" w:rsidRPr="00631657">
        <w:rPr>
          <w:rFonts w:ascii="Arial" w:eastAsia="Times New Roman" w:hAnsi="Arial" w:cs="Arial"/>
          <w:color w:val="000000"/>
          <w:sz w:val="24"/>
          <w:szCs w:val="24"/>
          <w:lang w:eastAsia="en-ZA"/>
        </w:rPr>
        <w:tab/>
        <w:t>It is important to restate the provisions of section 3 of the ILPACOS Act which provide as follows:</w:t>
      </w:r>
    </w:p>
    <w:p w:rsidR="00025B35" w:rsidRPr="00631657" w:rsidRDefault="00025B35" w:rsidP="000032CF">
      <w:pPr>
        <w:spacing w:after="0" w:line="480" w:lineRule="auto"/>
        <w:jc w:val="both"/>
        <w:rPr>
          <w:rFonts w:ascii="Arial" w:eastAsia="Times New Roman" w:hAnsi="Arial" w:cs="Arial"/>
          <w:color w:val="000000"/>
          <w:sz w:val="24"/>
          <w:szCs w:val="24"/>
          <w:lang w:eastAsia="en-ZA"/>
        </w:rPr>
      </w:pPr>
    </w:p>
    <w:p w:rsidR="00A845F7" w:rsidRPr="00631657" w:rsidRDefault="00A845F7" w:rsidP="00A0558F">
      <w:pPr>
        <w:spacing w:after="0" w:line="480" w:lineRule="auto"/>
        <w:jc w:val="both"/>
        <w:rPr>
          <w:rFonts w:ascii="Arial" w:eastAsia="Times New Roman" w:hAnsi="Arial" w:cs="Arial"/>
          <w:b/>
          <w:color w:val="000000"/>
          <w:sz w:val="24"/>
          <w:szCs w:val="24"/>
          <w:lang w:eastAsia="en-ZA"/>
        </w:rPr>
      </w:pPr>
      <w:r w:rsidRPr="00631657">
        <w:rPr>
          <w:rFonts w:ascii="Arial" w:eastAsia="Times New Roman" w:hAnsi="Arial" w:cs="Arial"/>
          <w:color w:val="000000"/>
          <w:sz w:val="24"/>
          <w:szCs w:val="24"/>
          <w:lang w:eastAsia="en-ZA"/>
        </w:rPr>
        <w:tab/>
        <w:t>“</w:t>
      </w:r>
      <w:r w:rsidRPr="00631657">
        <w:rPr>
          <w:rFonts w:ascii="Arial" w:eastAsia="Times New Roman" w:hAnsi="Arial" w:cs="Arial"/>
          <w:b/>
          <w:color w:val="000000"/>
          <w:sz w:val="24"/>
          <w:szCs w:val="24"/>
          <w:lang w:eastAsia="en-ZA"/>
        </w:rPr>
        <w:t>Notice of intended legal proceedings to be given to the organ of state</w:t>
      </w:r>
    </w:p>
    <w:p w:rsidR="006E5AA5" w:rsidRPr="00631657" w:rsidRDefault="00A845F7" w:rsidP="00631657">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ab/>
        <w:t xml:space="preserve">3(1) No legal proceedings for the recovery of a debt </w:t>
      </w:r>
      <w:r w:rsidR="00631657" w:rsidRPr="00631657">
        <w:rPr>
          <w:rFonts w:ascii="Arial" w:eastAsia="Times New Roman" w:hAnsi="Arial" w:cs="Arial"/>
          <w:color w:val="000000"/>
          <w:sz w:val="24"/>
          <w:szCs w:val="24"/>
          <w:lang w:eastAsia="en-ZA"/>
        </w:rPr>
        <w:t xml:space="preserve">may be instituted against an </w:t>
      </w:r>
      <w:r w:rsidR="000032CF">
        <w:rPr>
          <w:rFonts w:ascii="Arial" w:eastAsia="Times New Roman" w:hAnsi="Arial" w:cs="Arial"/>
          <w:color w:val="000000"/>
          <w:sz w:val="24"/>
          <w:szCs w:val="24"/>
          <w:lang w:eastAsia="en-ZA"/>
        </w:rPr>
        <w:t>organ of s</w:t>
      </w:r>
      <w:r w:rsidRPr="00631657">
        <w:rPr>
          <w:rFonts w:ascii="Arial" w:eastAsia="Times New Roman" w:hAnsi="Arial" w:cs="Arial"/>
          <w:color w:val="000000"/>
          <w:sz w:val="24"/>
          <w:szCs w:val="24"/>
          <w:lang w:eastAsia="en-ZA"/>
        </w:rPr>
        <w:t>tate unless-</w:t>
      </w:r>
    </w:p>
    <w:p w:rsidR="00A845F7" w:rsidRPr="00631657" w:rsidRDefault="00A845F7" w:rsidP="00A845F7">
      <w:pPr>
        <w:pStyle w:val="ListParagraph"/>
        <w:numPr>
          <w:ilvl w:val="0"/>
          <w:numId w:val="3"/>
        </w:num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the creditor has given the organ of state in question notice in writing of his or her or its intention to institute the legal proceedings in question, or</w:t>
      </w:r>
    </w:p>
    <w:p w:rsidR="00A845F7" w:rsidRPr="00631657" w:rsidRDefault="000032CF" w:rsidP="00A845F7">
      <w:pPr>
        <w:pStyle w:val="ListParagraph"/>
        <w:numPr>
          <w:ilvl w:val="0"/>
          <w:numId w:val="3"/>
        </w:num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the organ of s</w:t>
      </w:r>
      <w:r w:rsidR="00A845F7" w:rsidRPr="00631657">
        <w:rPr>
          <w:rFonts w:ascii="Arial" w:eastAsia="Times New Roman" w:hAnsi="Arial" w:cs="Arial"/>
          <w:color w:val="000000"/>
          <w:sz w:val="24"/>
          <w:szCs w:val="24"/>
          <w:lang w:eastAsia="en-ZA"/>
        </w:rPr>
        <w:t>tate in question has consented in writing to the institution of that legal proceedings</w:t>
      </w:r>
    </w:p>
    <w:p w:rsidR="00A845F7" w:rsidRPr="00631657" w:rsidRDefault="00A845F7" w:rsidP="00631657">
      <w:pPr>
        <w:spacing w:after="0" w:line="480" w:lineRule="auto"/>
        <w:ind w:left="1080" w:firstLine="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(i) without such notice; or</w:t>
      </w:r>
    </w:p>
    <w:p w:rsidR="00A845F7" w:rsidRPr="00631657" w:rsidRDefault="00A845F7" w:rsidP="00A845F7">
      <w:pPr>
        <w:pStyle w:val="ListParagraph"/>
        <w:spacing w:after="0" w:line="480" w:lineRule="auto"/>
        <w:ind w:left="180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(ii)</w:t>
      </w:r>
      <w:r w:rsidR="00631657" w:rsidRPr="00631657">
        <w:rPr>
          <w:rFonts w:ascii="Arial" w:eastAsia="Times New Roman" w:hAnsi="Arial" w:cs="Arial"/>
          <w:color w:val="000000"/>
          <w:sz w:val="24"/>
          <w:szCs w:val="24"/>
          <w:lang w:eastAsia="en-ZA"/>
        </w:rPr>
        <w:t xml:space="preserve"> upon receipt of a notice which does not comply with all the requirement set out subsection (2).</w:t>
      </w:r>
    </w:p>
    <w:p w:rsidR="006E5AA5" w:rsidRPr="00631657" w:rsidRDefault="006E5AA5" w:rsidP="00A0558F">
      <w:p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ab/>
        <w:t>(2)</w:t>
      </w:r>
      <w:r w:rsidRPr="00631657">
        <w:rPr>
          <w:rFonts w:ascii="Arial" w:eastAsia="Times New Roman" w:hAnsi="Arial" w:cs="Arial"/>
          <w:color w:val="000000"/>
          <w:sz w:val="24"/>
          <w:szCs w:val="24"/>
          <w:lang w:eastAsia="en-ZA"/>
        </w:rPr>
        <w:tab/>
        <w:t>A notice must-</w:t>
      </w:r>
    </w:p>
    <w:p w:rsidR="006E5AA5" w:rsidRPr="00631657" w:rsidRDefault="006E5AA5" w:rsidP="006E5AA5">
      <w:pPr>
        <w:spacing w:after="0" w:line="480" w:lineRule="auto"/>
        <w:ind w:left="144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 xml:space="preserve">(a) within six months from the date on which the debt became due, be served on the organ of </w:t>
      </w:r>
      <w:r w:rsidR="00A845F7" w:rsidRPr="00631657">
        <w:rPr>
          <w:rFonts w:ascii="Arial" w:eastAsia="Times New Roman" w:hAnsi="Arial" w:cs="Arial"/>
          <w:color w:val="000000"/>
          <w:sz w:val="24"/>
          <w:szCs w:val="24"/>
          <w:lang w:eastAsia="en-ZA"/>
        </w:rPr>
        <w:t>state in accordance with</w:t>
      </w:r>
      <w:r w:rsidRPr="00631657">
        <w:rPr>
          <w:rFonts w:ascii="Arial" w:eastAsia="Times New Roman" w:hAnsi="Arial" w:cs="Arial"/>
          <w:color w:val="000000"/>
          <w:sz w:val="24"/>
          <w:szCs w:val="24"/>
          <w:lang w:eastAsia="en-ZA"/>
        </w:rPr>
        <w:t xml:space="preserve"> section 4(1); and </w:t>
      </w:r>
    </w:p>
    <w:p w:rsidR="006E5AA5" w:rsidRPr="00631657" w:rsidRDefault="006E5AA5" w:rsidP="00A0558F">
      <w:p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ab/>
      </w:r>
      <w:r w:rsidRPr="00631657">
        <w:rPr>
          <w:rFonts w:ascii="Arial" w:eastAsia="Times New Roman" w:hAnsi="Arial" w:cs="Arial"/>
          <w:color w:val="000000"/>
          <w:sz w:val="24"/>
          <w:szCs w:val="24"/>
          <w:lang w:eastAsia="en-ZA"/>
        </w:rPr>
        <w:tab/>
        <w:t>(b) briefly set out-</w:t>
      </w:r>
    </w:p>
    <w:p w:rsidR="006E5AA5" w:rsidRPr="00631657" w:rsidRDefault="006E5AA5" w:rsidP="006E5AA5">
      <w:pPr>
        <w:pStyle w:val="ListParagraph"/>
        <w:numPr>
          <w:ilvl w:val="0"/>
          <w:numId w:val="2"/>
        </w:num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The facts giving rise to the debt; and</w:t>
      </w:r>
    </w:p>
    <w:p w:rsidR="006E5AA5" w:rsidRPr="00631657" w:rsidRDefault="006E5AA5" w:rsidP="006E5AA5">
      <w:pPr>
        <w:pStyle w:val="ListParagraph"/>
        <w:numPr>
          <w:ilvl w:val="0"/>
          <w:numId w:val="2"/>
        </w:num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Such particulars of such debt as are withi</w:t>
      </w:r>
      <w:r w:rsidR="00631657" w:rsidRPr="00631657">
        <w:rPr>
          <w:rFonts w:ascii="Arial" w:eastAsia="Times New Roman" w:hAnsi="Arial" w:cs="Arial"/>
          <w:color w:val="000000"/>
          <w:sz w:val="24"/>
          <w:szCs w:val="24"/>
          <w:lang w:eastAsia="en-ZA"/>
        </w:rPr>
        <w:t>n the knowledge of the creditor</w:t>
      </w:r>
      <w:r w:rsidRPr="00631657">
        <w:rPr>
          <w:rFonts w:ascii="Arial" w:eastAsia="Times New Roman" w:hAnsi="Arial" w:cs="Arial"/>
          <w:color w:val="000000"/>
          <w:sz w:val="24"/>
          <w:szCs w:val="24"/>
          <w:lang w:eastAsia="en-ZA"/>
        </w:rPr>
        <w:t>.</w:t>
      </w:r>
    </w:p>
    <w:p w:rsidR="006E5AA5" w:rsidRPr="00631657" w:rsidRDefault="006E5AA5" w:rsidP="006E5AA5">
      <w:pPr>
        <w:spacing w:after="0" w:line="480" w:lineRule="auto"/>
        <w:ind w:left="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(3) For purposed of subsection (2)(a)</w:t>
      </w:r>
    </w:p>
    <w:p w:rsidR="006E5AA5" w:rsidRPr="00631657" w:rsidRDefault="006E5AA5" w:rsidP="00631657">
      <w:pPr>
        <w:spacing w:after="0" w:line="480" w:lineRule="auto"/>
        <w:ind w:left="144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(a) 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rsidR="006E5AA5" w:rsidRPr="00631657" w:rsidRDefault="006E5AA5" w:rsidP="00631657">
      <w:pPr>
        <w:spacing w:after="0" w:line="480" w:lineRule="auto"/>
        <w:ind w:left="144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(b) a debt referred to in section 2(2)(a), must be regarded as having become due on the fixed date.”</w:t>
      </w:r>
    </w:p>
    <w:p w:rsidR="005379D6" w:rsidRPr="00631657" w:rsidRDefault="005379D6" w:rsidP="00A0558F">
      <w:pPr>
        <w:spacing w:after="0" w:line="480" w:lineRule="auto"/>
        <w:jc w:val="both"/>
        <w:rPr>
          <w:rFonts w:ascii="Arial" w:eastAsia="Times New Roman" w:hAnsi="Arial" w:cs="Arial"/>
          <w:color w:val="000000"/>
          <w:sz w:val="24"/>
          <w:szCs w:val="24"/>
          <w:lang w:eastAsia="en-ZA"/>
        </w:rPr>
      </w:pPr>
    </w:p>
    <w:p w:rsidR="00C029AC" w:rsidRPr="00631657" w:rsidRDefault="00C029AC" w:rsidP="00631657">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lastRenderedPageBreak/>
        <w:t>[28]</w:t>
      </w:r>
      <w:r w:rsidR="005379D6" w:rsidRPr="00631657">
        <w:rPr>
          <w:rFonts w:ascii="Arial" w:eastAsia="Times New Roman" w:hAnsi="Arial" w:cs="Arial"/>
          <w:color w:val="000000"/>
          <w:sz w:val="24"/>
          <w:szCs w:val="24"/>
          <w:lang w:eastAsia="en-ZA"/>
        </w:rPr>
        <w:tab/>
        <w:t>The creditor who fails to comply with the provisions of section 3(1)(2) and (3) is afforded an opportunity if the defendant relies on non-compliance with the notice, to approach court by way of motion proceedings in terms of section 3(4)(9) and ask for condonation for non-compliance with the notice</w:t>
      </w:r>
      <w:r w:rsidR="00631657">
        <w:rPr>
          <w:rFonts w:ascii="Arial" w:eastAsia="Times New Roman" w:hAnsi="Arial" w:cs="Arial"/>
          <w:color w:val="000000"/>
          <w:sz w:val="24"/>
          <w:szCs w:val="24"/>
          <w:lang w:eastAsia="en-ZA"/>
        </w:rPr>
        <w:t xml:space="preserve"> requirements.</w:t>
      </w:r>
    </w:p>
    <w:p w:rsidR="00C029AC" w:rsidRDefault="00C029AC" w:rsidP="00A0558F">
      <w:pPr>
        <w:spacing w:after="0" w:line="480" w:lineRule="auto"/>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[29]</w:t>
      </w:r>
      <w:r w:rsidR="00631657">
        <w:rPr>
          <w:rFonts w:ascii="Arial" w:eastAsia="Times New Roman" w:hAnsi="Arial" w:cs="Arial"/>
          <w:color w:val="000000"/>
          <w:sz w:val="24"/>
          <w:szCs w:val="24"/>
          <w:lang w:eastAsia="en-ZA"/>
        </w:rPr>
        <w:tab/>
        <w:t>Section 3(4)</w:t>
      </w:r>
      <w:r w:rsidR="00D61513">
        <w:rPr>
          <w:rFonts w:ascii="Arial" w:eastAsia="Times New Roman" w:hAnsi="Arial" w:cs="Arial"/>
          <w:color w:val="000000"/>
          <w:sz w:val="24"/>
          <w:szCs w:val="24"/>
          <w:lang w:eastAsia="en-ZA"/>
        </w:rPr>
        <w:t xml:space="preserve"> of ILAPACOS Act provides as follows: </w:t>
      </w:r>
    </w:p>
    <w:p w:rsidR="004E7C0C" w:rsidRPr="00025B35" w:rsidRDefault="004E7C0C" w:rsidP="009B7166">
      <w:pPr>
        <w:spacing w:after="0" w:line="480" w:lineRule="auto"/>
        <w:ind w:left="1440"/>
        <w:jc w:val="both"/>
        <w:rPr>
          <w:rFonts w:ascii="Arial" w:eastAsia="Times New Roman" w:hAnsi="Arial" w:cs="Arial"/>
          <w:color w:val="000000"/>
          <w:lang w:eastAsia="en-ZA"/>
        </w:rPr>
      </w:pPr>
      <w:r w:rsidRPr="00025B35">
        <w:rPr>
          <w:rFonts w:ascii="Arial" w:eastAsia="Times New Roman" w:hAnsi="Arial" w:cs="Arial"/>
          <w:color w:val="000000"/>
          <w:lang w:eastAsia="en-ZA"/>
        </w:rPr>
        <w:t>“(a)</w:t>
      </w:r>
      <w:r w:rsidR="000032CF">
        <w:rPr>
          <w:rFonts w:ascii="Arial" w:eastAsia="Times New Roman" w:hAnsi="Arial" w:cs="Arial"/>
          <w:color w:val="000000"/>
          <w:lang w:eastAsia="en-ZA"/>
        </w:rPr>
        <w:t xml:space="preserve"> If an organ of s</w:t>
      </w:r>
      <w:r w:rsidR="009B7166" w:rsidRPr="00025B35">
        <w:rPr>
          <w:rFonts w:ascii="Arial" w:eastAsia="Times New Roman" w:hAnsi="Arial" w:cs="Arial"/>
          <w:color w:val="000000"/>
          <w:lang w:eastAsia="en-ZA"/>
        </w:rPr>
        <w:t>tate relies on creditor’s failure to serve a notice in terms of subsection 2(9), the creditors may apply to a court having jurisdiction for condonation of such failure.</w:t>
      </w:r>
    </w:p>
    <w:p w:rsidR="004E7C0C" w:rsidRPr="00025B35" w:rsidRDefault="00025B35" w:rsidP="00025B35">
      <w:pPr>
        <w:spacing w:after="0" w:line="480" w:lineRule="auto"/>
        <w:ind w:left="1440"/>
        <w:jc w:val="both"/>
        <w:rPr>
          <w:rFonts w:ascii="Arial" w:eastAsia="Times New Roman" w:hAnsi="Arial" w:cs="Arial"/>
          <w:color w:val="000000"/>
          <w:lang w:eastAsia="en-ZA"/>
        </w:rPr>
      </w:pPr>
      <w:r>
        <w:rPr>
          <w:rFonts w:ascii="Arial" w:eastAsia="Times New Roman" w:hAnsi="Arial" w:cs="Arial"/>
          <w:color w:val="000000"/>
          <w:lang w:eastAsia="en-ZA"/>
        </w:rPr>
        <w:t>(b)</w:t>
      </w:r>
      <w:r w:rsidR="009B7166" w:rsidRPr="00025B35">
        <w:rPr>
          <w:rFonts w:ascii="Arial" w:eastAsia="Times New Roman" w:hAnsi="Arial" w:cs="Arial"/>
          <w:color w:val="000000"/>
          <w:lang w:eastAsia="en-ZA"/>
        </w:rPr>
        <w:t xml:space="preserve">The court may grant an application referred to in paragraph (a) if it is satisfied that: </w:t>
      </w:r>
    </w:p>
    <w:p w:rsidR="009B7166" w:rsidRPr="00025B35" w:rsidRDefault="00025B35" w:rsidP="009B7166">
      <w:pPr>
        <w:pStyle w:val="ListParagraph"/>
        <w:numPr>
          <w:ilvl w:val="0"/>
          <w:numId w:val="5"/>
        </w:numPr>
        <w:spacing w:after="0" w:line="480" w:lineRule="auto"/>
        <w:jc w:val="both"/>
        <w:rPr>
          <w:rFonts w:ascii="Arial" w:eastAsia="Times New Roman" w:hAnsi="Arial" w:cs="Arial"/>
          <w:color w:val="000000"/>
          <w:lang w:eastAsia="en-ZA"/>
        </w:rPr>
      </w:pPr>
      <w:r>
        <w:rPr>
          <w:rFonts w:ascii="Arial" w:eastAsia="Times New Roman" w:hAnsi="Arial" w:cs="Arial"/>
          <w:color w:val="000000"/>
          <w:lang w:eastAsia="en-ZA"/>
        </w:rPr>
        <w:t>t</w:t>
      </w:r>
      <w:r w:rsidR="009B7166" w:rsidRPr="00025B35">
        <w:rPr>
          <w:rFonts w:ascii="Arial" w:eastAsia="Times New Roman" w:hAnsi="Arial" w:cs="Arial"/>
          <w:color w:val="000000"/>
          <w:lang w:eastAsia="en-ZA"/>
        </w:rPr>
        <w:t>he debt has not been extinguished by prescription;</w:t>
      </w:r>
    </w:p>
    <w:p w:rsidR="009B7166" w:rsidRPr="00025B35" w:rsidRDefault="00025B35" w:rsidP="009B7166">
      <w:pPr>
        <w:pStyle w:val="ListParagraph"/>
        <w:numPr>
          <w:ilvl w:val="0"/>
          <w:numId w:val="5"/>
        </w:numPr>
        <w:spacing w:after="0" w:line="480" w:lineRule="auto"/>
        <w:jc w:val="both"/>
        <w:rPr>
          <w:rFonts w:ascii="Arial" w:eastAsia="Times New Roman" w:hAnsi="Arial" w:cs="Arial"/>
          <w:color w:val="000000"/>
          <w:lang w:eastAsia="en-ZA"/>
        </w:rPr>
      </w:pPr>
      <w:r>
        <w:rPr>
          <w:rFonts w:ascii="Arial" w:eastAsia="Times New Roman" w:hAnsi="Arial" w:cs="Arial"/>
          <w:color w:val="000000"/>
          <w:lang w:eastAsia="en-ZA"/>
        </w:rPr>
        <w:t>g</w:t>
      </w:r>
      <w:r w:rsidR="009B7166" w:rsidRPr="00025B35">
        <w:rPr>
          <w:rFonts w:ascii="Arial" w:eastAsia="Times New Roman" w:hAnsi="Arial" w:cs="Arial"/>
          <w:color w:val="000000"/>
          <w:lang w:eastAsia="en-ZA"/>
        </w:rPr>
        <w:t xml:space="preserve">ood cause exists for the failure by the creditor; and </w:t>
      </w:r>
    </w:p>
    <w:p w:rsidR="00D03033" w:rsidRPr="00D03033" w:rsidRDefault="009B7166" w:rsidP="00D03033">
      <w:pPr>
        <w:pStyle w:val="ListParagraph"/>
        <w:numPr>
          <w:ilvl w:val="0"/>
          <w:numId w:val="5"/>
        </w:numPr>
        <w:spacing w:after="0" w:line="480" w:lineRule="auto"/>
        <w:jc w:val="both"/>
        <w:rPr>
          <w:rFonts w:ascii="Arial" w:eastAsia="Times New Roman" w:hAnsi="Arial" w:cs="Arial"/>
          <w:color w:val="000000"/>
          <w:lang w:eastAsia="en-ZA"/>
        </w:rPr>
      </w:pPr>
      <w:r w:rsidRPr="00025B35">
        <w:rPr>
          <w:rFonts w:ascii="Arial" w:eastAsia="Times New Roman" w:hAnsi="Arial" w:cs="Arial"/>
          <w:color w:val="000000"/>
          <w:lang w:eastAsia="en-ZA"/>
        </w:rPr>
        <w:t>the organ of state was not unreasonably prejudiced by the failure</w:t>
      </w:r>
      <w:r w:rsidR="00D03033">
        <w:rPr>
          <w:rFonts w:ascii="Arial" w:eastAsia="Times New Roman" w:hAnsi="Arial" w:cs="Arial"/>
          <w:color w:val="000000"/>
          <w:lang w:eastAsia="en-ZA"/>
        </w:rPr>
        <w:t>.</w:t>
      </w:r>
    </w:p>
    <w:p w:rsidR="004E7C0C" w:rsidRPr="00025B35" w:rsidRDefault="004E7C0C" w:rsidP="00025B35">
      <w:pPr>
        <w:spacing w:after="0" w:line="480" w:lineRule="auto"/>
        <w:ind w:left="1510"/>
        <w:jc w:val="both"/>
        <w:rPr>
          <w:rFonts w:ascii="Arial" w:eastAsia="Times New Roman" w:hAnsi="Arial" w:cs="Arial"/>
          <w:color w:val="000000"/>
          <w:lang w:eastAsia="en-ZA"/>
        </w:rPr>
      </w:pPr>
      <w:r w:rsidRPr="00025B35">
        <w:rPr>
          <w:rFonts w:ascii="Arial" w:eastAsia="Times New Roman" w:hAnsi="Arial" w:cs="Arial"/>
          <w:color w:val="000000"/>
          <w:lang w:eastAsia="en-ZA"/>
        </w:rPr>
        <w:t>(c) If an application is granted in terms of paragraph (b), the court may grant leave to institute the legal proceedings in question</w:t>
      </w:r>
      <w:r w:rsidR="009B7166" w:rsidRPr="00025B35">
        <w:rPr>
          <w:rFonts w:ascii="Arial" w:eastAsia="Times New Roman" w:hAnsi="Arial" w:cs="Arial"/>
          <w:color w:val="000000"/>
          <w:lang w:eastAsia="en-ZA"/>
        </w:rPr>
        <w:t>, on such condonations regarding notice to the organ of State as the court may deem appropriate.”</w:t>
      </w:r>
    </w:p>
    <w:p w:rsidR="00D61513" w:rsidRPr="00631657" w:rsidRDefault="00D61513" w:rsidP="00A0558F">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p>
    <w:p w:rsidR="00C029AC" w:rsidRDefault="00C029AC" w:rsidP="00D61513">
      <w:pPr>
        <w:spacing w:after="0" w:line="480" w:lineRule="auto"/>
        <w:ind w:left="720" w:hanging="720"/>
        <w:jc w:val="both"/>
        <w:rPr>
          <w:rFonts w:ascii="Arial" w:eastAsia="Times New Roman" w:hAnsi="Arial" w:cs="Arial"/>
          <w:color w:val="000000"/>
          <w:sz w:val="24"/>
          <w:szCs w:val="24"/>
          <w:lang w:eastAsia="en-ZA"/>
        </w:rPr>
      </w:pPr>
      <w:r w:rsidRPr="00631657">
        <w:rPr>
          <w:rFonts w:ascii="Arial" w:eastAsia="Times New Roman" w:hAnsi="Arial" w:cs="Arial"/>
          <w:color w:val="000000"/>
          <w:sz w:val="24"/>
          <w:szCs w:val="24"/>
          <w:lang w:eastAsia="en-ZA"/>
        </w:rPr>
        <w:t>[30]</w:t>
      </w:r>
      <w:r w:rsidR="004E7C0C">
        <w:rPr>
          <w:rFonts w:ascii="Arial" w:eastAsia="Times New Roman" w:hAnsi="Arial" w:cs="Arial"/>
          <w:color w:val="000000"/>
          <w:sz w:val="24"/>
          <w:szCs w:val="24"/>
          <w:lang w:eastAsia="en-ZA"/>
        </w:rPr>
        <w:tab/>
      </w:r>
      <w:r w:rsidR="00D61513">
        <w:rPr>
          <w:rFonts w:ascii="Arial" w:eastAsia="Times New Roman" w:hAnsi="Arial" w:cs="Arial"/>
          <w:color w:val="000000"/>
          <w:sz w:val="24"/>
          <w:szCs w:val="24"/>
          <w:lang w:eastAsia="en-ZA"/>
        </w:rPr>
        <w:t xml:space="preserve">Section 3(4)(b) sets out the factors which the court must be satisfied with to decide whether to grant condonation for the failure to serve a notice in accordance with the requirements set out in section 3(2). Numerous judgments have dealt with the interpretation of these provisions and found that these factors need to be read </w:t>
      </w:r>
      <w:r w:rsidR="000032CF">
        <w:rPr>
          <w:rFonts w:ascii="Arial" w:eastAsia="Times New Roman" w:hAnsi="Arial" w:cs="Arial"/>
          <w:color w:val="000000"/>
          <w:sz w:val="24"/>
          <w:szCs w:val="24"/>
          <w:lang w:eastAsia="en-ZA"/>
        </w:rPr>
        <w:t>conjunctively</w:t>
      </w:r>
      <w:r w:rsidR="00D61513">
        <w:rPr>
          <w:rFonts w:ascii="Arial" w:eastAsia="Times New Roman" w:hAnsi="Arial" w:cs="Arial"/>
          <w:color w:val="000000"/>
          <w:sz w:val="24"/>
          <w:szCs w:val="24"/>
          <w:lang w:eastAsia="en-ZA"/>
        </w:rPr>
        <w:t>.</w:t>
      </w:r>
      <w:r w:rsidR="00D61513">
        <w:rPr>
          <w:rStyle w:val="FootnoteReference"/>
          <w:rFonts w:ascii="Arial" w:eastAsia="Times New Roman" w:hAnsi="Arial" w:cs="Arial"/>
          <w:color w:val="000000"/>
          <w:sz w:val="24"/>
          <w:szCs w:val="24"/>
          <w:lang w:eastAsia="en-ZA"/>
        </w:rPr>
        <w:footnoteReference w:id="10"/>
      </w:r>
    </w:p>
    <w:p w:rsidR="00D97D91" w:rsidRDefault="00D97D91"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[31]</w:t>
      </w:r>
      <w:r>
        <w:rPr>
          <w:rFonts w:ascii="Arial" w:eastAsia="Times New Roman" w:hAnsi="Arial" w:cs="Arial"/>
          <w:color w:val="000000"/>
          <w:sz w:val="24"/>
          <w:szCs w:val="24"/>
          <w:lang w:eastAsia="en-ZA"/>
        </w:rPr>
        <w:tab/>
        <w:t>I</w:t>
      </w:r>
      <w:r w:rsidR="000032CF">
        <w:rPr>
          <w:rFonts w:ascii="Arial" w:eastAsia="Times New Roman" w:hAnsi="Arial" w:cs="Arial"/>
          <w:color w:val="000000"/>
          <w:sz w:val="24"/>
          <w:szCs w:val="24"/>
          <w:lang w:eastAsia="en-ZA"/>
        </w:rPr>
        <w:t>n line</w:t>
      </w:r>
      <w:r>
        <w:rPr>
          <w:rFonts w:ascii="Arial" w:eastAsia="Times New Roman" w:hAnsi="Arial" w:cs="Arial"/>
          <w:color w:val="000000"/>
          <w:sz w:val="24"/>
          <w:szCs w:val="24"/>
          <w:lang w:eastAsia="en-ZA"/>
        </w:rPr>
        <w:t xml:space="preserve"> with section 3(2)(a) and the principles related in the various judgments the time limits for filing the notice in terms of section 3(2) against the organ of state is six months. If the creditor is out of time, condonation, as already stated must be sought in terms of section 3(4).</w:t>
      </w:r>
      <w:r>
        <w:rPr>
          <w:rStyle w:val="FootnoteReference"/>
          <w:rFonts w:ascii="Arial" w:eastAsia="Times New Roman" w:hAnsi="Arial" w:cs="Arial"/>
          <w:color w:val="000000"/>
          <w:sz w:val="24"/>
          <w:szCs w:val="24"/>
          <w:lang w:eastAsia="en-ZA"/>
        </w:rPr>
        <w:footnoteReference w:id="11"/>
      </w:r>
    </w:p>
    <w:p w:rsidR="00D97D91" w:rsidRDefault="00D97D91"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[32]</w:t>
      </w:r>
      <w:r>
        <w:rPr>
          <w:rFonts w:ascii="Arial" w:eastAsia="Times New Roman" w:hAnsi="Arial" w:cs="Arial"/>
          <w:color w:val="000000"/>
          <w:sz w:val="24"/>
          <w:szCs w:val="24"/>
          <w:lang w:eastAsia="en-ZA"/>
        </w:rPr>
        <w:tab/>
        <w:t>It is a misdirection for the court to consider condonation application which is not supported by a formal application which is before it.</w:t>
      </w:r>
    </w:p>
    <w:p w:rsidR="00D97D91" w:rsidRDefault="00B43166"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[33]</w:t>
      </w:r>
      <w:r>
        <w:rPr>
          <w:rFonts w:ascii="Arial" w:eastAsia="Times New Roman" w:hAnsi="Arial" w:cs="Arial"/>
          <w:color w:val="000000"/>
          <w:sz w:val="24"/>
          <w:szCs w:val="24"/>
          <w:lang w:eastAsia="en-ZA"/>
        </w:rPr>
        <w:tab/>
        <w:t>In the present case, t</w:t>
      </w:r>
      <w:r w:rsidR="00D97D91">
        <w:rPr>
          <w:rFonts w:ascii="Arial" w:eastAsia="Times New Roman" w:hAnsi="Arial" w:cs="Arial"/>
          <w:color w:val="000000"/>
          <w:sz w:val="24"/>
          <w:szCs w:val="24"/>
          <w:lang w:eastAsia="en-ZA"/>
        </w:rPr>
        <w:t xml:space="preserve">here is no application for combination within the </w:t>
      </w:r>
      <w:r>
        <w:rPr>
          <w:rFonts w:ascii="Arial" w:eastAsia="Times New Roman" w:hAnsi="Arial" w:cs="Arial"/>
          <w:color w:val="000000"/>
          <w:sz w:val="24"/>
          <w:szCs w:val="24"/>
          <w:lang w:eastAsia="en-ZA"/>
        </w:rPr>
        <w:t>prescripts</w:t>
      </w:r>
      <w:r w:rsidR="00D97D91">
        <w:rPr>
          <w:rFonts w:ascii="Arial" w:eastAsia="Times New Roman" w:hAnsi="Arial" w:cs="Arial"/>
          <w:color w:val="000000"/>
          <w:sz w:val="24"/>
          <w:szCs w:val="24"/>
          <w:lang w:eastAsia="en-ZA"/>
        </w:rPr>
        <w:t xml:space="preserve"> of section 3(4).</w:t>
      </w:r>
      <w:r>
        <w:rPr>
          <w:rFonts w:ascii="Arial" w:eastAsia="Times New Roman" w:hAnsi="Arial" w:cs="Arial"/>
          <w:color w:val="000000"/>
          <w:sz w:val="24"/>
          <w:szCs w:val="24"/>
          <w:lang w:eastAsia="en-ZA"/>
        </w:rPr>
        <w:t xml:space="preserve"> </w:t>
      </w:r>
      <w:r w:rsidR="00D97D91">
        <w:rPr>
          <w:rFonts w:ascii="Arial" w:eastAsia="Times New Roman" w:hAnsi="Arial" w:cs="Arial"/>
          <w:color w:val="000000"/>
          <w:sz w:val="24"/>
          <w:szCs w:val="24"/>
          <w:lang w:eastAsia="en-ZA"/>
        </w:rPr>
        <w:t>No submissi</w:t>
      </w:r>
      <w:r w:rsidR="000032CF">
        <w:rPr>
          <w:rFonts w:ascii="Arial" w:eastAsia="Times New Roman" w:hAnsi="Arial" w:cs="Arial"/>
          <w:color w:val="000000"/>
          <w:sz w:val="24"/>
          <w:szCs w:val="24"/>
          <w:lang w:eastAsia="en-ZA"/>
        </w:rPr>
        <w:t>ons were made on behalf of the P</w:t>
      </w:r>
      <w:r w:rsidR="00D97D91">
        <w:rPr>
          <w:rFonts w:ascii="Arial" w:eastAsia="Times New Roman" w:hAnsi="Arial" w:cs="Arial"/>
          <w:color w:val="000000"/>
          <w:sz w:val="24"/>
          <w:szCs w:val="24"/>
          <w:lang w:eastAsia="en-ZA"/>
        </w:rPr>
        <w:t xml:space="preserve">laintiff as to why such </w:t>
      </w:r>
      <w:r>
        <w:rPr>
          <w:rFonts w:ascii="Arial" w:eastAsia="Times New Roman" w:hAnsi="Arial" w:cs="Arial"/>
          <w:color w:val="000000"/>
          <w:sz w:val="24"/>
          <w:szCs w:val="24"/>
          <w:lang w:eastAsia="en-ZA"/>
        </w:rPr>
        <w:t>an application was never sou</w:t>
      </w:r>
      <w:r w:rsidR="000032CF">
        <w:rPr>
          <w:rFonts w:ascii="Arial" w:eastAsia="Times New Roman" w:hAnsi="Arial" w:cs="Arial"/>
          <w:color w:val="000000"/>
          <w:sz w:val="24"/>
          <w:szCs w:val="24"/>
          <w:lang w:eastAsia="en-ZA"/>
        </w:rPr>
        <w:t>ght. Counsel for the P</w:t>
      </w:r>
      <w:r>
        <w:rPr>
          <w:rFonts w:ascii="Arial" w:eastAsia="Times New Roman" w:hAnsi="Arial" w:cs="Arial"/>
          <w:color w:val="000000"/>
          <w:sz w:val="24"/>
          <w:szCs w:val="24"/>
          <w:lang w:eastAsia="en-ZA"/>
        </w:rPr>
        <w:t>laintiff relied on the notices issued during October and November 2018 As well as the relief for condemnation directed to the Defendants which was never responded to. In accordance with h</w:t>
      </w:r>
      <w:r w:rsidR="000032CF">
        <w:rPr>
          <w:rFonts w:ascii="Arial" w:eastAsia="Times New Roman" w:hAnsi="Arial" w:cs="Arial"/>
          <w:color w:val="000000"/>
          <w:sz w:val="24"/>
          <w:szCs w:val="24"/>
          <w:lang w:eastAsia="en-ZA"/>
        </w:rPr>
        <w:t>is submission, Counsel for the P</w:t>
      </w:r>
      <w:r>
        <w:rPr>
          <w:rFonts w:ascii="Arial" w:eastAsia="Times New Roman" w:hAnsi="Arial" w:cs="Arial"/>
          <w:color w:val="000000"/>
          <w:sz w:val="24"/>
          <w:szCs w:val="24"/>
          <w:lang w:eastAsia="en-ZA"/>
        </w:rPr>
        <w:t>laintiff simply states that for reasons of interpreting The provisions in accordance with section 39(2</w:t>
      </w:r>
      <w:r w:rsidR="00025B35">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of the constitution the special plea on noncompliance with the notice requirements in terms of Section 3(2) must be dismissed. This submission has no legal and factual basis.</w:t>
      </w:r>
    </w:p>
    <w:p w:rsidR="00D97D91" w:rsidRDefault="00D97D91"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[34]</w:t>
      </w:r>
      <w:r w:rsidR="00B43166">
        <w:rPr>
          <w:rFonts w:ascii="Arial" w:eastAsia="Times New Roman" w:hAnsi="Arial" w:cs="Arial"/>
          <w:color w:val="000000"/>
          <w:sz w:val="24"/>
          <w:szCs w:val="24"/>
          <w:lang w:eastAsia="en-ZA"/>
        </w:rPr>
        <w:tab/>
        <w:t>A submission was made on behalf of the painting that the notices dated 18 October 2018 which should be regarded as being inc</w:t>
      </w:r>
      <w:r w:rsidR="000032CF">
        <w:rPr>
          <w:rFonts w:ascii="Arial" w:eastAsia="Times New Roman" w:hAnsi="Arial" w:cs="Arial"/>
          <w:color w:val="000000"/>
          <w:sz w:val="24"/>
          <w:szCs w:val="24"/>
          <w:lang w:eastAsia="en-ZA"/>
        </w:rPr>
        <w:t>orporated in the papers in where it is</w:t>
      </w:r>
      <w:r w:rsidR="00B43166">
        <w:rPr>
          <w:rFonts w:ascii="Arial" w:eastAsia="Times New Roman" w:hAnsi="Arial" w:cs="Arial"/>
          <w:color w:val="000000"/>
          <w:sz w:val="24"/>
          <w:szCs w:val="24"/>
          <w:lang w:eastAsia="en-ZA"/>
        </w:rPr>
        <w:t xml:space="preserve"> stated:</w:t>
      </w:r>
    </w:p>
    <w:p w:rsidR="00B43166" w:rsidRPr="00B43166" w:rsidRDefault="00B43166" w:rsidP="00B43166">
      <w:pPr>
        <w:spacing w:after="0" w:line="480" w:lineRule="auto"/>
        <w:ind w:left="1440"/>
        <w:jc w:val="both"/>
        <w:rPr>
          <w:rFonts w:ascii="Arial" w:eastAsia="Times New Roman" w:hAnsi="Arial" w:cs="Arial"/>
          <w:color w:val="000000"/>
          <w:lang w:eastAsia="en-ZA"/>
        </w:rPr>
      </w:pPr>
      <w:r w:rsidRPr="00B43166">
        <w:rPr>
          <w:rFonts w:ascii="Arial" w:eastAsia="Times New Roman" w:hAnsi="Arial" w:cs="Arial"/>
          <w:color w:val="000000"/>
          <w:lang w:eastAsia="en-ZA"/>
        </w:rPr>
        <w:t xml:space="preserve">“Insofar as this notice/demand has been launched outside the prescribed 6 (six) months period, kindly let us have your indulgence herein”. </w:t>
      </w:r>
    </w:p>
    <w:p w:rsidR="00B43166" w:rsidRPr="00B43166" w:rsidRDefault="00B43166" w:rsidP="00B43166">
      <w:pPr>
        <w:spacing w:after="0" w:line="480" w:lineRule="auto"/>
        <w:ind w:left="1440"/>
        <w:jc w:val="both"/>
        <w:rPr>
          <w:rFonts w:ascii="Arial" w:eastAsia="Times New Roman" w:hAnsi="Arial" w:cs="Arial"/>
          <w:color w:val="000000"/>
          <w:lang w:eastAsia="en-ZA"/>
        </w:rPr>
      </w:pPr>
    </w:p>
    <w:p w:rsidR="00B43166" w:rsidRDefault="00B43166" w:rsidP="00B43166">
      <w:pPr>
        <w:spacing w:after="0" w:line="480" w:lineRule="auto"/>
        <w:ind w:left="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This is not enough. In fact</w:t>
      </w:r>
      <w:r w:rsidR="007F7DB1">
        <w:rPr>
          <w:rFonts w:ascii="Arial" w:eastAsia="Times New Roman" w:hAnsi="Arial" w:cs="Arial"/>
          <w:color w:val="000000"/>
          <w:sz w:val="24"/>
          <w:szCs w:val="24"/>
          <w:lang w:eastAsia="en-ZA"/>
        </w:rPr>
        <w:t xml:space="preserve">, </w:t>
      </w:r>
      <w:r w:rsidR="000032CF">
        <w:rPr>
          <w:rFonts w:ascii="Arial" w:eastAsia="Times New Roman" w:hAnsi="Arial" w:cs="Arial"/>
          <w:color w:val="000000"/>
          <w:sz w:val="24"/>
          <w:szCs w:val="24"/>
          <w:lang w:eastAsia="en-ZA"/>
        </w:rPr>
        <w:t>the P</w:t>
      </w:r>
      <w:r>
        <w:rPr>
          <w:rFonts w:ascii="Arial" w:eastAsia="Times New Roman" w:hAnsi="Arial" w:cs="Arial"/>
          <w:color w:val="000000"/>
          <w:sz w:val="24"/>
          <w:szCs w:val="24"/>
          <w:lang w:eastAsia="en-ZA"/>
        </w:rPr>
        <w:t>laintiff in his replication to special plea that ther</w:t>
      </w:r>
      <w:r w:rsidR="000032CF">
        <w:rPr>
          <w:rFonts w:ascii="Arial" w:eastAsia="Times New Roman" w:hAnsi="Arial" w:cs="Arial"/>
          <w:color w:val="000000"/>
          <w:sz w:val="24"/>
          <w:szCs w:val="24"/>
          <w:lang w:eastAsia="en-ZA"/>
        </w:rPr>
        <w:t>e has been non-compliance with s</w:t>
      </w:r>
      <w:r>
        <w:rPr>
          <w:rFonts w:ascii="Arial" w:eastAsia="Times New Roman" w:hAnsi="Arial" w:cs="Arial"/>
          <w:color w:val="000000"/>
          <w:sz w:val="24"/>
          <w:szCs w:val="24"/>
          <w:lang w:eastAsia="en-ZA"/>
        </w:rPr>
        <w:t xml:space="preserve">ection 3, simply states that the </w:t>
      </w:r>
      <w:r>
        <w:rPr>
          <w:rFonts w:ascii="Arial" w:eastAsia="Times New Roman" w:hAnsi="Arial" w:cs="Arial"/>
          <w:color w:val="000000"/>
          <w:sz w:val="24"/>
          <w:szCs w:val="24"/>
          <w:lang w:eastAsia="en-ZA"/>
        </w:rPr>
        <w:lastRenderedPageBreak/>
        <w:t>defendants have failed to notice that the notices were attached to the summons when service day off was effected.</w:t>
      </w:r>
      <w:r w:rsidR="000032CF">
        <w:rPr>
          <w:rFonts w:ascii="Arial" w:eastAsia="Times New Roman" w:hAnsi="Arial" w:cs="Arial"/>
          <w:color w:val="000000"/>
          <w:sz w:val="24"/>
          <w:szCs w:val="24"/>
          <w:lang w:eastAsia="en-ZA"/>
        </w:rPr>
        <w:t xml:space="preserve"> This is not valid ground for dealing with non-compliance with section 3.</w:t>
      </w:r>
    </w:p>
    <w:p w:rsidR="00B43166" w:rsidRDefault="00B43166"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p>
    <w:p w:rsidR="00D97D91" w:rsidRDefault="00D97D91"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[35]</w:t>
      </w:r>
      <w:r w:rsidR="00B43166">
        <w:rPr>
          <w:rFonts w:ascii="Arial" w:eastAsia="Times New Roman" w:hAnsi="Arial" w:cs="Arial"/>
          <w:color w:val="000000"/>
          <w:sz w:val="24"/>
          <w:szCs w:val="24"/>
          <w:lang w:eastAsia="en-ZA"/>
        </w:rPr>
        <w:tab/>
        <w:t>The rules of this court make it plain how a notice for condonation must</w:t>
      </w:r>
      <w:r w:rsidR="007F7DB1">
        <w:rPr>
          <w:rFonts w:ascii="Arial" w:eastAsia="Times New Roman" w:hAnsi="Arial" w:cs="Arial"/>
          <w:color w:val="000000"/>
          <w:sz w:val="24"/>
          <w:szCs w:val="24"/>
          <w:lang w:eastAsia="en-ZA"/>
        </w:rPr>
        <w:t xml:space="preserve"> be filed. For complet</w:t>
      </w:r>
      <w:r w:rsidR="000032CF">
        <w:rPr>
          <w:rFonts w:ascii="Arial" w:eastAsia="Times New Roman" w:hAnsi="Arial" w:cs="Arial"/>
          <w:color w:val="000000"/>
          <w:sz w:val="24"/>
          <w:szCs w:val="24"/>
          <w:lang w:eastAsia="en-ZA"/>
        </w:rPr>
        <w:t>eness sake, I will restate the R</w:t>
      </w:r>
      <w:r w:rsidR="007F7DB1">
        <w:rPr>
          <w:rFonts w:ascii="Arial" w:eastAsia="Times New Roman" w:hAnsi="Arial" w:cs="Arial"/>
          <w:color w:val="000000"/>
          <w:sz w:val="24"/>
          <w:szCs w:val="24"/>
          <w:lang w:eastAsia="en-ZA"/>
        </w:rPr>
        <w:t>ule</w:t>
      </w:r>
      <w:r w:rsidR="000032CF">
        <w:rPr>
          <w:rFonts w:ascii="Arial" w:eastAsia="Times New Roman" w:hAnsi="Arial" w:cs="Arial"/>
          <w:color w:val="000000"/>
          <w:sz w:val="24"/>
          <w:szCs w:val="24"/>
          <w:lang w:eastAsia="en-ZA"/>
        </w:rPr>
        <w:t xml:space="preserve"> 6</w:t>
      </w:r>
      <w:r w:rsidR="007F7DB1">
        <w:rPr>
          <w:rFonts w:ascii="Arial" w:eastAsia="Times New Roman" w:hAnsi="Arial" w:cs="Arial"/>
          <w:color w:val="000000"/>
          <w:sz w:val="24"/>
          <w:szCs w:val="24"/>
          <w:lang w:eastAsia="en-ZA"/>
        </w:rPr>
        <w:t xml:space="preserve"> of the Uniform Rules which provides as follows:</w:t>
      </w:r>
    </w:p>
    <w:p w:rsidR="007F7DB1" w:rsidRPr="004E7C0C" w:rsidRDefault="007F7DB1" w:rsidP="00D61513">
      <w:pPr>
        <w:spacing w:after="0" w:line="480" w:lineRule="auto"/>
        <w:ind w:left="720" w:hanging="720"/>
        <w:jc w:val="both"/>
        <w:rPr>
          <w:rFonts w:ascii="Arial" w:eastAsia="Times New Roman" w:hAnsi="Arial" w:cs="Arial"/>
          <w:b/>
          <w:color w:val="000000"/>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w:t>
      </w:r>
      <w:r w:rsidRPr="004E7C0C">
        <w:rPr>
          <w:rFonts w:ascii="Arial" w:eastAsia="Times New Roman" w:hAnsi="Arial" w:cs="Arial"/>
          <w:b/>
          <w:color w:val="000000"/>
          <w:lang w:eastAsia="en-ZA"/>
        </w:rPr>
        <w:t>Application</w:t>
      </w:r>
    </w:p>
    <w:p w:rsidR="007F7DB1" w:rsidRPr="004E7C0C" w:rsidRDefault="007F7DB1" w:rsidP="004E7C0C">
      <w:pPr>
        <w:spacing w:after="0" w:line="480" w:lineRule="auto"/>
        <w:ind w:left="2160"/>
        <w:jc w:val="both"/>
        <w:rPr>
          <w:rFonts w:ascii="Arial" w:eastAsia="Times New Roman" w:hAnsi="Arial" w:cs="Arial"/>
          <w:color w:val="000000"/>
          <w:lang w:eastAsia="en-ZA"/>
        </w:rPr>
      </w:pPr>
      <w:r w:rsidRPr="004E7C0C">
        <w:rPr>
          <w:rFonts w:ascii="Arial" w:eastAsia="Times New Roman" w:hAnsi="Arial" w:cs="Arial"/>
          <w:color w:val="000000"/>
          <w:lang w:eastAsia="en-ZA"/>
        </w:rPr>
        <w:t>(1)</w:t>
      </w:r>
      <w:r w:rsidR="002C2F39" w:rsidRPr="004E7C0C">
        <w:rPr>
          <w:rFonts w:ascii="Arial" w:eastAsia="Times New Roman" w:hAnsi="Arial" w:cs="Arial"/>
          <w:color w:val="000000"/>
          <w:lang w:eastAsia="en-ZA"/>
        </w:rPr>
        <w:t xml:space="preserve"> Save where proceedings by way of petition are prescribed by law, every application must be brought on notice of motion supported by an affidavit</w:t>
      </w:r>
      <w:r w:rsidR="004E7C0C" w:rsidRPr="004E7C0C">
        <w:rPr>
          <w:rFonts w:ascii="Arial" w:eastAsia="Times New Roman" w:hAnsi="Arial" w:cs="Arial"/>
          <w:color w:val="000000"/>
          <w:lang w:eastAsia="en-ZA"/>
        </w:rPr>
        <w:t xml:space="preserve"> as to the facts upon which the applicant relies for relief.</w:t>
      </w:r>
    </w:p>
    <w:p w:rsidR="007F7DB1" w:rsidRPr="004E7C0C" w:rsidRDefault="007F7DB1" w:rsidP="004E7C0C">
      <w:pPr>
        <w:spacing w:after="0" w:line="480" w:lineRule="auto"/>
        <w:ind w:left="2160"/>
        <w:jc w:val="both"/>
        <w:rPr>
          <w:rFonts w:ascii="Arial" w:eastAsia="Times New Roman" w:hAnsi="Arial" w:cs="Arial"/>
          <w:color w:val="000000"/>
          <w:lang w:eastAsia="en-ZA"/>
        </w:rPr>
      </w:pPr>
      <w:r w:rsidRPr="004E7C0C">
        <w:rPr>
          <w:rFonts w:ascii="Arial" w:eastAsia="Times New Roman" w:hAnsi="Arial" w:cs="Arial"/>
          <w:color w:val="000000"/>
          <w:lang w:eastAsia="en-ZA"/>
        </w:rPr>
        <w:t>(2)</w:t>
      </w:r>
      <w:r w:rsidR="004E7C0C" w:rsidRPr="004E7C0C">
        <w:rPr>
          <w:rFonts w:ascii="Arial" w:eastAsia="Times New Roman" w:hAnsi="Arial" w:cs="Arial"/>
          <w:color w:val="000000"/>
          <w:lang w:eastAsia="en-ZA"/>
        </w:rPr>
        <w:t xml:space="preserve"> When relief is claimed against any person, or where it is necessary or proper to give any person notice of such application, the notice of motion must be addressed to both the registrar and such person, otherwise it must be addressed to the registrar only</w:t>
      </w:r>
      <w:r w:rsidR="004E7C0C" w:rsidRPr="004E7C0C">
        <w:rPr>
          <w:rFonts w:ascii="Arial" w:eastAsia="Times New Roman" w:hAnsi="Arial" w:cs="Arial"/>
          <w:color w:val="000000"/>
          <w:lang w:eastAsia="en-ZA"/>
        </w:rPr>
        <w:tab/>
      </w:r>
    </w:p>
    <w:p w:rsidR="007F7DB1" w:rsidRDefault="007F7DB1" w:rsidP="004E7C0C">
      <w:pPr>
        <w:spacing w:after="0" w:line="480" w:lineRule="auto"/>
        <w:ind w:left="2160"/>
        <w:jc w:val="both"/>
        <w:rPr>
          <w:rFonts w:ascii="Arial" w:eastAsia="Times New Roman" w:hAnsi="Arial" w:cs="Arial"/>
          <w:color w:val="000000"/>
          <w:lang w:eastAsia="en-ZA"/>
        </w:rPr>
      </w:pPr>
      <w:r w:rsidRPr="004E7C0C">
        <w:rPr>
          <w:rFonts w:ascii="Arial" w:eastAsia="Times New Roman" w:hAnsi="Arial" w:cs="Arial"/>
          <w:color w:val="000000"/>
          <w:lang w:eastAsia="en-ZA"/>
        </w:rPr>
        <w:t>(3)</w:t>
      </w:r>
      <w:r w:rsidR="004E7C0C" w:rsidRPr="004E7C0C">
        <w:rPr>
          <w:rFonts w:ascii="Arial" w:eastAsia="Times New Roman" w:hAnsi="Arial" w:cs="Arial"/>
          <w:color w:val="000000"/>
          <w:lang w:eastAsia="en-ZA"/>
        </w:rPr>
        <w:t xml:space="preserve"> Every petition must conclude with the form of order prayed and be verified upon oath by or on behalf of the petitioner.”</w:t>
      </w:r>
    </w:p>
    <w:p w:rsidR="004E7C0C" w:rsidRPr="004E7C0C" w:rsidRDefault="004E7C0C" w:rsidP="004E7C0C">
      <w:pPr>
        <w:spacing w:after="0" w:line="480" w:lineRule="auto"/>
        <w:ind w:left="2160"/>
        <w:jc w:val="both"/>
        <w:rPr>
          <w:rFonts w:ascii="Arial" w:eastAsia="Times New Roman" w:hAnsi="Arial" w:cs="Arial"/>
          <w:color w:val="000000"/>
          <w:lang w:eastAsia="en-ZA"/>
        </w:rPr>
      </w:pPr>
    </w:p>
    <w:p w:rsidR="00B43166" w:rsidRDefault="00B43166" w:rsidP="00D6151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[36</w:t>
      </w:r>
      <w:r w:rsidR="007F7DB1">
        <w:rPr>
          <w:rFonts w:ascii="Arial" w:eastAsia="Times New Roman" w:hAnsi="Arial" w:cs="Arial"/>
          <w:color w:val="000000"/>
          <w:sz w:val="24"/>
          <w:szCs w:val="24"/>
          <w:lang w:eastAsia="en-ZA"/>
        </w:rPr>
        <w:t>]</w:t>
      </w:r>
      <w:r w:rsidR="007F7DB1">
        <w:rPr>
          <w:rFonts w:ascii="Arial" w:eastAsia="Times New Roman" w:hAnsi="Arial" w:cs="Arial"/>
          <w:color w:val="000000"/>
          <w:sz w:val="24"/>
          <w:szCs w:val="24"/>
          <w:lang w:eastAsia="en-ZA"/>
        </w:rPr>
        <w:tab/>
        <w:t>In this case, attaching a notice in accordance with section 3 of the ILPACOS Act is not compliance with rule 6 of the uniform rules of this court</w:t>
      </w:r>
      <w:r w:rsidR="000032CF">
        <w:rPr>
          <w:rFonts w:ascii="Arial" w:eastAsia="Times New Roman" w:hAnsi="Arial" w:cs="Arial"/>
          <w:color w:val="000000"/>
          <w:sz w:val="24"/>
          <w:szCs w:val="24"/>
          <w:lang w:eastAsia="en-ZA"/>
        </w:rPr>
        <w:t xml:space="preserve"> because the notice is not an application for condonation</w:t>
      </w:r>
      <w:r w:rsidR="007F7DB1">
        <w:rPr>
          <w:rFonts w:ascii="Arial" w:eastAsia="Times New Roman" w:hAnsi="Arial" w:cs="Arial"/>
          <w:color w:val="000000"/>
          <w:sz w:val="24"/>
          <w:szCs w:val="24"/>
          <w:lang w:eastAsia="en-ZA"/>
        </w:rPr>
        <w:t xml:space="preserve">. </w:t>
      </w:r>
    </w:p>
    <w:p w:rsidR="007F7DB1" w:rsidRPr="002C2F39" w:rsidRDefault="007F7DB1" w:rsidP="002C2F39">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[37]</w:t>
      </w:r>
      <w:r>
        <w:rPr>
          <w:rFonts w:ascii="Arial" w:eastAsia="Times New Roman" w:hAnsi="Arial" w:cs="Arial"/>
          <w:color w:val="000000"/>
          <w:sz w:val="24"/>
          <w:szCs w:val="24"/>
          <w:lang w:eastAsia="en-ZA"/>
        </w:rPr>
        <w:tab/>
        <w:t>It is my considered view that th</w:t>
      </w:r>
      <w:r w:rsidR="000032CF">
        <w:rPr>
          <w:rFonts w:ascii="Arial" w:eastAsia="Times New Roman" w:hAnsi="Arial" w:cs="Arial"/>
          <w:color w:val="000000"/>
          <w:sz w:val="24"/>
          <w:szCs w:val="24"/>
          <w:lang w:eastAsia="en-ZA"/>
        </w:rPr>
        <w:t>e legal representatives of the Plaintiff failed to act in the</w:t>
      </w:r>
      <w:r>
        <w:rPr>
          <w:rFonts w:ascii="Arial" w:eastAsia="Times New Roman" w:hAnsi="Arial" w:cs="Arial"/>
          <w:color w:val="000000"/>
          <w:sz w:val="24"/>
          <w:szCs w:val="24"/>
          <w:lang w:eastAsia="en-ZA"/>
        </w:rPr>
        <w:t xml:space="preserve"> best interest</w:t>
      </w:r>
      <w:r w:rsidR="000032CF">
        <w:rPr>
          <w:rFonts w:ascii="Arial" w:eastAsia="Times New Roman" w:hAnsi="Arial" w:cs="Arial"/>
          <w:color w:val="000000"/>
          <w:sz w:val="24"/>
          <w:szCs w:val="24"/>
          <w:lang w:eastAsia="en-ZA"/>
        </w:rPr>
        <w:t xml:space="preserve"> of the Plaintiff</w:t>
      </w:r>
      <w:r>
        <w:rPr>
          <w:rFonts w:ascii="Arial" w:eastAsia="Times New Roman" w:hAnsi="Arial" w:cs="Arial"/>
          <w:color w:val="000000"/>
          <w:sz w:val="24"/>
          <w:szCs w:val="24"/>
          <w:lang w:eastAsia="en-ZA"/>
        </w:rPr>
        <w:t xml:space="preserve"> by not seeking </w:t>
      </w:r>
      <w:r w:rsidR="002C2F39">
        <w:rPr>
          <w:rFonts w:ascii="Arial" w:eastAsia="Times New Roman" w:hAnsi="Arial" w:cs="Arial"/>
          <w:color w:val="000000"/>
          <w:sz w:val="24"/>
          <w:szCs w:val="24"/>
          <w:lang w:eastAsia="en-ZA"/>
        </w:rPr>
        <w:t>condonation</w:t>
      </w:r>
      <w:r w:rsidR="0073747C">
        <w:rPr>
          <w:rFonts w:ascii="Arial" w:eastAsia="Times New Roman" w:hAnsi="Arial" w:cs="Arial"/>
          <w:color w:val="000000"/>
          <w:sz w:val="24"/>
          <w:szCs w:val="24"/>
          <w:lang w:eastAsia="en-ZA"/>
        </w:rPr>
        <w:t xml:space="preserve"> of</w:t>
      </w:r>
      <w:r w:rsidR="000032CF">
        <w:rPr>
          <w:rFonts w:ascii="Arial" w:eastAsia="Times New Roman" w:hAnsi="Arial" w:cs="Arial"/>
          <w:color w:val="000000"/>
          <w:sz w:val="24"/>
          <w:szCs w:val="24"/>
          <w:lang w:eastAsia="en-ZA"/>
        </w:rPr>
        <w:t xml:space="preserve"> non-compliance with s</w:t>
      </w:r>
      <w:r>
        <w:rPr>
          <w:rFonts w:ascii="Arial" w:eastAsia="Times New Roman" w:hAnsi="Arial" w:cs="Arial"/>
          <w:color w:val="000000"/>
          <w:sz w:val="24"/>
          <w:szCs w:val="24"/>
          <w:lang w:eastAsia="en-ZA"/>
        </w:rPr>
        <w:t>ection 3(2) of ILPACOS Act in a separate motion application. Having regard to such failure, there is as correc</w:t>
      </w:r>
      <w:r w:rsidR="000032CF">
        <w:rPr>
          <w:rFonts w:ascii="Arial" w:eastAsia="Times New Roman" w:hAnsi="Arial" w:cs="Arial"/>
          <w:color w:val="000000"/>
          <w:sz w:val="24"/>
          <w:szCs w:val="24"/>
          <w:lang w:eastAsia="en-ZA"/>
        </w:rPr>
        <w:t>tly submitted on behalf of the D</w:t>
      </w:r>
      <w:r>
        <w:rPr>
          <w:rFonts w:ascii="Arial" w:eastAsia="Times New Roman" w:hAnsi="Arial" w:cs="Arial"/>
          <w:color w:val="000000"/>
          <w:sz w:val="24"/>
          <w:szCs w:val="24"/>
          <w:lang w:eastAsia="en-ZA"/>
        </w:rPr>
        <w:t>efendant</w:t>
      </w:r>
      <w:r w:rsidR="000032CF">
        <w:rPr>
          <w:rFonts w:ascii="Arial" w:eastAsia="Times New Roman" w:hAnsi="Arial" w:cs="Arial"/>
          <w:color w:val="000000"/>
          <w:sz w:val="24"/>
          <w:szCs w:val="24"/>
          <w:lang w:eastAsia="en-ZA"/>
        </w:rPr>
        <w:t>s,</w:t>
      </w:r>
      <w:r>
        <w:rPr>
          <w:rFonts w:ascii="Arial" w:eastAsia="Times New Roman" w:hAnsi="Arial" w:cs="Arial"/>
          <w:color w:val="000000"/>
          <w:sz w:val="24"/>
          <w:szCs w:val="24"/>
          <w:lang w:eastAsia="en-ZA"/>
        </w:rPr>
        <w:t xml:space="preserve"> no application before the court for cond</w:t>
      </w:r>
      <w:r w:rsidR="000032CF">
        <w:rPr>
          <w:rFonts w:ascii="Arial" w:eastAsia="Times New Roman" w:hAnsi="Arial" w:cs="Arial"/>
          <w:color w:val="000000"/>
          <w:sz w:val="24"/>
          <w:szCs w:val="24"/>
          <w:lang w:eastAsia="en-ZA"/>
        </w:rPr>
        <w:t xml:space="preserve">onation of non-compliance </w:t>
      </w:r>
      <w:r w:rsidR="000032CF">
        <w:rPr>
          <w:rFonts w:ascii="Arial" w:eastAsia="Times New Roman" w:hAnsi="Arial" w:cs="Arial"/>
          <w:color w:val="000000"/>
          <w:sz w:val="24"/>
          <w:szCs w:val="24"/>
          <w:lang w:eastAsia="en-ZA"/>
        </w:rPr>
        <w:lastRenderedPageBreak/>
        <w:t>with s</w:t>
      </w:r>
      <w:r>
        <w:rPr>
          <w:rFonts w:ascii="Arial" w:eastAsia="Times New Roman" w:hAnsi="Arial" w:cs="Arial"/>
          <w:color w:val="000000"/>
          <w:sz w:val="24"/>
          <w:szCs w:val="24"/>
          <w:lang w:eastAsia="en-ZA"/>
        </w:rPr>
        <w:t>ection 3 of ILPACOS Act. Therefore</w:t>
      </w:r>
      <w:r w:rsidR="002C2F39">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it</w:t>
      </w:r>
      <w:r w:rsidR="002C2F39">
        <w:rPr>
          <w:rFonts w:ascii="Arial" w:eastAsia="Times New Roman" w:hAnsi="Arial" w:cs="Arial"/>
          <w:color w:val="000000"/>
          <w:sz w:val="24"/>
          <w:szCs w:val="24"/>
          <w:lang w:eastAsia="en-ZA"/>
        </w:rPr>
        <w:t xml:space="preserve"> follows that the special plea on this point must succeed</w:t>
      </w:r>
      <w:r>
        <w:rPr>
          <w:rFonts w:ascii="Arial" w:eastAsia="Times New Roman" w:hAnsi="Arial" w:cs="Arial"/>
          <w:color w:val="000000"/>
          <w:sz w:val="24"/>
          <w:szCs w:val="24"/>
          <w:lang w:eastAsia="en-ZA"/>
        </w:rPr>
        <w:t>.</w:t>
      </w:r>
    </w:p>
    <w:p w:rsidR="00A73641" w:rsidRPr="00631657" w:rsidRDefault="00A73641" w:rsidP="00A73641">
      <w:pPr>
        <w:spacing w:after="0" w:line="480" w:lineRule="auto"/>
        <w:jc w:val="both"/>
        <w:rPr>
          <w:rFonts w:ascii="Times New Roman" w:eastAsia="Times New Roman" w:hAnsi="Times New Roman" w:cs="Times New Roman"/>
          <w:sz w:val="24"/>
          <w:szCs w:val="24"/>
          <w:lang w:eastAsia="en-ZA"/>
        </w:rPr>
      </w:pPr>
    </w:p>
    <w:p w:rsidR="00A73641" w:rsidRPr="00631657" w:rsidRDefault="00A73641" w:rsidP="00A73641">
      <w:pPr>
        <w:spacing w:after="200" w:line="480" w:lineRule="auto"/>
        <w:ind w:left="720"/>
        <w:jc w:val="both"/>
        <w:rPr>
          <w:rFonts w:ascii="Arial" w:eastAsia="MS Mincho" w:hAnsi="Arial" w:cs="Arial"/>
          <w:b/>
          <w:sz w:val="24"/>
          <w:szCs w:val="24"/>
          <w:u w:val="single"/>
          <w:lang w:val="en-GB" w:eastAsia="ja-JP"/>
        </w:rPr>
      </w:pPr>
      <w:r w:rsidRPr="00631657">
        <w:rPr>
          <w:rFonts w:ascii="Arial" w:eastAsia="MS Mincho" w:hAnsi="Arial" w:cs="Arial"/>
          <w:b/>
          <w:sz w:val="24"/>
          <w:szCs w:val="24"/>
          <w:u w:val="single"/>
          <w:lang w:val="en-GB" w:eastAsia="ja-JP"/>
        </w:rPr>
        <w:t>ORDER</w:t>
      </w:r>
    </w:p>
    <w:p w:rsidR="00A73641" w:rsidRDefault="00A73641" w:rsidP="00A73641">
      <w:pPr>
        <w:spacing w:after="200" w:line="480" w:lineRule="auto"/>
        <w:jc w:val="both"/>
        <w:rPr>
          <w:rFonts w:ascii="Arial" w:eastAsia="MS Mincho" w:hAnsi="Arial" w:cs="Arial"/>
          <w:sz w:val="24"/>
          <w:szCs w:val="24"/>
          <w:lang w:val="en-GB" w:eastAsia="ja-JP"/>
        </w:rPr>
      </w:pPr>
      <w:r w:rsidRPr="00631657">
        <w:rPr>
          <w:rFonts w:ascii="Arial" w:eastAsia="MS Mincho" w:hAnsi="Arial" w:cs="Arial"/>
          <w:sz w:val="24"/>
          <w:szCs w:val="24"/>
          <w:lang w:val="en-GB" w:eastAsia="ja-JP"/>
        </w:rPr>
        <w:t>[44]</w:t>
      </w:r>
      <w:r w:rsidRPr="00631657">
        <w:rPr>
          <w:rFonts w:ascii="Arial" w:eastAsia="MS Mincho" w:hAnsi="Arial" w:cs="Arial"/>
          <w:sz w:val="24"/>
          <w:szCs w:val="24"/>
          <w:lang w:val="en-GB" w:eastAsia="ja-JP"/>
        </w:rPr>
        <w:tab/>
        <w:t>The following order is made:</w:t>
      </w:r>
    </w:p>
    <w:p w:rsidR="002C2F39" w:rsidRDefault="002C2F39" w:rsidP="002C2F39">
      <w:pPr>
        <w:spacing w:after="200" w:line="480" w:lineRule="auto"/>
        <w:ind w:left="1440"/>
        <w:jc w:val="both"/>
        <w:rPr>
          <w:rFonts w:ascii="Arial" w:eastAsia="MS Mincho" w:hAnsi="Arial" w:cs="Arial"/>
          <w:sz w:val="24"/>
          <w:szCs w:val="24"/>
          <w:lang w:val="en-GB" w:eastAsia="ja-JP"/>
        </w:rPr>
      </w:pPr>
      <w:r>
        <w:rPr>
          <w:rFonts w:ascii="Arial" w:eastAsia="MS Mincho" w:hAnsi="Arial" w:cs="Arial"/>
          <w:sz w:val="24"/>
          <w:szCs w:val="24"/>
          <w:lang w:val="en-GB" w:eastAsia="ja-JP"/>
        </w:rPr>
        <w:t>(a) The special pleas on prescription and the non-compliance with section 3 of ILPACOS Act are upheld with costs.</w:t>
      </w:r>
    </w:p>
    <w:p w:rsidR="002C2F39" w:rsidRDefault="002C2F39" w:rsidP="00A73641">
      <w:pPr>
        <w:spacing w:after="200" w:line="480" w:lineRule="auto"/>
        <w:jc w:val="both"/>
        <w:rPr>
          <w:rFonts w:ascii="Arial" w:eastAsia="MS Mincho" w:hAnsi="Arial" w:cs="Arial"/>
          <w:sz w:val="24"/>
          <w:szCs w:val="24"/>
          <w:lang w:val="en-GB" w:eastAsia="ja-JP"/>
        </w:rPr>
      </w:pPr>
      <w:r>
        <w:rPr>
          <w:rFonts w:ascii="Arial" w:eastAsia="MS Mincho" w:hAnsi="Arial" w:cs="Arial"/>
          <w:sz w:val="24"/>
          <w:szCs w:val="24"/>
          <w:lang w:val="en-GB" w:eastAsia="ja-JP"/>
        </w:rPr>
        <w:tab/>
      </w:r>
      <w:r>
        <w:rPr>
          <w:rFonts w:ascii="Arial" w:eastAsia="MS Mincho" w:hAnsi="Arial" w:cs="Arial"/>
          <w:sz w:val="24"/>
          <w:szCs w:val="24"/>
          <w:lang w:val="en-GB" w:eastAsia="ja-JP"/>
        </w:rPr>
        <w:tab/>
        <w:t xml:space="preserve">(b) The special plea on failure to comply with section 2 of the State </w:t>
      </w:r>
    </w:p>
    <w:p w:rsidR="002C2F39" w:rsidRDefault="002C2F39" w:rsidP="002C2F39">
      <w:pPr>
        <w:spacing w:after="200" w:line="480" w:lineRule="auto"/>
        <w:ind w:left="720" w:firstLine="720"/>
        <w:jc w:val="both"/>
        <w:rPr>
          <w:rFonts w:ascii="Arial" w:eastAsia="MS Mincho" w:hAnsi="Arial" w:cs="Arial"/>
          <w:sz w:val="24"/>
          <w:szCs w:val="24"/>
          <w:lang w:val="en-GB" w:eastAsia="ja-JP"/>
        </w:rPr>
      </w:pPr>
      <w:r>
        <w:rPr>
          <w:rFonts w:ascii="Arial" w:eastAsia="MS Mincho" w:hAnsi="Arial" w:cs="Arial"/>
          <w:sz w:val="24"/>
          <w:szCs w:val="24"/>
          <w:lang w:val="en-GB" w:eastAsia="ja-JP"/>
        </w:rPr>
        <w:t xml:space="preserve">Liability Act is dismissed with costs. </w:t>
      </w:r>
    </w:p>
    <w:p w:rsidR="00A73641" w:rsidRPr="00631657" w:rsidRDefault="002C2F39" w:rsidP="004E7C0C">
      <w:pPr>
        <w:spacing w:after="200" w:line="480" w:lineRule="auto"/>
        <w:ind w:left="1440"/>
        <w:jc w:val="both"/>
        <w:rPr>
          <w:rFonts w:ascii="Arial" w:eastAsia="MS Mincho" w:hAnsi="Arial" w:cs="Arial"/>
          <w:sz w:val="24"/>
          <w:szCs w:val="24"/>
          <w:lang w:val="en-GB" w:eastAsia="ja-JP"/>
        </w:rPr>
      </w:pPr>
      <w:r>
        <w:rPr>
          <w:rFonts w:ascii="Arial" w:eastAsia="MS Mincho" w:hAnsi="Arial" w:cs="Arial"/>
          <w:sz w:val="24"/>
          <w:szCs w:val="24"/>
          <w:lang w:val="en-GB" w:eastAsia="ja-JP"/>
        </w:rPr>
        <w:t>(c) The defendant therefore succeeded with their special ple</w:t>
      </w:r>
      <w:r w:rsidR="004E7C0C">
        <w:rPr>
          <w:rFonts w:ascii="Arial" w:eastAsia="MS Mincho" w:hAnsi="Arial" w:cs="Arial"/>
          <w:sz w:val="24"/>
          <w:szCs w:val="24"/>
          <w:lang w:val="en-GB" w:eastAsia="ja-JP"/>
        </w:rPr>
        <w:t>as save as stated in (b) above.</w:t>
      </w:r>
    </w:p>
    <w:p w:rsidR="00A73641" w:rsidRDefault="004E7C0C" w:rsidP="00A73641">
      <w:pPr>
        <w:spacing w:after="200" w:line="480" w:lineRule="auto"/>
        <w:jc w:val="both"/>
        <w:rPr>
          <w:rFonts w:ascii="Arial" w:eastAsia="MS Mincho" w:hAnsi="Arial" w:cs="Arial"/>
          <w:sz w:val="24"/>
          <w:szCs w:val="24"/>
          <w:lang w:val="en-GB" w:eastAsia="ja-JP"/>
        </w:rPr>
      </w:pPr>
      <w:bookmarkStart w:id="0" w:name="_GoBack"/>
      <w:bookmarkEnd w:id="0"/>
      <w:r>
        <w:rPr>
          <w:rFonts w:ascii="Arial" w:eastAsia="MS Mincho" w:hAnsi="Arial" w:cs="Arial"/>
          <w:sz w:val="24"/>
          <w:szCs w:val="24"/>
          <w:lang w:val="en-GB" w:eastAsia="ja-JP"/>
        </w:rPr>
        <w:tab/>
      </w:r>
    </w:p>
    <w:p w:rsidR="00025B35" w:rsidRDefault="00025B35" w:rsidP="00A73641">
      <w:pPr>
        <w:spacing w:after="200" w:line="480" w:lineRule="auto"/>
        <w:jc w:val="both"/>
        <w:rPr>
          <w:rFonts w:ascii="Arial" w:eastAsia="MS Mincho" w:hAnsi="Arial" w:cs="Arial"/>
          <w:sz w:val="24"/>
          <w:szCs w:val="24"/>
          <w:lang w:val="en-GB" w:eastAsia="ja-JP"/>
        </w:rPr>
      </w:pPr>
    </w:p>
    <w:p w:rsidR="00025B35" w:rsidRPr="00631657" w:rsidRDefault="00025B35" w:rsidP="00A73641">
      <w:pPr>
        <w:spacing w:after="200" w:line="480" w:lineRule="auto"/>
        <w:jc w:val="both"/>
        <w:rPr>
          <w:rFonts w:ascii="Arial" w:eastAsia="MS Mincho" w:hAnsi="Arial" w:cs="Arial"/>
          <w:sz w:val="24"/>
          <w:szCs w:val="24"/>
          <w:lang w:val="en-GB" w:eastAsia="ja-JP"/>
        </w:rPr>
      </w:pPr>
    </w:p>
    <w:p w:rsidR="00A73641" w:rsidRPr="00631657" w:rsidRDefault="002C2F39" w:rsidP="002C2F39">
      <w:pPr>
        <w:spacing w:after="200" w:line="480" w:lineRule="auto"/>
        <w:contextualSpacing/>
        <w:jc w:val="both"/>
        <w:rPr>
          <w:rFonts w:ascii="Verdana" w:eastAsia="MS Mincho" w:hAnsi="Verdana" w:cs="Times New Roman"/>
          <w:sz w:val="24"/>
          <w:szCs w:val="24"/>
        </w:rPr>
      </w:pPr>
      <w:r>
        <w:rPr>
          <w:rFonts w:ascii="Verdana" w:eastAsia="MS Mincho" w:hAnsi="Verdana" w:cs="Times New Roman"/>
          <w:sz w:val="24"/>
          <w:szCs w:val="24"/>
        </w:rPr>
        <w:t xml:space="preserve">                                                        </w:t>
      </w:r>
      <w:r w:rsidR="00A73641" w:rsidRPr="00631657">
        <w:rPr>
          <w:rFonts w:ascii="Verdana" w:eastAsia="MS Mincho" w:hAnsi="Verdana" w:cs="Times New Roman"/>
          <w:sz w:val="24"/>
          <w:szCs w:val="24"/>
        </w:rPr>
        <w:t>__________________________</w:t>
      </w:r>
    </w:p>
    <w:p w:rsidR="00A73641" w:rsidRPr="00631657" w:rsidRDefault="002C2F39" w:rsidP="00A73641">
      <w:pPr>
        <w:spacing w:after="200" w:line="360" w:lineRule="auto"/>
        <w:ind w:left="5040"/>
        <w:jc w:val="both"/>
        <w:rPr>
          <w:rFonts w:ascii="Verdana" w:eastAsia="MS Mincho" w:hAnsi="Verdana" w:cs="Times New Roman"/>
          <w:sz w:val="24"/>
          <w:szCs w:val="24"/>
        </w:rPr>
      </w:pPr>
      <w:r>
        <w:rPr>
          <w:rFonts w:ascii="Verdana" w:eastAsia="MS Mincho" w:hAnsi="Verdana" w:cs="Times New Roman"/>
          <w:b/>
          <w:sz w:val="24"/>
          <w:szCs w:val="24"/>
        </w:rPr>
        <w:t xml:space="preserve">     </w:t>
      </w:r>
      <w:r w:rsidR="00A73641" w:rsidRPr="00631657">
        <w:rPr>
          <w:rFonts w:ascii="Verdana" w:eastAsia="MS Mincho" w:hAnsi="Verdana" w:cs="Times New Roman"/>
          <w:b/>
          <w:sz w:val="24"/>
          <w:szCs w:val="24"/>
        </w:rPr>
        <w:t xml:space="preserve">  </w:t>
      </w:r>
      <w:r w:rsidR="00A73641" w:rsidRPr="00631657">
        <w:rPr>
          <w:rFonts w:ascii="Verdana" w:eastAsia="MS Mincho" w:hAnsi="Verdana" w:cs="Times New Roman"/>
          <w:sz w:val="24"/>
          <w:szCs w:val="24"/>
        </w:rPr>
        <w:t xml:space="preserve">SENYATSI ML                                                                                         </w:t>
      </w:r>
    </w:p>
    <w:p w:rsidR="00A73641" w:rsidRPr="002C2F39" w:rsidRDefault="00A73641" w:rsidP="00A73641">
      <w:pPr>
        <w:spacing w:after="200" w:line="240" w:lineRule="auto"/>
        <w:jc w:val="both"/>
        <w:rPr>
          <w:rFonts w:ascii="Verdana" w:eastAsia="MS Mincho" w:hAnsi="Verdana" w:cs="Times New Roman"/>
          <w:b/>
          <w:i/>
          <w:sz w:val="20"/>
          <w:szCs w:val="20"/>
        </w:rPr>
      </w:pPr>
      <w:r w:rsidRPr="00631657">
        <w:rPr>
          <w:rFonts w:ascii="Verdana" w:eastAsia="MS Mincho" w:hAnsi="Verdana" w:cs="Times New Roman"/>
          <w:b/>
          <w:sz w:val="24"/>
          <w:szCs w:val="24"/>
        </w:rPr>
        <w:t xml:space="preserve">                                            </w:t>
      </w:r>
      <w:r w:rsidR="002C2F39">
        <w:rPr>
          <w:rFonts w:ascii="Verdana" w:eastAsia="MS Mincho" w:hAnsi="Verdana" w:cs="Times New Roman"/>
          <w:b/>
          <w:sz w:val="24"/>
          <w:szCs w:val="24"/>
        </w:rPr>
        <w:t xml:space="preserve">         </w:t>
      </w:r>
      <w:r w:rsidRPr="002C2F39">
        <w:rPr>
          <w:rFonts w:ascii="Verdana" w:eastAsia="MS Mincho" w:hAnsi="Verdana" w:cs="Times New Roman"/>
          <w:b/>
          <w:i/>
          <w:sz w:val="20"/>
          <w:szCs w:val="20"/>
        </w:rPr>
        <w:t>Judge of the High Court of South Africa</w:t>
      </w:r>
    </w:p>
    <w:p w:rsidR="00A73641" w:rsidRPr="002C2F39" w:rsidRDefault="00A73641" w:rsidP="00A73641">
      <w:pPr>
        <w:spacing w:after="200" w:line="240" w:lineRule="auto"/>
        <w:jc w:val="both"/>
        <w:rPr>
          <w:rFonts w:ascii="Verdana" w:eastAsia="MS Mincho" w:hAnsi="Verdana" w:cs="Times New Roman"/>
          <w:b/>
          <w:i/>
          <w:sz w:val="20"/>
          <w:szCs w:val="20"/>
        </w:rPr>
      </w:pPr>
      <w:r w:rsidRPr="002C2F39">
        <w:rPr>
          <w:rFonts w:ascii="Verdana" w:eastAsia="MS Mincho" w:hAnsi="Verdana" w:cs="Times New Roman"/>
          <w:b/>
          <w:i/>
          <w:sz w:val="20"/>
          <w:szCs w:val="20"/>
        </w:rPr>
        <w:t xml:space="preserve">                                            </w:t>
      </w:r>
      <w:r w:rsidR="002C2F39">
        <w:rPr>
          <w:rFonts w:ascii="Verdana" w:eastAsia="MS Mincho" w:hAnsi="Verdana" w:cs="Times New Roman"/>
          <w:b/>
          <w:i/>
          <w:sz w:val="20"/>
          <w:szCs w:val="20"/>
        </w:rPr>
        <w:t xml:space="preserve"> </w:t>
      </w:r>
      <w:r w:rsidR="002C2F39">
        <w:rPr>
          <w:rFonts w:ascii="Verdana" w:eastAsia="MS Mincho" w:hAnsi="Verdana" w:cs="Times New Roman"/>
          <w:b/>
          <w:i/>
          <w:sz w:val="20"/>
          <w:szCs w:val="20"/>
        </w:rPr>
        <w:tab/>
      </w:r>
      <w:r w:rsidR="002C2F39">
        <w:rPr>
          <w:rFonts w:ascii="Verdana" w:eastAsia="MS Mincho" w:hAnsi="Verdana" w:cs="Times New Roman"/>
          <w:b/>
          <w:i/>
          <w:sz w:val="20"/>
          <w:szCs w:val="20"/>
        </w:rPr>
        <w:tab/>
        <w:t xml:space="preserve"> </w:t>
      </w:r>
      <w:r w:rsidRPr="002C2F39">
        <w:rPr>
          <w:rFonts w:ascii="Verdana" w:eastAsia="MS Mincho" w:hAnsi="Verdana" w:cs="Times New Roman"/>
          <w:b/>
          <w:i/>
          <w:sz w:val="20"/>
          <w:szCs w:val="20"/>
        </w:rPr>
        <w:t>Gauteng Local Division, Johannesburg</w:t>
      </w:r>
    </w:p>
    <w:p w:rsidR="00A73641" w:rsidRPr="002C2F39" w:rsidRDefault="00A73641" w:rsidP="00A73641">
      <w:pPr>
        <w:spacing w:after="200" w:line="240" w:lineRule="auto"/>
        <w:jc w:val="both"/>
        <w:rPr>
          <w:rFonts w:ascii="Verdana" w:hAnsi="Verdana" w:cs="Times New Roman"/>
          <w:b/>
          <w:sz w:val="20"/>
          <w:szCs w:val="20"/>
          <w:u w:val="single"/>
        </w:rPr>
      </w:pPr>
    </w:p>
    <w:p w:rsidR="0073747C" w:rsidRDefault="0073747C" w:rsidP="00A73641">
      <w:pPr>
        <w:spacing w:after="200" w:line="240" w:lineRule="auto"/>
        <w:ind w:firstLine="720"/>
        <w:jc w:val="both"/>
        <w:rPr>
          <w:rFonts w:ascii="Verdana" w:hAnsi="Verdana" w:cs="Times New Roman"/>
          <w:b/>
          <w:sz w:val="24"/>
          <w:szCs w:val="24"/>
          <w:u w:val="single"/>
        </w:rPr>
      </w:pPr>
    </w:p>
    <w:p w:rsidR="00A73641" w:rsidRPr="00631657" w:rsidRDefault="00A73641" w:rsidP="00A73641">
      <w:pPr>
        <w:spacing w:after="200" w:line="240" w:lineRule="auto"/>
        <w:ind w:firstLine="720"/>
        <w:jc w:val="both"/>
        <w:rPr>
          <w:rFonts w:ascii="Verdana" w:eastAsia="MS Mincho" w:hAnsi="Verdana" w:cs="Times New Roman"/>
          <w:b/>
          <w:i/>
          <w:sz w:val="24"/>
          <w:szCs w:val="24"/>
        </w:rPr>
      </w:pPr>
      <w:r w:rsidRPr="00631657">
        <w:rPr>
          <w:rFonts w:ascii="Verdana" w:hAnsi="Verdana" w:cs="Times New Roman"/>
          <w:b/>
          <w:sz w:val="24"/>
          <w:szCs w:val="24"/>
          <w:u w:val="single"/>
        </w:rPr>
        <w:t>REPRESENTATION</w:t>
      </w:r>
    </w:p>
    <w:p w:rsidR="00A73641" w:rsidRPr="00631657" w:rsidRDefault="00A73641" w:rsidP="00A73641">
      <w:pPr>
        <w:spacing w:line="360" w:lineRule="auto"/>
        <w:ind w:left="720"/>
        <w:jc w:val="both"/>
        <w:rPr>
          <w:rFonts w:ascii="Arial" w:hAnsi="Arial" w:cs="Arial"/>
          <w:sz w:val="24"/>
          <w:szCs w:val="24"/>
        </w:rPr>
      </w:pPr>
      <w:r w:rsidRPr="00631657">
        <w:rPr>
          <w:rFonts w:ascii="Arial" w:hAnsi="Arial" w:cs="Arial"/>
          <w:sz w:val="24"/>
          <w:szCs w:val="24"/>
        </w:rPr>
        <w:t xml:space="preserve">Date of hearing: </w:t>
      </w:r>
      <w:r w:rsidR="00F30A0C">
        <w:rPr>
          <w:rFonts w:ascii="Arial" w:hAnsi="Arial" w:cs="Arial"/>
          <w:sz w:val="24"/>
          <w:szCs w:val="24"/>
        </w:rPr>
        <w:t>02 August 2021</w:t>
      </w:r>
    </w:p>
    <w:p w:rsidR="00A73641" w:rsidRPr="00631657" w:rsidRDefault="00A73641" w:rsidP="00A73641">
      <w:pPr>
        <w:spacing w:line="360" w:lineRule="auto"/>
        <w:ind w:left="720"/>
        <w:jc w:val="both"/>
        <w:rPr>
          <w:rFonts w:ascii="Arial" w:hAnsi="Arial" w:cs="Arial"/>
          <w:sz w:val="24"/>
          <w:szCs w:val="24"/>
        </w:rPr>
      </w:pPr>
      <w:r w:rsidRPr="00631657">
        <w:rPr>
          <w:rFonts w:ascii="Arial" w:hAnsi="Arial" w:cs="Arial"/>
          <w:sz w:val="24"/>
          <w:szCs w:val="24"/>
        </w:rPr>
        <w:t xml:space="preserve">Date of Judgment: </w:t>
      </w:r>
      <w:r w:rsidR="007C18AF">
        <w:rPr>
          <w:rFonts w:ascii="Arial" w:hAnsi="Arial" w:cs="Arial"/>
          <w:sz w:val="24"/>
          <w:szCs w:val="24"/>
        </w:rPr>
        <w:t>22</w:t>
      </w:r>
      <w:r w:rsidR="002C2F39">
        <w:rPr>
          <w:rFonts w:ascii="Arial" w:hAnsi="Arial" w:cs="Arial"/>
          <w:sz w:val="24"/>
          <w:szCs w:val="24"/>
        </w:rPr>
        <w:t xml:space="preserve"> December 2021</w:t>
      </w:r>
      <w:r w:rsidRPr="00631657">
        <w:rPr>
          <w:rFonts w:ascii="Arial" w:hAnsi="Arial" w:cs="Arial"/>
          <w:sz w:val="24"/>
          <w:szCs w:val="24"/>
        </w:rPr>
        <w:t xml:space="preserve"> </w:t>
      </w:r>
    </w:p>
    <w:p w:rsidR="00A73641" w:rsidRPr="00631657" w:rsidRDefault="00A73641" w:rsidP="00A73641">
      <w:pPr>
        <w:spacing w:line="360" w:lineRule="auto"/>
        <w:ind w:left="720"/>
        <w:jc w:val="both"/>
        <w:rPr>
          <w:rFonts w:ascii="Arial" w:hAnsi="Arial" w:cs="Arial"/>
          <w:sz w:val="24"/>
          <w:szCs w:val="24"/>
        </w:rPr>
      </w:pPr>
      <w:r w:rsidRPr="00631657">
        <w:rPr>
          <w:rFonts w:ascii="Arial" w:hAnsi="Arial" w:cs="Arial"/>
          <w:sz w:val="24"/>
          <w:szCs w:val="24"/>
        </w:rPr>
        <w:lastRenderedPageBreak/>
        <w:t xml:space="preserve">Applicants Counsel:  </w:t>
      </w:r>
      <w:r w:rsidR="00F30A0C">
        <w:rPr>
          <w:rFonts w:ascii="Arial" w:hAnsi="Arial" w:cs="Arial"/>
          <w:sz w:val="24"/>
          <w:szCs w:val="24"/>
        </w:rPr>
        <w:t>Adv Moloi</w:t>
      </w:r>
    </w:p>
    <w:p w:rsidR="00A73641" w:rsidRPr="00631657" w:rsidRDefault="00A73641" w:rsidP="00A73641">
      <w:pPr>
        <w:spacing w:line="360" w:lineRule="auto"/>
        <w:ind w:left="720"/>
        <w:jc w:val="both"/>
        <w:rPr>
          <w:rFonts w:ascii="Arial" w:hAnsi="Arial" w:cs="Arial"/>
          <w:sz w:val="24"/>
          <w:szCs w:val="24"/>
        </w:rPr>
      </w:pPr>
      <w:r w:rsidRPr="00631657">
        <w:rPr>
          <w:rFonts w:ascii="Arial" w:hAnsi="Arial" w:cs="Arial"/>
          <w:sz w:val="24"/>
          <w:szCs w:val="24"/>
        </w:rPr>
        <w:t xml:space="preserve">Instructed by: </w:t>
      </w:r>
      <w:r w:rsidR="00F30A0C">
        <w:rPr>
          <w:rFonts w:ascii="Arial" w:hAnsi="Arial" w:cs="Arial"/>
          <w:sz w:val="24"/>
          <w:szCs w:val="24"/>
        </w:rPr>
        <w:t>LP Molope Attorneys</w:t>
      </w:r>
    </w:p>
    <w:p w:rsidR="00A73641" w:rsidRPr="00631657" w:rsidRDefault="00A73641" w:rsidP="00A73641">
      <w:pPr>
        <w:spacing w:line="360" w:lineRule="auto"/>
        <w:ind w:left="720"/>
        <w:jc w:val="both"/>
        <w:rPr>
          <w:rFonts w:ascii="Arial" w:hAnsi="Arial" w:cs="Arial"/>
          <w:sz w:val="24"/>
          <w:szCs w:val="24"/>
        </w:rPr>
      </w:pPr>
      <w:r w:rsidRPr="00631657">
        <w:rPr>
          <w:rFonts w:ascii="Arial" w:hAnsi="Arial" w:cs="Arial"/>
          <w:sz w:val="24"/>
          <w:szCs w:val="24"/>
        </w:rPr>
        <w:t xml:space="preserve">First Respondent’s Counsel:  </w:t>
      </w:r>
      <w:r w:rsidR="00F30A0C">
        <w:rPr>
          <w:rFonts w:ascii="Arial" w:hAnsi="Arial" w:cs="Arial"/>
          <w:sz w:val="24"/>
          <w:szCs w:val="24"/>
        </w:rPr>
        <w:t>Adv Sikhakhane</w:t>
      </w:r>
    </w:p>
    <w:p w:rsidR="00A73641" w:rsidRPr="00631657" w:rsidRDefault="00A73641" w:rsidP="00A73641">
      <w:pPr>
        <w:tabs>
          <w:tab w:val="left" w:pos="2760"/>
        </w:tabs>
        <w:spacing w:line="360" w:lineRule="auto"/>
        <w:ind w:left="720"/>
        <w:jc w:val="both"/>
        <w:rPr>
          <w:rFonts w:ascii="Arial" w:hAnsi="Arial" w:cs="Arial"/>
          <w:sz w:val="24"/>
          <w:szCs w:val="24"/>
        </w:rPr>
      </w:pPr>
      <w:r w:rsidRPr="00631657">
        <w:rPr>
          <w:rFonts w:ascii="Arial" w:hAnsi="Arial" w:cs="Arial"/>
          <w:sz w:val="24"/>
          <w:szCs w:val="24"/>
        </w:rPr>
        <w:t>Instructed by:</w:t>
      </w:r>
      <w:r w:rsidR="00F30A0C">
        <w:rPr>
          <w:rFonts w:ascii="Arial" w:hAnsi="Arial" w:cs="Arial"/>
          <w:sz w:val="24"/>
          <w:szCs w:val="24"/>
        </w:rPr>
        <w:t xml:space="preserve"> The State Attorney</w:t>
      </w:r>
    </w:p>
    <w:p w:rsidR="00A73641" w:rsidRPr="00631657" w:rsidRDefault="00A73641" w:rsidP="00A73641">
      <w:pPr>
        <w:spacing w:line="360" w:lineRule="auto"/>
        <w:ind w:left="720"/>
        <w:jc w:val="both"/>
        <w:rPr>
          <w:rFonts w:ascii="Arial" w:hAnsi="Arial" w:cs="Arial"/>
          <w:sz w:val="24"/>
          <w:szCs w:val="24"/>
        </w:rPr>
      </w:pPr>
    </w:p>
    <w:p w:rsidR="00A73641" w:rsidRPr="00631657" w:rsidRDefault="00A73641" w:rsidP="00A73641">
      <w:pPr>
        <w:spacing w:after="200" w:line="240" w:lineRule="auto"/>
        <w:rPr>
          <w:rFonts w:ascii="Verdana" w:eastAsia="MS Mincho" w:hAnsi="Verdana" w:cs="Times New Roman"/>
          <w:sz w:val="24"/>
          <w:szCs w:val="24"/>
          <w:lang w:val="en-GB" w:eastAsia="ja-JP"/>
        </w:rPr>
      </w:pPr>
    </w:p>
    <w:p w:rsidR="00A73641" w:rsidRPr="00631657" w:rsidRDefault="00A73641" w:rsidP="00A73641">
      <w:pPr>
        <w:rPr>
          <w:sz w:val="24"/>
          <w:szCs w:val="24"/>
        </w:rPr>
      </w:pPr>
    </w:p>
    <w:p w:rsidR="00A73641" w:rsidRPr="00631657" w:rsidRDefault="00A73641" w:rsidP="00A73641">
      <w:pPr>
        <w:rPr>
          <w:sz w:val="24"/>
          <w:szCs w:val="24"/>
        </w:rPr>
      </w:pPr>
    </w:p>
    <w:p w:rsidR="00A73641" w:rsidRPr="00631657" w:rsidRDefault="00A73641" w:rsidP="00A73641">
      <w:pPr>
        <w:rPr>
          <w:sz w:val="24"/>
          <w:szCs w:val="24"/>
        </w:rPr>
      </w:pPr>
    </w:p>
    <w:p w:rsidR="00524534" w:rsidRPr="00631657" w:rsidRDefault="00524534">
      <w:pPr>
        <w:rPr>
          <w:sz w:val="24"/>
          <w:szCs w:val="24"/>
        </w:rPr>
      </w:pPr>
    </w:p>
    <w:sectPr w:rsidR="00524534" w:rsidRPr="0063165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FA" w:rsidRDefault="002734FA" w:rsidP="00A73641">
      <w:pPr>
        <w:spacing w:after="0" w:line="240" w:lineRule="auto"/>
      </w:pPr>
      <w:r>
        <w:separator/>
      </w:r>
    </w:p>
  </w:endnote>
  <w:endnote w:type="continuationSeparator" w:id="0">
    <w:p w:rsidR="002734FA" w:rsidRDefault="002734FA" w:rsidP="00A7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FA" w:rsidRDefault="002734FA" w:rsidP="00A73641">
      <w:pPr>
        <w:spacing w:after="0" w:line="240" w:lineRule="auto"/>
      </w:pPr>
      <w:r>
        <w:separator/>
      </w:r>
    </w:p>
  </w:footnote>
  <w:footnote w:type="continuationSeparator" w:id="0">
    <w:p w:rsidR="002734FA" w:rsidRDefault="002734FA" w:rsidP="00A73641">
      <w:pPr>
        <w:spacing w:after="0" w:line="240" w:lineRule="auto"/>
      </w:pPr>
      <w:r>
        <w:continuationSeparator/>
      </w:r>
    </w:p>
  </w:footnote>
  <w:footnote w:id="1">
    <w:p w:rsidR="009B7166" w:rsidRPr="003F5694" w:rsidRDefault="009B7166">
      <w:pPr>
        <w:pStyle w:val="FootnoteText"/>
        <w:rPr>
          <w:lang w:val="en-GB"/>
        </w:rPr>
      </w:pPr>
      <w:r>
        <w:rPr>
          <w:rStyle w:val="FootnoteReference"/>
        </w:rPr>
        <w:footnoteRef/>
      </w:r>
      <w:r>
        <w:t xml:space="preserve"> 2011(2) SA 26 ()</w:t>
      </w:r>
    </w:p>
  </w:footnote>
  <w:footnote w:id="2">
    <w:p w:rsidR="009B7166" w:rsidRPr="003F5694" w:rsidRDefault="009B7166">
      <w:pPr>
        <w:pStyle w:val="FootnoteText"/>
        <w:rPr>
          <w:lang w:val="en-GB"/>
        </w:rPr>
      </w:pPr>
      <w:r>
        <w:rPr>
          <w:rStyle w:val="FootnoteReference"/>
        </w:rPr>
        <w:footnoteRef/>
      </w:r>
      <w:r>
        <w:t xml:space="preserve"> </w:t>
      </w:r>
      <w:r>
        <w:rPr>
          <w:lang w:val="en-GB"/>
        </w:rPr>
        <w:t>See Mtokonya v Minister of Police [2017] ZACC 33; 2017 (11) BCLR 1443 (CC); 2018 (5) SA 22 (CC)</w:t>
      </w:r>
    </w:p>
  </w:footnote>
  <w:footnote w:id="3">
    <w:p w:rsidR="009B7166" w:rsidRPr="00B5412E" w:rsidRDefault="009B7166">
      <w:pPr>
        <w:pStyle w:val="FootnoteText"/>
        <w:rPr>
          <w:lang w:val="en-GB"/>
        </w:rPr>
      </w:pPr>
      <w:r>
        <w:rPr>
          <w:rStyle w:val="FootnoteReference"/>
        </w:rPr>
        <w:footnoteRef/>
      </w:r>
      <w:r>
        <w:t xml:space="preserve"> </w:t>
      </w:r>
      <w:r>
        <w:rPr>
          <w:lang w:val="en-GB"/>
        </w:rPr>
        <w:t>Trinity Asset Management (Pty) Ltd v Grindstone Investment 132 (Pty) Ltd [2017] ZACC 32; 2017 (12) BCRRR 1562 (CC); 2018 (1) SA 94 (CC) para 36</w:t>
      </w:r>
    </w:p>
  </w:footnote>
  <w:footnote w:id="4">
    <w:p w:rsidR="009B7166" w:rsidRPr="00B5412E" w:rsidRDefault="009B7166">
      <w:pPr>
        <w:pStyle w:val="FootnoteText"/>
        <w:rPr>
          <w:lang w:val="en-GB"/>
        </w:rPr>
      </w:pPr>
      <w:r>
        <w:rPr>
          <w:rStyle w:val="FootnoteReference"/>
        </w:rPr>
        <w:footnoteRef/>
      </w:r>
      <w:r>
        <w:t xml:space="preserve"> </w:t>
      </w:r>
      <w:r>
        <w:rPr>
          <w:lang w:val="en-GB"/>
        </w:rPr>
        <w:t>See Mtokonya v Minister of Police, supra para 36.</w:t>
      </w:r>
    </w:p>
  </w:footnote>
  <w:footnote w:id="5">
    <w:p w:rsidR="009B7166" w:rsidRPr="00B5412E" w:rsidRDefault="009B7166">
      <w:pPr>
        <w:pStyle w:val="FootnoteText"/>
        <w:rPr>
          <w:lang w:val="en-GB"/>
        </w:rPr>
      </w:pPr>
      <w:r>
        <w:rPr>
          <w:rStyle w:val="FootnoteReference"/>
        </w:rPr>
        <w:footnoteRef/>
      </w:r>
      <w:r>
        <w:t xml:space="preserve"> </w:t>
      </w:r>
      <w:r>
        <w:rPr>
          <w:lang w:val="en-GB"/>
        </w:rPr>
        <w:t>See Kruger v National Director of Public Prosecutions [2019] ZACC 13; 2019 (6) BCLR 703 (CC) para 19.</w:t>
      </w:r>
    </w:p>
  </w:footnote>
  <w:footnote w:id="6">
    <w:p w:rsidR="009B7166" w:rsidRPr="00B5412E" w:rsidRDefault="009B7166">
      <w:pPr>
        <w:pStyle w:val="FootnoteText"/>
        <w:rPr>
          <w:lang w:val="en-GB"/>
        </w:rPr>
      </w:pPr>
      <w:r>
        <w:rPr>
          <w:rStyle w:val="FootnoteReference"/>
        </w:rPr>
        <w:footnoteRef/>
      </w:r>
      <w:r>
        <w:t xml:space="preserve"> </w:t>
      </w:r>
      <w:r>
        <w:rPr>
          <w:lang w:val="en-GB"/>
        </w:rPr>
        <w:t>(CCT 52/15) [2016] ZACC 13; 2016 (6) BCLQR 709 (CC); 2016 (4) SA 121 (CC;)</w:t>
      </w:r>
    </w:p>
  </w:footnote>
  <w:footnote w:id="7">
    <w:p w:rsidR="009B7166" w:rsidRPr="00C029AC" w:rsidRDefault="009B7166">
      <w:pPr>
        <w:pStyle w:val="FootnoteText"/>
        <w:rPr>
          <w:lang w:val="en-GB"/>
        </w:rPr>
      </w:pPr>
      <w:r>
        <w:rPr>
          <w:rStyle w:val="FootnoteReference"/>
        </w:rPr>
        <w:footnoteRef/>
      </w:r>
      <w:r>
        <w:t xml:space="preserve"> </w:t>
      </w:r>
      <w:r>
        <w:rPr>
          <w:lang w:val="en-GB"/>
        </w:rPr>
        <w:t>(CCT/29/15) [2016] ZACC 10; 2016 (5) BCLR 656 (CC); 2016 (4) SA 414 (CC)</w:t>
      </w:r>
    </w:p>
  </w:footnote>
  <w:footnote w:id="8">
    <w:p w:rsidR="009B7166" w:rsidRPr="00CF5086" w:rsidRDefault="009B7166">
      <w:pPr>
        <w:pStyle w:val="FootnoteText"/>
        <w:rPr>
          <w:lang w:val="en-GB"/>
        </w:rPr>
      </w:pPr>
      <w:r>
        <w:rPr>
          <w:rStyle w:val="FootnoteReference"/>
        </w:rPr>
        <w:footnoteRef/>
      </w:r>
      <w:r>
        <w:t xml:space="preserve"> </w:t>
      </w:r>
      <w:r>
        <w:rPr>
          <w:lang w:val="en-GB"/>
        </w:rPr>
        <w:t>[1978] 2 All SA; 1978(1) SA821 (A): Drennan Maud and Partners v Town Board of the Township of Pennington [1998] 2 All SA 132 (SCA)</w:t>
      </w:r>
    </w:p>
  </w:footnote>
  <w:footnote w:id="9">
    <w:p w:rsidR="009B7166" w:rsidRPr="00352316" w:rsidRDefault="009B7166">
      <w:pPr>
        <w:pStyle w:val="FootnoteText"/>
        <w:rPr>
          <w:lang w:val="en-GB"/>
        </w:rPr>
      </w:pPr>
      <w:r>
        <w:rPr>
          <w:rStyle w:val="FootnoteReference"/>
        </w:rPr>
        <w:footnoteRef/>
      </w:r>
      <w:r>
        <w:t xml:space="preserve"> </w:t>
      </w:r>
      <w:r>
        <w:rPr>
          <w:lang w:val="en-GB"/>
        </w:rPr>
        <w:t>[2021] ZAGPPHC 402 at para 17 (Unreported)</w:t>
      </w:r>
    </w:p>
  </w:footnote>
  <w:footnote w:id="10">
    <w:p w:rsidR="009B7166" w:rsidRPr="00D61513" w:rsidRDefault="009B7166">
      <w:pPr>
        <w:pStyle w:val="FootnoteText"/>
        <w:rPr>
          <w:lang w:val="en-GB"/>
        </w:rPr>
      </w:pPr>
      <w:r>
        <w:rPr>
          <w:rStyle w:val="FootnoteReference"/>
        </w:rPr>
        <w:footnoteRef/>
      </w:r>
      <w:r>
        <w:t xml:space="preserve"> </w:t>
      </w:r>
      <w:r>
        <w:rPr>
          <w:lang w:val="en-GB"/>
        </w:rPr>
        <w:t>See Minister of Agriculture and Land Affairs v CJRabice (Pty) Ltd [2010] ZASCA 27, 2010 (4) SA 109 (SCA); [2010] 3 All SA  537 (SCA) para 11, and Minister of Safety and Security v De Witt [2008] ZASCA 103; 2009 (1) SA 457 (SCA) para 13.</w:t>
      </w:r>
    </w:p>
  </w:footnote>
  <w:footnote w:id="11">
    <w:p w:rsidR="009B7166" w:rsidRPr="00D97D91" w:rsidRDefault="009B7166">
      <w:pPr>
        <w:pStyle w:val="FootnoteText"/>
        <w:rPr>
          <w:lang w:val="en-GB"/>
        </w:rPr>
      </w:pPr>
      <w:r>
        <w:rPr>
          <w:rStyle w:val="FootnoteReference"/>
        </w:rPr>
        <w:footnoteRef/>
      </w:r>
      <w:r>
        <w:t xml:space="preserve"> </w:t>
      </w:r>
      <w:r>
        <w:rPr>
          <w:lang w:val="en-GB"/>
        </w:rPr>
        <w:t xml:space="preserve">See Madinda v </w:t>
      </w:r>
      <w:r w:rsidR="00025B35">
        <w:rPr>
          <w:lang w:val="en-GB"/>
        </w:rPr>
        <w:t>Minister of Safety and Security</w:t>
      </w:r>
      <w:r>
        <w:rPr>
          <w:lang w:val="en-GB"/>
        </w:rPr>
        <w:t xml:space="preserve"> [2008] ZASCA 34; 2008 (4) SA 312 (SCA); [2008] 3 All SA 43 (SCA)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79142"/>
      <w:docPartObj>
        <w:docPartGallery w:val="Page Numbers (Top of Page)"/>
        <w:docPartUnique/>
      </w:docPartObj>
    </w:sdtPr>
    <w:sdtEndPr>
      <w:rPr>
        <w:noProof/>
      </w:rPr>
    </w:sdtEndPr>
    <w:sdtContent>
      <w:p w:rsidR="009B7166" w:rsidRDefault="009B7166">
        <w:pPr>
          <w:pStyle w:val="Header"/>
          <w:jc w:val="right"/>
        </w:pPr>
        <w:r>
          <w:fldChar w:fldCharType="begin"/>
        </w:r>
        <w:r>
          <w:instrText xml:space="preserve"> PAGE   \* MERGEFORMAT </w:instrText>
        </w:r>
        <w:r>
          <w:fldChar w:fldCharType="separate"/>
        </w:r>
        <w:r w:rsidR="005D534D">
          <w:rPr>
            <w:noProof/>
          </w:rPr>
          <w:t>15</w:t>
        </w:r>
        <w:r>
          <w:rPr>
            <w:noProof/>
          </w:rPr>
          <w:fldChar w:fldCharType="end"/>
        </w:r>
      </w:p>
    </w:sdtContent>
  </w:sdt>
  <w:p w:rsidR="009B7166" w:rsidRDefault="009B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D018AE9E">
      <w:start w:val="1"/>
      <w:numFmt w:val="decimal"/>
      <w:lvlText w:val="(%1)"/>
      <w:lvlJc w:val="left"/>
      <w:pPr>
        <w:tabs>
          <w:tab w:val="num" w:pos="900"/>
        </w:tabs>
        <w:ind w:left="900" w:hanging="720"/>
      </w:pPr>
      <w:rPr>
        <w:rFonts w:hint="default"/>
      </w:rPr>
    </w:lvl>
    <w:lvl w:ilvl="1" w:tplc="90F488A0" w:tentative="1">
      <w:start w:val="1"/>
      <w:numFmt w:val="lowerLetter"/>
      <w:lvlText w:val="%2."/>
      <w:lvlJc w:val="left"/>
      <w:pPr>
        <w:tabs>
          <w:tab w:val="num" w:pos="1260"/>
        </w:tabs>
        <w:ind w:left="1260" w:hanging="360"/>
      </w:pPr>
    </w:lvl>
    <w:lvl w:ilvl="2" w:tplc="C4EAE66A" w:tentative="1">
      <w:start w:val="1"/>
      <w:numFmt w:val="lowerRoman"/>
      <w:lvlText w:val="%3."/>
      <w:lvlJc w:val="right"/>
      <w:pPr>
        <w:tabs>
          <w:tab w:val="num" w:pos="1980"/>
        </w:tabs>
        <w:ind w:left="1980" w:hanging="180"/>
      </w:pPr>
    </w:lvl>
    <w:lvl w:ilvl="3" w:tplc="06F2BD1C" w:tentative="1">
      <w:start w:val="1"/>
      <w:numFmt w:val="decimal"/>
      <w:lvlText w:val="%4."/>
      <w:lvlJc w:val="left"/>
      <w:pPr>
        <w:tabs>
          <w:tab w:val="num" w:pos="2700"/>
        </w:tabs>
        <w:ind w:left="2700" w:hanging="360"/>
      </w:pPr>
    </w:lvl>
    <w:lvl w:ilvl="4" w:tplc="7BEEDE48" w:tentative="1">
      <w:start w:val="1"/>
      <w:numFmt w:val="lowerLetter"/>
      <w:lvlText w:val="%5."/>
      <w:lvlJc w:val="left"/>
      <w:pPr>
        <w:tabs>
          <w:tab w:val="num" w:pos="3420"/>
        </w:tabs>
        <w:ind w:left="3420" w:hanging="360"/>
      </w:pPr>
    </w:lvl>
    <w:lvl w:ilvl="5" w:tplc="00B43ECA" w:tentative="1">
      <w:start w:val="1"/>
      <w:numFmt w:val="lowerRoman"/>
      <w:lvlText w:val="%6."/>
      <w:lvlJc w:val="right"/>
      <w:pPr>
        <w:tabs>
          <w:tab w:val="num" w:pos="4140"/>
        </w:tabs>
        <w:ind w:left="4140" w:hanging="180"/>
      </w:pPr>
    </w:lvl>
    <w:lvl w:ilvl="6" w:tplc="3E8AC966" w:tentative="1">
      <w:start w:val="1"/>
      <w:numFmt w:val="decimal"/>
      <w:lvlText w:val="%7."/>
      <w:lvlJc w:val="left"/>
      <w:pPr>
        <w:tabs>
          <w:tab w:val="num" w:pos="4860"/>
        </w:tabs>
        <w:ind w:left="4860" w:hanging="360"/>
      </w:pPr>
    </w:lvl>
    <w:lvl w:ilvl="7" w:tplc="D0DAFA80" w:tentative="1">
      <w:start w:val="1"/>
      <w:numFmt w:val="lowerLetter"/>
      <w:lvlText w:val="%8."/>
      <w:lvlJc w:val="left"/>
      <w:pPr>
        <w:tabs>
          <w:tab w:val="num" w:pos="5580"/>
        </w:tabs>
        <w:ind w:left="5580" w:hanging="360"/>
      </w:pPr>
    </w:lvl>
    <w:lvl w:ilvl="8" w:tplc="9ABCC222" w:tentative="1">
      <w:start w:val="1"/>
      <w:numFmt w:val="lowerRoman"/>
      <w:lvlText w:val="%9."/>
      <w:lvlJc w:val="right"/>
      <w:pPr>
        <w:tabs>
          <w:tab w:val="num" w:pos="6300"/>
        </w:tabs>
        <w:ind w:left="6300" w:hanging="180"/>
      </w:pPr>
    </w:lvl>
  </w:abstractNum>
  <w:abstractNum w:abstractNumId="1" w15:restartNumberingAfterBreak="0">
    <w:nsid w:val="294B5CD9"/>
    <w:multiLevelType w:val="hybridMultilevel"/>
    <w:tmpl w:val="DB3066D6"/>
    <w:lvl w:ilvl="0" w:tplc="DB0041D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314C5F8D"/>
    <w:multiLevelType w:val="hybridMultilevel"/>
    <w:tmpl w:val="FF1A56DE"/>
    <w:lvl w:ilvl="0" w:tplc="F2A0636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547C66E9"/>
    <w:multiLevelType w:val="hybridMultilevel"/>
    <w:tmpl w:val="EFE4C880"/>
    <w:lvl w:ilvl="0" w:tplc="6F44188A">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5E331BF5"/>
    <w:multiLevelType w:val="hybridMultilevel"/>
    <w:tmpl w:val="375669A4"/>
    <w:lvl w:ilvl="0" w:tplc="E4063B8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41"/>
    <w:rsid w:val="000032CF"/>
    <w:rsid w:val="00025B35"/>
    <w:rsid w:val="000845A8"/>
    <w:rsid w:val="002734FA"/>
    <w:rsid w:val="002C2F39"/>
    <w:rsid w:val="00352316"/>
    <w:rsid w:val="003E1FED"/>
    <w:rsid w:val="003F5694"/>
    <w:rsid w:val="003F56C6"/>
    <w:rsid w:val="00487CC8"/>
    <w:rsid w:val="004E7C0C"/>
    <w:rsid w:val="00507D5D"/>
    <w:rsid w:val="00524534"/>
    <w:rsid w:val="00525A7B"/>
    <w:rsid w:val="005379D6"/>
    <w:rsid w:val="005D534D"/>
    <w:rsid w:val="00631657"/>
    <w:rsid w:val="006E5AA5"/>
    <w:rsid w:val="00710AA8"/>
    <w:rsid w:val="00712FBA"/>
    <w:rsid w:val="0073747C"/>
    <w:rsid w:val="007C18AF"/>
    <w:rsid w:val="007F7DB1"/>
    <w:rsid w:val="0093096B"/>
    <w:rsid w:val="009B7166"/>
    <w:rsid w:val="00A0558F"/>
    <w:rsid w:val="00A73641"/>
    <w:rsid w:val="00A845F7"/>
    <w:rsid w:val="00B43166"/>
    <w:rsid w:val="00B5412E"/>
    <w:rsid w:val="00B82B17"/>
    <w:rsid w:val="00C029AC"/>
    <w:rsid w:val="00C5513F"/>
    <w:rsid w:val="00C7015B"/>
    <w:rsid w:val="00CF5086"/>
    <w:rsid w:val="00D03033"/>
    <w:rsid w:val="00D61513"/>
    <w:rsid w:val="00D97D91"/>
    <w:rsid w:val="00F30A0C"/>
    <w:rsid w:val="00F505C2"/>
    <w:rsid w:val="00F75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A318-0F7C-482C-82DE-F9F05F1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641"/>
  </w:style>
  <w:style w:type="paragraph" w:styleId="FootnoteText">
    <w:name w:val="footnote text"/>
    <w:basedOn w:val="Normal"/>
    <w:link w:val="FootnoteTextChar"/>
    <w:uiPriority w:val="99"/>
    <w:semiHidden/>
    <w:unhideWhenUsed/>
    <w:rsid w:val="00A73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641"/>
    <w:rPr>
      <w:sz w:val="20"/>
      <w:szCs w:val="20"/>
    </w:rPr>
  </w:style>
  <w:style w:type="character" w:styleId="FootnoteReference">
    <w:name w:val="footnote reference"/>
    <w:basedOn w:val="DefaultParagraphFont"/>
    <w:uiPriority w:val="99"/>
    <w:semiHidden/>
    <w:unhideWhenUsed/>
    <w:rsid w:val="00A73641"/>
    <w:rPr>
      <w:vertAlign w:val="superscript"/>
    </w:rPr>
  </w:style>
  <w:style w:type="paragraph" w:styleId="ListParagraph">
    <w:name w:val="List Paragraph"/>
    <w:basedOn w:val="Normal"/>
    <w:uiPriority w:val="34"/>
    <w:qFormat/>
    <w:rsid w:val="006E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F7A8-DF35-4778-A155-6BE9E617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Lazarus Rakgwale</cp:lastModifiedBy>
  <cp:revision>2</cp:revision>
  <cp:lastPrinted>2021-12-22T08:32:00Z</cp:lastPrinted>
  <dcterms:created xsi:type="dcterms:W3CDTF">2022-02-09T05:53:00Z</dcterms:created>
  <dcterms:modified xsi:type="dcterms:W3CDTF">2022-02-09T05:53:00Z</dcterms:modified>
</cp:coreProperties>
</file>