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4752" w14:textId="77777777" w:rsidR="00C877FB" w:rsidRPr="00FE37A6" w:rsidRDefault="00427C06" w:rsidP="00427C06">
      <w:pPr>
        <w:spacing w:after="0" w:line="240" w:lineRule="auto"/>
        <w:jc w:val="center"/>
        <w:rPr>
          <w:b/>
          <w:sz w:val="24"/>
          <w:szCs w:val="24"/>
          <w:lang w:eastAsia="en-GB"/>
        </w:rPr>
      </w:pPr>
      <w:bookmarkStart w:id="0" w:name="_GoBack"/>
      <w:bookmarkEnd w:id="0"/>
      <w:r w:rsidRPr="00FE37A6">
        <w:rPr>
          <w:b/>
          <w:sz w:val="24"/>
          <w:szCs w:val="24"/>
          <w:lang w:eastAsia="en-GB"/>
        </w:rPr>
        <w:t>IN THE HIGH COURT OF SOUTH AFRICA</w:t>
      </w:r>
    </w:p>
    <w:p w14:paraId="76BEF36C" w14:textId="77777777" w:rsidR="00427C06" w:rsidRPr="00FE37A6" w:rsidRDefault="00427C06" w:rsidP="00427C06">
      <w:pPr>
        <w:spacing w:after="0" w:line="240" w:lineRule="auto"/>
        <w:jc w:val="center"/>
        <w:rPr>
          <w:b/>
          <w:sz w:val="24"/>
          <w:szCs w:val="24"/>
          <w:lang w:eastAsia="en-GB"/>
        </w:rPr>
      </w:pPr>
      <w:r w:rsidRPr="00FE37A6">
        <w:rPr>
          <w:b/>
          <w:sz w:val="24"/>
          <w:szCs w:val="24"/>
          <w:lang w:eastAsia="en-GB"/>
        </w:rPr>
        <w:t>GAUTENG LOCAL DIVISION, JOHANNESBURG</w:t>
      </w:r>
    </w:p>
    <w:p w14:paraId="168D5FE3" w14:textId="77777777" w:rsidR="00427C06" w:rsidRPr="00FE37A6" w:rsidRDefault="00427C06" w:rsidP="00427C06">
      <w:pPr>
        <w:spacing w:after="0" w:line="240" w:lineRule="auto"/>
        <w:rPr>
          <w:sz w:val="24"/>
          <w:szCs w:val="24"/>
          <w:lang w:eastAsia="en-GB"/>
        </w:rPr>
      </w:pPr>
    </w:p>
    <w:p w14:paraId="48A43F70" w14:textId="77777777" w:rsidR="00427C06" w:rsidRPr="00FE37A6" w:rsidRDefault="00427C06" w:rsidP="00427C06">
      <w:pPr>
        <w:spacing w:after="0" w:line="240" w:lineRule="auto"/>
        <w:rPr>
          <w:sz w:val="24"/>
          <w:szCs w:val="24"/>
          <w:lang w:eastAsia="en-GB"/>
        </w:rPr>
      </w:pPr>
    </w:p>
    <w:p w14:paraId="60227976" w14:textId="77777777" w:rsidR="00FE37A6" w:rsidRPr="00FE37A6" w:rsidRDefault="00FE37A6" w:rsidP="00FE37A6">
      <w:pPr>
        <w:spacing w:after="0" w:line="240" w:lineRule="auto"/>
        <w:jc w:val="right"/>
        <w:rPr>
          <w:b/>
          <w:sz w:val="24"/>
          <w:szCs w:val="24"/>
          <w:lang w:eastAsia="en-GB"/>
        </w:rPr>
      </w:pPr>
    </w:p>
    <w:p w14:paraId="259A928A" w14:textId="77777777" w:rsidR="00FE37A6" w:rsidRDefault="00FE37A6" w:rsidP="00FE37A6">
      <w:pPr>
        <w:spacing w:after="0" w:line="240" w:lineRule="auto"/>
        <w:jc w:val="right"/>
        <w:rPr>
          <w:b/>
          <w:sz w:val="24"/>
          <w:szCs w:val="24"/>
          <w:lang w:eastAsia="en-GB"/>
        </w:rPr>
      </w:pPr>
      <w:r w:rsidRPr="00FE37A6">
        <w:rPr>
          <w:b/>
          <w:sz w:val="24"/>
          <w:szCs w:val="24"/>
          <w:lang w:eastAsia="en-GB"/>
        </w:rPr>
        <w:t xml:space="preserve">Case number: </w:t>
      </w:r>
      <w:r w:rsidR="00CD1552">
        <w:rPr>
          <w:b/>
          <w:sz w:val="24"/>
          <w:szCs w:val="24"/>
          <w:lang w:eastAsia="en-GB"/>
        </w:rPr>
        <w:t>37624/2019</w:t>
      </w:r>
    </w:p>
    <w:p w14:paraId="35F47679" w14:textId="77777777" w:rsidR="00FE37A6" w:rsidRDefault="00FE37A6" w:rsidP="00FE37A6">
      <w:pPr>
        <w:spacing w:after="0" w:line="240" w:lineRule="auto"/>
        <w:jc w:val="right"/>
        <w:rPr>
          <w:lang w:eastAsia="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58"/>
      </w:tblGrid>
      <w:tr w:rsidR="00FE37A6" w14:paraId="1F84BFCF" w14:textId="77777777" w:rsidTr="00FE37A6">
        <w:tc>
          <w:tcPr>
            <w:tcW w:w="5670" w:type="dxa"/>
            <w:tcBorders>
              <w:top w:val="single" w:sz="4" w:space="0" w:color="auto"/>
              <w:left w:val="single" w:sz="4" w:space="0" w:color="auto"/>
              <w:bottom w:val="single" w:sz="4" w:space="0" w:color="auto"/>
              <w:right w:val="single" w:sz="4" w:space="0" w:color="auto"/>
            </w:tcBorders>
          </w:tcPr>
          <w:p w14:paraId="7E71DE97" w14:textId="77777777" w:rsidR="00FE37A6" w:rsidRDefault="00FE37A6" w:rsidP="00FE37A6">
            <w:pPr>
              <w:spacing w:after="0" w:line="240" w:lineRule="auto"/>
              <w:rPr>
                <w:lang w:eastAsia="en-GB"/>
              </w:rPr>
            </w:pPr>
          </w:p>
          <w:p w14:paraId="71753080" w14:textId="77777777" w:rsidR="00FE37A6" w:rsidRPr="00427C06" w:rsidRDefault="00FE37A6" w:rsidP="00FE37A6">
            <w:pPr>
              <w:spacing w:after="0" w:line="240" w:lineRule="auto"/>
              <w:rPr>
                <w:b/>
                <w:lang w:eastAsia="en-GB"/>
              </w:rPr>
            </w:pPr>
            <w:r w:rsidRPr="00427C06">
              <w:rPr>
                <w:b/>
                <w:lang w:eastAsia="en-GB"/>
              </w:rPr>
              <w:t>1.</w:t>
            </w:r>
            <w:r w:rsidRPr="00427C06">
              <w:rPr>
                <w:b/>
                <w:lang w:eastAsia="en-GB"/>
              </w:rPr>
              <w:tab/>
              <w:t>REPORTABLE: NO</w:t>
            </w:r>
          </w:p>
          <w:p w14:paraId="37D2A333" w14:textId="77777777" w:rsidR="00FE37A6" w:rsidRPr="00427C06" w:rsidRDefault="00FE37A6" w:rsidP="00FE37A6">
            <w:pPr>
              <w:spacing w:after="0" w:line="240" w:lineRule="auto"/>
              <w:rPr>
                <w:b/>
                <w:lang w:eastAsia="en-GB"/>
              </w:rPr>
            </w:pPr>
            <w:r w:rsidRPr="00427C06">
              <w:rPr>
                <w:b/>
                <w:lang w:eastAsia="en-GB"/>
              </w:rPr>
              <w:t>2.</w:t>
            </w:r>
            <w:r w:rsidRPr="00427C06">
              <w:rPr>
                <w:b/>
                <w:lang w:eastAsia="en-GB"/>
              </w:rPr>
              <w:tab/>
              <w:t>OF INTEREST TO OTHER JUDGES: NO</w:t>
            </w:r>
          </w:p>
          <w:p w14:paraId="26CBA961" w14:textId="77777777" w:rsidR="00FE37A6" w:rsidRPr="00427C06" w:rsidRDefault="00FE37A6" w:rsidP="00FE37A6">
            <w:pPr>
              <w:spacing w:after="0" w:line="240" w:lineRule="auto"/>
              <w:rPr>
                <w:b/>
                <w:lang w:eastAsia="en-GB"/>
              </w:rPr>
            </w:pPr>
            <w:r w:rsidRPr="00427C06">
              <w:rPr>
                <w:b/>
                <w:lang w:eastAsia="en-GB"/>
              </w:rPr>
              <w:t>3.</w:t>
            </w:r>
            <w:r w:rsidRPr="00427C06">
              <w:rPr>
                <w:b/>
                <w:lang w:eastAsia="en-GB"/>
              </w:rPr>
              <w:tab/>
              <w:t>REVISED</w:t>
            </w:r>
          </w:p>
          <w:p w14:paraId="6E2DBD83" w14:textId="77777777" w:rsidR="00FE37A6" w:rsidRPr="00427C06" w:rsidRDefault="00FE37A6" w:rsidP="00FE37A6">
            <w:pPr>
              <w:spacing w:after="0" w:line="240" w:lineRule="auto"/>
              <w:rPr>
                <w:b/>
                <w:lang w:eastAsia="en-GB"/>
              </w:rPr>
            </w:pPr>
          </w:p>
          <w:p w14:paraId="6BCC2B2C" w14:textId="77777777" w:rsidR="00FE37A6" w:rsidRPr="00427C06" w:rsidRDefault="0079067D" w:rsidP="00FE37A6">
            <w:pPr>
              <w:spacing w:after="0" w:line="240" w:lineRule="auto"/>
              <w:rPr>
                <w:b/>
                <w:lang w:eastAsia="en-GB"/>
              </w:rPr>
            </w:pPr>
            <w:r>
              <w:rPr>
                <w:b/>
                <w:lang w:eastAsia="en-GB"/>
              </w:rPr>
              <w:t>…………………………</w:t>
            </w:r>
            <w:r>
              <w:rPr>
                <w:b/>
                <w:lang w:eastAsia="en-GB"/>
              </w:rPr>
              <w:tab/>
            </w:r>
            <w:r>
              <w:rPr>
                <w:b/>
                <w:lang w:eastAsia="en-GB"/>
              </w:rPr>
              <w:tab/>
              <w:t xml:space="preserve">  </w:t>
            </w:r>
            <w:r>
              <w:rPr>
                <w:b/>
                <w:u w:val="single"/>
                <w:lang w:eastAsia="en-GB"/>
              </w:rPr>
              <w:t xml:space="preserve">10 </w:t>
            </w:r>
            <w:r w:rsidR="00A40593" w:rsidRPr="00A40593">
              <w:rPr>
                <w:b/>
                <w:u w:val="single"/>
                <w:lang w:eastAsia="en-GB"/>
              </w:rPr>
              <w:t>August 2021</w:t>
            </w:r>
          </w:p>
          <w:p w14:paraId="12A11612" w14:textId="77777777" w:rsidR="00FE37A6" w:rsidRPr="00427C06" w:rsidRDefault="00FE37A6" w:rsidP="00FE37A6">
            <w:pPr>
              <w:spacing w:after="0" w:line="240" w:lineRule="auto"/>
              <w:rPr>
                <w:b/>
                <w:lang w:eastAsia="en-GB"/>
              </w:rPr>
            </w:pPr>
            <w:r w:rsidRPr="00427C06">
              <w:rPr>
                <w:b/>
                <w:lang w:eastAsia="en-GB"/>
              </w:rPr>
              <w:t xml:space="preserve">Signature </w:t>
            </w:r>
            <w:r w:rsidRPr="00427C06">
              <w:rPr>
                <w:b/>
                <w:lang w:eastAsia="en-GB"/>
              </w:rPr>
              <w:tab/>
            </w:r>
            <w:r w:rsidRPr="00427C06">
              <w:rPr>
                <w:b/>
                <w:lang w:eastAsia="en-GB"/>
              </w:rPr>
              <w:tab/>
            </w:r>
            <w:r w:rsidRPr="00427C06">
              <w:rPr>
                <w:b/>
                <w:lang w:eastAsia="en-GB"/>
              </w:rPr>
              <w:tab/>
            </w:r>
            <w:r w:rsidRPr="00427C06">
              <w:rPr>
                <w:b/>
                <w:lang w:eastAsia="en-GB"/>
              </w:rPr>
              <w:tab/>
              <w:t>Date</w:t>
            </w:r>
          </w:p>
          <w:p w14:paraId="48D87759" w14:textId="77777777" w:rsidR="00FE37A6" w:rsidRDefault="00FE37A6" w:rsidP="00FE37A6">
            <w:pPr>
              <w:spacing w:after="0" w:line="240" w:lineRule="auto"/>
              <w:rPr>
                <w:lang w:eastAsia="en-GB"/>
              </w:rPr>
            </w:pPr>
          </w:p>
        </w:tc>
        <w:tc>
          <w:tcPr>
            <w:tcW w:w="3958" w:type="dxa"/>
            <w:tcBorders>
              <w:left w:val="single" w:sz="4" w:space="0" w:color="auto"/>
            </w:tcBorders>
          </w:tcPr>
          <w:p w14:paraId="33675DC3" w14:textId="77777777" w:rsidR="00FE37A6" w:rsidRDefault="00FE37A6" w:rsidP="00FE37A6">
            <w:pPr>
              <w:spacing w:after="0" w:line="240" w:lineRule="auto"/>
              <w:jc w:val="right"/>
              <w:rPr>
                <w:lang w:eastAsia="en-GB"/>
              </w:rPr>
            </w:pPr>
          </w:p>
        </w:tc>
      </w:tr>
      <w:tr w:rsidR="00FE37A6" w14:paraId="2CEAEA92" w14:textId="77777777" w:rsidTr="00FE37A6">
        <w:tc>
          <w:tcPr>
            <w:tcW w:w="5670" w:type="dxa"/>
            <w:tcBorders>
              <w:top w:val="single" w:sz="4" w:space="0" w:color="auto"/>
            </w:tcBorders>
          </w:tcPr>
          <w:p w14:paraId="42BF23FE" w14:textId="77777777" w:rsidR="00FE37A6" w:rsidRDefault="00FE37A6" w:rsidP="00FE37A6">
            <w:pPr>
              <w:spacing w:after="0" w:line="240" w:lineRule="auto"/>
              <w:rPr>
                <w:lang w:eastAsia="en-GB"/>
              </w:rPr>
            </w:pPr>
          </w:p>
        </w:tc>
        <w:tc>
          <w:tcPr>
            <w:tcW w:w="3958" w:type="dxa"/>
          </w:tcPr>
          <w:p w14:paraId="39D49F2A" w14:textId="77777777" w:rsidR="00FE37A6" w:rsidRDefault="00FE37A6" w:rsidP="00FE37A6">
            <w:pPr>
              <w:spacing w:after="0" w:line="240" w:lineRule="auto"/>
              <w:jc w:val="right"/>
              <w:rPr>
                <w:lang w:eastAsia="en-GB"/>
              </w:rPr>
            </w:pPr>
          </w:p>
        </w:tc>
      </w:tr>
      <w:tr w:rsidR="00FE37A6" w14:paraId="11D99D4A" w14:textId="77777777" w:rsidTr="00FE37A6">
        <w:tc>
          <w:tcPr>
            <w:tcW w:w="5670" w:type="dxa"/>
          </w:tcPr>
          <w:p w14:paraId="4B35B47C" w14:textId="77777777" w:rsidR="00FE37A6" w:rsidRPr="00467300" w:rsidRDefault="00FE37A6" w:rsidP="00FE37A6">
            <w:pPr>
              <w:spacing w:after="0" w:line="240" w:lineRule="auto"/>
              <w:rPr>
                <w:sz w:val="24"/>
                <w:szCs w:val="24"/>
                <w:lang w:eastAsia="en-GB"/>
              </w:rPr>
            </w:pPr>
            <w:r w:rsidRPr="00467300">
              <w:rPr>
                <w:sz w:val="24"/>
                <w:szCs w:val="24"/>
                <w:lang w:eastAsia="en-GB"/>
              </w:rPr>
              <w:t>In the matter between:</w:t>
            </w:r>
          </w:p>
          <w:p w14:paraId="6659E3E5" w14:textId="77777777" w:rsidR="00FE37A6" w:rsidRPr="00467300" w:rsidRDefault="00FE37A6" w:rsidP="00FE37A6">
            <w:pPr>
              <w:spacing w:after="0" w:line="240" w:lineRule="auto"/>
              <w:rPr>
                <w:sz w:val="24"/>
                <w:szCs w:val="24"/>
                <w:lang w:eastAsia="en-GB"/>
              </w:rPr>
            </w:pPr>
          </w:p>
        </w:tc>
        <w:tc>
          <w:tcPr>
            <w:tcW w:w="3958" w:type="dxa"/>
          </w:tcPr>
          <w:p w14:paraId="2188A2C8" w14:textId="77777777" w:rsidR="00FE37A6" w:rsidRPr="00467300" w:rsidRDefault="00FE37A6" w:rsidP="00FE37A6">
            <w:pPr>
              <w:spacing w:after="0" w:line="240" w:lineRule="auto"/>
              <w:jc w:val="right"/>
              <w:rPr>
                <w:sz w:val="24"/>
                <w:szCs w:val="24"/>
                <w:lang w:eastAsia="en-GB"/>
              </w:rPr>
            </w:pPr>
          </w:p>
        </w:tc>
      </w:tr>
      <w:tr w:rsidR="00FE37A6" w14:paraId="3D46737A" w14:textId="77777777" w:rsidTr="00FE37A6">
        <w:tc>
          <w:tcPr>
            <w:tcW w:w="5670" w:type="dxa"/>
          </w:tcPr>
          <w:p w14:paraId="6473D00F" w14:textId="77777777" w:rsidR="00FE37A6" w:rsidRPr="00467300" w:rsidRDefault="00CD1552" w:rsidP="00FE37A6">
            <w:pPr>
              <w:spacing w:after="0" w:line="240" w:lineRule="auto"/>
              <w:rPr>
                <w:b/>
                <w:sz w:val="24"/>
                <w:szCs w:val="24"/>
                <w:lang w:eastAsia="en-GB"/>
              </w:rPr>
            </w:pPr>
            <w:r>
              <w:rPr>
                <w:b/>
                <w:sz w:val="24"/>
                <w:szCs w:val="24"/>
                <w:lang w:eastAsia="en-GB"/>
              </w:rPr>
              <w:t xml:space="preserve">Griffin </w:t>
            </w:r>
            <w:proofErr w:type="spellStart"/>
            <w:r>
              <w:rPr>
                <w:b/>
                <w:sz w:val="24"/>
                <w:szCs w:val="24"/>
                <w:lang w:eastAsia="en-GB"/>
              </w:rPr>
              <w:t>Steamworks</w:t>
            </w:r>
            <w:proofErr w:type="spellEnd"/>
            <w:r>
              <w:rPr>
                <w:b/>
                <w:sz w:val="24"/>
                <w:szCs w:val="24"/>
                <w:lang w:eastAsia="en-GB"/>
              </w:rPr>
              <w:t xml:space="preserve"> (Pty) Limited </w:t>
            </w:r>
          </w:p>
          <w:p w14:paraId="4A01C7C9" w14:textId="77777777" w:rsidR="00FE37A6" w:rsidRPr="00467300" w:rsidRDefault="00FE37A6" w:rsidP="00FE37A6">
            <w:pPr>
              <w:spacing w:after="0" w:line="240" w:lineRule="auto"/>
              <w:rPr>
                <w:b/>
                <w:sz w:val="24"/>
                <w:szCs w:val="24"/>
                <w:lang w:eastAsia="en-GB"/>
              </w:rPr>
            </w:pPr>
          </w:p>
        </w:tc>
        <w:tc>
          <w:tcPr>
            <w:tcW w:w="3958" w:type="dxa"/>
          </w:tcPr>
          <w:p w14:paraId="415A38EB" w14:textId="77777777" w:rsidR="00FE37A6" w:rsidRPr="00467300" w:rsidRDefault="00CD1552" w:rsidP="00FE37A6">
            <w:pPr>
              <w:spacing w:after="0" w:line="240" w:lineRule="auto"/>
              <w:jc w:val="right"/>
              <w:rPr>
                <w:sz w:val="24"/>
                <w:szCs w:val="24"/>
                <w:lang w:eastAsia="en-GB"/>
              </w:rPr>
            </w:pPr>
            <w:r>
              <w:rPr>
                <w:sz w:val="24"/>
                <w:szCs w:val="24"/>
                <w:lang w:eastAsia="en-GB"/>
              </w:rPr>
              <w:t>Applicant</w:t>
            </w:r>
          </w:p>
        </w:tc>
      </w:tr>
      <w:tr w:rsidR="00FE37A6" w14:paraId="58F82F69" w14:textId="77777777" w:rsidTr="00FE37A6">
        <w:tc>
          <w:tcPr>
            <w:tcW w:w="5670" w:type="dxa"/>
          </w:tcPr>
          <w:p w14:paraId="52C8DC92" w14:textId="77777777" w:rsidR="00FE37A6" w:rsidRPr="00467300" w:rsidRDefault="00FE37A6" w:rsidP="00FE37A6">
            <w:pPr>
              <w:spacing w:after="0" w:line="240" w:lineRule="auto"/>
              <w:rPr>
                <w:sz w:val="24"/>
                <w:szCs w:val="24"/>
                <w:lang w:eastAsia="en-GB"/>
              </w:rPr>
            </w:pPr>
            <w:r w:rsidRPr="00467300">
              <w:rPr>
                <w:sz w:val="24"/>
                <w:szCs w:val="24"/>
                <w:lang w:eastAsia="en-GB"/>
              </w:rPr>
              <w:t>and</w:t>
            </w:r>
          </w:p>
          <w:p w14:paraId="7EC2B14A" w14:textId="77777777" w:rsidR="00FE37A6" w:rsidRPr="00467300" w:rsidRDefault="00FE37A6" w:rsidP="00FE37A6">
            <w:pPr>
              <w:spacing w:after="0" w:line="240" w:lineRule="auto"/>
              <w:rPr>
                <w:sz w:val="24"/>
                <w:szCs w:val="24"/>
                <w:lang w:eastAsia="en-GB"/>
              </w:rPr>
            </w:pPr>
          </w:p>
        </w:tc>
        <w:tc>
          <w:tcPr>
            <w:tcW w:w="3958" w:type="dxa"/>
          </w:tcPr>
          <w:p w14:paraId="0E186570" w14:textId="77777777" w:rsidR="00FE37A6" w:rsidRPr="00467300" w:rsidRDefault="00FE37A6" w:rsidP="00FE37A6">
            <w:pPr>
              <w:spacing w:after="0" w:line="240" w:lineRule="auto"/>
              <w:jc w:val="right"/>
              <w:rPr>
                <w:sz w:val="24"/>
                <w:szCs w:val="24"/>
                <w:lang w:eastAsia="en-GB"/>
              </w:rPr>
            </w:pPr>
          </w:p>
        </w:tc>
      </w:tr>
      <w:tr w:rsidR="00FE37A6" w14:paraId="54D07414" w14:textId="77777777" w:rsidTr="006B5680">
        <w:tc>
          <w:tcPr>
            <w:tcW w:w="5670" w:type="dxa"/>
          </w:tcPr>
          <w:p w14:paraId="443FB20D" w14:textId="77777777" w:rsidR="00FE37A6" w:rsidRPr="00467300" w:rsidRDefault="00CD1552" w:rsidP="00FE37A6">
            <w:pPr>
              <w:spacing w:after="0" w:line="240" w:lineRule="auto"/>
              <w:rPr>
                <w:b/>
                <w:sz w:val="24"/>
                <w:szCs w:val="24"/>
                <w:lang w:eastAsia="en-GB"/>
              </w:rPr>
            </w:pPr>
            <w:r>
              <w:rPr>
                <w:b/>
                <w:sz w:val="24"/>
                <w:szCs w:val="24"/>
                <w:lang w:eastAsia="en-GB"/>
              </w:rPr>
              <w:t xml:space="preserve">Thrive Entrepreneurs (Pty) Limited </w:t>
            </w:r>
          </w:p>
        </w:tc>
        <w:tc>
          <w:tcPr>
            <w:tcW w:w="3958" w:type="dxa"/>
          </w:tcPr>
          <w:p w14:paraId="5A9E6D92" w14:textId="77777777" w:rsidR="00CB6219" w:rsidRDefault="00FE37A6" w:rsidP="00CB6219">
            <w:pPr>
              <w:spacing w:after="0" w:line="240" w:lineRule="auto"/>
              <w:jc w:val="right"/>
              <w:rPr>
                <w:sz w:val="24"/>
                <w:szCs w:val="24"/>
                <w:lang w:eastAsia="en-GB"/>
              </w:rPr>
            </w:pPr>
            <w:r w:rsidRPr="00467300">
              <w:rPr>
                <w:sz w:val="24"/>
                <w:szCs w:val="24"/>
                <w:lang w:eastAsia="en-GB"/>
              </w:rPr>
              <w:t>Respondent</w:t>
            </w:r>
          </w:p>
          <w:p w14:paraId="0ADE5382" w14:textId="77777777" w:rsidR="00CB6219" w:rsidRPr="00467300" w:rsidRDefault="00CB6219" w:rsidP="00824F4E">
            <w:pPr>
              <w:spacing w:after="0" w:line="240" w:lineRule="auto"/>
              <w:ind w:right="2922" w:hanging="103"/>
              <w:jc w:val="right"/>
              <w:rPr>
                <w:sz w:val="24"/>
                <w:szCs w:val="24"/>
                <w:lang w:eastAsia="en-GB"/>
              </w:rPr>
            </w:pPr>
          </w:p>
          <w:p w14:paraId="0E36510F" w14:textId="77777777" w:rsidR="00FE37A6" w:rsidRPr="00467300" w:rsidRDefault="00FE37A6" w:rsidP="00FE37A6">
            <w:pPr>
              <w:spacing w:after="0" w:line="240" w:lineRule="auto"/>
              <w:jc w:val="right"/>
              <w:rPr>
                <w:sz w:val="24"/>
                <w:szCs w:val="24"/>
                <w:lang w:eastAsia="en-GB"/>
              </w:rPr>
            </w:pPr>
          </w:p>
        </w:tc>
      </w:tr>
      <w:tr w:rsidR="006B5680" w14:paraId="57121B8B" w14:textId="77777777" w:rsidTr="006B5680">
        <w:tc>
          <w:tcPr>
            <w:tcW w:w="9628" w:type="dxa"/>
            <w:gridSpan w:val="2"/>
          </w:tcPr>
          <w:p w14:paraId="5C0215FB" w14:textId="77777777" w:rsidR="006B5680" w:rsidRPr="006B5680" w:rsidRDefault="006B5680" w:rsidP="006B5680">
            <w:pPr>
              <w:rPr>
                <w:szCs w:val="20"/>
                <w:lang w:eastAsia="en-GB"/>
              </w:rPr>
            </w:pPr>
            <w:r w:rsidRPr="006B5680">
              <w:rPr>
                <w:b/>
                <w:szCs w:val="20"/>
                <w:lang w:eastAsia="en-GB"/>
              </w:rPr>
              <w:t xml:space="preserve">Delivered: </w:t>
            </w:r>
            <w:r w:rsidRPr="006B5680">
              <w:rPr>
                <w:szCs w:val="20"/>
                <w:lang w:eastAsia="en-GB"/>
              </w:rPr>
              <w:t xml:space="preserve">This judgment was handed down electronically by circulation to the parties’ representatives by email.  The date and time of hand down is deemed to be </w:t>
            </w:r>
            <w:r w:rsidR="0079047D">
              <w:rPr>
                <w:szCs w:val="20"/>
                <w:lang w:eastAsia="en-GB"/>
              </w:rPr>
              <w:t>10</w:t>
            </w:r>
            <w:r w:rsidR="00A40593">
              <w:rPr>
                <w:szCs w:val="20"/>
                <w:lang w:eastAsia="en-GB"/>
              </w:rPr>
              <w:t xml:space="preserve"> August 2021</w:t>
            </w:r>
            <w:r w:rsidRPr="006B5680">
              <w:rPr>
                <w:szCs w:val="20"/>
                <w:lang w:eastAsia="en-GB"/>
              </w:rPr>
              <w:t>.</w:t>
            </w:r>
          </w:p>
        </w:tc>
      </w:tr>
      <w:tr w:rsidR="00FE37A6" w14:paraId="490BDFF0" w14:textId="77777777" w:rsidTr="00FE37A6">
        <w:tc>
          <w:tcPr>
            <w:tcW w:w="9628" w:type="dxa"/>
            <w:gridSpan w:val="2"/>
            <w:tcBorders>
              <w:top w:val="single" w:sz="4" w:space="0" w:color="auto"/>
              <w:bottom w:val="single" w:sz="4" w:space="0" w:color="auto"/>
            </w:tcBorders>
          </w:tcPr>
          <w:p w14:paraId="6CB789C5" w14:textId="77777777" w:rsidR="00FE37A6" w:rsidRDefault="00FE37A6" w:rsidP="00824F4E">
            <w:pPr>
              <w:spacing w:after="0" w:line="240" w:lineRule="auto"/>
              <w:jc w:val="center"/>
              <w:rPr>
                <w:lang w:eastAsia="en-GB"/>
              </w:rPr>
            </w:pPr>
          </w:p>
          <w:p w14:paraId="582D4872" w14:textId="77777777" w:rsidR="00FE37A6" w:rsidRPr="00427C06" w:rsidRDefault="00FE37A6" w:rsidP="00FE37A6">
            <w:pPr>
              <w:spacing w:after="0" w:line="240" w:lineRule="auto"/>
              <w:jc w:val="center"/>
              <w:rPr>
                <w:b/>
                <w:lang w:eastAsia="en-GB"/>
              </w:rPr>
            </w:pPr>
            <w:r w:rsidRPr="00427C06">
              <w:rPr>
                <w:b/>
                <w:lang w:eastAsia="en-GB"/>
              </w:rPr>
              <w:t>JUDGMENT</w:t>
            </w:r>
          </w:p>
          <w:p w14:paraId="5C411D3F" w14:textId="77777777" w:rsidR="00FE37A6" w:rsidRDefault="00FE37A6" w:rsidP="00FE37A6">
            <w:pPr>
              <w:spacing w:after="0" w:line="240" w:lineRule="auto"/>
              <w:jc w:val="center"/>
              <w:rPr>
                <w:lang w:eastAsia="en-GB"/>
              </w:rPr>
            </w:pPr>
          </w:p>
        </w:tc>
      </w:tr>
    </w:tbl>
    <w:p w14:paraId="679AE329" w14:textId="77777777" w:rsidR="00427C06" w:rsidRDefault="00544D9F" w:rsidP="00427C06">
      <w:pPr>
        <w:pStyle w:val="Clause1Head"/>
        <w:numPr>
          <w:ilvl w:val="0"/>
          <w:numId w:val="0"/>
        </w:numPr>
      </w:pPr>
      <w:r w:rsidRPr="006B5680">
        <w:t>Moosajee AJ:</w:t>
      </w:r>
    </w:p>
    <w:p w14:paraId="3C098817" w14:textId="77777777" w:rsidR="00A40593" w:rsidRDefault="00A40593" w:rsidP="003E2BE4">
      <w:pPr>
        <w:pStyle w:val="Clause1Head"/>
        <w:keepNext w:val="0"/>
        <w:widowControl w:val="0"/>
        <w:rPr>
          <w:b w:val="0"/>
        </w:rPr>
      </w:pPr>
      <w:r>
        <w:rPr>
          <w:b w:val="0"/>
        </w:rPr>
        <w:t>This is an application for leave to appeal against the whole of the order and judgment delivered by me during December 2020.</w:t>
      </w:r>
    </w:p>
    <w:p w14:paraId="54B6BF48" w14:textId="77777777" w:rsidR="00A40593" w:rsidRDefault="00A40593" w:rsidP="003E2BE4">
      <w:pPr>
        <w:pStyle w:val="Clause1Head"/>
        <w:keepNext w:val="0"/>
        <w:widowControl w:val="0"/>
        <w:rPr>
          <w:b w:val="0"/>
        </w:rPr>
      </w:pPr>
      <w:r>
        <w:rPr>
          <w:b w:val="0"/>
        </w:rPr>
        <w:t xml:space="preserve">Griffin </w:t>
      </w:r>
      <w:proofErr w:type="spellStart"/>
      <w:r>
        <w:rPr>
          <w:b w:val="0"/>
        </w:rPr>
        <w:t>Steamworks</w:t>
      </w:r>
      <w:proofErr w:type="spellEnd"/>
      <w:r>
        <w:rPr>
          <w:b w:val="0"/>
        </w:rPr>
        <w:t xml:space="preserve"> (Pty) Limited (“</w:t>
      </w:r>
      <w:r w:rsidRPr="00A40593">
        <w:t>Griffin</w:t>
      </w:r>
      <w:r>
        <w:rPr>
          <w:b w:val="0"/>
        </w:rPr>
        <w:t xml:space="preserve">”) contends that an appeal has reasonable prospects of success and that I erred in at least three respects.    </w:t>
      </w:r>
    </w:p>
    <w:p w14:paraId="01D520B3" w14:textId="77777777" w:rsidR="00A40593" w:rsidRDefault="00A40593" w:rsidP="003E2BE4">
      <w:pPr>
        <w:pStyle w:val="Clause1Head"/>
        <w:keepNext w:val="0"/>
        <w:widowControl w:val="0"/>
        <w:rPr>
          <w:b w:val="0"/>
        </w:rPr>
      </w:pPr>
      <w:r>
        <w:rPr>
          <w:b w:val="0"/>
        </w:rPr>
        <w:t>It is now settled law that Section 17(1</w:t>
      </w:r>
      <w:proofErr w:type="gramStart"/>
      <w:r>
        <w:rPr>
          <w:b w:val="0"/>
        </w:rPr>
        <w:t>)(</w:t>
      </w:r>
      <w:proofErr w:type="gramEnd"/>
      <w:r>
        <w:rPr>
          <w:b w:val="0"/>
        </w:rPr>
        <w:t>a)(</w:t>
      </w:r>
      <w:proofErr w:type="spellStart"/>
      <w:r>
        <w:rPr>
          <w:b w:val="0"/>
        </w:rPr>
        <w:t>i</w:t>
      </w:r>
      <w:proofErr w:type="spellEnd"/>
      <w:r>
        <w:rPr>
          <w:b w:val="0"/>
        </w:rPr>
        <w:t xml:space="preserve">) of the Superior Courts Act, 2013 has raised the bar in applications for leave to appeal.  A judge may now only grant leave to appeal if the judge is of the opinion that the appeal would (not may) have a reasonable prospect of success.  </w:t>
      </w:r>
    </w:p>
    <w:p w14:paraId="685429F3" w14:textId="15B47117" w:rsidR="00A40593" w:rsidRDefault="00A40593" w:rsidP="003E2BE4">
      <w:pPr>
        <w:pStyle w:val="Clause1Head"/>
        <w:keepNext w:val="0"/>
        <w:widowControl w:val="0"/>
        <w:rPr>
          <w:b w:val="0"/>
        </w:rPr>
      </w:pPr>
      <w:r>
        <w:rPr>
          <w:b w:val="0"/>
        </w:rPr>
        <w:t xml:space="preserve">In the case of </w:t>
      </w:r>
      <w:r>
        <w:rPr>
          <w:b w:val="0"/>
          <w:u w:val="single"/>
        </w:rPr>
        <w:t>Acting National Director of Public Prosecutions &amp; Others v Democratic Alliance</w:t>
      </w:r>
      <w:r>
        <w:rPr>
          <w:rStyle w:val="FootnoteReference"/>
          <w:b w:val="0"/>
          <w:u w:val="single"/>
        </w:rPr>
        <w:footnoteReference w:id="1"/>
      </w:r>
      <w:r w:rsidR="00975E1E">
        <w:rPr>
          <w:b w:val="0"/>
          <w:u w:val="single"/>
        </w:rPr>
        <w:t xml:space="preserve"> the Court cited Bertelsmann J as follows:</w:t>
      </w:r>
      <w:r w:rsidR="00801CF7">
        <w:rPr>
          <w:b w:val="0"/>
        </w:rPr>
        <w:t xml:space="preserve"> “</w:t>
      </w:r>
      <w:r w:rsidR="00801CF7">
        <w:rPr>
          <w:b w:val="0"/>
          <w:i/>
        </w:rPr>
        <w:t xml:space="preserve">It is clear that the threshold for granting leave to appeal against a judgment of a High Court has </w:t>
      </w:r>
      <w:r w:rsidR="0079067D">
        <w:rPr>
          <w:b w:val="0"/>
          <w:i/>
        </w:rPr>
        <w:t xml:space="preserve">been </w:t>
      </w:r>
      <w:r w:rsidR="00801CF7">
        <w:rPr>
          <w:b w:val="0"/>
          <w:i/>
        </w:rPr>
        <w:t xml:space="preserve">raised in the new Act.  The former test whether leave to appeal should be granted was a reasonable prospect that another court might come to a different conclusion … The use of the word ‘would’ in </w:t>
      </w:r>
      <w:r w:rsidR="00975E1E">
        <w:rPr>
          <w:b w:val="0"/>
          <w:i/>
        </w:rPr>
        <w:t>the new statute</w:t>
      </w:r>
      <w:r w:rsidR="00801CF7">
        <w:rPr>
          <w:b w:val="0"/>
          <w:i/>
        </w:rPr>
        <w:t xml:space="preserve"> indicates a measure of certainty that another court </w:t>
      </w:r>
      <w:r w:rsidR="00801CF7">
        <w:rPr>
          <w:b w:val="0"/>
          <w:i/>
        </w:rPr>
        <w:lastRenderedPageBreak/>
        <w:t>will differ from the court whose judgment is sought to be appealed against.</w:t>
      </w:r>
      <w:r w:rsidR="00801CF7">
        <w:rPr>
          <w:b w:val="0"/>
        </w:rPr>
        <w:t>”</w:t>
      </w:r>
    </w:p>
    <w:p w14:paraId="7FDA2E96" w14:textId="77777777" w:rsidR="00801CF7" w:rsidRDefault="00801CF7" w:rsidP="003E2BE4">
      <w:pPr>
        <w:pStyle w:val="Clause1Head"/>
        <w:keepNext w:val="0"/>
        <w:widowControl w:val="0"/>
        <w:rPr>
          <w:b w:val="0"/>
        </w:rPr>
      </w:pPr>
      <w:r>
        <w:rPr>
          <w:b w:val="0"/>
        </w:rPr>
        <w:t>This judgment has been followed on numerous occasions by our courts</w:t>
      </w:r>
      <w:r>
        <w:rPr>
          <w:rStyle w:val="FootnoteReference"/>
          <w:b w:val="0"/>
        </w:rPr>
        <w:footnoteReference w:id="2"/>
      </w:r>
      <w:r>
        <w:rPr>
          <w:b w:val="0"/>
        </w:rPr>
        <w:t>.  The new heightened bar that one has to comply with in order to succeed with an application for leave to appeal, is based on sound reasons of public policy, namely to ensure that scarce judicial resources are not spent on appeals that lack merit</w:t>
      </w:r>
      <w:r>
        <w:rPr>
          <w:rStyle w:val="FootnoteReference"/>
          <w:b w:val="0"/>
        </w:rPr>
        <w:footnoteReference w:id="3"/>
      </w:r>
      <w:r>
        <w:rPr>
          <w:b w:val="0"/>
        </w:rPr>
        <w:t xml:space="preserve">.  </w:t>
      </w:r>
    </w:p>
    <w:p w14:paraId="703A2321" w14:textId="77777777" w:rsidR="003971D7" w:rsidRDefault="003971D7" w:rsidP="003E2BE4">
      <w:pPr>
        <w:pStyle w:val="Clause1Head"/>
        <w:keepNext w:val="0"/>
        <w:widowControl w:val="0"/>
        <w:rPr>
          <w:b w:val="0"/>
        </w:rPr>
      </w:pPr>
      <w:r>
        <w:rPr>
          <w:b w:val="0"/>
        </w:rPr>
        <w:t>Griffin contends that I erred by failing to make a determination as to whether</w:t>
      </w:r>
      <w:r w:rsidR="00E85BF4">
        <w:rPr>
          <w:b w:val="0"/>
        </w:rPr>
        <w:t xml:space="preserve"> the respondent</w:t>
      </w:r>
      <w:r>
        <w:rPr>
          <w:b w:val="0"/>
        </w:rPr>
        <w:t xml:space="preserve"> </w:t>
      </w:r>
      <w:r w:rsidR="00E85BF4">
        <w:rPr>
          <w:b w:val="0"/>
        </w:rPr>
        <w:t>(“</w:t>
      </w:r>
      <w:r w:rsidRPr="00E85BF4">
        <w:t>Thrive</w:t>
      </w:r>
      <w:r w:rsidR="00E85BF4">
        <w:rPr>
          <w:b w:val="0"/>
        </w:rPr>
        <w:t>”)</w:t>
      </w:r>
      <w:r>
        <w:rPr>
          <w:b w:val="0"/>
        </w:rPr>
        <w:t xml:space="preserve"> was unable to pay its debts as envisaged by Section 345(f) read with Section 345(1)(c) of the Companies Act, 1973 read with item 9 of Schedule 5 of the Companies Act, 2008.  </w:t>
      </w:r>
    </w:p>
    <w:p w14:paraId="0162A5E6" w14:textId="77777777" w:rsidR="00BA2CA3" w:rsidRDefault="003971D7" w:rsidP="003E2BE4">
      <w:pPr>
        <w:pStyle w:val="Clause1Head"/>
        <w:keepNext w:val="0"/>
        <w:widowControl w:val="0"/>
        <w:rPr>
          <w:b w:val="0"/>
        </w:rPr>
      </w:pPr>
      <w:r>
        <w:rPr>
          <w:b w:val="0"/>
        </w:rPr>
        <w:t xml:space="preserve">Griffin argues that </w:t>
      </w:r>
      <w:r w:rsidR="00BA2CA3">
        <w:rPr>
          <w:b w:val="0"/>
        </w:rPr>
        <w:t>I failed to make a finding in terms of Section 345(1</w:t>
      </w:r>
      <w:proofErr w:type="gramStart"/>
      <w:r w:rsidR="00BA2CA3">
        <w:rPr>
          <w:b w:val="0"/>
        </w:rPr>
        <w:t>)(</w:t>
      </w:r>
      <w:proofErr w:type="gramEnd"/>
      <w:r w:rsidR="00BA2CA3">
        <w:rPr>
          <w:b w:val="0"/>
        </w:rPr>
        <w:t>c).  There is good reason why I did not make such a finding.  Counsel for Griffin did not rely on Section 345(1</w:t>
      </w:r>
      <w:proofErr w:type="gramStart"/>
      <w:r w:rsidR="00BA2CA3">
        <w:rPr>
          <w:b w:val="0"/>
        </w:rPr>
        <w:t>)(</w:t>
      </w:r>
      <w:proofErr w:type="gramEnd"/>
      <w:r w:rsidR="00BA2CA3">
        <w:rPr>
          <w:b w:val="0"/>
        </w:rPr>
        <w:t xml:space="preserve">c) when the matter was argued before me.  </w:t>
      </w:r>
    </w:p>
    <w:p w14:paraId="4083143D" w14:textId="77777777" w:rsidR="00E85BF4" w:rsidRDefault="00E85BF4" w:rsidP="003E2BE4">
      <w:pPr>
        <w:pStyle w:val="Clause1Head"/>
        <w:keepNext w:val="0"/>
        <w:widowControl w:val="0"/>
        <w:rPr>
          <w:b w:val="0"/>
        </w:rPr>
      </w:pPr>
      <w:r>
        <w:rPr>
          <w:b w:val="0"/>
        </w:rPr>
        <w:t>In paragraph 6 of the founding affidavit</w:t>
      </w:r>
      <w:r w:rsidR="0079067D">
        <w:rPr>
          <w:b w:val="0"/>
        </w:rPr>
        <w:t xml:space="preserve"> filed in this matter</w:t>
      </w:r>
      <w:r>
        <w:rPr>
          <w:b w:val="0"/>
        </w:rPr>
        <w:t>, the following is alleged: “</w:t>
      </w:r>
      <w:r>
        <w:rPr>
          <w:b w:val="0"/>
          <w:i/>
        </w:rPr>
        <w:t>This is an application for the winding-up of the respondent on the basis that it is unable to pay its debts, as contemplated in section 344(f) read with section 345(1) of the Companies Act No 61 of 1973 … and item 9 of Schedule 5 of the Companies Act 71 of 2008.</w:t>
      </w:r>
      <w:r>
        <w:rPr>
          <w:b w:val="0"/>
        </w:rPr>
        <w:t>”</w:t>
      </w:r>
    </w:p>
    <w:p w14:paraId="7FAC3E07" w14:textId="77777777" w:rsidR="00E85BF4" w:rsidRDefault="0079067D" w:rsidP="003E2BE4">
      <w:pPr>
        <w:pStyle w:val="Clause1Head"/>
        <w:keepNext w:val="0"/>
        <w:widowControl w:val="0"/>
        <w:rPr>
          <w:b w:val="0"/>
        </w:rPr>
      </w:pPr>
      <w:r>
        <w:rPr>
          <w:b w:val="0"/>
        </w:rPr>
        <w:t>Further, in paragraphs 36 and 3</w:t>
      </w:r>
      <w:r w:rsidR="00E85BF4">
        <w:rPr>
          <w:b w:val="0"/>
        </w:rPr>
        <w:t xml:space="preserve">7 of the founding affidavit, the following allegations appear: </w:t>
      </w:r>
    </w:p>
    <w:p w14:paraId="0DD47DFE" w14:textId="77777777" w:rsidR="003971D7" w:rsidRDefault="00A311C6" w:rsidP="00A311C6">
      <w:pPr>
        <w:pStyle w:val="Clause1Head"/>
        <w:keepNext w:val="0"/>
        <w:widowControl w:val="0"/>
        <w:numPr>
          <w:ilvl w:val="0"/>
          <w:numId w:val="0"/>
        </w:numPr>
        <w:ind w:left="1080" w:hanging="360"/>
        <w:rPr>
          <w:b w:val="0"/>
        </w:rPr>
      </w:pPr>
      <w:r>
        <w:rPr>
          <w:b w:val="0"/>
          <w:i/>
        </w:rPr>
        <w:t>“36.</w:t>
      </w:r>
      <w:r>
        <w:rPr>
          <w:b w:val="0"/>
          <w:i/>
        </w:rPr>
        <w:tab/>
      </w:r>
      <w:r w:rsidR="00E85BF4">
        <w:rPr>
          <w:b w:val="0"/>
          <w:i/>
        </w:rPr>
        <w:t xml:space="preserve">On 26 April 2019, the applicant’s attorney of record being Stanley Mervyn </w:t>
      </w:r>
      <w:proofErr w:type="spellStart"/>
      <w:r w:rsidR="00E85BF4">
        <w:rPr>
          <w:b w:val="0"/>
          <w:i/>
        </w:rPr>
        <w:t>Rothbart</w:t>
      </w:r>
      <w:proofErr w:type="spellEnd"/>
      <w:r w:rsidR="00E85BF4">
        <w:rPr>
          <w:b w:val="0"/>
          <w:i/>
        </w:rPr>
        <w:t xml:space="preserve"> (</w:t>
      </w:r>
      <w:proofErr w:type="spellStart"/>
      <w:r w:rsidR="00E85BF4">
        <w:rPr>
          <w:b w:val="0"/>
          <w:i/>
        </w:rPr>
        <w:t>Rothbart</w:t>
      </w:r>
      <w:proofErr w:type="spellEnd"/>
      <w:r w:rsidR="00E85BF4">
        <w:rPr>
          <w:b w:val="0"/>
          <w:i/>
        </w:rPr>
        <w:t xml:space="preserve">) of </w:t>
      </w:r>
      <w:proofErr w:type="spellStart"/>
      <w:r w:rsidR="00E85BF4">
        <w:rPr>
          <w:b w:val="0"/>
          <w:i/>
        </w:rPr>
        <w:t>Rothbart</w:t>
      </w:r>
      <w:proofErr w:type="spellEnd"/>
      <w:r w:rsidR="00E85BF4">
        <w:rPr>
          <w:b w:val="0"/>
          <w:i/>
        </w:rPr>
        <w:t xml:space="preserve"> </w:t>
      </w:r>
      <w:proofErr w:type="spellStart"/>
      <w:r w:rsidR="00E85BF4">
        <w:rPr>
          <w:b w:val="0"/>
          <w:i/>
        </w:rPr>
        <w:t>Inc</w:t>
      </w:r>
      <w:proofErr w:type="spellEnd"/>
      <w:r w:rsidR="00E85BF4">
        <w:rPr>
          <w:b w:val="0"/>
          <w:i/>
        </w:rPr>
        <w:t xml:space="preserve"> … caused a letter in terms of section 345(1)(a)(</w:t>
      </w:r>
      <w:proofErr w:type="spellStart"/>
      <w:r w:rsidR="00E85BF4">
        <w:rPr>
          <w:b w:val="0"/>
          <w:i/>
        </w:rPr>
        <w:t>i</w:t>
      </w:r>
      <w:proofErr w:type="spellEnd"/>
      <w:r w:rsidR="00E85BF4">
        <w:rPr>
          <w:b w:val="0"/>
          <w:i/>
        </w:rPr>
        <w:t>) of the Companies Act 61 of 1973 … calling upon the respondent to remedy its breach to be delivered to the respondent.</w:t>
      </w:r>
      <w:r w:rsidR="00BA2CA3">
        <w:rPr>
          <w:b w:val="0"/>
        </w:rPr>
        <w:t xml:space="preserve"> </w:t>
      </w:r>
    </w:p>
    <w:p w14:paraId="2BF23F09" w14:textId="77777777" w:rsidR="00E85BF4" w:rsidRDefault="00E85BF4" w:rsidP="00A311C6">
      <w:pPr>
        <w:pStyle w:val="Clause1Head"/>
        <w:keepNext w:val="0"/>
        <w:widowControl w:val="0"/>
        <w:numPr>
          <w:ilvl w:val="0"/>
          <w:numId w:val="13"/>
        </w:numPr>
        <w:rPr>
          <w:b w:val="0"/>
        </w:rPr>
      </w:pPr>
      <w:r>
        <w:rPr>
          <w:b w:val="0"/>
          <w:i/>
        </w:rPr>
        <w:t>Notwithstanding demand, the respondent has failed to remedy its breach and make payment of the sum of R721 215.58 to the applicant.</w:t>
      </w:r>
      <w:r>
        <w:rPr>
          <w:b w:val="0"/>
        </w:rPr>
        <w:t>”</w:t>
      </w:r>
    </w:p>
    <w:p w14:paraId="0768F3DF" w14:textId="77777777" w:rsidR="00500D70" w:rsidRPr="00500D70" w:rsidRDefault="00E85BF4" w:rsidP="003E2BE4">
      <w:pPr>
        <w:pStyle w:val="Clause1Head"/>
        <w:keepNext w:val="0"/>
        <w:widowControl w:val="0"/>
      </w:pPr>
      <w:r>
        <w:rPr>
          <w:b w:val="0"/>
        </w:rPr>
        <w:t>There is no specific reference to Section 345(1</w:t>
      </w:r>
      <w:proofErr w:type="gramStart"/>
      <w:r>
        <w:rPr>
          <w:b w:val="0"/>
        </w:rPr>
        <w:t>)(</w:t>
      </w:r>
      <w:proofErr w:type="gramEnd"/>
      <w:r>
        <w:rPr>
          <w:b w:val="0"/>
        </w:rPr>
        <w:t xml:space="preserve">c) of the Companies Act, 1973 in the founding affidavit and neither was this referred to in the applicant’s heads of argument or during argument before me.  </w:t>
      </w:r>
    </w:p>
    <w:p w14:paraId="60605CF2" w14:textId="77777777" w:rsidR="00091F1B" w:rsidRPr="00091F1B" w:rsidRDefault="00500D70" w:rsidP="003E2BE4">
      <w:pPr>
        <w:pStyle w:val="Clause1Head"/>
        <w:keepNext w:val="0"/>
        <w:widowControl w:val="0"/>
      </w:pPr>
      <w:r>
        <w:rPr>
          <w:b w:val="0"/>
        </w:rPr>
        <w:t>I therefore find that there is no merit to the suggestion that I had erred in not making a finding based on Section 345(1</w:t>
      </w:r>
      <w:proofErr w:type="gramStart"/>
      <w:r>
        <w:rPr>
          <w:b w:val="0"/>
        </w:rPr>
        <w:t>)(</w:t>
      </w:r>
      <w:proofErr w:type="gramEnd"/>
      <w:r>
        <w:rPr>
          <w:b w:val="0"/>
        </w:rPr>
        <w:t xml:space="preserve">c) of the Companies Act, 1973.  </w:t>
      </w:r>
    </w:p>
    <w:p w14:paraId="6BDA8CD3" w14:textId="77777777" w:rsidR="009C3709" w:rsidRPr="009C3709" w:rsidRDefault="00847D1F" w:rsidP="003E2BE4">
      <w:pPr>
        <w:pStyle w:val="Clause1Head"/>
        <w:keepNext w:val="0"/>
        <w:widowControl w:val="0"/>
      </w:pPr>
      <w:r>
        <w:rPr>
          <w:b w:val="0"/>
        </w:rPr>
        <w:t xml:space="preserve">Griffin also contends that I erred in failing to accept a supplementary affidavit on its behalf.  It is common cause that an application for leave to file the supplementary affidavit was not filed and Thrive did not consent to the filing of such a supplementary affidavit.  </w:t>
      </w:r>
      <w:r w:rsidR="009C3709">
        <w:rPr>
          <w:b w:val="0"/>
        </w:rPr>
        <w:t>Griffin’s counsel correctly, in my view, conceded that I had a discretion in regard to the acceptance</w:t>
      </w:r>
      <w:r w:rsidR="0079067D">
        <w:rPr>
          <w:b w:val="0"/>
        </w:rPr>
        <w:t xml:space="preserve"> of the supplementary affidavit</w:t>
      </w:r>
      <w:r w:rsidR="009C3709">
        <w:rPr>
          <w:b w:val="0"/>
        </w:rPr>
        <w:t xml:space="preserve">.  I do not believe that I exercised my discretion incorrectly, in circumstances where there was no application for </w:t>
      </w:r>
      <w:r w:rsidR="009C3709">
        <w:rPr>
          <w:b w:val="0"/>
        </w:rPr>
        <w:lastRenderedPageBreak/>
        <w:t>leave to file the supplementary affidavit and no subsequent explanation for why such an application was not timeously filed.  I am therefore of the view tha</w:t>
      </w:r>
      <w:r w:rsidR="0079067D">
        <w:rPr>
          <w:b w:val="0"/>
        </w:rPr>
        <w:t>t there is no merit to the second</w:t>
      </w:r>
      <w:r w:rsidR="009C3709">
        <w:rPr>
          <w:b w:val="0"/>
        </w:rPr>
        <w:t xml:space="preserve"> ground of appeal.</w:t>
      </w:r>
    </w:p>
    <w:p w14:paraId="3A595D7C" w14:textId="77777777" w:rsidR="003E2BE4" w:rsidRPr="009E0509" w:rsidRDefault="009C3709" w:rsidP="003E2BE4">
      <w:pPr>
        <w:pStyle w:val="Clause1Head"/>
        <w:keepNext w:val="0"/>
        <w:widowControl w:val="0"/>
      </w:pPr>
      <w:r>
        <w:rPr>
          <w:b w:val="0"/>
        </w:rPr>
        <w:t>Griffin contends that I erred in finding that the Section 345(1</w:t>
      </w:r>
      <w:proofErr w:type="gramStart"/>
      <w:r>
        <w:rPr>
          <w:b w:val="0"/>
        </w:rPr>
        <w:t>)(</w:t>
      </w:r>
      <w:proofErr w:type="gramEnd"/>
      <w:r>
        <w:rPr>
          <w:b w:val="0"/>
        </w:rPr>
        <w:t>a) letter was not served on Thrive.</w:t>
      </w:r>
      <w:r w:rsidR="003E2BE4">
        <w:rPr>
          <w:b w:val="0"/>
        </w:rPr>
        <w:t xml:space="preserve">  </w:t>
      </w:r>
    </w:p>
    <w:p w14:paraId="11642801" w14:textId="77777777" w:rsidR="009E0509" w:rsidRPr="009E0509" w:rsidRDefault="009E0509" w:rsidP="003E2BE4">
      <w:pPr>
        <w:pStyle w:val="Clause1Head"/>
        <w:keepNext w:val="0"/>
        <w:widowControl w:val="0"/>
      </w:pPr>
      <w:r>
        <w:rPr>
          <w:b w:val="0"/>
        </w:rPr>
        <w:t>In paragraph 36 of the founding affidav</w:t>
      </w:r>
      <w:r w:rsidR="0079067D">
        <w:rPr>
          <w:b w:val="0"/>
        </w:rPr>
        <w:t>it, Griffin alleged that it’s attorney caused t</w:t>
      </w:r>
      <w:r>
        <w:rPr>
          <w:b w:val="0"/>
        </w:rPr>
        <w:t>he letter in terms of Section 345(1</w:t>
      </w:r>
      <w:proofErr w:type="gramStart"/>
      <w:r>
        <w:rPr>
          <w:b w:val="0"/>
        </w:rPr>
        <w:t>)(</w:t>
      </w:r>
      <w:proofErr w:type="gramEnd"/>
      <w:r>
        <w:rPr>
          <w:b w:val="0"/>
        </w:rPr>
        <w:t xml:space="preserve">a) of the Companies Act, 1973 to be delivered to </w:t>
      </w:r>
      <w:proofErr w:type="spellStart"/>
      <w:r>
        <w:rPr>
          <w:b w:val="0"/>
        </w:rPr>
        <w:t>Thrive’s</w:t>
      </w:r>
      <w:proofErr w:type="spellEnd"/>
      <w:r>
        <w:rPr>
          <w:b w:val="0"/>
        </w:rPr>
        <w:t xml:space="preserve"> registered address and the letter and proof of service was attached to the founding affidavit as annexure “FA9”.  The letter was attached to the founding affidavit as annexure “FA9”, but proof of service was not attached.  </w:t>
      </w:r>
    </w:p>
    <w:p w14:paraId="4A5F6C8E" w14:textId="77777777" w:rsidR="009E0509" w:rsidRPr="009E0509" w:rsidRDefault="009E0509" w:rsidP="003E2BE4">
      <w:pPr>
        <w:pStyle w:val="Clause1Head"/>
        <w:keepNext w:val="0"/>
        <w:widowControl w:val="0"/>
      </w:pPr>
      <w:r>
        <w:rPr>
          <w:b w:val="0"/>
        </w:rPr>
        <w:t xml:space="preserve">Thrive denied the contents of paragraph 36 of the founding affidavit, in its answering affidavit.  </w:t>
      </w:r>
    </w:p>
    <w:p w14:paraId="49D45449" w14:textId="77777777" w:rsidR="009E0509" w:rsidRPr="009E0509" w:rsidRDefault="0079067D" w:rsidP="003E2BE4">
      <w:pPr>
        <w:pStyle w:val="Clause1Head"/>
        <w:keepNext w:val="0"/>
        <w:widowControl w:val="0"/>
      </w:pPr>
      <w:r>
        <w:rPr>
          <w:b w:val="0"/>
        </w:rPr>
        <w:t>Despite this, Griffon</w:t>
      </w:r>
      <w:r w:rsidR="009E0509">
        <w:rPr>
          <w:b w:val="0"/>
        </w:rPr>
        <w:t xml:space="preserve"> did not deal with the issue any further in the replying affidavit and did not take up the opportunity in reply to attach a proof of delivery of the letter.  </w:t>
      </w:r>
    </w:p>
    <w:p w14:paraId="71B2400B" w14:textId="77777777" w:rsidR="0079067D" w:rsidRPr="0079067D" w:rsidRDefault="009E0509" w:rsidP="003E2BE4">
      <w:pPr>
        <w:pStyle w:val="Clause1Head"/>
        <w:keepNext w:val="0"/>
        <w:widowControl w:val="0"/>
      </w:pPr>
      <w:r>
        <w:rPr>
          <w:b w:val="0"/>
        </w:rPr>
        <w:t xml:space="preserve">In these circumstances, there is no merit </w:t>
      </w:r>
      <w:r w:rsidR="0079067D">
        <w:rPr>
          <w:b w:val="0"/>
        </w:rPr>
        <w:t xml:space="preserve">to </w:t>
      </w:r>
      <w:r>
        <w:rPr>
          <w:b w:val="0"/>
        </w:rPr>
        <w:t xml:space="preserve">Griffin’s contention that I erred in finding that </w:t>
      </w:r>
      <w:r w:rsidR="00CF300E">
        <w:rPr>
          <w:b w:val="0"/>
        </w:rPr>
        <w:t>the Section 345(1</w:t>
      </w:r>
      <w:proofErr w:type="gramStart"/>
      <w:r w:rsidR="00CF300E">
        <w:rPr>
          <w:b w:val="0"/>
        </w:rPr>
        <w:t>)(</w:t>
      </w:r>
      <w:proofErr w:type="gramEnd"/>
      <w:r w:rsidR="00CF300E">
        <w:rPr>
          <w:b w:val="0"/>
        </w:rPr>
        <w:t xml:space="preserve">a) letter was not served on Thrive. </w:t>
      </w:r>
    </w:p>
    <w:p w14:paraId="5E4FE9CB" w14:textId="77777777" w:rsidR="009E0509" w:rsidRPr="0079047D" w:rsidRDefault="0079067D" w:rsidP="003E2BE4">
      <w:pPr>
        <w:pStyle w:val="Clause1Head"/>
        <w:keepNext w:val="0"/>
        <w:widowControl w:val="0"/>
      </w:pPr>
      <w:r>
        <w:rPr>
          <w:b w:val="0"/>
        </w:rPr>
        <w:t>I do not believe that another court would come to a different conclusion on any of the issues underlying Griffon’s application for leave to appeal.</w:t>
      </w:r>
      <w:r w:rsidR="00CF300E">
        <w:rPr>
          <w:b w:val="0"/>
        </w:rPr>
        <w:t xml:space="preserve"> </w:t>
      </w:r>
    </w:p>
    <w:p w14:paraId="3AC8FE11" w14:textId="77777777" w:rsidR="0079047D" w:rsidRPr="0079047D" w:rsidRDefault="0079047D" w:rsidP="003E2BE4">
      <w:pPr>
        <w:pStyle w:val="Clause1Head"/>
        <w:keepNext w:val="0"/>
        <w:widowControl w:val="0"/>
      </w:pPr>
      <w:r>
        <w:rPr>
          <w:b w:val="0"/>
        </w:rPr>
        <w:t>In the circumstances, the application for leave to appeal falls to be dismissed and I make the following order:</w:t>
      </w:r>
    </w:p>
    <w:p w14:paraId="4BC7AC8A" w14:textId="77777777" w:rsidR="0079047D" w:rsidRPr="00B51CE3" w:rsidRDefault="0079047D" w:rsidP="0079067D">
      <w:pPr>
        <w:pStyle w:val="Clause1Head"/>
        <w:keepNext w:val="0"/>
        <w:widowControl w:val="0"/>
        <w:numPr>
          <w:ilvl w:val="0"/>
          <w:numId w:val="15"/>
        </w:numPr>
      </w:pPr>
      <w:r>
        <w:rPr>
          <w:b w:val="0"/>
        </w:rPr>
        <w:t>The application for leave to appeal is dismissed.</w:t>
      </w:r>
    </w:p>
    <w:p w14:paraId="46330638" w14:textId="77777777" w:rsidR="00B51CE3" w:rsidRPr="005717EA" w:rsidRDefault="00B51CE3" w:rsidP="005717EA">
      <w:pPr>
        <w:pStyle w:val="Clause1Head"/>
        <w:numPr>
          <w:ilvl w:val="0"/>
          <w:numId w:val="0"/>
        </w:numPr>
        <w:ind w:left="1440"/>
        <w:rPr>
          <w:i/>
        </w:rPr>
      </w:pPr>
    </w:p>
    <w:p w14:paraId="2E827540" w14:textId="77777777" w:rsidR="00F72342" w:rsidRDefault="00F72342" w:rsidP="00F72342">
      <w:pPr>
        <w:pStyle w:val="Clause2Sub"/>
        <w:numPr>
          <w:ilvl w:val="0"/>
          <w:numId w:val="0"/>
        </w:numPr>
        <w:ind w:left="1440"/>
      </w:pPr>
    </w:p>
    <w:p w14:paraId="5DD8E919" w14:textId="77777777" w:rsidR="00B92E8A" w:rsidRDefault="00B92E8A" w:rsidP="00B92E8A">
      <w:pPr>
        <w:pStyle w:val="Clause3Sub"/>
        <w:numPr>
          <w:ilvl w:val="0"/>
          <w:numId w:val="0"/>
        </w:numPr>
        <w:tabs>
          <w:tab w:val="left" w:pos="3753"/>
        </w:tabs>
        <w:spacing w:after="0" w:line="240" w:lineRule="auto"/>
        <w:ind w:firstLine="6379"/>
      </w:pPr>
      <w:r>
        <w:tab/>
      </w:r>
    </w:p>
    <w:p w14:paraId="65733D8B" w14:textId="77777777" w:rsidR="006B5680" w:rsidRPr="001F56B8" w:rsidRDefault="001F56B8" w:rsidP="001F56B8">
      <w:pPr>
        <w:pStyle w:val="Clause1Head"/>
        <w:keepNext w:val="0"/>
        <w:widowControl w:val="0"/>
        <w:numPr>
          <w:ilvl w:val="0"/>
          <w:numId w:val="0"/>
        </w:numPr>
        <w:spacing w:after="0" w:line="240" w:lineRule="auto"/>
        <w:ind w:left="5760" w:firstLine="619"/>
        <w:rPr>
          <w:b w:val="0"/>
        </w:rPr>
      </w:pPr>
      <w:r>
        <w:rPr>
          <w:b w:val="0"/>
        </w:rPr>
        <w:t>_</w:t>
      </w:r>
      <w:r w:rsidR="006B5680" w:rsidRPr="001F56B8">
        <w:rPr>
          <w:b w:val="0"/>
        </w:rPr>
        <w:t>____________________________</w:t>
      </w:r>
    </w:p>
    <w:p w14:paraId="110CF90E" w14:textId="77777777" w:rsidR="00B92E8A" w:rsidRDefault="00B92E8A" w:rsidP="00B92E8A">
      <w:pPr>
        <w:pStyle w:val="Clause1Head"/>
        <w:keepNext w:val="0"/>
        <w:widowControl w:val="0"/>
        <w:numPr>
          <w:ilvl w:val="0"/>
          <w:numId w:val="0"/>
        </w:numPr>
        <w:spacing w:after="0" w:line="240" w:lineRule="auto"/>
        <w:ind w:left="720" w:firstLine="6379"/>
      </w:pPr>
      <w:r>
        <w:t xml:space="preserve"> MOOSAJEE</w:t>
      </w:r>
      <w:r w:rsidR="0079047D">
        <w:t xml:space="preserve"> AJ</w:t>
      </w:r>
    </w:p>
    <w:p w14:paraId="39BB55B8" w14:textId="77777777" w:rsidR="00B92E8A" w:rsidRPr="006B5680" w:rsidRDefault="00B92E8A" w:rsidP="001F56B8">
      <w:pPr>
        <w:pStyle w:val="Clause2Sub"/>
        <w:numPr>
          <w:ilvl w:val="0"/>
          <w:numId w:val="0"/>
        </w:numPr>
        <w:spacing w:after="0" w:line="240" w:lineRule="auto"/>
        <w:ind w:firstLine="6379"/>
        <w:rPr>
          <w:b/>
        </w:rPr>
      </w:pPr>
      <w:r w:rsidRPr="006B5680">
        <w:rPr>
          <w:b/>
        </w:rPr>
        <w:t xml:space="preserve">Acting Judge of the High Court, </w:t>
      </w:r>
    </w:p>
    <w:p w14:paraId="62D44032" w14:textId="77777777" w:rsidR="00B92E8A" w:rsidRPr="006B5680" w:rsidRDefault="00B92E8A" w:rsidP="001F56B8">
      <w:pPr>
        <w:pStyle w:val="Clause2Sub"/>
        <w:numPr>
          <w:ilvl w:val="0"/>
          <w:numId w:val="0"/>
        </w:numPr>
        <w:spacing w:after="0" w:line="240" w:lineRule="auto"/>
        <w:ind w:firstLine="6379"/>
        <w:rPr>
          <w:b/>
        </w:rPr>
      </w:pPr>
      <w:r w:rsidRPr="006B5680">
        <w:rPr>
          <w:b/>
        </w:rPr>
        <w:t>Johannesburg</w:t>
      </w:r>
    </w:p>
    <w:p w14:paraId="03AF9B87" w14:textId="77777777" w:rsidR="00B92E8A" w:rsidRDefault="00B92E8A" w:rsidP="006B5680">
      <w:pPr>
        <w:pStyle w:val="Clause2Sub"/>
        <w:numPr>
          <w:ilvl w:val="0"/>
          <w:numId w:val="0"/>
        </w:numPr>
        <w:ind w:firstLine="6379"/>
      </w:pPr>
    </w:p>
    <w:p w14:paraId="02EE49F6" w14:textId="77777777" w:rsidR="00E40E75" w:rsidRDefault="00E40E75" w:rsidP="00E40E75">
      <w:pPr>
        <w:pStyle w:val="Clause1Head"/>
        <w:keepNext w:val="0"/>
        <w:widowControl w:val="0"/>
        <w:numPr>
          <w:ilvl w:val="0"/>
          <w:numId w:val="0"/>
        </w:numPr>
        <w:spacing w:after="0" w:line="240" w:lineRule="auto"/>
        <w:ind w:left="720" w:hanging="720"/>
      </w:pPr>
    </w:p>
    <w:p w14:paraId="0A981386" w14:textId="77777777" w:rsidR="00142BCD" w:rsidRDefault="00F72342" w:rsidP="00E40E75">
      <w:pPr>
        <w:pStyle w:val="Clause1Head"/>
        <w:keepNext w:val="0"/>
        <w:widowControl w:val="0"/>
        <w:numPr>
          <w:ilvl w:val="0"/>
          <w:numId w:val="0"/>
        </w:numPr>
        <w:spacing w:after="0" w:line="240" w:lineRule="auto"/>
        <w:ind w:left="720" w:hanging="720"/>
      </w:pPr>
      <w:r>
        <w:t>DATE JUDGMENT DELIVERED:</w:t>
      </w:r>
      <w:r>
        <w:tab/>
      </w:r>
      <w:r w:rsidR="0079047D">
        <w:t>10 AUGUST 2021</w:t>
      </w:r>
    </w:p>
    <w:p w14:paraId="0731B528" w14:textId="77777777" w:rsidR="00202FF7" w:rsidRDefault="00202FF7" w:rsidP="00E40E75">
      <w:pPr>
        <w:pStyle w:val="Clause1Head"/>
        <w:keepNext w:val="0"/>
        <w:widowControl w:val="0"/>
        <w:numPr>
          <w:ilvl w:val="0"/>
          <w:numId w:val="0"/>
        </w:numPr>
        <w:spacing w:after="0" w:line="240" w:lineRule="auto"/>
        <w:ind w:left="720" w:hanging="720"/>
        <w:rPr>
          <w:u w:val="single"/>
        </w:rPr>
      </w:pPr>
    </w:p>
    <w:p w14:paraId="18FF6FDA" w14:textId="77777777" w:rsidR="00202FF7" w:rsidRDefault="00202FF7" w:rsidP="00E40E75">
      <w:pPr>
        <w:pStyle w:val="Clause1Head"/>
        <w:keepNext w:val="0"/>
        <w:widowControl w:val="0"/>
        <w:numPr>
          <w:ilvl w:val="0"/>
          <w:numId w:val="0"/>
        </w:numPr>
        <w:spacing w:after="0" w:line="240" w:lineRule="auto"/>
        <w:ind w:left="720" w:hanging="720"/>
        <w:rPr>
          <w:u w:val="single"/>
        </w:rPr>
      </w:pPr>
    </w:p>
    <w:p w14:paraId="1A72CED9" w14:textId="77777777" w:rsidR="00F72342" w:rsidRPr="00142BCD" w:rsidRDefault="00142BCD" w:rsidP="00E40E75">
      <w:pPr>
        <w:pStyle w:val="Clause1Head"/>
        <w:keepNext w:val="0"/>
        <w:widowControl w:val="0"/>
        <w:numPr>
          <w:ilvl w:val="0"/>
          <w:numId w:val="0"/>
        </w:numPr>
        <w:spacing w:after="0" w:line="240" w:lineRule="auto"/>
        <w:ind w:left="720" w:hanging="720"/>
        <w:rPr>
          <w:u w:val="single"/>
        </w:rPr>
      </w:pPr>
      <w:r w:rsidRPr="00142BCD">
        <w:rPr>
          <w:u w:val="single"/>
        </w:rPr>
        <w:t>Appearances</w:t>
      </w:r>
    </w:p>
    <w:p w14:paraId="417626CF" w14:textId="77777777" w:rsidR="00142BCD" w:rsidRDefault="00142BCD" w:rsidP="00E40E75">
      <w:pPr>
        <w:pStyle w:val="Clause1Head"/>
        <w:keepNext w:val="0"/>
        <w:widowControl w:val="0"/>
        <w:numPr>
          <w:ilvl w:val="0"/>
          <w:numId w:val="0"/>
        </w:numPr>
        <w:spacing w:after="0" w:line="240" w:lineRule="auto"/>
        <w:ind w:left="720" w:hanging="720"/>
      </w:pPr>
    </w:p>
    <w:p w14:paraId="6CBBB414" w14:textId="77777777" w:rsidR="00142BCD" w:rsidRPr="00202FF7" w:rsidRDefault="00142BCD" w:rsidP="00E40E75">
      <w:pPr>
        <w:pStyle w:val="Clause1Head"/>
        <w:keepNext w:val="0"/>
        <w:widowControl w:val="0"/>
        <w:numPr>
          <w:ilvl w:val="0"/>
          <w:numId w:val="0"/>
        </w:numPr>
        <w:spacing w:after="0" w:line="240" w:lineRule="auto"/>
        <w:ind w:left="720" w:hanging="720"/>
        <w:rPr>
          <w:b w:val="0"/>
        </w:rPr>
      </w:pPr>
      <w:r w:rsidRPr="00142BCD">
        <w:rPr>
          <w:u w:val="single"/>
        </w:rPr>
        <w:t xml:space="preserve">For </w:t>
      </w:r>
      <w:r w:rsidR="005D6E36">
        <w:rPr>
          <w:u w:val="single"/>
        </w:rPr>
        <w:t>applicant</w:t>
      </w:r>
      <w:r>
        <w:t xml:space="preserve">: </w:t>
      </w:r>
      <w:r>
        <w:tab/>
      </w:r>
      <w:r>
        <w:tab/>
      </w:r>
      <w:r w:rsidRPr="00202FF7">
        <w:rPr>
          <w:b w:val="0"/>
        </w:rPr>
        <w:t xml:space="preserve">Advocate </w:t>
      </w:r>
      <w:r w:rsidR="0079047D">
        <w:rPr>
          <w:b w:val="0"/>
        </w:rPr>
        <w:t>T Lipshitz</w:t>
      </w:r>
    </w:p>
    <w:p w14:paraId="77F85E25" w14:textId="77777777" w:rsidR="00142BCD" w:rsidRPr="00202FF7" w:rsidRDefault="00142BCD" w:rsidP="00E40E75">
      <w:pPr>
        <w:pStyle w:val="Clause1Head"/>
        <w:keepNext w:val="0"/>
        <w:widowControl w:val="0"/>
        <w:numPr>
          <w:ilvl w:val="0"/>
          <w:numId w:val="0"/>
        </w:numPr>
        <w:spacing w:after="0" w:line="240" w:lineRule="auto"/>
        <w:ind w:left="720" w:hanging="720"/>
        <w:rPr>
          <w:b w:val="0"/>
        </w:rPr>
      </w:pPr>
    </w:p>
    <w:p w14:paraId="0E40AD73" w14:textId="77777777" w:rsidR="00142BCD" w:rsidRPr="00202FF7" w:rsidRDefault="00142BCD" w:rsidP="00E40E75">
      <w:pPr>
        <w:pStyle w:val="Clause1Head"/>
        <w:keepNext w:val="0"/>
        <w:widowControl w:val="0"/>
        <w:numPr>
          <w:ilvl w:val="0"/>
          <w:numId w:val="0"/>
        </w:numPr>
        <w:spacing w:after="0" w:line="240" w:lineRule="auto"/>
        <w:ind w:left="720" w:hanging="720"/>
        <w:rPr>
          <w:b w:val="0"/>
        </w:rPr>
      </w:pPr>
      <w:r w:rsidRPr="00202FF7">
        <w:rPr>
          <w:b w:val="0"/>
        </w:rPr>
        <w:tab/>
      </w:r>
      <w:r w:rsidRPr="00202FF7">
        <w:rPr>
          <w:b w:val="0"/>
        </w:rPr>
        <w:tab/>
      </w:r>
      <w:r w:rsidRPr="00202FF7">
        <w:rPr>
          <w:b w:val="0"/>
        </w:rPr>
        <w:tab/>
        <w:t>Instructed by:</w:t>
      </w:r>
    </w:p>
    <w:p w14:paraId="624ADFEE" w14:textId="77777777" w:rsidR="00142BCD" w:rsidRPr="00202FF7" w:rsidRDefault="00142BCD" w:rsidP="00E40E75">
      <w:pPr>
        <w:pStyle w:val="Clause1Head"/>
        <w:keepNext w:val="0"/>
        <w:widowControl w:val="0"/>
        <w:numPr>
          <w:ilvl w:val="0"/>
          <w:numId w:val="0"/>
        </w:numPr>
        <w:spacing w:after="0" w:line="240" w:lineRule="auto"/>
        <w:ind w:left="720" w:hanging="720"/>
        <w:rPr>
          <w:b w:val="0"/>
        </w:rPr>
      </w:pPr>
      <w:r w:rsidRPr="00202FF7">
        <w:rPr>
          <w:b w:val="0"/>
        </w:rPr>
        <w:tab/>
      </w:r>
      <w:r w:rsidRPr="00202FF7">
        <w:rPr>
          <w:b w:val="0"/>
        </w:rPr>
        <w:tab/>
      </w:r>
      <w:r w:rsidRPr="00202FF7">
        <w:rPr>
          <w:b w:val="0"/>
        </w:rPr>
        <w:tab/>
      </w:r>
      <w:proofErr w:type="spellStart"/>
      <w:r w:rsidR="0079047D">
        <w:rPr>
          <w:b w:val="0"/>
        </w:rPr>
        <w:t>Rothbart</w:t>
      </w:r>
      <w:proofErr w:type="spellEnd"/>
      <w:r w:rsidR="0079047D">
        <w:rPr>
          <w:b w:val="0"/>
        </w:rPr>
        <w:t xml:space="preserve"> </w:t>
      </w:r>
      <w:proofErr w:type="spellStart"/>
      <w:r w:rsidR="0079047D">
        <w:rPr>
          <w:b w:val="0"/>
        </w:rPr>
        <w:t>Inc</w:t>
      </w:r>
      <w:proofErr w:type="spellEnd"/>
    </w:p>
    <w:p w14:paraId="59DBED04" w14:textId="77777777" w:rsidR="00142BCD" w:rsidRPr="00202FF7" w:rsidRDefault="00142BCD" w:rsidP="0079047D">
      <w:pPr>
        <w:pStyle w:val="Clause1Head"/>
        <w:keepNext w:val="0"/>
        <w:widowControl w:val="0"/>
        <w:numPr>
          <w:ilvl w:val="0"/>
          <w:numId w:val="0"/>
        </w:numPr>
        <w:spacing w:after="0" w:line="240" w:lineRule="auto"/>
        <w:rPr>
          <w:b w:val="0"/>
        </w:rPr>
      </w:pPr>
    </w:p>
    <w:sectPr w:rsidR="00142BCD" w:rsidRPr="00202FF7" w:rsidSect="00226557">
      <w:headerReference w:type="defaul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D7C8" w14:textId="77777777" w:rsidR="00AE64DD" w:rsidRDefault="00AE64DD" w:rsidP="006F27F5">
      <w:pPr>
        <w:spacing w:after="0" w:line="240" w:lineRule="auto"/>
      </w:pPr>
      <w:r>
        <w:separator/>
      </w:r>
    </w:p>
  </w:endnote>
  <w:endnote w:type="continuationSeparator" w:id="0">
    <w:p w14:paraId="0639BBCF" w14:textId="77777777" w:rsidR="00AE64DD" w:rsidRDefault="00AE64DD" w:rsidP="006F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40A1" w14:textId="77777777" w:rsidR="00913A65" w:rsidRDefault="00913A65" w:rsidP="00F365B4">
    <w:pPr>
      <w:pStyle w:val="Footer"/>
      <w:tabs>
        <w:tab w:val="clear" w:pos="4513"/>
        <w:tab w:val="clear" w:pos="9026"/>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0716" w14:textId="77777777" w:rsidR="00AE64DD" w:rsidRDefault="00AE64DD" w:rsidP="006F27F5">
      <w:pPr>
        <w:spacing w:after="0" w:line="240" w:lineRule="auto"/>
      </w:pPr>
      <w:r>
        <w:separator/>
      </w:r>
    </w:p>
  </w:footnote>
  <w:footnote w:type="continuationSeparator" w:id="0">
    <w:p w14:paraId="4A28C2D5" w14:textId="77777777" w:rsidR="00AE64DD" w:rsidRDefault="00AE64DD" w:rsidP="006F27F5">
      <w:pPr>
        <w:spacing w:after="0" w:line="240" w:lineRule="auto"/>
      </w:pPr>
      <w:r>
        <w:continuationSeparator/>
      </w:r>
    </w:p>
  </w:footnote>
  <w:footnote w:id="1">
    <w:p w14:paraId="604AB56D" w14:textId="77777777" w:rsidR="00A40593" w:rsidRPr="00970372" w:rsidRDefault="00A40593">
      <w:pPr>
        <w:pStyle w:val="FootnoteText"/>
        <w:rPr>
          <w:sz w:val="16"/>
          <w:szCs w:val="16"/>
          <w:lang w:val="en-US"/>
        </w:rPr>
      </w:pPr>
      <w:r>
        <w:rPr>
          <w:rStyle w:val="FootnoteReference"/>
        </w:rPr>
        <w:footnoteRef/>
      </w:r>
      <w:r>
        <w:t xml:space="preserve"> </w:t>
      </w:r>
      <w:r w:rsidRPr="00970372">
        <w:rPr>
          <w:sz w:val="16"/>
          <w:szCs w:val="16"/>
          <w:lang w:val="en-US"/>
        </w:rPr>
        <w:t>(19577/09)[2016] ZAGPHC</w:t>
      </w:r>
      <w:r w:rsidR="00801CF7" w:rsidRPr="00970372">
        <w:rPr>
          <w:sz w:val="16"/>
          <w:szCs w:val="16"/>
          <w:lang w:val="en-US"/>
        </w:rPr>
        <w:t xml:space="preserve"> 489 (24 June 2016) para 25</w:t>
      </w:r>
    </w:p>
  </w:footnote>
  <w:footnote w:id="2">
    <w:p w14:paraId="2D1EF89B" w14:textId="07E89F97" w:rsidR="00801CF7" w:rsidRPr="00970372" w:rsidRDefault="00801CF7" w:rsidP="007705D5">
      <w:pPr>
        <w:pStyle w:val="FootnoteText"/>
        <w:jc w:val="both"/>
        <w:rPr>
          <w:sz w:val="16"/>
          <w:szCs w:val="16"/>
          <w:lang w:val="en-US"/>
        </w:rPr>
      </w:pPr>
      <w:r>
        <w:rPr>
          <w:rStyle w:val="FootnoteReference"/>
        </w:rPr>
        <w:footnoteRef/>
      </w:r>
      <w:r>
        <w:t xml:space="preserve"> </w:t>
      </w:r>
      <w:r w:rsidRPr="00970372">
        <w:rPr>
          <w:sz w:val="16"/>
          <w:szCs w:val="16"/>
          <w:lang w:val="en-US"/>
        </w:rPr>
        <w:t xml:space="preserve">Minister of Police v </w:t>
      </w:r>
      <w:proofErr w:type="spellStart"/>
      <w:r w:rsidRPr="00970372">
        <w:rPr>
          <w:sz w:val="16"/>
          <w:szCs w:val="16"/>
          <w:lang w:val="en-US"/>
        </w:rPr>
        <w:t>Manyoni</w:t>
      </w:r>
      <w:proofErr w:type="spellEnd"/>
      <w:r w:rsidRPr="00970372">
        <w:rPr>
          <w:sz w:val="16"/>
          <w:szCs w:val="16"/>
          <w:lang w:val="en-US"/>
        </w:rPr>
        <w:t xml:space="preserve"> (41499/2018)[2021] ZAGPJHC 84 (24 June </w:t>
      </w:r>
      <w:r w:rsidR="0058734D">
        <w:rPr>
          <w:sz w:val="16"/>
          <w:szCs w:val="16"/>
          <w:lang w:val="en-US"/>
        </w:rPr>
        <w:t>2021</w:t>
      </w:r>
      <w:r w:rsidRPr="00970372">
        <w:rPr>
          <w:sz w:val="16"/>
          <w:szCs w:val="16"/>
          <w:lang w:val="en-US"/>
        </w:rPr>
        <w:t>) paras 2 – 4; Fair-Trade Independent Tobacco Association v President of the Republic of South Africa &amp; Another (21688/2020)[2020] ZAGPPHC 311 (24 July 2020) paras 4 - 6</w:t>
      </w:r>
    </w:p>
  </w:footnote>
  <w:footnote w:id="3">
    <w:p w14:paraId="18341C44" w14:textId="4E368F80" w:rsidR="00801CF7" w:rsidRPr="00EC3D27" w:rsidRDefault="00801CF7">
      <w:pPr>
        <w:pStyle w:val="FootnoteText"/>
        <w:rPr>
          <w:sz w:val="16"/>
          <w:szCs w:val="16"/>
          <w:lang w:val="en-US"/>
        </w:rPr>
      </w:pPr>
      <w:r w:rsidRPr="00970372">
        <w:rPr>
          <w:rStyle w:val="FootnoteReference"/>
        </w:rPr>
        <w:footnoteRef/>
      </w:r>
      <w:r w:rsidRPr="00970372">
        <w:rPr>
          <w:sz w:val="16"/>
          <w:szCs w:val="16"/>
        </w:rPr>
        <w:t xml:space="preserve"> </w:t>
      </w:r>
      <w:proofErr w:type="spellStart"/>
      <w:r w:rsidRPr="00970372">
        <w:rPr>
          <w:sz w:val="16"/>
          <w:szCs w:val="16"/>
          <w:lang w:val="en-US"/>
        </w:rPr>
        <w:t>Dex</w:t>
      </w:r>
      <w:r w:rsidR="0058734D">
        <w:rPr>
          <w:sz w:val="16"/>
          <w:szCs w:val="16"/>
          <w:lang w:val="en-US"/>
        </w:rPr>
        <w:t>g</w:t>
      </w:r>
      <w:r w:rsidRPr="00970372">
        <w:rPr>
          <w:sz w:val="16"/>
          <w:szCs w:val="16"/>
          <w:lang w:val="en-US"/>
        </w:rPr>
        <w:t>roup</w:t>
      </w:r>
      <w:proofErr w:type="spellEnd"/>
      <w:r w:rsidRPr="00970372">
        <w:rPr>
          <w:sz w:val="16"/>
          <w:szCs w:val="16"/>
          <w:lang w:val="en-US"/>
        </w:rPr>
        <w:t xml:space="preserve"> (Pty) Limited v </w:t>
      </w:r>
      <w:proofErr w:type="spellStart"/>
      <w:r w:rsidRPr="00970372">
        <w:rPr>
          <w:sz w:val="16"/>
          <w:szCs w:val="16"/>
          <w:lang w:val="en-US"/>
        </w:rPr>
        <w:t>Trustco</w:t>
      </w:r>
      <w:proofErr w:type="spellEnd"/>
      <w:r w:rsidRPr="00970372">
        <w:rPr>
          <w:sz w:val="16"/>
          <w:szCs w:val="16"/>
          <w:lang w:val="en-US"/>
        </w:rPr>
        <w:t xml:space="preserve"> Group International (Pty) Ltd &amp; Others 2013 (6) SA 520 SCA (para</w:t>
      </w:r>
      <w:r>
        <w:rPr>
          <w:lang w:val="en-US"/>
        </w:rPr>
        <w:t xml:space="preserve"> </w:t>
      </w:r>
      <w:r w:rsidRPr="00EC3D27">
        <w:rPr>
          <w:sz w:val="16"/>
          <w:szCs w:val="16"/>
          <w:lang w:val="en-US"/>
        </w:rPr>
        <w:t>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3DA5" w14:textId="5CD7AF8C" w:rsidR="00C759D9" w:rsidRPr="00C759D9" w:rsidRDefault="00C759D9" w:rsidP="00F365B4">
    <w:pPr>
      <w:pStyle w:val="Header"/>
      <w:tabs>
        <w:tab w:val="clear" w:pos="4513"/>
        <w:tab w:val="clear" w:pos="9026"/>
        <w:tab w:val="right" w:pos="9638"/>
      </w:tabs>
      <w:rPr>
        <w:sz w:val="16"/>
        <w:szCs w:val="16"/>
      </w:rPr>
    </w:pPr>
    <w:r w:rsidRPr="00C759D9">
      <w:rPr>
        <w:sz w:val="16"/>
        <w:szCs w:val="16"/>
      </w:rPr>
      <w:tab/>
    </w:r>
    <w:sdt>
      <w:sdtPr>
        <w:rPr>
          <w:sz w:val="16"/>
          <w:szCs w:val="16"/>
        </w:rPr>
        <w:id w:val="-1354643988"/>
        <w:docPartObj>
          <w:docPartGallery w:val="Page Numbers (Top of Page)"/>
          <w:docPartUnique/>
        </w:docPartObj>
      </w:sdtPr>
      <w:sdtEndPr>
        <w:rPr>
          <w:noProof/>
        </w:rPr>
      </w:sdtEndPr>
      <w:sdtContent>
        <w:r w:rsidR="004630DB" w:rsidRPr="004630DB">
          <w:rPr>
            <w:szCs w:val="20"/>
          </w:rPr>
          <w:t xml:space="preserve">Page </w:t>
        </w:r>
        <w:r w:rsidRPr="00C759D9">
          <w:rPr>
            <w:szCs w:val="20"/>
          </w:rPr>
          <w:fldChar w:fldCharType="begin"/>
        </w:r>
        <w:r w:rsidRPr="00C759D9">
          <w:rPr>
            <w:szCs w:val="20"/>
          </w:rPr>
          <w:instrText xml:space="preserve"> PAGE   \* MERGEFORMAT </w:instrText>
        </w:r>
        <w:r w:rsidRPr="00C759D9">
          <w:rPr>
            <w:szCs w:val="20"/>
          </w:rPr>
          <w:fldChar w:fldCharType="separate"/>
        </w:r>
        <w:r w:rsidR="005132C1">
          <w:rPr>
            <w:noProof/>
            <w:szCs w:val="20"/>
          </w:rPr>
          <w:t>2</w:t>
        </w:r>
        <w:r w:rsidRPr="00C759D9">
          <w:rPr>
            <w:noProof/>
            <w:szCs w:val="20"/>
          </w:rPr>
          <w:fldChar w:fldCharType="end"/>
        </w:r>
      </w:sdtContent>
    </w:sdt>
  </w:p>
  <w:p w14:paraId="63869E22" w14:textId="77777777" w:rsidR="00FD1077" w:rsidRPr="00C759D9" w:rsidRDefault="00FD1077" w:rsidP="00FD1077">
    <w:pPr>
      <w:pStyle w:val="Header"/>
      <w:spacing w:after="24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430"/>
    <w:multiLevelType w:val="hybridMultilevel"/>
    <w:tmpl w:val="FA0AD5D0"/>
    <w:lvl w:ilvl="0" w:tplc="B31259F8">
      <w:start w:val="37"/>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8B6E82"/>
    <w:multiLevelType w:val="hybridMultilevel"/>
    <w:tmpl w:val="80282032"/>
    <w:lvl w:ilvl="0" w:tplc="B344B32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34CE6"/>
    <w:multiLevelType w:val="hybridMultilevel"/>
    <w:tmpl w:val="50F0676C"/>
    <w:lvl w:ilvl="0" w:tplc="37C0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506931"/>
    <w:multiLevelType w:val="multilevel"/>
    <w:tmpl w:val="7B2A6AF0"/>
    <w:lvl w:ilvl="0">
      <w:start w:val="1"/>
      <w:numFmt w:val="decimal"/>
      <w:pStyle w:val="Heading1"/>
      <w:lvlText w:val="%1"/>
      <w:lvlJc w:val="left"/>
      <w:pPr>
        <w:ind w:left="432" w:hanging="432"/>
      </w:pPr>
      <w:rPr>
        <w:b w:val="0"/>
      </w:rPr>
    </w:lvl>
    <w:lvl w:ilvl="1">
      <w:start w:val="1"/>
      <w:numFmt w:val="decimal"/>
      <w:pStyle w:val="Heading2"/>
      <w:lvlText w:val="%1.%2"/>
      <w:lvlJc w:val="left"/>
      <w:pPr>
        <w:ind w:left="718" w:hanging="576"/>
      </w:pPr>
      <w:rPr>
        <w:b w:val="0"/>
        <w:i w:val="0"/>
      </w:rPr>
    </w:lvl>
    <w:lvl w:ilvl="2">
      <w:start w:val="1"/>
      <w:numFmt w:val="decimal"/>
      <w:pStyle w:val="Heading3"/>
      <w:lvlText w:val="%1.%2.%3"/>
      <w:lvlJc w:val="left"/>
      <w:pPr>
        <w:ind w:left="1146" w:hanging="720"/>
      </w:pPr>
      <w:rPr>
        <w:b w:val="0"/>
      </w:rPr>
    </w:lvl>
    <w:lvl w:ilvl="3">
      <w:start w:val="1"/>
      <w:numFmt w:val="decimal"/>
      <w:pStyle w:val="Heading4"/>
      <w:lvlText w:val="%1.%2.%3.%4"/>
      <w:lvlJc w:val="left"/>
      <w:pPr>
        <w:ind w:left="864" w:hanging="864"/>
      </w:pPr>
      <w:rPr>
        <w:b w:val="0"/>
        <w:i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41D4007"/>
    <w:multiLevelType w:val="hybridMultilevel"/>
    <w:tmpl w:val="EB48ED12"/>
    <w:lvl w:ilvl="0" w:tplc="F9A271A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406B27"/>
    <w:multiLevelType w:val="hybridMultilevel"/>
    <w:tmpl w:val="17CAFCF8"/>
    <w:lvl w:ilvl="0" w:tplc="56E4D560">
      <w:start w:val="36"/>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F24A36"/>
    <w:multiLevelType w:val="hybridMultilevel"/>
    <w:tmpl w:val="5DF28590"/>
    <w:lvl w:ilvl="0" w:tplc="79D2DB32">
      <w:start w:val="1"/>
      <w:numFmt w:val="upperLetter"/>
      <w:pStyle w:val="Annexure"/>
      <w:lvlText w:val="Annexure %1"/>
      <w:lvlJc w:val="center"/>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8" w15:restartNumberingAfterBreak="0">
    <w:nsid w:val="5D8A4921"/>
    <w:multiLevelType w:val="multilevel"/>
    <w:tmpl w:val="3BC41758"/>
    <w:lvl w:ilvl="0">
      <w:start w:val="1"/>
      <w:numFmt w:val="decimal"/>
      <w:pStyle w:val="Clause1Head"/>
      <w:lvlText w:val="[%1]"/>
      <w:lvlJc w:val="left"/>
      <w:pPr>
        <w:tabs>
          <w:tab w:val="num" w:pos="720"/>
        </w:tabs>
        <w:ind w:left="720" w:hanging="720"/>
      </w:pPr>
      <w:rPr>
        <w:rFonts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9" w15:restartNumberingAfterBreak="0">
    <w:nsid w:val="6B416B4C"/>
    <w:multiLevelType w:val="hybridMultilevel"/>
    <w:tmpl w:val="7F125B00"/>
    <w:lvl w:ilvl="0" w:tplc="1AE640C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6B53E31"/>
    <w:multiLevelType w:val="hybridMultilevel"/>
    <w:tmpl w:val="48BE3780"/>
    <w:lvl w:ilvl="0" w:tplc="21FC30E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A6C5AA3"/>
    <w:multiLevelType w:val="hybridMultilevel"/>
    <w:tmpl w:val="D9427618"/>
    <w:lvl w:ilvl="0" w:tplc="631A655A">
      <w:start w:val="1"/>
      <w:numFmt w:val="decimal"/>
      <w:pStyle w:val="Schedule"/>
      <w:lvlText w:val="Schedule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11"/>
  </w:num>
  <w:num w:numId="6">
    <w:abstractNumId w:val="6"/>
  </w:num>
  <w:num w:numId="7">
    <w:abstractNumId w:val="6"/>
  </w:num>
  <w:num w:numId="8">
    <w:abstractNumId w:val="11"/>
  </w:num>
  <w:num w:numId="9">
    <w:abstractNumId w:val="1"/>
  </w:num>
  <w:num w:numId="10">
    <w:abstractNumId w:val="2"/>
  </w:num>
  <w:num w:numId="11">
    <w:abstractNumId w:val="10"/>
  </w:num>
  <w:num w:numId="12">
    <w:abstractNumId w:val="5"/>
  </w:num>
  <w:num w:numId="13">
    <w:abstractNumId w:val="0"/>
  </w:num>
  <w:num w:numId="14">
    <w:abstractNumId w:val="4"/>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11EFB4-B9EC-44FE-BDA2-BE4A2C695738}"/>
    <w:docVar w:name="dgnword-eventsink" w:val="849643424"/>
  </w:docVars>
  <w:rsids>
    <w:rsidRoot w:val="00427C06"/>
    <w:rsid w:val="0000256D"/>
    <w:rsid w:val="00003995"/>
    <w:rsid w:val="000127E6"/>
    <w:rsid w:val="00016AE3"/>
    <w:rsid w:val="000306F8"/>
    <w:rsid w:val="00046256"/>
    <w:rsid w:val="000548F5"/>
    <w:rsid w:val="000605B5"/>
    <w:rsid w:val="00060F06"/>
    <w:rsid w:val="00067199"/>
    <w:rsid w:val="000818F3"/>
    <w:rsid w:val="00091F1B"/>
    <w:rsid w:val="000B54DF"/>
    <w:rsid w:val="000C149F"/>
    <w:rsid w:val="000D417C"/>
    <w:rsid w:val="000D774F"/>
    <w:rsid w:val="000E1893"/>
    <w:rsid w:val="000E4FC6"/>
    <w:rsid w:val="00117D52"/>
    <w:rsid w:val="00142BCD"/>
    <w:rsid w:val="00147D27"/>
    <w:rsid w:val="001554EE"/>
    <w:rsid w:val="001647ED"/>
    <w:rsid w:val="001879F3"/>
    <w:rsid w:val="00190DE0"/>
    <w:rsid w:val="001943F3"/>
    <w:rsid w:val="001B26F4"/>
    <w:rsid w:val="001D7C6D"/>
    <w:rsid w:val="001E7F6E"/>
    <w:rsid w:val="001F56B8"/>
    <w:rsid w:val="00202248"/>
    <w:rsid w:val="00202FF7"/>
    <w:rsid w:val="002030F9"/>
    <w:rsid w:val="00211268"/>
    <w:rsid w:val="002121C2"/>
    <w:rsid w:val="00224CA4"/>
    <w:rsid w:val="00226557"/>
    <w:rsid w:val="00242AD4"/>
    <w:rsid w:val="00243C2A"/>
    <w:rsid w:val="00275A3C"/>
    <w:rsid w:val="002809AB"/>
    <w:rsid w:val="00283CCF"/>
    <w:rsid w:val="002927EF"/>
    <w:rsid w:val="002A0D56"/>
    <w:rsid w:val="002A6D40"/>
    <w:rsid w:val="002B5340"/>
    <w:rsid w:val="002C157D"/>
    <w:rsid w:val="002E0665"/>
    <w:rsid w:val="00306A28"/>
    <w:rsid w:val="00315483"/>
    <w:rsid w:val="003217DF"/>
    <w:rsid w:val="00322B82"/>
    <w:rsid w:val="00341A9D"/>
    <w:rsid w:val="00357368"/>
    <w:rsid w:val="003872EE"/>
    <w:rsid w:val="00390DA8"/>
    <w:rsid w:val="00393C49"/>
    <w:rsid w:val="003971D7"/>
    <w:rsid w:val="003B32E4"/>
    <w:rsid w:val="003C4269"/>
    <w:rsid w:val="003E2BE4"/>
    <w:rsid w:val="003E4F3F"/>
    <w:rsid w:val="004225D4"/>
    <w:rsid w:val="00427800"/>
    <w:rsid w:val="00427C06"/>
    <w:rsid w:val="00433730"/>
    <w:rsid w:val="0043755C"/>
    <w:rsid w:val="004409AE"/>
    <w:rsid w:val="004453B3"/>
    <w:rsid w:val="00452037"/>
    <w:rsid w:val="004630DB"/>
    <w:rsid w:val="00467300"/>
    <w:rsid w:val="00492CA1"/>
    <w:rsid w:val="00495CDB"/>
    <w:rsid w:val="004B7A9C"/>
    <w:rsid w:val="004E45B6"/>
    <w:rsid w:val="004E610C"/>
    <w:rsid w:val="004F20BD"/>
    <w:rsid w:val="004F21D4"/>
    <w:rsid w:val="004F3F54"/>
    <w:rsid w:val="004F765D"/>
    <w:rsid w:val="00500D70"/>
    <w:rsid w:val="005132C1"/>
    <w:rsid w:val="00544D9F"/>
    <w:rsid w:val="00550168"/>
    <w:rsid w:val="005558F5"/>
    <w:rsid w:val="00560DE2"/>
    <w:rsid w:val="00563D96"/>
    <w:rsid w:val="00567D4E"/>
    <w:rsid w:val="005717EA"/>
    <w:rsid w:val="0057417C"/>
    <w:rsid w:val="00576A61"/>
    <w:rsid w:val="005845BE"/>
    <w:rsid w:val="0058734D"/>
    <w:rsid w:val="005922F3"/>
    <w:rsid w:val="005924F0"/>
    <w:rsid w:val="00592B90"/>
    <w:rsid w:val="005C7066"/>
    <w:rsid w:val="005D3599"/>
    <w:rsid w:val="005D4FB0"/>
    <w:rsid w:val="005D6E36"/>
    <w:rsid w:val="005E10D9"/>
    <w:rsid w:val="005E1F74"/>
    <w:rsid w:val="005E5243"/>
    <w:rsid w:val="00610797"/>
    <w:rsid w:val="006135F4"/>
    <w:rsid w:val="0061363A"/>
    <w:rsid w:val="006216BE"/>
    <w:rsid w:val="00624F19"/>
    <w:rsid w:val="00634B92"/>
    <w:rsid w:val="00654C2C"/>
    <w:rsid w:val="00654C38"/>
    <w:rsid w:val="00672081"/>
    <w:rsid w:val="00673D35"/>
    <w:rsid w:val="0067580B"/>
    <w:rsid w:val="00685084"/>
    <w:rsid w:val="00686F2D"/>
    <w:rsid w:val="006951B5"/>
    <w:rsid w:val="006B5680"/>
    <w:rsid w:val="006E2AB3"/>
    <w:rsid w:val="006F27F5"/>
    <w:rsid w:val="006F6ACF"/>
    <w:rsid w:val="00733EDB"/>
    <w:rsid w:val="00750ACB"/>
    <w:rsid w:val="007668C0"/>
    <w:rsid w:val="00767164"/>
    <w:rsid w:val="007705D5"/>
    <w:rsid w:val="00787F25"/>
    <w:rsid w:val="0079047D"/>
    <w:rsid w:val="0079067D"/>
    <w:rsid w:val="00793612"/>
    <w:rsid w:val="00793C0B"/>
    <w:rsid w:val="00794B20"/>
    <w:rsid w:val="007A1B79"/>
    <w:rsid w:val="007B63C4"/>
    <w:rsid w:val="007C1335"/>
    <w:rsid w:val="007C41BC"/>
    <w:rsid w:val="007D32F8"/>
    <w:rsid w:val="007E4207"/>
    <w:rsid w:val="007E5D13"/>
    <w:rsid w:val="007F2FA8"/>
    <w:rsid w:val="00801C69"/>
    <w:rsid w:val="00801CF7"/>
    <w:rsid w:val="00804224"/>
    <w:rsid w:val="00824F4E"/>
    <w:rsid w:val="00842044"/>
    <w:rsid w:val="0084745B"/>
    <w:rsid w:val="00847D1F"/>
    <w:rsid w:val="00854E26"/>
    <w:rsid w:val="0086122F"/>
    <w:rsid w:val="00893831"/>
    <w:rsid w:val="008A078D"/>
    <w:rsid w:val="008A3C9C"/>
    <w:rsid w:val="008B534F"/>
    <w:rsid w:val="008B5708"/>
    <w:rsid w:val="008D7207"/>
    <w:rsid w:val="008E522E"/>
    <w:rsid w:val="00913A65"/>
    <w:rsid w:val="00914722"/>
    <w:rsid w:val="00921F72"/>
    <w:rsid w:val="0093786E"/>
    <w:rsid w:val="00942C28"/>
    <w:rsid w:val="009553B9"/>
    <w:rsid w:val="00970372"/>
    <w:rsid w:val="00975E1E"/>
    <w:rsid w:val="009A62BC"/>
    <w:rsid w:val="009B1C71"/>
    <w:rsid w:val="009C3709"/>
    <w:rsid w:val="009D2272"/>
    <w:rsid w:val="009E0509"/>
    <w:rsid w:val="009E5D7C"/>
    <w:rsid w:val="00A009D4"/>
    <w:rsid w:val="00A0560D"/>
    <w:rsid w:val="00A311C6"/>
    <w:rsid w:val="00A376BA"/>
    <w:rsid w:val="00A40593"/>
    <w:rsid w:val="00A41CC1"/>
    <w:rsid w:val="00A50586"/>
    <w:rsid w:val="00A71D2A"/>
    <w:rsid w:val="00A725C1"/>
    <w:rsid w:val="00A725F0"/>
    <w:rsid w:val="00A851C6"/>
    <w:rsid w:val="00A865F2"/>
    <w:rsid w:val="00A908F2"/>
    <w:rsid w:val="00AA0B87"/>
    <w:rsid w:val="00AA33F2"/>
    <w:rsid w:val="00AA515D"/>
    <w:rsid w:val="00AA5B22"/>
    <w:rsid w:val="00AC4799"/>
    <w:rsid w:val="00AD02A4"/>
    <w:rsid w:val="00AD195A"/>
    <w:rsid w:val="00AE5F4D"/>
    <w:rsid w:val="00AE64DD"/>
    <w:rsid w:val="00B02F06"/>
    <w:rsid w:val="00B06C9E"/>
    <w:rsid w:val="00B25712"/>
    <w:rsid w:val="00B26883"/>
    <w:rsid w:val="00B26B20"/>
    <w:rsid w:val="00B51CE3"/>
    <w:rsid w:val="00B61F6E"/>
    <w:rsid w:val="00B72913"/>
    <w:rsid w:val="00B759BF"/>
    <w:rsid w:val="00B837E5"/>
    <w:rsid w:val="00B87D91"/>
    <w:rsid w:val="00B92E8A"/>
    <w:rsid w:val="00BA2CA3"/>
    <w:rsid w:val="00BA3F17"/>
    <w:rsid w:val="00BE17A5"/>
    <w:rsid w:val="00BE1863"/>
    <w:rsid w:val="00C202AF"/>
    <w:rsid w:val="00C414E4"/>
    <w:rsid w:val="00C428A6"/>
    <w:rsid w:val="00C45CB4"/>
    <w:rsid w:val="00C46D67"/>
    <w:rsid w:val="00C47AC4"/>
    <w:rsid w:val="00C618CD"/>
    <w:rsid w:val="00C67A67"/>
    <w:rsid w:val="00C67F6D"/>
    <w:rsid w:val="00C735DA"/>
    <w:rsid w:val="00C759D9"/>
    <w:rsid w:val="00C877FB"/>
    <w:rsid w:val="00C96781"/>
    <w:rsid w:val="00CB6219"/>
    <w:rsid w:val="00CC25FB"/>
    <w:rsid w:val="00CC372B"/>
    <w:rsid w:val="00CC6DBE"/>
    <w:rsid w:val="00CD1552"/>
    <w:rsid w:val="00CD704B"/>
    <w:rsid w:val="00CF300E"/>
    <w:rsid w:val="00D02773"/>
    <w:rsid w:val="00D061AD"/>
    <w:rsid w:val="00D243A5"/>
    <w:rsid w:val="00D24FA1"/>
    <w:rsid w:val="00D33721"/>
    <w:rsid w:val="00D6253A"/>
    <w:rsid w:val="00D762ED"/>
    <w:rsid w:val="00D8191F"/>
    <w:rsid w:val="00DB1F49"/>
    <w:rsid w:val="00DC0803"/>
    <w:rsid w:val="00DD457A"/>
    <w:rsid w:val="00DF25B5"/>
    <w:rsid w:val="00DF3E51"/>
    <w:rsid w:val="00E07B57"/>
    <w:rsid w:val="00E2388A"/>
    <w:rsid w:val="00E26C17"/>
    <w:rsid w:val="00E277B6"/>
    <w:rsid w:val="00E40E75"/>
    <w:rsid w:val="00E65988"/>
    <w:rsid w:val="00E7051C"/>
    <w:rsid w:val="00E72FFC"/>
    <w:rsid w:val="00E763E2"/>
    <w:rsid w:val="00E85667"/>
    <w:rsid w:val="00E85BF4"/>
    <w:rsid w:val="00E9595E"/>
    <w:rsid w:val="00E95A0E"/>
    <w:rsid w:val="00EA218A"/>
    <w:rsid w:val="00EC3D27"/>
    <w:rsid w:val="00EC7F64"/>
    <w:rsid w:val="00ED2D38"/>
    <w:rsid w:val="00EE4912"/>
    <w:rsid w:val="00EF7347"/>
    <w:rsid w:val="00F054D0"/>
    <w:rsid w:val="00F15FFF"/>
    <w:rsid w:val="00F2554C"/>
    <w:rsid w:val="00F31209"/>
    <w:rsid w:val="00F365B4"/>
    <w:rsid w:val="00F41B11"/>
    <w:rsid w:val="00F4791F"/>
    <w:rsid w:val="00F52C09"/>
    <w:rsid w:val="00F72342"/>
    <w:rsid w:val="00F72D40"/>
    <w:rsid w:val="00F744EA"/>
    <w:rsid w:val="00F76727"/>
    <w:rsid w:val="00F80FB3"/>
    <w:rsid w:val="00FA1257"/>
    <w:rsid w:val="00FD1077"/>
    <w:rsid w:val="00FE37A6"/>
    <w:rsid w:val="00FE4A07"/>
    <w:rsid w:val="00FF7D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F5D5C"/>
  <w15:docId w15:val="{7FF71116-4A91-44BD-A748-281B085B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FF"/>
    <w:pPr>
      <w:spacing w:after="240" w:line="360" w:lineRule="atLeast"/>
    </w:pPr>
    <w:rPr>
      <w:rFonts w:ascii="Arial" w:hAnsi="Arial"/>
      <w:sz w:val="20"/>
    </w:rPr>
  </w:style>
  <w:style w:type="paragraph" w:styleId="Heading1">
    <w:name w:val="heading 1"/>
    <w:basedOn w:val="Normal"/>
    <w:next w:val="Normal"/>
    <w:link w:val="Heading1Char"/>
    <w:uiPriority w:val="9"/>
    <w:rsid w:val="005C7066"/>
    <w:pPr>
      <w:keepNext/>
      <w:keepLines/>
      <w:numPr>
        <w:numId w:val="1"/>
      </w:numPr>
      <w:spacing w:before="100" w:beforeAutospacing="1"/>
      <w:outlineLvl w:val="0"/>
    </w:pPr>
    <w:rPr>
      <w:rFonts w:eastAsia="Verdana" w:cstheme="majorBidi"/>
      <w:b/>
      <w:bCs/>
    </w:rPr>
  </w:style>
  <w:style w:type="paragraph" w:styleId="Heading2">
    <w:name w:val="heading 2"/>
    <w:basedOn w:val="Normal"/>
    <w:next w:val="Normal"/>
    <w:link w:val="Heading2Char"/>
    <w:uiPriority w:val="9"/>
    <w:semiHidden/>
    <w:rsid w:val="005C706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rsid w:val="005C706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rsid w:val="005C706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5C70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5C70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rsid w:val="005C70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5C706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rsid w:val="005C706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0Sub">
    <w:name w:val="Clause0Sub"/>
    <w:basedOn w:val="Normal"/>
    <w:link w:val="Clause0SubChar"/>
    <w:rsid w:val="00A725C1"/>
    <w:pPr>
      <w:tabs>
        <w:tab w:val="left" w:pos="720"/>
        <w:tab w:val="left" w:pos="1440"/>
        <w:tab w:val="left" w:pos="2552"/>
        <w:tab w:val="left" w:pos="3600"/>
        <w:tab w:val="left" w:pos="5041"/>
        <w:tab w:val="left" w:pos="6481"/>
        <w:tab w:val="left" w:pos="7201"/>
        <w:tab w:val="left" w:pos="7921"/>
        <w:tab w:val="left" w:pos="8222"/>
      </w:tabs>
      <w:ind w:left="720"/>
      <w:jc w:val="both"/>
    </w:pPr>
    <w:rPr>
      <w:rFonts w:eastAsia="Times New Roman" w:cs="Times New Roman"/>
      <w:szCs w:val="20"/>
      <w:lang w:eastAsia="en-GB"/>
    </w:rPr>
  </w:style>
  <w:style w:type="character" w:customStyle="1" w:styleId="Clause0SubChar">
    <w:name w:val="Clause0Sub Char"/>
    <w:link w:val="Clause0Sub"/>
    <w:rsid w:val="005C7066"/>
    <w:rPr>
      <w:rFonts w:ascii="Arial" w:eastAsia="Times New Roman" w:hAnsi="Arial" w:cs="Times New Roman"/>
      <w:sz w:val="20"/>
      <w:szCs w:val="20"/>
      <w:lang w:eastAsia="en-GB"/>
    </w:rPr>
  </w:style>
  <w:style w:type="paragraph" w:customStyle="1" w:styleId="Clause1Head">
    <w:name w:val="Clause1Head"/>
    <w:basedOn w:val="Normal"/>
    <w:qFormat/>
    <w:rsid w:val="00A725C1"/>
    <w:pPr>
      <w:keepNext/>
      <w:numPr>
        <w:numId w:val="3"/>
      </w:numPr>
      <w:jc w:val="both"/>
    </w:pPr>
    <w:rPr>
      <w:rFonts w:eastAsia="Times New Roman" w:cs="Times New Roman"/>
      <w:b/>
      <w:szCs w:val="20"/>
      <w:lang w:eastAsia="en-GB"/>
    </w:rPr>
  </w:style>
  <w:style w:type="paragraph" w:customStyle="1" w:styleId="Clause2Sub">
    <w:name w:val="Clause2Sub"/>
    <w:basedOn w:val="Normal"/>
    <w:link w:val="Clause2SubChar"/>
    <w:qFormat/>
    <w:rsid w:val="00A725C1"/>
    <w:pPr>
      <w:numPr>
        <w:ilvl w:val="1"/>
        <w:numId w:val="3"/>
      </w:numPr>
      <w:jc w:val="both"/>
    </w:pPr>
    <w:rPr>
      <w:rFonts w:eastAsia="Times New Roman" w:cs="Times New Roman"/>
      <w:szCs w:val="20"/>
      <w:lang w:eastAsia="en-GB"/>
    </w:rPr>
  </w:style>
  <w:style w:type="character" w:customStyle="1" w:styleId="Clause2SubChar">
    <w:name w:val="Clause2Sub Char"/>
    <w:link w:val="Clause2Sub"/>
    <w:rsid w:val="005C7066"/>
    <w:rPr>
      <w:rFonts w:ascii="Arial" w:eastAsia="Times New Roman" w:hAnsi="Arial" w:cs="Times New Roman"/>
      <w:sz w:val="20"/>
      <w:szCs w:val="20"/>
      <w:lang w:eastAsia="en-GB"/>
    </w:rPr>
  </w:style>
  <w:style w:type="paragraph" w:customStyle="1" w:styleId="Clause3Sub">
    <w:name w:val="Clause3Sub"/>
    <w:basedOn w:val="Normal"/>
    <w:link w:val="Clause3SubChar"/>
    <w:qFormat/>
    <w:rsid w:val="00A725C1"/>
    <w:pPr>
      <w:numPr>
        <w:ilvl w:val="2"/>
        <w:numId w:val="3"/>
      </w:numPr>
      <w:jc w:val="both"/>
    </w:pPr>
    <w:rPr>
      <w:rFonts w:eastAsia="Times New Roman" w:cs="Times New Roman"/>
      <w:szCs w:val="20"/>
      <w:lang w:eastAsia="en-GB"/>
    </w:rPr>
  </w:style>
  <w:style w:type="character" w:customStyle="1" w:styleId="Clause3SubChar">
    <w:name w:val="Clause3Sub Char"/>
    <w:link w:val="Clause3Sub"/>
    <w:rsid w:val="005C7066"/>
    <w:rPr>
      <w:rFonts w:ascii="Arial" w:eastAsia="Times New Roman" w:hAnsi="Arial" w:cs="Times New Roman"/>
      <w:sz w:val="20"/>
      <w:szCs w:val="20"/>
      <w:lang w:eastAsia="en-GB"/>
    </w:rPr>
  </w:style>
  <w:style w:type="paragraph" w:customStyle="1" w:styleId="Clause4Sub">
    <w:name w:val="Clause4Sub"/>
    <w:basedOn w:val="Normal"/>
    <w:qFormat/>
    <w:rsid w:val="00A725C1"/>
    <w:pPr>
      <w:numPr>
        <w:ilvl w:val="3"/>
        <w:numId w:val="3"/>
      </w:numPr>
      <w:jc w:val="both"/>
    </w:pPr>
    <w:rPr>
      <w:rFonts w:eastAsia="Times New Roman" w:cs="Times New Roman"/>
      <w:szCs w:val="20"/>
      <w:lang w:eastAsia="en-GB"/>
    </w:rPr>
  </w:style>
  <w:style w:type="paragraph" w:customStyle="1" w:styleId="Clause5Sub">
    <w:name w:val="Clause5Sub"/>
    <w:basedOn w:val="Normal"/>
    <w:qFormat/>
    <w:rsid w:val="00A725C1"/>
    <w:pPr>
      <w:numPr>
        <w:ilvl w:val="4"/>
        <w:numId w:val="3"/>
      </w:numPr>
      <w:jc w:val="both"/>
    </w:pPr>
    <w:rPr>
      <w:rFonts w:eastAsia="Times New Roman" w:cs="Times New Roman"/>
      <w:szCs w:val="20"/>
      <w:lang w:eastAsia="en-GB"/>
    </w:rPr>
  </w:style>
  <w:style w:type="paragraph" w:customStyle="1" w:styleId="Clause6Sub">
    <w:name w:val="Clause6Sub"/>
    <w:basedOn w:val="Normal"/>
    <w:qFormat/>
    <w:rsid w:val="00A725C1"/>
    <w:pPr>
      <w:numPr>
        <w:ilvl w:val="5"/>
        <w:numId w:val="3"/>
      </w:numPr>
      <w:jc w:val="both"/>
    </w:pPr>
    <w:rPr>
      <w:rFonts w:eastAsia="Times New Roman" w:cs="Times New Roman"/>
      <w:szCs w:val="20"/>
      <w:lang w:eastAsia="en-GB"/>
    </w:rPr>
  </w:style>
  <w:style w:type="paragraph" w:customStyle="1" w:styleId="Clause7Sub">
    <w:name w:val="Clause7Sub"/>
    <w:basedOn w:val="Normal"/>
    <w:qFormat/>
    <w:rsid w:val="00A725C1"/>
    <w:pPr>
      <w:numPr>
        <w:ilvl w:val="6"/>
        <w:numId w:val="3"/>
      </w:numPr>
      <w:jc w:val="both"/>
    </w:pPr>
    <w:rPr>
      <w:rFonts w:eastAsia="Times New Roman" w:cs="Times New Roman"/>
      <w:szCs w:val="20"/>
      <w:lang w:eastAsia="en-GB"/>
    </w:rPr>
  </w:style>
  <w:style w:type="paragraph" w:customStyle="1" w:styleId="Clause8Sub">
    <w:name w:val="Clause8Sub"/>
    <w:basedOn w:val="Normal"/>
    <w:qFormat/>
    <w:rsid w:val="00A725C1"/>
    <w:pPr>
      <w:numPr>
        <w:ilvl w:val="7"/>
        <w:numId w:val="3"/>
      </w:numPr>
      <w:jc w:val="both"/>
    </w:pPr>
    <w:rPr>
      <w:rFonts w:eastAsia="Times New Roman" w:cs="Times New Roman"/>
      <w:szCs w:val="20"/>
      <w:lang w:eastAsia="en-GB"/>
    </w:rPr>
  </w:style>
  <w:style w:type="paragraph" w:customStyle="1" w:styleId="Clause9Sub">
    <w:name w:val="Clause9Sub"/>
    <w:basedOn w:val="Normal"/>
    <w:qFormat/>
    <w:rsid w:val="00A725C1"/>
    <w:pPr>
      <w:numPr>
        <w:ilvl w:val="8"/>
        <w:numId w:val="3"/>
      </w:numPr>
      <w:jc w:val="both"/>
    </w:pPr>
    <w:rPr>
      <w:rFonts w:eastAsia="Times New Roman" w:cs="Times New Roman"/>
      <w:szCs w:val="20"/>
      <w:lang w:eastAsia="en-GB"/>
    </w:rPr>
  </w:style>
  <w:style w:type="paragraph" w:customStyle="1" w:styleId="NormalDouble">
    <w:name w:val="Normal Double"/>
    <w:basedOn w:val="Normal"/>
    <w:rsid w:val="005C7066"/>
    <w:pPr>
      <w:spacing w:line="480" w:lineRule="atLeast"/>
      <w:jc w:val="both"/>
    </w:pPr>
    <w:rPr>
      <w:rFonts w:eastAsia="Times New Roman" w:cs="Times New Roman"/>
      <w:lang w:val="en-US"/>
    </w:rPr>
  </w:style>
  <w:style w:type="paragraph" w:customStyle="1" w:styleId="NormalSingle">
    <w:name w:val="Normal Single"/>
    <w:basedOn w:val="Normal"/>
    <w:rsid w:val="005C7066"/>
    <w:pPr>
      <w:spacing w:line="240" w:lineRule="atLeast"/>
      <w:jc w:val="both"/>
    </w:pPr>
    <w:rPr>
      <w:rFonts w:eastAsia="Times New Roman" w:cs="Times New Roman"/>
      <w:lang w:val="en-US"/>
    </w:rPr>
  </w:style>
  <w:style w:type="paragraph" w:customStyle="1" w:styleId="NormalTable">
    <w:name w:val="NormalTable"/>
    <w:basedOn w:val="Normal"/>
    <w:next w:val="Normal"/>
    <w:rsid w:val="005C7066"/>
    <w:pPr>
      <w:spacing w:after="0" w:line="240" w:lineRule="atLeast"/>
    </w:pPr>
    <w:rPr>
      <w:rFonts w:eastAsia="Times New Roman" w:cs="Times New Roman"/>
      <w:sz w:val="16"/>
      <w:szCs w:val="16"/>
      <w:lang w:val="en-US" w:eastAsia="en-GB"/>
    </w:rPr>
  </w:style>
  <w:style w:type="paragraph" w:customStyle="1" w:styleId="NoSpaceNormal">
    <w:name w:val="NoSpaceNormal"/>
    <w:basedOn w:val="Normal"/>
    <w:qFormat/>
    <w:rsid w:val="005C7066"/>
    <w:pPr>
      <w:spacing w:after="0"/>
      <w:jc w:val="both"/>
    </w:pPr>
    <w:rPr>
      <w:rFonts w:eastAsia="Times New Roman" w:cs="Times New Roman"/>
      <w:lang w:val="en-US"/>
    </w:rPr>
  </w:style>
  <w:style w:type="paragraph" w:customStyle="1" w:styleId="NoSpaceNormalSingle">
    <w:name w:val="NoSpaceNormalSingle"/>
    <w:basedOn w:val="Normal"/>
    <w:qFormat/>
    <w:rsid w:val="005C7066"/>
    <w:pPr>
      <w:spacing w:after="0" w:line="240" w:lineRule="atLeast"/>
      <w:jc w:val="both"/>
    </w:pPr>
    <w:rPr>
      <w:rFonts w:eastAsia="Times New Roman" w:cs="Times New Roman"/>
      <w:lang w:val="en-US"/>
    </w:rPr>
  </w:style>
  <w:style w:type="paragraph" w:customStyle="1" w:styleId="XClause0Sub">
    <w:name w:val="XClause0Sub"/>
    <w:basedOn w:val="Normal"/>
    <w:rsid w:val="00A725C1"/>
    <w:pPr>
      <w:tabs>
        <w:tab w:val="left" w:pos="680"/>
        <w:tab w:val="left" w:pos="1474"/>
        <w:tab w:val="left" w:pos="2552"/>
        <w:tab w:val="left" w:pos="3629"/>
        <w:tab w:val="left" w:pos="4763"/>
        <w:tab w:val="left" w:pos="6124"/>
        <w:tab w:val="left" w:pos="6861"/>
        <w:tab w:val="left" w:pos="7655"/>
        <w:tab w:val="left" w:pos="8222"/>
      </w:tabs>
      <w:ind w:left="720"/>
      <w:jc w:val="both"/>
    </w:pPr>
    <w:rPr>
      <w:rFonts w:eastAsia="Times New Roman" w:cs="Times New Roman"/>
      <w:szCs w:val="20"/>
      <w:lang w:eastAsia="en-GB"/>
    </w:rPr>
  </w:style>
  <w:style w:type="paragraph" w:customStyle="1" w:styleId="XClause1Head">
    <w:name w:val="XClause1Head"/>
    <w:basedOn w:val="Normal"/>
    <w:rsid w:val="00A725C1"/>
    <w:pPr>
      <w:numPr>
        <w:numId w:val="4"/>
      </w:numPr>
      <w:jc w:val="both"/>
    </w:pPr>
    <w:rPr>
      <w:rFonts w:eastAsia="Times New Roman" w:cs="Times New Roman"/>
      <w:szCs w:val="20"/>
      <w:lang w:eastAsia="en-GB"/>
    </w:rPr>
  </w:style>
  <w:style w:type="paragraph" w:customStyle="1" w:styleId="XClause2Sub">
    <w:name w:val="XClause2Sub"/>
    <w:basedOn w:val="Normal"/>
    <w:link w:val="XClause2SubChar"/>
    <w:rsid w:val="00A725C1"/>
    <w:pPr>
      <w:numPr>
        <w:ilvl w:val="1"/>
        <w:numId w:val="4"/>
      </w:numPr>
      <w:jc w:val="both"/>
    </w:pPr>
    <w:rPr>
      <w:rFonts w:eastAsia="Times New Roman" w:cs="Times New Roman"/>
      <w:szCs w:val="20"/>
      <w:lang w:eastAsia="en-GB"/>
    </w:rPr>
  </w:style>
  <w:style w:type="character" w:customStyle="1" w:styleId="XClause2SubChar">
    <w:name w:val="XClause2Sub Char"/>
    <w:basedOn w:val="DefaultParagraphFont"/>
    <w:link w:val="XClause2Sub"/>
    <w:rsid w:val="005C7066"/>
    <w:rPr>
      <w:rFonts w:ascii="Arial" w:eastAsia="Times New Roman" w:hAnsi="Arial" w:cs="Times New Roman"/>
      <w:sz w:val="20"/>
      <w:szCs w:val="20"/>
      <w:lang w:eastAsia="en-GB"/>
    </w:rPr>
  </w:style>
  <w:style w:type="paragraph" w:customStyle="1" w:styleId="XClause3Sub">
    <w:name w:val="XClause3Sub"/>
    <w:basedOn w:val="Normal"/>
    <w:rsid w:val="00A725C1"/>
    <w:pPr>
      <w:numPr>
        <w:ilvl w:val="2"/>
        <w:numId w:val="4"/>
      </w:numPr>
      <w:jc w:val="both"/>
    </w:pPr>
    <w:rPr>
      <w:rFonts w:eastAsia="Times New Roman" w:cs="Times New Roman"/>
      <w:szCs w:val="20"/>
      <w:lang w:eastAsia="en-GB"/>
    </w:rPr>
  </w:style>
  <w:style w:type="paragraph" w:customStyle="1" w:styleId="XClause4Sub">
    <w:name w:val="XClause4Sub"/>
    <w:basedOn w:val="Clause4Sub"/>
    <w:rsid w:val="00A725C1"/>
    <w:pPr>
      <w:numPr>
        <w:numId w:val="4"/>
      </w:numPr>
    </w:pPr>
  </w:style>
  <w:style w:type="paragraph" w:customStyle="1" w:styleId="XClause5Sub">
    <w:name w:val="XClause5Sub"/>
    <w:basedOn w:val="Normal"/>
    <w:rsid w:val="00A725C1"/>
    <w:pPr>
      <w:numPr>
        <w:ilvl w:val="4"/>
        <w:numId w:val="4"/>
      </w:numPr>
      <w:jc w:val="both"/>
    </w:pPr>
    <w:rPr>
      <w:rFonts w:eastAsia="Times New Roman" w:cs="Times New Roman"/>
      <w:szCs w:val="20"/>
      <w:lang w:eastAsia="en-GB"/>
    </w:rPr>
  </w:style>
  <w:style w:type="paragraph" w:customStyle="1" w:styleId="XClause6Sub">
    <w:name w:val="XClause6Sub"/>
    <w:basedOn w:val="Normal"/>
    <w:rsid w:val="00A725C1"/>
    <w:pPr>
      <w:numPr>
        <w:ilvl w:val="5"/>
        <w:numId w:val="4"/>
      </w:numPr>
      <w:jc w:val="both"/>
    </w:pPr>
    <w:rPr>
      <w:rFonts w:eastAsia="Times New Roman" w:cs="Times New Roman"/>
      <w:szCs w:val="20"/>
      <w:lang w:eastAsia="en-GB"/>
    </w:rPr>
  </w:style>
  <w:style w:type="paragraph" w:customStyle="1" w:styleId="XClause7Sub">
    <w:name w:val="XClause7Sub"/>
    <w:basedOn w:val="Normal"/>
    <w:rsid w:val="00A725C1"/>
    <w:pPr>
      <w:numPr>
        <w:ilvl w:val="6"/>
        <w:numId w:val="4"/>
      </w:numPr>
      <w:jc w:val="both"/>
    </w:pPr>
    <w:rPr>
      <w:rFonts w:eastAsia="Times New Roman" w:cs="Times New Roman"/>
      <w:szCs w:val="20"/>
      <w:lang w:eastAsia="en-GB"/>
    </w:rPr>
  </w:style>
  <w:style w:type="paragraph" w:customStyle="1" w:styleId="XClause8Sub">
    <w:name w:val="XClause8Sub"/>
    <w:basedOn w:val="Normal"/>
    <w:rsid w:val="00A725C1"/>
    <w:pPr>
      <w:numPr>
        <w:ilvl w:val="7"/>
        <w:numId w:val="4"/>
      </w:numPr>
      <w:jc w:val="both"/>
    </w:pPr>
    <w:rPr>
      <w:rFonts w:eastAsia="Times New Roman" w:cs="Times New Roman"/>
      <w:szCs w:val="20"/>
      <w:lang w:eastAsia="en-GB"/>
    </w:rPr>
  </w:style>
  <w:style w:type="paragraph" w:customStyle="1" w:styleId="XClause9Sub">
    <w:name w:val="XClause9Sub"/>
    <w:basedOn w:val="Normal"/>
    <w:rsid w:val="00A725C1"/>
    <w:pPr>
      <w:numPr>
        <w:ilvl w:val="8"/>
        <w:numId w:val="4"/>
      </w:numPr>
      <w:jc w:val="both"/>
    </w:pPr>
    <w:rPr>
      <w:rFonts w:eastAsia="Times New Roman" w:cs="Times New Roman"/>
      <w:szCs w:val="20"/>
      <w:lang w:eastAsia="en-GB"/>
    </w:rPr>
  </w:style>
  <w:style w:type="character" w:customStyle="1" w:styleId="Heading1Char">
    <w:name w:val="Heading 1 Char"/>
    <w:basedOn w:val="DefaultParagraphFont"/>
    <w:link w:val="Heading1"/>
    <w:uiPriority w:val="9"/>
    <w:rsid w:val="005C7066"/>
    <w:rPr>
      <w:rFonts w:ascii="Arial" w:eastAsia="Verdana" w:hAnsi="Arial" w:cstheme="majorBidi"/>
      <w:b/>
      <w:bCs/>
      <w:sz w:val="20"/>
    </w:rPr>
  </w:style>
  <w:style w:type="character" w:customStyle="1" w:styleId="Heading2Char">
    <w:name w:val="Heading 2 Char"/>
    <w:basedOn w:val="DefaultParagraphFont"/>
    <w:link w:val="Heading2"/>
    <w:uiPriority w:val="9"/>
    <w:semiHidden/>
    <w:rsid w:val="005C70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706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5C706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5C706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C706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5C706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C7066"/>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rsid w:val="005C7066"/>
    <w:rPr>
      <w:rFonts w:asciiTheme="majorHAnsi" w:eastAsiaTheme="majorEastAsia" w:hAnsiTheme="majorHAnsi" w:cstheme="majorBidi"/>
      <w:i/>
      <w:iCs/>
      <w:color w:val="404040" w:themeColor="text1" w:themeTint="BF"/>
      <w:sz w:val="20"/>
    </w:rPr>
  </w:style>
  <w:style w:type="character" w:styleId="SubtleEmphasis">
    <w:name w:val="Subtle Emphasis"/>
    <w:basedOn w:val="DefaultParagraphFont"/>
    <w:uiPriority w:val="19"/>
    <w:rsid w:val="005C7066"/>
    <w:rPr>
      <w:i/>
      <w:iCs/>
      <w:color w:val="808080" w:themeColor="text1" w:themeTint="7F"/>
    </w:rPr>
  </w:style>
  <w:style w:type="paragraph" w:customStyle="1" w:styleId="Annexure">
    <w:name w:val="Annexure"/>
    <w:basedOn w:val="Normal"/>
    <w:next w:val="Normal"/>
    <w:link w:val="AnnexureChar"/>
    <w:qFormat/>
    <w:rsid w:val="000127E6"/>
    <w:pPr>
      <w:numPr>
        <w:numId w:val="7"/>
      </w:numPr>
      <w:jc w:val="right"/>
    </w:pPr>
    <w:rPr>
      <w:b/>
    </w:rPr>
  </w:style>
  <w:style w:type="character" w:customStyle="1" w:styleId="AnnexureChar">
    <w:name w:val="Annexure Char"/>
    <w:basedOn w:val="DefaultParagraphFont"/>
    <w:link w:val="Annexure"/>
    <w:rsid w:val="000127E6"/>
    <w:rPr>
      <w:rFonts w:ascii="Arial" w:hAnsi="Arial"/>
      <w:b/>
      <w:sz w:val="20"/>
    </w:rPr>
  </w:style>
  <w:style w:type="paragraph" w:styleId="TOC1">
    <w:name w:val="toc 1"/>
    <w:basedOn w:val="Normal"/>
    <w:next w:val="Normal"/>
    <w:autoRedefine/>
    <w:uiPriority w:val="39"/>
    <w:unhideWhenUsed/>
    <w:rsid w:val="004453B3"/>
    <w:pPr>
      <w:spacing w:after="100"/>
    </w:pPr>
  </w:style>
  <w:style w:type="character" w:styleId="Hyperlink">
    <w:name w:val="Hyperlink"/>
    <w:basedOn w:val="DefaultParagraphFont"/>
    <w:uiPriority w:val="99"/>
    <w:unhideWhenUsed/>
    <w:rsid w:val="004453B3"/>
    <w:rPr>
      <w:color w:val="0000FF" w:themeColor="hyperlink"/>
      <w:u w:val="single"/>
    </w:rPr>
  </w:style>
  <w:style w:type="paragraph" w:styleId="Header">
    <w:name w:val="header"/>
    <w:basedOn w:val="Normal"/>
    <w:link w:val="HeaderChar"/>
    <w:uiPriority w:val="99"/>
    <w:unhideWhenUsed/>
    <w:rsid w:val="006F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7F5"/>
    <w:rPr>
      <w:rFonts w:ascii="Arial" w:hAnsi="Arial"/>
      <w:sz w:val="20"/>
    </w:rPr>
  </w:style>
  <w:style w:type="paragraph" w:styleId="Footer">
    <w:name w:val="footer"/>
    <w:basedOn w:val="Normal"/>
    <w:link w:val="FooterChar"/>
    <w:uiPriority w:val="99"/>
    <w:unhideWhenUsed/>
    <w:rsid w:val="006F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7F5"/>
    <w:rPr>
      <w:rFonts w:ascii="Arial" w:hAnsi="Arial"/>
      <w:sz w:val="20"/>
    </w:rPr>
  </w:style>
  <w:style w:type="paragraph" w:styleId="TOC2">
    <w:name w:val="toc 2"/>
    <w:basedOn w:val="Normal"/>
    <w:next w:val="Normal"/>
    <w:autoRedefine/>
    <w:uiPriority w:val="39"/>
    <w:unhideWhenUsed/>
    <w:rsid w:val="009B1C71"/>
    <w:pPr>
      <w:spacing w:after="100"/>
      <w:ind w:left="200"/>
    </w:pPr>
  </w:style>
  <w:style w:type="paragraph" w:styleId="TOC3">
    <w:name w:val="toc 3"/>
    <w:basedOn w:val="Normal"/>
    <w:next w:val="Normal"/>
    <w:autoRedefine/>
    <w:uiPriority w:val="39"/>
    <w:semiHidden/>
    <w:unhideWhenUsed/>
    <w:rsid w:val="009B1C71"/>
    <w:pPr>
      <w:spacing w:after="100"/>
      <w:ind w:left="400"/>
    </w:pPr>
  </w:style>
  <w:style w:type="paragraph" w:styleId="TOC4">
    <w:name w:val="toc 4"/>
    <w:basedOn w:val="Normal"/>
    <w:next w:val="Normal"/>
    <w:autoRedefine/>
    <w:uiPriority w:val="39"/>
    <w:semiHidden/>
    <w:unhideWhenUsed/>
    <w:rsid w:val="009B1C71"/>
    <w:pPr>
      <w:spacing w:after="100"/>
      <w:ind w:left="600"/>
    </w:pPr>
  </w:style>
  <w:style w:type="paragraph" w:styleId="TOC5">
    <w:name w:val="toc 5"/>
    <w:basedOn w:val="Normal"/>
    <w:next w:val="Normal"/>
    <w:autoRedefine/>
    <w:uiPriority w:val="39"/>
    <w:semiHidden/>
    <w:unhideWhenUsed/>
    <w:rsid w:val="009B1C71"/>
    <w:pPr>
      <w:spacing w:after="100"/>
      <w:ind w:left="800"/>
    </w:pPr>
  </w:style>
  <w:style w:type="paragraph" w:styleId="TOC6">
    <w:name w:val="toc 6"/>
    <w:basedOn w:val="Normal"/>
    <w:next w:val="Normal"/>
    <w:autoRedefine/>
    <w:uiPriority w:val="39"/>
    <w:semiHidden/>
    <w:unhideWhenUsed/>
    <w:rsid w:val="009B1C71"/>
    <w:pPr>
      <w:spacing w:after="100"/>
      <w:ind w:left="1000"/>
    </w:pPr>
  </w:style>
  <w:style w:type="paragraph" w:styleId="TOC7">
    <w:name w:val="toc 7"/>
    <w:basedOn w:val="Normal"/>
    <w:next w:val="Normal"/>
    <w:autoRedefine/>
    <w:uiPriority w:val="39"/>
    <w:semiHidden/>
    <w:unhideWhenUsed/>
    <w:rsid w:val="009B1C71"/>
    <w:pPr>
      <w:spacing w:after="100"/>
      <w:ind w:left="1200"/>
    </w:pPr>
  </w:style>
  <w:style w:type="paragraph" w:styleId="TOC8">
    <w:name w:val="toc 8"/>
    <w:basedOn w:val="Normal"/>
    <w:next w:val="Normal"/>
    <w:autoRedefine/>
    <w:uiPriority w:val="39"/>
    <w:semiHidden/>
    <w:unhideWhenUsed/>
    <w:rsid w:val="009B1C71"/>
    <w:pPr>
      <w:spacing w:after="100"/>
      <w:ind w:left="1400"/>
    </w:pPr>
  </w:style>
  <w:style w:type="paragraph" w:styleId="TOC9">
    <w:name w:val="toc 9"/>
    <w:basedOn w:val="Normal"/>
    <w:next w:val="Normal"/>
    <w:autoRedefine/>
    <w:uiPriority w:val="39"/>
    <w:semiHidden/>
    <w:unhideWhenUsed/>
    <w:rsid w:val="009B1C71"/>
    <w:pPr>
      <w:spacing w:after="100"/>
      <w:ind w:left="1600"/>
    </w:pPr>
  </w:style>
  <w:style w:type="paragraph" w:customStyle="1" w:styleId="Schedule">
    <w:name w:val="Schedule"/>
    <w:basedOn w:val="Normal"/>
    <w:next w:val="Normal"/>
    <w:qFormat/>
    <w:rsid w:val="002121C2"/>
    <w:pPr>
      <w:numPr>
        <w:numId w:val="8"/>
      </w:numPr>
      <w:jc w:val="right"/>
    </w:pPr>
    <w:rPr>
      <w:rFonts w:eastAsia="Times New Roman" w:cs="Times New Roman"/>
      <w:b/>
      <w:szCs w:val="20"/>
      <w:lang w:eastAsia="en-GB"/>
    </w:rPr>
  </w:style>
  <w:style w:type="table" w:styleId="TableGrid">
    <w:name w:val="Table Grid"/>
    <w:basedOn w:val="TableNormal"/>
    <w:uiPriority w:val="59"/>
    <w:rsid w:val="0042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27C06"/>
    <w:pPr>
      <w:ind w:left="720"/>
      <w:contextualSpacing/>
    </w:pPr>
  </w:style>
  <w:style w:type="paragraph" w:styleId="FootnoteText">
    <w:name w:val="footnote text"/>
    <w:basedOn w:val="Normal"/>
    <w:link w:val="FootnoteTextChar"/>
    <w:uiPriority w:val="99"/>
    <w:semiHidden/>
    <w:unhideWhenUsed/>
    <w:rsid w:val="002030F9"/>
    <w:pPr>
      <w:spacing w:after="0" w:line="240" w:lineRule="auto"/>
    </w:pPr>
    <w:rPr>
      <w:szCs w:val="20"/>
    </w:rPr>
  </w:style>
  <w:style w:type="character" w:customStyle="1" w:styleId="FootnoteTextChar">
    <w:name w:val="Footnote Text Char"/>
    <w:basedOn w:val="DefaultParagraphFont"/>
    <w:link w:val="FootnoteText"/>
    <w:uiPriority w:val="99"/>
    <w:semiHidden/>
    <w:rsid w:val="002030F9"/>
    <w:rPr>
      <w:rFonts w:ascii="Arial" w:hAnsi="Arial"/>
      <w:sz w:val="20"/>
      <w:szCs w:val="20"/>
    </w:rPr>
  </w:style>
  <w:style w:type="character" w:styleId="FootnoteReference">
    <w:name w:val="footnote reference"/>
    <w:basedOn w:val="DefaultParagraphFont"/>
    <w:uiPriority w:val="99"/>
    <w:semiHidden/>
    <w:unhideWhenUsed/>
    <w:rsid w:val="002030F9"/>
    <w:rPr>
      <w:vertAlign w:val="superscript"/>
    </w:rPr>
  </w:style>
  <w:style w:type="character" w:styleId="CommentReference">
    <w:name w:val="annotation reference"/>
    <w:basedOn w:val="DefaultParagraphFont"/>
    <w:uiPriority w:val="99"/>
    <w:semiHidden/>
    <w:unhideWhenUsed/>
    <w:rsid w:val="005845BE"/>
    <w:rPr>
      <w:sz w:val="16"/>
      <w:szCs w:val="16"/>
    </w:rPr>
  </w:style>
  <w:style w:type="paragraph" w:styleId="CommentText">
    <w:name w:val="annotation text"/>
    <w:basedOn w:val="Normal"/>
    <w:link w:val="CommentTextChar"/>
    <w:uiPriority w:val="99"/>
    <w:semiHidden/>
    <w:unhideWhenUsed/>
    <w:rsid w:val="005845BE"/>
    <w:pPr>
      <w:spacing w:line="240" w:lineRule="auto"/>
    </w:pPr>
    <w:rPr>
      <w:szCs w:val="20"/>
    </w:rPr>
  </w:style>
  <w:style w:type="character" w:customStyle="1" w:styleId="CommentTextChar">
    <w:name w:val="Comment Text Char"/>
    <w:basedOn w:val="DefaultParagraphFont"/>
    <w:link w:val="CommentText"/>
    <w:uiPriority w:val="99"/>
    <w:semiHidden/>
    <w:rsid w:val="005845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45BE"/>
    <w:rPr>
      <w:b/>
      <w:bCs/>
    </w:rPr>
  </w:style>
  <w:style w:type="character" w:customStyle="1" w:styleId="CommentSubjectChar">
    <w:name w:val="Comment Subject Char"/>
    <w:basedOn w:val="CommentTextChar"/>
    <w:link w:val="CommentSubject"/>
    <w:uiPriority w:val="99"/>
    <w:semiHidden/>
    <w:rsid w:val="005845BE"/>
    <w:rPr>
      <w:rFonts w:ascii="Arial" w:hAnsi="Arial"/>
      <w:b/>
      <w:bCs/>
      <w:sz w:val="20"/>
      <w:szCs w:val="20"/>
    </w:rPr>
  </w:style>
  <w:style w:type="paragraph" w:styleId="BalloonText">
    <w:name w:val="Balloon Text"/>
    <w:basedOn w:val="Normal"/>
    <w:link w:val="BalloonTextChar"/>
    <w:uiPriority w:val="99"/>
    <w:semiHidden/>
    <w:unhideWhenUsed/>
    <w:rsid w:val="0058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E71AD4003D34B9068672886665E57" ma:contentTypeVersion="4" ma:contentTypeDescription="Create a new document." ma:contentTypeScope="" ma:versionID="db3919779ab35bfdcd201a5ff733f36b">
  <xsd:schema xmlns:xsd="http://www.w3.org/2001/XMLSchema" xmlns:xs="http://www.w3.org/2001/XMLSchema" xmlns:p="http://schemas.microsoft.com/office/2006/metadata/properties" xmlns:ns3="39acb5d9-0d8d-44cd-a689-0b998d8d0c3f" targetNamespace="http://schemas.microsoft.com/office/2006/metadata/properties" ma:root="true" ma:fieldsID="d336ab4008de51f407f38cb198ce27b7" ns3:_="">
    <xsd:import namespace="39acb5d9-0d8d-44cd-a689-0b998d8d0c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cb5d9-0d8d-44cd-a689-0b998d8d0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 E N S ! 3 2 1 1 6 9 2 . 1 < / d o c u m e n t i d >  
     < s e n d e r i d > J R 0 1 0 < / s e n d e r i d >  
     < s e n d e r e m a i l > J R A E @ E N S A F R I C A . C O M < / s e n d e r e m a i l >  
     < l a s t m o d i f i e d > 2 0 2 1 - 0 8 - 1 1 T 1 1 : 3 6 : 0 0 . 0 0 0 0 0 0 0 + 0 2 : 0 0 < / l a s t m o d i f i e d >  
     < d a t a b a s e > E N S < / d a t a b a s e >  
 < / 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AD41-7788-4BF7-940D-3C3282A5AD32}">
  <ds:schemaRefs>
    <ds:schemaRef ds:uri="http://schemas.microsoft.com/sharepoint/v3/contenttype/forms"/>
  </ds:schemaRefs>
</ds:datastoreItem>
</file>

<file path=customXml/itemProps2.xml><?xml version="1.0" encoding="utf-8"?>
<ds:datastoreItem xmlns:ds="http://schemas.openxmlformats.org/officeDocument/2006/customXml" ds:itemID="{7E650945-865C-47D1-ACAA-D13387DB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cb5d9-0d8d-44cd-a689-0b998d8d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819EC-ABBE-4178-8D5F-AC71B5B3ABBF}">
  <ds:schemaRefs>
    <ds:schemaRef ds:uri="http://www.imanage.com/work/xmlschema"/>
  </ds:schemaRefs>
</ds:datastoreItem>
</file>

<file path=customXml/itemProps4.xml><?xml version="1.0" encoding="utf-8"?>
<ds:datastoreItem xmlns:ds="http://schemas.openxmlformats.org/officeDocument/2006/customXml" ds:itemID="{33BE8D17-EC7B-45A0-A4A2-B2A0264C0C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D70B06-FF27-4B7E-BB72-FE28B2D3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Edward Nathan Sonnebergs</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Rae</dc:creator>
  <cp:lastModifiedBy>Lazarus Rakgwale</cp:lastModifiedBy>
  <cp:revision>2</cp:revision>
  <cp:lastPrinted>2020-10-30T18:50:00Z</cp:lastPrinted>
  <dcterms:created xsi:type="dcterms:W3CDTF">2021-11-10T08:52:00Z</dcterms:created>
  <dcterms:modified xsi:type="dcterms:W3CDTF">2021-11-10T08:52:00Z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0x01010012DE71AD4003D34B9068672886665E57</vt:lpwstr>
  </property>
</Properties>
</file>