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2335" w14:textId="77777777" w:rsidR="00C46C3A" w:rsidRPr="00C46C3A" w:rsidRDefault="00C46C3A" w:rsidP="00890F3B">
      <w:pPr>
        <w:spacing w:after="0" w:line="360" w:lineRule="auto"/>
        <w:jc w:val="center"/>
        <w:rPr>
          <w:rFonts w:ascii="Arial" w:eastAsia="Times New Roman" w:hAnsi="Arial" w:cs="Arial"/>
          <w:b/>
          <w:kern w:val="28"/>
          <w:sz w:val="24"/>
          <w:szCs w:val="24"/>
          <w:lang w:eastAsia="en-GB"/>
        </w:rPr>
      </w:pPr>
      <w:r w:rsidRPr="00C46C3A">
        <w:rPr>
          <w:rFonts w:ascii="Arial" w:eastAsia="Times New Roman" w:hAnsi="Arial" w:cs="Arial"/>
          <w:b/>
          <w:kern w:val="28"/>
          <w:sz w:val="24"/>
          <w:szCs w:val="24"/>
          <w:lang w:eastAsia="en-GB"/>
        </w:rPr>
        <w:t>REPUBLIC OF SOUTH AFRICA</w:t>
      </w:r>
    </w:p>
    <w:p w14:paraId="2B71586F" w14:textId="77777777" w:rsidR="00C46C3A" w:rsidRPr="00C46C3A" w:rsidRDefault="00C46C3A" w:rsidP="00C46C3A">
      <w:pPr>
        <w:spacing w:after="0" w:line="360" w:lineRule="auto"/>
        <w:ind w:leftChars="-38" w:left="-84"/>
        <w:jc w:val="center"/>
        <w:rPr>
          <w:rFonts w:ascii="Arial" w:eastAsia="Times New Roman" w:hAnsi="Arial" w:cs="Arial"/>
          <w:b/>
          <w:kern w:val="28"/>
          <w:sz w:val="24"/>
          <w:szCs w:val="24"/>
          <w:lang w:eastAsia="en-GB"/>
        </w:rPr>
      </w:pPr>
      <w:r w:rsidRPr="00C46C3A">
        <w:rPr>
          <w:rFonts w:ascii="Arial" w:eastAsia="Times New Roman" w:hAnsi="Arial" w:cs="Arial"/>
          <w:b/>
          <w:noProof/>
          <w:kern w:val="28"/>
          <w:sz w:val="24"/>
          <w:szCs w:val="24"/>
          <w:lang w:eastAsia="en-ZA"/>
        </w:rPr>
        <w:drawing>
          <wp:inline distT="0" distB="0" distL="0" distR="0" wp14:anchorId="5992F749" wp14:editId="76259850">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365A6C4C" w14:textId="77777777" w:rsidR="00C46C3A" w:rsidRPr="00C46C3A" w:rsidRDefault="00C46C3A" w:rsidP="00C46C3A">
      <w:pPr>
        <w:spacing w:after="0" w:line="360" w:lineRule="auto"/>
        <w:ind w:leftChars="-38" w:left="-84"/>
        <w:jc w:val="center"/>
        <w:rPr>
          <w:rFonts w:ascii="Arial" w:eastAsia="Times New Roman" w:hAnsi="Arial" w:cs="Arial"/>
          <w:b/>
          <w:kern w:val="28"/>
          <w:sz w:val="24"/>
          <w:szCs w:val="24"/>
          <w:lang w:eastAsia="en-GB"/>
        </w:rPr>
      </w:pPr>
      <w:r w:rsidRPr="00C46C3A">
        <w:rPr>
          <w:rFonts w:ascii="Arial" w:eastAsia="Times New Roman" w:hAnsi="Arial" w:cs="Arial"/>
          <w:b/>
          <w:kern w:val="28"/>
          <w:sz w:val="24"/>
          <w:szCs w:val="24"/>
          <w:lang w:eastAsia="en-GB"/>
        </w:rPr>
        <w:t>IN THE HIGH COURT OF SOUTH AFRICA</w:t>
      </w:r>
    </w:p>
    <w:p w14:paraId="45F96E82" w14:textId="77777777" w:rsidR="00C46C3A" w:rsidRPr="00C46C3A" w:rsidRDefault="00C46C3A" w:rsidP="00C46C3A">
      <w:pPr>
        <w:spacing w:after="0" w:line="360" w:lineRule="auto"/>
        <w:ind w:leftChars="-38" w:left="-84"/>
        <w:jc w:val="center"/>
        <w:rPr>
          <w:rFonts w:ascii="Arial" w:eastAsia="Times New Roman" w:hAnsi="Arial" w:cs="Arial"/>
          <w:b/>
          <w:kern w:val="28"/>
          <w:sz w:val="24"/>
          <w:szCs w:val="24"/>
          <w:lang w:eastAsia="en-GB"/>
        </w:rPr>
      </w:pPr>
      <w:r w:rsidRPr="00C46C3A">
        <w:rPr>
          <w:rFonts w:ascii="Arial" w:eastAsia="Times New Roman" w:hAnsi="Arial" w:cs="Arial"/>
          <w:b/>
          <w:kern w:val="28"/>
          <w:sz w:val="24"/>
          <w:szCs w:val="24"/>
          <w:lang w:eastAsia="en-GB"/>
        </w:rPr>
        <w:t>GAUTENG DIVISION, JOHANNESBURG</w:t>
      </w:r>
    </w:p>
    <w:p w14:paraId="0D115556" w14:textId="77777777" w:rsidR="00C46C3A" w:rsidRPr="00C46C3A" w:rsidRDefault="00C46C3A" w:rsidP="00C46C3A">
      <w:pPr>
        <w:widowControl w:val="0"/>
        <w:spacing w:after="0" w:line="240" w:lineRule="auto"/>
        <w:jc w:val="center"/>
        <w:rPr>
          <w:rFonts w:ascii="Arial" w:eastAsia="Times New Roman" w:hAnsi="Arial" w:cs="Arial"/>
          <w:kern w:val="28"/>
          <w:sz w:val="24"/>
          <w:szCs w:val="24"/>
          <w:lang w:eastAsia="en-GB"/>
        </w:rPr>
      </w:pPr>
    </w:p>
    <w:p w14:paraId="6D036B21" w14:textId="77777777" w:rsidR="00C46C3A" w:rsidRPr="00C46C3A" w:rsidRDefault="00C46C3A" w:rsidP="00C46C3A">
      <w:pPr>
        <w:widowControl w:val="0"/>
        <w:spacing w:after="0" w:line="240" w:lineRule="auto"/>
        <w:jc w:val="center"/>
        <w:rPr>
          <w:rFonts w:ascii="Arial" w:eastAsia="Times New Roman" w:hAnsi="Arial" w:cs="Arial"/>
          <w:kern w:val="28"/>
          <w:sz w:val="24"/>
          <w:szCs w:val="24"/>
          <w:lang w:eastAsia="en-GB"/>
        </w:rPr>
      </w:pPr>
    </w:p>
    <w:p w14:paraId="3731B53E" w14:textId="77777777" w:rsidR="00C46C3A" w:rsidRPr="00C46C3A" w:rsidRDefault="00C46C3A" w:rsidP="00C46C3A">
      <w:pPr>
        <w:tabs>
          <w:tab w:val="left" w:pos="-720"/>
        </w:tabs>
        <w:suppressAutoHyphens/>
        <w:spacing w:after="0" w:line="240" w:lineRule="auto"/>
        <w:jc w:val="right"/>
        <w:rPr>
          <w:rFonts w:ascii="Arial" w:eastAsia="Times New Roman" w:hAnsi="Arial" w:cs="Arial"/>
          <w:b/>
          <w:bCs/>
          <w:spacing w:val="-3"/>
          <w:kern w:val="28"/>
          <w:sz w:val="24"/>
          <w:szCs w:val="24"/>
          <w:lang w:eastAsia="en-GB"/>
        </w:rPr>
      </w:pPr>
      <w:r w:rsidRPr="00C46C3A">
        <w:rPr>
          <w:rFonts w:ascii="Arial" w:eastAsia="Times New Roman" w:hAnsi="Arial" w:cs="Arial"/>
          <w:b/>
          <w:bCs/>
          <w:spacing w:val="-3"/>
          <w:kern w:val="28"/>
          <w:sz w:val="24"/>
          <w:szCs w:val="24"/>
          <w:lang w:eastAsia="en-GB"/>
        </w:rPr>
        <w:t>CASE NUMBER:</w:t>
      </w:r>
      <w:r w:rsidRPr="00C46C3A">
        <w:rPr>
          <w:rFonts w:ascii="Arial" w:eastAsia="Times New Roman" w:hAnsi="Arial" w:cs="Times New Roman"/>
          <w:kern w:val="28"/>
          <w:sz w:val="24"/>
          <w:szCs w:val="24"/>
          <w:lang w:eastAsia="en-GB"/>
        </w:rPr>
        <w:t xml:space="preserve"> </w:t>
      </w:r>
      <w:r w:rsidR="00C16810" w:rsidRPr="00C16810">
        <w:rPr>
          <w:rFonts w:ascii="Arial" w:eastAsia="Calibri" w:hAnsi="Arial" w:cs="Arial"/>
          <w:b/>
          <w:bCs/>
          <w:color w:val="000000"/>
          <w:sz w:val="26"/>
          <w:szCs w:val="26"/>
        </w:rPr>
        <w:t>2021/43557</w:t>
      </w:r>
      <w:r w:rsidR="00C16810" w:rsidRPr="00C16810">
        <w:rPr>
          <w:rFonts w:ascii="Arial" w:eastAsia="Calibri" w:hAnsi="Arial" w:cs="Arial"/>
          <w:b/>
          <w:bCs/>
          <w:color w:val="000000"/>
          <w:sz w:val="26"/>
          <w:szCs w:val="26"/>
        </w:rPr>
        <w:tab/>
      </w:r>
    </w:p>
    <w:p w14:paraId="0902E6DD" w14:textId="77777777" w:rsidR="00C46C3A" w:rsidRPr="00C46C3A" w:rsidRDefault="00C46C3A" w:rsidP="00C46C3A">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C46C3A" w:rsidRPr="00C46C3A" w14:paraId="12D02FBF" w14:textId="77777777" w:rsidTr="00A85118">
        <w:trPr>
          <w:trHeight w:val="2528"/>
        </w:trPr>
        <w:tc>
          <w:tcPr>
            <w:tcW w:w="5812" w:type="dxa"/>
            <w:tcBorders>
              <w:top w:val="single" w:sz="4" w:space="0" w:color="auto"/>
              <w:left w:val="single" w:sz="4" w:space="0" w:color="auto"/>
              <w:bottom w:val="single" w:sz="4" w:space="0" w:color="auto"/>
              <w:right w:val="single" w:sz="4" w:space="0" w:color="auto"/>
            </w:tcBorders>
          </w:tcPr>
          <w:p w14:paraId="4F5F6FDF" w14:textId="77777777" w:rsidR="00C46C3A" w:rsidRPr="00C46C3A" w:rsidRDefault="00C46C3A" w:rsidP="00C46C3A">
            <w:pPr>
              <w:spacing w:after="0" w:line="240" w:lineRule="auto"/>
              <w:jc w:val="both"/>
              <w:rPr>
                <w:rFonts w:ascii="Arial" w:eastAsia="Times New Roman" w:hAnsi="Arial" w:cs="Arial"/>
                <w:kern w:val="28"/>
                <w:sz w:val="16"/>
                <w:szCs w:val="16"/>
                <w:lang w:eastAsia="en-GB"/>
              </w:rPr>
            </w:pPr>
          </w:p>
          <w:p w14:paraId="1B5391B6" w14:textId="77777777" w:rsidR="00C46C3A" w:rsidRPr="00C46C3A" w:rsidRDefault="00C46C3A" w:rsidP="00C46C3A">
            <w:pPr>
              <w:spacing w:after="0" w:line="240" w:lineRule="auto"/>
              <w:ind w:left="180"/>
              <w:jc w:val="center"/>
              <w:rPr>
                <w:rFonts w:ascii="Arial" w:eastAsia="Times New Roman" w:hAnsi="Arial" w:cs="Arial"/>
                <w:b/>
                <w:bCs/>
                <w:color w:val="FF0000"/>
                <w:kern w:val="28"/>
                <w:sz w:val="18"/>
                <w:szCs w:val="18"/>
                <w:u w:val="single"/>
                <w:lang w:eastAsia="en-GB"/>
              </w:rPr>
            </w:pPr>
            <w:r w:rsidRPr="00C46C3A">
              <w:rPr>
                <w:rFonts w:ascii="Arial" w:eastAsia="Times New Roman" w:hAnsi="Arial" w:cs="Arial"/>
                <w:b/>
                <w:bCs/>
                <w:color w:val="FF0000"/>
                <w:kern w:val="28"/>
                <w:sz w:val="18"/>
                <w:szCs w:val="18"/>
                <w:u w:val="single"/>
                <w:lang w:eastAsia="en-GB"/>
              </w:rPr>
              <w:t>DELETE WHICHEVER IS NOT APPLICABLE</w:t>
            </w:r>
          </w:p>
          <w:p w14:paraId="7009A278" w14:textId="77777777" w:rsidR="00C46C3A" w:rsidRPr="00C46C3A" w:rsidRDefault="00C46C3A" w:rsidP="00C46C3A">
            <w:pPr>
              <w:spacing w:after="0" w:line="240" w:lineRule="auto"/>
              <w:ind w:left="180"/>
              <w:jc w:val="center"/>
              <w:rPr>
                <w:rFonts w:ascii="Arial" w:eastAsia="Times New Roman" w:hAnsi="Arial" w:cs="Arial"/>
                <w:b/>
                <w:bCs/>
                <w:color w:val="FF0000"/>
                <w:kern w:val="28"/>
                <w:sz w:val="18"/>
                <w:szCs w:val="18"/>
                <w:u w:val="single"/>
                <w:lang w:eastAsia="en-GB"/>
              </w:rPr>
            </w:pPr>
          </w:p>
          <w:p w14:paraId="3CAACE01" w14:textId="77777777" w:rsidR="00C46C3A" w:rsidRPr="00C46C3A" w:rsidRDefault="00C46C3A" w:rsidP="00C46C3A">
            <w:pPr>
              <w:spacing w:after="0" w:line="480" w:lineRule="auto"/>
              <w:ind w:left="180"/>
              <w:jc w:val="both"/>
              <w:rPr>
                <w:rFonts w:ascii="Arial" w:eastAsia="Times New Roman" w:hAnsi="Arial" w:cs="Arial"/>
                <w:bCs/>
                <w:color w:val="FF0000"/>
                <w:kern w:val="28"/>
                <w:sz w:val="18"/>
                <w:szCs w:val="18"/>
                <w:lang w:eastAsia="en-GB"/>
              </w:rPr>
            </w:pPr>
            <w:r w:rsidRPr="00C46C3A">
              <w:rPr>
                <w:rFonts w:ascii="Arial" w:eastAsia="Times New Roman" w:hAnsi="Arial" w:cs="Arial"/>
                <w:bCs/>
                <w:color w:val="FF0000"/>
                <w:kern w:val="28"/>
                <w:sz w:val="18"/>
                <w:szCs w:val="18"/>
                <w:lang w:eastAsia="en-GB"/>
              </w:rPr>
              <w:t>1.REPORTABLE:                                                                   NO</w:t>
            </w:r>
          </w:p>
          <w:p w14:paraId="7FADD24D" w14:textId="77777777" w:rsidR="00C46C3A" w:rsidRPr="00C46C3A" w:rsidRDefault="00C46C3A" w:rsidP="00C46C3A">
            <w:pPr>
              <w:spacing w:after="0" w:line="480" w:lineRule="auto"/>
              <w:ind w:left="180"/>
              <w:jc w:val="both"/>
              <w:rPr>
                <w:rFonts w:ascii="Arial" w:eastAsia="Times New Roman" w:hAnsi="Arial" w:cs="Arial"/>
                <w:bCs/>
                <w:color w:val="FF0000"/>
                <w:kern w:val="28"/>
                <w:sz w:val="18"/>
                <w:szCs w:val="18"/>
                <w:lang w:eastAsia="en-GB"/>
              </w:rPr>
            </w:pPr>
            <w:r w:rsidRPr="00C46C3A">
              <w:rPr>
                <w:rFonts w:ascii="Arial" w:eastAsia="Times New Roman" w:hAnsi="Arial" w:cs="Arial"/>
                <w:bCs/>
                <w:color w:val="FF0000"/>
                <w:kern w:val="28"/>
                <w:sz w:val="18"/>
                <w:szCs w:val="18"/>
                <w:lang w:eastAsia="en-GB"/>
              </w:rPr>
              <w:t>2.OF INTEREST TO OTHER JUDGES:                                NO</w:t>
            </w:r>
          </w:p>
          <w:p w14:paraId="4A69E14A" w14:textId="77777777" w:rsidR="00C46C3A" w:rsidRPr="00C46C3A" w:rsidRDefault="00C46C3A" w:rsidP="00C46C3A">
            <w:pPr>
              <w:spacing w:after="0" w:line="480" w:lineRule="auto"/>
              <w:ind w:left="180"/>
              <w:jc w:val="both"/>
              <w:rPr>
                <w:rFonts w:ascii="Arial" w:eastAsia="Times New Roman" w:hAnsi="Arial" w:cs="Arial"/>
                <w:bCs/>
                <w:color w:val="FF0000"/>
                <w:kern w:val="28"/>
                <w:sz w:val="18"/>
                <w:szCs w:val="18"/>
                <w:lang w:eastAsia="en-GB"/>
              </w:rPr>
            </w:pPr>
            <w:r w:rsidRPr="00C46C3A">
              <w:rPr>
                <w:rFonts w:ascii="Arial" w:eastAsia="Times New Roman" w:hAnsi="Arial" w:cs="Arial"/>
                <w:bCs/>
                <w:color w:val="FF0000"/>
                <w:kern w:val="28"/>
                <w:sz w:val="18"/>
                <w:szCs w:val="18"/>
                <w:lang w:eastAsia="en-GB"/>
              </w:rPr>
              <w:t>3.REVISED                                                                            NO</w:t>
            </w:r>
          </w:p>
          <w:p w14:paraId="5AF49D89" w14:textId="77777777" w:rsidR="00C46C3A" w:rsidRPr="00C46C3A" w:rsidRDefault="00C46C3A" w:rsidP="00C46C3A">
            <w:pPr>
              <w:spacing w:after="0" w:line="360" w:lineRule="auto"/>
              <w:ind w:left="180"/>
              <w:jc w:val="both"/>
              <w:rPr>
                <w:rFonts w:ascii="Arial" w:eastAsia="Times New Roman" w:hAnsi="Arial" w:cs="Arial"/>
                <w:bCs/>
                <w:color w:val="FF0000"/>
                <w:kern w:val="28"/>
                <w:sz w:val="18"/>
                <w:szCs w:val="18"/>
                <w:lang w:eastAsia="en-GB"/>
              </w:rPr>
            </w:pPr>
          </w:p>
          <w:p w14:paraId="754C7FCF" w14:textId="77777777" w:rsidR="00C46C3A" w:rsidRPr="00C46C3A" w:rsidRDefault="00C46C3A" w:rsidP="00C46C3A">
            <w:pPr>
              <w:spacing w:after="0" w:line="360" w:lineRule="auto"/>
              <w:ind w:left="180"/>
              <w:jc w:val="both"/>
              <w:rPr>
                <w:rFonts w:ascii="Arial" w:eastAsia="Times New Roman" w:hAnsi="Arial" w:cs="Arial"/>
                <w:kern w:val="28"/>
                <w:sz w:val="16"/>
                <w:szCs w:val="16"/>
                <w:lang w:eastAsia="en-GB"/>
              </w:rPr>
            </w:pPr>
            <w:r w:rsidRPr="00C46C3A">
              <w:rPr>
                <w:rFonts w:ascii="Arial" w:eastAsia="Times New Roman" w:hAnsi="Arial" w:cs="Arial"/>
                <w:b/>
                <w:bCs/>
                <w:color w:val="FF0000"/>
                <w:kern w:val="28"/>
                <w:sz w:val="18"/>
                <w:szCs w:val="18"/>
                <w:lang w:eastAsia="en-GB"/>
              </w:rPr>
              <w:t xml:space="preserve">                                                                       Judge Dippenaar</w:t>
            </w:r>
          </w:p>
        </w:tc>
      </w:tr>
    </w:tbl>
    <w:p w14:paraId="57C47C7D" w14:textId="77777777" w:rsidR="00C46C3A" w:rsidRP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14:paraId="27E8B9E7" w14:textId="77777777" w:rsidR="00C46C3A" w:rsidRP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14:paraId="26309B60" w14:textId="77777777" w:rsidR="00C46C3A" w:rsidRP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14:paraId="31C57E27" w14:textId="77777777" w:rsidR="00C46C3A" w:rsidRP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r w:rsidRPr="00C46C3A">
        <w:rPr>
          <w:rFonts w:ascii="Arial" w:eastAsia="Times New Roman" w:hAnsi="Arial" w:cs="Arial"/>
          <w:bCs/>
          <w:spacing w:val="-3"/>
          <w:kern w:val="28"/>
          <w:sz w:val="24"/>
          <w:szCs w:val="24"/>
          <w:lang w:eastAsia="en-GB"/>
        </w:rPr>
        <w:t>In the matter between:</w:t>
      </w:r>
    </w:p>
    <w:p w14:paraId="00857491" w14:textId="77777777" w:rsidR="00C46C3A" w:rsidRP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14:paraId="1AD57C5A" w14:textId="77777777" w:rsidR="00C16810" w:rsidRDefault="00C16810" w:rsidP="00C16810">
      <w:pPr>
        <w:widowControl w:val="0"/>
        <w:tabs>
          <w:tab w:val="right" w:pos="9356"/>
        </w:tabs>
        <w:spacing w:after="0" w:line="240" w:lineRule="auto"/>
        <w:jc w:val="both"/>
        <w:rPr>
          <w:rFonts w:ascii="Arial" w:eastAsia="Calibri" w:hAnsi="Arial" w:cs="Arial"/>
          <w:b/>
          <w:bCs/>
          <w:color w:val="000000"/>
          <w:sz w:val="24"/>
          <w:szCs w:val="23"/>
        </w:rPr>
      </w:pPr>
      <w:r w:rsidRPr="00C16810">
        <w:rPr>
          <w:rFonts w:ascii="Arial" w:eastAsia="Calibri" w:hAnsi="Arial" w:cs="Arial"/>
          <w:b/>
          <w:bCs/>
          <w:color w:val="000000"/>
          <w:sz w:val="24"/>
          <w:szCs w:val="23"/>
        </w:rPr>
        <w:t xml:space="preserve">AK </w:t>
      </w:r>
      <w:r>
        <w:rPr>
          <w:rFonts w:ascii="Arial" w:eastAsia="Calibri" w:hAnsi="Arial" w:cs="Arial"/>
          <w:b/>
          <w:bCs/>
          <w:color w:val="000000"/>
          <w:sz w:val="24"/>
          <w:szCs w:val="23"/>
        </w:rPr>
        <w:tab/>
      </w:r>
      <w:r w:rsidRPr="00C16810">
        <w:rPr>
          <w:rFonts w:ascii="Arial" w:eastAsia="Calibri" w:hAnsi="Arial" w:cs="Arial"/>
          <w:b/>
          <w:bCs/>
          <w:color w:val="000000"/>
          <w:sz w:val="24"/>
          <w:szCs w:val="23"/>
        </w:rPr>
        <w:t>Applicant</w:t>
      </w:r>
    </w:p>
    <w:p w14:paraId="0B10397A" w14:textId="77777777" w:rsidR="00C16810" w:rsidRPr="00C16810" w:rsidRDefault="00C16810" w:rsidP="00C16810">
      <w:pPr>
        <w:widowControl w:val="0"/>
        <w:tabs>
          <w:tab w:val="right" w:pos="9356"/>
        </w:tabs>
        <w:spacing w:after="0" w:line="240" w:lineRule="auto"/>
        <w:jc w:val="both"/>
        <w:rPr>
          <w:rFonts w:ascii="Arial" w:eastAsia="Calibri" w:hAnsi="Arial" w:cs="Arial"/>
          <w:b/>
          <w:bCs/>
          <w:color w:val="000000"/>
          <w:sz w:val="24"/>
          <w:szCs w:val="23"/>
        </w:rPr>
      </w:pPr>
    </w:p>
    <w:p w14:paraId="0879C5D1" w14:textId="77777777" w:rsidR="00C16810" w:rsidRDefault="00C16810" w:rsidP="00C16810">
      <w:pPr>
        <w:widowControl w:val="0"/>
        <w:tabs>
          <w:tab w:val="right" w:pos="9356"/>
        </w:tabs>
        <w:spacing w:after="0" w:line="240" w:lineRule="auto"/>
        <w:jc w:val="both"/>
        <w:rPr>
          <w:rFonts w:ascii="Arial" w:eastAsia="Calibri" w:hAnsi="Arial" w:cs="Arial"/>
          <w:b/>
          <w:bCs/>
          <w:color w:val="000000"/>
          <w:sz w:val="24"/>
          <w:szCs w:val="23"/>
        </w:rPr>
      </w:pPr>
      <w:r w:rsidRPr="00C16810">
        <w:rPr>
          <w:rFonts w:ascii="Arial" w:eastAsia="Calibri" w:hAnsi="Arial" w:cs="Arial"/>
          <w:b/>
          <w:bCs/>
          <w:color w:val="000000"/>
          <w:sz w:val="24"/>
          <w:szCs w:val="23"/>
        </w:rPr>
        <w:t>And</w:t>
      </w:r>
    </w:p>
    <w:p w14:paraId="42A69F81" w14:textId="77777777" w:rsidR="00C16810" w:rsidRPr="00C16810" w:rsidRDefault="00C16810" w:rsidP="00C16810">
      <w:pPr>
        <w:widowControl w:val="0"/>
        <w:tabs>
          <w:tab w:val="right" w:pos="9356"/>
        </w:tabs>
        <w:spacing w:after="0" w:line="240" w:lineRule="auto"/>
        <w:jc w:val="both"/>
        <w:rPr>
          <w:rFonts w:ascii="Arial" w:eastAsia="Calibri" w:hAnsi="Arial" w:cs="Arial"/>
          <w:b/>
          <w:bCs/>
          <w:color w:val="000000"/>
          <w:sz w:val="24"/>
          <w:szCs w:val="23"/>
        </w:rPr>
      </w:pPr>
    </w:p>
    <w:p w14:paraId="0D41FF61" w14:textId="77777777" w:rsidR="00C16810" w:rsidRDefault="00C16810" w:rsidP="00C16810">
      <w:pPr>
        <w:widowControl w:val="0"/>
        <w:tabs>
          <w:tab w:val="right" w:pos="9356"/>
        </w:tabs>
        <w:spacing w:after="0" w:line="240" w:lineRule="auto"/>
        <w:jc w:val="both"/>
        <w:rPr>
          <w:rFonts w:ascii="Arial" w:eastAsia="Calibri" w:hAnsi="Arial" w:cs="Arial"/>
          <w:b/>
          <w:bCs/>
          <w:color w:val="000000"/>
          <w:sz w:val="24"/>
          <w:szCs w:val="23"/>
        </w:rPr>
      </w:pPr>
      <w:r w:rsidRPr="00C16810">
        <w:rPr>
          <w:rFonts w:ascii="Arial" w:eastAsia="Calibri" w:hAnsi="Arial" w:cs="Arial"/>
          <w:b/>
          <w:bCs/>
          <w:color w:val="000000"/>
          <w:sz w:val="24"/>
          <w:szCs w:val="23"/>
        </w:rPr>
        <w:t xml:space="preserve">LKG </w:t>
      </w:r>
      <w:r>
        <w:rPr>
          <w:rFonts w:ascii="Arial" w:eastAsia="Calibri" w:hAnsi="Arial" w:cs="Arial"/>
          <w:b/>
          <w:bCs/>
          <w:color w:val="000000"/>
          <w:sz w:val="24"/>
          <w:szCs w:val="23"/>
        </w:rPr>
        <w:tab/>
      </w:r>
      <w:r w:rsidRPr="00C16810">
        <w:rPr>
          <w:rFonts w:ascii="Arial" w:eastAsia="Calibri" w:hAnsi="Arial" w:cs="Arial"/>
          <w:b/>
          <w:bCs/>
          <w:color w:val="000000"/>
          <w:sz w:val="24"/>
          <w:szCs w:val="23"/>
        </w:rPr>
        <w:t>Respondent</w:t>
      </w:r>
    </w:p>
    <w:p w14:paraId="37EEF06D" w14:textId="77777777" w:rsidR="00C46C3A" w:rsidRPr="00C46C3A" w:rsidRDefault="00C46C3A" w:rsidP="00C16810">
      <w:pPr>
        <w:widowControl w:val="0"/>
        <w:tabs>
          <w:tab w:val="right" w:pos="9356"/>
        </w:tabs>
        <w:spacing w:after="0" w:line="240" w:lineRule="auto"/>
        <w:jc w:val="both"/>
        <w:rPr>
          <w:rFonts w:ascii="Arial" w:eastAsia="Times New Roman" w:hAnsi="Arial" w:cs="Times New Roman"/>
          <w:b/>
          <w:kern w:val="28"/>
          <w:sz w:val="24"/>
          <w:szCs w:val="24"/>
          <w:lang w:eastAsia="en-GB"/>
        </w:rPr>
      </w:pPr>
      <w:r w:rsidRPr="00C46C3A">
        <w:rPr>
          <w:rFonts w:ascii="Arial" w:eastAsia="Times New Roman" w:hAnsi="Arial" w:cs="Times New Roman"/>
          <w:b/>
          <w:kern w:val="28"/>
          <w:sz w:val="24"/>
          <w:szCs w:val="24"/>
          <w:lang w:eastAsia="en-GB"/>
        </w:rPr>
        <w:tab/>
        <w:t xml:space="preserve">   </w:t>
      </w:r>
    </w:p>
    <w:p w14:paraId="648A4450" w14:textId="77777777" w:rsidR="00C46C3A" w:rsidRPr="00C46C3A" w:rsidRDefault="00C46C3A" w:rsidP="00C46C3A">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C46C3A">
        <w:rPr>
          <w:rFonts w:ascii="Arial" w:eastAsia="Times New Roman" w:hAnsi="Arial" w:cs="Arial"/>
          <w:b/>
          <w:sz w:val="24"/>
          <w:szCs w:val="24"/>
          <w:lang w:val="en-US"/>
        </w:rPr>
        <w:t>JUDGMENT</w:t>
      </w:r>
    </w:p>
    <w:p w14:paraId="276B8C2D" w14:textId="77777777" w:rsidR="00C46C3A" w:rsidRPr="00C46C3A" w:rsidRDefault="00C46C3A" w:rsidP="00C46C3A">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14:paraId="63ED6F64" w14:textId="77777777" w:rsidR="00C46C3A" w:rsidRPr="00C46C3A" w:rsidRDefault="00C46C3A" w:rsidP="00C46C3A">
      <w:pPr>
        <w:spacing w:after="0" w:line="240" w:lineRule="auto"/>
        <w:ind w:left="1440" w:hanging="1440"/>
        <w:jc w:val="both"/>
        <w:rPr>
          <w:rFonts w:ascii="Arial" w:eastAsia="Times New Roman" w:hAnsi="Arial" w:cs="Arial"/>
          <w:sz w:val="24"/>
          <w:szCs w:val="24"/>
        </w:rPr>
      </w:pPr>
      <w:r w:rsidRPr="00C46C3A">
        <w:rPr>
          <w:rFonts w:ascii="Arial" w:eastAsia="Times New Roman" w:hAnsi="Arial" w:cs="Arial"/>
          <w:b/>
          <w:kern w:val="28"/>
          <w:sz w:val="24"/>
          <w:szCs w:val="24"/>
          <w:lang w:eastAsia="en-GB"/>
        </w:rPr>
        <w:t>Delivered:</w:t>
      </w:r>
      <w:r w:rsidRPr="00C46C3A">
        <w:rPr>
          <w:rFonts w:ascii="Arial" w:eastAsia="Times New Roman" w:hAnsi="Arial" w:cs="Arial"/>
          <w:b/>
          <w:kern w:val="28"/>
          <w:sz w:val="24"/>
          <w:szCs w:val="24"/>
          <w:lang w:eastAsia="en-GB"/>
        </w:rPr>
        <w:tab/>
      </w:r>
      <w:r w:rsidRPr="00C46C3A">
        <w:rPr>
          <w:rFonts w:ascii="Arial" w:eastAsia="Times New Roman" w:hAnsi="Arial" w:cs="Arial"/>
          <w:kern w:val="28"/>
          <w:sz w:val="24"/>
          <w:szCs w:val="24"/>
          <w:lang w:eastAsia="en-GB"/>
        </w:rPr>
        <w:t xml:space="preserve">This judgment was handed down electronically by circulation to the parties’ legal representatives by e-mail. The date and time for hand-down is deemed to be 10h00 on the </w:t>
      </w:r>
      <w:r w:rsidR="00E111C1">
        <w:rPr>
          <w:rFonts w:ascii="Arial" w:eastAsia="Times New Roman" w:hAnsi="Arial" w:cs="Arial"/>
          <w:kern w:val="28"/>
          <w:sz w:val="24"/>
          <w:szCs w:val="24"/>
          <w:lang w:eastAsia="en-GB"/>
        </w:rPr>
        <w:t>1</w:t>
      </w:r>
      <w:r w:rsidR="003A1F80">
        <w:rPr>
          <w:rFonts w:ascii="Arial" w:eastAsia="Times New Roman" w:hAnsi="Arial" w:cs="Arial"/>
          <w:kern w:val="28"/>
          <w:sz w:val="24"/>
          <w:szCs w:val="24"/>
          <w:lang w:eastAsia="en-GB"/>
        </w:rPr>
        <w:t>5</w:t>
      </w:r>
      <w:r w:rsidR="00E111C1" w:rsidRPr="00E111C1">
        <w:rPr>
          <w:rFonts w:ascii="Arial" w:eastAsia="Times New Roman" w:hAnsi="Arial" w:cs="Arial"/>
          <w:kern w:val="28"/>
          <w:sz w:val="24"/>
          <w:szCs w:val="24"/>
          <w:vertAlign w:val="superscript"/>
          <w:lang w:eastAsia="en-GB"/>
        </w:rPr>
        <w:t>th</w:t>
      </w:r>
      <w:r w:rsidR="00E111C1">
        <w:rPr>
          <w:rFonts w:ascii="Arial" w:eastAsia="Times New Roman" w:hAnsi="Arial" w:cs="Arial"/>
          <w:kern w:val="28"/>
          <w:sz w:val="24"/>
          <w:szCs w:val="24"/>
          <w:lang w:eastAsia="en-GB"/>
        </w:rPr>
        <w:t xml:space="preserve"> </w:t>
      </w:r>
      <w:r w:rsidRPr="00C46C3A">
        <w:rPr>
          <w:rFonts w:ascii="Arial" w:eastAsia="Times New Roman" w:hAnsi="Arial" w:cs="Arial"/>
          <w:kern w:val="28"/>
          <w:sz w:val="24"/>
          <w:szCs w:val="24"/>
          <w:lang w:eastAsia="en-GB"/>
        </w:rPr>
        <w:t xml:space="preserve">of </w:t>
      </w:r>
      <w:r w:rsidR="00E111C1">
        <w:rPr>
          <w:rFonts w:ascii="Arial" w:eastAsia="Times New Roman" w:hAnsi="Arial" w:cs="Arial"/>
          <w:kern w:val="28"/>
          <w:sz w:val="24"/>
          <w:szCs w:val="24"/>
          <w:lang w:eastAsia="en-GB"/>
        </w:rPr>
        <w:t>November</w:t>
      </w:r>
      <w:r>
        <w:rPr>
          <w:rFonts w:ascii="Arial" w:eastAsia="Times New Roman" w:hAnsi="Arial" w:cs="Arial"/>
          <w:kern w:val="28"/>
          <w:sz w:val="24"/>
          <w:szCs w:val="24"/>
          <w:lang w:eastAsia="en-GB"/>
        </w:rPr>
        <w:t xml:space="preserve"> </w:t>
      </w:r>
      <w:r w:rsidRPr="00C46C3A">
        <w:rPr>
          <w:rFonts w:ascii="Arial" w:eastAsia="Times New Roman" w:hAnsi="Arial" w:cs="Arial"/>
          <w:kern w:val="28"/>
          <w:sz w:val="24"/>
          <w:szCs w:val="24"/>
          <w:lang w:eastAsia="en-GB"/>
        </w:rPr>
        <w:t>2021.</w:t>
      </w:r>
    </w:p>
    <w:p w14:paraId="26D72F63" w14:textId="77777777" w:rsidR="00C46C3A" w:rsidRPr="00C46C3A" w:rsidRDefault="00C46C3A" w:rsidP="00C46C3A">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14:paraId="2841BD90" w14:textId="77777777" w:rsidR="00C46C3A" w:rsidRPr="00C46C3A" w:rsidRDefault="00C46C3A" w:rsidP="00C46C3A">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14:paraId="7D11F38F" w14:textId="77777777" w:rsidR="00C46C3A" w:rsidRPr="00C46C3A" w:rsidRDefault="00C46C3A" w:rsidP="00C46C3A">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C46C3A">
        <w:rPr>
          <w:rFonts w:ascii="Arial" w:eastAsia="Times New Roman" w:hAnsi="Arial" w:cs="Arial"/>
          <w:b/>
          <w:bCs/>
          <w:spacing w:val="-3"/>
          <w:kern w:val="28"/>
          <w:sz w:val="24"/>
          <w:szCs w:val="24"/>
          <w:u w:val="single"/>
          <w:lang w:eastAsia="en-GB"/>
        </w:rPr>
        <w:t>DIPPENAAR J</w:t>
      </w:r>
      <w:r w:rsidRPr="00C46C3A">
        <w:rPr>
          <w:rFonts w:ascii="Arial" w:eastAsia="Times New Roman" w:hAnsi="Arial" w:cs="Arial"/>
          <w:b/>
          <w:bCs/>
          <w:spacing w:val="-3"/>
          <w:kern w:val="28"/>
          <w:sz w:val="24"/>
          <w:szCs w:val="24"/>
          <w:lang w:eastAsia="en-GB"/>
        </w:rPr>
        <w:t>:</w:t>
      </w:r>
    </w:p>
    <w:p w14:paraId="34B9A245" w14:textId="77777777" w:rsidR="00C46C3A" w:rsidRPr="00C46C3A" w:rsidRDefault="00C46C3A" w:rsidP="00C46C3A">
      <w:pPr>
        <w:spacing w:after="480" w:line="360" w:lineRule="auto"/>
        <w:jc w:val="both"/>
        <w:rPr>
          <w:rFonts w:ascii="Arial" w:eastAsia="Times New Roman" w:hAnsi="Arial" w:cs="Arial"/>
          <w:b/>
          <w:bCs/>
          <w:spacing w:val="-3"/>
          <w:kern w:val="28"/>
          <w:sz w:val="24"/>
          <w:szCs w:val="24"/>
          <w:lang w:eastAsia="en-GB"/>
        </w:rPr>
      </w:pPr>
    </w:p>
    <w:p w14:paraId="50930B81" w14:textId="26626E15" w:rsidR="00E82B80" w:rsidRDefault="001F4EAF" w:rsidP="001F4EAF">
      <w:pPr>
        <w:pStyle w:val="level1"/>
        <w:numPr>
          <w:ilvl w:val="0"/>
          <w:numId w:val="0"/>
        </w:numPr>
        <w:spacing w:after="480" w:line="360" w:lineRule="auto"/>
        <w:jc w:val="both"/>
        <w:rPr>
          <w:lang w:val="en-US"/>
        </w:rPr>
      </w:pPr>
      <w:r>
        <w:rPr>
          <w:lang w:val="en-US"/>
        </w:rPr>
        <w:t>[1]</w:t>
      </w:r>
      <w:r>
        <w:rPr>
          <w:lang w:val="en-US"/>
        </w:rPr>
        <w:tab/>
      </w:r>
      <w:r w:rsidR="00E82B80">
        <w:rPr>
          <w:lang w:val="en-US"/>
        </w:rPr>
        <w:t xml:space="preserve">Because the interests of a minor child are involved, the parties will be referred to by their initials rather than by name. </w:t>
      </w:r>
    </w:p>
    <w:p w14:paraId="342D36EB" w14:textId="29AB2976" w:rsidR="00D54C35" w:rsidRDefault="001F4EAF" w:rsidP="001F4EAF">
      <w:pPr>
        <w:pStyle w:val="level1"/>
        <w:numPr>
          <w:ilvl w:val="0"/>
          <w:numId w:val="0"/>
        </w:numPr>
        <w:spacing w:after="480" w:line="360" w:lineRule="auto"/>
        <w:jc w:val="both"/>
        <w:rPr>
          <w:lang w:val="en-US"/>
        </w:rPr>
      </w:pPr>
      <w:r>
        <w:rPr>
          <w:lang w:val="en-US"/>
        </w:rPr>
        <w:t>[2]</w:t>
      </w:r>
      <w:r>
        <w:rPr>
          <w:lang w:val="en-US"/>
        </w:rPr>
        <w:tab/>
      </w:r>
      <w:r w:rsidR="00446314" w:rsidRPr="00AD0CDE">
        <w:rPr>
          <w:lang w:val="en-US"/>
        </w:rPr>
        <w:t>Th</w:t>
      </w:r>
      <w:r w:rsidR="00B11964">
        <w:rPr>
          <w:lang w:val="en-US"/>
        </w:rPr>
        <w:t xml:space="preserve">e applicant as a matter of urgency sought an order terminating the respondent’s rights of guardianship under ss 18(3)(c)(iii) and (iv) of the </w:t>
      </w:r>
      <w:proofErr w:type="spellStart"/>
      <w:r w:rsidR="00B11964">
        <w:rPr>
          <w:lang w:val="en-US"/>
        </w:rPr>
        <w:t>Childrens</w:t>
      </w:r>
      <w:proofErr w:type="spellEnd"/>
      <w:r w:rsidR="00B11964">
        <w:rPr>
          <w:lang w:val="en-US"/>
        </w:rPr>
        <w:t xml:space="preserve"> Act</w:t>
      </w:r>
      <w:r w:rsidR="00890F3B">
        <w:rPr>
          <w:rStyle w:val="FootnoteReference"/>
          <w:lang w:val="en-US"/>
        </w:rPr>
        <w:footnoteReference w:id="1"/>
      </w:r>
      <w:r w:rsidR="00B11964">
        <w:rPr>
          <w:lang w:val="en-US"/>
        </w:rPr>
        <w:t xml:space="preserve"> (“the Act”) of the parties’ </w:t>
      </w:r>
      <w:proofErr w:type="gramStart"/>
      <w:r w:rsidR="00B11964">
        <w:rPr>
          <w:lang w:val="en-US"/>
        </w:rPr>
        <w:t>five year old</w:t>
      </w:r>
      <w:proofErr w:type="gramEnd"/>
      <w:r w:rsidR="00B11964">
        <w:rPr>
          <w:lang w:val="en-US"/>
        </w:rPr>
        <w:t xml:space="preserve"> daughter (</w:t>
      </w:r>
      <w:r w:rsidR="00D769EA">
        <w:rPr>
          <w:lang w:val="en-US"/>
        </w:rPr>
        <w:t xml:space="preserve">referred to as “A”) </w:t>
      </w:r>
      <w:r w:rsidR="009521CA">
        <w:rPr>
          <w:lang w:val="en-US"/>
        </w:rPr>
        <w:t>together with ancillary relief</w:t>
      </w:r>
      <w:r w:rsidR="00BF4225">
        <w:rPr>
          <w:lang w:val="en-US"/>
        </w:rPr>
        <w:t>,</w:t>
      </w:r>
      <w:r w:rsidR="009521CA">
        <w:rPr>
          <w:lang w:val="en-US"/>
        </w:rPr>
        <w:t xml:space="preserve"> </w:t>
      </w:r>
      <w:r w:rsidR="00B11964">
        <w:rPr>
          <w:lang w:val="en-US"/>
        </w:rPr>
        <w:t>to enable her to relocate to New Ze</w:t>
      </w:r>
      <w:r w:rsidR="00D54C35">
        <w:rPr>
          <w:lang w:val="en-US"/>
        </w:rPr>
        <w:t>a</w:t>
      </w:r>
      <w:r w:rsidR="00B11964">
        <w:rPr>
          <w:lang w:val="en-US"/>
        </w:rPr>
        <w:t>land</w:t>
      </w:r>
      <w:r w:rsidR="00D54C35">
        <w:rPr>
          <w:lang w:val="en-US"/>
        </w:rPr>
        <w:t>. The respondent is the biological father of A.</w:t>
      </w:r>
      <w:r w:rsidR="00B11964">
        <w:rPr>
          <w:lang w:val="en-US"/>
        </w:rPr>
        <w:t xml:space="preserve"> </w:t>
      </w:r>
    </w:p>
    <w:p w14:paraId="45A0B428" w14:textId="58AAC096" w:rsidR="00B11964" w:rsidRDefault="001F4EAF" w:rsidP="001F4EAF">
      <w:pPr>
        <w:pStyle w:val="level1"/>
        <w:numPr>
          <w:ilvl w:val="0"/>
          <w:numId w:val="0"/>
        </w:numPr>
        <w:spacing w:after="480" w:line="360" w:lineRule="auto"/>
        <w:jc w:val="both"/>
        <w:rPr>
          <w:lang w:val="en-US"/>
        </w:rPr>
      </w:pPr>
      <w:r>
        <w:rPr>
          <w:lang w:val="en-US"/>
        </w:rPr>
        <w:t>[3]</w:t>
      </w:r>
      <w:r>
        <w:rPr>
          <w:lang w:val="en-US"/>
        </w:rPr>
        <w:tab/>
      </w:r>
      <w:r w:rsidR="00B11964">
        <w:rPr>
          <w:lang w:val="en-US"/>
        </w:rPr>
        <w:t xml:space="preserve">The application </w:t>
      </w:r>
      <w:r w:rsidR="00D54C35">
        <w:rPr>
          <w:lang w:val="en-US"/>
        </w:rPr>
        <w:t>was</w:t>
      </w:r>
      <w:r w:rsidR="00B11964">
        <w:rPr>
          <w:lang w:val="en-US"/>
        </w:rPr>
        <w:t xml:space="preserve"> originally</w:t>
      </w:r>
      <w:r w:rsidR="00D54C35">
        <w:rPr>
          <w:lang w:val="en-US"/>
        </w:rPr>
        <w:t xml:space="preserve"> </w:t>
      </w:r>
      <w:r w:rsidR="00B11964">
        <w:rPr>
          <w:lang w:val="en-US"/>
        </w:rPr>
        <w:t>launched in the normal course on</w:t>
      </w:r>
      <w:r w:rsidR="00964F38">
        <w:rPr>
          <w:lang w:val="en-US"/>
        </w:rPr>
        <w:t xml:space="preserve"> 10 September 2021</w:t>
      </w:r>
      <w:r w:rsidR="001A419F">
        <w:rPr>
          <w:lang w:val="en-US"/>
        </w:rPr>
        <w:t xml:space="preserve"> (“the original application”)</w:t>
      </w:r>
      <w:r w:rsidR="00B11964">
        <w:rPr>
          <w:lang w:val="en-US"/>
        </w:rPr>
        <w:t xml:space="preserve">. </w:t>
      </w:r>
      <w:r w:rsidR="00964F38">
        <w:rPr>
          <w:lang w:val="en-US"/>
        </w:rPr>
        <w:t xml:space="preserve">Pursuant to the delivery of </w:t>
      </w:r>
      <w:r w:rsidR="00D54C35">
        <w:rPr>
          <w:lang w:val="en-US"/>
        </w:rPr>
        <w:t>the respondent’s</w:t>
      </w:r>
      <w:r w:rsidR="00964F38">
        <w:rPr>
          <w:lang w:val="en-US"/>
        </w:rPr>
        <w:t xml:space="preserve"> </w:t>
      </w:r>
      <w:r w:rsidR="00B35913">
        <w:rPr>
          <w:lang w:val="en-US"/>
        </w:rPr>
        <w:t>an</w:t>
      </w:r>
      <w:r w:rsidR="00542ECE">
        <w:rPr>
          <w:lang w:val="en-US"/>
        </w:rPr>
        <w:t>s</w:t>
      </w:r>
      <w:r w:rsidR="00B35913">
        <w:rPr>
          <w:lang w:val="en-US"/>
        </w:rPr>
        <w:t>wering affidavit, the applicant obtained employment in New Zealand and was advised by her employer to commence employment on 31 January 2022. She is a clinical psych</w:t>
      </w:r>
      <w:r w:rsidR="00964F38">
        <w:rPr>
          <w:lang w:val="en-US"/>
        </w:rPr>
        <w:t>o</w:t>
      </w:r>
      <w:r w:rsidR="00542ECE">
        <w:rPr>
          <w:lang w:val="en-US"/>
        </w:rPr>
        <w:t>logist</w:t>
      </w:r>
      <w:r w:rsidR="009521CA">
        <w:rPr>
          <w:lang w:val="en-US"/>
        </w:rPr>
        <w:t>.</w:t>
      </w:r>
      <w:r w:rsidR="00964F38">
        <w:rPr>
          <w:lang w:val="en-US"/>
        </w:rPr>
        <w:t xml:space="preserve"> </w:t>
      </w:r>
      <w:r w:rsidR="00B11964">
        <w:rPr>
          <w:lang w:val="en-US"/>
        </w:rPr>
        <w:t xml:space="preserve">An amended notice of motion and supplementary affidavit were delivered on </w:t>
      </w:r>
      <w:r w:rsidR="009521CA">
        <w:rPr>
          <w:lang w:val="en-US"/>
        </w:rPr>
        <w:t>about 28 October 2021</w:t>
      </w:r>
      <w:r w:rsidR="00B11964">
        <w:rPr>
          <w:lang w:val="en-US"/>
        </w:rPr>
        <w:t xml:space="preserve">, which amended the relief sought to include </w:t>
      </w:r>
      <w:r w:rsidR="00D54C35">
        <w:rPr>
          <w:lang w:val="en-US"/>
        </w:rPr>
        <w:t xml:space="preserve">that </w:t>
      </w:r>
      <w:r w:rsidR="00B11964">
        <w:rPr>
          <w:lang w:val="en-US"/>
        </w:rPr>
        <w:t>the application to be heard as a matter of urgency</w:t>
      </w:r>
      <w:r w:rsidR="00147714">
        <w:rPr>
          <w:lang w:val="en-US"/>
        </w:rPr>
        <w:t xml:space="preserve"> and certain further ancillary relief</w:t>
      </w:r>
      <w:r w:rsidR="00B11964">
        <w:rPr>
          <w:lang w:val="en-US"/>
        </w:rPr>
        <w:t>.</w:t>
      </w:r>
    </w:p>
    <w:p w14:paraId="412C33C1" w14:textId="383EB4CC" w:rsidR="00115DFE" w:rsidRPr="00D54C35" w:rsidRDefault="001F4EAF" w:rsidP="001F4EAF">
      <w:pPr>
        <w:pStyle w:val="level1"/>
        <w:numPr>
          <w:ilvl w:val="0"/>
          <w:numId w:val="0"/>
        </w:numPr>
        <w:spacing w:after="480" w:line="360" w:lineRule="auto"/>
        <w:jc w:val="both"/>
        <w:rPr>
          <w:lang w:val="en-US"/>
        </w:rPr>
      </w:pPr>
      <w:r w:rsidRPr="00D54C35">
        <w:rPr>
          <w:lang w:val="en-US"/>
        </w:rPr>
        <w:t>[4]</w:t>
      </w:r>
      <w:r w:rsidRPr="00D54C35">
        <w:rPr>
          <w:lang w:val="en-US"/>
        </w:rPr>
        <w:tab/>
      </w:r>
      <w:r w:rsidR="00115DFE" w:rsidRPr="00D54C35">
        <w:rPr>
          <w:lang w:val="en-US"/>
        </w:rPr>
        <w:t xml:space="preserve">The respondent </w:t>
      </w:r>
      <w:r w:rsidR="003D46CC" w:rsidRPr="00D54C35">
        <w:rPr>
          <w:lang w:val="en-US"/>
        </w:rPr>
        <w:t>is a freelance film editor. He</w:t>
      </w:r>
      <w:r w:rsidR="00115DFE" w:rsidRPr="00D54C35">
        <w:rPr>
          <w:lang w:val="en-US"/>
        </w:rPr>
        <w:t xml:space="preserve"> opposed the application on various grounds. First, he contended that the application was not urgent alternatively that any urgency was self- created as the applicant was in control of the immigration process and sought to prematurely rush the application in circumstances where the respondent has had insufficient opportunity to </w:t>
      </w:r>
      <w:r w:rsidR="009E082F" w:rsidRPr="00D54C35">
        <w:rPr>
          <w:lang w:val="en-US"/>
        </w:rPr>
        <w:t>safeguard his interests.</w:t>
      </w:r>
      <w:r w:rsidR="00D54C35">
        <w:rPr>
          <w:lang w:val="en-US"/>
        </w:rPr>
        <w:t xml:space="preserve"> </w:t>
      </w:r>
      <w:r w:rsidR="00115DFE" w:rsidRPr="00D54C35">
        <w:rPr>
          <w:lang w:val="en-US"/>
        </w:rPr>
        <w:t xml:space="preserve">Second, </w:t>
      </w:r>
      <w:r w:rsidR="00147714" w:rsidRPr="00D54C35">
        <w:rPr>
          <w:lang w:val="en-US"/>
        </w:rPr>
        <w:t xml:space="preserve">the respondent contended </w:t>
      </w:r>
      <w:r w:rsidR="00115DFE" w:rsidRPr="00D54C35">
        <w:rPr>
          <w:lang w:val="en-US"/>
        </w:rPr>
        <w:t xml:space="preserve">that the application was premature as there was no expert report dealing with whether it </w:t>
      </w:r>
      <w:r w:rsidR="00D54C35">
        <w:rPr>
          <w:lang w:val="en-US"/>
        </w:rPr>
        <w:t>wa</w:t>
      </w:r>
      <w:r w:rsidR="00115DFE" w:rsidRPr="00D54C35">
        <w:rPr>
          <w:lang w:val="en-US"/>
        </w:rPr>
        <w:t xml:space="preserve">s in A’s best interests to relocate. The basis of the respondent’s opposition was that </w:t>
      </w:r>
      <w:r w:rsidR="00115DFE" w:rsidRPr="00D54C35">
        <w:rPr>
          <w:lang w:val="en-US"/>
        </w:rPr>
        <w:lastRenderedPageBreak/>
        <w:t>the relationship between the respondent and A would be severely prejudiced if A were to re</w:t>
      </w:r>
      <w:r w:rsidR="00147714" w:rsidRPr="00D54C35">
        <w:rPr>
          <w:lang w:val="en-US"/>
        </w:rPr>
        <w:t>l</w:t>
      </w:r>
      <w:r w:rsidR="00115DFE" w:rsidRPr="00D54C35">
        <w:rPr>
          <w:lang w:val="en-US"/>
        </w:rPr>
        <w:t xml:space="preserve">ocate to New Zealand.     </w:t>
      </w:r>
    </w:p>
    <w:p w14:paraId="57CA490E" w14:textId="2B56B3DB" w:rsidR="001A419F" w:rsidRDefault="001F4EAF" w:rsidP="001F4EAF">
      <w:pPr>
        <w:pStyle w:val="level1"/>
        <w:numPr>
          <w:ilvl w:val="0"/>
          <w:numId w:val="0"/>
        </w:numPr>
        <w:spacing w:after="480" w:line="360" w:lineRule="auto"/>
        <w:jc w:val="both"/>
        <w:rPr>
          <w:lang w:val="en-US"/>
        </w:rPr>
      </w:pPr>
      <w:r>
        <w:rPr>
          <w:lang w:val="en-US"/>
        </w:rPr>
        <w:t>[5]</w:t>
      </w:r>
      <w:r>
        <w:rPr>
          <w:lang w:val="en-US"/>
        </w:rPr>
        <w:tab/>
      </w:r>
      <w:r w:rsidR="006C1C38" w:rsidRPr="00D54C35">
        <w:rPr>
          <w:lang w:val="en-US"/>
        </w:rPr>
        <w:t xml:space="preserve">The </w:t>
      </w:r>
      <w:r w:rsidR="00186D11" w:rsidRPr="00D54C35">
        <w:rPr>
          <w:lang w:val="en-US"/>
        </w:rPr>
        <w:t xml:space="preserve">background </w:t>
      </w:r>
      <w:r w:rsidR="006C1C38" w:rsidRPr="00D54C35">
        <w:rPr>
          <w:lang w:val="en-US"/>
        </w:rPr>
        <w:t>facts are not contentious.</w:t>
      </w:r>
      <w:r w:rsidR="00B35913" w:rsidRPr="00D54C35">
        <w:rPr>
          <w:lang w:val="en-US"/>
        </w:rPr>
        <w:t xml:space="preserve"> The applicant and respondent were</w:t>
      </w:r>
      <w:r w:rsidR="006C1C38" w:rsidRPr="00D54C35">
        <w:rPr>
          <w:lang w:val="en-US"/>
        </w:rPr>
        <w:t xml:space="preserve"> </w:t>
      </w:r>
      <w:r w:rsidR="00B35913" w:rsidRPr="00D54C35">
        <w:rPr>
          <w:lang w:val="en-US"/>
        </w:rPr>
        <w:t xml:space="preserve">involved in a </w:t>
      </w:r>
      <w:r w:rsidR="00147714" w:rsidRPr="00D54C35">
        <w:rPr>
          <w:lang w:val="en-US"/>
        </w:rPr>
        <w:t xml:space="preserve">tumultuous </w:t>
      </w:r>
      <w:r w:rsidR="00B35913" w:rsidRPr="00D54C35">
        <w:rPr>
          <w:lang w:val="en-US"/>
        </w:rPr>
        <w:t xml:space="preserve">romantic relationship </w:t>
      </w:r>
      <w:r w:rsidR="00D54C35" w:rsidRPr="00D54C35">
        <w:rPr>
          <w:lang w:val="en-US"/>
        </w:rPr>
        <w:t>from</w:t>
      </w:r>
      <w:r w:rsidR="00147714" w:rsidRPr="00D54C35">
        <w:rPr>
          <w:lang w:val="en-US"/>
        </w:rPr>
        <w:t xml:space="preserve"> 2014 to March 2019 when they finally separated.</w:t>
      </w:r>
      <w:r w:rsidR="00B35913" w:rsidRPr="00D54C35">
        <w:rPr>
          <w:lang w:val="en-US"/>
        </w:rPr>
        <w:t xml:space="preserve"> The parties were never legally married although a ceremony was held </w:t>
      </w:r>
      <w:r w:rsidR="00147714" w:rsidRPr="00D54C35">
        <w:rPr>
          <w:lang w:val="en-US"/>
        </w:rPr>
        <w:t xml:space="preserve">celebrating their relationship during July 2018. </w:t>
      </w:r>
      <w:r w:rsidR="00B35913" w:rsidRPr="00D54C35">
        <w:rPr>
          <w:lang w:val="en-US"/>
        </w:rPr>
        <w:t xml:space="preserve">A was born on </w:t>
      </w:r>
      <w:r w:rsidR="00147714" w:rsidRPr="00D54C35">
        <w:rPr>
          <w:lang w:val="en-US"/>
        </w:rPr>
        <w:t xml:space="preserve">25 May 2016. </w:t>
      </w:r>
      <w:r w:rsidR="001A419F">
        <w:rPr>
          <w:lang w:val="en-US"/>
        </w:rPr>
        <w:t xml:space="preserve">The respondent has a history of substance abuse and tested positive for heroin on various occasions during 2018. During March 2018 he survived a heroin overdose. There is no formal process in place for the testing of the respondent, one of the principal areas of concern of the applicant. </w:t>
      </w:r>
      <w:r w:rsidR="000D09D0">
        <w:rPr>
          <w:lang w:val="en-US"/>
        </w:rPr>
        <w:t>S</w:t>
      </w:r>
      <w:r w:rsidR="000D09D0" w:rsidRPr="00D54C35">
        <w:rPr>
          <w:lang w:val="en-US"/>
        </w:rPr>
        <w:t>ince her birth, A ha</w:t>
      </w:r>
      <w:r w:rsidR="000D09D0">
        <w:rPr>
          <w:lang w:val="en-US"/>
        </w:rPr>
        <w:t>s</w:t>
      </w:r>
      <w:r w:rsidR="000D09D0" w:rsidRPr="00D54C35">
        <w:rPr>
          <w:lang w:val="en-US"/>
        </w:rPr>
        <w:t xml:space="preserve"> been in the primary care of her mother</w:t>
      </w:r>
      <w:r w:rsidR="000D09D0">
        <w:rPr>
          <w:lang w:val="en-US"/>
        </w:rPr>
        <w:t>, the applicant</w:t>
      </w:r>
      <w:r w:rsidR="000D09D0" w:rsidRPr="00D54C35">
        <w:rPr>
          <w:lang w:val="en-US"/>
        </w:rPr>
        <w:t xml:space="preserve"> and ha</w:t>
      </w:r>
      <w:r w:rsidR="000D09D0">
        <w:rPr>
          <w:lang w:val="en-US"/>
        </w:rPr>
        <w:t>s</w:t>
      </w:r>
      <w:r w:rsidR="000D09D0" w:rsidRPr="00D54C35">
        <w:rPr>
          <w:lang w:val="en-US"/>
        </w:rPr>
        <w:t xml:space="preserve"> not been separated from her save for the limited sleepover access the respondent enjoyed for a period.</w:t>
      </w:r>
    </w:p>
    <w:p w14:paraId="0661850B" w14:textId="1F80CD75" w:rsidR="00D54C35" w:rsidRPr="00D54C35" w:rsidRDefault="001F4EAF" w:rsidP="001F4EAF">
      <w:pPr>
        <w:pStyle w:val="level1"/>
        <w:numPr>
          <w:ilvl w:val="0"/>
          <w:numId w:val="0"/>
        </w:numPr>
        <w:spacing w:after="480" w:line="360" w:lineRule="auto"/>
        <w:jc w:val="both"/>
        <w:rPr>
          <w:lang w:val="en-US"/>
        </w:rPr>
      </w:pPr>
      <w:r w:rsidRPr="00D54C35">
        <w:rPr>
          <w:lang w:val="en-US"/>
        </w:rPr>
        <w:t>[6]</w:t>
      </w:r>
      <w:r w:rsidRPr="00D54C35">
        <w:rPr>
          <w:lang w:val="en-US"/>
        </w:rPr>
        <w:tab/>
      </w:r>
      <w:r w:rsidR="00D54C35" w:rsidRPr="00D54C35">
        <w:rPr>
          <w:lang w:val="en-US"/>
        </w:rPr>
        <w:t xml:space="preserve">The applicant </w:t>
      </w:r>
      <w:r w:rsidR="008B6F82">
        <w:rPr>
          <w:lang w:val="en-US"/>
        </w:rPr>
        <w:t xml:space="preserve">married her husband, RH, during September 2020 after they </w:t>
      </w:r>
      <w:r w:rsidR="00D54C35" w:rsidRPr="00D54C35">
        <w:rPr>
          <w:lang w:val="en-US"/>
        </w:rPr>
        <w:t>formed a relationship during April 2019</w:t>
      </w:r>
      <w:r w:rsidR="008B6F82">
        <w:rPr>
          <w:lang w:val="en-US"/>
        </w:rPr>
        <w:t xml:space="preserve"> after her separation from the respondent. </w:t>
      </w:r>
      <w:r w:rsidR="00262D3E">
        <w:rPr>
          <w:lang w:val="en-US"/>
        </w:rPr>
        <w:t>RH</w:t>
      </w:r>
      <w:r w:rsidR="001A419F">
        <w:rPr>
          <w:lang w:val="en-US"/>
        </w:rPr>
        <w:t xml:space="preserve"> is an engineer. </w:t>
      </w:r>
      <w:r w:rsidR="00D54C35" w:rsidRPr="00D54C35">
        <w:rPr>
          <w:lang w:val="en-US"/>
        </w:rPr>
        <w:t>Their son</w:t>
      </w:r>
      <w:r w:rsidR="008B6F82">
        <w:rPr>
          <w:lang w:val="en-US"/>
        </w:rPr>
        <w:t>, N</w:t>
      </w:r>
      <w:r w:rsidR="001A419F">
        <w:rPr>
          <w:lang w:val="en-US"/>
        </w:rPr>
        <w:t>,</w:t>
      </w:r>
      <w:r w:rsidR="00D54C35" w:rsidRPr="00D54C35">
        <w:rPr>
          <w:lang w:val="en-US"/>
        </w:rPr>
        <w:t xml:space="preserve"> was born on 6 July 2021 and is some four months old. A thus has a new brother and a step- father in her life. It was not disputed that there is a close relationship between A and </w:t>
      </w:r>
      <w:r w:rsidR="001A419F">
        <w:rPr>
          <w:lang w:val="en-US"/>
        </w:rPr>
        <w:t>RH, who actively participates in her care and contributes substantially to her financial well-being</w:t>
      </w:r>
      <w:r w:rsidR="00D54C35" w:rsidRPr="00D54C35">
        <w:rPr>
          <w:lang w:val="en-US"/>
        </w:rPr>
        <w:t>.</w:t>
      </w:r>
    </w:p>
    <w:p w14:paraId="66399A23" w14:textId="49AA2601" w:rsidR="001A419F" w:rsidRDefault="001F4EAF" w:rsidP="001F4EAF">
      <w:pPr>
        <w:pStyle w:val="level1"/>
        <w:numPr>
          <w:ilvl w:val="0"/>
          <w:numId w:val="0"/>
        </w:numPr>
        <w:spacing w:after="480" w:line="360" w:lineRule="auto"/>
        <w:jc w:val="both"/>
        <w:rPr>
          <w:lang w:val="en-US"/>
        </w:rPr>
      </w:pPr>
      <w:r>
        <w:rPr>
          <w:lang w:val="en-US"/>
        </w:rPr>
        <w:t>[7]</w:t>
      </w:r>
      <w:r>
        <w:rPr>
          <w:lang w:val="en-US"/>
        </w:rPr>
        <w:tab/>
      </w:r>
      <w:r w:rsidR="00D54C35">
        <w:rPr>
          <w:lang w:val="en-US"/>
        </w:rPr>
        <w:t>By agreement between the parties, a</w:t>
      </w:r>
      <w:r w:rsidR="00186D11" w:rsidRPr="00D54C35">
        <w:rPr>
          <w:lang w:val="en-US"/>
        </w:rPr>
        <w:t xml:space="preserve"> </w:t>
      </w:r>
      <w:r w:rsidR="003D46CC" w:rsidRPr="00D54C35">
        <w:rPr>
          <w:lang w:val="en-US"/>
        </w:rPr>
        <w:t xml:space="preserve">psycho </w:t>
      </w:r>
      <w:r w:rsidR="00186D11" w:rsidRPr="00D54C35">
        <w:rPr>
          <w:lang w:val="en-US"/>
        </w:rPr>
        <w:t xml:space="preserve">forensic assessment </w:t>
      </w:r>
      <w:r w:rsidR="003D46CC" w:rsidRPr="00D54C35">
        <w:rPr>
          <w:lang w:val="en-US"/>
        </w:rPr>
        <w:t xml:space="preserve">of the </w:t>
      </w:r>
      <w:r w:rsidR="001A419F">
        <w:rPr>
          <w:lang w:val="en-US"/>
        </w:rPr>
        <w:t>applicant, the respondent</w:t>
      </w:r>
      <w:r w:rsidR="003D46CC" w:rsidRPr="00D54C35">
        <w:rPr>
          <w:lang w:val="en-US"/>
        </w:rPr>
        <w:t xml:space="preserve"> and A </w:t>
      </w:r>
      <w:r w:rsidR="00186D11" w:rsidRPr="00D54C35">
        <w:rPr>
          <w:lang w:val="en-US"/>
        </w:rPr>
        <w:t>was conducted by Dr A</w:t>
      </w:r>
      <w:r w:rsidR="001A419F">
        <w:rPr>
          <w:lang w:val="en-US"/>
        </w:rPr>
        <w:t>nthony</w:t>
      </w:r>
      <w:r w:rsidR="00186D11" w:rsidRPr="00D54C35">
        <w:rPr>
          <w:lang w:val="en-US"/>
        </w:rPr>
        <w:t xml:space="preserve"> Townsend pertaining to A’s care and respondent’s contact to her, pursuant to which his final report was produced on 28 July 2020.</w:t>
      </w:r>
      <w:r w:rsidR="003D46CC" w:rsidRPr="00D54C35">
        <w:rPr>
          <w:lang w:val="en-US"/>
        </w:rPr>
        <w:t xml:space="preserve"> The report was produced at a time before the relocation of the applicant was envisaged. </w:t>
      </w:r>
      <w:r w:rsidR="00186D11" w:rsidRPr="00D54C35">
        <w:rPr>
          <w:lang w:val="en-US"/>
        </w:rPr>
        <w:t xml:space="preserve">In terms of that report, Dr Townsend recommended that A’s primary residence should be with the applicant. He further recommended certain contact and access arrangements which included sleep over contact. </w:t>
      </w:r>
      <w:r w:rsidR="001A35FF" w:rsidRPr="00D54C35">
        <w:rPr>
          <w:lang w:val="en-US"/>
        </w:rPr>
        <w:t>Th</w:t>
      </w:r>
      <w:r w:rsidR="001A419F">
        <w:rPr>
          <w:lang w:val="en-US"/>
        </w:rPr>
        <w:t>e parties accepted the recommendations and the contact</w:t>
      </w:r>
      <w:r w:rsidR="001A35FF" w:rsidRPr="00D54C35">
        <w:rPr>
          <w:lang w:val="en-US"/>
        </w:rPr>
        <w:t xml:space="preserve"> regime was implemented by the parties. </w:t>
      </w:r>
    </w:p>
    <w:p w14:paraId="4ADB11D2" w14:textId="0F6C529E" w:rsidR="00787908" w:rsidRPr="00D54C35" w:rsidRDefault="001F4EAF" w:rsidP="001F4EAF">
      <w:pPr>
        <w:pStyle w:val="level1"/>
        <w:numPr>
          <w:ilvl w:val="0"/>
          <w:numId w:val="0"/>
        </w:numPr>
        <w:spacing w:after="480" w:line="360" w:lineRule="auto"/>
        <w:jc w:val="both"/>
        <w:rPr>
          <w:lang w:val="en-US"/>
        </w:rPr>
      </w:pPr>
      <w:r w:rsidRPr="00D54C35">
        <w:rPr>
          <w:lang w:val="en-US"/>
        </w:rPr>
        <w:lastRenderedPageBreak/>
        <w:t>[8]</w:t>
      </w:r>
      <w:r w:rsidRPr="00D54C35">
        <w:rPr>
          <w:lang w:val="en-US"/>
        </w:rPr>
        <w:tab/>
      </w:r>
      <w:r w:rsidR="00186D11" w:rsidRPr="00D54C35">
        <w:rPr>
          <w:lang w:val="en-US"/>
        </w:rPr>
        <w:t xml:space="preserve">Disputes arose between the parties pertaining to the sleep over contact and the applicant ceased such contact during </w:t>
      </w:r>
      <w:r w:rsidR="000D09D0">
        <w:rPr>
          <w:lang w:val="en-US"/>
        </w:rPr>
        <w:t>January</w:t>
      </w:r>
      <w:r w:rsidR="00186D11" w:rsidRPr="00D54C35">
        <w:rPr>
          <w:lang w:val="en-US"/>
        </w:rPr>
        <w:t xml:space="preserve"> </w:t>
      </w:r>
      <w:r w:rsidR="001A35FF" w:rsidRPr="00D54C35">
        <w:rPr>
          <w:lang w:val="en-US"/>
        </w:rPr>
        <w:t>202</w:t>
      </w:r>
      <w:r w:rsidR="000D09D0">
        <w:rPr>
          <w:lang w:val="en-US"/>
        </w:rPr>
        <w:t>1</w:t>
      </w:r>
      <w:r w:rsidR="001A35FF" w:rsidRPr="00D54C35">
        <w:rPr>
          <w:lang w:val="en-US"/>
        </w:rPr>
        <w:t xml:space="preserve"> pursuant to certain concerns </w:t>
      </w:r>
      <w:r w:rsidR="001A419F">
        <w:rPr>
          <w:lang w:val="en-US"/>
        </w:rPr>
        <w:t xml:space="preserve">including concerns </w:t>
      </w:r>
      <w:r w:rsidR="001A35FF" w:rsidRPr="00D54C35">
        <w:rPr>
          <w:lang w:val="en-US"/>
        </w:rPr>
        <w:t xml:space="preserve">pertaining to </w:t>
      </w:r>
      <w:r w:rsidR="00787908" w:rsidRPr="00D54C35">
        <w:rPr>
          <w:lang w:val="en-US"/>
        </w:rPr>
        <w:t>the respondent’s alleged alcohol use</w:t>
      </w:r>
      <w:r w:rsidR="001A419F">
        <w:rPr>
          <w:lang w:val="en-US"/>
        </w:rPr>
        <w:t>, substance abuse</w:t>
      </w:r>
      <w:r w:rsidR="000D09D0">
        <w:rPr>
          <w:lang w:val="en-US"/>
        </w:rPr>
        <w:t>, uncontrolled rage</w:t>
      </w:r>
      <w:r w:rsidR="00787908" w:rsidRPr="00D54C35">
        <w:rPr>
          <w:lang w:val="en-US"/>
        </w:rPr>
        <w:t xml:space="preserve"> and addiction to pornography</w:t>
      </w:r>
      <w:r w:rsidR="001A35FF" w:rsidRPr="00D54C35">
        <w:rPr>
          <w:lang w:val="en-US"/>
        </w:rPr>
        <w:t>.</w:t>
      </w:r>
      <w:r w:rsidR="00787908" w:rsidRPr="00D54C35">
        <w:rPr>
          <w:lang w:val="en-US"/>
        </w:rPr>
        <w:t xml:space="preserve"> </w:t>
      </w:r>
      <w:r w:rsidR="003D46CC" w:rsidRPr="00D54C35">
        <w:rPr>
          <w:lang w:val="en-US"/>
        </w:rPr>
        <w:t>In lieu of the sleep over contact, the applicant afforded the respondent additional weekend contact to A.</w:t>
      </w:r>
      <w:r w:rsidR="000D09D0" w:rsidRPr="000D09D0">
        <w:rPr>
          <w:lang w:val="en-US"/>
        </w:rPr>
        <w:t xml:space="preserve"> </w:t>
      </w:r>
      <w:r w:rsidR="000D09D0" w:rsidRPr="00D54C35">
        <w:rPr>
          <w:lang w:val="en-US"/>
        </w:rPr>
        <w:t>The respondent disputes the applicant’s averments</w:t>
      </w:r>
      <w:r w:rsidR="000D09D0">
        <w:rPr>
          <w:lang w:val="en-US"/>
        </w:rPr>
        <w:t xml:space="preserve"> and contends that he is not using substances or alcohol. The respondent</w:t>
      </w:r>
      <w:r w:rsidR="000D09D0" w:rsidRPr="00D54C35">
        <w:rPr>
          <w:lang w:val="en-US"/>
        </w:rPr>
        <w:t xml:space="preserve"> accuses </w:t>
      </w:r>
      <w:r w:rsidR="000D09D0">
        <w:rPr>
          <w:lang w:val="en-US"/>
        </w:rPr>
        <w:t>t</w:t>
      </w:r>
      <w:r w:rsidR="000D09D0" w:rsidRPr="00D54C35">
        <w:rPr>
          <w:lang w:val="en-US"/>
        </w:rPr>
        <w:t>he</w:t>
      </w:r>
      <w:r w:rsidR="000D09D0">
        <w:rPr>
          <w:lang w:val="en-US"/>
        </w:rPr>
        <w:t xml:space="preserve"> applicant of f</w:t>
      </w:r>
      <w:r w:rsidR="000D09D0" w:rsidRPr="00D54C35">
        <w:rPr>
          <w:lang w:val="en-US"/>
        </w:rPr>
        <w:t>r</w:t>
      </w:r>
      <w:r w:rsidR="000D09D0">
        <w:rPr>
          <w:lang w:val="en-US"/>
        </w:rPr>
        <w:t>ustrating his access to A and</w:t>
      </w:r>
      <w:r w:rsidR="000D09D0" w:rsidRPr="00D54C35">
        <w:rPr>
          <w:lang w:val="en-US"/>
        </w:rPr>
        <w:t xml:space="preserve"> of parental alienation.</w:t>
      </w:r>
      <w:r w:rsidR="003D46CC" w:rsidRPr="00D54C35">
        <w:rPr>
          <w:lang w:val="en-US"/>
        </w:rPr>
        <w:t xml:space="preserve"> </w:t>
      </w:r>
      <w:r w:rsidR="00787908" w:rsidRPr="00D54C35">
        <w:rPr>
          <w:lang w:val="en-US"/>
        </w:rPr>
        <w:t xml:space="preserve"> </w:t>
      </w:r>
    </w:p>
    <w:p w14:paraId="51478EB6" w14:textId="2DDCEC91" w:rsidR="00787908" w:rsidRDefault="001F4EAF" w:rsidP="001F4EAF">
      <w:pPr>
        <w:pStyle w:val="level1"/>
        <w:numPr>
          <w:ilvl w:val="0"/>
          <w:numId w:val="0"/>
        </w:numPr>
        <w:spacing w:after="480" w:line="360" w:lineRule="auto"/>
        <w:jc w:val="both"/>
        <w:rPr>
          <w:lang w:val="en-US"/>
        </w:rPr>
      </w:pPr>
      <w:r>
        <w:rPr>
          <w:lang w:val="en-US"/>
        </w:rPr>
        <w:t>[9]</w:t>
      </w:r>
      <w:r>
        <w:rPr>
          <w:lang w:val="en-US"/>
        </w:rPr>
        <w:tab/>
      </w:r>
      <w:r w:rsidR="001A419F">
        <w:rPr>
          <w:lang w:val="en-US"/>
        </w:rPr>
        <w:t>Opposed p</w:t>
      </w:r>
      <w:r w:rsidR="00787908" w:rsidRPr="006C1C38">
        <w:rPr>
          <w:lang w:val="en-US"/>
        </w:rPr>
        <w:t xml:space="preserve">roceedings </w:t>
      </w:r>
      <w:r w:rsidR="00787908">
        <w:rPr>
          <w:lang w:val="en-US"/>
        </w:rPr>
        <w:t>are</w:t>
      </w:r>
      <w:r w:rsidR="00787908" w:rsidRPr="006C1C38">
        <w:rPr>
          <w:lang w:val="en-US"/>
        </w:rPr>
        <w:t xml:space="preserve"> </w:t>
      </w:r>
      <w:r w:rsidR="00787908">
        <w:rPr>
          <w:lang w:val="en-US"/>
        </w:rPr>
        <w:t xml:space="preserve">presently </w:t>
      </w:r>
      <w:r w:rsidR="00787908" w:rsidRPr="006C1C38">
        <w:rPr>
          <w:lang w:val="en-US"/>
        </w:rPr>
        <w:t xml:space="preserve">pending in the Children’s Court, instituted </w:t>
      </w:r>
      <w:r w:rsidR="00787908">
        <w:rPr>
          <w:lang w:val="en-US"/>
        </w:rPr>
        <w:t xml:space="preserve">by the respondent </w:t>
      </w:r>
      <w:r w:rsidR="008B6F82">
        <w:rPr>
          <w:lang w:val="en-US"/>
        </w:rPr>
        <w:t xml:space="preserve">on 9 </w:t>
      </w:r>
      <w:r w:rsidR="00787908" w:rsidRPr="006C1C38">
        <w:rPr>
          <w:lang w:val="en-US"/>
        </w:rPr>
        <w:t>Ju</w:t>
      </w:r>
      <w:r w:rsidR="008B6F82">
        <w:rPr>
          <w:lang w:val="en-US"/>
        </w:rPr>
        <w:t>ne</w:t>
      </w:r>
      <w:r w:rsidR="00787908">
        <w:rPr>
          <w:lang w:val="en-US"/>
        </w:rPr>
        <w:t xml:space="preserve"> </w:t>
      </w:r>
      <w:r w:rsidR="00787908" w:rsidRPr="006C1C38">
        <w:rPr>
          <w:lang w:val="en-US"/>
        </w:rPr>
        <w:t xml:space="preserve">2021 pertaining to </w:t>
      </w:r>
      <w:r w:rsidR="001A419F">
        <w:rPr>
          <w:lang w:val="en-US"/>
        </w:rPr>
        <w:t xml:space="preserve">his </w:t>
      </w:r>
      <w:r w:rsidR="00787908" w:rsidRPr="006C1C38">
        <w:rPr>
          <w:lang w:val="en-US"/>
        </w:rPr>
        <w:t xml:space="preserve">contact </w:t>
      </w:r>
      <w:r w:rsidR="001A419F">
        <w:rPr>
          <w:lang w:val="en-US"/>
        </w:rPr>
        <w:t>to</w:t>
      </w:r>
      <w:r w:rsidR="00787908" w:rsidRPr="006C1C38">
        <w:rPr>
          <w:lang w:val="en-US"/>
        </w:rPr>
        <w:t xml:space="preserve"> A. </w:t>
      </w:r>
      <w:r w:rsidR="003D46CC">
        <w:rPr>
          <w:lang w:val="en-US"/>
        </w:rPr>
        <w:t>The applicant sought the respondent’s consent to stay those proceedings, which request was refused. T</w:t>
      </w:r>
      <w:r w:rsidR="003D46CC" w:rsidRPr="006C1C38">
        <w:rPr>
          <w:lang w:val="en-US"/>
        </w:rPr>
        <w:t>hose proceedings were postponed to 30 November 2021 to await the outcome of the present application.</w:t>
      </w:r>
    </w:p>
    <w:p w14:paraId="413ACBC3" w14:textId="36386DE6" w:rsidR="003D46CC" w:rsidRDefault="001F4EAF" w:rsidP="001F4EAF">
      <w:pPr>
        <w:pStyle w:val="level1"/>
        <w:numPr>
          <w:ilvl w:val="0"/>
          <w:numId w:val="0"/>
        </w:numPr>
        <w:spacing w:after="480" w:line="360" w:lineRule="auto"/>
        <w:jc w:val="both"/>
        <w:rPr>
          <w:lang w:val="en-US"/>
        </w:rPr>
      </w:pPr>
      <w:r>
        <w:rPr>
          <w:lang w:val="en-US"/>
        </w:rPr>
        <w:t>[10]</w:t>
      </w:r>
      <w:r>
        <w:rPr>
          <w:lang w:val="en-US"/>
        </w:rPr>
        <w:tab/>
      </w:r>
      <w:r w:rsidR="00E30C89">
        <w:rPr>
          <w:lang w:val="en-US"/>
        </w:rPr>
        <w:t>Prior to launching the original application</w:t>
      </w:r>
      <w:r w:rsidR="001A419F">
        <w:rPr>
          <w:lang w:val="en-US"/>
        </w:rPr>
        <w:t xml:space="preserve"> and during July 2021</w:t>
      </w:r>
      <w:r w:rsidR="00E30C89">
        <w:rPr>
          <w:lang w:val="en-US"/>
        </w:rPr>
        <w:t xml:space="preserve">, </w:t>
      </w:r>
      <w:r w:rsidR="0056174E">
        <w:rPr>
          <w:lang w:val="en-US"/>
        </w:rPr>
        <w:t>the applicant discussed her proposed relocation with the respondent and sought his views thereon. O</w:t>
      </w:r>
      <w:r w:rsidR="00B35913" w:rsidRPr="00E30C89">
        <w:rPr>
          <w:lang w:val="en-US"/>
        </w:rPr>
        <w:t>n 28 July 2021, the applicant sought the respondent’s consent for A</w:t>
      </w:r>
      <w:r w:rsidR="00E30C89">
        <w:rPr>
          <w:lang w:val="en-US"/>
        </w:rPr>
        <w:t>’s relocation</w:t>
      </w:r>
      <w:r w:rsidR="0056174E">
        <w:rPr>
          <w:lang w:val="en-US"/>
        </w:rPr>
        <w:t xml:space="preserve"> and </w:t>
      </w:r>
      <w:r w:rsidR="00B35913" w:rsidRPr="00E30C89">
        <w:rPr>
          <w:lang w:val="en-US"/>
        </w:rPr>
        <w:t xml:space="preserve">to vacate the borders of </w:t>
      </w:r>
      <w:r w:rsidR="0056174E">
        <w:rPr>
          <w:lang w:val="en-US"/>
        </w:rPr>
        <w:t xml:space="preserve">the </w:t>
      </w:r>
      <w:r w:rsidR="00B35913" w:rsidRPr="00E30C89">
        <w:rPr>
          <w:lang w:val="en-US"/>
        </w:rPr>
        <w:t>R</w:t>
      </w:r>
      <w:r w:rsidR="0056174E">
        <w:rPr>
          <w:lang w:val="en-US"/>
        </w:rPr>
        <w:t xml:space="preserve">epublic of </w:t>
      </w:r>
      <w:r w:rsidR="00B35913" w:rsidRPr="00E30C89">
        <w:rPr>
          <w:lang w:val="en-US"/>
        </w:rPr>
        <w:t>S</w:t>
      </w:r>
      <w:r w:rsidR="0056174E">
        <w:rPr>
          <w:lang w:val="en-US"/>
        </w:rPr>
        <w:t xml:space="preserve">outh </w:t>
      </w:r>
      <w:r w:rsidR="00B35913" w:rsidRPr="00E30C89">
        <w:rPr>
          <w:lang w:val="en-US"/>
        </w:rPr>
        <w:t>A</w:t>
      </w:r>
      <w:r w:rsidR="0056174E">
        <w:rPr>
          <w:lang w:val="en-US"/>
        </w:rPr>
        <w:t>frica</w:t>
      </w:r>
      <w:r w:rsidR="00B35913" w:rsidRPr="00E30C89">
        <w:rPr>
          <w:lang w:val="en-US"/>
        </w:rPr>
        <w:t xml:space="preserve">. On 13 August 2021, the respondent via his legal representatives responded that he would not consent. </w:t>
      </w:r>
      <w:r w:rsidR="003D46CC" w:rsidRPr="00E30C89">
        <w:rPr>
          <w:lang w:val="en-US"/>
        </w:rPr>
        <w:t>The urgent application was precipitated by the applicant obtaining a permanent position as a clinical psychologist in Auckland New Ze</w:t>
      </w:r>
      <w:r w:rsidR="00262D3E">
        <w:rPr>
          <w:lang w:val="en-US"/>
        </w:rPr>
        <w:t>a</w:t>
      </w:r>
      <w:r w:rsidR="003D46CC" w:rsidRPr="00E30C89">
        <w:rPr>
          <w:lang w:val="en-US"/>
        </w:rPr>
        <w:t>land.</w:t>
      </w:r>
      <w:r w:rsidR="0056174E">
        <w:rPr>
          <w:lang w:val="en-US"/>
        </w:rPr>
        <w:t xml:space="preserve"> At the time the </w:t>
      </w:r>
      <w:r w:rsidR="001A419F">
        <w:rPr>
          <w:lang w:val="en-US"/>
        </w:rPr>
        <w:t xml:space="preserve">original </w:t>
      </w:r>
      <w:r w:rsidR="0056174E">
        <w:rPr>
          <w:lang w:val="en-US"/>
        </w:rPr>
        <w:t>application was launched, she had applied for employment but had not yet obtained any.</w:t>
      </w:r>
      <w:r w:rsidR="003D46CC" w:rsidRPr="00E30C89">
        <w:rPr>
          <w:lang w:val="en-US"/>
        </w:rPr>
        <w:t xml:space="preserve"> </w:t>
      </w:r>
    </w:p>
    <w:p w14:paraId="07A7C40C" w14:textId="1250862F" w:rsidR="000D09D0" w:rsidRPr="00E30C89" w:rsidRDefault="001F4EAF" w:rsidP="001F4EAF">
      <w:pPr>
        <w:pStyle w:val="level1"/>
        <w:numPr>
          <w:ilvl w:val="0"/>
          <w:numId w:val="0"/>
        </w:numPr>
        <w:spacing w:after="480" w:line="360" w:lineRule="auto"/>
        <w:jc w:val="both"/>
        <w:rPr>
          <w:lang w:val="en-US"/>
        </w:rPr>
      </w:pPr>
      <w:r w:rsidRPr="00E30C89">
        <w:rPr>
          <w:lang w:val="en-US"/>
        </w:rPr>
        <w:t>[11]</w:t>
      </w:r>
      <w:r w:rsidRPr="00E30C89">
        <w:rPr>
          <w:lang w:val="en-US"/>
        </w:rPr>
        <w:tab/>
      </w:r>
      <w:r w:rsidR="000D09D0">
        <w:rPr>
          <w:lang w:val="en-US"/>
        </w:rPr>
        <w:t>I turn to consider the issues.</w:t>
      </w:r>
      <w:r w:rsidR="00C53F55">
        <w:rPr>
          <w:lang w:val="en-US"/>
        </w:rPr>
        <w:t xml:space="preserve"> They are: (</w:t>
      </w:r>
      <w:proofErr w:type="spellStart"/>
      <w:r w:rsidR="00C53F55">
        <w:rPr>
          <w:lang w:val="en-US"/>
        </w:rPr>
        <w:t>i</w:t>
      </w:r>
      <w:proofErr w:type="spellEnd"/>
      <w:r w:rsidR="00C53F55">
        <w:rPr>
          <w:lang w:val="en-US"/>
        </w:rPr>
        <w:t>) urgency; (ii) whether the application is premature and an expert report is required; (iii) whether the relief pertaining to A’s relocation should be granted; and (iv) costs.</w:t>
      </w:r>
      <w:r w:rsidR="000D09D0">
        <w:rPr>
          <w:lang w:val="en-US"/>
        </w:rPr>
        <w:t xml:space="preserve"> </w:t>
      </w:r>
    </w:p>
    <w:p w14:paraId="4A18A96B" w14:textId="2ED090D2" w:rsidR="00C53F55" w:rsidRPr="00C53F55" w:rsidRDefault="001F4EAF" w:rsidP="001F4EAF">
      <w:pPr>
        <w:pStyle w:val="level1"/>
        <w:numPr>
          <w:ilvl w:val="0"/>
          <w:numId w:val="0"/>
        </w:numPr>
        <w:spacing w:after="480" w:line="360" w:lineRule="auto"/>
        <w:jc w:val="both"/>
        <w:rPr>
          <w:lang w:val="en-US"/>
        </w:rPr>
      </w:pPr>
      <w:r w:rsidRPr="00C53F55">
        <w:rPr>
          <w:lang w:val="en-US"/>
        </w:rPr>
        <w:lastRenderedPageBreak/>
        <w:t>[12]</w:t>
      </w:r>
      <w:r w:rsidRPr="00C53F55">
        <w:rPr>
          <w:lang w:val="en-US"/>
        </w:rPr>
        <w:tab/>
      </w:r>
      <w:r w:rsidR="009E082F" w:rsidRPr="00C53F55">
        <w:rPr>
          <w:lang w:val="en-US"/>
        </w:rPr>
        <w:t xml:space="preserve">Regarding </w:t>
      </w:r>
      <w:r w:rsidR="00C53F55">
        <w:rPr>
          <w:lang w:val="en-US"/>
        </w:rPr>
        <w:t xml:space="preserve">the first issue pertaining to </w:t>
      </w:r>
      <w:r w:rsidR="009E082F" w:rsidRPr="00C53F55">
        <w:rPr>
          <w:lang w:val="en-US"/>
        </w:rPr>
        <w:t xml:space="preserve">urgency, </w:t>
      </w:r>
      <w:r w:rsidR="00476AC5" w:rsidRPr="00C53F55">
        <w:rPr>
          <w:lang w:val="en-US"/>
        </w:rPr>
        <w:t>I am persuaded that the applicant will not obtain substantial redress at a hearing in due course</w:t>
      </w:r>
      <w:r w:rsidR="00476AC5">
        <w:rPr>
          <w:rStyle w:val="FootnoteReference"/>
          <w:lang w:val="en-US"/>
        </w:rPr>
        <w:footnoteReference w:id="2"/>
      </w:r>
      <w:r w:rsidR="00C53F55" w:rsidRPr="00C53F55">
        <w:rPr>
          <w:lang w:val="en-US"/>
        </w:rPr>
        <w:t xml:space="preserve"> and that the applicant will suffer prejudice if the application is not dealt with urgently</w:t>
      </w:r>
      <w:r w:rsidR="00C53F55">
        <w:rPr>
          <w:rStyle w:val="FootnoteReference"/>
          <w:lang w:val="en-US"/>
        </w:rPr>
        <w:footnoteReference w:id="3"/>
      </w:r>
      <w:r w:rsidR="00C53F55" w:rsidRPr="00C53F55">
        <w:rPr>
          <w:lang w:val="en-US"/>
        </w:rPr>
        <w:t xml:space="preserve">. Considering all the facts, I am persuaded that the applicant has made out a sufficient case for the application to be determined as one of urgency. </w:t>
      </w:r>
    </w:p>
    <w:p w14:paraId="2F285C64" w14:textId="4F9F56C5" w:rsidR="00476AC5" w:rsidRPr="00C53F55" w:rsidRDefault="001F4EAF" w:rsidP="001F4EAF">
      <w:pPr>
        <w:pStyle w:val="level1"/>
        <w:numPr>
          <w:ilvl w:val="0"/>
          <w:numId w:val="0"/>
        </w:numPr>
        <w:spacing w:after="480" w:line="360" w:lineRule="auto"/>
        <w:jc w:val="both"/>
        <w:rPr>
          <w:lang w:val="en-US"/>
        </w:rPr>
      </w:pPr>
      <w:r w:rsidRPr="00C53F55">
        <w:rPr>
          <w:lang w:val="en-US"/>
        </w:rPr>
        <w:t>[13]</w:t>
      </w:r>
      <w:r w:rsidRPr="00C53F55">
        <w:rPr>
          <w:lang w:val="en-US"/>
        </w:rPr>
        <w:tab/>
      </w:r>
      <w:r w:rsidR="00C53F55" w:rsidRPr="00C53F55">
        <w:rPr>
          <w:lang w:val="en-US"/>
        </w:rPr>
        <w:t xml:space="preserve">Were the application to proceed in the normal course, </w:t>
      </w:r>
      <w:r w:rsidR="00476AC5" w:rsidRPr="00C53F55">
        <w:rPr>
          <w:lang w:val="en-US"/>
        </w:rPr>
        <w:t xml:space="preserve">the </w:t>
      </w:r>
      <w:r w:rsidR="00C53F55" w:rsidRPr="00C53F55">
        <w:rPr>
          <w:lang w:val="en-US"/>
        </w:rPr>
        <w:t xml:space="preserve">available </w:t>
      </w:r>
      <w:r w:rsidR="00476AC5" w:rsidRPr="00C53F55">
        <w:rPr>
          <w:lang w:val="en-US"/>
        </w:rPr>
        <w:t xml:space="preserve">date provided to the parties is </w:t>
      </w:r>
      <w:r w:rsidR="00C53F55" w:rsidRPr="00C53F55">
        <w:rPr>
          <w:lang w:val="en-US"/>
        </w:rPr>
        <w:t xml:space="preserve">only during </w:t>
      </w:r>
      <w:r w:rsidR="00476AC5" w:rsidRPr="00C53F55">
        <w:rPr>
          <w:lang w:val="en-US"/>
        </w:rPr>
        <w:t>February 2022</w:t>
      </w:r>
      <w:r w:rsidR="00C53F55" w:rsidRPr="00C53F55">
        <w:rPr>
          <w:lang w:val="en-US"/>
        </w:rPr>
        <w:t>,</w:t>
      </w:r>
      <w:r w:rsidR="009E082F" w:rsidRPr="00C53F55">
        <w:rPr>
          <w:lang w:val="en-US"/>
        </w:rPr>
        <w:t xml:space="preserve"> </w:t>
      </w:r>
      <w:r w:rsidR="00C53F55" w:rsidRPr="00C53F55">
        <w:rPr>
          <w:lang w:val="en-US"/>
        </w:rPr>
        <w:t>whereas</w:t>
      </w:r>
      <w:r w:rsidR="009E082F" w:rsidRPr="00C53F55">
        <w:rPr>
          <w:lang w:val="en-US"/>
        </w:rPr>
        <w:t xml:space="preserve"> </w:t>
      </w:r>
      <w:r w:rsidR="00C53F55" w:rsidRPr="00C53F55">
        <w:rPr>
          <w:lang w:val="en-US"/>
        </w:rPr>
        <w:t>t</w:t>
      </w:r>
      <w:r w:rsidR="009E082F" w:rsidRPr="00C53F55">
        <w:rPr>
          <w:lang w:val="en-US"/>
        </w:rPr>
        <w:t xml:space="preserve">he </w:t>
      </w:r>
      <w:r w:rsidR="00C53F55" w:rsidRPr="00C53F55">
        <w:rPr>
          <w:lang w:val="en-US"/>
        </w:rPr>
        <w:t xml:space="preserve">applicant </w:t>
      </w:r>
      <w:r w:rsidR="009E082F" w:rsidRPr="00C53F55">
        <w:rPr>
          <w:lang w:val="en-US"/>
        </w:rPr>
        <w:t xml:space="preserve">is to commence employment </w:t>
      </w:r>
      <w:r w:rsidR="00C53F55" w:rsidRPr="00C53F55">
        <w:rPr>
          <w:lang w:val="en-US"/>
        </w:rPr>
        <w:t xml:space="preserve">in New Zealand </w:t>
      </w:r>
      <w:r w:rsidR="009E082F" w:rsidRPr="00C53F55">
        <w:rPr>
          <w:lang w:val="en-US"/>
        </w:rPr>
        <w:t>on 31 January 2022</w:t>
      </w:r>
      <w:r w:rsidR="00C53F55" w:rsidRPr="00C53F55">
        <w:rPr>
          <w:lang w:val="en-US"/>
        </w:rPr>
        <w:t xml:space="preserve">, prior to which numerous logistic arrangements have to be </w:t>
      </w:r>
      <w:proofErr w:type="spellStart"/>
      <w:r w:rsidR="00C53F55" w:rsidRPr="00C53F55">
        <w:rPr>
          <w:lang w:val="en-US"/>
        </w:rPr>
        <w:t>finalised</w:t>
      </w:r>
      <w:proofErr w:type="spellEnd"/>
      <w:r w:rsidR="00C53F55" w:rsidRPr="00C53F55">
        <w:rPr>
          <w:lang w:val="en-US"/>
        </w:rPr>
        <w:t>. Although the applicant ultimately is in control of her emigration, she is not in control of all aspects thereof and it cannot be concluded that the urgency of the application is self</w:t>
      </w:r>
      <w:r w:rsidR="00C53F55">
        <w:rPr>
          <w:lang w:val="en-US"/>
        </w:rPr>
        <w:t>-</w:t>
      </w:r>
      <w:r w:rsidR="00C53F55" w:rsidRPr="00C53F55">
        <w:rPr>
          <w:lang w:val="en-US"/>
        </w:rPr>
        <w:t>created as averred by the respondent.</w:t>
      </w:r>
      <w:r w:rsidR="00C53F55">
        <w:rPr>
          <w:lang w:val="en-US"/>
        </w:rPr>
        <w:t xml:space="preserve"> </w:t>
      </w:r>
      <w:r w:rsidR="00476AC5" w:rsidRPr="00C53F55">
        <w:rPr>
          <w:lang w:val="en-US"/>
        </w:rPr>
        <w:t xml:space="preserve">The respondent’s contention that the applicant should find alternative employment or negotiate with her new employer to commence her employment later, </w:t>
      </w:r>
      <w:r w:rsidR="009E082F" w:rsidRPr="00C53F55">
        <w:rPr>
          <w:lang w:val="en-US"/>
        </w:rPr>
        <w:t>is self</w:t>
      </w:r>
      <w:r w:rsidR="00C53F55">
        <w:rPr>
          <w:lang w:val="en-US"/>
        </w:rPr>
        <w:t>-</w:t>
      </w:r>
      <w:r w:rsidR="009E082F" w:rsidRPr="00C53F55">
        <w:rPr>
          <w:lang w:val="en-US"/>
        </w:rPr>
        <w:t xml:space="preserve">serving and </w:t>
      </w:r>
      <w:r w:rsidR="00476AC5" w:rsidRPr="00C53F55">
        <w:rPr>
          <w:lang w:val="en-US"/>
        </w:rPr>
        <w:t xml:space="preserve">entirely disregards </w:t>
      </w:r>
      <w:r w:rsidR="009E082F" w:rsidRPr="00C53F55">
        <w:rPr>
          <w:lang w:val="en-US"/>
        </w:rPr>
        <w:t>the realities of the situation in which the applicant finds herself</w:t>
      </w:r>
      <w:r w:rsidR="00C53F55">
        <w:rPr>
          <w:lang w:val="en-US"/>
        </w:rPr>
        <w:t xml:space="preserve">. </w:t>
      </w:r>
      <w:r w:rsidR="0056174E" w:rsidRPr="00C53F55">
        <w:rPr>
          <w:lang w:val="en-US"/>
        </w:rPr>
        <w:t xml:space="preserve"> </w:t>
      </w:r>
      <w:r w:rsidR="009E082F" w:rsidRPr="00C53F55">
        <w:rPr>
          <w:lang w:val="en-US"/>
        </w:rPr>
        <w:t xml:space="preserve">It further disregards </w:t>
      </w:r>
      <w:r w:rsidR="00C53F55">
        <w:rPr>
          <w:lang w:val="en-US"/>
        </w:rPr>
        <w:t>t</w:t>
      </w:r>
      <w:r w:rsidR="00476AC5" w:rsidRPr="00C53F55">
        <w:rPr>
          <w:lang w:val="en-US"/>
        </w:rPr>
        <w:t>he</w:t>
      </w:r>
      <w:r w:rsidR="00C53F55">
        <w:rPr>
          <w:lang w:val="en-US"/>
        </w:rPr>
        <w:t xml:space="preserve"> applicant’s </w:t>
      </w:r>
      <w:r w:rsidR="00476AC5" w:rsidRPr="00C53F55">
        <w:rPr>
          <w:lang w:val="en-US"/>
        </w:rPr>
        <w:t>rights and her entitlement to proceed with her life</w:t>
      </w:r>
      <w:r w:rsidR="00C53F55">
        <w:rPr>
          <w:lang w:val="en-US"/>
        </w:rPr>
        <w:t>, an issue to which I later return</w:t>
      </w:r>
      <w:r w:rsidR="00476AC5" w:rsidRPr="00C53F55">
        <w:rPr>
          <w:lang w:val="en-US"/>
        </w:rPr>
        <w:t>.</w:t>
      </w:r>
      <w:r w:rsidR="009E082F" w:rsidRPr="00C53F55">
        <w:rPr>
          <w:lang w:val="en-US"/>
        </w:rPr>
        <w:t xml:space="preserve"> </w:t>
      </w:r>
    </w:p>
    <w:p w14:paraId="3A6D3F19" w14:textId="228E7EB3" w:rsidR="006A7784" w:rsidRDefault="001F4EAF" w:rsidP="001F4EAF">
      <w:pPr>
        <w:pStyle w:val="level1"/>
        <w:numPr>
          <w:ilvl w:val="0"/>
          <w:numId w:val="0"/>
        </w:numPr>
        <w:spacing w:after="480" w:line="360" w:lineRule="auto"/>
        <w:jc w:val="both"/>
        <w:rPr>
          <w:lang w:val="en-US"/>
        </w:rPr>
      </w:pPr>
      <w:r>
        <w:rPr>
          <w:lang w:val="en-US"/>
        </w:rPr>
        <w:t>[14]</w:t>
      </w:r>
      <w:r>
        <w:rPr>
          <w:lang w:val="en-US"/>
        </w:rPr>
        <w:tab/>
      </w:r>
      <w:r w:rsidR="00C53F55">
        <w:rPr>
          <w:lang w:val="en-US"/>
        </w:rPr>
        <w:t>Regarding the second issue, t</w:t>
      </w:r>
      <w:r w:rsidR="009E082F">
        <w:rPr>
          <w:lang w:val="en-US"/>
        </w:rPr>
        <w:t xml:space="preserve">he respondent contended that the application was premature as there was no expert report pertaining to whether it would be in </w:t>
      </w:r>
      <w:r w:rsidR="00E163A8">
        <w:rPr>
          <w:lang w:val="en-US"/>
        </w:rPr>
        <w:t>A</w:t>
      </w:r>
      <w:r w:rsidR="009E082F">
        <w:rPr>
          <w:lang w:val="en-US"/>
        </w:rPr>
        <w:t>’s best interests to relocate to New Zealand</w:t>
      </w:r>
      <w:r w:rsidR="006A7784">
        <w:rPr>
          <w:lang w:val="en-US"/>
        </w:rPr>
        <w:t xml:space="preserve">. He sought an order postponing the application to the ordinary opposed roll together with an order directing a the investigation and recommendations of a mutually agreed expert or the Family Advocate pertaining to whether it would be in A’s best interest to relocate with the applicant to New Zealand and, if so, to devise a detailed plan and strategy in terms of which the respondent’s reasonable rights of contact to A would be protected so as to encourage a strong and healthy father </w:t>
      </w:r>
      <w:r w:rsidR="006A7784">
        <w:rPr>
          <w:lang w:val="en-US"/>
        </w:rPr>
        <w:lastRenderedPageBreak/>
        <w:t>daughter relationship between the respondent and A in the context of a relocation. He also sought an order that the costs of such expert would be for the applicant’s account.</w:t>
      </w:r>
    </w:p>
    <w:p w14:paraId="0C1A6299" w14:textId="4A2C5A3C" w:rsidR="00E163A8" w:rsidRDefault="001F4EAF" w:rsidP="001F4EAF">
      <w:pPr>
        <w:pStyle w:val="level1"/>
        <w:numPr>
          <w:ilvl w:val="0"/>
          <w:numId w:val="0"/>
        </w:numPr>
        <w:spacing w:after="480" w:line="360" w:lineRule="auto"/>
        <w:jc w:val="both"/>
        <w:rPr>
          <w:lang w:val="en-US"/>
        </w:rPr>
      </w:pPr>
      <w:r>
        <w:rPr>
          <w:lang w:val="en-US"/>
        </w:rPr>
        <w:t>[15]</w:t>
      </w:r>
      <w:r>
        <w:rPr>
          <w:lang w:val="en-US"/>
        </w:rPr>
        <w:tab/>
      </w:r>
      <w:r w:rsidR="009E082F">
        <w:rPr>
          <w:lang w:val="en-US"/>
        </w:rPr>
        <w:t xml:space="preserve">The applicant countered this argument by contending that </w:t>
      </w:r>
      <w:r w:rsidR="006A7784">
        <w:rPr>
          <w:lang w:val="en-US"/>
        </w:rPr>
        <w:t xml:space="preserve">Dr Townsend had already conducted a comprehensive assessment and had concluded that it would be in A’s best interest that her primary residence be with the </w:t>
      </w:r>
      <w:r w:rsidR="00262D3E">
        <w:rPr>
          <w:lang w:val="en-US"/>
        </w:rPr>
        <w:t>a</w:t>
      </w:r>
      <w:r w:rsidR="006A7784">
        <w:rPr>
          <w:lang w:val="en-US"/>
        </w:rPr>
        <w:t xml:space="preserve">pplicant. She further argued that </w:t>
      </w:r>
      <w:r w:rsidR="009E082F">
        <w:rPr>
          <w:lang w:val="en-US"/>
        </w:rPr>
        <w:t>all the relevant facts were before the court</w:t>
      </w:r>
      <w:r w:rsidR="006A7784">
        <w:rPr>
          <w:lang w:val="en-US"/>
        </w:rPr>
        <w:t>, which would be able to determine A’s best interests from those facts</w:t>
      </w:r>
      <w:r w:rsidR="00F914C4">
        <w:rPr>
          <w:lang w:val="en-US"/>
        </w:rPr>
        <w:t xml:space="preserve"> and that it is not necessary to appoint an expert</w:t>
      </w:r>
      <w:r w:rsidR="006A7784">
        <w:rPr>
          <w:lang w:val="en-US"/>
        </w:rPr>
        <w:t>.</w:t>
      </w:r>
      <w:r w:rsidR="00F914C4">
        <w:rPr>
          <w:lang w:val="en-US"/>
        </w:rPr>
        <w:t xml:space="preserve"> She argued that in those circumstances, an opinion by an expert would be irrelevant and inadmissible, as held by the court in DJB v MB</w:t>
      </w:r>
      <w:r w:rsidR="00F914C4">
        <w:rPr>
          <w:rStyle w:val="FootnoteReference"/>
          <w:lang w:val="en-US"/>
        </w:rPr>
        <w:footnoteReference w:id="4"/>
      </w:r>
      <w:r w:rsidR="00F914C4">
        <w:rPr>
          <w:lang w:val="en-US"/>
        </w:rPr>
        <w:t xml:space="preserve"> </w:t>
      </w:r>
      <w:r w:rsidR="006A7784">
        <w:rPr>
          <w:lang w:val="en-US"/>
        </w:rPr>
        <w:t xml:space="preserve"> </w:t>
      </w:r>
    </w:p>
    <w:p w14:paraId="6B454A1E" w14:textId="4DB23F1F" w:rsidR="00F914C4" w:rsidRDefault="001F4EAF" w:rsidP="001F4EAF">
      <w:pPr>
        <w:pStyle w:val="level1"/>
        <w:numPr>
          <w:ilvl w:val="0"/>
          <w:numId w:val="0"/>
        </w:numPr>
        <w:spacing w:after="480" w:line="360" w:lineRule="auto"/>
        <w:jc w:val="both"/>
        <w:rPr>
          <w:lang w:val="en-US"/>
        </w:rPr>
      </w:pPr>
      <w:r>
        <w:rPr>
          <w:lang w:val="en-US"/>
        </w:rPr>
        <w:t>[16]</w:t>
      </w:r>
      <w:r>
        <w:rPr>
          <w:lang w:val="en-US"/>
        </w:rPr>
        <w:tab/>
      </w:r>
      <w:r w:rsidR="00FF7CD9">
        <w:rPr>
          <w:lang w:val="en-US"/>
        </w:rPr>
        <w:t>Although the respondent contended that he has since 12 August 2021, requested that an independent psychologist or the Family Advocate be appointed to investigate A’s best interests pertaining to the relocation, he</w:t>
      </w:r>
      <w:r w:rsidR="006A7784">
        <w:rPr>
          <w:lang w:val="en-US"/>
        </w:rPr>
        <w:t xml:space="preserve"> did not launch any counter application </w:t>
      </w:r>
      <w:r w:rsidR="00F914C4">
        <w:rPr>
          <w:lang w:val="en-US"/>
        </w:rPr>
        <w:t xml:space="preserve">seeking such relief. More importantly, the respondent </w:t>
      </w:r>
      <w:r w:rsidR="006A7784">
        <w:rPr>
          <w:lang w:val="en-US"/>
        </w:rPr>
        <w:t xml:space="preserve">did </w:t>
      </w:r>
      <w:r w:rsidR="00F914C4">
        <w:rPr>
          <w:lang w:val="en-US"/>
        </w:rPr>
        <w:t>not</w:t>
      </w:r>
      <w:r w:rsidR="006A7784">
        <w:rPr>
          <w:lang w:val="en-US"/>
        </w:rPr>
        <w:t xml:space="preserve"> take any steps to have an expert or the Family Advocate’s office appointed to conduct any investigation pertaining to the relocation since the original application was launched by the applicant during September 2021.</w:t>
      </w:r>
      <w:r w:rsidR="0009031D">
        <w:rPr>
          <w:lang w:val="en-US"/>
        </w:rPr>
        <w:t xml:space="preserve"> Rather he adopted a supine approach and demanded various investigations at the cost of the applicant. He further did not meaningfully engage with the applicant’s suggestions to appoint a parental coordinator to assist and resolve the issues pertaining to his contact with A. </w:t>
      </w:r>
      <w:r w:rsidR="006A7784">
        <w:rPr>
          <w:lang w:val="en-US"/>
        </w:rPr>
        <w:t xml:space="preserve"> </w:t>
      </w:r>
    </w:p>
    <w:p w14:paraId="5C394620" w14:textId="29A8D9A4" w:rsidR="006A7784" w:rsidRDefault="001F4EAF" w:rsidP="001F4EAF">
      <w:pPr>
        <w:pStyle w:val="level1"/>
        <w:numPr>
          <w:ilvl w:val="0"/>
          <w:numId w:val="0"/>
        </w:numPr>
        <w:spacing w:after="480" w:line="360" w:lineRule="auto"/>
        <w:jc w:val="both"/>
        <w:rPr>
          <w:lang w:val="en-US"/>
        </w:rPr>
      </w:pPr>
      <w:r>
        <w:rPr>
          <w:lang w:val="en-US"/>
        </w:rPr>
        <w:t>[17]</w:t>
      </w:r>
      <w:r>
        <w:rPr>
          <w:lang w:val="en-US"/>
        </w:rPr>
        <w:tab/>
      </w:r>
      <w:r w:rsidR="006A7784">
        <w:rPr>
          <w:lang w:val="en-US"/>
        </w:rPr>
        <w:t>Whilst it is correct that a detailed plan pertaining to the respondent’s rights of contact to A have not yet been determined and that such process is necessary to safeguard the respondent’s inter</w:t>
      </w:r>
      <w:r w:rsidR="000B49C4">
        <w:rPr>
          <w:lang w:val="en-US"/>
        </w:rPr>
        <w:t>e</w:t>
      </w:r>
      <w:r w:rsidR="006A7784">
        <w:rPr>
          <w:lang w:val="en-US"/>
        </w:rPr>
        <w:t xml:space="preserve">sts, I am not persuaded that it is necessary for an investigation to be conducted by an expert to determine whether it is in A’s best interests to relocate with </w:t>
      </w:r>
      <w:r w:rsidR="00F914C4">
        <w:rPr>
          <w:lang w:val="en-US"/>
        </w:rPr>
        <w:t>t</w:t>
      </w:r>
      <w:r w:rsidR="006A7784">
        <w:rPr>
          <w:lang w:val="en-US"/>
        </w:rPr>
        <w:t>he</w:t>
      </w:r>
      <w:r w:rsidR="00F914C4">
        <w:rPr>
          <w:lang w:val="en-US"/>
        </w:rPr>
        <w:t xml:space="preserve"> applicant</w:t>
      </w:r>
      <w:r w:rsidR="006A7784">
        <w:rPr>
          <w:lang w:val="en-US"/>
        </w:rPr>
        <w:t xml:space="preserve">. </w:t>
      </w:r>
    </w:p>
    <w:p w14:paraId="1C4422C0" w14:textId="5EF2F4DE" w:rsidR="0009031D" w:rsidRDefault="001F4EAF" w:rsidP="001F4EAF">
      <w:pPr>
        <w:pStyle w:val="level1"/>
        <w:numPr>
          <w:ilvl w:val="0"/>
          <w:numId w:val="0"/>
        </w:numPr>
        <w:spacing w:after="480" w:line="360" w:lineRule="auto"/>
        <w:jc w:val="both"/>
        <w:rPr>
          <w:lang w:val="en-US"/>
        </w:rPr>
      </w:pPr>
      <w:r>
        <w:rPr>
          <w:lang w:val="en-US"/>
        </w:rPr>
        <w:lastRenderedPageBreak/>
        <w:t>[18]</w:t>
      </w:r>
      <w:r>
        <w:rPr>
          <w:lang w:val="en-US"/>
        </w:rPr>
        <w:tab/>
      </w:r>
      <w:r w:rsidR="00F914C4">
        <w:rPr>
          <w:lang w:val="en-US"/>
        </w:rPr>
        <w:t xml:space="preserve">S 7 of the Act, </w:t>
      </w:r>
      <w:proofErr w:type="spellStart"/>
      <w:r w:rsidR="00F914C4">
        <w:rPr>
          <w:lang w:val="en-US"/>
        </w:rPr>
        <w:t>particularises</w:t>
      </w:r>
      <w:proofErr w:type="spellEnd"/>
      <w:r w:rsidR="00F914C4">
        <w:rPr>
          <w:lang w:val="en-US"/>
        </w:rPr>
        <w:t xml:space="preserve"> the best interest standard and the relevant factors pertaining thereto. </w:t>
      </w:r>
      <w:r w:rsidR="000B49C4">
        <w:rPr>
          <w:lang w:val="en-US"/>
        </w:rPr>
        <w:t xml:space="preserve">The relevant factual matrix has been placed before the court in the application papers which are of a voluminous nature. The applicant has </w:t>
      </w:r>
      <w:r w:rsidR="0009031D">
        <w:rPr>
          <w:lang w:val="en-US"/>
        </w:rPr>
        <w:t xml:space="preserve">comprehensively </w:t>
      </w:r>
      <w:r w:rsidR="000B49C4">
        <w:rPr>
          <w:lang w:val="en-US"/>
        </w:rPr>
        <w:t xml:space="preserve">placed </w:t>
      </w:r>
      <w:r w:rsidR="0009031D">
        <w:rPr>
          <w:lang w:val="en-US"/>
        </w:rPr>
        <w:t>the</w:t>
      </w:r>
      <w:r w:rsidR="000B49C4">
        <w:rPr>
          <w:lang w:val="en-US"/>
        </w:rPr>
        <w:t xml:space="preserve"> relevant facts pertaining to her relocation before the court. The respondent on the other hand has not presented any countervailing evidence</w:t>
      </w:r>
      <w:r w:rsidR="0009031D">
        <w:rPr>
          <w:lang w:val="en-US"/>
        </w:rPr>
        <w:t xml:space="preserve">, but has instead </w:t>
      </w:r>
      <w:proofErr w:type="spellStart"/>
      <w:r w:rsidR="0009031D">
        <w:rPr>
          <w:lang w:val="en-US"/>
        </w:rPr>
        <w:t>criticised</w:t>
      </w:r>
      <w:proofErr w:type="spellEnd"/>
      <w:r w:rsidR="0009031D">
        <w:rPr>
          <w:lang w:val="en-US"/>
        </w:rPr>
        <w:t xml:space="preserve"> the completeness of the facts presented by the applicant, without any factual basis underpinning his objections</w:t>
      </w:r>
      <w:r w:rsidR="00536FCB">
        <w:rPr>
          <w:lang w:val="en-US"/>
        </w:rPr>
        <w:t xml:space="preserve">. The suggestion is that an investigation must be conducted regarding what A’s conditions in New Zealand would be. The Family Advocate’s office or a local South African expert, would not be in a position to properly comment on those issues. </w:t>
      </w:r>
      <w:r w:rsidR="000B49C4">
        <w:rPr>
          <w:lang w:val="en-US"/>
        </w:rPr>
        <w:t>The respondent’s conclusion that the applicant has sought to present expert evidence as a clinical psychologist in her own matter, lacks merit. In my view, the applicant has presented factual evidence</w:t>
      </w:r>
      <w:r w:rsidR="0009031D">
        <w:rPr>
          <w:lang w:val="en-US"/>
        </w:rPr>
        <w:t xml:space="preserve"> and her views as custodian parent of A, all of which fall to be considered and are relevant. </w:t>
      </w:r>
    </w:p>
    <w:p w14:paraId="7CF5F384" w14:textId="112F4EE9" w:rsidR="0009031D" w:rsidRDefault="001F4EAF" w:rsidP="001F4EAF">
      <w:pPr>
        <w:pStyle w:val="level1"/>
        <w:numPr>
          <w:ilvl w:val="0"/>
          <w:numId w:val="0"/>
        </w:numPr>
        <w:spacing w:after="480" w:line="360" w:lineRule="auto"/>
        <w:jc w:val="both"/>
        <w:rPr>
          <w:lang w:val="en-US"/>
        </w:rPr>
      </w:pPr>
      <w:r>
        <w:rPr>
          <w:lang w:val="en-US"/>
        </w:rPr>
        <w:t>[19]</w:t>
      </w:r>
      <w:proofErr w:type="gramStart"/>
      <w:r>
        <w:rPr>
          <w:lang w:val="en-US"/>
        </w:rPr>
        <w:tab/>
      </w:r>
      <w:r w:rsidR="0009031D" w:rsidRPr="0009031D">
        <w:rPr>
          <w:lang w:val="en-US"/>
        </w:rPr>
        <w:t xml:space="preserve">  I</w:t>
      </w:r>
      <w:proofErr w:type="gramEnd"/>
      <w:r w:rsidR="0009031D" w:rsidRPr="0009031D">
        <w:rPr>
          <w:lang w:val="en-US"/>
        </w:rPr>
        <w:t xml:space="preserve"> conclude that it is not necessary to postpone the application or direct the delivery of an expert report pertaining</w:t>
      </w:r>
      <w:r w:rsidR="00536FCB">
        <w:rPr>
          <w:lang w:val="en-US"/>
        </w:rPr>
        <w:t xml:space="preserve"> to whether it is in A’s best interests to relocate. Sufficient information has been placed before the court to do so.</w:t>
      </w:r>
    </w:p>
    <w:p w14:paraId="028C1202" w14:textId="0D79B55C" w:rsidR="0071624C" w:rsidRDefault="001F4EAF" w:rsidP="001F4EAF">
      <w:pPr>
        <w:pStyle w:val="level1"/>
        <w:numPr>
          <w:ilvl w:val="0"/>
          <w:numId w:val="0"/>
        </w:numPr>
        <w:spacing w:after="480" w:line="360" w:lineRule="auto"/>
        <w:jc w:val="both"/>
        <w:rPr>
          <w:lang w:val="en-US"/>
        </w:rPr>
      </w:pPr>
      <w:r>
        <w:rPr>
          <w:lang w:val="en-US"/>
        </w:rPr>
        <w:t>[20]</w:t>
      </w:r>
      <w:r>
        <w:rPr>
          <w:lang w:val="en-US"/>
        </w:rPr>
        <w:tab/>
      </w:r>
      <w:r w:rsidR="0071624C">
        <w:rPr>
          <w:lang w:val="en-US"/>
        </w:rPr>
        <w:t>Although</w:t>
      </w:r>
      <w:r w:rsidR="00536FCB" w:rsidRPr="00536FCB">
        <w:rPr>
          <w:lang w:val="en-US"/>
        </w:rPr>
        <w:t xml:space="preserve"> it will be necessary to consider appropriate terms on which the respondent’s contact to A should be regulated</w:t>
      </w:r>
      <w:r w:rsidR="0071624C">
        <w:rPr>
          <w:lang w:val="en-US"/>
        </w:rPr>
        <w:t>, it is not necessary that these issues be determined now or together, absent any counter application for such relief. The latter issue</w:t>
      </w:r>
      <w:r w:rsidR="00536FCB">
        <w:rPr>
          <w:lang w:val="en-US"/>
        </w:rPr>
        <w:t xml:space="preserve"> cannot be d</w:t>
      </w:r>
      <w:r w:rsidR="0071624C">
        <w:rPr>
          <w:lang w:val="en-US"/>
        </w:rPr>
        <w:t>etermined</w:t>
      </w:r>
      <w:r w:rsidR="00536FCB">
        <w:rPr>
          <w:lang w:val="en-US"/>
        </w:rPr>
        <w:t xml:space="preserve"> in the present application.</w:t>
      </w:r>
      <w:r w:rsidR="0071624C">
        <w:rPr>
          <w:lang w:val="en-US"/>
        </w:rPr>
        <w:t xml:space="preserve"> </w:t>
      </w:r>
      <w:r w:rsidR="00536FCB">
        <w:rPr>
          <w:lang w:val="en-US"/>
        </w:rPr>
        <w:t xml:space="preserve"> </w:t>
      </w:r>
    </w:p>
    <w:p w14:paraId="529B7E5D" w14:textId="5DBF42FC" w:rsidR="00536FCB" w:rsidRDefault="001F4EAF" w:rsidP="001F4EAF">
      <w:pPr>
        <w:pStyle w:val="level1"/>
        <w:numPr>
          <w:ilvl w:val="0"/>
          <w:numId w:val="0"/>
        </w:numPr>
        <w:spacing w:after="480" w:line="360" w:lineRule="auto"/>
        <w:jc w:val="both"/>
        <w:rPr>
          <w:lang w:val="en-US"/>
        </w:rPr>
      </w:pPr>
      <w:r>
        <w:rPr>
          <w:lang w:val="en-US"/>
        </w:rPr>
        <w:t>[21]</w:t>
      </w:r>
      <w:r>
        <w:rPr>
          <w:lang w:val="en-US"/>
        </w:rPr>
        <w:tab/>
      </w:r>
      <w:r w:rsidR="00536FCB" w:rsidRPr="00536FCB">
        <w:rPr>
          <w:lang w:val="en-US"/>
        </w:rPr>
        <w:t xml:space="preserve">It would </w:t>
      </w:r>
      <w:r w:rsidR="00536FCB">
        <w:rPr>
          <w:lang w:val="en-US"/>
        </w:rPr>
        <w:t xml:space="preserve">thus </w:t>
      </w:r>
      <w:r w:rsidR="00536FCB" w:rsidRPr="00536FCB">
        <w:rPr>
          <w:lang w:val="en-US"/>
        </w:rPr>
        <w:t xml:space="preserve">be appropriate to appoint </w:t>
      </w:r>
      <w:r w:rsidR="00536FCB">
        <w:rPr>
          <w:lang w:val="en-US"/>
        </w:rPr>
        <w:t>a parenting</w:t>
      </w:r>
      <w:r w:rsidR="00536FCB" w:rsidRPr="00536FCB">
        <w:rPr>
          <w:lang w:val="en-US"/>
        </w:rPr>
        <w:t xml:space="preserve"> coordinator to assist the parties in agreeing to an appropriate mechanism for the regulation of the respondent’s contact with A. </w:t>
      </w:r>
      <w:r w:rsidR="00536FCB">
        <w:rPr>
          <w:lang w:val="en-US"/>
        </w:rPr>
        <w:t>Such an appointment can be made urgently by agreement between the parties, considering that the respondent did not object to the appointment of such coordinator or the three individuals proposed by the applicant.</w:t>
      </w:r>
    </w:p>
    <w:p w14:paraId="324B9300" w14:textId="2C6C9C91" w:rsidR="007523DF" w:rsidRDefault="001F4EAF" w:rsidP="001F4EAF">
      <w:pPr>
        <w:pStyle w:val="level1"/>
        <w:numPr>
          <w:ilvl w:val="0"/>
          <w:numId w:val="0"/>
        </w:numPr>
        <w:spacing w:after="480" w:line="360" w:lineRule="auto"/>
        <w:jc w:val="both"/>
        <w:rPr>
          <w:lang w:val="en-US"/>
        </w:rPr>
      </w:pPr>
      <w:r>
        <w:rPr>
          <w:lang w:val="en-US"/>
        </w:rPr>
        <w:t>[22]</w:t>
      </w:r>
      <w:r>
        <w:rPr>
          <w:lang w:val="en-US"/>
        </w:rPr>
        <w:tab/>
      </w:r>
      <w:r w:rsidR="00536FCB">
        <w:rPr>
          <w:lang w:val="en-US"/>
        </w:rPr>
        <w:t>Moreover, t</w:t>
      </w:r>
      <w:r w:rsidR="00536FCB" w:rsidRPr="00536FCB">
        <w:rPr>
          <w:lang w:val="en-US"/>
        </w:rPr>
        <w:t xml:space="preserve">he respondent’s contact to A is the subject matter of the pending proceedings in the </w:t>
      </w:r>
      <w:proofErr w:type="spellStart"/>
      <w:r w:rsidR="00536FCB" w:rsidRPr="00536FCB">
        <w:rPr>
          <w:lang w:val="en-US"/>
        </w:rPr>
        <w:t>Childrens</w:t>
      </w:r>
      <w:proofErr w:type="spellEnd"/>
      <w:r w:rsidR="00536FCB" w:rsidRPr="00536FCB">
        <w:rPr>
          <w:lang w:val="en-US"/>
        </w:rPr>
        <w:t xml:space="preserve"> Court. </w:t>
      </w:r>
      <w:r w:rsidR="007523DF">
        <w:rPr>
          <w:lang w:val="en-US"/>
        </w:rPr>
        <w:t xml:space="preserve">With the aid of the parenting coordinator, the parties </w:t>
      </w:r>
      <w:r w:rsidR="007523DF">
        <w:rPr>
          <w:lang w:val="en-US"/>
        </w:rPr>
        <w:lastRenderedPageBreak/>
        <w:t xml:space="preserve">can hopefully resolve their issues before the applicant’s departure to New Zealand. </w:t>
      </w:r>
      <w:r w:rsidR="0071624C">
        <w:rPr>
          <w:lang w:val="en-US"/>
        </w:rPr>
        <w:t>If they cannot do so by the time of their next appearance, t</w:t>
      </w:r>
      <w:r w:rsidR="007523DF">
        <w:rPr>
          <w:lang w:val="en-US"/>
        </w:rPr>
        <w:t>he respondent has suitable remedies at his disposal to safeguard his interests</w:t>
      </w:r>
      <w:r w:rsidR="0071624C">
        <w:rPr>
          <w:lang w:val="en-US"/>
        </w:rPr>
        <w:t>.</w:t>
      </w:r>
    </w:p>
    <w:p w14:paraId="18532FFC" w14:textId="407D9291" w:rsidR="00536FCB" w:rsidRPr="00536FCB" w:rsidRDefault="001F4EAF" w:rsidP="001F4EAF">
      <w:pPr>
        <w:pStyle w:val="level1"/>
        <w:numPr>
          <w:ilvl w:val="0"/>
          <w:numId w:val="0"/>
        </w:numPr>
        <w:spacing w:after="480" w:line="360" w:lineRule="auto"/>
        <w:jc w:val="both"/>
        <w:rPr>
          <w:lang w:val="en-US"/>
        </w:rPr>
      </w:pPr>
      <w:r w:rsidRPr="00536FCB">
        <w:rPr>
          <w:lang w:val="en-US"/>
        </w:rPr>
        <w:t>[23]</w:t>
      </w:r>
      <w:r w:rsidRPr="00536FCB">
        <w:rPr>
          <w:lang w:val="en-US"/>
        </w:rPr>
        <w:tab/>
      </w:r>
      <w:r w:rsidR="007523DF">
        <w:rPr>
          <w:lang w:val="en-US"/>
        </w:rPr>
        <w:t>To maintain the current status quo un</w:t>
      </w:r>
      <w:r w:rsidR="00536FCB" w:rsidRPr="00536FCB">
        <w:rPr>
          <w:lang w:val="en-US"/>
        </w:rPr>
        <w:t xml:space="preserve">til the issues between the parties are resolved, the present contact regime must remain, as sought by the applicant.  </w:t>
      </w:r>
    </w:p>
    <w:p w14:paraId="4A6486E0" w14:textId="346C797D" w:rsidR="00F52302" w:rsidRPr="00A83CF3" w:rsidRDefault="001F4EAF" w:rsidP="001F4EAF">
      <w:pPr>
        <w:pStyle w:val="level1"/>
        <w:numPr>
          <w:ilvl w:val="0"/>
          <w:numId w:val="0"/>
        </w:numPr>
        <w:spacing w:after="480" w:line="360" w:lineRule="auto"/>
        <w:jc w:val="both"/>
        <w:rPr>
          <w:lang w:val="en-US"/>
        </w:rPr>
      </w:pPr>
      <w:r w:rsidRPr="00A83CF3">
        <w:rPr>
          <w:lang w:val="en-US"/>
        </w:rPr>
        <w:t>[24]</w:t>
      </w:r>
      <w:r w:rsidRPr="00A83CF3">
        <w:rPr>
          <w:lang w:val="en-US"/>
        </w:rPr>
        <w:tab/>
      </w:r>
      <w:r w:rsidR="00536FCB" w:rsidRPr="00A83CF3">
        <w:rPr>
          <w:lang w:val="en-US"/>
        </w:rPr>
        <w:t xml:space="preserve">I turn to </w:t>
      </w:r>
      <w:r w:rsidR="00753F41" w:rsidRPr="00A83CF3">
        <w:rPr>
          <w:lang w:val="en-US"/>
        </w:rPr>
        <w:t xml:space="preserve">consider A’s best interests and </w:t>
      </w:r>
      <w:r w:rsidR="00536FCB" w:rsidRPr="00A83CF3">
        <w:rPr>
          <w:lang w:val="en-US"/>
        </w:rPr>
        <w:t xml:space="preserve">whether the relocation relief sought should be granted. </w:t>
      </w:r>
      <w:r w:rsidR="00A83CF3">
        <w:rPr>
          <w:lang w:val="en-US"/>
        </w:rPr>
        <w:t xml:space="preserve"> </w:t>
      </w:r>
      <w:r w:rsidR="0071624C" w:rsidRPr="00A83CF3">
        <w:rPr>
          <w:lang w:val="en-US"/>
        </w:rPr>
        <w:t>The applicant argued that a proper case for relief was made out, considering A’s best interests</w:t>
      </w:r>
      <w:r w:rsidR="00E4714F" w:rsidRPr="00A83CF3">
        <w:rPr>
          <w:lang w:val="en-US"/>
        </w:rPr>
        <w:t xml:space="preserve"> and the consideration of all relevant factors as envisaged by ss 7 of the Act</w:t>
      </w:r>
      <w:r w:rsidR="0071624C" w:rsidRPr="00A83CF3">
        <w:rPr>
          <w:lang w:val="en-US"/>
        </w:rPr>
        <w:t xml:space="preserve">. </w:t>
      </w:r>
      <w:r w:rsidR="0056174E" w:rsidRPr="00A83CF3">
        <w:rPr>
          <w:lang w:val="en-US"/>
        </w:rPr>
        <w:t xml:space="preserve">The respondent </w:t>
      </w:r>
      <w:r w:rsidR="0071624C" w:rsidRPr="00A83CF3">
        <w:rPr>
          <w:lang w:val="en-US"/>
        </w:rPr>
        <w:t xml:space="preserve">on the other hand, </w:t>
      </w:r>
      <w:r w:rsidR="0056174E" w:rsidRPr="00A83CF3">
        <w:rPr>
          <w:lang w:val="en-US"/>
        </w:rPr>
        <w:t xml:space="preserve">argued that the applicant’s relocation was not bona fide, reasonable and </w:t>
      </w:r>
      <w:r w:rsidR="0071624C" w:rsidRPr="00A83CF3">
        <w:rPr>
          <w:lang w:val="en-US"/>
        </w:rPr>
        <w:t xml:space="preserve">the decision </w:t>
      </w:r>
      <w:r w:rsidR="0056174E" w:rsidRPr="00A83CF3">
        <w:rPr>
          <w:lang w:val="en-US"/>
        </w:rPr>
        <w:t xml:space="preserve">genuinely taken as she has only provided her subjective opinion of what would be in </w:t>
      </w:r>
      <w:r w:rsidR="00BF4225" w:rsidRPr="00A83CF3">
        <w:rPr>
          <w:lang w:val="en-US"/>
        </w:rPr>
        <w:t>A</w:t>
      </w:r>
      <w:r w:rsidR="0056174E" w:rsidRPr="00A83CF3">
        <w:rPr>
          <w:lang w:val="en-US"/>
        </w:rPr>
        <w:t xml:space="preserve">’s best interests. He </w:t>
      </w:r>
      <w:r w:rsidR="00F52302" w:rsidRPr="00A83CF3">
        <w:rPr>
          <w:lang w:val="en-US"/>
        </w:rPr>
        <w:t>contended</w:t>
      </w:r>
      <w:r w:rsidR="0056174E" w:rsidRPr="00A83CF3">
        <w:rPr>
          <w:lang w:val="en-US"/>
        </w:rPr>
        <w:t xml:space="preserve"> that the applicant has since February 2021 continued to attempt to alienate </w:t>
      </w:r>
      <w:r w:rsidR="0071624C" w:rsidRPr="00A83CF3">
        <w:rPr>
          <w:lang w:val="en-US"/>
        </w:rPr>
        <w:t>him</w:t>
      </w:r>
      <w:r w:rsidR="00F52302" w:rsidRPr="00A83CF3">
        <w:rPr>
          <w:lang w:val="en-US"/>
        </w:rPr>
        <w:t xml:space="preserve"> from </w:t>
      </w:r>
      <w:r w:rsidR="0071624C" w:rsidRPr="00A83CF3">
        <w:rPr>
          <w:lang w:val="en-US"/>
        </w:rPr>
        <w:t>A,</w:t>
      </w:r>
      <w:r w:rsidR="00F52302" w:rsidRPr="00A83CF3">
        <w:rPr>
          <w:lang w:val="en-US"/>
        </w:rPr>
        <w:t xml:space="preserve"> by refusing access on various occasions and refusing the sl</w:t>
      </w:r>
      <w:r w:rsidR="00FF7CD9" w:rsidRPr="00A83CF3">
        <w:rPr>
          <w:lang w:val="en-US"/>
        </w:rPr>
        <w:t>ee</w:t>
      </w:r>
      <w:r w:rsidR="00F52302" w:rsidRPr="00A83CF3">
        <w:rPr>
          <w:lang w:val="en-US"/>
        </w:rPr>
        <w:t>p over contact recommended by Dr Townsend.</w:t>
      </w:r>
    </w:p>
    <w:p w14:paraId="0D971F49" w14:textId="3047253E" w:rsidR="007A6A24" w:rsidRDefault="001F4EAF" w:rsidP="001F4EAF">
      <w:pPr>
        <w:pStyle w:val="level1"/>
        <w:numPr>
          <w:ilvl w:val="0"/>
          <w:numId w:val="0"/>
        </w:numPr>
        <w:spacing w:after="480" w:line="360" w:lineRule="auto"/>
        <w:jc w:val="both"/>
        <w:rPr>
          <w:lang w:val="en-US"/>
        </w:rPr>
      </w:pPr>
      <w:r>
        <w:rPr>
          <w:lang w:val="en-US"/>
        </w:rPr>
        <w:t>[25]</w:t>
      </w:r>
      <w:r>
        <w:rPr>
          <w:lang w:val="en-US"/>
        </w:rPr>
        <w:tab/>
      </w:r>
      <w:r w:rsidR="0071624C">
        <w:rPr>
          <w:lang w:val="en-US"/>
        </w:rPr>
        <w:t>In the context of A’s best interests, t</w:t>
      </w:r>
      <w:r w:rsidR="003F7178">
        <w:rPr>
          <w:lang w:val="en-US"/>
        </w:rPr>
        <w:t>he applicant explained her motives to relocate as being potentially better schooling, tertiary education and employment opportunities for A</w:t>
      </w:r>
      <w:r w:rsidR="0071624C">
        <w:rPr>
          <w:lang w:val="en-US"/>
        </w:rPr>
        <w:t xml:space="preserve">, </w:t>
      </w:r>
      <w:r w:rsidR="003F7178">
        <w:rPr>
          <w:lang w:val="en-US"/>
        </w:rPr>
        <w:t xml:space="preserve">A’s general safety, the quality of life, free education and </w:t>
      </w:r>
      <w:r w:rsidR="00FF2A79">
        <w:rPr>
          <w:lang w:val="en-US"/>
        </w:rPr>
        <w:t>healthcare offered in New Zeeland and the high unemployment rate in South Africa.</w:t>
      </w:r>
      <w:r w:rsidR="007A6A24">
        <w:rPr>
          <w:lang w:val="en-US"/>
        </w:rPr>
        <w:t xml:space="preserve"> </w:t>
      </w:r>
    </w:p>
    <w:p w14:paraId="7997FA2C" w14:textId="2E528F10" w:rsidR="003F7178" w:rsidRDefault="001F4EAF" w:rsidP="001F4EAF">
      <w:pPr>
        <w:pStyle w:val="level1"/>
        <w:numPr>
          <w:ilvl w:val="0"/>
          <w:numId w:val="0"/>
        </w:numPr>
        <w:spacing w:after="480" w:line="360" w:lineRule="auto"/>
        <w:jc w:val="both"/>
        <w:rPr>
          <w:lang w:val="en-US"/>
        </w:rPr>
      </w:pPr>
      <w:r>
        <w:rPr>
          <w:lang w:val="en-US"/>
        </w:rPr>
        <w:t>[26]</w:t>
      </w:r>
      <w:r>
        <w:rPr>
          <w:lang w:val="en-US"/>
        </w:rPr>
        <w:tab/>
      </w:r>
      <w:r w:rsidR="007A6A24">
        <w:rPr>
          <w:lang w:val="en-US"/>
        </w:rPr>
        <w:t>In my view, it cannot be concluded that the relocation is not bona fide or reasonable. It can also not be concluded that the relocation decision was not taken bona fide.  The opposition of the application on this basis lacks merit. The respondent has put up no primary facts which would justify the inferential conclusions he seeks to draw.</w:t>
      </w:r>
    </w:p>
    <w:p w14:paraId="56657533" w14:textId="555EBBAC" w:rsidR="00F52302" w:rsidRDefault="001F4EAF" w:rsidP="001F4EAF">
      <w:pPr>
        <w:pStyle w:val="level1"/>
        <w:numPr>
          <w:ilvl w:val="0"/>
          <w:numId w:val="0"/>
        </w:numPr>
        <w:spacing w:after="480" w:line="360" w:lineRule="auto"/>
        <w:jc w:val="both"/>
        <w:rPr>
          <w:lang w:val="en-US"/>
        </w:rPr>
      </w:pPr>
      <w:r>
        <w:rPr>
          <w:lang w:val="en-US"/>
        </w:rPr>
        <w:t>[27]</w:t>
      </w:r>
      <w:r>
        <w:rPr>
          <w:lang w:val="en-US"/>
        </w:rPr>
        <w:tab/>
      </w:r>
      <w:r w:rsidR="00E4714F">
        <w:rPr>
          <w:lang w:val="en-US"/>
        </w:rPr>
        <w:t xml:space="preserve">I turn to consider A’s best interests. </w:t>
      </w:r>
      <w:r w:rsidR="00F52302">
        <w:rPr>
          <w:lang w:val="en-US"/>
        </w:rPr>
        <w:t>As enshrined in s28(2) of the Constitution, a child’s best interests are of paramount importance in any matter concerning the child.</w:t>
      </w:r>
      <w:r w:rsidR="00FF7CD9">
        <w:rPr>
          <w:lang w:val="en-US"/>
        </w:rPr>
        <w:t xml:space="preserve"> This principle is enshrined in terms of s 9 of the Act.</w:t>
      </w:r>
    </w:p>
    <w:p w14:paraId="0D4E1240" w14:textId="094FCC56" w:rsidR="00F52302" w:rsidRDefault="001F4EAF" w:rsidP="001F4EAF">
      <w:pPr>
        <w:pStyle w:val="level1"/>
        <w:numPr>
          <w:ilvl w:val="0"/>
          <w:numId w:val="0"/>
        </w:numPr>
        <w:spacing w:after="480" w:line="360" w:lineRule="auto"/>
        <w:jc w:val="both"/>
        <w:rPr>
          <w:lang w:val="en-US"/>
        </w:rPr>
      </w:pPr>
      <w:r>
        <w:rPr>
          <w:lang w:val="en-US"/>
        </w:rPr>
        <w:lastRenderedPageBreak/>
        <w:t>[28]</w:t>
      </w:r>
      <w:r>
        <w:rPr>
          <w:lang w:val="en-US"/>
        </w:rPr>
        <w:tab/>
      </w:r>
      <w:r w:rsidR="00F52302">
        <w:rPr>
          <w:lang w:val="en-US"/>
        </w:rPr>
        <w:t xml:space="preserve">It is apposite to refer to </w:t>
      </w:r>
      <w:r w:rsidR="00F52302" w:rsidRPr="00E4714F">
        <w:rPr>
          <w:i/>
          <w:lang w:val="en-US"/>
        </w:rPr>
        <w:t>Jackson v Jackson</w:t>
      </w:r>
      <w:r w:rsidR="00F52302">
        <w:rPr>
          <w:rStyle w:val="FootnoteReference"/>
          <w:lang w:val="en-US"/>
        </w:rPr>
        <w:footnoteReference w:id="5"/>
      </w:r>
      <w:r w:rsidR="00F52302">
        <w:rPr>
          <w:lang w:val="en-US"/>
        </w:rPr>
        <w:t>, wherein Scott JA stated:</w:t>
      </w:r>
    </w:p>
    <w:p w14:paraId="071EEA3C" w14:textId="77777777" w:rsidR="00F52302" w:rsidRDefault="00930D07" w:rsidP="00930D07">
      <w:pPr>
        <w:pStyle w:val="level1"/>
        <w:numPr>
          <w:ilvl w:val="0"/>
          <w:numId w:val="0"/>
        </w:numPr>
        <w:spacing w:after="480"/>
        <w:ind w:left="360"/>
        <w:jc w:val="both"/>
        <w:rPr>
          <w:lang w:val="en-US"/>
        </w:rPr>
      </w:pPr>
      <w:r>
        <w:rPr>
          <w:i/>
          <w:lang w:val="en-US"/>
        </w:rPr>
        <w:t>“</w:t>
      </w:r>
      <w:r w:rsidR="00F52302">
        <w:rPr>
          <w:i/>
          <w:lang w:val="en-US"/>
        </w:rPr>
        <w:t>…it is no doubt true that, generally speaking, where, following a divorce, the custodian patient wishes to emigrate, a court will not lightly refuse leave for the children to be taken out of the country if the decision of the custodian parent is shown to be bona fide and reasonable. But</w:t>
      </w:r>
      <w:r>
        <w:rPr>
          <w:i/>
          <w:lang w:val="en-US"/>
        </w:rPr>
        <w:t xml:space="preserve"> </w:t>
      </w:r>
      <w:r w:rsidR="00F52302">
        <w:rPr>
          <w:i/>
          <w:lang w:val="en-US"/>
        </w:rPr>
        <w:t xml:space="preserve">this is not because of the so-called rights of the custodian parent, it is because, in most cases, even if the access by the non-custodian parent would be materially affected, it would not be in the best interests of the children </w:t>
      </w:r>
      <w:r>
        <w:rPr>
          <w:i/>
          <w:lang w:val="en-US"/>
        </w:rPr>
        <w:t>that the custodian parent be thwarted in his or her endeavor to immigrate in pursuance of a decision reasonably and genuinely taken</w:t>
      </w:r>
      <w:r w:rsidR="00FC2AC4">
        <w:rPr>
          <w:i/>
          <w:lang w:val="en-US"/>
        </w:rPr>
        <w:t>. Indeed, one can well imagine that in many situations such a refusal would inevitably result in bitterness and frustration which would adversely affect the children. But what must be stressed is that each case must be decided on its own particular facts. No two cases are precisely the same- and, while past decisions based on other facts may provide useful guidelines, they do not more than that. By the same token, case should be given not to elevate to rules of law the dicta of Judges made in the context of the peculiar facts and circumstances with which they were concerned.</w:t>
      </w:r>
      <w:r>
        <w:rPr>
          <w:i/>
          <w:lang w:val="en-US"/>
        </w:rPr>
        <w:t>”</w:t>
      </w:r>
    </w:p>
    <w:p w14:paraId="480CB020" w14:textId="2F1665E5" w:rsidR="00F52302" w:rsidRDefault="001F4EAF" w:rsidP="001F4EAF">
      <w:pPr>
        <w:pStyle w:val="level1"/>
        <w:numPr>
          <w:ilvl w:val="0"/>
          <w:numId w:val="0"/>
        </w:numPr>
        <w:spacing w:after="480" w:line="360" w:lineRule="auto"/>
        <w:jc w:val="both"/>
        <w:rPr>
          <w:lang w:val="en-US"/>
        </w:rPr>
      </w:pPr>
      <w:r>
        <w:rPr>
          <w:lang w:val="en-US"/>
        </w:rPr>
        <w:t>[29]</w:t>
      </w:r>
      <w:r>
        <w:rPr>
          <w:lang w:val="en-US"/>
        </w:rPr>
        <w:tab/>
      </w:r>
      <w:r w:rsidR="006D709C">
        <w:rPr>
          <w:lang w:val="en-US"/>
        </w:rPr>
        <w:t xml:space="preserve">It is also apposite to refer to </w:t>
      </w:r>
      <w:r w:rsidR="006D709C" w:rsidRPr="00E4714F">
        <w:rPr>
          <w:i/>
          <w:lang w:val="en-US"/>
        </w:rPr>
        <w:t>F v F</w:t>
      </w:r>
      <w:r w:rsidR="006D709C">
        <w:rPr>
          <w:lang w:val="en-US"/>
        </w:rPr>
        <w:t xml:space="preserve">, wherein </w:t>
      </w:r>
      <w:r w:rsidR="00E4714F">
        <w:rPr>
          <w:lang w:val="en-US"/>
        </w:rPr>
        <w:t>Maya AJA</w:t>
      </w:r>
      <w:r w:rsidR="006D709C">
        <w:rPr>
          <w:lang w:val="en-US"/>
        </w:rPr>
        <w:t xml:space="preserve"> stated</w:t>
      </w:r>
      <w:r w:rsidR="0071624C">
        <w:rPr>
          <w:lang w:val="en-US"/>
        </w:rPr>
        <w:t>:</w:t>
      </w:r>
      <w:r w:rsidR="006D709C">
        <w:rPr>
          <w:rStyle w:val="FootnoteReference"/>
          <w:lang w:val="en-US"/>
        </w:rPr>
        <w:footnoteReference w:id="6"/>
      </w:r>
    </w:p>
    <w:p w14:paraId="29CD9B89" w14:textId="77777777" w:rsidR="00F52302" w:rsidRPr="00317BDE" w:rsidRDefault="00317BDE" w:rsidP="00317BDE">
      <w:pPr>
        <w:pStyle w:val="level1"/>
        <w:numPr>
          <w:ilvl w:val="0"/>
          <w:numId w:val="0"/>
        </w:numPr>
        <w:spacing w:after="480"/>
        <w:ind w:left="360"/>
        <w:jc w:val="both"/>
        <w:rPr>
          <w:i/>
          <w:lang w:val="en-US"/>
        </w:rPr>
      </w:pPr>
      <w:r w:rsidRPr="00317BDE">
        <w:rPr>
          <w:i/>
          <w:lang w:val="en-US"/>
        </w:rPr>
        <w:t>“</w:t>
      </w:r>
      <w:r w:rsidR="006D709C" w:rsidRPr="00317BDE">
        <w:rPr>
          <w:i/>
          <w:lang w:val="en-US"/>
        </w:rPr>
        <w:t>In deciding whether or not relocation will be in the child’s best interests, the court must carefully evaluate, weigh and balance a myriad of competing factors, including the child’s wishes in appropriate cases. It is an unfortunate reality of marital breakdown that the former spouses must go their separate ways and reconstitute their lives in a manner that each chooses alone. Maintaining cordial relations, remaining</w:t>
      </w:r>
      <w:r w:rsidRPr="00317BDE">
        <w:rPr>
          <w:i/>
          <w:lang w:val="en-US"/>
        </w:rPr>
        <w:t xml:space="preserve"> </w:t>
      </w:r>
      <w:r w:rsidR="006D709C" w:rsidRPr="00317BDE">
        <w:rPr>
          <w:i/>
          <w:lang w:val="en-US"/>
        </w:rPr>
        <w:t>in the same geographical area and raising their children together whilst rebuilding their lives will,</w:t>
      </w:r>
      <w:r w:rsidRPr="00317BDE">
        <w:rPr>
          <w:i/>
          <w:lang w:val="en-US"/>
        </w:rPr>
        <w:t xml:space="preserve"> in many cases, not be possible. Our courts have always recognized and will not lightly interfere with the right of a parent who has properly been awarded custody to choose in a reasonable manner how to order his or her life”.</w:t>
      </w:r>
      <w:r w:rsidR="006D709C" w:rsidRPr="00317BDE">
        <w:rPr>
          <w:i/>
          <w:lang w:val="en-US"/>
        </w:rPr>
        <w:t xml:space="preserve"> </w:t>
      </w:r>
    </w:p>
    <w:p w14:paraId="4FD49D6D" w14:textId="29BC124A" w:rsidR="007A6A24" w:rsidRDefault="001F4EAF" w:rsidP="001F4EAF">
      <w:pPr>
        <w:pStyle w:val="level1"/>
        <w:numPr>
          <w:ilvl w:val="0"/>
          <w:numId w:val="0"/>
        </w:numPr>
        <w:spacing w:after="480" w:line="360" w:lineRule="auto"/>
        <w:jc w:val="both"/>
        <w:rPr>
          <w:lang w:val="en-US"/>
        </w:rPr>
      </w:pPr>
      <w:r>
        <w:rPr>
          <w:lang w:val="en-US"/>
        </w:rPr>
        <w:t>[30]</w:t>
      </w:r>
      <w:r>
        <w:rPr>
          <w:lang w:val="en-US"/>
        </w:rPr>
        <w:tab/>
      </w:r>
      <w:r w:rsidR="007A6A24">
        <w:rPr>
          <w:lang w:val="en-US"/>
        </w:rPr>
        <w:t xml:space="preserve">Applying these principles to the facts, </w:t>
      </w:r>
      <w:r w:rsidR="00262D3E">
        <w:rPr>
          <w:lang w:val="en-US"/>
        </w:rPr>
        <w:t>i</w:t>
      </w:r>
      <w:r w:rsidR="007A6A24">
        <w:rPr>
          <w:lang w:val="en-US"/>
        </w:rPr>
        <w:t>t emerges</w:t>
      </w:r>
      <w:r w:rsidR="00262D3E">
        <w:rPr>
          <w:lang w:val="en-US"/>
        </w:rPr>
        <w:t xml:space="preserve"> that t</w:t>
      </w:r>
      <w:r w:rsidR="007A6A24" w:rsidRPr="00F266DA">
        <w:rPr>
          <w:lang w:val="en-US"/>
        </w:rPr>
        <w:t xml:space="preserve">he points of contention mainly surround inferences that can legitimately be drawn from </w:t>
      </w:r>
      <w:r w:rsidR="007A6A24">
        <w:rPr>
          <w:lang w:val="en-US"/>
        </w:rPr>
        <w:t xml:space="preserve">the </w:t>
      </w:r>
      <w:r w:rsidR="007A6A24" w:rsidRPr="00F266DA">
        <w:rPr>
          <w:lang w:val="en-US"/>
        </w:rPr>
        <w:t xml:space="preserve">undisputed facts or </w:t>
      </w:r>
      <w:r w:rsidR="007A6A24">
        <w:rPr>
          <w:lang w:val="en-US"/>
        </w:rPr>
        <w:t xml:space="preserve">a </w:t>
      </w:r>
      <w:r w:rsidR="007A6A24" w:rsidRPr="00F266DA">
        <w:rPr>
          <w:lang w:val="en-US"/>
        </w:rPr>
        <w:t>construction of the inferences that can legitimately be drawn therefrom</w:t>
      </w:r>
      <w:r w:rsidR="007A6A24">
        <w:rPr>
          <w:rStyle w:val="FootnoteReference"/>
          <w:lang w:val="en-US"/>
        </w:rPr>
        <w:footnoteReference w:id="7"/>
      </w:r>
      <w:r w:rsidR="007A6A24" w:rsidRPr="00F266DA">
        <w:rPr>
          <w:lang w:val="en-US"/>
        </w:rPr>
        <w:t xml:space="preserve">.        </w:t>
      </w:r>
    </w:p>
    <w:p w14:paraId="2AA84374" w14:textId="00CF3F4D" w:rsidR="002B1F33" w:rsidRPr="002B1F33" w:rsidRDefault="001F4EAF" w:rsidP="001F4EAF">
      <w:pPr>
        <w:pStyle w:val="level1"/>
        <w:numPr>
          <w:ilvl w:val="0"/>
          <w:numId w:val="0"/>
        </w:numPr>
        <w:spacing w:after="480" w:line="360" w:lineRule="auto"/>
        <w:jc w:val="both"/>
        <w:rPr>
          <w:lang w:val="en-US"/>
        </w:rPr>
      </w:pPr>
      <w:r w:rsidRPr="002B1F33">
        <w:rPr>
          <w:lang w:val="en-US"/>
        </w:rPr>
        <w:t>[31]</w:t>
      </w:r>
      <w:r w:rsidRPr="002B1F33">
        <w:rPr>
          <w:lang w:val="en-US"/>
        </w:rPr>
        <w:tab/>
      </w:r>
      <w:r w:rsidR="002B1F33" w:rsidRPr="002B1F33">
        <w:rPr>
          <w:lang w:val="en-US"/>
        </w:rPr>
        <w:t xml:space="preserve">The applicant is the primary caregiver of A, who has been in her primary care since birth, barring the sleep over contact which the respondent had for a period. </w:t>
      </w:r>
      <w:r w:rsidR="00262D3E">
        <w:rPr>
          <w:lang w:val="en-US"/>
        </w:rPr>
        <w:t>The applicant</w:t>
      </w:r>
      <w:r w:rsidR="002B1F33">
        <w:rPr>
          <w:lang w:val="en-US"/>
        </w:rPr>
        <w:t xml:space="preserve">, </w:t>
      </w:r>
      <w:r w:rsidR="002B1F33">
        <w:rPr>
          <w:lang w:val="en-US"/>
        </w:rPr>
        <w:lastRenderedPageBreak/>
        <w:t>more recently with the assistance of her husband, RH,</w:t>
      </w:r>
      <w:r w:rsidR="002B1F33" w:rsidRPr="002B1F33">
        <w:rPr>
          <w:lang w:val="en-US"/>
        </w:rPr>
        <w:t xml:space="preserve"> carries the bulk of the financial expenses pertaining to A. The respondent </w:t>
      </w:r>
      <w:r w:rsidR="002B1F33">
        <w:rPr>
          <w:lang w:val="en-US"/>
        </w:rPr>
        <w:t>only commenced paying maintenance in July 2019</w:t>
      </w:r>
      <w:r w:rsidR="007B7DE2">
        <w:rPr>
          <w:lang w:val="en-US"/>
        </w:rPr>
        <w:t>. The parties agreed on a yearly escalation.</w:t>
      </w:r>
      <w:r w:rsidR="002B1F33">
        <w:rPr>
          <w:lang w:val="en-US"/>
        </w:rPr>
        <w:t xml:space="preserve"> At present he wa</w:t>
      </w:r>
      <w:r w:rsidR="002B1F33" w:rsidRPr="002B1F33">
        <w:rPr>
          <w:lang w:val="en-US"/>
        </w:rPr>
        <w:t xml:space="preserve">s supposed to contribute an amount of R4600 per month. </w:t>
      </w:r>
      <w:r w:rsidR="007B7DE2">
        <w:rPr>
          <w:lang w:val="en-US"/>
        </w:rPr>
        <w:t>During May 2021, the respondent</w:t>
      </w:r>
      <w:r w:rsidR="002B1F33" w:rsidRPr="002B1F33">
        <w:rPr>
          <w:lang w:val="en-US"/>
        </w:rPr>
        <w:t xml:space="preserve"> unilaterally reduced his monthly contribution to A’s maintenance</w:t>
      </w:r>
      <w:r w:rsidR="007B7DE2">
        <w:rPr>
          <w:lang w:val="en-US"/>
        </w:rPr>
        <w:t xml:space="preserve"> to R3 500 per month</w:t>
      </w:r>
      <w:r w:rsidR="002B1F33" w:rsidRPr="002B1F33">
        <w:rPr>
          <w:lang w:val="en-US"/>
        </w:rPr>
        <w:t>, contrary to the agreement concluded between the parties.</w:t>
      </w:r>
    </w:p>
    <w:p w14:paraId="14307F5A" w14:textId="525ACF4B" w:rsidR="007B7DE2" w:rsidRDefault="001F4EAF" w:rsidP="001F4EAF">
      <w:pPr>
        <w:pStyle w:val="level1"/>
        <w:numPr>
          <w:ilvl w:val="0"/>
          <w:numId w:val="0"/>
        </w:numPr>
        <w:spacing w:after="480" w:line="360" w:lineRule="auto"/>
        <w:jc w:val="both"/>
        <w:rPr>
          <w:lang w:val="en-US"/>
        </w:rPr>
      </w:pPr>
      <w:r>
        <w:rPr>
          <w:lang w:val="en-US"/>
        </w:rPr>
        <w:t>[32]</w:t>
      </w:r>
      <w:r>
        <w:rPr>
          <w:lang w:val="en-US"/>
        </w:rPr>
        <w:tab/>
      </w:r>
      <w:r w:rsidR="002B1F33">
        <w:rPr>
          <w:lang w:val="en-US"/>
        </w:rPr>
        <w:t xml:space="preserve">The respondent further exercises only sporadic contact to A and is not involved in her life on a daily basis. </w:t>
      </w:r>
      <w:r w:rsidR="007B7DE2">
        <w:rPr>
          <w:lang w:val="en-US"/>
        </w:rPr>
        <w:t>The applicant contends that the respondent does not exercise all access agreed to between the parties. The respondent on the other hand contends that the applicant has frustrated his contact rights on various occasions. This dispute cannot be resolved in the present proceedings.</w:t>
      </w:r>
      <w:r w:rsidR="002B1F33">
        <w:rPr>
          <w:lang w:val="en-US"/>
        </w:rPr>
        <w:t xml:space="preserve"> </w:t>
      </w:r>
    </w:p>
    <w:p w14:paraId="23925ABE" w14:textId="7C653979" w:rsidR="002B1F33" w:rsidRDefault="001F4EAF" w:rsidP="001F4EAF">
      <w:pPr>
        <w:pStyle w:val="level1"/>
        <w:numPr>
          <w:ilvl w:val="0"/>
          <w:numId w:val="0"/>
        </w:numPr>
        <w:spacing w:after="480" w:line="360" w:lineRule="auto"/>
        <w:jc w:val="both"/>
        <w:rPr>
          <w:lang w:val="en-US"/>
        </w:rPr>
      </w:pPr>
      <w:r>
        <w:rPr>
          <w:lang w:val="en-US"/>
        </w:rPr>
        <w:t>[33]</w:t>
      </w:r>
      <w:r>
        <w:rPr>
          <w:lang w:val="en-US"/>
        </w:rPr>
        <w:tab/>
      </w:r>
      <w:r w:rsidR="002B1F33">
        <w:rPr>
          <w:lang w:val="en-US"/>
        </w:rPr>
        <w:t>The respondent has not raised any complaints or concerns pertaining to the applicant’s care of A</w:t>
      </w:r>
      <w:r w:rsidR="007B7DE2">
        <w:rPr>
          <w:lang w:val="en-US"/>
        </w:rPr>
        <w:t xml:space="preserve"> and expressed his view to</w:t>
      </w:r>
      <w:r w:rsidR="002B1F33">
        <w:rPr>
          <w:lang w:val="en-US"/>
        </w:rPr>
        <w:t xml:space="preserve"> </w:t>
      </w:r>
      <w:r w:rsidR="007B7DE2">
        <w:rPr>
          <w:lang w:val="en-US"/>
        </w:rPr>
        <w:t>D</w:t>
      </w:r>
      <w:r w:rsidR="002B1F33">
        <w:rPr>
          <w:lang w:val="en-US"/>
        </w:rPr>
        <w:t xml:space="preserve">r </w:t>
      </w:r>
      <w:r w:rsidR="007B7DE2">
        <w:rPr>
          <w:lang w:val="en-US"/>
        </w:rPr>
        <w:t>T</w:t>
      </w:r>
      <w:r w:rsidR="002B1F33">
        <w:rPr>
          <w:lang w:val="en-US"/>
        </w:rPr>
        <w:t xml:space="preserve">ownsend that the applicant was an </w:t>
      </w:r>
      <w:r w:rsidR="007B7DE2">
        <w:rPr>
          <w:lang w:val="en-US"/>
        </w:rPr>
        <w:t>“</w:t>
      </w:r>
      <w:r w:rsidR="002B1F33">
        <w:rPr>
          <w:lang w:val="en-US"/>
        </w:rPr>
        <w:t>amazing mother</w:t>
      </w:r>
      <w:r w:rsidR="007B7DE2">
        <w:rPr>
          <w:lang w:val="en-US"/>
        </w:rPr>
        <w:t>”</w:t>
      </w:r>
      <w:r w:rsidR="002B1F33">
        <w:rPr>
          <w:lang w:val="en-US"/>
        </w:rPr>
        <w:t>.</w:t>
      </w:r>
      <w:r w:rsidR="007B7DE2">
        <w:rPr>
          <w:lang w:val="en-US"/>
        </w:rPr>
        <w:t xml:space="preserve"> The applicant in contrast, has raised various concerns with the respondent’s ability to care for A, whilst he is exercising contact with her. I have </w:t>
      </w:r>
      <w:proofErr w:type="spellStart"/>
      <w:r w:rsidR="007B7DE2">
        <w:rPr>
          <w:lang w:val="en-US"/>
        </w:rPr>
        <w:t>alredy</w:t>
      </w:r>
      <w:proofErr w:type="spellEnd"/>
      <w:r w:rsidR="007B7DE2">
        <w:rPr>
          <w:lang w:val="en-US"/>
        </w:rPr>
        <w:t xml:space="preserve"> alluded to these disputes.</w:t>
      </w:r>
    </w:p>
    <w:p w14:paraId="40AFE398" w14:textId="680E01BA" w:rsidR="007B7DE2" w:rsidRDefault="001F4EAF" w:rsidP="001F4EAF">
      <w:pPr>
        <w:pStyle w:val="level1"/>
        <w:numPr>
          <w:ilvl w:val="0"/>
          <w:numId w:val="0"/>
        </w:numPr>
        <w:spacing w:after="480" w:line="360" w:lineRule="auto"/>
        <w:jc w:val="both"/>
        <w:rPr>
          <w:lang w:val="en-US"/>
        </w:rPr>
      </w:pPr>
      <w:r>
        <w:rPr>
          <w:lang w:val="en-US"/>
        </w:rPr>
        <w:t>[34]</w:t>
      </w:r>
      <w:r>
        <w:rPr>
          <w:lang w:val="en-US"/>
        </w:rPr>
        <w:tab/>
      </w:r>
      <w:r w:rsidR="002B1F33">
        <w:rPr>
          <w:lang w:val="en-US"/>
        </w:rPr>
        <w:t xml:space="preserve">A is still of a tender age, being only five years old. She is not of the age or maturity where her views could significantly contribute to determining her best interests. </w:t>
      </w:r>
    </w:p>
    <w:p w14:paraId="36BB1D61" w14:textId="1A952DE2" w:rsidR="002B1F33" w:rsidRDefault="001F4EAF" w:rsidP="001F4EAF">
      <w:pPr>
        <w:pStyle w:val="level1"/>
        <w:numPr>
          <w:ilvl w:val="0"/>
          <w:numId w:val="0"/>
        </w:numPr>
        <w:spacing w:after="480" w:line="360" w:lineRule="auto"/>
        <w:jc w:val="both"/>
        <w:rPr>
          <w:lang w:val="en-US"/>
        </w:rPr>
      </w:pPr>
      <w:r>
        <w:rPr>
          <w:lang w:val="en-US"/>
        </w:rPr>
        <w:t>[35]</w:t>
      </w:r>
      <w:r>
        <w:rPr>
          <w:lang w:val="en-US"/>
        </w:rPr>
        <w:tab/>
      </w:r>
      <w:r w:rsidR="002B1F33">
        <w:rPr>
          <w:lang w:val="en-US"/>
        </w:rPr>
        <w:t xml:space="preserve">The </w:t>
      </w:r>
      <w:r w:rsidR="007B7DE2">
        <w:rPr>
          <w:lang w:val="en-US"/>
        </w:rPr>
        <w:t xml:space="preserve">applicant’s marriage and the </w:t>
      </w:r>
      <w:r w:rsidR="002B1F33">
        <w:rPr>
          <w:lang w:val="en-US"/>
        </w:rPr>
        <w:t xml:space="preserve">arrival of A’s new brother </w:t>
      </w:r>
      <w:r w:rsidR="007B7DE2">
        <w:rPr>
          <w:lang w:val="en-US"/>
        </w:rPr>
        <w:t>are</w:t>
      </w:r>
      <w:r w:rsidR="002B1F33">
        <w:rPr>
          <w:lang w:val="en-US"/>
        </w:rPr>
        <w:t xml:space="preserve"> further factor</w:t>
      </w:r>
      <w:r w:rsidR="007B7DE2">
        <w:rPr>
          <w:lang w:val="en-US"/>
        </w:rPr>
        <w:t>s</w:t>
      </w:r>
      <w:r w:rsidR="002B1F33">
        <w:rPr>
          <w:lang w:val="en-US"/>
        </w:rPr>
        <w:t xml:space="preserve"> to take into consideration. </w:t>
      </w:r>
      <w:r w:rsidR="007B7DE2">
        <w:rPr>
          <w:lang w:val="en-US"/>
        </w:rPr>
        <w:t>Both siblings are of a tender age and i</w:t>
      </w:r>
      <w:r w:rsidR="002B1F33">
        <w:rPr>
          <w:lang w:val="en-US"/>
        </w:rPr>
        <w:t xml:space="preserve">t </w:t>
      </w:r>
      <w:r w:rsidR="007B7DE2">
        <w:rPr>
          <w:lang w:val="en-US"/>
        </w:rPr>
        <w:t>would be in their best interests that they grow up together</w:t>
      </w:r>
      <w:r w:rsidR="002B1F33">
        <w:rPr>
          <w:lang w:val="en-US"/>
        </w:rPr>
        <w:t>.</w:t>
      </w:r>
      <w:r w:rsidR="007B7DE2">
        <w:rPr>
          <w:lang w:val="en-US"/>
        </w:rPr>
        <w:t xml:space="preserve"> The formation of a strong supportive family unit, creating a secure and stable family environment is an important factor to consider.</w:t>
      </w:r>
      <w:r w:rsidR="007B7DE2">
        <w:rPr>
          <w:rStyle w:val="FootnoteReference"/>
          <w:lang w:val="en-US"/>
        </w:rPr>
        <w:footnoteReference w:id="8"/>
      </w:r>
      <w:r w:rsidR="007B7DE2">
        <w:rPr>
          <w:lang w:val="en-US"/>
        </w:rPr>
        <w:t xml:space="preserve"> </w:t>
      </w:r>
    </w:p>
    <w:p w14:paraId="4362DFF0" w14:textId="434A75C7" w:rsidR="00753F41" w:rsidRPr="00753F41" w:rsidRDefault="001F4EAF" w:rsidP="001F4EAF">
      <w:pPr>
        <w:pStyle w:val="level1"/>
        <w:numPr>
          <w:ilvl w:val="0"/>
          <w:numId w:val="0"/>
        </w:numPr>
        <w:spacing w:after="480" w:line="360" w:lineRule="auto"/>
        <w:jc w:val="both"/>
        <w:rPr>
          <w:lang w:val="en-US"/>
        </w:rPr>
      </w:pPr>
      <w:r w:rsidRPr="00753F41">
        <w:rPr>
          <w:lang w:val="en-US"/>
        </w:rPr>
        <w:t>[36]</w:t>
      </w:r>
      <w:r w:rsidRPr="00753F41">
        <w:rPr>
          <w:lang w:val="en-US"/>
        </w:rPr>
        <w:tab/>
      </w:r>
      <w:r w:rsidR="00753F41" w:rsidRPr="00753F41">
        <w:rPr>
          <w:lang w:val="en-US"/>
        </w:rPr>
        <w:t xml:space="preserve">It was undisputed that </w:t>
      </w:r>
      <w:r w:rsidR="00F52302" w:rsidRPr="00753F41">
        <w:rPr>
          <w:lang w:val="en-US"/>
        </w:rPr>
        <w:t>A</w:t>
      </w:r>
      <w:r w:rsidR="00753F41" w:rsidRPr="00753F41">
        <w:rPr>
          <w:lang w:val="en-US"/>
        </w:rPr>
        <w:t xml:space="preserve"> does not share a close family bond with the respondent’s family. Although a relocation would mean that A will not have a support system in the </w:t>
      </w:r>
      <w:r w:rsidR="00753F41" w:rsidRPr="00753F41">
        <w:rPr>
          <w:lang w:val="en-US"/>
        </w:rPr>
        <w:lastRenderedPageBreak/>
        <w:t xml:space="preserve">form of her maternal grandparents, with whom A does share a bond, the applicant has envisaged arrangements to facilitate contact between A and her grandmother. The applicant has further particularized a support network of friends in New Zeeland who will be available to assist in A’s needs if required. </w:t>
      </w:r>
    </w:p>
    <w:p w14:paraId="4335E1E3" w14:textId="69036BC6" w:rsidR="00753F41" w:rsidRDefault="001F4EAF" w:rsidP="001F4EAF">
      <w:pPr>
        <w:pStyle w:val="level1"/>
        <w:numPr>
          <w:ilvl w:val="0"/>
          <w:numId w:val="0"/>
        </w:numPr>
        <w:spacing w:after="480" w:line="360" w:lineRule="auto"/>
        <w:jc w:val="both"/>
        <w:rPr>
          <w:lang w:val="en-US"/>
        </w:rPr>
      </w:pPr>
      <w:r>
        <w:rPr>
          <w:lang w:val="en-US"/>
        </w:rPr>
        <w:t>[37]</w:t>
      </w:r>
      <w:r>
        <w:rPr>
          <w:lang w:val="en-US"/>
        </w:rPr>
        <w:tab/>
      </w:r>
      <w:r w:rsidR="00753F41">
        <w:rPr>
          <w:lang w:val="en-US"/>
        </w:rPr>
        <w:t>It is well established that t</w:t>
      </w:r>
      <w:r w:rsidR="00A85118">
        <w:rPr>
          <w:lang w:val="en-US"/>
        </w:rPr>
        <w:t>he parent who bears the primary responsibility to raise a child should be left to do so</w:t>
      </w:r>
      <w:r w:rsidR="00A85118">
        <w:rPr>
          <w:rStyle w:val="FootnoteReference"/>
          <w:lang w:val="en-US"/>
        </w:rPr>
        <w:footnoteReference w:id="9"/>
      </w:r>
      <w:r w:rsidR="00753F41">
        <w:rPr>
          <w:lang w:val="en-US"/>
        </w:rPr>
        <w:t>. It is also well established that t</w:t>
      </w:r>
      <w:r w:rsidR="00A85118">
        <w:rPr>
          <w:lang w:val="en-US"/>
        </w:rPr>
        <w:t xml:space="preserve">hwarting a custodian parent’s rights to dignity, privacy and freedom of movement, may well have a severe impact on the welfare of children. </w:t>
      </w:r>
    </w:p>
    <w:p w14:paraId="0527AA4B" w14:textId="60103663" w:rsidR="00753F41" w:rsidRDefault="001F4EAF" w:rsidP="001F4EAF">
      <w:pPr>
        <w:pStyle w:val="level1"/>
        <w:numPr>
          <w:ilvl w:val="0"/>
          <w:numId w:val="0"/>
        </w:numPr>
        <w:spacing w:after="480" w:line="360" w:lineRule="auto"/>
        <w:jc w:val="both"/>
        <w:rPr>
          <w:lang w:val="en-US"/>
        </w:rPr>
      </w:pPr>
      <w:r>
        <w:rPr>
          <w:lang w:val="en-US"/>
        </w:rPr>
        <w:t>[38]</w:t>
      </w:r>
      <w:r>
        <w:rPr>
          <w:lang w:val="en-US"/>
        </w:rPr>
        <w:tab/>
      </w:r>
      <w:r w:rsidR="00A85118">
        <w:rPr>
          <w:lang w:val="en-US"/>
        </w:rPr>
        <w:t xml:space="preserve">The applicant is a trained clinical psychologist, who has secured a good position in </w:t>
      </w:r>
      <w:r w:rsidR="00753F41">
        <w:rPr>
          <w:lang w:val="en-US"/>
        </w:rPr>
        <w:t xml:space="preserve">the profession and </w:t>
      </w:r>
      <w:r w:rsidR="00A85118">
        <w:rPr>
          <w:lang w:val="en-US"/>
        </w:rPr>
        <w:t xml:space="preserve">the location of her choice. She is relocating with her nuclear family, a husband, new baby and A to pursue a new life in a secure location with </w:t>
      </w:r>
      <w:r w:rsidR="007A6A24">
        <w:rPr>
          <w:lang w:val="en-US"/>
        </w:rPr>
        <w:t>free</w:t>
      </w:r>
      <w:r w:rsidR="00A85118">
        <w:rPr>
          <w:lang w:val="en-US"/>
        </w:rPr>
        <w:t xml:space="preserve"> education and healthcare programs and a much lower unemployment rate than in South Africa. To deprive her of that opportunity and the friction that may be caused in her marriage as a result, may well in my view have a severe impact </w:t>
      </w:r>
      <w:r w:rsidR="008A06DC">
        <w:rPr>
          <w:lang w:val="en-US"/>
        </w:rPr>
        <w:t xml:space="preserve">on the welfare of A and her new brother and the happiness and security of their family unit. </w:t>
      </w:r>
    </w:p>
    <w:p w14:paraId="5DBCB724" w14:textId="75628834" w:rsidR="008A06DC" w:rsidRDefault="001F4EAF" w:rsidP="001F4EAF">
      <w:pPr>
        <w:pStyle w:val="level1"/>
        <w:numPr>
          <w:ilvl w:val="0"/>
          <w:numId w:val="0"/>
        </w:numPr>
        <w:spacing w:after="480" w:line="360" w:lineRule="auto"/>
        <w:jc w:val="both"/>
        <w:rPr>
          <w:lang w:val="en-US"/>
        </w:rPr>
      </w:pPr>
      <w:r>
        <w:rPr>
          <w:lang w:val="en-US"/>
        </w:rPr>
        <w:t>[39]</w:t>
      </w:r>
      <w:r>
        <w:rPr>
          <w:lang w:val="en-US"/>
        </w:rPr>
        <w:tab/>
      </w:r>
      <w:r w:rsidR="008A06DC">
        <w:rPr>
          <w:lang w:val="en-US"/>
        </w:rPr>
        <w:t xml:space="preserve">Other than </w:t>
      </w:r>
      <w:proofErr w:type="spellStart"/>
      <w:r w:rsidR="008A06DC">
        <w:rPr>
          <w:lang w:val="en-US"/>
        </w:rPr>
        <w:t>criticise</w:t>
      </w:r>
      <w:proofErr w:type="spellEnd"/>
      <w:r w:rsidR="008A06DC">
        <w:rPr>
          <w:lang w:val="en-US"/>
        </w:rPr>
        <w:t xml:space="preserve"> the applicant for not providing sufficient proof in support of her averments, a criticism that is unwarranted, the respondent has put up no facts to controvert the applicant’s averments. </w:t>
      </w:r>
    </w:p>
    <w:p w14:paraId="2BCACD40" w14:textId="2A3604CA" w:rsidR="001E64FA" w:rsidRDefault="001F4EAF" w:rsidP="001F4EAF">
      <w:pPr>
        <w:pStyle w:val="level1"/>
        <w:numPr>
          <w:ilvl w:val="0"/>
          <w:numId w:val="0"/>
        </w:numPr>
        <w:spacing w:after="480" w:line="360" w:lineRule="auto"/>
        <w:jc w:val="both"/>
        <w:rPr>
          <w:lang w:val="en-US"/>
        </w:rPr>
      </w:pPr>
      <w:r>
        <w:rPr>
          <w:lang w:val="en-US"/>
        </w:rPr>
        <w:t>[40]</w:t>
      </w:r>
      <w:r>
        <w:rPr>
          <w:lang w:val="en-US"/>
        </w:rPr>
        <w:tab/>
      </w:r>
      <w:r w:rsidR="008A06DC">
        <w:rPr>
          <w:lang w:val="en-US"/>
        </w:rPr>
        <w:t xml:space="preserve">The </w:t>
      </w:r>
      <w:proofErr w:type="gramStart"/>
      <w:r w:rsidR="008A06DC">
        <w:rPr>
          <w:lang w:val="en-US"/>
        </w:rPr>
        <w:t>respondent  further</w:t>
      </w:r>
      <w:proofErr w:type="gramEnd"/>
      <w:r w:rsidR="008A06DC">
        <w:rPr>
          <w:lang w:val="en-US"/>
        </w:rPr>
        <w:t xml:space="preserve"> disregards the applicant’s entitlement to pursue her career and her new life</w:t>
      </w:r>
      <w:r w:rsidR="008A06DC">
        <w:rPr>
          <w:rStyle w:val="FootnoteReference"/>
          <w:lang w:val="en-US"/>
        </w:rPr>
        <w:footnoteReference w:id="10"/>
      </w:r>
      <w:r w:rsidR="008A06DC">
        <w:rPr>
          <w:lang w:val="en-US"/>
        </w:rPr>
        <w:t xml:space="preserve">. As held in </w:t>
      </w:r>
      <w:r w:rsidR="008A06DC" w:rsidRPr="00753F41">
        <w:rPr>
          <w:i/>
          <w:lang w:val="en-US"/>
        </w:rPr>
        <w:t>F v F,</w:t>
      </w:r>
      <w:r w:rsidR="008A06DC">
        <w:rPr>
          <w:lang w:val="en-US"/>
        </w:rPr>
        <w:t xml:space="preserve"> the custodial parent has the right to dignity, privacy and freedom of movement, when regard is had to her right to pursue a career and a life after divorce. </w:t>
      </w:r>
      <w:r w:rsidR="001E64FA">
        <w:rPr>
          <w:lang w:val="en-US"/>
        </w:rPr>
        <w:t xml:space="preserve">The respondent wishes to deprive the applicant of what is undisputedly a </w:t>
      </w:r>
      <w:r w:rsidR="001E64FA">
        <w:rPr>
          <w:lang w:val="en-US"/>
        </w:rPr>
        <w:lastRenderedPageBreak/>
        <w:t xml:space="preserve">good professional opportunity or at least, </w:t>
      </w:r>
      <w:r w:rsidR="00753F41">
        <w:rPr>
          <w:lang w:val="en-US"/>
        </w:rPr>
        <w:t xml:space="preserve">to </w:t>
      </w:r>
      <w:r w:rsidR="001E64FA">
        <w:rPr>
          <w:lang w:val="en-US"/>
        </w:rPr>
        <w:t>put her employment in jeopardy</w:t>
      </w:r>
      <w:r w:rsidR="00753F41">
        <w:rPr>
          <w:lang w:val="en-US"/>
        </w:rPr>
        <w:t>, without any sound reason to do so</w:t>
      </w:r>
      <w:r w:rsidR="001E64FA">
        <w:rPr>
          <w:lang w:val="en-US"/>
        </w:rPr>
        <w:t xml:space="preserve">. </w:t>
      </w:r>
    </w:p>
    <w:p w14:paraId="1E30DCAE" w14:textId="5CD31E15" w:rsidR="00F43C1B" w:rsidRDefault="001F4EAF" w:rsidP="001F4EAF">
      <w:pPr>
        <w:pStyle w:val="level1"/>
        <w:numPr>
          <w:ilvl w:val="0"/>
          <w:numId w:val="0"/>
        </w:numPr>
        <w:spacing w:after="480" w:line="360" w:lineRule="auto"/>
        <w:jc w:val="both"/>
        <w:rPr>
          <w:lang w:val="en-US"/>
        </w:rPr>
      </w:pPr>
      <w:r>
        <w:rPr>
          <w:lang w:val="en-US"/>
        </w:rPr>
        <w:t>[41]</w:t>
      </w:r>
      <w:r>
        <w:rPr>
          <w:lang w:val="en-US"/>
        </w:rPr>
        <w:tab/>
      </w:r>
      <w:r w:rsidR="001E64FA">
        <w:rPr>
          <w:lang w:val="en-US"/>
        </w:rPr>
        <w:t>Our courts have further held</w:t>
      </w:r>
      <w:r w:rsidR="00F43C1B">
        <w:rPr>
          <w:rStyle w:val="FootnoteReference"/>
          <w:lang w:val="en-US"/>
        </w:rPr>
        <w:footnoteReference w:id="11"/>
      </w:r>
      <w:r w:rsidR="001E64FA">
        <w:rPr>
          <w:lang w:val="en-US"/>
        </w:rPr>
        <w:t xml:space="preserve"> that</w:t>
      </w:r>
      <w:r w:rsidR="00F43C1B">
        <w:rPr>
          <w:lang w:val="en-US"/>
        </w:rPr>
        <w:t>:</w:t>
      </w:r>
      <w:r w:rsidR="001E64FA">
        <w:rPr>
          <w:lang w:val="en-US"/>
        </w:rPr>
        <w:t xml:space="preserve"> </w:t>
      </w:r>
    </w:p>
    <w:p w14:paraId="538EBD2D" w14:textId="77777777" w:rsidR="001E64FA" w:rsidRPr="00F43C1B" w:rsidRDefault="001E64FA" w:rsidP="00F43C1B">
      <w:pPr>
        <w:pStyle w:val="level1"/>
        <w:numPr>
          <w:ilvl w:val="0"/>
          <w:numId w:val="0"/>
        </w:numPr>
        <w:spacing w:after="480"/>
        <w:ind w:left="360"/>
        <w:jc w:val="both"/>
        <w:rPr>
          <w:i/>
          <w:lang w:val="en-US"/>
        </w:rPr>
      </w:pPr>
      <w:proofErr w:type="gramStart"/>
      <w:r w:rsidRPr="00F43C1B">
        <w:rPr>
          <w:i/>
          <w:lang w:val="en-US"/>
        </w:rPr>
        <w:t xml:space="preserve">“ </w:t>
      </w:r>
      <w:r w:rsidR="00F43C1B" w:rsidRPr="00F43C1B">
        <w:rPr>
          <w:i/>
          <w:lang w:val="en-US"/>
        </w:rPr>
        <w:t>C</w:t>
      </w:r>
      <w:r w:rsidRPr="00F43C1B">
        <w:rPr>
          <w:i/>
          <w:lang w:val="en-US"/>
        </w:rPr>
        <w:t>ourts</w:t>
      </w:r>
      <w:proofErr w:type="gramEnd"/>
      <w:r w:rsidRPr="00F43C1B">
        <w:rPr>
          <w:i/>
          <w:lang w:val="en-US"/>
        </w:rPr>
        <w:t xml:space="preserve"> must be acutely sensitive  to the possibility that the differential treatment of custodian parents and their</w:t>
      </w:r>
      <w:r w:rsidR="00F43C1B" w:rsidRPr="00F43C1B">
        <w:rPr>
          <w:i/>
          <w:lang w:val="en-US"/>
        </w:rPr>
        <w:t xml:space="preserve"> </w:t>
      </w:r>
      <w:r w:rsidRPr="00F43C1B">
        <w:rPr>
          <w:i/>
          <w:lang w:val="en-US"/>
        </w:rPr>
        <w:t>non-custodian counterparts who have no reciprocal  legal obligation to maintain contact with the child and may relocate at wil</w:t>
      </w:r>
      <w:r w:rsidR="00F43C1B" w:rsidRPr="00F43C1B">
        <w:rPr>
          <w:i/>
          <w:lang w:val="en-US"/>
        </w:rPr>
        <w:t>l</w:t>
      </w:r>
      <w:r w:rsidRPr="00F43C1B">
        <w:rPr>
          <w:i/>
          <w:lang w:val="en-US"/>
        </w:rPr>
        <w:t xml:space="preserve"> may, and often does, indirectly constitute unfair gender discrimination.</w:t>
      </w:r>
      <w:r w:rsidR="00F43C1B" w:rsidRPr="00F43C1B">
        <w:rPr>
          <w:i/>
          <w:lang w:val="en-US"/>
        </w:rPr>
        <w:t xml:space="preserve"> </w:t>
      </w:r>
      <w:r w:rsidRPr="00F43C1B">
        <w:rPr>
          <w:i/>
          <w:lang w:val="en-US"/>
        </w:rPr>
        <w:t>Despite the constitutional,</w:t>
      </w:r>
      <w:r w:rsidR="00F43C1B" w:rsidRPr="00F43C1B">
        <w:rPr>
          <w:i/>
          <w:lang w:val="en-US"/>
        </w:rPr>
        <w:t xml:space="preserve"> </w:t>
      </w:r>
      <w:r w:rsidRPr="00F43C1B">
        <w:rPr>
          <w:i/>
          <w:lang w:val="en-US"/>
        </w:rPr>
        <w:t>commitment to equality, the division of parenting roles in South Africa remains largely gender-based. It is still predominantly women who care for children and that reality appears to be reflected in many custody arrangements upon divorce.</w:t>
      </w:r>
      <w:r w:rsidR="00F43C1B" w:rsidRPr="00F43C1B">
        <w:rPr>
          <w:i/>
          <w:lang w:val="en-US"/>
        </w:rPr>
        <w:t xml:space="preserve"> </w:t>
      </w:r>
      <w:r w:rsidRPr="00F43C1B">
        <w:rPr>
          <w:i/>
          <w:lang w:val="en-US"/>
        </w:rPr>
        <w:t>The refusal of relocation</w:t>
      </w:r>
      <w:r w:rsidR="00F43C1B" w:rsidRPr="00F43C1B">
        <w:rPr>
          <w:i/>
          <w:lang w:val="en-US"/>
        </w:rPr>
        <w:t xml:space="preserve"> </w:t>
      </w:r>
      <w:r w:rsidRPr="00F43C1B">
        <w:rPr>
          <w:i/>
          <w:lang w:val="en-US"/>
        </w:rPr>
        <w:t>applications therefore</w:t>
      </w:r>
      <w:r w:rsidR="00F43C1B" w:rsidRPr="00F43C1B">
        <w:rPr>
          <w:i/>
          <w:lang w:val="en-US"/>
        </w:rPr>
        <w:t xml:space="preserve"> </w:t>
      </w:r>
      <w:r w:rsidRPr="00F43C1B">
        <w:rPr>
          <w:i/>
          <w:lang w:val="en-US"/>
        </w:rPr>
        <w:t>has a potentially disproportionate impact on women, restricting their mobility and subverting their interests and the personal choices that they</w:t>
      </w:r>
      <w:r w:rsidR="00F43C1B" w:rsidRPr="00F43C1B">
        <w:rPr>
          <w:i/>
          <w:lang w:val="en-US"/>
        </w:rPr>
        <w:t xml:space="preserve"> </w:t>
      </w:r>
      <w:r w:rsidRPr="00F43C1B">
        <w:rPr>
          <w:i/>
          <w:lang w:val="en-US"/>
        </w:rPr>
        <w:t>make to those of their children and former spouses”</w:t>
      </w:r>
      <w:r w:rsidR="00F43C1B" w:rsidRPr="00F43C1B">
        <w:rPr>
          <w:i/>
          <w:lang w:val="en-US"/>
        </w:rPr>
        <w:t>.</w:t>
      </w:r>
      <w:r w:rsidRPr="00F43C1B">
        <w:rPr>
          <w:i/>
          <w:lang w:val="en-US"/>
        </w:rPr>
        <w:t xml:space="preserve"> </w:t>
      </w:r>
    </w:p>
    <w:p w14:paraId="25FC4981" w14:textId="137DD14C" w:rsidR="00A83CF3" w:rsidRDefault="001F4EAF" w:rsidP="001F4EAF">
      <w:pPr>
        <w:pStyle w:val="level1"/>
        <w:numPr>
          <w:ilvl w:val="0"/>
          <w:numId w:val="0"/>
        </w:numPr>
        <w:spacing w:after="480" w:line="360" w:lineRule="auto"/>
        <w:jc w:val="both"/>
        <w:rPr>
          <w:lang w:val="en-US"/>
        </w:rPr>
      </w:pPr>
      <w:r>
        <w:rPr>
          <w:lang w:val="en-US"/>
        </w:rPr>
        <w:t>[42]</w:t>
      </w:r>
      <w:r>
        <w:rPr>
          <w:lang w:val="en-US"/>
        </w:rPr>
        <w:tab/>
      </w:r>
      <w:r w:rsidR="00A83CF3">
        <w:rPr>
          <w:lang w:val="en-US"/>
        </w:rPr>
        <w:t xml:space="preserve">In the present instance it is clear that the applicant bears the primary responsibilities in relation to A, and that if relocation is refused, it would have a disproportionate impact on her as her own interests and personal choices would be subverted. </w:t>
      </w:r>
    </w:p>
    <w:p w14:paraId="5A9CB1C1" w14:textId="05651FB3" w:rsidR="00753F41" w:rsidRPr="00D54C35" w:rsidRDefault="001F4EAF" w:rsidP="001F4EAF">
      <w:pPr>
        <w:pStyle w:val="level1"/>
        <w:numPr>
          <w:ilvl w:val="0"/>
          <w:numId w:val="0"/>
        </w:numPr>
        <w:spacing w:after="480" w:line="360" w:lineRule="auto"/>
        <w:jc w:val="both"/>
        <w:rPr>
          <w:lang w:val="en-US"/>
        </w:rPr>
      </w:pPr>
      <w:r w:rsidRPr="00D54C35">
        <w:rPr>
          <w:lang w:val="en-US"/>
        </w:rPr>
        <w:t>[43]</w:t>
      </w:r>
      <w:r w:rsidRPr="00D54C35">
        <w:rPr>
          <w:lang w:val="en-US"/>
        </w:rPr>
        <w:tab/>
      </w:r>
      <w:r w:rsidR="00753F41">
        <w:rPr>
          <w:lang w:val="en-US"/>
        </w:rPr>
        <w:t xml:space="preserve">It is indisputably so that the </w:t>
      </w:r>
      <w:r w:rsidR="00753F41" w:rsidRPr="00D54C35">
        <w:rPr>
          <w:lang w:val="en-US"/>
        </w:rPr>
        <w:t>relationship between the respondent and A would be prejudiced if A were to relocate to New Zealand.</w:t>
      </w:r>
      <w:r w:rsidR="00A83CF3">
        <w:rPr>
          <w:lang w:val="en-US"/>
        </w:rPr>
        <w:t xml:space="preserve"> That is the inevitable result of parents living on different continents. This prejudice, when weighed against all the other relevant factors cannot however carry the day</w:t>
      </w:r>
      <w:r w:rsidR="00F266DA">
        <w:rPr>
          <w:lang w:val="en-US"/>
        </w:rPr>
        <w:t>. Although it is in A’s best interests to have a good relationship with both her biological parents, the prejudice to her best interests if the relief sought is not granted in my view by far outweighs the prejudice if the relief is granted. It would be less detrimental to A</w:t>
      </w:r>
      <w:r w:rsidR="007A6A24">
        <w:rPr>
          <w:lang w:val="en-US"/>
        </w:rPr>
        <w:t xml:space="preserve"> not to deprive the applicant of the opportunity to relocate to New Zealand. </w:t>
      </w:r>
      <w:r w:rsidR="00F266DA">
        <w:rPr>
          <w:lang w:val="en-US"/>
        </w:rPr>
        <w:t xml:space="preserve">It is open to the respondent to mitigate such prejudice to A by negotiating or obtaining generous access to A, albeit primarily virtually, at least on a </w:t>
      </w:r>
      <w:proofErr w:type="gramStart"/>
      <w:r w:rsidR="00F266DA">
        <w:rPr>
          <w:lang w:val="en-US"/>
        </w:rPr>
        <w:t>day to day</w:t>
      </w:r>
      <w:proofErr w:type="gramEnd"/>
      <w:r w:rsidR="00F266DA">
        <w:rPr>
          <w:lang w:val="en-US"/>
        </w:rPr>
        <w:t xml:space="preserve"> basis. </w:t>
      </w:r>
      <w:r w:rsidR="00F266DA">
        <w:rPr>
          <w:lang w:val="en-US"/>
        </w:rPr>
        <w:lastRenderedPageBreak/>
        <w:t xml:space="preserve">If the respondent puts in the effort on a sustained basis and cooperates with the parenting coordinator to achieve a workable solution, the prejudice would be substantially mitigated.   </w:t>
      </w:r>
      <w:r w:rsidR="00753F41" w:rsidRPr="00D54C35">
        <w:rPr>
          <w:lang w:val="en-US"/>
        </w:rPr>
        <w:t xml:space="preserve">     </w:t>
      </w:r>
    </w:p>
    <w:p w14:paraId="485C156D" w14:textId="7FFF6F7E" w:rsidR="00F52302" w:rsidRPr="00F266DA" w:rsidRDefault="001F4EAF" w:rsidP="001F4EAF">
      <w:pPr>
        <w:pStyle w:val="level1"/>
        <w:numPr>
          <w:ilvl w:val="0"/>
          <w:numId w:val="0"/>
        </w:numPr>
        <w:spacing w:after="480" w:line="360" w:lineRule="auto"/>
        <w:jc w:val="both"/>
        <w:rPr>
          <w:lang w:val="en-US"/>
        </w:rPr>
      </w:pPr>
      <w:r w:rsidRPr="00F266DA">
        <w:rPr>
          <w:lang w:val="en-US"/>
        </w:rPr>
        <w:t>[44]</w:t>
      </w:r>
      <w:r w:rsidRPr="00F266DA">
        <w:rPr>
          <w:lang w:val="en-US"/>
        </w:rPr>
        <w:tab/>
      </w:r>
      <w:r w:rsidR="00F43C1B" w:rsidRPr="00F266DA">
        <w:rPr>
          <w:lang w:val="en-US"/>
        </w:rPr>
        <w:t>In considering all the relevant factors referred to, I conclude that it would be in A’s best interests to allow the relocation to New Zealand</w:t>
      </w:r>
      <w:r w:rsidR="00F266DA" w:rsidRPr="00F266DA">
        <w:rPr>
          <w:lang w:val="en-US"/>
        </w:rPr>
        <w:t xml:space="preserve"> and to grant the relief sought</w:t>
      </w:r>
      <w:r w:rsidR="00F266DA">
        <w:rPr>
          <w:lang w:val="en-US"/>
        </w:rPr>
        <w:t xml:space="preserve"> in the face of the respondent’s refusal to content to her relocation</w:t>
      </w:r>
      <w:r w:rsidR="00F266DA" w:rsidRPr="00F266DA">
        <w:rPr>
          <w:lang w:val="en-US"/>
        </w:rPr>
        <w:t xml:space="preserve">. </w:t>
      </w:r>
    </w:p>
    <w:p w14:paraId="0FAEC80C" w14:textId="7E578E6A" w:rsidR="007A6A24" w:rsidRDefault="001F4EAF" w:rsidP="001F4EAF">
      <w:pPr>
        <w:pStyle w:val="level1"/>
        <w:numPr>
          <w:ilvl w:val="0"/>
          <w:numId w:val="0"/>
        </w:numPr>
        <w:spacing w:after="480" w:line="360" w:lineRule="auto"/>
        <w:jc w:val="both"/>
        <w:rPr>
          <w:lang w:val="en-US"/>
        </w:rPr>
      </w:pPr>
      <w:r>
        <w:rPr>
          <w:lang w:val="en-US"/>
        </w:rPr>
        <w:t>[45]</w:t>
      </w:r>
      <w:r>
        <w:rPr>
          <w:lang w:val="en-US"/>
        </w:rPr>
        <w:tab/>
      </w:r>
      <w:r w:rsidR="00787908">
        <w:rPr>
          <w:lang w:val="en-US"/>
        </w:rPr>
        <w:t>I turn to the issue of costs.</w:t>
      </w:r>
      <w:r w:rsidR="00FF2A79">
        <w:rPr>
          <w:lang w:val="en-US"/>
        </w:rPr>
        <w:t xml:space="preserve"> The question to be determined is whether both parties acted bona fide in what they perceived to be A’s best interests</w:t>
      </w:r>
      <w:r w:rsidR="00550640">
        <w:rPr>
          <w:rStyle w:val="FootnoteReference"/>
          <w:lang w:val="en-US"/>
        </w:rPr>
        <w:footnoteReference w:id="12"/>
      </w:r>
      <w:r w:rsidR="00FF2A79">
        <w:rPr>
          <w:lang w:val="en-US"/>
        </w:rPr>
        <w:t xml:space="preserve">. In such event, the normal principle is that each party bears his/her own costs. </w:t>
      </w:r>
    </w:p>
    <w:p w14:paraId="3F3D38D8" w14:textId="50FCBC93" w:rsidR="007A6A24" w:rsidRDefault="001F4EAF" w:rsidP="001F4EAF">
      <w:pPr>
        <w:pStyle w:val="level1"/>
        <w:numPr>
          <w:ilvl w:val="0"/>
          <w:numId w:val="0"/>
        </w:numPr>
        <w:spacing w:after="480" w:line="360" w:lineRule="auto"/>
        <w:jc w:val="both"/>
        <w:rPr>
          <w:lang w:val="en-US"/>
        </w:rPr>
      </w:pPr>
      <w:r>
        <w:rPr>
          <w:lang w:val="en-US"/>
        </w:rPr>
        <w:t>[46]</w:t>
      </w:r>
      <w:r>
        <w:rPr>
          <w:lang w:val="en-US"/>
        </w:rPr>
        <w:tab/>
      </w:r>
      <w:r w:rsidR="00FF2A79">
        <w:rPr>
          <w:lang w:val="en-US"/>
        </w:rPr>
        <w:t xml:space="preserve">In the present instance, the respondent is understandably unhappy with the applicant’s decision to relocate as it by necessity has a negative impact on the contact he can exercise to A. </w:t>
      </w:r>
      <w:r w:rsidR="00550640">
        <w:rPr>
          <w:lang w:val="en-US"/>
        </w:rPr>
        <w:t xml:space="preserve">The </w:t>
      </w:r>
      <w:r w:rsidR="00262D3E">
        <w:rPr>
          <w:lang w:val="en-US"/>
        </w:rPr>
        <w:t>respondent</w:t>
      </w:r>
      <w:r w:rsidR="00550640">
        <w:rPr>
          <w:lang w:val="en-US"/>
        </w:rPr>
        <w:t xml:space="preserve"> did not however make any constructive proposals as to how that could be achieved. Rather he accused the applicant of mala fides, ulterior motives and parental alienation. It appears that in doing so, the respondent was focusing on his own best interests, rather than those of A. He clearly failed to appreciate the disruptive and negative effect his opposition to the relocation application would have, not only on the applicant, but on the whole family, including A. </w:t>
      </w:r>
    </w:p>
    <w:p w14:paraId="2ABA910F" w14:textId="1C1E49AA" w:rsidR="00550640" w:rsidRDefault="001F4EAF" w:rsidP="001F4EAF">
      <w:pPr>
        <w:pStyle w:val="level1"/>
        <w:numPr>
          <w:ilvl w:val="0"/>
          <w:numId w:val="0"/>
        </w:numPr>
        <w:spacing w:after="480" w:line="360" w:lineRule="auto"/>
        <w:jc w:val="both"/>
        <w:rPr>
          <w:lang w:val="en-US"/>
        </w:rPr>
      </w:pPr>
      <w:r>
        <w:rPr>
          <w:lang w:val="en-US"/>
        </w:rPr>
        <w:t>[47]</w:t>
      </w:r>
      <w:r>
        <w:rPr>
          <w:lang w:val="en-US"/>
        </w:rPr>
        <w:tab/>
      </w:r>
      <w:r w:rsidR="00550640">
        <w:rPr>
          <w:lang w:val="en-US"/>
        </w:rPr>
        <w:t xml:space="preserve">On the other hand, I am persuaded that the applicant was acting in A’s best interests and in seeking to amicably resolve the issue with the respondent prior to launching the present application. In opposing the application, the respondent did not put up any facts controverting the version of the applicant. His grounds of opposition were dilatory and aimed at acquiring relief which would assist his interests, without taking any steps to procure any expert report and whilst insisting that the applicant should be liable for those costs. It was undisputed that the respondent further preferred criminal charges for </w:t>
      </w:r>
      <w:proofErr w:type="spellStart"/>
      <w:r w:rsidR="00550640" w:rsidRPr="00925406">
        <w:rPr>
          <w:i/>
          <w:lang w:val="en-US"/>
        </w:rPr>
        <w:t>crimen</w:t>
      </w:r>
      <w:proofErr w:type="spellEnd"/>
      <w:r w:rsidR="00550640" w:rsidRPr="00925406">
        <w:rPr>
          <w:i/>
          <w:lang w:val="en-US"/>
        </w:rPr>
        <w:t xml:space="preserve"> </w:t>
      </w:r>
      <w:proofErr w:type="spellStart"/>
      <w:r w:rsidR="00550640" w:rsidRPr="00925406">
        <w:rPr>
          <w:i/>
          <w:lang w:val="en-US"/>
        </w:rPr>
        <w:t>iniuria</w:t>
      </w:r>
      <w:proofErr w:type="spellEnd"/>
      <w:r w:rsidR="00550640">
        <w:rPr>
          <w:lang w:val="en-US"/>
        </w:rPr>
        <w:t xml:space="preserve"> against the applicant arising from the other litigation between them</w:t>
      </w:r>
      <w:r w:rsidR="00925406">
        <w:rPr>
          <w:lang w:val="en-US"/>
        </w:rPr>
        <w:t>, well knowing that the existence of such charges may well hamper the applicant’s relocation.</w:t>
      </w:r>
      <w:r w:rsidR="00550640">
        <w:rPr>
          <w:lang w:val="en-US"/>
        </w:rPr>
        <w:t xml:space="preserve"> </w:t>
      </w:r>
      <w:r w:rsidR="00550640">
        <w:rPr>
          <w:lang w:val="en-US"/>
        </w:rPr>
        <w:lastRenderedPageBreak/>
        <w:t>Th</w:t>
      </w:r>
      <w:r w:rsidR="00925406">
        <w:rPr>
          <w:lang w:val="en-US"/>
        </w:rPr>
        <w:t>e respondent’s</w:t>
      </w:r>
      <w:r w:rsidR="00550640">
        <w:rPr>
          <w:lang w:val="en-US"/>
        </w:rPr>
        <w:t xml:space="preserve"> conduct was in my view unreasonable</w:t>
      </w:r>
      <w:r w:rsidR="00925406">
        <w:rPr>
          <w:lang w:val="en-US"/>
        </w:rPr>
        <w:t xml:space="preserve"> in various respects</w:t>
      </w:r>
      <w:r w:rsidR="00550640">
        <w:rPr>
          <w:lang w:val="en-US"/>
        </w:rPr>
        <w:t>.</w:t>
      </w:r>
      <w:r w:rsidR="00925406">
        <w:rPr>
          <w:lang w:val="en-US"/>
        </w:rPr>
        <w:t xml:space="preserve"> In those circumstances, it would be a just exercise of the discretion afforded to direct the respondent to pay the costs of the application.</w:t>
      </w:r>
    </w:p>
    <w:p w14:paraId="525BB714" w14:textId="5E41C48D" w:rsidR="00BF4225" w:rsidRPr="00925406" w:rsidRDefault="001F4EAF" w:rsidP="001F4EAF">
      <w:pPr>
        <w:pStyle w:val="level1"/>
        <w:numPr>
          <w:ilvl w:val="0"/>
          <w:numId w:val="0"/>
        </w:numPr>
        <w:spacing w:after="480" w:line="360" w:lineRule="auto"/>
        <w:jc w:val="both"/>
        <w:rPr>
          <w:lang w:val="en-US"/>
        </w:rPr>
      </w:pPr>
      <w:r w:rsidRPr="00925406">
        <w:rPr>
          <w:lang w:val="en-US"/>
        </w:rPr>
        <w:t>[48]</w:t>
      </w:r>
      <w:r w:rsidRPr="00925406">
        <w:rPr>
          <w:lang w:val="en-US"/>
        </w:rPr>
        <w:tab/>
      </w:r>
      <w:r w:rsidR="00550640" w:rsidRPr="00925406">
        <w:rPr>
          <w:lang w:val="en-US"/>
        </w:rPr>
        <w:t xml:space="preserve">   </w:t>
      </w:r>
      <w:r w:rsidR="00787908" w:rsidRPr="00925406">
        <w:rPr>
          <w:lang w:val="en-US"/>
        </w:rPr>
        <w:t xml:space="preserve"> </w:t>
      </w:r>
      <w:r w:rsidR="00BF4225" w:rsidRPr="00925406">
        <w:rPr>
          <w:lang w:val="en-US"/>
        </w:rPr>
        <w:t>I grant the following order:</w:t>
      </w:r>
    </w:p>
    <w:p w14:paraId="238B50CF" w14:textId="77777777" w:rsidR="00BF4225" w:rsidRPr="00BF4225" w:rsidRDefault="00BF4225" w:rsidP="00925406">
      <w:pPr>
        <w:spacing w:line="360" w:lineRule="auto"/>
        <w:ind w:left="709"/>
        <w:jc w:val="both"/>
        <w:rPr>
          <w:rFonts w:ascii="Arial" w:hAnsi="Arial" w:cs="Arial"/>
          <w:i/>
          <w:sz w:val="24"/>
          <w:szCs w:val="24"/>
        </w:rPr>
      </w:pPr>
      <w:r w:rsidRPr="00BF4225">
        <w:rPr>
          <w:rFonts w:ascii="Arial" w:hAnsi="Arial" w:cs="Arial"/>
          <w:iCs/>
          <w:sz w:val="24"/>
          <w:szCs w:val="24"/>
        </w:rPr>
        <w:t xml:space="preserve">[1] The Respondent’s specific </w:t>
      </w:r>
      <w:r>
        <w:rPr>
          <w:rFonts w:ascii="Arial" w:hAnsi="Arial" w:cs="Arial"/>
          <w:iCs/>
          <w:sz w:val="24"/>
          <w:szCs w:val="24"/>
        </w:rPr>
        <w:t>p</w:t>
      </w:r>
      <w:r w:rsidRPr="00BF4225">
        <w:rPr>
          <w:rFonts w:ascii="Arial" w:hAnsi="Arial" w:cs="Arial"/>
          <w:iCs/>
          <w:sz w:val="24"/>
          <w:szCs w:val="24"/>
        </w:rPr>
        <w:t xml:space="preserve">arental </w:t>
      </w:r>
      <w:r>
        <w:rPr>
          <w:rFonts w:ascii="Arial" w:hAnsi="Arial" w:cs="Arial"/>
          <w:iCs/>
          <w:sz w:val="24"/>
          <w:szCs w:val="24"/>
        </w:rPr>
        <w:t>r</w:t>
      </w:r>
      <w:r w:rsidRPr="00BF4225">
        <w:rPr>
          <w:rFonts w:ascii="Arial" w:hAnsi="Arial" w:cs="Arial"/>
          <w:iCs/>
          <w:sz w:val="24"/>
          <w:szCs w:val="24"/>
        </w:rPr>
        <w:t xml:space="preserve">esponsibilities and </w:t>
      </w:r>
      <w:r>
        <w:rPr>
          <w:rFonts w:ascii="Arial" w:hAnsi="Arial" w:cs="Arial"/>
          <w:iCs/>
          <w:sz w:val="24"/>
          <w:szCs w:val="24"/>
        </w:rPr>
        <w:t>r</w:t>
      </w:r>
      <w:r w:rsidRPr="00BF4225">
        <w:rPr>
          <w:rFonts w:ascii="Arial" w:hAnsi="Arial" w:cs="Arial"/>
          <w:iCs/>
          <w:sz w:val="24"/>
          <w:szCs w:val="24"/>
        </w:rPr>
        <w:t xml:space="preserve">ights in respect of </w:t>
      </w:r>
      <w:r>
        <w:rPr>
          <w:rFonts w:ascii="Arial" w:hAnsi="Arial" w:cs="Arial"/>
          <w:iCs/>
          <w:sz w:val="24"/>
          <w:szCs w:val="24"/>
        </w:rPr>
        <w:t>g</w:t>
      </w:r>
      <w:r w:rsidRPr="00BF4225">
        <w:rPr>
          <w:rFonts w:ascii="Arial" w:hAnsi="Arial" w:cs="Arial"/>
          <w:iCs/>
          <w:sz w:val="24"/>
          <w:szCs w:val="24"/>
        </w:rPr>
        <w:t xml:space="preserve">uardianship, as provided in terms of sections 18(3)(c)(iii) and (iv) of the Children’s Act 38 of 2005 (“the Act”), in respect of </w:t>
      </w:r>
      <w:r w:rsidR="00262D3E">
        <w:rPr>
          <w:rFonts w:ascii="Arial" w:hAnsi="Arial" w:cs="Arial"/>
          <w:iCs/>
          <w:sz w:val="24"/>
          <w:szCs w:val="24"/>
        </w:rPr>
        <w:t>A</w:t>
      </w:r>
      <w:r w:rsidRPr="00BF4225">
        <w:rPr>
          <w:rFonts w:ascii="Arial" w:hAnsi="Arial" w:cs="Arial"/>
          <w:iCs/>
          <w:sz w:val="24"/>
          <w:szCs w:val="24"/>
        </w:rPr>
        <w:t xml:space="preserve"> </w:t>
      </w:r>
      <w:r w:rsidRPr="00BF4225">
        <w:rPr>
          <w:rFonts w:ascii="Arial" w:hAnsi="Arial" w:cs="Arial"/>
          <w:iCs/>
          <w:sz w:val="24"/>
          <w:szCs w:val="24"/>
          <w:lang w:val="en-GB"/>
        </w:rPr>
        <w:t>(“the minor child”)</w:t>
      </w:r>
      <w:r w:rsidRPr="00BF4225">
        <w:rPr>
          <w:rFonts w:ascii="Arial" w:hAnsi="Arial" w:cs="Arial"/>
          <w:iCs/>
          <w:sz w:val="24"/>
          <w:szCs w:val="24"/>
        </w:rPr>
        <w:t xml:space="preserve"> be terminated as contemplated in </w:t>
      </w:r>
      <w:r>
        <w:rPr>
          <w:rFonts w:ascii="Arial" w:hAnsi="Arial" w:cs="Arial"/>
          <w:iCs/>
          <w:sz w:val="24"/>
          <w:szCs w:val="24"/>
        </w:rPr>
        <w:t>s</w:t>
      </w:r>
      <w:r w:rsidRPr="00BF4225">
        <w:rPr>
          <w:rFonts w:ascii="Arial" w:hAnsi="Arial" w:cs="Arial"/>
          <w:iCs/>
          <w:sz w:val="24"/>
          <w:szCs w:val="24"/>
        </w:rPr>
        <w:t xml:space="preserve"> 28 read with s 18(5) </w:t>
      </w:r>
      <w:bookmarkStart w:id="0" w:name="_Hlk57196621"/>
      <w:r w:rsidRPr="00BF4225">
        <w:rPr>
          <w:rFonts w:ascii="Arial" w:hAnsi="Arial" w:cs="Arial"/>
          <w:iCs/>
          <w:sz w:val="24"/>
          <w:szCs w:val="24"/>
        </w:rPr>
        <w:t>of the Act</w:t>
      </w:r>
      <w:bookmarkEnd w:id="0"/>
      <w:r w:rsidRPr="00BF4225">
        <w:rPr>
          <w:rFonts w:ascii="Arial" w:hAnsi="Arial" w:cs="Arial"/>
          <w:iCs/>
          <w:sz w:val="24"/>
          <w:szCs w:val="24"/>
        </w:rPr>
        <w:t>.</w:t>
      </w:r>
    </w:p>
    <w:p w14:paraId="32A7E72C" w14:textId="77777777" w:rsidR="00925406" w:rsidRDefault="00925406" w:rsidP="00925406">
      <w:pPr>
        <w:spacing w:line="360" w:lineRule="auto"/>
        <w:ind w:left="709" w:hanging="709"/>
        <w:jc w:val="both"/>
        <w:rPr>
          <w:rFonts w:ascii="Arial" w:hAnsi="Arial" w:cs="Arial"/>
          <w:iCs/>
          <w:sz w:val="24"/>
          <w:szCs w:val="24"/>
        </w:rPr>
      </w:pPr>
    </w:p>
    <w:p w14:paraId="6E5C51E2" w14:textId="77777777" w:rsidR="00BF4225" w:rsidRPr="00BF4225" w:rsidRDefault="00BF4225" w:rsidP="00925406">
      <w:pPr>
        <w:spacing w:line="360" w:lineRule="auto"/>
        <w:ind w:left="709" w:hanging="709"/>
        <w:jc w:val="both"/>
        <w:rPr>
          <w:rFonts w:ascii="Arial" w:hAnsi="Arial" w:cs="Arial"/>
          <w:iCs/>
          <w:sz w:val="24"/>
          <w:szCs w:val="24"/>
          <w:lang w:val="en-GB"/>
        </w:rPr>
      </w:pPr>
      <w:r w:rsidRPr="00BF4225">
        <w:rPr>
          <w:rFonts w:ascii="Arial" w:hAnsi="Arial" w:cs="Arial"/>
          <w:iCs/>
          <w:sz w:val="24"/>
          <w:szCs w:val="24"/>
        </w:rPr>
        <w:tab/>
      </w:r>
      <w:r>
        <w:rPr>
          <w:rFonts w:ascii="Arial" w:hAnsi="Arial" w:cs="Arial"/>
          <w:iCs/>
          <w:sz w:val="24"/>
          <w:szCs w:val="24"/>
        </w:rPr>
        <w:t xml:space="preserve">[2] </w:t>
      </w:r>
      <w:r w:rsidRPr="00BF4225">
        <w:rPr>
          <w:rFonts w:ascii="Arial" w:hAnsi="Arial" w:cs="Arial"/>
          <w:iCs/>
          <w:sz w:val="24"/>
          <w:szCs w:val="24"/>
        </w:rPr>
        <w:t xml:space="preserve">The </w:t>
      </w:r>
      <w:r>
        <w:rPr>
          <w:rFonts w:ascii="Arial" w:hAnsi="Arial" w:cs="Arial"/>
          <w:iCs/>
          <w:sz w:val="24"/>
          <w:szCs w:val="24"/>
        </w:rPr>
        <w:t>r</w:t>
      </w:r>
      <w:r w:rsidRPr="00BF4225">
        <w:rPr>
          <w:rFonts w:ascii="Arial" w:hAnsi="Arial" w:cs="Arial"/>
          <w:iCs/>
          <w:sz w:val="24"/>
          <w:szCs w:val="24"/>
        </w:rPr>
        <w:t xml:space="preserve">espondent’s </w:t>
      </w:r>
      <w:r>
        <w:rPr>
          <w:rFonts w:ascii="Arial" w:hAnsi="Arial" w:cs="Arial"/>
          <w:iCs/>
          <w:sz w:val="24"/>
          <w:szCs w:val="24"/>
        </w:rPr>
        <w:t>p</w:t>
      </w:r>
      <w:r w:rsidRPr="00BF4225">
        <w:rPr>
          <w:rFonts w:ascii="Arial" w:hAnsi="Arial" w:cs="Arial"/>
          <w:iCs/>
          <w:sz w:val="24"/>
          <w:szCs w:val="24"/>
        </w:rPr>
        <w:t xml:space="preserve">arental </w:t>
      </w:r>
      <w:r>
        <w:rPr>
          <w:rFonts w:ascii="Arial" w:hAnsi="Arial" w:cs="Arial"/>
          <w:iCs/>
          <w:sz w:val="24"/>
          <w:szCs w:val="24"/>
        </w:rPr>
        <w:t>r</w:t>
      </w:r>
      <w:r w:rsidRPr="00BF4225">
        <w:rPr>
          <w:rFonts w:ascii="Arial" w:hAnsi="Arial" w:cs="Arial"/>
          <w:iCs/>
          <w:sz w:val="24"/>
          <w:szCs w:val="24"/>
        </w:rPr>
        <w:t xml:space="preserve">esponsibilities and </w:t>
      </w:r>
      <w:r>
        <w:rPr>
          <w:rFonts w:ascii="Arial" w:hAnsi="Arial" w:cs="Arial"/>
          <w:iCs/>
          <w:sz w:val="24"/>
          <w:szCs w:val="24"/>
        </w:rPr>
        <w:t>r</w:t>
      </w:r>
      <w:r w:rsidRPr="00BF4225">
        <w:rPr>
          <w:rFonts w:ascii="Arial" w:hAnsi="Arial" w:cs="Arial"/>
          <w:iCs/>
          <w:sz w:val="24"/>
          <w:szCs w:val="24"/>
        </w:rPr>
        <w:t>ights as provided for in terms of ss 18(3)(c)(iii) and (iv) of the Act pertaining to the minor child be henceforth terminated</w:t>
      </w:r>
      <w:r w:rsidR="00F74861">
        <w:rPr>
          <w:rFonts w:ascii="Arial" w:hAnsi="Arial" w:cs="Arial"/>
          <w:iCs/>
          <w:sz w:val="24"/>
          <w:szCs w:val="24"/>
        </w:rPr>
        <w:t xml:space="preserve"> </w:t>
      </w:r>
      <w:r w:rsidRPr="00BF4225">
        <w:rPr>
          <w:rFonts w:ascii="Arial" w:hAnsi="Arial" w:cs="Arial"/>
          <w:iCs/>
          <w:sz w:val="24"/>
          <w:szCs w:val="24"/>
          <w:lang w:val="en-GB"/>
        </w:rPr>
        <w:t>as guardian of the minor child, to: -</w:t>
      </w:r>
    </w:p>
    <w:p w14:paraId="66BE2F34" w14:textId="77777777" w:rsidR="00BF4225" w:rsidRPr="00BF4225" w:rsidRDefault="00F74861" w:rsidP="00925406">
      <w:pPr>
        <w:spacing w:line="360" w:lineRule="auto"/>
        <w:ind w:left="360"/>
        <w:jc w:val="both"/>
        <w:rPr>
          <w:rFonts w:ascii="Arial" w:hAnsi="Arial" w:cs="Arial"/>
          <w:iCs/>
          <w:sz w:val="24"/>
          <w:szCs w:val="24"/>
          <w:lang w:val="en-GB"/>
        </w:rPr>
      </w:pPr>
      <w:r>
        <w:rPr>
          <w:rFonts w:ascii="Arial" w:hAnsi="Arial" w:cs="Arial"/>
          <w:iCs/>
          <w:sz w:val="24"/>
          <w:szCs w:val="24"/>
          <w:lang w:val="en-GB"/>
        </w:rPr>
        <w:tab/>
        <w:t>[2.1]</w:t>
      </w:r>
      <w:r w:rsidR="00BF4225" w:rsidRPr="00BF4225">
        <w:rPr>
          <w:rFonts w:ascii="Arial" w:hAnsi="Arial" w:cs="Arial"/>
          <w:iCs/>
          <w:sz w:val="24"/>
          <w:szCs w:val="24"/>
          <w:lang w:val="en-GB"/>
        </w:rPr>
        <w:tab/>
        <w:t xml:space="preserve">give or refuse any consent required by law in respect of the </w:t>
      </w:r>
      <w:r w:rsidR="00BF4225" w:rsidRPr="00BF4225">
        <w:rPr>
          <w:rFonts w:ascii="Arial" w:hAnsi="Arial" w:cs="Arial"/>
          <w:iCs/>
          <w:sz w:val="24"/>
          <w:szCs w:val="24"/>
          <w:lang w:val="en-GB"/>
        </w:rPr>
        <w:tab/>
      </w:r>
      <w:r w:rsidR="00BF4225" w:rsidRPr="00BF4225">
        <w:rPr>
          <w:rFonts w:ascii="Arial" w:hAnsi="Arial" w:cs="Arial"/>
          <w:iCs/>
          <w:sz w:val="24"/>
          <w:szCs w:val="24"/>
          <w:lang w:val="en-GB"/>
        </w:rPr>
        <w:tab/>
      </w:r>
      <w:r w:rsidR="00BF4225" w:rsidRPr="00BF4225">
        <w:rPr>
          <w:rFonts w:ascii="Arial" w:hAnsi="Arial" w:cs="Arial"/>
          <w:iCs/>
          <w:sz w:val="24"/>
          <w:szCs w:val="24"/>
          <w:lang w:val="en-GB"/>
        </w:rPr>
        <w:tab/>
      </w:r>
      <w:r w:rsidR="00BF4225" w:rsidRPr="00BF4225">
        <w:rPr>
          <w:rFonts w:ascii="Arial" w:hAnsi="Arial" w:cs="Arial"/>
          <w:iCs/>
          <w:sz w:val="24"/>
          <w:szCs w:val="24"/>
          <w:lang w:val="en-GB"/>
        </w:rPr>
        <w:tab/>
        <w:t>minor child, including: -</w:t>
      </w:r>
    </w:p>
    <w:p w14:paraId="2925D182" w14:textId="77777777" w:rsidR="00BF4225" w:rsidRPr="00BF4225" w:rsidRDefault="00F74861" w:rsidP="00925406">
      <w:pPr>
        <w:spacing w:line="360" w:lineRule="auto"/>
        <w:ind w:left="720"/>
        <w:jc w:val="both"/>
        <w:rPr>
          <w:rFonts w:ascii="Arial" w:hAnsi="Arial" w:cs="Arial"/>
          <w:iCs/>
          <w:sz w:val="24"/>
          <w:szCs w:val="24"/>
          <w:lang w:val="en-GB"/>
        </w:rPr>
      </w:pPr>
      <w:r>
        <w:rPr>
          <w:rFonts w:ascii="Arial" w:hAnsi="Arial" w:cs="Arial"/>
          <w:iCs/>
          <w:sz w:val="24"/>
          <w:szCs w:val="24"/>
          <w:lang w:val="en-GB"/>
        </w:rPr>
        <w:t>[2.1.1]</w:t>
      </w:r>
      <w:r w:rsidR="00BF4225" w:rsidRPr="00BF4225">
        <w:rPr>
          <w:rFonts w:ascii="Arial" w:hAnsi="Arial" w:cs="Arial"/>
          <w:iCs/>
          <w:sz w:val="24"/>
          <w:szCs w:val="24"/>
          <w:lang w:val="en-GB"/>
        </w:rPr>
        <w:tab/>
        <w:t>consent to the child’s departure or removal from the</w:t>
      </w:r>
      <w:r>
        <w:rPr>
          <w:rFonts w:ascii="Arial" w:hAnsi="Arial" w:cs="Arial"/>
          <w:iCs/>
          <w:sz w:val="24"/>
          <w:szCs w:val="24"/>
          <w:lang w:val="en-GB"/>
        </w:rPr>
        <w:t xml:space="preserve"> </w:t>
      </w:r>
      <w:r w:rsidR="00BF4225" w:rsidRPr="00BF4225">
        <w:rPr>
          <w:rFonts w:ascii="Arial" w:hAnsi="Arial" w:cs="Arial"/>
          <w:iCs/>
          <w:sz w:val="24"/>
          <w:szCs w:val="24"/>
          <w:lang w:val="en-GB"/>
        </w:rPr>
        <w:t>Republic of South Africa; and</w:t>
      </w:r>
    </w:p>
    <w:p w14:paraId="2AE3261E" w14:textId="77777777" w:rsidR="00BF4225" w:rsidRPr="00BF4225" w:rsidRDefault="00F74861" w:rsidP="00925406">
      <w:pPr>
        <w:spacing w:line="360" w:lineRule="auto"/>
        <w:ind w:firstLine="709"/>
        <w:jc w:val="both"/>
        <w:rPr>
          <w:rFonts w:ascii="Arial" w:hAnsi="Arial" w:cs="Arial"/>
          <w:iCs/>
          <w:sz w:val="24"/>
          <w:szCs w:val="24"/>
          <w:lang w:val="en-GB"/>
        </w:rPr>
      </w:pPr>
      <w:r>
        <w:rPr>
          <w:rFonts w:ascii="Arial" w:hAnsi="Arial" w:cs="Arial"/>
          <w:iCs/>
          <w:sz w:val="24"/>
          <w:szCs w:val="24"/>
          <w:lang w:val="en-GB"/>
        </w:rPr>
        <w:t>[2.1.2]</w:t>
      </w:r>
      <w:r w:rsidR="00BF4225" w:rsidRPr="00BF4225">
        <w:rPr>
          <w:rFonts w:ascii="Arial" w:hAnsi="Arial" w:cs="Arial"/>
          <w:iCs/>
          <w:sz w:val="24"/>
          <w:szCs w:val="24"/>
          <w:lang w:val="en-GB"/>
        </w:rPr>
        <w:tab/>
        <w:t>consent to the minor child’s application for a passport.</w:t>
      </w:r>
    </w:p>
    <w:p w14:paraId="673A2816" w14:textId="77777777" w:rsidR="00925406" w:rsidRDefault="00925406" w:rsidP="00925406">
      <w:pPr>
        <w:spacing w:line="360" w:lineRule="auto"/>
        <w:ind w:left="709" w:hanging="709"/>
        <w:jc w:val="both"/>
        <w:rPr>
          <w:rFonts w:ascii="Arial" w:hAnsi="Arial" w:cs="Arial"/>
          <w:iCs/>
          <w:sz w:val="24"/>
          <w:szCs w:val="24"/>
        </w:rPr>
      </w:pPr>
    </w:p>
    <w:p w14:paraId="3D20B001" w14:textId="77777777" w:rsidR="00BF4225" w:rsidRPr="00BF4225" w:rsidRDefault="00BF4225" w:rsidP="00925406">
      <w:pPr>
        <w:spacing w:line="360" w:lineRule="auto"/>
        <w:ind w:left="709" w:hanging="709"/>
        <w:jc w:val="both"/>
        <w:rPr>
          <w:rFonts w:ascii="Arial" w:hAnsi="Arial" w:cs="Arial"/>
          <w:iCs/>
          <w:sz w:val="24"/>
          <w:szCs w:val="24"/>
          <w:lang w:val="en-GB"/>
        </w:rPr>
      </w:pPr>
      <w:r w:rsidRPr="00BF4225">
        <w:rPr>
          <w:rFonts w:ascii="Arial" w:hAnsi="Arial" w:cs="Arial"/>
          <w:iCs/>
          <w:sz w:val="24"/>
          <w:szCs w:val="24"/>
        </w:rPr>
        <w:tab/>
      </w:r>
      <w:r>
        <w:rPr>
          <w:rFonts w:ascii="Arial" w:hAnsi="Arial" w:cs="Arial"/>
          <w:iCs/>
          <w:sz w:val="24"/>
          <w:szCs w:val="24"/>
        </w:rPr>
        <w:t xml:space="preserve">[3] </w:t>
      </w:r>
      <w:r w:rsidRPr="00BF4225">
        <w:rPr>
          <w:rFonts w:ascii="Arial" w:hAnsi="Arial" w:cs="Arial"/>
          <w:iCs/>
          <w:sz w:val="24"/>
          <w:szCs w:val="24"/>
          <w:lang w:val="en-GB"/>
        </w:rPr>
        <w:t xml:space="preserve">That, in terms of s 18 of the Act, the </w:t>
      </w:r>
      <w:r>
        <w:rPr>
          <w:rFonts w:ascii="Arial" w:hAnsi="Arial" w:cs="Arial"/>
          <w:iCs/>
          <w:sz w:val="24"/>
          <w:szCs w:val="24"/>
          <w:lang w:val="en-GB"/>
        </w:rPr>
        <w:t>a</w:t>
      </w:r>
      <w:r w:rsidRPr="00BF4225">
        <w:rPr>
          <w:rFonts w:ascii="Arial" w:hAnsi="Arial" w:cs="Arial"/>
          <w:iCs/>
          <w:sz w:val="24"/>
          <w:szCs w:val="24"/>
          <w:lang w:val="en-GB"/>
        </w:rPr>
        <w:t>pplicant be granted</w:t>
      </w:r>
      <w:r>
        <w:rPr>
          <w:rFonts w:ascii="Arial" w:hAnsi="Arial" w:cs="Arial"/>
          <w:iCs/>
          <w:sz w:val="24"/>
          <w:szCs w:val="24"/>
          <w:lang w:val="en-GB"/>
        </w:rPr>
        <w:t xml:space="preserve"> </w:t>
      </w:r>
      <w:r w:rsidR="000C3D0E">
        <w:rPr>
          <w:rFonts w:ascii="Arial" w:hAnsi="Arial" w:cs="Arial"/>
          <w:iCs/>
          <w:sz w:val="24"/>
          <w:szCs w:val="24"/>
          <w:lang w:val="en-GB"/>
        </w:rPr>
        <w:t xml:space="preserve">sole guardianship </w:t>
      </w:r>
      <w:r>
        <w:rPr>
          <w:rFonts w:ascii="Arial" w:hAnsi="Arial" w:cs="Arial"/>
          <w:iCs/>
          <w:sz w:val="24"/>
          <w:szCs w:val="24"/>
          <w:lang w:val="en-GB"/>
        </w:rPr>
        <w:t>in respect of the minor child</w:t>
      </w:r>
      <w:r w:rsidR="000C3D0E">
        <w:rPr>
          <w:rFonts w:ascii="Arial" w:hAnsi="Arial" w:cs="Arial"/>
          <w:iCs/>
          <w:sz w:val="24"/>
          <w:szCs w:val="24"/>
          <w:lang w:val="en-GB"/>
        </w:rPr>
        <w:t>, to</w:t>
      </w:r>
      <w:r w:rsidRPr="00BF4225">
        <w:rPr>
          <w:rFonts w:ascii="Arial" w:hAnsi="Arial" w:cs="Arial"/>
          <w:iCs/>
          <w:sz w:val="24"/>
          <w:szCs w:val="24"/>
          <w:lang w:val="en-GB"/>
        </w:rPr>
        <w:t xml:space="preserve">: - </w:t>
      </w:r>
    </w:p>
    <w:p w14:paraId="2A0CF24D" w14:textId="77777777" w:rsidR="00BF4225" w:rsidRPr="00BF4225" w:rsidRDefault="00BF4225" w:rsidP="00925406">
      <w:pPr>
        <w:spacing w:line="360" w:lineRule="auto"/>
        <w:ind w:left="360"/>
        <w:jc w:val="both"/>
        <w:rPr>
          <w:rFonts w:ascii="Arial" w:hAnsi="Arial" w:cs="Arial"/>
          <w:iCs/>
          <w:sz w:val="24"/>
          <w:szCs w:val="24"/>
          <w:lang w:val="en-GB"/>
        </w:rPr>
      </w:pPr>
      <w:r w:rsidRPr="00BF4225">
        <w:rPr>
          <w:rFonts w:ascii="Arial" w:hAnsi="Arial" w:cs="Arial"/>
          <w:iCs/>
          <w:sz w:val="24"/>
          <w:szCs w:val="24"/>
          <w:lang w:val="en-GB"/>
        </w:rPr>
        <w:tab/>
      </w:r>
      <w:r w:rsidR="000C3D0E">
        <w:rPr>
          <w:rFonts w:ascii="Arial" w:hAnsi="Arial" w:cs="Arial"/>
          <w:iCs/>
          <w:sz w:val="24"/>
          <w:szCs w:val="24"/>
          <w:lang w:val="en-GB"/>
        </w:rPr>
        <w:t>[</w:t>
      </w:r>
      <w:r w:rsidRPr="00BF4225">
        <w:rPr>
          <w:rFonts w:ascii="Arial" w:hAnsi="Arial" w:cs="Arial"/>
          <w:iCs/>
          <w:sz w:val="24"/>
          <w:szCs w:val="24"/>
          <w:lang w:val="en-GB"/>
        </w:rPr>
        <w:t>3.1</w:t>
      </w:r>
      <w:r w:rsidR="000C3D0E">
        <w:rPr>
          <w:rFonts w:ascii="Arial" w:hAnsi="Arial" w:cs="Arial"/>
          <w:iCs/>
          <w:sz w:val="24"/>
          <w:szCs w:val="24"/>
          <w:lang w:val="en-GB"/>
        </w:rPr>
        <w:t>]</w:t>
      </w:r>
      <w:r w:rsidRPr="00BF4225">
        <w:rPr>
          <w:rFonts w:ascii="Arial" w:hAnsi="Arial" w:cs="Arial"/>
          <w:iCs/>
          <w:sz w:val="24"/>
          <w:szCs w:val="24"/>
          <w:lang w:val="en-GB"/>
        </w:rPr>
        <w:tab/>
        <w:t xml:space="preserve">give or refuse any consent required by law in respect of the </w:t>
      </w:r>
      <w:r w:rsidRPr="00BF4225">
        <w:rPr>
          <w:rFonts w:ascii="Arial" w:hAnsi="Arial" w:cs="Arial"/>
          <w:iCs/>
          <w:sz w:val="24"/>
          <w:szCs w:val="24"/>
          <w:lang w:val="en-GB"/>
        </w:rPr>
        <w:tab/>
      </w:r>
      <w:r w:rsidRPr="00BF4225">
        <w:rPr>
          <w:rFonts w:ascii="Arial" w:hAnsi="Arial" w:cs="Arial"/>
          <w:iCs/>
          <w:sz w:val="24"/>
          <w:szCs w:val="24"/>
          <w:lang w:val="en-GB"/>
        </w:rPr>
        <w:tab/>
      </w:r>
      <w:r w:rsidRPr="00BF4225">
        <w:rPr>
          <w:rFonts w:ascii="Arial" w:hAnsi="Arial" w:cs="Arial"/>
          <w:iCs/>
          <w:sz w:val="24"/>
          <w:szCs w:val="24"/>
          <w:lang w:val="en-GB"/>
        </w:rPr>
        <w:tab/>
      </w:r>
      <w:r w:rsidRPr="00BF4225">
        <w:rPr>
          <w:rFonts w:ascii="Arial" w:hAnsi="Arial" w:cs="Arial"/>
          <w:iCs/>
          <w:sz w:val="24"/>
          <w:szCs w:val="24"/>
          <w:lang w:val="en-GB"/>
        </w:rPr>
        <w:tab/>
      </w:r>
      <w:r w:rsidR="000C3D0E">
        <w:rPr>
          <w:rFonts w:ascii="Arial" w:hAnsi="Arial" w:cs="Arial"/>
          <w:iCs/>
          <w:sz w:val="24"/>
          <w:szCs w:val="24"/>
          <w:lang w:val="en-GB"/>
        </w:rPr>
        <w:tab/>
      </w:r>
      <w:r w:rsidRPr="00BF4225">
        <w:rPr>
          <w:rFonts w:ascii="Arial" w:hAnsi="Arial" w:cs="Arial"/>
          <w:iCs/>
          <w:sz w:val="24"/>
          <w:szCs w:val="24"/>
          <w:lang w:val="en-GB"/>
        </w:rPr>
        <w:t>minor child, including: -</w:t>
      </w:r>
    </w:p>
    <w:p w14:paraId="4DB848F1" w14:textId="77777777" w:rsidR="00BF4225" w:rsidRPr="00BF4225" w:rsidRDefault="000C3D0E" w:rsidP="00925406">
      <w:pPr>
        <w:spacing w:line="360" w:lineRule="auto"/>
        <w:ind w:left="2160" w:hanging="720"/>
        <w:jc w:val="both"/>
        <w:rPr>
          <w:rFonts w:ascii="Arial" w:hAnsi="Arial" w:cs="Arial"/>
          <w:iCs/>
          <w:sz w:val="24"/>
          <w:szCs w:val="24"/>
          <w:lang w:val="en-GB"/>
        </w:rPr>
      </w:pPr>
      <w:r>
        <w:rPr>
          <w:rFonts w:ascii="Arial" w:hAnsi="Arial" w:cs="Arial"/>
          <w:iCs/>
          <w:sz w:val="24"/>
          <w:szCs w:val="24"/>
          <w:lang w:val="en-GB"/>
        </w:rPr>
        <w:t>[3.1.1]</w:t>
      </w:r>
      <w:r w:rsidR="00BF4225" w:rsidRPr="00BF4225">
        <w:rPr>
          <w:rFonts w:ascii="Arial" w:hAnsi="Arial" w:cs="Arial"/>
          <w:iCs/>
          <w:sz w:val="24"/>
          <w:szCs w:val="24"/>
          <w:lang w:val="en-GB"/>
        </w:rPr>
        <w:tab/>
        <w:t>consent to the minor child’s departure or removal from the Republic of South Africa; and</w:t>
      </w:r>
    </w:p>
    <w:p w14:paraId="31D31EA4" w14:textId="77777777" w:rsidR="00BF4225" w:rsidRPr="00BF4225" w:rsidRDefault="000C3D0E" w:rsidP="00925406">
      <w:pPr>
        <w:spacing w:line="360" w:lineRule="auto"/>
        <w:ind w:left="720" w:firstLine="720"/>
        <w:jc w:val="both"/>
        <w:rPr>
          <w:rFonts w:ascii="Arial" w:hAnsi="Arial" w:cs="Arial"/>
          <w:iCs/>
          <w:sz w:val="24"/>
          <w:szCs w:val="24"/>
          <w:lang w:val="en-GB"/>
        </w:rPr>
      </w:pPr>
      <w:r>
        <w:rPr>
          <w:rFonts w:ascii="Arial" w:hAnsi="Arial" w:cs="Arial"/>
          <w:iCs/>
          <w:sz w:val="24"/>
          <w:szCs w:val="24"/>
          <w:lang w:val="en-GB"/>
        </w:rPr>
        <w:lastRenderedPageBreak/>
        <w:t xml:space="preserve">[3.1.2] </w:t>
      </w:r>
      <w:r w:rsidR="00BF4225" w:rsidRPr="00BF4225">
        <w:rPr>
          <w:rFonts w:ascii="Arial" w:hAnsi="Arial" w:cs="Arial"/>
          <w:iCs/>
          <w:sz w:val="24"/>
          <w:szCs w:val="24"/>
          <w:lang w:val="en-GB"/>
        </w:rPr>
        <w:t xml:space="preserve">consent to the minor child’s application for a </w:t>
      </w:r>
      <w:r w:rsidR="00BF4225" w:rsidRPr="00BF4225">
        <w:rPr>
          <w:rFonts w:ascii="Arial" w:hAnsi="Arial" w:cs="Arial"/>
          <w:iCs/>
          <w:sz w:val="24"/>
          <w:szCs w:val="24"/>
          <w:lang w:val="en-GB"/>
        </w:rPr>
        <w:tab/>
      </w:r>
      <w:r w:rsidR="00BF4225" w:rsidRPr="00BF4225">
        <w:rPr>
          <w:rFonts w:ascii="Arial" w:hAnsi="Arial" w:cs="Arial"/>
          <w:iCs/>
          <w:sz w:val="24"/>
          <w:szCs w:val="24"/>
          <w:lang w:val="en-GB"/>
        </w:rPr>
        <w:tab/>
      </w:r>
      <w:r w:rsidR="00BF4225" w:rsidRPr="00BF4225">
        <w:rPr>
          <w:rFonts w:ascii="Arial" w:hAnsi="Arial" w:cs="Arial"/>
          <w:iCs/>
          <w:sz w:val="24"/>
          <w:szCs w:val="24"/>
          <w:lang w:val="en-GB"/>
        </w:rPr>
        <w:tab/>
      </w:r>
      <w:r w:rsidR="00BF4225" w:rsidRPr="00BF4225">
        <w:rPr>
          <w:rFonts w:ascii="Arial" w:hAnsi="Arial" w:cs="Arial"/>
          <w:iCs/>
          <w:sz w:val="24"/>
          <w:szCs w:val="24"/>
          <w:lang w:val="en-GB"/>
        </w:rPr>
        <w:tab/>
      </w:r>
      <w:r w:rsidR="00BF4225" w:rsidRPr="00BF4225">
        <w:rPr>
          <w:rFonts w:ascii="Arial" w:hAnsi="Arial" w:cs="Arial"/>
          <w:iCs/>
          <w:sz w:val="24"/>
          <w:szCs w:val="24"/>
          <w:lang w:val="en-GB"/>
        </w:rPr>
        <w:tab/>
      </w:r>
      <w:r w:rsidR="00BF4225" w:rsidRPr="00BF4225">
        <w:rPr>
          <w:rFonts w:ascii="Arial" w:hAnsi="Arial" w:cs="Arial"/>
          <w:iCs/>
          <w:sz w:val="24"/>
          <w:szCs w:val="24"/>
          <w:lang w:val="en-GB"/>
        </w:rPr>
        <w:tab/>
        <w:t xml:space="preserve"> passport and/or the renewal of a passport.</w:t>
      </w:r>
    </w:p>
    <w:p w14:paraId="0B4B524C" w14:textId="77777777" w:rsidR="00925406" w:rsidRDefault="00925406" w:rsidP="00925406">
      <w:pPr>
        <w:spacing w:line="360" w:lineRule="auto"/>
        <w:ind w:left="709" w:hanging="709"/>
        <w:jc w:val="both"/>
        <w:rPr>
          <w:rFonts w:ascii="Arial" w:hAnsi="Arial" w:cs="Arial"/>
          <w:iCs/>
          <w:sz w:val="24"/>
          <w:szCs w:val="24"/>
        </w:rPr>
      </w:pPr>
    </w:p>
    <w:p w14:paraId="63A0E37B" w14:textId="77777777" w:rsidR="00BF4225" w:rsidRPr="00BF4225" w:rsidRDefault="00BF4225" w:rsidP="00925406">
      <w:pPr>
        <w:spacing w:line="360" w:lineRule="auto"/>
        <w:ind w:left="709" w:hanging="709"/>
        <w:jc w:val="both"/>
        <w:rPr>
          <w:rFonts w:ascii="Arial" w:hAnsi="Arial" w:cs="Arial"/>
          <w:iCs/>
          <w:sz w:val="24"/>
          <w:szCs w:val="24"/>
        </w:rPr>
      </w:pPr>
      <w:r w:rsidRPr="00BF4225">
        <w:rPr>
          <w:rFonts w:ascii="Arial" w:hAnsi="Arial" w:cs="Arial"/>
          <w:iCs/>
          <w:sz w:val="24"/>
          <w:szCs w:val="24"/>
        </w:rPr>
        <w:tab/>
      </w:r>
      <w:r w:rsidRPr="00BF4225">
        <w:rPr>
          <w:rFonts w:ascii="Arial" w:hAnsi="Arial" w:cs="Arial"/>
          <w:iCs/>
          <w:sz w:val="24"/>
          <w:szCs w:val="24"/>
        </w:rPr>
        <w:tab/>
      </w:r>
      <w:r w:rsidR="000C3D0E">
        <w:rPr>
          <w:rFonts w:ascii="Arial" w:hAnsi="Arial" w:cs="Arial"/>
          <w:iCs/>
          <w:sz w:val="24"/>
          <w:szCs w:val="24"/>
        </w:rPr>
        <w:t xml:space="preserve">[4] </w:t>
      </w:r>
      <w:r w:rsidRPr="00BF4225">
        <w:rPr>
          <w:rFonts w:ascii="Arial" w:hAnsi="Arial" w:cs="Arial"/>
          <w:iCs/>
          <w:sz w:val="24"/>
          <w:szCs w:val="24"/>
        </w:rPr>
        <w:t xml:space="preserve">That, insofar as it may be necessary, the </w:t>
      </w:r>
      <w:r w:rsidR="000C3D0E">
        <w:rPr>
          <w:rFonts w:ascii="Arial" w:hAnsi="Arial" w:cs="Arial"/>
          <w:iCs/>
          <w:sz w:val="24"/>
          <w:szCs w:val="24"/>
        </w:rPr>
        <w:t>r</w:t>
      </w:r>
      <w:r w:rsidRPr="00BF4225">
        <w:rPr>
          <w:rFonts w:ascii="Arial" w:hAnsi="Arial" w:cs="Arial"/>
          <w:iCs/>
          <w:sz w:val="24"/>
          <w:szCs w:val="24"/>
        </w:rPr>
        <w:t xml:space="preserve">espondent’s consent, the </w:t>
      </w:r>
      <w:r w:rsidR="000C3D0E">
        <w:rPr>
          <w:rFonts w:ascii="Arial" w:hAnsi="Arial" w:cs="Arial"/>
          <w:iCs/>
          <w:sz w:val="24"/>
          <w:szCs w:val="24"/>
        </w:rPr>
        <w:t>r</w:t>
      </w:r>
      <w:r w:rsidRPr="00BF4225">
        <w:rPr>
          <w:rFonts w:ascii="Arial" w:hAnsi="Arial" w:cs="Arial"/>
          <w:iCs/>
          <w:sz w:val="24"/>
          <w:szCs w:val="24"/>
        </w:rPr>
        <w:t xml:space="preserve">espondent’s signature of all such documents, including all such steps necessary by the </w:t>
      </w:r>
      <w:r w:rsidR="000C3D0E">
        <w:rPr>
          <w:rFonts w:ascii="Arial" w:hAnsi="Arial" w:cs="Arial"/>
          <w:iCs/>
          <w:sz w:val="24"/>
          <w:szCs w:val="24"/>
        </w:rPr>
        <w:t>r</w:t>
      </w:r>
      <w:r w:rsidRPr="00BF4225">
        <w:rPr>
          <w:rFonts w:ascii="Arial" w:hAnsi="Arial" w:cs="Arial"/>
          <w:iCs/>
          <w:sz w:val="24"/>
          <w:szCs w:val="24"/>
        </w:rPr>
        <w:t xml:space="preserve">espondent, to enable the </w:t>
      </w:r>
      <w:r w:rsidR="000C3D0E">
        <w:rPr>
          <w:rFonts w:ascii="Arial" w:hAnsi="Arial" w:cs="Arial"/>
          <w:iCs/>
          <w:sz w:val="24"/>
          <w:szCs w:val="24"/>
        </w:rPr>
        <w:t>a</w:t>
      </w:r>
      <w:r w:rsidRPr="00BF4225">
        <w:rPr>
          <w:rFonts w:ascii="Arial" w:hAnsi="Arial" w:cs="Arial"/>
          <w:iCs/>
          <w:sz w:val="24"/>
          <w:szCs w:val="24"/>
        </w:rPr>
        <w:t>pplicant to lawfully remove the minor child from the Republic of South Africa, be dispensed with forthwith.</w:t>
      </w:r>
    </w:p>
    <w:p w14:paraId="2E43D687" w14:textId="77777777" w:rsidR="00925406" w:rsidRDefault="00925406" w:rsidP="00925406">
      <w:pPr>
        <w:spacing w:line="360" w:lineRule="auto"/>
        <w:ind w:left="709" w:hanging="709"/>
        <w:jc w:val="both"/>
        <w:rPr>
          <w:rFonts w:ascii="Arial" w:hAnsi="Arial" w:cs="Arial"/>
          <w:iCs/>
          <w:sz w:val="24"/>
          <w:szCs w:val="24"/>
        </w:rPr>
      </w:pPr>
    </w:p>
    <w:p w14:paraId="7B89C1A5" w14:textId="77777777" w:rsidR="00BF4225" w:rsidRPr="00BF4225" w:rsidRDefault="00BF4225" w:rsidP="00925406">
      <w:pPr>
        <w:spacing w:line="360" w:lineRule="auto"/>
        <w:ind w:left="709" w:hanging="709"/>
        <w:jc w:val="both"/>
        <w:rPr>
          <w:rFonts w:ascii="Arial" w:hAnsi="Arial" w:cs="Arial"/>
          <w:iCs/>
          <w:sz w:val="24"/>
          <w:szCs w:val="24"/>
        </w:rPr>
      </w:pPr>
      <w:r w:rsidRPr="00BF4225">
        <w:rPr>
          <w:rFonts w:ascii="Arial" w:hAnsi="Arial" w:cs="Arial"/>
          <w:iCs/>
          <w:sz w:val="24"/>
          <w:szCs w:val="24"/>
        </w:rPr>
        <w:tab/>
      </w:r>
      <w:r w:rsidR="000C3D0E">
        <w:rPr>
          <w:rFonts w:ascii="Arial" w:hAnsi="Arial" w:cs="Arial"/>
          <w:iCs/>
          <w:sz w:val="24"/>
          <w:szCs w:val="24"/>
        </w:rPr>
        <w:t xml:space="preserve">[5] </w:t>
      </w:r>
      <w:r w:rsidRPr="00BF4225">
        <w:rPr>
          <w:rFonts w:ascii="Arial" w:hAnsi="Arial" w:cs="Arial"/>
          <w:iCs/>
          <w:sz w:val="24"/>
          <w:szCs w:val="24"/>
        </w:rPr>
        <w:t xml:space="preserve">The </w:t>
      </w:r>
      <w:r w:rsidR="000C3D0E">
        <w:rPr>
          <w:rFonts w:ascii="Arial" w:hAnsi="Arial" w:cs="Arial"/>
          <w:iCs/>
          <w:sz w:val="24"/>
          <w:szCs w:val="24"/>
        </w:rPr>
        <w:t>a</w:t>
      </w:r>
      <w:r w:rsidRPr="00BF4225">
        <w:rPr>
          <w:rFonts w:ascii="Arial" w:hAnsi="Arial" w:cs="Arial"/>
          <w:iCs/>
          <w:sz w:val="24"/>
          <w:szCs w:val="24"/>
        </w:rPr>
        <w:t xml:space="preserve">pplicant </w:t>
      </w:r>
      <w:r w:rsidR="000C3D0E">
        <w:rPr>
          <w:rFonts w:ascii="Arial" w:hAnsi="Arial" w:cs="Arial"/>
          <w:iCs/>
          <w:sz w:val="24"/>
          <w:szCs w:val="24"/>
        </w:rPr>
        <w:t xml:space="preserve">is granted </w:t>
      </w:r>
      <w:r w:rsidRPr="00BF4225">
        <w:rPr>
          <w:rFonts w:ascii="Arial" w:hAnsi="Arial" w:cs="Arial"/>
          <w:iCs/>
          <w:sz w:val="24"/>
          <w:szCs w:val="24"/>
        </w:rPr>
        <w:t>leave to relocate the minor child outside the Republic of South Africa to New Zealand.</w:t>
      </w:r>
    </w:p>
    <w:p w14:paraId="6ED6D784" w14:textId="77777777" w:rsidR="00925406" w:rsidRDefault="00925406" w:rsidP="00925406">
      <w:pPr>
        <w:spacing w:line="360" w:lineRule="auto"/>
        <w:ind w:left="709" w:hanging="709"/>
        <w:jc w:val="both"/>
        <w:rPr>
          <w:rFonts w:ascii="Arial" w:hAnsi="Arial" w:cs="Arial"/>
          <w:iCs/>
          <w:sz w:val="24"/>
          <w:szCs w:val="24"/>
        </w:rPr>
      </w:pPr>
    </w:p>
    <w:p w14:paraId="4316D777" w14:textId="77777777" w:rsidR="00BF4225" w:rsidRPr="00BF4225" w:rsidRDefault="00BF4225" w:rsidP="00925406">
      <w:pPr>
        <w:spacing w:line="360" w:lineRule="auto"/>
        <w:ind w:left="709" w:hanging="709"/>
        <w:jc w:val="both"/>
        <w:rPr>
          <w:rFonts w:ascii="Arial" w:hAnsi="Arial" w:cs="Arial"/>
          <w:iCs/>
          <w:sz w:val="24"/>
          <w:szCs w:val="24"/>
        </w:rPr>
      </w:pPr>
      <w:r w:rsidRPr="00BF4225">
        <w:rPr>
          <w:rFonts w:ascii="Arial" w:hAnsi="Arial" w:cs="Arial"/>
          <w:iCs/>
          <w:sz w:val="24"/>
          <w:szCs w:val="24"/>
        </w:rPr>
        <w:tab/>
      </w:r>
      <w:r w:rsidR="000C3D0E">
        <w:rPr>
          <w:rFonts w:ascii="Arial" w:hAnsi="Arial" w:cs="Arial"/>
          <w:iCs/>
          <w:sz w:val="24"/>
          <w:szCs w:val="24"/>
        </w:rPr>
        <w:t xml:space="preserve">[6] </w:t>
      </w:r>
      <w:r w:rsidRPr="00BF4225">
        <w:rPr>
          <w:rFonts w:ascii="Arial" w:hAnsi="Arial" w:cs="Arial"/>
          <w:iCs/>
          <w:sz w:val="24"/>
          <w:szCs w:val="24"/>
        </w:rPr>
        <w:t xml:space="preserve">The minor child will be primarily resident with the </w:t>
      </w:r>
      <w:r w:rsidR="000C3D0E">
        <w:rPr>
          <w:rFonts w:ascii="Arial" w:hAnsi="Arial" w:cs="Arial"/>
          <w:iCs/>
          <w:sz w:val="24"/>
          <w:szCs w:val="24"/>
        </w:rPr>
        <w:t>a</w:t>
      </w:r>
      <w:r w:rsidRPr="00BF4225">
        <w:rPr>
          <w:rFonts w:ascii="Arial" w:hAnsi="Arial" w:cs="Arial"/>
          <w:iCs/>
          <w:sz w:val="24"/>
          <w:szCs w:val="24"/>
        </w:rPr>
        <w:t>pplicant.</w:t>
      </w:r>
    </w:p>
    <w:p w14:paraId="5E54DB74" w14:textId="77777777" w:rsidR="00925406" w:rsidRDefault="00925406" w:rsidP="00925406">
      <w:pPr>
        <w:spacing w:line="360" w:lineRule="auto"/>
        <w:ind w:left="709" w:hanging="709"/>
        <w:jc w:val="both"/>
        <w:rPr>
          <w:rFonts w:ascii="Arial" w:hAnsi="Arial" w:cs="Arial"/>
          <w:iCs/>
          <w:sz w:val="24"/>
          <w:szCs w:val="24"/>
        </w:rPr>
      </w:pPr>
    </w:p>
    <w:p w14:paraId="7873C834" w14:textId="77777777" w:rsidR="00BF4225" w:rsidRPr="00BF4225" w:rsidRDefault="00BF4225" w:rsidP="00925406">
      <w:pPr>
        <w:spacing w:line="360" w:lineRule="auto"/>
        <w:ind w:left="709" w:hanging="709"/>
        <w:jc w:val="both"/>
        <w:rPr>
          <w:rFonts w:ascii="Arial" w:hAnsi="Arial" w:cs="Arial"/>
          <w:iCs/>
          <w:sz w:val="24"/>
          <w:szCs w:val="24"/>
        </w:rPr>
      </w:pPr>
      <w:r w:rsidRPr="00BF4225">
        <w:rPr>
          <w:rFonts w:ascii="Arial" w:hAnsi="Arial" w:cs="Arial"/>
          <w:iCs/>
          <w:sz w:val="24"/>
          <w:szCs w:val="24"/>
        </w:rPr>
        <w:tab/>
      </w:r>
      <w:r w:rsidR="000C3D0E">
        <w:rPr>
          <w:rFonts w:ascii="Arial" w:hAnsi="Arial" w:cs="Arial"/>
          <w:iCs/>
          <w:sz w:val="24"/>
          <w:szCs w:val="24"/>
        </w:rPr>
        <w:t xml:space="preserve">[7] </w:t>
      </w:r>
      <w:r w:rsidRPr="00BF4225">
        <w:rPr>
          <w:rFonts w:ascii="Arial" w:hAnsi="Arial" w:cs="Arial"/>
          <w:iCs/>
          <w:sz w:val="24"/>
          <w:szCs w:val="24"/>
        </w:rPr>
        <w:t xml:space="preserve">The </w:t>
      </w:r>
      <w:r w:rsidR="000C3D0E">
        <w:rPr>
          <w:rFonts w:ascii="Arial" w:hAnsi="Arial" w:cs="Arial"/>
          <w:iCs/>
          <w:sz w:val="24"/>
          <w:szCs w:val="24"/>
        </w:rPr>
        <w:t>r</w:t>
      </w:r>
      <w:r w:rsidRPr="00BF4225">
        <w:rPr>
          <w:rFonts w:ascii="Arial" w:hAnsi="Arial" w:cs="Arial"/>
          <w:iCs/>
          <w:sz w:val="24"/>
          <w:szCs w:val="24"/>
        </w:rPr>
        <w:t xml:space="preserve">espondent </w:t>
      </w:r>
      <w:r w:rsidR="000C3D0E">
        <w:rPr>
          <w:rFonts w:ascii="Arial" w:hAnsi="Arial" w:cs="Arial"/>
          <w:iCs/>
          <w:sz w:val="24"/>
          <w:szCs w:val="24"/>
        </w:rPr>
        <w:t xml:space="preserve">is </w:t>
      </w:r>
      <w:r w:rsidRPr="00BF4225">
        <w:rPr>
          <w:rFonts w:ascii="Arial" w:hAnsi="Arial" w:cs="Arial"/>
          <w:iCs/>
          <w:sz w:val="24"/>
          <w:szCs w:val="24"/>
        </w:rPr>
        <w:t>to continue exercising contact with the minor child, pending the appointment of a parenting coordinator</w:t>
      </w:r>
      <w:r w:rsidR="003A1F80">
        <w:rPr>
          <w:rFonts w:ascii="Arial" w:hAnsi="Arial" w:cs="Arial"/>
          <w:iCs/>
          <w:sz w:val="24"/>
          <w:szCs w:val="24"/>
        </w:rPr>
        <w:t xml:space="preserve"> and the </w:t>
      </w:r>
      <w:r w:rsidR="00925406">
        <w:rPr>
          <w:rFonts w:ascii="Arial" w:hAnsi="Arial" w:cs="Arial"/>
          <w:iCs/>
          <w:sz w:val="24"/>
          <w:szCs w:val="24"/>
        </w:rPr>
        <w:t>finalisation of a formal parenting plan pertaining to the respondent’s contact to the minor child</w:t>
      </w:r>
      <w:r w:rsidRPr="00BF4225">
        <w:rPr>
          <w:rFonts w:ascii="Arial" w:hAnsi="Arial" w:cs="Arial"/>
          <w:iCs/>
          <w:sz w:val="24"/>
          <w:szCs w:val="24"/>
        </w:rPr>
        <w:t>, as follows:</w:t>
      </w:r>
    </w:p>
    <w:p w14:paraId="0CD475A5" w14:textId="77777777" w:rsidR="00BF4225" w:rsidRPr="00BF4225" w:rsidRDefault="00BF4225" w:rsidP="00925406">
      <w:pPr>
        <w:spacing w:line="360" w:lineRule="auto"/>
        <w:ind w:left="709" w:hanging="709"/>
        <w:jc w:val="both"/>
        <w:rPr>
          <w:rFonts w:ascii="Arial" w:hAnsi="Arial" w:cs="Arial"/>
          <w:iCs/>
          <w:sz w:val="24"/>
          <w:szCs w:val="24"/>
        </w:rPr>
      </w:pPr>
      <w:r w:rsidRPr="00BF4225">
        <w:rPr>
          <w:rFonts w:ascii="Arial" w:hAnsi="Arial" w:cs="Arial"/>
          <w:iCs/>
          <w:sz w:val="24"/>
          <w:szCs w:val="24"/>
        </w:rPr>
        <w:tab/>
      </w:r>
      <w:r w:rsidR="000C3D0E">
        <w:rPr>
          <w:rFonts w:ascii="Arial" w:hAnsi="Arial" w:cs="Arial"/>
          <w:iCs/>
          <w:sz w:val="24"/>
          <w:szCs w:val="24"/>
        </w:rPr>
        <w:t>[</w:t>
      </w:r>
      <w:r w:rsidRPr="00BF4225">
        <w:rPr>
          <w:rFonts w:ascii="Arial" w:hAnsi="Arial" w:cs="Arial"/>
          <w:iCs/>
          <w:sz w:val="24"/>
          <w:szCs w:val="24"/>
        </w:rPr>
        <w:t>7.1</w:t>
      </w:r>
      <w:r w:rsidR="000C3D0E">
        <w:rPr>
          <w:rFonts w:ascii="Arial" w:hAnsi="Arial" w:cs="Arial"/>
          <w:iCs/>
          <w:sz w:val="24"/>
          <w:szCs w:val="24"/>
        </w:rPr>
        <w:t>]</w:t>
      </w:r>
      <w:r w:rsidRPr="00BF4225">
        <w:rPr>
          <w:rFonts w:ascii="Arial" w:hAnsi="Arial" w:cs="Arial"/>
          <w:iCs/>
          <w:sz w:val="24"/>
          <w:szCs w:val="24"/>
        </w:rPr>
        <w:tab/>
        <w:t>Every Monday from 16h00 to 17h30;</w:t>
      </w:r>
    </w:p>
    <w:p w14:paraId="4DB1ED11" w14:textId="77777777" w:rsidR="00BF4225" w:rsidRPr="00BF4225" w:rsidRDefault="00BF4225" w:rsidP="00925406">
      <w:pPr>
        <w:spacing w:line="360" w:lineRule="auto"/>
        <w:ind w:left="709" w:hanging="709"/>
        <w:jc w:val="both"/>
        <w:rPr>
          <w:rFonts w:ascii="Arial" w:hAnsi="Arial" w:cs="Arial"/>
          <w:iCs/>
          <w:sz w:val="24"/>
          <w:szCs w:val="24"/>
        </w:rPr>
      </w:pPr>
      <w:r w:rsidRPr="00BF4225">
        <w:rPr>
          <w:rFonts w:ascii="Arial" w:hAnsi="Arial" w:cs="Arial"/>
          <w:iCs/>
          <w:sz w:val="24"/>
          <w:szCs w:val="24"/>
        </w:rPr>
        <w:tab/>
      </w:r>
      <w:r w:rsidR="000C3D0E">
        <w:rPr>
          <w:rFonts w:ascii="Arial" w:hAnsi="Arial" w:cs="Arial"/>
          <w:iCs/>
          <w:sz w:val="24"/>
          <w:szCs w:val="24"/>
        </w:rPr>
        <w:t>[</w:t>
      </w:r>
      <w:r w:rsidRPr="00BF4225">
        <w:rPr>
          <w:rFonts w:ascii="Arial" w:hAnsi="Arial" w:cs="Arial"/>
          <w:iCs/>
          <w:sz w:val="24"/>
          <w:szCs w:val="24"/>
        </w:rPr>
        <w:t>7.2</w:t>
      </w:r>
      <w:r w:rsidR="000C3D0E">
        <w:rPr>
          <w:rFonts w:ascii="Arial" w:hAnsi="Arial" w:cs="Arial"/>
          <w:iCs/>
          <w:sz w:val="24"/>
          <w:szCs w:val="24"/>
        </w:rPr>
        <w:t>]</w:t>
      </w:r>
      <w:r w:rsidRPr="00BF4225">
        <w:rPr>
          <w:rFonts w:ascii="Arial" w:hAnsi="Arial" w:cs="Arial"/>
          <w:iCs/>
          <w:sz w:val="24"/>
          <w:szCs w:val="24"/>
        </w:rPr>
        <w:tab/>
        <w:t>Every Wednesday from 16h00 to 17h30;</w:t>
      </w:r>
    </w:p>
    <w:p w14:paraId="3DE092DF" w14:textId="77777777" w:rsidR="00BF4225" w:rsidRPr="00BF4225" w:rsidRDefault="00BF4225" w:rsidP="00925406">
      <w:pPr>
        <w:spacing w:line="360" w:lineRule="auto"/>
        <w:ind w:left="709" w:hanging="709"/>
        <w:jc w:val="both"/>
        <w:rPr>
          <w:rFonts w:ascii="Arial" w:hAnsi="Arial" w:cs="Arial"/>
          <w:iCs/>
          <w:sz w:val="24"/>
          <w:szCs w:val="24"/>
        </w:rPr>
      </w:pPr>
      <w:r w:rsidRPr="00BF4225">
        <w:rPr>
          <w:rFonts w:ascii="Arial" w:hAnsi="Arial" w:cs="Arial"/>
          <w:iCs/>
          <w:sz w:val="24"/>
          <w:szCs w:val="24"/>
        </w:rPr>
        <w:tab/>
      </w:r>
      <w:r w:rsidR="000C3D0E">
        <w:rPr>
          <w:rFonts w:ascii="Arial" w:hAnsi="Arial" w:cs="Arial"/>
          <w:iCs/>
          <w:sz w:val="24"/>
          <w:szCs w:val="24"/>
        </w:rPr>
        <w:t>[</w:t>
      </w:r>
      <w:r w:rsidRPr="00BF4225">
        <w:rPr>
          <w:rFonts w:ascii="Arial" w:hAnsi="Arial" w:cs="Arial"/>
          <w:iCs/>
          <w:sz w:val="24"/>
          <w:szCs w:val="24"/>
        </w:rPr>
        <w:t>7.3</w:t>
      </w:r>
      <w:r w:rsidR="000C3D0E">
        <w:rPr>
          <w:rFonts w:ascii="Arial" w:hAnsi="Arial" w:cs="Arial"/>
          <w:iCs/>
          <w:sz w:val="24"/>
          <w:szCs w:val="24"/>
        </w:rPr>
        <w:t>]</w:t>
      </w:r>
      <w:r w:rsidRPr="00BF4225">
        <w:rPr>
          <w:rFonts w:ascii="Arial" w:hAnsi="Arial" w:cs="Arial"/>
          <w:iCs/>
          <w:sz w:val="24"/>
          <w:szCs w:val="24"/>
        </w:rPr>
        <w:tab/>
        <w:t>Every alternate Saturday from 10h30 to 17h30; and</w:t>
      </w:r>
    </w:p>
    <w:p w14:paraId="6B6F4BDA" w14:textId="77777777" w:rsidR="00BF4225" w:rsidRPr="00BF4225" w:rsidRDefault="00BF4225" w:rsidP="00925406">
      <w:pPr>
        <w:spacing w:line="360" w:lineRule="auto"/>
        <w:ind w:left="709" w:hanging="709"/>
        <w:jc w:val="both"/>
        <w:rPr>
          <w:rFonts w:ascii="Arial" w:hAnsi="Arial" w:cs="Arial"/>
          <w:iCs/>
          <w:sz w:val="24"/>
          <w:szCs w:val="24"/>
        </w:rPr>
      </w:pPr>
      <w:r w:rsidRPr="00BF4225">
        <w:rPr>
          <w:rFonts w:ascii="Arial" w:hAnsi="Arial" w:cs="Arial"/>
          <w:iCs/>
          <w:sz w:val="24"/>
          <w:szCs w:val="24"/>
        </w:rPr>
        <w:tab/>
      </w:r>
      <w:r w:rsidR="000C3D0E">
        <w:rPr>
          <w:rFonts w:ascii="Arial" w:hAnsi="Arial" w:cs="Arial"/>
          <w:iCs/>
          <w:sz w:val="24"/>
          <w:szCs w:val="24"/>
        </w:rPr>
        <w:t>[</w:t>
      </w:r>
      <w:r w:rsidRPr="00BF4225">
        <w:rPr>
          <w:rFonts w:ascii="Arial" w:hAnsi="Arial" w:cs="Arial"/>
          <w:iCs/>
          <w:sz w:val="24"/>
          <w:szCs w:val="24"/>
        </w:rPr>
        <w:t>7.4</w:t>
      </w:r>
      <w:r w:rsidR="000C3D0E">
        <w:rPr>
          <w:rFonts w:ascii="Arial" w:hAnsi="Arial" w:cs="Arial"/>
          <w:iCs/>
          <w:sz w:val="24"/>
          <w:szCs w:val="24"/>
        </w:rPr>
        <w:t>]</w:t>
      </w:r>
      <w:r w:rsidRPr="00BF4225">
        <w:rPr>
          <w:rFonts w:ascii="Arial" w:hAnsi="Arial" w:cs="Arial"/>
          <w:iCs/>
          <w:sz w:val="24"/>
          <w:szCs w:val="24"/>
        </w:rPr>
        <w:tab/>
        <w:t>Every alternate Sunday from 08h30 to 15h30.</w:t>
      </w:r>
    </w:p>
    <w:p w14:paraId="27BDD80B" w14:textId="77777777" w:rsidR="00925406" w:rsidRDefault="00925406" w:rsidP="00925406">
      <w:pPr>
        <w:spacing w:line="360" w:lineRule="auto"/>
        <w:ind w:left="709" w:hanging="709"/>
        <w:jc w:val="both"/>
        <w:rPr>
          <w:rFonts w:ascii="Arial" w:hAnsi="Arial" w:cs="Arial"/>
          <w:iCs/>
          <w:sz w:val="24"/>
          <w:szCs w:val="24"/>
        </w:rPr>
      </w:pPr>
    </w:p>
    <w:p w14:paraId="3915DC90" w14:textId="77777777" w:rsidR="00BF4225" w:rsidRDefault="00BF4225" w:rsidP="00925406">
      <w:pPr>
        <w:spacing w:line="360" w:lineRule="auto"/>
        <w:ind w:left="709" w:hanging="709"/>
        <w:jc w:val="both"/>
        <w:rPr>
          <w:rFonts w:ascii="Arial" w:hAnsi="Arial" w:cs="Arial"/>
          <w:iCs/>
          <w:sz w:val="24"/>
          <w:szCs w:val="24"/>
        </w:rPr>
      </w:pPr>
      <w:r w:rsidRPr="00BF4225">
        <w:rPr>
          <w:rFonts w:ascii="Arial" w:hAnsi="Arial" w:cs="Arial"/>
          <w:iCs/>
          <w:sz w:val="24"/>
          <w:szCs w:val="24"/>
        </w:rPr>
        <w:tab/>
      </w:r>
      <w:r w:rsidR="000C3D0E">
        <w:rPr>
          <w:rFonts w:ascii="Arial" w:hAnsi="Arial" w:cs="Arial"/>
          <w:iCs/>
          <w:sz w:val="24"/>
          <w:szCs w:val="24"/>
        </w:rPr>
        <w:t xml:space="preserve">[8] </w:t>
      </w:r>
      <w:r w:rsidRPr="00BF4225">
        <w:rPr>
          <w:rFonts w:ascii="Arial" w:hAnsi="Arial" w:cs="Arial"/>
          <w:iCs/>
          <w:sz w:val="24"/>
          <w:szCs w:val="24"/>
        </w:rPr>
        <w:t>A parenting coordinator</w:t>
      </w:r>
      <w:r w:rsidR="007A6A24">
        <w:rPr>
          <w:rFonts w:ascii="Arial" w:hAnsi="Arial" w:cs="Arial"/>
          <w:iCs/>
          <w:sz w:val="24"/>
          <w:szCs w:val="24"/>
        </w:rPr>
        <w:t xml:space="preserve">, the identity of which is to be agreed between the parties from the list provided from the applicant, is to </w:t>
      </w:r>
      <w:r w:rsidRPr="00BF4225">
        <w:rPr>
          <w:rFonts w:ascii="Arial" w:hAnsi="Arial" w:cs="Arial"/>
          <w:iCs/>
          <w:sz w:val="24"/>
          <w:szCs w:val="24"/>
        </w:rPr>
        <w:t>be immediately appointed which parenting coordinator would have the following mandate to:</w:t>
      </w:r>
    </w:p>
    <w:p w14:paraId="16BB4D7E" w14:textId="77777777" w:rsidR="00925406" w:rsidRDefault="00925406" w:rsidP="00925406">
      <w:pPr>
        <w:spacing w:line="360" w:lineRule="auto"/>
        <w:ind w:left="1418" w:hanging="709"/>
        <w:jc w:val="both"/>
        <w:rPr>
          <w:rFonts w:ascii="Arial" w:hAnsi="Arial" w:cs="Arial"/>
          <w:sz w:val="24"/>
          <w:szCs w:val="24"/>
          <w:lang w:val="en-GB"/>
        </w:rPr>
      </w:pPr>
      <w:r>
        <w:rPr>
          <w:rFonts w:ascii="Arial" w:hAnsi="Arial" w:cs="Arial"/>
          <w:sz w:val="24"/>
          <w:szCs w:val="24"/>
          <w:lang w:val="en-GB"/>
        </w:rPr>
        <w:lastRenderedPageBreak/>
        <w:t xml:space="preserve"> </w:t>
      </w:r>
      <w:r w:rsidR="000C3D0E">
        <w:rPr>
          <w:rFonts w:ascii="Arial" w:hAnsi="Arial" w:cs="Arial"/>
          <w:sz w:val="24"/>
          <w:szCs w:val="24"/>
          <w:lang w:val="en-GB"/>
        </w:rPr>
        <w:t>[</w:t>
      </w:r>
      <w:r w:rsidR="00BF4225" w:rsidRPr="00BF4225">
        <w:rPr>
          <w:rFonts w:ascii="Arial" w:hAnsi="Arial" w:cs="Arial"/>
          <w:sz w:val="24"/>
          <w:szCs w:val="24"/>
          <w:lang w:val="en-GB"/>
        </w:rPr>
        <w:t>8.1</w:t>
      </w:r>
      <w:r w:rsidR="000C3D0E">
        <w:rPr>
          <w:rFonts w:ascii="Arial" w:hAnsi="Arial" w:cs="Arial"/>
          <w:sz w:val="24"/>
          <w:szCs w:val="24"/>
          <w:lang w:val="en-GB"/>
        </w:rPr>
        <w:t>]</w:t>
      </w:r>
      <w:r w:rsidR="00BF4225" w:rsidRPr="00BF4225">
        <w:rPr>
          <w:rFonts w:ascii="Arial" w:hAnsi="Arial" w:cs="Arial"/>
          <w:sz w:val="24"/>
          <w:szCs w:val="24"/>
          <w:lang w:val="en-GB"/>
        </w:rPr>
        <w:tab/>
      </w:r>
      <w:r w:rsidR="007A6A24">
        <w:rPr>
          <w:rFonts w:ascii="Arial" w:hAnsi="Arial" w:cs="Arial"/>
          <w:sz w:val="24"/>
          <w:szCs w:val="24"/>
          <w:lang w:val="en-GB"/>
        </w:rPr>
        <w:t xml:space="preserve">Urgently </w:t>
      </w:r>
      <w:r>
        <w:rPr>
          <w:rFonts w:ascii="Arial" w:hAnsi="Arial" w:cs="Arial"/>
          <w:sz w:val="24"/>
          <w:szCs w:val="24"/>
          <w:lang w:val="en-GB"/>
        </w:rPr>
        <w:t>Assist the parties in formulating an appropriate parenting plan pertaining to the respondent’s contact with the minor child;</w:t>
      </w:r>
    </w:p>
    <w:p w14:paraId="2A9891B3" w14:textId="77777777" w:rsidR="00BF4225" w:rsidRPr="00BF4225" w:rsidRDefault="00925406" w:rsidP="00925406">
      <w:pPr>
        <w:spacing w:line="360" w:lineRule="auto"/>
        <w:ind w:left="1418" w:hanging="709"/>
        <w:jc w:val="both"/>
        <w:rPr>
          <w:rFonts w:ascii="Arial" w:hAnsi="Arial" w:cs="Arial"/>
          <w:sz w:val="24"/>
          <w:szCs w:val="24"/>
          <w:lang w:val="en-GB"/>
        </w:rPr>
      </w:pPr>
      <w:r>
        <w:rPr>
          <w:rFonts w:ascii="Arial" w:hAnsi="Arial" w:cs="Arial"/>
          <w:sz w:val="24"/>
          <w:szCs w:val="24"/>
          <w:lang w:val="en-GB"/>
        </w:rPr>
        <w:t>[8.2]</w:t>
      </w:r>
      <w:r>
        <w:rPr>
          <w:rFonts w:ascii="Arial" w:hAnsi="Arial" w:cs="Arial"/>
          <w:sz w:val="24"/>
          <w:szCs w:val="24"/>
          <w:lang w:val="en-GB"/>
        </w:rPr>
        <w:tab/>
      </w:r>
      <w:r w:rsidR="00BF4225" w:rsidRPr="00BF4225">
        <w:rPr>
          <w:rFonts w:ascii="Arial" w:hAnsi="Arial" w:cs="Arial"/>
          <w:sz w:val="24"/>
          <w:szCs w:val="24"/>
          <w:lang w:val="en-GB"/>
        </w:rPr>
        <w:t>Address any issues that require negotiation, mediation or arbitration;</w:t>
      </w:r>
    </w:p>
    <w:p w14:paraId="3A1A38F9" w14:textId="77777777" w:rsidR="00BF4225" w:rsidRPr="00BF4225" w:rsidRDefault="000C3D0E" w:rsidP="00925406">
      <w:pPr>
        <w:spacing w:line="360" w:lineRule="auto"/>
        <w:ind w:left="1418" w:hanging="709"/>
        <w:jc w:val="both"/>
        <w:rPr>
          <w:rFonts w:ascii="Arial" w:hAnsi="Arial" w:cs="Arial"/>
          <w:sz w:val="24"/>
          <w:szCs w:val="24"/>
          <w:lang w:val="en-GB"/>
        </w:rPr>
      </w:pPr>
      <w:r>
        <w:rPr>
          <w:rFonts w:ascii="Arial" w:hAnsi="Arial" w:cs="Arial"/>
          <w:sz w:val="24"/>
          <w:szCs w:val="24"/>
          <w:lang w:val="en-GB"/>
        </w:rPr>
        <w:t>[</w:t>
      </w:r>
      <w:r w:rsidR="00BF4225" w:rsidRPr="00BF4225">
        <w:rPr>
          <w:rFonts w:ascii="Arial" w:hAnsi="Arial" w:cs="Arial"/>
          <w:sz w:val="24"/>
          <w:szCs w:val="24"/>
          <w:lang w:val="en-GB"/>
        </w:rPr>
        <w:t>8.</w:t>
      </w:r>
      <w:r w:rsidR="00925406">
        <w:rPr>
          <w:rFonts w:ascii="Arial" w:hAnsi="Arial" w:cs="Arial"/>
          <w:sz w:val="24"/>
          <w:szCs w:val="24"/>
          <w:lang w:val="en-GB"/>
        </w:rPr>
        <w:t>3</w:t>
      </w:r>
      <w:r>
        <w:rPr>
          <w:rFonts w:ascii="Arial" w:hAnsi="Arial" w:cs="Arial"/>
          <w:sz w:val="24"/>
          <w:szCs w:val="24"/>
          <w:lang w:val="en-GB"/>
        </w:rPr>
        <w:t>]</w:t>
      </w:r>
      <w:r w:rsidR="00BF4225" w:rsidRPr="00BF4225">
        <w:rPr>
          <w:rFonts w:ascii="Arial" w:hAnsi="Arial" w:cs="Arial"/>
          <w:sz w:val="24"/>
          <w:szCs w:val="24"/>
          <w:lang w:val="en-GB"/>
        </w:rPr>
        <w:tab/>
        <w:t xml:space="preserve">Contact </w:t>
      </w:r>
      <w:r w:rsidR="003A1F80">
        <w:rPr>
          <w:rFonts w:ascii="Arial" w:hAnsi="Arial" w:cs="Arial"/>
          <w:sz w:val="24"/>
          <w:szCs w:val="24"/>
          <w:lang w:val="en-GB"/>
        </w:rPr>
        <w:t>the minor child</w:t>
      </w:r>
      <w:r w:rsidR="00BF4225" w:rsidRPr="00BF4225">
        <w:rPr>
          <w:rFonts w:ascii="Arial" w:hAnsi="Arial" w:cs="Arial"/>
          <w:sz w:val="24"/>
          <w:szCs w:val="24"/>
          <w:lang w:val="en-GB"/>
        </w:rPr>
        <w:t xml:space="preserve">’s school, the teachers, any doctors, as well as any individual therapists if the parenting coordinator feels it is important in the service of the best interests of </w:t>
      </w:r>
      <w:r w:rsidR="003A1F80">
        <w:rPr>
          <w:rFonts w:ascii="Arial" w:hAnsi="Arial" w:cs="Arial"/>
          <w:sz w:val="24"/>
          <w:szCs w:val="24"/>
          <w:lang w:val="en-GB"/>
        </w:rPr>
        <w:t>the minor child</w:t>
      </w:r>
      <w:r w:rsidR="00BF4225" w:rsidRPr="00BF4225">
        <w:rPr>
          <w:rFonts w:ascii="Arial" w:hAnsi="Arial" w:cs="Arial"/>
          <w:sz w:val="24"/>
          <w:szCs w:val="24"/>
          <w:lang w:val="en-GB"/>
        </w:rPr>
        <w:t>;</w:t>
      </w:r>
    </w:p>
    <w:p w14:paraId="1B088419" w14:textId="77777777" w:rsidR="00BF4225" w:rsidRPr="00BF4225" w:rsidRDefault="000C3D0E" w:rsidP="00925406">
      <w:pPr>
        <w:spacing w:line="360" w:lineRule="auto"/>
        <w:ind w:left="1418" w:hanging="709"/>
        <w:jc w:val="both"/>
        <w:rPr>
          <w:rFonts w:ascii="Arial" w:hAnsi="Arial" w:cs="Arial"/>
          <w:sz w:val="24"/>
          <w:szCs w:val="24"/>
          <w:lang w:val="en-GB"/>
        </w:rPr>
      </w:pPr>
      <w:r>
        <w:rPr>
          <w:rFonts w:ascii="Arial" w:hAnsi="Arial" w:cs="Arial"/>
          <w:sz w:val="24"/>
          <w:szCs w:val="24"/>
          <w:lang w:val="en-GB"/>
        </w:rPr>
        <w:t>[</w:t>
      </w:r>
      <w:r w:rsidR="00BF4225" w:rsidRPr="00BF4225">
        <w:rPr>
          <w:rFonts w:ascii="Arial" w:hAnsi="Arial" w:cs="Arial"/>
          <w:sz w:val="24"/>
          <w:szCs w:val="24"/>
          <w:lang w:val="en-GB"/>
        </w:rPr>
        <w:t>8.</w:t>
      </w:r>
      <w:r w:rsidR="00925406">
        <w:rPr>
          <w:rFonts w:ascii="Arial" w:hAnsi="Arial" w:cs="Arial"/>
          <w:sz w:val="24"/>
          <w:szCs w:val="24"/>
          <w:lang w:val="en-GB"/>
        </w:rPr>
        <w:t>4</w:t>
      </w:r>
      <w:r>
        <w:rPr>
          <w:rFonts w:ascii="Arial" w:hAnsi="Arial" w:cs="Arial"/>
          <w:sz w:val="24"/>
          <w:szCs w:val="24"/>
          <w:lang w:val="en-GB"/>
        </w:rPr>
        <w:t>]</w:t>
      </w:r>
      <w:r w:rsidR="00BF4225" w:rsidRPr="00BF4225">
        <w:rPr>
          <w:rFonts w:ascii="Arial" w:hAnsi="Arial" w:cs="Arial"/>
          <w:sz w:val="24"/>
          <w:szCs w:val="24"/>
          <w:lang w:val="en-GB"/>
        </w:rPr>
        <w:tab/>
        <w:t xml:space="preserve">At any specific time, call for a hair follicle test or any other substance-related test from the </w:t>
      </w:r>
      <w:r w:rsidR="003A1F80">
        <w:rPr>
          <w:rFonts w:ascii="Arial" w:hAnsi="Arial" w:cs="Arial"/>
          <w:sz w:val="24"/>
          <w:szCs w:val="24"/>
          <w:lang w:val="en-GB"/>
        </w:rPr>
        <w:t>r</w:t>
      </w:r>
      <w:r w:rsidR="00BF4225" w:rsidRPr="00BF4225">
        <w:rPr>
          <w:rFonts w:ascii="Arial" w:hAnsi="Arial" w:cs="Arial"/>
          <w:sz w:val="24"/>
          <w:szCs w:val="24"/>
          <w:lang w:val="en-GB"/>
        </w:rPr>
        <w:t xml:space="preserve">espondent at the parenting coordinator’s discretion in order to ensure that no substance use by the </w:t>
      </w:r>
      <w:r w:rsidR="003A1F80">
        <w:rPr>
          <w:rFonts w:ascii="Arial" w:hAnsi="Arial" w:cs="Arial"/>
          <w:sz w:val="24"/>
          <w:szCs w:val="24"/>
          <w:lang w:val="en-GB"/>
        </w:rPr>
        <w:t>r</w:t>
      </w:r>
      <w:r w:rsidR="00BF4225" w:rsidRPr="00BF4225">
        <w:rPr>
          <w:rFonts w:ascii="Arial" w:hAnsi="Arial" w:cs="Arial"/>
          <w:sz w:val="24"/>
          <w:szCs w:val="24"/>
          <w:lang w:val="en-GB"/>
        </w:rPr>
        <w:t xml:space="preserve">espondent interferes with his ability to appropriately care for </w:t>
      </w:r>
      <w:r w:rsidR="003A1F80">
        <w:rPr>
          <w:rFonts w:ascii="Arial" w:hAnsi="Arial" w:cs="Arial"/>
          <w:sz w:val="24"/>
          <w:szCs w:val="24"/>
          <w:lang w:val="en-GB"/>
        </w:rPr>
        <w:t>the minor child</w:t>
      </w:r>
      <w:r w:rsidR="00BF4225" w:rsidRPr="00BF4225">
        <w:rPr>
          <w:rFonts w:ascii="Arial" w:hAnsi="Arial" w:cs="Arial"/>
          <w:sz w:val="24"/>
          <w:szCs w:val="24"/>
          <w:lang w:val="en-GB"/>
        </w:rPr>
        <w:t xml:space="preserve">. Should the </w:t>
      </w:r>
      <w:r w:rsidR="003A1F80">
        <w:rPr>
          <w:rFonts w:ascii="Arial" w:hAnsi="Arial" w:cs="Arial"/>
          <w:sz w:val="24"/>
          <w:szCs w:val="24"/>
          <w:lang w:val="en-GB"/>
        </w:rPr>
        <w:t>r</w:t>
      </w:r>
      <w:r w:rsidR="00BF4225" w:rsidRPr="00BF4225">
        <w:rPr>
          <w:rFonts w:ascii="Arial" w:hAnsi="Arial" w:cs="Arial"/>
          <w:sz w:val="24"/>
          <w:szCs w:val="24"/>
          <w:lang w:val="en-GB"/>
        </w:rPr>
        <w:t xml:space="preserve">espondent engage in substance use that may impair his ability to effectively care for </w:t>
      </w:r>
      <w:r w:rsidR="003A1F80">
        <w:rPr>
          <w:rFonts w:ascii="Arial" w:hAnsi="Arial" w:cs="Arial"/>
          <w:sz w:val="24"/>
          <w:szCs w:val="24"/>
          <w:lang w:val="en-GB"/>
        </w:rPr>
        <w:t>the minor child</w:t>
      </w:r>
      <w:r w:rsidR="00BF4225" w:rsidRPr="00BF4225">
        <w:rPr>
          <w:rFonts w:ascii="Arial" w:hAnsi="Arial" w:cs="Arial"/>
          <w:sz w:val="24"/>
          <w:szCs w:val="24"/>
          <w:lang w:val="en-GB"/>
        </w:rPr>
        <w:t xml:space="preserve">, the parenting coordinator </w:t>
      </w:r>
      <w:r w:rsidR="003A1F80">
        <w:rPr>
          <w:rFonts w:ascii="Arial" w:hAnsi="Arial" w:cs="Arial"/>
          <w:sz w:val="24"/>
          <w:szCs w:val="24"/>
          <w:lang w:val="en-GB"/>
        </w:rPr>
        <w:t>may</w:t>
      </w:r>
      <w:r w:rsidR="00BF4225" w:rsidRPr="00BF4225">
        <w:rPr>
          <w:rFonts w:ascii="Arial" w:hAnsi="Arial" w:cs="Arial"/>
          <w:sz w:val="24"/>
          <w:szCs w:val="24"/>
          <w:lang w:val="en-GB"/>
        </w:rPr>
        <w:t xml:space="preserve"> amend the </w:t>
      </w:r>
      <w:r w:rsidR="003A1F80">
        <w:rPr>
          <w:rFonts w:ascii="Arial" w:hAnsi="Arial" w:cs="Arial"/>
          <w:sz w:val="24"/>
          <w:szCs w:val="24"/>
          <w:lang w:val="en-GB"/>
        </w:rPr>
        <w:t>r</w:t>
      </w:r>
      <w:r w:rsidR="00BF4225" w:rsidRPr="00BF4225">
        <w:rPr>
          <w:rFonts w:ascii="Arial" w:hAnsi="Arial" w:cs="Arial"/>
          <w:sz w:val="24"/>
          <w:szCs w:val="24"/>
          <w:lang w:val="en-GB"/>
        </w:rPr>
        <w:t xml:space="preserve">espondent’s contact rights (including but not limited to supervised contact) if deemed necessary to protect </w:t>
      </w:r>
      <w:r w:rsidR="003A1F80">
        <w:rPr>
          <w:rFonts w:ascii="Arial" w:hAnsi="Arial" w:cs="Arial"/>
          <w:sz w:val="24"/>
          <w:szCs w:val="24"/>
          <w:lang w:val="en-GB"/>
        </w:rPr>
        <w:t>the minor child’s</w:t>
      </w:r>
      <w:r w:rsidR="00BF4225" w:rsidRPr="00BF4225">
        <w:rPr>
          <w:rFonts w:ascii="Arial" w:hAnsi="Arial" w:cs="Arial"/>
          <w:sz w:val="24"/>
          <w:szCs w:val="24"/>
          <w:lang w:val="en-GB"/>
        </w:rPr>
        <w:t xml:space="preserve"> best interests; </w:t>
      </w:r>
    </w:p>
    <w:p w14:paraId="30C06C2E" w14:textId="77777777" w:rsidR="007A6A24" w:rsidRDefault="000C3D0E" w:rsidP="00925406">
      <w:pPr>
        <w:spacing w:line="360" w:lineRule="auto"/>
        <w:ind w:left="1418" w:hanging="709"/>
        <w:jc w:val="both"/>
        <w:rPr>
          <w:rFonts w:ascii="Arial" w:hAnsi="Arial" w:cs="Arial"/>
          <w:sz w:val="24"/>
          <w:szCs w:val="24"/>
          <w:lang w:val="en-GB"/>
        </w:rPr>
      </w:pPr>
      <w:r>
        <w:rPr>
          <w:rFonts w:ascii="Arial" w:hAnsi="Arial" w:cs="Arial"/>
          <w:sz w:val="24"/>
          <w:szCs w:val="24"/>
          <w:lang w:val="en-GB"/>
        </w:rPr>
        <w:t>[</w:t>
      </w:r>
      <w:r w:rsidR="00BF4225" w:rsidRPr="00BF4225">
        <w:rPr>
          <w:rFonts w:ascii="Arial" w:hAnsi="Arial" w:cs="Arial"/>
          <w:sz w:val="24"/>
          <w:szCs w:val="24"/>
          <w:lang w:val="en-GB"/>
        </w:rPr>
        <w:t>8.</w:t>
      </w:r>
      <w:r w:rsidR="00925406">
        <w:rPr>
          <w:rFonts w:ascii="Arial" w:hAnsi="Arial" w:cs="Arial"/>
          <w:sz w:val="24"/>
          <w:szCs w:val="24"/>
          <w:lang w:val="en-GB"/>
        </w:rPr>
        <w:t>5</w:t>
      </w:r>
      <w:r>
        <w:rPr>
          <w:rFonts w:ascii="Arial" w:hAnsi="Arial" w:cs="Arial"/>
          <w:sz w:val="24"/>
          <w:szCs w:val="24"/>
          <w:lang w:val="en-GB"/>
        </w:rPr>
        <w:t>]</w:t>
      </w:r>
      <w:r w:rsidR="00BF4225" w:rsidRPr="00BF4225">
        <w:rPr>
          <w:rFonts w:ascii="Arial" w:hAnsi="Arial" w:cs="Arial"/>
          <w:sz w:val="24"/>
          <w:szCs w:val="24"/>
          <w:lang w:val="en-GB"/>
        </w:rPr>
        <w:tab/>
        <w:t xml:space="preserve">Call for a re-investigation of this matter if the parenting coordinator believes that </w:t>
      </w:r>
      <w:r w:rsidR="003A1F80">
        <w:rPr>
          <w:rFonts w:ascii="Arial" w:hAnsi="Arial" w:cs="Arial"/>
          <w:sz w:val="24"/>
          <w:szCs w:val="24"/>
          <w:lang w:val="en-GB"/>
        </w:rPr>
        <w:t>the minor child</w:t>
      </w:r>
      <w:r w:rsidR="00BF4225" w:rsidRPr="00BF4225">
        <w:rPr>
          <w:rFonts w:ascii="Arial" w:hAnsi="Arial" w:cs="Arial"/>
          <w:sz w:val="24"/>
          <w:szCs w:val="24"/>
          <w:lang w:val="en-GB"/>
        </w:rPr>
        <w:t>’s best interests are not being served in any way that the parenting coordinator will determine</w:t>
      </w:r>
      <w:r w:rsidR="007A6A24">
        <w:rPr>
          <w:rFonts w:ascii="Arial" w:hAnsi="Arial" w:cs="Arial"/>
          <w:sz w:val="24"/>
          <w:szCs w:val="24"/>
          <w:lang w:val="en-GB"/>
        </w:rPr>
        <w:t>;</w:t>
      </w:r>
    </w:p>
    <w:p w14:paraId="6102E3EC" w14:textId="77777777" w:rsidR="00BF4225" w:rsidRPr="00BF4225" w:rsidRDefault="007A6A24" w:rsidP="00925406">
      <w:pPr>
        <w:spacing w:line="360" w:lineRule="auto"/>
        <w:ind w:left="1418" w:hanging="709"/>
        <w:jc w:val="both"/>
        <w:rPr>
          <w:rFonts w:ascii="Arial" w:hAnsi="Arial" w:cs="Arial"/>
          <w:sz w:val="24"/>
          <w:szCs w:val="24"/>
          <w:lang w:val="en-GB"/>
        </w:rPr>
      </w:pPr>
      <w:r>
        <w:rPr>
          <w:rFonts w:ascii="Arial" w:hAnsi="Arial" w:cs="Arial"/>
          <w:sz w:val="24"/>
          <w:szCs w:val="24"/>
          <w:lang w:val="en-GB"/>
        </w:rPr>
        <w:t>[8.6]   Assess the applicable period</w:t>
      </w:r>
      <w:r w:rsidR="00183BDC">
        <w:rPr>
          <w:rFonts w:ascii="Arial" w:hAnsi="Arial" w:cs="Arial"/>
          <w:sz w:val="24"/>
          <w:szCs w:val="24"/>
          <w:lang w:val="en-GB"/>
        </w:rPr>
        <w:t xml:space="preserve"> within which the respondent’s contact with the minor child is to be reassessed.</w:t>
      </w:r>
      <w:r>
        <w:rPr>
          <w:rFonts w:ascii="Arial" w:hAnsi="Arial" w:cs="Arial"/>
          <w:sz w:val="24"/>
          <w:szCs w:val="24"/>
          <w:lang w:val="en-GB"/>
        </w:rPr>
        <w:t xml:space="preserve"> </w:t>
      </w:r>
    </w:p>
    <w:p w14:paraId="46EEABF3" w14:textId="77777777" w:rsidR="007A6A24" w:rsidRDefault="00BF4225" w:rsidP="007A6A24">
      <w:pPr>
        <w:spacing w:line="360" w:lineRule="auto"/>
        <w:ind w:left="709" w:hanging="709"/>
        <w:jc w:val="both"/>
        <w:rPr>
          <w:rFonts w:ascii="Arial" w:hAnsi="Arial" w:cs="Arial"/>
          <w:sz w:val="24"/>
          <w:szCs w:val="24"/>
          <w:lang w:val="en-GB"/>
        </w:rPr>
      </w:pPr>
      <w:r w:rsidRPr="00BF4225">
        <w:rPr>
          <w:rFonts w:ascii="Arial" w:hAnsi="Arial" w:cs="Arial"/>
          <w:sz w:val="24"/>
          <w:szCs w:val="24"/>
          <w:lang w:val="en-GB"/>
        </w:rPr>
        <w:tab/>
      </w:r>
    </w:p>
    <w:p w14:paraId="4D47739A" w14:textId="77777777" w:rsidR="00BF4225" w:rsidRPr="00BF4225" w:rsidRDefault="000C3D0E" w:rsidP="007A6A24">
      <w:pPr>
        <w:spacing w:line="360" w:lineRule="auto"/>
        <w:ind w:left="709"/>
        <w:jc w:val="both"/>
        <w:rPr>
          <w:rFonts w:ascii="Arial" w:hAnsi="Arial" w:cs="Arial"/>
          <w:sz w:val="24"/>
          <w:szCs w:val="24"/>
          <w:lang w:val="en-GB"/>
        </w:rPr>
      </w:pPr>
      <w:r>
        <w:rPr>
          <w:rFonts w:ascii="Arial" w:hAnsi="Arial" w:cs="Arial"/>
          <w:sz w:val="24"/>
          <w:szCs w:val="24"/>
          <w:lang w:val="en-GB"/>
        </w:rPr>
        <w:t xml:space="preserve">[9] </w:t>
      </w:r>
      <w:r w:rsidR="00183BDC">
        <w:rPr>
          <w:rFonts w:ascii="Arial" w:hAnsi="Arial" w:cs="Arial"/>
          <w:sz w:val="24"/>
          <w:szCs w:val="24"/>
          <w:lang w:val="en-GB"/>
        </w:rPr>
        <w:t>Any of the parties would be entitled to challenge the determinations of the parenting coordinator in a competent court of law.</w:t>
      </w:r>
      <w:r w:rsidR="00BF4225" w:rsidRPr="00BF4225">
        <w:rPr>
          <w:rFonts w:ascii="Arial" w:hAnsi="Arial" w:cs="Arial"/>
          <w:sz w:val="24"/>
          <w:szCs w:val="24"/>
          <w:lang w:val="en-GB"/>
        </w:rPr>
        <w:t xml:space="preserve"> </w:t>
      </w:r>
    </w:p>
    <w:p w14:paraId="492AAB1E" w14:textId="77777777" w:rsidR="00925406" w:rsidRDefault="00BF4225" w:rsidP="00925406">
      <w:pPr>
        <w:spacing w:line="360" w:lineRule="auto"/>
        <w:ind w:left="709" w:hanging="709"/>
        <w:jc w:val="both"/>
        <w:rPr>
          <w:rFonts w:ascii="Arial" w:hAnsi="Arial" w:cs="Arial"/>
          <w:iCs/>
          <w:sz w:val="24"/>
          <w:szCs w:val="24"/>
        </w:rPr>
      </w:pPr>
      <w:r w:rsidRPr="00BF4225">
        <w:rPr>
          <w:rFonts w:ascii="Arial" w:hAnsi="Arial" w:cs="Arial"/>
          <w:iCs/>
          <w:sz w:val="24"/>
          <w:szCs w:val="24"/>
        </w:rPr>
        <w:tab/>
      </w:r>
    </w:p>
    <w:p w14:paraId="04F38561" w14:textId="77777777" w:rsidR="00BF4225" w:rsidRPr="00BF4225" w:rsidRDefault="000C3D0E" w:rsidP="00925406">
      <w:pPr>
        <w:spacing w:line="360" w:lineRule="auto"/>
        <w:ind w:left="709"/>
        <w:jc w:val="both"/>
        <w:rPr>
          <w:rFonts w:ascii="Arial" w:hAnsi="Arial" w:cs="Arial"/>
          <w:iCs/>
          <w:sz w:val="24"/>
          <w:szCs w:val="24"/>
        </w:rPr>
      </w:pPr>
      <w:r>
        <w:rPr>
          <w:rFonts w:ascii="Arial" w:hAnsi="Arial" w:cs="Arial"/>
          <w:iCs/>
          <w:sz w:val="24"/>
          <w:szCs w:val="24"/>
        </w:rPr>
        <w:t>[10] The respondent is directed to pay the c</w:t>
      </w:r>
      <w:r w:rsidR="00BF4225" w:rsidRPr="00BF4225">
        <w:rPr>
          <w:rFonts w:ascii="Arial" w:hAnsi="Arial" w:cs="Arial"/>
          <w:iCs/>
          <w:sz w:val="24"/>
          <w:szCs w:val="24"/>
        </w:rPr>
        <w:t>osts of the application.</w:t>
      </w:r>
    </w:p>
    <w:p w14:paraId="0D5087CC" w14:textId="77777777" w:rsidR="00BF4225" w:rsidRDefault="00BF4225" w:rsidP="00183BDC">
      <w:pPr>
        <w:pStyle w:val="level1"/>
        <w:numPr>
          <w:ilvl w:val="0"/>
          <w:numId w:val="0"/>
        </w:numPr>
        <w:spacing w:after="480" w:line="360" w:lineRule="auto"/>
        <w:ind w:left="360"/>
        <w:jc w:val="both"/>
        <w:rPr>
          <w:lang w:val="en-US"/>
        </w:rPr>
      </w:pPr>
    </w:p>
    <w:p w14:paraId="6576615E" w14:textId="77777777" w:rsidR="00925406" w:rsidRDefault="00925406" w:rsidP="00EE5ECF">
      <w:pPr>
        <w:spacing w:after="0" w:line="360" w:lineRule="auto"/>
        <w:rPr>
          <w:rFonts w:ascii="Arial" w:eastAsia="Times New Roman" w:hAnsi="Arial" w:cs="Times New Roman"/>
          <w:kern w:val="28"/>
          <w:sz w:val="24"/>
          <w:szCs w:val="24"/>
          <w:lang w:eastAsia="en-GB"/>
        </w:rPr>
      </w:pPr>
    </w:p>
    <w:p w14:paraId="09823F33" w14:textId="77777777" w:rsidR="00925406" w:rsidRDefault="00925406" w:rsidP="00C46C3A">
      <w:pPr>
        <w:spacing w:after="0" w:line="360" w:lineRule="auto"/>
        <w:ind w:left="2880" w:firstLine="720"/>
        <w:rPr>
          <w:rFonts w:ascii="Arial" w:eastAsia="Times New Roman" w:hAnsi="Arial" w:cs="Times New Roman"/>
          <w:kern w:val="28"/>
          <w:sz w:val="24"/>
          <w:szCs w:val="24"/>
          <w:lang w:eastAsia="en-GB"/>
        </w:rPr>
      </w:pPr>
    </w:p>
    <w:p w14:paraId="64BF3827" w14:textId="77777777" w:rsidR="00925406" w:rsidRPr="00C46C3A" w:rsidRDefault="00925406" w:rsidP="00C46C3A">
      <w:pPr>
        <w:spacing w:after="0" w:line="360" w:lineRule="auto"/>
        <w:ind w:left="2880" w:firstLine="720"/>
        <w:rPr>
          <w:rFonts w:ascii="Arial" w:eastAsia="Times New Roman" w:hAnsi="Arial" w:cs="Times New Roman"/>
          <w:kern w:val="28"/>
          <w:sz w:val="24"/>
          <w:szCs w:val="24"/>
          <w:lang w:eastAsia="en-GB"/>
        </w:rPr>
      </w:pPr>
    </w:p>
    <w:p w14:paraId="16DA2BF4" w14:textId="77777777" w:rsidR="00C46C3A" w:rsidRPr="00C46C3A" w:rsidRDefault="00C46C3A" w:rsidP="00C46C3A">
      <w:pPr>
        <w:spacing w:after="0" w:line="360" w:lineRule="auto"/>
        <w:ind w:left="2880" w:firstLine="720"/>
        <w:rPr>
          <w:rFonts w:ascii="Arial" w:eastAsia="Times New Roman" w:hAnsi="Arial" w:cs="Times New Roman"/>
          <w:kern w:val="28"/>
          <w:sz w:val="24"/>
          <w:szCs w:val="24"/>
          <w:lang w:eastAsia="en-GB"/>
        </w:rPr>
      </w:pPr>
      <w:r w:rsidRPr="00C46C3A">
        <w:rPr>
          <w:rFonts w:ascii="Arial" w:eastAsia="Times New Roman" w:hAnsi="Arial" w:cs="Times New Roman"/>
          <w:kern w:val="28"/>
          <w:sz w:val="24"/>
          <w:szCs w:val="24"/>
          <w:lang w:eastAsia="en-GB"/>
        </w:rPr>
        <w:tab/>
        <w:t>_____________________________________</w:t>
      </w:r>
    </w:p>
    <w:p w14:paraId="4AD4E5D0" w14:textId="77777777" w:rsidR="00C46C3A" w:rsidRPr="00C46C3A" w:rsidRDefault="00C46C3A" w:rsidP="00C46C3A">
      <w:pPr>
        <w:spacing w:after="0" w:line="240" w:lineRule="auto"/>
        <w:ind w:left="4395"/>
        <w:rPr>
          <w:rFonts w:ascii="Arial" w:eastAsia="Times New Roman" w:hAnsi="Arial" w:cs="Times New Roman"/>
          <w:b/>
          <w:kern w:val="28"/>
          <w:sz w:val="24"/>
          <w:szCs w:val="24"/>
          <w:lang w:eastAsia="en-GB"/>
        </w:rPr>
      </w:pPr>
      <w:r w:rsidRPr="00C46C3A">
        <w:rPr>
          <w:rFonts w:ascii="Arial" w:eastAsia="Times New Roman" w:hAnsi="Arial" w:cs="Times New Roman"/>
          <w:b/>
          <w:kern w:val="28"/>
          <w:sz w:val="24"/>
          <w:szCs w:val="24"/>
          <w:lang w:eastAsia="en-GB"/>
        </w:rPr>
        <w:t>EF DIPPENAAR</w:t>
      </w:r>
      <w:r w:rsidRPr="00C46C3A">
        <w:rPr>
          <w:rFonts w:ascii="Arial" w:eastAsia="Times New Roman" w:hAnsi="Arial" w:cs="Times New Roman"/>
          <w:kern w:val="28"/>
          <w:sz w:val="24"/>
          <w:szCs w:val="24"/>
          <w:lang w:eastAsia="en-GB"/>
        </w:rPr>
        <w:t xml:space="preserve">                        </w:t>
      </w:r>
    </w:p>
    <w:p w14:paraId="648142EA" w14:textId="77777777" w:rsidR="00C46C3A" w:rsidRPr="00C46C3A" w:rsidRDefault="00C46C3A" w:rsidP="00C46C3A">
      <w:pPr>
        <w:spacing w:after="0" w:line="240" w:lineRule="auto"/>
        <w:ind w:left="4395"/>
        <w:rPr>
          <w:rFonts w:ascii="Arial" w:eastAsia="Times New Roman" w:hAnsi="Arial" w:cs="Times New Roman"/>
          <w:b/>
          <w:kern w:val="28"/>
          <w:sz w:val="24"/>
          <w:szCs w:val="24"/>
          <w:lang w:eastAsia="en-GB"/>
        </w:rPr>
      </w:pPr>
      <w:r w:rsidRPr="00C46C3A">
        <w:rPr>
          <w:rFonts w:ascii="Arial" w:eastAsia="Times New Roman" w:hAnsi="Arial" w:cs="Times New Roman"/>
          <w:b/>
          <w:kern w:val="28"/>
          <w:sz w:val="24"/>
          <w:szCs w:val="24"/>
          <w:lang w:eastAsia="en-GB"/>
        </w:rPr>
        <w:t xml:space="preserve">JUDGE OF THE HIGH COURT </w:t>
      </w:r>
      <w:smartTag w:uri="urn:schemas-microsoft-com:office:smarttags" w:element="City">
        <w:smartTag w:uri="urn:schemas-microsoft-com:office:smarttags" w:element="place">
          <w:r w:rsidRPr="00C46C3A">
            <w:rPr>
              <w:rFonts w:ascii="Arial" w:eastAsia="Times New Roman" w:hAnsi="Arial" w:cs="Times New Roman"/>
              <w:b/>
              <w:kern w:val="28"/>
              <w:sz w:val="24"/>
              <w:szCs w:val="24"/>
              <w:lang w:eastAsia="en-GB"/>
            </w:rPr>
            <w:t>JOHANNESBURG</w:t>
          </w:r>
        </w:smartTag>
      </w:smartTag>
    </w:p>
    <w:p w14:paraId="4DF0E97E" w14:textId="77777777" w:rsidR="00C46C3A" w:rsidRPr="00C46C3A" w:rsidRDefault="00C46C3A" w:rsidP="00C46C3A">
      <w:pPr>
        <w:spacing w:after="0" w:line="240" w:lineRule="auto"/>
        <w:rPr>
          <w:rFonts w:ascii="Arial" w:eastAsia="Times New Roman" w:hAnsi="Arial" w:cs="Times New Roman"/>
          <w:b/>
          <w:kern w:val="28"/>
          <w:sz w:val="24"/>
          <w:szCs w:val="24"/>
          <w:u w:val="single"/>
          <w:lang w:eastAsia="en-GB"/>
        </w:rPr>
      </w:pPr>
    </w:p>
    <w:p w14:paraId="2E3A627D" w14:textId="77777777" w:rsidR="00C46C3A" w:rsidRPr="00C46C3A" w:rsidRDefault="00C46C3A" w:rsidP="00C46C3A">
      <w:pPr>
        <w:spacing w:after="0" w:line="240" w:lineRule="auto"/>
        <w:rPr>
          <w:rFonts w:ascii="Arial" w:eastAsia="Times New Roman" w:hAnsi="Arial" w:cs="Times New Roman"/>
          <w:b/>
          <w:kern w:val="28"/>
          <w:sz w:val="24"/>
          <w:szCs w:val="24"/>
          <w:u w:val="single"/>
          <w:lang w:eastAsia="en-GB"/>
        </w:rPr>
      </w:pPr>
    </w:p>
    <w:p w14:paraId="10E1157A" w14:textId="77777777" w:rsidR="00C46C3A" w:rsidRPr="00C46C3A" w:rsidRDefault="00C46C3A" w:rsidP="00C46C3A">
      <w:pPr>
        <w:spacing w:after="0" w:line="240" w:lineRule="auto"/>
        <w:rPr>
          <w:rFonts w:ascii="Arial" w:eastAsia="Times New Roman" w:hAnsi="Arial" w:cs="Times New Roman"/>
          <w:b/>
          <w:kern w:val="28"/>
          <w:sz w:val="24"/>
          <w:szCs w:val="24"/>
          <w:u w:val="single"/>
          <w:lang w:eastAsia="en-GB"/>
        </w:rPr>
      </w:pPr>
      <w:r w:rsidRPr="00C46C3A">
        <w:rPr>
          <w:rFonts w:ascii="Arial" w:eastAsia="Times New Roman" w:hAnsi="Arial" w:cs="Times New Roman"/>
          <w:b/>
          <w:kern w:val="28"/>
          <w:sz w:val="24"/>
          <w:szCs w:val="24"/>
          <w:u w:val="single"/>
          <w:lang w:eastAsia="en-GB"/>
        </w:rPr>
        <w:t xml:space="preserve">APPEARANCES </w:t>
      </w:r>
    </w:p>
    <w:p w14:paraId="2601A869" w14:textId="77777777" w:rsidR="00C46C3A" w:rsidRPr="00C46C3A" w:rsidRDefault="00C46C3A" w:rsidP="00C46C3A">
      <w:pPr>
        <w:spacing w:after="0" w:line="240" w:lineRule="auto"/>
        <w:contextualSpacing/>
        <w:rPr>
          <w:rFonts w:ascii="Arial" w:eastAsia="Calibri" w:hAnsi="Arial" w:cs="Times New Roman"/>
          <w:sz w:val="24"/>
        </w:rPr>
      </w:pPr>
    </w:p>
    <w:p w14:paraId="28A69BBD" w14:textId="77777777" w:rsidR="00C46C3A" w:rsidRPr="00C46C3A" w:rsidRDefault="00C46C3A" w:rsidP="00C46C3A">
      <w:pPr>
        <w:spacing w:after="0" w:line="240" w:lineRule="auto"/>
        <w:rPr>
          <w:rFonts w:ascii="Arial" w:eastAsia="Times New Roman" w:hAnsi="Arial" w:cs="Times New Roman"/>
          <w:kern w:val="28"/>
          <w:sz w:val="24"/>
          <w:szCs w:val="24"/>
          <w:lang w:eastAsia="en-GB"/>
        </w:rPr>
      </w:pPr>
      <w:r w:rsidRPr="00C46C3A">
        <w:rPr>
          <w:rFonts w:ascii="Arial" w:eastAsia="Times New Roman" w:hAnsi="Arial" w:cs="Times New Roman"/>
          <w:b/>
          <w:kern w:val="28"/>
          <w:sz w:val="24"/>
          <w:szCs w:val="24"/>
          <w:lang w:eastAsia="en-GB"/>
        </w:rPr>
        <w:t>DATE OF HEARING</w:t>
      </w:r>
      <w:r w:rsidRPr="00C46C3A">
        <w:rPr>
          <w:rFonts w:ascii="Arial" w:eastAsia="Times New Roman" w:hAnsi="Arial" w:cs="Times New Roman"/>
          <w:b/>
          <w:kern w:val="28"/>
          <w:sz w:val="24"/>
          <w:szCs w:val="24"/>
          <w:lang w:eastAsia="en-GB"/>
        </w:rPr>
        <w:tab/>
        <w:t xml:space="preserve"> </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t xml:space="preserve"> </w:t>
      </w:r>
      <w:r w:rsidRPr="00C46C3A">
        <w:rPr>
          <w:rFonts w:ascii="Arial" w:eastAsia="Times New Roman" w:hAnsi="Arial" w:cs="Times New Roman"/>
          <w:b/>
          <w:kern w:val="28"/>
          <w:sz w:val="24"/>
          <w:szCs w:val="24"/>
          <w:lang w:eastAsia="en-GB"/>
        </w:rPr>
        <w:tab/>
      </w:r>
      <w:r w:rsidR="00201B85">
        <w:rPr>
          <w:rFonts w:ascii="Arial" w:eastAsia="Times New Roman" w:hAnsi="Arial" w:cs="Times New Roman"/>
          <w:kern w:val="28"/>
          <w:sz w:val="24"/>
          <w:szCs w:val="24"/>
          <w:lang w:eastAsia="en-GB"/>
        </w:rPr>
        <w:t xml:space="preserve">: </w:t>
      </w:r>
      <w:r w:rsidR="00C16810">
        <w:rPr>
          <w:rFonts w:ascii="Arial" w:eastAsia="Times New Roman" w:hAnsi="Arial" w:cs="Times New Roman"/>
          <w:kern w:val="28"/>
          <w:sz w:val="24"/>
          <w:szCs w:val="24"/>
          <w:lang w:eastAsia="en-GB"/>
        </w:rPr>
        <w:t>09 November</w:t>
      </w:r>
      <w:r w:rsidRPr="00C46C3A">
        <w:rPr>
          <w:rFonts w:ascii="Arial" w:eastAsia="Times New Roman" w:hAnsi="Arial" w:cs="Times New Roman"/>
          <w:kern w:val="28"/>
          <w:sz w:val="24"/>
          <w:szCs w:val="24"/>
          <w:lang w:eastAsia="en-GB"/>
        </w:rPr>
        <w:t xml:space="preserve"> 2021</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kern w:val="28"/>
          <w:sz w:val="24"/>
          <w:szCs w:val="24"/>
          <w:lang w:eastAsia="en-GB"/>
        </w:rPr>
        <w:t xml:space="preserve"> </w:t>
      </w:r>
    </w:p>
    <w:p w14:paraId="1AB1621A" w14:textId="77777777" w:rsidR="00C46C3A" w:rsidRPr="00C46C3A" w:rsidRDefault="00C46C3A" w:rsidP="00C46C3A">
      <w:pPr>
        <w:spacing w:after="0" w:line="240" w:lineRule="auto"/>
        <w:rPr>
          <w:rFonts w:ascii="Arial" w:eastAsia="Times New Roman" w:hAnsi="Arial" w:cs="Times New Roman"/>
          <w:b/>
          <w:kern w:val="28"/>
          <w:sz w:val="24"/>
          <w:szCs w:val="24"/>
          <w:lang w:eastAsia="en-GB"/>
        </w:rPr>
      </w:pPr>
    </w:p>
    <w:p w14:paraId="220D3B04" w14:textId="77777777" w:rsidR="00C46C3A" w:rsidRPr="00C46C3A" w:rsidRDefault="00C46C3A" w:rsidP="00C46C3A">
      <w:pPr>
        <w:spacing w:after="0" w:line="240" w:lineRule="auto"/>
        <w:rPr>
          <w:rFonts w:ascii="Arial" w:eastAsia="Times New Roman" w:hAnsi="Arial" w:cs="Times New Roman"/>
          <w:kern w:val="28"/>
          <w:sz w:val="24"/>
          <w:szCs w:val="24"/>
          <w:lang w:eastAsia="en-GB"/>
        </w:rPr>
      </w:pPr>
      <w:r w:rsidRPr="00C46C3A">
        <w:rPr>
          <w:rFonts w:ascii="Arial" w:eastAsia="Times New Roman" w:hAnsi="Arial" w:cs="Times New Roman"/>
          <w:b/>
          <w:kern w:val="28"/>
          <w:sz w:val="24"/>
          <w:szCs w:val="24"/>
          <w:lang w:eastAsia="en-GB"/>
        </w:rPr>
        <w:t xml:space="preserve">DATE OF JUDGMENT </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t xml:space="preserve"> </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kern w:val="28"/>
          <w:sz w:val="24"/>
          <w:szCs w:val="24"/>
          <w:lang w:eastAsia="en-GB"/>
        </w:rPr>
        <w:t xml:space="preserve">: </w:t>
      </w:r>
      <w:r w:rsidR="00E111C1">
        <w:rPr>
          <w:rFonts w:ascii="Arial" w:eastAsia="Times New Roman" w:hAnsi="Arial" w:cs="Times New Roman"/>
          <w:kern w:val="28"/>
          <w:sz w:val="24"/>
          <w:szCs w:val="24"/>
          <w:lang w:eastAsia="en-GB"/>
        </w:rPr>
        <w:t>1</w:t>
      </w:r>
      <w:r w:rsidR="003A1F80">
        <w:rPr>
          <w:rFonts w:ascii="Arial" w:eastAsia="Times New Roman" w:hAnsi="Arial" w:cs="Times New Roman"/>
          <w:kern w:val="28"/>
          <w:sz w:val="24"/>
          <w:szCs w:val="24"/>
          <w:lang w:eastAsia="en-GB"/>
        </w:rPr>
        <w:t>5</w:t>
      </w:r>
      <w:r w:rsidR="00E111C1">
        <w:rPr>
          <w:rFonts w:ascii="Arial" w:eastAsia="Times New Roman" w:hAnsi="Arial" w:cs="Times New Roman"/>
          <w:kern w:val="28"/>
          <w:sz w:val="24"/>
          <w:szCs w:val="24"/>
          <w:lang w:eastAsia="en-GB"/>
        </w:rPr>
        <w:t xml:space="preserve"> November</w:t>
      </w:r>
      <w:r w:rsidRPr="00C46C3A">
        <w:rPr>
          <w:rFonts w:ascii="Arial" w:eastAsia="Times New Roman" w:hAnsi="Arial" w:cs="Times New Roman"/>
          <w:kern w:val="28"/>
          <w:sz w:val="24"/>
          <w:szCs w:val="24"/>
          <w:lang w:eastAsia="en-GB"/>
        </w:rPr>
        <w:t xml:space="preserve"> 2021</w:t>
      </w:r>
    </w:p>
    <w:p w14:paraId="709DCB70" w14:textId="77777777" w:rsidR="00C46C3A" w:rsidRPr="00C46C3A" w:rsidRDefault="00C46C3A" w:rsidP="00C46C3A">
      <w:pPr>
        <w:spacing w:after="0" w:line="240" w:lineRule="auto"/>
        <w:rPr>
          <w:rFonts w:ascii="Arial" w:eastAsia="Times New Roman" w:hAnsi="Arial" w:cs="Times New Roman"/>
          <w:kern w:val="28"/>
          <w:sz w:val="24"/>
          <w:szCs w:val="24"/>
          <w:lang w:eastAsia="en-GB"/>
        </w:rPr>
      </w:pPr>
    </w:p>
    <w:p w14:paraId="7092705C" w14:textId="77777777" w:rsidR="00C46C3A" w:rsidRPr="00C46C3A" w:rsidRDefault="00C46C3A" w:rsidP="00C46C3A">
      <w:pPr>
        <w:spacing w:after="0" w:line="240" w:lineRule="auto"/>
        <w:rPr>
          <w:rFonts w:ascii="Arial" w:eastAsia="Times New Roman" w:hAnsi="Arial" w:cs="Times New Roman"/>
          <w:kern w:val="28"/>
          <w:sz w:val="24"/>
          <w:szCs w:val="24"/>
          <w:lang w:eastAsia="en-GB"/>
        </w:rPr>
      </w:pPr>
      <w:r w:rsidRPr="00C46C3A">
        <w:rPr>
          <w:rFonts w:ascii="Arial" w:eastAsia="Times New Roman" w:hAnsi="Arial" w:cs="Times New Roman"/>
          <w:b/>
          <w:kern w:val="28"/>
          <w:sz w:val="24"/>
          <w:szCs w:val="24"/>
          <w:lang w:eastAsia="en-GB"/>
        </w:rPr>
        <w:t>APPLICANT’S COUNSEL</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kern w:val="28"/>
          <w:sz w:val="24"/>
          <w:szCs w:val="24"/>
          <w:lang w:eastAsia="en-GB"/>
        </w:rPr>
        <w:t xml:space="preserve">: </w:t>
      </w:r>
      <w:r>
        <w:rPr>
          <w:rFonts w:ascii="Arial" w:eastAsia="Times New Roman" w:hAnsi="Arial" w:cs="Times New Roman"/>
          <w:kern w:val="28"/>
          <w:sz w:val="24"/>
          <w:szCs w:val="24"/>
          <w:lang w:eastAsia="en-GB"/>
        </w:rPr>
        <w:t xml:space="preserve">Adv. </w:t>
      </w:r>
      <w:r w:rsidR="00C16810">
        <w:rPr>
          <w:rFonts w:ascii="Arial" w:eastAsia="Times New Roman" w:hAnsi="Arial" w:cs="Times New Roman"/>
          <w:kern w:val="28"/>
          <w:sz w:val="24"/>
          <w:szCs w:val="24"/>
          <w:lang w:eastAsia="en-GB"/>
        </w:rPr>
        <w:t>JC Borman</w:t>
      </w:r>
    </w:p>
    <w:p w14:paraId="3CED702F" w14:textId="77777777" w:rsidR="00C46C3A" w:rsidRPr="00C46C3A" w:rsidRDefault="00C46C3A" w:rsidP="00C46C3A">
      <w:pPr>
        <w:spacing w:after="200" w:line="240" w:lineRule="auto"/>
        <w:contextualSpacing/>
        <w:rPr>
          <w:rFonts w:ascii="Arial" w:eastAsia="Calibri" w:hAnsi="Arial" w:cs="Times New Roman"/>
          <w:sz w:val="24"/>
        </w:rPr>
      </w:pPr>
      <w:r w:rsidRPr="00C46C3A">
        <w:rPr>
          <w:rFonts w:ascii="Arial" w:eastAsia="Calibri" w:hAnsi="Arial" w:cs="Times New Roman"/>
          <w:b/>
          <w:sz w:val="24"/>
        </w:rPr>
        <w:tab/>
      </w:r>
      <w:r w:rsidRPr="00C46C3A">
        <w:rPr>
          <w:rFonts w:ascii="Arial" w:eastAsia="Calibri" w:hAnsi="Arial" w:cs="Times New Roman"/>
          <w:b/>
          <w:sz w:val="24"/>
        </w:rPr>
        <w:tab/>
      </w:r>
    </w:p>
    <w:p w14:paraId="7BF5912A" w14:textId="77777777" w:rsidR="00C46C3A" w:rsidRPr="00C46C3A" w:rsidRDefault="00C46C3A" w:rsidP="00C46C3A">
      <w:pPr>
        <w:spacing w:after="200" w:line="240" w:lineRule="auto"/>
        <w:contextualSpacing/>
        <w:rPr>
          <w:rFonts w:ascii="Arial" w:eastAsia="Calibri" w:hAnsi="Arial" w:cs="Times New Roman"/>
          <w:sz w:val="24"/>
        </w:rPr>
      </w:pPr>
      <w:r w:rsidRPr="00C46C3A">
        <w:rPr>
          <w:rFonts w:ascii="Arial" w:eastAsia="Calibri" w:hAnsi="Arial" w:cs="Times New Roman"/>
          <w:b/>
          <w:bCs/>
          <w:sz w:val="24"/>
        </w:rPr>
        <w:t>APPLICANT’S ATTORNEYS</w:t>
      </w:r>
      <w:r w:rsidRPr="00C46C3A">
        <w:rPr>
          <w:rFonts w:ascii="Arial" w:eastAsia="Calibri" w:hAnsi="Arial" w:cs="Times New Roman"/>
          <w:sz w:val="24"/>
        </w:rPr>
        <w:tab/>
      </w:r>
      <w:r w:rsidRPr="00C46C3A">
        <w:rPr>
          <w:rFonts w:ascii="Arial" w:eastAsia="Calibri" w:hAnsi="Arial" w:cs="Times New Roman"/>
          <w:sz w:val="24"/>
        </w:rPr>
        <w:tab/>
      </w:r>
      <w:r w:rsidRPr="00C46C3A">
        <w:rPr>
          <w:rFonts w:ascii="Arial" w:eastAsia="Calibri" w:hAnsi="Arial" w:cs="Times New Roman"/>
          <w:sz w:val="24"/>
        </w:rPr>
        <w:tab/>
        <w:t xml:space="preserve">: </w:t>
      </w:r>
      <w:r w:rsidR="00C16810">
        <w:rPr>
          <w:rFonts w:ascii="Arial" w:eastAsia="Calibri" w:hAnsi="Arial" w:cs="Times New Roman"/>
          <w:sz w:val="24"/>
        </w:rPr>
        <w:t>SKV Attorneys Inc.</w:t>
      </w:r>
    </w:p>
    <w:p w14:paraId="16CEED26" w14:textId="77777777" w:rsidR="00C46C3A" w:rsidRPr="00C46C3A" w:rsidRDefault="00C46C3A" w:rsidP="00C46C3A">
      <w:pPr>
        <w:spacing w:after="200" w:line="240" w:lineRule="auto"/>
        <w:contextualSpacing/>
        <w:rPr>
          <w:rFonts w:ascii="Arial" w:eastAsia="Calibri" w:hAnsi="Arial" w:cs="Times New Roman"/>
          <w:sz w:val="24"/>
        </w:rPr>
      </w:pPr>
    </w:p>
    <w:p w14:paraId="1B6C8C12" w14:textId="77777777" w:rsidR="00C46C3A" w:rsidRPr="00C46C3A" w:rsidRDefault="00201B85" w:rsidP="00C46C3A">
      <w:pPr>
        <w:spacing w:after="200" w:line="240" w:lineRule="auto"/>
        <w:contextualSpacing/>
        <w:rPr>
          <w:rFonts w:ascii="Arial" w:eastAsia="Calibri" w:hAnsi="Arial" w:cs="Times New Roman"/>
          <w:bCs/>
          <w:sz w:val="24"/>
        </w:rPr>
      </w:pPr>
      <w:r>
        <w:rPr>
          <w:rFonts w:ascii="Arial" w:eastAsia="Calibri" w:hAnsi="Arial" w:cs="Times New Roman"/>
          <w:b/>
          <w:sz w:val="24"/>
        </w:rPr>
        <w:t>R</w:t>
      </w:r>
      <w:r w:rsidR="00C46C3A" w:rsidRPr="00C46C3A">
        <w:rPr>
          <w:rFonts w:ascii="Arial" w:eastAsia="Calibri" w:hAnsi="Arial" w:cs="Times New Roman"/>
          <w:b/>
          <w:sz w:val="24"/>
        </w:rPr>
        <w:t>ESPONDENT’S COUNSEL</w:t>
      </w:r>
      <w:r w:rsidR="00C46C3A" w:rsidRPr="00C46C3A">
        <w:rPr>
          <w:rFonts w:ascii="Arial" w:eastAsia="Calibri" w:hAnsi="Arial" w:cs="Times New Roman"/>
          <w:b/>
          <w:sz w:val="24"/>
        </w:rPr>
        <w:tab/>
      </w:r>
      <w:r w:rsidR="00C46C3A" w:rsidRPr="00C46C3A">
        <w:rPr>
          <w:rFonts w:ascii="Arial" w:eastAsia="Calibri" w:hAnsi="Arial" w:cs="Times New Roman"/>
          <w:b/>
          <w:sz w:val="24"/>
        </w:rPr>
        <w:tab/>
      </w:r>
      <w:r w:rsidR="00C46C3A" w:rsidRPr="00C46C3A">
        <w:rPr>
          <w:rFonts w:ascii="Arial" w:eastAsia="Calibri" w:hAnsi="Arial" w:cs="Times New Roman"/>
          <w:b/>
          <w:sz w:val="24"/>
        </w:rPr>
        <w:tab/>
      </w:r>
      <w:r w:rsidR="00C46C3A" w:rsidRPr="00C46C3A">
        <w:rPr>
          <w:rFonts w:ascii="Arial" w:eastAsia="Calibri" w:hAnsi="Arial" w:cs="Times New Roman"/>
          <w:sz w:val="24"/>
        </w:rPr>
        <w:t xml:space="preserve">: </w:t>
      </w:r>
      <w:r>
        <w:rPr>
          <w:rFonts w:ascii="Arial" w:eastAsia="Calibri" w:hAnsi="Arial" w:cs="Times New Roman"/>
          <w:sz w:val="24"/>
        </w:rPr>
        <w:t>Adv.</w:t>
      </w:r>
      <w:r w:rsidR="00E111C1">
        <w:rPr>
          <w:rFonts w:ascii="Arial" w:eastAsia="Calibri" w:hAnsi="Arial" w:cs="Times New Roman"/>
          <w:sz w:val="24"/>
        </w:rPr>
        <w:t xml:space="preserve"> L De Wet</w:t>
      </w:r>
      <w:r w:rsidR="00C46C3A" w:rsidRPr="00C46C3A">
        <w:rPr>
          <w:rFonts w:ascii="Arial" w:eastAsia="Calibri" w:hAnsi="Arial" w:cs="Times New Roman"/>
          <w:bCs/>
          <w:sz w:val="24"/>
        </w:rPr>
        <w:tab/>
      </w:r>
      <w:r w:rsidR="00C46C3A" w:rsidRPr="00C46C3A">
        <w:rPr>
          <w:rFonts w:ascii="Arial" w:eastAsia="Calibri" w:hAnsi="Arial" w:cs="Times New Roman"/>
          <w:bCs/>
          <w:sz w:val="24"/>
        </w:rPr>
        <w:tab/>
      </w:r>
      <w:r w:rsidR="00C46C3A" w:rsidRPr="00C46C3A">
        <w:rPr>
          <w:rFonts w:ascii="Arial" w:eastAsia="Calibri" w:hAnsi="Arial" w:cs="Times New Roman"/>
          <w:bCs/>
          <w:sz w:val="24"/>
        </w:rPr>
        <w:tab/>
      </w:r>
      <w:r w:rsidR="00C46C3A" w:rsidRPr="00C46C3A">
        <w:rPr>
          <w:rFonts w:ascii="Arial" w:eastAsia="Calibri" w:hAnsi="Arial" w:cs="Times New Roman"/>
          <w:bCs/>
          <w:sz w:val="24"/>
        </w:rPr>
        <w:tab/>
      </w:r>
      <w:r w:rsidR="00C46C3A" w:rsidRPr="00C46C3A">
        <w:rPr>
          <w:rFonts w:ascii="Arial" w:eastAsia="Calibri" w:hAnsi="Arial" w:cs="Times New Roman"/>
          <w:bCs/>
          <w:sz w:val="24"/>
        </w:rPr>
        <w:tab/>
      </w:r>
    </w:p>
    <w:p w14:paraId="2E464A09" w14:textId="77777777" w:rsidR="00C46C3A" w:rsidRDefault="00C46C3A" w:rsidP="00C16810">
      <w:pPr>
        <w:spacing w:after="200" w:line="240" w:lineRule="auto"/>
        <w:ind w:left="5040" w:hanging="5040"/>
        <w:contextualSpacing/>
        <w:rPr>
          <w:rFonts w:ascii="Arial" w:eastAsia="Calibri" w:hAnsi="Arial" w:cs="Times New Roman"/>
          <w:sz w:val="24"/>
        </w:rPr>
      </w:pPr>
      <w:r w:rsidRPr="00C46C3A">
        <w:rPr>
          <w:rFonts w:ascii="Arial" w:eastAsia="Calibri" w:hAnsi="Arial" w:cs="Times New Roman"/>
          <w:b/>
          <w:sz w:val="24"/>
        </w:rPr>
        <w:t>RESPONDENT’S ATTORNEYS</w:t>
      </w:r>
      <w:r w:rsidRPr="00C46C3A">
        <w:rPr>
          <w:rFonts w:ascii="Arial" w:eastAsia="Calibri" w:hAnsi="Arial" w:cs="Times New Roman"/>
          <w:b/>
          <w:sz w:val="24"/>
        </w:rPr>
        <w:tab/>
      </w:r>
      <w:r w:rsidRPr="00C46C3A">
        <w:rPr>
          <w:rFonts w:ascii="Arial" w:eastAsia="Calibri" w:hAnsi="Arial" w:cs="Times New Roman"/>
          <w:sz w:val="24"/>
        </w:rPr>
        <w:t xml:space="preserve">: </w:t>
      </w:r>
      <w:r w:rsidR="00C16810">
        <w:rPr>
          <w:rFonts w:ascii="Arial" w:eastAsia="Calibri" w:hAnsi="Arial" w:cs="Times New Roman"/>
          <w:sz w:val="24"/>
        </w:rPr>
        <w:t>Barter McKellar</w:t>
      </w:r>
      <w:r w:rsidR="00201B85">
        <w:rPr>
          <w:rFonts w:ascii="Arial" w:eastAsia="Calibri" w:hAnsi="Arial" w:cs="Times New Roman"/>
          <w:sz w:val="24"/>
        </w:rPr>
        <w:t xml:space="preserve"> Attorneys</w:t>
      </w:r>
    </w:p>
    <w:sectPr w:rsidR="00C46C3A" w:rsidSect="00890F3B">
      <w:headerReference w:type="default" r:id="rId9"/>
      <w:pgSz w:w="12240" w:h="15840"/>
      <w:pgMar w:top="1440" w:right="1440" w:bottom="1440" w:left="1440" w:header="708" w:footer="9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A418" w14:textId="77777777" w:rsidR="00110703" w:rsidRDefault="00110703">
      <w:pPr>
        <w:spacing w:after="0" w:line="240" w:lineRule="auto"/>
      </w:pPr>
      <w:r>
        <w:separator/>
      </w:r>
    </w:p>
  </w:endnote>
  <w:endnote w:type="continuationSeparator" w:id="0">
    <w:p w14:paraId="0D6A138F" w14:textId="77777777" w:rsidR="00110703" w:rsidRDefault="0011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68DF" w14:textId="77777777" w:rsidR="00110703" w:rsidRDefault="00110703">
      <w:pPr>
        <w:spacing w:after="0" w:line="240" w:lineRule="auto"/>
      </w:pPr>
      <w:r>
        <w:separator/>
      </w:r>
    </w:p>
  </w:footnote>
  <w:footnote w:type="continuationSeparator" w:id="0">
    <w:p w14:paraId="5C235C6E" w14:textId="77777777" w:rsidR="00110703" w:rsidRDefault="00110703">
      <w:pPr>
        <w:spacing w:after="0" w:line="240" w:lineRule="auto"/>
      </w:pPr>
      <w:r>
        <w:continuationSeparator/>
      </w:r>
    </w:p>
  </w:footnote>
  <w:footnote w:id="1">
    <w:p w14:paraId="17084B5D" w14:textId="77777777" w:rsidR="0071624C" w:rsidRPr="00890F3B" w:rsidRDefault="0071624C">
      <w:pPr>
        <w:pStyle w:val="FootnoteText"/>
        <w:rPr>
          <w:rFonts w:ascii="Arial" w:hAnsi="Arial" w:cs="Arial"/>
          <w:lang w:val="en-GB"/>
        </w:rPr>
      </w:pPr>
      <w:r w:rsidRPr="00890F3B">
        <w:rPr>
          <w:rStyle w:val="FootnoteReference"/>
          <w:rFonts w:ascii="Arial" w:hAnsi="Arial" w:cs="Arial"/>
        </w:rPr>
        <w:footnoteRef/>
      </w:r>
      <w:r w:rsidRPr="00890F3B">
        <w:rPr>
          <w:rFonts w:ascii="Arial" w:hAnsi="Arial" w:cs="Arial"/>
        </w:rPr>
        <w:t xml:space="preserve"> </w:t>
      </w:r>
      <w:r>
        <w:rPr>
          <w:rFonts w:ascii="Arial" w:hAnsi="Arial" w:cs="Arial"/>
        </w:rPr>
        <w:t>38 of 2005</w:t>
      </w:r>
    </w:p>
  </w:footnote>
  <w:footnote w:id="2">
    <w:p w14:paraId="343FE39C" w14:textId="77777777" w:rsidR="0071624C" w:rsidRPr="00476AC5" w:rsidRDefault="0071624C">
      <w:pPr>
        <w:pStyle w:val="FootnoteText"/>
        <w:rPr>
          <w:rFonts w:ascii="Arial" w:hAnsi="Arial" w:cs="Arial"/>
          <w:lang w:val="en-GB"/>
        </w:rPr>
      </w:pPr>
      <w:r>
        <w:rPr>
          <w:rStyle w:val="FootnoteReference"/>
        </w:rPr>
        <w:footnoteRef/>
      </w:r>
      <w:r w:rsidRPr="00476AC5">
        <w:rPr>
          <w:rFonts w:ascii="Arial" w:hAnsi="Arial" w:cs="Arial"/>
          <w:iCs/>
          <w:lang w:val="en-GB"/>
        </w:rPr>
        <w:t>East Rock Trading 7 (Pty) Ltd and Another v Eagle Valley Granite (Pty) Ltd and Others</w:t>
      </w:r>
      <w:r w:rsidRPr="00476AC5">
        <w:rPr>
          <w:rFonts w:ascii="Arial" w:hAnsi="Arial" w:cs="Arial"/>
          <w:lang w:val="en-GB"/>
        </w:rPr>
        <w:t xml:space="preserve"> [2011] ZAGPJHC 196 (23 September 2011) para</w:t>
      </w:r>
      <w:r>
        <w:rPr>
          <w:rFonts w:ascii="Arial" w:hAnsi="Arial" w:cs="Arial"/>
          <w:lang w:val="en-GB"/>
        </w:rPr>
        <w:t>s</w:t>
      </w:r>
      <w:r w:rsidRPr="00476AC5">
        <w:rPr>
          <w:rFonts w:ascii="Arial" w:hAnsi="Arial" w:cs="Arial"/>
          <w:lang w:val="en-GB"/>
        </w:rPr>
        <w:t xml:space="preserve"> 6 and 7</w:t>
      </w:r>
    </w:p>
  </w:footnote>
  <w:footnote w:id="3">
    <w:p w14:paraId="120BB3B0" w14:textId="77777777" w:rsidR="0071624C" w:rsidRPr="0056174E" w:rsidRDefault="0071624C" w:rsidP="00C53F55">
      <w:pPr>
        <w:pStyle w:val="FootnoteText"/>
        <w:rPr>
          <w:lang w:val="en-GB"/>
        </w:rPr>
      </w:pPr>
      <w:r>
        <w:rPr>
          <w:rStyle w:val="FootnoteReference"/>
        </w:rPr>
        <w:footnoteRef/>
      </w:r>
      <w:r>
        <w:t xml:space="preserve"> </w:t>
      </w:r>
      <w:r w:rsidRPr="0056174E">
        <w:rPr>
          <w:rFonts w:ascii="Arial" w:hAnsi="Arial" w:cs="Arial"/>
          <w:lang w:val="en-GB"/>
        </w:rPr>
        <w:t>Mogalakwena Local Municipality v The Provincial Executive Council, Limpopo and Others (2014) JOL 32103 (GP) at paras 63-64</w:t>
      </w:r>
    </w:p>
  </w:footnote>
  <w:footnote w:id="4">
    <w:p w14:paraId="65F91C82" w14:textId="77777777" w:rsidR="0071624C" w:rsidRPr="00F914C4" w:rsidRDefault="0071624C">
      <w:pPr>
        <w:pStyle w:val="FootnoteText"/>
        <w:rPr>
          <w:lang w:val="en-GB"/>
        </w:rPr>
      </w:pPr>
      <w:r>
        <w:rPr>
          <w:rStyle w:val="FootnoteReference"/>
        </w:rPr>
        <w:footnoteRef/>
      </w:r>
      <w:r>
        <w:t xml:space="preserve"> </w:t>
      </w:r>
      <w:r w:rsidRPr="00F914C4">
        <w:rPr>
          <w:rFonts w:ascii="Arial" w:hAnsi="Arial" w:cs="Arial"/>
          <w:lang w:val="en-GB"/>
        </w:rPr>
        <w:t>(13973/2020)[2021] ZAWCH 27 (18 February 2021)</w:t>
      </w:r>
      <w:r>
        <w:rPr>
          <w:rFonts w:ascii="Arial" w:hAnsi="Arial" w:cs="Arial"/>
          <w:lang w:val="en-GB"/>
        </w:rPr>
        <w:t xml:space="preserve"> at para [21]</w:t>
      </w:r>
    </w:p>
  </w:footnote>
  <w:footnote w:id="5">
    <w:p w14:paraId="20C7A290" w14:textId="77777777" w:rsidR="0071624C" w:rsidRPr="00F52302" w:rsidRDefault="0071624C">
      <w:pPr>
        <w:pStyle w:val="FootnoteText"/>
        <w:rPr>
          <w:lang w:val="en-GB"/>
        </w:rPr>
      </w:pPr>
      <w:r>
        <w:rPr>
          <w:rStyle w:val="FootnoteReference"/>
        </w:rPr>
        <w:footnoteRef/>
      </w:r>
      <w:r>
        <w:t xml:space="preserve"> </w:t>
      </w:r>
      <w:r w:rsidRPr="00E4714F">
        <w:rPr>
          <w:rFonts w:ascii="Arial" w:hAnsi="Arial" w:cs="Arial"/>
          <w:lang w:val="en-GB"/>
        </w:rPr>
        <w:t>2002 (2) SA 303 (SCA) para [2]</w:t>
      </w:r>
    </w:p>
  </w:footnote>
  <w:footnote w:id="6">
    <w:p w14:paraId="25B4210A" w14:textId="77777777" w:rsidR="0071624C" w:rsidRPr="00E4714F" w:rsidRDefault="0071624C">
      <w:pPr>
        <w:pStyle w:val="FootnoteText"/>
        <w:rPr>
          <w:rFonts w:ascii="Arial" w:hAnsi="Arial" w:cs="Arial"/>
          <w:lang w:val="en-GB"/>
        </w:rPr>
      </w:pPr>
      <w:r>
        <w:rPr>
          <w:rStyle w:val="FootnoteReference"/>
        </w:rPr>
        <w:footnoteRef/>
      </w:r>
      <w:r>
        <w:t xml:space="preserve"> </w:t>
      </w:r>
      <w:r w:rsidR="00E4714F" w:rsidRPr="00E4714F">
        <w:rPr>
          <w:rFonts w:ascii="Arial" w:hAnsi="Arial" w:cs="Arial"/>
        </w:rPr>
        <w:t>[</w:t>
      </w:r>
      <w:r w:rsidR="00E4714F" w:rsidRPr="00E4714F">
        <w:rPr>
          <w:rFonts w:ascii="Arial" w:hAnsi="Arial" w:cs="Arial"/>
          <w:lang w:val="en-GB"/>
        </w:rPr>
        <w:t>2006] 1 All SA 571 (SCA) at p</w:t>
      </w:r>
      <w:r w:rsidRPr="00E4714F">
        <w:rPr>
          <w:rFonts w:ascii="Arial" w:hAnsi="Arial" w:cs="Arial"/>
          <w:lang w:val="en-GB"/>
        </w:rPr>
        <w:t>ara 10</w:t>
      </w:r>
    </w:p>
  </w:footnote>
  <w:footnote w:id="7">
    <w:p w14:paraId="0A64555A" w14:textId="77777777" w:rsidR="007A6A24" w:rsidRPr="003F7178" w:rsidRDefault="007A6A24" w:rsidP="007A6A24">
      <w:pPr>
        <w:pStyle w:val="FootnoteText"/>
        <w:rPr>
          <w:lang w:val="en-GB"/>
        </w:rPr>
      </w:pPr>
      <w:r>
        <w:rPr>
          <w:rStyle w:val="FootnoteReference"/>
        </w:rPr>
        <w:footnoteRef/>
      </w:r>
      <w:r>
        <w:t xml:space="preserve"> </w:t>
      </w:r>
      <w:r w:rsidRPr="003F7178">
        <w:rPr>
          <w:rFonts w:ascii="Arial" w:hAnsi="Arial" w:cs="Arial"/>
          <w:lang w:val="en-GB"/>
        </w:rPr>
        <w:t>MK v MC (15986/2016) [2018] ZAGPJHC 4 (22 January 2018) at para [27]</w:t>
      </w:r>
    </w:p>
  </w:footnote>
  <w:footnote w:id="8">
    <w:p w14:paraId="462B1392" w14:textId="77777777" w:rsidR="007B7DE2" w:rsidRPr="00FF2A79" w:rsidRDefault="007B7DE2" w:rsidP="007B7DE2">
      <w:pPr>
        <w:pStyle w:val="FootnoteText"/>
        <w:rPr>
          <w:lang w:val="en-GB"/>
        </w:rPr>
      </w:pPr>
      <w:r>
        <w:rPr>
          <w:rStyle w:val="FootnoteReference"/>
        </w:rPr>
        <w:footnoteRef/>
      </w:r>
      <w:r>
        <w:t xml:space="preserve"> </w:t>
      </w:r>
      <w:r>
        <w:rPr>
          <w:lang w:val="en-GB"/>
        </w:rPr>
        <w:t xml:space="preserve">S7(1)(k) of the </w:t>
      </w:r>
      <w:proofErr w:type="spellStart"/>
      <w:r>
        <w:rPr>
          <w:lang w:val="en-GB"/>
        </w:rPr>
        <w:t>Ac</w:t>
      </w:r>
      <w:r w:rsidR="00753F41">
        <w:rPr>
          <w:lang w:val="en-GB"/>
        </w:rPr>
        <w:t>A</w:t>
      </w:r>
      <w:proofErr w:type="spellEnd"/>
      <w:r w:rsidR="00753F41">
        <w:rPr>
          <w:lang w:val="en-GB"/>
        </w:rPr>
        <w:t xml:space="preserve"> does share a bond, </w:t>
      </w:r>
      <w:r>
        <w:rPr>
          <w:lang w:val="en-GB"/>
        </w:rPr>
        <w:t>t</w:t>
      </w:r>
    </w:p>
  </w:footnote>
  <w:footnote w:id="9">
    <w:p w14:paraId="7D9A9284" w14:textId="77777777" w:rsidR="0071624C" w:rsidRPr="00A85118" w:rsidRDefault="0071624C">
      <w:pPr>
        <w:pStyle w:val="FootnoteText"/>
        <w:rPr>
          <w:lang w:val="en-GB"/>
        </w:rPr>
      </w:pPr>
      <w:r>
        <w:rPr>
          <w:rStyle w:val="FootnoteReference"/>
        </w:rPr>
        <w:footnoteRef/>
      </w:r>
      <w:r>
        <w:t xml:space="preserve"> </w:t>
      </w:r>
      <w:r>
        <w:rPr>
          <w:lang w:val="en-GB"/>
        </w:rPr>
        <w:t>F v F supra para 10-11</w:t>
      </w:r>
    </w:p>
  </w:footnote>
  <w:footnote w:id="10">
    <w:p w14:paraId="2DF3C0EC" w14:textId="77777777" w:rsidR="0071624C" w:rsidRPr="008A06DC" w:rsidRDefault="0071624C">
      <w:pPr>
        <w:pStyle w:val="FootnoteText"/>
        <w:rPr>
          <w:lang w:val="en-GB"/>
        </w:rPr>
      </w:pPr>
      <w:r>
        <w:rPr>
          <w:rStyle w:val="FootnoteReference"/>
        </w:rPr>
        <w:footnoteRef/>
      </w:r>
      <w:r>
        <w:t xml:space="preserve"> </w:t>
      </w:r>
      <w:r>
        <w:rPr>
          <w:lang w:val="en-GB"/>
        </w:rPr>
        <w:t xml:space="preserve">DJB v MB </w:t>
      </w:r>
    </w:p>
  </w:footnote>
  <w:footnote w:id="11">
    <w:p w14:paraId="7B3CF805" w14:textId="77777777" w:rsidR="0071624C" w:rsidRPr="00F43C1B" w:rsidRDefault="0071624C">
      <w:pPr>
        <w:pStyle w:val="FootnoteText"/>
        <w:rPr>
          <w:lang w:val="en-GB"/>
        </w:rPr>
      </w:pPr>
      <w:r>
        <w:rPr>
          <w:rStyle w:val="FootnoteReference"/>
        </w:rPr>
        <w:footnoteRef/>
      </w:r>
      <w:r>
        <w:t xml:space="preserve"> </w:t>
      </w:r>
      <w:r>
        <w:rPr>
          <w:lang w:val="en-GB"/>
        </w:rPr>
        <w:t>F v F supra para [12]</w:t>
      </w:r>
    </w:p>
  </w:footnote>
  <w:footnote w:id="12">
    <w:p w14:paraId="6D03D34C" w14:textId="77777777" w:rsidR="0071624C" w:rsidRPr="00550640" w:rsidRDefault="0071624C">
      <w:pPr>
        <w:pStyle w:val="FootnoteText"/>
        <w:rPr>
          <w:lang w:val="en-GB"/>
        </w:rPr>
      </w:pPr>
      <w:r>
        <w:rPr>
          <w:rStyle w:val="FootnoteReference"/>
        </w:rPr>
        <w:footnoteRef/>
      </w:r>
      <w:r>
        <w:t xml:space="preserve"> </w:t>
      </w:r>
      <w:r w:rsidRPr="00550640">
        <w:rPr>
          <w:rFonts w:ascii="Arial" w:hAnsi="Arial" w:cs="Arial"/>
          <w:lang w:val="en-GB"/>
        </w:rPr>
        <w:t>F v F supra at para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8B1E" w14:textId="77777777" w:rsidR="0071624C" w:rsidRDefault="0071624C">
    <w:pPr>
      <w:pStyle w:val="Header1"/>
      <w:jc w:val="right"/>
    </w:pPr>
    <w:r>
      <w:t xml:space="preserve">Page </w:t>
    </w:r>
    <w:r>
      <w:fldChar w:fldCharType="begin"/>
    </w:r>
    <w:r>
      <w:instrText xml:space="preserve"> PAGE   \* MERGEFORMAT </w:instrText>
    </w:r>
    <w:r>
      <w:fldChar w:fldCharType="separate"/>
    </w:r>
    <w:r w:rsidR="002A6A64">
      <w:rPr>
        <w:noProof/>
      </w:rPr>
      <w:t>17</w:t>
    </w:r>
    <w:r>
      <w:rPr>
        <w:noProof/>
      </w:rPr>
      <w:fldChar w:fldCharType="end"/>
    </w:r>
  </w:p>
  <w:p w14:paraId="6F08BAAA" w14:textId="77777777" w:rsidR="0071624C" w:rsidRDefault="0071624C">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17F80"/>
    <w:multiLevelType w:val="hybridMultilevel"/>
    <w:tmpl w:val="55644460"/>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3A"/>
    <w:rsid w:val="0009031D"/>
    <w:rsid w:val="000B49C4"/>
    <w:rsid w:val="000C3154"/>
    <w:rsid w:val="000C3D0E"/>
    <w:rsid w:val="000D09D0"/>
    <w:rsid w:val="00110703"/>
    <w:rsid w:val="00115DFE"/>
    <w:rsid w:val="00131ACC"/>
    <w:rsid w:val="00147714"/>
    <w:rsid w:val="00183BDC"/>
    <w:rsid w:val="00186D11"/>
    <w:rsid w:val="001A35FF"/>
    <w:rsid w:val="001A419F"/>
    <w:rsid w:val="001C21A2"/>
    <w:rsid w:val="001E64FA"/>
    <w:rsid w:val="001F4EAF"/>
    <w:rsid w:val="00201B85"/>
    <w:rsid w:val="00262D3E"/>
    <w:rsid w:val="002A6A64"/>
    <w:rsid w:val="002B1F33"/>
    <w:rsid w:val="002C2F5A"/>
    <w:rsid w:val="002F57CF"/>
    <w:rsid w:val="00317BDE"/>
    <w:rsid w:val="003A1F80"/>
    <w:rsid w:val="003D46CC"/>
    <w:rsid w:val="003F7178"/>
    <w:rsid w:val="00446314"/>
    <w:rsid w:val="00476AC5"/>
    <w:rsid w:val="00536FCB"/>
    <w:rsid w:val="00542ECE"/>
    <w:rsid w:val="00550640"/>
    <w:rsid w:val="0056174E"/>
    <w:rsid w:val="00671A6A"/>
    <w:rsid w:val="006A7784"/>
    <w:rsid w:val="006C1C38"/>
    <w:rsid w:val="006D709C"/>
    <w:rsid w:val="00702649"/>
    <w:rsid w:val="0071624C"/>
    <w:rsid w:val="007523DF"/>
    <w:rsid w:val="00753F41"/>
    <w:rsid w:val="007564E6"/>
    <w:rsid w:val="00787908"/>
    <w:rsid w:val="007A2821"/>
    <w:rsid w:val="007A6A24"/>
    <w:rsid w:val="007B7DE2"/>
    <w:rsid w:val="00890F3B"/>
    <w:rsid w:val="008A06DC"/>
    <w:rsid w:val="008B6F82"/>
    <w:rsid w:val="009041DC"/>
    <w:rsid w:val="009110CB"/>
    <w:rsid w:val="00925406"/>
    <w:rsid w:val="00930D07"/>
    <w:rsid w:val="009521CA"/>
    <w:rsid w:val="00964F38"/>
    <w:rsid w:val="009D133D"/>
    <w:rsid w:val="009E082F"/>
    <w:rsid w:val="00A463FE"/>
    <w:rsid w:val="00A83CF3"/>
    <w:rsid w:val="00A85118"/>
    <w:rsid w:val="00B11964"/>
    <w:rsid w:val="00B35913"/>
    <w:rsid w:val="00B60431"/>
    <w:rsid w:val="00B65570"/>
    <w:rsid w:val="00BF4225"/>
    <w:rsid w:val="00C16810"/>
    <w:rsid w:val="00C46C3A"/>
    <w:rsid w:val="00C52F56"/>
    <w:rsid w:val="00C53F55"/>
    <w:rsid w:val="00D54C35"/>
    <w:rsid w:val="00D769EA"/>
    <w:rsid w:val="00DE3C7E"/>
    <w:rsid w:val="00E111C1"/>
    <w:rsid w:val="00E163A8"/>
    <w:rsid w:val="00E30C89"/>
    <w:rsid w:val="00E4714F"/>
    <w:rsid w:val="00E82B80"/>
    <w:rsid w:val="00EA2CA8"/>
    <w:rsid w:val="00EE5ECF"/>
    <w:rsid w:val="00F266DA"/>
    <w:rsid w:val="00F3532D"/>
    <w:rsid w:val="00F43C1B"/>
    <w:rsid w:val="00F52302"/>
    <w:rsid w:val="00F74861"/>
    <w:rsid w:val="00F914C4"/>
    <w:rsid w:val="00FC2AC4"/>
    <w:rsid w:val="00FF2A79"/>
    <w:rsid w:val="00FF7C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05E7ECB"/>
  <w15:chartTrackingRefBased/>
  <w15:docId w15:val="{D7B38CFD-944E-49B1-B173-2C073445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C46C3A"/>
    <w:pPr>
      <w:tabs>
        <w:tab w:val="center" w:pos="4513"/>
        <w:tab w:val="right" w:pos="9026"/>
      </w:tabs>
      <w:spacing w:after="0" w:line="240" w:lineRule="auto"/>
      <w:jc w:val="both"/>
    </w:pPr>
    <w:rPr>
      <w:rFonts w:ascii="Arial" w:hAnsi="Arial"/>
    </w:rPr>
  </w:style>
  <w:style w:type="character" w:customStyle="1" w:styleId="HeaderChar">
    <w:name w:val="Header Char"/>
    <w:basedOn w:val="DefaultParagraphFont"/>
    <w:link w:val="Header1"/>
    <w:uiPriority w:val="99"/>
    <w:semiHidden/>
    <w:rsid w:val="00C46C3A"/>
    <w:rPr>
      <w:rFonts w:ascii="Arial" w:hAnsi="Arial"/>
    </w:rPr>
  </w:style>
  <w:style w:type="paragraph" w:styleId="Header">
    <w:name w:val="header"/>
    <w:basedOn w:val="Normal"/>
    <w:link w:val="HeaderChar1"/>
    <w:uiPriority w:val="99"/>
    <w:unhideWhenUsed/>
    <w:rsid w:val="00C46C3A"/>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C46C3A"/>
  </w:style>
  <w:style w:type="paragraph" w:customStyle="1" w:styleId="level1">
    <w:name w:val="level1"/>
    <w:basedOn w:val="Normal"/>
    <w:rsid w:val="0044631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C52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F56"/>
  </w:style>
  <w:style w:type="paragraph" w:styleId="FootnoteText">
    <w:name w:val="footnote text"/>
    <w:basedOn w:val="Normal"/>
    <w:link w:val="FootnoteTextChar"/>
    <w:uiPriority w:val="99"/>
    <w:semiHidden/>
    <w:unhideWhenUsed/>
    <w:rsid w:val="0089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F3B"/>
    <w:rPr>
      <w:sz w:val="20"/>
      <w:szCs w:val="20"/>
    </w:rPr>
  </w:style>
  <w:style w:type="character" w:styleId="FootnoteReference">
    <w:name w:val="footnote reference"/>
    <w:basedOn w:val="DefaultParagraphFont"/>
    <w:uiPriority w:val="99"/>
    <w:semiHidden/>
    <w:unhideWhenUsed/>
    <w:rsid w:val="00890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3EC7-D5FC-4245-A4D1-31E40DA6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Graeme Rennie</cp:lastModifiedBy>
  <cp:revision>2</cp:revision>
  <cp:lastPrinted>2021-11-15T05:58:00Z</cp:lastPrinted>
  <dcterms:created xsi:type="dcterms:W3CDTF">2021-11-23T13:21:00Z</dcterms:created>
  <dcterms:modified xsi:type="dcterms:W3CDTF">2021-11-23T13:21:00Z</dcterms:modified>
</cp:coreProperties>
</file>