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615" w14:textId="0C575D14" w:rsidR="00151301" w:rsidRPr="00151301" w:rsidRDefault="00151301" w:rsidP="0037744D">
      <w:pPr>
        <w:spacing w:line="360" w:lineRule="auto"/>
        <w:jc w:val="both"/>
        <w:rPr>
          <w:rFonts w:ascii="Arial" w:hAnsi="Arial" w:cs="Arial"/>
          <w:sz w:val="24"/>
          <w:szCs w:val="24"/>
        </w:rPr>
      </w:pPr>
      <w:r w:rsidRPr="00E25041">
        <w:rPr>
          <w:rFonts w:eastAsia="Calibri"/>
          <w:noProof/>
          <w:lang w:val="en-ZA" w:eastAsia="en-ZA"/>
        </w:rPr>
        <w:drawing>
          <wp:anchor distT="0" distB="0" distL="114300" distR="114300" simplePos="0" relativeHeight="251659264" behindDoc="0" locked="0" layoutInCell="1" allowOverlap="1" wp14:anchorId="6D5C6901" wp14:editId="0D354B45">
            <wp:simplePos x="0" y="0"/>
            <wp:positionH relativeFrom="margin">
              <wp:align>center</wp:align>
            </wp:positionH>
            <wp:positionV relativeFrom="paragraph">
              <wp:posOffset>439</wp:posOffset>
            </wp:positionV>
            <wp:extent cx="1150620" cy="1181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r w:rsidR="003638C0">
        <w:rPr>
          <w:rFonts w:ascii="Arial" w:hAnsi="Arial" w:cs="Arial"/>
          <w:sz w:val="24"/>
          <w:szCs w:val="24"/>
        </w:rPr>
        <w:t xml:space="preserve"> </w:t>
      </w:r>
    </w:p>
    <w:p w14:paraId="6EF214CF" w14:textId="77777777" w:rsidR="00151301" w:rsidRPr="00151301" w:rsidRDefault="00151301" w:rsidP="0037744D">
      <w:pPr>
        <w:spacing w:after="0" w:line="360" w:lineRule="auto"/>
        <w:jc w:val="center"/>
        <w:rPr>
          <w:rFonts w:ascii="Arial" w:hAnsi="Arial" w:cs="Arial"/>
          <w:b/>
          <w:bCs/>
          <w:sz w:val="24"/>
          <w:szCs w:val="24"/>
        </w:rPr>
      </w:pPr>
      <w:r w:rsidRPr="00151301">
        <w:rPr>
          <w:rFonts w:ascii="Arial" w:hAnsi="Arial" w:cs="Arial"/>
          <w:b/>
          <w:bCs/>
          <w:sz w:val="24"/>
          <w:szCs w:val="24"/>
        </w:rPr>
        <w:t>IN THE HIGH COURT OF SOUTH AFRIC</w:t>
      </w:r>
      <w:r w:rsidR="001F287A">
        <w:rPr>
          <w:rFonts w:ascii="Arial" w:hAnsi="Arial" w:cs="Arial"/>
          <w:b/>
          <w:bCs/>
          <w:sz w:val="24"/>
          <w:szCs w:val="24"/>
        </w:rPr>
        <w:t>A</w:t>
      </w:r>
    </w:p>
    <w:p w14:paraId="2C3059EC" w14:textId="55F68621" w:rsidR="00BF68DB" w:rsidRPr="00151301" w:rsidRDefault="00151301" w:rsidP="0037744D">
      <w:pPr>
        <w:pStyle w:val="Heading3"/>
      </w:pPr>
      <w:r w:rsidRPr="00151301">
        <w:t>GAUTENG LOCAL DIVISION, JOHANNESBURG</w:t>
      </w:r>
    </w:p>
    <w:p w14:paraId="2C0C29EE" w14:textId="34A9C7F9" w:rsidR="00151301" w:rsidRPr="001C69ED" w:rsidRDefault="00151301" w:rsidP="0037744D">
      <w:pPr>
        <w:spacing w:after="0" w:line="360" w:lineRule="auto"/>
        <w:ind w:left="6480"/>
        <w:jc w:val="both"/>
        <w:rPr>
          <w:rFonts w:ascii="Arial" w:hAnsi="Arial" w:cs="Arial"/>
          <w:b/>
          <w:bCs/>
          <w:color w:val="000000" w:themeColor="text1"/>
          <w:sz w:val="24"/>
          <w:szCs w:val="24"/>
        </w:rPr>
      </w:pPr>
      <w:r w:rsidRPr="001C69ED">
        <w:rPr>
          <w:rFonts w:ascii="Arial" w:hAnsi="Arial" w:cs="Arial"/>
          <w:b/>
          <w:bCs/>
          <w:color w:val="000000" w:themeColor="text1"/>
          <w:sz w:val="24"/>
          <w:szCs w:val="24"/>
        </w:rPr>
        <w:t xml:space="preserve"> CASE NO: </w:t>
      </w:r>
      <w:r w:rsidR="00BF68DB" w:rsidRPr="001C69ED">
        <w:rPr>
          <w:rFonts w:ascii="Arial" w:hAnsi="Arial" w:cs="Arial"/>
          <w:b/>
          <w:bCs/>
          <w:color w:val="000000" w:themeColor="text1"/>
          <w:sz w:val="24"/>
          <w:szCs w:val="24"/>
        </w:rPr>
        <w:t>32049/2012</w:t>
      </w:r>
    </w:p>
    <w:tbl>
      <w:tblPr>
        <w:tblStyle w:val="TableGrid"/>
        <w:tblW w:w="0" w:type="auto"/>
        <w:tblLook w:val="04A0" w:firstRow="1" w:lastRow="0" w:firstColumn="1" w:lastColumn="0" w:noHBand="0" w:noVBand="1"/>
      </w:tblPr>
      <w:tblGrid>
        <w:gridCol w:w="5382"/>
      </w:tblGrid>
      <w:tr w:rsidR="001C69ED" w14:paraId="1423FE43" w14:textId="77777777" w:rsidTr="001C69ED">
        <w:trPr>
          <w:trHeight w:val="2667"/>
        </w:trPr>
        <w:tc>
          <w:tcPr>
            <w:tcW w:w="5382" w:type="dxa"/>
          </w:tcPr>
          <w:p w14:paraId="6D41E347" w14:textId="77777777" w:rsidR="001C69ED" w:rsidRPr="001C69ED" w:rsidRDefault="001C69ED" w:rsidP="0037744D">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1. Reportable:  No</w:t>
            </w:r>
          </w:p>
          <w:p w14:paraId="13B8FD40" w14:textId="77777777" w:rsidR="001C69ED" w:rsidRPr="001C69ED" w:rsidRDefault="001C69ED" w:rsidP="0037744D">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2. Of interest to other judges: No</w:t>
            </w:r>
          </w:p>
          <w:p w14:paraId="3AD84DCD" w14:textId="1187400E" w:rsidR="001C69ED" w:rsidRDefault="001C69ED" w:rsidP="0037744D">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 xml:space="preserve">3. Revised: Yes </w:t>
            </w:r>
          </w:p>
          <w:p w14:paraId="0CB11688" w14:textId="77777777" w:rsidR="001C69ED" w:rsidRPr="001C69ED" w:rsidRDefault="001C69ED" w:rsidP="0037744D">
            <w:pPr>
              <w:spacing w:line="360" w:lineRule="auto"/>
              <w:jc w:val="both"/>
              <w:rPr>
                <w:rFonts w:ascii="Arial" w:hAnsi="Arial" w:cs="Arial"/>
                <w:color w:val="000000" w:themeColor="text1"/>
                <w:sz w:val="24"/>
                <w:szCs w:val="24"/>
              </w:rPr>
            </w:pPr>
          </w:p>
          <w:p w14:paraId="172D8B3D" w14:textId="227C3197" w:rsidR="001C69ED" w:rsidRPr="001C69ED" w:rsidRDefault="001C69ED" w:rsidP="0037744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1C69ED">
              <w:rPr>
                <w:rFonts w:ascii="Arial" w:hAnsi="Arial" w:cs="Arial"/>
                <w:color w:val="000000" w:themeColor="text1"/>
                <w:sz w:val="24"/>
                <w:szCs w:val="24"/>
              </w:rPr>
              <w:t>____________________</w:t>
            </w:r>
            <w:r>
              <w:rPr>
                <w:rFonts w:ascii="Arial" w:hAnsi="Arial" w:cs="Arial"/>
                <w:color w:val="000000" w:themeColor="text1"/>
                <w:sz w:val="24"/>
                <w:szCs w:val="24"/>
              </w:rPr>
              <w:t xml:space="preserve">              ___________</w:t>
            </w:r>
          </w:p>
          <w:p w14:paraId="28385510" w14:textId="0F590F75" w:rsidR="001C69ED" w:rsidRDefault="001C69ED" w:rsidP="0037744D">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 xml:space="preserve">   (Signature)</w:t>
            </w:r>
            <w:r>
              <w:rPr>
                <w:rFonts w:ascii="Arial" w:hAnsi="Arial" w:cs="Arial"/>
                <w:color w:val="000000" w:themeColor="text1"/>
                <w:sz w:val="24"/>
                <w:szCs w:val="24"/>
              </w:rPr>
              <w:t xml:space="preserve">                                   (Date)</w:t>
            </w:r>
          </w:p>
        </w:tc>
      </w:tr>
    </w:tbl>
    <w:p w14:paraId="69B16819" w14:textId="17D65E25" w:rsidR="00151301" w:rsidRPr="001C69ED" w:rsidRDefault="00151301" w:rsidP="0037744D">
      <w:pPr>
        <w:spacing w:line="360" w:lineRule="auto"/>
        <w:jc w:val="both"/>
        <w:rPr>
          <w:rFonts w:ascii="Arial" w:hAnsi="Arial" w:cs="Arial"/>
          <w:color w:val="000000" w:themeColor="text1"/>
          <w:sz w:val="24"/>
          <w:szCs w:val="24"/>
        </w:rPr>
      </w:pPr>
    </w:p>
    <w:p w14:paraId="0F81C4F5" w14:textId="5CF5C25F" w:rsidR="00151301" w:rsidRPr="001C69ED" w:rsidRDefault="00151301" w:rsidP="0037744D">
      <w:pPr>
        <w:spacing w:line="360" w:lineRule="auto"/>
        <w:jc w:val="both"/>
        <w:rPr>
          <w:rFonts w:ascii="Arial" w:hAnsi="Arial" w:cs="Arial"/>
          <w:color w:val="000000" w:themeColor="text1"/>
          <w:sz w:val="24"/>
          <w:szCs w:val="24"/>
        </w:rPr>
      </w:pPr>
      <w:r w:rsidRPr="001C69ED">
        <w:rPr>
          <w:rFonts w:ascii="Arial" w:hAnsi="Arial" w:cs="Arial"/>
          <w:color w:val="000000" w:themeColor="text1"/>
          <w:sz w:val="24"/>
          <w:szCs w:val="24"/>
        </w:rPr>
        <w:t xml:space="preserve">In the matter between: </w:t>
      </w:r>
    </w:p>
    <w:p w14:paraId="006D9917" w14:textId="5DBF7DB1" w:rsidR="00151301" w:rsidRPr="00151301" w:rsidRDefault="00BF68DB" w:rsidP="0037744D">
      <w:pPr>
        <w:pStyle w:val="Heading1"/>
      </w:pPr>
      <w:r w:rsidRPr="00BF68DB">
        <w:t>NGAJUKA</w:t>
      </w:r>
      <w:r>
        <w:t xml:space="preserve">, </w:t>
      </w:r>
      <w:r w:rsidRPr="00BF68DB">
        <w:t xml:space="preserve">SIYABULELA KISSINGER </w:t>
      </w:r>
      <w:r>
        <w:tab/>
      </w:r>
      <w:r>
        <w:tab/>
      </w:r>
      <w:r>
        <w:tab/>
      </w:r>
      <w:r>
        <w:tab/>
      </w:r>
      <w:r>
        <w:tab/>
      </w:r>
      <w:r>
        <w:tab/>
        <w:t xml:space="preserve">   Plaintiff</w:t>
      </w:r>
    </w:p>
    <w:p w14:paraId="0796AFAC" w14:textId="77777777" w:rsidR="00151301" w:rsidRPr="00151301" w:rsidRDefault="00151301" w:rsidP="0037744D">
      <w:pPr>
        <w:spacing w:line="360" w:lineRule="auto"/>
        <w:jc w:val="both"/>
        <w:rPr>
          <w:rFonts w:ascii="Arial" w:hAnsi="Arial" w:cs="Arial"/>
          <w:sz w:val="24"/>
          <w:szCs w:val="24"/>
        </w:rPr>
      </w:pPr>
      <w:r w:rsidRPr="00151301">
        <w:rPr>
          <w:rFonts w:ascii="Arial" w:hAnsi="Arial" w:cs="Arial"/>
          <w:sz w:val="24"/>
          <w:szCs w:val="24"/>
        </w:rPr>
        <w:t>and</w:t>
      </w:r>
    </w:p>
    <w:p w14:paraId="3ADE0252" w14:textId="2381FDB2" w:rsidR="00151301" w:rsidRPr="00151301" w:rsidRDefault="00BF68DB" w:rsidP="0037744D">
      <w:pPr>
        <w:pStyle w:val="BodyText"/>
      </w:pPr>
      <w:r w:rsidRPr="00BF68DB">
        <w:t>MINISTER OF POLICE</w:t>
      </w:r>
      <w:r w:rsidR="00151301" w:rsidRPr="00151301">
        <w:tab/>
      </w:r>
      <w:r w:rsidR="00151301" w:rsidRPr="00151301">
        <w:tab/>
      </w:r>
      <w:r w:rsidR="00151301" w:rsidRPr="00151301">
        <w:tab/>
        <w:t xml:space="preserve">      </w:t>
      </w:r>
      <w:r w:rsidR="00151301" w:rsidRPr="00151301">
        <w:tab/>
      </w:r>
      <w:r w:rsidR="00151301" w:rsidRPr="00151301">
        <w:tab/>
      </w:r>
      <w:r w:rsidR="00151301" w:rsidRPr="00151301">
        <w:tab/>
      </w:r>
      <w:r w:rsidR="00151301" w:rsidRPr="00151301">
        <w:tab/>
      </w:r>
      <w:r>
        <w:t xml:space="preserve">         Defendant</w:t>
      </w:r>
    </w:p>
    <w:p w14:paraId="720BE8E7" w14:textId="089FD0EA" w:rsidR="006535E2" w:rsidRDefault="00BF68DB" w:rsidP="0037744D">
      <w:pPr>
        <w:pStyle w:val="BodyText2"/>
      </w:pPr>
      <w:r>
        <w:t>Claim for unlawful arrest and</w:t>
      </w:r>
      <w:r w:rsidR="006535E2">
        <w:t xml:space="preserve"> torture of </w:t>
      </w:r>
      <w:r w:rsidR="00E91703">
        <w:t>plaintiff</w:t>
      </w:r>
      <w:r w:rsidR="006535E2">
        <w:t xml:space="preserve">. </w:t>
      </w:r>
      <w:r w:rsidR="00E621B7">
        <w:t>Arrest by</w:t>
      </w:r>
      <w:r w:rsidR="00033694">
        <w:t xml:space="preserve"> a</w:t>
      </w:r>
      <w:r w:rsidR="00E621B7">
        <w:t xml:space="preserve"> private individual</w:t>
      </w:r>
      <w:r>
        <w:t>.</w:t>
      </w:r>
      <w:r w:rsidR="00F8155A">
        <w:t xml:space="preserve"> </w:t>
      </w:r>
    </w:p>
    <w:p w14:paraId="4DF2D7A9" w14:textId="77777777" w:rsidR="00151301" w:rsidRPr="00151301" w:rsidRDefault="00151301" w:rsidP="0037744D">
      <w:pPr>
        <w:spacing w:line="360" w:lineRule="auto"/>
        <w:jc w:val="both"/>
        <w:rPr>
          <w:rFonts w:ascii="Arial" w:hAnsi="Arial" w:cs="Arial"/>
          <w:sz w:val="24"/>
          <w:szCs w:val="24"/>
        </w:rPr>
      </w:pPr>
      <w:r w:rsidRPr="00151301">
        <w:rPr>
          <w:rFonts w:ascii="Arial" w:hAnsi="Arial" w:cs="Arial"/>
          <w:sz w:val="24"/>
          <w:szCs w:val="24"/>
        </w:rPr>
        <w:t>___________________________________________________________________</w:t>
      </w:r>
    </w:p>
    <w:p w14:paraId="78483E0A" w14:textId="77777777" w:rsidR="00151301" w:rsidRPr="00151301" w:rsidRDefault="00151301" w:rsidP="0037744D">
      <w:pPr>
        <w:pStyle w:val="Heading3"/>
        <w:spacing w:after="0"/>
      </w:pPr>
      <w:r w:rsidRPr="00151301">
        <w:t>JUDGMENT</w:t>
      </w:r>
    </w:p>
    <w:p w14:paraId="06810910" w14:textId="77777777" w:rsidR="00151301" w:rsidRPr="00151301" w:rsidRDefault="00151301" w:rsidP="0037744D">
      <w:pPr>
        <w:spacing w:line="360" w:lineRule="auto"/>
        <w:jc w:val="both"/>
        <w:rPr>
          <w:rFonts w:ascii="Arial" w:hAnsi="Arial" w:cs="Arial"/>
          <w:sz w:val="24"/>
          <w:szCs w:val="24"/>
        </w:rPr>
      </w:pPr>
      <w:r w:rsidRPr="00151301">
        <w:rPr>
          <w:rFonts w:ascii="Arial" w:hAnsi="Arial" w:cs="Arial"/>
          <w:sz w:val="24"/>
          <w:szCs w:val="24"/>
        </w:rPr>
        <w:t>___________________________________________________________________</w:t>
      </w:r>
    </w:p>
    <w:p w14:paraId="1F454F01" w14:textId="77777777" w:rsidR="00151301" w:rsidRPr="00151301" w:rsidRDefault="00151301" w:rsidP="0037744D">
      <w:pPr>
        <w:pStyle w:val="BodyText"/>
      </w:pPr>
      <w:r w:rsidRPr="00151301">
        <w:t>DE VILLIERS, AJ:</w:t>
      </w:r>
    </w:p>
    <w:p w14:paraId="5E0918AA" w14:textId="23677347" w:rsidR="00BF68DB" w:rsidRPr="001C69ED" w:rsidRDefault="001C69ED" w:rsidP="004F461C">
      <w:pPr>
        <w:pStyle w:val="BodyText3"/>
        <w:spacing w:after="0"/>
        <w:rPr>
          <w:b/>
          <w:bCs/>
          <w:u w:val="single"/>
        </w:rPr>
      </w:pPr>
      <w:r>
        <w:rPr>
          <w:b/>
          <w:bCs/>
          <w:u w:val="single"/>
        </w:rPr>
        <w:t xml:space="preserve">Procedural history </w:t>
      </w:r>
    </w:p>
    <w:p w14:paraId="3CEF4E20" w14:textId="7A2B0C12" w:rsidR="00BF68DB" w:rsidRPr="00BF68DB" w:rsidRDefault="001D5FD8" w:rsidP="001D5FD8">
      <w:pPr>
        <w:pStyle w:val="BodyText"/>
        <w:ind w:left="822" w:hanging="822"/>
        <w:rPr>
          <w:b w:val="0"/>
          <w:bCs w:val="0"/>
        </w:rPr>
        <w:pPrChange w:id="0" w:author="Graeme Rennie" w:date="2021-11-24T13:14:00Z">
          <w:pPr>
            <w:pStyle w:val="BodyText"/>
            <w:numPr>
              <w:numId w:val="2"/>
            </w:numPr>
            <w:ind w:left="822" w:hanging="822"/>
          </w:pPr>
        </w:pPrChange>
      </w:pPr>
      <w:bookmarkStart w:id="1" w:name="_Hlk50702819"/>
      <w:r w:rsidRPr="00BF68DB">
        <w:rPr>
          <w:b w:val="0"/>
          <w:bCs w:val="0"/>
        </w:rPr>
        <w:t>[1]</w:t>
      </w:r>
      <w:r w:rsidRPr="00BF68DB">
        <w:rPr>
          <w:b w:val="0"/>
          <w:bCs w:val="0"/>
        </w:rPr>
        <w:tab/>
      </w:r>
      <w:r w:rsidR="00750F78">
        <w:rPr>
          <w:b w:val="0"/>
          <w:bCs w:val="0"/>
        </w:rPr>
        <w:t>In issue</w:t>
      </w:r>
      <w:r w:rsidR="0074281A">
        <w:rPr>
          <w:b w:val="0"/>
          <w:bCs w:val="0"/>
        </w:rPr>
        <w:t>,</w:t>
      </w:r>
      <w:r w:rsidR="00750F78">
        <w:rPr>
          <w:b w:val="0"/>
          <w:bCs w:val="0"/>
        </w:rPr>
        <w:t xml:space="preserve"> is a claim for unlawful arrest and torture. </w:t>
      </w:r>
      <w:r w:rsidR="00BF68DB" w:rsidRPr="00BF68DB">
        <w:rPr>
          <w:b w:val="0"/>
          <w:bCs w:val="0"/>
        </w:rPr>
        <w:t>I repeat averments in the pleadings. My silence</w:t>
      </w:r>
      <w:r w:rsidR="00750F78">
        <w:rPr>
          <w:b w:val="0"/>
          <w:bCs w:val="0"/>
        </w:rPr>
        <w:t>,</w:t>
      </w:r>
      <w:r w:rsidR="00BF68DB" w:rsidRPr="00BF68DB">
        <w:rPr>
          <w:b w:val="0"/>
          <w:bCs w:val="0"/>
        </w:rPr>
        <w:t xml:space="preserve"> </w:t>
      </w:r>
      <w:r w:rsidR="00750F78">
        <w:rPr>
          <w:b w:val="0"/>
          <w:bCs w:val="0"/>
        </w:rPr>
        <w:t xml:space="preserve">regrettably, </w:t>
      </w:r>
      <w:r w:rsidR="00BF68DB" w:rsidRPr="00BF68DB">
        <w:rPr>
          <w:b w:val="0"/>
          <w:bCs w:val="0"/>
        </w:rPr>
        <w:t xml:space="preserve">is not complimentary. </w:t>
      </w:r>
      <w:r w:rsidR="00D758A3">
        <w:rPr>
          <w:b w:val="0"/>
          <w:bCs w:val="0"/>
        </w:rPr>
        <w:t>As will appear later, t</w:t>
      </w:r>
      <w:r w:rsidR="005323C1">
        <w:rPr>
          <w:b w:val="0"/>
          <w:bCs w:val="0"/>
        </w:rPr>
        <w:t>he pleadings f</w:t>
      </w:r>
      <w:r w:rsidR="000E77E2">
        <w:rPr>
          <w:b w:val="0"/>
          <w:bCs w:val="0"/>
        </w:rPr>
        <w:t>ai</w:t>
      </w:r>
      <w:r w:rsidR="005323C1">
        <w:rPr>
          <w:b w:val="0"/>
          <w:bCs w:val="0"/>
        </w:rPr>
        <w:t>led in their purpose</w:t>
      </w:r>
      <w:r w:rsidR="000E77E2">
        <w:rPr>
          <w:b w:val="0"/>
          <w:bCs w:val="0"/>
        </w:rPr>
        <w:t xml:space="preserve"> and for some reason</w:t>
      </w:r>
      <w:r w:rsidR="007978C6">
        <w:rPr>
          <w:b w:val="0"/>
          <w:bCs w:val="0"/>
        </w:rPr>
        <w:t>,</w:t>
      </w:r>
      <w:r w:rsidR="000E77E2">
        <w:rPr>
          <w:b w:val="0"/>
          <w:bCs w:val="0"/>
        </w:rPr>
        <w:t xml:space="preserve"> even factually</w:t>
      </w:r>
      <w:r w:rsidR="007978C6">
        <w:rPr>
          <w:b w:val="0"/>
          <w:bCs w:val="0"/>
        </w:rPr>
        <w:t>,</w:t>
      </w:r>
      <w:r w:rsidR="000E77E2">
        <w:rPr>
          <w:b w:val="0"/>
          <w:bCs w:val="0"/>
        </w:rPr>
        <w:t xml:space="preserve"> did </w:t>
      </w:r>
      <w:r w:rsidR="000E77E2">
        <w:rPr>
          <w:b w:val="0"/>
          <w:bCs w:val="0"/>
        </w:rPr>
        <w:lastRenderedPageBreak/>
        <w:t>not accord with the contents of the two discovered dockets.</w:t>
      </w:r>
      <w:r w:rsidR="003C2189">
        <w:rPr>
          <w:b w:val="0"/>
          <w:bCs w:val="0"/>
        </w:rPr>
        <w:t xml:space="preserve"> I reflect the </w:t>
      </w:r>
      <w:r w:rsidR="00C00390">
        <w:rPr>
          <w:b w:val="0"/>
          <w:bCs w:val="0"/>
        </w:rPr>
        <w:t xml:space="preserve">procedural </w:t>
      </w:r>
      <w:r w:rsidR="003C2189">
        <w:rPr>
          <w:b w:val="0"/>
          <w:bCs w:val="0"/>
        </w:rPr>
        <w:t xml:space="preserve">history in some detail as the versions set out in a statutory notice, in the pleadings and in the amendments to the pleadings would become relevant in assessing the evidence. </w:t>
      </w:r>
    </w:p>
    <w:p w14:paraId="4394E80F" w14:textId="0B3B39F4" w:rsidR="00BF68DB" w:rsidRPr="00BF68DB" w:rsidRDefault="001D5FD8" w:rsidP="001D5FD8">
      <w:pPr>
        <w:ind w:left="822" w:hanging="822"/>
        <w:pPrChange w:id="2" w:author="Graeme Rennie" w:date="2021-11-24T13:14:00Z">
          <w:pPr>
            <w:pStyle w:val="ListParagraph"/>
            <w:numPr>
              <w:numId w:val="2"/>
            </w:numPr>
            <w:ind w:left="822" w:hanging="822"/>
            <w:contextualSpacing w:val="0"/>
          </w:pPr>
        </w:pPrChange>
      </w:pPr>
      <w:r w:rsidRPr="00BF68DB">
        <w:rPr>
          <w:rFonts w:ascii="Arial" w:hAnsi="Arial" w:cs="Arial"/>
          <w:sz w:val="24"/>
          <w:szCs w:val="24"/>
        </w:rPr>
        <w:t>[2]</w:t>
      </w:r>
      <w:r w:rsidRPr="00BF68DB">
        <w:rPr>
          <w:rFonts w:ascii="Arial" w:hAnsi="Arial" w:cs="Arial"/>
          <w:sz w:val="24"/>
          <w:szCs w:val="24"/>
        </w:rPr>
        <w:tab/>
      </w:r>
      <w:r w:rsidR="00BF68DB" w:rsidRPr="00BF68DB">
        <w:t>The plaintiff gave notice to the defendant of his intention to institute an action for damages on 27 July 2010</w:t>
      </w:r>
      <w:r w:rsidR="007978C6">
        <w:t>,</w:t>
      </w:r>
      <w:r w:rsidR="00BF68DB" w:rsidRPr="00BF68DB">
        <w:t xml:space="preserve"> in terms of the </w:t>
      </w:r>
      <w:r w:rsidR="00BF68DB" w:rsidRPr="001D5FD8">
        <w:rPr>
          <w:i/>
          <w:iCs/>
        </w:rPr>
        <w:t>Institution of Legal Proceedings Against Certain Organs of State</w:t>
      </w:r>
      <w:r w:rsidR="00BF68DB" w:rsidRPr="001D5FD8">
        <w:rPr>
          <w:iCs/>
        </w:rPr>
        <w:t xml:space="preserve"> Act</w:t>
      </w:r>
      <w:r w:rsidR="00BF68DB" w:rsidRPr="00CA070A">
        <w:t xml:space="preserve"> </w:t>
      </w:r>
      <w:r w:rsidR="00BF68DB" w:rsidRPr="00BF68DB">
        <w:t xml:space="preserve">40 of 2002. </w:t>
      </w:r>
      <w:r w:rsidR="00BF68DB" w:rsidRPr="00450374">
        <w:t>The notice alleged that the plaintiff was arrested on 29 July 2010 for theft of a motor vehicle, detained and prosecuted.</w:t>
      </w:r>
      <w:r w:rsidR="00BF68DB" w:rsidRPr="00BF68DB">
        <w:t xml:space="preserve"> The police station was not identified</w:t>
      </w:r>
      <w:r w:rsidR="0037744D">
        <w:t xml:space="preserve"> in the notice</w:t>
      </w:r>
      <w:r w:rsidR="00BF68DB" w:rsidRPr="00BF68DB">
        <w:t xml:space="preserve">, but </w:t>
      </w:r>
      <w:r w:rsidR="00750F78">
        <w:t xml:space="preserve">it could be identified as </w:t>
      </w:r>
      <w:r w:rsidR="00BF68DB" w:rsidRPr="00BF68DB">
        <w:t xml:space="preserve">a Zonkiziwe (Police Station) docket number was reflected. It was alleged </w:t>
      </w:r>
      <w:r w:rsidR="0037744D">
        <w:t xml:space="preserve">in the notice </w:t>
      </w:r>
      <w:r w:rsidR="00BF68DB" w:rsidRPr="00BF68DB">
        <w:t xml:space="preserve">that the members of the South African Police Services had no reasonable cause for the arrest of the plaintiff as there was no </w:t>
      </w:r>
      <w:r w:rsidR="00BF68DB" w:rsidRPr="001D5FD8">
        <w:rPr>
          <w:i/>
          <w:iCs/>
        </w:rPr>
        <w:t>prima facie</w:t>
      </w:r>
      <w:r w:rsidR="00BF68DB" w:rsidRPr="00BF68DB">
        <w:t xml:space="preserve"> evidence linking the plaintiff to the theft</w:t>
      </w:r>
      <w:r w:rsidR="00443A04">
        <w:t xml:space="preserve"> of the motor vehicle</w:t>
      </w:r>
      <w:r w:rsidR="00BF68DB" w:rsidRPr="00BF68DB">
        <w:t xml:space="preserve">. </w:t>
      </w:r>
      <w:r w:rsidR="00BF68DB" w:rsidRPr="00450374">
        <w:t xml:space="preserve">It was alleged </w:t>
      </w:r>
      <w:r w:rsidR="0037744D" w:rsidRPr="00450374">
        <w:t xml:space="preserve">in the notice </w:t>
      </w:r>
      <w:r w:rsidR="00BF68DB" w:rsidRPr="00450374">
        <w:t xml:space="preserve">that the plaintiff was detained from 29 </w:t>
      </w:r>
      <w:r w:rsidR="00BF68DB" w:rsidRPr="003638C0">
        <w:t>August 2010</w:t>
      </w:r>
      <w:r w:rsidR="00450374">
        <w:rPr>
          <w:rStyle w:val="FootnoteReference"/>
        </w:rPr>
        <w:footnoteReference w:id="1"/>
      </w:r>
      <w:r w:rsidR="00BF68DB" w:rsidRPr="00450374">
        <w:t xml:space="preserve"> to 5 November 2010</w:t>
      </w:r>
      <w:r w:rsidR="00BF68DB" w:rsidRPr="00BF68DB">
        <w:t xml:space="preserve"> when the matter was withdrawn. The </w:t>
      </w:r>
      <w:r w:rsidR="0037744D">
        <w:t xml:space="preserve">notice advised that the </w:t>
      </w:r>
      <w:r w:rsidR="00BF68DB" w:rsidRPr="00BF68DB">
        <w:t xml:space="preserve">amounts </w:t>
      </w:r>
      <w:r w:rsidR="00750F78">
        <w:t xml:space="preserve">of damages </w:t>
      </w:r>
      <w:r w:rsidR="00BF68DB" w:rsidRPr="00BF68DB">
        <w:t xml:space="preserve">that </w:t>
      </w:r>
      <w:r w:rsidR="000F5F7F">
        <w:t>were</w:t>
      </w:r>
      <w:r w:rsidR="00BF68DB" w:rsidRPr="00BF68DB">
        <w:t xml:space="preserve"> claimed were R800 000.00 for </w:t>
      </w:r>
      <w:r w:rsidR="0037744D">
        <w:t xml:space="preserve">the </w:t>
      </w:r>
      <w:r w:rsidR="00BF68DB" w:rsidRPr="00BF68DB">
        <w:t xml:space="preserve">arrest and detention, R150 000.00 for malicious prosecution, and R100 000.00 for </w:t>
      </w:r>
      <w:r w:rsidR="00BF68DB" w:rsidRPr="001D5FD8">
        <w:rPr>
          <w:i/>
          <w:iCs/>
        </w:rPr>
        <w:t>contumelia</w:t>
      </w:r>
      <w:r w:rsidR="00BF68DB" w:rsidRPr="00BF68DB">
        <w:t xml:space="preserve"> and violation of </w:t>
      </w:r>
      <w:r w:rsidR="00BF68DB" w:rsidRPr="001D5FD8">
        <w:rPr>
          <w:i/>
          <w:iCs/>
        </w:rPr>
        <w:t>dignitas</w:t>
      </w:r>
      <w:r w:rsidR="00BF68DB" w:rsidRPr="00BF68DB">
        <w:t xml:space="preserve">, </w:t>
      </w:r>
      <w:r w:rsidR="00450374">
        <w:t xml:space="preserve">being </w:t>
      </w:r>
      <w:r w:rsidR="00BF68DB" w:rsidRPr="00BF68DB">
        <w:t xml:space="preserve">a total of R1 050 000.00. </w:t>
      </w:r>
      <w:r w:rsidR="000E77E2" w:rsidRPr="000E77E2">
        <w:t xml:space="preserve">The </w:t>
      </w:r>
      <w:r w:rsidR="000E77E2">
        <w:t xml:space="preserve">claim for </w:t>
      </w:r>
      <w:r w:rsidR="000E77E2" w:rsidRPr="000E77E2">
        <w:t xml:space="preserve">malicious prosecution </w:t>
      </w:r>
      <w:r w:rsidR="000E77E2">
        <w:t xml:space="preserve">and the claims for </w:t>
      </w:r>
      <w:r w:rsidR="000E77E2" w:rsidRPr="001D5FD8">
        <w:rPr>
          <w:i/>
          <w:iCs/>
        </w:rPr>
        <w:t>contumelia</w:t>
      </w:r>
      <w:r w:rsidR="000E77E2" w:rsidRPr="000E77E2">
        <w:t xml:space="preserve"> and violation of </w:t>
      </w:r>
      <w:r w:rsidR="000E77E2" w:rsidRPr="001D5FD8">
        <w:rPr>
          <w:i/>
          <w:iCs/>
        </w:rPr>
        <w:t xml:space="preserve">dignitas </w:t>
      </w:r>
      <w:r w:rsidR="000E77E2">
        <w:t xml:space="preserve">(if distinct causes of action), were not pursued </w:t>
      </w:r>
      <w:r w:rsidR="00450374">
        <w:t>in the summons that followed</w:t>
      </w:r>
      <w:r w:rsidR="000E77E2">
        <w:t xml:space="preserve">. </w:t>
      </w:r>
      <w:r w:rsidR="00BF68DB" w:rsidRPr="00BF68DB">
        <w:t xml:space="preserve">No mention was made of an assault </w:t>
      </w:r>
      <w:r w:rsidR="00750F78">
        <w:t xml:space="preserve">or torture </w:t>
      </w:r>
      <w:r w:rsidR="00BF68DB" w:rsidRPr="00BF68DB">
        <w:t>by members of the police force</w:t>
      </w:r>
      <w:r w:rsidR="0037744D">
        <w:t xml:space="preserve"> in the notice, and no amount </w:t>
      </w:r>
      <w:r w:rsidR="00443A04">
        <w:t xml:space="preserve">was </w:t>
      </w:r>
      <w:r w:rsidR="0037744D">
        <w:t>claimed in respect thereof.</w:t>
      </w:r>
      <w:r w:rsidR="00443A04">
        <w:t xml:space="preserve"> </w:t>
      </w:r>
      <w:r w:rsidR="00450374">
        <w:t>However, such claims were included in the summons that followed.</w:t>
      </w:r>
    </w:p>
    <w:p w14:paraId="0256C86D" w14:textId="4726B80C" w:rsidR="00D758A3" w:rsidRDefault="001D5FD8" w:rsidP="001D5FD8">
      <w:pPr>
        <w:ind w:left="822" w:hanging="822"/>
        <w:pPrChange w:id="3" w:author="Graeme Rennie" w:date="2021-11-24T13:14:00Z">
          <w:pPr>
            <w:pStyle w:val="ListParagraph"/>
            <w:numPr>
              <w:numId w:val="2"/>
            </w:numPr>
            <w:ind w:left="822" w:hanging="822"/>
            <w:contextualSpacing w:val="0"/>
          </w:pPr>
        </w:pPrChange>
      </w:pPr>
      <w:r>
        <w:rPr>
          <w:rFonts w:ascii="Arial" w:hAnsi="Arial" w:cs="Arial"/>
          <w:sz w:val="24"/>
          <w:szCs w:val="24"/>
        </w:rPr>
        <w:t>[3]</w:t>
      </w:r>
      <w:r>
        <w:rPr>
          <w:rFonts w:ascii="Arial" w:hAnsi="Arial" w:cs="Arial"/>
          <w:sz w:val="24"/>
          <w:szCs w:val="24"/>
        </w:rPr>
        <w:tab/>
      </w:r>
      <w:r w:rsidR="0037744D">
        <w:t>More than two years later, o</w:t>
      </w:r>
      <w:r w:rsidR="00BF68DB" w:rsidRPr="00BF68DB">
        <w:t>n 24 August 2012</w:t>
      </w:r>
      <w:r w:rsidR="00CA070A">
        <w:t>,</w:t>
      </w:r>
      <w:r w:rsidR="00BF68DB" w:rsidRPr="00BF68DB">
        <w:t xml:space="preserve"> the plaintiff issued a summons against the defendant</w:t>
      </w:r>
      <w:r w:rsidR="00443A04">
        <w:t>, and o</w:t>
      </w:r>
      <w:r w:rsidR="00BF68DB" w:rsidRPr="00BF68DB">
        <w:t>n 25 September 2012</w:t>
      </w:r>
      <w:r w:rsidR="00CA070A">
        <w:t>,</w:t>
      </w:r>
      <w:r w:rsidR="00BF68DB" w:rsidRPr="00BF68DB">
        <w:t xml:space="preserve"> the plaintiff served the summons. </w:t>
      </w:r>
      <w:r w:rsidR="00D758A3">
        <w:t xml:space="preserve">Relevant are the following: </w:t>
      </w:r>
    </w:p>
    <w:p w14:paraId="0FD420EB" w14:textId="2999B9E0" w:rsidR="00443A04" w:rsidRDefault="001D5FD8" w:rsidP="001D5FD8">
      <w:pPr>
        <w:tabs>
          <w:tab w:val="left" w:pos="1814"/>
        </w:tabs>
        <w:ind w:left="1814" w:hanging="992"/>
        <w:pPrChange w:id="4" w:author="Graeme Rennie" w:date="2021-11-24T13:14:00Z">
          <w:pPr>
            <w:pStyle w:val="ListParagraph"/>
            <w:numPr>
              <w:ilvl w:val="1"/>
              <w:numId w:val="2"/>
            </w:numPr>
            <w:tabs>
              <w:tab w:val="num" w:pos="1814"/>
            </w:tabs>
            <w:ind w:left="1814"/>
            <w:contextualSpacing w:val="0"/>
          </w:pPr>
        </w:pPrChange>
      </w:pPr>
      <w:r>
        <w:rPr>
          <w:rFonts w:ascii="Arial" w:hAnsi="Arial" w:cs="Times New Roman"/>
          <w:sz w:val="24"/>
          <w:szCs w:val="24"/>
        </w:rPr>
        <w:t>[3.1]</w:t>
      </w:r>
      <w:r>
        <w:rPr>
          <w:rFonts w:ascii="Arial" w:hAnsi="Arial" w:cs="Times New Roman"/>
          <w:sz w:val="24"/>
          <w:szCs w:val="24"/>
        </w:rPr>
        <w:tab/>
      </w:r>
      <w:r w:rsidR="00D758A3">
        <w:t>T</w:t>
      </w:r>
      <w:r w:rsidR="00BF68DB" w:rsidRPr="00BF68DB">
        <w:t>he plaintiff alleged that he was unemployed, and resided at “</w:t>
      </w:r>
      <w:bookmarkStart w:id="5" w:name="_Hlk83037729"/>
      <w:r w:rsidR="00BF68DB" w:rsidRPr="001D5FD8">
        <w:rPr>
          <w:i/>
          <w:iCs/>
        </w:rPr>
        <w:t>535 section Katlehong, Gauteng</w:t>
      </w:r>
      <w:bookmarkEnd w:id="5"/>
      <w:r w:rsidR="00BF68DB" w:rsidRPr="00BF68DB">
        <w:t xml:space="preserve">”, where </w:t>
      </w:r>
      <w:r w:rsidR="00750F78" w:rsidRPr="00442500">
        <w:t>it was</w:t>
      </w:r>
      <w:r w:rsidR="00BF68DB" w:rsidRPr="00442500">
        <w:t xml:space="preserve"> pleaded</w:t>
      </w:r>
      <w:r w:rsidR="000F5F7F" w:rsidRPr="00442500">
        <w:t xml:space="preserve"> that</w:t>
      </w:r>
      <w:r w:rsidR="00BF68DB" w:rsidRPr="00442500">
        <w:t xml:space="preserve"> he was arrested by unknown police officers on 29 July 2010.</w:t>
      </w:r>
      <w:r w:rsidR="00BF68DB" w:rsidRPr="00BF68DB">
        <w:t xml:space="preserve"> </w:t>
      </w:r>
      <w:r w:rsidR="00750F78">
        <w:t>It was</w:t>
      </w:r>
      <w:r w:rsidR="00BF68DB" w:rsidRPr="00BF68DB">
        <w:t xml:space="preserve"> alleged that the arrest was unlawful in that the police did not have a warrant for </w:t>
      </w:r>
      <w:r w:rsidR="00750F78">
        <w:t>the plaintiff’s</w:t>
      </w:r>
      <w:r w:rsidR="00BF68DB" w:rsidRPr="00BF68DB">
        <w:t xml:space="preserve"> arrest and as “</w:t>
      </w:r>
      <w:r w:rsidR="00BF68DB" w:rsidRPr="001D5FD8">
        <w:rPr>
          <w:i/>
          <w:iCs/>
        </w:rPr>
        <w:t>there was no reasonable basis for the Policemen to suspect that the Plaintiff has committed any offence</w:t>
      </w:r>
      <w:r w:rsidR="00BF68DB" w:rsidRPr="00BF68DB">
        <w:t xml:space="preserve">”. </w:t>
      </w:r>
      <w:r w:rsidR="00CE2A77">
        <w:t>The plaintiff would later testify</w:t>
      </w:r>
      <w:r w:rsidR="00443A04">
        <w:t xml:space="preserve"> that he resided at a different address</w:t>
      </w:r>
      <w:r w:rsidR="00D758A3">
        <w:t>;</w:t>
      </w:r>
      <w:r w:rsidR="00443A04">
        <w:t xml:space="preserve"> </w:t>
      </w:r>
    </w:p>
    <w:p w14:paraId="4014A93A" w14:textId="155ADCC1" w:rsidR="00443A04" w:rsidRDefault="001D5FD8" w:rsidP="001D5FD8">
      <w:pPr>
        <w:tabs>
          <w:tab w:val="left" w:pos="1814"/>
        </w:tabs>
        <w:ind w:left="1814" w:hanging="992"/>
        <w:pPrChange w:id="6" w:author="Graeme Rennie" w:date="2021-11-24T13:14:00Z">
          <w:pPr>
            <w:pStyle w:val="ListParagraph"/>
            <w:numPr>
              <w:ilvl w:val="1"/>
              <w:numId w:val="2"/>
            </w:numPr>
            <w:tabs>
              <w:tab w:val="num" w:pos="1814"/>
            </w:tabs>
            <w:ind w:left="1814"/>
            <w:contextualSpacing w:val="0"/>
          </w:pPr>
        </w:pPrChange>
      </w:pPr>
      <w:r>
        <w:rPr>
          <w:rFonts w:ascii="Arial" w:hAnsi="Arial" w:cs="Times New Roman"/>
          <w:sz w:val="24"/>
          <w:szCs w:val="24"/>
        </w:rPr>
        <w:t>[3.2]</w:t>
      </w:r>
      <w:r>
        <w:rPr>
          <w:rFonts w:ascii="Arial" w:hAnsi="Arial" w:cs="Times New Roman"/>
          <w:sz w:val="24"/>
          <w:szCs w:val="24"/>
        </w:rPr>
        <w:tab/>
      </w:r>
      <w:r w:rsidR="00750F78">
        <w:t>It was pleaded further</w:t>
      </w:r>
      <w:r w:rsidR="000F5F7F">
        <w:t xml:space="preserve"> </w:t>
      </w:r>
      <w:r w:rsidR="00BF68DB" w:rsidRPr="00BF68DB">
        <w:t xml:space="preserve">that </w:t>
      </w:r>
      <w:r w:rsidR="00750F78">
        <w:t>the plaintiff</w:t>
      </w:r>
      <w:r w:rsidR="00BF68DB" w:rsidRPr="00BF68DB">
        <w:t xml:space="preserve"> was not released on bail “</w:t>
      </w:r>
      <w:r w:rsidR="00BF68DB" w:rsidRPr="001D5FD8">
        <w:rPr>
          <w:i/>
          <w:iCs/>
          <w:rPrChange w:id="7" w:author="Graeme Rennie" w:date="2021-11-24T13:14:00Z">
            <w:rPr/>
          </w:rPrChange>
        </w:rPr>
        <w:t xml:space="preserve">on his first appearance as </w:t>
      </w:r>
      <w:bookmarkStart w:id="8" w:name="_Hlk87282781"/>
      <w:r w:rsidR="00BF68DB" w:rsidRPr="001D5FD8">
        <w:rPr>
          <w:i/>
          <w:iCs/>
          <w:rPrChange w:id="9" w:author="Graeme Rennie" w:date="2021-11-24T13:14:00Z">
            <w:rPr/>
          </w:rPrChange>
        </w:rPr>
        <w:t>the policeman investigating the case misled the prosecutor into believing that there was strong evidence against the Plaintiff which was still to be obtained</w:t>
      </w:r>
      <w:bookmarkEnd w:id="8"/>
      <w:r w:rsidR="00BF68DB" w:rsidRPr="00BF68DB">
        <w:t>”</w:t>
      </w:r>
      <w:r w:rsidR="00D758A3">
        <w:t xml:space="preserve">. It would later transpire that the police officer was a female; </w:t>
      </w:r>
    </w:p>
    <w:p w14:paraId="59DBD3BF" w14:textId="4C784BB9" w:rsidR="00443A04" w:rsidRPr="000F5F7F" w:rsidRDefault="001D5FD8" w:rsidP="001D5FD8">
      <w:pPr>
        <w:tabs>
          <w:tab w:val="left" w:pos="1814"/>
        </w:tabs>
        <w:ind w:left="1814" w:hanging="992"/>
        <w:pPrChange w:id="10" w:author="Graeme Rennie" w:date="2021-11-24T13:14:00Z">
          <w:pPr>
            <w:pStyle w:val="ListParagraph"/>
            <w:numPr>
              <w:ilvl w:val="1"/>
              <w:numId w:val="2"/>
            </w:numPr>
            <w:tabs>
              <w:tab w:val="num" w:pos="1814"/>
            </w:tabs>
            <w:ind w:left="1814"/>
            <w:contextualSpacing w:val="0"/>
          </w:pPr>
        </w:pPrChange>
      </w:pPr>
      <w:r w:rsidRPr="000F5F7F">
        <w:rPr>
          <w:rFonts w:ascii="Arial" w:hAnsi="Arial" w:cs="Times New Roman"/>
          <w:sz w:val="24"/>
          <w:szCs w:val="24"/>
        </w:rPr>
        <w:t>[3.3]</w:t>
      </w:r>
      <w:r w:rsidRPr="000F5F7F">
        <w:rPr>
          <w:rFonts w:ascii="Arial" w:hAnsi="Arial" w:cs="Times New Roman"/>
          <w:sz w:val="24"/>
          <w:szCs w:val="24"/>
        </w:rPr>
        <w:tab/>
      </w:r>
      <w:r w:rsidR="00CE2A77" w:rsidRPr="000F5F7F">
        <w:t>It was</w:t>
      </w:r>
      <w:r w:rsidR="00443A04" w:rsidRPr="000F5F7F">
        <w:t xml:space="preserve"> </w:t>
      </w:r>
      <w:r w:rsidR="0089024C" w:rsidRPr="000F5F7F">
        <w:t xml:space="preserve">further </w:t>
      </w:r>
      <w:r w:rsidR="00443A04" w:rsidRPr="000F5F7F">
        <w:t xml:space="preserve">pleaded that </w:t>
      </w:r>
      <w:r w:rsidR="00CE2A77" w:rsidRPr="000F5F7F">
        <w:t>the plaintiff</w:t>
      </w:r>
      <w:r w:rsidR="00443A04" w:rsidRPr="000F5F7F">
        <w:t xml:space="preserve"> </w:t>
      </w:r>
      <w:r w:rsidR="00BF68DB" w:rsidRPr="000F5F7F">
        <w:t xml:space="preserve">was released on bail </w:t>
      </w:r>
      <w:r w:rsidR="00BF68DB" w:rsidRPr="00442500">
        <w:t xml:space="preserve">on 24 August 2010 </w:t>
      </w:r>
      <w:bookmarkStart w:id="11" w:name="_Hlk80007756"/>
      <w:r w:rsidR="00BF68DB" w:rsidRPr="00442500">
        <w:t xml:space="preserve">(and not </w:t>
      </w:r>
      <w:r w:rsidR="0089024C" w:rsidRPr="00442500">
        <w:t xml:space="preserve">on </w:t>
      </w:r>
      <w:r w:rsidR="00BF68DB" w:rsidRPr="00442500">
        <w:t>5 November 2010 as previously alleged</w:t>
      </w:r>
      <w:r w:rsidR="0037744D" w:rsidRPr="00442500">
        <w:t xml:space="preserve"> in the </w:t>
      </w:r>
      <w:r w:rsidR="00CE2A77" w:rsidRPr="00442500">
        <w:t xml:space="preserve">statutory </w:t>
      </w:r>
      <w:r w:rsidR="0037744D" w:rsidRPr="00442500">
        <w:t>notice</w:t>
      </w:r>
      <w:r w:rsidR="00BF68DB" w:rsidRPr="00442500">
        <w:t>)</w:t>
      </w:r>
      <w:bookmarkEnd w:id="11"/>
      <w:r w:rsidR="00BF68DB" w:rsidRPr="00442500">
        <w:t xml:space="preserve">. </w:t>
      </w:r>
      <w:r w:rsidR="00CE2A77" w:rsidRPr="00442500">
        <w:t>The plaintiff would later testify that</w:t>
      </w:r>
      <w:r w:rsidR="0089024C" w:rsidRPr="00442500">
        <w:t xml:space="preserve"> he</w:t>
      </w:r>
      <w:r w:rsidR="00CE2A77" w:rsidRPr="00442500">
        <w:t xml:space="preserve"> </w:t>
      </w:r>
      <w:r w:rsidR="00443A04" w:rsidRPr="00442500">
        <w:t xml:space="preserve">was released on </w:t>
      </w:r>
      <w:r w:rsidR="00E621B7" w:rsidRPr="00442500">
        <w:t>1</w:t>
      </w:r>
      <w:r w:rsidR="00443A04" w:rsidRPr="00442500">
        <w:t>9 August 2010</w:t>
      </w:r>
      <w:r w:rsidR="00D758A3">
        <w:t>;</w:t>
      </w:r>
      <w:r w:rsidR="00443A04" w:rsidRPr="000F5F7F">
        <w:t xml:space="preserve"> </w:t>
      </w:r>
    </w:p>
    <w:p w14:paraId="60E6BC2C" w14:textId="1856A549" w:rsidR="00443A04" w:rsidRDefault="001D5FD8" w:rsidP="001D5FD8">
      <w:pPr>
        <w:tabs>
          <w:tab w:val="left" w:pos="1814"/>
        </w:tabs>
        <w:ind w:left="1814" w:hanging="992"/>
        <w:pPrChange w:id="12" w:author="Graeme Rennie" w:date="2021-11-24T13:14:00Z">
          <w:pPr>
            <w:pStyle w:val="ListParagraph"/>
            <w:numPr>
              <w:ilvl w:val="1"/>
              <w:numId w:val="2"/>
            </w:numPr>
            <w:tabs>
              <w:tab w:val="num" w:pos="1814"/>
            </w:tabs>
            <w:ind w:left="1814"/>
            <w:contextualSpacing w:val="0"/>
          </w:pPr>
        </w:pPrChange>
      </w:pPr>
      <w:r>
        <w:rPr>
          <w:rFonts w:ascii="Arial" w:hAnsi="Arial" w:cs="Times New Roman"/>
          <w:sz w:val="24"/>
          <w:szCs w:val="24"/>
        </w:rPr>
        <w:t>[3.4]</w:t>
      </w:r>
      <w:r>
        <w:rPr>
          <w:rFonts w:ascii="Arial" w:hAnsi="Arial" w:cs="Times New Roman"/>
          <w:sz w:val="24"/>
          <w:szCs w:val="24"/>
        </w:rPr>
        <w:tab/>
      </w:r>
      <w:r w:rsidR="00443A04" w:rsidRPr="00443A04">
        <w:t>The plaintiff</w:t>
      </w:r>
      <w:r w:rsidR="00443A04">
        <w:t xml:space="preserve"> </w:t>
      </w:r>
      <w:r w:rsidR="00BF68DB" w:rsidRPr="00BF68DB">
        <w:t>did raise assault in the summons and did so as follows: “</w:t>
      </w:r>
      <w:r w:rsidR="00BF68DB" w:rsidRPr="001D5FD8">
        <w:rPr>
          <w:i/>
          <w:iCs/>
          <w:rPrChange w:id="13" w:author="Graeme Rennie" w:date="2021-11-24T13:14:00Z">
            <w:rPr/>
          </w:rPrChange>
        </w:rPr>
        <w:t xml:space="preserve">At the time of his arrest and during the course of his detention, the Plaintiff was assaulted by some policemen whose identity are unknown to the Plaintiff. And the said </w:t>
      </w:r>
      <w:r w:rsidR="00BF68DB" w:rsidRPr="001D5FD8">
        <w:rPr>
          <w:i/>
          <w:iCs/>
          <w:rPrChange w:id="14" w:author="Graeme Rennie" w:date="2021-11-24T13:14:00Z">
            <w:rPr/>
          </w:rPrChange>
        </w:rPr>
        <w:lastRenderedPageBreak/>
        <w:t>assault was wrongful and unlawful</w:t>
      </w:r>
      <w:r w:rsidR="00BF68DB" w:rsidRPr="00BF68DB">
        <w:t xml:space="preserve">.” </w:t>
      </w:r>
      <w:r w:rsidR="00CE2A77" w:rsidRPr="00CE2A77">
        <w:t xml:space="preserve">The plaintiff would later testify </w:t>
      </w:r>
      <w:r w:rsidR="008C3557">
        <w:t>that he was assaulted and tortured by the persons who arrested him, but did not testify about any assault subsequent to their arrival at the police station, where he was detained</w:t>
      </w:r>
      <w:r w:rsidR="00D758A3">
        <w:t>; and</w:t>
      </w:r>
    </w:p>
    <w:p w14:paraId="42975766" w14:textId="07B4BF64" w:rsidR="00BF68DB" w:rsidRPr="00BF68DB" w:rsidRDefault="001D5FD8" w:rsidP="001D5FD8">
      <w:pPr>
        <w:tabs>
          <w:tab w:val="left" w:pos="1814"/>
        </w:tabs>
        <w:ind w:left="1814" w:hanging="992"/>
        <w:pPrChange w:id="15" w:author="Graeme Rennie" w:date="2021-11-24T13:14:00Z">
          <w:pPr>
            <w:pStyle w:val="ListParagraph"/>
            <w:numPr>
              <w:ilvl w:val="1"/>
              <w:numId w:val="2"/>
            </w:numPr>
            <w:tabs>
              <w:tab w:val="num" w:pos="1814"/>
            </w:tabs>
            <w:ind w:left="1814"/>
            <w:contextualSpacing w:val="0"/>
          </w:pPr>
        </w:pPrChange>
      </w:pPr>
      <w:r w:rsidRPr="00BF68DB">
        <w:rPr>
          <w:rFonts w:ascii="Arial" w:hAnsi="Arial" w:cs="Times New Roman"/>
          <w:sz w:val="24"/>
          <w:szCs w:val="24"/>
        </w:rPr>
        <w:t>[3.5]</w:t>
      </w:r>
      <w:r w:rsidRPr="00BF68DB">
        <w:rPr>
          <w:rFonts w:ascii="Arial" w:hAnsi="Arial" w:cs="Times New Roman"/>
          <w:sz w:val="24"/>
          <w:szCs w:val="24"/>
        </w:rPr>
        <w:tab/>
      </w:r>
      <w:r w:rsidR="008C3557" w:rsidRPr="008C3557">
        <w:t xml:space="preserve">The plaintiff </w:t>
      </w:r>
      <w:r w:rsidR="00BF68DB" w:rsidRPr="00BF68DB">
        <w:t xml:space="preserve">claimed damages </w:t>
      </w:r>
      <w:r w:rsidR="00CD2472">
        <w:t xml:space="preserve">in the amount </w:t>
      </w:r>
      <w:r w:rsidR="00BF68DB" w:rsidRPr="00BF68DB">
        <w:t>of R150 000.00</w:t>
      </w:r>
      <w:r w:rsidR="00CD2472">
        <w:t xml:space="preserve"> </w:t>
      </w:r>
      <w:r w:rsidR="00CD2472" w:rsidRPr="00BF68DB">
        <w:t>for unlawful arrest</w:t>
      </w:r>
      <w:r w:rsidR="00BF68DB" w:rsidRPr="00BF68DB">
        <w:t xml:space="preserve">, </w:t>
      </w:r>
      <w:r w:rsidR="00D758A3" w:rsidRPr="00D758A3">
        <w:t xml:space="preserve">the amount of </w:t>
      </w:r>
      <w:r w:rsidR="00BF68DB" w:rsidRPr="00BF68DB">
        <w:t>R500 000.00</w:t>
      </w:r>
      <w:r w:rsidR="00CD2472" w:rsidRPr="00CD2472">
        <w:t xml:space="preserve"> </w:t>
      </w:r>
      <w:r w:rsidR="00CD2472" w:rsidRPr="00BF68DB">
        <w:t>for unlawful detention</w:t>
      </w:r>
      <w:r w:rsidR="00BF68DB" w:rsidRPr="00BF68DB">
        <w:t xml:space="preserve">, and </w:t>
      </w:r>
      <w:r w:rsidR="00D758A3" w:rsidRPr="00D758A3">
        <w:t xml:space="preserve">the amount of </w:t>
      </w:r>
      <w:r w:rsidR="00BF68DB" w:rsidRPr="00BF68DB">
        <w:t>R100 000.00</w:t>
      </w:r>
      <w:r w:rsidR="00CD2472">
        <w:t xml:space="preserve"> </w:t>
      </w:r>
      <w:r w:rsidR="00CD2472" w:rsidRPr="00BF68DB">
        <w:t>for assault</w:t>
      </w:r>
      <w:r w:rsidR="00BF68DB" w:rsidRPr="00BF68DB">
        <w:t>, a total of R750 000.00</w:t>
      </w:r>
      <w:r w:rsidR="000E77E2">
        <w:t xml:space="preserve"> (</w:t>
      </w:r>
      <w:r w:rsidR="000E77E2" w:rsidRPr="000E77E2">
        <w:t>less than the total amount claimed in the statutory notice</w:t>
      </w:r>
      <w:r w:rsidR="00450374">
        <w:t>).</w:t>
      </w:r>
      <w:r w:rsidR="00450374">
        <w:rPr>
          <w:rStyle w:val="FootnoteReference"/>
        </w:rPr>
        <w:footnoteReference w:id="2"/>
      </w:r>
      <w:r w:rsidR="008C3557">
        <w:t xml:space="preserve"> </w:t>
      </w:r>
      <w:r w:rsidR="000E77E2">
        <w:t>The heads of damages for the unlawful arrest and detention were split</w:t>
      </w:r>
      <w:r w:rsidR="00450374">
        <w:t xml:space="preserve"> in the particulars of claim</w:t>
      </w:r>
      <w:r w:rsidR="000E77E2">
        <w:t xml:space="preserve">, but only one delict was pleaded. </w:t>
      </w:r>
    </w:p>
    <w:p w14:paraId="0B6B67FB" w14:textId="451A2AD3" w:rsidR="00310D1E" w:rsidRDefault="001D5FD8" w:rsidP="001D5FD8">
      <w:pPr>
        <w:ind w:left="822" w:hanging="822"/>
        <w:pPrChange w:id="16" w:author="Graeme Rennie" w:date="2021-11-24T13:14:00Z">
          <w:pPr>
            <w:pStyle w:val="ListParagraph"/>
            <w:numPr>
              <w:numId w:val="2"/>
            </w:numPr>
            <w:ind w:left="822" w:hanging="822"/>
            <w:contextualSpacing w:val="0"/>
          </w:pPr>
        </w:pPrChange>
      </w:pPr>
      <w:r>
        <w:rPr>
          <w:rFonts w:ascii="Arial" w:hAnsi="Arial" w:cs="Arial"/>
          <w:sz w:val="24"/>
          <w:szCs w:val="24"/>
        </w:rPr>
        <w:t>[4]</w:t>
      </w:r>
      <w:r>
        <w:rPr>
          <w:rFonts w:ascii="Arial" w:hAnsi="Arial" w:cs="Arial"/>
          <w:sz w:val="24"/>
          <w:szCs w:val="24"/>
        </w:rPr>
        <w:tab/>
      </w:r>
      <w:r w:rsidR="0037744D">
        <w:t xml:space="preserve">The defendant opposed the action and pleaded, including </w:t>
      </w:r>
      <w:r w:rsidR="0037744D" w:rsidRPr="0037744D">
        <w:t xml:space="preserve">a special plea of non-compliance with the </w:t>
      </w:r>
      <w:r w:rsidR="0037744D" w:rsidRPr="001D5FD8">
        <w:rPr>
          <w:iCs/>
        </w:rPr>
        <w:t>Institution of Legal Proceedings Against Certain Organs of State Act</w:t>
      </w:r>
      <w:r w:rsidR="0037744D" w:rsidRPr="0037744D">
        <w:t>.</w:t>
      </w:r>
      <w:r w:rsidR="000E77E2">
        <w:t xml:space="preserve"> </w:t>
      </w:r>
      <w:r w:rsidR="00310D1E" w:rsidRPr="00310D1E">
        <w:t xml:space="preserve">On a date in August 2012, </w:t>
      </w:r>
      <w:r w:rsidR="00CE2A77">
        <w:t xml:space="preserve">the exact date is </w:t>
      </w:r>
      <w:r w:rsidR="00310D1E" w:rsidRPr="00310D1E">
        <w:t xml:space="preserve">not clear from </w:t>
      </w:r>
      <w:r w:rsidR="00310D1E" w:rsidRPr="00310D1E">
        <w:lastRenderedPageBreak/>
        <w:t xml:space="preserve">the documents loaded onto CaseLines, the plaintiff launched an application against the defendant for condonation for non-compliance with the </w:t>
      </w:r>
      <w:r w:rsidR="00310D1E" w:rsidRPr="001D5FD8">
        <w:rPr>
          <w:iCs/>
        </w:rPr>
        <w:t>Institution of Legal Proceedings Against Certain Organs of State Act</w:t>
      </w:r>
      <w:r w:rsidR="00310D1E" w:rsidRPr="001E17D4">
        <w:t>.</w:t>
      </w:r>
      <w:r w:rsidR="00CE3C36">
        <w:t xml:space="preserve"> He did not first seek a separation of issues.</w:t>
      </w:r>
    </w:p>
    <w:p w14:paraId="17039754" w14:textId="147A1B77" w:rsidR="0037744D" w:rsidRPr="00BF68DB" w:rsidRDefault="001D5FD8" w:rsidP="001D5FD8">
      <w:pPr>
        <w:spacing w:after="0"/>
        <w:ind w:left="822" w:hanging="822"/>
        <w:pPrChange w:id="17" w:author="Graeme Rennie" w:date="2021-11-24T13:14:00Z">
          <w:pPr>
            <w:pStyle w:val="ListParagraph"/>
            <w:numPr>
              <w:numId w:val="2"/>
            </w:numPr>
            <w:spacing w:after="0"/>
            <w:ind w:left="822" w:hanging="822"/>
            <w:contextualSpacing w:val="0"/>
          </w:pPr>
        </w:pPrChange>
      </w:pPr>
      <w:r w:rsidRPr="00BF68DB">
        <w:rPr>
          <w:rFonts w:ascii="Arial" w:hAnsi="Arial" w:cs="Arial"/>
          <w:sz w:val="24"/>
          <w:szCs w:val="24"/>
        </w:rPr>
        <w:t>[5]</w:t>
      </w:r>
      <w:r w:rsidRPr="00BF68DB">
        <w:rPr>
          <w:rFonts w:ascii="Arial" w:hAnsi="Arial" w:cs="Arial"/>
          <w:sz w:val="24"/>
          <w:szCs w:val="24"/>
        </w:rPr>
        <w:tab/>
      </w:r>
      <w:r w:rsidR="0037744D">
        <w:t>A</w:t>
      </w:r>
      <w:r w:rsidR="0037744D" w:rsidRPr="00BF68DB">
        <w:t xml:space="preserve">lmost six years </w:t>
      </w:r>
      <w:r w:rsidR="0037744D">
        <w:t>after seeking condonation,</w:t>
      </w:r>
      <w:r w:rsidR="0037744D" w:rsidRPr="00BF68DB">
        <w:t xml:space="preserve"> an order was obtained on 28 June 2018 before an acting judge</w:t>
      </w:r>
      <w:r w:rsidR="00310D1E">
        <w:t>, it appears</w:t>
      </w:r>
      <w:r w:rsidR="0037744D" w:rsidRPr="00BF68DB">
        <w:t xml:space="preserve"> </w:t>
      </w:r>
      <w:r w:rsidR="0037744D" w:rsidRPr="00310D1E">
        <w:t>on an unopposed basis</w:t>
      </w:r>
      <w:r w:rsidR="0037744D">
        <w:t xml:space="preserve">. The order </w:t>
      </w:r>
      <w:r w:rsidR="0037744D" w:rsidRPr="00BF68DB">
        <w:t>read</w:t>
      </w:r>
      <w:r w:rsidR="0037744D">
        <w:t>s</w:t>
      </w:r>
      <w:r w:rsidR="0037744D" w:rsidRPr="00BF68DB">
        <w:t xml:space="preserve">: </w:t>
      </w:r>
    </w:p>
    <w:p w14:paraId="7FD11F85" w14:textId="77777777" w:rsidR="0037744D" w:rsidRPr="0037744D" w:rsidRDefault="0037744D" w:rsidP="003638C0">
      <w:pPr>
        <w:pStyle w:val="ListParagraph"/>
        <w:spacing w:line="276" w:lineRule="auto"/>
        <w:ind w:left="822" w:firstLine="618"/>
        <w:contextualSpacing w:val="0"/>
        <w:rPr>
          <w:i/>
          <w:iCs/>
          <w:sz w:val="22"/>
          <w:szCs w:val="22"/>
        </w:rPr>
      </w:pPr>
      <w:r w:rsidRPr="00BF68DB">
        <w:t>“</w:t>
      </w:r>
      <w:r w:rsidRPr="0037744D">
        <w:rPr>
          <w:i/>
          <w:iCs/>
          <w:sz w:val="22"/>
          <w:szCs w:val="22"/>
        </w:rPr>
        <w:t xml:space="preserve">IT </w:t>
      </w:r>
      <w:r>
        <w:rPr>
          <w:i/>
          <w:iCs/>
          <w:sz w:val="22"/>
          <w:szCs w:val="22"/>
        </w:rPr>
        <w:t>I</w:t>
      </w:r>
      <w:r w:rsidRPr="0037744D">
        <w:rPr>
          <w:i/>
          <w:iCs/>
          <w:sz w:val="22"/>
          <w:szCs w:val="22"/>
        </w:rPr>
        <w:t>S ORDERED THAT:</w:t>
      </w:r>
    </w:p>
    <w:p w14:paraId="14B31F64" w14:textId="77777777" w:rsidR="0037744D" w:rsidRPr="0037744D" w:rsidRDefault="0037744D" w:rsidP="00CE3C36">
      <w:pPr>
        <w:pStyle w:val="ListParagraph"/>
        <w:spacing w:line="276" w:lineRule="auto"/>
        <w:ind w:left="2160" w:hanging="720"/>
        <w:contextualSpacing w:val="0"/>
        <w:rPr>
          <w:i/>
          <w:iCs/>
          <w:sz w:val="22"/>
          <w:szCs w:val="22"/>
        </w:rPr>
      </w:pPr>
      <w:r w:rsidRPr="0037744D">
        <w:rPr>
          <w:i/>
          <w:iCs/>
          <w:sz w:val="22"/>
          <w:szCs w:val="22"/>
        </w:rPr>
        <w:t>(1)</w:t>
      </w:r>
      <w:r w:rsidRPr="0037744D">
        <w:rPr>
          <w:i/>
          <w:iCs/>
          <w:sz w:val="22"/>
          <w:szCs w:val="22"/>
        </w:rPr>
        <w:tab/>
        <w:t>The late service by Applicant/Plaintiff upon respondent/ defendant of a notice in terms of section 3(1)(a) of the Institution of Legal Proceedings against Certain Organs of State Act 40 of 2002, is hereby condoned.</w:t>
      </w:r>
    </w:p>
    <w:p w14:paraId="36C7EC5C" w14:textId="77777777" w:rsidR="0037744D" w:rsidRPr="0037744D" w:rsidRDefault="0037744D" w:rsidP="00CE3C36">
      <w:pPr>
        <w:pStyle w:val="ListParagraph"/>
        <w:spacing w:line="276" w:lineRule="auto"/>
        <w:ind w:left="2160" w:hanging="720"/>
        <w:contextualSpacing w:val="0"/>
        <w:rPr>
          <w:i/>
          <w:iCs/>
          <w:sz w:val="22"/>
          <w:szCs w:val="22"/>
        </w:rPr>
      </w:pPr>
      <w:r w:rsidRPr="0037744D">
        <w:rPr>
          <w:i/>
          <w:iCs/>
          <w:sz w:val="22"/>
          <w:szCs w:val="22"/>
        </w:rPr>
        <w:t xml:space="preserve">(2) </w:t>
      </w:r>
      <w:r w:rsidRPr="0037744D">
        <w:rPr>
          <w:i/>
          <w:iCs/>
          <w:sz w:val="22"/>
          <w:szCs w:val="22"/>
        </w:rPr>
        <w:tab/>
        <w:t>Leave to proceed with legal action against the Respondent/Defendant is hereby granted to the Applicant/Plaintiff</w:t>
      </w:r>
    </w:p>
    <w:p w14:paraId="5E0C798F" w14:textId="09A7FF2A" w:rsidR="0037744D" w:rsidRDefault="0037744D" w:rsidP="003638C0">
      <w:pPr>
        <w:pStyle w:val="ListParagraph"/>
        <w:spacing w:line="276" w:lineRule="auto"/>
        <w:ind w:left="822" w:firstLine="618"/>
        <w:contextualSpacing w:val="0"/>
      </w:pPr>
      <w:r w:rsidRPr="0037744D">
        <w:rPr>
          <w:i/>
          <w:iCs/>
          <w:sz w:val="22"/>
          <w:szCs w:val="22"/>
        </w:rPr>
        <w:t xml:space="preserve">(3) </w:t>
      </w:r>
      <w:r w:rsidRPr="0037744D">
        <w:rPr>
          <w:i/>
          <w:iCs/>
          <w:sz w:val="22"/>
          <w:szCs w:val="22"/>
        </w:rPr>
        <w:tab/>
        <w:t>No order as to costs</w:t>
      </w:r>
      <w:r w:rsidRPr="00BF68DB">
        <w:t>.”</w:t>
      </w:r>
    </w:p>
    <w:p w14:paraId="0CF4B37F" w14:textId="2A4988E5" w:rsidR="00CE2A77" w:rsidRDefault="001D5FD8" w:rsidP="001D5FD8">
      <w:pPr>
        <w:ind w:left="822" w:hanging="822"/>
        <w:pPrChange w:id="18" w:author="Graeme Rennie" w:date="2021-11-24T13:14:00Z">
          <w:pPr>
            <w:pStyle w:val="ListParagraph"/>
            <w:numPr>
              <w:numId w:val="2"/>
            </w:numPr>
            <w:ind w:left="822" w:hanging="822"/>
            <w:contextualSpacing w:val="0"/>
          </w:pPr>
        </w:pPrChange>
      </w:pPr>
      <w:r>
        <w:rPr>
          <w:rFonts w:ascii="Arial" w:hAnsi="Arial" w:cs="Arial"/>
          <w:sz w:val="24"/>
          <w:szCs w:val="24"/>
        </w:rPr>
        <w:t>[6]</w:t>
      </w:r>
      <w:r>
        <w:rPr>
          <w:rFonts w:ascii="Arial" w:hAnsi="Arial" w:cs="Arial"/>
          <w:sz w:val="24"/>
          <w:szCs w:val="24"/>
        </w:rPr>
        <w:tab/>
      </w:r>
      <w:r w:rsidR="00CE2A77" w:rsidRPr="00BF68DB">
        <w:t xml:space="preserve">The </w:t>
      </w:r>
      <w:r w:rsidR="00CE3C36">
        <w:t>defendant did not persist with its special plea</w:t>
      </w:r>
      <w:r w:rsidR="000E77E2">
        <w:t>.</w:t>
      </w:r>
    </w:p>
    <w:p w14:paraId="70D47C94" w14:textId="0983E7C0" w:rsidR="00884806" w:rsidRPr="00884806" w:rsidRDefault="00884806" w:rsidP="00884806">
      <w:pPr>
        <w:ind w:hanging="720"/>
        <w:rPr>
          <w:rFonts w:ascii="Arial" w:hAnsi="Arial" w:cs="Arial"/>
          <w:b/>
          <w:bCs/>
          <w:sz w:val="24"/>
          <w:szCs w:val="24"/>
          <w:u w:val="single"/>
        </w:rPr>
      </w:pPr>
      <w:r>
        <w:tab/>
      </w:r>
      <w:r w:rsidRPr="00884806">
        <w:rPr>
          <w:rFonts w:ascii="Arial" w:hAnsi="Arial" w:cs="Arial"/>
          <w:b/>
          <w:bCs/>
          <w:sz w:val="24"/>
          <w:szCs w:val="24"/>
          <w:u w:val="single"/>
        </w:rPr>
        <w:t xml:space="preserve">The </w:t>
      </w:r>
      <w:r>
        <w:rPr>
          <w:rFonts w:ascii="Arial" w:hAnsi="Arial" w:cs="Arial"/>
          <w:b/>
          <w:bCs/>
          <w:sz w:val="24"/>
          <w:szCs w:val="24"/>
          <w:u w:val="single"/>
        </w:rPr>
        <w:t xml:space="preserve">amended </w:t>
      </w:r>
      <w:r w:rsidRPr="00884806">
        <w:rPr>
          <w:rFonts w:ascii="Arial" w:hAnsi="Arial" w:cs="Arial"/>
          <w:b/>
          <w:bCs/>
          <w:sz w:val="24"/>
          <w:szCs w:val="24"/>
          <w:u w:val="single"/>
        </w:rPr>
        <w:t>pleadings</w:t>
      </w:r>
    </w:p>
    <w:p w14:paraId="368F53A7" w14:textId="1491ABBE" w:rsidR="00884806" w:rsidRDefault="001D5FD8" w:rsidP="001D5FD8">
      <w:pPr>
        <w:ind w:left="822" w:hanging="822"/>
        <w:pPrChange w:id="19" w:author="Graeme Rennie" w:date="2021-11-24T13:14:00Z">
          <w:pPr>
            <w:pStyle w:val="ListParagraph"/>
            <w:numPr>
              <w:numId w:val="2"/>
            </w:numPr>
            <w:ind w:left="822" w:hanging="822"/>
            <w:contextualSpacing w:val="0"/>
          </w:pPr>
        </w:pPrChange>
      </w:pPr>
      <w:r>
        <w:rPr>
          <w:rFonts w:ascii="Arial" w:hAnsi="Arial" w:cs="Arial"/>
          <w:sz w:val="24"/>
          <w:szCs w:val="24"/>
        </w:rPr>
        <w:t>[7]</w:t>
      </w:r>
      <w:r>
        <w:rPr>
          <w:rFonts w:ascii="Arial" w:hAnsi="Arial" w:cs="Arial"/>
          <w:sz w:val="24"/>
          <w:szCs w:val="24"/>
        </w:rPr>
        <w:tab/>
      </w:r>
      <w:r w:rsidR="00BF68DB" w:rsidRPr="00BF68DB">
        <w:t>The plaintiff gave notice on 30 January 2020 of his intention to amend the particulars of claim. There was no objection to the amendment and months later</w:t>
      </w:r>
      <w:r w:rsidR="00CE2A77">
        <w:t xml:space="preserve"> and out of time</w:t>
      </w:r>
      <w:r w:rsidR="00884806">
        <w:t>,</w:t>
      </w:r>
      <w:r w:rsidR="00BF68DB" w:rsidRPr="00BF68DB">
        <w:t xml:space="preserve"> on 11 August 2020</w:t>
      </w:r>
      <w:r w:rsidR="00884806">
        <w:t>,</w:t>
      </w:r>
      <w:r w:rsidR="00BF68DB" w:rsidRPr="00BF68DB">
        <w:t xml:space="preserve"> amended papers were served</w:t>
      </w:r>
      <w:r w:rsidR="00310D1E">
        <w:t>, also</w:t>
      </w:r>
      <w:r w:rsidR="00884806">
        <w:t xml:space="preserve"> without objection</w:t>
      </w:r>
      <w:r w:rsidR="00BF68DB" w:rsidRPr="00BF68DB">
        <w:t xml:space="preserve">. </w:t>
      </w:r>
      <w:r w:rsidR="00A94C0A">
        <w:t>By then t</w:t>
      </w:r>
      <w:r w:rsidR="00CE2A77">
        <w:t>en years had elapsed</w:t>
      </w:r>
      <w:r w:rsidR="00A94C0A">
        <w:t xml:space="preserve"> since the arrest</w:t>
      </w:r>
      <w:r w:rsidR="00CE2A77">
        <w:t xml:space="preserve">. </w:t>
      </w:r>
    </w:p>
    <w:p w14:paraId="524BD4A0" w14:textId="54D1510A" w:rsidR="00BF68DB" w:rsidRPr="00BF68DB" w:rsidRDefault="001D5FD8" w:rsidP="001D5FD8">
      <w:pPr>
        <w:spacing w:after="0"/>
        <w:ind w:left="822" w:hanging="822"/>
        <w:pPrChange w:id="20" w:author="Graeme Rennie" w:date="2021-11-24T13:14:00Z">
          <w:pPr>
            <w:pStyle w:val="ListParagraph"/>
            <w:numPr>
              <w:numId w:val="2"/>
            </w:numPr>
            <w:spacing w:after="0"/>
            <w:ind w:left="822" w:hanging="822"/>
            <w:contextualSpacing w:val="0"/>
          </w:pPr>
        </w:pPrChange>
      </w:pPr>
      <w:r w:rsidRPr="00BF68DB">
        <w:rPr>
          <w:rFonts w:ascii="Arial" w:hAnsi="Arial" w:cs="Arial"/>
          <w:sz w:val="24"/>
          <w:szCs w:val="24"/>
        </w:rPr>
        <w:t>[8]</w:t>
      </w:r>
      <w:r w:rsidRPr="00BF68DB">
        <w:rPr>
          <w:rFonts w:ascii="Arial" w:hAnsi="Arial" w:cs="Arial"/>
          <w:sz w:val="24"/>
          <w:szCs w:val="24"/>
        </w:rPr>
        <w:tab/>
      </w:r>
      <w:r w:rsidR="00884806">
        <w:t>The details of the arrest were left unchanged</w:t>
      </w:r>
      <w:r w:rsidR="00310D1E">
        <w:t xml:space="preserve"> in the </w:t>
      </w:r>
      <w:r w:rsidR="00310D1E" w:rsidRPr="00310D1E">
        <w:t>amendment</w:t>
      </w:r>
      <w:r w:rsidR="00884806">
        <w:t xml:space="preserve">. </w:t>
      </w:r>
      <w:r w:rsidR="00BF68DB" w:rsidRPr="00BF68DB">
        <w:t>The plaintiff</w:t>
      </w:r>
      <w:r w:rsidR="00C856B1">
        <w:t>,</w:t>
      </w:r>
      <w:r w:rsidR="00BF68DB" w:rsidRPr="00BF68DB">
        <w:t xml:space="preserve"> in the amended particulars of claim</w:t>
      </w:r>
      <w:r w:rsidR="00C856B1">
        <w:t>,</w:t>
      </w:r>
      <w:r w:rsidR="00BF68DB" w:rsidRPr="00BF68DB">
        <w:t xml:space="preserve"> pleaded with regard to his detention:</w:t>
      </w:r>
    </w:p>
    <w:p w14:paraId="4228E6A6" w14:textId="77777777" w:rsidR="00BF68DB" w:rsidRPr="00884806" w:rsidRDefault="00BF68DB" w:rsidP="00C27725">
      <w:pPr>
        <w:pStyle w:val="ListParagraph"/>
        <w:spacing w:line="276" w:lineRule="auto"/>
        <w:ind w:left="2160" w:hanging="720"/>
        <w:contextualSpacing w:val="0"/>
        <w:rPr>
          <w:i/>
          <w:iCs/>
          <w:sz w:val="22"/>
          <w:szCs w:val="22"/>
        </w:rPr>
      </w:pPr>
      <w:r w:rsidRPr="00BF68DB">
        <w:t>“</w:t>
      </w:r>
      <w:r w:rsidRPr="00884806">
        <w:rPr>
          <w:i/>
          <w:iCs/>
          <w:sz w:val="22"/>
          <w:szCs w:val="22"/>
        </w:rPr>
        <w:t>6.1</w:t>
      </w:r>
      <w:r w:rsidRPr="00884806">
        <w:rPr>
          <w:i/>
          <w:iCs/>
          <w:sz w:val="22"/>
          <w:szCs w:val="22"/>
        </w:rPr>
        <w:tab/>
      </w:r>
      <w:r w:rsidRPr="00442500">
        <w:rPr>
          <w:i/>
          <w:iCs/>
          <w:sz w:val="22"/>
          <w:szCs w:val="22"/>
        </w:rPr>
        <w:t>On the 30th of July 2010, the Plaintiff was detained by the said Police officers in the Police cells at Zonkizizwe Police Station.</w:t>
      </w:r>
    </w:p>
    <w:p w14:paraId="3625570E" w14:textId="77777777" w:rsidR="00BF68DB" w:rsidRPr="00BF68DB" w:rsidRDefault="00BF68DB" w:rsidP="00C27725">
      <w:pPr>
        <w:pStyle w:val="BodyTextIndent"/>
        <w:spacing w:line="276" w:lineRule="auto"/>
        <w:ind w:left="2160" w:hanging="720"/>
        <w:jc w:val="both"/>
        <w:rPr>
          <w:rFonts w:ascii="Arial" w:hAnsi="Arial" w:cs="Arial"/>
          <w:sz w:val="24"/>
          <w:szCs w:val="24"/>
        </w:rPr>
      </w:pPr>
      <w:r w:rsidRPr="00884806">
        <w:rPr>
          <w:rFonts w:ascii="Arial" w:hAnsi="Arial" w:cs="Arial"/>
          <w:i/>
          <w:iCs/>
        </w:rPr>
        <w:t>6.2</w:t>
      </w:r>
      <w:r w:rsidRPr="00884806">
        <w:rPr>
          <w:rFonts w:ascii="Arial" w:hAnsi="Arial" w:cs="Arial"/>
          <w:i/>
          <w:iCs/>
        </w:rPr>
        <w:tab/>
        <w:t>On the 2nd of August 2010, the Plaintiff appeared in court and was further detained at Heidelberg Correctional Centre. The Plaintiff was never released on bail on his first appearance as the policemen misled the prosecutor into believing that there was a strong evidence against the Plaintiff which was still to be obtained</w:t>
      </w:r>
      <w:r w:rsidRPr="00BF68DB">
        <w:rPr>
          <w:rFonts w:ascii="Arial" w:hAnsi="Arial" w:cs="Arial"/>
          <w:sz w:val="24"/>
          <w:szCs w:val="24"/>
        </w:rPr>
        <w:t>.”</w:t>
      </w:r>
    </w:p>
    <w:p w14:paraId="68BC9923" w14:textId="64C37F29" w:rsidR="00310D1E" w:rsidRPr="00442500" w:rsidRDefault="001D5FD8" w:rsidP="001D5FD8">
      <w:pPr>
        <w:spacing w:before="240"/>
        <w:ind w:left="822" w:hanging="822"/>
        <w:pPrChange w:id="21" w:author="Graeme Rennie" w:date="2021-11-24T13:14:00Z">
          <w:pPr>
            <w:pStyle w:val="ListParagraph"/>
            <w:numPr>
              <w:numId w:val="2"/>
            </w:numPr>
            <w:spacing w:before="240"/>
            <w:ind w:left="822" w:hanging="822"/>
            <w:contextualSpacing w:val="0"/>
          </w:pPr>
        </w:pPrChange>
      </w:pPr>
      <w:bookmarkStart w:id="22" w:name="_Hlk83200486"/>
      <w:r w:rsidRPr="00442500">
        <w:rPr>
          <w:rFonts w:ascii="Arial" w:hAnsi="Arial" w:cs="Arial"/>
          <w:sz w:val="24"/>
          <w:szCs w:val="24"/>
        </w:rPr>
        <w:t>[9]</w:t>
      </w:r>
      <w:r w:rsidRPr="00442500">
        <w:rPr>
          <w:rFonts w:ascii="Arial" w:hAnsi="Arial" w:cs="Arial"/>
          <w:sz w:val="24"/>
          <w:szCs w:val="24"/>
        </w:rPr>
        <w:tab/>
      </w:r>
      <w:r w:rsidR="00BF68DB" w:rsidRPr="00BF68DB">
        <w:t xml:space="preserve">The plaintiff </w:t>
      </w:r>
      <w:bookmarkEnd w:id="22"/>
      <w:r w:rsidR="00BF68DB" w:rsidRPr="00BF68DB">
        <w:t xml:space="preserve">still pleaded that he </w:t>
      </w:r>
      <w:r w:rsidR="00BF68DB" w:rsidRPr="00442500">
        <w:t>was released on bail on 24 August 2010</w:t>
      </w:r>
      <w:r w:rsidR="00310D1E" w:rsidRPr="00442500">
        <w:t xml:space="preserve"> (</w:t>
      </w:r>
      <w:r w:rsidR="00CE3C36">
        <w:t xml:space="preserve">as already stated, </w:t>
      </w:r>
      <w:r w:rsidR="00310D1E" w:rsidRPr="00442500">
        <w:t>later contradicted in his evidence</w:t>
      </w:r>
      <w:r w:rsidR="00E621B7" w:rsidRPr="00442500">
        <w:t xml:space="preserve">, </w:t>
      </w:r>
      <w:r w:rsidR="00696FE8" w:rsidRPr="00442500">
        <w:t xml:space="preserve">as he would testify that </w:t>
      </w:r>
      <w:r w:rsidR="00E621B7" w:rsidRPr="00442500">
        <w:t>he was released on 19 August 2010</w:t>
      </w:r>
      <w:r w:rsidR="00310D1E" w:rsidRPr="00442500">
        <w:t>)</w:t>
      </w:r>
      <w:r w:rsidR="00BF68DB" w:rsidRPr="00442500">
        <w:t xml:space="preserve">. </w:t>
      </w:r>
    </w:p>
    <w:p w14:paraId="51898B60" w14:textId="4856E5AE" w:rsidR="00BF68DB" w:rsidRPr="00BF68DB" w:rsidRDefault="001D5FD8" w:rsidP="001D5FD8">
      <w:pPr>
        <w:spacing w:before="240" w:after="0"/>
        <w:ind w:left="822" w:hanging="822"/>
        <w:pPrChange w:id="23" w:author="Graeme Rennie" w:date="2021-11-24T13:14:00Z">
          <w:pPr>
            <w:pStyle w:val="ListParagraph"/>
            <w:numPr>
              <w:numId w:val="2"/>
            </w:numPr>
            <w:spacing w:before="240" w:after="0"/>
            <w:ind w:left="822" w:hanging="822"/>
            <w:contextualSpacing w:val="0"/>
          </w:pPr>
        </w:pPrChange>
      </w:pPr>
      <w:r w:rsidRPr="00BF68DB">
        <w:rPr>
          <w:rFonts w:ascii="Arial" w:hAnsi="Arial" w:cs="Arial"/>
          <w:sz w:val="24"/>
          <w:szCs w:val="24"/>
        </w:rPr>
        <w:lastRenderedPageBreak/>
        <w:t>[10]</w:t>
      </w:r>
      <w:r w:rsidRPr="00BF68DB">
        <w:rPr>
          <w:rFonts w:ascii="Arial" w:hAnsi="Arial" w:cs="Arial"/>
          <w:sz w:val="24"/>
          <w:szCs w:val="24"/>
        </w:rPr>
        <w:tab/>
      </w:r>
      <w:r w:rsidR="00310D1E" w:rsidRPr="00310D1E">
        <w:t xml:space="preserve">The plaintiff </w:t>
      </w:r>
      <w:r w:rsidR="00BF68DB" w:rsidRPr="00BF68DB">
        <w:t>pleaded the following details as to his assault:</w:t>
      </w:r>
    </w:p>
    <w:p w14:paraId="24B4D32B" w14:textId="77777777" w:rsidR="00BF68DB" w:rsidRPr="00884806" w:rsidRDefault="00BF68DB" w:rsidP="00C27725">
      <w:pPr>
        <w:pStyle w:val="ListParagraph"/>
        <w:spacing w:line="276" w:lineRule="auto"/>
        <w:ind w:left="2160" w:hanging="720"/>
        <w:contextualSpacing w:val="0"/>
        <w:rPr>
          <w:i/>
          <w:iCs/>
          <w:sz w:val="22"/>
          <w:szCs w:val="22"/>
        </w:rPr>
      </w:pPr>
      <w:r w:rsidRPr="00BF68DB">
        <w:t>“</w:t>
      </w:r>
      <w:r w:rsidRPr="00884806">
        <w:rPr>
          <w:i/>
          <w:iCs/>
          <w:sz w:val="22"/>
          <w:szCs w:val="22"/>
        </w:rPr>
        <w:t>8</w:t>
      </w:r>
      <w:r w:rsidRPr="00884806">
        <w:rPr>
          <w:i/>
          <w:iCs/>
          <w:sz w:val="22"/>
          <w:szCs w:val="22"/>
        </w:rPr>
        <w:tab/>
        <w:t>At the time of the arrest and during his detention at House no 535 Katlehong and later in Germiston, Gauteng, the Plaintiff was wrongfully and unlawfully assaulted by the members of the South Africa Police Services whose identities are to the plaintiff unknown, in that</w:t>
      </w:r>
    </w:p>
    <w:p w14:paraId="4815E4AC" w14:textId="515978C6" w:rsidR="00BF68DB" w:rsidRPr="00884806" w:rsidRDefault="00BF68DB" w:rsidP="00C27725">
      <w:pPr>
        <w:pStyle w:val="ListParagraph"/>
        <w:spacing w:line="276" w:lineRule="auto"/>
        <w:ind w:left="2880" w:hanging="720"/>
        <w:contextualSpacing w:val="0"/>
        <w:rPr>
          <w:i/>
          <w:iCs/>
          <w:sz w:val="22"/>
          <w:szCs w:val="22"/>
        </w:rPr>
      </w:pPr>
      <w:r w:rsidRPr="00884806">
        <w:rPr>
          <w:i/>
          <w:iCs/>
          <w:sz w:val="22"/>
          <w:szCs w:val="22"/>
        </w:rPr>
        <w:t>8.1.1</w:t>
      </w:r>
      <w:r w:rsidRPr="00884806">
        <w:rPr>
          <w:i/>
          <w:iCs/>
          <w:sz w:val="22"/>
          <w:szCs w:val="22"/>
        </w:rPr>
        <w:tab/>
        <w:t>They tied a black plastic bag around the plaintiff's neck</w:t>
      </w:r>
    </w:p>
    <w:p w14:paraId="0AF28257" w14:textId="3CB6714F" w:rsidR="00BF68DB" w:rsidRPr="00884806" w:rsidRDefault="00BF68DB" w:rsidP="00C27725">
      <w:pPr>
        <w:pStyle w:val="ListParagraph"/>
        <w:spacing w:line="276" w:lineRule="auto"/>
        <w:ind w:left="2880" w:hanging="720"/>
        <w:contextualSpacing w:val="0"/>
        <w:rPr>
          <w:i/>
          <w:iCs/>
          <w:sz w:val="22"/>
          <w:szCs w:val="22"/>
        </w:rPr>
      </w:pPr>
      <w:r w:rsidRPr="00884806">
        <w:rPr>
          <w:i/>
          <w:iCs/>
          <w:sz w:val="22"/>
          <w:szCs w:val="22"/>
        </w:rPr>
        <w:t>8.1.2</w:t>
      </w:r>
      <w:r w:rsidRPr="00884806">
        <w:rPr>
          <w:i/>
          <w:iCs/>
          <w:sz w:val="22"/>
          <w:szCs w:val="22"/>
        </w:rPr>
        <w:tab/>
        <w:t>They the wrapped the black plastic bag around the Plaintiff's head</w:t>
      </w:r>
    </w:p>
    <w:p w14:paraId="147EEDA5" w14:textId="3E25C422" w:rsidR="00BF68DB" w:rsidRPr="00BF68DB" w:rsidRDefault="00BF68DB" w:rsidP="00C27725">
      <w:pPr>
        <w:pStyle w:val="ListParagraph"/>
        <w:spacing w:line="276" w:lineRule="auto"/>
        <w:ind w:left="2880" w:hanging="720"/>
        <w:contextualSpacing w:val="0"/>
      </w:pPr>
      <w:r w:rsidRPr="00884806">
        <w:rPr>
          <w:i/>
          <w:iCs/>
          <w:sz w:val="22"/>
          <w:szCs w:val="22"/>
        </w:rPr>
        <w:t xml:space="preserve">8.1.3 </w:t>
      </w:r>
      <w:r w:rsidRPr="00884806">
        <w:rPr>
          <w:i/>
          <w:iCs/>
          <w:sz w:val="22"/>
          <w:szCs w:val="22"/>
        </w:rPr>
        <w:tab/>
        <w:t>They the suffocated the Plaintiff with a black plastic bag</w:t>
      </w:r>
      <w:r w:rsidRPr="00884806">
        <w:rPr>
          <w:sz w:val="22"/>
          <w:szCs w:val="22"/>
        </w:rPr>
        <w:t>.</w:t>
      </w:r>
      <w:r w:rsidRPr="00BF68DB">
        <w:t>”</w:t>
      </w:r>
    </w:p>
    <w:p w14:paraId="646F8298" w14:textId="05B52C1F" w:rsidR="00BF68DB" w:rsidRPr="00BF68DB" w:rsidRDefault="001D5FD8" w:rsidP="001D5FD8">
      <w:pPr>
        <w:spacing w:after="0"/>
        <w:ind w:left="822" w:hanging="822"/>
        <w:pPrChange w:id="24" w:author="Graeme Rennie" w:date="2021-11-24T13:14:00Z">
          <w:pPr>
            <w:pStyle w:val="ListParagraph"/>
            <w:numPr>
              <w:numId w:val="2"/>
            </w:numPr>
            <w:spacing w:after="0"/>
            <w:ind w:left="822" w:hanging="822"/>
            <w:contextualSpacing w:val="0"/>
          </w:pPr>
        </w:pPrChange>
      </w:pPr>
      <w:r w:rsidRPr="00BF68DB">
        <w:rPr>
          <w:rFonts w:ascii="Arial" w:hAnsi="Arial" w:cs="Arial"/>
          <w:sz w:val="24"/>
          <w:szCs w:val="24"/>
        </w:rPr>
        <w:t>[11]</w:t>
      </w:r>
      <w:r w:rsidRPr="00BF68DB">
        <w:rPr>
          <w:rFonts w:ascii="Arial" w:hAnsi="Arial" w:cs="Arial"/>
          <w:sz w:val="24"/>
          <w:szCs w:val="24"/>
        </w:rPr>
        <w:tab/>
      </w:r>
      <w:r w:rsidR="00310D1E" w:rsidRPr="00310D1E">
        <w:t>The plaintiff</w:t>
      </w:r>
      <w:r w:rsidR="00BF68DB" w:rsidRPr="00BF68DB">
        <w:t xml:space="preserve"> added these details about his </w:t>
      </w:r>
      <w:r w:rsidR="00D758A3" w:rsidRPr="00D758A3">
        <w:t>unlawful arrest, detention and assault</w:t>
      </w:r>
      <w:r w:rsidR="00BF68DB" w:rsidRPr="00BF68DB">
        <w:t>:</w:t>
      </w:r>
    </w:p>
    <w:p w14:paraId="24F1EF24" w14:textId="77777777" w:rsidR="00BF68DB" w:rsidRPr="00884806" w:rsidRDefault="00BF68DB" w:rsidP="00C27725">
      <w:pPr>
        <w:pStyle w:val="ListParagraph"/>
        <w:spacing w:line="276" w:lineRule="auto"/>
        <w:ind w:left="2160" w:hanging="720"/>
        <w:contextualSpacing w:val="0"/>
        <w:rPr>
          <w:i/>
          <w:iCs/>
          <w:sz w:val="22"/>
          <w:szCs w:val="22"/>
        </w:rPr>
      </w:pPr>
      <w:r w:rsidRPr="00BF68DB">
        <w:t>“</w:t>
      </w:r>
      <w:r w:rsidRPr="00884806">
        <w:rPr>
          <w:i/>
          <w:iCs/>
          <w:sz w:val="22"/>
          <w:szCs w:val="22"/>
        </w:rPr>
        <w:t>10</w:t>
      </w:r>
      <w:r w:rsidRPr="00884806">
        <w:rPr>
          <w:i/>
          <w:iCs/>
          <w:sz w:val="22"/>
          <w:szCs w:val="22"/>
        </w:rPr>
        <w:tab/>
        <w:t>The unlawful arrest, detention and assault of the Plaintiff caused injury to bodily integrity, personality and status in one or more of the following ways:</w:t>
      </w:r>
    </w:p>
    <w:p w14:paraId="706FFD76" w14:textId="0071AEEA" w:rsidR="00BF68DB" w:rsidRPr="00884806" w:rsidRDefault="00BF68DB" w:rsidP="00C27725">
      <w:pPr>
        <w:pStyle w:val="ListParagraph"/>
        <w:spacing w:line="276" w:lineRule="auto"/>
        <w:ind w:left="2880" w:hanging="720"/>
        <w:contextualSpacing w:val="0"/>
        <w:rPr>
          <w:i/>
          <w:iCs/>
          <w:sz w:val="22"/>
          <w:szCs w:val="22"/>
        </w:rPr>
      </w:pPr>
      <w:r w:rsidRPr="00884806">
        <w:rPr>
          <w:i/>
          <w:iCs/>
          <w:sz w:val="22"/>
          <w:szCs w:val="22"/>
        </w:rPr>
        <w:t>10.1.1.</w:t>
      </w:r>
      <w:r w:rsidR="00884806">
        <w:rPr>
          <w:i/>
          <w:iCs/>
          <w:sz w:val="22"/>
          <w:szCs w:val="22"/>
        </w:rPr>
        <w:tab/>
      </w:r>
      <w:r w:rsidRPr="00884806">
        <w:rPr>
          <w:i/>
          <w:iCs/>
          <w:sz w:val="22"/>
          <w:szCs w:val="22"/>
        </w:rPr>
        <w:t>The Plaintiff was arrested in winter and he received one (01) blanket despite the nature of injuries and his health condition;</w:t>
      </w:r>
    </w:p>
    <w:p w14:paraId="135B795A" w14:textId="438831B7" w:rsidR="00BF68DB" w:rsidRPr="00884806" w:rsidRDefault="00BF68DB" w:rsidP="00C27725">
      <w:pPr>
        <w:pStyle w:val="ListParagraph"/>
        <w:spacing w:line="276" w:lineRule="auto"/>
        <w:ind w:left="2880" w:hanging="720"/>
        <w:contextualSpacing w:val="0"/>
        <w:rPr>
          <w:i/>
          <w:iCs/>
          <w:sz w:val="22"/>
          <w:szCs w:val="22"/>
        </w:rPr>
      </w:pPr>
      <w:r w:rsidRPr="00884806">
        <w:rPr>
          <w:i/>
          <w:iCs/>
          <w:sz w:val="22"/>
          <w:szCs w:val="22"/>
        </w:rPr>
        <w:t>10.1.2. The Plaintiff was injured during arrest and never received medical attention.</w:t>
      </w:r>
    </w:p>
    <w:p w14:paraId="374B314F" w14:textId="5AE81AD0" w:rsidR="00BF68DB" w:rsidRPr="00884806" w:rsidRDefault="00BF68DB" w:rsidP="00C27725">
      <w:pPr>
        <w:pStyle w:val="ListParagraph"/>
        <w:spacing w:line="276" w:lineRule="auto"/>
        <w:ind w:left="2880" w:hanging="720"/>
        <w:contextualSpacing w:val="0"/>
        <w:rPr>
          <w:i/>
          <w:iCs/>
          <w:sz w:val="22"/>
          <w:szCs w:val="22"/>
        </w:rPr>
      </w:pPr>
      <w:r w:rsidRPr="00884806">
        <w:rPr>
          <w:i/>
          <w:iCs/>
          <w:sz w:val="22"/>
          <w:szCs w:val="22"/>
        </w:rPr>
        <w:t>10.1.3. The Plaintiff was assaulted and never received medical attention.</w:t>
      </w:r>
    </w:p>
    <w:p w14:paraId="5AAF85B4" w14:textId="15597588" w:rsidR="00BF68DB" w:rsidRPr="00BF68DB" w:rsidRDefault="00BF68DB" w:rsidP="00C27725">
      <w:pPr>
        <w:pStyle w:val="ListParagraph"/>
        <w:spacing w:line="276" w:lineRule="auto"/>
        <w:ind w:left="2880" w:hanging="720"/>
        <w:contextualSpacing w:val="0"/>
      </w:pPr>
      <w:r w:rsidRPr="00884806">
        <w:rPr>
          <w:i/>
          <w:iCs/>
          <w:sz w:val="22"/>
          <w:szCs w:val="22"/>
        </w:rPr>
        <w:t>10.1.4. The Plaintiff was on medication and access to his medication was denied</w:t>
      </w:r>
      <w:r w:rsidRPr="00BF68DB">
        <w:t>.”</w:t>
      </w:r>
    </w:p>
    <w:p w14:paraId="1AA93AB6" w14:textId="4A5860B1" w:rsidR="00BF68DB" w:rsidRPr="00BF68DB" w:rsidRDefault="001D5FD8" w:rsidP="001D5FD8">
      <w:pPr>
        <w:pStyle w:val="BodyTextIndent2"/>
        <w:spacing w:after="0" w:line="360" w:lineRule="auto"/>
        <w:ind w:left="822" w:hanging="822"/>
        <w:jc w:val="both"/>
        <w:rPr>
          <w:rFonts w:ascii="Arial" w:hAnsi="Arial" w:cs="Arial"/>
          <w:sz w:val="24"/>
          <w:szCs w:val="24"/>
        </w:rPr>
        <w:pPrChange w:id="25" w:author="Graeme Rennie" w:date="2021-11-24T13:14:00Z">
          <w:pPr>
            <w:pStyle w:val="BodyTextIndent2"/>
            <w:numPr>
              <w:numId w:val="2"/>
            </w:numPr>
            <w:spacing w:after="0" w:line="360" w:lineRule="auto"/>
            <w:ind w:left="822" w:hanging="822"/>
            <w:jc w:val="both"/>
          </w:pPr>
        </w:pPrChange>
      </w:pPr>
      <w:r w:rsidRPr="00BF68DB">
        <w:rPr>
          <w:rFonts w:ascii="Arial" w:hAnsi="Arial" w:cs="Arial"/>
          <w:sz w:val="24"/>
          <w:szCs w:val="24"/>
        </w:rPr>
        <w:t>[12]</w:t>
      </w:r>
      <w:r w:rsidRPr="00BF68DB">
        <w:rPr>
          <w:rFonts w:ascii="Arial" w:hAnsi="Arial" w:cs="Arial"/>
          <w:sz w:val="24"/>
          <w:szCs w:val="24"/>
        </w:rPr>
        <w:tab/>
      </w:r>
      <w:r w:rsidR="00BF68DB" w:rsidRPr="00BF68DB">
        <w:rPr>
          <w:rFonts w:ascii="Arial" w:hAnsi="Arial" w:cs="Arial"/>
          <w:sz w:val="24"/>
          <w:szCs w:val="24"/>
        </w:rPr>
        <w:t xml:space="preserve">Lastly, the plaintiff increased his damages claim from R750 000.00 to </w:t>
      </w:r>
      <w:r w:rsidR="00E621B7">
        <w:rPr>
          <w:rFonts w:ascii="Arial" w:hAnsi="Arial" w:cs="Arial"/>
          <w:sz w:val="24"/>
          <w:szCs w:val="24"/>
        </w:rPr>
        <w:t xml:space="preserve">              </w:t>
      </w:r>
      <w:r w:rsidR="00BF68DB" w:rsidRPr="00BF68DB">
        <w:rPr>
          <w:rFonts w:ascii="Arial" w:hAnsi="Arial" w:cs="Arial"/>
          <w:sz w:val="24"/>
          <w:szCs w:val="24"/>
        </w:rPr>
        <w:t>R3 000 000.00 being:</w:t>
      </w:r>
    </w:p>
    <w:p w14:paraId="693E164E" w14:textId="11A6338C" w:rsidR="00BF68DB" w:rsidRPr="00884806" w:rsidRDefault="00BF68DB" w:rsidP="00C27725">
      <w:pPr>
        <w:pStyle w:val="ListParagraph"/>
        <w:spacing w:line="276" w:lineRule="auto"/>
        <w:ind w:left="822" w:firstLine="618"/>
        <w:contextualSpacing w:val="0"/>
        <w:rPr>
          <w:i/>
          <w:iCs/>
          <w:sz w:val="22"/>
          <w:szCs w:val="22"/>
        </w:rPr>
      </w:pPr>
      <w:bookmarkStart w:id="26" w:name="_Hlk85470512"/>
      <w:r w:rsidRPr="00BF68DB">
        <w:t>“</w:t>
      </w:r>
      <w:r w:rsidRPr="00884806">
        <w:rPr>
          <w:i/>
          <w:iCs/>
          <w:sz w:val="22"/>
          <w:szCs w:val="22"/>
        </w:rPr>
        <w:t>11.1.</w:t>
      </w:r>
      <w:r w:rsidR="00884806" w:rsidRPr="00884806">
        <w:rPr>
          <w:i/>
          <w:iCs/>
          <w:sz w:val="22"/>
          <w:szCs w:val="22"/>
        </w:rPr>
        <w:tab/>
      </w:r>
      <w:r w:rsidRPr="00884806">
        <w:rPr>
          <w:i/>
          <w:iCs/>
          <w:sz w:val="22"/>
          <w:szCs w:val="22"/>
        </w:rPr>
        <w:t>Damages for unlawful arrest: R500 000.00.</w:t>
      </w:r>
    </w:p>
    <w:p w14:paraId="0DEAA566" w14:textId="7D339018" w:rsidR="00BF68DB" w:rsidRPr="00884806" w:rsidRDefault="00BF68DB" w:rsidP="00C27725">
      <w:pPr>
        <w:pStyle w:val="ListParagraph"/>
        <w:spacing w:line="276" w:lineRule="auto"/>
        <w:ind w:left="822" w:firstLine="618"/>
        <w:contextualSpacing w:val="0"/>
        <w:rPr>
          <w:i/>
          <w:iCs/>
          <w:sz w:val="22"/>
          <w:szCs w:val="22"/>
        </w:rPr>
      </w:pPr>
      <w:r w:rsidRPr="00884806">
        <w:rPr>
          <w:i/>
          <w:iCs/>
          <w:sz w:val="22"/>
          <w:szCs w:val="22"/>
        </w:rPr>
        <w:t xml:space="preserve">11.2. </w:t>
      </w:r>
      <w:r w:rsidRPr="00884806">
        <w:rPr>
          <w:i/>
          <w:iCs/>
          <w:sz w:val="22"/>
          <w:szCs w:val="22"/>
        </w:rPr>
        <w:tab/>
        <w:t>Damages for unlawful detention R1 500</w:t>
      </w:r>
      <w:r w:rsidR="00A94C0A">
        <w:rPr>
          <w:i/>
          <w:iCs/>
          <w:sz w:val="22"/>
          <w:szCs w:val="22"/>
        </w:rPr>
        <w:t> </w:t>
      </w:r>
      <w:r w:rsidRPr="00884806">
        <w:rPr>
          <w:i/>
          <w:iCs/>
          <w:sz w:val="22"/>
          <w:szCs w:val="22"/>
        </w:rPr>
        <w:t>000</w:t>
      </w:r>
      <w:r w:rsidR="00A94C0A">
        <w:rPr>
          <w:i/>
          <w:iCs/>
          <w:sz w:val="22"/>
          <w:szCs w:val="22"/>
        </w:rPr>
        <w:t>.</w:t>
      </w:r>
      <w:r w:rsidRPr="00884806">
        <w:rPr>
          <w:i/>
          <w:iCs/>
          <w:sz w:val="22"/>
          <w:szCs w:val="22"/>
        </w:rPr>
        <w:t>00.</w:t>
      </w:r>
    </w:p>
    <w:p w14:paraId="76360418" w14:textId="4A318BE1" w:rsidR="00310D1E" w:rsidRDefault="00BF68DB" w:rsidP="00C27725">
      <w:pPr>
        <w:pStyle w:val="ListParagraph"/>
        <w:spacing w:line="276" w:lineRule="auto"/>
        <w:ind w:left="822" w:firstLine="618"/>
        <w:contextualSpacing w:val="0"/>
      </w:pPr>
      <w:r w:rsidRPr="00884806">
        <w:rPr>
          <w:i/>
          <w:iCs/>
          <w:sz w:val="22"/>
          <w:szCs w:val="22"/>
        </w:rPr>
        <w:t xml:space="preserve">11.3. </w:t>
      </w:r>
      <w:r w:rsidRPr="00884806">
        <w:rPr>
          <w:i/>
          <w:iCs/>
          <w:sz w:val="22"/>
          <w:szCs w:val="22"/>
        </w:rPr>
        <w:tab/>
        <w:t>Damages for bodily integrity R1 000</w:t>
      </w:r>
      <w:r w:rsidR="00A94C0A">
        <w:rPr>
          <w:i/>
          <w:iCs/>
          <w:sz w:val="22"/>
          <w:szCs w:val="22"/>
        </w:rPr>
        <w:t> </w:t>
      </w:r>
      <w:r w:rsidRPr="00884806">
        <w:rPr>
          <w:i/>
          <w:iCs/>
          <w:sz w:val="22"/>
          <w:szCs w:val="22"/>
        </w:rPr>
        <w:t>000</w:t>
      </w:r>
      <w:r w:rsidR="00A94C0A">
        <w:rPr>
          <w:i/>
          <w:iCs/>
          <w:sz w:val="22"/>
          <w:szCs w:val="22"/>
        </w:rPr>
        <w:t>.</w:t>
      </w:r>
      <w:r w:rsidRPr="00884806">
        <w:rPr>
          <w:i/>
          <w:iCs/>
          <w:sz w:val="22"/>
          <w:szCs w:val="22"/>
        </w:rPr>
        <w:t>00</w:t>
      </w:r>
      <w:r w:rsidRPr="00BF68DB">
        <w:t>.”</w:t>
      </w:r>
    </w:p>
    <w:bookmarkEnd w:id="26"/>
    <w:p w14:paraId="3E8D1B9A" w14:textId="683813B1" w:rsidR="00CE3C36" w:rsidRDefault="001D5FD8" w:rsidP="001D5FD8">
      <w:pPr>
        <w:ind w:left="822" w:hanging="822"/>
        <w:pPrChange w:id="27" w:author="Graeme Rennie" w:date="2021-11-24T13:14:00Z">
          <w:pPr>
            <w:pStyle w:val="ListParagraph"/>
            <w:numPr>
              <w:numId w:val="2"/>
            </w:numPr>
            <w:ind w:left="822" w:hanging="822"/>
            <w:contextualSpacing w:val="0"/>
          </w:pPr>
        </w:pPrChange>
      </w:pPr>
      <w:r>
        <w:rPr>
          <w:rFonts w:ascii="Arial" w:hAnsi="Arial" w:cs="Arial"/>
          <w:sz w:val="24"/>
          <w:szCs w:val="24"/>
        </w:rPr>
        <w:t>[13]</w:t>
      </w:r>
      <w:r>
        <w:rPr>
          <w:rFonts w:ascii="Arial" w:hAnsi="Arial" w:cs="Arial"/>
          <w:sz w:val="24"/>
          <w:szCs w:val="24"/>
        </w:rPr>
        <w:tab/>
      </w:r>
      <w:r w:rsidR="00BF68DB" w:rsidRPr="00BF68DB">
        <w:t>When the</w:t>
      </w:r>
      <w:r w:rsidR="00CE3C36">
        <w:t xml:space="preserve"> plaintiff sought the</w:t>
      </w:r>
      <w:r w:rsidR="00BF68DB" w:rsidRPr="00BF68DB">
        <w:t xml:space="preserve"> amendment</w:t>
      </w:r>
      <w:r w:rsidR="003C2189">
        <w:t xml:space="preserve"> on </w:t>
      </w:r>
      <w:r w:rsidR="003C2189" w:rsidRPr="003C2189">
        <w:t>30 January 2020</w:t>
      </w:r>
      <w:r w:rsidR="00BF68DB" w:rsidRPr="00BF68DB">
        <w:t xml:space="preserve">, </w:t>
      </w:r>
      <w:r w:rsidR="00CE3C36">
        <w:t>he</w:t>
      </w:r>
      <w:r w:rsidR="00BF68DB" w:rsidRPr="00BF68DB">
        <w:t xml:space="preserve"> had already made discovery on 30 May 2018 </w:t>
      </w:r>
      <w:r w:rsidR="00A94C0A">
        <w:t>and the defendant had made discovery too</w:t>
      </w:r>
      <w:r w:rsidR="003C2189">
        <w:t xml:space="preserve">, on </w:t>
      </w:r>
      <w:r w:rsidR="003C2189" w:rsidRPr="003C2189">
        <w:t>25 July 2018</w:t>
      </w:r>
      <w:r w:rsidR="00BF68DB" w:rsidRPr="00BF68DB">
        <w:t xml:space="preserve">. </w:t>
      </w:r>
      <w:r w:rsidR="003C2189">
        <w:t xml:space="preserve">He had the material documents available to formulate the amendment, although </w:t>
      </w:r>
      <w:r w:rsidR="003C2189" w:rsidRPr="003C2189">
        <w:t xml:space="preserve">no cell registers were discovered, and the record of proceedings of the plaintiff’s appearances were not discovered. I was informed </w:t>
      </w:r>
      <w:r w:rsidR="003C2189" w:rsidRPr="003C2189">
        <w:lastRenderedPageBreak/>
        <w:t xml:space="preserve">form the bar that the plaintiff’s attorney tried to obtain these documents, but could not gain access to them. </w:t>
      </w:r>
    </w:p>
    <w:p w14:paraId="03B51582" w14:textId="6406DA3B" w:rsidR="003C2189" w:rsidRDefault="001D5FD8" w:rsidP="001D5FD8">
      <w:pPr>
        <w:ind w:left="822" w:hanging="822"/>
        <w:pPrChange w:id="28" w:author="Graeme Rennie" w:date="2021-11-24T13:14:00Z">
          <w:pPr>
            <w:pStyle w:val="ListParagraph"/>
            <w:numPr>
              <w:numId w:val="2"/>
            </w:numPr>
            <w:ind w:left="822" w:hanging="822"/>
            <w:contextualSpacing w:val="0"/>
          </w:pPr>
        </w:pPrChange>
      </w:pPr>
      <w:r>
        <w:rPr>
          <w:rFonts w:ascii="Arial" w:hAnsi="Arial" w:cs="Arial"/>
          <w:sz w:val="24"/>
          <w:szCs w:val="24"/>
        </w:rPr>
        <w:t>[14]</w:t>
      </w:r>
      <w:r>
        <w:rPr>
          <w:rFonts w:ascii="Arial" w:hAnsi="Arial" w:cs="Arial"/>
          <w:sz w:val="24"/>
          <w:szCs w:val="24"/>
        </w:rPr>
        <w:tab/>
      </w:r>
      <w:r w:rsidR="00BF68DB" w:rsidRPr="00BF68DB">
        <w:t xml:space="preserve">One </w:t>
      </w:r>
      <w:r w:rsidR="00884806">
        <w:t xml:space="preserve">pleaded </w:t>
      </w:r>
      <w:r w:rsidR="00BF68DB" w:rsidRPr="00BF68DB">
        <w:t xml:space="preserve">matter became irrelevant. The </w:t>
      </w:r>
      <w:r w:rsidR="00B63346">
        <w:t xml:space="preserve">particulars of claim (and not the statutory notice) </w:t>
      </w:r>
      <w:r w:rsidR="00BF68DB" w:rsidRPr="00BF68DB">
        <w:t xml:space="preserve">made various averments about an unlawful search by police officers of </w:t>
      </w:r>
      <w:r w:rsidR="00B63346">
        <w:t>the plaintiff and of</w:t>
      </w:r>
      <w:r w:rsidR="00BF68DB" w:rsidRPr="00BF68DB">
        <w:t xml:space="preserve"> his residence, being no 535 </w:t>
      </w:r>
      <w:r w:rsidR="001817E1">
        <w:t xml:space="preserve">section </w:t>
      </w:r>
      <w:r w:rsidR="00BF68DB" w:rsidRPr="00BF68DB">
        <w:t>Katlehong Gauteng. When the trial commenced</w:t>
      </w:r>
      <w:r w:rsidR="00172FA8">
        <w:t>,</w:t>
      </w:r>
      <w:r w:rsidR="00BF68DB" w:rsidRPr="00BF68DB">
        <w:t xml:space="preserve"> the plaintiff’s counsel confirmed that no relief in respect of such searches would be sought.</w:t>
      </w:r>
      <w:r w:rsidR="00B63346">
        <w:t xml:space="preserve"> As reflected, the plaintiff would later testify that he resided at a different address. He would also testify that no search had taken place.</w:t>
      </w:r>
    </w:p>
    <w:p w14:paraId="31236A12" w14:textId="410B7587" w:rsidR="00BF68DB" w:rsidRPr="00BF68DB" w:rsidRDefault="001D5FD8" w:rsidP="001D5FD8">
      <w:pPr>
        <w:spacing w:after="0"/>
        <w:ind w:left="822" w:hanging="822"/>
        <w:pPrChange w:id="29" w:author="Graeme Rennie" w:date="2021-11-24T13:14:00Z">
          <w:pPr>
            <w:pStyle w:val="ListParagraph"/>
            <w:numPr>
              <w:numId w:val="2"/>
            </w:numPr>
            <w:spacing w:after="0"/>
            <w:ind w:left="822" w:hanging="822"/>
            <w:contextualSpacing w:val="0"/>
          </w:pPr>
        </w:pPrChange>
      </w:pPr>
      <w:r w:rsidRPr="00BF68DB">
        <w:rPr>
          <w:rFonts w:ascii="Arial" w:hAnsi="Arial" w:cs="Arial"/>
          <w:sz w:val="24"/>
          <w:szCs w:val="24"/>
        </w:rPr>
        <w:t>[15]</w:t>
      </w:r>
      <w:r w:rsidRPr="00BF68DB">
        <w:rPr>
          <w:rFonts w:ascii="Arial" w:hAnsi="Arial" w:cs="Arial"/>
          <w:sz w:val="24"/>
          <w:szCs w:val="24"/>
        </w:rPr>
        <w:tab/>
      </w:r>
      <w:r w:rsidR="00BF68DB" w:rsidRPr="00BF68DB">
        <w:t>The defendant’s case was not pleaded with clarity. The initial plea contained an admission that a police officer arrested the plaintiff:</w:t>
      </w:r>
    </w:p>
    <w:p w14:paraId="36A8F115" w14:textId="77777777" w:rsidR="00BF68DB" w:rsidRPr="00884806" w:rsidRDefault="00BF68DB" w:rsidP="00C27725">
      <w:pPr>
        <w:pStyle w:val="ListParagraph"/>
        <w:spacing w:line="276" w:lineRule="auto"/>
        <w:ind w:left="1440" w:firstLine="0"/>
        <w:contextualSpacing w:val="0"/>
        <w:rPr>
          <w:i/>
          <w:iCs/>
          <w:sz w:val="22"/>
          <w:szCs w:val="22"/>
        </w:rPr>
      </w:pPr>
      <w:r w:rsidRPr="00BF68DB">
        <w:t>“</w:t>
      </w:r>
      <w:r w:rsidRPr="00884806">
        <w:rPr>
          <w:i/>
          <w:iCs/>
          <w:sz w:val="22"/>
          <w:szCs w:val="22"/>
        </w:rPr>
        <w:t>Save to admit that the arrest was without a warrant, the Defendant pleads that the arrest of the Plaintiff is justifiable in terms of section 40(1)(b) of the Criminal Procedure 51 of 1977 in that;</w:t>
      </w:r>
    </w:p>
    <w:p w14:paraId="0A35837B" w14:textId="77777777" w:rsidR="00BF68DB" w:rsidRPr="00884806" w:rsidRDefault="00BF68DB" w:rsidP="00C27725">
      <w:pPr>
        <w:pStyle w:val="ListParagraph"/>
        <w:spacing w:line="276" w:lineRule="auto"/>
        <w:ind w:left="822" w:firstLine="618"/>
        <w:contextualSpacing w:val="0"/>
        <w:rPr>
          <w:i/>
          <w:iCs/>
          <w:sz w:val="22"/>
          <w:szCs w:val="22"/>
        </w:rPr>
      </w:pPr>
      <w:r w:rsidRPr="00884806">
        <w:rPr>
          <w:i/>
          <w:iCs/>
          <w:sz w:val="22"/>
          <w:szCs w:val="22"/>
        </w:rPr>
        <w:t>4.1.</w:t>
      </w:r>
      <w:r w:rsidRPr="00884806">
        <w:rPr>
          <w:i/>
          <w:iCs/>
          <w:sz w:val="22"/>
          <w:szCs w:val="22"/>
        </w:rPr>
        <w:tab/>
        <w:t>He was arrested by a police officer;</w:t>
      </w:r>
    </w:p>
    <w:p w14:paraId="4201B8C9" w14:textId="77777777" w:rsidR="00BF68DB" w:rsidRPr="00884806" w:rsidRDefault="00BF68DB" w:rsidP="00C27725">
      <w:pPr>
        <w:pStyle w:val="ListParagraph"/>
        <w:spacing w:line="276" w:lineRule="auto"/>
        <w:ind w:left="822" w:firstLine="618"/>
        <w:contextualSpacing w:val="0"/>
        <w:rPr>
          <w:i/>
          <w:iCs/>
          <w:sz w:val="22"/>
          <w:szCs w:val="22"/>
        </w:rPr>
      </w:pPr>
      <w:r w:rsidRPr="00884806">
        <w:rPr>
          <w:i/>
          <w:iCs/>
          <w:sz w:val="22"/>
          <w:szCs w:val="22"/>
        </w:rPr>
        <w:t>4.2.</w:t>
      </w:r>
      <w:r w:rsidRPr="00884806">
        <w:rPr>
          <w:i/>
          <w:iCs/>
          <w:sz w:val="22"/>
          <w:szCs w:val="22"/>
        </w:rPr>
        <w:tab/>
        <w:t>The arresting officer entertained a suspicion;</w:t>
      </w:r>
    </w:p>
    <w:p w14:paraId="571ACC36" w14:textId="77777777" w:rsidR="00BF68DB" w:rsidRPr="00884806" w:rsidRDefault="00BF68DB" w:rsidP="00C27725">
      <w:pPr>
        <w:pStyle w:val="ListParagraph"/>
        <w:spacing w:line="276" w:lineRule="auto"/>
        <w:ind w:left="822" w:firstLine="618"/>
        <w:contextualSpacing w:val="0"/>
        <w:rPr>
          <w:i/>
          <w:iCs/>
          <w:sz w:val="22"/>
          <w:szCs w:val="22"/>
        </w:rPr>
      </w:pPr>
      <w:r w:rsidRPr="00884806">
        <w:rPr>
          <w:i/>
          <w:iCs/>
          <w:sz w:val="22"/>
          <w:szCs w:val="22"/>
        </w:rPr>
        <w:t>4.3.</w:t>
      </w:r>
      <w:r w:rsidRPr="00884806">
        <w:rPr>
          <w:i/>
          <w:iCs/>
          <w:sz w:val="22"/>
          <w:szCs w:val="22"/>
        </w:rPr>
        <w:tab/>
        <w:t>The suspicion rested on reasonable grounds;</w:t>
      </w:r>
    </w:p>
    <w:p w14:paraId="3A19219D" w14:textId="77777777" w:rsidR="00BF68DB" w:rsidRPr="00BF68DB" w:rsidRDefault="00BF68DB" w:rsidP="00C27725">
      <w:pPr>
        <w:pStyle w:val="ListParagraph"/>
        <w:spacing w:line="276" w:lineRule="auto"/>
        <w:ind w:left="2160" w:hanging="720"/>
        <w:contextualSpacing w:val="0"/>
      </w:pPr>
      <w:r w:rsidRPr="00884806">
        <w:rPr>
          <w:i/>
          <w:iCs/>
          <w:sz w:val="22"/>
          <w:szCs w:val="22"/>
        </w:rPr>
        <w:t xml:space="preserve">4.4. </w:t>
      </w:r>
      <w:r w:rsidRPr="00884806">
        <w:rPr>
          <w:i/>
          <w:iCs/>
          <w:sz w:val="22"/>
          <w:szCs w:val="22"/>
        </w:rPr>
        <w:tab/>
        <w:t>And the arresting officer exercised a proper discretion on having Plaintiff arrested and incarcerated</w:t>
      </w:r>
      <w:r w:rsidRPr="00BF68DB">
        <w:t>.”</w:t>
      </w:r>
    </w:p>
    <w:p w14:paraId="712B5062" w14:textId="25D91D13" w:rsidR="00BF68DB" w:rsidRPr="00B63346" w:rsidRDefault="001D5FD8" w:rsidP="001D5FD8">
      <w:pPr>
        <w:pStyle w:val="BodyText"/>
        <w:spacing w:after="0"/>
        <w:ind w:left="822" w:hanging="822"/>
        <w:rPr>
          <w:b w:val="0"/>
          <w:bCs w:val="0"/>
        </w:rPr>
        <w:pPrChange w:id="30" w:author="Graeme Rennie" w:date="2021-11-24T13:14:00Z">
          <w:pPr>
            <w:pStyle w:val="BodyText"/>
            <w:numPr>
              <w:numId w:val="2"/>
            </w:numPr>
            <w:spacing w:after="0"/>
            <w:ind w:left="822" w:hanging="822"/>
          </w:pPr>
        </w:pPrChange>
      </w:pPr>
      <w:r w:rsidRPr="00B63346">
        <w:rPr>
          <w:b w:val="0"/>
          <w:bCs w:val="0"/>
        </w:rPr>
        <w:t>[16]</w:t>
      </w:r>
      <w:r w:rsidRPr="00B63346">
        <w:rPr>
          <w:b w:val="0"/>
          <w:bCs w:val="0"/>
        </w:rPr>
        <w:tab/>
      </w:r>
      <w:r w:rsidR="00BF68DB" w:rsidRPr="00BF68DB">
        <w:rPr>
          <w:b w:val="0"/>
          <w:bCs w:val="0"/>
        </w:rPr>
        <w:t>Who the police officer was, what the suspicion was, what the grounds for the suspicion were, were not pleaded</w:t>
      </w:r>
      <w:r w:rsidR="00B63346">
        <w:rPr>
          <w:b w:val="0"/>
          <w:bCs w:val="0"/>
        </w:rPr>
        <w:t>,</w:t>
      </w:r>
      <w:r w:rsidR="00BF68DB" w:rsidRPr="00BF68DB">
        <w:rPr>
          <w:b w:val="0"/>
          <w:bCs w:val="0"/>
        </w:rPr>
        <w:t xml:space="preserve"> or </w:t>
      </w:r>
      <w:r w:rsidR="00B63346">
        <w:rPr>
          <w:b w:val="0"/>
          <w:bCs w:val="0"/>
        </w:rPr>
        <w:t xml:space="preserve">later </w:t>
      </w:r>
      <w:r w:rsidR="00BF68DB" w:rsidRPr="00BF68DB">
        <w:rPr>
          <w:b w:val="0"/>
          <w:bCs w:val="0"/>
        </w:rPr>
        <w:t>enquired about by the plaintiff</w:t>
      </w:r>
      <w:r w:rsidR="00B63346">
        <w:rPr>
          <w:b w:val="0"/>
          <w:bCs w:val="0"/>
        </w:rPr>
        <w:t xml:space="preserve"> in the pre-trial processes. </w:t>
      </w:r>
      <w:r w:rsidR="00BF68DB" w:rsidRPr="00B63346">
        <w:rPr>
          <w:b w:val="0"/>
          <w:bCs w:val="0"/>
        </w:rPr>
        <w:t>The answer to the alleged unlawful detention of the plaintiff from the date of his first bail hearing, was pleaded as follows:</w:t>
      </w:r>
    </w:p>
    <w:p w14:paraId="25B7C354" w14:textId="7D8D9BBD" w:rsidR="00BF68DB" w:rsidRPr="00652E7D" w:rsidRDefault="00BF68DB" w:rsidP="00696FE8">
      <w:pPr>
        <w:pStyle w:val="ListParagraph"/>
        <w:spacing w:line="276" w:lineRule="auto"/>
        <w:ind w:left="822" w:firstLine="618"/>
        <w:contextualSpacing w:val="0"/>
        <w:rPr>
          <w:i/>
          <w:iCs/>
          <w:sz w:val="22"/>
          <w:szCs w:val="22"/>
        </w:rPr>
      </w:pPr>
      <w:r w:rsidRPr="00BF68DB">
        <w:t>“</w:t>
      </w:r>
      <w:bookmarkStart w:id="31" w:name="_Hlk83045529"/>
      <w:r w:rsidRPr="00652E7D">
        <w:rPr>
          <w:i/>
          <w:iCs/>
          <w:sz w:val="22"/>
          <w:szCs w:val="22"/>
        </w:rPr>
        <w:t>7</w:t>
      </w:r>
      <w:r w:rsidRPr="00652E7D">
        <w:rPr>
          <w:i/>
          <w:iCs/>
          <w:sz w:val="22"/>
          <w:szCs w:val="22"/>
        </w:rPr>
        <w:tab/>
        <w:t>The detention of the Plaintiff was lawful in that:</w:t>
      </w:r>
    </w:p>
    <w:p w14:paraId="15CD2D95" w14:textId="70768399" w:rsidR="00BF68DB" w:rsidRPr="00652E7D" w:rsidRDefault="00BF68DB" w:rsidP="00696FE8">
      <w:pPr>
        <w:pStyle w:val="ListParagraph"/>
        <w:spacing w:line="276" w:lineRule="auto"/>
        <w:ind w:left="2880" w:hanging="620"/>
        <w:contextualSpacing w:val="0"/>
        <w:rPr>
          <w:i/>
          <w:iCs/>
          <w:sz w:val="22"/>
          <w:szCs w:val="22"/>
        </w:rPr>
      </w:pPr>
      <w:r w:rsidRPr="00652E7D">
        <w:rPr>
          <w:i/>
          <w:iCs/>
          <w:sz w:val="22"/>
          <w:szCs w:val="22"/>
        </w:rPr>
        <w:t xml:space="preserve">7.1 </w:t>
      </w:r>
      <w:r w:rsidRPr="00652E7D">
        <w:rPr>
          <w:i/>
          <w:iCs/>
          <w:sz w:val="22"/>
          <w:szCs w:val="22"/>
        </w:rPr>
        <w:tab/>
        <w:t>that there was a lawful reason to detain the Plaintiff as police officers were investigating the case and did not want the Plaintiff to interfere with witnesses or tamper with the evidence and further to secure his appearance to court.</w:t>
      </w:r>
    </w:p>
    <w:p w14:paraId="7B5A6C37" w14:textId="77777777" w:rsidR="00BF68DB" w:rsidRPr="00BF68DB" w:rsidRDefault="00BF68DB" w:rsidP="00696FE8">
      <w:pPr>
        <w:pStyle w:val="ListParagraph"/>
        <w:spacing w:line="276" w:lineRule="auto"/>
        <w:ind w:left="2880" w:hanging="620"/>
        <w:contextualSpacing w:val="0"/>
      </w:pPr>
      <w:r w:rsidRPr="00652E7D">
        <w:rPr>
          <w:i/>
          <w:iCs/>
          <w:sz w:val="22"/>
          <w:szCs w:val="22"/>
        </w:rPr>
        <w:t xml:space="preserve">7.2 </w:t>
      </w:r>
      <w:r w:rsidRPr="00652E7D">
        <w:rPr>
          <w:i/>
          <w:iCs/>
          <w:sz w:val="22"/>
          <w:szCs w:val="22"/>
        </w:rPr>
        <w:tab/>
        <w:t>The Defendant denies each and every allegation made in this paragraph and put the Plaintiff to the proof thereof. The Defendant further avers that the continued detention was to enable the investigating officer to conduct the investigation without any interference</w:t>
      </w:r>
      <w:r w:rsidRPr="00BF68DB">
        <w:t>.”</w:t>
      </w:r>
    </w:p>
    <w:bookmarkEnd w:id="31"/>
    <w:p w14:paraId="31880FBA" w14:textId="42BE9EA6" w:rsidR="00310D1E" w:rsidRDefault="001D5FD8" w:rsidP="001D5FD8">
      <w:pPr>
        <w:ind w:left="822" w:hanging="822"/>
        <w:pPrChange w:id="32" w:author="Graeme Rennie" w:date="2021-11-24T13:14:00Z">
          <w:pPr>
            <w:pStyle w:val="ListParagraph"/>
            <w:numPr>
              <w:numId w:val="2"/>
            </w:numPr>
            <w:ind w:left="822" w:hanging="822"/>
            <w:contextualSpacing w:val="0"/>
          </w:pPr>
        </w:pPrChange>
      </w:pPr>
      <w:r>
        <w:rPr>
          <w:rFonts w:ascii="Arial" w:hAnsi="Arial" w:cs="Arial"/>
          <w:sz w:val="24"/>
          <w:szCs w:val="24"/>
        </w:rPr>
        <w:lastRenderedPageBreak/>
        <w:t>[17]</w:t>
      </w:r>
      <w:r>
        <w:rPr>
          <w:rFonts w:ascii="Arial" w:hAnsi="Arial" w:cs="Arial"/>
          <w:sz w:val="24"/>
          <w:szCs w:val="24"/>
        </w:rPr>
        <w:tab/>
      </w:r>
      <w:r w:rsidR="00696FE8">
        <w:t xml:space="preserve">This plea did not state expressly that the defendant had reasons to believe that the plaintiff would </w:t>
      </w:r>
      <w:r w:rsidR="00696FE8" w:rsidRPr="00696FE8">
        <w:t>interfere with witnesses</w:t>
      </w:r>
      <w:r w:rsidR="00696FE8">
        <w:t>, would</w:t>
      </w:r>
      <w:r w:rsidR="00696FE8" w:rsidRPr="00696FE8">
        <w:t xml:space="preserve"> tamper with the evidence</w:t>
      </w:r>
      <w:r w:rsidR="00696FE8">
        <w:t xml:space="preserve">, or would not appear at court. </w:t>
      </w:r>
      <w:r w:rsidR="001709A6">
        <w:t>The plaintiff would later testify that the magistrate</w:t>
      </w:r>
      <w:r w:rsidR="00336B72">
        <w:t>,</w:t>
      </w:r>
      <w:r w:rsidR="001709A6">
        <w:t xml:space="preserve"> </w:t>
      </w:r>
      <w:r w:rsidR="00696FE8">
        <w:t xml:space="preserve">in refusing bail </w:t>
      </w:r>
      <w:r w:rsidR="00B63346">
        <w:t>at his first appearance</w:t>
      </w:r>
      <w:r w:rsidR="00336B72">
        <w:t>,</w:t>
      </w:r>
      <w:r w:rsidR="00B63346">
        <w:t xml:space="preserve"> </w:t>
      </w:r>
      <w:r w:rsidR="001709A6">
        <w:t>(properly) took into account the fact he used two surnames, and h</w:t>
      </w:r>
      <w:r w:rsidR="00336B72">
        <w:t>ad</w:t>
      </w:r>
      <w:r w:rsidR="001709A6">
        <w:t xml:space="preserve"> stated different residential addresses. For some reason</w:t>
      </w:r>
      <w:r w:rsidR="00336B72">
        <w:t>,</w:t>
      </w:r>
      <w:r w:rsidR="001709A6">
        <w:t xml:space="preserve"> the defendant did not plead those factors, or the matters that appeared from the form completed about </w:t>
      </w:r>
      <w:r w:rsidR="00B63346">
        <w:t xml:space="preserve">the plaintiff’s </w:t>
      </w:r>
      <w:r w:rsidR="001709A6">
        <w:t>eligibility for bail</w:t>
      </w:r>
      <w:r w:rsidR="00B63346">
        <w:t>, completed</w:t>
      </w:r>
      <w:r w:rsidR="001709A6">
        <w:t xml:space="preserve"> by Constable Masilelo on 1 August 2010</w:t>
      </w:r>
      <w:r w:rsidR="00696FE8">
        <w:t xml:space="preserve">, </w:t>
      </w:r>
      <w:r w:rsidR="00B63346">
        <w:t xml:space="preserve">a document </w:t>
      </w:r>
      <w:r w:rsidR="00696FE8">
        <w:t xml:space="preserve">that appeared in the </w:t>
      </w:r>
      <w:r w:rsidR="003C2189">
        <w:t xml:space="preserve">discovered </w:t>
      </w:r>
      <w:r w:rsidR="00696FE8">
        <w:t>docket</w:t>
      </w:r>
      <w:r w:rsidR="001709A6">
        <w:t xml:space="preserve">. </w:t>
      </w:r>
    </w:p>
    <w:p w14:paraId="73C64580" w14:textId="18B9C349" w:rsidR="00696FE8" w:rsidRDefault="001D5FD8" w:rsidP="001D5FD8">
      <w:pPr>
        <w:spacing w:after="0"/>
        <w:ind w:left="822" w:hanging="822"/>
        <w:pPrChange w:id="33" w:author="Graeme Rennie" w:date="2021-11-24T13:14:00Z">
          <w:pPr>
            <w:pStyle w:val="ListParagraph"/>
            <w:numPr>
              <w:numId w:val="2"/>
            </w:numPr>
            <w:spacing w:after="0"/>
            <w:ind w:left="822" w:hanging="822"/>
            <w:contextualSpacing w:val="0"/>
          </w:pPr>
        </w:pPrChange>
      </w:pPr>
      <w:r>
        <w:rPr>
          <w:rFonts w:ascii="Arial" w:hAnsi="Arial" w:cs="Arial"/>
          <w:sz w:val="24"/>
          <w:szCs w:val="24"/>
        </w:rPr>
        <w:t>[18]</w:t>
      </w:r>
      <w:r>
        <w:rPr>
          <w:rFonts w:ascii="Arial" w:hAnsi="Arial" w:cs="Arial"/>
          <w:sz w:val="24"/>
          <w:szCs w:val="24"/>
        </w:rPr>
        <w:tab/>
      </w:r>
      <w:r w:rsidR="00BF68DB" w:rsidRPr="00BF68DB">
        <w:t>Having previously admitted the arrest of the plaintiff</w:t>
      </w:r>
      <w:r w:rsidR="00262118">
        <w:t xml:space="preserve"> and sought to justify on vague grounds</w:t>
      </w:r>
      <w:r w:rsidR="00BF68DB" w:rsidRPr="00BF68DB">
        <w:t>, the defendant</w:t>
      </w:r>
      <w:r w:rsidR="00C333CC">
        <w:t>,</w:t>
      </w:r>
      <w:r w:rsidR="00BF68DB" w:rsidRPr="00BF68DB">
        <w:t xml:space="preserve"> in an amended plea (according to a note on CaseLines</w:t>
      </w:r>
      <w:r w:rsidR="000946B7">
        <w:t>,</w:t>
      </w:r>
      <w:r w:rsidR="00BF68DB" w:rsidRPr="00BF68DB">
        <w:t xml:space="preserve"> dated 17 September 2020</w:t>
      </w:r>
      <w:r w:rsidR="000946B7">
        <w:t>)</w:t>
      </w:r>
      <w:r w:rsidR="00652E7D">
        <w:t xml:space="preserve">, </w:t>
      </w:r>
      <w:r w:rsidR="00BF68DB" w:rsidRPr="00BF68DB">
        <w:t>denied the averments of an arrest by police officers. The amended plea reads</w:t>
      </w:r>
      <w:r w:rsidR="00696FE8">
        <w:t>:</w:t>
      </w:r>
    </w:p>
    <w:p w14:paraId="4863F2B3" w14:textId="73648EC6" w:rsidR="00BF68DB" w:rsidRPr="00696FE8" w:rsidRDefault="00BF68DB" w:rsidP="00696FE8">
      <w:pPr>
        <w:pStyle w:val="ListParagraph"/>
        <w:spacing w:after="0"/>
        <w:ind w:left="822" w:firstLine="618"/>
        <w:contextualSpacing w:val="0"/>
      </w:pPr>
      <w:r w:rsidRPr="00BF68DB">
        <w:t>“</w:t>
      </w:r>
      <w:r w:rsidRPr="00696FE8">
        <w:rPr>
          <w:i/>
          <w:iCs/>
          <w:sz w:val="22"/>
          <w:szCs w:val="22"/>
        </w:rPr>
        <w:t>3. AD PARAGRAPH 3 THEREOF</w:t>
      </w:r>
      <w:r w:rsidRPr="00696FE8">
        <w:rPr>
          <w:i/>
          <w:iCs/>
        </w:rPr>
        <w:t xml:space="preserve"> </w:t>
      </w:r>
    </w:p>
    <w:p w14:paraId="3D62A5ED" w14:textId="77777777" w:rsidR="00BF68DB" w:rsidRPr="00652E7D" w:rsidRDefault="00BF68DB" w:rsidP="00C27725">
      <w:pPr>
        <w:pStyle w:val="ListParagraph"/>
        <w:spacing w:line="276" w:lineRule="auto"/>
        <w:ind w:left="1440" w:firstLine="0"/>
        <w:contextualSpacing w:val="0"/>
        <w:rPr>
          <w:i/>
          <w:iCs/>
          <w:sz w:val="22"/>
          <w:szCs w:val="22"/>
        </w:rPr>
      </w:pPr>
      <w:r w:rsidRPr="00652E7D">
        <w:rPr>
          <w:i/>
          <w:iCs/>
          <w:sz w:val="22"/>
          <w:szCs w:val="22"/>
        </w:rPr>
        <w:t xml:space="preserve">The Defendant denies each and every allegation made in this paragraph and put the Plaintiff to the proof. In amplification· of its plea, the Defendant pleads that the Plaintiff was arrested by Mr. Thulani Dube (Private investigator) at the place and date alleged in this paragraph and that the aforesaid Mr. Dube was not and is not a member of the South African Police Services. </w:t>
      </w:r>
    </w:p>
    <w:p w14:paraId="0C845A54" w14:textId="77777777" w:rsidR="00BF68DB" w:rsidRPr="00652E7D" w:rsidRDefault="00BF68DB" w:rsidP="00C27725">
      <w:pPr>
        <w:pStyle w:val="ListParagraph"/>
        <w:spacing w:line="276" w:lineRule="auto"/>
        <w:ind w:left="822" w:firstLine="618"/>
        <w:contextualSpacing w:val="0"/>
        <w:rPr>
          <w:i/>
          <w:iCs/>
          <w:sz w:val="22"/>
          <w:szCs w:val="22"/>
        </w:rPr>
      </w:pPr>
      <w:r w:rsidRPr="00652E7D">
        <w:rPr>
          <w:i/>
          <w:iCs/>
          <w:sz w:val="22"/>
          <w:szCs w:val="22"/>
        </w:rPr>
        <w:t>4. AD PARAGRAPHS 4 THEREOF</w:t>
      </w:r>
    </w:p>
    <w:p w14:paraId="4C8A0B34" w14:textId="77777777" w:rsidR="00BF68DB" w:rsidRPr="00BF68DB" w:rsidRDefault="00BF68DB" w:rsidP="00C27725">
      <w:pPr>
        <w:pStyle w:val="ListParagraph"/>
        <w:spacing w:line="276" w:lineRule="auto"/>
        <w:ind w:left="2160" w:hanging="720"/>
        <w:contextualSpacing w:val="0"/>
      </w:pPr>
      <w:r w:rsidRPr="00652E7D">
        <w:rPr>
          <w:i/>
          <w:iCs/>
          <w:sz w:val="22"/>
          <w:szCs w:val="22"/>
        </w:rPr>
        <w:t xml:space="preserve">4.1 </w:t>
      </w:r>
      <w:r w:rsidRPr="00652E7D">
        <w:rPr>
          <w:i/>
          <w:iCs/>
          <w:sz w:val="22"/>
          <w:szCs w:val="22"/>
        </w:rPr>
        <w:tab/>
        <w:t>Save to admit that the arrest was effected without a warrant pursuant to the provisions of section 43 of the Criminal Procedure Act, 51 of 1977, as amended the remaining allegation are specifically denied and the Plaintiff is put to the proof thereof</w:t>
      </w:r>
      <w:r w:rsidRPr="00652E7D">
        <w:rPr>
          <w:sz w:val="22"/>
          <w:szCs w:val="22"/>
        </w:rPr>
        <w:t>.</w:t>
      </w:r>
      <w:r w:rsidRPr="00BF68DB">
        <w:t>”</w:t>
      </w:r>
    </w:p>
    <w:p w14:paraId="66DC96B1" w14:textId="004DA984" w:rsidR="00BF68DB" w:rsidRPr="00BF68DB" w:rsidRDefault="001D5FD8" w:rsidP="001D5FD8">
      <w:pPr>
        <w:ind w:left="822" w:hanging="822"/>
        <w:pPrChange w:id="34" w:author="Graeme Rennie" w:date="2021-11-24T13:14:00Z">
          <w:pPr>
            <w:pStyle w:val="ListParagraph"/>
            <w:numPr>
              <w:numId w:val="2"/>
            </w:numPr>
            <w:ind w:left="822" w:hanging="822"/>
            <w:contextualSpacing w:val="0"/>
          </w:pPr>
        </w:pPrChange>
      </w:pPr>
      <w:r w:rsidRPr="00BF68DB">
        <w:rPr>
          <w:rFonts w:ascii="Arial" w:hAnsi="Arial" w:cs="Arial"/>
          <w:sz w:val="24"/>
          <w:szCs w:val="24"/>
        </w:rPr>
        <w:t>[19]</w:t>
      </w:r>
      <w:r w:rsidRPr="00BF68DB">
        <w:rPr>
          <w:rFonts w:ascii="Arial" w:hAnsi="Arial" w:cs="Arial"/>
          <w:sz w:val="24"/>
          <w:szCs w:val="24"/>
        </w:rPr>
        <w:tab/>
      </w:r>
      <w:r w:rsidR="00BF68DB" w:rsidRPr="00BF68DB">
        <w:t xml:space="preserve">Despite having raised a plea that its officers did not arrest the plaintiff, the </w:t>
      </w:r>
      <w:r w:rsidR="00B63346">
        <w:t xml:space="preserve">defendant did not amend its </w:t>
      </w:r>
      <w:r w:rsidR="00BF68DB" w:rsidRPr="00BF68DB">
        <w:t xml:space="preserve">plea about </w:t>
      </w:r>
      <w:r w:rsidR="00B63346">
        <w:t xml:space="preserve">the </w:t>
      </w:r>
      <w:r w:rsidR="003C2189" w:rsidRPr="003C2189">
        <w:t>justification</w:t>
      </w:r>
      <w:r w:rsidR="00B63346">
        <w:t xml:space="preserve"> for the plaintiff’s</w:t>
      </w:r>
      <w:r w:rsidR="00BF68DB" w:rsidRPr="00BF68DB">
        <w:t xml:space="preserve"> continued detention. </w:t>
      </w:r>
    </w:p>
    <w:p w14:paraId="378DE51C" w14:textId="59B10131" w:rsidR="00BF68DB" w:rsidRPr="00BF68DB" w:rsidRDefault="001D5FD8" w:rsidP="001D5FD8">
      <w:pPr>
        <w:spacing w:after="0"/>
        <w:ind w:left="822" w:hanging="822"/>
        <w:pPrChange w:id="35" w:author="Graeme Rennie" w:date="2021-11-24T13:14:00Z">
          <w:pPr>
            <w:pStyle w:val="ListParagraph"/>
            <w:numPr>
              <w:numId w:val="2"/>
            </w:numPr>
            <w:spacing w:after="0"/>
            <w:ind w:left="822" w:hanging="822"/>
            <w:contextualSpacing w:val="0"/>
          </w:pPr>
        </w:pPrChange>
      </w:pPr>
      <w:r w:rsidRPr="00BF68DB">
        <w:rPr>
          <w:rFonts w:ascii="Arial" w:hAnsi="Arial" w:cs="Arial"/>
          <w:sz w:val="24"/>
          <w:szCs w:val="24"/>
        </w:rPr>
        <w:t>[20]</w:t>
      </w:r>
      <w:r w:rsidRPr="00BF68DB">
        <w:rPr>
          <w:rFonts w:ascii="Arial" w:hAnsi="Arial" w:cs="Arial"/>
          <w:sz w:val="24"/>
          <w:szCs w:val="24"/>
        </w:rPr>
        <w:tab/>
      </w:r>
      <w:r w:rsidR="00BF68DB" w:rsidRPr="00BF68DB">
        <w:t>I did refer to the averments by the plaintiff about an unlawful search by police officers of his person and his residence. The original plea of the defendant admitted such searches, but took issue with the unlawfulness averment</w:t>
      </w:r>
      <w:r w:rsidR="00262118">
        <w:t xml:space="preserve"> and instead sought to justify the searches</w:t>
      </w:r>
      <w:r w:rsidR="00BF68DB" w:rsidRPr="00BF68DB">
        <w:t xml:space="preserve">. </w:t>
      </w:r>
      <w:r w:rsidR="00262118">
        <w:t xml:space="preserve">(Searches that the plaintiff would later testify did not take place.) </w:t>
      </w:r>
      <w:r w:rsidR="00BF68DB" w:rsidRPr="00BF68DB">
        <w:t xml:space="preserve">Having denied that </w:t>
      </w:r>
      <w:r w:rsidR="00701E19">
        <w:t xml:space="preserve">members of the </w:t>
      </w:r>
      <w:r w:rsidR="00BF68DB" w:rsidRPr="00BF68DB">
        <w:t>police arrested the plaintiff in its amended plea, the plea was not amended with regard to the search</w:t>
      </w:r>
      <w:r w:rsidR="00701E19">
        <w:t xml:space="preserve"> by such members</w:t>
      </w:r>
      <w:r w:rsidR="00BF68DB" w:rsidRPr="00BF68DB">
        <w:t>. Th</w:t>
      </w:r>
      <w:r w:rsidR="00262118">
        <w:t>us the following remained the plea</w:t>
      </w:r>
      <w:r w:rsidR="00BF68DB" w:rsidRPr="00BF68DB">
        <w:t>:</w:t>
      </w:r>
    </w:p>
    <w:p w14:paraId="599B30B9" w14:textId="2E2C54B1" w:rsidR="00BF68DB" w:rsidRPr="00652E7D" w:rsidRDefault="00BF68DB" w:rsidP="00C27725">
      <w:pPr>
        <w:pStyle w:val="ListParagraph"/>
        <w:spacing w:line="276" w:lineRule="auto"/>
        <w:ind w:left="2160" w:hanging="720"/>
        <w:contextualSpacing w:val="0"/>
        <w:rPr>
          <w:i/>
          <w:iCs/>
          <w:sz w:val="22"/>
          <w:szCs w:val="22"/>
        </w:rPr>
      </w:pPr>
      <w:r w:rsidRPr="00BF68DB">
        <w:lastRenderedPageBreak/>
        <w:t>“</w:t>
      </w:r>
      <w:r w:rsidRPr="00652E7D">
        <w:rPr>
          <w:i/>
          <w:iCs/>
          <w:sz w:val="22"/>
          <w:szCs w:val="22"/>
        </w:rPr>
        <w:t>5.1</w:t>
      </w:r>
      <w:r w:rsidR="00652E7D" w:rsidRPr="00652E7D">
        <w:rPr>
          <w:i/>
          <w:iCs/>
          <w:sz w:val="22"/>
          <w:szCs w:val="22"/>
        </w:rPr>
        <w:tab/>
      </w:r>
      <w:r w:rsidRPr="00652E7D">
        <w:rPr>
          <w:i/>
          <w:iCs/>
          <w:sz w:val="22"/>
          <w:szCs w:val="22"/>
        </w:rPr>
        <w:t>Save to deny that the search was unlawful the rest of the allegations are admitted.</w:t>
      </w:r>
    </w:p>
    <w:p w14:paraId="31A902F9" w14:textId="77777777" w:rsidR="00BF68DB" w:rsidRPr="00652E7D" w:rsidRDefault="00BF68DB" w:rsidP="00C27725">
      <w:pPr>
        <w:pStyle w:val="ListParagraph"/>
        <w:spacing w:line="276" w:lineRule="auto"/>
        <w:ind w:left="822" w:firstLine="618"/>
        <w:contextualSpacing w:val="0"/>
        <w:rPr>
          <w:i/>
          <w:iCs/>
          <w:sz w:val="22"/>
          <w:szCs w:val="22"/>
        </w:rPr>
      </w:pPr>
      <w:r w:rsidRPr="00652E7D">
        <w:rPr>
          <w:i/>
          <w:iCs/>
          <w:sz w:val="22"/>
          <w:szCs w:val="22"/>
        </w:rPr>
        <w:t xml:space="preserve">5.2 </w:t>
      </w:r>
      <w:r w:rsidRPr="00652E7D">
        <w:rPr>
          <w:i/>
          <w:iCs/>
          <w:sz w:val="22"/>
          <w:szCs w:val="22"/>
        </w:rPr>
        <w:tab/>
        <w:t>The Plaintiff consented to the search.</w:t>
      </w:r>
    </w:p>
    <w:p w14:paraId="3BE3D529" w14:textId="77777777" w:rsidR="00BF68DB" w:rsidRPr="00652E7D" w:rsidRDefault="00BF68DB" w:rsidP="00C27725">
      <w:pPr>
        <w:pStyle w:val="ListParagraph"/>
        <w:spacing w:line="276" w:lineRule="auto"/>
        <w:ind w:left="822" w:firstLine="618"/>
        <w:contextualSpacing w:val="0"/>
        <w:rPr>
          <w:i/>
          <w:iCs/>
          <w:sz w:val="22"/>
          <w:szCs w:val="22"/>
        </w:rPr>
      </w:pPr>
      <w:r w:rsidRPr="00652E7D">
        <w:rPr>
          <w:i/>
          <w:iCs/>
          <w:sz w:val="22"/>
          <w:szCs w:val="22"/>
        </w:rPr>
        <w:t xml:space="preserve">5.3 </w:t>
      </w:r>
      <w:r w:rsidRPr="00652E7D">
        <w:rPr>
          <w:i/>
          <w:iCs/>
          <w:sz w:val="22"/>
          <w:szCs w:val="22"/>
        </w:rPr>
        <w:tab/>
        <w:t>The police have on reasonable grounds believed that;</w:t>
      </w:r>
    </w:p>
    <w:p w14:paraId="2E756368" w14:textId="75FC5B8F" w:rsidR="00BF68DB" w:rsidRPr="00652E7D" w:rsidRDefault="00BF68DB" w:rsidP="00C27725">
      <w:pPr>
        <w:pStyle w:val="ListParagraph"/>
        <w:spacing w:line="276" w:lineRule="auto"/>
        <w:ind w:left="2880" w:hanging="720"/>
        <w:contextualSpacing w:val="0"/>
        <w:rPr>
          <w:i/>
          <w:iCs/>
          <w:sz w:val="22"/>
          <w:szCs w:val="22"/>
        </w:rPr>
      </w:pPr>
      <w:r w:rsidRPr="00652E7D">
        <w:rPr>
          <w:i/>
          <w:iCs/>
          <w:sz w:val="22"/>
          <w:szCs w:val="22"/>
        </w:rPr>
        <w:t>5.3.1</w:t>
      </w:r>
      <w:r w:rsidR="00652E7D" w:rsidRPr="00652E7D">
        <w:rPr>
          <w:i/>
          <w:iCs/>
          <w:sz w:val="22"/>
          <w:szCs w:val="22"/>
        </w:rPr>
        <w:tab/>
      </w:r>
      <w:r w:rsidRPr="00652E7D">
        <w:rPr>
          <w:i/>
          <w:iCs/>
          <w:sz w:val="22"/>
          <w:szCs w:val="22"/>
        </w:rPr>
        <w:t>The search warrant would have been. issued to had they applied for such search warrant;</w:t>
      </w:r>
    </w:p>
    <w:p w14:paraId="68735AA1" w14:textId="69F61604" w:rsidR="00BF68DB" w:rsidRPr="00BF68DB" w:rsidRDefault="00BF68DB" w:rsidP="00C27725">
      <w:pPr>
        <w:pStyle w:val="ListParagraph"/>
        <w:spacing w:line="276" w:lineRule="auto"/>
        <w:ind w:left="2880" w:hanging="720"/>
        <w:contextualSpacing w:val="0"/>
      </w:pPr>
      <w:r w:rsidRPr="00652E7D">
        <w:rPr>
          <w:i/>
          <w:iCs/>
          <w:sz w:val="22"/>
          <w:szCs w:val="22"/>
        </w:rPr>
        <w:t xml:space="preserve">5.3.2 </w:t>
      </w:r>
      <w:r w:rsidR="00652E7D" w:rsidRPr="00652E7D">
        <w:rPr>
          <w:i/>
          <w:iCs/>
          <w:sz w:val="22"/>
          <w:szCs w:val="22"/>
        </w:rPr>
        <w:tab/>
      </w:r>
      <w:r w:rsidRPr="00652E7D">
        <w:rPr>
          <w:i/>
          <w:iCs/>
          <w:sz w:val="22"/>
          <w:szCs w:val="22"/>
        </w:rPr>
        <w:t>The Defendant avers that the delay in obtaining a search warrant would defeat tile object of the search</w:t>
      </w:r>
      <w:r w:rsidRPr="00BF68DB">
        <w:t>.”</w:t>
      </w:r>
    </w:p>
    <w:p w14:paraId="484AA516" w14:textId="1086E684" w:rsidR="000946B7" w:rsidRDefault="001D5FD8" w:rsidP="001D5FD8">
      <w:pPr>
        <w:ind w:left="720" w:hanging="720"/>
        <w:pPrChange w:id="36" w:author="Graeme Rennie" w:date="2021-11-24T13:14:00Z">
          <w:pPr>
            <w:pStyle w:val="ListParagraph"/>
            <w:numPr>
              <w:numId w:val="2"/>
            </w:numPr>
            <w:ind w:hanging="720"/>
            <w:contextualSpacing w:val="0"/>
          </w:pPr>
        </w:pPrChange>
      </w:pPr>
      <w:r>
        <w:rPr>
          <w:rFonts w:ascii="Arial" w:hAnsi="Arial" w:cs="Arial"/>
          <w:sz w:val="24"/>
          <w:szCs w:val="24"/>
        </w:rPr>
        <w:t>[21]</w:t>
      </w:r>
      <w:r>
        <w:rPr>
          <w:rFonts w:ascii="Arial" w:hAnsi="Arial" w:cs="Arial"/>
          <w:sz w:val="24"/>
          <w:szCs w:val="24"/>
        </w:rPr>
        <w:tab/>
      </w:r>
      <w:r w:rsidR="00336B72">
        <w:t xml:space="preserve"> </w:t>
      </w:r>
      <w:r w:rsidR="00BF68DB" w:rsidRPr="00BF68DB">
        <w:t>The plaintiff did not deliver any response to the amended plea</w:t>
      </w:r>
      <w:r w:rsidR="000946B7">
        <w:t>. In particular</w:t>
      </w:r>
      <w:r w:rsidR="001F2CE2">
        <w:t>,</w:t>
      </w:r>
      <w:r w:rsidR="000946B7">
        <w:t xml:space="preserve"> </w:t>
      </w:r>
      <w:r w:rsidR="001F2CE2">
        <w:t xml:space="preserve"> </w:t>
      </w:r>
      <w:r w:rsidR="001F2CE2">
        <w:br/>
        <w:t xml:space="preserve"> </w:t>
      </w:r>
      <w:r w:rsidR="000946B7">
        <w:t xml:space="preserve">the </w:t>
      </w:r>
      <w:r w:rsidR="00336B72">
        <w:t xml:space="preserve">  </w:t>
      </w:r>
      <w:r w:rsidR="000946B7">
        <w:t>plaintiff did not seek</w:t>
      </w:r>
      <w:r w:rsidR="001F2CE2">
        <w:t>,</w:t>
      </w:r>
      <w:r w:rsidR="000946B7">
        <w:t xml:space="preserve"> in the alternative</w:t>
      </w:r>
      <w:r w:rsidR="001F2CE2">
        <w:t>,</w:t>
      </w:r>
      <w:r w:rsidR="000946B7">
        <w:t xml:space="preserve"> damages based on a finding by </w:t>
      </w:r>
      <w:r w:rsidR="001F2CE2">
        <w:br/>
        <w:t xml:space="preserve"> </w:t>
      </w:r>
      <w:r w:rsidR="000946B7">
        <w:t xml:space="preserve">this court that Mr Dube arrested the plaintiff and that the defendant committed </w:t>
      </w:r>
      <w:r w:rsidR="001F2CE2">
        <w:br/>
        <w:t xml:space="preserve"> </w:t>
      </w:r>
      <w:r w:rsidR="000946B7">
        <w:t>a</w:t>
      </w:r>
      <w:r w:rsidR="001F2CE2">
        <w:t xml:space="preserve"> </w:t>
      </w:r>
      <w:r w:rsidR="000946B7">
        <w:t>delict</w:t>
      </w:r>
      <w:r w:rsidR="001F2CE2">
        <w:t xml:space="preserve"> </w:t>
      </w:r>
      <w:r w:rsidR="000946B7">
        <w:t>by</w:t>
      </w:r>
      <w:r w:rsidR="00336B72">
        <w:t xml:space="preserve"> </w:t>
      </w:r>
      <w:r w:rsidR="000946B7">
        <w:t xml:space="preserve">not releasing the plaintiff when Mr Dube handed the plaintiff over for </w:t>
      </w:r>
      <w:r w:rsidR="001F2CE2">
        <w:br/>
        <w:t xml:space="preserve"> </w:t>
      </w:r>
      <w:r w:rsidR="000946B7">
        <w:t xml:space="preserve">detention. </w:t>
      </w:r>
    </w:p>
    <w:p w14:paraId="7F0600C3" w14:textId="28115E08" w:rsidR="00E1780F" w:rsidRPr="00E1780F" w:rsidRDefault="00E1780F" w:rsidP="00E1780F">
      <w:pPr>
        <w:pStyle w:val="Heading7"/>
      </w:pPr>
      <w:r w:rsidRPr="00E1780F">
        <w:t xml:space="preserve">Pre-hearing procedures </w:t>
      </w:r>
    </w:p>
    <w:p w14:paraId="10E7EBC9" w14:textId="5097787C" w:rsidR="000946B7" w:rsidRDefault="001D5FD8" w:rsidP="001D5FD8">
      <w:pPr>
        <w:ind w:left="822" w:hanging="822"/>
        <w:pPrChange w:id="37" w:author="Graeme Rennie" w:date="2021-11-24T13:14:00Z">
          <w:pPr>
            <w:pStyle w:val="ListParagraph"/>
            <w:numPr>
              <w:numId w:val="2"/>
            </w:numPr>
            <w:ind w:left="822" w:hanging="822"/>
          </w:pPr>
        </w:pPrChange>
      </w:pPr>
      <w:r>
        <w:rPr>
          <w:rFonts w:ascii="Arial" w:hAnsi="Arial" w:cs="Arial"/>
          <w:sz w:val="24"/>
          <w:szCs w:val="24"/>
        </w:rPr>
        <w:t>[22]</w:t>
      </w:r>
      <w:r>
        <w:rPr>
          <w:rFonts w:ascii="Arial" w:hAnsi="Arial" w:cs="Arial"/>
          <w:sz w:val="24"/>
          <w:szCs w:val="24"/>
        </w:rPr>
        <w:tab/>
      </w:r>
      <w:r w:rsidR="000946B7">
        <w:t>It seems that the first pre-trial conference was held on 19 August 2020, and this presumably was before the defendant sought an amendment to its plea. (The notice and filing notes were not uploaded on CaseLines). At that conference</w:t>
      </w:r>
      <w:r w:rsidR="001F2CE2">
        <w:t>,</w:t>
      </w:r>
      <w:r w:rsidR="000946B7">
        <w:t xml:space="preserve"> the defendant admitted arrest and detention of the plaintiff (presumably by its officers), but denied that the arrest was unlawful. It denied the assault. The parties agreed to this confusing and inherently contradictory assessment on onus</w:t>
      </w:r>
      <w:r w:rsidR="00B67B9A">
        <w:t xml:space="preserve"> (and thus meaningless</w:t>
      </w:r>
      <w:r w:rsidR="00A94C0A">
        <w:t xml:space="preserve"> agreement</w:t>
      </w:r>
      <w:r w:rsidR="00B67B9A">
        <w:t>)</w:t>
      </w:r>
      <w:r w:rsidR="000946B7">
        <w:t>:</w:t>
      </w:r>
    </w:p>
    <w:p w14:paraId="2C4D37F1" w14:textId="77777777" w:rsidR="000946B7" w:rsidRPr="000946B7" w:rsidRDefault="000946B7" w:rsidP="00C27725">
      <w:pPr>
        <w:pStyle w:val="ListParagraph"/>
        <w:ind w:left="822" w:firstLine="618"/>
        <w:rPr>
          <w:i/>
          <w:iCs/>
          <w:sz w:val="22"/>
          <w:szCs w:val="22"/>
        </w:rPr>
      </w:pPr>
      <w:r>
        <w:t>“</w:t>
      </w:r>
      <w:r w:rsidRPr="000946B7">
        <w:rPr>
          <w:i/>
          <w:iCs/>
          <w:sz w:val="22"/>
          <w:szCs w:val="22"/>
        </w:rPr>
        <w:t>Plaintiff: The plaintiff to prove assault, unlawfulness and/or wrongful arrest.</w:t>
      </w:r>
    </w:p>
    <w:p w14:paraId="2307B409" w14:textId="11A775E2" w:rsidR="000946B7" w:rsidRPr="000946B7" w:rsidRDefault="000946B7" w:rsidP="00C27725">
      <w:pPr>
        <w:pStyle w:val="ListParagraph"/>
        <w:ind w:left="822" w:firstLine="618"/>
      </w:pPr>
      <w:r w:rsidRPr="000946B7">
        <w:rPr>
          <w:i/>
          <w:iCs/>
          <w:sz w:val="22"/>
          <w:szCs w:val="22"/>
        </w:rPr>
        <w:t>Defendant: Defendant to justify the arrest and detention</w:t>
      </w:r>
      <w:r>
        <w:t xml:space="preserve">”. </w:t>
      </w:r>
    </w:p>
    <w:p w14:paraId="2AC72CA2" w14:textId="400943BD" w:rsidR="000946B7" w:rsidRDefault="001D5FD8" w:rsidP="001D5FD8">
      <w:pPr>
        <w:pStyle w:val="BodyText"/>
        <w:ind w:left="822" w:hanging="822"/>
        <w:rPr>
          <w:b w:val="0"/>
          <w:bCs w:val="0"/>
        </w:rPr>
        <w:pPrChange w:id="38" w:author="Graeme Rennie" w:date="2021-11-24T13:14:00Z">
          <w:pPr>
            <w:pStyle w:val="BodyText"/>
            <w:numPr>
              <w:numId w:val="2"/>
            </w:numPr>
            <w:ind w:left="822" w:hanging="822"/>
          </w:pPr>
        </w:pPrChange>
      </w:pPr>
      <w:r>
        <w:rPr>
          <w:b w:val="0"/>
          <w:bCs w:val="0"/>
        </w:rPr>
        <w:t>[23]</w:t>
      </w:r>
      <w:r>
        <w:rPr>
          <w:b w:val="0"/>
          <w:bCs w:val="0"/>
        </w:rPr>
        <w:tab/>
      </w:r>
      <w:r w:rsidR="00BF68DB" w:rsidRPr="00BF68DB">
        <w:rPr>
          <w:b w:val="0"/>
          <w:bCs w:val="0"/>
        </w:rPr>
        <w:t>The parties agreed</w:t>
      </w:r>
      <w:r w:rsidR="001F2CE2">
        <w:rPr>
          <w:b w:val="0"/>
          <w:bCs w:val="0"/>
        </w:rPr>
        <w:t>,</w:t>
      </w:r>
      <w:r w:rsidR="00BF68DB" w:rsidRPr="00BF68DB">
        <w:rPr>
          <w:b w:val="0"/>
          <w:bCs w:val="0"/>
        </w:rPr>
        <w:t xml:space="preserve"> </w:t>
      </w:r>
      <w:r w:rsidR="00B67B9A">
        <w:rPr>
          <w:b w:val="0"/>
          <w:bCs w:val="0"/>
        </w:rPr>
        <w:t>at this conference</w:t>
      </w:r>
      <w:r w:rsidR="001F2CE2">
        <w:rPr>
          <w:b w:val="0"/>
          <w:bCs w:val="0"/>
        </w:rPr>
        <w:t>,</w:t>
      </w:r>
      <w:r w:rsidR="00B67B9A">
        <w:rPr>
          <w:b w:val="0"/>
          <w:bCs w:val="0"/>
        </w:rPr>
        <w:t xml:space="preserve"> </w:t>
      </w:r>
      <w:r w:rsidR="00BF68DB" w:rsidRPr="00BF68DB">
        <w:rPr>
          <w:b w:val="0"/>
          <w:bCs w:val="0"/>
        </w:rPr>
        <w:t xml:space="preserve">to a </w:t>
      </w:r>
      <w:r w:rsidR="00E1780F">
        <w:rPr>
          <w:b w:val="0"/>
          <w:bCs w:val="0"/>
        </w:rPr>
        <w:t>four to five</w:t>
      </w:r>
      <w:r w:rsidR="000946B7">
        <w:rPr>
          <w:b w:val="0"/>
          <w:bCs w:val="0"/>
        </w:rPr>
        <w:t>-</w:t>
      </w:r>
      <w:r w:rsidR="00BF68DB" w:rsidRPr="00BF68DB">
        <w:rPr>
          <w:b w:val="0"/>
          <w:bCs w:val="0"/>
        </w:rPr>
        <w:t>day hearing and came before me on Tuesday 3 August 2021. I tried to arrange a pre-hearing conference on the day that I received the allocation (Friday 30 July 2021), and again on Monday 2 August 2021, but my registrar and the plaintiff’s counsel could not make contact with the state attorney. When the matter was called</w:t>
      </w:r>
      <w:r w:rsidR="000946B7">
        <w:rPr>
          <w:b w:val="0"/>
          <w:bCs w:val="0"/>
        </w:rPr>
        <w:t xml:space="preserve"> on Tuesday 3 August 2021</w:t>
      </w:r>
      <w:r w:rsidR="00BF68DB" w:rsidRPr="00BF68DB">
        <w:rPr>
          <w:b w:val="0"/>
          <w:bCs w:val="0"/>
        </w:rPr>
        <w:t xml:space="preserve">, the defendant was represented by counsel who could not explain why his attorney could not be contacted. </w:t>
      </w:r>
    </w:p>
    <w:p w14:paraId="2EB6E92D" w14:textId="0FB22384" w:rsidR="00BF68DB" w:rsidRPr="00BF68DB" w:rsidRDefault="001D5FD8" w:rsidP="001D5FD8">
      <w:pPr>
        <w:pStyle w:val="BodyText"/>
        <w:ind w:left="822" w:hanging="822"/>
        <w:rPr>
          <w:b w:val="0"/>
          <w:bCs w:val="0"/>
        </w:rPr>
        <w:pPrChange w:id="39" w:author="Graeme Rennie" w:date="2021-11-24T13:14:00Z">
          <w:pPr>
            <w:pStyle w:val="BodyText"/>
            <w:numPr>
              <w:numId w:val="2"/>
            </w:numPr>
            <w:ind w:left="822" w:hanging="822"/>
          </w:pPr>
        </w:pPrChange>
      </w:pPr>
      <w:r w:rsidRPr="00BF68DB">
        <w:rPr>
          <w:b w:val="0"/>
          <w:bCs w:val="0"/>
        </w:rPr>
        <w:lastRenderedPageBreak/>
        <w:t>[24]</w:t>
      </w:r>
      <w:r w:rsidRPr="00BF68DB">
        <w:rPr>
          <w:b w:val="0"/>
          <w:bCs w:val="0"/>
        </w:rPr>
        <w:tab/>
      </w:r>
      <w:r w:rsidR="00BF68DB" w:rsidRPr="00BF68DB">
        <w:rPr>
          <w:b w:val="0"/>
          <w:bCs w:val="0"/>
        </w:rPr>
        <w:t>In the meantime</w:t>
      </w:r>
      <w:r w:rsidR="00E1780F">
        <w:rPr>
          <w:b w:val="0"/>
          <w:bCs w:val="0"/>
        </w:rPr>
        <w:t>,</w:t>
      </w:r>
      <w:r w:rsidR="00BF68DB" w:rsidRPr="00BF68DB">
        <w:rPr>
          <w:b w:val="0"/>
          <w:bCs w:val="0"/>
        </w:rPr>
        <w:t xml:space="preserve"> I had shared notes to the parties on CaseLines on matters to be attended to ensure that the matter was ready to start running</w:t>
      </w:r>
      <w:r w:rsidR="00B67B9A">
        <w:rPr>
          <w:b w:val="0"/>
          <w:bCs w:val="0"/>
        </w:rPr>
        <w:t xml:space="preserve"> at the allocated time by video conferencing</w:t>
      </w:r>
      <w:r w:rsidR="00BF68DB" w:rsidRPr="00BF68DB">
        <w:rPr>
          <w:b w:val="0"/>
          <w:bCs w:val="0"/>
        </w:rPr>
        <w:t>. Due to the unavailability of the state attorney, these were not attended to</w:t>
      </w:r>
      <w:r w:rsidR="00B67B9A">
        <w:rPr>
          <w:b w:val="0"/>
          <w:bCs w:val="0"/>
        </w:rPr>
        <w:t xml:space="preserve"> either</w:t>
      </w:r>
      <w:r w:rsidR="00BF68DB" w:rsidRPr="00BF68DB">
        <w:rPr>
          <w:b w:val="0"/>
          <w:bCs w:val="0"/>
        </w:rPr>
        <w:t>. The matters included such basic matters as the uploading of the trial, pleading</w:t>
      </w:r>
      <w:r w:rsidR="00701E19">
        <w:rPr>
          <w:b w:val="0"/>
          <w:bCs w:val="0"/>
        </w:rPr>
        <w:t>s,</w:t>
      </w:r>
      <w:r w:rsidR="00BF68DB" w:rsidRPr="00BF68DB">
        <w:rPr>
          <w:b w:val="0"/>
          <w:bCs w:val="0"/>
        </w:rPr>
        <w:t xml:space="preserve"> and notice</w:t>
      </w:r>
      <w:r w:rsidR="00701E19">
        <w:rPr>
          <w:b w:val="0"/>
          <w:bCs w:val="0"/>
        </w:rPr>
        <w:t>s</w:t>
      </w:r>
      <w:r w:rsidR="00BF68DB" w:rsidRPr="00BF68DB">
        <w:rPr>
          <w:b w:val="0"/>
          <w:bCs w:val="0"/>
        </w:rPr>
        <w:t xml:space="preserve"> bundles</w:t>
      </w:r>
      <w:r w:rsidR="00E1780F">
        <w:rPr>
          <w:b w:val="0"/>
          <w:bCs w:val="0"/>
        </w:rPr>
        <w:t xml:space="preserve"> to CaseLines</w:t>
      </w:r>
      <w:r w:rsidR="00BF68DB" w:rsidRPr="00BF68DB">
        <w:rPr>
          <w:b w:val="0"/>
          <w:bCs w:val="0"/>
        </w:rPr>
        <w:t xml:space="preserve">, arrangements </w:t>
      </w:r>
      <w:r w:rsidR="00B67B9A">
        <w:rPr>
          <w:b w:val="0"/>
          <w:bCs w:val="0"/>
        </w:rPr>
        <w:t>for</w:t>
      </w:r>
      <w:r w:rsidR="00BF68DB" w:rsidRPr="00BF68DB">
        <w:rPr>
          <w:b w:val="0"/>
          <w:bCs w:val="0"/>
        </w:rPr>
        <w:t xml:space="preserve"> a video hearing, clarifying the issues in dispute, and the like. None of these matters w</w:t>
      </w:r>
      <w:r w:rsidR="001F2CE2">
        <w:rPr>
          <w:b w:val="0"/>
          <w:bCs w:val="0"/>
        </w:rPr>
        <w:t>ere</w:t>
      </w:r>
      <w:r w:rsidR="00BF68DB" w:rsidRPr="00BF68DB">
        <w:rPr>
          <w:b w:val="0"/>
          <w:bCs w:val="0"/>
        </w:rPr>
        <w:t xml:space="preserve"> dealt with before the matter was called. </w:t>
      </w:r>
    </w:p>
    <w:p w14:paraId="3A1C3C10" w14:textId="0AA8FB02" w:rsidR="00BF68DB" w:rsidRPr="00BF68DB" w:rsidRDefault="001D5FD8" w:rsidP="001D5FD8">
      <w:pPr>
        <w:pStyle w:val="BodyText"/>
        <w:spacing w:after="0"/>
        <w:ind w:left="822" w:hanging="822"/>
        <w:rPr>
          <w:b w:val="0"/>
          <w:bCs w:val="0"/>
        </w:rPr>
        <w:pPrChange w:id="40" w:author="Graeme Rennie" w:date="2021-11-24T13:14:00Z">
          <w:pPr>
            <w:pStyle w:val="BodyText"/>
            <w:numPr>
              <w:numId w:val="2"/>
            </w:numPr>
            <w:spacing w:after="0"/>
            <w:ind w:left="822" w:hanging="822"/>
          </w:pPr>
        </w:pPrChange>
      </w:pPr>
      <w:r w:rsidRPr="00BF68DB">
        <w:rPr>
          <w:b w:val="0"/>
          <w:bCs w:val="0"/>
        </w:rPr>
        <w:t>[25]</w:t>
      </w:r>
      <w:r w:rsidRPr="00BF68DB">
        <w:rPr>
          <w:b w:val="0"/>
          <w:bCs w:val="0"/>
        </w:rPr>
        <w:tab/>
      </w:r>
      <w:r w:rsidR="00BF68DB" w:rsidRPr="00BF68DB">
        <w:rPr>
          <w:b w:val="0"/>
          <w:bCs w:val="0"/>
        </w:rPr>
        <w:t xml:space="preserve">I did not strike the matter from the roll, and exercised a discretion to hear it, as the matter was already 11 years old. </w:t>
      </w:r>
      <w:r w:rsidR="000946B7" w:rsidRPr="000946B7">
        <w:rPr>
          <w:b w:val="0"/>
          <w:bCs w:val="0"/>
        </w:rPr>
        <w:t xml:space="preserve">The matter had to stand down till 14H00 </w:t>
      </w:r>
      <w:r w:rsidR="00B67B9A">
        <w:rPr>
          <w:b w:val="0"/>
          <w:bCs w:val="0"/>
        </w:rPr>
        <w:t xml:space="preserve">on the first day </w:t>
      </w:r>
      <w:r w:rsidR="000946B7" w:rsidRPr="000946B7">
        <w:rPr>
          <w:b w:val="0"/>
          <w:bCs w:val="0"/>
        </w:rPr>
        <w:t xml:space="preserve">to attend thereto and to hold a further pre-trial conference. </w:t>
      </w:r>
      <w:r w:rsidR="00BF68DB" w:rsidRPr="00BF68DB">
        <w:rPr>
          <w:b w:val="0"/>
          <w:bCs w:val="0"/>
        </w:rPr>
        <w:t>I had hoped that a further pre-trial conference would actually assist the parties</w:t>
      </w:r>
      <w:r w:rsidR="00E1780F">
        <w:rPr>
          <w:b w:val="0"/>
          <w:bCs w:val="0"/>
        </w:rPr>
        <w:t>. Instead</w:t>
      </w:r>
      <w:r w:rsidR="00B67B9A">
        <w:rPr>
          <w:b w:val="0"/>
          <w:bCs w:val="0"/>
        </w:rPr>
        <w:t>,</w:t>
      </w:r>
      <w:r w:rsidR="00BF68DB" w:rsidRPr="00BF68DB">
        <w:rPr>
          <w:b w:val="0"/>
          <w:bCs w:val="0"/>
        </w:rPr>
        <w:t xml:space="preserve"> they held a short one of 20 minutes. No real progress was made</w:t>
      </w:r>
      <w:r w:rsidR="00A94C0A">
        <w:rPr>
          <w:b w:val="0"/>
          <w:bCs w:val="0"/>
        </w:rPr>
        <w:t xml:space="preserve"> to define and/or limit the issues</w:t>
      </w:r>
      <w:r w:rsidR="00BF68DB" w:rsidRPr="00BF68DB">
        <w:rPr>
          <w:b w:val="0"/>
          <w:bCs w:val="0"/>
        </w:rPr>
        <w:t>. The</w:t>
      </w:r>
      <w:r w:rsidR="00A94C0A">
        <w:rPr>
          <w:b w:val="0"/>
          <w:bCs w:val="0"/>
        </w:rPr>
        <w:t xml:space="preserve"> confusing</w:t>
      </w:r>
      <w:r w:rsidR="00BF68DB" w:rsidRPr="00BF68DB">
        <w:rPr>
          <w:b w:val="0"/>
          <w:bCs w:val="0"/>
        </w:rPr>
        <w:t xml:space="preserve"> </w:t>
      </w:r>
      <w:r w:rsidR="00A94C0A" w:rsidRPr="00A94C0A">
        <w:rPr>
          <w:b w:val="0"/>
          <w:bCs w:val="0"/>
        </w:rPr>
        <w:t xml:space="preserve">and inherently contradictory </w:t>
      </w:r>
      <w:r w:rsidR="00BF68DB" w:rsidRPr="00BF68DB">
        <w:rPr>
          <w:b w:val="0"/>
          <w:bCs w:val="0"/>
        </w:rPr>
        <w:t xml:space="preserve">agreement on </w:t>
      </w:r>
      <w:r w:rsidR="00A94C0A">
        <w:rPr>
          <w:b w:val="0"/>
          <w:bCs w:val="0"/>
        </w:rPr>
        <w:t>onus was</w:t>
      </w:r>
      <w:r w:rsidR="00BF68DB" w:rsidRPr="00BF68DB">
        <w:rPr>
          <w:b w:val="0"/>
          <w:bCs w:val="0"/>
        </w:rPr>
        <w:t xml:space="preserve"> replaced with</w:t>
      </w:r>
      <w:r w:rsidR="00A94C0A">
        <w:rPr>
          <w:b w:val="0"/>
          <w:bCs w:val="0"/>
        </w:rPr>
        <w:t xml:space="preserve"> the following:</w:t>
      </w:r>
    </w:p>
    <w:p w14:paraId="68390E0C" w14:textId="77777777" w:rsidR="00BF68DB" w:rsidRPr="00E1780F" w:rsidRDefault="00BF68DB" w:rsidP="003638C0">
      <w:pPr>
        <w:pStyle w:val="BodyText"/>
        <w:spacing w:line="276" w:lineRule="auto"/>
        <w:ind w:left="2160" w:hanging="720"/>
        <w:rPr>
          <w:b w:val="0"/>
          <w:bCs w:val="0"/>
          <w:i/>
          <w:iCs/>
          <w:sz w:val="22"/>
          <w:szCs w:val="22"/>
        </w:rPr>
      </w:pPr>
      <w:r w:rsidRPr="00BF68DB">
        <w:rPr>
          <w:b w:val="0"/>
          <w:bCs w:val="0"/>
        </w:rPr>
        <w:t>“</w:t>
      </w:r>
      <w:r w:rsidRPr="00E1780F">
        <w:rPr>
          <w:b w:val="0"/>
          <w:bCs w:val="0"/>
          <w:i/>
          <w:iCs/>
          <w:sz w:val="22"/>
          <w:szCs w:val="22"/>
        </w:rPr>
        <w:t>5.</w:t>
      </w:r>
      <w:r w:rsidRPr="00E1780F">
        <w:rPr>
          <w:b w:val="0"/>
          <w:bCs w:val="0"/>
          <w:i/>
          <w:iCs/>
          <w:sz w:val="22"/>
          <w:szCs w:val="22"/>
        </w:rPr>
        <w:tab/>
        <w:t>Does the defendant dispute liability against the Plaintiff's claim as appears in the amended particulars of claim?</w:t>
      </w:r>
    </w:p>
    <w:p w14:paraId="6FDCD333" w14:textId="4A811DB5" w:rsidR="00BF68DB" w:rsidRPr="00BF68DB" w:rsidRDefault="00BF68DB" w:rsidP="00701E19">
      <w:pPr>
        <w:pStyle w:val="BodyText"/>
        <w:spacing w:line="276" w:lineRule="auto"/>
        <w:ind w:left="3600" w:hanging="1440"/>
        <w:rPr>
          <w:b w:val="0"/>
          <w:bCs w:val="0"/>
        </w:rPr>
      </w:pPr>
      <w:r w:rsidRPr="00E1780F">
        <w:rPr>
          <w:b w:val="0"/>
          <w:bCs w:val="0"/>
          <w:i/>
          <w:iCs/>
          <w:sz w:val="22"/>
          <w:szCs w:val="22"/>
        </w:rPr>
        <w:t>ANSWER:</w:t>
      </w:r>
      <w:r w:rsidR="00E1780F" w:rsidRPr="00E1780F">
        <w:rPr>
          <w:b w:val="0"/>
          <w:bCs w:val="0"/>
          <w:i/>
          <w:iCs/>
          <w:sz w:val="22"/>
          <w:szCs w:val="22"/>
        </w:rPr>
        <w:tab/>
      </w:r>
      <w:r w:rsidRPr="00E1780F">
        <w:rPr>
          <w:b w:val="0"/>
          <w:bCs w:val="0"/>
          <w:i/>
          <w:iCs/>
          <w:sz w:val="22"/>
          <w:szCs w:val="22"/>
        </w:rPr>
        <w:t>Yes. The Defendant denies arresting, assaulting and unlawfully detaining the Plaintiff</w:t>
      </w:r>
      <w:r w:rsidRPr="00BF68DB">
        <w:rPr>
          <w:b w:val="0"/>
          <w:bCs w:val="0"/>
        </w:rPr>
        <w:t>.”</w:t>
      </w:r>
    </w:p>
    <w:p w14:paraId="7F9B7CC8" w14:textId="5C571C7E" w:rsidR="00B67B9A" w:rsidRPr="00632A05" w:rsidRDefault="00B67B9A" w:rsidP="00B67B9A">
      <w:pPr>
        <w:pStyle w:val="BodyText"/>
        <w:rPr>
          <w:u w:val="single"/>
        </w:rPr>
      </w:pPr>
      <w:r w:rsidRPr="00E1780F">
        <w:rPr>
          <w:u w:val="single"/>
        </w:rPr>
        <w:t>The evidence</w:t>
      </w:r>
    </w:p>
    <w:p w14:paraId="0B0EEEFC" w14:textId="6843C351" w:rsidR="00B67B9A" w:rsidRPr="000946B7" w:rsidRDefault="001D5FD8" w:rsidP="001D5FD8">
      <w:pPr>
        <w:pStyle w:val="BodyText"/>
        <w:ind w:left="822" w:hanging="822"/>
        <w:rPr>
          <w:b w:val="0"/>
          <w:bCs w:val="0"/>
        </w:rPr>
        <w:pPrChange w:id="41" w:author="Graeme Rennie" w:date="2021-11-24T13:14:00Z">
          <w:pPr>
            <w:pStyle w:val="BodyText"/>
            <w:numPr>
              <w:numId w:val="2"/>
            </w:numPr>
            <w:ind w:left="822" w:hanging="822"/>
          </w:pPr>
        </w:pPrChange>
      </w:pPr>
      <w:r w:rsidRPr="000946B7">
        <w:rPr>
          <w:b w:val="0"/>
          <w:bCs w:val="0"/>
        </w:rPr>
        <w:t>[26]</w:t>
      </w:r>
      <w:r w:rsidRPr="000946B7">
        <w:rPr>
          <w:b w:val="0"/>
          <w:bCs w:val="0"/>
        </w:rPr>
        <w:tab/>
      </w:r>
      <w:r w:rsidR="00B67B9A" w:rsidRPr="000946B7">
        <w:rPr>
          <w:b w:val="0"/>
          <w:bCs w:val="0"/>
        </w:rPr>
        <w:t xml:space="preserve">No one would have expected </w:t>
      </w:r>
      <w:r w:rsidR="00B67B9A">
        <w:rPr>
          <w:b w:val="0"/>
          <w:bCs w:val="0"/>
        </w:rPr>
        <w:t xml:space="preserve">the plaintiff to deliver </w:t>
      </w:r>
      <w:r w:rsidR="00B67B9A" w:rsidRPr="000946B7">
        <w:rPr>
          <w:b w:val="0"/>
          <w:bCs w:val="0"/>
        </w:rPr>
        <w:t xml:space="preserve">clear oral evidence about smaller details, and if true, a series of horrific events </w:t>
      </w:r>
      <w:r w:rsidR="00A94C0A">
        <w:rPr>
          <w:b w:val="0"/>
          <w:bCs w:val="0"/>
        </w:rPr>
        <w:t xml:space="preserve">that he was </w:t>
      </w:r>
      <w:r w:rsidR="00B67B9A" w:rsidRPr="000946B7">
        <w:rPr>
          <w:b w:val="0"/>
          <w:bCs w:val="0"/>
        </w:rPr>
        <w:t xml:space="preserve">called upon to recall many years </w:t>
      </w:r>
      <w:r w:rsidR="00B67B9A">
        <w:rPr>
          <w:b w:val="0"/>
          <w:bCs w:val="0"/>
        </w:rPr>
        <w:t>after a night of torture</w:t>
      </w:r>
      <w:r w:rsidR="00B67B9A" w:rsidRPr="000946B7">
        <w:rPr>
          <w:b w:val="0"/>
          <w:bCs w:val="0"/>
        </w:rPr>
        <w:t>.</w:t>
      </w:r>
      <w:r w:rsidR="00B67B9A">
        <w:rPr>
          <w:b w:val="0"/>
          <w:bCs w:val="0"/>
        </w:rPr>
        <w:t xml:space="preserve"> Somewhat surprisingly</w:t>
      </w:r>
      <w:r w:rsidR="001F2CE2">
        <w:rPr>
          <w:b w:val="0"/>
          <w:bCs w:val="0"/>
        </w:rPr>
        <w:t>,</w:t>
      </w:r>
      <w:r w:rsidR="00B67B9A">
        <w:rPr>
          <w:b w:val="0"/>
          <w:bCs w:val="0"/>
        </w:rPr>
        <w:t xml:space="preserve"> he did not state that he could no longer remember matters clearly</w:t>
      </w:r>
      <w:r w:rsidR="00A94C0A">
        <w:rPr>
          <w:b w:val="0"/>
          <w:bCs w:val="0"/>
        </w:rPr>
        <w:t>, and testified about times and events with no stated difficulty</w:t>
      </w:r>
      <w:r w:rsidR="00B67B9A">
        <w:rPr>
          <w:b w:val="0"/>
          <w:bCs w:val="0"/>
        </w:rPr>
        <w:t>.</w:t>
      </w:r>
    </w:p>
    <w:p w14:paraId="183DA5A1" w14:textId="0BE4EC23" w:rsidR="00A94C0A" w:rsidRDefault="001D5FD8" w:rsidP="001D5FD8">
      <w:pPr>
        <w:pStyle w:val="BodyText"/>
        <w:ind w:left="822" w:hanging="822"/>
        <w:rPr>
          <w:b w:val="0"/>
          <w:bCs w:val="0"/>
        </w:rPr>
        <w:pPrChange w:id="42" w:author="Graeme Rennie" w:date="2021-11-24T13:14:00Z">
          <w:pPr>
            <w:pStyle w:val="BodyText"/>
            <w:numPr>
              <w:numId w:val="2"/>
            </w:numPr>
            <w:ind w:left="822" w:hanging="822"/>
          </w:pPr>
        </w:pPrChange>
      </w:pPr>
      <w:r>
        <w:rPr>
          <w:b w:val="0"/>
          <w:bCs w:val="0"/>
        </w:rPr>
        <w:t>[27]</w:t>
      </w:r>
      <w:r>
        <w:rPr>
          <w:b w:val="0"/>
          <w:bCs w:val="0"/>
        </w:rPr>
        <w:tab/>
      </w:r>
      <w:r w:rsidR="00C00390">
        <w:rPr>
          <w:b w:val="0"/>
          <w:bCs w:val="0"/>
        </w:rPr>
        <w:t xml:space="preserve">I stated at the outset that </w:t>
      </w:r>
      <w:r w:rsidR="00C00390" w:rsidRPr="00C00390">
        <w:rPr>
          <w:b w:val="0"/>
          <w:bCs w:val="0"/>
        </w:rPr>
        <w:t xml:space="preserve">I reflect the </w:t>
      </w:r>
      <w:r w:rsidR="00C00390">
        <w:rPr>
          <w:b w:val="0"/>
          <w:bCs w:val="0"/>
        </w:rPr>
        <w:t xml:space="preserve">procedural </w:t>
      </w:r>
      <w:r w:rsidR="00C00390" w:rsidRPr="00C00390">
        <w:rPr>
          <w:b w:val="0"/>
          <w:bCs w:val="0"/>
        </w:rPr>
        <w:t>history in some detail as the versions set out in a statutory notice, in the pleadings and in the amendments to the pleadings would become relevant in assessing the evidence.</w:t>
      </w:r>
      <w:r w:rsidR="00C00390">
        <w:rPr>
          <w:b w:val="0"/>
          <w:bCs w:val="0"/>
        </w:rPr>
        <w:t xml:space="preserve"> </w:t>
      </w:r>
      <w:r w:rsidR="004D045F" w:rsidRPr="004D045F">
        <w:rPr>
          <w:b w:val="0"/>
          <w:bCs w:val="0"/>
        </w:rPr>
        <w:t>In the end, there were many contradictions between the statutory notice, the amended particulars of claim, the plaintiff’s affidavit, and his evidence</w:t>
      </w:r>
      <w:r w:rsidR="00437D19">
        <w:rPr>
          <w:b w:val="0"/>
          <w:bCs w:val="0"/>
        </w:rPr>
        <w:t>.</w:t>
      </w:r>
    </w:p>
    <w:p w14:paraId="56F2E36E" w14:textId="7D644CD8" w:rsidR="00B67B9A" w:rsidRDefault="001D5FD8" w:rsidP="001D5FD8">
      <w:pPr>
        <w:pStyle w:val="BodyText"/>
        <w:ind w:left="822" w:hanging="822"/>
        <w:rPr>
          <w:b w:val="0"/>
          <w:bCs w:val="0"/>
        </w:rPr>
        <w:pPrChange w:id="43" w:author="Graeme Rennie" w:date="2021-11-24T13:14:00Z">
          <w:pPr>
            <w:pStyle w:val="BodyText"/>
            <w:numPr>
              <w:numId w:val="2"/>
            </w:numPr>
            <w:ind w:left="822" w:hanging="822"/>
          </w:pPr>
        </w:pPrChange>
      </w:pPr>
      <w:r>
        <w:rPr>
          <w:b w:val="0"/>
          <w:bCs w:val="0"/>
        </w:rPr>
        <w:t>[28]</w:t>
      </w:r>
      <w:r>
        <w:rPr>
          <w:b w:val="0"/>
          <w:bCs w:val="0"/>
        </w:rPr>
        <w:tab/>
      </w:r>
      <w:r w:rsidR="00B67B9A" w:rsidRPr="00BF68DB">
        <w:rPr>
          <w:b w:val="0"/>
          <w:bCs w:val="0"/>
        </w:rPr>
        <w:t xml:space="preserve">The affidavit is one that that </w:t>
      </w:r>
      <w:r w:rsidR="00B67B9A">
        <w:rPr>
          <w:b w:val="0"/>
          <w:bCs w:val="0"/>
        </w:rPr>
        <w:t>the plaintiff</w:t>
      </w:r>
      <w:r w:rsidR="00B67B9A" w:rsidRPr="00BF68DB">
        <w:rPr>
          <w:b w:val="0"/>
          <w:bCs w:val="0"/>
        </w:rPr>
        <w:t xml:space="preserve"> made when he opened a criminal case against the police members for assault and theft (“</w:t>
      </w:r>
      <w:r w:rsidR="00B67B9A" w:rsidRPr="00BF68DB">
        <w:rPr>
          <w:b w:val="0"/>
          <w:bCs w:val="0"/>
          <w:i/>
          <w:iCs/>
        </w:rPr>
        <w:t>the plaintiff’s affidavit</w:t>
      </w:r>
      <w:r w:rsidR="00B67B9A" w:rsidRPr="00BF68DB">
        <w:rPr>
          <w:b w:val="0"/>
          <w:bCs w:val="0"/>
        </w:rPr>
        <w:t xml:space="preserve">” or </w:t>
      </w:r>
      <w:r w:rsidR="00B67B9A" w:rsidRPr="00BF68DB">
        <w:rPr>
          <w:b w:val="0"/>
          <w:bCs w:val="0"/>
        </w:rPr>
        <w:lastRenderedPageBreak/>
        <w:t>“</w:t>
      </w:r>
      <w:r w:rsidR="00B67B9A" w:rsidRPr="00BF68DB">
        <w:rPr>
          <w:b w:val="0"/>
          <w:bCs w:val="0"/>
          <w:i/>
          <w:iCs/>
        </w:rPr>
        <w:t>his affidavit</w:t>
      </w:r>
      <w:r w:rsidR="00B67B9A" w:rsidRPr="00BF68DB">
        <w:rPr>
          <w:b w:val="0"/>
          <w:bCs w:val="0"/>
        </w:rPr>
        <w:t xml:space="preserve">”). </w:t>
      </w:r>
      <w:r w:rsidR="00B67B9A" w:rsidRPr="00442500">
        <w:rPr>
          <w:b w:val="0"/>
          <w:bCs w:val="0"/>
        </w:rPr>
        <w:t>It was deposed to on 21 October 2010, three months after the incident.</w:t>
      </w:r>
      <w:r w:rsidR="00B67B9A" w:rsidRPr="00BF68DB">
        <w:rPr>
          <w:b w:val="0"/>
          <w:bCs w:val="0"/>
        </w:rPr>
        <w:t xml:space="preserve"> The affidavit sets out his complaints about his </w:t>
      </w:r>
      <w:r w:rsidR="00B67B9A">
        <w:rPr>
          <w:b w:val="0"/>
          <w:bCs w:val="0"/>
        </w:rPr>
        <w:t xml:space="preserve">arrest and </w:t>
      </w:r>
      <w:r w:rsidR="00B67B9A" w:rsidRPr="00BF68DB">
        <w:rPr>
          <w:b w:val="0"/>
          <w:bCs w:val="0"/>
        </w:rPr>
        <w:t xml:space="preserve">assault, and is </w:t>
      </w:r>
      <w:r w:rsidR="00B67B9A" w:rsidRPr="00C53677">
        <w:rPr>
          <w:b w:val="0"/>
          <w:bCs w:val="0"/>
        </w:rPr>
        <w:t xml:space="preserve">three </w:t>
      </w:r>
      <w:r w:rsidR="00B67B9A" w:rsidRPr="00BF68DB">
        <w:rPr>
          <w:b w:val="0"/>
          <w:bCs w:val="0"/>
        </w:rPr>
        <w:t>pages long. It is fairly detailed. It was made at Germiston Police Station</w:t>
      </w:r>
      <w:r w:rsidR="00437D19">
        <w:rPr>
          <w:b w:val="0"/>
          <w:bCs w:val="0"/>
        </w:rPr>
        <w:t xml:space="preserve"> and </w:t>
      </w:r>
      <w:r w:rsidR="00B67B9A" w:rsidRPr="00BF68DB">
        <w:rPr>
          <w:b w:val="0"/>
          <w:bCs w:val="0"/>
        </w:rPr>
        <w:t xml:space="preserve">not </w:t>
      </w:r>
      <w:r w:rsidR="00B67B9A">
        <w:rPr>
          <w:b w:val="0"/>
          <w:bCs w:val="0"/>
        </w:rPr>
        <w:t xml:space="preserve">at </w:t>
      </w:r>
      <w:r w:rsidR="00B67B9A" w:rsidRPr="00BF68DB">
        <w:rPr>
          <w:b w:val="0"/>
          <w:bCs w:val="0"/>
        </w:rPr>
        <w:t xml:space="preserve">the station where he was detained. Two police officers assisted him. They had nothing to do with the matter in which he was an accused, and he did not know them. There is no suggestion that the affidavit was anything but an honest attempt to record the plaintiff’s version. </w:t>
      </w:r>
    </w:p>
    <w:p w14:paraId="3F0BE168" w14:textId="29CECB91" w:rsidR="00B67B9A" w:rsidRPr="005C2F62" w:rsidRDefault="001D5FD8" w:rsidP="001D5FD8">
      <w:pPr>
        <w:pStyle w:val="BodyText"/>
        <w:ind w:left="822" w:hanging="822"/>
        <w:rPr>
          <w:b w:val="0"/>
          <w:bCs w:val="0"/>
        </w:rPr>
        <w:pPrChange w:id="44" w:author="Graeme Rennie" w:date="2021-11-24T13:14:00Z">
          <w:pPr>
            <w:pStyle w:val="BodyText"/>
            <w:numPr>
              <w:numId w:val="2"/>
            </w:numPr>
            <w:ind w:left="822" w:hanging="822"/>
          </w:pPr>
        </w:pPrChange>
      </w:pPr>
      <w:r w:rsidRPr="005C2F62">
        <w:rPr>
          <w:b w:val="0"/>
          <w:bCs w:val="0"/>
        </w:rPr>
        <w:t>[29]</w:t>
      </w:r>
      <w:r w:rsidRPr="005C2F62">
        <w:rPr>
          <w:b w:val="0"/>
          <w:bCs w:val="0"/>
        </w:rPr>
        <w:tab/>
      </w:r>
      <w:r w:rsidR="004D045F" w:rsidRPr="004D045F">
        <w:rPr>
          <w:b w:val="0"/>
          <w:bCs w:val="0"/>
        </w:rPr>
        <w:t>The plaintiff was called first</w:t>
      </w:r>
      <w:r w:rsidR="00B67B9A" w:rsidRPr="005C2F62">
        <w:rPr>
          <w:b w:val="0"/>
          <w:bCs w:val="0"/>
        </w:rPr>
        <w:t>:</w:t>
      </w:r>
    </w:p>
    <w:p w14:paraId="45D32294" w14:textId="0F0ABBAE" w:rsidR="00B67B9A" w:rsidRPr="00BF68DB" w:rsidRDefault="001D5FD8" w:rsidP="001D5FD8">
      <w:pPr>
        <w:pStyle w:val="BodyText"/>
        <w:tabs>
          <w:tab w:val="left" w:pos="1814"/>
        </w:tabs>
        <w:ind w:left="1814" w:hanging="992"/>
        <w:rPr>
          <w:b w:val="0"/>
          <w:bCs w:val="0"/>
        </w:rPr>
        <w:pPrChange w:id="45" w:author="Graeme Rennie" w:date="2021-11-24T13:14:00Z">
          <w:pPr>
            <w:pStyle w:val="BodyText"/>
            <w:numPr>
              <w:ilvl w:val="1"/>
              <w:numId w:val="2"/>
            </w:numPr>
            <w:tabs>
              <w:tab w:val="num" w:pos="1814"/>
            </w:tabs>
            <w:ind w:left="1814" w:hanging="992"/>
          </w:pPr>
        </w:pPrChange>
      </w:pPr>
      <w:bookmarkStart w:id="46" w:name="_Hlk83203424"/>
      <w:r w:rsidRPr="00BF68DB">
        <w:rPr>
          <w:rFonts w:cs="Times New Roman"/>
          <w:b w:val="0"/>
          <w:bCs w:val="0"/>
        </w:rPr>
        <w:t>[29.1]</w:t>
      </w:r>
      <w:r w:rsidRPr="00BF68DB">
        <w:rPr>
          <w:rFonts w:cs="Times New Roman"/>
          <w:b w:val="0"/>
          <w:bCs w:val="0"/>
        </w:rPr>
        <w:tab/>
      </w:r>
      <w:r w:rsidR="00437D19">
        <w:rPr>
          <w:b w:val="0"/>
          <w:bCs w:val="0"/>
        </w:rPr>
        <w:t>He</w:t>
      </w:r>
      <w:r w:rsidR="00B67B9A" w:rsidRPr="00E621B7">
        <w:rPr>
          <w:b w:val="0"/>
          <w:bCs w:val="0"/>
        </w:rPr>
        <w:t xml:space="preserve"> testified </w:t>
      </w:r>
      <w:r w:rsidR="00B67B9A">
        <w:rPr>
          <w:b w:val="0"/>
          <w:bCs w:val="0"/>
        </w:rPr>
        <w:t>that h</w:t>
      </w:r>
      <w:r w:rsidR="00B67B9A" w:rsidRPr="00BF68DB">
        <w:rPr>
          <w:b w:val="0"/>
          <w:bCs w:val="0"/>
        </w:rPr>
        <w:t xml:space="preserve">e </w:t>
      </w:r>
      <w:bookmarkEnd w:id="46"/>
      <w:r w:rsidR="00B67B9A">
        <w:rPr>
          <w:b w:val="0"/>
          <w:bCs w:val="0"/>
        </w:rPr>
        <w:t>is</w:t>
      </w:r>
      <w:r w:rsidR="00B67B9A" w:rsidRPr="00BF68DB">
        <w:rPr>
          <w:b w:val="0"/>
          <w:bCs w:val="0"/>
        </w:rPr>
        <w:t xml:space="preserve"> an unemployed person, who has never been employed. He makes a living by selling some vegetables on a Saturday. His job description is that of a vegetable vendor</w:t>
      </w:r>
      <w:r w:rsidR="00B67B9A">
        <w:rPr>
          <w:b w:val="0"/>
          <w:bCs w:val="0"/>
        </w:rPr>
        <w:t>;</w:t>
      </w:r>
    </w:p>
    <w:p w14:paraId="4FE272C3" w14:textId="21B74625" w:rsidR="00B67B9A" w:rsidRDefault="001D5FD8" w:rsidP="001D5FD8">
      <w:pPr>
        <w:pStyle w:val="BodyText"/>
        <w:tabs>
          <w:tab w:val="left" w:pos="3119"/>
        </w:tabs>
        <w:ind w:left="3119" w:hanging="1305"/>
        <w:rPr>
          <w:b w:val="0"/>
          <w:bCs w:val="0"/>
        </w:rPr>
        <w:pPrChange w:id="47" w:author="Graeme Rennie" w:date="2021-11-24T13:14:00Z">
          <w:pPr>
            <w:pStyle w:val="BodyText"/>
            <w:numPr>
              <w:ilvl w:val="2"/>
              <w:numId w:val="2"/>
            </w:numPr>
            <w:tabs>
              <w:tab w:val="num" w:pos="3119"/>
            </w:tabs>
            <w:ind w:left="3119" w:hanging="1305"/>
          </w:pPr>
        </w:pPrChange>
      </w:pPr>
      <w:r>
        <w:rPr>
          <w:rFonts w:cs="Times New Roman"/>
          <w:b w:val="0"/>
          <w:bCs w:val="0"/>
        </w:rPr>
        <w:t>[29.1.1]</w:t>
      </w:r>
      <w:r>
        <w:rPr>
          <w:rFonts w:cs="Times New Roman"/>
          <w:b w:val="0"/>
          <w:bCs w:val="0"/>
        </w:rPr>
        <w:tab/>
      </w:r>
      <w:r w:rsidR="00B67B9A">
        <w:rPr>
          <w:b w:val="0"/>
          <w:bCs w:val="0"/>
        </w:rPr>
        <w:t>However, h</w:t>
      </w:r>
      <w:r w:rsidR="00B67B9A" w:rsidRPr="00BF68DB">
        <w:rPr>
          <w:b w:val="0"/>
          <w:bCs w:val="0"/>
        </w:rPr>
        <w:t>is affidavit states</w:t>
      </w:r>
      <w:r w:rsidR="00B67B9A">
        <w:rPr>
          <w:b w:val="0"/>
          <w:bCs w:val="0"/>
        </w:rPr>
        <w:t xml:space="preserve"> that</w:t>
      </w:r>
      <w:r w:rsidR="00B67B9A" w:rsidRPr="00BF68DB">
        <w:rPr>
          <w:b w:val="0"/>
          <w:bCs w:val="0"/>
        </w:rPr>
        <w:t xml:space="preserve"> he </w:t>
      </w:r>
      <w:r w:rsidR="00B67B9A">
        <w:rPr>
          <w:b w:val="0"/>
          <w:bCs w:val="0"/>
        </w:rPr>
        <w:t>was</w:t>
      </w:r>
      <w:r w:rsidR="00B67B9A" w:rsidRPr="00BF68DB">
        <w:rPr>
          <w:b w:val="0"/>
          <w:bCs w:val="0"/>
        </w:rPr>
        <w:t xml:space="preserve"> </w:t>
      </w:r>
      <w:r w:rsidR="00B67B9A">
        <w:rPr>
          <w:b w:val="0"/>
          <w:bCs w:val="0"/>
        </w:rPr>
        <w:t xml:space="preserve">employed as a director of Sibuyile </w:t>
      </w:r>
      <w:r w:rsidR="00C47848">
        <w:rPr>
          <w:b w:val="0"/>
          <w:bCs w:val="0"/>
        </w:rPr>
        <w:t>Aluminium</w:t>
      </w:r>
      <w:r w:rsidR="00B67B9A">
        <w:rPr>
          <w:b w:val="0"/>
          <w:bCs w:val="0"/>
        </w:rPr>
        <w:t xml:space="preserve"> </w:t>
      </w:r>
      <w:bookmarkStart w:id="48" w:name="_Hlk79130951"/>
      <w:r w:rsidR="00B67B9A">
        <w:rPr>
          <w:b w:val="0"/>
          <w:bCs w:val="0"/>
        </w:rPr>
        <w:t>at 315 Mavimbela Section, Katlehong, being the address where he was arrested;</w:t>
      </w:r>
    </w:p>
    <w:p w14:paraId="3D598B5E" w14:textId="2F671C59" w:rsidR="00B67B9A" w:rsidRPr="005C2F62" w:rsidRDefault="001D5FD8" w:rsidP="001D5FD8">
      <w:pPr>
        <w:pStyle w:val="BodyText"/>
        <w:tabs>
          <w:tab w:val="left" w:pos="3119"/>
        </w:tabs>
        <w:ind w:left="3119" w:hanging="1305"/>
        <w:rPr>
          <w:b w:val="0"/>
          <w:bCs w:val="0"/>
        </w:rPr>
        <w:pPrChange w:id="49" w:author="Graeme Rennie" w:date="2021-11-24T13:14:00Z">
          <w:pPr>
            <w:pStyle w:val="BodyText"/>
            <w:numPr>
              <w:ilvl w:val="2"/>
              <w:numId w:val="2"/>
            </w:numPr>
            <w:tabs>
              <w:tab w:val="num" w:pos="3119"/>
            </w:tabs>
            <w:ind w:left="3119" w:hanging="1305"/>
          </w:pPr>
        </w:pPrChange>
      </w:pPr>
      <w:r w:rsidRPr="005C2F62">
        <w:rPr>
          <w:rFonts w:cs="Times New Roman"/>
          <w:b w:val="0"/>
          <w:bCs w:val="0"/>
        </w:rPr>
        <w:t>[29.1.2]</w:t>
      </w:r>
      <w:r w:rsidRPr="005C2F62">
        <w:rPr>
          <w:rFonts w:cs="Times New Roman"/>
          <w:b w:val="0"/>
          <w:bCs w:val="0"/>
        </w:rPr>
        <w:tab/>
      </w:r>
      <w:r w:rsidR="00B67B9A" w:rsidRPr="005C2F62">
        <w:rPr>
          <w:b w:val="0"/>
          <w:bCs w:val="0"/>
        </w:rPr>
        <w:t>He denied</w:t>
      </w:r>
      <w:r w:rsidR="00C47848">
        <w:rPr>
          <w:b w:val="0"/>
          <w:bCs w:val="0"/>
        </w:rPr>
        <w:t>,</w:t>
      </w:r>
      <w:r w:rsidR="00B67B9A" w:rsidRPr="005C2F62">
        <w:rPr>
          <w:b w:val="0"/>
          <w:bCs w:val="0"/>
        </w:rPr>
        <w:t xml:space="preserve"> in cross-examination</w:t>
      </w:r>
      <w:r w:rsidR="00C47848">
        <w:rPr>
          <w:b w:val="0"/>
          <w:bCs w:val="0"/>
        </w:rPr>
        <w:t>,</w:t>
      </w:r>
      <w:r w:rsidR="00B67B9A" w:rsidRPr="005C2F62">
        <w:rPr>
          <w:b w:val="0"/>
          <w:bCs w:val="0"/>
        </w:rPr>
        <w:t xml:space="preserve"> </w:t>
      </w:r>
      <w:r w:rsidR="008F2295" w:rsidRPr="008F2295">
        <w:rPr>
          <w:b w:val="0"/>
          <w:bCs w:val="0"/>
        </w:rPr>
        <w:t xml:space="preserve">the version </w:t>
      </w:r>
      <w:r w:rsidR="008F2295">
        <w:rPr>
          <w:b w:val="0"/>
          <w:bCs w:val="0"/>
        </w:rPr>
        <w:t xml:space="preserve">in </w:t>
      </w:r>
      <w:r w:rsidR="008F2295" w:rsidRPr="008F2295">
        <w:rPr>
          <w:b w:val="0"/>
          <w:bCs w:val="0"/>
        </w:rPr>
        <w:t xml:space="preserve">his affidavit </w:t>
      </w:r>
      <w:r w:rsidR="00B67B9A" w:rsidRPr="005C2F62">
        <w:rPr>
          <w:b w:val="0"/>
          <w:bCs w:val="0"/>
        </w:rPr>
        <w:t>and stated that he knows of the business, but that it was in another street nearby, not where he was arrested;</w:t>
      </w:r>
    </w:p>
    <w:p w14:paraId="2F445789" w14:textId="16BEC3B8" w:rsidR="00B67B9A" w:rsidRPr="005C2F62" w:rsidRDefault="001D5FD8" w:rsidP="001D5FD8">
      <w:pPr>
        <w:pStyle w:val="BodyText"/>
        <w:tabs>
          <w:tab w:val="left" w:pos="3119"/>
        </w:tabs>
        <w:ind w:left="3119" w:hanging="1305"/>
        <w:rPr>
          <w:b w:val="0"/>
          <w:bCs w:val="0"/>
        </w:rPr>
        <w:pPrChange w:id="50" w:author="Graeme Rennie" w:date="2021-11-24T13:14:00Z">
          <w:pPr>
            <w:pStyle w:val="BodyText"/>
            <w:numPr>
              <w:ilvl w:val="2"/>
              <w:numId w:val="2"/>
            </w:numPr>
            <w:tabs>
              <w:tab w:val="num" w:pos="3119"/>
            </w:tabs>
            <w:ind w:left="3119" w:hanging="1305"/>
          </w:pPr>
        </w:pPrChange>
      </w:pPr>
      <w:r w:rsidRPr="005C2F62">
        <w:rPr>
          <w:rFonts w:cs="Times New Roman"/>
          <w:b w:val="0"/>
          <w:bCs w:val="0"/>
        </w:rPr>
        <w:t>[29.1.3]</w:t>
      </w:r>
      <w:r w:rsidRPr="005C2F62">
        <w:rPr>
          <w:rFonts w:cs="Times New Roman"/>
          <w:b w:val="0"/>
          <w:bCs w:val="0"/>
        </w:rPr>
        <w:tab/>
      </w:r>
      <w:r w:rsidR="00B67B9A" w:rsidRPr="005C2F62">
        <w:rPr>
          <w:b w:val="0"/>
          <w:bCs w:val="0"/>
        </w:rPr>
        <w:t xml:space="preserve">He testified that he was arrested at </w:t>
      </w:r>
      <w:bookmarkStart w:id="51" w:name="_Hlk83039003"/>
      <w:r w:rsidR="00B67B9A" w:rsidRPr="005C2F62">
        <w:rPr>
          <w:b w:val="0"/>
          <w:bCs w:val="0"/>
        </w:rPr>
        <w:t>315 Mavimbela Section, Katlehong</w:t>
      </w:r>
      <w:bookmarkEnd w:id="51"/>
      <w:r w:rsidR="00B67B9A" w:rsidRPr="005C2F62">
        <w:rPr>
          <w:b w:val="0"/>
          <w:bCs w:val="0"/>
        </w:rPr>
        <w:t>, but this version is in conflict with the summons</w:t>
      </w:r>
      <w:r w:rsidR="00B67B9A">
        <w:rPr>
          <w:b w:val="0"/>
          <w:bCs w:val="0"/>
        </w:rPr>
        <w:t>,</w:t>
      </w:r>
      <w:r w:rsidR="00B67B9A" w:rsidRPr="005C2F62">
        <w:rPr>
          <w:b w:val="0"/>
          <w:bCs w:val="0"/>
        </w:rPr>
        <w:t xml:space="preserve"> even after amendment of the particulars of claim</w:t>
      </w:r>
      <w:r w:rsidR="00B67B9A">
        <w:rPr>
          <w:b w:val="0"/>
          <w:bCs w:val="0"/>
        </w:rPr>
        <w:t>,</w:t>
      </w:r>
      <w:r w:rsidR="00B67B9A" w:rsidRPr="005C2F62">
        <w:rPr>
          <w:b w:val="0"/>
          <w:bCs w:val="0"/>
        </w:rPr>
        <w:t xml:space="preserve"> where the place of arrest was given as 535 section Katlehong;</w:t>
      </w:r>
    </w:p>
    <w:bookmarkEnd w:id="48"/>
    <w:p w14:paraId="642C02BD" w14:textId="55C58CFE" w:rsidR="00B67B9A" w:rsidRDefault="001D5FD8" w:rsidP="001D5FD8">
      <w:pPr>
        <w:pStyle w:val="BodyText"/>
        <w:tabs>
          <w:tab w:val="left" w:pos="1814"/>
        </w:tabs>
        <w:ind w:left="1814" w:hanging="992"/>
        <w:rPr>
          <w:b w:val="0"/>
          <w:bCs w:val="0"/>
        </w:rPr>
        <w:pPrChange w:id="52" w:author="Graeme Rennie" w:date="2021-11-24T13:14:00Z">
          <w:pPr>
            <w:pStyle w:val="BodyText"/>
            <w:numPr>
              <w:ilvl w:val="1"/>
              <w:numId w:val="2"/>
            </w:numPr>
            <w:tabs>
              <w:tab w:val="num" w:pos="1814"/>
            </w:tabs>
            <w:ind w:left="1814" w:hanging="992"/>
          </w:pPr>
        </w:pPrChange>
      </w:pPr>
      <w:r>
        <w:rPr>
          <w:rFonts w:cs="Times New Roman"/>
          <w:b w:val="0"/>
          <w:bCs w:val="0"/>
        </w:rPr>
        <w:t>[29.2]</w:t>
      </w:r>
      <w:r>
        <w:rPr>
          <w:rFonts w:cs="Times New Roman"/>
          <w:b w:val="0"/>
          <w:bCs w:val="0"/>
        </w:rPr>
        <w:tab/>
      </w:r>
      <w:r w:rsidR="00B67B9A" w:rsidRPr="00E621B7">
        <w:rPr>
          <w:b w:val="0"/>
          <w:bCs w:val="0"/>
        </w:rPr>
        <w:t>The plaintiff testified that h</w:t>
      </w:r>
      <w:r w:rsidR="00B67B9A">
        <w:rPr>
          <w:b w:val="0"/>
          <w:bCs w:val="0"/>
        </w:rPr>
        <w:t>is</w:t>
      </w:r>
      <w:r w:rsidR="00B67B9A" w:rsidRPr="00BF68DB">
        <w:rPr>
          <w:b w:val="0"/>
          <w:bCs w:val="0"/>
        </w:rPr>
        <w:t xml:space="preserve"> arrest came about after a call from </w:t>
      </w:r>
      <w:r w:rsidR="00B67B9A">
        <w:rPr>
          <w:b w:val="0"/>
          <w:bCs w:val="0"/>
        </w:rPr>
        <w:t xml:space="preserve">Mr </w:t>
      </w:r>
      <w:r w:rsidR="00B67B9A" w:rsidRPr="00BF68DB">
        <w:rPr>
          <w:b w:val="0"/>
          <w:bCs w:val="0"/>
        </w:rPr>
        <w:t xml:space="preserve">Ariel Mahlobo. Mr Mahlobo was known to him, being a friend of his brother. Mr Mahlobo asked to see the plaintiff, and the plaintiff drove to 315 </w:t>
      </w:r>
      <w:r w:rsidR="001817E1">
        <w:rPr>
          <w:b w:val="0"/>
          <w:bCs w:val="0"/>
        </w:rPr>
        <w:t>Mavimbela S</w:t>
      </w:r>
      <w:r w:rsidR="00B67B9A" w:rsidRPr="00BF68DB">
        <w:rPr>
          <w:b w:val="0"/>
          <w:bCs w:val="0"/>
        </w:rPr>
        <w:t>ection</w:t>
      </w:r>
      <w:r w:rsidR="001817E1">
        <w:rPr>
          <w:b w:val="0"/>
          <w:bCs w:val="0"/>
        </w:rPr>
        <w:t>,</w:t>
      </w:r>
      <w:r w:rsidR="00B67B9A" w:rsidRPr="00BF68DB">
        <w:rPr>
          <w:b w:val="0"/>
          <w:bCs w:val="0"/>
        </w:rPr>
        <w:t xml:space="preserve"> Katlehong. It would later transpire that he drove </w:t>
      </w:r>
      <w:r w:rsidR="00B67B9A">
        <w:rPr>
          <w:b w:val="0"/>
          <w:bCs w:val="0"/>
        </w:rPr>
        <w:t xml:space="preserve">to this address in </w:t>
      </w:r>
      <w:r w:rsidR="00B67B9A" w:rsidRPr="00BF68DB">
        <w:rPr>
          <w:b w:val="0"/>
          <w:bCs w:val="0"/>
        </w:rPr>
        <w:t>his vehicle, a Mercedes Benz vehicle. The model and year</w:t>
      </w:r>
      <w:r w:rsidR="00437D19">
        <w:rPr>
          <w:b w:val="0"/>
          <w:bCs w:val="0"/>
        </w:rPr>
        <w:t xml:space="preserve"> </w:t>
      </w:r>
      <w:r w:rsidR="00B67B9A" w:rsidRPr="00BF68DB">
        <w:rPr>
          <w:b w:val="0"/>
          <w:bCs w:val="0"/>
        </w:rPr>
        <w:t>were not established</w:t>
      </w:r>
      <w:r w:rsidR="00B67B9A">
        <w:rPr>
          <w:b w:val="0"/>
          <w:bCs w:val="0"/>
        </w:rPr>
        <w:t>;</w:t>
      </w:r>
    </w:p>
    <w:p w14:paraId="0771FF14" w14:textId="53509734" w:rsidR="00B67B9A" w:rsidRDefault="001D5FD8" w:rsidP="001D5FD8">
      <w:pPr>
        <w:pStyle w:val="BodyText"/>
        <w:tabs>
          <w:tab w:val="left" w:pos="3119"/>
        </w:tabs>
        <w:ind w:left="3119" w:hanging="1305"/>
        <w:rPr>
          <w:b w:val="0"/>
          <w:bCs w:val="0"/>
        </w:rPr>
        <w:pPrChange w:id="53" w:author="Graeme Rennie" w:date="2021-11-24T13:14:00Z">
          <w:pPr>
            <w:pStyle w:val="BodyText"/>
            <w:numPr>
              <w:ilvl w:val="2"/>
              <w:numId w:val="2"/>
            </w:numPr>
            <w:tabs>
              <w:tab w:val="num" w:pos="3119"/>
            </w:tabs>
            <w:ind w:left="3119" w:hanging="1305"/>
          </w:pPr>
        </w:pPrChange>
      </w:pPr>
      <w:r>
        <w:rPr>
          <w:rFonts w:cs="Times New Roman"/>
          <w:b w:val="0"/>
          <w:bCs w:val="0"/>
        </w:rPr>
        <w:lastRenderedPageBreak/>
        <w:t>[29.2.1]</w:t>
      </w:r>
      <w:r>
        <w:rPr>
          <w:rFonts w:cs="Times New Roman"/>
          <w:b w:val="0"/>
          <w:bCs w:val="0"/>
        </w:rPr>
        <w:tab/>
      </w:r>
      <w:r w:rsidR="00B67B9A" w:rsidRPr="00FD3585">
        <w:rPr>
          <w:b w:val="0"/>
          <w:bCs w:val="0"/>
        </w:rPr>
        <w:t>Under cross-examination</w:t>
      </w:r>
      <w:r w:rsidR="00437D19">
        <w:rPr>
          <w:b w:val="0"/>
          <w:bCs w:val="0"/>
        </w:rPr>
        <w:t>,</w:t>
      </w:r>
      <w:r w:rsidR="00B67B9A" w:rsidRPr="00FD3585">
        <w:rPr>
          <w:b w:val="0"/>
          <w:bCs w:val="0"/>
        </w:rPr>
        <w:t xml:space="preserve"> the plaintiff was pressed for details about the call by Mr Mahlobo. He could provide no real explanation</w:t>
      </w:r>
      <w:r w:rsidR="00437D19">
        <w:rPr>
          <w:b w:val="0"/>
          <w:bCs w:val="0"/>
        </w:rPr>
        <w:t xml:space="preserve"> as to</w:t>
      </w:r>
      <w:r w:rsidR="00B67B9A" w:rsidRPr="00FD3585">
        <w:rPr>
          <w:b w:val="0"/>
          <w:bCs w:val="0"/>
        </w:rPr>
        <w:t xml:space="preserve"> why he went to see Mr Mahlobo, a mere distant </w:t>
      </w:r>
      <w:r w:rsidR="00B67B9A">
        <w:rPr>
          <w:b w:val="0"/>
          <w:bCs w:val="0"/>
        </w:rPr>
        <w:t>acquaintance;</w:t>
      </w:r>
    </w:p>
    <w:p w14:paraId="3B5363C1" w14:textId="31E5ADFD" w:rsidR="00B67B9A" w:rsidRPr="00FD3585" w:rsidRDefault="001D5FD8" w:rsidP="001D5FD8">
      <w:pPr>
        <w:pStyle w:val="BodyText"/>
        <w:tabs>
          <w:tab w:val="left" w:pos="3119"/>
        </w:tabs>
        <w:ind w:left="3119" w:hanging="1305"/>
        <w:rPr>
          <w:b w:val="0"/>
          <w:bCs w:val="0"/>
        </w:rPr>
        <w:pPrChange w:id="54" w:author="Graeme Rennie" w:date="2021-11-24T13:14:00Z">
          <w:pPr>
            <w:pStyle w:val="BodyText"/>
            <w:numPr>
              <w:ilvl w:val="2"/>
              <w:numId w:val="2"/>
            </w:numPr>
            <w:tabs>
              <w:tab w:val="num" w:pos="3119"/>
            </w:tabs>
            <w:ind w:left="3119" w:hanging="1305"/>
          </w:pPr>
        </w:pPrChange>
      </w:pPr>
      <w:r w:rsidRPr="00FD3585">
        <w:rPr>
          <w:rFonts w:cs="Times New Roman"/>
          <w:b w:val="0"/>
          <w:bCs w:val="0"/>
        </w:rPr>
        <w:t>[29.2.2]</w:t>
      </w:r>
      <w:r w:rsidRPr="00FD3585">
        <w:rPr>
          <w:rFonts w:cs="Times New Roman"/>
          <w:b w:val="0"/>
          <w:bCs w:val="0"/>
        </w:rPr>
        <w:tab/>
      </w:r>
      <w:r w:rsidR="00B67B9A">
        <w:rPr>
          <w:b w:val="0"/>
          <w:bCs w:val="0"/>
        </w:rPr>
        <w:t>The plaintiff’s</w:t>
      </w:r>
      <w:r w:rsidR="00B67B9A" w:rsidRPr="00FD3585">
        <w:rPr>
          <w:b w:val="0"/>
          <w:bCs w:val="0"/>
        </w:rPr>
        <w:t xml:space="preserve"> affidavit states </w:t>
      </w:r>
      <w:r w:rsidR="00B67B9A">
        <w:rPr>
          <w:b w:val="0"/>
          <w:bCs w:val="0"/>
        </w:rPr>
        <w:t xml:space="preserve">that </w:t>
      </w:r>
      <w:r w:rsidR="00B67B9A" w:rsidRPr="00FD3585">
        <w:rPr>
          <w:b w:val="0"/>
          <w:bCs w:val="0"/>
        </w:rPr>
        <w:t>Mr Mahlobo</w:t>
      </w:r>
      <w:r w:rsidR="00B67B9A">
        <w:rPr>
          <w:b w:val="0"/>
          <w:bCs w:val="0"/>
        </w:rPr>
        <w:t xml:space="preserve"> needed transport to Carltonville, but this version</w:t>
      </w:r>
      <w:r w:rsidR="001817E1">
        <w:rPr>
          <w:b w:val="0"/>
          <w:bCs w:val="0"/>
        </w:rPr>
        <w:t>,</w:t>
      </w:r>
      <w:r w:rsidR="00B67B9A">
        <w:rPr>
          <w:b w:val="0"/>
          <w:bCs w:val="0"/>
        </w:rPr>
        <w:t xml:space="preserve"> the plaintiff</w:t>
      </w:r>
      <w:r w:rsidR="00B67B9A" w:rsidRPr="00FD3585">
        <w:rPr>
          <w:b w:val="0"/>
          <w:bCs w:val="0"/>
        </w:rPr>
        <w:t xml:space="preserve"> denied in cross-examination</w:t>
      </w:r>
      <w:r w:rsidR="00B67B9A">
        <w:rPr>
          <w:b w:val="0"/>
          <w:bCs w:val="0"/>
        </w:rPr>
        <w:t>;</w:t>
      </w:r>
    </w:p>
    <w:p w14:paraId="0926B384" w14:textId="7F9FD61A" w:rsidR="00B67B9A" w:rsidRDefault="001D5FD8" w:rsidP="001D5FD8">
      <w:pPr>
        <w:pStyle w:val="BodyText"/>
        <w:tabs>
          <w:tab w:val="left" w:pos="1814"/>
        </w:tabs>
        <w:ind w:left="1814" w:hanging="992"/>
        <w:rPr>
          <w:b w:val="0"/>
          <w:bCs w:val="0"/>
        </w:rPr>
        <w:pPrChange w:id="55" w:author="Graeme Rennie" w:date="2021-11-24T13:14:00Z">
          <w:pPr>
            <w:pStyle w:val="BodyText"/>
            <w:numPr>
              <w:ilvl w:val="1"/>
              <w:numId w:val="2"/>
            </w:numPr>
            <w:tabs>
              <w:tab w:val="num" w:pos="1814"/>
            </w:tabs>
            <w:ind w:left="1814" w:hanging="992"/>
          </w:pPr>
        </w:pPrChange>
      </w:pPr>
      <w:r>
        <w:rPr>
          <w:rFonts w:cs="Times New Roman"/>
          <w:b w:val="0"/>
          <w:bCs w:val="0"/>
        </w:rPr>
        <w:t>[29.3]</w:t>
      </w:r>
      <w:r>
        <w:rPr>
          <w:rFonts w:cs="Times New Roman"/>
          <w:b w:val="0"/>
          <w:bCs w:val="0"/>
        </w:rPr>
        <w:tab/>
      </w:r>
      <w:r w:rsidR="00B67B9A" w:rsidRPr="00BF68DB">
        <w:rPr>
          <w:b w:val="0"/>
          <w:bCs w:val="0"/>
        </w:rPr>
        <w:t>Under cross-examination</w:t>
      </w:r>
      <w:r w:rsidR="001817E1">
        <w:rPr>
          <w:b w:val="0"/>
          <w:bCs w:val="0"/>
        </w:rPr>
        <w:t>,</w:t>
      </w:r>
      <w:r w:rsidR="00B67B9A" w:rsidRPr="00BF68DB">
        <w:rPr>
          <w:b w:val="0"/>
          <w:bCs w:val="0"/>
        </w:rPr>
        <w:t xml:space="preserve"> the plaintiff was pressed for details about where he was</w:t>
      </w:r>
      <w:r w:rsidR="001817E1">
        <w:rPr>
          <w:b w:val="0"/>
          <w:bCs w:val="0"/>
        </w:rPr>
        <w:t xml:space="preserve"> </w:t>
      </w:r>
      <w:r w:rsidR="00B67B9A" w:rsidRPr="00BF68DB">
        <w:rPr>
          <w:b w:val="0"/>
          <w:bCs w:val="0"/>
        </w:rPr>
        <w:t>when he received the call</w:t>
      </w:r>
      <w:r w:rsidR="00B67B9A" w:rsidRPr="00657BCD">
        <w:rPr>
          <w:b w:val="0"/>
          <w:bCs w:val="0"/>
        </w:rPr>
        <w:t xml:space="preserve"> from Mr Mahlobo</w:t>
      </w:r>
      <w:r w:rsidR="00B67B9A" w:rsidRPr="00BF68DB">
        <w:rPr>
          <w:b w:val="0"/>
          <w:bCs w:val="0"/>
        </w:rPr>
        <w:t>. He testified that he was driving,</w:t>
      </w:r>
      <w:r w:rsidR="00B67B9A">
        <w:rPr>
          <w:b w:val="0"/>
          <w:bCs w:val="0"/>
        </w:rPr>
        <w:t xml:space="preserve"> and was</w:t>
      </w:r>
      <w:r w:rsidR="00B67B9A" w:rsidRPr="00BF68DB">
        <w:rPr>
          <w:b w:val="0"/>
          <w:bCs w:val="0"/>
        </w:rPr>
        <w:t xml:space="preserve"> a street away; </w:t>
      </w:r>
    </w:p>
    <w:p w14:paraId="2CC17E9C" w14:textId="55AD97A7" w:rsidR="00B67B9A" w:rsidRPr="00657BCD" w:rsidRDefault="001D5FD8" w:rsidP="001D5FD8">
      <w:pPr>
        <w:pStyle w:val="BodyText"/>
        <w:tabs>
          <w:tab w:val="left" w:pos="3119"/>
        </w:tabs>
        <w:ind w:left="3119" w:hanging="1305"/>
        <w:rPr>
          <w:b w:val="0"/>
          <w:bCs w:val="0"/>
        </w:rPr>
        <w:pPrChange w:id="56" w:author="Graeme Rennie" w:date="2021-11-24T13:14:00Z">
          <w:pPr>
            <w:pStyle w:val="BodyText"/>
            <w:numPr>
              <w:ilvl w:val="2"/>
              <w:numId w:val="2"/>
            </w:numPr>
            <w:tabs>
              <w:tab w:val="num" w:pos="3119"/>
            </w:tabs>
            <w:ind w:left="3119" w:hanging="1305"/>
          </w:pPr>
        </w:pPrChange>
      </w:pPr>
      <w:r w:rsidRPr="00657BCD">
        <w:rPr>
          <w:rFonts w:cs="Times New Roman"/>
          <w:b w:val="0"/>
          <w:bCs w:val="0"/>
        </w:rPr>
        <w:t>[29.3.1]</w:t>
      </w:r>
      <w:r w:rsidRPr="00657BCD">
        <w:rPr>
          <w:rFonts w:cs="Times New Roman"/>
          <w:b w:val="0"/>
          <w:bCs w:val="0"/>
        </w:rPr>
        <w:tab/>
      </w:r>
      <w:r w:rsidR="00B67B9A" w:rsidRPr="00657BCD">
        <w:rPr>
          <w:b w:val="0"/>
          <w:bCs w:val="0"/>
        </w:rPr>
        <w:t>However, his affidavit states that he</w:t>
      </w:r>
      <w:r w:rsidR="00B67B9A">
        <w:rPr>
          <w:b w:val="0"/>
          <w:bCs w:val="0"/>
        </w:rPr>
        <w:t xml:space="preserve"> was</w:t>
      </w:r>
      <w:r w:rsidR="001817E1">
        <w:rPr>
          <w:b w:val="0"/>
          <w:bCs w:val="0"/>
        </w:rPr>
        <w:t xml:space="preserve"> at</w:t>
      </w:r>
      <w:r w:rsidR="00B67B9A">
        <w:rPr>
          <w:b w:val="0"/>
          <w:bCs w:val="0"/>
        </w:rPr>
        <w:t xml:space="preserve"> the home of a friend when he received the call, in the company of friends. </w:t>
      </w:r>
      <w:r w:rsidR="00B67B9A" w:rsidRPr="00657BCD">
        <w:rPr>
          <w:b w:val="0"/>
          <w:bCs w:val="0"/>
        </w:rPr>
        <w:t>This he denied in cross-examination;</w:t>
      </w:r>
    </w:p>
    <w:p w14:paraId="1622EE3B" w14:textId="5F86E936" w:rsidR="00B67B9A" w:rsidRPr="00657BCD" w:rsidRDefault="001D5FD8" w:rsidP="001D5FD8">
      <w:pPr>
        <w:pStyle w:val="BodyText"/>
        <w:tabs>
          <w:tab w:val="left" w:pos="1814"/>
        </w:tabs>
        <w:ind w:left="1814" w:hanging="992"/>
        <w:rPr>
          <w:b w:val="0"/>
          <w:bCs w:val="0"/>
        </w:rPr>
        <w:pPrChange w:id="57" w:author="Graeme Rennie" w:date="2021-11-24T13:14:00Z">
          <w:pPr>
            <w:pStyle w:val="BodyText"/>
            <w:numPr>
              <w:ilvl w:val="1"/>
              <w:numId w:val="2"/>
            </w:numPr>
            <w:tabs>
              <w:tab w:val="num" w:pos="1814"/>
            </w:tabs>
            <w:ind w:left="1814" w:hanging="992"/>
          </w:pPr>
        </w:pPrChange>
      </w:pPr>
      <w:r w:rsidRPr="00657BCD">
        <w:rPr>
          <w:rFonts w:cs="Times New Roman"/>
          <w:b w:val="0"/>
          <w:bCs w:val="0"/>
        </w:rPr>
        <w:t>[29.4]</w:t>
      </w:r>
      <w:r w:rsidRPr="00657BCD">
        <w:rPr>
          <w:rFonts w:cs="Times New Roman"/>
          <w:b w:val="0"/>
          <w:bCs w:val="0"/>
        </w:rPr>
        <w:tab/>
      </w:r>
      <w:r w:rsidR="00B67B9A" w:rsidRPr="00E621B7">
        <w:rPr>
          <w:b w:val="0"/>
          <w:bCs w:val="0"/>
        </w:rPr>
        <w:t xml:space="preserve">The plaintiff testified that he </w:t>
      </w:r>
      <w:r w:rsidR="00B67B9A" w:rsidRPr="00BF68DB">
        <w:rPr>
          <w:b w:val="0"/>
          <w:bCs w:val="0"/>
        </w:rPr>
        <w:t>was arrested at the address where Mr Mahlobo would wait for him</w:t>
      </w:r>
      <w:r w:rsidR="00B67B9A">
        <w:rPr>
          <w:b w:val="0"/>
          <w:bCs w:val="0"/>
        </w:rPr>
        <w:t xml:space="preserve">, </w:t>
      </w:r>
      <w:r w:rsidR="00B67B9A" w:rsidRPr="00657BCD">
        <w:rPr>
          <w:b w:val="0"/>
          <w:bCs w:val="0"/>
        </w:rPr>
        <w:t>315 Mavimbela Section, Katlehong</w:t>
      </w:r>
      <w:r w:rsidR="00B67B9A">
        <w:rPr>
          <w:b w:val="0"/>
          <w:bCs w:val="0"/>
        </w:rPr>
        <w:t>. As reflected, t</w:t>
      </w:r>
      <w:r w:rsidR="00B67B9A" w:rsidRPr="00657BCD">
        <w:rPr>
          <w:b w:val="0"/>
          <w:bCs w:val="0"/>
        </w:rPr>
        <w:t>his address differs from the address in the particulars of claim, 535 section Katlehong, Gauteng;</w:t>
      </w:r>
    </w:p>
    <w:p w14:paraId="551A12D1" w14:textId="630F5D9B" w:rsidR="00B67B9A" w:rsidRPr="00BF68DB" w:rsidRDefault="001D5FD8" w:rsidP="001D5FD8">
      <w:pPr>
        <w:pStyle w:val="BodyText"/>
        <w:tabs>
          <w:tab w:val="left" w:pos="3119"/>
        </w:tabs>
        <w:ind w:left="3119" w:hanging="1305"/>
        <w:rPr>
          <w:b w:val="0"/>
          <w:bCs w:val="0"/>
        </w:rPr>
        <w:pPrChange w:id="58" w:author="Graeme Rennie" w:date="2021-11-24T13:14:00Z">
          <w:pPr>
            <w:pStyle w:val="BodyText"/>
            <w:numPr>
              <w:ilvl w:val="2"/>
              <w:numId w:val="2"/>
            </w:numPr>
            <w:tabs>
              <w:tab w:val="num" w:pos="3119"/>
            </w:tabs>
            <w:ind w:left="3119" w:hanging="1305"/>
          </w:pPr>
        </w:pPrChange>
      </w:pPr>
      <w:r w:rsidRPr="00BF68DB">
        <w:rPr>
          <w:rFonts w:cs="Times New Roman"/>
          <w:b w:val="0"/>
          <w:bCs w:val="0"/>
        </w:rPr>
        <w:t>[29.4.1]</w:t>
      </w:r>
      <w:r w:rsidRPr="00BF68DB">
        <w:rPr>
          <w:rFonts w:cs="Times New Roman"/>
          <w:b w:val="0"/>
          <w:bCs w:val="0"/>
        </w:rPr>
        <w:tab/>
      </w:r>
      <w:r w:rsidR="00B67B9A" w:rsidRPr="00BF68DB">
        <w:rPr>
          <w:b w:val="0"/>
          <w:bCs w:val="0"/>
        </w:rPr>
        <w:t>Further</w:t>
      </w:r>
      <w:r w:rsidR="008E508A">
        <w:rPr>
          <w:b w:val="0"/>
          <w:bCs w:val="0"/>
        </w:rPr>
        <w:t>,</w:t>
      </w:r>
      <w:r w:rsidR="00B67B9A" w:rsidRPr="00BF68DB">
        <w:rPr>
          <w:b w:val="0"/>
          <w:bCs w:val="0"/>
        </w:rPr>
        <w:t xml:space="preserve"> contrary to the averments in the particulars of claim, 315 </w:t>
      </w:r>
      <w:r w:rsidR="008E508A">
        <w:rPr>
          <w:b w:val="0"/>
          <w:bCs w:val="0"/>
        </w:rPr>
        <w:t>Mavimbela S</w:t>
      </w:r>
      <w:r w:rsidR="00B67B9A" w:rsidRPr="00BF68DB">
        <w:rPr>
          <w:b w:val="0"/>
          <w:bCs w:val="0"/>
        </w:rPr>
        <w:t>ection</w:t>
      </w:r>
      <w:r w:rsidR="008E508A">
        <w:rPr>
          <w:b w:val="0"/>
          <w:bCs w:val="0"/>
        </w:rPr>
        <w:t>,</w:t>
      </w:r>
      <w:r w:rsidR="00B67B9A" w:rsidRPr="00BF68DB">
        <w:rPr>
          <w:b w:val="0"/>
          <w:bCs w:val="0"/>
        </w:rPr>
        <w:t xml:space="preserve"> Katlehong is not his home address. Under cross-examination</w:t>
      </w:r>
      <w:r w:rsidR="008E508A">
        <w:rPr>
          <w:b w:val="0"/>
          <w:bCs w:val="0"/>
        </w:rPr>
        <w:t>,</w:t>
      </w:r>
      <w:r w:rsidR="00B67B9A" w:rsidRPr="00BF68DB">
        <w:rPr>
          <w:b w:val="0"/>
          <w:bCs w:val="0"/>
        </w:rPr>
        <w:t xml:space="preserve"> he gave his home address as No 4 Tembisa Section</w:t>
      </w:r>
      <w:r w:rsidR="00B67B9A">
        <w:rPr>
          <w:b w:val="0"/>
          <w:bCs w:val="0"/>
        </w:rPr>
        <w:t>;</w:t>
      </w:r>
      <w:r w:rsidR="00B67B9A" w:rsidRPr="00BF68DB">
        <w:rPr>
          <w:b w:val="0"/>
          <w:bCs w:val="0"/>
        </w:rPr>
        <w:t xml:space="preserve"> </w:t>
      </w:r>
    </w:p>
    <w:p w14:paraId="6450BD68" w14:textId="07A86AA1" w:rsidR="00B67B9A" w:rsidRPr="00657BCD" w:rsidRDefault="001D5FD8" w:rsidP="001D5FD8">
      <w:pPr>
        <w:pStyle w:val="BodyText"/>
        <w:tabs>
          <w:tab w:val="left" w:pos="3119"/>
        </w:tabs>
        <w:ind w:left="3119" w:hanging="1305"/>
        <w:rPr>
          <w:b w:val="0"/>
          <w:bCs w:val="0"/>
        </w:rPr>
        <w:pPrChange w:id="59" w:author="Graeme Rennie" w:date="2021-11-24T13:14:00Z">
          <w:pPr>
            <w:pStyle w:val="BodyText"/>
            <w:numPr>
              <w:ilvl w:val="2"/>
              <w:numId w:val="2"/>
            </w:numPr>
            <w:tabs>
              <w:tab w:val="num" w:pos="3119"/>
            </w:tabs>
            <w:ind w:left="3119" w:hanging="1305"/>
          </w:pPr>
        </w:pPrChange>
      </w:pPr>
      <w:r w:rsidRPr="00657BCD">
        <w:rPr>
          <w:rFonts w:cs="Times New Roman"/>
          <w:b w:val="0"/>
          <w:bCs w:val="0"/>
        </w:rPr>
        <w:t>[29.4.2]</w:t>
      </w:r>
      <w:r w:rsidRPr="00657BCD">
        <w:rPr>
          <w:rFonts w:cs="Times New Roman"/>
          <w:b w:val="0"/>
          <w:bCs w:val="0"/>
        </w:rPr>
        <w:tab/>
      </w:r>
      <w:r w:rsidR="00B67B9A" w:rsidRPr="00BF68DB">
        <w:rPr>
          <w:b w:val="0"/>
          <w:bCs w:val="0"/>
        </w:rPr>
        <w:t>He stated under cross-examination that 535 section Katlehong is also his address as he was born there. It is his paternal home, but he does not stay at the address</w:t>
      </w:r>
      <w:r w:rsidR="00B67B9A">
        <w:rPr>
          <w:b w:val="0"/>
          <w:bCs w:val="0"/>
        </w:rPr>
        <w:t>. It</w:t>
      </w:r>
      <w:r w:rsidR="008E508A">
        <w:rPr>
          <w:b w:val="0"/>
          <w:bCs w:val="0"/>
        </w:rPr>
        <w:t xml:space="preserve"> is </w:t>
      </w:r>
      <w:r w:rsidR="00B67B9A">
        <w:rPr>
          <w:b w:val="0"/>
          <w:bCs w:val="0"/>
        </w:rPr>
        <w:t xml:space="preserve">(later became?) </w:t>
      </w:r>
      <w:r w:rsidR="00B67B9A" w:rsidRPr="00657BCD">
        <w:rPr>
          <w:b w:val="0"/>
          <w:bCs w:val="0"/>
        </w:rPr>
        <w:t>his deceased</w:t>
      </w:r>
      <w:r w:rsidR="00B67B9A">
        <w:rPr>
          <w:b w:val="0"/>
          <w:bCs w:val="0"/>
        </w:rPr>
        <w:t xml:space="preserve"> </w:t>
      </w:r>
      <w:r w:rsidR="00B67B9A" w:rsidRPr="00657BCD">
        <w:rPr>
          <w:b w:val="0"/>
          <w:bCs w:val="0"/>
        </w:rPr>
        <w:t>aunt’s address</w:t>
      </w:r>
      <w:r w:rsidR="00B67B9A">
        <w:rPr>
          <w:b w:val="0"/>
          <w:bCs w:val="0"/>
        </w:rPr>
        <w:t xml:space="preserve">. His </w:t>
      </w:r>
      <w:r w:rsidR="00B67B9A" w:rsidRPr="00657BCD">
        <w:rPr>
          <w:b w:val="0"/>
          <w:bCs w:val="0"/>
        </w:rPr>
        <w:t>aunt had passed away before the incident, and only her husband, children and tenants remained at the house;</w:t>
      </w:r>
    </w:p>
    <w:p w14:paraId="087F24B0" w14:textId="2419AA56" w:rsidR="00B67B9A" w:rsidRPr="00BF68DB" w:rsidRDefault="001D5FD8" w:rsidP="001D5FD8">
      <w:pPr>
        <w:pStyle w:val="BodyText"/>
        <w:tabs>
          <w:tab w:val="left" w:pos="1814"/>
        </w:tabs>
        <w:ind w:left="1814" w:hanging="992"/>
        <w:rPr>
          <w:b w:val="0"/>
          <w:bCs w:val="0"/>
        </w:rPr>
        <w:pPrChange w:id="60" w:author="Graeme Rennie" w:date="2021-11-24T13:14:00Z">
          <w:pPr>
            <w:pStyle w:val="BodyText"/>
            <w:numPr>
              <w:ilvl w:val="1"/>
              <w:numId w:val="2"/>
            </w:numPr>
            <w:tabs>
              <w:tab w:val="num" w:pos="1814"/>
            </w:tabs>
            <w:ind w:left="1814" w:hanging="992"/>
          </w:pPr>
        </w:pPrChange>
      </w:pPr>
      <w:r w:rsidRPr="00BF68DB">
        <w:rPr>
          <w:rFonts w:cs="Times New Roman"/>
          <w:b w:val="0"/>
          <w:bCs w:val="0"/>
        </w:rPr>
        <w:t>[29.5]</w:t>
      </w:r>
      <w:r w:rsidRPr="00BF68DB">
        <w:rPr>
          <w:rFonts w:cs="Times New Roman"/>
          <w:b w:val="0"/>
          <w:bCs w:val="0"/>
        </w:rPr>
        <w:tab/>
      </w:r>
      <w:r w:rsidR="00B67B9A" w:rsidRPr="00E621B7">
        <w:rPr>
          <w:b w:val="0"/>
          <w:bCs w:val="0"/>
        </w:rPr>
        <w:t xml:space="preserve">The plaintiff testified that </w:t>
      </w:r>
      <w:r w:rsidR="00B67B9A">
        <w:rPr>
          <w:b w:val="0"/>
          <w:bCs w:val="0"/>
        </w:rPr>
        <w:t>f</w:t>
      </w:r>
      <w:r w:rsidR="00B67B9A" w:rsidRPr="00E621B7">
        <w:rPr>
          <w:b w:val="0"/>
          <w:bCs w:val="0"/>
        </w:rPr>
        <w:t>our police officers (three males and one female)</w:t>
      </w:r>
      <w:r w:rsidR="00B67B9A" w:rsidRPr="00BF68DB">
        <w:rPr>
          <w:b w:val="0"/>
          <w:bCs w:val="0"/>
        </w:rPr>
        <w:t xml:space="preserve"> </w:t>
      </w:r>
      <w:r w:rsidR="00B67B9A" w:rsidRPr="00442500">
        <w:rPr>
          <w:b w:val="0"/>
          <w:bCs w:val="0"/>
        </w:rPr>
        <w:t>arrested him between 19H00 and 19H15 on 29 July 20</w:t>
      </w:r>
      <w:r w:rsidR="008E508A" w:rsidRPr="00442500">
        <w:rPr>
          <w:b w:val="0"/>
          <w:bCs w:val="0"/>
        </w:rPr>
        <w:t>10</w:t>
      </w:r>
      <w:r w:rsidR="00B67B9A" w:rsidRPr="00442500">
        <w:rPr>
          <w:b w:val="0"/>
          <w:bCs w:val="0"/>
        </w:rPr>
        <w:t>.</w:t>
      </w:r>
      <w:r w:rsidR="00B67B9A" w:rsidRPr="00BF68DB">
        <w:rPr>
          <w:b w:val="0"/>
          <w:bCs w:val="0"/>
        </w:rPr>
        <w:t xml:space="preserve"> He did not know their names. They were not in uniform, did not drive </w:t>
      </w:r>
      <w:r w:rsidR="00B67B9A" w:rsidRPr="00BF68DB">
        <w:rPr>
          <w:b w:val="0"/>
          <w:bCs w:val="0"/>
        </w:rPr>
        <w:lastRenderedPageBreak/>
        <w:t>marked police vehicles, but carried firearms and handcuffs. They introduced themselves as police officers;</w:t>
      </w:r>
    </w:p>
    <w:p w14:paraId="10AF289E" w14:textId="1F01D373" w:rsidR="00B67B9A" w:rsidRDefault="001D5FD8" w:rsidP="001D5FD8">
      <w:pPr>
        <w:pStyle w:val="BodyText"/>
        <w:tabs>
          <w:tab w:val="left" w:pos="3119"/>
        </w:tabs>
        <w:ind w:left="3119" w:hanging="1305"/>
        <w:rPr>
          <w:b w:val="0"/>
          <w:bCs w:val="0"/>
        </w:rPr>
        <w:pPrChange w:id="61" w:author="Graeme Rennie" w:date="2021-11-24T13:14:00Z">
          <w:pPr>
            <w:pStyle w:val="BodyText"/>
            <w:numPr>
              <w:ilvl w:val="2"/>
              <w:numId w:val="2"/>
            </w:numPr>
            <w:tabs>
              <w:tab w:val="num" w:pos="3119"/>
            </w:tabs>
            <w:ind w:left="3119" w:hanging="1305"/>
          </w:pPr>
        </w:pPrChange>
      </w:pPr>
      <w:r>
        <w:rPr>
          <w:rFonts w:cs="Times New Roman"/>
          <w:b w:val="0"/>
          <w:bCs w:val="0"/>
        </w:rPr>
        <w:t>[29.5.1]</w:t>
      </w:r>
      <w:r>
        <w:rPr>
          <w:rFonts w:cs="Times New Roman"/>
          <w:b w:val="0"/>
          <w:bCs w:val="0"/>
        </w:rPr>
        <w:tab/>
      </w:r>
      <w:r w:rsidR="00B67B9A" w:rsidRPr="00BF68DB">
        <w:rPr>
          <w:b w:val="0"/>
          <w:bCs w:val="0"/>
        </w:rPr>
        <w:t>Under cross-examination</w:t>
      </w:r>
      <w:r w:rsidR="008E508A">
        <w:rPr>
          <w:b w:val="0"/>
          <w:bCs w:val="0"/>
        </w:rPr>
        <w:t>,</w:t>
      </w:r>
      <w:r w:rsidR="00B67B9A" w:rsidRPr="00BF68DB">
        <w:rPr>
          <w:b w:val="0"/>
          <w:bCs w:val="0"/>
        </w:rPr>
        <w:t xml:space="preserve"> the plaintiff changed his version and alleged that he was arrested by two police officers;</w:t>
      </w:r>
    </w:p>
    <w:p w14:paraId="2E7BCF26" w14:textId="2FEC8046" w:rsidR="008F2295" w:rsidRDefault="001D5FD8" w:rsidP="001D5FD8">
      <w:pPr>
        <w:pStyle w:val="BodyText"/>
        <w:tabs>
          <w:tab w:val="left" w:pos="3119"/>
        </w:tabs>
        <w:ind w:left="3119" w:hanging="1305"/>
        <w:rPr>
          <w:b w:val="0"/>
          <w:bCs w:val="0"/>
        </w:rPr>
        <w:pPrChange w:id="62" w:author="Graeme Rennie" w:date="2021-11-24T13:14:00Z">
          <w:pPr>
            <w:pStyle w:val="BodyText"/>
            <w:numPr>
              <w:ilvl w:val="2"/>
              <w:numId w:val="2"/>
            </w:numPr>
            <w:tabs>
              <w:tab w:val="num" w:pos="3119"/>
            </w:tabs>
            <w:ind w:left="3119" w:hanging="1305"/>
          </w:pPr>
        </w:pPrChange>
      </w:pPr>
      <w:r>
        <w:rPr>
          <w:rFonts w:cs="Times New Roman"/>
          <w:b w:val="0"/>
          <w:bCs w:val="0"/>
        </w:rPr>
        <w:t>[29.5.2]</w:t>
      </w:r>
      <w:r>
        <w:rPr>
          <w:rFonts w:cs="Times New Roman"/>
          <w:b w:val="0"/>
          <w:bCs w:val="0"/>
        </w:rPr>
        <w:tab/>
      </w:r>
      <w:r w:rsidR="008F2295" w:rsidRPr="00BF68DB">
        <w:rPr>
          <w:b w:val="0"/>
          <w:bCs w:val="0"/>
        </w:rPr>
        <w:t xml:space="preserve">After about two hours of testimony, the plaintiff stated that </w:t>
      </w:r>
      <w:r w:rsidR="007534F1">
        <w:rPr>
          <w:b w:val="0"/>
          <w:bCs w:val="0"/>
        </w:rPr>
        <w:t>the</w:t>
      </w:r>
      <w:r w:rsidR="008F2295" w:rsidRPr="00BF68DB">
        <w:rPr>
          <w:b w:val="0"/>
          <w:bCs w:val="0"/>
        </w:rPr>
        <w:t xml:space="preserve"> police officer who arrested him and who w</w:t>
      </w:r>
      <w:r w:rsidR="007534F1">
        <w:rPr>
          <w:b w:val="0"/>
          <w:bCs w:val="0"/>
        </w:rPr>
        <w:t xml:space="preserve">as </w:t>
      </w:r>
      <w:r w:rsidR="008F2295" w:rsidRPr="00BF68DB">
        <w:rPr>
          <w:b w:val="0"/>
          <w:bCs w:val="0"/>
        </w:rPr>
        <w:t>with him the whole night</w:t>
      </w:r>
      <w:r w:rsidR="008F2295">
        <w:rPr>
          <w:b w:val="0"/>
          <w:bCs w:val="0"/>
        </w:rPr>
        <w:t xml:space="preserve"> thereafter</w:t>
      </w:r>
      <w:r w:rsidR="008F2295" w:rsidRPr="00BF68DB">
        <w:rPr>
          <w:b w:val="0"/>
          <w:bCs w:val="0"/>
        </w:rPr>
        <w:t>, was a Mr Dube</w:t>
      </w:r>
      <w:r w:rsidR="008F2295">
        <w:rPr>
          <w:b w:val="0"/>
          <w:bCs w:val="0"/>
        </w:rPr>
        <w:t>;</w:t>
      </w:r>
    </w:p>
    <w:p w14:paraId="2AB5DD1D" w14:textId="44B6B28C" w:rsidR="00B67B9A" w:rsidRPr="00A545D7" w:rsidRDefault="001D5FD8" w:rsidP="001D5FD8">
      <w:pPr>
        <w:pStyle w:val="BodyText"/>
        <w:tabs>
          <w:tab w:val="left" w:pos="3119"/>
        </w:tabs>
        <w:ind w:left="3119" w:hanging="1305"/>
        <w:rPr>
          <w:b w:val="0"/>
          <w:bCs w:val="0"/>
        </w:rPr>
        <w:pPrChange w:id="63" w:author="Graeme Rennie" w:date="2021-11-24T13:14:00Z">
          <w:pPr>
            <w:pStyle w:val="BodyText"/>
            <w:numPr>
              <w:ilvl w:val="2"/>
              <w:numId w:val="2"/>
            </w:numPr>
            <w:tabs>
              <w:tab w:val="num" w:pos="3119"/>
            </w:tabs>
            <w:ind w:left="3119" w:hanging="1305"/>
          </w:pPr>
        </w:pPrChange>
      </w:pPr>
      <w:r w:rsidRPr="00A545D7">
        <w:rPr>
          <w:rFonts w:cs="Times New Roman"/>
          <w:b w:val="0"/>
          <w:bCs w:val="0"/>
        </w:rPr>
        <w:t>[29.5.3]</w:t>
      </w:r>
      <w:r w:rsidRPr="00A545D7">
        <w:rPr>
          <w:rFonts w:cs="Times New Roman"/>
          <w:b w:val="0"/>
          <w:bCs w:val="0"/>
        </w:rPr>
        <w:tab/>
      </w:r>
      <w:r w:rsidR="00B67B9A" w:rsidRPr="00A545D7">
        <w:rPr>
          <w:b w:val="0"/>
          <w:bCs w:val="0"/>
        </w:rPr>
        <w:t>Under cross-examination</w:t>
      </w:r>
      <w:r w:rsidR="008E508A">
        <w:rPr>
          <w:b w:val="0"/>
          <w:bCs w:val="0"/>
        </w:rPr>
        <w:t>,</w:t>
      </w:r>
      <w:r w:rsidR="00B67B9A" w:rsidRPr="00A545D7">
        <w:rPr>
          <w:b w:val="0"/>
          <w:bCs w:val="0"/>
        </w:rPr>
        <w:t xml:space="preserve"> </w:t>
      </w:r>
      <w:r w:rsidR="008F2295" w:rsidRPr="008F2295">
        <w:rPr>
          <w:b w:val="0"/>
          <w:bCs w:val="0"/>
        </w:rPr>
        <w:t>the plaintiff</w:t>
      </w:r>
      <w:r w:rsidR="00B67B9A" w:rsidRPr="00A545D7">
        <w:rPr>
          <w:b w:val="0"/>
          <w:bCs w:val="0"/>
        </w:rPr>
        <w:t xml:space="preserve"> testified that he was not searched (neither his person, nor his property). This is in conflict with the particulars of claim</w:t>
      </w:r>
      <w:r w:rsidR="008F2295">
        <w:rPr>
          <w:b w:val="0"/>
          <w:bCs w:val="0"/>
        </w:rPr>
        <w:t>; and</w:t>
      </w:r>
      <w:r w:rsidR="00B67B9A">
        <w:rPr>
          <w:b w:val="0"/>
          <w:bCs w:val="0"/>
        </w:rPr>
        <w:t xml:space="preserve"> </w:t>
      </w:r>
    </w:p>
    <w:p w14:paraId="347C9824" w14:textId="0101FF95" w:rsidR="00B67B9A" w:rsidRPr="008F2295" w:rsidRDefault="001D5FD8" w:rsidP="001D5FD8">
      <w:pPr>
        <w:pStyle w:val="BodyText"/>
        <w:tabs>
          <w:tab w:val="left" w:pos="3119"/>
        </w:tabs>
        <w:ind w:left="3119" w:hanging="1305"/>
        <w:rPr>
          <w:b w:val="0"/>
          <w:bCs w:val="0"/>
        </w:rPr>
        <w:pPrChange w:id="64" w:author="Graeme Rennie" w:date="2021-11-24T13:14:00Z">
          <w:pPr>
            <w:pStyle w:val="BodyText"/>
            <w:numPr>
              <w:ilvl w:val="2"/>
              <w:numId w:val="2"/>
            </w:numPr>
            <w:tabs>
              <w:tab w:val="num" w:pos="3119"/>
            </w:tabs>
            <w:ind w:left="3119" w:hanging="1305"/>
          </w:pPr>
        </w:pPrChange>
      </w:pPr>
      <w:r w:rsidRPr="008F2295">
        <w:rPr>
          <w:rFonts w:cs="Times New Roman"/>
          <w:b w:val="0"/>
          <w:bCs w:val="0"/>
        </w:rPr>
        <w:t>[29.5.4]</w:t>
      </w:r>
      <w:r w:rsidRPr="008F2295">
        <w:rPr>
          <w:rFonts w:cs="Times New Roman"/>
          <w:b w:val="0"/>
          <w:bCs w:val="0"/>
        </w:rPr>
        <w:tab/>
      </w:r>
      <w:r w:rsidR="00B67B9A" w:rsidRPr="00A545D7">
        <w:rPr>
          <w:b w:val="0"/>
          <w:bCs w:val="0"/>
        </w:rPr>
        <w:t>Under cross-examination</w:t>
      </w:r>
      <w:r w:rsidR="008E508A">
        <w:rPr>
          <w:b w:val="0"/>
          <w:bCs w:val="0"/>
        </w:rPr>
        <w:t>,</w:t>
      </w:r>
      <w:r w:rsidR="00B67B9A" w:rsidRPr="00A545D7">
        <w:rPr>
          <w:b w:val="0"/>
          <w:bCs w:val="0"/>
        </w:rPr>
        <w:t xml:space="preserve"> </w:t>
      </w:r>
      <w:r w:rsidR="008F2295" w:rsidRPr="008F2295">
        <w:rPr>
          <w:b w:val="0"/>
          <w:bCs w:val="0"/>
        </w:rPr>
        <w:t>the plaintiff</w:t>
      </w:r>
      <w:r w:rsidR="00B67B9A" w:rsidRPr="00A545D7">
        <w:rPr>
          <w:b w:val="0"/>
          <w:bCs w:val="0"/>
        </w:rPr>
        <w:t xml:space="preserve"> testified that</w:t>
      </w:r>
      <w:r w:rsidR="00B67B9A">
        <w:rPr>
          <w:b w:val="0"/>
          <w:bCs w:val="0"/>
        </w:rPr>
        <w:t>,</w:t>
      </w:r>
      <w:r w:rsidR="00B67B9A" w:rsidRPr="00A545D7">
        <w:rPr>
          <w:b w:val="0"/>
          <w:bCs w:val="0"/>
        </w:rPr>
        <w:t xml:space="preserve"> </w:t>
      </w:r>
      <w:r w:rsidR="00B67B9A">
        <w:rPr>
          <w:b w:val="0"/>
          <w:bCs w:val="0"/>
        </w:rPr>
        <w:t>c</w:t>
      </w:r>
      <w:r w:rsidR="00B67B9A" w:rsidRPr="00BF68DB">
        <w:rPr>
          <w:b w:val="0"/>
          <w:bCs w:val="0"/>
        </w:rPr>
        <w:t>ontrary to the averments in the particulars of claim, he was not assaulted at the time of his arrest</w:t>
      </w:r>
      <w:r w:rsidR="008F2295">
        <w:rPr>
          <w:b w:val="0"/>
          <w:bCs w:val="0"/>
        </w:rPr>
        <w:t>. Surprisingly, h</w:t>
      </w:r>
      <w:r w:rsidR="00B67B9A" w:rsidRPr="008F2295">
        <w:rPr>
          <w:b w:val="0"/>
          <w:bCs w:val="0"/>
        </w:rPr>
        <w:t xml:space="preserve">is affidavit also contained details of an alleged assault that took place at the time of his arrest when he was allegedly hit with fists and kicked; </w:t>
      </w:r>
    </w:p>
    <w:p w14:paraId="2AE578A4" w14:textId="2F879F96" w:rsidR="00B67B9A" w:rsidRDefault="001D5FD8" w:rsidP="001D5FD8">
      <w:pPr>
        <w:pStyle w:val="BodyText"/>
        <w:tabs>
          <w:tab w:val="left" w:pos="1814"/>
        </w:tabs>
        <w:ind w:left="1814" w:hanging="992"/>
        <w:rPr>
          <w:b w:val="0"/>
          <w:bCs w:val="0"/>
        </w:rPr>
        <w:pPrChange w:id="65" w:author="Graeme Rennie" w:date="2021-11-24T13:14:00Z">
          <w:pPr>
            <w:pStyle w:val="BodyText"/>
            <w:numPr>
              <w:ilvl w:val="1"/>
              <w:numId w:val="2"/>
            </w:numPr>
            <w:tabs>
              <w:tab w:val="num" w:pos="1814"/>
            </w:tabs>
            <w:ind w:left="1814" w:hanging="992"/>
          </w:pPr>
        </w:pPrChange>
      </w:pPr>
      <w:r>
        <w:rPr>
          <w:rFonts w:cs="Times New Roman"/>
          <w:b w:val="0"/>
          <w:bCs w:val="0"/>
        </w:rPr>
        <w:t>[29.6]</w:t>
      </w:r>
      <w:r>
        <w:rPr>
          <w:rFonts w:cs="Times New Roman"/>
          <w:b w:val="0"/>
          <w:bCs w:val="0"/>
        </w:rPr>
        <w:tab/>
      </w:r>
      <w:r w:rsidR="00B67B9A">
        <w:rPr>
          <w:b w:val="0"/>
          <w:bCs w:val="0"/>
        </w:rPr>
        <w:t>The plaintiff testified about various inciden</w:t>
      </w:r>
      <w:r w:rsidR="008E508A">
        <w:rPr>
          <w:b w:val="0"/>
          <w:bCs w:val="0"/>
        </w:rPr>
        <w:t>ts</w:t>
      </w:r>
      <w:r w:rsidR="00B67B9A">
        <w:rPr>
          <w:b w:val="0"/>
          <w:bCs w:val="0"/>
        </w:rPr>
        <w:t xml:space="preserve"> of assault and torture during the night as the persons who arrested him, drove around with him and looked for his alleged accomplices</w:t>
      </w:r>
      <w:r w:rsidR="00C00390">
        <w:rPr>
          <w:b w:val="0"/>
          <w:bCs w:val="0"/>
        </w:rPr>
        <w:t>. I do not repeat the evidence</w:t>
      </w:r>
      <w:r w:rsidR="00654E85">
        <w:rPr>
          <w:b w:val="0"/>
          <w:bCs w:val="0"/>
        </w:rPr>
        <w:t xml:space="preserve"> (as t</w:t>
      </w:r>
      <w:r w:rsidR="00654E85" w:rsidRPr="00654E85">
        <w:rPr>
          <w:b w:val="0"/>
          <w:bCs w:val="0"/>
        </w:rPr>
        <w:t>he further detail does not strengthen the plaintiff’s reliability as a witness</w:t>
      </w:r>
      <w:r w:rsidR="00654E85">
        <w:rPr>
          <w:b w:val="0"/>
          <w:bCs w:val="0"/>
        </w:rPr>
        <w:t>)</w:t>
      </w:r>
      <w:r w:rsidR="00C00390">
        <w:rPr>
          <w:b w:val="0"/>
          <w:bCs w:val="0"/>
        </w:rPr>
        <w:t xml:space="preserve">, </w:t>
      </w:r>
      <w:r w:rsidR="00654E85">
        <w:rPr>
          <w:b w:val="0"/>
          <w:bCs w:val="0"/>
        </w:rPr>
        <w:t xml:space="preserve">but </w:t>
      </w:r>
      <w:r w:rsidR="00C00390">
        <w:rPr>
          <w:b w:val="0"/>
          <w:bCs w:val="0"/>
        </w:rPr>
        <w:t xml:space="preserve">he went into greater detail </w:t>
      </w:r>
      <w:r w:rsidR="00654E85">
        <w:rPr>
          <w:b w:val="0"/>
          <w:bCs w:val="0"/>
        </w:rPr>
        <w:t xml:space="preserve">in his evidence </w:t>
      </w:r>
      <w:r w:rsidR="00C00390">
        <w:rPr>
          <w:b w:val="0"/>
          <w:bCs w:val="0"/>
        </w:rPr>
        <w:t xml:space="preserve">than </w:t>
      </w:r>
      <w:r w:rsidR="00654E85">
        <w:rPr>
          <w:b w:val="0"/>
          <w:bCs w:val="0"/>
        </w:rPr>
        <w:t>as</w:t>
      </w:r>
      <w:r w:rsidR="00C00390">
        <w:rPr>
          <w:b w:val="0"/>
          <w:bCs w:val="0"/>
        </w:rPr>
        <w:t xml:space="preserve"> pleaded, and added a version about injuries inflicted to his body and a </w:t>
      </w:r>
      <w:r w:rsidR="00654E85">
        <w:rPr>
          <w:b w:val="0"/>
          <w:bCs w:val="0"/>
        </w:rPr>
        <w:t>cattle prod type instrument being used</w:t>
      </w:r>
      <w:r w:rsidR="00B67B9A">
        <w:rPr>
          <w:b w:val="0"/>
          <w:bCs w:val="0"/>
        </w:rPr>
        <w:t xml:space="preserve">; </w:t>
      </w:r>
    </w:p>
    <w:p w14:paraId="40520412" w14:textId="3E0060A0" w:rsidR="00B67B9A" w:rsidRPr="00B47A20" w:rsidRDefault="001D5FD8" w:rsidP="001D5FD8">
      <w:pPr>
        <w:pStyle w:val="BodyText"/>
        <w:tabs>
          <w:tab w:val="left" w:pos="1814"/>
        </w:tabs>
        <w:ind w:left="1814" w:hanging="992"/>
        <w:rPr>
          <w:b w:val="0"/>
          <w:bCs w:val="0"/>
        </w:rPr>
        <w:pPrChange w:id="66" w:author="Graeme Rennie" w:date="2021-11-24T13:14:00Z">
          <w:pPr>
            <w:pStyle w:val="BodyText"/>
            <w:numPr>
              <w:ilvl w:val="1"/>
              <w:numId w:val="2"/>
            </w:numPr>
            <w:tabs>
              <w:tab w:val="num" w:pos="1814"/>
            </w:tabs>
            <w:ind w:left="1814" w:hanging="992"/>
          </w:pPr>
        </w:pPrChange>
      </w:pPr>
      <w:r w:rsidRPr="00B47A20">
        <w:rPr>
          <w:rFonts w:cs="Times New Roman"/>
          <w:b w:val="0"/>
          <w:bCs w:val="0"/>
        </w:rPr>
        <w:t>[29.7]</w:t>
      </w:r>
      <w:r w:rsidRPr="00B47A20">
        <w:rPr>
          <w:rFonts w:cs="Times New Roman"/>
          <w:b w:val="0"/>
          <w:bCs w:val="0"/>
        </w:rPr>
        <w:tab/>
      </w:r>
      <w:r w:rsidR="00B67B9A" w:rsidRPr="00E621B7">
        <w:rPr>
          <w:b w:val="0"/>
          <w:bCs w:val="0"/>
        </w:rPr>
        <w:t xml:space="preserve">The plaintiff testified that he </w:t>
      </w:r>
      <w:r w:rsidR="007534F1">
        <w:rPr>
          <w:b w:val="0"/>
          <w:bCs w:val="0"/>
        </w:rPr>
        <w:t xml:space="preserve">was </w:t>
      </w:r>
      <w:r w:rsidR="00B67B9A">
        <w:rPr>
          <w:b w:val="0"/>
          <w:bCs w:val="0"/>
        </w:rPr>
        <w:t>e</w:t>
      </w:r>
      <w:r w:rsidR="00B67B9A" w:rsidRPr="00B47A20">
        <w:rPr>
          <w:b w:val="0"/>
          <w:bCs w:val="0"/>
        </w:rPr>
        <w:t xml:space="preserve">ventually taken to Zonkiziwe Police Station. It was </w:t>
      </w:r>
      <w:r w:rsidR="007534F1">
        <w:rPr>
          <w:b w:val="0"/>
          <w:bCs w:val="0"/>
        </w:rPr>
        <w:t xml:space="preserve">at </w:t>
      </w:r>
      <w:r w:rsidR="00B67B9A" w:rsidRPr="00B47A20">
        <w:rPr>
          <w:b w:val="0"/>
          <w:bCs w:val="0"/>
        </w:rPr>
        <w:t>about 03H45. A female officer</w:t>
      </w:r>
      <w:r w:rsidR="008E508A">
        <w:rPr>
          <w:b w:val="0"/>
          <w:bCs w:val="0"/>
        </w:rPr>
        <w:t>,</w:t>
      </w:r>
      <w:r w:rsidR="00B67B9A" w:rsidRPr="00B47A20">
        <w:rPr>
          <w:b w:val="0"/>
          <w:bCs w:val="0"/>
        </w:rPr>
        <w:t xml:space="preserve"> Mbata</w:t>
      </w:r>
      <w:r w:rsidR="008E508A">
        <w:rPr>
          <w:b w:val="0"/>
          <w:bCs w:val="0"/>
        </w:rPr>
        <w:t>,</w:t>
      </w:r>
      <w:r w:rsidR="00B67B9A" w:rsidRPr="00B47A20">
        <w:rPr>
          <w:b w:val="0"/>
          <w:bCs w:val="0"/>
        </w:rPr>
        <w:t xml:space="preserve"> removed his handcuffs;</w:t>
      </w:r>
    </w:p>
    <w:p w14:paraId="71AD645E" w14:textId="6C601B33" w:rsidR="008F2295" w:rsidRDefault="001D5FD8" w:rsidP="001D5FD8">
      <w:pPr>
        <w:pStyle w:val="BodyText"/>
        <w:tabs>
          <w:tab w:val="left" w:pos="1814"/>
        </w:tabs>
        <w:ind w:left="1814" w:hanging="992"/>
        <w:rPr>
          <w:b w:val="0"/>
          <w:bCs w:val="0"/>
        </w:rPr>
        <w:pPrChange w:id="67" w:author="Graeme Rennie" w:date="2021-11-24T13:14:00Z">
          <w:pPr>
            <w:pStyle w:val="BodyText"/>
            <w:numPr>
              <w:ilvl w:val="1"/>
              <w:numId w:val="2"/>
            </w:numPr>
            <w:tabs>
              <w:tab w:val="num" w:pos="1814"/>
            </w:tabs>
            <w:ind w:left="1814" w:hanging="992"/>
          </w:pPr>
        </w:pPrChange>
      </w:pPr>
      <w:r>
        <w:rPr>
          <w:rFonts w:cs="Times New Roman"/>
          <w:b w:val="0"/>
          <w:bCs w:val="0"/>
        </w:rPr>
        <w:t>[29.8]</w:t>
      </w:r>
      <w:r>
        <w:rPr>
          <w:rFonts w:cs="Times New Roman"/>
          <w:b w:val="0"/>
          <w:bCs w:val="0"/>
        </w:rPr>
        <w:tab/>
      </w:r>
      <w:r w:rsidR="00B67B9A" w:rsidRPr="00E621B7">
        <w:rPr>
          <w:b w:val="0"/>
          <w:bCs w:val="0"/>
        </w:rPr>
        <w:t xml:space="preserve">The plaintiff testified that </w:t>
      </w:r>
      <w:r w:rsidR="00B67B9A" w:rsidRPr="00442500">
        <w:rPr>
          <w:b w:val="0"/>
          <w:bCs w:val="0"/>
        </w:rPr>
        <w:t>when he was taken to court on Monday 2 August 2010, the matter was remanded for further investigation. On 11 August 2010, t</w:t>
      </w:r>
      <w:r w:rsidR="00B67B9A" w:rsidRPr="00BF68DB">
        <w:rPr>
          <w:b w:val="0"/>
          <w:bCs w:val="0"/>
        </w:rPr>
        <w:t>he next hearing</w:t>
      </w:r>
      <w:r w:rsidR="008E508A">
        <w:rPr>
          <w:b w:val="0"/>
          <w:bCs w:val="0"/>
        </w:rPr>
        <w:t>,</w:t>
      </w:r>
      <w:r w:rsidR="00B67B9A" w:rsidRPr="00BF68DB">
        <w:rPr>
          <w:b w:val="0"/>
          <w:bCs w:val="0"/>
        </w:rPr>
        <w:t xml:space="preserve"> the magistrate told him that he does not qualify for bail, as he is a high-risk individual with many </w:t>
      </w:r>
      <w:r w:rsidR="00B67B9A" w:rsidRPr="00BF68DB">
        <w:rPr>
          <w:b w:val="0"/>
          <w:bCs w:val="0"/>
        </w:rPr>
        <w:lastRenderedPageBreak/>
        <w:t>home addresses and using different surnames. The different addresses seem to be common cause. He explained that he does use two surnames, one being that of his father, and the other that of his mother. The cell register reflected his mother’s surname, which is not the one in his identity document</w:t>
      </w:r>
      <w:r w:rsidR="008F2295">
        <w:rPr>
          <w:b w:val="0"/>
          <w:bCs w:val="0"/>
        </w:rPr>
        <w:t>;</w:t>
      </w:r>
      <w:r w:rsidR="00B67B9A" w:rsidRPr="00BF68DB">
        <w:rPr>
          <w:b w:val="0"/>
          <w:bCs w:val="0"/>
        </w:rPr>
        <w:t xml:space="preserve"> </w:t>
      </w:r>
    </w:p>
    <w:p w14:paraId="451C5ADB" w14:textId="3FEC6EB6" w:rsidR="00B67B9A" w:rsidRPr="00BF68DB" w:rsidRDefault="001D5FD8" w:rsidP="001D5FD8">
      <w:pPr>
        <w:pStyle w:val="BodyText"/>
        <w:tabs>
          <w:tab w:val="left" w:pos="1814"/>
        </w:tabs>
        <w:ind w:left="1814" w:hanging="992"/>
        <w:rPr>
          <w:b w:val="0"/>
          <w:bCs w:val="0"/>
        </w:rPr>
        <w:pPrChange w:id="68" w:author="Graeme Rennie" w:date="2021-11-24T13:14:00Z">
          <w:pPr>
            <w:pStyle w:val="BodyText"/>
            <w:numPr>
              <w:ilvl w:val="1"/>
              <w:numId w:val="2"/>
            </w:numPr>
            <w:tabs>
              <w:tab w:val="num" w:pos="1814"/>
            </w:tabs>
            <w:ind w:left="1814" w:hanging="992"/>
          </w:pPr>
        </w:pPrChange>
      </w:pPr>
      <w:r w:rsidRPr="00BF68DB">
        <w:rPr>
          <w:rFonts w:cs="Times New Roman"/>
          <w:b w:val="0"/>
          <w:bCs w:val="0"/>
        </w:rPr>
        <w:t>[29.9]</w:t>
      </w:r>
      <w:r w:rsidRPr="00BF68DB">
        <w:rPr>
          <w:rFonts w:cs="Times New Roman"/>
          <w:b w:val="0"/>
          <w:bCs w:val="0"/>
        </w:rPr>
        <w:tab/>
      </w:r>
      <w:r w:rsidR="00B67B9A" w:rsidRPr="00E621B7">
        <w:rPr>
          <w:b w:val="0"/>
          <w:bCs w:val="0"/>
        </w:rPr>
        <w:t xml:space="preserve">The plaintiff testified that </w:t>
      </w:r>
      <w:r w:rsidR="00B67B9A" w:rsidRPr="00442500">
        <w:rPr>
          <w:b w:val="0"/>
          <w:bCs w:val="0"/>
        </w:rPr>
        <w:t>at his appearance on 13 August 2010</w:t>
      </w:r>
      <w:r w:rsidR="008E508A" w:rsidRPr="00442500">
        <w:rPr>
          <w:b w:val="0"/>
          <w:bCs w:val="0"/>
        </w:rPr>
        <w:t>,</w:t>
      </w:r>
      <w:r w:rsidR="00B67B9A" w:rsidRPr="00442500">
        <w:rPr>
          <w:b w:val="0"/>
          <w:bCs w:val="0"/>
        </w:rPr>
        <w:t xml:space="preserve"> he was informed that he does not qualify for a state appointed lawyer, and by 19 August 2019</w:t>
      </w:r>
      <w:r w:rsidR="008E508A" w:rsidRPr="00442500">
        <w:rPr>
          <w:b w:val="0"/>
          <w:bCs w:val="0"/>
        </w:rPr>
        <w:t>,</w:t>
      </w:r>
      <w:r w:rsidR="00B67B9A" w:rsidRPr="00BF68DB">
        <w:rPr>
          <w:b w:val="0"/>
          <w:bCs w:val="0"/>
        </w:rPr>
        <w:t xml:space="preserve"> he had a privately appointed lawyer, and was released on bail with no conditions on that date;</w:t>
      </w:r>
    </w:p>
    <w:p w14:paraId="6BD64B0A" w14:textId="773B7B0C" w:rsidR="00B67B9A" w:rsidRPr="00BF68DB" w:rsidRDefault="001D5FD8" w:rsidP="001D5FD8">
      <w:pPr>
        <w:pStyle w:val="BodyText"/>
        <w:tabs>
          <w:tab w:val="left" w:pos="1814"/>
        </w:tabs>
        <w:ind w:left="1814" w:hanging="992"/>
        <w:rPr>
          <w:b w:val="0"/>
          <w:bCs w:val="0"/>
        </w:rPr>
        <w:pPrChange w:id="69" w:author="Graeme Rennie" w:date="2021-11-24T13:14:00Z">
          <w:pPr>
            <w:pStyle w:val="BodyText"/>
            <w:numPr>
              <w:ilvl w:val="1"/>
              <w:numId w:val="2"/>
            </w:numPr>
            <w:tabs>
              <w:tab w:val="num" w:pos="1814"/>
            </w:tabs>
            <w:ind w:left="1814" w:hanging="992"/>
          </w:pPr>
        </w:pPrChange>
      </w:pPr>
      <w:r w:rsidRPr="00BF68DB">
        <w:rPr>
          <w:rFonts w:cs="Times New Roman"/>
          <w:b w:val="0"/>
          <w:bCs w:val="0"/>
        </w:rPr>
        <w:t>[29.10]</w:t>
      </w:r>
      <w:r w:rsidRPr="00BF68DB">
        <w:rPr>
          <w:rFonts w:cs="Times New Roman"/>
          <w:b w:val="0"/>
          <w:bCs w:val="0"/>
        </w:rPr>
        <w:tab/>
      </w:r>
      <w:r w:rsidR="00B67B9A" w:rsidRPr="00BF68DB">
        <w:rPr>
          <w:b w:val="0"/>
          <w:bCs w:val="0"/>
        </w:rPr>
        <w:t>After one or two more appearances, the matter was withdrawn on 5 November 2010;</w:t>
      </w:r>
    </w:p>
    <w:p w14:paraId="1709A36A" w14:textId="321F5638" w:rsidR="00B67B9A" w:rsidRPr="00442500" w:rsidRDefault="001D5FD8" w:rsidP="001D5FD8">
      <w:pPr>
        <w:pStyle w:val="BodyText"/>
        <w:tabs>
          <w:tab w:val="left" w:pos="3119"/>
        </w:tabs>
        <w:ind w:left="3119" w:hanging="1305"/>
        <w:rPr>
          <w:b w:val="0"/>
          <w:bCs w:val="0"/>
        </w:rPr>
        <w:pPrChange w:id="70" w:author="Graeme Rennie" w:date="2021-11-24T13:14:00Z">
          <w:pPr>
            <w:pStyle w:val="BodyText"/>
            <w:numPr>
              <w:ilvl w:val="2"/>
              <w:numId w:val="2"/>
            </w:numPr>
            <w:tabs>
              <w:tab w:val="num" w:pos="3119"/>
            </w:tabs>
            <w:ind w:left="3119" w:hanging="1305"/>
          </w:pPr>
        </w:pPrChange>
      </w:pPr>
      <w:r w:rsidRPr="00442500">
        <w:rPr>
          <w:rFonts w:cs="Times New Roman"/>
          <w:b w:val="0"/>
          <w:bCs w:val="0"/>
        </w:rPr>
        <w:t>[29.10.1]</w:t>
      </w:r>
      <w:r w:rsidRPr="00442500">
        <w:rPr>
          <w:rFonts w:cs="Times New Roman"/>
          <w:b w:val="0"/>
          <w:bCs w:val="0"/>
        </w:rPr>
        <w:tab/>
      </w:r>
      <w:r w:rsidR="00B67B9A" w:rsidRPr="00BF68DB">
        <w:rPr>
          <w:b w:val="0"/>
          <w:bCs w:val="0"/>
        </w:rPr>
        <w:t xml:space="preserve">The statutory demand reflected his release date as 5 November 2010, and the particulars of claim as 24 August 2010. Both are wrong. </w:t>
      </w:r>
      <w:r w:rsidR="00B67B9A" w:rsidRPr="00442500">
        <w:rPr>
          <w:b w:val="0"/>
          <w:bCs w:val="0"/>
        </w:rPr>
        <w:t>In fact, he was in detention from the evening of 29 July 2010 to sometime on 19 August 2010, three weeks.</w:t>
      </w:r>
      <w:r w:rsidR="00B67B9A" w:rsidRPr="00442500">
        <w:rPr>
          <w:rStyle w:val="FootnoteReference"/>
          <w:b w:val="0"/>
          <w:bCs w:val="0"/>
        </w:rPr>
        <w:footnoteReference w:id="3"/>
      </w:r>
    </w:p>
    <w:p w14:paraId="67CED8D2" w14:textId="0C6C4EFF" w:rsidR="00B67B9A" w:rsidRPr="008F2295" w:rsidRDefault="001D5FD8" w:rsidP="001D5FD8">
      <w:pPr>
        <w:pStyle w:val="BodyText"/>
        <w:ind w:left="822" w:hanging="822"/>
        <w:rPr>
          <w:b w:val="0"/>
          <w:bCs w:val="0"/>
        </w:rPr>
        <w:pPrChange w:id="71" w:author="Graeme Rennie" w:date="2021-11-24T13:14:00Z">
          <w:pPr>
            <w:pStyle w:val="BodyText"/>
            <w:numPr>
              <w:numId w:val="2"/>
            </w:numPr>
            <w:ind w:left="822" w:hanging="822"/>
          </w:pPr>
        </w:pPrChange>
      </w:pPr>
      <w:r w:rsidRPr="008F2295">
        <w:rPr>
          <w:b w:val="0"/>
          <w:bCs w:val="0"/>
        </w:rPr>
        <w:t>[30]</w:t>
      </w:r>
      <w:r w:rsidRPr="008F2295">
        <w:rPr>
          <w:b w:val="0"/>
          <w:bCs w:val="0"/>
        </w:rPr>
        <w:tab/>
      </w:r>
      <w:r w:rsidR="008F2295" w:rsidRPr="00BF68DB">
        <w:rPr>
          <w:b w:val="0"/>
          <w:bCs w:val="0"/>
        </w:rPr>
        <w:t xml:space="preserve">The plaintiff did not testify </w:t>
      </w:r>
      <w:r w:rsidR="000C34B8">
        <w:rPr>
          <w:b w:val="0"/>
          <w:bCs w:val="0"/>
        </w:rPr>
        <w:t xml:space="preserve">that </w:t>
      </w:r>
      <w:r w:rsidR="008F2295" w:rsidRPr="00BF68DB">
        <w:rPr>
          <w:b w:val="0"/>
          <w:bCs w:val="0"/>
        </w:rPr>
        <w:t>the investigating officer misled the prosecutor (or the magistrate)</w:t>
      </w:r>
      <w:r w:rsidR="008F2295">
        <w:rPr>
          <w:b w:val="0"/>
          <w:bCs w:val="0"/>
        </w:rPr>
        <w:t xml:space="preserve"> at any of his appearances at court. </w:t>
      </w:r>
    </w:p>
    <w:p w14:paraId="0560DCCA" w14:textId="02F50277" w:rsidR="00B67B9A" w:rsidRPr="00BF68DB" w:rsidRDefault="001D5FD8" w:rsidP="001D5FD8">
      <w:pPr>
        <w:pStyle w:val="BodyText"/>
        <w:ind w:left="822" w:hanging="822"/>
        <w:rPr>
          <w:b w:val="0"/>
          <w:bCs w:val="0"/>
        </w:rPr>
        <w:pPrChange w:id="72" w:author="Graeme Rennie" w:date="2021-11-24T13:14:00Z">
          <w:pPr>
            <w:pStyle w:val="BodyText"/>
            <w:numPr>
              <w:numId w:val="2"/>
            </w:numPr>
            <w:ind w:left="822" w:hanging="822"/>
          </w:pPr>
        </w:pPrChange>
      </w:pPr>
      <w:r w:rsidRPr="00BF68DB">
        <w:rPr>
          <w:b w:val="0"/>
          <w:bCs w:val="0"/>
        </w:rPr>
        <w:t>[31]</w:t>
      </w:r>
      <w:r w:rsidRPr="00BF68DB">
        <w:rPr>
          <w:b w:val="0"/>
          <w:bCs w:val="0"/>
        </w:rPr>
        <w:tab/>
      </w:r>
      <w:r w:rsidR="00B67B9A" w:rsidRPr="00BF68DB">
        <w:rPr>
          <w:b w:val="0"/>
          <w:bCs w:val="0"/>
        </w:rPr>
        <w:t xml:space="preserve">The next witness was Mr Alfred Ndlovu, a childhood friend of the plaintiff. He said that they grew up together, in the same street as the plaintiff. He resides next to the house where the plaintiff avers his aunt lived. He witnessed the arrest. He testified that there were </w:t>
      </w:r>
      <w:r w:rsidR="00B67B9A">
        <w:rPr>
          <w:b w:val="0"/>
          <w:bCs w:val="0"/>
        </w:rPr>
        <w:t xml:space="preserve">(whom he believed) </w:t>
      </w:r>
      <w:r w:rsidR="00B67B9A" w:rsidRPr="00BF68DB">
        <w:rPr>
          <w:b w:val="0"/>
          <w:bCs w:val="0"/>
        </w:rPr>
        <w:t>four police officers who carried out the arrest. He said he was not surprised about the plaintiff giving different residential addresses, as he had many relatives in the area. At first</w:t>
      </w:r>
      <w:r w:rsidR="009F003F">
        <w:rPr>
          <w:b w:val="0"/>
          <w:bCs w:val="0"/>
        </w:rPr>
        <w:t>,</w:t>
      </w:r>
      <w:r w:rsidR="00B67B9A" w:rsidRPr="00BF68DB">
        <w:rPr>
          <w:b w:val="0"/>
          <w:bCs w:val="0"/>
        </w:rPr>
        <w:t xml:space="preserve"> he </w:t>
      </w:r>
      <w:r w:rsidR="00B67B9A">
        <w:rPr>
          <w:b w:val="0"/>
          <w:bCs w:val="0"/>
        </w:rPr>
        <w:t>testified</w:t>
      </w:r>
      <w:r w:rsidR="00B67B9A" w:rsidRPr="00BF68DB">
        <w:rPr>
          <w:b w:val="0"/>
          <w:bCs w:val="0"/>
        </w:rPr>
        <w:t xml:space="preserve"> that he saw no assault on the plaintiff. When he</w:t>
      </w:r>
      <w:r w:rsidR="000C34B8">
        <w:rPr>
          <w:b w:val="0"/>
          <w:bCs w:val="0"/>
        </w:rPr>
        <w:t>,</w:t>
      </w:r>
      <w:r w:rsidR="00B67B9A" w:rsidRPr="00BF68DB">
        <w:rPr>
          <w:b w:val="0"/>
          <w:bCs w:val="0"/>
        </w:rPr>
        <w:t xml:space="preserve"> </w:t>
      </w:r>
      <w:r w:rsidR="00B67B9A" w:rsidRPr="00DC06F4">
        <w:rPr>
          <w:b w:val="0"/>
          <w:bCs w:val="0"/>
        </w:rPr>
        <w:t>in cross-examination</w:t>
      </w:r>
      <w:r w:rsidR="000C34B8">
        <w:rPr>
          <w:b w:val="0"/>
          <w:bCs w:val="0"/>
        </w:rPr>
        <w:t>,</w:t>
      </w:r>
      <w:r w:rsidR="00B67B9A" w:rsidRPr="00DC06F4">
        <w:t xml:space="preserve"> </w:t>
      </w:r>
      <w:r w:rsidR="00B67B9A" w:rsidRPr="00BF68DB">
        <w:rPr>
          <w:b w:val="0"/>
          <w:bCs w:val="0"/>
        </w:rPr>
        <w:t>was referred to his statement that reflected an assault</w:t>
      </w:r>
      <w:r w:rsidR="00B67B9A">
        <w:rPr>
          <w:b w:val="0"/>
          <w:bCs w:val="0"/>
        </w:rPr>
        <w:t xml:space="preserve"> when the arrest took place</w:t>
      </w:r>
      <w:r w:rsidR="00B67B9A" w:rsidRPr="00BF68DB">
        <w:rPr>
          <w:b w:val="0"/>
          <w:bCs w:val="0"/>
        </w:rPr>
        <w:t>, he started to remember the assault. This contradicted the plaintiff’s version</w:t>
      </w:r>
      <w:r w:rsidR="00B67B9A">
        <w:rPr>
          <w:b w:val="0"/>
          <w:bCs w:val="0"/>
        </w:rPr>
        <w:t xml:space="preserve"> that he was not assaulted when he was arrested</w:t>
      </w:r>
      <w:r w:rsidR="00B67B9A" w:rsidRPr="00BF68DB">
        <w:rPr>
          <w:b w:val="0"/>
          <w:bCs w:val="0"/>
        </w:rPr>
        <w:t xml:space="preserve">. Mr Ndlovu clearly has forgotten most of the events over 11 years. </w:t>
      </w:r>
    </w:p>
    <w:p w14:paraId="6967F8E2" w14:textId="798F2114" w:rsidR="00B67B9A" w:rsidRPr="00442500" w:rsidRDefault="001D5FD8" w:rsidP="001D5FD8">
      <w:pPr>
        <w:ind w:left="822" w:hanging="822"/>
        <w:pPrChange w:id="73" w:author="Graeme Rennie" w:date="2021-11-24T13:14:00Z">
          <w:pPr>
            <w:pStyle w:val="ListParagraph"/>
            <w:numPr>
              <w:numId w:val="2"/>
            </w:numPr>
            <w:ind w:left="822" w:hanging="822"/>
            <w:contextualSpacing w:val="0"/>
          </w:pPr>
        </w:pPrChange>
      </w:pPr>
      <w:r w:rsidRPr="00442500">
        <w:rPr>
          <w:rFonts w:ascii="Arial" w:hAnsi="Arial" w:cs="Arial"/>
          <w:sz w:val="24"/>
          <w:szCs w:val="24"/>
        </w:rPr>
        <w:lastRenderedPageBreak/>
        <w:t>[32]</w:t>
      </w:r>
      <w:r w:rsidRPr="00442500">
        <w:rPr>
          <w:rFonts w:ascii="Arial" w:hAnsi="Arial" w:cs="Arial"/>
          <w:sz w:val="24"/>
          <w:szCs w:val="24"/>
        </w:rPr>
        <w:tab/>
      </w:r>
      <w:r w:rsidR="00B67B9A" w:rsidRPr="00442500">
        <w:t>The defendant called one witness, Captain Fourie, the investigating officer</w:t>
      </w:r>
      <w:r w:rsidR="009F003F" w:rsidRPr="00442500">
        <w:t xml:space="preserve"> in</w:t>
      </w:r>
      <w:r w:rsidR="00B67B9A" w:rsidRPr="00442500">
        <w:t xml:space="preserve"> the case. Her evidence was clear: She played no role in the arrest of the plaintiff. The evidence bears this out. Her first entry in the investigation diary was on 13 July 2010. </w:t>
      </w:r>
      <w:r w:rsidR="00BE78B0">
        <w:t>S</w:t>
      </w:r>
      <w:r w:rsidR="00B67B9A" w:rsidRPr="00442500">
        <w:t>he noted that there were no suspects and no eye witnesses to the theft.</w:t>
      </w:r>
      <w:r w:rsidR="00B67B9A" w:rsidRPr="001D5FD8">
        <w:rPr>
          <w:b/>
          <w:bCs/>
        </w:rPr>
        <w:t xml:space="preserve"> </w:t>
      </w:r>
      <w:r w:rsidR="00B67B9A" w:rsidRPr="00442500">
        <w:t>She then closed the matter.</w:t>
      </w:r>
      <w:r w:rsidR="00B67B9A" w:rsidRPr="001D5FD8">
        <w:rPr>
          <w:b/>
          <w:bCs/>
        </w:rPr>
        <w:t xml:space="preserve"> </w:t>
      </w:r>
    </w:p>
    <w:p w14:paraId="54C3D542" w14:textId="162EA7F4" w:rsidR="00B67B9A" w:rsidRPr="009168D9" w:rsidRDefault="001D5FD8" w:rsidP="001D5FD8">
      <w:pPr>
        <w:ind w:left="822" w:hanging="822"/>
        <w:pPrChange w:id="74" w:author="Graeme Rennie" w:date="2021-11-24T13:14:00Z">
          <w:pPr>
            <w:pStyle w:val="ListParagraph"/>
            <w:numPr>
              <w:numId w:val="2"/>
            </w:numPr>
            <w:ind w:left="822" w:hanging="822"/>
          </w:pPr>
        </w:pPrChange>
      </w:pPr>
      <w:r w:rsidRPr="009168D9">
        <w:rPr>
          <w:rFonts w:ascii="Arial" w:hAnsi="Arial" w:cs="Arial"/>
          <w:sz w:val="24"/>
          <w:szCs w:val="24"/>
        </w:rPr>
        <w:t>[33]</w:t>
      </w:r>
      <w:r w:rsidRPr="009168D9">
        <w:rPr>
          <w:rFonts w:ascii="Arial" w:hAnsi="Arial" w:cs="Arial"/>
          <w:sz w:val="24"/>
          <w:szCs w:val="24"/>
        </w:rPr>
        <w:tab/>
      </w:r>
      <w:r w:rsidR="00B67B9A" w:rsidRPr="009168D9">
        <w:t>During the morning after the arrest, she was informed by a superior that the plaintiff had been arrested</w:t>
      </w:r>
      <w:r w:rsidR="00B67B9A">
        <w:t>.</w:t>
      </w:r>
      <w:r w:rsidR="00B67B9A" w:rsidRPr="009168D9">
        <w:t xml:space="preserve"> </w:t>
      </w:r>
      <w:r w:rsidR="00B67B9A">
        <w:t>Thus, o</w:t>
      </w:r>
      <w:r w:rsidR="00B67B9A" w:rsidRPr="009168D9">
        <w:t>n 29 July 2010</w:t>
      </w:r>
      <w:r w:rsidR="009F003F">
        <w:t>,</w:t>
      </w:r>
      <w:r w:rsidR="00B67B9A" w:rsidRPr="009168D9">
        <w:t xml:space="preserve"> she re-opened the docket, noted in the investigation diary that a private investigator arrested the plaintiff.</w:t>
      </w:r>
      <w:r w:rsidR="00B67B9A">
        <w:t xml:space="preserve"> S</w:t>
      </w:r>
      <w:r w:rsidR="00B67B9A" w:rsidRPr="009168D9">
        <w:t xml:space="preserve">he referred </w:t>
      </w:r>
      <w:r w:rsidR="00C07494">
        <w:t xml:space="preserve">in evidence </w:t>
      </w:r>
      <w:r w:rsidR="00B67B9A" w:rsidRPr="009168D9">
        <w:t>to his statement (which she took). She noted</w:t>
      </w:r>
      <w:r w:rsidR="00B67B9A">
        <w:t xml:space="preserve"> in the diary</w:t>
      </w:r>
      <w:r w:rsidR="00B67B9A" w:rsidRPr="009168D9">
        <w:t xml:space="preserve"> that the </w:t>
      </w:r>
      <w:r w:rsidR="00567770">
        <w:t>plaintiff</w:t>
      </w:r>
      <w:r w:rsidR="00B67B9A" w:rsidRPr="009168D9">
        <w:t xml:space="preserve"> could possibly make pointings out in Soweto where the stolen vehicle </w:t>
      </w:r>
      <w:r w:rsidR="00C07494">
        <w:t xml:space="preserve">(allegedly) </w:t>
      </w:r>
      <w:r w:rsidR="00B67B9A" w:rsidRPr="009168D9">
        <w:t xml:space="preserve">was sold. </w:t>
      </w:r>
      <w:r w:rsidR="00B67B9A">
        <w:t xml:space="preserve">In a note to the public prosecutor prepared for the first court appearance, she advised him or her that only the statement by the </w:t>
      </w:r>
      <w:r w:rsidR="00B67B9A" w:rsidRPr="009168D9">
        <w:t>private investigator</w:t>
      </w:r>
      <w:r w:rsidR="00B67B9A">
        <w:t xml:space="preserve"> linked the plaintiff to the crime. </w:t>
      </w:r>
      <w:r w:rsidR="00BE78B0">
        <w:t xml:space="preserve">(He or she would have noted also the entries </w:t>
      </w:r>
      <w:r w:rsidR="00BE78B0" w:rsidRPr="00BE78B0">
        <w:t>in the investigating diary that the complainant did not know who stole his vehicle (entry dated 09/07/2010)</w:t>
      </w:r>
      <w:r w:rsidR="00BE78B0">
        <w:t xml:space="preserve"> and </w:t>
      </w:r>
      <w:r w:rsidR="00BE78B0" w:rsidRPr="00BE78B0">
        <w:t xml:space="preserve">that there were no eyewitnesses or suspects to the theft (entry dated 13/07/2010). </w:t>
      </w:r>
    </w:p>
    <w:p w14:paraId="77D9390A" w14:textId="7D4FD520" w:rsidR="00B67B9A" w:rsidRDefault="001D5FD8" w:rsidP="001D5FD8">
      <w:pPr>
        <w:pStyle w:val="BodyText"/>
        <w:ind w:left="822" w:hanging="822"/>
        <w:rPr>
          <w:b w:val="0"/>
          <w:bCs w:val="0"/>
        </w:rPr>
        <w:pPrChange w:id="75" w:author="Graeme Rennie" w:date="2021-11-24T13:14:00Z">
          <w:pPr>
            <w:pStyle w:val="BodyText"/>
            <w:numPr>
              <w:numId w:val="2"/>
            </w:numPr>
            <w:ind w:left="822" w:hanging="822"/>
          </w:pPr>
        </w:pPrChange>
      </w:pPr>
      <w:r>
        <w:rPr>
          <w:b w:val="0"/>
          <w:bCs w:val="0"/>
        </w:rPr>
        <w:t>[34]</w:t>
      </w:r>
      <w:r>
        <w:rPr>
          <w:b w:val="0"/>
          <w:bCs w:val="0"/>
        </w:rPr>
        <w:tab/>
      </w:r>
      <w:r w:rsidR="00B67B9A">
        <w:rPr>
          <w:b w:val="0"/>
          <w:bCs w:val="0"/>
        </w:rPr>
        <w:t>During cross-examination</w:t>
      </w:r>
      <w:r w:rsidR="00567770">
        <w:rPr>
          <w:b w:val="0"/>
          <w:bCs w:val="0"/>
        </w:rPr>
        <w:t>,</w:t>
      </w:r>
      <w:r w:rsidR="00B67B9A">
        <w:rPr>
          <w:b w:val="0"/>
          <w:bCs w:val="0"/>
        </w:rPr>
        <w:t xml:space="preserve"> she was asked about the statement by the </w:t>
      </w:r>
      <w:r w:rsidR="00B67B9A" w:rsidRPr="00632A05">
        <w:rPr>
          <w:b w:val="0"/>
          <w:bCs w:val="0"/>
        </w:rPr>
        <w:t>private investigator</w:t>
      </w:r>
      <w:r w:rsidR="00B67B9A">
        <w:rPr>
          <w:b w:val="0"/>
          <w:bCs w:val="0"/>
        </w:rPr>
        <w:t xml:space="preserve"> (Mr Dube), and she referred to paragraph 4 in which it was stated that the plaintiff had confessed to the crime and that he had identified the persons who were with him when the vehicle was stolen. She testified in cross-examination that the fact that Mr Dube seems to have completed the Notice of Rights in terms of the Constitution</w:t>
      </w:r>
      <w:r w:rsidR="00567770">
        <w:rPr>
          <w:b w:val="0"/>
          <w:bCs w:val="0"/>
        </w:rPr>
        <w:t>,</w:t>
      </w:r>
      <w:r w:rsidR="00B67B9A">
        <w:rPr>
          <w:b w:val="0"/>
          <w:bCs w:val="0"/>
        </w:rPr>
        <w:t xml:space="preserve"> does not show that he is a police officer. She assumed it happened because the statement was explained in isiZulu. </w:t>
      </w:r>
    </w:p>
    <w:p w14:paraId="39C6435A" w14:textId="2AC9084A" w:rsidR="00C07494" w:rsidRDefault="001D5FD8" w:rsidP="001D5FD8">
      <w:pPr>
        <w:pStyle w:val="BodyText"/>
        <w:ind w:left="822" w:hanging="822"/>
        <w:rPr>
          <w:b w:val="0"/>
          <w:bCs w:val="0"/>
        </w:rPr>
        <w:pPrChange w:id="76" w:author="Graeme Rennie" w:date="2021-11-24T13:14:00Z">
          <w:pPr>
            <w:pStyle w:val="BodyText"/>
            <w:numPr>
              <w:numId w:val="2"/>
            </w:numPr>
            <w:ind w:left="822" w:hanging="822"/>
          </w:pPr>
        </w:pPrChange>
      </w:pPr>
      <w:r>
        <w:rPr>
          <w:b w:val="0"/>
          <w:bCs w:val="0"/>
        </w:rPr>
        <w:t>[35]</w:t>
      </w:r>
      <w:r>
        <w:rPr>
          <w:b w:val="0"/>
          <w:bCs w:val="0"/>
        </w:rPr>
        <w:tab/>
      </w:r>
      <w:r w:rsidR="00B67B9A">
        <w:rPr>
          <w:b w:val="0"/>
          <w:bCs w:val="0"/>
        </w:rPr>
        <w:t xml:space="preserve">It was not </w:t>
      </w:r>
      <w:r w:rsidR="00B67B9A" w:rsidRPr="00C94FBC">
        <w:rPr>
          <w:b w:val="0"/>
          <w:bCs w:val="0"/>
        </w:rPr>
        <w:t xml:space="preserve">put </w:t>
      </w:r>
      <w:r w:rsidR="00567770">
        <w:rPr>
          <w:b w:val="0"/>
          <w:bCs w:val="0"/>
        </w:rPr>
        <w:t xml:space="preserve">to </w:t>
      </w:r>
      <w:r w:rsidR="00B67B9A" w:rsidRPr="00C94FBC">
        <w:rPr>
          <w:b w:val="0"/>
          <w:bCs w:val="0"/>
        </w:rPr>
        <w:t xml:space="preserve">the officer that </w:t>
      </w:r>
      <w:r w:rsidR="00B67B9A">
        <w:rPr>
          <w:b w:val="0"/>
          <w:bCs w:val="0"/>
        </w:rPr>
        <w:t xml:space="preserve">she was untruthful, or </w:t>
      </w:r>
      <w:r w:rsidR="00C07494">
        <w:rPr>
          <w:b w:val="0"/>
          <w:bCs w:val="0"/>
        </w:rPr>
        <w:t xml:space="preserve">that she </w:t>
      </w:r>
      <w:r w:rsidR="00B67B9A">
        <w:rPr>
          <w:b w:val="0"/>
          <w:bCs w:val="0"/>
        </w:rPr>
        <w:t xml:space="preserve">had concocted </w:t>
      </w:r>
      <w:r w:rsidR="00C07494">
        <w:rPr>
          <w:b w:val="0"/>
          <w:bCs w:val="0"/>
        </w:rPr>
        <w:t xml:space="preserve">the </w:t>
      </w:r>
      <w:r w:rsidR="00B67B9A">
        <w:rPr>
          <w:b w:val="0"/>
          <w:bCs w:val="0"/>
        </w:rPr>
        <w:t>documentary evidence</w:t>
      </w:r>
      <w:r w:rsidR="00C07494">
        <w:rPr>
          <w:b w:val="0"/>
          <w:bCs w:val="0"/>
        </w:rPr>
        <w:t xml:space="preserve"> in the docket</w:t>
      </w:r>
      <w:r w:rsidR="00B67B9A">
        <w:rPr>
          <w:b w:val="0"/>
          <w:bCs w:val="0"/>
        </w:rPr>
        <w:t>. The pleaded case that she “</w:t>
      </w:r>
      <w:r w:rsidR="00BE78B0" w:rsidRPr="00BE78B0">
        <w:rPr>
          <w:b w:val="0"/>
          <w:bCs w:val="0"/>
          <w:i/>
          <w:iCs/>
        </w:rPr>
        <w:t xml:space="preserve">the policeman investigating the case </w:t>
      </w:r>
      <w:r w:rsidR="00B67B9A" w:rsidRPr="004D6D08">
        <w:rPr>
          <w:b w:val="0"/>
          <w:bCs w:val="0"/>
          <w:i/>
          <w:iCs/>
        </w:rPr>
        <w:t>misled the prosecutor into believing that there was strong evidence against the Plaintiff which was still to be obtained</w:t>
      </w:r>
      <w:r w:rsidR="00B67B9A">
        <w:rPr>
          <w:b w:val="0"/>
          <w:bCs w:val="0"/>
        </w:rPr>
        <w:t>”, was not put to her</w:t>
      </w:r>
      <w:r w:rsidR="00C07494">
        <w:rPr>
          <w:b w:val="0"/>
          <w:bCs w:val="0"/>
        </w:rPr>
        <w:t xml:space="preserve"> for comment</w:t>
      </w:r>
      <w:r w:rsidR="00B67B9A">
        <w:rPr>
          <w:b w:val="0"/>
          <w:bCs w:val="0"/>
        </w:rPr>
        <w:t xml:space="preserve">. </w:t>
      </w:r>
    </w:p>
    <w:p w14:paraId="5C09119C" w14:textId="77777777" w:rsidR="00BE78B0" w:rsidRDefault="00BE78B0" w:rsidP="00E1780F">
      <w:pPr>
        <w:pStyle w:val="BodyText"/>
        <w:rPr>
          <w:u w:val="single"/>
        </w:rPr>
      </w:pPr>
      <w:bookmarkStart w:id="77" w:name="_Hlk83211570"/>
    </w:p>
    <w:p w14:paraId="06F20F7E" w14:textId="77777777" w:rsidR="00BE78B0" w:rsidRDefault="00BE78B0" w:rsidP="00E1780F">
      <w:pPr>
        <w:pStyle w:val="BodyText"/>
        <w:rPr>
          <w:u w:val="single"/>
        </w:rPr>
      </w:pPr>
    </w:p>
    <w:p w14:paraId="75EEE2CC" w14:textId="77777777" w:rsidR="00BE78B0" w:rsidRDefault="00BE78B0" w:rsidP="00E1780F">
      <w:pPr>
        <w:pStyle w:val="BodyText"/>
        <w:rPr>
          <w:u w:val="single"/>
        </w:rPr>
      </w:pPr>
    </w:p>
    <w:p w14:paraId="1E4F15D7" w14:textId="58EF7881" w:rsidR="00E1780F" w:rsidRPr="00E1780F" w:rsidRDefault="00E1780F" w:rsidP="00E1780F">
      <w:pPr>
        <w:pStyle w:val="BodyText"/>
        <w:rPr>
          <w:u w:val="single"/>
        </w:rPr>
      </w:pPr>
      <w:r w:rsidRPr="00E1780F">
        <w:rPr>
          <w:u w:val="single"/>
        </w:rPr>
        <w:lastRenderedPageBreak/>
        <w:t>The evidence</w:t>
      </w:r>
      <w:r w:rsidR="00632A05">
        <w:rPr>
          <w:u w:val="single"/>
        </w:rPr>
        <w:t>, assessment principles</w:t>
      </w:r>
      <w:r w:rsidRPr="00E1780F">
        <w:rPr>
          <w:u w:val="single"/>
        </w:rPr>
        <w:t xml:space="preserve"> </w:t>
      </w:r>
      <w:r w:rsidR="007061BC">
        <w:rPr>
          <w:u w:val="single"/>
        </w:rPr>
        <w:t xml:space="preserve">and assessing the evidence  </w:t>
      </w:r>
    </w:p>
    <w:bookmarkEnd w:id="77"/>
    <w:p w14:paraId="163DD771" w14:textId="00432402" w:rsidR="00F63C31" w:rsidRDefault="001D5FD8" w:rsidP="001D5FD8">
      <w:pPr>
        <w:pStyle w:val="BodyText"/>
        <w:spacing w:after="0"/>
        <w:ind w:left="822" w:hanging="822"/>
        <w:rPr>
          <w:b w:val="0"/>
          <w:bCs w:val="0"/>
        </w:rPr>
        <w:pPrChange w:id="78" w:author="Graeme Rennie" w:date="2021-11-24T13:14:00Z">
          <w:pPr>
            <w:pStyle w:val="BodyText"/>
            <w:numPr>
              <w:numId w:val="2"/>
            </w:numPr>
            <w:spacing w:after="0"/>
            <w:ind w:left="822" w:hanging="822"/>
          </w:pPr>
        </w:pPrChange>
      </w:pPr>
      <w:r>
        <w:rPr>
          <w:b w:val="0"/>
          <w:bCs w:val="0"/>
        </w:rPr>
        <w:t>[36]</w:t>
      </w:r>
      <w:r>
        <w:rPr>
          <w:b w:val="0"/>
          <w:bCs w:val="0"/>
        </w:rPr>
        <w:tab/>
      </w:r>
      <w:r w:rsidR="00F63C31">
        <w:rPr>
          <w:b w:val="0"/>
          <w:bCs w:val="0"/>
        </w:rPr>
        <w:t xml:space="preserve">The minority judgment by </w:t>
      </w:r>
      <w:r w:rsidR="00F63C31" w:rsidRPr="00F63C31">
        <w:rPr>
          <w:b w:val="0"/>
          <w:bCs w:val="0"/>
        </w:rPr>
        <w:t>Cachalia JA</w:t>
      </w:r>
      <w:r w:rsidR="00F63C31">
        <w:rPr>
          <w:b w:val="0"/>
          <w:bCs w:val="0"/>
        </w:rPr>
        <w:t xml:space="preserve"> in </w:t>
      </w:r>
      <w:r w:rsidR="00F63C31" w:rsidRPr="00F63C31">
        <w:rPr>
          <w:b w:val="0"/>
          <w:bCs w:val="0"/>
          <w:i/>
          <w:iCs/>
        </w:rPr>
        <w:t>Home Talk Developments (Pty) Ltd and Others v Ekurhuleni Metropolitan Municipality</w:t>
      </w:r>
      <w:r w:rsidR="00F63C31" w:rsidRPr="00F63C31">
        <w:rPr>
          <w:b w:val="0"/>
          <w:bCs w:val="0"/>
        </w:rPr>
        <w:t xml:space="preserve"> 2018 (1) SA 391 (SCA)</w:t>
      </w:r>
      <w:r w:rsidR="00F63C31">
        <w:rPr>
          <w:b w:val="0"/>
          <w:bCs w:val="0"/>
        </w:rPr>
        <w:t xml:space="preserve"> para 176 summarises the law on the determining of conflicting versions, crisply:</w:t>
      </w:r>
    </w:p>
    <w:p w14:paraId="5D7ED4FA" w14:textId="1E47DB24" w:rsidR="00F63C31" w:rsidRDefault="00F63C31" w:rsidP="004B60E0">
      <w:pPr>
        <w:pStyle w:val="BodyText"/>
        <w:spacing w:line="276" w:lineRule="auto"/>
        <w:ind w:left="2160" w:hanging="720"/>
        <w:rPr>
          <w:b w:val="0"/>
          <w:bCs w:val="0"/>
        </w:rPr>
      </w:pPr>
      <w:r>
        <w:rPr>
          <w:b w:val="0"/>
          <w:bCs w:val="0"/>
        </w:rPr>
        <w:t>“</w:t>
      </w:r>
      <w:r w:rsidRPr="00F63C31">
        <w:rPr>
          <w:b w:val="0"/>
          <w:bCs w:val="0"/>
          <w:i/>
          <w:iCs/>
          <w:sz w:val="22"/>
          <w:szCs w:val="22"/>
        </w:rPr>
        <w:t>[176]</w:t>
      </w:r>
      <w:r w:rsidR="004B60E0">
        <w:rPr>
          <w:b w:val="0"/>
          <w:bCs w:val="0"/>
          <w:i/>
          <w:iCs/>
          <w:sz w:val="22"/>
          <w:szCs w:val="22"/>
        </w:rPr>
        <w:tab/>
      </w:r>
      <w:r w:rsidRPr="00F63C31">
        <w:rPr>
          <w:b w:val="0"/>
          <w:bCs w:val="0"/>
          <w:i/>
          <w:iCs/>
          <w:sz w:val="22"/>
          <w:szCs w:val="22"/>
        </w:rPr>
        <w:t>The nub of the factual dispute between the parties is whether Mr Flusk had signed the OTP on 17 November 2006. To decide where the truth lies, a court must have regard to all the evidence and make findings (a) on the credibility of the witnesses; (b) their reliability; and (c) the probabilities of each version.</w:t>
      </w:r>
      <w:r>
        <w:rPr>
          <w:rStyle w:val="FootnoteReference"/>
          <w:b w:val="0"/>
          <w:bCs w:val="0"/>
          <w:i/>
          <w:iCs/>
          <w:sz w:val="22"/>
          <w:szCs w:val="22"/>
        </w:rPr>
        <w:footnoteReference w:id="4"/>
      </w:r>
      <w:r w:rsidRPr="00F63C31">
        <w:rPr>
          <w:b w:val="0"/>
          <w:bCs w:val="0"/>
          <w:i/>
          <w:iCs/>
          <w:sz w:val="22"/>
          <w:szCs w:val="22"/>
        </w:rPr>
        <w:t xml:space="preserve"> The process of reasoning is integrated with credibility and reliability being assessed, not in isolation, but in the light of the proven facts and the probabilities.</w:t>
      </w:r>
      <w:r w:rsidR="007A1A19">
        <w:rPr>
          <w:rStyle w:val="FootnoteReference"/>
          <w:b w:val="0"/>
          <w:bCs w:val="0"/>
          <w:i/>
          <w:iCs/>
          <w:sz w:val="22"/>
          <w:szCs w:val="22"/>
        </w:rPr>
        <w:footnoteReference w:id="5"/>
      </w:r>
      <w:r w:rsidRPr="00F63C31">
        <w:rPr>
          <w:b w:val="0"/>
          <w:bCs w:val="0"/>
          <w:i/>
          <w:iCs/>
          <w:sz w:val="22"/>
          <w:szCs w:val="22"/>
        </w:rPr>
        <w:t xml:space="preserve"> The final step is to determine whether the party burdened with the onus of proof has discharged it</w:t>
      </w:r>
      <w:r w:rsidRPr="00F63C31">
        <w:rPr>
          <w:b w:val="0"/>
          <w:bCs w:val="0"/>
        </w:rPr>
        <w:t>.</w:t>
      </w:r>
      <w:r>
        <w:rPr>
          <w:b w:val="0"/>
          <w:bCs w:val="0"/>
        </w:rPr>
        <w:t>”</w:t>
      </w:r>
    </w:p>
    <w:p w14:paraId="7B91F8F0" w14:textId="29B42D86" w:rsidR="004B60E0" w:rsidRDefault="001D5FD8" w:rsidP="001D5FD8">
      <w:pPr>
        <w:pStyle w:val="BodyText"/>
        <w:spacing w:after="0"/>
        <w:ind w:left="822" w:hanging="822"/>
        <w:rPr>
          <w:b w:val="0"/>
          <w:bCs w:val="0"/>
        </w:rPr>
        <w:pPrChange w:id="79" w:author="Graeme Rennie" w:date="2021-11-24T13:14:00Z">
          <w:pPr>
            <w:pStyle w:val="BodyText"/>
            <w:numPr>
              <w:numId w:val="2"/>
            </w:numPr>
            <w:spacing w:after="0"/>
            <w:ind w:left="822" w:hanging="822"/>
          </w:pPr>
        </w:pPrChange>
      </w:pPr>
      <w:r>
        <w:rPr>
          <w:b w:val="0"/>
          <w:bCs w:val="0"/>
        </w:rPr>
        <w:t>[37]</w:t>
      </w:r>
      <w:r>
        <w:rPr>
          <w:b w:val="0"/>
          <w:bCs w:val="0"/>
        </w:rPr>
        <w:tab/>
      </w:r>
      <w:r w:rsidR="004F461C">
        <w:rPr>
          <w:b w:val="0"/>
          <w:bCs w:val="0"/>
        </w:rPr>
        <w:t>T</w:t>
      </w:r>
      <w:r w:rsidR="004B60E0">
        <w:rPr>
          <w:b w:val="0"/>
          <w:bCs w:val="0"/>
        </w:rPr>
        <w:t xml:space="preserve">he full bench judgment by Van der Linde J (Manamela AJ concurring) in </w:t>
      </w:r>
      <w:bookmarkStart w:id="80" w:name="_Hlk83280745"/>
      <w:r w:rsidR="004B60E0" w:rsidRPr="004B60E0">
        <w:rPr>
          <w:b w:val="0"/>
          <w:bCs w:val="0"/>
          <w:i/>
          <w:iCs/>
        </w:rPr>
        <w:t>South African Bank of Athens v 24 Hour Cash CC</w:t>
      </w:r>
      <w:r w:rsidR="004B60E0" w:rsidRPr="004B60E0">
        <w:rPr>
          <w:b w:val="0"/>
          <w:bCs w:val="0"/>
        </w:rPr>
        <w:t xml:space="preserve"> </w:t>
      </w:r>
      <w:r w:rsidR="006A773C" w:rsidRPr="006A773C">
        <w:rPr>
          <w:b w:val="0"/>
          <w:bCs w:val="0"/>
        </w:rPr>
        <w:t xml:space="preserve">(A3027/2016) </w:t>
      </w:r>
      <w:r w:rsidR="004B60E0" w:rsidRPr="004B60E0">
        <w:rPr>
          <w:b w:val="0"/>
          <w:bCs w:val="0"/>
        </w:rPr>
        <w:t>[2016] ZAGPJHC 217</w:t>
      </w:r>
      <w:r w:rsidR="006A773C" w:rsidRPr="006A773C">
        <w:t xml:space="preserve"> </w:t>
      </w:r>
      <w:r w:rsidR="006A773C" w:rsidRPr="006A773C">
        <w:rPr>
          <w:b w:val="0"/>
          <w:bCs w:val="0"/>
        </w:rPr>
        <w:t>(11 August 2016)</w:t>
      </w:r>
      <w:r w:rsidR="004B60E0">
        <w:rPr>
          <w:b w:val="0"/>
          <w:bCs w:val="0"/>
        </w:rPr>
        <w:t xml:space="preserve"> should be referred to as well. The court, with reference to </w:t>
      </w:r>
      <w:r w:rsidR="004B60E0" w:rsidRPr="004B60E0">
        <w:rPr>
          <w:b w:val="0"/>
          <w:bCs w:val="0"/>
          <w:i/>
          <w:iCs/>
        </w:rPr>
        <w:t>Selamolele v Makhado</w:t>
      </w:r>
      <w:r w:rsidR="004B60E0" w:rsidRPr="004B60E0">
        <w:rPr>
          <w:b w:val="0"/>
          <w:bCs w:val="0"/>
        </w:rPr>
        <w:t xml:space="preserve"> </w:t>
      </w:r>
      <w:bookmarkEnd w:id="80"/>
      <w:r w:rsidR="004B60E0" w:rsidRPr="004B60E0">
        <w:rPr>
          <w:b w:val="0"/>
          <w:bCs w:val="0"/>
        </w:rPr>
        <w:t>1988 (2) SA 372 (V)</w:t>
      </w:r>
      <w:r w:rsidR="004B60E0">
        <w:rPr>
          <w:b w:val="0"/>
          <w:bCs w:val="0"/>
        </w:rPr>
        <w:t xml:space="preserve"> at 374 on the assessment of evidence</w:t>
      </w:r>
      <w:r w:rsidR="004F461C">
        <w:rPr>
          <w:b w:val="0"/>
          <w:bCs w:val="0"/>
        </w:rPr>
        <w:t>,</w:t>
      </w:r>
      <w:r w:rsidR="004B60E0">
        <w:rPr>
          <w:b w:val="0"/>
          <w:bCs w:val="0"/>
        </w:rPr>
        <w:t xml:space="preserve"> the discharging of the burden of proof, and the </w:t>
      </w:r>
      <w:r w:rsidR="004B60E0" w:rsidRPr="004B60E0">
        <w:rPr>
          <w:b w:val="0"/>
          <w:bCs w:val="0"/>
          <w:i/>
          <w:iCs/>
        </w:rPr>
        <w:t>Stellenbosch Farmers' Winery</w:t>
      </w:r>
      <w:r w:rsidR="004B60E0">
        <w:rPr>
          <w:b w:val="0"/>
          <w:bCs w:val="0"/>
        </w:rPr>
        <w:t xml:space="preserve"> judgment</w:t>
      </w:r>
      <w:r w:rsidR="0044167A">
        <w:rPr>
          <w:b w:val="0"/>
          <w:bCs w:val="0"/>
        </w:rPr>
        <w:t>,</w:t>
      </w:r>
      <w:r w:rsidR="004F461C">
        <w:rPr>
          <w:rStyle w:val="FootnoteReference"/>
          <w:b w:val="0"/>
          <w:bCs w:val="0"/>
        </w:rPr>
        <w:footnoteReference w:id="6"/>
      </w:r>
      <w:r w:rsidR="0044167A">
        <w:rPr>
          <w:b w:val="0"/>
          <w:bCs w:val="0"/>
        </w:rPr>
        <w:t xml:space="preserve"> held in paragraph 11:</w:t>
      </w:r>
    </w:p>
    <w:p w14:paraId="6BD5842A" w14:textId="1333D378" w:rsidR="0044167A" w:rsidRPr="0044167A" w:rsidRDefault="0044167A" w:rsidP="0044167A">
      <w:pPr>
        <w:pStyle w:val="BodyText"/>
        <w:spacing w:after="0" w:line="276" w:lineRule="auto"/>
        <w:ind w:left="1440"/>
        <w:rPr>
          <w:b w:val="0"/>
          <w:bCs w:val="0"/>
          <w:i/>
          <w:iCs/>
          <w:sz w:val="22"/>
          <w:szCs w:val="22"/>
        </w:rPr>
      </w:pPr>
      <w:r>
        <w:rPr>
          <w:b w:val="0"/>
          <w:bCs w:val="0"/>
        </w:rPr>
        <w:t>“</w:t>
      </w:r>
      <w:r w:rsidRPr="0044167A">
        <w:rPr>
          <w:b w:val="0"/>
          <w:bCs w:val="0"/>
          <w:i/>
          <w:iCs/>
          <w:sz w:val="22"/>
          <w:szCs w:val="22"/>
          <w:u w:val="single"/>
        </w:rPr>
        <w:t>Assessing the evidence</w:t>
      </w:r>
    </w:p>
    <w:p w14:paraId="79DBAD3D" w14:textId="5EA423AA" w:rsidR="004B60E0" w:rsidRDefault="0044167A" w:rsidP="0044167A">
      <w:pPr>
        <w:pStyle w:val="BodyText"/>
        <w:spacing w:line="276" w:lineRule="auto"/>
        <w:ind w:left="2160" w:hanging="720"/>
        <w:rPr>
          <w:b w:val="0"/>
          <w:bCs w:val="0"/>
        </w:rPr>
      </w:pPr>
      <w:r w:rsidRPr="0044167A">
        <w:rPr>
          <w:b w:val="0"/>
          <w:bCs w:val="0"/>
          <w:i/>
          <w:iCs/>
          <w:sz w:val="22"/>
          <w:szCs w:val="22"/>
        </w:rPr>
        <w:t>[11]</w:t>
      </w:r>
      <w:r w:rsidRPr="0044167A">
        <w:rPr>
          <w:b w:val="0"/>
          <w:bCs w:val="0"/>
          <w:i/>
          <w:iCs/>
          <w:sz w:val="22"/>
          <w:szCs w:val="22"/>
        </w:rPr>
        <w:tab/>
        <w:t xml:space="preserve">One takes from these dicta then the cue that where versions collide, the three aspects of </w:t>
      </w:r>
      <w:bookmarkStart w:id="81" w:name="_Hlk85467177"/>
      <w:r w:rsidRPr="0044167A">
        <w:rPr>
          <w:b w:val="0"/>
          <w:bCs w:val="0"/>
          <w:i/>
          <w:iCs/>
          <w:sz w:val="22"/>
          <w:szCs w:val="22"/>
        </w:rPr>
        <w:t xml:space="preserve">credibility, reliability and probability </w:t>
      </w:r>
      <w:bookmarkEnd w:id="81"/>
      <w:r w:rsidRPr="0044167A">
        <w:rPr>
          <w:b w:val="0"/>
          <w:bCs w:val="0"/>
          <w:i/>
          <w:iCs/>
          <w:sz w:val="22"/>
          <w:szCs w:val="22"/>
        </w:rPr>
        <w:t>are intermixed, and all three must be examined. This endeavour is not to be equated with box-ticking; the constituent parts of the exercise are indicated merely to underscore the breadth of the field to be covered. The focal point of the exercise remains to find the truth of what had happened; these considerations are markers along the way</w:t>
      </w:r>
      <w:r w:rsidRPr="0044167A">
        <w:rPr>
          <w:b w:val="0"/>
          <w:bCs w:val="0"/>
        </w:rPr>
        <w:t>.</w:t>
      </w:r>
      <w:r>
        <w:rPr>
          <w:b w:val="0"/>
          <w:bCs w:val="0"/>
        </w:rPr>
        <w:t>”</w:t>
      </w:r>
    </w:p>
    <w:p w14:paraId="57E37AFD" w14:textId="2063A4C0" w:rsidR="00166754" w:rsidRPr="0063494C" w:rsidRDefault="001D5FD8" w:rsidP="001D5FD8">
      <w:pPr>
        <w:ind w:left="822" w:hanging="822"/>
        <w:pPrChange w:id="82" w:author="Graeme Rennie" w:date="2021-11-24T13:14:00Z">
          <w:pPr>
            <w:pStyle w:val="ListParagraph"/>
            <w:numPr>
              <w:numId w:val="2"/>
            </w:numPr>
            <w:ind w:left="822" w:hanging="822"/>
          </w:pPr>
        </w:pPrChange>
      </w:pPr>
      <w:r w:rsidRPr="0063494C">
        <w:rPr>
          <w:rFonts w:ascii="Arial" w:hAnsi="Arial" w:cs="Arial"/>
          <w:sz w:val="24"/>
          <w:szCs w:val="24"/>
        </w:rPr>
        <w:t>[38]</w:t>
      </w:r>
      <w:r w:rsidRPr="0063494C">
        <w:rPr>
          <w:rFonts w:ascii="Arial" w:hAnsi="Arial" w:cs="Arial"/>
          <w:sz w:val="24"/>
          <w:szCs w:val="24"/>
        </w:rPr>
        <w:tab/>
      </w:r>
      <w:r w:rsidR="004F461C">
        <w:t>It is trite that the wider probabilities stand central in the assessment of evidence. This calls for assessment of the evidence against the underlying probabilities, more so than as to the manner in which the evidence is delivered.</w:t>
      </w:r>
      <w:r w:rsidR="004F461C">
        <w:rPr>
          <w:rStyle w:val="FootnoteReference"/>
        </w:rPr>
        <w:footnoteReference w:id="7"/>
      </w:r>
      <w:r w:rsidR="004F461C">
        <w:t xml:space="preserve"> Amongst the </w:t>
      </w:r>
      <w:r w:rsidR="004F461C" w:rsidRPr="004F461C">
        <w:t>three matters, credibility, reliability and probability, probability often prevails.</w:t>
      </w:r>
    </w:p>
    <w:p w14:paraId="112D1E69" w14:textId="79C3E696" w:rsidR="004B0883" w:rsidRPr="0063494C" w:rsidRDefault="001D5FD8" w:rsidP="001D5FD8">
      <w:pPr>
        <w:pStyle w:val="BodyText"/>
        <w:ind w:left="822" w:hanging="822"/>
        <w:rPr>
          <w:b w:val="0"/>
          <w:bCs w:val="0"/>
        </w:rPr>
        <w:pPrChange w:id="84" w:author="Graeme Rennie" w:date="2021-11-24T13:14:00Z">
          <w:pPr>
            <w:pStyle w:val="BodyText"/>
            <w:numPr>
              <w:numId w:val="2"/>
            </w:numPr>
            <w:ind w:left="822" w:hanging="822"/>
          </w:pPr>
        </w:pPrChange>
      </w:pPr>
      <w:r w:rsidRPr="0063494C">
        <w:rPr>
          <w:b w:val="0"/>
          <w:bCs w:val="0"/>
        </w:rPr>
        <w:lastRenderedPageBreak/>
        <w:t>[39]</w:t>
      </w:r>
      <w:r w:rsidRPr="0063494C">
        <w:rPr>
          <w:b w:val="0"/>
          <w:bCs w:val="0"/>
        </w:rPr>
        <w:tab/>
      </w:r>
      <w:r w:rsidR="007061BC" w:rsidRPr="007061BC">
        <w:rPr>
          <w:b w:val="0"/>
          <w:bCs w:val="0"/>
        </w:rPr>
        <w:t xml:space="preserve">Against this background, </w:t>
      </w:r>
      <w:r w:rsidR="004B0883">
        <w:rPr>
          <w:b w:val="0"/>
          <w:bCs w:val="0"/>
        </w:rPr>
        <w:t xml:space="preserve">I first need to address what is admissible evidence, before I </w:t>
      </w:r>
      <w:r w:rsidR="00BE78B0">
        <w:rPr>
          <w:b w:val="0"/>
          <w:bCs w:val="0"/>
        </w:rPr>
        <w:t xml:space="preserve">inadvertently </w:t>
      </w:r>
      <w:r w:rsidR="004B0883">
        <w:rPr>
          <w:b w:val="0"/>
          <w:bCs w:val="0"/>
        </w:rPr>
        <w:t>put the cart before the horse in assessing evidential weigh.</w:t>
      </w:r>
      <w:r w:rsidR="004B0883">
        <w:rPr>
          <w:rStyle w:val="FootnoteReference"/>
          <w:b w:val="0"/>
          <w:bCs w:val="0"/>
        </w:rPr>
        <w:footnoteReference w:id="8"/>
      </w:r>
      <w:r w:rsidR="004B0883">
        <w:rPr>
          <w:b w:val="0"/>
          <w:bCs w:val="0"/>
        </w:rPr>
        <w:t xml:space="preserve"> </w:t>
      </w:r>
    </w:p>
    <w:p w14:paraId="13782DEE" w14:textId="26B7F1CC" w:rsidR="00632A05" w:rsidRDefault="001D5FD8" w:rsidP="001D5FD8">
      <w:pPr>
        <w:pStyle w:val="BodyText"/>
        <w:ind w:left="822" w:hanging="822"/>
        <w:rPr>
          <w:b w:val="0"/>
          <w:bCs w:val="0"/>
        </w:rPr>
        <w:pPrChange w:id="85" w:author="Graeme Rennie" w:date="2021-11-24T13:14:00Z">
          <w:pPr>
            <w:pStyle w:val="BodyText"/>
            <w:numPr>
              <w:numId w:val="2"/>
            </w:numPr>
            <w:ind w:left="822" w:hanging="822"/>
          </w:pPr>
        </w:pPrChange>
      </w:pPr>
      <w:r>
        <w:rPr>
          <w:b w:val="0"/>
          <w:bCs w:val="0"/>
        </w:rPr>
        <w:t>[40]</w:t>
      </w:r>
      <w:r>
        <w:rPr>
          <w:b w:val="0"/>
          <w:bCs w:val="0"/>
        </w:rPr>
        <w:tab/>
      </w:r>
      <w:r w:rsidR="004D6B2F">
        <w:rPr>
          <w:b w:val="0"/>
          <w:bCs w:val="0"/>
        </w:rPr>
        <w:t xml:space="preserve">The </w:t>
      </w:r>
      <w:r w:rsidR="007061BC">
        <w:rPr>
          <w:b w:val="0"/>
          <w:bCs w:val="0"/>
        </w:rPr>
        <w:t xml:space="preserve">plaintiff testified that the persons who arrested him </w:t>
      </w:r>
      <w:r w:rsidR="004D6B2F">
        <w:rPr>
          <w:b w:val="0"/>
          <w:bCs w:val="0"/>
        </w:rPr>
        <w:t xml:space="preserve">introduced themselves as police officers. </w:t>
      </w:r>
      <w:r w:rsidR="007061BC">
        <w:rPr>
          <w:b w:val="0"/>
          <w:bCs w:val="0"/>
        </w:rPr>
        <w:t>T</w:t>
      </w:r>
      <w:r w:rsidR="004D6B2F">
        <w:rPr>
          <w:b w:val="0"/>
          <w:bCs w:val="0"/>
        </w:rPr>
        <w:t xml:space="preserve">he evidence is hearsay evidence. See section 3(4) of </w:t>
      </w:r>
      <w:r w:rsidR="006F661A">
        <w:rPr>
          <w:b w:val="0"/>
          <w:bCs w:val="0"/>
        </w:rPr>
        <w:t xml:space="preserve">the </w:t>
      </w:r>
      <w:r w:rsidR="004D6B2F" w:rsidRPr="007061BC">
        <w:rPr>
          <w:b w:val="0"/>
          <w:bCs w:val="0"/>
          <w:i/>
        </w:rPr>
        <w:t xml:space="preserve">Law of Evidence Amendment Act </w:t>
      </w:r>
      <w:r w:rsidR="004D6B2F" w:rsidRPr="004D6B2F">
        <w:rPr>
          <w:b w:val="0"/>
          <w:bCs w:val="0"/>
        </w:rPr>
        <w:t>45 of 1988</w:t>
      </w:r>
      <w:r w:rsidR="004D6B2F">
        <w:rPr>
          <w:b w:val="0"/>
          <w:bCs w:val="0"/>
        </w:rPr>
        <w:t xml:space="preserve">, the </w:t>
      </w:r>
      <w:r w:rsidR="004D6B2F" w:rsidRPr="004D6B2F">
        <w:rPr>
          <w:b w:val="0"/>
          <w:bCs w:val="0"/>
        </w:rPr>
        <w:t xml:space="preserve">probative value of </w:t>
      </w:r>
      <w:r w:rsidR="004D6B2F">
        <w:rPr>
          <w:b w:val="0"/>
          <w:bCs w:val="0"/>
        </w:rPr>
        <w:t xml:space="preserve">the evidence </w:t>
      </w:r>
      <w:r w:rsidR="004D6B2F" w:rsidRPr="004D6B2F">
        <w:rPr>
          <w:b w:val="0"/>
          <w:bCs w:val="0"/>
        </w:rPr>
        <w:t xml:space="preserve">depends upon the credibility of </w:t>
      </w:r>
      <w:r w:rsidR="004D6B2F">
        <w:rPr>
          <w:b w:val="0"/>
          <w:bCs w:val="0"/>
        </w:rPr>
        <w:t>a</w:t>
      </w:r>
      <w:r w:rsidR="004D6B2F" w:rsidRPr="004D6B2F">
        <w:rPr>
          <w:b w:val="0"/>
          <w:bCs w:val="0"/>
        </w:rPr>
        <w:t xml:space="preserve"> person other than the </w:t>
      </w:r>
      <w:r w:rsidR="002C7C49">
        <w:rPr>
          <w:b w:val="0"/>
          <w:bCs w:val="0"/>
        </w:rPr>
        <w:t>plaintiff</w:t>
      </w:r>
      <w:r w:rsidR="004D6B2F" w:rsidRPr="004D6B2F">
        <w:rPr>
          <w:b w:val="0"/>
          <w:bCs w:val="0"/>
        </w:rPr>
        <w:t xml:space="preserve"> giving such evidence</w:t>
      </w:r>
      <w:r w:rsidR="002C7C49">
        <w:rPr>
          <w:b w:val="0"/>
          <w:bCs w:val="0"/>
        </w:rPr>
        <w:t xml:space="preserve">. See too </w:t>
      </w:r>
      <w:r w:rsidR="002C7C49" w:rsidRPr="006C3107">
        <w:rPr>
          <w:b w:val="0"/>
          <w:bCs w:val="0"/>
          <w:i/>
          <w:iCs/>
        </w:rPr>
        <w:t>Van Niekerk v Van Den Berg</w:t>
      </w:r>
      <w:r w:rsidR="002C7C49" w:rsidRPr="002C7C49">
        <w:rPr>
          <w:b w:val="0"/>
          <w:bCs w:val="0"/>
        </w:rPr>
        <w:t xml:space="preserve"> 1965 (2) SA 525 (A)</w:t>
      </w:r>
      <w:r w:rsidR="006C3107">
        <w:rPr>
          <w:b w:val="0"/>
          <w:bCs w:val="0"/>
        </w:rPr>
        <w:t xml:space="preserve"> at 537G, an averment by an alleged agent does not prove agency as against the alleged principal in a contractual setting. In a delictual setting, where vicarious liability of an employer is in issue, the same principle will apply. </w:t>
      </w:r>
    </w:p>
    <w:p w14:paraId="3E4D508F" w14:textId="2D796F84" w:rsidR="00632A05" w:rsidRPr="006F661A" w:rsidRDefault="001D5FD8" w:rsidP="001D5FD8">
      <w:pPr>
        <w:pStyle w:val="BodyText"/>
        <w:ind w:left="822" w:hanging="822"/>
        <w:rPr>
          <w:b w:val="0"/>
          <w:bCs w:val="0"/>
        </w:rPr>
        <w:pPrChange w:id="86" w:author="Graeme Rennie" w:date="2021-11-24T13:14:00Z">
          <w:pPr>
            <w:pStyle w:val="BodyText"/>
            <w:numPr>
              <w:numId w:val="2"/>
            </w:numPr>
            <w:ind w:left="822" w:hanging="822"/>
          </w:pPr>
        </w:pPrChange>
      </w:pPr>
      <w:r w:rsidRPr="006F661A">
        <w:rPr>
          <w:b w:val="0"/>
          <w:bCs w:val="0"/>
        </w:rPr>
        <w:t>[41]</w:t>
      </w:r>
      <w:r w:rsidRPr="006F661A">
        <w:rPr>
          <w:b w:val="0"/>
          <w:bCs w:val="0"/>
        </w:rPr>
        <w:tab/>
      </w:r>
      <w:r w:rsidR="006F661A">
        <w:rPr>
          <w:b w:val="0"/>
          <w:bCs w:val="0"/>
        </w:rPr>
        <w:t xml:space="preserve">No request was made that I should allow the evidence under section 3(1)(c) of </w:t>
      </w:r>
      <w:r w:rsidR="006F661A" w:rsidRPr="006F661A">
        <w:rPr>
          <w:b w:val="0"/>
          <w:bCs w:val="0"/>
        </w:rPr>
        <w:t xml:space="preserve">the </w:t>
      </w:r>
      <w:r w:rsidR="006F661A" w:rsidRPr="003638C0">
        <w:rPr>
          <w:b w:val="0"/>
          <w:bCs w:val="0"/>
          <w:iCs/>
        </w:rPr>
        <w:t>Law of Evidence Amendment Act</w:t>
      </w:r>
      <w:r w:rsidR="006F661A">
        <w:rPr>
          <w:b w:val="0"/>
          <w:bCs w:val="0"/>
        </w:rPr>
        <w:t xml:space="preserve">. </w:t>
      </w:r>
      <w:r w:rsidR="006F661A" w:rsidRPr="006F661A">
        <w:rPr>
          <w:b w:val="0"/>
          <w:bCs w:val="0"/>
        </w:rPr>
        <w:t>Even if I were to allow the evidence</w:t>
      </w:r>
      <w:r w:rsidR="006F661A">
        <w:rPr>
          <w:b w:val="0"/>
          <w:bCs w:val="0"/>
        </w:rPr>
        <w:t>, it would be of very low probative value to prove the appointment of the arresting persons as police officers. In my view, the evidence is inadmissible to prove the actual appointment of the persons who arrested and tortured the plaintiff. I approach the assessment of the evidence on this basis and in the alternative</w:t>
      </w:r>
      <w:r w:rsidR="00F81B6A">
        <w:rPr>
          <w:b w:val="0"/>
          <w:bCs w:val="0"/>
        </w:rPr>
        <w:t>,</w:t>
      </w:r>
      <w:r w:rsidR="006F661A">
        <w:rPr>
          <w:b w:val="0"/>
          <w:bCs w:val="0"/>
        </w:rPr>
        <w:t xml:space="preserve"> on the basis that I ought to have allowed the evidence</w:t>
      </w:r>
      <w:r w:rsidR="004D045F">
        <w:rPr>
          <w:b w:val="0"/>
          <w:bCs w:val="0"/>
        </w:rPr>
        <w:t>, but should give it a low weight</w:t>
      </w:r>
      <w:r w:rsidR="006F661A">
        <w:rPr>
          <w:b w:val="0"/>
          <w:bCs w:val="0"/>
        </w:rPr>
        <w:t xml:space="preserve">. </w:t>
      </w:r>
      <w:r w:rsidR="007061BC">
        <w:rPr>
          <w:b w:val="0"/>
          <w:bCs w:val="0"/>
        </w:rPr>
        <w:t>The outcome is the same.</w:t>
      </w:r>
    </w:p>
    <w:p w14:paraId="2079FBA0" w14:textId="7ADDE3CF" w:rsidR="003B313B" w:rsidRDefault="001D5FD8" w:rsidP="001D5FD8">
      <w:pPr>
        <w:pStyle w:val="BodyText"/>
        <w:ind w:left="822" w:hanging="822"/>
        <w:rPr>
          <w:b w:val="0"/>
          <w:bCs w:val="0"/>
        </w:rPr>
        <w:pPrChange w:id="87" w:author="Graeme Rennie" w:date="2021-11-24T13:14:00Z">
          <w:pPr>
            <w:pStyle w:val="BodyText"/>
            <w:numPr>
              <w:numId w:val="2"/>
            </w:numPr>
            <w:ind w:left="822" w:hanging="822"/>
          </w:pPr>
        </w:pPrChange>
      </w:pPr>
      <w:r>
        <w:rPr>
          <w:b w:val="0"/>
          <w:bCs w:val="0"/>
        </w:rPr>
        <w:t>[42]</w:t>
      </w:r>
      <w:r>
        <w:rPr>
          <w:b w:val="0"/>
          <w:bCs w:val="0"/>
        </w:rPr>
        <w:tab/>
      </w:r>
      <w:r w:rsidR="00C91F4C">
        <w:rPr>
          <w:b w:val="0"/>
          <w:bCs w:val="0"/>
        </w:rPr>
        <w:t xml:space="preserve">At the </w:t>
      </w:r>
      <w:r w:rsidR="00262E21">
        <w:rPr>
          <w:b w:val="0"/>
          <w:bCs w:val="0"/>
        </w:rPr>
        <w:t>centre</w:t>
      </w:r>
      <w:r w:rsidR="001F101E">
        <w:rPr>
          <w:b w:val="0"/>
          <w:bCs w:val="0"/>
        </w:rPr>
        <w:t xml:space="preserve"> is </w:t>
      </w:r>
      <w:r w:rsidR="00C91F4C">
        <w:rPr>
          <w:b w:val="0"/>
          <w:bCs w:val="0"/>
        </w:rPr>
        <w:t xml:space="preserve">the question </w:t>
      </w:r>
      <w:r w:rsidR="00A26C5C">
        <w:rPr>
          <w:b w:val="0"/>
          <w:bCs w:val="0"/>
        </w:rPr>
        <w:t xml:space="preserve">of </w:t>
      </w:r>
      <w:r w:rsidR="00A60F7E">
        <w:rPr>
          <w:b w:val="0"/>
          <w:bCs w:val="0"/>
        </w:rPr>
        <w:t>whether</w:t>
      </w:r>
      <w:r w:rsidR="001F101E">
        <w:rPr>
          <w:b w:val="0"/>
          <w:bCs w:val="0"/>
        </w:rPr>
        <w:t xml:space="preserve"> the persons who arrested the plaintiff</w:t>
      </w:r>
      <w:r w:rsidR="00C91F4C">
        <w:rPr>
          <w:b w:val="0"/>
          <w:bCs w:val="0"/>
        </w:rPr>
        <w:t>,</w:t>
      </w:r>
      <w:r w:rsidR="001F101E">
        <w:rPr>
          <w:b w:val="0"/>
          <w:bCs w:val="0"/>
        </w:rPr>
        <w:t xml:space="preserve"> were police officers or not</w:t>
      </w:r>
      <w:r w:rsidR="004D045F">
        <w:rPr>
          <w:b w:val="0"/>
          <w:bCs w:val="0"/>
        </w:rPr>
        <w:t>:</w:t>
      </w:r>
    </w:p>
    <w:p w14:paraId="4EFC325A" w14:textId="0031357E" w:rsidR="001F101E" w:rsidRDefault="001D5FD8" w:rsidP="001D5FD8">
      <w:pPr>
        <w:pStyle w:val="BodyText"/>
        <w:tabs>
          <w:tab w:val="left" w:pos="1814"/>
        </w:tabs>
        <w:ind w:left="1814" w:hanging="992"/>
        <w:rPr>
          <w:b w:val="0"/>
          <w:bCs w:val="0"/>
        </w:rPr>
        <w:pPrChange w:id="88" w:author="Graeme Rennie" w:date="2021-11-24T13:14:00Z">
          <w:pPr>
            <w:pStyle w:val="BodyText"/>
            <w:numPr>
              <w:ilvl w:val="1"/>
              <w:numId w:val="2"/>
            </w:numPr>
            <w:tabs>
              <w:tab w:val="num" w:pos="1814"/>
            </w:tabs>
            <w:ind w:left="1814" w:hanging="992"/>
          </w:pPr>
        </w:pPrChange>
      </w:pPr>
      <w:r>
        <w:rPr>
          <w:rFonts w:cs="Times New Roman"/>
          <w:b w:val="0"/>
          <w:bCs w:val="0"/>
        </w:rPr>
        <w:t>[42.1]</w:t>
      </w:r>
      <w:r>
        <w:rPr>
          <w:rFonts w:cs="Times New Roman"/>
          <w:b w:val="0"/>
          <w:bCs w:val="0"/>
        </w:rPr>
        <w:tab/>
      </w:r>
      <w:r w:rsidR="001F101E">
        <w:rPr>
          <w:b w:val="0"/>
          <w:bCs w:val="0"/>
        </w:rPr>
        <w:t>On the evidence of Captain Cloete</w:t>
      </w:r>
      <w:r w:rsidR="00A60F7E">
        <w:rPr>
          <w:b w:val="0"/>
          <w:bCs w:val="0"/>
        </w:rPr>
        <w:t>,</w:t>
      </w:r>
      <w:r w:rsidR="001F101E">
        <w:rPr>
          <w:b w:val="0"/>
          <w:bCs w:val="0"/>
        </w:rPr>
        <w:t xml:space="preserve"> they were not. She was not involved in the arrest despite being the investigating officer, she had no leads, and the docket had been closed.</w:t>
      </w:r>
      <w:r w:rsidR="00C91F4C">
        <w:rPr>
          <w:b w:val="0"/>
          <w:bCs w:val="0"/>
        </w:rPr>
        <w:t xml:space="preserve"> She took a statement under oath from Mr Dube, added it to the docket, and in contemporaneous notes</w:t>
      </w:r>
      <w:r w:rsidR="00A60F7E">
        <w:rPr>
          <w:b w:val="0"/>
          <w:bCs w:val="0"/>
        </w:rPr>
        <w:t>,</w:t>
      </w:r>
      <w:r w:rsidR="00C91F4C">
        <w:rPr>
          <w:b w:val="0"/>
          <w:bCs w:val="0"/>
        </w:rPr>
        <w:t xml:space="preserve"> reflected that he was a private investigator. In order to be untrue, she had to have been part of an elaborate fraud. </w:t>
      </w:r>
      <w:r w:rsidR="00C91F4C">
        <w:rPr>
          <w:b w:val="0"/>
          <w:bCs w:val="0"/>
        </w:rPr>
        <w:lastRenderedPageBreak/>
        <w:t xml:space="preserve">No attempt was made to discredit her evidence as untrue, and there were no contradictions therein. </w:t>
      </w:r>
      <w:r w:rsidR="00262E21">
        <w:rPr>
          <w:b w:val="0"/>
          <w:bCs w:val="0"/>
        </w:rPr>
        <w:t>The investigation diary (and the existence of the affidavit by Mr Dube) seems to me to be solid proof of her version</w:t>
      </w:r>
      <w:r w:rsidR="00BB239D">
        <w:rPr>
          <w:b w:val="0"/>
          <w:bCs w:val="0"/>
        </w:rPr>
        <w:t>. Her evidence was reliable, credible and most importantly</w:t>
      </w:r>
      <w:r w:rsidR="00753BF1">
        <w:rPr>
          <w:b w:val="0"/>
          <w:bCs w:val="0"/>
        </w:rPr>
        <w:t>,</w:t>
      </w:r>
      <w:r w:rsidR="00BB239D">
        <w:rPr>
          <w:b w:val="0"/>
          <w:bCs w:val="0"/>
        </w:rPr>
        <w:t xml:space="preserve"> probable</w:t>
      </w:r>
      <w:r w:rsidR="004D045F">
        <w:rPr>
          <w:b w:val="0"/>
          <w:bCs w:val="0"/>
        </w:rPr>
        <w:t xml:space="preserve"> in light of a docket that was closed because there were no leads;</w:t>
      </w:r>
    </w:p>
    <w:p w14:paraId="59A5B640" w14:textId="6352F295" w:rsidR="00BE78B0" w:rsidRPr="00BE78B0" w:rsidRDefault="001D5FD8" w:rsidP="001D5FD8">
      <w:pPr>
        <w:pStyle w:val="BodyText"/>
        <w:tabs>
          <w:tab w:val="left" w:pos="1814"/>
        </w:tabs>
        <w:ind w:left="1814" w:hanging="992"/>
        <w:rPr>
          <w:b w:val="0"/>
          <w:bCs w:val="0"/>
        </w:rPr>
        <w:pPrChange w:id="89" w:author="Graeme Rennie" w:date="2021-11-24T13:14:00Z">
          <w:pPr>
            <w:pStyle w:val="BodyText"/>
            <w:numPr>
              <w:ilvl w:val="1"/>
              <w:numId w:val="2"/>
            </w:numPr>
            <w:tabs>
              <w:tab w:val="num" w:pos="1814"/>
            </w:tabs>
            <w:ind w:left="1814" w:hanging="992"/>
          </w:pPr>
        </w:pPrChange>
      </w:pPr>
      <w:r w:rsidRPr="00BE78B0">
        <w:rPr>
          <w:rFonts w:cs="Times New Roman"/>
          <w:b w:val="0"/>
          <w:bCs w:val="0"/>
        </w:rPr>
        <w:t>[42.2]</w:t>
      </w:r>
      <w:r w:rsidRPr="00BE78B0">
        <w:rPr>
          <w:rFonts w:cs="Times New Roman"/>
          <w:b w:val="0"/>
          <w:bCs w:val="0"/>
        </w:rPr>
        <w:tab/>
      </w:r>
      <w:r w:rsidR="00C91F4C">
        <w:rPr>
          <w:b w:val="0"/>
          <w:bCs w:val="0"/>
        </w:rPr>
        <w:t xml:space="preserve">Against this strong evidence, the plaintiff’s case is that he was arrested, </w:t>
      </w:r>
      <w:bookmarkStart w:id="90" w:name="_Hlk83226297"/>
      <w:r w:rsidR="00C91F4C">
        <w:rPr>
          <w:b w:val="0"/>
          <w:bCs w:val="0"/>
        </w:rPr>
        <w:t>the persons who arrested him carried guns and had handcuffs</w:t>
      </w:r>
      <w:r w:rsidR="007061BC">
        <w:rPr>
          <w:b w:val="0"/>
          <w:bCs w:val="0"/>
        </w:rPr>
        <w:t xml:space="preserve"> (</w:t>
      </w:r>
      <w:r w:rsidR="00C91F4C">
        <w:rPr>
          <w:b w:val="0"/>
          <w:bCs w:val="0"/>
        </w:rPr>
        <w:t>and told him that they were police officers</w:t>
      </w:r>
      <w:bookmarkEnd w:id="90"/>
      <w:r w:rsidR="007061BC">
        <w:rPr>
          <w:b w:val="0"/>
          <w:bCs w:val="0"/>
        </w:rPr>
        <w:t>)</w:t>
      </w:r>
      <w:r w:rsidR="00C91F4C">
        <w:rPr>
          <w:b w:val="0"/>
          <w:bCs w:val="0"/>
        </w:rPr>
        <w:t xml:space="preserve">. </w:t>
      </w:r>
      <w:r w:rsidR="008445C9" w:rsidRPr="008445C9">
        <w:rPr>
          <w:b w:val="0"/>
          <w:bCs w:val="0"/>
        </w:rPr>
        <w:t>The further facts that the plaintiff rel</w:t>
      </w:r>
      <w:r w:rsidR="00A60F7E">
        <w:rPr>
          <w:b w:val="0"/>
          <w:bCs w:val="0"/>
        </w:rPr>
        <w:t>ies</w:t>
      </w:r>
      <w:r w:rsidR="008445C9" w:rsidRPr="008445C9">
        <w:rPr>
          <w:b w:val="0"/>
          <w:bCs w:val="0"/>
        </w:rPr>
        <w:t xml:space="preserve"> upon are first</w:t>
      </w:r>
      <w:r w:rsidR="00A60F7E">
        <w:rPr>
          <w:b w:val="0"/>
          <w:bCs w:val="0"/>
        </w:rPr>
        <w:t>,</w:t>
      </w:r>
      <w:r w:rsidR="008445C9" w:rsidRPr="008445C9">
        <w:rPr>
          <w:b w:val="0"/>
          <w:bCs w:val="0"/>
        </w:rPr>
        <w:t xml:space="preserve"> that a notice of Constitutional rights was explained to the person</w:t>
      </w:r>
      <w:r w:rsidR="00A60F7E">
        <w:rPr>
          <w:b w:val="0"/>
          <w:bCs w:val="0"/>
        </w:rPr>
        <w:t>s</w:t>
      </w:r>
      <w:r w:rsidR="008445C9" w:rsidRPr="008445C9">
        <w:rPr>
          <w:b w:val="0"/>
          <w:bCs w:val="0"/>
        </w:rPr>
        <w:t xml:space="preserve"> who were also arrested during the night of his arrest by Mr Dube. (But Captain Cloete explained that it probably happened as it was done in isiZulu.) </w:t>
      </w:r>
      <w:r w:rsidR="003F4782">
        <w:rPr>
          <w:b w:val="0"/>
          <w:bCs w:val="0"/>
        </w:rPr>
        <w:t xml:space="preserve">I have little difficulty in accepting the </w:t>
      </w:r>
      <w:r w:rsidR="004D045F">
        <w:rPr>
          <w:b w:val="0"/>
          <w:bCs w:val="0"/>
        </w:rPr>
        <w:t xml:space="preserve">plaintiff’s </w:t>
      </w:r>
      <w:r w:rsidR="003F4782">
        <w:rPr>
          <w:b w:val="0"/>
          <w:bCs w:val="0"/>
        </w:rPr>
        <w:t>evidence about guns and handcuffs. It is probable that the arresting persons had such equipment</w:t>
      </w:r>
      <w:r w:rsidR="00124A7B">
        <w:rPr>
          <w:b w:val="0"/>
          <w:bCs w:val="0"/>
        </w:rPr>
        <w:t xml:space="preserve">, but it is equally probable that they were private individuals. </w:t>
      </w:r>
      <w:r w:rsidR="00124A7B" w:rsidRPr="00124A7B">
        <w:rPr>
          <w:b w:val="0"/>
          <w:bCs w:val="0"/>
        </w:rPr>
        <w:t>Ultimately, the test for the acceptance of circumstantial evidence is that the inference drawn from such facts must be consistent with the other proven facts, and that they must be the most reasonable inference (such as that the persons who arrested the plaintiff were police officers and not private individuals possibly pretending to be police officers).</w:t>
      </w:r>
      <w:r w:rsidR="00124A7B">
        <w:rPr>
          <w:b w:val="0"/>
          <w:bCs w:val="0"/>
        </w:rPr>
        <w:t xml:space="preserve"> S</w:t>
      </w:r>
      <w:r w:rsidR="00124A7B" w:rsidRPr="00124A7B">
        <w:rPr>
          <w:b w:val="0"/>
          <w:bCs w:val="0"/>
        </w:rPr>
        <w:t xml:space="preserve">ee </w:t>
      </w:r>
      <w:r w:rsidR="00124A7B" w:rsidRPr="00124A7B">
        <w:rPr>
          <w:b w:val="0"/>
          <w:bCs w:val="0"/>
          <w:i/>
          <w:iCs/>
        </w:rPr>
        <w:t>Macleod v Rens</w:t>
      </w:r>
      <w:r w:rsidR="00124A7B" w:rsidRPr="00124A7B">
        <w:rPr>
          <w:b w:val="0"/>
          <w:bCs w:val="0"/>
        </w:rPr>
        <w:t xml:space="preserve"> 1997 (3) SA 1039 (E) at 1049A-B, and </w:t>
      </w:r>
      <w:r w:rsidR="00124A7B" w:rsidRPr="00124A7B">
        <w:rPr>
          <w:b w:val="0"/>
          <w:bCs w:val="0"/>
          <w:i/>
          <w:iCs/>
        </w:rPr>
        <w:t>H Mohammed &amp; Associates v Buyeye</w:t>
      </w:r>
      <w:r w:rsidR="00124A7B" w:rsidRPr="00124A7B">
        <w:rPr>
          <w:b w:val="0"/>
          <w:bCs w:val="0"/>
        </w:rPr>
        <w:t xml:space="preserve"> 2005 (3) SA 122 (C) at 129D-F.</w:t>
      </w:r>
      <w:r w:rsidR="00BE78B0" w:rsidRPr="00BE78B0">
        <w:rPr>
          <w:b w:val="0"/>
          <w:bCs w:val="0"/>
        </w:rPr>
        <w:t xml:space="preserve"> I have greater difficulty in accepting that the persons who arrested the plaintiff told him that they were police officers (if I in error excluded the evidence as inadmissible hearsay evidence). I have referred to numerous instances where his evidence was in conflict with the version his attorneys used for the statutory notice and the pleadings, and in conflict with his affidavit. This places large question marks about the reliability and credibility of his evidence. The mere fact that the plaintiff testified on this issue, and no one testified to the contrary, does not necessarily make the evidence true. See </w:t>
      </w:r>
      <w:r w:rsidR="00BE78B0" w:rsidRPr="00BE78B0">
        <w:rPr>
          <w:b w:val="0"/>
          <w:bCs w:val="0"/>
          <w:i/>
          <w:iCs/>
        </w:rPr>
        <w:t>McDonald v Young</w:t>
      </w:r>
      <w:r w:rsidR="00BE78B0" w:rsidRPr="00BE78B0">
        <w:rPr>
          <w:b w:val="0"/>
          <w:bCs w:val="0"/>
        </w:rPr>
        <w:t xml:space="preserve"> 2012 (3) SA 1 (SCA) para 6-</w:t>
      </w:r>
      <w:r w:rsidR="00BE78B0" w:rsidRPr="00BE78B0">
        <w:rPr>
          <w:b w:val="0"/>
          <w:bCs w:val="0"/>
        </w:rPr>
        <w:lastRenderedPageBreak/>
        <w:t xml:space="preserve">7, and </w:t>
      </w:r>
      <w:r w:rsidR="00BE78B0" w:rsidRPr="00BE78B0">
        <w:rPr>
          <w:b w:val="0"/>
          <w:bCs w:val="0"/>
          <w:i/>
          <w:iCs/>
        </w:rPr>
        <w:t>Kentz (Pty) Limited v Power</w:t>
      </w:r>
      <w:r w:rsidR="00BE78B0" w:rsidRPr="00BE78B0">
        <w:rPr>
          <w:b w:val="0"/>
          <w:bCs w:val="0"/>
        </w:rPr>
        <w:t xml:space="preserve"> 2001 JDR 0448 (W) para 15-20, a judgment by Cloete J. But even if I should accept his evidence, an equally probable inference to be drawn from these facts is that the persons who arrested the plaintiff merely pretended to be police officers. </w:t>
      </w:r>
    </w:p>
    <w:p w14:paraId="5421626D" w14:textId="1ED81965" w:rsidR="00BD1D21" w:rsidRDefault="001D5FD8" w:rsidP="001D5FD8">
      <w:pPr>
        <w:pStyle w:val="BodyText"/>
        <w:ind w:left="822" w:hanging="822"/>
        <w:rPr>
          <w:b w:val="0"/>
          <w:bCs w:val="0"/>
        </w:rPr>
        <w:pPrChange w:id="91" w:author="Graeme Rennie" w:date="2021-11-24T13:14:00Z">
          <w:pPr>
            <w:pStyle w:val="BodyText"/>
            <w:numPr>
              <w:numId w:val="2"/>
            </w:numPr>
            <w:ind w:left="822" w:hanging="822"/>
          </w:pPr>
        </w:pPrChange>
      </w:pPr>
      <w:r>
        <w:rPr>
          <w:b w:val="0"/>
          <w:bCs w:val="0"/>
        </w:rPr>
        <w:t>[43]</w:t>
      </w:r>
      <w:r>
        <w:rPr>
          <w:b w:val="0"/>
          <w:bCs w:val="0"/>
        </w:rPr>
        <w:tab/>
      </w:r>
      <w:r w:rsidR="006D293B">
        <w:rPr>
          <w:b w:val="0"/>
          <w:bCs w:val="0"/>
        </w:rPr>
        <w:t xml:space="preserve">It may all well be an exercise in futility to consider </w:t>
      </w:r>
      <w:r w:rsidR="00124A7B">
        <w:rPr>
          <w:b w:val="0"/>
          <w:bCs w:val="0"/>
        </w:rPr>
        <w:t xml:space="preserve">in this case </w:t>
      </w:r>
      <w:r w:rsidR="006D293B">
        <w:rPr>
          <w:b w:val="0"/>
          <w:bCs w:val="0"/>
        </w:rPr>
        <w:t xml:space="preserve">if the circumstantial evidence </w:t>
      </w:r>
      <w:r w:rsidR="00262E21">
        <w:rPr>
          <w:b w:val="0"/>
          <w:bCs w:val="0"/>
        </w:rPr>
        <w:t xml:space="preserve">relied upon by the plaintiff </w:t>
      </w:r>
      <w:r w:rsidR="006D293B">
        <w:rPr>
          <w:b w:val="0"/>
          <w:bCs w:val="0"/>
        </w:rPr>
        <w:t>has been established, as in the end</w:t>
      </w:r>
      <w:r w:rsidR="00244D9E">
        <w:rPr>
          <w:b w:val="0"/>
          <w:bCs w:val="0"/>
        </w:rPr>
        <w:t>,</w:t>
      </w:r>
      <w:r w:rsidR="006D293B">
        <w:rPr>
          <w:b w:val="0"/>
          <w:bCs w:val="0"/>
        </w:rPr>
        <w:t xml:space="preserve"> the question is </w:t>
      </w:r>
      <w:r w:rsidR="006B4035">
        <w:rPr>
          <w:b w:val="0"/>
          <w:bCs w:val="0"/>
        </w:rPr>
        <w:t xml:space="preserve">whether </w:t>
      </w:r>
      <w:r w:rsidR="00BD1D21" w:rsidRPr="006D293B">
        <w:rPr>
          <w:b w:val="0"/>
          <w:bCs w:val="0"/>
        </w:rPr>
        <w:t xml:space="preserve">the plaintiff discharged the onus to prove that the persons who arrested him, were police officers. </w:t>
      </w:r>
      <w:r w:rsidR="006D293B">
        <w:rPr>
          <w:b w:val="0"/>
          <w:bCs w:val="0"/>
        </w:rPr>
        <w:t xml:space="preserve">The answer is “no”. </w:t>
      </w:r>
      <w:r w:rsidR="00262E21">
        <w:rPr>
          <w:b w:val="0"/>
          <w:bCs w:val="0"/>
        </w:rPr>
        <w:t xml:space="preserve">I have referred to </w:t>
      </w:r>
      <w:r w:rsidR="00262E21" w:rsidRPr="00262E21">
        <w:rPr>
          <w:b w:val="0"/>
          <w:bCs w:val="0"/>
          <w:i/>
          <w:iCs/>
        </w:rPr>
        <w:t>South African Bank of Athens v 24 Hour Cash CC</w:t>
      </w:r>
      <w:r w:rsidR="00262E21" w:rsidRPr="00262E21">
        <w:rPr>
          <w:b w:val="0"/>
          <w:bCs w:val="0"/>
        </w:rPr>
        <w:t xml:space="preserve"> </w:t>
      </w:r>
      <w:r w:rsidR="00262E21">
        <w:rPr>
          <w:b w:val="0"/>
          <w:bCs w:val="0"/>
        </w:rPr>
        <w:t>relying on</w:t>
      </w:r>
      <w:r w:rsidR="00262E21" w:rsidRPr="00262E21">
        <w:rPr>
          <w:b w:val="0"/>
          <w:bCs w:val="0"/>
        </w:rPr>
        <w:t xml:space="preserve"> </w:t>
      </w:r>
      <w:r w:rsidR="00262E21" w:rsidRPr="00262E21">
        <w:rPr>
          <w:b w:val="0"/>
          <w:bCs w:val="0"/>
          <w:i/>
          <w:iCs/>
        </w:rPr>
        <w:t>Selamolele v Makhado. In Selamolele v Makhado</w:t>
      </w:r>
      <w:r w:rsidR="00244D9E">
        <w:rPr>
          <w:b w:val="0"/>
          <w:bCs w:val="0"/>
          <w:i/>
          <w:iCs/>
        </w:rPr>
        <w:t xml:space="preserve"> </w:t>
      </w:r>
      <w:r w:rsidR="00244D9E" w:rsidRPr="003638C0">
        <w:rPr>
          <w:b w:val="0"/>
          <w:bCs w:val="0"/>
          <w:iCs/>
        </w:rPr>
        <w:t>(supra)</w:t>
      </w:r>
      <w:r w:rsidR="00244D9E">
        <w:rPr>
          <w:b w:val="0"/>
          <w:bCs w:val="0"/>
        </w:rPr>
        <w:t>,</w:t>
      </w:r>
      <w:r w:rsidR="00262E21" w:rsidRPr="003638C0">
        <w:rPr>
          <w:b w:val="0"/>
          <w:bCs w:val="0"/>
        </w:rPr>
        <w:t xml:space="preserve"> </w:t>
      </w:r>
      <w:r w:rsidR="00244D9E">
        <w:rPr>
          <w:b w:val="0"/>
          <w:bCs w:val="0"/>
        </w:rPr>
        <w:t>V</w:t>
      </w:r>
      <w:r w:rsidR="00262E21">
        <w:rPr>
          <w:b w:val="0"/>
          <w:bCs w:val="0"/>
        </w:rPr>
        <w:t>an der Spuy AJ held</w:t>
      </w:r>
      <w:r w:rsidR="00E3212D">
        <w:rPr>
          <w:b w:val="0"/>
          <w:bCs w:val="0"/>
        </w:rPr>
        <w:t xml:space="preserve"> at 374J-375D:</w:t>
      </w:r>
      <w:r w:rsidR="00E3212D">
        <w:rPr>
          <w:rStyle w:val="FootnoteReference"/>
          <w:b w:val="0"/>
          <w:bCs w:val="0"/>
        </w:rPr>
        <w:footnoteReference w:id="9"/>
      </w:r>
    </w:p>
    <w:p w14:paraId="72FE68CF" w14:textId="709A2BF0" w:rsidR="00E3212D" w:rsidRPr="00E3212D" w:rsidRDefault="00E3212D" w:rsidP="00E3212D">
      <w:pPr>
        <w:pStyle w:val="BodyText"/>
        <w:spacing w:line="276" w:lineRule="auto"/>
        <w:ind w:left="1440"/>
        <w:rPr>
          <w:b w:val="0"/>
          <w:bCs w:val="0"/>
          <w:i/>
          <w:iCs/>
          <w:sz w:val="22"/>
          <w:szCs w:val="22"/>
        </w:rPr>
      </w:pPr>
      <w:r>
        <w:rPr>
          <w:b w:val="0"/>
          <w:bCs w:val="0"/>
        </w:rPr>
        <w:t>“</w:t>
      </w:r>
      <w:r w:rsidRPr="00E3212D">
        <w:rPr>
          <w:b w:val="0"/>
          <w:bCs w:val="0"/>
          <w:i/>
          <w:iCs/>
          <w:sz w:val="22"/>
          <w:szCs w:val="22"/>
        </w:rPr>
        <w:t>Ultimately the question is whether the onus on the party, who asserts a state of facts, has been discharged on a balance of probabilities and this depends not on a mechanical quantitative balancing out of the pans of the scale of probabilities but, firstly, on a qualitative assessment of the truth and/or inherent probabilities of the evidence of the witnesses and, secondly, an ascertainment of which of two versions is the more probable. See Maitland and Kensington Bus Co (Pty) Ltd v Jennings 1940 CPD 489 at 492 where Davis J stated:</w:t>
      </w:r>
    </w:p>
    <w:p w14:paraId="2507B86C" w14:textId="14F4A8A1" w:rsidR="00E3212D" w:rsidRPr="00E3212D" w:rsidRDefault="00E3212D" w:rsidP="00E3212D">
      <w:pPr>
        <w:pStyle w:val="BodyText"/>
        <w:spacing w:line="276" w:lineRule="auto"/>
        <w:ind w:left="2160"/>
        <w:rPr>
          <w:b w:val="0"/>
          <w:bCs w:val="0"/>
          <w:i/>
          <w:iCs/>
          <w:sz w:val="22"/>
          <w:szCs w:val="22"/>
        </w:rPr>
      </w:pPr>
      <w:r w:rsidRPr="00E3212D">
        <w:rPr>
          <w:b w:val="0"/>
          <w:bCs w:val="0"/>
          <w:i/>
          <w:iCs/>
          <w:sz w:val="22"/>
          <w:szCs w:val="22"/>
        </w:rPr>
        <w:t xml:space="preserve">'For judgment to be given for the plaintiff the Court must be satisfied that sufficient reliance can be placed on his story for there to exist a </w:t>
      </w:r>
      <w:r w:rsidRPr="00E3212D">
        <w:rPr>
          <w:b w:val="0"/>
          <w:bCs w:val="0"/>
          <w:i/>
          <w:iCs/>
          <w:sz w:val="22"/>
          <w:szCs w:val="22"/>
          <w:u w:val="single"/>
        </w:rPr>
        <w:t>strong</w:t>
      </w:r>
      <w:r w:rsidRPr="00E3212D">
        <w:rPr>
          <w:b w:val="0"/>
          <w:bCs w:val="0"/>
          <w:i/>
          <w:iCs/>
          <w:sz w:val="22"/>
          <w:szCs w:val="22"/>
        </w:rPr>
        <w:t xml:space="preserve"> probability that his version is the true one.'</w:t>
      </w:r>
    </w:p>
    <w:p w14:paraId="343ADE61" w14:textId="77777777" w:rsidR="00E3212D" w:rsidRPr="00E3212D" w:rsidRDefault="00E3212D" w:rsidP="00E3212D">
      <w:pPr>
        <w:pStyle w:val="BodyText"/>
        <w:spacing w:line="276" w:lineRule="auto"/>
        <w:ind w:left="1440"/>
        <w:rPr>
          <w:b w:val="0"/>
          <w:bCs w:val="0"/>
          <w:i/>
          <w:iCs/>
          <w:sz w:val="22"/>
          <w:szCs w:val="22"/>
        </w:rPr>
      </w:pPr>
      <w:r w:rsidRPr="00E3212D">
        <w:rPr>
          <w:b w:val="0"/>
          <w:bCs w:val="0"/>
          <w:i/>
          <w:iCs/>
          <w:sz w:val="22"/>
          <w:szCs w:val="22"/>
        </w:rPr>
        <w:t>(Italicised by me.) As pointed out by Clayden J. in International Tobacco Co (SA) Ltd v United Tobacco Co (South) Ltd (1) 1955 (2) SA 1 (W) at 13 - 14:</w:t>
      </w:r>
    </w:p>
    <w:p w14:paraId="5171EC3B" w14:textId="2FC1EDF8" w:rsidR="00E3212D" w:rsidRPr="00E3212D" w:rsidRDefault="00E3212D" w:rsidP="00E3212D">
      <w:pPr>
        <w:pStyle w:val="BodyText"/>
        <w:spacing w:line="276" w:lineRule="auto"/>
        <w:ind w:left="2160"/>
        <w:rPr>
          <w:b w:val="0"/>
          <w:bCs w:val="0"/>
          <w:i/>
          <w:iCs/>
          <w:sz w:val="22"/>
          <w:szCs w:val="22"/>
        </w:rPr>
      </w:pPr>
      <w:r w:rsidRPr="00E3212D">
        <w:rPr>
          <w:b w:val="0"/>
          <w:bCs w:val="0"/>
          <w:i/>
          <w:iCs/>
          <w:sz w:val="22"/>
          <w:szCs w:val="22"/>
        </w:rPr>
        <w:t>'Though a "strong probability" may be less than "absolute reliance" it seems with respect that an unnecessary adjective has been introduced.'</w:t>
      </w:r>
    </w:p>
    <w:p w14:paraId="1A8067BB" w14:textId="6238A5FA" w:rsidR="00E3212D" w:rsidRPr="00E3212D" w:rsidRDefault="00E3212D" w:rsidP="00E3212D">
      <w:pPr>
        <w:pStyle w:val="BodyText"/>
        <w:spacing w:line="276" w:lineRule="auto"/>
        <w:ind w:left="1440"/>
        <w:rPr>
          <w:b w:val="0"/>
          <w:bCs w:val="0"/>
          <w:i/>
          <w:iCs/>
          <w:sz w:val="22"/>
          <w:szCs w:val="22"/>
        </w:rPr>
      </w:pPr>
      <w:r w:rsidRPr="00E3212D">
        <w:rPr>
          <w:b w:val="0"/>
          <w:bCs w:val="0"/>
          <w:i/>
          <w:iCs/>
          <w:sz w:val="22"/>
          <w:szCs w:val="22"/>
        </w:rPr>
        <w:t>It would therefore be correct for me to say that in order to give judgment for plaintiff I must be satisfied on adequate grounds that sufficient reliance can be placed on the story of the plaintiff and his witnesses, showing that their version is more probable than that of the defendant. But one still has to go through the process of considering the credibility of the witnesses and of assessing their weight or cogency and after these processes have been completed</w:t>
      </w:r>
    </w:p>
    <w:p w14:paraId="4E1D450A" w14:textId="29212368" w:rsidR="00E3212D" w:rsidRPr="006D293B" w:rsidRDefault="00E3212D" w:rsidP="00E3212D">
      <w:pPr>
        <w:pStyle w:val="BodyText"/>
        <w:spacing w:line="276" w:lineRule="auto"/>
        <w:ind w:left="2160"/>
        <w:rPr>
          <w:b w:val="0"/>
          <w:bCs w:val="0"/>
        </w:rPr>
      </w:pPr>
      <w:r w:rsidRPr="00E3212D">
        <w:rPr>
          <w:b w:val="0"/>
          <w:bCs w:val="0"/>
          <w:i/>
          <w:iCs/>
          <w:sz w:val="22"/>
          <w:szCs w:val="22"/>
        </w:rPr>
        <w:t>'what is being weighed in the "balance" is not quantities of evidence, but are probabilities arising from that evidence and all the circumstances of the case'</w:t>
      </w:r>
      <w:r w:rsidRPr="00E3212D">
        <w:rPr>
          <w:b w:val="0"/>
          <w:bCs w:val="0"/>
        </w:rPr>
        <w:t>.</w:t>
      </w:r>
      <w:r>
        <w:rPr>
          <w:b w:val="0"/>
          <w:bCs w:val="0"/>
        </w:rPr>
        <w:t>”</w:t>
      </w:r>
    </w:p>
    <w:p w14:paraId="3B4CF15F" w14:textId="3B614D1D" w:rsidR="003F4782" w:rsidRDefault="001D5FD8" w:rsidP="001D5FD8">
      <w:pPr>
        <w:pStyle w:val="BodyText"/>
        <w:ind w:left="822" w:hanging="822"/>
        <w:rPr>
          <w:b w:val="0"/>
          <w:bCs w:val="0"/>
        </w:rPr>
        <w:pPrChange w:id="92" w:author="Graeme Rennie" w:date="2021-11-24T13:14:00Z">
          <w:pPr>
            <w:pStyle w:val="BodyText"/>
            <w:numPr>
              <w:numId w:val="2"/>
            </w:numPr>
            <w:ind w:left="822" w:hanging="822"/>
          </w:pPr>
        </w:pPrChange>
      </w:pPr>
      <w:r>
        <w:rPr>
          <w:b w:val="0"/>
          <w:bCs w:val="0"/>
        </w:rPr>
        <w:lastRenderedPageBreak/>
        <w:t>[44]</w:t>
      </w:r>
      <w:r>
        <w:rPr>
          <w:b w:val="0"/>
          <w:bCs w:val="0"/>
        </w:rPr>
        <w:tab/>
      </w:r>
      <w:r w:rsidR="00E3212D">
        <w:rPr>
          <w:b w:val="0"/>
          <w:bCs w:val="0"/>
        </w:rPr>
        <w:t>Later at 375H-376A the learned judge stated:</w:t>
      </w:r>
      <w:r w:rsidR="00E3212D">
        <w:rPr>
          <w:rStyle w:val="FootnoteReference"/>
          <w:b w:val="0"/>
          <w:bCs w:val="0"/>
        </w:rPr>
        <w:footnoteReference w:id="10"/>
      </w:r>
    </w:p>
    <w:p w14:paraId="17E0067A" w14:textId="223FD907" w:rsidR="00E3212D" w:rsidRPr="00E3212D" w:rsidRDefault="00E3212D" w:rsidP="00E3212D">
      <w:pPr>
        <w:pStyle w:val="BodyText"/>
        <w:spacing w:line="276" w:lineRule="auto"/>
        <w:ind w:left="1440"/>
        <w:rPr>
          <w:b w:val="0"/>
          <w:bCs w:val="0"/>
          <w:i/>
          <w:iCs/>
          <w:sz w:val="22"/>
          <w:szCs w:val="22"/>
        </w:rPr>
      </w:pPr>
      <w:r>
        <w:rPr>
          <w:b w:val="0"/>
          <w:bCs w:val="0"/>
        </w:rPr>
        <w:t xml:space="preserve">“… </w:t>
      </w:r>
      <w:r w:rsidRPr="00E3212D">
        <w:rPr>
          <w:b w:val="0"/>
          <w:bCs w:val="0"/>
          <w:i/>
          <w:iCs/>
          <w:sz w:val="22"/>
          <w:szCs w:val="22"/>
        </w:rPr>
        <w:t>I must say something about the balance of probabilities or the preponderance of probabilities argued by both counsel. It is of course clear that the Court is not engaged at the end of the day in a mere mechanical process of balancing out the number of acceptable witnesses on the one side and the other because</w:t>
      </w:r>
    </w:p>
    <w:p w14:paraId="08653BC8" w14:textId="7AEA91BD" w:rsidR="00E3212D" w:rsidRPr="00E3212D" w:rsidRDefault="00E3212D" w:rsidP="00E3212D">
      <w:pPr>
        <w:pStyle w:val="BodyText"/>
        <w:spacing w:line="276" w:lineRule="auto"/>
        <w:ind w:left="2160"/>
        <w:rPr>
          <w:b w:val="0"/>
          <w:bCs w:val="0"/>
          <w:i/>
          <w:iCs/>
          <w:sz w:val="22"/>
          <w:szCs w:val="22"/>
        </w:rPr>
      </w:pPr>
      <w:r w:rsidRPr="00E3212D">
        <w:rPr>
          <w:b w:val="0"/>
          <w:bCs w:val="0"/>
          <w:i/>
          <w:iCs/>
          <w:sz w:val="22"/>
          <w:szCs w:val="22"/>
        </w:rPr>
        <w:t>'the object of the law is, or ought to be, to secure the sequence of certain results upon certain objective facts'.</w:t>
      </w:r>
    </w:p>
    <w:p w14:paraId="5B862454" w14:textId="3BAD3C58" w:rsidR="00C24056" w:rsidRPr="00DD3840" w:rsidRDefault="00E3212D" w:rsidP="00DD3840">
      <w:pPr>
        <w:pStyle w:val="BodyText"/>
        <w:spacing w:line="276" w:lineRule="auto"/>
        <w:ind w:left="1440"/>
        <w:rPr>
          <w:b w:val="0"/>
          <w:bCs w:val="0"/>
          <w:i/>
          <w:iCs/>
          <w:sz w:val="22"/>
          <w:szCs w:val="22"/>
        </w:rPr>
      </w:pPr>
      <w:r w:rsidRPr="00E3212D">
        <w:rPr>
          <w:b w:val="0"/>
          <w:bCs w:val="0"/>
          <w:i/>
          <w:iCs/>
          <w:sz w:val="22"/>
          <w:szCs w:val="22"/>
        </w:rPr>
        <w:t>See Wigmore Evidence (1981 ed) para 2498. As to the degree of probability that is sufficient for plaintiff to discharge the onus, see the remarks of Denning J in Miller v Minister of Pensions [1947] 2 All ER 372 (KB) at 373 cited in Ocean Accident and Guarantee Corporation Ltd v Koch 1963 (4) SA 147 (A) at 157D. If the acceptable evidence is such that I can safely say 'I think that it is more probable than not' the burden is discharged, but if the probabilities are equal, it is not.”</w:t>
      </w:r>
    </w:p>
    <w:p w14:paraId="7BA8B98F" w14:textId="5C6575B3" w:rsidR="00C73206" w:rsidRPr="00C73206" w:rsidRDefault="001D5FD8" w:rsidP="001D5FD8">
      <w:pPr>
        <w:pStyle w:val="BodyText"/>
        <w:ind w:left="822" w:hanging="822"/>
        <w:rPr>
          <w:b w:val="0"/>
          <w:bCs w:val="0"/>
        </w:rPr>
        <w:pPrChange w:id="93" w:author="Graeme Rennie" w:date="2021-11-24T13:14:00Z">
          <w:pPr>
            <w:pStyle w:val="BodyText"/>
            <w:numPr>
              <w:numId w:val="2"/>
            </w:numPr>
            <w:ind w:left="822" w:hanging="822"/>
          </w:pPr>
        </w:pPrChange>
      </w:pPr>
      <w:r w:rsidRPr="00C73206">
        <w:rPr>
          <w:b w:val="0"/>
          <w:bCs w:val="0"/>
        </w:rPr>
        <w:t>[45]</w:t>
      </w:r>
      <w:r w:rsidRPr="00C73206">
        <w:rPr>
          <w:b w:val="0"/>
          <w:bCs w:val="0"/>
        </w:rPr>
        <w:tab/>
      </w:r>
      <w:r w:rsidR="00DF3B7C">
        <w:rPr>
          <w:b w:val="0"/>
          <w:bCs w:val="0"/>
        </w:rPr>
        <w:t>In my view</w:t>
      </w:r>
      <w:r w:rsidR="00E77AD9">
        <w:rPr>
          <w:b w:val="0"/>
          <w:bCs w:val="0"/>
        </w:rPr>
        <w:t>,</w:t>
      </w:r>
      <w:r w:rsidR="00DF3B7C">
        <w:rPr>
          <w:b w:val="0"/>
          <w:bCs w:val="0"/>
        </w:rPr>
        <w:t xml:space="preserve"> the plaintiff failed to discharge the onus</w:t>
      </w:r>
      <w:r w:rsidR="00C73206">
        <w:rPr>
          <w:b w:val="0"/>
          <w:bCs w:val="0"/>
        </w:rPr>
        <w:t xml:space="preserve"> to prove unlawful arrest and torture by police officers</w:t>
      </w:r>
      <w:r w:rsidR="00DF3B7C">
        <w:rPr>
          <w:b w:val="0"/>
          <w:bCs w:val="0"/>
        </w:rPr>
        <w:t xml:space="preserve">. I cannot safely say that it is more probable than not that he had been arrested by police officers. It </w:t>
      </w:r>
      <w:r w:rsidR="00C73206">
        <w:rPr>
          <w:b w:val="0"/>
          <w:bCs w:val="0"/>
        </w:rPr>
        <w:t xml:space="preserve">thus </w:t>
      </w:r>
      <w:r w:rsidR="00DF3B7C">
        <w:rPr>
          <w:b w:val="0"/>
          <w:bCs w:val="0"/>
        </w:rPr>
        <w:t>follows that he had not been assaulted and tortured by police officers</w:t>
      </w:r>
      <w:r w:rsidR="00C73206">
        <w:rPr>
          <w:b w:val="0"/>
          <w:bCs w:val="0"/>
        </w:rPr>
        <w:t xml:space="preserve"> either.  As such, his claims for </w:t>
      </w:r>
      <w:r w:rsidR="00C73206" w:rsidRPr="00C73206">
        <w:rPr>
          <w:b w:val="0"/>
          <w:bCs w:val="0"/>
        </w:rPr>
        <w:t>R500 000.0</w:t>
      </w:r>
      <w:r w:rsidR="00E77AD9">
        <w:rPr>
          <w:b w:val="0"/>
          <w:bCs w:val="0"/>
        </w:rPr>
        <w:t>0</w:t>
      </w:r>
      <w:r w:rsidR="00C73206">
        <w:rPr>
          <w:b w:val="0"/>
          <w:bCs w:val="0"/>
        </w:rPr>
        <w:t xml:space="preserve"> d</w:t>
      </w:r>
      <w:r w:rsidR="00C73206" w:rsidRPr="00C73206">
        <w:rPr>
          <w:b w:val="0"/>
          <w:bCs w:val="0"/>
        </w:rPr>
        <w:t>amages for unlawful arrest</w:t>
      </w:r>
      <w:r w:rsidR="00C73206">
        <w:rPr>
          <w:b w:val="0"/>
          <w:bCs w:val="0"/>
        </w:rPr>
        <w:t xml:space="preserve">, and </w:t>
      </w:r>
      <w:r w:rsidR="00C73206" w:rsidRPr="00C73206">
        <w:rPr>
          <w:b w:val="0"/>
          <w:bCs w:val="0"/>
        </w:rPr>
        <w:t>R1 000 000.00</w:t>
      </w:r>
      <w:r w:rsidR="00C73206">
        <w:rPr>
          <w:b w:val="0"/>
          <w:bCs w:val="0"/>
        </w:rPr>
        <w:t xml:space="preserve"> for d</w:t>
      </w:r>
      <w:r w:rsidR="00C73206" w:rsidRPr="00C73206">
        <w:rPr>
          <w:b w:val="0"/>
          <w:bCs w:val="0"/>
        </w:rPr>
        <w:t>amages for bodily integrity</w:t>
      </w:r>
      <w:r w:rsidR="00C73206">
        <w:rPr>
          <w:b w:val="0"/>
          <w:bCs w:val="0"/>
        </w:rPr>
        <w:t xml:space="preserve">, must fail. </w:t>
      </w:r>
    </w:p>
    <w:p w14:paraId="7C98B978" w14:textId="5BB832CA" w:rsidR="001F101E" w:rsidRPr="00DF3B7C" w:rsidRDefault="00DF3B7C" w:rsidP="00C73206">
      <w:pPr>
        <w:pStyle w:val="BodyText"/>
        <w:spacing w:after="0"/>
        <w:rPr>
          <w:u w:val="single"/>
        </w:rPr>
      </w:pPr>
      <w:r w:rsidRPr="00DF3B7C">
        <w:rPr>
          <w:u w:val="single"/>
        </w:rPr>
        <w:t>Is it the end of the matter?</w:t>
      </w:r>
    </w:p>
    <w:p w14:paraId="20C17EF0" w14:textId="18E32093" w:rsidR="006A5AD0" w:rsidRPr="00C73206" w:rsidRDefault="001D5FD8" w:rsidP="001D5FD8">
      <w:pPr>
        <w:spacing w:after="0"/>
        <w:ind w:left="822" w:hanging="822"/>
        <w:pPrChange w:id="94" w:author="Graeme Rennie" w:date="2021-11-24T13:14:00Z">
          <w:pPr>
            <w:pStyle w:val="ListParagraph"/>
            <w:numPr>
              <w:numId w:val="2"/>
            </w:numPr>
            <w:spacing w:after="0"/>
            <w:ind w:left="822" w:hanging="822"/>
          </w:pPr>
        </w:pPrChange>
      </w:pPr>
      <w:r w:rsidRPr="00C73206">
        <w:rPr>
          <w:rFonts w:ascii="Arial" w:hAnsi="Arial" w:cs="Arial"/>
          <w:sz w:val="24"/>
          <w:szCs w:val="24"/>
        </w:rPr>
        <w:t>[46]</w:t>
      </w:r>
      <w:r w:rsidRPr="00C73206">
        <w:rPr>
          <w:rFonts w:ascii="Arial" w:hAnsi="Arial" w:cs="Arial"/>
          <w:sz w:val="24"/>
          <w:szCs w:val="24"/>
        </w:rPr>
        <w:tab/>
      </w:r>
      <w:r w:rsidR="00C73206" w:rsidRPr="00C73206">
        <w:t>The plaintiff also claimed R1</w:t>
      </w:r>
      <w:r w:rsidR="00C73206">
        <w:t xml:space="preserve"> </w:t>
      </w:r>
      <w:r w:rsidR="00C73206" w:rsidRPr="00C73206">
        <w:t>500</w:t>
      </w:r>
      <w:r w:rsidR="00C76E62">
        <w:t> </w:t>
      </w:r>
      <w:r w:rsidR="00C73206" w:rsidRPr="00C73206">
        <w:t>000</w:t>
      </w:r>
      <w:r w:rsidR="00C76E62">
        <w:t>.</w:t>
      </w:r>
      <w:r w:rsidR="00C73206" w:rsidRPr="00C73206">
        <w:t>00</w:t>
      </w:r>
      <w:r w:rsidR="00C73206">
        <w:t xml:space="preserve"> for d</w:t>
      </w:r>
      <w:r w:rsidR="00C73206" w:rsidRPr="00C73206">
        <w:t>amages for unlawful detention</w:t>
      </w:r>
      <w:r w:rsidR="00C73206">
        <w:t xml:space="preserve"> as part of the pleaded delict. </w:t>
      </w:r>
      <w:r w:rsidR="00DF3B7C" w:rsidRPr="00C73206">
        <w:t xml:space="preserve">The plaintiff’s counsel </w:t>
      </w:r>
      <w:r w:rsidR="00DD3840" w:rsidRPr="00C73206">
        <w:t xml:space="preserve">freely </w:t>
      </w:r>
      <w:r w:rsidR="00DF3B7C" w:rsidRPr="00C73206">
        <w:t>stated that his client did not plead a case that he was arrested by a private individual and that the police acted unlawfully and culpably in not releasing him when he was brought to the police station</w:t>
      </w:r>
      <w:r w:rsidR="00C73206">
        <w:t xml:space="preserve"> by that person</w:t>
      </w:r>
      <w:r w:rsidR="00DF3B7C" w:rsidRPr="00C73206">
        <w:t>. The pleadings indeed do not contain such a cause of action.</w:t>
      </w:r>
      <w:r w:rsidR="00DD3840" w:rsidRPr="00C73206">
        <w:t xml:space="preserve"> </w:t>
      </w:r>
      <w:r w:rsidR="00DF3B7C" w:rsidRPr="00C73206">
        <w:t>The plaint</w:t>
      </w:r>
      <w:r w:rsidR="006A5AD0" w:rsidRPr="00C73206">
        <w:t>i</w:t>
      </w:r>
      <w:r w:rsidR="00DF3B7C" w:rsidRPr="00C73206">
        <w:t xml:space="preserve">ff’s counsel stressed </w:t>
      </w:r>
      <w:r w:rsidR="00DD3840" w:rsidRPr="00C73206">
        <w:t xml:space="preserve">(but not on this issue) </w:t>
      </w:r>
      <w:r w:rsidR="00DF3B7C" w:rsidRPr="00C73206">
        <w:t xml:space="preserve">that a party should be held to its pleadings and referred me to </w:t>
      </w:r>
      <w:r w:rsidR="00DF3B7C" w:rsidRPr="001D5FD8">
        <w:rPr>
          <w:i/>
          <w:iCs/>
        </w:rPr>
        <w:t>Minister of Safety and Security v Slabbert</w:t>
      </w:r>
      <w:r w:rsidR="00DF3B7C" w:rsidRPr="00C73206">
        <w:t xml:space="preserve"> </w:t>
      </w:r>
      <w:r w:rsidR="00C76E62" w:rsidRPr="00C76E62">
        <w:t xml:space="preserve">[2010] 2 All SA 474 (SCA) </w:t>
      </w:r>
      <w:r w:rsidR="00C76E62">
        <w:t>p</w:t>
      </w:r>
      <w:r w:rsidR="00DF3B7C" w:rsidRPr="00C73206">
        <w:t>ara 1</w:t>
      </w:r>
      <w:r w:rsidR="006A5AD0" w:rsidRPr="00C73206">
        <w:t>1-12:</w:t>
      </w:r>
    </w:p>
    <w:p w14:paraId="7442CF9A" w14:textId="10373746" w:rsidR="006A5AD0" w:rsidRPr="006A5AD0" w:rsidRDefault="006A5AD0" w:rsidP="006A5AD0">
      <w:pPr>
        <w:pStyle w:val="BodyText"/>
        <w:spacing w:line="276" w:lineRule="auto"/>
        <w:ind w:left="1440"/>
        <w:rPr>
          <w:b w:val="0"/>
          <w:bCs w:val="0"/>
          <w:i/>
          <w:iCs/>
          <w:sz w:val="22"/>
          <w:szCs w:val="22"/>
        </w:rPr>
      </w:pPr>
      <w:r>
        <w:rPr>
          <w:b w:val="0"/>
          <w:bCs w:val="0"/>
        </w:rPr>
        <w:t>“</w:t>
      </w:r>
      <w:r w:rsidRPr="006A5AD0">
        <w:rPr>
          <w:b w:val="0"/>
          <w:bCs w:val="0"/>
          <w:i/>
          <w:iCs/>
          <w:sz w:val="22"/>
          <w:szCs w:val="22"/>
        </w:rPr>
        <w:t>[11] The purpose of the pleadings is to define the issues for the other party and the court. A party has a duty to allege in the pleadings the material facts upon which it relies. It is impermissible for a plaintiff to plead a particular case and seek to establish a different case at the trial.</w:t>
      </w:r>
      <w:r w:rsidRPr="006A5AD0">
        <w:rPr>
          <w:rStyle w:val="FootnoteReference"/>
          <w:b w:val="0"/>
          <w:bCs w:val="0"/>
          <w:i/>
          <w:iCs/>
          <w:sz w:val="22"/>
          <w:szCs w:val="22"/>
        </w:rPr>
        <w:footnoteReference w:id="11"/>
      </w:r>
      <w:r w:rsidRPr="006A5AD0">
        <w:rPr>
          <w:b w:val="0"/>
          <w:bCs w:val="0"/>
          <w:i/>
          <w:iCs/>
          <w:sz w:val="22"/>
          <w:szCs w:val="22"/>
        </w:rPr>
        <w:t xml:space="preserve"> It is equally not permissible </w:t>
      </w:r>
      <w:r w:rsidRPr="006A5AD0">
        <w:rPr>
          <w:b w:val="0"/>
          <w:bCs w:val="0"/>
          <w:i/>
          <w:iCs/>
          <w:sz w:val="22"/>
          <w:szCs w:val="22"/>
        </w:rPr>
        <w:lastRenderedPageBreak/>
        <w:t>for the trial court to have recourse to issues falling outside the pleadings when deciding a case.</w:t>
      </w:r>
    </w:p>
    <w:p w14:paraId="14F91E29" w14:textId="315025B0" w:rsidR="006A5AD0" w:rsidRPr="006A5AD0" w:rsidRDefault="006A5AD0" w:rsidP="006A5AD0">
      <w:pPr>
        <w:pStyle w:val="BodyText"/>
        <w:spacing w:line="276" w:lineRule="auto"/>
        <w:ind w:left="1440"/>
        <w:rPr>
          <w:b w:val="0"/>
          <w:bCs w:val="0"/>
          <w:i/>
          <w:iCs/>
          <w:sz w:val="22"/>
          <w:szCs w:val="22"/>
        </w:rPr>
      </w:pPr>
      <w:r w:rsidRPr="006A5AD0">
        <w:rPr>
          <w:b w:val="0"/>
          <w:bCs w:val="0"/>
          <w:i/>
          <w:iCs/>
          <w:sz w:val="22"/>
          <w:szCs w:val="22"/>
        </w:rPr>
        <w:t>[12] There are, however, circumstances in which a party may be allowed to rely on an issue which was not covered by the pleadings. This occurs where the issue in question has been canvassed fully by both sides at the trial. In South British Insurance Co Ltd v Unicorn Shipping Lines (Pty) Ltd,</w:t>
      </w:r>
      <w:r w:rsidRPr="006A5AD0">
        <w:rPr>
          <w:rStyle w:val="FootnoteReference"/>
          <w:b w:val="0"/>
          <w:bCs w:val="0"/>
          <w:i/>
          <w:iCs/>
          <w:sz w:val="22"/>
          <w:szCs w:val="22"/>
        </w:rPr>
        <w:footnoteReference w:id="12"/>
      </w:r>
      <w:r w:rsidRPr="006A5AD0">
        <w:rPr>
          <w:b w:val="0"/>
          <w:bCs w:val="0"/>
          <w:i/>
          <w:iCs/>
          <w:sz w:val="22"/>
          <w:szCs w:val="22"/>
        </w:rPr>
        <w:t xml:space="preserve"> this court said:</w:t>
      </w:r>
    </w:p>
    <w:p w14:paraId="26A07CBA" w14:textId="2A33EA13" w:rsidR="001F101E" w:rsidRPr="00DF3B7C" w:rsidRDefault="006A5AD0" w:rsidP="006A5AD0">
      <w:pPr>
        <w:pStyle w:val="BodyText"/>
        <w:spacing w:line="276" w:lineRule="auto"/>
        <w:ind w:left="2160"/>
        <w:rPr>
          <w:b w:val="0"/>
          <w:bCs w:val="0"/>
        </w:rPr>
      </w:pPr>
      <w:r w:rsidRPr="006A5AD0">
        <w:rPr>
          <w:b w:val="0"/>
          <w:bCs w:val="0"/>
          <w:i/>
          <w:iCs/>
          <w:sz w:val="22"/>
          <w:szCs w:val="22"/>
        </w:rPr>
        <w:t>'However, the absence of such an averment in the pleadings would not necessarily be fatal if the point was fully canvassed in evidence. This means fully canvassed by both sides in the sense that the Court was expected to pronounce upon it as an issue'</w:t>
      </w:r>
      <w:r w:rsidRPr="006A5AD0">
        <w:rPr>
          <w:b w:val="0"/>
          <w:bCs w:val="0"/>
        </w:rPr>
        <w:t>.</w:t>
      </w:r>
      <w:r>
        <w:rPr>
          <w:b w:val="0"/>
          <w:bCs w:val="0"/>
        </w:rPr>
        <w:t>”</w:t>
      </w:r>
    </w:p>
    <w:p w14:paraId="2F7B3A87" w14:textId="1A0D0BAD" w:rsidR="00DF3B7C" w:rsidRDefault="001D5FD8" w:rsidP="001D5FD8">
      <w:pPr>
        <w:pStyle w:val="BodyText"/>
        <w:spacing w:after="0"/>
        <w:ind w:left="822" w:hanging="822"/>
        <w:rPr>
          <w:b w:val="0"/>
          <w:bCs w:val="0"/>
        </w:rPr>
        <w:pPrChange w:id="95" w:author="Graeme Rennie" w:date="2021-11-24T13:14:00Z">
          <w:pPr>
            <w:pStyle w:val="BodyText"/>
            <w:numPr>
              <w:numId w:val="2"/>
            </w:numPr>
            <w:spacing w:after="0"/>
            <w:ind w:left="822" w:hanging="822"/>
          </w:pPr>
        </w:pPrChange>
      </w:pPr>
      <w:r>
        <w:rPr>
          <w:b w:val="0"/>
          <w:bCs w:val="0"/>
        </w:rPr>
        <w:t>[47]</w:t>
      </w:r>
      <w:r>
        <w:rPr>
          <w:b w:val="0"/>
          <w:bCs w:val="0"/>
        </w:rPr>
        <w:tab/>
      </w:r>
      <w:r w:rsidR="00DD3840" w:rsidRPr="00DD3840">
        <w:rPr>
          <w:b w:val="0"/>
          <w:bCs w:val="0"/>
        </w:rPr>
        <w:t>The plaintiff’s counsel</w:t>
      </w:r>
      <w:r w:rsidR="006A5AD0">
        <w:rPr>
          <w:b w:val="0"/>
          <w:bCs w:val="0"/>
        </w:rPr>
        <w:t xml:space="preserve"> also referred me to </w:t>
      </w:r>
      <w:r w:rsidR="006A5AD0" w:rsidRPr="006A5AD0">
        <w:rPr>
          <w:b w:val="0"/>
          <w:bCs w:val="0"/>
          <w:i/>
          <w:iCs/>
        </w:rPr>
        <w:t xml:space="preserve">Molusi </w:t>
      </w:r>
      <w:r w:rsidR="006A5AD0">
        <w:rPr>
          <w:b w:val="0"/>
          <w:bCs w:val="0"/>
          <w:i/>
          <w:iCs/>
        </w:rPr>
        <w:t>a</w:t>
      </w:r>
      <w:r w:rsidR="006A5AD0" w:rsidRPr="006A5AD0">
        <w:rPr>
          <w:b w:val="0"/>
          <w:bCs w:val="0"/>
          <w:i/>
          <w:iCs/>
        </w:rPr>
        <w:t>nd Others v Voges NO And Others</w:t>
      </w:r>
      <w:r w:rsidR="006A5AD0" w:rsidRPr="006A5AD0">
        <w:rPr>
          <w:b w:val="0"/>
          <w:bCs w:val="0"/>
        </w:rPr>
        <w:t xml:space="preserve"> 2016 (3) SA 370 (CC)</w:t>
      </w:r>
      <w:r w:rsidR="006A5AD0">
        <w:rPr>
          <w:b w:val="0"/>
          <w:bCs w:val="0"/>
        </w:rPr>
        <w:t xml:space="preserve"> </w:t>
      </w:r>
      <w:r w:rsidR="00162008">
        <w:rPr>
          <w:b w:val="0"/>
          <w:bCs w:val="0"/>
        </w:rPr>
        <w:t>p</w:t>
      </w:r>
      <w:r w:rsidR="006A5AD0">
        <w:rPr>
          <w:b w:val="0"/>
          <w:bCs w:val="0"/>
        </w:rPr>
        <w:t>ara 27-28 where</w:t>
      </w:r>
      <w:r w:rsidR="006A5AD0" w:rsidRPr="006A5AD0">
        <w:t xml:space="preserve"> </w:t>
      </w:r>
      <w:r w:rsidR="006A5AD0" w:rsidRPr="00D856E0">
        <w:rPr>
          <w:b w:val="0"/>
          <w:bCs w:val="0"/>
          <w:i/>
          <w:iCs/>
        </w:rPr>
        <w:t>Slabbert</w:t>
      </w:r>
      <w:r w:rsidR="006A5AD0">
        <w:rPr>
          <w:b w:val="0"/>
          <w:bCs w:val="0"/>
        </w:rPr>
        <w:t xml:space="preserve"> was approved. </w:t>
      </w:r>
      <w:r w:rsidR="00D856E0" w:rsidRPr="00D856E0">
        <w:rPr>
          <w:b w:val="0"/>
          <w:bCs w:val="0"/>
          <w:i/>
          <w:iCs/>
        </w:rPr>
        <w:t xml:space="preserve">Slabbert </w:t>
      </w:r>
      <w:r w:rsidR="00D856E0">
        <w:rPr>
          <w:b w:val="0"/>
          <w:bCs w:val="0"/>
        </w:rPr>
        <w:t>in the context of this matter</w:t>
      </w:r>
      <w:r w:rsidR="006B4035">
        <w:rPr>
          <w:b w:val="0"/>
          <w:bCs w:val="0"/>
        </w:rPr>
        <w:t>,</w:t>
      </w:r>
      <w:r w:rsidR="00D856E0">
        <w:rPr>
          <w:b w:val="0"/>
          <w:bCs w:val="0"/>
        </w:rPr>
        <w:t xml:space="preserve"> is of particular importance. In that case</w:t>
      </w:r>
      <w:r w:rsidR="00162008">
        <w:rPr>
          <w:b w:val="0"/>
          <w:bCs w:val="0"/>
        </w:rPr>
        <w:t>,</w:t>
      </w:r>
      <w:r w:rsidR="00D856E0">
        <w:rPr>
          <w:b w:val="0"/>
          <w:bCs w:val="0"/>
        </w:rPr>
        <w:t xml:space="preserve"> the plaintiff pleaded an unlawful arrest</w:t>
      </w:r>
      <w:r w:rsidR="00C73206">
        <w:rPr>
          <w:b w:val="0"/>
          <w:bCs w:val="0"/>
        </w:rPr>
        <w:t xml:space="preserve"> for being </w:t>
      </w:r>
      <w:r w:rsidR="00C73206" w:rsidRPr="00C73206">
        <w:rPr>
          <w:b w:val="0"/>
          <w:bCs w:val="0"/>
        </w:rPr>
        <w:t>drunk and disorderly</w:t>
      </w:r>
      <w:r w:rsidR="00D856E0">
        <w:rPr>
          <w:b w:val="0"/>
          <w:bCs w:val="0"/>
        </w:rPr>
        <w:t>, but did not plead that his continued detention (once he sobered up)</w:t>
      </w:r>
      <w:r w:rsidR="00162008">
        <w:rPr>
          <w:b w:val="0"/>
          <w:bCs w:val="0"/>
        </w:rPr>
        <w:t>,</w:t>
      </w:r>
      <w:r w:rsidR="00D856E0">
        <w:rPr>
          <w:b w:val="0"/>
          <w:bCs w:val="0"/>
        </w:rPr>
        <w:t xml:space="preserve"> instead of releasing him in his wife’s care, was unlawful. This was fatal to the case as the evidence in that case (as in this case) did not expand the issues. </w:t>
      </w:r>
      <w:r w:rsidR="0026679C">
        <w:rPr>
          <w:b w:val="0"/>
          <w:bCs w:val="0"/>
        </w:rPr>
        <w:t>In the minority judgment by Harms DP, approved by the majority, the matter is put beyond doubt:</w:t>
      </w:r>
    </w:p>
    <w:p w14:paraId="1C61332B" w14:textId="29B8538C" w:rsidR="0026679C" w:rsidRPr="0026679C" w:rsidRDefault="0026679C" w:rsidP="0026679C">
      <w:pPr>
        <w:pStyle w:val="BodyText"/>
        <w:spacing w:line="276" w:lineRule="auto"/>
        <w:ind w:left="2160" w:hanging="720"/>
        <w:rPr>
          <w:b w:val="0"/>
          <w:bCs w:val="0"/>
          <w:i/>
          <w:iCs/>
          <w:sz w:val="22"/>
          <w:szCs w:val="22"/>
        </w:rPr>
      </w:pPr>
      <w:r>
        <w:rPr>
          <w:b w:val="0"/>
          <w:bCs w:val="0"/>
        </w:rPr>
        <w:t>“</w:t>
      </w:r>
      <w:r w:rsidRPr="0026679C">
        <w:rPr>
          <w:b w:val="0"/>
          <w:bCs w:val="0"/>
          <w:i/>
          <w:iCs/>
          <w:sz w:val="22"/>
          <w:szCs w:val="22"/>
        </w:rPr>
        <w:t>[21]</w:t>
      </w:r>
      <w:r w:rsidRPr="0026679C">
        <w:rPr>
          <w:b w:val="0"/>
          <w:bCs w:val="0"/>
          <w:i/>
          <w:iCs/>
          <w:sz w:val="22"/>
          <w:szCs w:val="22"/>
        </w:rPr>
        <w:tab/>
        <w:t>The onus can arise only after the issue itself has arisen. The aggrieved person must claim that a particular arrest or detention was wrongful before the police are saddled with this onus. As pointed out in the judgment of Mhlantla JA, the plaintiff’s case was that his arrest and detention were unlawful because he had not been drunk and disorderly. His case on the pleadings was not, in the alternative, that his detention had become unlawful when his wife and friend arrived.</w:t>
      </w:r>
    </w:p>
    <w:p w14:paraId="08DED40B" w14:textId="51364315" w:rsidR="0026679C" w:rsidRDefault="0026679C" w:rsidP="0026679C">
      <w:pPr>
        <w:pStyle w:val="BodyText"/>
        <w:spacing w:line="276" w:lineRule="auto"/>
        <w:ind w:left="2160" w:hanging="720"/>
        <w:rPr>
          <w:b w:val="0"/>
          <w:bCs w:val="0"/>
        </w:rPr>
      </w:pPr>
      <w:r w:rsidRPr="0026679C">
        <w:rPr>
          <w:b w:val="0"/>
          <w:bCs w:val="0"/>
          <w:i/>
          <w:iCs/>
          <w:sz w:val="22"/>
          <w:szCs w:val="22"/>
        </w:rPr>
        <w:t>[22]</w:t>
      </w:r>
      <w:r w:rsidRPr="0026679C">
        <w:rPr>
          <w:b w:val="0"/>
          <w:bCs w:val="0"/>
          <w:i/>
          <w:iCs/>
          <w:sz w:val="22"/>
          <w:szCs w:val="22"/>
        </w:rPr>
        <w:tab/>
        <w:t xml:space="preserve">A court is not bound by pleadings if a particular issue was fully canvassed during the trial. But there is not the slightest suggestion that the matter was so canvassed. As a matter of fact, neither the plaintiff’s friend nor his wife testified on his behalf in respect of his state of intoxication at the police office. One can only assume, in the absence of any other explanation, that they would not have supported him. In other words, the police had at the end of the plaintiff’s case not the slightest inkling that they had to defend the continued detention after the arrival of the plaintiff’s wife at the police station. The defendant was entitled at that stage, at the very least, to know that it had to establish </w:t>
      </w:r>
      <w:r w:rsidRPr="0026679C">
        <w:rPr>
          <w:b w:val="0"/>
          <w:bCs w:val="0"/>
          <w:i/>
          <w:iCs/>
          <w:sz w:val="22"/>
          <w:szCs w:val="22"/>
        </w:rPr>
        <w:lastRenderedPageBreak/>
        <w:t>that the legality of the continued detention was an issue. Cases by ambush are not countenanced</w:t>
      </w:r>
      <w:r w:rsidRPr="0026679C">
        <w:rPr>
          <w:b w:val="0"/>
          <w:bCs w:val="0"/>
        </w:rPr>
        <w:t>.</w:t>
      </w:r>
      <w:r>
        <w:rPr>
          <w:b w:val="0"/>
          <w:bCs w:val="0"/>
        </w:rPr>
        <w:t>”</w:t>
      </w:r>
    </w:p>
    <w:p w14:paraId="3471B77E" w14:textId="044D06DD" w:rsidR="00DD3840" w:rsidRDefault="001D5FD8" w:rsidP="001D5FD8">
      <w:pPr>
        <w:pStyle w:val="BodyText"/>
        <w:ind w:left="822" w:hanging="822"/>
        <w:rPr>
          <w:b w:val="0"/>
          <w:bCs w:val="0"/>
        </w:rPr>
        <w:pPrChange w:id="96" w:author="Graeme Rennie" w:date="2021-11-24T13:14:00Z">
          <w:pPr>
            <w:pStyle w:val="BodyText"/>
            <w:numPr>
              <w:numId w:val="2"/>
            </w:numPr>
            <w:ind w:left="822" w:hanging="822"/>
          </w:pPr>
        </w:pPrChange>
      </w:pPr>
      <w:r>
        <w:rPr>
          <w:b w:val="0"/>
          <w:bCs w:val="0"/>
        </w:rPr>
        <w:t>[48]</w:t>
      </w:r>
      <w:r>
        <w:rPr>
          <w:b w:val="0"/>
          <w:bCs w:val="0"/>
        </w:rPr>
        <w:tab/>
      </w:r>
      <w:r w:rsidR="006A5AD0" w:rsidRPr="00123014">
        <w:rPr>
          <w:b w:val="0"/>
          <w:bCs w:val="0"/>
        </w:rPr>
        <w:t xml:space="preserve">This would end the matter. </w:t>
      </w:r>
      <w:r w:rsidR="00DD3840">
        <w:rPr>
          <w:b w:val="0"/>
          <w:bCs w:val="0"/>
        </w:rPr>
        <w:t xml:space="preserve">The plaintiff did not plead a case that he was arrested by a private individual and that the police thereafter unlawfully detained him. I am indeed bound by </w:t>
      </w:r>
      <w:r w:rsidR="00DD3840" w:rsidRPr="00DD3840">
        <w:rPr>
          <w:b w:val="0"/>
          <w:bCs w:val="0"/>
          <w:i/>
          <w:iCs/>
        </w:rPr>
        <w:t>Slabbert</w:t>
      </w:r>
      <w:r w:rsidR="00DD3840">
        <w:rPr>
          <w:b w:val="0"/>
          <w:bCs w:val="0"/>
        </w:rPr>
        <w:t xml:space="preserve">. </w:t>
      </w:r>
    </w:p>
    <w:p w14:paraId="3049CAD8" w14:textId="2195A0F8" w:rsidR="00117F5A" w:rsidRDefault="001D5FD8" w:rsidP="001D5FD8">
      <w:pPr>
        <w:pStyle w:val="BodyText"/>
        <w:ind w:left="822" w:hanging="822"/>
        <w:rPr>
          <w:b w:val="0"/>
          <w:bCs w:val="0"/>
        </w:rPr>
        <w:pPrChange w:id="97" w:author="Graeme Rennie" w:date="2021-11-24T13:14:00Z">
          <w:pPr>
            <w:pStyle w:val="BodyText"/>
            <w:numPr>
              <w:numId w:val="2"/>
            </w:numPr>
            <w:ind w:left="822" w:hanging="822"/>
          </w:pPr>
        </w:pPrChange>
      </w:pPr>
      <w:r>
        <w:rPr>
          <w:b w:val="0"/>
          <w:bCs w:val="0"/>
        </w:rPr>
        <w:t>[49]</w:t>
      </w:r>
      <w:r>
        <w:rPr>
          <w:b w:val="0"/>
          <w:bCs w:val="0"/>
        </w:rPr>
        <w:tab/>
      </w:r>
      <w:r w:rsidR="00DD3840">
        <w:rPr>
          <w:b w:val="0"/>
          <w:bCs w:val="0"/>
        </w:rPr>
        <w:t>Even</w:t>
      </w:r>
      <w:r w:rsidR="00162008">
        <w:rPr>
          <w:b w:val="0"/>
          <w:bCs w:val="0"/>
        </w:rPr>
        <w:t xml:space="preserve"> if</w:t>
      </w:r>
      <w:r w:rsidR="00DD3840">
        <w:rPr>
          <w:b w:val="0"/>
          <w:bCs w:val="0"/>
        </w:rPr>
        <w:t xml:space="preserve"> I </w:t>
      </w:r>
      <w:r w:rsidR="00117F5A">
        <w:rPr>
          <w:b w:val="0"/>
          <w:bCs w:val="0"/>
        </w:rPr>
        <w:t xml:space="preserve">were </w:t>
      </w:r>
      <w:r w:rsidR="00DD3840">
        <w:rPr>
          <w:b w:val="0"/>
          <w:bCs w:val="0"/>
        </w:rPr>
        <w:t>not bound</w:t>
      </w:r>
      <w:r w:rsidR="00C73206" w:rsidRPr="00C73206">
        <w:rPr>
          <w:rFonts w:asciiTheme="minorHAnsi" w:hAnsiTheme="minorHAnsi" w:cstheme="minorBidi"/>
          <w:sz w:val="22"/>
          <w:szCs w:val="22"/>
        </w:rPr>
        <w:t xml:space="preserve"> </w:t>
      </w:r>
      <w:r w:rsidR="00C73206" w:rsidRPr="00C73206">
        <w:rPr>
          <w:b w:val="0"/>
          <w:bCs w:val="0"/>
        </w:rPr>
        <w:t xml:space="preserve">by </w:t>
      </w:r>
      <w:r w:rsidR="00C73206" w:rsidRPr="00C73206">
        <w:rPr>
          <w:b w:val="0"/>
          <w:bCs w:val="0"/>
          <w:i/>
          <w:iCs/>
        </w:rPr>
        <w:t>Slabbert</w:t>
      </w:r>
      <w:r w:rsidR="00DD3840">
        <w:rPr>
          <w:b w:val="0"/>
          <w:bCs w:val="0"/>
        </w:rPr>
        <w:t xml:space="preserve">, the plaintiff’s claim had to fail for a further reason too. </w:t>
      </w:r>
    </w:p>
    <w:p w14:paraId="444993B3" w14:textId="72C59943" w:rsidR="00117F5A" w:rsidRPr="00117F5A" w:rsidRDefault="001D5FD8" w:rsidP="001D5FD8">
      <w:pPr>
        <w:pStyle w:val="BodyText"/>
        <w:ind w:left="822" w:hanging="822"/>
        <w:rPr>
          <w:b w:val="0"/>
          <w:bCs w:val="0"/>
        </w:rPr>
        <w:pPrChange w:id="98" w:author="Graeme Rennie" w:date="2021-11-24T13:14:00Z">
          <w:pPr>
            <w:pStyle w:val="BodyText"/>
            <w:numPr>
              <w:numId w:val="2"/>
            </w:numPr>
            <w:ind w:left="822" w:hanging="822"/>
          </w:pPr>
        </w:pPrChange>
      </w:pPr>
      <w:r w:rsidRPr="00117F5A">
        <w:rPr>
          <w:b w:val="0"/>
          <w:bCs w:val="0"/>
        </w:rPr>
        <w:t>[50]</w:t>
      </w:r>
      <w:r w:rsidRPr="00117F5A">
        <w:rPr>
          <w:b w:val="0"/>
          <w:bCs w:val="0"/>
        </w:rPr>
        <w:tab/>
      </w:r>
      <w:r w:rsidR="00117F5A">
        <w:rPr>
          <w:b w:val="0"/>
          <w:bCs w:val="0"/>
        </w:rPr>
        <w:t xml:space="preserve">The first question would be what the </w:t>
      </w:r>
      <w:r w:rsidR="00117F5A" w:rsidRPr="00117F5A">
        <w:rPr>
          <w:b w:val="0"/>
          <w:bCs w:val="0"/>
        </w:rPr>
        <w:t xml:space="preserve">obligations of the police </w:t>
      </w:r>
      <w:r w:rsidR="00117F5A">
        <w:rPr>
          <w:b w:val="0"/>
          <w:bCs w:val="0"/>
        </w:rPr>
        <w:t xml:space="preserve">are </w:t>
      </w:r>
      <w:r w:rsidR="00117F5A" w:rsidRPr="00117F5A">
        <w:rPr>
          <w:b w:val="0"/>
          <w:bCs w:val="0"/>
        </w:rPr>
        <w:t>in dealing with an individual arrested by a private person</w:t>
      </w:r>
      <w:r w:rsidR="00117F5A">
        <w:rPr>
          <w:b w:val="0"/>
          <w:bCs w:val="0"/>
        </w:rPr>
        <w:t xml:space="preserve">. </w:t>
      </w:r>
      <w:r w:rsidR="00CD1ECF" w:rsidRPr="004D045F">
        <w:rPr>
          <w:b w:val="0"/>
          <w:bCs w:val="0"/>
        </w:rPr>
        <w:t xml:space="preserve">On a quick read </w:t>
      </w:r>
      <w:r w:rsidR="00123014" w:rsidRPr="004D045F">
        <w:rPr>
          <w:b w:val="0"/>
          <w:bCs w:val="0"/>
        </w:rPr>
        <w:t xml:space="preserve">of the </w:t>
      </w:r>
      <w:r w:rsidR="00123014" w:rsidRPr="00117F5A">
        <w:rPr>
          <w:b w:val="0"/>
          <w:bCs w:val="0"/>
          <w:i/>
        </w:rPr>
        <w:t>Criminal Procedure Act</w:t>
      </w:r>
      <w:r w:rsidR="00123014" w:rsidRPr="004D045F">
        <w:rPr>
          <w:b w:val="0"/>
          <w:bCs w:val="0"/>
        </w:rPr>
        <w:t xml:space="preserve"> 51 of 1977, </w:t>
      </w:r>
      <w:r w:rsidR="00CD1ECF" w:rsidRPr="004D045F">
        <w:rPr>
          <w:b w:val="0"/>
          <w:bCs w:val="0"/>
        </w:rPr>
        <w:t>the duties of the police</w:t>
      </w:r>
      <w:r w:rsidR="00123014" w:rsidRPr="004D045F">
        <w:rPr>
          <w:b w:val="0"/>
          <w:bCs w:val="0"/>
        </w:rPr>
        <w:t xml:space="preserve"> in such a case</w:t>
      </w:r>
      <w:r w:rsidR="00040746">
        <w:rPr>
          <w:b w:val="0"/>
          <w:bCs w:val="0"/>
        </w:rPr>
        <w:t>,</w:t>
      </w:r>
      <w:r w:rsidR="00CD1ECF" w:rsidRPr="004D045F">
        <w:rPr>
          <w:b w:val="0"/>
          <w:bCs w:val="0"/>
        </w:rPr>
        <w:t xml:space="preserve"> apart from </w:t>
      </w:r>
      <w:r w:rsidR="00123014" w:rsidRPr="004D045F">
        <w:rPr>
          <w:b w:val="0"/>
          <w:bCs w:val="0"/>
        </w:rPr>
        <w:t>having to bring such a person “</w:t>
      </w:r>
      <w:r w:rsidR="00123014" w:rsidRPr="004D045F">
        <w:rPr>
          <w:b w:val="0"/>
          <w:bCs w:val="0"/>
          <w:i/>
          <w:iCs/>
        </w:rPr>
        <w:t>before a lower court as soon as reasonably possible, but not later than 48 hours after the arrest</w:t>
      </w:r>
      <w:r w:rsidR="00123014" w:rsidRPr="004D045F">
        <w:rPr>
          <w:b w:val="0"/>
          <w:bCs w:val="0"/>
        </w:rPr>
        <w:t>”</w:t>
      </w:r>
      <w:r w:rsidR="00040746">
        <w:rPr>
          <w:b w:val="0"/>
          <w:bCs w:val="0"/>
        </w:rPr>
        <w:t xml:space="preserve"> are </w:t>
      </w:r>
      <w:r w:rsidR="00040746" w:rsidRPr="004D045F">
        <w:rPr>
          <w:b w:val="0"/>
          <w:bCs w:val="0"/>
        </w:rPr>
        <w:t>not address</w:t>
      </w:r>
      <w:r w:rsidR="00040746">
        <w:rPr>
          <w:b w:val="0"/>
          <w:bCs w:val="0"/>
        </w:rPr>
        <w:t>ed</w:t>
      </w:r>
      <w:r w:rsidR="00123014" w:rsidRPr="004D045F">
        <w:rPr>
          <w:b w:val="0"/>
          <w:bCs w:val="0"/>
        </w:rPr>
        <w:t xml:space="preserve">. </w:t>
      </w:r>
      <w:r w:rsidR="001852D7" w:rsidRPr="004D045F">
        <w:rPr>
          <w:b w:val="0"/>
          <w:bCs w:val="0"/>
        </w:rPr>
        <w:t xml:space="preserve">I base this summary on </w:t>
      </w:r>
      <w:r w:rsidR="00123014" w:rsidRPr="004D045F">
        <w:rPr>
          <w:b w:val="0"/>
          <w:bCs w:val="0"/>
        </w:rPr>
        <w:t>section 50(1)(a) that refers to “</w:t>
      </w:r>
      <w:r w:rsidR="00123014" w:rsidRPr="004D045F">
        <w:rPr>
          <w:b w:val="0"/>
          <w:bCs w:val="0"/>
          <w:i/>
          <w:iCs/>
        </w:rPr>
        <w:t>any person who is arrested with or without warrant for allegedly committing an offence, or for any other reason</w:t>
      </w:r>
      <w:r w:rsidR="00123014" w:rsidRPr="004D045F">
        <w:rPr>
          <w:b w:val="0"/>
          <w:bCs w:val="0"/>
        </w:rPr>
        <w:t xml:space="preserve">”. From amongst such persons, </w:t>
      </w:r>
      <w:r w:rsidR="001852D7" w:rsidRPr="004D045F">
        <w:rPr>
          <w:b w:val="0"/>
          <w:bCs w:val="0"/>
        </w:rPr>
        <w:t xml:space="preserve">the Act provides, </w:t>
      </w:r>
      <w:r w:rsidR="00123014" w:rsidRPr="004D045F">
        <w:rPr>
          <w:b w:val="0"/>
          <w:bCs w:val="0"/>
        </w:rPr>
        <w:t xml:space="preserve">a person arrested without a warrant must be brought to a police station as soon as possible. If bail is not granted to such person by the police or the attorney general in the defined circumstances (see sections 59 and 59A), in terms of section 50(1)(c), such a person must </w:t>
      </w:r>
      <w:r w:rsidR="00040746">
        <w:rPr>
          <w:b w:val="0"/>
          <w:bCs w:val="0"/>
        </w:rPr>
        <w:t xml:space="preserve">be </w:t>
      </w:r>
      <w:r w:rsidR="00123014" w:rsidRPr="004D045F">
        <w:rPr>
          <w:b w:val="0"/>
          <w:bCs w:val="0"/>
        </w:rPr>
        <w:t>brought “</w:t>
      </w:r>
      <w:r w:rsidR="00123014" w:rsidRPr="004D045F">
        <w:rPr>
          <w:b w:val="0"/>
          <w:bCs w:val="0"/>
          <w:i/>
          <w:iCs/>
        </w:rPr>
        <w:t>before a lower court as soon as reasonably possible, but not later than 48 hours after the arrest</w:t>
      </w:r>
      <w:r w:rsidR="00123014" w:rsidRPr="004D045F">
        <w:rPr>
          <w:b w:val="0"/>
          <w:bCs w:val="0"/>
        </w:rPr>
        <w:t xml:space="preserve">”. </w:t>
      </w:r>
      <w:r w:rsidR="00E04EBB" w:rsidRPr="004D045F">
        <w:rPr>
          <w:b w:val="0"/>
          <w:bCs w:val="0"/>
        </w:rPr>
        <w:t>This</w:t>
      </w:r>
      <w:r w:rsidR="00040746">
        <w:rPr>
          <w:b w:val="0"/>
          <w:bCs w:val="0"/>
        </w:rPr>
        <w:t>,</w:t>
      </w:r>
      <w:r w:rsidR="00E04EBB" w:rsidRPr="004D045F">
        <w:rPr>
          <w:b w:val="0"/>
          <w:bCs w:val="0"/>
        </w:rPr>
        <w:t xml:space="preserve"> the police officers did do</w:t>
      </w:r>
      <w:r w:rsidR="00C73206" w:rsidRPr="004D045F">
        <w:rPr>
          <w:b w:val="0"/>
          <w:bCs w:val="0"/>
        </w:rPr>
        <w:t xml:space="preserve"> in this case</w:t>
      </w:r>
      <w:r w:rsidR="00E04EBB" w:rsidRPr="004D045F">
        <w:rPr>
          <w:b w:val="0"/>
          <w:bCs w:val="0"/>
        </w:rPr>
        <w:t xml:space="preserve">. </w:t>
      </w:r>
      <w:r w:rsidR="00BE4EBD" w:rsidRPr="004D045F">
        <w:rPr>
          <w:b w:val="0"/>
          <w:bCs w:val="0"/>
        </w:rPr>
        <w:t>T</w:t>
      </w:r>
      <w:r w:rsidR="00123014" w:rsidRPr="004D045F">
        <w:rPr>
          <w:b w:val="0"/>
          <w:bCs w:val="0"/>
        </w:rPr>
        <w:t>he section seems to cover section 42 in the same chapter, which bears the heading “</w:t>
      </w:r>
      <w:r w:rsidR="00123014" w:rsidRPr="004D045F">
        <w:rPr>
          <w:b w:val="0"/>
          <w:bCs w:val="0"/>
          <w:i/>
          <w:iCs/>
        </w:rPr>
        <w:t>42 Arrest by private person without warrant</w:t>
      </w:r>
      <w:r w:rsidR="00123014" w:rsidRPr="004D045F">
        <w:rPr>
          <w:b w:val="0"/>
          <w:bCs w:val="0"/>
        </w:rPr>
        <w:t xml:space="preserve">”. </w:t>
      </w:r>
      <w:r w:rsidR="001852D7" w:rsidRPr="004D045F">
        <w:rPr>
          <w:b w:val="0"/>
          <w:bCs w:val="0"/>
        </w:rPr>
        <w:t>S</w:t>
      </w:r>
      <w:r w:rsidR="00123014" w:rsidRPr="004D045F">
        <w:rPr>
          <w:b w:val="0"/>
          <w:bCs w:val="0"/>
        </w:rPr>
        <w:t xml:space="preserve">ection </w:t>
      </w:r>
      <w:r w:rsidR="001852D7" w:rsidRPr="004D045F">
        <w:rPr>
          <w:b w:val="0"/>
          <w:bCs w:val="0"/>
        </w:rPr>
        <w:t xml:space="preserve">42 </w:t>
      </w:r>
      <w:r w:rsidR="00123014" w:rsidRPr="004D045F">
        <w:rPr>
          <w:b w:val="0"/>
          <w:bCs w:val="0"/>
        </w:rPr>
        <w:t>itself stipulates when a private person m</w:t>
      </w:r>
      <w:r w:rsidR="00E04EBB" w:rsidRPr="004D045F">
        <w:rPr>
          <w:b w:val="0"/>
          <w:bCs w:val="0"/>
        </w:rPr>
        <w:t>a</w:t>
      </w:r>
      <w:r w:rsidR="00123014" w:rsidRPr="004D045F">
        <w:rPr>
          <w:b w:val="0"/>
          <w:bCs w:val="0"/>
        </w:rPr>
        <w:t xml:space="preserve">y arrest </w:t>
      </w:r>
      <w:r w:rsidR="00E04EBB" w:rsidRPr="004D045F">
        <w:rPr>
          <w:b w:val="0"/>
          <w:bCs w:val="0"/>
        </w:rPr>
        <w:t xml:space="preserve">another person without a warrant. </w:t>
      </w:r>
      <w:r w:rsidR="0065202A" w:rsidRPr="004D045F">
        <w:rPr>
          <w:b w:val="0"/>
          <w:bCs w:val="0"/>
        </w:rPr>
        <w:t>The argument before me did not address this a</w:t>
      </w:r>
      <w:r w:rsidR="00BE4EBD" w:rsidRPr="004D045F">
        <w:rPr>
          <w:b w:val="0"/>
          <w:bCs w:val="0"/>
        </w:rPr>
        <w:t xml:space="preserve">spect, but see </w:t>
      </w:r>
      <w:r w:rsidR="00BE4EBD" w:rsidRPr="004D045F">
        <w:rPr>
          <w:b w:val="0"/>
          <w:bCs w:val="0"/>
          <w:i/>
          <w:iCs/>
        </w:rPr>
        <w:t>Damon v Greatermans Stores Ltd and Another</w:t>
      </w:r>
      <w:r w:rsidR="00BE4EBD" w:rsidRPr="004D045F">
        <w:rPr>
          <w:b w:val="0"/>
          <w:bCs w:val="0"/>
        </w:rPr>
        <w:t xml:space="preserve"> 1984 (4) SA 143 (W) at </w:t>
      </w:r>
      <w:r w:rsidR="00BE4EBD" w:rsidRPr="00270709">
        <w:rPr>
          <w:b w:val="0"/>
          <w:bCs w:val="0"/>
        </w:rPr>
        <w:t>14</w:t>
      </w:r>
      <w:r w:rsidR="00270709" w:rsidRPr="003638C0">
        <w:rPr>
          <w:b w:val="0"/>
          <w:bCs w:val="0"/>
        </w:rPr>
        <w:t>8I</w:t>
      </w:r>
      <w:r w:rsidR="00BE4EBD" w:rsidRPr="004D045F">
        <w:rPr>
          <w:b w:val="0"/>
          <w:bCs w:val="0"/>
        </w:rPr>
        <w:t xml:space="preserve"> that interpreted section 50(1) of the </w:t>
      </w:r>
      <w:r w:rsidR="00BE4EBD" w:rsidRPr="003638C0">
        <w:rPr>
          <w:b w:val="0"/>
          <w:bCs w:val="0"/>
          <w:iCs/>
        </w:rPr>
        <w:t>Criminal Procedure Act</w:t>
      </w:r>
      <w:r w:rsidR="00BE4EBD" w:rsidRPr="004D045F">
        <w:rPr>
          <w:b w:val="0"/>
          <w:bCs w:val="0"/>
        </w:rPr>
        <w:t xml:space="preserve"> to apply to an arrest by private person without warrant.</w:t>
      </w:r>
      <w:r w:rsidR="00117F5A" w:rsidRPr="00117F5A">
        <w:rPr>
          <w:b w:val="0"/>
          <w:bCs w:val="0"/>
        </w:rPr>
        <w:t xml:space="preserve"> Again, on a quick read, the Criminal Procedure Act also does not seem to suggest that a further arrest by the police in terms of section 40 must take place. I find no such case authority, and cannot with respect, see the need for such a provision. </w:t>
      </w:r>
    </w:p>
    <w:p w14:paraId="6E835F61" w14:textId="1BD5C3CF" w:rsidR="003C72B2" w:rsidRDefault="001D5FD8" w:rsidP="001D5FD8">
      <w:pPr>
        <w:pStyle w:val="BodyText"/>
        <w:ind w:left="822" w:hanging="822"/>
        <w:rPr>
          <w:b w:val="0"/>
          <w:bCs w:val="0"/>
        </w:rPr>
        <w:pPrChange w:id="99" w:author="Graeme Rennie" w:date="2021-11-24T13:14:00Z">
          <w:pPr>
            <w:pStyle w:val="BodyText"/>
            <w:numPr>
              <w:numId w:val="2"/>
            </w:numPr>
            <w:ind w:left="822" w:hanging="822"/>
          </w:pPr>
        </w:pPrChange>
      </w:pPr>
      <w:r>
        <w:rPr>
          <w:b w:val="0"/>
          <w:bCs w:val="0"/>
        </w:rPr>
        <w:t>[51]</w:t>
      </w:r>
      <w:r>
        <w:rPr>
          <w:b w:val="0"/>
          <w:bCs w:val="0"/>
        </w:rPr>
        <w:tab/>
      </w:r>
      <w:r w:rsidR="003C72B2">
        <w:rPr>
          <w:b w:val="0"/>
          <w:bCs w:val="0"/>
        </w:rPr>
        <w:t xml:space="preserve">It seems that the question </w:t>
      </w:r>
      <w:r w:rsidR="00117F5A">
        <w:rPr>
          <w:b w:val="0"/>
          <w:bCs w:val="0"/>
        </w:rPr>
        <w:t xml:space="preserve">about the obligations of the police in dealing with a an individual arrested by a private person is one that does not arise from </w:t>
      </w:r>
      <w:r w:rsidR="00117F5A" w:rsidRPr="00117F5A">
        <w:rPr>
          <w:b w:val="0"/>
          <w:bCs w:val="0"/>
        </w:rPr>
        <w:t>the Criminal Procedure Act</w:t>
      </w:r>
      <w:r w:rsidR="00117F5A">
        <w:rPr>
          <w:b w:val="0"/>
          <w:bCs w:val="0"/>
        </w:rPr>
        <w:t xml:space="preserve">. Instead, it seems </w:t>
      </w:r>
      <w:r w:rsidR="003C72B2">
        <w:rPr>
          <w:b w:val="0"/>
          <w:bCs w:val="0"/>
        </w:rPr>
        <w:t xml:space="preserve">that the police must make a </w:t>
      </w:r>
      <w:r w:rsidR="003C72B2">
        <w:rPr>
          <w:b w:val="0"/>
          <w:bCs w:val="0"/>
        </w:rPr>
        <w:lastRenderedPageBreak/>
        <w:t xml:space="preserve">determination that the detention should continue arising from </w:t>
      </w:r>
      <w:r w:rsidR="00E04EBB" w:rsidRPr="001852D7">
        <w:rPr>
          <w:b w:val="0"/>
          <w:bCs w:val="0"/>
        </w:rPr>
        <w:t xml:space="preserve">the right to freedom of movement and the role of the police </w:t>
      </w:r>
      <w:r w:rsidR="00BE4EBD">
        <w:rPr>
          <w:b w:val="0"/>
          <w:bCs w:val="0"/>
        </w:rPr>
        <w:t xml:space="preserve">as an organ of state </w:t>
      </w:r>
      <w:r w:rsidR="00E04EBB" w:rsidRPr="001852D7">
        <w:rPr>
          <w:b w:val="0"/>
          <w:bCs w:val="0"/>
        </w:rPr>
        <w:t xml:space="preserve">to ensure the fulfilment of that right under the </w:t>
      </w:r>
      <w:r w:rsidR="00E04EBB" w:rsidRPr="003638C0">
        <w:rPr>
          <w:b w:val="0"/>
          <w:bCs w:val="0"/>
          <w:iCs/>
        </w:rPr>
        <w:t>Constitution</w:t>
      </w:r>
      <w:r w:rsidR="00E04EBB" w:rsidRPr="001852D7">
        <w:rPr>
          <w:b w:val="0"/>
          <w:bCs w:val="0"/>
        </w:rPr>
        <w:t xml:space="preserve">. </w:t>
      </w:r>
    </w:p>
    <w:p w14:paraId="3D56FC70" w14:textId="772D31A0" w:rsidR="00EB21D6" w:rsidRDefault="001D5FD8" w:rsidP="001D5FD8">
      <w:pPr>
        <w:pStyle w:val="BodyText"/>
        <w:spacing w:after="0"/>
        <w:ind w:left="822" w:hanging="822"/>
        <w:rPr>
          <w:b w:val="0"/>
          <w:bCs w:val="0"/>
        </w:rPr>
        <w:pPrChange w:id="100" w:author="Graeme Rennie" w:date="2021-11-24T13:14:00Z">
          <w:pPr>
            <w:pStyle w:val="BodyText"/>
            <w:numPr>
              <w:numId w:val="2"/>
            </w:numPr>
            <w:spacing w:after="0"/>
            <w:ind w:left="822" w:hanging="822"/>
          </w:pPr>
        </w:pPrChange>
      </w:pPr>
      <w:r>
        <w:rPr>
          <w:b w:val="0"/>
          <w:bCs w:val="0"/>
        </w:rPr>
        <w:t>[52]</w:t>
      </w:r>
      <w:r>
        <w:rPr>
          <w:b w:val="0"/>
          <w:bCs w:val="0"/>
        </w:rPr>
        <w:tab/>
      </w:r>
      <w:r w:rsidR="00EB21D6">
        <w:rPr>
          <w:b w:val="0"/>
          <w:bCs w:val="0"/>
        </w:rPr>
        <w:t xml:space="preserve">I came across </w:t>
      </w:r>
      <w:r w:rsidR="00EB21D6" w:rsidRPr="0065202A">
        <w:rPr>
          <w:b w:val="0"/>
          <w:bCs w:val="0"/>
          <w:i/>
          <w:iCs/>
        </w:rPr>
        <w:t>Mtshemla and Another v Minister of Police and Others</w:t>
      </w:r>
      <w:r w:rsidR="00EB21D6" w:rsidRPr="0065202A">
        <w:rPr>
          <w:b w:val="0"/>
          <w:bCs w:val="0"/>
        </w:rPr>
        <w:t xml:space="preserve"> 2020 (2) SACR 254 (ECM)</w:t>
      </w:r>
      <w:r w:rsidR="00EB21D6">
        <w:rPr>
          <w:b w:val="0"/>
          <w:bCs w:val="0"/>
        </w:rPr>
        <w:t xml:space="preserve">, a full bench decision by </w:t>
      </w:r>
      <w:r w:rsidR="00EB21D6" w:rsidRPr="0065202A">
        <w:rPr>
          <w:b w:val="0"/>
          <w:bCs w:val="0"/>
        </w:rPr>
        <w:t>Griffiths</w:t>
      </w:r>
      <w:r w:rsidR="00EB21D6">
        <w:rPr>
          <w:b w:val="0"/>
          <w:bCs w:val="0"/>
        </w:rPr>
        <w:t xml:space="preserve"> J (Brooks J concurring) </w:t>
      </w:r>
      <w:r w:rsidR="00886B70">
        <w:rPr>
          <w:b w:val="0"/>
          <w:bCs w:val="0"/>
        </w:rPr>
        <w:t xml:space="preserve">which </w:t>
      </w:r>
      <w:r w:rsidR="00EB21D6">
        <w:rPr>
          <w:b w:val="0"/>
          <w:bCs w:val="0"/>
        </w:rPr>
        <w:t xml:space="preserve">dealt with a civilian arrest </w:t>
      </w:r>
      <w:r w:rsidR="003C72B2">
        <w:rPr>
          <w:b w:val="0"/>
          <w:bCs w:val="0"/>
        </w:rPr>
        <w:t>where the court held</w:t>
      </w:r>
      <w:r w:rsidR="00EB21D6">
        <w:rPr>
          <w:b w:val="0"/>
          <w:bCs w:val="0"/>
        </w:rPr>
        <w:t xml:space="preserve"> at para</w:t>
      </w:r>
      <w:r w:rsidR="00270709">
        <w:rPr>
          <w:b w:val="0"/>
          <w:bCs w:val="0"/>
        </w:rPr>
        <w:t>graph</w:t>
      </w:r>
      <w:r w:rsidR="00EB21D6">
        <w:rPr>
          <w:b w:val="0"/>
          <w:bCs w:val="0"/>
        </w:rPr>
        <w:t xml:space="preserve"> 19:</w:t>
      </w:r>
    </w:p>
    <w:p w14:paraId="4D1F2EC0" w14:textId="77777777" w:rsidR="00EB21D6" w:rsidRPr="0065202A" w:rsidRDefault="00EB21D6" w:rsidP="00EB21D6">
      <w:pPr>
        <w:pStyle w:val="BodyText"/>
        <w:spacing w:line="276" w:lineRule="auto"/>
        <w:ind w:left="2160" w:hanging="720"/>
        <w:rPr>
          <w:b w:val="0"/>
          <w:bCs w:val="0"/>
          <w:i/>
          <w:iCs/>
          <w:sz w:val="22"/>
          <w:szCs w:val="22"/>
        </w:rPr>
      </w:pPr>
      <w:r>
        <w:rPr>
          <w:b w:val="0"/>
          <w:bCs w:val="0"/>
        </w:rPr>
        <w:t>“</w:t>
      </w:r>
      <w:r w:rsidRPr="0065202A">
        <w:rPr>
          <w:b w:val="0"/>
          <w:bCs w:val="0"/>
          <w:i/>
          <w:iCs/>
          <w:sz w:val="22"/>
          <w:szCs w:val="22"/>
        </w:rPr>
        <w:t>[19]</w:t>
      </w:r>
      <w:r w:rsidRPr="0065202A">
        <w:rPr>
          <w:b w:val="0"/>
          <w:bCs w:val="0"/>
          <w:i/>
          <w:iCs/>
          <w:sz w:val="22"/>
          <w:szCs w:val="22"/>
        </w:rPr>
        <w:tab/>
        <w:t>The upshot of all this is that the magistrate ought to have found that the respondents had not established that the arrest itself was lawful. That being so, the subsequent two and a half days detention was also unlawful. It was incumbent on the police who detained the appellants to ensure that their arrest had been lawful. To simply detain the appellants, apparently on the say-so of a civilian who had arrested them, does not seem to me to be sufficient. Surely, at the very least, there should be an interrogation of some sort to ensure that the arrest was lawful. After all:</w:t>
      </w:r>
    </w:p>
    <w:p w14:paraId="40516254" w14:textId="77777777" w:rsidR="00EB21D6" w:rsidRPr="0065202A" w:rsidRDefault="00EB21D6" w:rsidP="00EB21D6">
      <w:pPr>
        <w:pStyle w:val="BodyText"/>
        <w:spacing w:line="276" w:lineRule="auto"/>
        <w:ind w:left="2880"/>
        <w:rPr>
          <w:b w:val="0"/>
          <w:bCs w:val="0"/>
          <w:i/>
          <w:iCs/>
          <w:sz w:val="22"/>
          <w:szCs w:val="22"/>
        </w:rPr>
      </w:pPr>
      <w:r w:rsidRPr="0065202A">
        <w:rPr>
          <w:b w:val="0"/>
          <w:bCs w:val="0"/>
          <w:i/>
          <w:iCs/>
          <w:sz w:val="22"/>
          <w:szCs w:val="22"/>
        </w:rPr>
        <w:t>“Justification for the detention after an arrest until a first appearance in court continues to rest on the police. Counsel for the appellants rightly accepted this principle. So, for example, if shortly after an arrest it becomes irrefutably clear to the police that the detainee is innocent, there would be no justification for continued detention.”</w:t>
      </w:r>
      <w:r>
        <w:rPr>
          <w:rStyle w:val="FootnoteReference"/>
          <w:b w:val="0"/>
          <w:bCs w:val="0"/>
          <w:i/>
          <w:iCs/>
          <w:sz w:val="22"/>
          <w:szCs w:val="22"/>
        </w:rPr>
        <w:footnoteReference w:id="13"/>
      </w:r>
    </w:p>
    <w:p w14:paraId="36A399FB" w14:textId="4A269909" w:rsidR="00EB21D6" w:rsidRDefault="00EB21D6" w:rsidP="00EB21D6">
      <w:pPr>
        <w:pStyle w:val="BodyText"/>
        <w:spacing w:line="276" w:lineRule="auto"/>
        <w:ind w:left="2160" w:hanging="720"/>
        <w:rPr>
          <w:b w:val="0"/>
          <w:bCs w:val="0"/>
        </w:rPr>
      </w:pPr>
      <w:r w:rsidRPr="0065202A">
        <w:rPr>
          <w:b w:val="0"/>
          <w:bCs w:val="0"/>
          <w:i/>
          <w:iCs/>
          <w:sz w:val="22"/>
          <w:szCs w:val="22"/>
        </w:rPr>
        <w:t>[20]</w:t>
      </w:r>
      <w:r w:rsidRPr="0065202A">
        <w:rPr>
          <w:b w:val="0"/>
          <w:bCs w:val="0"/>
          <w:i/>
          <w:iCs/>
          <w:sz w:val="22"/>
          <w:szCs w:val="22"/>
        </w:rPr>
        <w:tab/>
        <w:t>I would add that if, shortly after an arrest, it becomes irrefutably clear to the police that the arrest was unlawful, there would be no justification for any further detention</w:t>
      </w:r>
      <w:r w:rsidRPr="0065202A">
        <w:rPr>
          <w:b w:val="0"/>
          <w:bCs w:val="0"/>
        </w:rPr>
        <w:t>.</w:t>
      </w:r>
      <w:r>
        <w:rPr>
          <w:b w:val="0"/>
          <w:bCs w:val="0"/>
        </w:rPr>
        <w:t>”</w:t>
      </w:r>
    </w:p>
    <w:p w14:paraId="1A483738" w14:textId="416FC033" w:rsidR="00220C0E" w:rsidRDefault="001D5FD8" w:rsidP="001D5FD8">
      <w:pPr>
        <w:ind w:left="822" w:hanging="822"/>
        <w:pPrChange w:id="101" w:author="Graeme Rennie" w:date="2021-11-24T13:14:00Z">
          <w:pPr>
            <w:pStyle w:val="ListParagraph"/>
            <w:numPr>
              <w:numId w:val="2"/>
            </w:numPr>
            <w:ind w:left="822" w:hanging="822"/>
          </w:pPr>
        </w:pPrChange>
      </w:pPr>
      <w:r>
        <w:rPr>
          <w:rFonts w:ascii="Arial" w:hAnsi="Arial" w:cs="Arial"/>
          <w:sz w:val="24"/>
          <w:szCs w:val="24"/>
        </w:rPr>
        <w:t>[53]</w:t>
      </w:r>
      <w:r>
        <w:rPr>
          <w:rFonts w:ascii="Arial" w:hAnsi="Arial" w:cs="Arial"/>
          <w:sz w:val="24"/>
          <w:szCs w:val="24"/>
        </w:rPr>
        <w:tab/>
      </w:r>
      <w:r w:rsidR="00E35E03">
        <w:t xml:space="preserve">The case relied upon in </w:t>
      </w:r>
      <w:r w:rsidR="00E35E03" w:rsidRPr="001D5FD8">
        <w:rPr>
          <w:i/>
          <w:iCs/>
        </w:rPr>
        <w:t>Mtshemla</w:t>
      </w:r>
      <w:r w:rsidR="00E35E03">
        <w:t xml:space="preserve">, </w:t>
      </w:r>
      <w:r w:rsidR="00E35E03" w:rsidRPr="001D5FD8">
        <w:rPr>
          <w:i/>
          <w:iCs/>
        </w:rPr>
        <w:t>Minister of Police and Another v Du Plessis</w:t>
      </w:r>
      <w:r w:rsidR="00E35E03">
        <w:t xml:space="preserve">, </w:t>
      </w:r>
      <w:r w:rsidR="00220C0E">
        <w:t>dealt with a damages claim for unlawful arrest and detention. That judgment held in paragraphs 16-17:</w:t>
      </w:r>
    </w:p>
    <w:p w14:paraId="364D4126" w14:textId="1135B26D" w:rsidR="00220C0E" w:rsidRPr="00220C0E" w:rsidRDefault="00220C0E" w:rsidP="00220C0E">
      <w:pPr>
        <w:pStyle w:val="ListParagraph"/>
        <w:spacing w:line="276" w:lineRule="auto"/>
        <w:ind w:left="1440" w:firstLine="0"/>
        <w:rPr>
          <w:i/>
          <w:iCs/>
          <w:sz w:val="22"/>
          <w:szCs w:val="22"/>
        </w:rPr>
      </w:pPr>
      <w:r>
        <w:t>“</w:t>
      </w:r>
      <w:r w:rsidRPr="00220C0E">
        <w:rPr>
          <w:i/>
          <w:iCs/>
          <w:sz w:val="22"/>
          <w:szCs w:val="22"/>
        </w:rPr>
        <w:t>[16] In Zealand v Minister of Justice and Constitutional Development and Another [2008] ZACC 3; 2008 (4) SA 458 (CC) para 24 the following is said:</w:t>
      </w:r>
    </w:p>
    <w:p w14:paraId="0C79FC8F" w14:textId="12434ED9" w:rsidR="00220C0E" w:rsidRPr="00220C0E" w:rsidRDefault="00220C0E" w:rsidP="00220C0E">
      <w:pPr>
        <w:pStyle w:val="ListParagraph"/>
        <w:spacing w:line="276" w:lineRule="auto"/>
        <w:ind w:left="2160" w:firstLine="0"/>
        <w:contextualSpacing w:val="0"/>
        <w:rPr>
          <w:i/>
          <w:iCs/>
          <w:sz w:val="22"/>
          <w:szCs w:val="22"/>
        </w:rPr>
      </w:pPr>
      <w:r w:rsidRPr="00220C0E">
        <w:rPr>
          <w:i/>
          <w:iCs/>
          <w:sz w:val="22"/>
          <w:szCs w:val="22"/>
        </w:rPr>
        <w:t>‘The Constitution enshrines the right to freedom and security of the person, including the right not to be deprived of freedom arbitrarily or without just cause, as well as the founding value of freedom. Accordingly, it was sufficient in this case for the applicant simply to plead that he was unlawfully detained. This he did. The respondents then bore the burden to justify the deprivation of liberty, whatever form it may have taken.’</w:t>
      </w:r>
    </w:p>
    <w:p w14:paraId="3AC1A528" w14:textId="24BEB040" w:rsidR="00E35E03" w:rsidRDefault="00220C0E" w:rsidP="0026679C">
      <w:pPr>
        <w:pStyle w:val="ListParagraph"/>
        <w:spacing w:line="276" w:lineRule="auto"/>
        <w:ind w:left="1440" w:firstLine="0"/>
        <w:contextualSpacing w:val="0"/>
      </w:pPr>
      <w:r w:rsidRPr="00220C0E">
        <w:rPr>
          <w:i/>
          <w:iCs/>
          <w:sz w:val="22"/>
          <w:szCs w:val="22"/>
        </w:rPr>
        <w:t>[17] Justification for the detention after an arrest until a first appearance in court continues to rest on the police.</w:t>
      </w:r>
      <w:r w:rsidRPr="00220C0E">
        <w:rPr>
          <w:rStyle w:val="FootnoteReference"/>
          <w:i/>
          <w:iCs/>
          <w:sz w:val="22"/>
          <w:szCs w:val="22"/>
        </w:rPr>
        <w:footnoteReference w:id="14"/>
      </w:r>
      <w:r w:rsidRPr="00220C0E">
        <w:rPr>
          <w:i/>
          <w:iCs/>
          <w:sz w:val="22"/>
          <w:szCs w:val="22"/>
        </w:rPr>
        <w:t xml:space="preserve"> Counsel for the appellants rightly accepted </w:t>
      </w:r>
      <w:r w:rsidRPr="00220C0E">
        <w:rPr>
          <w:i/>
          <w:iCs/>
          <w:sz w:val="22"/>
          <w:szCs w:val="22"/>
        </w:rPr>
        <w:lastRenderedPageBreak/>
        <w:t>this principle. So, for example, if shortly after an arrest it becomes irrefutably clear to the police that the detainee is innocent, there would be no justification for continued detention.</w:t>
      </w:r>
      <w:r w:rsidRPr="00220C0E">
        <w:rPr>
          <w:rStyle w:val="FootnoteReference"/>
          <w:i/>
          <w:iCs/>
          <w:sz w:val="22"/>
          <w:szCs w:val="22"/>
        </w:rPr>
        <w:footnoteReference w:id="15"/>
      </w:r>
      <w:r>
        <w:t>”</w:t>
      </w:r>
    </w:p>
    <w:p w14:paraId="62AFCC75" w14:textId="09ED6785" w:rsidR="00DF3B7C" w:rsidRDefault="001D5FD8" w:rsidP="001D5FD8">
      <w:pPr>
        <w:ind w:left="822" w:hanging="822"/>
        <w:pPrChange w:id="102" w:author="Graeme Rennie" w:date="2021-11-24T13:14:00Z">
          <w:pPr>
            <w:pStyle w:val="ListParagraph"/>
            <w:numPr>
              <w:numId w:val="2"/>
            </w:numPr>
            <w:ind w:left="822" w:hanging="822"/>
            <w:contextualSpacing w:val="0"/>
          </w:pPr>
        </w:pPrChange>
      </w:pPr>
      <w:r>
        <w:rPr>
          <w:rFonts w:ascii="Arial" w:hAnsi="Arial" w:cs="Arial"/>
          <w:sz w:val="24"/>
          <w:szCs w:val="24"/>
        </w:rPr>
        <w:t>[54]</w:t>
      </w:r>
      <w:r>
        <w:rPr>
          <w:rFonts w:ascii="Arial" w:hAnsi="Arial" w:cs="Arial"/>
          <w:sz w:val="24"/>
          <w:szCs w:val="24"/>
        </w:rPr>
        <w:tab/>
      </w:r>
      <w:r w:rsidR="006A5AD0" w:rsidRPr="00E35E03">
        <w:t>Assuming</w:t>
      </w:r>
      <w:r w:rsidR="00A3682D">
        <w:t>,</w:t>
      </w:r>
      <w:r w:rsidR="006A5AD0" w:rsidRPr="00E35E03">
        <w:t xml:space="preserve"> for </w:t>
      </w:r>
      <w:r w:rsidR="00886B70">
        <w:t>a</w:t>
      </w:r>
      <w:r w:rsidR="006A5AD0" w:rsidRPr="00E35E03">
        <w:t xml:space="preserve"> moment</w:t>
      </w:r>
      <w:r w:rsidR="00A3682D">
        <w:t>,</w:t>
      </w:r>
      <w:r w:rsidR="006A5AD0" w:rsidRPr="00E35E03">
        <w:t xml:space="preserve"> that the pleadings do not stand in the way of the plaintiff</w:t>
      </w:r>
      <w:r w:rsidR="00DD3840">
        <w:t>,</w:t>
      </w:r>
      <w:r w:rsidR="00EB21D6" w:rsidRPr="001D5FD8">
        <w:rPr>
          <w:i/>
          <w:iCs/>
        </w:rPr>
        <w:t xml:space="preserve"> </w:t>
      </w:r>
      <w:r w:rsidR="009C4DCD" w:rsidRPr="00E35E03">
        <w:t xml:space="preserve">then in my view in any event, </w:t>
      </w:r>
      <w:r w:rsidR="001852D7" w:rsidRPr="00E35E03">
        <w:t xml:space="preserve">the decision to detain the plaintiff was </w:t>
      </w:r>
      <w:r w:rsidR="003C72B2">
        <w:t>justified</w:t>
      </w:r>
      <w:r w:rsidR="001852D7" w:rsidRPr="00E35E03">
        <w:t>. In this case</w:t>
      </w:r>
      <w:r w:rsidR="00A3682D">
        <w:t>,</w:t>
      </w:r>
      <w:r w:rsidR="001852D7" w:rsidRPr="00E35E03">
        <w:t xml:space="preserve"> the investigating officer obtained an affidavit from Mr Dube that the plaintiff had admitted to the crime, and that he had named his accomplices. It was common cause that the plaintiff had used two surnames and more than one alleged address</w:t>
      </w:r>
      <w:r w:rsidR="003C72B2">
        <w:t xml:space="preserve">, both significant </w:t>
      </w:r>
      <w:r w:rsidR="00D42454">
        <w:t>matters</w:t>
      </w:r>
      <w:r w:rsidR="003C72B2">
        <w:t xml:space="preserve"> for </w:t>
      </w:r>
      <w:r w:rsidR="00A3682D">
        <w:t xml:space="preserve">the </w:t>
      </w:r>
      <w:r w:rsidR="003C72B2">
        <w:t>court to consider in a bail application</w:t>
      </w:r>
      <w:r w:rsidR="001852D7" w:rsidRPr="00E35E03">
        <w:t>. Theft (in this case</w:t>
      </w:r>
      <w:r w:rsidR="00886B70">
        <w:t>,</w:t>
      </w:r>
      <w:r w:rsidR="001852D7" w:rsidRPr="00E35E03">
        <w:t xml:space="preserve"> of a motor vehicle) is </w:t>
      </w:r>
      <w:r w:rsidR="00A3682D">
        <w:t xml:space="preserve">a </w:t>
      </w:r>
      <w:r w:rsidR="001852D7" w:rsidRPr="00E35E03">
        <w:t>Schedule 1</w:t>
      </w:r>
      <w:r w:rsidR="00117F5A">
        <w:rPr>
          <w:rStyle w:val="FootnoteReference"/>
        </w:rPr>
        <w:footnoteReference w:id="16"/>
      </w:r>
      <w:r w:rsidR="00A3682D">
        <w:t xml:space="preserve"> offence</w:t>
      </w:r>
      <w:r w:rsidR="001852D7" w:rsidRPr="001D5FD8">
        <w:rPr>
          <w:i/>
          <w:iCs/>
        </w:rPr>
        <w:t xml:space="preserve">. </w:t>
      </w:r>
      <w:r w:rsidR="00D42454" w:rsidRPr="0026679C">
        <w:t xml:space="preserve">This is not a case, as dealt with in Du Plessis, where the suspicion against the arrested persons did not survive even a few hours at the police station. </w:t>
      </w:r>
      <w:r w:rsidR="00D42454" w:rsidRPr="001D5FD8">
        <w:rPr>
          <w:i/>
          <w:iCs/>
        </w:rPr>
        <w:t xml:space="preserve"> </w:t>
      </w:r>
      <w:r w:rsidR="00EB21D6" w:rsidRPr="00E35E03">
        <w:t>Under those circumstances</w:t>
      </w:r>
      <w:r w:rsidR="00A3682D">
        <w:t>,</w:t>
      </w:r>
      <w:r w:rsidR="00EB21D6" w:rsidRPr="00E35E03">
        <w:t xml:space="preserve"> the police discharged their duties properly by letting a magistrate decide on detention, in a matter where the public prosecutor was properly advised that the only evidence against the plaintiff was the affidavit by Mr Dube, who is a private investigator. </w:t>
      </w:r>
    </w:p>
    <w:bookmarkEnd w:id="1"/>
    <w:p w14:paraId="230C7DCB" w14:textId="5267C75F" w:rsidR="00D97CCF" w:rsidRPr="00D97CCF" w:rsidRDefault="001D5FD8" w:rsidP="001D5FD8">
      <w:pPr>
        <w:ind w:left="822" w:hanging="822"/>
        <w:pPrChange w:id="103" w:author="Graeme Rennie" w:date="2021-11-24T13:14:00Z">
          <w:pPr>
            <w:pStyle w:val="ListParagraph"/>
            <w:numPr>
              <w:numId w:val="2"/>
            </w:numPr>
            <w:ind w:left="822" w:hanging="822"/>
            <w:contextualSpacing w:val="0"/>
          </w:pPr>
        </w:pPrChange>
      </w:pPr>
      <w:r w:rsidRPr="00D97CCF">
        <w:rPr>
          <w:rFonts w:ascii="Arial" w:hAnsi="Arial" w:cs="Arial"/>
          <w:sz w:val="24"/>
          <w:szCs w:val="24"/>
        </w:rPr>
        <w:t>[55]</w:t>
      </w:r>
      <w:r w:rsidRPr="00D97CCF">
        <w:rPr>
          <w:rFonts w:ascii="Arial" w:hAnsi="Arial" w:cs="Arial"/>
          <w:sz w:val="24"/>
          <w:szCs w:val="24"/>
        </w:rPr>
        <w:tab/>
      </w:r>
      <w:r w:rsidR="00D42454" w:rsidRPr="001D5FD8">
        <w:rPr>
          <w:color w:val="000000"/>
          <w:rPrChange w:id="104" w:author="Graeme Rennie" w:date="2021-11-24T13:14:00Z">
            <w:rPr/>
          </w:rPrChange>
        </w:rPr>
        <w:t xml:space="preserve">Accordingly, I find that the </w:t>
      </w:r>
      <w:r w:rsidR="00D97CCF" w:rsidRPr="001D5FD8">
        <w:rPr>
          <w:color w:val="000000"/>
          <w:rPrChange w:id="105" w:author="Graeme Rennie" w:date="2021-11-24T13:14:00Z">
            <w:rPr/>
          </w:rPrChange>
        </w:rPr>
        <w:t xml:space="preserve">plaintiff’s claim for unlawful arrest by the </w:t>
      </w:r>
      <w:r w:rsidR="00A3682D" w:rsidRPr="001D5FD8">
        <w:rPr>
          <w:color w:val="000000"/>
          <w:rPrChange w:id="106" w:author="Graeme Rennie" w:date="2021-11-24T13:14:00Z">
            <w:rPr/>
          </w:rPrChange>
        </w:rPr>
        <w:t>police, for</w:t>
      </w:r>
      <w:r w:rsidR="00D97CCF" w:rsidRPr="001D5FD8">
        <w:rPr>
          <w:color w:val="000000"/>
          <w:rPrChange w:id="107" w:author="Graeme Rennie" w:date="2021-11-24T13:14:00Z">
            <w:rPr/>
          </w:rPrChange>
        </w:rPr>
        <w:t xml:space="preserve"> assault and torture by the police, </w:t>
      </w:r>
      <w:r w:rsidR="007A777B" w:rsidRPr="001D5FD8">
        <w:rPr>
          <w:color w:val="000000"/>
          <w:rPrChange w:id="108" w:author="Graeme Rennie" w:date="2021-11-24T13:14:00Z">
            <w:rPr/>
          </w:rPrChange>
        </w:rPr>
        <w:t xml:space="preserve">and </w:t>
      </w:r>
      <w:r w:rsidR="00671F6E" w:rsidRPr="001D5FD8">
        <w:rPr>
          <w:color w:val="000000"/>
          <w:rPrChange w:id="109" w:author="Graeme Rennie" w:date="2021-11-24T13:14:00Z">
            <w:rPr/>
          </w:rPrChange>
        </w:rPr>
        <w:t xml:space="preserve">also </w:t>
      </w:r>
      <w:r w:rsidR="007A777B" w:rsidRPr="001D5FD8">
        <w:rPr>
          <w:color w:val="000000"/>
          <w:rPrChange w:id="110" w:author="Graeme Rennie" w:date="2021-11-24T13:14:00Z">
            <w:rPr/>
          </w:rPrChange>
        </w:rPr>
        <w:t>for unlawful detention</w:t>
      </w:r>
      <w:r w:rsidR="00A3682D" w:rsidRPr="001D5FD8">
        <w:rPr>
          <w:color w:val="000000"/>
          <w:rPrChange w:id="111" w:author="Graeme Rennie" w:date="2021-11-24T13:14:00Z">
            <w:rPr/>
          </w:rPrChange>
        </w:rPr>
        <w:t>,</w:t>
      </w:r>
      <w:r w:rsidR="007A777B" w:rsidRPr="001D5FD8">
        <w:rPr>
          <w:color w:val="000000"/>
          <w:rPrChange w:id="112" w:author="Graeme Rennie" w:date="2021-11-24T13:14:00Z">
            <w:rPr/>
          </w:rPrChange>
        </w:rPr>
        <w:t xml:space="preserve"> </w:t>
      </w:r>
      <w:r w:rsidR="00D97CCF" w:rsidRPr="001D5FD8">
        <w:rPr>
          <w:color w:val="000000"/>
          <w:rPrChange w:id="113" w:author="Graeme Rennie" w:date="2021-11-24T13:14:00Z">
            <w:rPr/>
          </w:rPrChange>
        </w:rPr>
        <w:t xml:space="preserve">must fail. </w:t>
      </w:r>
    </w:p>
    <w:p w14:paraId="70A14699" w14:textId="77777777" w:rsidR="0058018A" w:rsidRPr="00BF68DB" w:rsidRDefault="0058018A" w:rsidP="0037744D">
      <w:pPr>
        <w:spacing w:line="360" w:lineRule="auto"/>
        <w:jc w:val="both"/>
        <w:rPr>
          <w:rFonts w:ascii="Arial" w:hAnsi="Arial" w:cs="Arial"/>
          <w:sz w:val="24"/>
          <w:szCs w:val="24"/>
        </w:rPr>
      </w:pPr>
      <w:r w:rsidRPr="00BF68DB">
        <w:rPr>
          <w:rFonts w:ascii="Arial" w:hAnsi="Arial" w:cs="Arial"/>
          <w:sz w:val="24"/>
          <w:szCs w:val="24"/>
        </w:rPr>
        <w:t xml:space="preserve">Accordingly, I </w:t>
      </w:r>
      <w:r w:rsidR="00AA34FD" w:rsidRPr="00BF68DB">
        <w:rPr>
          <w:rFonts w:ascii="Arial" w:hAnsi="Arial" w:cs="Arial"/>
          <w:sz w:val="24"/>
          <w:szCs w:val="24"/>
        </w:rPr>
        <w:t xml:space="preserve">make </w:t>
      </w:r>
      <w:r w:rsidRPr="00BF68DB">
        <w:rPr>
          <w:rFonts w:ascii="Arial" w:hAnsi="Arial" w:cs="Arial"/>
          <w:sz w:val="24"/>
          <w:szCs w:val="24"/>
        </w:rPr>
        <w:t>the following order:</w:t>
      </w:r>
    </w:p>
    <w:p w14:paraId="761E3DF6" w14:textId="0C05BB13" w:rsidR="0058018A" w:rsidRPr="00BF68DB" w:rsidRDefault="001D5FD8" w:rsidP="001D5FD8">
      <w:pPr>
        <w:ind w:left="1077" w:hanging="720"/>
        <w:pPrChange w:id="114" w:author="Graeme Rennie" w:date="2021-11-24T13:14:00Z">
          <w:pPr>
            <w:pStyle w:val="ListParagraph"/>
            <w:numPr>
              <w:numId w:val="11"/>
            </w:numPr>
            <w:ind w:left="1077" w:hanging="720"/>
            <w:contextualSpacing w:val="0"/>
          </w:pPr>
        </w:pPrChange>
      </w:pPr>
      <w:r w:rsidRPr="00BF68DB">
        <w:rPr>
          <w:rFonts w:ascii="Arial" w:hAnsi="Arial" w:cs="Arial"/>
          <w:sz w:val="24"/>
          <w:szCs w:val="24"/>
        </w:rPr>
        <w:t>1.</w:t>
      </w:r>
      <w:r w:rsidRPr="00BF68DB">
        <w:rPr>
          <w:rFonts w:ascii="Arial" w:hAnsi="Arial" w:cs="Arial"/>
          <w:sz w:val="24"/>
          <w:szCs w:val="24"/>
        </w:rPr>
        <w:tab/>
      </w:r>
      <w:r w:rsidR="00D856E0">
        <w:t>The action is dismissed with costs, including all reserved costs.</w:t>
      </w:r>
    </w:p>
    <w:p w14:paraId="013BF33E" w14:textId="77777777" w:rsidR="0058018A" w:rsidRPr="00BF68DB" w:rsidRDefault="0058018A" w:rsidP="0037744D">
      <w:pPr>
        <w:spacing w:after="0" w:line="360" w:lineRule="auto"/>
        <w:ind w:left="4320" w:firstLine="720"/>
        <w:jc w:val="both"/>
        <w:rPr>
          <w:rFonts w:ascii="Arial" w:hAnsi="Arial" w:cs="Arial"/>
          <w:sz w:val="24"/>
          <w:szCs w:val="24"/>
        </w:rPr>
      </w:pPr>
      <w:r w:rsidRPr="00BF68DB">
        <w:rPr>
          <w:rFonts w:ascii="Arial" w:hAnsi="Arial" w:cs="Arial"/>
          <w:sz w:val="24"/>
          <w:szCs w:val="24"/>
        </w:rPr>
        <w:t>____________________</w:t>
      </w:r>
    </w:p>
    <w:p w14:paraId="73EF4226" w14:textId="77777777" w:rsidR="0058018A" w:rsidRPr="00BF68DB" w:rsidRDefault="0058018A" w:rsidP="0037744D">
      <w:pPr>
        <w:spacing w:line="360" w:lineRule="auto"/>
        <w:ind w:left="4320" w:firstLine="720"/>
        <w:jc w:val="both"/>
        <w:rPr>
          <w:rFonts w:ascii="Arial" w:hAnsi="Arial" w:cs="Arial"/>
          <w:sz w:val="24"/>
          <w:szCs w:val="24"/>
        </w:rPr>
      </w:pPr>
      <w:r w:rsidRPr="00BF68DB">
        <w:rPr>
          <w:rFonts w:ascii="Arial" w:hAnsi="Arial" w:cs="Arial"/>
          <w:sz w:val="24"/>
          <w:szCs w:val="24"/>
        </w:rPr>
        <w:t>DP de Villiers AJ</w:t>
      </w:r>
    </w:p>
    <w:p w14:paraId="3CC9A797" w14:textId="77777777" w:rsidR="0058018A" w:rsidRPr="00BF68DB" w:rsidRDefault="0058018A" w:rsidP="0037744D">
      <w:pPr>
        <w:spacing w:line="360" w:lineRule="auto"/>
        <w:jc w:val="both"/>
        <w:rPr>
          <w:rFonts w:ascii="Arial" w:hAnsi="Arial" w:cs="Arial"/>
          <w:sz w:val="24"/>
          <w:szCs w:val="24"/>
        </w:rPr>
      </w:pPr>
    </w:p>
    <w:p w14:paraId="1F2F0D92" w14:textId="1B0CC80F" w:rsidR="0058018A" w:rsidRPr="00BF68DB" w:rsidRDefault="0058018A" w:rsidP="0037744D">
      <w:pPr>
        <w:spacing w:line="360" w:lineRule="auto"/>
        <w:jc w:val="both"/>
        <w:rPr>
          <w:rFonts w:ascii="Arial" w:hAnsi="Arial" w:cs="Arial"/>
          <w:sz w:val="24"/>
          <w:szCs w:val="24"/>
        </w:rPr>
      </w:pPr>
      <w:r w:rsidRPr="00BF68DB">
        <w:rPr>
          <w:rFonts w:ascii="Arial" w:hAnsi="Arial" w:cs="Arial"/>
          <w:sz w:val="24"/>
          <w:szCs w:val="24"/>
        </w:rPr>
        <w:lastRenderedPageBreak/>
        <w:t>Heard on:</w:t>
      </w:r>
      <w:r w:rsidRPr="00BF68DB">
        <w:rPr>
          <w:rFonts w:ascii="Arial" w:hAnsi="Arial" w:cs="Arial"/>
          <w:sz w:val="24"/>
          <w:szCs w:val="24"/>
        </w:rPr>
        <w:tab/>
      </w:r>
      <w:r w:rsidRPr="00BF68DB">
        <w:rPr>
          <w:rFonts w:ascii="Arial" w:hAnsi="Arial" w:cs="Arial"/>
          <w:sz w:val="24"/>
          <w:szCs w:val="24"/>
        </w:rPr>
        <w:tab/>
      </w:r>
      <w:r w:rsidR="00F8155A">
        <w:rPr>
          <w:rFonts w:ascii="Arial" w:hAnsi="Arial" w:cs="Arial"/>
          <w:sz w:val="24"/>
          <w:szCs w:val="24"/>
        </w:rPr>
        <w:t>3 and 4 August 2021, and 20 and 21 September</w:t>
      </w:r>
      <w:r w:rsidRPr="00BF68DB">
        <w:rPr>
          <w:rFonts w:ascii="Arial" w:hAnsi="Arial" w:cs="Arial"/>
          <w:sz w:val="24"/>
          <w:szCs w:val="24"/>
        </w:rPr>
        <w:t xml:space="preserve"> 202</w:t>
      </w:r>
      <w:r w:rsidR="00F8155A">
        <w:rPr>
          <w:rFonts w:ascii="Arial" w:hAnsi="Arial" w:cs="Arial"/>
          <w:sz w:val="24"/>
          <w:szCs w:val="24"/>
        </w:rPr>
        <w:t>1</w:t>
      </w:r>
      <w:r w:rsidRPr="00BF68DB">
        <w:rPr>
          <w:rFonts w:ascii="Arial" w:hAnsi="Arial" w:cs="Arial"/>
          <w:sz w:val="24"/>
          <w:szCs w:val="24"/>
        </w:rPr>
        <w:t xml:space="preserve"> </w:t>
      </w:r>
    </w:p>
    <w:p w14:paraId="6B2858FA" w14:textId="78F6141B" w:rsidR="0058018A" w:rsidRPr="00BF68DB" w:rsidRDefault="0058018A" w:rsidP="0037744D">
      <w:pPr>
        <w:spacing w:line="360" w:lineRule="auto"/>
        <w:jc w:val="both"/>
        <w:rPr>
          <w:rFonts w:ascii="Arial" w:hAnsi="Arial" w:cs="Arial"/>
          <w:sz w:val="24"/>
          <w:szCs w:val="24"/>
        </w:rPr>
      </w:pPr>
      <w:r w:rsidRPr="00BF68DB">
        <w:rPr>
          <w:rFonts w:ascii="Arial" w:hAnsi="Arial" w:cs="Arial"/>
          <w:sz w:val="24"/>
          <w:szCs w:val="24"/>
        </w:rPr>
        <w:t>Delivered on:</w:t>
      </w:r>
      <w:r w:rsidRPr="00BF68DB">
        <w:rPr>
          <w:rFonts w:ascii="Arial" w:hAnsi="Arial" w:cs="Arial"/>
          <w:sz w:val="24"/>
          <w:szCs w:val="24"/>
        </w:rPr>
        <w:tab/>
      </w:r>
      <w:r w:rsidRPr="00BF68DB">
        <w:rPr>
          <w:rFonts w:ascii="Arial" w:hAnsi="Arial" w:cs="Arial"/>
          <w:sz w:val="24"/>
          <w:szCs w:val="24"/>
        </w:rPr>
        <w:tab/>
      </w:r>
      <w:r w:rsidR="00D32CD0">
        <w:rPr>
          <w:rFonts w:ascii="Arial" w:hAnsi="Arial" w:cs="Arial"/>
          <w:sz w:val="24"/>
          <w:szCs w:val="24"/>
        </w:rPr>
        <w:t>9 November 2021</w:t>
      </w:r>
      <w:r w:rsidRPr="00BF68DB">
        <w:rPr>
          <w:rFonts w:ascii="Arial" w:hAnsi="Arial" w:cs="Arial"/>
          <w:sz w:val="24"/>
          <w:szCs w:val="24"/>
        </w:rPr>
        <w:t xml:space="preserve"> by uploading on CaseLines </w:t>
      </w:r>
    </w:p>
    <w:p w14:paraId="05EA5ED8" w14:textId="77777777" w:rsidR="0058018A" w:rsidRPr="00BF68DB" w:rsidRDefault="0058018A" w:rsidP="0037744D">
      <w:pPr>
        <w:spacing w:line="360" w:lineRule="auto"/>
        <w:jc w:val="both"/>
        <w:rPr>
          <w:rFonts w:ascii="Arial" w:hAnsi="Arial" w:cs="Arial"/>
          <w:sz w:val="24"/>
          <w:szCs w:val="24"/>
        </w:rPr>
      </w:pPr>
    </w:p>
    <w:p w14:paraId="0B4526DD" w14:textId="300481B7" w:rsidR="0058018A" w:rsidRDefault="0058018A" w:rsidP="0037744D">
      <w:pPr>
        <w:spacing w:line="360" w:lineRule="auto"/>
        <w:jc w:val="both"/>
        <w:rPr>
          <w:rFonts w:ascii="Arial" w:hAnsi="Arial" w:cs="Arial"/>
          <w:sz w:val="24"/>
          <w:szCs w:val="24"/>
        </w:rPr>
      </w:pPr>
      <w:r w:rsidRPr="00BF68DB">
        <w:rPr>
          <w:rFonts w:ascii="Arial" w:hAnsi="Arial" w:cs="Arial"/>
          <w:sz w:val="24"/>
          <w:szCs w:val="24"/>
        </w:rPr>
        <w:t>On behalf of the Appellant:</w:t>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t xml:space="preserve">Adv </w:t>
      </w:r>
      <w:r w:rsidR="00F8155A" w:rsidRPr="00F8155A">
        <w:rPr>
          <w:rFonts w:ascii="Arial" w:hAnsi="Arial" w:cs="Arial"/>
          <w:sz w:val="24"/>
          <w:szCs w:val="24"/>
        </w:rPr>
        <w:t>PP Baloyi</w:t>
      </w:r>
    </w:p>
    <w:p w14:paraId="37F11D7A" w14:textId="41D1A89A" w:rsidR="00F8155A" w:rsidRPr="00BF68DB" w:rsidRDefault="00F8155A" w:rsidP="0037744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Pr="00F8155A">
        <w:rPr>
          <w:rFonts w:ascii="Arial" w:hAnsi="Arial" w:cs="Arial"/>
          <w:sz w:val="24"/>
          <w:szCs w:val="24"/>
        </w:rPr>
        <w:t>BM Khumalo</w:t>
      </w:r>
    </w:p>
    <w:p w14:paraId="76F0AE12" w14:textId="33A0B9AD" w:rsidR="0058018A" w:rsidRPr="00BF68DB" w:rsidRDefault="0058018A" w:rsidP="0037744D">
      <w:pPr>
        <w:spacing w:line="360" w:lineRule="auto"/>
        <w:jc w:val="both"/>
        <w:rPr>
          <w:rFonts w:ascii="Arial" w:hAnsi="Arial" w:cs="Arial"/>
          <w:sz w:val="24"/>
          <w:szCs w:val="24"/>
        </w:rPr>
      </w:pPr>
      <w:r w:rsidRPr="00BF68DB">
        <w:rPr>
          <w:rFonts w:ascii="Arial" w:hAnsi="Arial" w:cs="Arial"/>
          <w:sz w:val="24"/>
          <w:szCs w:val="24"/>
        </w:rPr>
        <w:t xml:space="preserve">Instructed by </w:t>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r>
      <w:r w:rsidR="00F8155A">
        <w:rPr>
          <w:rFonts w:ascii="Arial" w:hAnsi="Arial" w:cs="Arial"/>
          <w:sz w:val="24"/>
          <w:szCs w:val="24"/>
        </w:rPr>
        <w:t>Gqwede</w:t>
      </w:r>
      <w:r w:rsidRPr="00BF68DB">
        <w:rPr>
          <w:rFonts w:ascii="Arial" w:hAnsi="Arial" w:cs="Arial"/>
          <w:sz w:val="24"/>
          <w:szCs w:val="24"/>
        </w:rPr>
        <w:t xml:space="preserve"> Attorneys</w:t>
      </w:r>
      <w:r w:rsidRPr="00BF68DB">
        <w:rPr>
          <w:rFonts w:ascii="Arial" w:hAnsi="Arial" w:cs="Arial"/>
          <w:sz w:val="24"/>
          <w:szCs w:val="24"/>
        </w:rPr>
        <w:tab/>
      </w:r>
      <w:r w:rsidRPr="00BF68DB">
        <w:rPr>
          <w:rFonts w:ascii="Arial" w:hAnsi="Arial" w:cs="Arial"/>
          <w:sz w:val="24"/>
          <w:szCs w:val="24"/>
        </w:rPr>
        <w:tab/>
      </w:r>
      <w:r w:rsidRPr="00BF68DB">
        <w:rPr>
          <w:rFonts w:ascii="Arial" w:hAnsi="Arial" w:cs="Arial"/>
          <w:sz w:val="24"/>
          <w:szCs w:val="24"/>
        </w:rPr>
        <w:tab/>
      </w:r>
    </w:p>
    <w:p w14:paraId="0A52D4D0" w14:textId="3FC03C91" w:rsidR="0058018A" w:rsidRPr="00BF68DB" w:rsidRDefault="0058018A" w:rsidP="0037744D">
      <w:pPr>
        <w:spacing w:line="360" w:lineRule="auto"/>
        <w:jc w:val="both"/>
        <w:rPr>
          <w:rFonts w:ascii="Arial" w:hAnsi="Arial" w:cs="Arial"/>
          <w:sz w:val="24"/>
          <w:szCs w:val="24"/>
        </w:rPr>
      </w:pPr>
      <w:r w:rsidRPr="00BF68DB">
        <w:rPr>
          <w:rFonts w:ascii="Arial" w:hAnsi="Arial" w:cs="Arial"/>
          <w:sz w:val="24"/>
          <w:szCs w:val="24"/>
        </w:rPr>
        <w:t xml:space="preserve">On behalf of the </w:t>
      </w:r>
      <w:r w:rsidR="0026679C">
        <w:rPr>
          <w:rFonts w:ascii="Arial" w:hAnsi="Arial" w:cs="Arial"/>
          <w:sz w:val="24"/>
          <w:szCs w:val="24"/>
        </w:rPr>
        <w:t>Defendant</w:t>
      </w:r>
      <w:r w:rsidRPr="00BF68DB">
        <w:rPr>
          <w:rFonts w:ascii="Arial" w:hAnsi="Arial" w:cs="Arial"/>
          <w:sz w:val="24"/>
          <w:szCs w:val="24"/>
        </w:rPr>
        <w:t>:</w:t>
      </w:r>
      <w:r w:rsidRPr="00BF68DB">
        <w:rPr>
          <w:rFonts w:ascii="Arial" w:hAnsi="Arial" w:cs="Arial"/>
          <w:sz w:val="24"/>
          <w:szCs w:val="24"/>
        </w:rPr>
        <w:tab/>
      </w:r>
      <w:r w:rsidRPr="00BF68DB">
        <w:rPr>
          <w:rFonts w:ascii="Arial" w:hAnsi="Arial" w:cs="Arial"/>
          <w:sz w:val="24"/>
          <w:szCs w:val="24"/>
        </w:rPr>
        <w:tab/>
        <w:t xml:space="preserve">Adv </w:t>
      </w:r>
      <w:r w:rsidR="0026679C" w:rsidRPr="0026679C">
        <w:rPr>
          <w:rFonts w:ascii="Arial" w:hAnsi="Arial" w:cs="Arial"/>
          <w:sz w:val="24"/>
          <w:szCs w:val="24"/>
        </w:rPr>
        <w:t>L Tyatya</w:t>
      </w:r>
    </w:p>
    <w:p w14:paraId="26BAF52C" w14:textId="452B2C1D" w:rsidR="00151301" w:rsidRDefault="0026679C" w:rsidP="0026679C">
      <w:pPr>
        <w:spacing w:line="360" w:lineRule="auto"/>
        <w:jc w:val="both"/>
        <w:rPr>
          <w:rFonts w:ascii="Arial" w:hAnsi="Arial" w:cs="Arial"/>
          <w:sz w:val="24"/>
          <w:szCs w:val="24"/>
        </w:rPr>
      </w:pPr>
      <w:r w:rsidRPr="0026679C">
        <w:rPr>
          <w:rFonts w:ascii="Arial" w:hAnsi="Arial" w:cs="Arial"/>
          <w:sz w:val="24"/>
          <w:szCs w:val="24"/>
        </w:rPr>
        <w:t>Instructed by</w:t>
      </w:r>
      <w:r w:rsidR="00F8155A">
        <w:rPr>
          <w:rFonts w:ascii="Arial" w:hAnsi="Arial" w:cs="Arial"/>
          <w:sz w:val="24"/>
          <w:szCs w:val="24"/>
        </w:rPr>
        <w:tab/>
      </w:r>
      <w:r w:rsidR="00F8155A">
        <w:rPr>
          <w:rFonts w:ascii="Arial" w:hAnsi="Arial" w:cs="Arial"/>
          <w:sz w:val="24"/>
          <w:szCs w:val="24"/>
        </w:rPr>
        <w:tab/>
      </w:r>
      <w:r w:rsidR="00F8155A">
        <w:rPr>
          <w:rFonts w:ascii="Arial" w:hAnsi="Arial" w:cs="Arial"/>
          <w:sz w:val="24"/>
          <w:szCs w:val="24"/>
        </w:rPr>
        <w:tab/>
      </w:r>
      <w:r w:rsidR="00F8155A">
        <w:rPr>
          <w:rFonts w:ascii="Arial" w:hAnsi="Arial" w:cs="Arial"/>
          <w:sz w:val="24"/>
          <w:szCs w:val="24"/>
        </w:rPr>
        <w:tab/>
      </w:r>
      <w:r w:rsidR="00F8155A">
        <w:rPr>
          <w:rFonts w:ascii="Arial" w:hAnsi="Arial" w:cs="Arial"/>
          <w:sz w:val="24"/>
          <w:szCs w:val="24"/>
        </w:rPr>
        <w:tab/>
        <w:t>The State Attorney</w:t>
      </w:r>
    </w:p>
    <w:p w14:paraId="7B2CD26C" w14:textId="37805186" w:rsidR="00654E85" w:rsidRPr="00BF68DB" w:rsidRDefault="00654E85" w:rsidP="0026679C">
      <w:pPr>
        <w:spacing w:line="360" w:lineRule="auto"/>
        <w:jc w:val="both"/>
        <w:rPr>
          <w:rFonts w:ascii="Arial" w:hAnsi="Arial" w:cs="Arial"/>
          <w:sz w:val="24"/>
          <w:szCs w:val="24"/>
        </w:rPr>
      </w:pPr>
    </w:p>
    <w:sectPr w:rsidR="00654E85" w:rsidRPr="00BF68DB" w:rsidSect="00CD54B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A62D" w14:textId="77777777" w:rsidR="00032356" w:rsidRDefault="00032356" w:rsidP="00AD4CCB">
      <w:pPr>
        <w:spacing w:after="0" w:line="240" w:lineRule="auto"/>
      </w:pPr>
      <w:r>
        <w:separator/>
      </w:r>
    </w:p>
  </w:endnote>
  <w:endnote w:type="continuationSeparator" w:id="0">
    <w:p w14:paraId="662A9954" w14:textId="77777777" w:rsidR="00032356" w:rsidRDefault="00032356" w:rsidP="00AD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875E" w14:textId="77777777" w:rsidR="00032356" w:rsidRDefault="00032356" w:rsidP="00AD4CCB">
      <w:pPr>
        <w:spacing w:after="0" w:line="240" w:lineRule="auto"/>
      </w:pPr>
      <w:r>
        <w:separator/>
      </w:r>
    </w:p>
  </w:footnote>
  <w:footnote w:type="continuationSeparator" w:id="0">
    <w:p w14:paraId="1F48BD59" w14:textId="77777777" w:rsidR="00032356" w:rsidRDefault="00032356" w:rsidP="00AD4CCB">
      <w:pPr>
        <w:spacing w:after="0" w:line="240" w:lineRule="auto"/>
      </w:pPr>
      <w:r>
        <w:continuationSeparator/>
      </w:r>
    </w:p>
  </w:footnote>
  <w:footnote w:id="1">
    <w:p w14:paraId="3A52D82D" w14:textId="27B7188F" w:rsidR="00450374" w:rsidRPr="00450374" w:rsidRDefault="00450374">
      <w:pPr>
        <w:pStyle w:val="FootnoteText"/>
      </w:pPr>
      <w:r>
        <w:rPr>
          <w:rStyle w:val="FootnoteReference"/>
        </w:rPr>
        <w:footnoteRef/>
      </w:r>
      <w:r>
        <w:t xml:space="preserve"> T</w:t>
      </w:r>
      <w:r w:rsidRPr="00450374">
        <w:t>he date alleged earlier in the notice was 29 July 2010</w:t>
      </w:r>
      <w:r>
        <w:t>.</w:t>
      </w:r>
    </w:p>
  </w:footnote>
  <w:footnote w:id="2">
    <w:p w14:paraId="38E44A3D" w14:textId="549A4EA3" w:rsidR="00450374" w:rsidRPr="00450374" w:rsidRDefault="00450374">
      <w:pPr>
        <w:pStyle w:val="FootnoteText"/>
      </w:pPr>
      <w:r>
        <w:rPr>
          <w:rStyle w:val="FootnoteReference"/>
        </w:rPr>
        <w:footnoteRef/>
      </w:r>
      <w:r>
        <w:t xml:space="preserve"> </w:t>
      </w:r>
      <w:r w:rsidRPr="00450374">
        <w:t>R1 050 000.00</w:t>
      </w:r>
    </w:p>
  </w:footnote>
  <w:footnote w:id="3">
    <w:p w14:paraId="1241D1B5" w14:textId="399C801E" w:rsidR="00270709" w:rsidRPr="003638C0" w:rsidRDefault="00270709" w:rsidP="00B67B9A">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In argument</w:t>
      </w:r>
      <w:r>
        <w:rPr>
          <w:rFonts w:ascii="Arial" w:hAnsi="Arial" w:cs="Arial"/>
          <w:lang w:val="en-US"/>
        </w:rPr>
        <w:t>,</w:t>
      </w:r>
      <w:r w:rsidRPr="003638C0">
        <w:rPr>
          <w:rFonts w:ascii="Arial" w:hAnsi="Arial" w:cs="Arial"/>
          <w:lang w:val="en-US"/>
        </w:rPr>
        <w:t xml:space="preserve"> the plaintiff’s counsel stated the date to be 9 August 2010, but my notes show 19 </w:t>
      </w:r>
      <w:r>
        <w:rPr>
          <w:rFonts w:ascii="Arial" w:hAnsi="Arial" w:cs="Arial"/>
          <w:lang w:val="en-US"/>
        </w:rPr>
        <w:br/>
        <w:t xml:space="preserve">  </w:t>
      </w:r>
      <w:r w:rsidRPr="003638C0">
        <w:rPr>
          <w:rFonts w:ascii="Arial" w:hAnsi="Arial" w:cs="Arial"/>
          <w:lang w:val="en-US"/>
        </w:rPr>
        <w:t>August 2010.</w:t>
      </w:r>
    </w:p>
  </w:footnote>
  <w:footnote w:id="4">
    <w:p w14:paraId="32A4E345" w14:textId="671E28E5" w:rsidR="00270709" w:rsidRPr="003638C0" w:rsidRDefault="00270709">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w:t>
      </w:r>
      <w:r w:rsidRPr="003638C0">
        <w:rPr>
          <w:rFonts w:ascii="Arial" w:hAnsi="Arial" w:cs="Arial"/>
          <w:i/>
          <w:iCs/>
          <w:lang w:val="en-US"/>
        </w:rPr>
        <w:t xml:space="preserve">Stellenbosch Farmers' Winery Group Ltd and Another v Martell et Cie and Others </w:t>
      </w:r>
      <w:r w:rsidRPr="003638C0">
        <w:rPr>
          <w:rFonts w:ascii="Arial" w:hAnsi="Arial" w:cs="Arial"/>
          <w:iCs/>
          <w:lang w:val="en-US"/>
        </w:rPr>
        <w:t xml:space="preserve">2003 (1) SA </w:t>
      </w:r>
      <w:r w:rsidRPr="003638C0">
        <w:rPr>
          <w:rFonts w:ascii="Arial" w:hAnsi="Arial" w:cs="Arial"/>
          <w:iCs/>
          <w:lang w:val="en-US"/>
        </w:rPr>
        <w:br/>
        <w:t xml:space="preserve">  11 (SCA) para 5</w:t>
      </w:r>
      <w:r w:rsidRPr="003638C0">
        <w:rPr>
          <w:rFonts w:ascii="Arial" w:hAnsi="Arial" w:cs="Arial"/>
          <w:lang w:val="en-US"/>
        </w:rPr>
        <w:t>.”</w:t>
      </w:r>
    </w:p>
  </w:footnote>
  <w:footnote w:id="5">
    <w:p w14:paraId="39686F36" w14:textId="135CB9B1" w:rsidR="00270709" w:rsidRPr="003638C0" w:rsidRDefault="00270709">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w:t>
      </w:r>
      <w:r w:rsidRPr="003638C0">
        <w:rPr>
          <w:rFonts w:ascii="Arial" w:hAnsi="Arial" w:cs="Arial"/>
          <w:i/>
          <w:iCs/>
          <w:lang w:val="en-US"/>
        </w:rPr>
        <w:t xml:space="preserve">Santam Bpk v Biddulph </w:t>
      </w:r>
      <w:r w:rsidRPr="003638C0">
        <w:rPr>
          <w:rFonts w:ascii="Arial" w:hAnsi="Arial" w:cs="Arial"/>
          <w:iCs/>
          <w:lang w:val="en-US"/>
        </w:rPr>
        <w:t>2004 (5) SA 586 (SCA) ([2004] 2 All SA 23</w:t>
      </w:r>
      <w:r w:rsidR="00EB7919">
        <w:rPr>
          <w:rFonts w:ascii="Arial" w:hAnsi="Arial" w:cs="Arial"/>
          <w:iCs/>
          <w:lang w:val="en-US"/>
        </w:rPr>
        <w:t>)</w:t>
      </w:r>
      <w:r w:rsidRPr="007061BC">
        <w:rPr>
          <w:rFonts w:ascii="Arial" w:hAnsi="Arial" w:cs="Arial"/>
          <w:iCs/>
          <w:lang w:val="en-US"/>
        </w:rPr>
        <w:t xml:space="preserve"> para 5.”</w:t>
      </w:r>
    </w:p>
  </w:footnote>
  <w:footnote w:id="6">
    <w:p w14:paraId="49CD9C24" w14:textId="674C80FB" w:rsidR="00270709" w:rsidRDefault="00270709" w:rsidP="004F461C">
      <w:pPr>
        <w:pStyle w:val="FootnoteText"/>
        <w:jc w:val="both"/>
        <w:rPr>
          <w:rFonts w:ascii="Arial" w:hAnsi="Arial" w:cs="Arial"/>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i/>
        </w:rPr>
        <w:t>Stellenbosch Farmers' Winery Group Ltd and Another v Martell et Cie and Others</w:t>
      </w:r>
      <w:r w:rsidRPr="003638C0">
        <w:rPr>
          <w:rFonts w:ascii="Arial" w:hAnsi="Arial" w:cs="Arial"/>
        </w:rPr>
        <w:t xml:space="preserve"> 20</w:t>
      </w:r>
      <w:r>
        <w:rPr>
          <w:rFonts w:ascii="Arial" w:hAnsi="Arial" w:cs="Arial"/>
        </w:rPr>
        <w:t>0</w:t>
      </w:r>
      <w:r w:rsidRPr="007061BC">
        <w:rPr>
          <w:rFonts w:ascii="Arial" w:hAnsi="Arial" w:cs="Arial"/>
        </w:rPr>
        <w:t xml:space="preserve">3 (1) SA 11 </w:t>
      </w:r>
    </w:p>
    <w:p w14:paraId="00F8E61D" w14:textId="7CFD1A89" w:rsidR="00270709" w:rsidRPr="003638C0" w:rsidRDefault="00270709" w:rsidP="004F461C">
      <w:pPr>
        <w:pStyle w:val="FootnoteText"/>
        <w:jc w:val="both"/>
        <w:rPr>
          <w:rFonts w:ascii="Arial" w:hAnsi="Arial" w:cs="Arial"/>
          <w:lang w:val="en-US"/>
        </w:rPr>
      </w:pPr>
      <w:r>
        <w:rPr>
          <w:rFonts w:ascii="Arial" w:hAnsi="Arial" w:cs="Arial"/>
        </w:rPr>
        <w:t xml:space="preserve">  </w:t>
      </w:r>
      <w:r w:rsidRPr="003638C0">
        <w:rPr>
          <w:rFonts w:ascii="Arial" w:hAnsi="Arial" w:cs="Arial"/>
        </w:rPr>
        <w:t xml:space="preserve">(SCA) </w:t>
      </w:r>
      <w:r>
        <w:rPr>
          <w:rFonts w:ascii="Arial" w:hAnsi="Arial" w:cs="Arial"/>
        </w:rPr>
        <w:t>p</w:t>
      </w:r>
      <w:r w:rsidRPr="007061BC">
        <w:rPr>
          <w:rFonts w:ascii="Arial" w:hAnsi="Arial" w:cs="Arial"/>
        </w:rPr>
        <w:t>ara 5</w:t>
      </w:r>
      <w:r>
        <w:rPr>
          <w:rFonts w:ascii="Arial" w:hAnsi="Arial" w:cs="Arial"/>
        </w:rPr>
        <w:t>.</w:t>
      </w:r>
    </w:p>
  </w:footnote>
  <w:footnote w:id="7">
    <w:p w14:paraId="23E0B816" w14:textId="30A6AB85" w:rsidR="00270709" w:rsidRPr="007061BC" w:rsidRDefault="00270709" w:rsidP="00BB239D">
      <w:pPr>
        <w:pStyle w:val="FootnoteText"/>
        <w:jc w:val="both"/>
        <w:rPr>
          <w:rFonts w:ascii="Arial" w:hAnsi="Arial" w:cs="Arial"/>
        </w:rPr>
      </w:pPr>
      <w:r w:rsidRPr="003638C0">
        <w:rPr>
          <w:rStyle w:val="FootnoteReference"/>
          <w:rFonts w:ascii="Arial" w:hAnsi="Arial" w:cs="Arial"/>
        </w:rPr>
        <w:footnoteRef/>
      </w:r>
      <w:r w:rsidRPr="003638C0">
        <w:rPr>
          <w:rFonts w:ascii="Arial" w:hAnsi="Arial" w:cs="Arial"/>
        </w:rPr>
        <w:t xml:space="preserve"> See </w:t>
      </w:r>
      <w:r w:rsidRPr="003638C0">
        <w:rPr>
          <w:rFonts w:ascii="Arial" w:hAnsi="Arial" w:cs="Arial"/>
          <w:i/>
          <w:iCs/>
        </w:rPr>
        <w:t>Medscheme Holdings (Pty) Ltd and Another v Bhamjee</w:t>
      </w:r>
      <w:r w:rsidRPr="003638C0">
        <w:rPr>
          <w:rFonts w:ascii="Arial" w:hAnsi="Arial" w:cs="Arial"/>
        </w:rPr>
        <w:t xml:space="preserve"> 2005 (5) SA 339 (SCA) </w:t>
      </w:r>
      <w:r>
        <w:rPr>
          <w:rFonts w:ascii="Arial" w:hAnsi="Arial" w:cs="Arial"/>
        </w:rPr>
        <w:t>p</w:t>
      </w:r>
      <w:r w:rsidRPr="007061BC">
        <w:rPr>
          <w:rFonts w:ascii="Arial" w:hAnsi="Arial" w:cs="Arial"/>
        </w:rPr>
        <w:t xml:space="preserve">ara 14, referring </w:t>
      </w:r>
      <w:r>
        <w:rPr>
          <w:rFonts w:ascii="Arial" w:hAnsi="Arial" w:cs="Arial"/>
        </w:rPr>
        <w:br/>
        <w:t xml:space="preserve">  </w:t>
      </w:r>
      <w:r w:rsidRPr="003638C0">
        <w:rPr>
          <w:rFonts w:ascii="Arial" w:hAnsi="Arial" w:cs="Arial"/>
          <w:i/>
        </w:rPr>
        <w:t>inter alia</w:t>
      </w:r>
      <w:r>
        <w:rPr>
          <w:rFonts w:ascii="Arial" w:hAnsi="Arial" w:cs="Arial"/>
        </w:rPr>
        <w:t>,</w:t>
      </w:r>
      <w:r w:rsidRPr="003638C0">
        <w:rPr>
          <w:rFonts w:ascii="Arial" w:hAnsi="Arial" w:cs="Arial"/>
        </w:rPr>
        <w:t xml:space="preserve"> to </w:t>
      </w:r>
      <w:r w:rsidRPr="003638C0">
        <w:rPr>
          <w:rFonts w:ascii="Arial" w:hAnsi="Arial" w:cs="Arial"/>
          <w:i/>
          <w:iCs/>
        </w:rPr>
        <w:t>Santam Bpk v Biddulph</w:t>
      </w:r>
      <w:r w:rsidRPr="003638C0">
        <w:rPr>
          <w:rFonts w:ascii="Arial" w:hAnsi="Arial" w:cs="Arial"/>
        </w:rPr>
        <w:t xml:space="preserve"> 2004 (5) SA 586 (SCA) </w:t>
      </w:r>
      <w:r>
        <w:rPr>
          <w:rFonts w:ascii="Arial" w:hAnsi="Arial" w:cs="Arial"/>
        </w:rPr>
        <w:t>p</w:t>
      </w:r>
      <w:r w:rsidRPr="007061BC">
        <w:rPr>
          <w:rFonts w:ascii="Arial" w:hAnsi="Arial" w:cs="Arial"/>
        </w:rPr>
        <w:t>ara 16. See</w:t>
      </w:r>
      <w:r>
        <w:rPr>
          <w:rFonts w:ascii="Arial" w:hAnsi="Arial" w:cs="Arial"/>
        </w:rPr>
        <w:t xml:space="preserve"> also</w:t>
      </w:r>
      <w:r w:rsidRPr="003638C0">
        <w:rPr>
          <w:rFonts w:ascii="Arial" w:hAnsi="Arial" w:cs="Arial"/>
          <w:b/>
          <w:bCs/>
        </w:rPr>
        <w:t xml:space="preserve"> </w:t>
      </w:r>
      <w:r w:rsidRPr="003638C0">
        <w:rPr>
          <w:rFonts w:ascii="Arial" w:hAnsi="Arial" w:cs="Arial"/>
          <w:i/>
          <w:iCs/>
        </w:rPr>
        <w:t xml:space="preserve">Stellenbosch Farmers' </w:t>
      </w:r>
      <w:r>
        <w:rPr>
          <w:rFonts w:ascii="Arial" w:hAnsi="Arial" w:cs="Arial"/>
          <w:i/>
          <w:iCs/>
        </w:rPr>
        <w:br/>
        <w:t xml:space="preserve">  </w:t>
      </w:r>
      <w:r w:rsidRPr="003638C0">
        <w:rPr>
          <w:rFonts w:ascii="Arial" w:hAnsi="Arial" w:cs="Arial"/>
          <w:i/>
          <w:iCs/>
        </w:rPr>
        <w:t>Winery Group Ltd and Another v </w:t>
      </w:r>
      <w:bookmarkStart w:id="83" w:name="LPHit1"/>
      <w:bookmarkEnd w:id="83"/>
      <w:r w:rsidRPr="003638C0">
        <w:rPr>
          <w:rFonts w:ascii="Arial" w:hAnsi="Arial" w:cs="Arial"/>
          <w:i/>
          <w:iCs/>
        </w:rPr>
        <w:t>Martell et Cie and Others</w:t>
      </w:r>
      <w:r w:rsidRPr="003638C0">
        <w:rPr>
          <w:rFonts w:ascii="Arial" w:hAnsi="Arial" w:cs="Arial"/>
        </w:rPr>
        <w:t> 20</w:t>
      </w:r>
      <w:r>
        <w:rPr>
          <w:rFonts w:ascii="Arial" w:hAnsi="Arial" w:cs="Arial"/>
        </w:rPr>
        <w:t>0</w:t>
      </w:r>
      <w:r w:rsidRPr="007061BC">
        <w:rPr>
          <w:rFonts w:ascii="Arial" w:hAnsi="Arial" w:cs="Arial"/>
        </w:rPr>
        <w:t xml:space="preserve">3 (1) SA 11 (SCA) </w:t>
      </w:r>
      <w:r>
        <w:rPr>
          <w:rFonts w:ascii="Arial" w:hAnsi="Arial" w:cs="Arial"/>
        </w:rPr>
        <w:t>p</w:t>
      </w:r>
      <w:r w:rsidRPr="007061BC">
        <w:rPr>
          <w:rFonts w:ascii="Arial" w:hAnsi="Arial" w:cs="Arial"/>
        </w:rPr>
        <w:t xml:space="preserve">ara 5, </w:t>
      </w:r>
      <w:r w:rsidRPr="007061BC">
        <w:rPr>
          <w:rFonts w:ascii="Arial" w:hAnsi="Arial" w:cs="Arial"/>
          <w:i/>
          <w:iCs/>
        </w:rPr>
        <w:t xml:space="preserve">Dlanjwa v </w:t>
      </w:r>
      <w:r>
        <w:rPr>
          <w:rFonts w:ascii="Arial" w:hAnsi="Arial" w:cs="Arial"/>
          <w:i/>
          <w:iCs/>
        </w:rPr>
        <w:br/>
        <w:t xml:space="preserve">  </w:t>
      </w:r>
      <w:r w:rsidRPr="003638C0">
        <w:rPr>
          <w:rFonts w:ascii="Arial" w:hAnsi="Arial" w:cs="Arial"/>
          <w:i/>
          <w:iCs/>
        </w:rPr>
        <w:t>The Minister of Safety and Security</w:t>
      </w:r>
      <w:r w:rsidRPr="005E0948">
        <w:t xml:space="preserve"> </w:t>
      </w:r>
      <w:r w:rsidRPr="005E0948">
        <w:rPr>
          <w:rFonts w:ascii="Arial" w:hAnsi="Arial" w:cs="Arial"/>
          <w:i/>
          <w:iCs/>
        </w:rPr>
        <w:t>(20217/2014)</w:t>
      </w:r>
      <w:r w:rsidRPr="003638C0">
        <w:rPr>
          <w:rFonts w:ascii="Arial" w:hAnsi="Arial" w:cs="Arial"/>
        </w:rPr>
        <w:t xml:space="preserve"> [2015] ZASCA 147 </w:t>
      </w:r>
      <w:r w:rsidRPr="005E0948">
        <w:rPr>
          <w:rFonts w:ascii="Arial" w:hAnsi="Arial" w:cs="Arial"/>
        </w:rPr>
        <w:t>(1 October 2015)</w:t>
      </w:r>
      <w:r>
        <w:rPr>
          <w:rFonts w:ascii="Arial" w:hAnsi="Arial" w:cs="Arial"/>
        </w:rPr>
        <w:t xml:space="preserve"> </w:t>
      </w:r>
      <w:r w:rsidRPr="005E0948">
        <w:rPr>
          <w:rFonts w:ascii="Arial" w:hAnsi="Arial" w:cs="Arial"/>
        </w:rPr>
        <w:t>p</w:t>
      </w:r>
      <w:r w:rsidRPr="007061BC">
        <w:rPr>
          <w:rFonts w:ascii="Arial" w:hAnsi="Arial" w:cs="Arial"/>
        </w:rPr>
        <w:t xml:space="preserve">ara 14 and </w:t>
      </w:r>
      <w:r>
        <w:rPr>
          <w:rFonts w:ascii="Arial" w:hAnsi="Arial" w:cs="Arial"/>
        </w:rPr>
        <w:br/>
        <w:t xml:space="preserve">  p</w:t>
      </w:r>
      <w:r w:rsidRPr="007061BC">
        <w:rPr>
          <w:rFonts w:ascii="Arial" w:hAnsi="Arial" w:cs="Arial"/>
        </w:rPr>
        <w:t xml:space="preserve">ara 19. </w:t>
      </w:r>
      <w:r w:rsidRPr="007061BC">
        <w:rPr>
          <w:rFonts w:ascii="Arial" w:hAnsi="Arial" w:cs="Arial"/>
          <w:b/>
          <w:bCs/>
        </w:rPr>
        <w:t xml:space="preserve"> </w:t>
      </w:r>
      <w:r w:rsidRPr="007061BC">
        <w:rPr>
          <w:rFonts w:ascii="Arial" w:hAnsi="Arial" w:cs="Arial"/>
        </w:rPr>
        <w:t xml:space="preserve">See </w:t>
      </w:r>
      <w:r>
        <w:rPr>
          <w:rFonts w:ascii="Arial" w:hAnsi="Arial" w:cs="Arial"/>
        </w:rPr>
        <w:t>further</w:t>
      </w:r>
      <w:r w:rsidRPr="007061BC">
        <w:rPr>
          <w:rFonts w:ascii="Arial" w:hAnsi="Arial" w:cs="Arial"/>
          <w:b/>
          <w:bCs/>
        </w:rPr>
        <w:t xml:space="preserve"> </w:t>
      </w:r>
      <w:r w:rsidRPr="007061BC">
        <w:rPr>
          <w:rFonts w:ascii="Arial" w:hAnsi="Arial" w:cs="Arial"/>
          <w:i/>
          <w:iCs/>
        </w:rPr>
        <w:t>Allie v Foodworld Stores Distribution Centre (Pty) Ltd and Others</w:t>
      </w:r>
      <w:r w:rsidRPr="007061BC">
        <w:rPr>
          <w:rFonts w:ascii="Arial" w:hAnsi="Arial" w:cs="Arial"/>
        </w:rPr>
        <w:t xml:space="preserve"> 2004 (2) SA </w:t>
      </w:r>
      <w:r>
        <w:rPr>
          <w:rFonts w:ascii="Arial" w:hAnsi="Arial" w:cs="Arial"/>
        </w:rPr>
        <w:br/>
        <w:t xml:space="preserve">  </w:t>
      </w:r>
      <w:r w:rsidRPr="003638C0">
        <w:rPr>
          <w:rFonts w:ascii="Arial" w:hAnsi="Arial" w:cs="Arial"/>
        </w:rPr>
        <w:t xml:space="preserve">433 (SCA) para 40-41 referring to </w:t>
      </w:r>
      <w:r w:rsidRPr="003638C0">
        <w:rPr>
          <w:rFonts w:ascii="Arial" w:hAnsi="Arial" w:cs="Arial"/>
          <w:i/>
          <w:iCs/>
        </w:rPr>
        <w:t>Body Corporate of Dumbarton Oaks v Faiga</w:t>
      </w:r>
      <w:r w:rsidRPr="003638C0">
        <w:rPr>
          <w:rFonts w:ascii="Arial" w:hAnsi="Arial" w:cs="Arial"/>
        </w:rPr>
        <w:t xml:space="preserve"> 1999 (1) SA 975 (SCA) </w:t>
      </w:r>
      <w:r>
        <w:rPr>
          <w:rFonts w:ascii="Arial" w:hAnsi="Arial" w:cs="Arial"/>
        </w:rPr>
        <w:br/>
        <w:t xml:space="preserve">  </w:t>
      </w:r>
      <w:r w:rsidRPr="003638C0">
        <w:rPr>
          <w:rFonts w:ascii="Arial" w:hAnsi="Arial" w:cs="Arial"/>
        </w:rPr>
        <w:t xml:space="preserve">at 979I – J and </w:t>
      </w:r>
      <w:r w:rsidRPr="003638C0">
        <w:rPr>
          <w:rFonts w:ascii="Arial" w:hAnsi="Arial" w:cs="Arial"/>
          <w:i/>
          <w:iCs/>
        </w:rPr>
        <w:t xml:space="preserve">President of the Republic of South Africa and Others v South African Rugby Football </w:t>
      </w:r>
      <w:r>
        <w:rPr>
          <w:rFonts w:ascii="Arial" w:hAnsi="Arial" w:cs="Arial"/>
          <w:i/>
          <w:iCs/>
        </w:rPr>
        <w:br/>
        <w:t xml:space="preserve">  </w:t>
      </w:r>
      <w:r w:rsidRPr="003638C0">
        <w:rPr>
          <w:rFonts w:ascii="Arial" w:hAnsi="Arial" w:cs="Arial"/>
          <w:i/>
          <w:iCs/>
        </w:rPr>
        <w:t>Union and Others</w:t>
      </w:r>
      <w:r w:rsidRPr="003638C0">
        <w:rPr>
          <w:rFonts w:ascii="Arial" w:hAnsi="Arial" w:cs="Arial"/>
        </w:rPr>
        <w:t xml:space="preserve"> 2000 (1) SA 1 (CC) </w:t>
      </w:r>
      <w:r>
        <w:rPr>
          <w:rFonts w:ascii="Arial" w:hAnsi="Arial" w:cs="Arial"/>
        </w:rPr>
        <w:t>p</w:t>
      </w:r>
      <w:r w:rsidRPr="007061BC">
        <w:rPr>
          <w:rFonts w:ascii="Arial" w:hAnsi="Arial" w:cs="Arial"/>
        </w:rPr>
        <w:t>ara 79.</w:t>
      </w:r>
    </w:p>
  </w:footnote>
  <w:footnote w:id="8">
    <w:p w14:paraId="1B601080" w14:textId="13711742" w:rsidR="00270709" w:rsidRPr="00D32CD0" w:rsidRDefault="00270709">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i/>
        </w:rPr>
        <w:t>Home Talk Developments (Pty) Ltd and Others v Ekurhuleni Metropolitan Municipality</w:t>
      </w:r>
      <w:r w:rsidRPr="003638C0">
        <w:rPr>
          <w:rFonts w:ascii="Arial" w:hAnsi="Arial" w:cs="Arial"/>
          <w:b/>
          <w:bCs/>
        </w:rPr>
        <w:t> </w:t>
      </w:r>
      <w:r w:rsidRPr="003638C0">
        <w:rPr>
          <w:rFonts w:ascii="Arial" w:hAnsi="Arial" w:cs="Arial"/>
        </w:rPr>
        <w:t xml:space="preserve">(supra, but </w:t>
      </w:r>
      <w:r>
        <w:rPr>
          <w:rFonts w:ascii="Arial" w:hAnsi="Arial" w:cs="Arial"/>
        </w:rPr>
        <w:br/>
        <w:t xml:space="preserve">  </w:t>
      </w:r>
      <w:r w:rsidRPr="003638C0">
        <w:rPr>
          <w:rFonts w:ascii="Arial" w:hAnsi="Arial" w:cs="Arial"/>
        </w:rPr>
        <w:t xml:space="preserve">this time the majority judgment) </w:t>
      </w:r>
      <w:r>
        <w:rPr>
          <w:rFonts w:ascii="Arial" w:hAnsi="Arial" w:cs="Arial"/>
        </w:rPr>
        <w:t>p</w:t>
      </w:r>
      <w:r w:rsidRPr="00D32CD0">
        <w:rPr>
          <w:rFonts w:ascii="Arial" w:hAnsi="Arial" w:cs="Arial"/>
        </w:rPr>
        <w:t>ara 33.</w:t>
      </w:r>
    </w:p>
  </w:footnote>
  <w:footnote w:id="9">
    <w:p w14:paraId="217F9F46" w14:textId="3550954F" w:rsidR="00270709" w:rsidRPr="003638C0" w:rsidRDefault="00270709">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 xml:space="preserve">Relied upon with approval in </w:t>
      </w:r>
      <w:r w:rsidRPr="003638C0">
        <w:rPr>
          <w:rFonts w:ascii="Arial" w:hAnsi="Arial" w:cs="Arial"/>
          <w:i/>
          <w:lang w:val="en-US"/>
        </w:rPr>
        <w:t>South African Bank of Athens v 24 Hour Cash CC</w:t>
      </w:r>
      <w:r>
        <w:rPr>
          <w:rFonts w:ascii="Arial" w:hAnsi="Arial" w:cs="Arial"/>
          <w:lang w:val="en-US"/>
        </w:rPr>
        <w:t xml:space="preserve"> (supra)</w:t>
      </w:r>
      <w:r w:rsidRPr="003638C0">
        <w:rPr>
          <w:rFonts w:ascii="Arial" w:hAnsi="Arial" w:cs="Arial"/>
          <w:lang w:val="en-US"/>
        </w:rPr>
        <w:t>.</w:t>
      </w:r>
    </w:p>
  </w:footnote>
  <w:footnote w:id="10">
    <w:p w14:paraId="2E0A8B89" w14:textId="1DAD3FB0" w:rsidR="00270709" w:rsidRPr="003638C0" w:rsidRDefault="00270709">
      <w:pPr>
        <w:pStyle w:val="FootnoteText"/>
        <w:rPr>
          <w:rFonts w:ascii="Arial" w:hAnsi="Arial" w:cs="Arial"/>
          <w:i/>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i/>
        </w:rPr>
        <w:t>South African Bank of Athens v 24 Hour Cash CC</w:t>
      </w:r>
      <w:r>
        <w:rPr>
          <w:rFonts w:ascii="Arial" w:hAnsi="Arial" w:cs="Arial"/>
          <w:i/>
        </w:rPr>
        <w:t xml:space="preserve"> </w:t>
      </w:r>
      <w:r>
        <w:rPr>
          <w:rFonts w:ascii="Arial" w:hAnsi="Arial" w:cs="Arial"/>
        </w:rPr>
        <w:t>(supra)</w:t>
      </w:r>
      <w:r w:rsidRPr="003638C0">
        <w:rPr>
          <w:rFonts w:ascii="Arial" w:hAnsi="Arial" w:cs="Arial"/>
          <w:i/>
        </w:rPr>
        <w:t>.</w:t>
      </w:r>
    </w:p>
  </w:footnote>
  <w:footnote w:id="11">
    <w:p w14:paraId="34B0E62D" w14:textId="62BC3A20" w:rsidR="00270709" w:rsidRPr="003638C0" w:rsidRDefault="00270709">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 xml:space="preserve">“See particularly </w:t>
      </w:r>
      <w:r w:rsidRPr="003638C0">
        <w:rPr>
          <w:rFonts w:ascii="Arial" w:hAnsi="Arial" w:cs="Arial"/>
          <w:i/>
          <w:lang w:val="en-US"/>
        </w:rPr>
        <w:t>Moaki v Reckitt &amp; Colman (Africa) Ltd and another</w:t>
      </w:r>
      <w:r w:rsidRPr="003638C0">
        <w:rPr>
          <w:rFonts w:ascii="Arial" w:hAnsi="Arial" w:cs="Arial"/>
          <w:lang w:val="en-US"/>
        </w:rPr>
        <w:t xml:space="preserve"> 1968 (3) SA 98 (A) at 102A; </w:t>
      </w:r>
      <w:r>
        <w:rPr>
          <w:rFonts w:ascii="Arial" w:hAnsi="Arial" w:cs="Arial"/>
          <w:lang w:val="en-US"/>
        </w:rPr>
        <w:br/>
        <w:t xml:space="preserve">   </w:t>
      </w:r>
      <w:r w:rsidRPr="003638C0">
        <w:rPr>
          <w:rFonts w:ascii="Arial" w:hAnsi="Arial" w:cs="Arial"/>
          <w:i/>
          <w:lang w:val="en-US"/>
        </w:rPr>
        <w:t>Imprefed (Pty) Ltd v National Transport Commission</w:t>
      </w:r>
      <w:r w:rsidRPr="003638C0">
        <w:rPr>
          <w:rFonts w:ascii="Arial" w:hAnsi="Arial" w:cs="Arial"/>
          <w:lang w:val="en-US"/>
        </w:rPr>
        <w:t xml:space="preserve"> 1993 (3) SA 94 (A) at 107; </w:t>
      </w:r>
      <w:r w:rsidRPr="003638C0">
        <w:rPr>
          <w:rFonts w:ascii="Arial" w:hAnsi="Arial" w:cs="Arial"/>
          <w:i/>
          <w:lang w:val="en-US"/>
        </w:rPr>
        <w:t xml:space="preserve">Buchner and </w:t>
      </w:r>
      <w:r w:rsidRPr="003638C0">
        <w:rPr>
          <w:rFonts w:ascii="Arial" w:hAnsi="Arial" w:cs="Arial"/>
          <w:i/>
          <w:lang w:val="en-US"/>
        </w:rPr>
        <w:br/>
        <w:t xml:space="preserve">   another v Johannesburg Consolidated Investment Co Ltd </w:t>
      </w:r>
      <w:r w:rsidRPr="003638C0">
        <w:rPr>
          <w:rFonts w:ascii="Arial" w:hAnsi="Arial" w:cs="Arial"/>
          <w:lang w:val="en-US"/>
        </w:rPr>
        <w:t xml:space="preserve">1995 (1) SA 215 (T) at 216H-J; </w:t>
      </w:r>
      <w:r w:rsidRPr="003638C0">
        <w:rPr>
          <w:rFonts w:ascii="Arial" w:hAnsi="Arial" w:cs="Arial"/>
          <w:i/>
          <w:lang w:val="en-US"/>
        </w:rPr>
        <w:t xml:space="preserve">Jowell v </w:t>
      </w:r>
      <w:r w:rsidRPr="003638C0">
        <w:rPr>
          <w:rFonts w:ascii="Arial" w:hAnsi="Arial" w:cs="Arial"/>
          <w:i/>
          <w:lang w:val="en-US"/>
        </w:rPr>
        <w:br/>
        <w:t xml:space="preserve">   Bramwell-Jones and others </w:t>
      </w:r>
      <w:r w:rsidRPr="003638C0">
        <w:rPr>
          <w:rFonts w:ascii="Arial" w:hAnsi="Arial" w:cs="Arial"/>
          <w:lang w:val="en-US"/>
        </w:rPr>
        <w:t>1998 (1) SA 836 (W) at 902H.”</w:t>
      </w:r>
    </w:p>
  </w:footnote>
  <w:footnote w:id="12">
    <w:p w14:paraId="11C13AB9" w14:textId="6A0ED86E" w:rsidR="00270709" w:rsidRPr="003638C0" w:rsidRDefault="00270709">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“1976 (1) SA 708 (A) at 714G.”</w:t>
      </w:r>
    </w:p>
  </w:footnote>
  <w:footnote w:id="13">
    <w:p w14:paraId="6B4C8CD8" w14:textId="65342955" w:rsidR="00270709" w:rsidRPr="003638C0" w:rsidRDefault="00270709" w:rsidP="00EB21D6">
      <w:pPr>
        <w:pStyle w:val="FootnoteText"/>
        <w:rPr>
          <w:rFonts w:ascii="Arial" w:hAnsi="Arial" w:cs="Arial"/>
          <w:lang w:val="en-US"/>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lang w:val="en-US"/>
        </w:rPr>
        <w:t>“</w:t>
      </w:r>
      <w:r w:rsidRPr="003638C0">
        <w:rPr>
          <w:rFonts w:ascii="Arial" w:hAnsi="Arial" w:cs="Arial"/>
          <w:i/>
          <w:iCs/>
          <w:lang w:val="en-US"/>
        </w:rPr>
        <w:t>Minister of Police and Another v Du Plessis</w:t>
      </w:r>
      <w:r w:rsidRPr="003638C0">
        <w:rPr>
          <w:rFonts w:ascii="Arial" w:hAnsi="Arial" w:cs="Arial"/>
          <w:lang w:val="en-US"/>
        </w:rPr>
        <w:t xml:space="preserve"> 2014 (1) SACR 217 (SCA)”.</w:t>
      </w:r>
    </w:p>
  </w:footnote>
  <w:footnote w:id="14">
    <w:p w14:paraId="12E1A762" w14:textId="1D228550" w:rsidR="00270709" w:rsidRPr="003638C0" w:rsidRDefault="00270709" w:rsidP="00220C0E">
      <w:pPr>
        <w:pStyle w:val="FootnoteText"/>
        <w:rPr>
          <w:rFonts w:ascii="Arial" w:hAnsi="Arial" w:cs="Arial"/>
        </w:rPr>
      </w:pPr>
      <w:r w:rsidRPr="003638C0">
        <w:rPr>
          <w:rStyle w:val="FootnoteReference"/>
          <w:rFonts w:ascii="Arial" w:hAnsi="Arial" w:cs="Arial"/>
        </w:rPr>
        <w:footnoteRef/>
      </w:r>
      <w:r w:rsidRPr="003638C0">
        <w:rPr>
          <w:rFonts w:ascii="Arial" w:hAnsi="Arial" w:cs="Arial"/>
        </w:rPr>
        <w:t xml:space="preserve"> “In </w:t>
      </w:r>
      <w:r w:rsidRPr="003638C0">
        <w:rPr>
          <w:rFonts w:ascii="Arial" w:hAnsi="Arial" w:cs="Arial"/>
          <w:i/>
          <w:iCs/>
        </w:rPr>
        <w:t>Minister van Wet en Orde v Matshoba</w:t>
      </w:r>
      <w:r w:rsidRPr="003638C0">
        <w:rPr>
          <w:rFonts w:ascii="Arial" w:hAnsi="Arial" w:cs="Arial"/>
        </w:rPr>
        <w:t xml:space="preserve"> 1990 (1) SA 280 (A) at 284H-I the following appears:</w:t>
      </w:r>
    </w:p>
    <w:p w14:paraId="5FB731C0" w14:textId="39C9679D" w:rsidR="00270709" w:rsidRPr="003638C0" w:rsidRDefault="00270709" w:rsidP="00220C0E">
      <w:pPr>
        <w:pStyle w:val="FootnoteText"/>
        <w:ind w:left="720"/>
        <w:rPr>
          <w:rFonts w:ascii="Arial" w:hAnsi="Arial" w:cs="Arial"/>
        </w:rPr>
      </w:pPr>
      <w:r w:rsidRPr="003638C0">
        <w:rPr>
          <w:rFonts w:ascii="Arial" w:hAnsi="Arial" w:cs="Arial"/>
        </w:rPr>
        <w:t>‘Hoewel hierdie passasies slegs verwys na ‘n inhegtenisneming – dit was al wat daar in geskil was- geld dieselfde beginsel klaarblyklik ook vir die aanhouding van ‘n persoon.’</w:t>
      </w:r>
    </w:p>
  </w:footnote>
  <w:footnote w:id="15">
    <w:p w14:paraId="4ED7D876" w14:textId="506102F6" w:rsidR="00270709" w:rsidRPr="003638C0" w:rsidRDefault="00270709" w:rsidP="003C72B2">
      <w:pPr>
        <w:pStyle w:val="FootnoteText"/>
        <w:rPr>
          <w:rFonts w:ascii="Arial" w:hAnsi="Arial" w:cs="Arial"/>
        </w:rPr>
      </w:pPr>
      <w:r w:rsidRPr="003638C0">
        <w:rPr>
          <w:rStyle w:val="FootnoteReference"/>
          <w:rFonts w:ascii="Arial" w:hAnsi="Arial" w:cs="Arial"/>
        </w:rPr>
        <w:footnoteRef/>
      </w:r>
      <w:r w:rsidRPr="003638C0">
        <w:rPr>
          <w:rFonts w:ascii="Arial" w:hAnsi="Arial" w:cs="Arial"/>
        </w:rPr>
        <w:t xml:space="preserve"> “</w:t>
      </w:r>
      <w:r w:rsidRPr="003638C0">
        <w:rPr>
          <w:rFonts w:ascii="Arial" w:hAnsi="Arial" w:cs="Arial"/>
          <w:i/>
          <w:iCs/>
        </w:rPr>
        <w:t>In Duncan v Minister of Law and Order</w:t>
      </w:r>
      <w:r w:rsidRPr="003638C0">
        <w:rPr>
          <w:rFonts w:ascii="Arial" w:hAnsi="Arial" w:cs="Arial"/>
        </w:rPr>
        <w:t xml:space="preserve"> 1986 (2) SA 805 (A) at 821A-C the following appears:</w:t>
      </w:r>
    </w:p>
    <w:p w14:paraId="75C39104" w14:textId="44CE459D" w:rsidR="00270709" w:rsidRPr="003638C0" w:rsidRDefault="00270709" w:rsidP="003C72B2">
      <w:pPr>
        <w:pStyle w:val="FootnoteText"/>
        <w:ind w:left="720"/>
        <w:rPr>
          <w:rFonts w:ascii="Arial" w:hAnsi="Arial" w:cs="Arial"/>
        </w:rPr>
      </w:pPr>
      <w:r w:rsidRPr="003638C0">
        <w:rPr>
          <w:rFonts w:ascii="Arial" w:hAnsi="Arial" w:cs="Arial"/>
        </w:rPr>
        <w:t>‘It is clear, however, from the decision in Duke’s case that that duty does not relate to the time of the arrest, but to the period of detention prior to bringing the arrestee to justice or releasing him, as the case may be. It is only when a policeman in England has subsequent to the arrest, but whilst the arrestee is still lawfully detained, reached the conclusion that prima facie proof of the arrested person’s guilt is unlikely to be discovered by further investigation that it is his duty to release him from custody: Duke’s case at 1058b. But a South African policeman is under a similar duty.’”</w:t>
      </w:r>
    </w:p>
  </w:footnote>
  <w:footnote w:id="16">
    <w:p w14:paraId="647D1EF5" w14:textId="702EBDF8" w:rsidR="00117F5A" w:rsidRPr="00D32CD0" w:rsidRDefault="00117F5A">
      <w:pPr>
        <w:pStyle w:val="FootnoteText"/>
      </w:pPr>
      <w:r>
        <w:rPr>
          <w:rStyle w:val="FootnoteReference"/>
        </w:rPr>
        <w:footnoteRef/>
      </w:r>
      <w:r>
        <w:t xml:space="preserve"> T</w:t>
      </w:r>
      <w:r w:rsidRPr="00117F5A">
        <w:t>o the Criminal Procedure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29973"/>
      <w:docPartObj>
        <w:docPartGallery w:val="Page Numbers (Top of Page)"/>
        <w:docPartUnique/>
      </w:docPartObj>
    </w:sdtPr>
    <w:sdtEndPr>
      <w:rPr>
        <w:rFonts w:ascii="Arial" w:hAnsi="Arial" w:cs="Arial"/>
        <w:noProof/>
        <w:sz w:val="24"/>
        <w:szCs w:val="24"/>
      </w:rPr>
    </w:sdtEndPr>
    <w:sdtContent>
      <w:p w14:paraId="03EDE63F" w14:textId="42C5A941" w:rsidR="00270709" w:rsidRPr="00AB0584" w:rsidRDefault="00270709">
        <w:pPr>
          <w:pStyle w:val="Header"/>
          <w:jc w:val="right"/>
          <w:rPr>
            <w:rFonts w:ascii="Arial" w:hAnsi="Arial" w:cs="Arial"/>
            <w:sz w:val="24"/>
            <w:szCs w:val="24"/>
          </w:rPr>
        </w:pPr>
        <w:r w:rsidRPr="00AB0584">
          <w:rPr>
            <w:rFonts w:ascii="Arial" w:hAnsi="Arial" w:cs="Arial"/>
            <w:sz w:val="24"/>
            <w:szCs w:val="24"/>
          </w:rPr>
          <w:fldChar w:fldCharType="begin"/>
        </w:r>
        <w:r w:rsidRPr="00485B5E">
          <w:rPr>
            <w:rFonts w:ascii="Arial" w:hAnsi="Arial" w:cs="Arial"/>
            <w:sz w:val="24"/>
            <w:szCs w:val="24"/>
          </w:rPr>
          <w:instrText xml:space="preserve"> PAGE   \* MERGEFORMAT </w:instrText>
        </w:r>
        <w:r w:rsidRPr="00AB0584">
          <w:rPr>
            <w:rFonts w:ascii="Arial" w:hAnsi="Arial" w:cs="Arial"/>
            <w:sz w:val="24"/>
            <w:szCs w:val="24"/>
          </w:rPr>
          <w:fldChar w:fldCharType="separate"/>
        </w:r>
        <w:r w:rsidR="00310D3D">
          <w:rPr>
            <w:rFonts w:ascii="Arial" w:hAnsi="Arial" w:cs="Arial"/>
            <w:noProof/>
            <w:sz w:val="24"/>
            <w:szCs w:val="24"/>
          </w:rPr>
          <w:t>20</w:t>
        </w:r>
        <w:r w:rsidRPr="00AB0584">
          <w:rPr>
            <w:rFonts w:ascii="Arial" w:hAnsi="Arial" w:cs="Arial"/>
            <w:noProof/>
            <w:sz w:val="24"/>
            <w:szCs w:val="24"/>
          </w:rPr>
          <w:fldChar w:fldCharType="end"/>
        </w:r>
      </w:p>
    </w:sdtContent>
  </w:sdt>
  <w:p w14:paraId="58A6BEA6" w14:textId="77777777" w:rsidR="00270709" w:rsidRDefault="00270709" w:rsidP="005B6CFD">
    <w:pPr>
      <w:pStyle w:val="Header"/>
      <w:tabs>
        <w:tab w:val="clear" w:pos="4513"/>
        <w:tab w:val="clear" w:pos="9026"/>
        <w:tab w:val="left" w:pos="3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7D0"/>
    <w:multiLevelType w:val="multilevel"/>
    <w:tmpl w:val="B6764C44"/>
    <w:numStyleLink w:val="CourtStyle"/>
  </w:abstractNum>
  <w:abstractNum w:abstractNumId="1" w15:restartNumberingAfterBreak="0">
    <w:nsid w:val="06E05CA8"/>
    <w:multiLevelType w:val="multilevel"/>
    <w:tmpl w:val="B6764C44"/>
    <w:styleLink w:val="CourtStyle"/>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ind w:left="1814" w:hanging="992"/>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lvl>
    <w:lvl w:ilvl="7">
      <w:start w:val="1"/>
      <w:numFmt w:val="decimal"/>
      <w:lvlText w:val="%6.%7.%1.%2.%3.%4.%5.%8"/>
      <w:lvlJc w:val="left"/>
      <w:pPr>
        <w:ind w:left="2880" w:hanging="360"/>
      </w:pPr>
    </w:lvl>
    <w:lvl w:ilvl="8">
      <w:start w:val="1"/>
      <w:numFmt w:val="decimal"/>
      <w:lvlText w:val="%7.%8.%1.%2.%3.%4.%5.%6.%9"/>
      <w:lvlJc w:val="left"/>
      <w:pPr>
        <w:ind w:left="3240" w:hanging="360"/>
      </w:pPr>
    </w:lvl>
  </w:abstractNum>
  <w:abstractNum w:abstractNumId="2" w15:restartNumberingAfterBreak="0">
    <w:nsid w:val="0A7E3826"/>
    <w:multiLevelType w:val="multilevel"/>
    <w:tmpl w:val="B6764C44"/>
    <w:numStyleLink w:val="CourtStyle"/>
  </w:abstractNum>
  <w:abstractNum w:abstractNumId="3" w15:restartNumberingAfterBreak="0">
    <w:nsid w:val="0B660A3D"/>
    <w:multiLevelType w:val="hybridMultilevel"/>
    <w:tmpl w:val="EE805E48"/>
    <w:lvl w:ilvl="0" w:tplc="BE623B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3105"/>
    <w:multiLevelType w:val="multilevel"/>
    <w:tmpl w:val="B6764C44"/>
    <w:numStyleLink w:val="CourtStyle"/>
  </w:abstractNum>
  <w:abstractNum w:abstractNumId="5" w15:restartNumberingAfterBreak="0">
    <w:nsid w:val="2461486C"/>
    <w:multiLevelType w:val="multilevel"/>
    <w:tmpl w:val="B6764C44"/>
    <w:numStyleLink w:val="CourtStyle"/>
  </w:abstractNum>
  <w:abstractNum w:abstractNumId="6" w15:restartNumberingAfterBreak="0">
    <w:nsid w:val="27E10A0F"/>
    <w:multiLevelType w:val="multilevel"/>
    <w:tmpl w:val="B6764C44"/>
    <w:numStyleLink w:val="CourtStyle"/>
  </w:abstractNum>
  <w:abstractNum w:abstractNumId="7"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429B7FEC"/>
    <w:multiLevelType w:val="multilevel"/>
    <w:tmpl w:val="B6764C44"/>
    <w:numStyleLink w:val="CourtStyle"/>
  </w:abstractNum>
  <w:abstractNum w:abstractNumId="9" w15:restartNumberingAfterBreak="0">
    <w:nsid w:val="5F3C5475"/>
    <w:multiLevelType w:val="multilevel"/>
    <w:tmpl w:val="B6764C44"/>
    <w:numStyleLink w:val="CourtStyle"/>
  </w:abstractNum>
  <w:abstractNum w:abstractNumId="10" w15:restartNumberingAfterBreak="0">
    <w:nsid w:val="6BB24C7C"/>
    <w:multiLevelType w:val="multilevel"/>
    <w:tmpl w:val="B6764C44"/>
    <w:numStyleLink w:val="CourtStyle"/>
  </w:abstractNum>
  <w:abstractNum w:abstractNumId="11" w15:restartNumberingAfterBreak="0">
    <w:nsid w:val="6DBF04FC"/>
    <w:multiLevelType w:val="multilevel"/>
    <w:tmpl w:val="B6764C44"/>
    <w:numStyleLink w:val="CourtStyle"/>
  </w:abstractNum>
  <w:abstractNum w:abstractNumId="12" w15:restartNumberingAfterBreak="0">
    <w:nsid w:val="7BC17BF2"/>
    <w:multiLevelType w:val="multilevel"/>
    <w:tmpl w:val="B6764C44"/>
    <w:numStyleLink w:val="CourtStyle"/>
  </w:abstractNum>
  <w:abstractNum w:abstractNumId="13" w15:restartNumberingAfterBreak="0">
    <w:nsid w:val="7BEF6530"/>
    <w:multiLevelType w:val="multilevel"/>
    <w:tmpl w:val="B6764C44"/>
    <w:numStyleLink w:val="CourtStyle"/>
  </w:abstractNum>
  <w:num w:numId="1">
    <w:abstractNumId w:val="1"/>
  </w:num>
  <w:num w:numId="2">
    <w:abstractNumId w:val="5"/>
  </w:num>
  <w:num w:numId="3">
    <w:abstractNumId w:val="0"/>
  </w:num>
  <w:num w:numId="4">
    <w:abstractNumId w:val="4"/>
  </w:num>
  <w:num w:numId="5">
    <w:abstractNumId w:val="11"/>
  </w:num>
  <w:num w:numId="6">
    <w:abstractNumId w:val="9"/>
  </w:num>
  <w:num w:numId="7">
    <w:abstractNumId w:val="2"/>
  </w:num>
  <w:num w:numId="8">
    <w:abstractNumId w:val="8"/>
  </w:num>
  <w:num w:numId="9">
    <w:abstractNumId w:val="10"/>
  </w:num>
  <w:num w:numId="10">
    <w:abstractNumId w:val="13"/>
  </w:num>
  <w:num w:numId="11">
    <w:abstractNumId w:val="3"/>
  </w:num>
  <w:num w:numId="12">
    <w:abstractNumId w:val="7"/>
  </w:num>
  <w:num w:numId="13">
    <w:abstractNumId w:val="6"/>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Rennie">
    <w15:presenceInfo w15:providerId="Windows Live" w15:userId="795aac3f4e137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14"/>
    <w:rsid w:val="00000B31"/>
    <w:rsid w:val="00020D1E"/>
    <w:rsid w:val="00032356"/>
    <w:rsid w:val="00033694"/>
    <w:rsid w:val="00033E9C"/>
    <w:rsid w:val="00040746"/>
    <w:rsid w:val="0004765A"/>
    <w:rsid w:val="00056C14"/>
    <w:rsid w:val="00063106"/>
    <w:rsid w:val="000641F3"/>
    <w:rsid w:val="000734F0"/>
    <w:rsid w:val="00082438"/>
    <w:rsid w:val="00084CD8"/>
    <w:rsid w:val="000946B7"/>
    <w:rsid w:val="000A4B8B"/>
    <w:rsid w:val="000A7B0E"/>
    <w:rsid w:val="000C34B8"/>
    <w:rsid w:val="000C4568"/>
    <w:rsid w:val="000D4251"/>
    <w:rsid w:val="000E3070"/>
    <w:rsid w:val="000E77E2"/>
    <w:rsid w:val="000F5F7F"/>
    <w:rsid w:val="001022CA"/>
    <w:rsid w:val="001056E0"/>
    <w:rsid w:val="00112068"/>
    <w:rsid w:val="00117F5A"/>
    <w:rsid w:val="001226C1"/>
    <w:rsid w:val="00123014"/>
    <w:rsid w:val="00124A7B"/>
    <w:rsid w:val="00151301"/>
    <w:rsid w:val="0015594D"/>
    <w:rsid w:val="00162008"/>
    <w:rsid w:val="00162037"/>
    <w:rsid w:val="00166754"/>
    <w:rsid w:val="001678B7"/>
    <w:rsid w:val="001709A6"/>
    <w:rsid w:val="00172FA8"/>
    <w:rsid w:val="001817E1"/>
    <w:rsid w:val="00183D76"/>
    <w:rsid w:val="001852D7"/>
    <w:rsid w:val="0018563F"/>
    <w:rsid w:val="001930CC"/>
    <w:rsid w:val="001973D4"/>
    <w:rsid w:val="001A238E"/>
    <w:rsid w:val="001A5FD5"/>
    <w:rsid w:val="001B43FA"/>
    <w:rsid w:val="001C0A42"/>
    <w:rsid w:val="001C69ED"/>
    <w:rsid w:val="001D4CCA"/>
    <w:rsid w:val="001D5FD8"/>
    <w:rsid w:val="001E17D4"/>
    <w:rsid w:val="001E1F6D"/>
    <w:rsid w:val="001E4606"/>
    <w:rsid w:val="001E752D"/>
    <w:rsid w:val="001F101E"/>
    <w:rsid w:val="001F287A"/>
    <w:rsid w:val="001F2CE2"/>
    <w:rsid w:val="001F6774"/>
    <w:rsid w:val="00207302"/>
    <w:rsid w:val="0021147B"/>
    <w:rsid w:val="0021305F"/>
    <w:rsid w:val="00220C0E"/>
    <w:rsid w:val="00224A37"/>
    <w:rsid w:val="002273C3"/>
    <w:rsid w:val="00237DF8"/>
    <w:rsid w:val="002444E2"/>
    <w:rsid w:val="00244D9E"/>
    <w:rsid w:val="00262118"/>
    <w:rsid w:val="00262E21"/>
    <w:rsid w:val="00266782"/>
    <w:rsid w:val="0026679C"/>
    <w:rsid w:val="00266E91"/>
    <w:rsid w:val="00270709"/>
    <w:rsid w:val="00272DCD"/>
    <w:rsid w:val="00276001"/>
    <w:rsid w:val="002773FF"/>
    <w:rsid w:val="0029356B"/>
    <w:rsid w:val="002A3F3B"/>
    <w:rsid w:val="002C0079"/>
    <w:rsid w:val="002C56B2"/>
    <w:rsid w:val="002C79FB"/>
    <w:rsid w:val="002C7C49"/>
    <w:rsid w:val="0030762F"/>
    <w:rsid w:val="00307B24"/>
    <w:rsid w:val="00310D1E"/>
    <w:rsid w:val="00310D39"/>
    <w:rsid w:val="00310D3D"/>
    <w:rsid w:val="00313D53"/>
    <w:rsid w:val="003154A2"/>
    <w:rsid w:val="003368C1"/>
    <w:rsid w:val="00336B1A"/>
    <w:rsid w:val="00336B72"/>
    <w:rsid w:val="00344928"/>
    <w:rsid w:val="00347F14"/>
    <w:rsid w:val="0035451C"/>
    <w:rsid w:val="003638C0"/>
    <w:rsid w:val="00375D13"/>
    <w:rsid w:val="0037744D"/>
    <w:rsid w:val="003859E5"/>
    <w:rsid w:val="00387A43"/>
    <w:rsid w:val="00394CD9"/>
    <w:rsid w:val="003A78D4"/>
    <w:rsid w:val="003B313B"/>
    <w:rsid w:val="003B707A"/>
    <w:rsid w:val="003C2189"/>
    <w:rsid w:val="003C72B2"/>
    <w:rsid w:val="003F4782"/>
    <w:rsid w:val="004202D4"/>
    <w:rsid w:val="00422E19"/>
    <w:rsid w:val="004356FB"/>
    <w:rsid w:val="00437D19"/>
    <w:rsid w:val="0044167A"/>
    <w:rsid w:val="00442500"/>
    <w:rsid w:val="00443A04"/>
    <w:rsid w:val="00450374"/>
    <w:rsid w:val="00452A0D"/>
    <w:rsid w:val="00462F4F"/>
    <w:rsid w:val="004649D3"/>
    <w:rsid w:val="00467864"/>
    <w:rsid w:val="00482BDD"/>
    <w:rsid w:val="00485B5E"/>
    <w:rsid w:val="00493674"/>
    <w:rsid w:val="00497765"/>
    <w:rsid w:val="004A28C5"/>
    <w:rsid w:val="004B0883"/>
    <w:rsid w:val="004B4AF8"/>
    <w:rsid w:val="004B605E"/>
    <w:rsid w:val="004B60E0"/>
    <w:rsid w:val="004B72A2"/>
    <w:rsid w:val="004C0B59"/>
    <w:rsid w:val="004C214B"/>
    <w:rsid w:val="004C5ED7"/>
    <w:rsid w:val="004C770A"/>
    <w:rsid w:val="004D045F"/>
    <w:rsid w:val="004D6B2F"/>
    <w:rsid w:val="004D6D08"/>
    <w:rsid w:val="004F3CA4"/>
    <w:rsid w:val="004F461C"/>
    <w:rsid w:val="0050073B"/>
    <w:rsid w:val="00503E4E"/>
    <w:rsid w:val="0050407F"/>
    <w:rsid w:val="00506FB8"/>
    <w:rsid w:val="00512BC7"/>
    <w:rsid w:val="00521199"/>
    <w:rsid w:val="005307DA"/>
    <w:rsid w:val="005323C1"/>
    <w:rsid w:val="00546D92"/>
    <w:rsid w:val="00551BFF"/>
    <w:rsid w:val="005601DA"/>
    <w:rsid w:val="005657D2"/>
    <w:rsid w:val="00567770"/>
    <w:rsid w:val="0058018A"/>
    <w:rsid w:val="00592C8B"/>
    <w:rsid w:val="005A5DA7"/>
    <w:rsid w:val="005B00DA"/>
    <w:rsid w:val="005B6CFD"/>
    <w:rsid w:val="005B7560"/>
    <w:rsid w:val="005C2F62"/>
    <w:rsid w:val="005C4178"/>
    <w:rsid w:val="005C73ED"/>
    <w:rsid w:val="005C742B"/>
    <w:rsid w:val="005D10D0"/>
    <w:rsid w:val="005D3114"/>
    <w:rsid w:val="005E0948"/>
    <w:rsid w:val="005E36F1"/>
    <w:rsid w:val="005E7CF5"/>
    <w:rsid w:val="00601CEA"/>
    <w:rsid w:val="00604311"/>
    <w:rsid w:val="00611F68"/>
    <w:rsid w:val="00612FAB"/>
    <w:rsid w:val="00625D75"/>
    <w:rsid w:val="00632A05"/>
    <w:rsid w:val="0063494C"/>
    <w:rsid w:val="00641197"/>
    <w:rsid w:val="00646BA0"/>
    <w:rsid w:val="00650781"/>
    <w:rsid w:val="0065202A"/>
    <w:rsid w:val="00652E7D"/>
    <w:rsid w:val="006535E2"/>
    <w:rsid w:val="00654E85"/>
    <w:rsid w:val="00657BCD"/>
    <w:rsid w:val="00671F6E"/>
    <w:rsid w:val="0067550D"/>
    <w:rsid w:val="00696FE8"/>
    <w:rsid w:val="006A5AD0"/>
    <w:rsid w:val="006A773C"/>
    <w:rsid w:val="006B4035"/>
    <w:rsid w:val="006B5A7E"/>
    <w:rsid w:val="006C3107"/>
    <w:rsid w:val="006C4755"/>
    <w:rsid w:val="006D0990"/>
    <w:rsid w:val="006D293B"/>
    <w:rsid w:val="006E4D5A"/>
    <w:rsid w:val="006E7B43"/>
    <w:rsid w:val="006F661A"/>
    <w:rsid w:val="00701E19"/>
    <w:rsid w:val="007061BC"/>
    <w:rsid w:val="00710C5E"/>
    <w:rsid w:val="007116A2"/>
    <w:rsid w:val="0071485A"/>
    <w:rsid w:val="00715089"/>
    <w:rsid w:val="00721AF3"/>
    <w:rsid w:val="00724A91"/>
    <w:rsid w:val="00731182"/>
    <w:rsid w:val="00731C1A"/>
    <w:rsid w:val="00732A07"/>
    <w:rsid w:val="00735F4E"/>
    <w:rsid w:val="0074281A"/>
    <w:rsid w:val="00744550"/>
    <w:rsid w:val="00745534"/>
    <w:rsid w:val="00750F78"/>
    <w:rsid w:val="007534F1"/>
    <w:rsid w:val="00753BF1"/>
    <w:rsid w:val="00771654"/>
    <w:rsid w:val="00774F86"/>
    <w:rsid w:val="007908D7"/>
    <w:rsid w:val="00796072"/>
    <w:rsid w:val="007978C6"/>
    <w:rsid w:val="007A1A19"/>
    <w:rsid w:val="007A5BC1"/>
    <w:rsid w:val="007A763D"/>
    <w:rsid w:val="007A777B"/>
    <w:rsid w:val="007B1973"/>
    <w:rsid w:val="007C3BA2"/>
    <w:rsid w:val="007D46D6"/>
    <w:rsid w:val="007D4836"/>
    <w:rsid w:val="007F326F"/>
    <w:rsid w:val="007F4D4F"/>
    <w:rsid w:val="0080587F"/>
    <w:rsid w:val="00807C40"/>
    <w:rsid w:val="00807F95"/>
    <w:rsid w:val="00811288"/>
    <w:rsid w:val="00820DAF"/>
    <w:rsid w:val="00827117"/>
    <w:rsid w:val="008305F9"/>
    <w:rsid w:val="00833DE6"/>
    <w:rsid w:val="008436B2"/>
    <w:rsid w:val="00843B26"/>
    <w:rsid w:val="008445C9"/>
    <w:rsid w:val="00850C27"/>
    <w:rsid w:val="00855D3D"/>
    <w:rsid w:val="00857D91"/>
    <w:rsid w:val="00873EAD"/>
    <w:rsid w:val="00884806"/>
    <w:rsid w:val="00886952"/>
    <w:rsid w:val="00886B70"/>
    <w:rsid w:val="0089024C"/>
    <w:rsid w:val="00892984"/>
    <w:rsid w:val="008A1D33"/>
    <w:rsid w:val="008A49F5"/>
    <w:rsid w:val="008A5F17"/>
    <w:rsid w:val="008B6268"/>
    <w:rsid w:val="008C3557"/>
    <w:rsid w:val="008C43B3"/>
    <w:rsid w:val="008E33C2"/>
    <w:rsid w:val="008E508A"/>
    <w:rsid w:val="008F2295"/>
    <w:rsid w:val="008F38BD"/>
    <w:rsid w:val="00902EC1"/>
    <w:rsid w:val="00910A6F"/>
    <w:rsid w:val="009168D9"/>
    <w:rsid w:val="009226AA"/>
    <w:rsid w:val="009429FC"/>
    <w:rsid w:val="0094409C"/>
    <w:rsid w:val="009449D3"/>
    <w:rsid w:val="0095328E"/>
    <w:rsid w:val="009553F1"/>
    <w:rsid w:val="009777DD"/>
    <w:rsid w:val="009835C0"/>
    <w:rsid w:val="00987A84"/>
    <w:rsid w:val="00987E85"/>
    <w:rsid w:val="00987EAE"/>
    <w:rsid w:val="00991233"/>
    <w:rsid w:val="0099225D"/>
    <w:rsid w:val="00997DD8"/>
    <w:rsid w:val="009B0008"/>
    <w:rsid w:val="009C4DCD"/>
    <w:rsid w:val="009D01A6"/>
    <w:rsid w:val="009D4DEA"/>
    <w:rsid w:val="009D79F8"/>
    <w:rsid w:val="009E19E2"/>
    <w:rsid w:val="009E739B"/>
    <w:rsid w:val="009F003F"/>
    <w:rsid w:val="009F0E09"/>
    <w:rsid w:val="009F37EC"/>
    <w:rsid w:val="00A14D84"/>
    <w:rsid w:val="00A15352"/>
    <w:rsid w:val="00A1566E"/>
    <w:rsid w:val="00A25650"/>
    <w:rsid w:val="00A26C5C"/>
    <w:rsid w:val="00A32DD4"/>
    <w:rsid w:val="00A3682D"/>
    <w:rsid w:val="00A47E9E"/>
    <w:rsid w:val="00A52DE0"/>
    <w:rsid w:val="00A545D7"/>
    <w:rsid w:val="00A57172"/>
    <w:rsid w:val="00A60F7E"/>
    <w:rsid w:val="00A83F8E"/>
    <w:rsid w:val="00A90B73"/>
    <w:rsid w:val="00A92421"/>
    <w:rsid w:val="00A92BA2"/>
    <w:rsid w:val="00A93806"/>
    <w:rsid w:val="00A94C0A"/>
    <w:rsid w:val="00AA164D"/>
    <w:rsid w:val="00AA34FD"/>
    <w:rsid w:val="00AA4A5F"/>
    <w:rsid w:val="00AB0584"/>
    <w:rsid w:val="00AC5161"/>
    <w:rsid w:val="00AD4CCB"/>
    <w:rsid w:val="00AD6AC0"/>
    <w:rsid w:val="00B219B8"/>
    <w:rsid w:val="00B25C3B"/>
    <w:rsid w:val="00B25E64"/>
    <w:rsid w:val="00B35558"/>
    <w:rsid w:val="00B42F43"/>
    <w:rsid w:val="00B47A20"/>
    <w:rsid w:val="00B53321"/>
    <w:rsid w:val="00B53459"/>
    <w:rsid w:val="00B54E48"/>
    <w:rsid w:val="00B63346"/>
    <w:rsid w:val="00B63DFA"/>
    <w:rsid w:val="00B67B9A"/>
    <w:rsid w:val="00B70632"/>
    <w:rsid w:val="00B71EBD"/>
    <w:rsid w:val="00B85D5D"/>
    <w:rsid w:val="00B94724"/>
    <w:rsid w:val="00BA0A5F"/>
    <w:rsid w:val="00BA3C4F"/>
    <w:rsid w:val="00BB239D"/>
    <w:rsid w:val="00BB4162"/>
    <w:rsid w:val="00BB5B65"/>
    <w:rsid w:val="00BC34A1"/>
    <w:rsid w:val="00BD1D21"/>
    <w:rsid w:val="00BE4EBD"/>
    <w:rsid w:val="00BE78B0"/>
    <w:rsid w:val="00BF6105"/>
    <w:rsid w:val="00BF68DB"/>
    <w:rsid w:val="00C00390"/>
    <w:rsid w:val="00C07494"/>
    <w:rsid w:val="00C130BE"/>
    <w:rsid w:val="00C24056"/>
    <w:rsid w:val="00C27725"/>
    <w:rsid w:val="00C333CC"/>
    <w:rsid w:val="00C370F3"/>
    <w:rsid w:val="00C47848"/>
    <w:rsid w:val="00C53677"/>
    <w:rsid w:val="00C65B83"/>
    <w:rsid w:val="00C718B6"/>
    <w:rsid w:val="00C71935"/>
    <w:rsid w:val="00C73206"/>
    <w:rsid w:val="00C75540"/>
    <w:rsid w:val="00C76824"/>
    <w:rsid w:val="00C76E62"/>
    <w:rsid w:val="00C811D5"/>
    <w:rsid w:val="00C856B1"/>
    <w:rsid w:val="00C91F4C"/>
    <w:rsid w:val="00C94885"/>
    <w:rsid w:val="00C94FBC"/>
    <w:rsid w:val="00C97E9A"/>
    <w:rsid w:val="00CA070A"/>
    <w:rsid w:val="00CA598B"/>
    <w:rsid w:val="00CC4292"/>
    <w:rsid w:val="00CD1ECF"/>
    <w:rsid w:val="00CD2472"/>
    <w:rsid w:val="00CD54B0"/>
    <w:rsid w:val="00CE0A50"/>
    <w:rsid w:val="00CE2A77"/>
    <w:rsid w:val="00CE3C36"/>
    <w:rsid w:val="00CE4FD2"/>
    <w:rsid w:val="00CF0336"/>
    <w:rsid w:val="00D004F7"/>
    <w:rsid w:val="00D04C1F"/>
    <w:rsid w:val="00D264E7"/>
    <w:rsid w:val="00D32CD0"/>
    <w:rsid w:val="00D42454"/>
    <w:rsid w:val="00D52C86"/>
    <w:rsid w:val="00D72980"/>
    <w:rsid w:val="00D758A3"/>
    <w:rsid w:val="00D856E0"/>
    <w:rsid w:val="00D96047"/>
    <w:rsid w:val="00D97635"/>
    <w:rsid w:val="00D97CCF"/>
    <w:rsid w:val="00DA3660"/>
    <w:rsid w:val="00DC06F4"/>
    <w:rsid w:val="00DC1970"/>
    <w:rsid w:val="00DD3840"/>
    <w:rsid w:val="00DE68E0"/>
    <w:rsid w:val="00DF3B7C"/>
    <w:rsid w:val="00DF4750"/>
    <w:rsid w:val="00DF47F7"/>
    <w:rsid w:val="00E04B5F"/>
    <w:rsid w:val="00E04EBB"/>
    <w:rsid w:val="00E174A1"/>
    <w:rsid w:val="00E175FB"/>
    <w:rsid w:val="00E176F1"/>
    <w:rsid w:val="00E1780F"/>
    <w:rsid w:val="00E3212D"/>
    <w:rsid w:val="00E32B67"/>
    <w:rsid w:val="00E3502A"/>
    <w:rsid w:val="00E35E03"/>
    <w:rsid w:val="00E36874"/>
    <w:rsid w:val="00E61697"/>
    <w:rsid w:val="00E621B7"/>
    <w:rsid w:val="00E63A01"/>
    <w:rsid w:val="00E67E38"/>
    <w:rsid w:val="00E749B7"/>
    <w:rsid w:val="00E766F7"/>
    <w:rsid w:val="00E77AD9"/>
    <w:rsid w:val="00E82888"/>
    <w:rsid w:val="00E833CC"/>
    <w:rsid w:val="00E90E20"/>
    <w:rsid w:val="00E91703"/>
    <w:rsid w:val="00EA1BDB"/>
    <w:rsid w:val="00EB21D6"/>
    <w:rsid w:val="00EB7919"/>
    <w:rsid w:val="00EC1262"/>
    <w:rsid w:val="00EC482C"/>
    <w:rsid w:val="00EC6B22"/>
    <w:rsid w:val="00ED49D5"/>
    <w:rsid w:val="00F0373A"/>
    <w:rsid w:val="00F0468A"/>
    <w:rsid w:val="00F04AAA"/>
    <w:rsid w:val="00F24213"/>
    <w:rsid w:val="00F26EC7"/>
    <w:rsid w:val="00F360C1"/>
    <w:rsid w:val="00F40B29"/>
    <w:rsid w:val="00F46054"/>
    <w:rsid w:val="00F50709"/>
    <w:rsid w:val="00F63C31"/>
    <w:rsid w:val="00F8043F"/>
    <w:rsid w:val="00F804DB"/>
    <w:rsid w:val="00F8155A"/>
    <w:rsid w:val="00F81B6A"/>
    <w:rsid w:val="00FA4F73"/>
    <w:rsid w:val="00FA5FF6"/>
    <w:rsid w:val="00FC29DD"/>
    <w:rsid w:val="00FD1B49"/>
    <w:rsid w:val="00FD3585"/>
    <w:rsid w:val="00FD56E8"/>
    <w:rsid w:val="00FE10B2"/>
    <w:rsid w:val="00FE14AC"/>
    <w:rsid w:val="00FF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5025"/>
  <w15:chartTrackingRefBased/>
  <w15:docId w15:val="{C7284EA5-C791-41D1-B7EC-17D0513C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301"/>
    <w:pPr>
      <w:keepNext/>
      <w:spacing w:line="360" w:lineRule="auto"/>
      <w:jc w:val="both"/>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151301"/>
    <w:pPr>
      <w:keepNext/>
      <w:spacing w:after="0" w:line="360" w:lineRule="auto"/>
      <w:ind w:left="4320" w:firstLine="720"/>
      <w:jc w:val="both"/>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151301"/>
    <w:pPr>
      <w:keepNext/>
      <w:spacing w:line="360" w:lineRule="auto"/>
      <w:jc w:val="center"/>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BA3C4F"/>
    <w:pPr>
      <w:keepNext/>
      <w:spacing w:line="276" w:lineRule="auto"/>
      <w:ind w:firstLine="720"/>
      <w:jc w:val="both"/>
      <w:outlineLvl w:val="3"/>
    </w:pPr>
    <w:rPr>
      <w:rFonts w:ascii="Arial" w:hAnsi="Arial" w:cs="Arial"/>
      <w:b/>
      <w:bCs/>
      <w:i/>
      <w:iCs/>
    </w:rPr>
  </w:style>
  <w:style w:type="paragraph" w:styleId="Heading5">
    <w:name w:val="heading 5"/>
    <w:basedOn w:val="Normal"/>
    <w:next w:val="Normal"/>
    <w:link w:val="Heading5Char"/>
    <w:uiPriority w:val="9"/>
    <w:unhideWhenUsed/>
    <w:qFormat/>
    <w:rsid w:val="00FE10B2"/>
    <w:pPr>
      <w:keepNext/>
      <w:spacing w:line="360" w:lineRule="auto"/>
      <w:jc w:val="both"/>
      <w:outlineLvl w:val="4"/>
    </w:pPr>
    <w:rPr>
      <w:rFonts w:ascii="Arial" w:hAnsi="Arial" w:cs="Arial"/>
      <w:b/>
      <w:bCs/>
      <w:sz w:val="24"/>
      <w:szCs w:val="24"/>
      <w:u w:val="single"/>
    </w:rPr>
  </w:style>
  <w:style w:type="paragraph" w:styleId="Heading6">
    <w:name w:val="heading 6"/>
    <w:basedOn w:val="Normal"/>
    <w:next w:val="Normal"/>
    <w:link w:val="Heading6Char"/>
    <w:uiPriority w:val="9"/>
    <w:unhideWhenUsed/>
    <w:qFormat/>
    <w:rsid w:val="002C56B2"/>
    <w:pPr>
      <w:keepNext/>
      <w:outlineLvl w:val="5"/>
    </w:pPr>
    <w:rPr>
      <w:rFonts w:ascii="Arial" w:hAnsi="Arial" w:cs="Arial"/>
      <w:b/>
      <w:bCs/>
      <w:sz w:val="24"/>
      <w:szCs w:val="24"/>
      <w:u w:val="single"/>
    </w:rPr>
  </w:style>
  <w:style w:type="paragraph" w:styleId="Heading7">
    <w:name w:val="heading 7"/>
    <w:basedOn w:val="Normal"/>
    <w:next w:val="Normal"/>
    <w:link w:val="Heading7Char"/>
    <w:uiPriority w:val="9"/>
    <w:unhideWhenUsed/>
    <w:qFormat/>
    <w:rsid w:val="00E1780F"/>
    <w:pPr>
      <w:keepNext/>
      <w:ind w:left="720" w:hanging="720"/>
      <w:outlineLvl w:val="6"/>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1301"/>
    <w:pPr>
      <w:spacing w:line="360" w:lineRule="auto"/>
      <w:jc w:val="both"/>
    </w:pPr>
    <w:rPr>
      <w:rFonts w:ascii="Arial" w:hAnsi="Arial" w:cs="Arial"/>
      <w:b/>
      <w:bCs/>
      <w:sz w:val="24"/>
      <w:szCs w:val="24"/>
    </w:rPr>
  </w:style>
  <w:style w:type="character" w:customStyle="1" w:styleId="BodyTextChar">
    <w:name w:val="Body Text Char"/>
    <w:basedOn w:val="DefaultParagraphFont"/>
    <w:link w:val="BodyText"/>
    <w:uiPriority w:val="99"/>
    <w:rsid w:val="00151301"/>
    <w:rPr>
      <w:rFonts w:ascii="Arial" w:hAnsi="Arial" w:cs="Arial"/>
      <w:b/>
      <w:bCs/>
      <w:sz w:val="24"/>
      <w:szCs w:val="24"/>
    </w:rPr>
  </w:style>
  <w:style w:type="character" w:customStyle="1" w:styleId="Heading1Char">
    <w:name w:val="Heading 1 Char"/>
    <w:basedOn w:val="DefaultParagraphFont"/>
    <w:link w:val="Heading1"/>
    <w:uiPriority w:val="9"/>
    <w:rsid w:val="00151301"/>
    <w:rPr>
      <w:rFonts w:ascii="Arial" w:hAnsi="Arial" w:cs="Arial"/>
      <w:b/>
      <w:bCs/>
      <w:sz w:val="24"/>
      <w:szCs w:val="24"/>
    </w:rPr>
  </w:style>
  <w:style w:type="paragraph" w:styleId="BodyText2">
    <w:name w:val="Body Text 2"/>
    <w:basedOn w:val="Normal"/>
    <w:link w:val="BodyText2Char"/>
    <w:uiPriority w:val="99"/>
    <w:unhideWhenUsed/>
    <w:rsid w:val="00151301"/>
    <w:pPr>
      <w:spacing w:line="360" w:lineRule="auto"/>
      <w:jc w:val="both"/>
    </w:pPr>
    <w:rPr>
      <w:rFonts w:ascii="Arial" w:hAnsi="Arial" w:cs="Arial"/>
      <w:i/>
      <w:iCs/>
      <w:sz w:val="24"/>
      <w:szCs w:val="24"/>
    </w:rPr>
  </w:style>
  <w:style w:type="character" w:customStyle="1" w:styleId="BodyText2Char">
    <w:name w:val="Body Text 2 Char"/>
    <w:basedOn w:val="DefaultParagraphFont"/>
    <w:link w:val="BodyText2"/>
    <w:uiPriority w:val="99"/>
    <w:rsid w:val="00151301"/>
    <w:rPr>
      <w:rFonts w:ascii="Arial" w:hAnsi="Arial" w:cs="Arial"/>
      <w:i/>
      <w:iCs/>
      <w:sz w:val="24"/>
      <w:szCs w:val="24"/>
    </w:rPr>
  </w:style>
  <w:style w:type="character" w:customStyle="1" w:styleId="Heading2Char">
    <w:name w:val="Heading 2 Char"/>
    <w:basedOn w:val="DefaultParagraphFont"/>
    <w:link w:val="Heading2"/>
    <w:uiPriority w:val="9"/>
    <w:rsid w:val="00151301"/>
    <w:rPr>
      <w:rFonts w:ascii="Arial" w:hAnsi="Arial" w:cs="Arial"/>
      <w:b/>
      <w:bCs/>
      <w:sz w:val="24"/>
      <w:szCs w:val="24"/>
    </w:rPr>
  </w:style>
  <w:style w:type="character" w:customStyle="1" w:styleId="Heading3Char">
    <w:name w:val="Heading 3 Char"/>
    <w:basedOn w:val="DefaultParagraphFont"/>
    <w:link w:val="Heading3"/>
    <w:uiPriority w:val="9"/>
    <w:rsid w:val="00151301"/>
    <w:rPr>
      <w:rFonts w:ascii="Arial" w:hAnsi="Arial" w:cs="Arial"/>
      <w:b/>
      <w:bCs/>
      <w:sz w:val="24"/>
      <w:szCs w:val="24"/>
    </w:rPr>
  </w:style>
  <w:style w:type="paragraph" w:styleId="FootnoteText">
    <w:name w:val="footnote text"/>
    <w:basedOn w:val="Normal"/>
    <w:link w:val="FootnoteTextChar"/>
    <w:uiPriority w:val="99"/>
    <w:semiHidden/>
    <w:unhideWhenUsed/>
    <w:rsid w:val="00AD4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CCB"/>
    <w:rPr>
      <w:sz w:val="20"/>
      <w:szCs w:val="20"/>
    </w:rPr>
  </w:style>
  <w:style w:type="character" w:styleId="FootnoteReference">
    <w:name w:val="footnote reference"/>
    <w:basedOn w:val="DefaultParagraphFont"/>
    <w:uiPriority w:val="99"/>
    <w:semiHidden/>
    <w:unhideWhenUsed/>
    <w:rsid w:val="00AD4CCB"/>
    <w:rPr>
      <w:vertAlign w:val="superscript"/>
    </w:rPr>
  </w:style>
  <w:style w:type="character" w:styleId="Hyperlink">
    <w:name w:val="Hyperlink"/>
    <w:basedOn w:val="DefaultParagraphFont"/>
    <w:uiPriority w:val="99"/>
    <w:unhideWhenUsed/>
    <w:rsid w:val="004A28C5"/>
    <w:rPr>
      <w:color w:val="0563C1" w:themeColor="hyperlink"/>
      <w:u w:val="single"/>
    </w:rPr>
  </w:style>
  <w:style w:type="character" w:customStyle="1" w:styleId="UnresolvedMention1">
    <w:name w:val="Unresolved Mention1"/>
    <w:basedOn w:val="DefaultParagraphFont"/>
    <w:uiPriority w:val="99"/>
    <w:semiHidden/>
    <w:unhideWhenUsed/>
    <w:rsid w:val="004A28C5"/>
    <w:rPr>
      <w:color w:val="605E5C"/>
      <w:shd w:val="clear" w:color="auto" w:fill="E1DFDD"/>
    </w:rPr>
  </w:style>
  <w:style w:type="character" w:customStyle="1" w:styleId="Heading4Char">
    <w:name w:val="Heading 4 Char"/>
    <w:basedOn w:val="DefaultParagraphFont"/>
    <w:link w:val="Heading4"/>
    <w:uiPriority w:val="9"/>
    <w:rsid w:val="00BA3C4F"/>
    <w:rPr>
      <w:rFonts w:ascii="Arial" w:hAnsi="Arial" w:cs="Arial"/>
      <w:b/>
      <w:bCs/>
      <w:i/>
      <w:iCs/>
    </w:rPr>
  </w:style>
  <w:style w:type="paragraph" w:styleId="BodyText3">
    <w:name w:val="Body Text 3"/>
    <w:basedOn w:val="Normal"/>
    <w:link w:val="BodyText3Char"/>
    <w:uiPriority w:val="99"/>
    <w:unhideWhenUsed/>
    <w:rsid w:val="00731C1A"/>
    <w:pPr>
      <w:spacing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731C1A"/>
    <w:rPr>
      <w:rFonts w:ascii="Arial" w:hAnsi="Arial" w:cs="Arial"/>
      <w:sz w:val="24"/>
      <w:szCs w:val="24"/>
    </w:rPr>
  </w:style>
  <w:style w:type="character" w:customStyle="1" w:styleId="Heading5Char">
    <w:name w:val="Heading 5 Char"/>
    <w:basedOn w:val="DefaultParagraphFont"/>
    <w:link w:val="Heading5"/>
    <w:uiPriority w:val="9"/>
    <w:rsid w:val="00FE10B2"/>
    <w:rPr>
      <w:rFonts w:ascii="Arial" w:hAnsi="Arial" w:cs="Arial"/>
      <w:b/>
      <w:bCs/>
      <w:sz w:val="24"/>
      <w:szCs w:val="24"/>
      <w:u w:val="single"/>
    </w:rPr>
  </w:style>
  <w:style w:type="paragraph" w:styleId="ListParagraph">
    <w:name w:val="List Paragraph"/>
    <w:basedOn w:val="Normal"/>
    <w:uiPriority w:val="34"/>
    <w:qFormat/>
    <w:rsid w:val="005E7CF5"/>
    <w:pPr>
      <w:spacing w:after="240" w:line="360" w:lineRule="auto"/>
      <w:ind w:left="720" w:hanging="992"/>
      <w:contextualSpacing/>
      <w:jc w:val="both"/>
    </w:pPr>
    <w:rPr>
      <w:rFonts w:ascii="Arial" w:hAnsi="Arial" w:cs="Arial"/>
      <w:sz w:val="24"/>
      <w:szCs w:val="24"/>
    </w:rPr>
  </w:style>
  <w:style w:type="numbering" w:customStyle="1" w:styleId="CourtStyle">
    <w:name w:val="Court Style"/>
    <w:uiPriority w:val="99"/>
    <w:rsid w:val="005E7CF5"/>
    <w:pPr>
      <w:numPr>
        <w:numId w:val="1"/>
      </w:numPr>
    </w:pPr>
  </w:style>
  <w:style w:type="paragraph" w:styleId="Header">
    <w:name w:val="header"/>
    <w:basedOn w:val="Normal"/>
    <w:link w:val="HeaderChar"/>
    <w:uiPriority w:val="99"/>
    <w:unhideWhenUsed/>
    <w:rsid w:val="005B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FD"/>
  </w:style>
  <w:style w:type="paragraph" w:styleId="Footer">
    <w:name w:val="footer"/>
    <w:basedOn w:val="Normal"/>
    <w:link w:val="FooterChar"/>
    <w:uiPriority w:val="99"/>
    <w:unhideWhenUsed/>
    <w:rsid w:val="005B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FD"/>
  </w:style>
  <w:style w:type="paragraph" w:styleId="BalloonText">
    <w:name w:val="Balloon Text"/>
    <w:basedOn w:val="Normal"/>
    <w:link w:val="BalloonTextChar"/>
    <w:uiPriority w:val="99"/>
    <w:semiHidden/>
    <w:unhideWhenUsed/>
    <w:rsid w:val="00F5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09"/>
    <w:rPr>
      <w:rFonts w:ascii="Segoe UI" w:hAnsi="Segoe UI" w:cs="Segoe UI"/>
      <w:sz w:val="18"/>
      <w:szCs w:val="18"/>
    </w:rPr>
  </w:style>
  <w:style w:type="character" w:styleId="CommentReference">
    <w:name w:val="annotation reference"/>
    <w:basedOn w:val="DefaultParagraphFont"/>
    <w:uiPriority w:val="99"/>
    <w:semiHidden/>
    <w:unhideWhenUsed/>
    <w:rsid w:val="000E3070"/>
    <w:rPr>
      <w:sz w:val="16"/>
      <w:szCs w:val="16"/>
    </w:rPr>
  </w:style>
  <w:style w:type="paragraph" w:styleId="CommentText">
    <w:name w:val="annotation text"/>
    <w:basedOn w:val="Normal"/>
    <w:link w:val="CommentTextChar"/>
    <w:uiPriority w:val="99"/>
    <w:semiHidden/>
    <w:unhideWhenUsed/>
    <w:rsid w:val="000E3070"/>
    <w:pPr>
      <w:spacing w:line="240" w:lineRule="auto"/>
    </w:pPr>
    <w:rPr>
      <w:sz w:val="20"/>
      <w:szCs w:val="20"/>
    </w:rPr>
  </w:style>
  <w:style w:type="character" w:customStyle="1" w:styleId="CommentTextChar">
    <w:name w:val="Comment Text Char"/>
    <w:basedOn w:val="DefaultParagraphFont"/>
    <w:link w:val="CommentText"/>
    <w:uiPriority w:val="99"/>
    <w:semiHidden/>
    <w:rsid w:val="000E3070"/>
    <w:rPr>
      <w:sz w:val="20"/>
      <w:szCs w:val="20"/>
    </w:rPr>
  </w:style>
  <w:style w:type="paragraph" w:styleId="CommentSubject">
    <w:name w:val="annotation subject"/>
    <w:basedOn w:val="CommentText"/>
    <w:next w:val="CommentText"/>
    <w:link w:val="CommentSubjectChar"/>
    <w:uiPriority w:val="99"/>
    <w:semiHidden/>
    <w:unhideWhenUsed/>
    <w:rsid w:val="000E3070"/>
    <w:rPr>
      <w:b/>
      <w:bCs/>
    </w:rPr>
  </w:style>
  <w:style w:type="character" w:customStyle="1" w:styleId="CommentSubjectChar">
    <w:name w:val="Comment Subject Char"/>
    <w:basedOn w:val="CommentTextChar"/>
    <w:link w:val="CommentSubject"/>
    <w:uiPriority w:val="99"/>
    <w:semiHidden/>
    <w:rsid w:val="000E3070"/>
    <w:rPr>
      <w:b/>
      <w:bCs/>
      <w:sz w:val="20"/>
      <w:szCs w:val="20"/>
    </w:rPr>
  </w:style>
  <w:style w:type="character" w:customStyle="1" w:styleId="Heading6Char">
    <w:name w:val="Heading 6 Char"/>
    <w:basedOn w:val="DefaultParagraphFont"/>
    <w:link w:val="Heading6"/>
    <w:uiPriority w:val="9"/>
    <w:rsid w:val="002C56B2"/>
    <w:rPr>
      <w:rFonts w:ascii="Arial" w:hAnsi="Arial" w:cs="Arial"/>
      <w:b/>
      <w:bCs/>
      <w:sz w:val="24"/>
      <w:szCs w:val="24"/>
      <w:u w:val="single"/>
    </w:rPr>
  </w:style>
  <w:style w:type="paragraph" w:styleId="BodyTextIndent">
    <w:name w:val="Body Text Indent"/>
    <w:basedOn w:val="Normal"/>
    <w:link w:val="BodyTextIndentChar"/>
    <w:uiPriority w:val="99"/>
    <w:semiHidden/>
    <w:unhideWhenUsed/>
    <w:rsid w:val="00BF68DB"/>
    <w:pPr>
      <w:spacing w:after="120"/>
      <w:ind w:left="283"/>
    </w:pPr>
  </w:style>
  <w:style w:type="character" w:customStyle="1" w:styleId="BodyTextIndentChar">
    <w:name w:val="Body Text Indent Char"/>
    <w:basedOn w:val="DefaultParagraphFont"/>
    <w:link w:val="BodyTextIndent"/>
    <w:uiPriority w:val="99"/>
    <w:semiHidden/>
    <w:rsid w:val="00BF68DB"/>
  </w:style>
  <w:style w:type="paragraph" w:styleId="BodyTextIndent2">
    <w:name w:val="Body Text Indent 2"/>
    <w:basedOn w:val="Normal"/>
    <w:link w:val="BodyTextIndent2Char"/>
    <w:uiPriority w:val="99"/>
    <w:semiHidden/>
    <w:unhideWhenUsed/>
    <w:rsid w:val="00BF68DB"/>
    <w:pPr>
      <w:spacing w:after="120" w:line="480" w:lineRule="auto"/>
      <w:ind w:left="283"/>
    </w:pPr>
  </w:style>
  <w:style w:type="character" w:customStyle="1" w:styleId="BodyTextIndent2Char">
    <w:name w:val="Body Text Indent 2 Char"/>
    <w:basedOn w:val="DefaultParagraphFont"/>
    <w:link w:val="BodyTextIndent2"/>
    <w:uiPriority w:val="99"/>
    <w:semiHidden/>
    <w:rsid w:val="00BF68DB"/>
  </w:style>
  <w:style w:type="table" w:styleId="TableGrid">
    <w:name w:val="Table Grid"/>
    <w:basedOn w:val="TableNormal"/>
    <w:uiPriority w:val="39"/>
    <w:rsid w:val="001C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E1780F"/>
    <w:rPr>
      <w:rFonts w:ascii="Arial" w:hAnsi="Arial" w:cs="Arial"/>
      <w:b/>
      <w:bCs/>
      <w:sz w:val="24"/>
      <w:szCs w:val="24"/>
      <w:u w:val="single"/>
    </w:rPr>
  </w:style>
  <w:style w:type="paragraph" w:styleId="Revision">
    <w:name w:val="Revision"/>
    <w:hidden/>
    <w:uiPriority w:val="99"/>
    <w:semiHidden/>
    <w:rsid w:val="0073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747313554">
      <w:bodyDiv w:val="1"/>
      <w:marLeft w:val="0"/>
      <w:marRight w:val="0"/>
      <w:marTop w:val="0"/>
      <w:marBottom w:val="0"/>
      <w:divBdr>
        <w:top w:val="none" w:sz="0" w:space="0" w:color="auto"/>
        <w:left w:val="none" w:sz="0" w:space="0" w:color="auto"/>
        <w:bottom w:val="none" w:sz="0" w:space="0" w:color="auto"/>
        <w:right w:val="none" w:sz="0" w:space="0" w:color="auto"/>
      </w:divBdr>
    </w:div>
    <w:div w:id="1545210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8016">
          <w:marLeft w:val="0"/>
          <w:marRight w:val="0"/>
          <w:marTop w:val="120"/>
          <w:marBottom w:val="0"/>
          <w:divBdr>
            <w:top w:val="none" w:sz="0" w:space="0" w:color="auto"/>
            <w:left w:val="none" w:sz="0" w:space="0" w:color="auto"/>
            <w:bottom w:val="none" w:sz="0" w:space="0" w:color="auto"/>
            <w:right w:val="none" w:sz="0" w:space="0" w:color="auto"/>
          </w:divBdr>
        </w:div>
      </w:divsChild>
    </w:div>
    <w:div w:id="1572420248">
      <w:bodyDiv w:val="1"/>
      <w:marLeft w:val="0"/>
      <w:marRight w:val="0"/>
      <w:marTop w:val="0"/>
      <w:marBottom w:val="0"/>
      <w:divBdr>
        <w:top w:val="none" w:sz="0" w:space="0" w:color="auto"/>
        <w:left w:val="none" w:sz="0" w:space="0" w:color="auto"/>
        <w:bottom w:val="none" w:sz="0" w:space="0" w:color="auto"/>
        <w:right w:val="none" w:sz="0" w:space="0" w:color="auto"/>
      </w:divBdr>
    </w:div>
    <w:div w:id="17363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il\Documents\7%20ACTING\2021%203d%20term\Template%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0B79-446E-400C-A94B-BF7DAA87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judgment</Template>
  <TotalTime>1</TotalTime>
  <Pages>24</Pages>
  <Words>7009</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Graeme Rennie</cp:lastModifiedBy>
  <cp:revision>2</cp:revision>
  <cp:lastPrinted>2020-09-09T09:32:00Z</cp:lastPrinted>
  <dcterms:created xsi:type="dcterms:W3CDTF">2021-11-24T11:15:00Z</dcterms:created>
  <dcterms:modified xsi:type="dcterms:W3CDTF">2021-11-24T11:15:00Z</dcterms:modified>
</cp:coreProperties>
</file>