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E6CB" w14:textId="77777777" w:rsidR="00363A87" w:rsidRDefault="00363A87" w:rsidP="00363A87">
      <w:pPr>
        <w:pStyle w:val="Frontpagecaps"/>
        <w:spacing w:before="240" w:line="480" w:lineRule="auto"/>
        <w:jc w:val="center"/>
        <w:rPr>
          <w:rFonts w:cs="Arial"/>
          <w:sz w:val="24"/>
          <w:szCs w:val="24"/>
        </w:rPr>
      </w:pPr>
      <w:r w:rsidRPr="009273C9">
        <w:rPr>
          <w:rFonts w:cs="Arial"/>
          <w:noProof/>
          <w:sz w:val="24"/>
          <w:szCs w:val="24"/>
          <w:lang w:eastAsia="en-ZA"/>
        </w:rPr>
        <w:drawing>
          <wp:inline distT="0" distB="0" distL="0" distR="0" wp14:anchorId="2BF6C63E" wp14:editId="351FF9C0">
            <wp:extent cx="1630680" cy="1470660"/>
            <wp:effectExtent l="0" t="0" r="7620" b="0"/>
            <wp:docPr id="1" name="Picture 1" descr="Description: Description: http://ocj000-intranet/assets/judiciary-logo---se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ocj000-intranet/assets/judiciary-logo---sea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1470660"/>
                    </a:xfrm>
                    <a:prstGeom prst="rect">
                      <a:avLst/>
                    </a:prstGeom>
                    <a:noFill/>
                    <a:ln>
                      <a:noFill/>
                    </a:ln>
                  </pic:spPr>
                </pic:pic>
              </a:graphicData>
            </a:graphic>
          </wp:inline>
        </w:drawing>
      </w:r>
    </w:p>
    <w:p w14:paraId="2AF7A8BA" w14:textId="77777777" w:rsidR="00363A87" w:rsidRDefault="00363A87" w:rsidP="00363A87">
      <w:pPr>
        <w:pStyle w:val="Frontpagecaps"/>
        <w:spacing w:before="240" w:line="480" w:lineRule="auto"/>
        <w:jc w:val="center"/>
        <w:rPr>
          <w:rFonts w:cs="Arial"/>
          <w:sz w:val="24"/>
          <w:szCs w:val="24"/>
        </w:rPr>
      </w:pPr>
      <w:r>
        <w:rPr>
          <w:rFonts w:cs="Arial"/>
          <w:sz w:val="24"/>
          <w:szCs w:val="24"/>
        </w:rPr>
        <w:t>IN THE HIGH COURT OF SOUTH AFRICA</w:t>
      </w:r>
    </w:p>
    <w:p w14:paraId="7A10BD23" w14:textId="77777777" w:rsidR="00363A87" w:rsidRPr="00066E9C" w:rsidRDefault="00363A87" w:rsidP="00363A87">
      <w:pPr>
        <w:pStyle w:val="Frontpagecaps"/>
        <w:spacing w:before="240" w:line="480" w:lineRule="auto"/>
        <w:jc w:val="center"/>
        <w:rPr>
          <w:rFonts w:cs="Arial"/>
          <w:sz w:val="24"/>
          <w:szCs w:val="24"/>
        </w:rPr>
      </w:pPr>
      <w:r>
        <w:rPr>
          <w:rFonts w:cs="Arial"/>
          <w:sz w:val="24"/>
          <w:szCs w:val="24"/>
        </w:rPr>
        <w:t xml:space="preserve">GAUTENG </w:t>
      </w:r>
      <w:r w:rsidRPr="00066E9C">
        <w:rPr>
          <w:rFonts w:cs="Arial"/>
          <w:sz w:val="24"/>
          <w:szCs w:val="24"/>
        </w:rPr>
        <w:t>LOCAL dIVISION, JOHANNESBURG</w:t>
      </w:r>
    </w:p>
    <w:p w14:paraId="6F34D22F" w14:textId="77777777" w:rsidR="00363A87" w:rsidRPr="00D77C5E" w:rsidRDefault="00363A87" w:rsidP="00DB4484">
      <w:pPr>
        <w:spacing w:line="480" w:lineRule="auto"/>
        <w:ind w:left="5760" w:firstLine="720"/>
        <w:rPr>
          <w:rFonts w:ascii="Arial" w:hAnsi="Arial" w:cs="Arial"/>
          <w:b/>
          <w:color w:val="000000"/>
          <w:sz w:val="24"/>
          <w:szCs w:val="24"/>
        </w:rPr>
      </w:pPr>
      <w:r>
        <w:rPr>
          <w:rFonts w:ascii="Arial" w:hAnsi="Arial" w:cs="Arial"/>
          <w:b/>
          <w:color w:val="000000"/>
          <w:sz w:val="24"/>
          <w:szCs w:val="24"/>
        </w:rPr>
        <w:t xml:space="preserve"> </w:t>
      </w:r>
      <w:r w:rsidRPr="00F40452">
        <w:rPr>
          <w:rFonts w:ascii="Arial" w:hAnsi="Arial" w:cs="Arial"/>
          <w:b/>
          <w:color w:val="0E101A"/>
        </w:rPr>
        <w:t>Case number: 19/27011</w:t>
      </w:r>
    </w:p>
    <w:tbl>
      <w:tblPr>
        <w:tblStyle w:val="TableGrid"/>
        <w:tblW w:w="0" w:type="auto"/>
        <w:tblLook w:val="04A0" w:firstRow="1" w:lastRow="0" w:firstColumn="1" w:lastColumn="0" w:noHBand="0" w:noVBand="1"/>
      </w:tblPr>
      <w:tblGrid>
        <w:gridCol w:w="4653"/>
      </w:tblGrid>
      <w:tr w:rsidR="00363A87" w:rsidRPr="00E1460F" w14:paraId="2111D81F" w14:textId="77777777" w:rsidTr="005F27DE">
        <w:trPr>
          <w:trHeight w:val="815"/>
        </w:trPr>
        <w:tc>
          <w:tcPr>
            <w:tcW w:w="4653" w:type="dxa"/>
          </w:tcPr>
          <w:p w14:paraId="5870599F" w14:textId="77777777" w:rsidR="00363A87" w:rsidRPr="00386160" w:rsidRDefault="00F53156" w:rsidP="00F53156">
            <w:pPr>
              <w:ind w:left="180" w:right="-2340"/>
              <w:rPr>
                <w:rFonts w:ascii="Arial" w:hAnsi="Arial" w:cs="Arial"/>
                <w:b/>
                <w:sz w:val="16"/>
                <w:szCs w:val="16"/>
              </w:rPr>
            </w:pPr>
            <w:r>
              <w:rPr>
                <w:rFonts w:ascii="Arial" w:hAnsi="Arial" w:cs="Arial"/>
                <w:sz w:val="16"/>
                <w:szCs w:val="16"/>
              </w:rPr>
              <w:t xml:space="preserve"> </w:t>
            </w:r>
            <w:r w:rsidR="00363A87" w:rsidRPr="00386160">
              <w:rPr>
                <w:rFonts w:ascii="Arial" w:hAnsi="Arial" w:cs="Arial"/>
                <w:sz w:val="16"/>
                <w:szCs w:val="16"/>
              </w:rPr>
              <w:t>REPORTABLE</w:t>
            </w:r>
            <w:r w:rsidR="00363A87" w:rsidRPr="009676C4">
              <w:rPr>
                <w:rFonts w:ascii="Arial" w:hAnsi="Arial" w:cs="Arial"/>
                <w:b/>
                <w:sz w:val="16"/>
                <w:szCs w:val="16"/>
              </w:rPr>
              <w:t>: Not</w:t>
            </w:r>
            <w:r w:rsidR="00363A87">
              <w:rPr>
                <w:rFonts w:ascii="Arial" w:hAnsi="Arial" w:cs="Arial"/>
                <w:sz w:val="16"/>
                <w:szCs w:val="16"/>
              </w:rPr>
              <w:t xml:space="preserve"> </w:t>
            </w:r>
          </w:p>
          <w:p w14:paraId="692B0F09" w14:textId="77777777" w:rsidR="00363A87" w:rsidRPr="00386160" w:rsidRDefault="00F53156" w:rsidP="00F53156">
            <w:pPr>
              <w:ind w:left="180" w:right="-2340"/>
              <w:rPr>
                <w:rFonts w:ascii="Arial" w:hAnsi="Arial" w:cs="Arial"/>
                <w:b/>
                <w:sz w:val="16"/>
                <w:szCs w:val="16"/>
              </w:rPr>
            </w:pPr>
            <w:r>
              <w:rPr>
                <w:rFonts w:ascii="Arial" w:hAnsi="Arial" w:cs="Arial"/>
                <w:sz w:val="16"/>
                <w:szCs w:val="16"/>
              </w:rPr>
              <w:t xml:space="preserve"> </w:t>
            </w:r>
            <w:r w:rsidR="00363A87" w:rsidRPr="00386160">
              <w:rPr>
                <w:rFonts w:ascii="Arial" w:hAnsi="Arial" w:cs="Arial"/>
                <w:sz w:val="16"/>
                <w:szCs w:val="16"/>
              </w:rPr>
              <w:t xml:space="preserve">OF INTEREST TO OTHER JUDGES: </w:t>
            </w:r>
            <w:r w:rsidR="00363A87" w:rsidRPr="009676C4">
              <w:rPr>
                <w:rFonts w:ascii="Arial" w:hAnsi="Arial" w:cs="Arial"/>
                <w:b/>
                <w:sz w:val="16"/>
                <w:szCs w:val="16"/>
              </w:rPr>
              <w:t>No</w:t>
            </w:r>
            <w:r w:rsidR="00363A87">
              <w:rPr>
                <w:rFonts w:ascii="Arial" w:hAnsi="Arial" w:cs="Arial"/>
                <w:sz w:val="16"/>
                <w:szCs w:val="16"/>
              </w:rPr>
              <w:t xml:space="preserve">t </w:t>
            </w:r>
          </w:p>
          <w:p w14:paraId="33ECCA26" w14:textId="77777777" w:rsidR="00363A87" w:rsidRDefault="00F53156" w:rsidP="00F53156">
            <w:pPr>
              <w:ind w:left="180" w:right="-2340"/>
              <w:rPr>
                <w:rFonts w:ascii="Arial" w:hAnsi="Arial" w:cs="Arial"/>
                <w:sz w:val="20"/>
                <w:szCs w:val="20"/>
              </w:rPr>
            </w:pPr>
            <w:r>
              <w:rPr>
                <w:rFonts w:ascii="Arial" w:hAnsi="Arial" w:cs="Arial"/>
                <w:sz w:val="16"/>
                <w:szCs w:val="16"/>
              </w:rPr>
              <w:t xml:space="preserve"> </w:t>
            </w:r>
            <w:r w:rsidR="00363A87" w:rsidRPr="00386160">
              <w:rPr>
                <w:rFonts w:ascii="Arial" w:hAnsi="Arial" w:cs="Arial"/>
                <w:sz w:val="16"/>
                <w:szCs w:val="16"/>
              </w:rPr>
              <w:t>REVISED.</w:t>
            </w:r>
            <w:r w:rsidR="00363A87" w:rsidRPr="00E1460F">
              <w:rPr>
                <w:rFonts w:ascii="Arial" w:hAnsi="Arial" w:cs="Arial"/>
                <w:sz w:val="20"/>
                <w:szCs w:val="20"/>
              </w:rPr>
              <w:t xml:space="preserve"> </w:t>
            </w:r>
          </w:p>
          <w:p w14:paraId="1E13F3A4" w14:textId="77777777" w:rsidR="00363A87" w:rsidRDefault="00A047BA" w:rsidP="005F27DE">
            <w:pPr>
              <w:ind w:left="180" w:right="-2340"/>
              <w:rPr>
                <w:rFonts w:ascii="Arial" w:hAnsi="Arial" w:cs="Arial"/>
                <w:sz w:val="20"/>
                <w:szCs w:val="20"/>
              </w:rPr>
            </w:pPr>
            <w:r>
              <w:rPr>
                <w:rFonts w:ascii="Arial" w:hAnsi="Arial" w:cs="Arial"/>
                <w:sz w:val="20"/>
                <w:szCs w:val="20"/>
              </w:rPr>
              <w:t>09</w:t>
            </w:r>
            <w:r w:rsidR="00363A87">
              <w:rPr>
                <w:rFonts w:ascii="Arial" w:hAnsi="Arial" w:cs="Arial"/>
                <w:sz w:val="20"/>
                <w:szCs w:val="20"/>
              </w:rPr>
              <w:t xml:space="preserve"> November 2021 </w:t>
            </w:r>
            <w:r w:rsidR="00DB4484">
              <w:rPr>
                <w:rFonts w:ascii="Arial" w:hAnsi="Arial" w:cs="Arial"/>
                <w:sz w:val="20"/>
                <w:szCs w:val="20"/>
              </w:rPr>
              <w:t xml:space="preserve">      _____________ </w:t>
            </w:r>
          </w:p>
          <w:p w14:paraId="7E769A44" w14:textId="77777777" w:rsidR="00DB4484" w:rsidRDefault="00DB4484" w:rsidP="005F27DE">
            <w:pPr>
              <w:ind w:left="180" w:right="-2340"/>
              <w:rPr>
                <w:rFonts w:ascii="Arial" w:hAnsi="Arial" w:cs="Arial"/>
                <w:sz w:val="20"/>
                <w:szCs w:val="20"/>
              </w:rPr>
            </w:pPr>
            <w:r>
              <w:rPr>
                <w:rFonts w:ascii="Arial" w:hAnsi="Arial" w:cs="Arial"/>
                <w:sz w:val="20"/>
                <w:szCs w:val="20"/>
              </w:rPr>
              <w:t xml:space="preserve">                                       Signature </w:t>
            </w:r>
          </w:p>
          <w:p w14:paraId="27090BAE" w14:textId="77777777" w:rsidR="00363A87" w:rsidRPr="00E1460F" w:rsidRDefault="00363A87" w:rsidP="005F27DE">
            <w:pPr>
              <w:ind w:left="900" w:right="-2340"/>
              <w:rPr>
                <w:rFonts w:ascii="Arial" w:hAnsi="Arial" w:cs="Arial"/>
                <w:sz w:val="20"/>
                <w:szCs w:val="20"/>
              </w:rPr>
            </w:pPr>
          </w:p>
        </w:tc>
      </w:tr>
    </w:tbl>
    <w:p w14:paraId="449CE2CC" w14:textId="77777777" w:rsidR="00F872EC" w:rsidRPr="00F40452" w:rsidRDefault="00F872EC" w:rsidP="00DB4484">
      <w:pPr>
        <w:pStyle w:val="NormalWeb"/>
        <w:spacing w:before="0" w:beforeAutospacing="0" w:after="0" w:afterAutospacing="0" w:line="480" w:lineRule="auto"/>
        <w:jc w:val="both"/>
        <w:rPr>
          <w:rFonts w:ascii="Arial" w:hAnsi="Arial" w:cs="Arial"/>
          <w:b/>
          <w:color w:val="0E101A"/>
        </w:rPr>
      </w:pPr>
      <w:r w:rsidRPr="00F40452">
        <w:rPr>
          <w:rFonts w:ascii="Arial" w:hAnsi="Arial" w:cs="Arial"/>
          <w:b/>
          <w:color w:val="0E101A"/>
        </w:rPr>
        <w:t xml:space="preserve">In the matter between: </w:t>
      </w:r>
    </w:p>
    <w:p w14:paraId="51B5752A" w14:textId="77777777" w:rsidR="00F872EC" w:rsidRPr="00F40452" w:rsidRDefault="00F872EC" w:rsidP="00DB4484">
      <w:pPr>
        <w:pStyle w:val="NormalWeb"/>
        <w:spacing w:before="0" w:beforeAutospacing="0" w:after="0" w:afterAutospacing="0" w:line="480" w:lineRule="auto"/>
        <w:jc w:val="both"/>
        <w:rPr>
          <w:rFonts w:ascii="Arial" w:hAnsi="Arial" w:cs="Arial"/>
          <w:b/>
          <w:color w:val="0E101A"/>
        </w:rPr>
      </w:pPr>
      <w:r w:rsidRPr="00F40452">
        <w:rPr>
          <w:rFonts w:ascii="Arial" w:hAnsi="Arial" w:cs="Arial"/>
          <w:b/>
          <w:color w:val="0E101A"/>
        </w:rPr>
        <w:t>ROADMAC SURFACING (PTY) LTD</w:t>
      </w:r>
      <w:r w:rsidR="003A19C4" w:rsidRPr="00F40452">
        <w:rPr>
          <w:rFonts w:ascii="Arial" w:hAnsi="Arial" w:cs="Arial"/>
          <w:b/>
          <w:color w:val="0E101A"/>
        </w:rPr>
        <w:tab/>
      </w:r>
      <w:r w:rsidR="003A19C4" w:rsidRPr="00F40452">
        <w:rPr>
          <w:rFonts w:ascii="Arial" w:hAnsi="Arial" w:cs="Arial"/>
          <w:b/>
          <w:color w:val="0E101A"/>
        </w:rPr>
        <w:tab/>
      </w:r>
      <w:r w:rsidR="003A19C4" w:rsidRPr="00F40452">
        <w:rPr>
          <w:rFonts w:ascii="Arial" w:hAnsi="Arial" w:cs="Arial"/>
          <w:b/>
          <w:color w:val="0E101A"/>
        </w:rPr>
        <w:tab/>
      </w:r>
      <w:r w:rsidR="003A19C4" w:rsidRPr="00F40452">
        <w:rPr>
          <w:rFonts w:ascii="Arial" w:hAnsi="Arial" w:cs="Arial"/>
          <w:b/>
          <w:color w:val="0E101A"/>
        </w:rPr>
        <w:tab/>
        <w:t xml:space="preserve">Applicant </w:t>
      </w:r>
    </w:p>
    <w:p w14:paraId="395CA9EB" w14:textId="77777777" w:rsidR="00F872EC" w:rsidRPr="00F40452" w:rsidRDefault="00F872EC" w:rsidP="00DB4484">
      <w:pPr>
        <w:pStyle w:val="NormalWeb"/>
        <w:spacing w:before="0" w:beforeAutospacing="0" w:after="0" w:afterAutospacing="0" w:line="480" w:lineRule="auto"/>
        <w:jc w:val="both"/>
        <w:rPr>
          <w:rFonts w:ascii="Arial" w:hAnsi="Arial" w:cs="Arial"/>
          <w:b/>
          <w:color w:val="0E101A"/>
        </w:rPr>
      </w:pPr>
      <w:r w:rsidRPr="00F40452">
        <w:rPr>
          <w:rFonts w:ascii="Arial" w:hAnsi="Arial" w:cs="Arial"/>
          <w:b/>
          <w:color w:val="0E101A"/>
        </w:rPr>
        <w:t xml:space="preserve">AND </w:t>
      </w:r>
    </w:p>
    <w:p w14:paraId="32EF7829" w14:textId="77777777" w:rsidR="00F872EC" w:rsidRPr="00F40452" w:rsidRDefault="00F872EC" w:rsidP="00DB4484">
      <w:pPr>
        <w:pStyle w:val="NormalWeb"/>
        <w:spacing w:before="0" w:beforeAutospacing="0" w:after="0" w:afterAutospacing="0" w:line="480" w:lineRule="auto"/>
        <w:jc w:val="both"/>
        <w:rPr>
          <w:rFonts w:ascii="Arial" w:hAnsi="Arial" w:cs="Arial"/>
          <w:b/>
          <w:color w:val="0E101A"/>
        </w:rPr>
      </w:pPr>
      <w:r w:rsidRPr="00F40452">
        <w:rPr>
          <w:rFonts w:ascii="Arial" w:hAnsi="Arial" w:cs="Arial"/>
          <w:b/>
          <w:color w:val="0E101A"/>
        </w:rPr>
        <w:t>JOHANNESBURG ROADS AGENCY (SOC) (PTY) LTD</w:t>
      </w:r>
      <w:r w:rsidR="003A19C4" w:rsidRPr="00F40452">
        <w:rPr>
          <w:rFonts w:ascii="Arial" w:hAnsi="Arial" w:cs="Arial"/>
          <w:b/>
          <w:color w:val="0E101A"/>
        </w:rPr>
        <w:tab/>
        <w:t xml:space="preserve">First Respondent </w:t>
      </w:r>
    </w:p>
    <w:p w14:paraId="27E183EE" w14:textId="77777777" w:rsidR="00F872EC" w:rsidRPr="00F40452" w:rsidRDefault="00F872EC" w:rsidP="00DB4484">
      <w:pPr>
        <w:pStyle w:val="NormalWeb"/>
        <w:spacing w:before="0" w:beforeAutospacing="0" w:after="0" w:afterAutospacing="0" w:line="480" w:lineRule="auto"/>
        <w:jc w:val="both"/>
        <w:rPr>
          <w:rFonts w:ascii="Arial" w:hAnsi="Arial" w:cs="Arial"/>
          <w:b/>
          <w:color w:val="0E101A"/>
        </w:rPr>
      </w:pPr>
      <w:r w:rsidRPr="00F40452">
        <w:rPr>
          <w:rFonts w:ascii="Arial" w:hAnsi="Arial" w:cs="Arial"/>
          <w:b/>
          <w:color w:val="0E101A"/>
        </w:rPr>
        <w:t xml:space="preserve">SHONISANI RAMBOAU CONSTRUCTION (PTY) LTD </w:t>
      </w:r>
      <w:r w:rsidR="003A19C4" w:rsidRPr="00F40452">
        <w:rPr>
          <w:rFonts w:ascii="Arial" w:hAnsi="Arial" w:cs="Arial"/>
          <w:b/>
          <w:color w:val="0E101A"/>
        </w:rPr>
        <w:t xml:space="preserve">       </w:t>
      </w:r>
      <w:r w:rsidR="003A19C4" w:rsidRPr="00F40452">
        <w:rPr>
          <w:rFonts w:ascii="Arial" w:hAnsi="Arial" w:cs="Arial"/>
          <w:b/>
          <w:color w:val="0E101A"/>
        </w:rPr>
        <w:tab/>
        <w:t xml:space="preserve">Second Respondent   </w:t>
      </w:r>
    </w:p>
    <w:p w14:paraId="118EFC6F" w14:textId="77777777" w:rsidR="00F872EC" w:rsidRPr="00F40452" w:rsidRDefault="00F872EC" w:rsidP="00DB4484">
      <w:pPr>
        <w:pStyle w:val="NormalWeb"/>
        <w:spacing w:before="0" w:beforeAutospacing="0" w:after="0" w:afterAutospacing="0" w:line="480" w:lineRule="auto"/>
        <w:jc w:val="both"/>
        <w:rPr>
          <w:rFonts w:ascii="Arial" w:hAnsi="Arial" w:cs="Arial"/>
          <w:b/>
          <w:color w:val="0E101A"/>
        </w:rPr>
      </w:pPr>
      <w:r w:rsidRPr="00F40452">
        <w:rPr>
          <w:rFonts w:ascii="Arial" w:hAnsi="Arial" w:cs="Arial"/>
          <w:b/>
          <w:color w:val="0E101A"/>
        </w:rPr>
        <w:t>SP SURFACING (PTY) LTD AND SEPEDI</w:t>
      </w:r>
      <w:r w:rsidR="003A19C4" w:rsidRPr="00F40452">
        <w:rPr>
          <w:rFonts w:ascii="Arial" w:hAnsi="Arial" w:cs="Arial"/>
          <w:b/>
          <w:color w:val="0E101A"/>
        </w:rPr>
        <w:tab/>
      </w:r>
      <w:r w:rsidR="003A19C4" w:rsidRPr="00F40452">
        <w:rPr>
          <w:rFonts w:ascii="Arial" w:hAnsi="Arial" w:cs="Arial"/>
          <w:b/>
          <w:color w:val="0E101A"/>
        </w:rPr>
        <w:tab/>
      </w:r>
      <w:r w:rsidR="003A19C4" w:rsidRPr="00F40452">
        <w:rPr>
          <w:rFonts w:ascii="Arial" w:hAnsi="Arial" w:cs="Arial"/>
          <w:b/>
          <w:color w:val="0E101A"/>
        </w:rPr>
        <w:tab/>
      </w:r>
    </w:p>
    <w:p w14:paraId="3576DFED" w14:textId="77777777" w:rsidR="00F872EC" w:rsidRPr="00F40452" w:rsidRDefault="00F872EC" w:rsidP="00DB4484">
      <w:pPr>
        <w:pStyle w:val="NormalWeb"/>
        <w:spacing w:before="0" w:beforeAutospacing="0" w:after="0" w:afterAutospacing="0" w:line="480" w:lineRule="auto"/>
        <w:jc w:val="both"/>
        <w:rPr>
          <w:rFonts w:ascii="Arial" w:hAnsi="Arial" w:cs="Arial"/>
          <w:b/>
          <w:color w:val="0E101A"/>
        </w:rPr>
      </w:pPr>
      <w:r w:rsidRPr="00F40452">
        <w:rPr>
          <w:rFonts w:ascii="Arial" w:hAnsi="Arial" w:cs="Arial"/>
          <w:b/>
          <w:color w:val="0E101A"/>
        </w:rPr>
        <w:t>DEVELOPMENT PROJECTS JOINT VENTURE</w:t>
      </w:r>
      <w:r w:rsidR="003A19C4" w:rsidRPr="00F40452">
        <w:rPr>
          <w:rFonts w:ascii="Arial" w:hAnsi="Arial" w:cs="Arial"/>
          <w:b/>
          <w:color w:val="0E101A"/>
        </w:rPr>
        <w:tab/>
      </w:r>
      <w:r w:rsidR="003A19C4" w:rsidRPr="00F40452">
        <w:rPr>
          <w:rFonts w:ascii="Arial" w:hAnsi="Arial" w:cs="Arial"/>
          <w:b/>
          <w:color w:val="0E101A"/>
        </w:rPr>
        <w:tab/>
        <w:t>Third Respondent</w:t>
      </w:r>
    </w:p>
    <w:p w14:paraId="2C796A61" w14:textId="77777777" w:rsidR="00F872EC" w:rsidRPr="00F40452" w:rsidRDefault="00F872EC" w:rsidP="00DB4484">
      <w:pPr>
        <w:pStyle w:val="NormalWeb"/>
        <w:spacing w:before="0" w:beforeAutospacing="0" w:after="0" w:afterAutospacing="0" w:line="480" w:lineRule="auto"/>
        <w:jc w:val="both"/>
        <w:rPr>
          <w:rFonts w:ascii="Arial" w:hAnsi="Arial" w:cs="Arial"/>
          <w:b/>
          <w:color w:val="0E101A"/>
        </w:rPr>
      </w:pPr>
      <w:r w:rsidRPr="00F40452">
        <w:rPr>
          <w:rFonts w:ascii="Arial" w:hAnsi="Arial" w:cs="Arial"/>
          <w:b/>
          <w:color w:val="0E101A"/>
        </w:rPr>
        <w:t>GAU FLORA CC</w:t>
      </w:r>
      <w:r w:rsidR="003A19C4" w:rsidRPr="00F40452">
        <w:rPr>
          <w:rFonts w:ascii="Arial" w:hAnsi="Arial" w:cs="Arial"/>
          <w:b/>
          <w:color w:val="0E101A"/>
        </w:rPr>
        <w:tab/>
      </w:r>
      <w:r w:rsidR="003A19C4" w:rsidRPr="00F40452">
        <w:rPr>
          <w:rFonts w:ascii="Arial" w:hAnsi="Arial" w:cs="Arial"/>
          <w:b/>
          <w:color w:val="0E101A"/>
        </w:rPr>
        <w:tab/>
      </w:r>
      <w:r w:rsidR="003A19C4" w:rsidRPr="00F40452">
        <w:rPr>
          <w:rFonts w:ascii="Arial" w:hAnsi="Arial" w:cs="Arial"/>
          <w:b/>
          <w:color w:val="0E101A"/>
        </w:rPr>
        <w:tab/>
      </w:r>
      <w:r w:rsidR="003A19C4" w:rsidRPr="00F40452">
        <w:rPr>
          <w:rFonts w:ascii="Arial" w:hAnsi="Arial" w:cs="Arial"/>
          <w:b/>
          <w:color w:val="0E101A"/>
        </w:rPr>
        <w:tab/>
      </w:r>
      <w:r w:rsidR="003A19C4" w:rsidRPr="00F40452">
        <w:rPr>
          <w:rFonts w:ascii="Arial" w:hAnsi="Arial" w:cs="Arial"/>
          <w:b/>
          <w:color w:val="0E101A"/>
        </w:rPr>
        <w:tab/>
      </w:r>
      <w:r w:rsidR="003A19C4" w:rsidRPr="00F40452">
        <w:rPr>
          <w:rFonts w:ascii="Arial" w:hAnsi="Arial" w:cs="Arial"/>
          <w:b/>
          <w:color w:val="0E101A"/>
        </w:rPr>
        <w:tab/>
      </w:r>
      <w:r w:rsidR="003A19C4" w:rsidRPr="00F40452">
        <w:rPr>
          <w:rFonts w:ascii="Arial" w:hAnsi="Arial" w:cs="Arial"/>
          <w:b/>
          <w:color w:val="0E101A"/>
        </w:rPr>
        <w:tab/>
      </w:r>
      <w:r w:rsidRPr="00F40452">
        <w:rPr>
          <w:rFonts w:ascii="Arial" w:hAnsi="Arial" w:cs="Arial"/>
          <w:b/>
          <w:color w:val="0E101A"/>
        </w:rPr>
        <w:t xml:space="preserve"> </w:t>
      </w:r>
      <w:r w:rsidR="003A19C4" w:rsidRPr="00F40452">
        <w:rPr>
          <w:rFonts w:ascii="Arial" w:hAnsi="Arial" w:cs="Arial"/>
          <w:b/>
          <w:color w:val="0E101A"/>
        </w:rPr>
        <w:t>Fourth Respondent</w:t>
      </w:r>
    </w:p>
    <w:p w14:paraId="48F2D890" w14:textId="77777777" w:rsidR="003A19C4" w:rsidRPr="00F40452" w:rsidRDefault="00F872EC" w:rsidP="00DB4484">
      <w:pPr>
        <w:pStyle w:val="NormalWeb"/>
        <w:spacing w:before="0" w:beforeAutospacing="0" w:after="0" w:afterAutospacing="0" w:line="480" w:lineRule="auto"/>
        <w:jc w:val="both"/>
        <w:rPr>
          <w:rFonts w:ascii="Arial" w:hAnsi="Arial" w:cs="Arial"/>
          <w:b/>
          <w:color w:val="0E101A"/>
        </w:rPr>
      </w:pPr>
      <w:r w:rsidRPr="00F40452">
        <w:rPr>
          <w:rFonts w:ascii="Arial" w:hAnsi="Arial" w:cs="Arial"/>
          <w:b/>
          <w:color w:val="0E101A"/>
        </w:rPr>
        <w:t xml:space="preserve">ACTPHAMBILI TRADING ENTERPRISE CC </w:t>
      </w:r>
    </w:p>
    <w:p w14:paraId="276AF789" w14:textId="77777777" w:rsidR="003A19C4" w:rsidRPr="00F40452" w:rsidRDefault="003A19C4" w:rsidP="00DB4484">
      <w:pPr>
        <w:pStyle w:val="NormalWeb"/>
        <w:spacing w:before="0" w:beforeAutospacing="0" w:after="0" w:afterAutospacing="0" w:line="480" w:lineRule="auto"/>
        <w:jc w:val="both"/>
        <w:rPr>
          <w:rFonts w:ascii="Arial" w:hAnsi="Arial" w:cs="Arial"/>
          <w:b/>
          <w:color w:val="0E101A"/>
        </w:rPr>
      </w:pPr>
      <w:r w:rsidRPr="00F40452">
        <w:rPr>
          <w:rFonts w:ascii="Arial" w:hAnsi="Arial" w:cs="Arial"/>
          <w:b/>
          <w:color w:val="0E101A"/>
        </w:rPr>
        <w:t>JOINT VENTURE</w:t>
      </w:r>
      <w:r w:rsidRPr="00F40452">
        <w:rPr>
          <w:rFonts w:ascii="Arial" w:hAnsi="Arial" w:cs="Arial"/>
          <w:b/>
          <w:color w:val="0E101A"/>
        </w:rPr>
        <w:tab/>
      </w:r>
      <w:r w:rsidRPr="00F40452">
        <w:rPr>
          <w:rFonts w:ascii="Arial" w:hAnsi="Arial" w:cs="Arial"/>
          <w:b/>
          <w:color w:val="0E101A"/>
        </w:rPr>
        <w:tab/>
      </w:r>
      <w:r w:rsidRPr="00F40452">
        <w:rPr>
          <w:rFonts w:ascii="Arial" w:hAnsi="Arial" w:cs="Arial"/>
          <w:b/>
          <w:color w:val="0E101A"/>
        </w:rPr>
        <w:tab/>
      </w:r>
      <w:r w:rsidRPr="00F40452">
        <w:rPr>
          <w:rFonts w:ascii="Arial" w:hAnsi="Arial" w:cs="Arial"/>
          <w:b/>
          <w:color w:val="0E101A"/>
        </w:rPr>
        <w:tab/>
      </w:r>
      <w:r w:rsidRPr="00F40452">
        <w:rPr>
          <w:rFonts w:ascii="Arial" w:hAnsi="Arial" w:cs="Arial"/>
          <w:b/>
          <w:color w:val="0E101A"/>
        </w:rPr>
        <w:tab/>
      </w:r>
      <w:r w:rsidRPr="00F40452">
        <w:rPr>
          <w:rFonts w:ascii="Arial" w:hAnsi="Arial" w:cs="Arial"/>
          <w:b/>
          <w:color w:val="0E101A"/>
        </w:rPr>
        <w:tab/>
      </w:r>
      <w:r w:rsidRPr="00F40452">
        <w:rPr>
          <w:rFonts w:ascii="Arial" w:hAnsi="Arial" w:cs="Arial"/>
          <w:b/>
          <w:color w:val="0E101A"/>
        </w:rPr>
        <w:tab/>
        <w:t>Fifth Respondent</w:t>
      </w:r>
    </w:p>
    <w:p w14:paraId="4DA719D6" w14:textId="77777777" w:rsidR="003A19C4" w:rsidRDefault="003A19C4" w:rsidP="00DB4484">
      <w:pPr>
        <w:pStyle w:val="NormalWeb"/>
        <w:spacing w:before="0" w:beforeAutospacing="0" w:after="0" w:afterAutospacing="0" w:line="480" w:lineRule="auto"/>
        <w:jc w:val="both"/>
        <w:rPr>
          <w:rFonts w:ascii="Arial" w:hAnsi="Arial" w:cs="Arial"/>
          <w:b/>
          <w:color w:val="0E101A"/>
        </w:rPr>
      </w:pPr>
      <w:r w:rsidRPr="00F40452">
        <w:rPr>
          <w:rFonts w:ascii="Arial" w:hAnsi="Arial" w:cs="Arial"/>
          <w:b/>
          <w:color w:val="0E101A"/>
        </w:rPr>
        <w:t>IMVULA ROADS AND CIVILS (PTY) LTD</w:t>
      </w:r>
      <w:r w:rsidRPr="00F40452">
        <w:rPr>
          <w:rFonts w:ascii="Arial" w:hAnsi="Arial" w:cs="Arial"/>
          <w:b/>
          <w:color w:val="0E101A"/>
        </w:rPr>
        <w:tab/>
      </w:r>
      <w:r w:rsidRPr="00F40452">
        <w:rPr>
          <w:rFonts w:ascii="Arial" w:hAnsi="Arial" w:cs="Arial"/>
          <w:b/>
          <w:color w:val="0E101A"/>
        </w:rPr>
        <w:tab/>
      </w:r>
      <w:r w:rsidRPr="00F40452">
        <w:rPr>
          <w:rFonts w:ascii="Arial" w:hAnsi="Arial" w:cs="Arial"/>
          <w:b/>
          <w:color w:val="0E101A"/>
        </w:rPr>
        <w:tab/>
        <w:t xml:space="preserve">Sixth Respondent </w:t>
      </w:r>
    </w:p>
    <w:p w14:paraId="1E970322" w14:textId="77777777" w:rsidR="00DB4484" w:rsidRPr="000F2F94" w:rsidRDefault="00DB4484" w:rsidP="00DB4484">
      <w:pPr>
        <w:widowControl w:val="0"/>
        <w:spacing w:line="360" w:lineRule="auto"/>
        <w:jc w:val="both"/>
        <w:rPr>
          <w:b/>
          <w:bCs/>
          <w:sz w:val="20"/>
          <w:szCs w:val="20"/>
          <w:lang w:val="en-GB"/>
        </w:rPr>
      </w:pPr>
      <w:r>
        <w:rPr>
          <w:rFonts w:ascii="Arial" w:hAnsi="Arial" w:cs="Arial"/>
          <w:b/>
          <w:color w:val="0E101A"/>
        </w:rPr>
        <w:t>Delivery:</w:t>
      </w:r>
      <w:r w:rsidRPr="00DB4484">
        <w:rPr>
          <w:b/>
          <w:bCs/>
          <w:sz w:val="20"/>
          <w:szCs w:val="20"/>
          <w:lang w:val="en-GB"/>
        </w:rPr>
        <w:t xml:space="preserve"> </w:t>
      </w:r>
      <w:r w:rsidRPr="00DB4484">
        <w:rPr>
          <w:rFonts w:ascii="Arial" w:hAnsi="Arial" w:cs="Arial"/>
          <w:b/>
          <w:bCs/>
          <w:lang w:val="en-GB"/>
        </w:rPr>
        <w:t>This judgment was handed down electronically by circulation to the parties' legal representatives by email. The date for</w:t>
      </w:r>
      <w:r>
        <w:rPr>
          <w:rFonts w:ascii="Arial" w:hAnsi="Arial" w:cs="Arial"/>
          <w:b/>
          <w:bCs/>
          <w:lang w:val="en-GB"/>
        </w:rPr>
        <w:t xml:space="preserve"> hand-down is deemed to be on 09 November 2021</w:t>
      </w:r>
    </w:p>
    <w:p w14:paraId="225FE168" w14:textId="77777777" w:rsidR="00DB4484" w:rsidRDefault="00DB4484" w:rsidP="00DB4484">
      <w:pPr>
        <w:pStyle w:val="NormalWeb"/>
        <w:spacing w:before="0" w:beforeAutospacing="0" w:after="0" w:afterAutospacing="0" w:line="480" w:lineRule="auto"/>
        <w:jc w:val="both"/>
        <w:rPr>
          <w:rFonts w:ascii="Arial" w:hAnsi="Arial" w:cs="Arial"/>
          <w:b/>
          <w:color w:val="0E101A"/>
        </w:rPr>
      </w:pPr>
    </w:p>
    <w:p w14:paraId="53571325" w14:textId="77777777" w:rsidR="00531676" w:rsidRPr="00F40452" w:rsidRDefault="00A047BA" w:rsidP="00DB4484">
      <w:pPr>
        <w:pStyle w:val="NormalWeb"/>
        <w:spacing w:before="0" w:beforeAutospacing="0" w:after="0" w:afterAutospacing="0" w:line="480" w:lineRule="auto"/>
        <w:jc w:val="both"/>
        <w:rPr>
          <w:rFonts w:ascii="Arial" w:hAnsi="Arial" w:cs="Arial"/>
          <w:b/>
          <w:color w:val="0E101A"/>
        </w:rPr>
      </w:pPr>
      <w:r>
        <w:rPr>
          <w:rFonts w:ascii="Arial" w:hAnsi="Arial" w:cs="Arial"/>
          <w:b/>
          <w:color w:val="0E101A"/>
        </w:rPr>
        <w:t xml:space="preserve"> </w:t>
      </w:r>
      <w:r w:rsidR="005A2932">
        <w:rPr>
          <w:rFonts w:ascii="Arial" w:hAnsi="Arial" w:cs="Arial"/>
          <w:b/>
          <w:color w:val="0E101A"/>
        </w:rPr>
        <w:t>Summary</w:t>
      </w:r>
      <w:r w:rsidR="00531676">
        <w:rPr>
          <w:rFonts w:ascii="Arial" w:hAnsi="Arial" w:cs="Arial"/>
          <w:b/>
          <w:color w:val="0E101A"/>
        </w:rPr>
        <w:t xml:space="preserve">: </w:t>
      </w:r>
      <w:r w:rsidR="00531676" w:rsidRPr="00531676">
        <w:rPr>
          <w:rFonts w:ascii="Arial" w:hAnsi="Arial" w:cs="Arial"/>
          <w:color w:val="0E101A"/>
        </w:rPr>
        <w:t>Application</w:t>
      </w:r>
      <w:r w:rsidR="00531676">
        <w:rPr>
          <w:rFonts w:ascii="Arial" w:hAnsi="Arial" w:cs="Arial"/>
          <w:color w:val="0E101A"/>
        </w:rPr>
        <w:t xml:space="preserve">- review of decision to allocate a tender to six of the service providers for road surfacing in the City of Johannesburg. The principles of fairness and transparency and constitutionalism in review of tender applications restated.  </w:t>
      </w:r>
    </w:p>
    <w:p w14:paraId="4E864D67" w14:textId="77777777" w:rsidR="00F872EC" w:rsidRPr="00F40452" w:rsidRDefault="003A19C4" w:rsidP="00DB4484">
      <w:pPr>
        <w:pStyle w:val="NormalWeb"/>
        <w:spacing w:before="0" w:beforeAutospacing="0" w:after="0" w:afterAutospacing="0" w:line="480" w:lineRule="auto"/>
        <w:jc w:val="both"/>
        <w:rPr>
          <w:rFonts w:ascii="Arial" w:hAnsi="Arial" w:cs="Arial"/>
          <w:b/>
          <w:color w:val="0E101A"/>
          <w:u w:val="single"/>
        </w:rPr>
      </w:pP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p>
    <w:p w14:paraId="115455E4" w14:textId="77777777" w:rsidR="003A19C4" w:rsidRPr="00F40452" w:rsidRDefault="003A19C4" w:rsidP="00DB4484">
      <w:pPr>
        <w:pStyle w:val="NormalWeb"/>
        <w:spacing w:before="0" w:beforeAutospacing="0" w:after="0" w:afterAutospacing="0" w:line="480" w:lineRule="auto"/>
        <w:jc w:val="both"/>
        <w:rPr>
          <w:rFonts w:ascii="Arial" w:hAnsi="Arial" w:cs="Arial"/>
          <w:b/>
          <w:color w:val="0E101A"/>
        </w:rPr>
      </w:pPr>
      <w:r w:rsidRPr="00F40452">
        <w:rPr>
          <w:rFonts w:ascii="Arial" w:hAnsi="Arial" w:cs="Arial"/>
          <w:b/>
          <w:color w:val="0E101A"/>
        </w:rPr>
        <w:tab/>
      </w:r>
      <w:r w:rsidRPr="00F40452">
        <w:rPr>
          <w:rFonts w:ascii="Arial" w:hAnsi="Arial" w:cs="Arial"/>
          <w:b/>
          <w:color w:val="0E101A"/>
        </w:rPr>
        <w:tab/>
      </w:r>
      <w:r w:rsidRPr="00F40452">
        <w:rPr>
          <w:rFonts w:ascii="Arial" w:hAnsi="Arial" w:cs="Arial"/>
          <w:b/>
          <w:color w:val="0E101A"/>
        </w:rPr>
        <w:tab/>
      </w:r>
      <w:r w:rsidRPr="00F40452">
        <w:rPr>
          <w:rFonts w:ascii="Arial" w:hAnsi="Arial" w:cs="Arial"/>
          <w:b/>
          <w:color w:val="0E101A"/>
        </w:rPr>
        <w:tab/>
      </w:r>
      <w:r w:rsidRPr="00F40452">
        <w:rPr>
          <w:rFonts w:ascii="Arial" w:hAnsi="Arial" w:cs="Arial"/>
          <w:b/>
          <w:color w:val="0E101A"/>
        </w:rPr>
        <w:tab/>
        <w:t xml:space="preserve">JUDGMENT </w:t>
      </w:r>
    </w:p>
    <w:p w14:paraId="6B6FCDC3" w14:textId="77777777" w:rsidR="003A19C4" w:rsidRPr="00F40452" w:rsidRDefault="003A19C4" w:rsidP="00DB4484">
      <w:pPr>
        <w:pStyle w:val="NormalWeb"/>
        <w:spacing w:before="0" w:beforeAutospacing="0" w:after="0" w:afterAutospacing="0" w:line="480" w:lineRule="auto"/>
        <w:jc w:val="both"/>
        <w:rPr>
          <w:rFonts w:ascii="Arial" w:hAnsi="Arial" w:cs="Arial"/>
          <w:b/>
          <w:color w:val="0E101A"/>
          <w:u w:val="single"/>
        </w:rPr>
      </w:pP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r w:rsidRPr="00F40452">
        <w:rPr>
          <w:rFonts w:ascii="Arial" w:hAnsi="Arial" w:cs="Arial"/>
          <w:b/>
          <w:color w:val="0E101A"/>
          <w:u w:val="single"/>
        </w:rPr>
        <w:tab/>
      </w:r>
    </w:p>
    <w:p w14:paraId="3B35AC0C" w14:textId="77777777" w:rsidR="00AB1A4B" w:rsidRDefault="003A19C4" w:rsidP="00DB4484">
      <w:pPr>
        <w:spacing w:after="0" w:line="480" w:lineRule="auto"/>
        <w:jc w:val="both"/>
        <w:rPr>
          <w:rFonts w:ascii="Arial" w:eastAsia="Times New Roman" w:hAnsi="Arial" w:cs="Arial"/>
          <w:color w:val="0E101A"/>
          <w:sz w:val="24"/>
          <w:szCs w:val="24"/>
          <w:lang w:eastAsia="en-ZA"/>
        </w:rPr>
      </w:pPr>
      <w:proofErr w:type="spellStart"/>
      <w:r>
        <w:rPr>
          <w:rFonts w:ascii="Arial" w:eastAsia="Times New Roman" w:hAnsi="Arial" w:cs="Arial"/>
          <w:color w:val="0E101A"/>
          <w:sz w:val="24"/>
          <w:szCs w:val="24"/>
          <w:lang w:eastAsia="en-ZA"/>
        </w:rPr>
        <w:t>Molahlehi</w:t>
      </w:r>
      <w:proofErr w:type="spellEnd"/>
      <w:r>
        <w:rPr>
          <w:rFonts w:ascii="Arial" w:eastAsia="Times New Roman" w:hAnsi="Arial" w:cs="Arial"/>
          <w:color w:val="0E101A"/>
          <w:sz w:val="24"/>
          <w:szCs w:val="24"/>
          <w:lang w:eastAsia="en-ZA"/>
        </w:rPr>
        <w:t xml:space="preserve"> J </w:t>
      </w:r>
    </w:p>
    <w:p w14:paraId="15162C18" w14:textId="77777777" w:rsidR="003A19C4" w:rsidRPr="00AB1A4B" w:rsidRDefault="003A19C4" w:rsidP="00DB4484">
      <w:pPr>
        <w:spacing w:after="0" w:line="480" w:lineRule="auto"/>
        <w:jc w:val="both"/>
        <w:rPr>
          <w:rFonts w:ascii="Arial" w:eastAsia="Times New Roman" w:hAnsi="Arial" w:cs="Arial"/>
          <w:b/>
          <w:color w:val="0E101A"/>
          <w:sz w:val="24"/>
          <w:szCs w:val="24"/>
          <w:lang w:eastAsia="en-ZA"/>
        </w:rPr>
      </w:pPr>
      <w:r w:rsidRPr="003A19C4">
        <w:rPr>
          <w:rFonts w:ascii="Arial" w:eastAsia="Times New Roman" w:hAnsi="Arial" w:cs="Arial"/>
          <w:b/>
          <w:color w:val="0E101A"/>
          <w:sz w:val="24"/>
          <w:szCs w:val="24"/>
          <w:lang w:eastAsia="en-ZA"/>
        </w:rPr>
        <w:t xml:space="preserve">Introduction </w:t>
      </w:r>
    </w:p>
    <w:p w14:paraId="0EA63F22" w14:textId="77777777" w:rsidR="00AB1A4B" w:rsidRPr="00560467" w:rsidRDefault="00AB1A4B" w:rsidP="00DB4484">
      <w:pPr>
        <w:pStyle w:val="ListParagraph"/>
        <w:numPr>
          <w:ilvl w:val="0"/>
          <w:numId w:val="9"/>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This is an application to review and set aside the decision of the first respondent, the Johannesburg R</w:t>
      </w:r>
      <w:r w:rsidR="00F53156">
        <w:rPr>
          <w:rFonts w:ascii="Arial" w:eastAsia="Times New Roman" w:hAnsi="Arial" w:cs="Arial"/>
          <w:color w:val="0E101A"/>
          <w:sz w:val="24"/>
          <w:szCs w:val="24"/>
          <w:lang w:eastAsia="en-ZA"/>
        </w:rPr>
        <w:t>oad Agency (SOC) (Pty) Ltd</w:t>
      </w:r>
      <w:r w:rsidRPr="00560467">
        <w:rPr>
          <w:rFonts w:ascii="Arial" w:eastAsia="Times New Roman" w:hAnsi="Arial" w:cs="Arial"/>
          <w:color w:val="0E101A"/>
          <w:sz w:val="24"/>
          <w:szCs w:val="24"/>
          <w:lang w:eastAsia="en-ZA"/>
        </w:rPr>
        <w:t>, in appointing the second to the sixth respondents as service providers. The order prayed for by the applicant reads as follows:  </w:t>
      </w:r>
    </w:p>
    <w:p w14:paraId="1AD0A77D" w14:textId="77777777" w:rsidR="00F40452" w:rsidRDefault="00560467" w:rsidP="00DB4484">
      <w:pPr>
        <w:spacing w:after="0" w:line="480" w:lineRule="auto"/>
        <w:ind w:left="851" w:hanging="425"/>
        <w:jc w:val="both"/>
        <w:rPr>
          <w:rFonts w:ascii="Arial" w:eastAsia="Times New Roman" w:hAnsi="Arial" w:cs="Arial"/>
          <w:color w:val="0E101A"/>
          <w:lang w:eastAsia="en-ZA"/>
        </w:rPr>
      </w:pPr>
      <w:r w:rsidRPr="00560467">
        <w:rPr>
          <w:rFonts w:ascii="Arial" w:eastAsia="Times New Roman" w:hAnsi="Arial" w:cs="Arial"/>
          <w:color w:val="0E101A"/>
          <w:lang w:eastAsia="en-ZA"/>
        </w:rPr>
        <w:t xml:space="preserve"> </w:t>
      </w:r>
      <w:r w:rsidR="00AB1A4B" w:rsidRPr="00560467">
        <w:rPr>
          <w:rFonts w:ascii="Arial" w:eastAsia="Times New Roman" w:hAnsi="Arial" w:cs="Arial"/>
          <w:color w:val="0E101A"/>
          <w:lang w:eastAsia="en-ZA"/>
        </w:rPr>
        <w:t xml:space="preserve">"1. </w:t>
      </w:r>
      <w:r w:rsidR="00F40452">
        <w:rPr>
          <w:rFonts w:ascii="Arial" w:eastAsia="Times New Roman" w:hAnsi="Arial" w:cs="Arial"/>
          <w:color w:val="0E101A"/>
          <w:lang w:eastAsia="en-ZA"/>
        </w:rPr>
        <w:tab/>
      </w:r>
      <w:r w:rsidR="00AB1A4B" w:rsidRPr="00560467">
        <w:rPr>
          <w:rFonts w:ascii="Arial" w:eastAsia="Times New Roman" w:hAnsi="Arial" w:cs="Arial"/>
          <w:color w:val="0E101A"/>
          <w:lang w:eastAsia="en-ZA"/>
        </w:rPr>
        <w:t>The proceedings under Tender JRA/19/001 in terms of which the Second- to the Sixth Respondents have been appointed by the First Respondent as successful tenderers/contractors/service providers under Tender JRA/19/001 be reviewed and set aside; </w:t>
      </w:r>
    </w:p>
    <w:p w14:paraId="51B6195C" w14:textId="77777777" w:rsidR="00F40452" w:rsidRDefault="00F40452" w:rsidP="00DB4484">
      <w:pPr>
        <w:spacing w:after="0" w:line="480" w:lineRule="auto"/>
        <w:ind w:left="851" w:hanging="425"/>
        <w:jc w:val="both"/>
        <w:rPr>
          <w:rFonts w:ascii="Arial" w:eastAsia="Times New Roman" w:hAnsi="Arial" w:cs="Arial"/>
          <w:color w:val="0E101A"/>
          <w:lang w:eastAsia="en-ZA"/>
        </w:rPr>
      </w:pPr>
      <w:r>
        <w:rPr>
          <w:rFonts w:ascii="Arial" w:eastAsia="Times New Roman" w:hAnsi="Arial" w:cs="Arial"/>
          <w:color w:val="0E101A"/>
          <w:lang w:eastAsia="en-ZA"/>
        </w:rPr>
        <w:t xml:space="preserve">2. </w:t>
      </w:r>
      <w:r>
        <w:rPr>
          <w:rFonts w:ascii="Arial" w:eastAsia="Times New Roman" w:hAnsi="Arial" w:cs="Arial"/>
          <w:color w:val="0E101A"/>
          <w:lang w:eastAsia="en-ZA"/>
        </w:rPr>
        <w:tab/>
      </w:r>
      <w:r w:rsidR="00AB1A4B" w:rsidRPr="00F40452">
        <w:rPr>
          <w:rFonts w:ascii="Arial" w:eastAsia="Times New Roman" w:hAnsi="Arial" w:cs="Arial"/>
          <w:color w:val="0E101A"/>
          <w:lang w:eastAsia="en-ZA"/>
        </w:rPr>
        <w:t>The award of Tender JRA/19/001 by the First Respondent to the Applicant and the Sixth (6) lowest compliant tenderers. </w:t>
      </w:r>
    </w:p>
    <w:p w14:paraId="51F7CC0B" w14:textId="77777777" w:rsidR="00F40452" w:rsidRDefault="00F40452" w:rsidP="00DB4484">
      <w:pPr>
        <w:spacing w:after="0" w:line="480" w:lineRule="auto"/>
        <w:ind w:left="851" w:hanging="425"/>
        <w:jc w:val="both"/>
        <w:rPr>
          <w:rFonts w:ascii="Arial" w:eastAsia="Times New Roman" w:hAnsi="Arial" w:cs="Arial"/>
          <w:color w:val="0E101A"/>
          <w:lang w:eastAsia="en-ZA"/>
        </w:rPr>
      </w:pPr>
      <w:r>
        <w:rPr>
          <w:rFonts w:ascii="Arial" w:eastAsia="Times New Roman" w:hAnsi="Arial" w:cs="Arial"/>
          <w:color w:val="0E101A"/>
          <w:lang w:eastAsia="en-ZA"/>
        </w:rPr>
        <w:t>3.</w:t>
      </w:r>
      <w:r>
        <w:rPr>
          <w:rFonts w:ascii="Arial" w:eastAsia="Times New Roman" w:hAnsi="Arial" w:cs="Arial"/>
          <w:color w:val="0E101A"/>
          <w:lang w:eastAsia="en-ZA"/>
        </w:rPr>
        <w:tab/>
      </w:r>
      <w:r w:rsidR="00AB1A4B" w:rsidRPr="00F40452">
        <w:rPr>
          <w:rFonts w:ascii="Arial" w:eastAsia="Times New Roman" w:hAnsi="Arial" w:cs="Arial"/>
          <w:color w:val="0E101A"/>
          <w:lang w:eastAsia="en-ZA"/>
        </w:rPr>
        <w:t>The appointments and/or contracts awarded by the First Respondent under Tender JRA/19/001 of and/or to the Second- to the Sixth Respondents be declared unconstitutional, invalid and void ab initio;</w:t>
      </w:r>
    </w:p>
    <w:p w14:paraId="2A5B91DF" w14:textId="77777777" w:rsidR="00AB1A4B" w:rsidRPr="00F40452" w:rsidRDefault="00F40452" w:rsidP="00DB4484">
      <w:pPr>
        <w:spacing w:after="0" w:line="480" w:lineRule="auto"/>
        <w:ind w:left="851" w:hanging="425"/>
        <w:jc w:val="both"/>
        <w:rPr>
          <w:rFonts w:ascii="Arial" w:eastAsia="Times New Roman" w:hAnsi="Arial" w:cs="Arial"/>
          <w:color w:val="0E101A"/>
          <w:lang w:eastAsia="en-ZA"/>
        </w:rPr>
      </w:pPr>
      <w:r>
        <w:rPr>
          <w:rFonts w:ascii="Arial" w:eastAsia="Times New Roman" w:hAnsi="Arial" w:cs="Arial"/>
          <w:color w:val="0E101A"/>
          <w:lang w:eastAsia="en-ZA"/>
        </w:rPr>
        <w:t>4.</w:t>
      </w:r>
      <w:r>
        <w:rPr>
          <w:rFonts w:ascii="Arial" w:eastAsia="Times New Roman" w:hAnsi="Arial" w:cs="Arial"/>
          <w:color w:val="0E101A"/>
          <w:lang w:eastAsia="en-ZA"/>
        </w:rPr>
        <w:tab/>
      </w:r>
      <w:r w:rsidR="00AB1A4B" w:rsidRPr="00F40452">
        <w:rPr>
          <w:rFonts w:ascii="Arial" w:eastAsia="Times New Roman" w:hAnsi="Arial" w:cs="Arial"/>
          <w:color w:val="0E101A"/>
          <w:lang w:eastAsia="en-ZA"/>
        </w:rPr>
        <w:t>The First Respondent be ordered to pay the costs of this application as well as the cost of the Application under Case no: 18422/2019 on an attorney own client scale."</w:t>
      </w:r>
    </w:p>
    <w:p w14:paraId="15F7E39E" w14:textId="77777777" w:rsidR="00F40452" w:rsidRDefault="00F40452" w:rsidP="00DB4484">
      <w:pPr>
        <w:spacing w:after="0" w:line="480" w:lineRule="auto"/>
        <w:ind w:left="851"/>
        <w:jc w:val="both"/>
        <w:rPr>
          <w:rFonts w:ascii="Arial" w:eastAsia="Times New Roman" w:hAnsi="Arial" w:cs="Arial"/>
          <w:color w:val="0E101A"/>
          <w:lang w:eastAsia="en-ZA"/>
        </w:rPr>
      </w:pPr>
    </w:p>
    <w:p w14:paraId="61E3E270" w14:textId="77777777" w:rsidR="00450A2C" w:rsidRPr="00AB1A4B" w:rsidRDefault="00450A2C" w:rsidP="00DB4484">
      <w:pPr>
        <w:spacing w:after="0" w:line="480" w:lineRule="auto"/>
        <w:ind w:left="851"/>
        <w:jc w:val="both"/>
        <w:rPr>
          <w:rFonts w:ascii="Arial" w:eastAsia="Times New Roman" w:hAnsi="Arial" w:cs="Arial"/>
          <w:color w:val="0E101A"/>
          <w:lang w:eastAsia="en-ZA"/>
        </w:rPr>
      </w:pPr>
    </w:p>
    <w:p w14:paraId="7E72CBCF" w14:textId="77777777" w:rsidR="00AB1A4B" w:rsidRDefault="00AB1A4B" w:rsidP="00DB4484">
      <w:pPr>
        <w:pStyle w:val="ListParagraph"/>
        <w:spacing w:after="0" w:line="480" w:lineRule="auto"/>
        <w:ind w:left="0"/>
        <w:jc w:val="both"/>
        <w:rPr>
          <w:rFonts w:ascii="Arial" w:eastAsia="Times New Roman" w:hAnsi="Arial" w:cs="Arial"/>
          <w:b/>
          <w:bCs/>
          <w:color w:val="0E101A"/>
          <w:sz w:val="24"/>
          <w:szCs w:val="24"/>
          <w:lang w:eastAsia="en-ZA"/>
        </w:rPr>
      </w:pPr>
      <w:r w:rsidRPr="00560467">
        <w:rPr>
          <w:rFonts w:ascii="Arial" w:eastAsia="Times New Roman" w:hAnsi="Arial" w:cs="Arial"/>
          <w:b/>
          <w:bCs/>
          <w:color w:val="0E101A"/>
          <w:sz w:val="24"/>
          <w:szCs w:val="24"/>
          <w:lang w:eastAsia="en-ZA"/>
        </w:rPr>
        <w:lastRenderedPageBreak/>
        <w:t>The parties</w:t>
      </w:r>
    </w:p>
    <w:p w14:paraId="1501BE56" w14:textId="77777777" w:rsidR="001C4D15" w:rsidRPr="00560467" w:rsidRDefault="001C4D15" w:rsidP="00DB4484">
      <w:pPr>
        <w:pStyle w:val="ListParagraph"/>
        <w:spacing w:after="0" w:line="480" w:lineRule="auto"/>
        <w:ind w:left="0"/>
        <w:jc w:val="both"/>
        <w:rPr>
          <w:rFonts w:ascii="Arial" w:eastAsia="Times New Roman" w:hAnsi="Arial" w:cs="Arial"/>
          <w:color w:val="0E101A"/>
          <w:sz w:val="24"/>
          <w:szCs w:val="24"/>
          <w:lang w:eastAsia="en-ZA"/>
        </w:rPr>
      </w:pPr>
    </w:p>
    <w:p w14:paraId="7EEF9FB6" w14:textId="77777777" w:rsidR="00AB1A4B"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 xml:space="preserve">The applicant, </w:t>
      </w:r>
      <w:proofErr w:type="spellStart"/>
      <w:r w:rsidRPr="00560467">
        <w:rPr>
          <w:rFonts w:ascii="Arial" w:eastAsia="Times New Roman" w:hAnsi="Arial" w:cs="Arial"/>
          <w:color w:val="0E101A"/>
          <w:sz w:val="24"/>
          <w:szCs w:val="24"/>
          <w:lang w:eastAsia="en-ZA"/>
        </w:rPr>
        <w:t>Roadmac</w:t>
      </w:r>
      <w:proofErr w:type="spellEnd"/>
      <w:r w:rsidRPr="00560467">
        <w:rPr>
          <w:rFonts w:ascii="Arial" w:eastAsia="Times New Roman" w:hAnsi="Arial" w:cs="Arial"/>
          <w:color w:val="0E101A"/>
          <w:sz w:val="24"/>
          <w:szCs w:val="24"/>
          <w:lang w:eastAsia="en-ZA"/>
        </w:rPr>
        <w:t xml:space="preserve"> Surfacing (Pty) Ltd, is a company registered in terms of the company laws of the Republic of South Africa. </w:t>
      </w:r>
    </w:p>
    <w:p w14:paraId="49CF0B58" w14:textId="77777777" w:rsidR="00F40452" w:rsidRPr="00560467" w:rsidRDefault="00F40452" w:rsidP="00DB4484">
      <w:pPr>
        <w:pStyle w:val="ListParagraph"/>
        <w:spacing w:after="0" w:line="480" w:lineRule="auto"/>
        <w:ind w:left="0"/>
        <w:jc w:val="both"/>
        <w:rPr>
          <w:rFonts w:ascii="Arial" w:eastAsia="Times New Roman" w:hAnsi="Arial" w:cs="Arial"/>
          <w:color w:val="0E101A"/>
          <w:sz w:val="24"/>
          <w:szCs w:val="24"/>
          <w:lang w:eastAsia="en-ZA"/>
        </w:rPr>
      </w:pPr>
    </w:p>
    <w:p w14:paraId="26F2FD1F" w14:textId="77777777" w:rsidR="00AB1A4B"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The first respondent, the Johannesburg Road Agency (</w:t>
      </w:r>
      <w:r w:rsidR="00F53156">
        <w:rPr>
          <w:rFonts w:ascii="Arial" w:eastAsia="Times New Roman" w:hAnsi="Arial" w:cs="Arial"/>
          <w:color w:val="0E101A"/>
          <w:sz w:val="24"/>
          <w:szCs w:val="24"/>
          <w:lang w:eastAsia="en-ZA"/>
        </w:rPr>
        <w:t xml:space="preserve">the </w:t>
      </w:r>
      <w:r w:rsidRPr="00560467">
        <w:rPr>
          <w:rFonts w:ascii="Arial" w:eastAsia="Times New Roman" w:hAnsi="Arial" w:cs="Arial"/>
          <w:color w:val="0E101A"/>
          <w:sz w:val="24"/>
          <w:szCs w:val="24"/>
          <w:lang w:eastAsia="en-ZA"/>
        </w:rPr>
        <w:t xml:space="preserve">JRA), is an organ of state-mandated in terms of its service delivery agreement with the Metropolitan City of Johannesburg (the City) to complete construction, and maintenance and management of networks associated with roads, road services, </w:t>
      </w:r>
      <w:r w:rsidR="00F53156" w:rsidRPr="00560467">
        <w:rPr>
          <w:rFonts w:ascii="Arial" w:eastAsia="Times New Roman" w:hAnsi="Arial" w:cs="Arial"/>
          <w:color w:val="0E101A"/>
          <w:sz w:val="24"/>
          <w:szCs w:val="24"/>
          <w:lang w:eastAsia="en-ZA"/>
        </w:rPr>
        <w:t>storm water</w:t>
      </w:r>
      <w:r w:rsidRPr="00560467">
        <w:rPr>
          <w:rFonts w:ascii="Arial" w:eastAsia="Times New Roman" w:hAnsi="Arial" w:cs="Arial"/>
          <w:color w:val="0E101A"/>
          <w:sz w:val="24"/>
          <w:szCs w:val="24"/>
          <w:lang w:eastAsia="en-ZA"/>
        </w:rPr>
        <w:t>, footways, railway sidings and traffic mobility management within the City. </w:t>
      </w:r>
    </w:p>
    <w:p w14:paraId="52E5530C" w14:textId="77777777" w:rsidR="00F53156" w:rsidRPr="00560467" w:rsidRDefault="00F53156" w:rsidP="00DB4484">
      <w:pPr>
        <w:pStyle w:val="ListParagraph"/>
        <w:spacing w:after="0" w:line="480" w:lineRule="auto"/>
        <w:ind w:left="0"/>
        <w:jc w:val="both"/>
        <w:rPr>
          <w:rFonts w:ascii="Arial" w:eastAsia="Times New Roman" w:hAnsi="Arial" w:cs="Arial"/>
          <w:color w:val="0E101A"/>
          <w:sz w:val="24"/>
          <w:szCs w:val="24"/>
          <w:lang w:eastAsia="en-ZA"/>
        </w:rPr>
      </w:pPr>
    </w:p>
    <w:p w14:paraId="42AFC375"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The second to the sixth respondents (the respondents) are companies registered in terms of the company laws of the Republic of South Africa, who were awarded the impugned tender</w:t>
      </w:r>
      <w:r w:rsidR="001C4D15">
        <w:rPr>
          <w:rFonts w:ascii="Arial" w:eastAsia="Times New Roman" w:hAnsi="Arial" w:cs="Arial"/>
          <w:color w:val="0E101A"/>
          <w:sz w:val="24"/>
          <w:szCs w:val="24"/>
          <w:lang w:eastAsia="en-ZA"/>
        </w:rPr>
        <w:t xml:space="preserve"> by the JRA</w:t>
      </w:r>
      <w:r w:rsidRPr="00560467">
        <w:rPr>
          <w:rFonts w:ascii="Arial" w:eastAsia="Times New Roman" w:hAnsi="Arial" w:cs="Arial"/>
          <w:color w:val="0E101A"/>
          <w:sz w:val="24"/>
          <w:szCs w:val="24"/>
          <w:lang w:eastAsia="en-ZA"/>
        </w:rPr>
        <w:t>. </w:t>
      </w:r>
    </w:p>
    <w:p w14:paraId="6BEA4002" w14:textId="77777777" w:rsidR="00560467" w:rsidRDefault="00560467" w:rsidP="00DB4484">
      <w:pPr>
        <w:pStyle w:val="ListParagraph"/>
        <w:spacing w:after="0" w:line="480" w:lineRule="auto"/>
        <w:ind w:left="0"/>
        <w:jc w:val="both"/>
        <w:rPr>
          <w:rFonts w:ascii="Arial" w:eastAsia="Times New Roman" w:hAnsi="Arial" w:cs="Arial"/>
          <w:b/>
          <w:bCs/>
          <w:color w:val="0E101A"/>
          <w:sz w:val="24"/>
          <w:szCs w:val="24"/>
          <w:lang w:eastAsia="en-ZA"/>
        </w:rPr>
      </w:pPr>
    </w:p>
    <w:p w14:paraId="14A68B22" w14:textId="77777777" w:rsidR="00AB1A4B" w:rsidRDefault="00AB1A4B" w:rsidP="00DB4484">
      <w:pPr>
        <w:pStyle w:val="ListParagraph"/>
        <w:spacing w:after="0" w:line="480" w:lineRule="auto"/>
        <w:ind w:left="0"/>
        <w:jc w:val="both"/>
        <w:rPr>
          <w:rFonts w:ascii="Arial" w:eastAsia="Times New Roman" w:hAnsi="Arial" w:cs="Arial"/>
          <w:b/>
          <w:bCs/>
          <w:color w:val="0E101A"/>
          <w:sz w:val="24"/>
          <w:szCs w:val="24"/>
          <w:lang w:eastAsia="en-ZA"/>
        </w:rPr>
      </w:pPr>
      <w:r w:rsidRPr="00560467">
        <w:rPr>
          <w:rFonts w:ascii="Arial" w:eastAsia="Times New Roman" w:hAnsi="Arial" w:cs="Arial"/>
          <w:b/>
          <w:bCs/>
          <w:color w:val="0E101A"/>
          <w:sz w:val="24"/>
          <w:szCs w:val="24"/>
          <w:lang w:eastAsia="en-ZA"/>
        </w:rPr>
        <w:t>Background facts </w:t>
      </w:r>
    </w:p>
    <w:p w14:paraId="54345B50" w14:textId="77777777" w:rsidR="00560467" w:rsidRPr="00560467" w:rsidRDefault="00560467" w:rsidP="00DB4484">
      <w:pPr>
        <w:pStyle w:val="ListParagraph"/>
        <w:spacing w:after="0" w:line="480" w:lineRule="auto"/>
        <w:ind w:left="0"/>
        <w:jc w:val="both"/>
        <w:rPr>
          <w:rFonts w:ascii="Arial" w:eastAsia="Times New Roman" w:hAnsi="Arial" w:cs="Arial"/>
          <w:color w:val="0E101A"/>
          <w:sz w:val="24"/>
          <w:szCs w:val="24"/>
          <w:lang w:eastAsia="en-ZA"/>
        </w:rPr>
      </w:pPr>
    </w:p>
    <w:p w14:paraId="779FDC3C" w14:textId="77777777" w:rsidR="00AB1A4B"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 xml:space="preserve">It is common cause that during October 2018, </w:t>
      </w:r>
      <w:r w:rsidR="001C4D15">
        <w:rPr>
          <w:rFonts w:ascii="Arial" w:eastAsia="Times New Roman" w:hAnsi="Arial" w:cs="Arial"/>
          <w:color w:val="0E101A"/>
          <w:sz w:val="24"/>
          <w:szCs w:val="24"/>
          <w:lang w:eastAsia="en-ZA"/>
        </w:rPr>
        <w:t xml:space="preserve">the </w:t>
      </w:r>
      <w:r w:rsidRPr="00560467">
        <w:rPr>
          <w:rFonts w:ascii="Arial" w:eastAsia="Times New Roman" w:hAnsi="Arial" w:cs="Arial"/>
          <w:color w:val="0E101A"/>
          <w:sz w:val="24"/>
          <w:szCs w:val="24"/>
          <w:lang w:eastAsia="en-ZA"/>
        </w:rPr>
        <w:t>JRA invited in</w:t>
      </w:r>
      <w:r w:rsidR="00F53156">
        <w:rPr>
          <w:rFonts w:ascii="Arial" w:eastAsia="Times New Roman" w:hAnsi="Arial" w:cs="Arial"/>
          <w:color w:val="0E101A"/>
          <w:sz w:val="24"/>
          <w:szCs w:val="24"/>
          <w:lang w:eastAsia="en-ZA"/>
        </w:rPr>
        <w:t>terested contractors to submit</w:t>
      </w:r>
      <w:r w:rsidRPr="00560467">
        <w:rPr>
          <w:rFonts w:ascii="Arial" w:eastAsia="Times New Roman" w:hAnsi="Arial" w:cs="Arial"/>
          <w:color w:val="0E101A"/>
          <w:sz w:val="24"/>
          <w:szCs w:val="24"/>
          <w:lang w:eastAsia="en-ZA"/>
        </w:rPr>
        <w:t xml:space="preserve"> bid</w:t>
      </w:r>
      <w:r w:rsidR="00F53156">
        <w:rPr>
          <w:rFonts w:ascii="Arial" w:eastAsia="Times New Roman" w:hAnsi="Arial" w:cs="Arial"/>
          <w:color w:val="0E101A"/>
          <w:sz w:val="24"/>
          <w:szCs w:val="24"/>
          <w:lang w:eastAsia="en-ZA"/>
        </w:rPr>
        <w:t>s</w:t>
      </w:r>
      <w:r w:rsidRPr="00560467">
        <w:rPr>
          <w:rFonts w:ascii="Arial" w:eastAsia="Times New Roman" w:hAnsi="Arial" w:cs="Arial"/>
          <w:color w:val="0E101A"/>
          <w:sz w:val="24"/>
          <w:szCs w:val="24"/>
          <w:lang w:eastAsia="en-ZA"/>
        </w:rPr>
        <w:t xml:space="preserve"> for appointment as contractors for resurfacing roads in the City's roads for three years on an "as and when" basis. </w:t>
      </w:r>
    </w:p>
    <w:p w14:paraId="4AD0D146" w14:textId="77777777" w:rsidR="00560467" w:rsidRPr="00560467" w:rsidRDefault="00560467" w:rsidP="00DB4484">
      <w:pPr>
        <w:pStyle w:val="ListParagraph"/>
        <w:spacing w:after="0" w:line="480" w:lineRule="auto"/>
        <w:ind w:left="0"/>
        <w:jc w:val="both"/>
        <w:rPr>
          <w:rFonts w:ascii="Arial" w:eastAsia="Times New Roman" w:hAnsi="Arial" w:cs="Arial"/>
          <w:color w:val="0E101A"/>
          <w:sz w:val="24"/>
          <w:szCs w:val="24"/>
          <w:lang w:eastAsia="en-ZA"/>
        </w:rPr>
      </w:pPr>
    </w:p>
    <w:p w14:paraId="47F93E6D" w14:textId="77777777" w:rsidR="00AB1A4B"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The applicant and the respondents submitted tenders on the invitation under tender JRA/19/001. The deadline for the submission of the tenders was 22 November 2018. The applicant, including all the respondents, submitted their tenders within the prescribed time frame. </w:t>
      </w:r>
    </w:p>
    <w:p w14:paraId="3FDCA6D3" w14:textId="77777777" w:rsidR="00560467" w:rsidRPr="00560467" w:rsidRDefault="00560467" w:rsidP="00DB4484">
      <w:pPr>
        <w:pStyle w:val="ListParagraph"/>
        <w:spacing w:after="0" w:line="480" w:lineRule="auto"/>
        <w:ind w:left="0"/>
        <w:jc w:val="both"/>
        <w:rPr>
          <w:rFonts w:ascii="Arial" w:eastAsia="Times New Roman" w:hAnsi="Arial" w:cs="Arial"/>
          <w:color w:val="0E101A"/>
          <w:sz w:val="24"/>
          <w:szCs w:val="24"/>
          <w:lang w:eastAsia="en-ZA"/>
        </w:rPr>
      </w:pPr>
    </w:p>
    <w:p w14:paraId="0EF8D495" w14:textId="77777777" w:rsidR="00AB1A4B"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 xml:space="preserve">The applicant became aware on 25 April 2019 that the tender was awarded to the respondents in March 2019. The following day, 26 April 2019, the applicant requested the reasons for its non-appointment to the tender through its attorneys of record. </w:t>
      </w:r>
      <w:r w:rsidR="001C4D15">
        <w:rPr>
          <w:rFonts w:ascii="Arial" w:eastAsia="Times New Roman" w:hAnsi="Arial" w:cs="Arial"/>
          <w:color w:val="0E101A"/>
          <w:sz w:val="24"/>
          <w:szCs w:val="24"/>
          <w:lang w:eastAsia="en-ZA"/>
        </w:rPr>
        <w:t xml:space="preserve">The </w:t>
      </w:r>
      <w:r w:rsidRPr="00560467">
        <w:rPr>
          <w:rFonts w:ascii="Arial" w:eastAsia="Times New Roman" w:hAnsi="Arial" w:cs="Arial"/>
          <w:color w:val="0E101A"/>
          <w:sz w:val="24"/>
          <w:szCs w:val="24"/>
          <w:lang w:eastAsia="en-ZA"/>
        </w:rPr>
        <w:t>JRA did not respond to the letter requesting the reasons for non-appointment. </w:t>
      </w:r>
    </w:p>
    <w:p w14:paraId="7B000921" w14:textId="77777777" w:rsidR="00560467" w:rsidRPr="00560467" w:rsidRDefault="00560467" w:rsidP="00DB4484">
      <w:pPr>
        <w:pStyle w:val="ListParagraph"/>
        <w:spacing w:after="0" w:line="480" w:lineRule="auto"/>
        <w:ind w:left="0"/>
        <w:jc w:val="both"/>
        <w:rPr>
          <w:rFonts w:ascii="Arial" w:eastAsia="Times New Roman" w:hAnsi="Arial" w:cs="Arial"/>
          <w:color w:val="0E101A"/>
          <w:sz w:val="24"/>
          <w:szCs w:val="24"/>
          <w:lang w:eastAsia="en-ZA"/>
        </w:rPr>
      </w:pPr>
    </w:p>
    <w:p w14:paraId="4B6B2F3F"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 xml:space="preserve">On 24 May 2019, the applicant launched an urgent application under case number 18422/2019 seeking an order compelling </w:t>
      </w:r>
      <w:r w:rsidR="00F53156">
        <w:rPr>
          <w:rFonts w:ascii="Arial" w:eastAsia="Times New Roman" w:hAnsi="Arial" w:cs="Arial"/>
          <w:color w:val="0E101A"/>
          <w:sz w:val="24"/>
          <w:szCs w:val="24"/>
          <w:lang w:eastAsia="en-ZA"/>
        </w:rPr>
        <w:t xml:space="preserve">the </w:t>
      </w:r>
      <w:r w:rsidRPr="00560467">
        <w:rPr>
          <w:rFonts w:ascii="Arial" w:eastAsia="Times New Roman" w:hAnsi="Arial" w:cs="Arial"/>
          <w:color w:val="0E101A"/>
          <w:sz w:val="24"/>
          <w:szCs w:val="24"/>
          <w:lang w:eastAsia="en-ZA"/>
        </w:rPr>
        <w:t>JRA to provide reasons for its decision to award the said tender to the respondents. It further sought an interim interdict restraining the respondents from commencing with work under the tender pending the outcome of the review of the decision to appoint the respondent.   </w:t>
      </w:r>
    </w:p>
    <w:p w14:paraId="6A007241" w14:textId="77777777" w:rsidR="00AB1A4B" w:rsidRPr="00AB1A4B" w:rsidRDefault="00AB1A4B" w:rsidP="00DB4484">
      <w:pPr>
        <w:spacing w:after="0" w:line="480" w:lineRule="auto"/>
        <w:jc w:val="both"/>
        <w:rPr>
          <w:rFonts w:ascii="Arial" w:eastAsia="Times New Roman" w:hAnsi="Arial" w:cs="Arial"/>
          <w:color w:val="0E101A"/>
          <w:sz w:val="24"/>
          <w:szCs w:val="24"/>
          <w:lang w:eastAsia="en-ZA"/>
        </w:rPr>
      </w:pPr>
    </w:p>
    <w:p w14:paraId="2E2C16CF" w14:textId="77777777" w:rsidR="00AB1A4B" w:rsidRPr="00560467" w:rsidRDefault="00F53156"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The </w:t>
      </w:r>
      <w:r w:rsidR="00AB1A4B" w:rsidRPr="00560467">
        <w:rPr>
          <w:rFonts w:ascii="Arial" w:eastAsia="Times New Roman" w:hAnsi="Arial" w:cs="Arial"/>
          <w:color w:val="0E101A"/>
          <w:sz w:val="24"/>
          <w:szCs w:val="24"/>
          <w:lang w:eastAsia="en-ZA"/>
        </w:rPr>
        <w:t xml:space="preserve">JRA provided the reasons for disqualifying the applicant in the answering affidavit to the urgent application on 11 June 2019. The essence of disqualifying the applicant from the appointment to the tender was that the applicant did not obtain the necessary score to proceed to Phase 2 of the tender evaluation being </w:t>
      </w:r>
      <w:r w:rsidR="001C4D15">
        <w:rPr>
          <w:rFonts w:ascii="Arial" w:eastAsia="Times New Roman" w:hAnsi="Arial" w:cs="Arial"/>
          <w:color w:val="0E101A"/>
          <w:sz w:val="24"/>
          <w:szCs w:val="24"/>
          <w:lang w:eastAsia="en-ZA"/>
        </w:rPr>
        <w:t>‘</w:t>
      </w:r>
      <w:r w:rsidR="00AB1A4B" w:rsidRPr="00560467">
        <w:rPr>
          <w:rFonts w:ascii="Arial" w:eastAsia="Times New Roman" w:hAnsi="Arial" w:cs="Arial"/>
          <w:color w:val="0E101A"/>
          <w:sz w:val="24"/>
          <w:szCs w:val="24"/>
          <w:lang w:eastAsia="en-ZA"/>
        </w:rPr>
        <w:t>Technical/ Functionality</w:t>
      </w:r>
      <w:r w:rsidR="001C4D15">
        <w:rPr>
          <w:rFonts w:ascii="Arial" w:eastAsia="Times New Roman" w:hAnsi="Arial" w:cs="Arial"/>
          <w:color w:val="0E101A"/>
          <w:sz w:val="24"/>
          <w:szCs w:val="24"/>
          <w:lang w:eastAsia="en-ZA"/>
        </w:rPr>
        <w:t>’</w:t>
      </w:r>
      <w:r w:rsidR="00AB1A4B" w:rsidRPr="00560467">
        <w:rPr>
          <w:rFonts w:ascii="Arial" w:eastAsia="Times New Roman" w:hAnsi="Arial" w:cs="Arial"/>
          <w:color w:val="0E101A"/>
          <w:sz w:val="24"/>
          <w:szCs w:val="24"/>
          <w:lang w:eastAsia="en-ZA"/>
        </w:rPr>
        <w:t xml:space="preserve"> criteria. A minimum score of 70% was required to move to Phase 3. The three reasons for</w:t>
      </w:r>
      <w:r w:rsidR="00815BAD">
        <w:rPr>
          <w:rFonts w:ascii="Arial" w:eastAsia="Times New Roman" w:hAnsi="Arial" w:cs="Arial"/>
          <w:color w:val="0E101A"/>
          <w:sz w:val="24"/>
          <w:szCs w:val="24"/>
          <w:lang w:eastAsia="en-ZA"/>
        </w:rPr>
        <w:t xml:space="preserve"> the</w:t>
      </w:r>
      <w:r w:rsidR="00AB1A4B" w:rsidRPr="00560467">
        <w:rPr>
          <w:rFonts w:ascii="Arial" w:eastAsia="Times New Roman" w:hAnsi="Arial" w:cs="Arial"/>
          <w:color w:val="0E101A"/>
          <w:sz w:val="24"/>
          <w:szCs w:val="24"/>
          <w:lang w:eastAsia="en-ZA"/>
        </w:rPr>
        <w:t xml:space="preserve"> JRA to say that the applicant did not meet the threshold of 70% are the following: </w:t>
      </w:r>
    </w:p>
    <w:p w14:paraId="6C73CBF4" w14:textId="77777777" w:rsidR="00AB1A4B" w:rsidRPr="00560467" w:rsidRDefault="00AB1A4B" w:rsidP="00DB4484">
      <w:pPr>
        <w:spacing w:after="0" w:line="480" w:lineRule="auto"/>
        <w:ind w:left="1440" w:hanging="101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 xml:space="preserve">"18.3.1 </w:t>
      </w:r>
      <w:r w:rsidR="00560467">
        <w:rPr>
          <w:rFonts w:ascii="Arial" w:eastAsia="Times New Roman" w:hAnsi="Arial" w:cs="Arial"/>
          <w:color w:val="0E101A"/>
          <w:sz w:val="24"/>
          <w:szCs w:val="24"/>
          <w:lang w:eastAsia="en-ZA"/>
        </w:rPr>
        <w:tab/>
      </w:r>
      <w:r w:rsidRPr="00560467">
        <w:rPr>
          <w:rFonts w:ascii="Arial" w:eastAsia="Times New Roman" w:hAnsi="Arial" w:cs="Arial"/>
          <w:color w:val="0E101A"/>
          <w:sz w:val="24"/>
          <w:szCs w:val="24"/>
          <w:lang w:eastAsia="en-ZA"/>
        </w:rPr>
        <w:t>The Applicant did not have the required 5 years</w:t>
      </w:r>
      <w:r w:rsidR="00815BAD">
        <w:rPr>
          <w:rFonts w:ascii="Arial" w:eastAsia="Times New Roman" w:hAnsi="Arial" w:cs="Arial"/>
          <w:color w:val="0E101A"/>
          <w:sz w:val="24"/>
          <w:szCs w:val="24"/>
          <w:lang w:eastAsia="en-ZA"/>
        </w:rPr>
        <w:t>’</w:t>
      </w:r>
      <w:r w:rsidRPr="00560467">
        <w:rPr>
          <w:rFonts w:ascii="Arial" w:eastAsia="Times New Roman" w:hAnsi="Arial" w:cs="Arial"/>
          <w:color w:val="0E101A"/>
          <w:sz w:val="24"/>
          <w:szCs w:val="24"/>
          <w:lang w:eastAsia="en-ZA"/>
        </w:rPr>
        <w:t xml:space="preserve"> experience in the field of road surfacing of road rehabilitation; </w:t>
      </w:r>
    </w:p>
    <w:p w14:paraId="316437CB" w14:textId="77777777" w:rsidR="00AB1A4B" w:rsidRPr="00560467" w:rsidRDefault="00AB1A4B" w:rsidP="00DB4484">
      <w:pPr>
        <w:spacing w:after="0" w:line="480" w:lineRule="auto"/>
        <w:ind w:left="1440" w:hanging="101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 xml:space="preserve">18.3.2 </w:t>
      </w:r>
      <w:r w:rsidR="00560467">
        <w:rPr>
          <w:rFonts w:ascii="Arial" w:eastAsia="Times New Roman" w:hAnsi="Arial" w:cs="Arial"/>
          <w:color w:val="0E101A"/>
          <w:sz w:val="24"/>
          <w:szCs w:val="24"/>
          <w:lang w:eastAsia="en-ZA"/>
        </w:rPr>
        <w:tab/>
      </w:r>
      <w:r w:rsidRPr="00560467">
        <w:rPr>
          <w:rFonts w:ascii="Arial" w:eastAsia="Times New Roman" w:hAnsi="Arial" w:cs="Arial"/>
          <w:color w:val="0E101A"/>
          <w:sz w:val="24"/>
          <w:szCs w:val="24"/>
          <w:lang w:eastAsia="en-ZA"/>
        </w:rPr>
        <w:t>The Applicant's Site Agent is not the same person as the name on the SACPCMP certification; and </w:t>
      </w:r>
    </w:p>
    <w:p w14:paraId="6CBD2CCD" w14:textId="77777777" w:rsidR="00AB1A4B" w:rsidRDefault="00AB1A4B" w:rsidP="00DB4484">
      <w:pPr>
        <w:spacing w:after="0" w:line="480" w:lineRule="auto"/>
        <w:ind w:left="1510" w:hanging="108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lastRenderedPageBreak/>
        <w:t>18.3.3</w:t>
      </w:r>
      <w:r w:rsidR="00560467">
        <w:rPr>
          <w:rFonts w:ascii="Arial" w:eastAsia="Times New Roman" w:hAnsi="Arial" w:cs="Arial"/>
          <w:color w:val="0E101A"/>
          <w:sz w:val="24"/>
          <w:szCs w:val="24"/>
          <w:lang w:eastAsia="en-ZA"/>
        </w:rPr>
        <w:tab/>
      </w:r>
      <w:r w:rsidRPr="00560467">
        <w:rPr>
          <w:rFonts w:ascii="Arial" w:eastAsia="Times New Roman" w:hAnsi="Arial" w:cs="Arial"/>
          <w:color w:val="0E101A"/>
          <w:sz w:val="24"/>
          <w:szCs w:val="24"/>
          <w:lang w:eastAsia="en-ZA"/>
        </w:rPr>
        <w:t>The Applicant's Safety Officer did not have the necessary experience of 3 years or more."</w:t>
      </w:r>
    </w:p>
    <w:p w14:paraId="306CAE4F" w14:textId="77777777" w:rsidR="00560467" w:rsidRPr="00560467" w:rsidRDefault="00560467" w:rsidP="00DB4484">
      <w:pPr>
        <w:spacing w:after="0" w:line="480" w:lineRule="auto"/>
        <w:ind w:left="1510" w:hanging="1080"/>
        <w:jc w:val="both"/>
        <w:rPr>
          <w:rFonts w:ascii="Arial" w:eastAsia="Times New Roman" w:hAnsi="Arial" w:cs="Arial"/>
          <w:color w:val="0E101A"/>
          <w:sz w:val="24"/>
          <w:szCs w:val="24"/>
          <w:lang w:eastAsia="en-ZA"/>
        </w:rPr>
      </w:pPr>
    </w:p>
    <w:p w14:paraId="5467CDA9"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The applicant's case is that it had in its bid satisfied the tender requirements and thus qualified to be awarded the tender. It specifically contended that it satisfied the above requirements in that: </w:t>
      </w:r>
    </w:p>
    <w:p w14:paraId="2D49B8BE" w14:textId="77777777" w:rsidR="00AB1A4B" w:rsidRPr="00560467" w:rsidRDefault="00AB1A4B" w:rsidP="00DB4484">
      <w:pPr>
        <w:pStyle w:val="ListParagraph"/>
        <w:numPr>
          <w:ilvl w:val="1"/>
          <w:numId w:val="11"/>
        </w:numPr>
        <w:spacing w:after="0" w:line="480" w:lineRule="auto"/>
        <w:ind w:left="426" w:hanging="426"/>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 xml:space="preserve">Although it has twenty-one years of experience, it listed in its tender four projects it had done from "2014 to 2018 which amounts to a total of five (5) </w:t>
      </w:r>
      <w:r w:rsidR="00DB4484" w:rsidRPr="00560467">
        <w:rPr>
          <w:rFonts w:ascii="Arial" w:eastAsia="Times New Roman" w:hAnsi="Arial" w:cs="Arial"/>
          <w:color w:val="0E101A"/>
          <w:sz w:val="24"/>
          <w:szCs w:val="24"/>
          <w:lang w:eastAsia="en-ZA"/>
        </w:rPr>
        <w:t>years’</w:t>
      </w:r>
      <w:r w:rsidR="00DB4484">
        <w:rPr>
          <w:rFonts w:ascii="Arial" w:eastAsia="Times New Roman" w:hAnsi="Arial" w:cs="Arial"/>
          <w:color w:val="0E101A"/>
          <w:sz w:val="24"/>
          <w:szCs w:val="24"/>
          <w:lang w:eastAsia="en-ZA"/>
        </w:rPr>
        <w:t xml:space="preserve"> experience</w:t>
      </w:r>
      <w:r w:rsidR="001C4D15">
        <w:rPr>
          <w:rFonts w:ascii="Arial" w:eastAsia="Times New Roman" w:hAnsi="Arial" w:cs="Arial"/>
          <w:color w:val="0E101A"/>
          <w:sz w:val="24"/>
          <w:szCs w:val="24"/>
          <w:lang w:eastAsia="en-ZA"/>
        </w:rPr>
        <w:t xml:space="preserve">." The reason for not including the other projects done over the years was, according to the applicant, </w:t>
      </w:r>
      <w:r w:rsidRPr="00560467">
        <w:rPr>
          <w:rFonts w:ascii="Arial" w:eastAsia="Times New Roman" w:hAnsi="Arial" w:cs="Arial"/>
          <w:color w:val="0E101A"/>
          <w:sz w:val="24"/>
          <w:szCs w:val="24"/>
          <w:lang w:eastAsia="en-ZA"/>
        </w:rPr>
        <w:t xml:space="preserve">because the space allotted in the bid form allowed for listing </w:t>
      </w:r>
      <w:r w:rsidR="001C4D15">
        <w:rPr>
          <w:rFonts w:ascii="Arial" w:eastAsia="Times New Roman" w:hAnsi="Arial" w:cs="Arial"/>
          <w:color w:val="0E101A"/>
          <w:sz w:val="24"/>
          <w:szCs w:val="24"/>
          <w:lang w:eastAsia="en-ZA"/>
        </w:rPr>
        <w:t xml:space="preserve">of </w:t>
      </w:r>
      <w:r w:rsidRPr="00560467">
        <w:rPr>
          <w:rFonts w:ascii="Arial" w:eastAsia="Times New Roman" w:hAnsi="Arial" w:cs="Arial"/>
          <w:color w:val="0E101A"/>
          <w:sz w:val="24"/>
          <w:szCs w:val="24"/>
          <w:lang w:eastAsia="en-ZA"/>
        </w:rPr>
        <w:t>only four projects. </w:t>
      </w:r>
    </w:p>
    <w:p w14:paraId="00411D88" w14:textId="77777777" w:rsidR="00AB1A4B" w:rsidRPr="00560467" w:rsidRDefault="00AB1A4B" w:rsidP="00DB4484">
      <w:pPr>
        <w:pStyle w:val="ListParagraph"/>
        <w:numPr>
          <w:ilvl w:val="1"/>
          <w:numId w:val="11"/>
        </w:numPr>
        <w:spacing w:after="0" w:line="480" w:lineRule="auto"/>
        <w:ind w:left="709" w:hanging="425"/>
        <w:jc w:val="both"/>
        <w:rPr>
          <w:rFonts w:ascii="Arial" w:eastAsia="Times New Roman" w:hAnsi="Arial" w:cs="Arial"/>
          <w:color w:val="0E101A"/>
          <w:sz w:val="24"/>
          <w:szCs w:val="24"/>
          <w:lang w:eastAsia="en-ZA"/>
        </w:rPr>
      </w:pPr>
      <w:proofErr w:type="spellStart"/>
      <w:r w:rsidRPr="00560467">
        <w:rPr>
          <w:rFonts w:ascii="Arial" w:eastAsia="Times New Roman" w:hAnsi="Arial" w:cs="Arial"/>
          <w:color w:val="0E101A"/>
          <w:sz w:val="24"/>
          <w:szCs w:val="24"/>
          <w:lang w:eastAsia="en-ZA"/>
        </w:rPr>
        <w:t>Raldo</w:t>
      </w:r>
      <w:proofErr w:type="spellEnd"/>
      <w:r w:rsidRPr="00560467">
        <w:rPr>
          <w:rFonts w:ascii="Arial" w:eastAsia="Times New Roman" w:hAnsi="Arial" w:cs="Arial"/>
          <w:color w:val="0E101A"/>
          <w:sz w:val="24"/>
          <w:szCs w:val="24"/>
          <w:lang w:eastAsia="en-ZA"/>
        </w:rPr>
        <w:t xml:space="preserve"> Butler is the same person as Petrus Johannes Butler, who has three years of experience. </w:t>
      </w:r>
    </w:p>
    <w:p w14:paraId="5D1688FA" w14:textId="77777777" w:rsidR="00AB1A4B" w:rsidRPr="00560467" w:rsidRDefault="00AB1A4B" w:rsidP="00DB4484">
      <w:pPr>
        <w:pStyle w:val="ListParagraph"/>
        <w:numPr>
          <w:ilvl w:val="1"/>
          <w:numId w:val="11"/>
        </w:numPr>
        <w:spacing w:after="0" w:line="480" w:lineRule="auto"/>
        <w:ind w:left="0" w:firstLine="284"/>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Wille Venter has the required experience of three years. </w:t>
      </w:r>
    </w:p>
    <w:p w14:paraId="4491BCDB" w14:textId="77777777" w:rsidR="00AB1A4B" w:rsidRPr="00AB1A4B" w:rsidRDefault="00AB1A4B" w:rsidP="00DB4484">
      <w:pPr>
        <w:spacing w:after="0" w:line="480" w:lineRule="auto"/>
        <w:jc w:val="both"/>
        <w:rPr>
          <w:rFonts w:ascii="Arial" w:eastAsia="Times New Roman" w:hAnsi="Arial" w:cs="Arial"/>
          <w:color w:val="0E101A"/>
          <w:sz w:val="24"/>
          <w:szCs w:val="24"/>
          <w:lang w:eastAsia="en-ZA"/>
        </w:rPr>
      </w:pPr>
    </w:p>
    <w:p w14:paraId="26070436" w14:textId="77777777" w:rsidR="00815BAD" w:rsidRDefault="00815BAD"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The applicant </w:t>
      </w:r>
      <w:r w:rsidR="00AB1A4B" w:rsidRPr="00560467">
        <w:rPr>
          <w:rFonts w:ascii="Arial" w:eastAsia="Times New Roman" w:hAnsi="Arial" w:cs="Arial"/>
          <w:color w:val="0E101A"/>
          <w:sz w:val="24"/>
          <w:szCs w:val="24"/>
          <w:lang w:eastAsia="en-ZA"/>
        </w:rPr>
        <w:t>contended that the decision by the JRA not to appoint it as one of the successful tenderers constituted an administrative action and is thus reviewable.  </w:t>
      </w:r>
      <w:r>
        <w:rPr>
          <w:rFonts w:ascii="Arial" w:eastAsia="Times New Roman" w:hAnsi="Arial" w:cs="Arial"/>
          <w:color w:val="0E101A"/>
          <w:sz w:val="24"/>
          <w:szCs w:val="24"/>
          <w:lang w:eastAsia="en-ZA"/>
        </w:rPr>
        <w:t xml:space="preserve">It further contended that it had a legitimate expectation to be awarded the tender for the following reasons: </w:t>
      </w:r>
    </w:p>
    <w:p w14:paraId="76395F9C" w14:textId="77777777" w:rsidR="00815BAD" w:rsidRDefault="00815BAD" w:rsidP="00DB4484">
      <w:pPr>
        <w:pStyle w:val="ListParagraph"/>
        <w:numPr>
          <w:ilvl w:val="0"/>
          <w:numId w:val="13"/>
        </w:num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The only respondent whose tender price was lower than it is that of the second respondent. </w:t>
      </w:r>
    </w:p>
    <w:p w14:paraId="1215D544" w14:textId="77777777" w:rsidR="00AB1A4B" w:rsidRDefault="00815BAD" w:rsidP="00DB4484">
      <w:pPr>
        <w:pStyle w:val="ListParagraph"/>
        <w:numPr>
          <w:ilvl w:val="0"/>
          <w:numId w:val="13"/>
        </w:num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It passed the </w:t>
      </w:r>
      <w:r w:rsidR="001C4D15">
        <w:rPr>
          <w:rFonts w:ascii="Arial" w:eastAsia="Times New Roman" w:hAnsi="Arial" w:cs="Arial"/>
          <w:color w:val="0E101A"/>
          <w:sz w:val="24"/>
          <w:szCs w:val="24"/>
          <w:lang w:eastAsia="en-ZA"/>
        </w:rPr>
        <w:t>preferential points system of</w:t>
      </w:r>
      <w:r>
        <w:rPr>
          <w:rFonts w:ascii="Arial" w:eastAsia="Times New Roman" w:hAnsi="Arial" w:cs="Arial"/>
          <w:color w:val="0E101A"/>
          <w:sz w:val="24"/>
          <w:szCs w:val="24"/>
          <w:lang w:eastAsia="en-ZA"/>
        </w:rPr>
        <w:t xml:space="preserve"> 80/20.  </w:t>
      </w:r>
    </w:p>
    <w:p w14:paraId="6AA35343" w14:textId="77777777" w:rsidR="00560467" w:rsidRPr="00560467" w:rsidRDefault="00560467" w:rsidP="00DB4484">
      <w:pPr>
        <w:pStyle w:val="ListParagraph"/>
        <w:spacing w:after="0" w:line="480" w:lineRule="auto"/>
        <w:ind w:left="0"/>
        <w:jc w:val="both"/>
        <w:rPr>
          <w:rFonts w:ascii="Arial" w:eastAsia="Times New Roman" w:hAnsi="Arial" w:cs="Arial"/>
          <w:color w:val="0E101A"/>
          <w:sz w:val="24"/>
          <w:szCs w:val="24"/>
          <w:lang w:eastAsia="en-ZA"/>
        </w:rPr>
      </w:pPr>
    </w:p>
    <w:p w14:paraId="16BE2F13" w14:textId="77777777" w:rsidR="00371EAB" w:rsidRDefault="00371EA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As concerning the score in the tender </w:t>
      </w:r>
      <w:proofErr w:type="gramStart"/>
      <w:r>
        <w:rPr>
          <w:rFonts w:ascii="Arial" w:eastAsia="Times New Roman" w:hAnsi="Arial" w:cs="Arial"/>
          <w:color w:val="0E101A"/>
          <w:sz w:val="24"/>
          <w:szCs w:val="24"/>
          <w:lang w:eastAsia="en-ZA"/>
        </w:rPr>
        <w:t>evaluation</w:t>
      </w:r>
      <w:proofErr w:type="gramEnd"/>
      <w:r>
        <w:rPr>
          <w:rFonts w:ascii="Arial" w:eastAsia="Times New Roman" w:hAnsi="Arial" w:cs="Arial"/>
          <w:color w:val="0E101A"/>
          <w:sz w:val="24"/>
          <w:szCs w:val="24"/>
          <w:lang w:eastAsia="en-ZA"/>
        </w:rPr>
        <w:t xml:space="preserve"> the applicant contended that it should have been scored 95% for functionality at Phase 2, Stage 2 which would </w:t>
      </w:r>
      <w:r>
        <w:rPr>
          <w:rFonts w:ascii="Arial" w:eastAsia="Times New Roman" w:hAnsi="Arial" w:cs="Arial"/>
          <w:color w:val="0E101A"/>
          <w:sz w:val="24"/>
          <w:szCs w:val="24"/>
          <w:lang w:eastAsia="en-ZA"/>
        </w:rPr>
        <w:lastRenderedPageBreak/>
        <w:t xml:space="preserve">have placed it at above 70%. This would, the applicant submitted, have qualified it for further evaluation at the third phase for price and B-BEEE. </w:t>
      </w:r>
    </w:p>
    <w:p w14:paraId="19209770" w14:textId="77777777" w:rsidR="003F4FAF" w:rsidRPr="003F4FAF" w:rsidRDefault="003F4FAF" w:rsidP="00DB4484">
      <w:pPr>
        <w:spacing w:after="0" w:line="480" w:lineRule="auto"/>
        <w:jc w:val="both"/>
        <w:rPr>
          <w:rFonts w:ascii="Arial" w:eastAsia="Times New Roman" w:hAnsi="Arial" w:cs="Arial"/>
          <w:color w:val="0E101A"/>
          <w:sz w:val="24"/>
          <w:szCs w:val="24"/>
          <w:lang w:eastAsia="en-ZA"/>
        </w:rPr>
      </w:pPr>
    </w:p>
    <w:p w14:paraId="125E6B9F" w14:textId="77777777" w:rsidR="003F4FAF" w:rsidRDefault="003F4FAF"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The applicant abandoned prayers one and three of the Notice of Motion during the hearing. </w:t>
      </w:r>
    </w:p>
    <w:p w14:paraId="4B5374A0" w14:textId="77777777" w:rsidR="00371EAB" w:rsidRDefault="00371EAB" w:rsidP="00DB4484">
      <w:pPr>
        <w:pStyle w:val="ListParagraph"/>
        <w:spacing w:after="0" w:line="480" w:lineRule="auto"/>
        <w:ind w:left="0"/>
        <w:jc w:val="both"/>
        <w:rPr>
          <w:rFonts w:ascii="Arial" w:eastAsia="Times New Roman" w:hAnsi="Arial" w:cs="Arial"/>
          <w:color w:val="0E101A"/>
          <w:sz w:val="24"/>
          <w:szCs w:val="24"/>
          <w:lang w:eastAsia="en-ZA"/>
        </w:rPr>
      </w:pPr>
    </w:p>
    <w:p w14:paraId="5BADEB00" w14:textId="77777777" w:rsidR="00AB1A4B" w:rsidRDefault="00F53156"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The </w:t>
      </w:r>
      <w:r w:rsidR="00AB1A4B" w:rsidRPr="00560467">
        <w:rPr>
          <w:rFonts w:ascii="Arial" w:eastAsia="Times New Roman" w:hAnsi="Arial" w:cs="Arial"/>
          <w:color w:val="0E101A"/>
          <w:sz w:val="24"/>
          <w:szCs w:val="24"/>
          <w:lang w:eastAsia="en-ZA"/>
        </w:rPr>
        <w:t>JRA opposed the application on the ground that the applicant did not progress to the final phase in the tender evaluation process. The tender evaluation process consisted of three phases: the pre-compliance evaluation stage, the pre-qualification stage, the functionality evaluation phase, and the BE-BBEE and financial evaluation phase. </w:t>
      </w:r>
    </w:p>
    <w:p w14:paraId="3A1D46C7" w14:textId="77777777" w:rsidR="00560467" w:rsidRPr="00560467" w:rsidRDefault="00560467" w:rsidP="00DB4484">
      <w:pPr>
        <w:pStyle w:val="ListParagraph"/>
        <w:spacing w:after="0" w:line="480" w:lineRule="auto"/>
        <w:ind w:left="0"/>
        <w:jc w:val="both"/>
        <w:rPr>
          <w:rFonts w:ascii="Arial" w:eastAsia="Times New Roman" w:hAnsi="Arial" w:cs="Arial"/>
          <w:color w:val="0E101A"/>
          <w:sz w:val="24"/>
          <w:szCs w:val="24"/>
          <w:lang w:eastAsia="en-ZA"/>
        </w:rPr>
      </w:pPr>
    </w:p>
    <w:p w14:paraId="103109BA" w14:textId="77777777" w:rsidR="00AB1A4B"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The two main reasons</w:t>
      </w:r>
      <w:r w:rsidR="00F53156">
        <w:rPr>
          <w:rFonts w:ascii="Arial" w:eastAsia="Times New Roman" w:hAnsi="Arial" w:cs="Arial"/>
          <w:color w:val="0E101A"/>
          <w:sz w:val="24"/>
          <w:szCs w:val="24"/>
          <w:lang w:eastAsia="en-ZA"/>
        </w:rPr>
        <w:t xml:space="preserve"> the </w:t>
      </w:r>
      <w:r w:rsidRPr="00560467">
        <w:rPr>
          <w:rFonts w:ascii="Arial" w:eastAsia="Times New Roman" w:hAnsi="Arial" w:cs="Arial"/>
          <w:color w:val="0E101A"/>
          <w:sz w:val="24"/>
          <w:szCs w:val="24"/>
          <w:lang w:eastAsia="en-ZA"/>
        </w:rPr>
        <w:t>JRA disqualified the applicant from progressing to the second phase of the bid evaluation were that the applicant failed to satisfy the requirement of five years' company experience and the safety officer</w:t>
      </w:r>
      <w:r w:rsidR="00F53156">
        <w:rPr>
          <w:rFonts w:ascii="Arial" w:eastAsia="Times New Roman" w:hAnsi="Arial" w:cs="Arial"/>
          <w:color w:val="0E101A"/>
          <w:sz w:val="24"/>
          <w:szCs w:val="24"/>
          <w:lang w:eastAsia="en-ZA"/>
        </w:rPr>
        <w:t xml:space="preserve"> mentioned in the bid</w:t>
      </w:r>
      <w:r w:rsidR="001C4D15">
        <w:rPr>
          <w:rFonts w:ascii="Arial" w:eastAsia="Times New Roman" w:hAnsi="Arial" w:cs="Arial"/>
          <w:color w:val="0E101A"/>
          <w:sz w:val="24"/>
          <w:szCs w:val="24"/>
          <w:lang w:eastAsia="en-ZA"/>
        </w:rPr>
        <w:t xml:space="preserve"> did</w:t>
      </w:r>
      <w:r w:rsidR="00F53156">
        <w:rPr>
          <w:rFonts w:ascii="Arial" w:eastAsia="Times New Roman" w:hAnsi="Arial" w:cs="Arial"/>
          <w:color w:val="0E101A"/>
          <w:sz w:val="24"/>
          <w:szCs w:val="24"/>
          <w:lang w:eastAsia="en-ZA"/>
        </w:rPr>
        <w:t xml:space="preserve"> not have</w:t>
      </w:r>
      <w:r w:rsidR="001C4D15">
        <w:rPr>
          <w:rFonts w:ascii="Arial" w:eastAsia="Times New Roman" w:hAnsi="Arial" w:cs="Arial"/>
          <w:color w:val="0E101A"/>
          <w:sz w:val="24"/>
          <w:szCs w:val="24"/>
          <w:lang w:eastAsia="en-ZA"/>
        </w:rPr>
        <w:t xml:space="preserve"> more than </w:t>
      </w:r>
      <w:r w:rsidRPr="00560467">
        <w:rPr>
          <w:rFonts w:ascii="Arial" w:eastAsia="Times New Roman" w:hAnsi="Arial" w:cs="Arial"/>
          <w:color w:val="0E101A"/>
          <w:sz w:val="24"/>
          <w:szCs w:val="24"/>
          <w:lang w:eastAsia="en-ZA"/>
        </w:rPr>
        <w:t>three years' experience. </w:t>
      </w:r>
    </w:p>
    <w:p w14:paraId="444ED859" w14:textId="77777777" w:rsidR="00560467" w:rsidRPr="00560467" w:rsidRDefault="00560467" w:rsidP="00DB4484">
      <w:pPr>
        <w:pStyle w:val="ListParagraph"/>
        <w:spacing w:after="0" w:line="480" w:lineRule="auto"/>
        <w:ind w:left="0"/>
        <w:jc w:val="both"/>
        <w:rPr>
          <w:rFonts w:ascii="Arial" w:eastAsia="Times New Roman" w:hAnsi="Arial" w:cs="Arial"/>
          <w:color w:val="0E101A"/>
          <w:sz w:val="24"/>
          <w:szCs w:val="24"/>
          <w:lang w:eastAsia="en-ZA"/>
        </w:rPr>
      </w:pPr>
    </w:p>
    <w:p w14:paraId="1FCE9584"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The issue of the safety agen</w:t>
      </w:r>
      <w:r w:rsidR="001C4D15">
        <w:rPr>
          <w:rFonts w:ascii="Arial" w:eastAsia="Times New Roman" w:hAnsi="Arial" w:cs="Arial"/>
          <w:color w:val="0E101A"/>
          <w:sz w:val="24"/>
          <w:szCs w:val="24"/>
          <w:lang w:eastAsia="en-ZA"/>
        </w:rPr>
        <w:t>t, Mr Venter, not satisfying</w:t>
      </w:r>
      <w:r w:rsidRPr="00560467">
        <w:rPr>
          <w:rFonts w:ascii="Arial" w:eastAsia="Times New Roman" w:hAnsi="Arial" w:cs="Arial"/>
          <w:color w:val="0E101A"/>
          <w:sz w:val="24"/>
          <w:szCs w:val="24"/>
          <w:lang w:eastAsia="en-ZA"/>
        </w:rPr>
        <w:t xml:space="preserve"> more than three years' experience fell away as</w:t>
      </w:r>
      <w:r w:rsidR="00F53156">
        <w:rPr>
          <w:rFonts w:ascii="Arial" w:eastAsia="Times New Roman" w:hAnsi="Arial" w:cs="Arial"/>
          <w:color w:val="0E101A"/>
          <w:sz w:val="24"/>
          <w:szCs w:val="24"/>
          <w:lang w:eastAsia="en-ZA"/>
        </w:rPr>
        <w:t xml:space="preserve"> the</w:t>
      </w:r>
      <w:r w:rsidRPr="00560467">
        <w:rPr>
          <w:rFonts w:ascii="Arial" w:eastAsia="Times New Roman" w:hAnsi="Arial" w:cs="Arial"/>
          <w:color w:val="0E101A"/>
          <w:sz w:val="24"/>
          <w:szCs w:val="24"/>
          <w:lang w:eastAsia="en-ZA"/>
        </w:rPr>
        <w:t xml:space="preserve"> JRA conceded to the averment of the applicant in this regard during the urgent application hearing.  </w:t>
      </w:r>
    </w:p>
    <w:p w14:paraId="534AB1DC" w14:textId="77777777" w:rsidR="00F53156" w:rsidRDefault="00F53156" w:rsidP="00DB4484">
      <w:pPr>
        <w:pStyle w:val="ListParagraph"/>
        <w:spacing w:after="0" w:line="480" w:lineRule="auto"/>
        <w:ind w:left="0"/>
        <w:jc w:val="both"/>
        <w:rPr>
          <w:rFonts w:ascii="Arial" w:eastAsia="Times New Roman" w:hAnsi="Arial" w:cs="Arial"/>
          <w:b/>
          <w:bCs/>
          <w:color w:val="0E101A"/>
          <w:sz w:val="24"/>
          <w:szCs w:val="24"/>
          <w:lang w:eastAsia="en-ZA"/>
        </w:rPr>
      </w:pPr>
    </w:p>
    <w:p w14:paraId="739614A5" w14:textId="77777777" w:rsidR="00AB1A4B" w:rsidRDefault="00AB1A4B" w:rsidP="00DB4484">
      <w:pPr>
        <w:pStyle w:val="ListParagraph"/>
        <w:spacing w:after="0" w:line="480" w:lineRule="auto"/>
        <w:ind w:left="0"/>
        <w:jc w:val="both"/>
        <w:rPr>
          <w:rFonts w:ascii="Arial" w:eastAsia="Times New Roman" w:hAnsi="Arial" w:cs="Arial"/>
          <w:b/>
          <w:bCs/>
          <w:color w:val="0E101A"/>
          <w:sz w:val="24"/>
          <w:szCs w:val="24"/>
          <w:lang w:eastAsia="en-ZA"/>
        </w:rPr>
      </w:pPr>
      <w:r w:rsidRPr="00560467">
        <w:rPr>
          <w:rFonts w:ascii="Arial" w:eastAsia="Times New Roman" w:hAnsi="Arial" w:cs="Arial"/>
          <w:b/>
          <w:bCs/>
          <w:color w:val="0E101A"/>
          <w:sz w:val="24"/>
          <w:szCs w:val="24"/>
          <w:lang w:eastAsia="en-ZA"/>
        </w:rPr>
        <w:t>Legal principles </w:t>
      </w:r>
    </w:p>
    <w:p w14:paraId="5FA2E1F8" w14:textId="77777777" w:rsidR="00560467" w:rsidRPr="00560467" w:rsidRDefault="00560467" w:rsidP="00DB4484">
      <w:pPr>
        <w:pStyle w:val="ListParagraph"/>
        <w:spacing w:after="0" w:line="480" w:lineRule="auto"/>
        <w:ind w:left="0"/>
        <w:jc w:val="both"/>
        <w:rPr>
          <w:rFonts w:ascii="Arial" w:eastAsia="Times New Roman" w:hAnsi="Arial" w:cs="Arial"/>
          <w:color w:val="0E101A"/>
          <w:sz w:val="24"/>
          <w:szCs w:val="24"/>
          <w:lang w:eastAsia="en-ZA"/>
        </w:rPr>
      </w:pPr>
    </w:p>
    <w:p w14:paraId="06C3D3D2" w14:textId="77777777" w:rsidR="00AB1A4B" w:rsidRPr="00AB1A4B"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lastRenderedPageBreak/>
        <w:t xml:space="preserve">It is common cause that </w:t>
      </w:r>
      <w:r w:rsidR="001C4D15">
        <w:rPr>
          <w:rFonts w:ascii="Arial" w:eastAsia="Times New Roman" w:hAnsi="Arial" w:cs="Arial"/>
          <w:color w:val="0E101A"/>
          <w:sz w:val="24"/>
          <w:szCs w:val="24"/>
          <w:lang w:eastAsia="en-ZA"/>
        </w:rPr>
        <w:t xml:space="preserve">the </w:t>
      </w:r>
      <w:r w:rsidRPr="00560467">
        <w:rPr>
          <w:rFonts w:ascii="Arial" w:eastAsia="Times New Roman" w:hAnsi="Arial" w:cs="Arial"/>
          <w:color w:val="0E101A"/>
          <w:sz w:val="24"/>
          <w:szCs w:val="24"/>
          <w:lang w:eastAsia="en-ZA"/>
        </w:rPr>
        <w:t>JRA is an organ of State. Thus, awarding the respondents the tender and disqualifying the applicant was an administrative action as envisaged in section 1 of the Promotio</w:t>
      </w:r>
      <w:r w:rsidR="001C4D15">
        <w:rPr>
          <w:rFonts w:ascii="Arial" w:eastAsia="Times New Roman" w:hAnsi="Arial" w:cs="Arial"/>
          <w:color w:val="0E101A"/>
          <w:sz w:val="24"/>
          <w:szCs w:val="24"/>
          <w:lang w:eastAsia="en-ZA"/>
        </w:rPr>
        <w:t>n of Administrative Justice Act</w:t>
      </w:r>
      <w:r w:rsidRPr="00560467">
        <w:rPr>
          <w:rFonts w:ascii="Arial" w:eastAsia="Times New Roman" w:hAnsi="Arial" w:cs="Arial"/>
          <w:color w:val="0E101A"/>
          <w:sz w:val="24"/>
          <w:szCs w:val="24"/>
          <w:lang w:eastAsia="en-ZA"/>
        </w:rPr>
        <w:t xml:space="preserve"> (PAJA).</w:t>
      </w:r>
      <w:r w:rsidR="001C4D15">
        <w:rPr>
          <w:rStyle w:val="FootnoteReference"/>
          <w:rFonts w:ascii="Arial" w:eastAsia="Times New Roman" w:hAnsi="Arial" w:cs="Arial"/>
          <w:color w:val="0E101A"/>
          <w:sz w:val="24"/>
          <w:szCs w:val="24"/>
          <w:lang w:eastAsia="en-ZA"/>
        </w:rPr>
        <w:footnoteReference w:id="1"/>
      </w:r>
      <w:r w:rsidR="000E31C3">
        <w:rPr>
          <w:rStyle w:val="FootnoteReference"/>
          <w:rFonts w:ascii="Arial" w:eastAsia="Times New Roman" w:hAnsi="Arial" w:cs="Arial"/>
          <w:color w:val="0E101A"/>
          <w:sz w:val="24"/>
          <w:szCs w:val="24"/>
          <w:lang w:eastAsia="en-ZA"/>
        </w:rPr>
        <w:t xml:space="preserve"> </w:t>
      </w:r>
    </w:p>
    <w:p w14:paraId="21A1C1E8" w14:textId="77777777" w:rsidR="00AB1A4B" w:rsidRPr="00AB1A4B" w:rsidRDefault="00AB1A4B" w:rsidP="00DB4484">
      <w:pPr>
        <w:spacing w:after="0" w:line="480" w:lineRule="auto"/>
        <w:jc w:val="both"/>
        <w:rPr>
          <w:rFonts w:ascii="Arial" w:eastAsia="Times New Roman" w:hAnsi="Arial" w:cs="Arial"/>
          <w:color w:val="0E101A"/>
          <w:sz w:val="24"/>
          <w:szCs w:val="24"/>
          <w:lang w:eastAsia="en-ZA"/>
        </w:rPr>
      </w:pPr>
    </w:p>
    <w:p w14:paraId="5598B7F9"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Sect</w:t>
      </w:r>
      <w:r w:rsidR="003A7D90">
        <w:rPr>
          <w:rFonts w:ascii="Arial" w:eastAsia="Times New Roman" w:hAnsi="Arial" w:cs="Arial"/>
          <w:color w:val="0E101A"/>
          <w:sz w:val="24"/>
          <w:szCs w:val="24"/>
          <w:lang w:eastAsia="en-ZA"/>
        </w:rPr>
        <w:t xml:space="preserve">ion 217 (1) of </w:t>
      </w:r>
      <w:r w:rsidR="003A7D90" w:rsidRPr="00A047BA">
        <w:rPr>
          <w:rFonts w:ascii="Arial" w:eastAsia="Times New Roman" w:hAnsi="Arial" w:cs="Arial"/>
          <w:color w:val="0E101A"/>
          <w:sz w:val="24"/>
          <w:szCs w:val="24"/>
          <w:lang w:eastAsia="en-ZA"/>
        </w:rPr>
        <w:t>the Constitution</w:t>
      </w:r>
      <w:r w:rsidRPr="00A047BA">
        <w:rPr>
          <w:rFonts w:ascii="Arial" w:eastAsia="Times New Roman" w:hAnsi="Arial" w:cs="Arial"/>
          <w:color w:val="0E101A"/>
          <w:sz w:val="24"/>
          <w:szCs w:val="24"/>
          <w:lang w:eastAsia="en-ZA"/>
        </w:rPr>
        <w:t xml:space="preserve"> Act</w:t>
      </w:r>
      <w:r w:rsidRPr="00560467">
        <w:rPr>
          <w:rFonts w:ascii="Arial" w:eastAsia="Times New Roman" w:hAnsi="Arial" w:cs="Arial"/>
          <w:color w:val="0E101A"/>
          <w:sz w:val="24"/>
          <w:szCs w:val="24"/>
          <w:lang w:eastAsia="en-ZA"/>
        </w:rPr>
        <w:t xml:space="preserve"> (the Constitution)</w:t>
      </w:r>
      <w:r w:rsidR="003A7D90">
        <w:rPr>
          <w:rFonts w:ascii="Arial" w:eastAsia="Times New Roman" w:hAnsi="Arial" w:cs="Arial"/>
          <w:color w:val="0E101A"/>
          <w:sz w:val="24"/>
          <w:szCs w:val="24"/>
          <w:lang w:eastAsia="en-ZA"/>
        </w:rPr>
        <w:t>,</w:t>
      </w:r>
      <w:r w:rsidR="003A7D90">
        <w:rPr>
          <w:rStyle w:val="FootnoteReference"/>
          <w:rFonts w:ascii="Arial" w:eastAsia="Times New Roman" w:hAnsi="Arial" w:cs="Arial"/>
          <w:color w:val="0E101A"/>
          <w:sz w:val="24"/>
          <w:szCs w:val="24"/>
          <w:lang w:eastAsia="en-ZA"/>
        </w:rPr>
        <w:footnoteReference w:id="2"/>
      </w:r>
      <w:r w:rsidRPr="00560467">
        <w:rPr>
          <w:rFonts w:ascii="Arial" w:eastAsia="Times New Roman" w:hAnsi="Arial" w:cs="Arial"/>
          <w:color w:val="0E101A"/>
          <w:sz w:val="24"/>
          <w:szCs w:val="24"/>
          <w:lang w:eastAsia="en-ZA"/>
        </w:rPr>
        <w:t xml:space="preserve"> requires an organ of State when contracting for services to do so through a system which is fair, equitable, transparent, competitive and caused effective.</w:t>
      </w:r>
    </w:p>
    <w:p w14:paraId="5ED6AB5D" w14:textId="77777777" w:rsidR="00AB1A4B" w:rsidRPr="00AB1A4B" w:rsidRDefault="00AB1A4B" w:rsidP="00DB4484">
      <w:pPr>
        <w:spacing w:after="0" w:line="480" w:lineRule="auto"/>
        <w:jc w:val="both"/>
        <w:rPr>
          <w:rFonts w:ascii="Arial" w:eastAsia="Times New Roman" w:hAnsi="Arial" w:cs="Arial"/>
          <w:color w:val="0E101A"/>
          <w:sz w:val="24"/>
          <w:szCs w:val="24"/>
          <w:lang w:eastAsia="en-ZA"/>
        </w:rPr>
      </w:pPr>
    </w:p>
    <w:p w14:paraId="6C78FBCE"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Section 2 (1) (f) of the Preferential Procurement Policy Framework Act,</w:t>
      </w:r>
      <w:r w:rsidR="003A7D90">
        <w:rPr>
          <w:rStyle w:val="FootnoteReference"/>
          <w:rFonts w:ascii="Arial" w:eastAsia="Times New Roman" w:hAnsi="Arial" w:cs="Arial"/>
          <w:color w:val="0E101A"/>
          <w:sz w:val="24"/>
          <w:szCs w:val="24"/>
          <w:lang w:eastAsia="en-ZA"/>
        </w:rPr>
        <w:footnoteReference w:id="3"/>
      </w:r>
      <w:r w:rsidRPr="00560467">
        <w:rPr>
          <w:rFonts w:ascii="Arial" w:eastAsia="Times New Roman" w:hAnsi="Arial" w:cs="Arial"/>
          <w:color w:val="0E101A"/>
          <w:sz w:val="24"/>
          <w:szCs w:val="24"/>
          <w:lang w:eastAsia="en-ZA"/>
        </w:rPr>
        <w:t xml:space="preserve"> provides:</w:t>
      </w:r>
    </w:p>
    <w:p w14:paraId="7860F2B0" w14:textId="77777777" w:rsidR="00AB1A4B" w:rsidRPr="00560467" w:rsidRDefault="00560467" w:rsidP="00DB4484">
      <w:pPr>
        <w:spacing w:after="0" w:line="480" w:lineRule="auto"/>
        <w:ind w:left="360"/>
        <w:jc w:val="both"/>
        <w:rPr>
          <w:rFonts w:ascii="Arial" w:eastAsia="Times New Roman" w:hAnsi="Arial" w:cs="Arial"/>
          <w:color w:val="0E101A"/>
          <w:lang w:eastAsia="en-ZA"/>
        </w:rPr>
      </w:pPr>
      <w:r>
        <w:rPr>
          <w:rFonts w:ascii="Arial" w:eastAsia="Times New Roman" w:hAnsi="Arial" w:cs="Arial"/>
          <w:color w:val="0E101A"/>
          <w:sz w:val="24"/>
          <w:szCs w:val="24"/>
          <w:lang w:eastAsia="en-ZA"/>
        </w:rPr>
        <w:t xml:space="preserve"> </w:t>
      </w:r>
      <w:r w:rsidR="00AB1A4B" w:rsidRPr="00560467">
        <w:rPr>
          <w:rFonts w:ascii="Arial" w:eastAsia="Times New Roman" w:hAnsi="Arial" w:cs="Arial"/>
          <w:color w:val="0E101A"/>
          <w:lang w:eastAsia="en-ZA"/>
        </w:rPr>
        <w:t>"</w:t>
      </w:r>
      <w:proofErr w:type="gramStart"/>
      <w:r w:rsidR="00AB1A4B" w:rsidRPr="00560467">
        <w:rPr>
          <w:rFonts w:ascii="Arial" w:eastAsia="Times New Roman" w:hAnsi="Arial" w:cs="Arial"/>
          <w:color w:val="0E101A"/>
          <w:lang w:eastAsia="en-ZA"/>
        </w:rPr>
        <w:t>the</w:t>
      </w:r>
      <w:proofErr w:type="gramEnd"/>
      <w:r w:rsidR="00AB1A4B" w:rsidRPr="00560467">
        <w:rPr>
          <w:rFonts w:ascii="Arial" w:eastAsia="Times New Roman" w:hAnsi="Arial" w:cs="Arial"/>
          <w:color w:val="0E101A"/>
          <w:lang w:eastAsia="en-ZA"/>
        </w:rPr>
        <w:t xml:space="preserve"> contract must be awarded to the tenderer who scores the highest points, unless objective criteria. . . justify</w:t>
      </w:r>
      <w:r w:rsidR="003147F9">
        <w:rPr>
          <w:rFonts w:ascii="Arial" w:eastAsia="Times New Roman" w:hAnsi="Arial" w:cs="Arial"/>
          <w:color w:val="0E101A"/>
          <w:lang w:eastAsia="en-ZA"/>
        </w:rPr>
        <w:t xml:space="preserve"> the award to another tenderer.”</w:t>
      </w:r>
    </w:p>
    <w:p w14:paraId="3A4B36A9" w14:textId="77777777" w:rsidR="00AB1A4B" w:rsidRPr="00AB1A4B" w:rsidRDefault="00AB1A4B" w:rsidP="00DB4484">
      <w:pPr>
        <w:spacing w:after="0" w:line="480" w:lineRule="auto"/>
        <w:jc w:val="both"/>
        <w:rPr>
          <w:rFonts w:ascii="Arial" w:eastAsia="Times New Roman" w:hAnsi="Arial" w:cs="Arial"/>
          <w:color w:val="0E101A"/>
          <w:lang w:eastAsia="en-ZA"/>
        </w:rPr>
      </w:pPr>
    </w:p>
    <w:p w14:paraId="727CBA72" w14:textId="77777777" w:rsidR="003A7D90" w:rsidRPr="003A7D90" w:rsidRDefault="00AB1A4B" w:rsidP="00DB4484">
      <w:pPr>
        <w:pStyle w:val="ListParagraph"/>
        <w:numPr>
          <w:ilvl w:val="0"/>
          <w:numId w:val="11"/>
        </w:numPr>
        <w:spacing w:after="0" w:line="480" w:lineRule="auto"/>
        <w:ind w:left="0" w:firstLine="0"/>
        <w:jc w:val="both"/>
        <w:rPr>
          <w:rFonts w:ascii="Arial" w:eastAsia="Times New Roman" w:hAnsi="Arial" w:cs="Arial"/>
          <w:color w:val="0E101A"/>
          <w:lang w:eastAsia="en-ZA"/>
        </w:rPr>
      </w:pPr>
      <w:r w:rsidRPr="00560467">
        <w:rPr>
          <w:rFonts w:ascii="Arial" w:eastAsia="Times New Roman" w:hAnsi="Arial" w:cs="Arial"/>
          <w:color w:val="0E101A"/>
          <w:sz w:val="24"/>
          <w:szCs w:val="24"/>
          <w:lang w:eastAsia="en-ZA"/>
        </w:rPr>
        <w:t>In Metro Project CC and Another v Klerksdorp Local Municipality</w:t>
      </w:r>
      <w:r w:rsidR="00F53156">
        <w:rPr>
          <w:rFonts w:ascii="Arial" w:eastAsia="Times New Roman" w:hAnsi="Arial" w:cs="Arial"/>
          <w:color w:val="0E101A"/>
          <w:sz w:val="24"/>
          <w:szCs w:val="24"/>
          <w:lang w:eastAsia="en-ZA"/>
        </w:rPr>
        <w:t xml:space="preserve"> and Others</w:t>
      </w:r>
      <w:r w:rsidR="003A7D90">
        <w:rPr>
          <w:rFonts w:ascii="Arial" w:eastAsia="Times New Roman" w:hAnsi="Arial" w:cs="Arial"/>
          <w:color w:val="0E101A"/>
          <w:sz w:val="24"/>
          <w:szCs w:val="24"/>
          <w:lang w:eastAsia="en-ZA"/>
        </w:rPr>
        <w:t>,</w:t>
      </w:r>
      <w:r w:rsidR="003A7D90">
        <w:rPr>
          <w:rStyle w:val="FootnoteReference"/>
          <w:rFonts w:ascii="Arial" w:eastAsia="Times New Roman" w:hAnsi="Arial" w:cs="Arial"/>
          <w:color w:val="0E101A"/>
          <w:sz w:val="24"/>
          <w:szCs w:val="24"/>
          <w:lang w:eastAsia="en-ZA"/>
        </w:rPr>
        <w:footnoteReference w:id="4"/>
      </w:r>
      <w:r w:rsidR="00F53156">
        <w:rPr>
          <w:rFonts w:ascii="Arial" w:eastAsia="Times New Roman" w:hAnsi="Arial" w:cs="Arial"/>
          <w:color w:val="0E101A"/>
          <w:sz w:val="24"/>
          <w:szCs w:val="24"/>
          <w:lang w:eastAsia="en-ZA"/>
        </w:rPr>
        <w:t xml:space="preserve"> the Supreme Court of Appeal held that an organ of State in the local government sphere is obliged to act in accordance with a fair, transparent, </w:t>
      </w:r>
      <w:r w:rsidR="00B501A7">
        <w:rPr>
          <w:rFonts w:ascii="Arial" w:eastAsia="Times New Roman" w:hAnsi="Arial" w:cs="Arial"/>
          <w:color w:val="0E101A"/>
          <w:sz w:val="24"/>
          <w:szCs w:val="24"/>
          <w:lang w:eastAsia="en-ZA"/>
        </w:rPr>
        <w:t xml:space="preserve">competitive, and costs effective system in accordance legislation and the Constitution. </w:t>
      </w:r>
    </w:p>
    <w:p w14:paraId="3609AB70" w14:textId="77777777" w:rsidR="00B501A7" w:rsidRPr="00DB4484" w:rsidRDefault="00B501A7" w:rsidP="00DB4484">
      <w:pPr>
        <w:pStyle w:val="ListParagraph"/>
        <w:spacing w:after="0" w:line="480" w:lineRule="auto"/>
        <w:ind w:left="0"/>
        <w:jc w:val="both"/>
        <w:rPr>
          <w:rFonts w:ascii="Arial" w:eastAsia="Times New Roman" w:hAnsi="Arial" w:cs="Arial"/>
          <w:color w:val="0E101A"/>
          <w:sz w:val="24"/>
          <w:szCs w:val="24"/>
          <w:lang w:eastAsia="en-ZA"/>
        </w:rPr>
      </w:pPr>
      <w:r>
        <w:rPr>
          <w:rFonts w:ascii="Arial" w:eastAsia="Times New Roman" w:hAnsi="Arial" w:cs="Arial"/>
          <w:color w:val="0E101A"/>
          <w:lang w:eastAsia="en-ZA"/>
        </w:rPr>
        <w:t xml:space="preserve">  </w:t>
      </w:r>
    </w:p>
    <w:p w14:paraId="2C02C3A0" w14:textId="77777777" w:rsidR="00AB1A4B" w:rsidRPr="00DB4484" w:rsidRDefault="00B501A7"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DB4484">
        <w:rPr>
          <w:rFonts w:ascii="Arial" w:eastAsia="Times New Roman" w:hAnsi="Arial" w:cs="Arial"/>
          <w:color w:val="0E101A"/>
          <w:sz w:val="24"/>
          <w:szCs w:val="24"/>
          <w:lang w:eastAsia="en-ZA"/>
        </w:rPr>
        <w:t>The C</w:t>
      </w:r>
      <w:r w:rsidR="003A7D90" w:rsidRPr="00DB4484">
        <w:rPr>
          <w:rFonts w:ascii="Arial" w:eastAsia="Times New Roman" w:hAnsi="Arial" w:cs="Arial"/>
          <w:color w:val="0E101A"/>
          <w:sz w:val="24"/>
          <w:szCs w:val="24"/>
          <w:lang w:eastAsia="en-ZA"/>
        </w:rPr>
        <w:t>ourt further</w:t>
      </w:r>
      <w:r w:rsidRPr="00DB4484">
        <w:rPr>
          <w:rFonts w:ascii="Arial" w:eastAsia="Times New Roman" w:hAnsi="Arial" w:cs="Arial"/>
          <w:color w:val="0E101A"/>
          <w:sz w:val="24"/>
          <w:szCs w:val="24"/>
          <w:lang w:eastAsia="en-ZA"/>
        </w:rPr>
        <w:t xml:space="preserve"> pointed out that the other reason why an organ of State is required to act fairly in issuing and awarding tenders is because in doing so the organ of State is exercising public power which is an administrative </w:t>
      </w:r>
      <w:r w:rsidR="003A7D90" w:rsidRPr="00DB4484">
        <w:rPr>
          <w:rFonts w:ascii="Arial" w:eastAsia="Times New Roman" w:hAnsi="Arial" w:cs="Arial"/>
          <w:color w:val="0E101A"/>
          <w:sz w:val="24"/>
          <w:szCs w:val="24"/>
          <w:lang w:eastAsia="en-ZA"/>
        </w:rPr>
        <w:t>process.</w:t>
      </w:r>
      <w:r w:rsidR="003A7D90" w:rsidRPr="00DB4484">
        <w:rPr>
          <w:rStyle w:val="FootnoteReference"/>
          <w:rFonts w:ascii="Arial" w:eastAsia="Times New Roman" w:hAnsi="Arial" w:cs="Arial"/>
          <w:color w:val="0E101A"/>
          <w:sz w:val="24"/>
          <w:szCs w:val="24"/>
          <w:lang w:eastAsia="en-ZA"/>
        </w:rPr>
        <w:footnoteReference w:id="5"/>
      </w:r>
    </w:p>
    <w:p w14:paraId="0117A619" w14:textId="77777777" w:rsidR="00B501A7" w:rsidRPr="00B501A7" w:rsidRDefault="00B501A7" w:rsidP="00DB4484">
      <w:pPr>
        <w:pStyle w:val="ListParagraph"/>
        <w:spacing w:after="0" w:line="480" w:lineRule="auto"/>
        <w:ind w:left="0"/>
        <w:jc w:val="both"/>
        <w:rPr>
          <w:rFonts w:ascii="Arial" w:eastAsia="Times New Roman" w:hAnsi="Arial" w:cs="Arial"/>
          <w:color w:val="0E101A"/>
          <w:lang w:eastAsia="en-ZA"/>
        </w:rPr>
      </w:pPr>
    </w:p>
    <w:p w14:paraId="034BBFD0" w14:textId="77777777" w:rsidR="00E3564C" w:rsidRPr="00A047BA"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A047BA">
        <w:rPr>
          <w:rFonts w:ascii="Arial" w:eastAsia="Times New Roman" w:hAnsi="Arial" w:cs="Arial"/>
          <w:color w:val="0E101A"/>
          <w:sz w:val="24"/>
          <w:szCs w:val="24"/>
          <w:lang w:eastAsia="en-ZA"/>
        </w:rPr>
        <w:lastRenderedPageBreak/>
        <w:t>The</w:t>
      </w:r>
      <w:r w:rsidR="00B501A7" w:rsidRPr="00A047BA">
        <w:rPr>
          <w:rFonts w:ascii="Arial" w:eastAsia="Times New Roman" w:hAnsi="Arial" w:cs="Arial"/>
          <w:color w:val="0E101A"/>
          <w:sz w:val="24"/>
          <w:szCs w:val="24"/>
          <w:lang w:eastAsia="en-ZA"/>
        </w:rPr>
        <w:t xml:space="preserve"> power and authority to develop, formulate and determine whether the terms and conditions of a tender has been complied</w:t>
      </w:r>
      <w:r w:rsidR="003A7D90" w:rsidRPr="00A047BA">
        <w:rPr>
          <w:rFonts w:ascii="Arial" w:eastAsia="Times New Roman" w:hAnsi="Arial" w:cs="Arial"/>
          <w:color w:val="0E101A"/>
          <w:sz w:val="24"/>
          <w:szCs w:val="24"/>
          <w:lang w:eastAsia="en-ZA"/>
        </w:rPr>
        <w:t xml:space="preserve"> with vests with the organ of the S</w:t>
      </w:r>
      <w:r w:rsidR="00B501A7" w:rsidRPr="00A047BA">
        <w:rPr>
          <w:rFonts w:ascii="Arial" w:eastAsia="Times New Roman" w:hAnsi="Arial" w:cs="Arial"/>
          <w:color w:val="0E101A"/>
          <w:sz w:val="24"/>
          <w:szCs w:val="24"/>
          <w:lang w:eastAsia="en-ZA"/>
        </w:rPr>
        <w:t xml:space="preserve">tate and not the court. </w:t>
      </w:r>
      <w:r w:rsidRPr="00A047BA">
        <w:rPr>
          <w:rFonts w:ascii="Arial" w:eastAsia="Times New Roman" w:hAnsi="Arial" w:cs="Arial"/>
          <w:color w:val="0E101A"/>
          <w:sz w:val="24"/>
          <w:szCs w:val="24"/>
          <w:lang w:eastAsia="en-ZA"/>
        </w:rPr>
        <w:t xml:space="preserve"> The power of the court in the review is limited to the determination of whether the conditions set</w:t>
      </w:r>
      <w:r w:rsidR="0076692C" w:rsidRPr="00A047BA">
        <w:rPr>
          <w:rFonts w:ascii="Arial" w:eastAsia="Times New Roman" w:hAnsi="Arial" w:cs="Arial"/>
          <w:color w:val="0E101A"/>
          <w:sz w:val="24"/>
          <w:szCs w:val="24"/>
          <w:lang w:eastAsia="en-ZA"/>
        </w:rPr>
        <w:t xml:space="preserve"> out by the organ of State are </w:t>
      </w:r>
      <w:r w:rsidRPr="00A047BA">
        <w:rPr>
          <w:rFonts w:ascii="Arial" w:eastAsia="Times New Roman" w:hAnsi="Arial" w:cs="Arial"/>
          <w:color w:val="0E101A"/>
          <w:sz w:val="24"/>
          <w:szCs w:val="24"/>
          <w:lang w:eastAsia="en-ZA"/>
        </w:rPr>
        <w:t>im</w:t>
      </w:r>
      <w:r w:rsidR="00E3564C" w:rsidRPr="00A047BA">
        <w:rPr>
          <w:rFonts w:ascii="Arial" w:eastAsia="Times New Roman" w:hAnsi="Arial" w:cs="Arial"/>
          <w:color w:val="0E101A"/>
          <w:sz w:val="24"/>
          <w:szCs w:val="24"/>
          <w:lang w:eastAsia="en-ZA"/>
        </w:rPr>
        <w:t>material, unreasonable or unconstitutional</w:t>
      </w:r>
      <w:r w:rsidRPr="00A047BA">
        <w:rPr>
          <w:rFonts w:ascii="Arial" w:eastAsia="Times New Roman" w:hAnsi="Arial" w:cs="Arial"/>
          <w:color w:val="0E101A"/>
          <w:sz w:val="24"/>
          <w:szCs w:val="24"/>
          <w:lang w:eastAsia="en-ZA"/>
        </w:rPr>
        <w:t xml:space="preserve">. In dealing with this principle, the Supreme Court of Appeal in </w:t>
      </w:r>
      <w:proofErr w:type="spellStart"/>
      <w:r w:rsidRPr="00A047BA">
        <w:rPr>
          <w:rFonts w:ascii="Arial" w:eastAsia="Times New Roman" w:hAnsi="Arial" w:cs="Arial"/>
          <w:color w:val="0E101A"/>
          <w:sz w:val="24"/>
          <w:szCs w:val="24"/>
          <w:lang w:eastAsia="en-ZA"/>
        </w:rPr>
        <w:t>Dr.</w:t>
      </w:r>
      <w:proofErr w:type="spellEnd"/>
      <w:r w:rsidRPr="00A047BA">
        <w:rPr>
          <w:rFonts w:ascii="Arial" w:eastAsia="Times New Roman" w:hAnsi="Arial" w:cs="Arial"/>
          <w:color w:val="0E101A"/>
          <w:sz w:val="24"/>
          <w:szCs w:val="24"/>
          <w:lang w:eastAsia="en-ZA"/>
        </w:rPr>
        <w:t xml:space="preserve"> JS Moroka the Chairperson of the Tender Evaluation committee of </w:t>
      </w:r>
      <w:proofErr w:type="spellStart"/>
      <w:r w:rsidRPr="00A047BA">
        <w:rPr>
          <w:rFonts w:ascii="Arial" w:eastAsia="Times New Roman" w:hAnsi="Arial" w:cs="Arial"/>
          <w:color w:val="0E101A"/>
          <w:sz w:val="24"/>
          <w:szCs w:val="24"/>
          <w:lang w:eastAsia="en-ZA"/>
        </w:rPr>
        <w:t>Dr.</w:t>
      </w:r>
      <w:proofErr w:type="spellEnd"/>
      <w:r w:rsidRPr="00A047BA">
        <w:rPr>
          <w:rFonts w:ascii="Arial" w:eastAsia="Times New Roman" w:hAnsi="Arial" w:cs="Arial"/>
          <w:color w:val="0E101A"/>
          <w:sz w:val="24"/>
          <w:szCs w:val="24"/>
          <w:lang w:eastAsia="en-ZA"/>
        </w:rPr>
        <w:t xml:space="preserve"> JS Moroka Municipality,</w:t>
      </w:r>
      <w:r w:rsidR="00E3564C">
        <w:rPr>
          <w:rStyle w:val="FootnoteReference"/>
          <w:rFonts w:ascii="Arial" w:eastAsia="Times New Roman" w:hAnsi="Arial" w:cs="Arial"/>
          <w:color w:val="0E101A"/>
          <w:sz w:val="24"/>
          <w:szCs w:val="24"/>
          <w:lang w:eastAsia="en-ZA"/>
        </w:rPr>
        <w:footnoteReference w:id="6"/>
      </w:r>
      <w:r w:rsidRPr="00A047BA">
        <w:rPr>
          <w:rFonts w:ascii="Arial" w:eastAsia="Times New Roman" w:hAnsi="Arial" w:cs="Arial"/>
          <w:color w:val="0E101A"/>
          <w:sz w:val="24"/>
          <w:szCs w:val="24"/>
          <w:lang w:eastAsia="en-ZA"/>
        </w:rPr>
        <w:t xml:space="preserve"> said:</w:t>
      </w:r>
    </w:p>
    <w:p w14:paraId="0C0A40EB" w14:textId="77777777" w:rsidR="00AB1A4B" w:rsidRPr="00E3564C" w:rsidRDefault="00AB1A4B" w:rsidP="00DB4484">
      <w:pPr>
        <w:pStyle w:val="ListParagraph"/>
        <w:spacing w:after="0" w:line="480" w:lineRule="auto"/>
        <w:ind w:firstLine="70"/>
        <w:jc w:val="both"/>
        <w:rPr>
          <w:rFonts w:ascii="Arial" w:eastAsia="Times New Roman" w:hAnsi="Arial" w:cs="Arial"/>
          <w:color w:val="0E101A"/>
          <w:lang w:eastAsia="en-ZA"/>
        </w:rPr>
      </w:pPr>
      <w:r w:rsidRPr="00E3564C">
        <w:rPr>
          <w:rFonts w:ascii="Arial" w:eastAsia="Times New Roman" w:hAnsi="Arial" w:cs="Arial"/>
          <w:color w:val="0E101A"/>
          <w:lang w:eastAsia="en-ZA"/>
        </w:rPr>
        <w:t>"Essentially, it was for the municipality, and not the court, to decide what should be a prerequisite for a valid tender, and a failure to comply with prescribed conditions will result in a tender being disqualified as an 'acceptable tender' under by the Procurement Act unless those conditions are immaterial, unreasonable or unconstitutional."</w:t>
      </w:r>
    </w:p>
    <w:p w14:paraId="006938BF" w14:textId="77777777" w:rsidR="00AB1A4B" w:rsidRPr="00AB1A4B" w:rsidRDefault="00AB1A4B" w:rsidP="00DB4484">
      <w:pPr>
        <w:spacing w:after="0" w:line="480" w:lineRule="auto"/>
        <w:jc w:val="both"/>
        <w:rPr>
          <w:rFonts w:ascii="Arial" w:eastAsia="Times New Roman" w:hAnsi="Arial" w:cs="Arial"/>
          <w:color w:val="0E101A"/>
          <w:sz w:val="24"/>
          <w:szCs w:val="24"/>
          <w:lang w:eastAsia="en-ZA"/>
        </w:rPr>
      </w:pPr>
    </w:p>
    <w:p w14:paraId="5FB2B985"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In general, unless provided otherwise in policy, legislation or empowering documentation of the State or an entity in the local government sphere, the principle of fairness which underlies the adjudication of public tenders binds an organ of State or an entity in the sphere of local government. This means that the State or an entity within the local government sphere has no inherent power to condone the non-compliance with the peremptory requirements of the tender. In the Minister of Environmental Affairs and Tourism v Pepper Bay Fishing (Pty) Ltd; Minister of Environme</w:t>
      </w:r>
      <w:r w:rsidR="00E3564C">
        <w:rPr>
          <w:rFonts w:ascii="Arial" w:eastAsia="Times New Roman" w:hAnsi="Arial" w:cs="Arial"/>
          <w:color w:val="0E101A"/>
          <w:sz w:val="24"/>
          <w:szCs w:val="24"/>
          <w:lang w:eastAsia="en-ZA"/>
        </w:rPr>
        <w:t>ntal Affairs and Others v Smith,</w:t>
      </w:r>
      <w:r w:rsidR="00E3564C">
        <w:rPr>
          <w:rStyle w:val="FootnoteReference"/>
          <w:rFonts w:ascii="Arial" w:eastAsia="Times New Roman" w:hAnsi="Arial" w:cs="Arial"/>
          <w:color w:val="0E101A"/>
          <w:sz w:val="24"/>
          <w:szCs w:val="24"/>
          <w:lang w:eastAsia="en-ZA"/>
        </w:rPr>
        <w:footnoteReference w:id="7"/>
      </w:r>
      <w:r w:rsidR="00E3564C">
        <w:rPr>
          <w:rFonts w:ascii="Arial" w:eastAsia="Times New Roman" w:hAnsi="Arial" w:cs="Arial"/>
          <w:color w:val="0E101A"/>
          <w:sz w:val="24"/>
          <w:szCs w:val="24"/>
          <w:lang w:eastAsia="en-ZA"/>
        </w:rPr>
        <w:t xml:space="preserve"> </w:t>
      </w:r>
      <w:r w:rsidRPr="00560467">
        <w:rPr>
          <w:rFonts w:ascii="Arial" w:eastAsia="Times New Roman" w:hAnsi="Arial" w:cs="Arial"/>
          <w:color w:val="0E101A"/>
          <w:sz w:val="24"/>
          <w:szCs w:val="24"/>
          <w:lang w:eastAsia="en-ZA"/>
        </w:rPr>
        <w:t>the Supreme Court of Appeal held:</w:t>
      </w:r>
    </w:p>
    <w:p w14:paraId="668404A8" w14:textId="77777777" w:rsidR="00AB1A4B" w:rsidRPr="003147F9" w:rsidRDefault="003147F9" w:rsidP="00DB4484">
      <w:pPr>
        <w:spacing w:after="0" w:line="480" w:lineRule="auto"/>
        <w:ind w:left="360"/>
        <w:jc w:val="both"/>
        <w:rPr>
          <w:rFonts w:ascii="Arial" w:eastAsia="Times New Roman" w:hAnsi="Arial" w:cs="Arial"/>
          <w:color w:val="0E101A"/>
          <w:lang w:eastAsia="en-ZA"/>
        </w:rPr>
      </w:pPr>
      <w:r w:rsidRPr="003147F9">
        <w:rPr>
          <w:rFonts w:ascii="Arial" w:eastAsia="Times New Roman" w:hAnsi="Arial" w:cs="Arial"/>
          <w:color w:val="0E101A"/>
          <w:lang w:eastAsia="en-ZA"/>
        </w:rPr>
        <w:t xml:space="preserve"> </w:t>
      </w:r>
      <w:r w:rsidR="00AB1A4B" w:rsidRPr="003147F9">
        <w:rPr>
          <w:rFonts w:ascii="Arial" w:eastAsia="Times New Roman" w:hAnsi="Arial" w:cs="Arial"/>
          <w:color w:val="0E101A"/>
          <w:lang w:eastAsia="en-ZA"/>
        </w:rPr>
        <w:t>"As a general principle an administrative authority has no inherent powers to condone failure to comply with a peremptory requirement. It has such power if it has been afforded the discretion to do so."</w:t>
      </w:r>
    </w:p>
    <w:p w14:paraId="71B39697" w14:textId="77777777" w:rsidR="00AB1A4B" w:rsidRPr="00AB1A4B" w:rsidRDefault="00AB1A4B" w:rsidP="00DB4484">
      <w:pPr>
        <w:spacing w:after="0" w:line="480" w:lineRule="auto"/>
        <w:jc w:val="both"/>
        <w:rPr>
          <w:rFonts w:ascii="Arial" w:eastAsia="Times New Roman" w:hAnsi="Arial" w:cs="Arial"/>
          <w:color w:val="0E101A"/>
          <w:lang w:eastAsia="en-ZA"/>
        </w:rPr>
      </w:pPr>
    </w:p>
    <w:p w14:paraId="11A51ED6" w14:textId="77777777" w:rsidR="00E3564C" w:rsidRPr="00E3564C" w:rsidRDefault="00AB1A4B" w:rsidP="00DB4484">
      <w:pPr>
        <w:pStyle w:val="ListParagraph"/>
        <w:numPr>
          <w:ilvl w:val="0"/>
          <w:numId w:val="11"/>
        </w:numPr>
        <w:spacing w:after="0" w:line="480" w:lineRule="auto"/>
        <w:ind w:left="0" w:firstLine="0"/>
        <w:jc w:val="both"/>
        <w:rPr>
          <w:rFonts w:ascii="Arial" w:eastAsia="Times New Roman" w:hAnsi="Arial" w:cs="Arial"/>
          <w:color w:val="0E101A"/>
          <w:lang w:eastAsia="en-ZA"/>
        </w:rPr>
      </w:pPr>
      <w:r w:rsidRPr="00560467">
        <w:rPr>
          <w:rFonts w:ascii="Arial" w:eastAsia="Times New Roman" w:hAnsi="Arial" w:cs="Arial"/>
          <w:color w:val="0E101A"/>
          <w:sz w:val="24"/>
          <w:szCs w:val="24"/>
          <w:lang w:eastAsia="en-ZA"/>
        </w:rPr>
        <w:t>The proper approach in an application of this nature was set out in All Pay Consolidated Investment Holdings (Pty) Ltd and Others v Chief Executive Officer of the Social Security Agency and others, where the Constitutional Court</w:t>
      </w:r>
      <w:r w:rsidR="00E3564C">
        <w:rPr>
          <w:rFonts w:ascii="Arial" w:eastAsia="Times New Roman" w:hAnsi="Arial" w:cs="Arial"/>
          <w:color w:val="0E101A"/>
          <w:sz w:val="24"/>
          <w:szCs w:val="24"/>
          <w:lang w:eastAsia="en-ZA"/>
        </w:rPr>
        <w:t>,</w:t>
      </w:r>
      <w:r w:rsidR="00E3564C">
        <w:rPr>
          <w:rStyle w:val="FootnoteReference"/>
          <w:rFonts w:ascii="Arial" w:eastAsia="Times New Roman" w:hAnsi="Arial" w:cs="Arial"/>
          <w:color w:val="0E101A"/>
          <w:sz w:val="24"/>
          <w:szCs w:val="24"/>
          <w:lang w:eastAsia="en-ZA"/>
        </w:rPr>
        <w:footnoteReference w:id="8"/>
      </w:r>
      <w:r w:rsidRPr="00560467">
        <w:rPr>
          <w:rFonts w:ascii="Arial" w:eastAsia="Times New Roman" w:hAnsi="Arial" w:cs="Arial"/>
          <w:color w:val="0E101A"/>
          <w:sz w:val="24"/>
          <w:szCs w:val="24"/>
          <w:lang w:eastAsia="en-ZA"/>
        </w:rPr>
        <w:t xml:space="preserve"> said: </w:t>
      </w:r>
    </w:p>
    <w:p w14:paraId="069CB483" w14:textId="77777777" w:rsidR="00AB1A4B" w:rsidRPr="003147F9" w:rsidRDefault="00E3564C" w:rsidP="00DB4484">
      <w:pPr>
        <w:pStyle w:val="ListParagraph"/>
        <w:spacing w:after="0" w:line="480" w:lineRule="auto"/>
        <w:ind w:left="0" w:firstLine="720"/>
        <w:jc w:val="both"/>
        <w:rPr>
          <w:rFonts w:ascii="Arial" w:eastAsia="Times New Roman" w:hAnsi="Arial" w:cs="Arial"/>
          <w:color w:val="0E101A"/>
          <w:lang w:eastAsia="en-ZA"/>
        </w:rPr>
      </w:pPr>
      <w:r w:rsidRPr="003147F9">
        <w:rPr>
          <w:rFonts w:ascii="Arial" w:eastAsia="Times New Roman" w:hAnsi="Arial" w:cs="Arial"/>
          <w:color w:val="0E101A"/>
          <w:lang w:eastAsia="en-ZA"/>
        </w:rPr>
        <w:t>"[22]</w:t>
      </w:r>
      <w:r>
        <w:rPr>
          <w:rFonts w:ascii="Arial" w:eastAsia="Times New Roman" w:hAnsi="Arial" w:cs="Arial"/>
          <w:color w:val="0E101A"/>
          <w:lang w:eastAsia="en-ZA"/>
        </w:rPr>
        <w:tab/>
      </w:r>
      <w:r w:rsidR="00AB1A4B" w:rsidRPr="003147F9">
        <w:rPr>
          <w:rFonts w:ascii="Arial" w:eastAsia="Times New Roman" w:hAnsi="Arial" w:cs="Arial"/>
          <w:color w:val="0E101A"/>
          <w:lang w:eastAsia="en-ZA"/>
        </w:rPr>
        <w:t>This judgment holds that:</w:t>
      </w:r>
    </w:p>
    <w:p w14:paraId="44C5C4FB" w14:textId="77777777" w:rsidR="00E3564C" w:rsidRDefault="00E3564C" w:rsidP="00DB4484">
      <w:pPr>
        <w:pStyle w:val="ListParagraph"/>
        <w:numPr>
          <w:ilvl w:val="0"/>
          <w:numId w:val="14"/>
        </w:numPr>
        <w:spacing w:after="0" w:line="480" w:lineRule="auto"/>
        <w:jc w:val="both"/>
        <w:rPr>
          <w:rFonts w:ascii="Arial" w:eastAsia="Times New Roman" w:hAnsi="Arial" w:cs="Arial"/>
          <w:color w:val="0E101A"/>
          <w:lang w:eastAsia="en-ZA"/>
        </w:rPr>
      </w:pPr>
      <w:r w:rsidRPr="003147F9">
        <w:rPr>
          <w:rFonts w:ascii="Arial" w:eastAsia="Times New Roman" w:hAnsi="Arial" w:cs="Arial"/>
          <w:color w:val="0E101A"/>
          <w:lang w:eastAsia="en-ZA"/>
        </w:rPr>
        <w:t xml:space="preserve"> </w:t>
      </w:r>
      <w:r w:rsidR="00AB1A4B" w:rsidRPr="003147F9">
        <w:rPr>
          <w:rFonts w:ascii="Arial" w:eastAsia="Times New Roman" w:hAnsi="Arial" w:cs="Arial"/>
          <w:color w:val="0E101A"/>
          <w:lang w:eastAsia="en-ZA"/>
        </w:rPr>
        <w:t>The suggestion that "inconsequential irregularities" are of no moment conflates the test for irregularities and their import; hence an assessment of the fairness and lawfulness of the procurement process must be independent of the outcome of the tender process.</w:t>
      </w:r>
    </w:p>
    <w:p w14:paraId="72229E48" w14:textId="77777777" w:rsidR="00E3564C" w:rsidRDefault="00AB1A4B" w:rsidP="00DB4484">
      <w:pPr>
        <w:pStyle w:val="ListParagraph"/>
        <w:numPr>
          <w:ilvl w:val="0"/>
          <w:numId w:val="14"/>
        </w:numPr>
        <w:spacing w:after="0" w:line="480" w:lineRule="auto"/>
        <w:jc w:val="both"/>
        <w:rPr>
          <w:rFonts w:ascii="Arial" w:eastAsia="Times New Roman" w:hAnsi="Arial" w:cs="Arial"/>
          <w:color w:val="0E101A"/>
          <w:lang w:eastAsia="en-ZA"/>
        </w:rPr>
      </w:pPr>
      <w:r w:rsidRPr="00E3564C">
        <w:rPr>
          <w:rFonts w:ascii="Arial" w:eastAsia="Times New Roman" w:hAnsi="Arial" w:cs="Arial"/>
          <w:color w:val="0E101A"/>
          <w:lang w:eastAsia="en-ZA"/>
        </w:rPr>
        <w:t>The materiality of compliance with legal requirements depends on the extent to which the purpose of the requirements is attained.</w:t>
      </w:r>
    </w:p>
    <w:p w14:paraId="351F2CD7" w14:textId="77777777" w:rsidR="00E3564C" w:rsidRDefault="00AB1A4B" w:rsidP="00DB4484">
      <w:pPr>
        <w:pStyle w:val="ListParagraph"/>
        <w:numPr>
          <w:ilvl w:val="0"/>
          <w:numId w:val="14"/>
        </w:numPr>
        <w:spacing w:after="0" w:line="480" w:lineRule="auto"/>
        <w:jc w:val="both"/>
        <w:rPr>
          <w:rFonts w:ascii="Arial" w:eastAsia="Times New Roman" w:hAnsi="Arial" w:cs="Arial"/>
          <w:color w:val="0E101A"/>
          <w:lang w:eastAsia="en-ZA"/>
        </w:rPr>
      </w:pPr>
      <w:r w:rsidRPr="00E3564C">
        <w:rPr>
          <w:rFonts w:ascii="Arial" w:eastAsia="Times New Roman" w:hAnsi="Arial" w:cs="Arial"/>
          <w:color w:val="0E101A"/>
          <w:lang w:eastAsia="en-ZA"/>
        </w:rPr>
        <w:t>The constitutional and legislative procurement framework entails supply chain management prescripts that are legally binding.</w:t>
      </w:r>
    </w:p>
    <w:p w14:paraId="0807F12D" w14:textId="77777777" w:rsidR="00E3564C" w:rsidRDefault="00AB1A4B" w:rsidP="00DB4484">
      <w:pPr>
        <w:pStyle w:val="ListParagraph"/>
        <w:numPr>
          <w:ilvl w:val="0"/>
          <w:numId w:val="14"/>
        </w:numPr>
        <w:spacing w:after="0" w:line="480" w:lineRule="auto"/>
        <w:jc w:val="both"/>
        <w:rPr>
          <w:rFonts w:ascii="Arial" w:eastAsia="Times New Roman" w:hAnsi="Arial" w:cs="Arial"/>
          <w:color w:val="0E101A"/>
          <w:lang w:eastAsia="en-ZA"/>
        </w:rPr>
      </w:pPr>
      <w:r w:rsidRPr="00E3564C">
        <w:rPr>
          <w:rFonts w:ascii="Arial" w:eastAsia="Times New Roman" w:hAnsi="Arial" w:cs="Arial"/>
          <w:color w:val="0E101A"/>
          <w:lang w:eastAsia="en-ZA"/>
        </w:rPr>
        <w:t>The fairness and lawfulness of the procurement process must be assessed in terms of the provisions of the Promotion of Administrative Justice Act (PAJA).</w:t>
      </w:r>
    </w:p>
    <w:p w14:paraId="33BC0040" w14:textId="77777777" w:rsidR="00E3564C" w:rsidRDefault="00AB1A4B" w:rsidP="00DB4484">
      <w:pPr>
        <w:pStyle w:val="ListParagraph"/>
        <w:numPr>
          <w:ilvl w:val="0"/>
          <w:numId w:val="14"/>
        </w:numPr>
        <w:spacing w:after="0" w:line="480" w:lineRule="auto"/>
        <w:jc w:val="both"/>
        <w:rPr>
          <w:rFonts w:ascii="Arial" w:eastAsia="Times New Roman" w:hAnsi="Arial" w:cs="Arial"/>
          <w:color w:val="0E101A"/>
          <w:lang w:eastAsia="en-ZA"/>
        </w:rPr>
      </w:pPr>
      <w:r w:rsidRPr="00E3564C">
        <w:rPr>
          <w:rFonts w:ascii="Arial" w:eastAsia="Times New Roman" w:hAnsi="Arial" w:cs="Arial"/>
          <w:color w:val="0E101A"/>
          <w:lang w:eastAsia="en-ZA"/>
        </w:rPr>
        <w:t>Black economic empowerment generally requires substantive participation in the management and running of any enterprise.</w:t>
      </w:r>
    </w:p>
    <w:p w14:paraId="4E6253DE" w14:textId="77777777" w:rsidR="00AB1A4B" w:rsidRPr="00E3564C" w:rsidRDefault="00AB1A4B" w:rsidP="00DB4484">
      <w:pPr>
        <w:pStyle w:val="ListParagraph"/>
        <w:numPr>
          <w:ilvl w:val="0"/>
          <w:numId w:val="14"/>
        </w:numPr>
        <w:spacing w:after="0" w:line="480" w:lineRule="auto"/>
        <w:jc w:val="both"/>
        <w:rPr>
          <w:rFonts w:ascii="Arial" w:eastAsia="Times New Roman" w:hAnsi="Arial" w:cs="Arial"/>
          <w:color w:val="0E101A"/>
          <w:lang w:eastAsia="en-ZA"/>
        </w:rPr>
      </w:pPr>
      <w:r w:rsidRPr="00E3564C">
        <w:rPr>
          <w:rFonts w:ascii="Arial" w:eastAsia="Times New Roman" w:hAnsi="Arial" w:cs="Arial"/>
          <w:color w:val="0E101A"/>
          <w:lang w:eastAsia="en-ZA"/>
        </w:rPr>
        <w:t>The remedy stage is where appropriate consideration must be given to the public interest in the consequences of setting the procurement process aside."</w:t>
      </w:r>
      <w:r w:rsidRPr="00E3564C">
        <w:rPr>
          <w:rFonts w:ascii="Arial" w:eastAsia="Times New Roman" w:hAnsi="Arial" w:cs="Arial"/>
          <w:color w:val="0E101A"/>
          <w:sz w:val="24"/>
          <w:szCs w:val="24"/>
          <w:lang w:eastAsia="en-ZA"/>
        </w:rPr>
        <w:t xml:space="preserve"> (</w:t>
      </w:r>
      <w:proofErr w:type="gramStart"/>
      <w:r w:rsidRPr="00E3564C">
        <w:rPr>
          <w:rFonts w:ascii="Arial" w:eastAsia="Times New Roman" w:hAnsi="Arial" w:cs="Arial"/>
          <w:color w:val="0E101A"/>
          <w:sz w:val="24"/>
          <w:szCs w:val="24"/>
          <w:lang w:eastAsia="en-ZA"/>
        </w:rPr>
        <w:t>footnotes</w:t>
      </w:r>
      <w:proofErr w:type="gramEnd"/>
      <w:r w:rsidRPr="00E3564C">
        <w:rPr>
          <w:rFonts w:ascii="Arial" w:eastAsia="Times New Roman" w:hAnsi="Arial" w:cs="Arial"/>
          <w:color w:val="0E101A"/>
          <w:sz w:val="24"/>
          <w:szCs w:val="24"/>
          <w:lang w:eastAsia="en-ZA"/>
        </w:rPr>
        <w:t xml:space="preserve"> omitted.) </w:t>
      </w:r>
    </w:p>
    <w:p w14:paraId="2D384377" w14:textId="77777777" w:rsidR="0076692C" w:rsidRDefault="0076692C" w:rsidP="00DB4484">
      <w:pPr>
        <w:spacing w:after="0" w:line="480" w:lineRule="auto"/>
        <w:jc w:val="both"/>
        <w:rPr>
          <w:rFonts w:ascii="Arial" w:eastAsia="Times New Roman" w:hAnsi="Arial" w:cs="Arial"/>
          <w:b/>
          <w:bCs/>
          <w:color w:val="0E101A"/>
          <w:sz w:val="24"/>
          <w:szCs w:val="24"/>
          <w:lang w:eastAsia="en-ZA"/>
        </w:rPr>
      </w:pPr>
      <w:r w:rsidRPr="0076692C">
        <w:rPr>
          <w:rFonts w:ascii="Arial" w:eastAsia="Times New Roman" w:hAnsi="Arial" w:cs="Arial"/>
          <w:b/>
          <w:bCs/>
          <w:color w:val="0E101A"/>
          <w:sz w:val="24"/>
          <w:szCs w:val="24"/>
          <w:lang w:eastAsia="en-ZA"/>
        </w:rPr>
        <w:t xml:space="preserve">The point in </w:t>
      </w:r>
      <w:proofErr w:type="spellStart"/>
      <w:r w:rsidRPr="0076692C">
        <w:rPr>
          <w:rFonts w:ascii="Arial" w:eastAsia="Times New Roman" w:hAnsi="Arial" w:cs="Arial"/>
          <w:b/>
          <w:bCs/>
          <w:color w:val="0E101A"/>
          <w:sz w:val="24"/>
          <w:szCs w:val="24"/>
          <w:lang w:eastAsia="en-ZA"/>
        </w:rPr>
        <w:t>limine</w:t>
      </w:r>
      <w:proofErr w:type="spellEnd"/>
      <w:r w:rsidRPr="0076692C">
        <w:rPr>
          <w:rFonts w:ascii="Arial" w:eastAsia="Times New Roman" w:hAnsi="Arial" w:cs="Arial"/>
          <w:b/>
          <w:bCs/>
          <w:color w:val="0E101A"/>
          <w:sz w:val="24"/>
          <w:szCs w:val="24"/>
          <w:lang w:eastAsia="en-ZA"/>
        </w:rPr>
        <w:t> </w:t>
      </w:r>
    </w:p>
    <w:p w14:paraId="62810192" w14:textId="77777777" w:rsidR="00E3564C" w:rsidRPr="0076692C" w:rsidRDefault="00E3564C" w:rsidP="00DB4484">
      <w:pPr>
        <w:spacing w:after="0" w:line="480" w:lineRule="auto"/>
        <w:jc w:val="both"/>
        <w:rPr>
          <w:rFonts w:ascii="Arial" w:eastAsia="Times New Roman" w:hAnsi="Arial" w:cs="Arial"/>
          <w:color w:val="0E101A"/>
          <w:sz w:val="24"/>
          <w:szCs w:val="24"/>
          <w:lang w:eastAsia="en-ZA"/>
        </w:rPr>
      </w:pPr>
    </w:p>
    <w:p w14:paraId="0A2639F9" w14:textId="77777777" w:rsidR="0076692C" w:rsidRDefault="0076692C"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lastRenderedPageBreak/>
        <w:t xml:space="preserve">The JRA raised a point </w:t>
      </w:r>
      <w:r w:rsidRPr="0076692C">
        <w:rPr>
          <w:rFonts w:ascii="Arial" w:eastAsia="Times New Roman" w:hAnsi="Arial" w:cs="Arial"/>
          <w:i/>
          <w:color w:val="0E101A"/>
          <w:sz w:val="24"/>
          <w:szCs w:val="24"/>
          <w:lang w:eastAsia="en-ZA"/>
        </w:rPr>
        <w:t xml:space="preserve">in </w:t>
      </w:r>
      <w:proofErr w:type="spellStart"/>
      <w:r w:rsidRPr="0076692C">
        <w:rPr>
          <w:rFonts w:ascii="Arial" w:eastAsia="Times New Roman" w:hAnsi="Arial" w:cs="Arial"/>
          <w:i/>
          <w:color w:val="0E101A"/>
          <w:sz w:val="24"/>
          <w:szCs w:val="24"/>
          <w:lang w:eastAsia="en-ZA"/>
        </w:rPr>
        <w:t>limine</w:t>
      </w:r>
      <w:proofErr w:type="spellEnd"/>
      <w:r w:rsidRPr="0076692C">
        <w:rPr>
          <w:rFonts w:ascii="Arial" w:eastAsia="Times New Roman" w:hAnsi="Arial" w:cs="Arial"/>
          <w:i/>
          <w:color w:val="0E101A"/>
          <w:sz w:val="24"/>
          <w:szCs w:val="24"/>
          <w:lang w:eastAsia="en-ZA"/>
        </w:rPr>
        <w:t xml:space="preserve"> </w:t>
      </w:r>
      <w:r w:rsidRPr="0076692C">
        <w:rPr>
          <w:rFonts w:ascii="Arial" w:eastAsia="Times New Roman" w:hAnsi="Arial" w:cs="Arial"/>
          <w:color w:val="0E101A"/>
          <w:sz w:val="24"/>
          <w:szCs w:val="24"/>
          <w:lang w:eastAsia="en-ZA"/>
        </w:rPr>
        <w:t xml:space="preserve">concerning </w:t>
      </w:r>
      <w:r>
        <w:rPr>
          <w:rFonts w:ascii="Arial" w:eastAsia="Times New Roman" w:hAnsi="Arial" w:cs="Arial"/>
          <w:color w:val="0E101A"/>
          <w:sz w:val="24"/>
          <w:szCs w:val="24"/>
          <w:lang w:eastAsia="en-ZA"/>
        </w:rPr>
        <w:t xml:space="preserve">the alleged failure by the applicant to lead evidence in support of its prayers set out in the notice of motion. </w:t>
      </w:r>
      <w:r w:rsidR="00CE4672">
        <w:rPr>
          <w:rFonts w:ascii="Arial" w:eastAsia="Times New Roman" w:hAnsi="Arial" w:cs="Arial"/>
          <w:color w:val="0E101A"/>
          <w:sz w:val="24"/>
          <w:szCs w:val="24"/>
          <w:lang w:eastAsia="en-ZA"/>
        </w:rPr>
        <w:t>Another point raised in this regard is that the applicant failed to substantiate some of prayers including failure</w:t>
      </w:r>
      <w:r w:rsidR="00E3564C">
        <w:rPr>
          <w:rFonts w:ascii="Arial" w:eastAsia="Times New Roman" w:hAnsi="Arial" w:cs="Arial"/>
          <w:color w:val="0E101A"/>
          <w:sz w:val="24"/>
          <w:szCs w:val="24"/>
          <w:lang w:eastAsia="en-ZA"/>
        </w:rPr>
        <w:t xml:space="preserve"> to</w:t>
      </w:r>
      <w:r w:rsidR="00CE4672">
        <w:rPr>
          <w:rFonts w:ascii="Arial" w:eastAsia="Times New Roman" w:hAnsi="Arial" w:cs="Arial"/>
          <w:color w:val="0E101A"/>
          <w:sz w:val="24"/>
          <w:szCs w:val="24"/>
          <w:lang w:eastAsia="en-ZA"/>
        </w:rPr>
        <w:t xml:space="preserve"> show any irregularity in the awarding of the tender to the respondents. </w:t>
      </w:r>
    </w:p>
    <w:p w14:paraId="778AC990" w14:textId="77777777" w:rsidR="00E3564C" w:rsidRDefault="00E3564C" w:rsidP="00DB4484">
      <w:pPr>
        <w:pStyle w:val="ListParagraph"/>
        <w:spacing w:after="0" w:line="480" w:lineRule="auto"/>
        <w:ind w:left="0"/>
        <w:jc w:val="both"/>
        <w:rPr>
          <w:rFonts w:ascii="Arial" w:eastAsia="Times New Roman" w:hAnsi="Arial" w:cs="Arial"/>
          <w:color w:val="0E101A"/>
          <w:sz w:val="24"/>
          <w:szCs w:val="24"/>
          <w:lang w:eastAsia="en-ZA"/>
        </w:rPr>
      </w:pPr>
    </w:p>
    <w:p w14:paraId="22639DCA" w14:textId="77777777" w:rsidR="00CE4672" w:rsidRDefault="00CE4672"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The JRA did not pursue the point </w:t>
      </w:r>
      <w:r w:rsidRPr="00CE4672">
        <w:rPr>
          <w:rFonts w:ascii="Arial" w:eastAsia="Times New Roman" w:hAnsi="Arial" w:cs="Arial"/>
          <w:i/>
          <w:color w:val="0E101A"/>
          <w:sz w:val="24"/>
          <w:szCs w:val="24"/>
          <w:lang w:eastAsia="en-ZA"/>
        </w:rPr>
        <w:t xml:space="preserve">in </w:t>
      </w:r>
      <w:proofErr w:type="spellStart"/>
      <w:r w:rsidRPr="00CE4672">
        <w:rPr>
          <w:rFonts w:ascii="Arial" w:eastAsia="Times New Roman" w:hAnsi="Arial" w:cs="Arial"/>
          <w:i/>
          <w:color w:val="0E101A"/>
          <w:sz w:val="24"/>
          <w:szCs w:val="24"/>
          <w:lang w:eastAsia="en-ZA"/>
        </w:rPr>
        <w:t>limine</w:t>
      </w:r>
      <w:proofErr w:type="spellEnd"/>
      <w:r w:rsidRPr="00CE4672">
        <w:rPr>
          <w:rFonts w:ascii="Arial" w:eastAsia="Times New Roman" w:hAnsi="Arial" w:cs="Arial"/>
          <w:i/>
          <w:color w:val="0E101A"/>
          <w:sz w:val="24"/>
          <w:szCs w:val="24"/>
          <w:lang w:eastAsia="en-ZA"/>
        </w:rPr>
        <w:t xml:space="preserve"> </w:t>
      </w:r>
      <w:r>
        <w:rPr>
          <w:rFonts w:ascii="Arial" w:eastAsia="Times New Roman" w:hAnsi="Arial" w:cs="Arial"/>
          <w:color w:val="0E101A"/>
          <w:sz w:val="24"/>
          <w:szCs w:val="24"/>
          <w:lang w:eastAsia="en-ZA"/>
        </w:rPr>
        <w:t xml:space="preserve">in argument at the hearing of this matter. It, however, pursued the points raised therein in the argument about merits of the review. </w:t>
      </w:r>
    </w:p>
    <w:p w14:paraId="62A90740" w14:textId="77777777" w:rsidR="00E3564C" w:rsidRDefault="00E3564C" w:rsidP="00DB4484">
      <w:pPr>
        <w:spacing w:after="0" w:line="480" w:lineRule="auto"/>
        <w:jc w:val="both"/>
        <w:rPr>
          <w:rFonts w:ascii="Arial" w:eastAsia="Times New Roman" w:hAnsi="Arial" w:cs="Arial"/>
          <w:b/>
          <w:bCs/>
          <w:color w:val="0E101A"/>
          <w:sz w:val="24"/>
          <w:szCs w:val="24"/>
          <w:lang w:eastAsia="en-ZA"/>
        </w:rPr>
      </w:pPr>
    </w:p>
    <w:p w14:paraId="09881D49" w14:textId="77777777" w:rsidR="0076692C" w:rsidRPr="0076692C" w:rsidRDefault="0076692C" w:rsidP="00DB4484">
      <w:pPr>
        <w:spacing w:after="0" w:line="480" w:lineRule="auto"/>
        <w:jc w:val="both"/>
        <w:rPr>
          <w:rFonts w:ascii="Arial" w:eastAsia="Times New Roman" w:hAnsi="Arial" w:cs="Arial"/>
          <w:color w:val="0E101A"/>
          <w:sz w:val="24"/>
          <w:szCs w:val="24"/>
          <w:lang w:eastAsia="en-ZA"/>
        </w:rPr>
      </w:pPr>
      <w:r w:rsidRPr="0076692C">
        <w:rPr>
          <w:rFonts w:ascii="Arial" w:eastAsia="Times New Roman" w:hAnsi="Arial" w:cs="Arial"/>
          <w:b/>
          <w:bCs/>
          <w:color w:val="0E101A"/>
          <w:sz w:val="24"/>
          <w:szCs w:val="24"/>
          <w:lang w:eastAsia="en-ZA"/>
        </w:rPr>
        <w:t>Evaluation and analysis</w:t>
      </w:r>
    </w:p>
    <w:p w14:paraId="45D836BC" w14:textId="77777777" w:rsidR="0076692C" w:rsidRPr="0076692C" w:rsidRDefault="0076692C" w:rsidP="00DB4484">
      <w:pPr>
        <w:spacing w:after="0" w:line="480" w:lineRule="auto"/>
        <w:jc w:val="both"/>
        <w:rPr>
          <w:rFonts w:ascii="Arial" w:eastAsia="Times New Roman" w:hAnsi="Arial" w:cs="Arial"/>
          <w:color w:val="0E101A"/>
          <w:sz w:val="24"/>
          <w:szCs w:val="24"/>
          <w:lang w:eastAsia="en-ZA"/>
        </w:rPr>
      </w:pPr>
    </w:p>
    <w:p w14:paraId="12B8B380"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 xml:space="preserve">The issues for determination in this matter are whether </w:t>
      </w:r>
      <w:r w:rsidR="00E3564C">
        <w:rPr>
          <w:rFonts w:ascii="Arial" w:eastAsia="Times New Roman" w:hAnsi="Arial" w:cs="Arial"/>
          <w:color w:val="0E101A"/>
          <w:sz w:val="24"/>
          <w:szCs w:val="24"/>
          <w:lang w:eastAsia="en-ZA"/>
        </w:rPr>
        <w:t xml:space="preserve">the </w:t>
      </w:r>
      <w:r w:rsidRPr="00560467">
        <w:rPr>
          <w:rFonts w:ascii="Arial" w:eastAsia="Times New Roman" w:hAnsi="Arial" w:cs="Arial"/>
          <w:color w:val="0E101A"/>
          <w:sz w:val="24"/>
          <w:szCs w:val="24"/>
          <w:lang w:eastAsia="en-ZA"/>
        </w:rPr>
        <w:t>JRA was correct or committed an irregularity in allocating 0 points to the applicant concerning company experience and 0 points out of a total of twenty points concerning the qualification of a safety officer. </w:t>
      </w:r>
    </w:p>
    <w:p w14:paraId="52CAE9E0" w14:textId="77777777" w:rsidR="00AB1A4B" w:rsidRPr="00AB1A4B" w:rsidRDefault="00AB1A4B" w:rsidP="00DB4484">
      <w:pPr>
        <w:spacing w:after="0" w:line="480" w:lineRule="auto"/>
        <w:jc w:val="both"/>
        <w:rPr>
          <w:rFonts w:ascii="Arial" w:eastAsia="Times New Roman" w:hAnsi="Arial" w:cs="Arial"/>
          <w:color w:val="0E101A"/>
          <w:sz w:val="24"/>
          <w:szCs w:val="24"/>
          <w:lang w:eastAsia="en-ZA"/>
        </w:rPr>
      </w:pPr>
    </w:p>
    <w:p w14:paraId="4D7B0EF1"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The case of the applicant, as I understand it, is not that the</w:t>
      </w:r>
      <w:r w:rsidR="00CE4672">
        <w:rPr>
          <w:rFonts w:ascii="Arial" w:eastAsia="Times New Roman" w:hAnsi="Arial" w:cs="Arial"/>
          <w:color w:val="0E101A"/>
          <w:sz w:val="24"/>
          <w:szCs w:val="24"/>
          <w:lang w:eastAsia="en-ZA"/>
        </w:rPr>
        <w:t xml:space="preserve"> terms and</w:t>
      </w:r>
      <w:r w:rsidRPr="00560467">
        <w:rPr>
          <w:rFonts w:ascii="Arial" w:eastAsia="Times New Roman" w:hAnsi="Arial" w:cs="Arial"/>
          <w:color w:val="0E101A"/>
          <w:sz w:val="24"/>
          <w:szCs w:val="24"/>
          <w:lang w:eastAsia="en-ZA"/>
        </w:rPr>
        <w:t xml:space="preserve"> conditions set out in the tender documents are immaterial, unreasonable or unconstitutional. The essence of the applicant's case is that it complied with the </w:t>
      </w:r>
      <w:r w:rsidR="00CE4672">
        <w:rPr>
          <w:rFonts w:ascii="Arial" w:eastAsia="Times New Roman" w:hAnsi="Arial" w:cs="Arial"/>
          <w:color w:val="0E101A"/>
          <w:sz w:val="24"/>
          <w:szCs w:val="24"/>
          <w:lang w:eastAsia="en-ZA"/>
        </w:rPr>
        <w:t xml:space="preserve">terms and </w:t>
      </w:r>
      <w:r w:rsidRPr="00560467">
        <w:rPr>
          <w:rFonts w:ascii="Arial" w:eastAsia="Times New Roman" w:hAnsi="Arial" w:cs="Arial"/>
          <w:color w:val="0E101A"/>
          <w:sz w:val="24"/>
          <w:szCs w:val="24"/>
          <w:lang w:eastAsia="en-ZA"/>
        </w:rPr>
        <w:t>conditions set out in the tender and was thus entitled to be awarded the tender.</w:t>
      </w:r>
    </w:p>
    <w:p w14:paraId="04F901DB" w14:textId="77777777" w:rsidR="00AB1A4B" w:rsidRPr="00AB1A4B" w:rsidRDefault="00AB1A4B" w:rsidP="00DB4484">
      <w:pPr>
        <w:spacing w:after="0" w:line="480" w:lineRule="auto"/>
        <w:jc w:val="both"/>
        <w:rPr>
          <w:rFonts w:ascii="Arial" w:eastAsia="Times New Roman" w:hAnsi="Arial" w:cs="Arial"/>
          <w:color w:val="0E101A"/>
          <w:sz w:val="24"/>
          <w:szCs w:val="24"/>
          <w:lang w:eastAsia="en-ZA"/>
        </w:rPr>
      </w:pPr>
    </w:p>
    <w:p w14:paraId="5FC8DAEA"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b/>
          <w:bCs/>
          <w:color w:val="0E101A"/>
          <w:sz w:val="24"/>
          <w:szCs w:val="24"/>
          <w:lang w:eastAsia="en-ZA"/>
        </w:rPr>
        <w:t>The five years' company experience</w:t>
      </w:r>
      <w:r w:rsidRPr="00560467">
        <w:rPr>
          <w:rFonts w:ascii="Arial" w:eastAsia="Times New Roman" w:hAnsi="Arial" w:cs="Arial"/>
          <w:color w:val="0E101A"/>
          <w:sz w:val="24"/>
          <w:szCs w:val="24"/>
          <w:lang w:eastAsia="en-ZA"/>
        </w:rPr>
        <w:t xml:space="preserve">: The applicant's case, as appears from the discussion above, is that it complies with the requirements of the five years' company experience in road surfacing or rehabilitation. In calculating the years of </w:t>
      </w:r>
      <w:r w:rsidRPr="00560467">
        <w:rPr>
          <w:rFonts w:ascii="Arial" w:eastAsia="Times New Roman" w:hAnsi="Arial" w:cs="Arial"/>
          <w:color w:val="0E101A"/>
          <w:sz w:val="24"/>
          <w:szCs w:val="24"/>
          <w:lang w:eastAsia="en-ZA"/>
        </w:rPr>
        <w:lastRenderedPageBreak/>
        <w:t>company experience, the applicant relies on the four projects it ran between October 2014 and April 2018. The projects which the applicant relies on in calculating its five years of experience are set out as follows:</w:t>
      </w:r>
    </w:p>
    <w:p w14:paraId="3783313A" w14:textId="77777777" w:rsidR="00AB1A4B" w:rsidRPr="00560467" w:rsidRDefault="00AB1A4B" w:rsidP="00DB4484">
      <w:pPr>
        <w:pStyle w:val="ListParagraph"/>
        <w:numPr>
          <w:ilvl w:val="1"/>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The first project ran from 28 October 2014 to 27 July 2015.</w:t>
      </w:r>
    </w:p>
    <w:p w14:paraId="3F045F54" w14:textId="77777777" w:rsidR="00AB1A4B" w:rsidRPr="00560467" w:rsidRDefault="00AB1A4B" w:rsidP="00DB4484">
      <w:pPr>
        <w:pStyle w:val="ListParagraph"/>
        <w:numPr>
          <w:ilvl w:val="1"/>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The second project rent from 15 January 2015 to 19 October 2017.</w:t>
      </w:r>
    </w:p>
    <w:p w14:paraId="25C9EA84" w14:textId="77777777" w:rsidR="00AB1A4B" w:rsidRPr="00560467" w:rsidRDefault="00AB1A4B" w:rsidP="00DB4484">
      <w:pPr>
        <w:pStyle w:val="ListParagraph"/>
        <w:numPr>
          <w:ilvl w:val="1"/>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The third project rent from 1 April 2016 to 19 July 2017.</w:t>
      </w:r>
    </w:p>
    <w:p w14:paraId="4E368AFE" w14:textId="77777777" w:rsidR="00AB1A4B" w:rsidRPr="00560467" w:rsidRDefault="00AB1A4B" w:rsidP="00DB4484">
      <w:pPr>
        <w:pStyle w:val="ListParagraph"/>
        <w:numPr>
          <w:ilvl w:val="1"/>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The fourth project ran from 1 April 2017 to 20 April 2018.</w:t>
      </w:r>
    </w:p>
    <w:p w14:paraId="1D7EFF3A" w14:textId="77777777" w:rsidR="00AB1A4B" w:rsidRPr="00AB1A4B" w:rsidRDefault="00AB1A4B" w:rsidP="00DB4484">
      <w:pPr>
        <w:spacing w:after="0" w:line="480" w:lineRule="auto"/>
        <w:jc w:val="both"/>
        <w:rPr>
          <w:rFonts w:ascii="Arial" w:eastAsia="Times New Roman" w:hAnsi="Arial" w:cs="Arial"/>
          <w:color w:val="0E101A"/>
          <w:sz w:val="24"/>
          <w:szCs w:val="24"/>
          <w:lang w:eastAsia="en-ZA"/>
        </w:rPr>
      </w:pPr>
    </w:p>
    <w:p w14:paraId="2C121C74"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 xml:space="preserve">It is apparent from the above that the second project run concurrently with the first project. The third project runs concurrently with the second project, </w:t>
      </w:r>
      <w:r w:rsidR="002F3346">
        <w:rPr>
          <w:rFonts w:ascii="Arial" w:eastAsia="Times New Roman" w:hAnsi="Arial" w:cs="Arial"/>
          <w:color w:val="0E101A"/>
          <w:sz w:val="24"/>
          <w:szCs w:val="24"/>
          <w:lang w:eastAsia="en-ZA"/>
        </w:rPr>
        <w:t xml:space="preserve">and the same applies to </w:t>
      </w:r>
      <w:r w:rsidRPr="00560467">
        <w:rPr>
          <w:rFonts w:ascii="Arial" w:eastAsia="Times New Roman" w:hAnsi="Arial" w:cs="Arial"/>
          <w:color w:val="0E101A"/>
          <w:sz w:val="24"/>
          <w:szCs w:val="24"/>
          <w:lang w:eastAsia="en-ZA"/>
        </w:rPr>
        <w:t>the fourth and the third project.  </w:t>
      </w:r>
    </w:p>
    <w:p w14:paraId="4DDA5373" w14:textId="77777777" w:rsidR="00AB1A4B" w:rsidRPr="00AB1A4B" w:rsidRDefault="00AB1A4B" w:rsidP="00DB4484">
      <w:pPr>
        <w:spacing w:after="0" w:line="480" w:lineRule="auto"/>
        <w:jc w:val="both"/>
        <w:rPr>
          <w:rFonts w:ascii="Arial" w:eastAsia="Times New Roman" w:hAnsi="Arial" w:cs="Arial"/>
          <w:color w:val="0E101A"/>
          <w:sz w:val="24"/>
          <w:szCs w:val="24"/>
          <w:lang w:eastAsia="en-ZA"/>
        </w:rPr>
      </w:pPr>
    </w:p>
    <w:p w14:paraId="4BC03D4A"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The applicant did not challenge the criteria of twenty points for a company with five or more years' experience or fifteen points for a company with five years</w:t>
      </w:r>
      <w:r w:rsidR="00CE4672">
        <w:rPr>
          <w:rFonts w:ascii="Arial" w:eastAsia="Times New Roman" w:hAnsi="Arial" w:cs="Arial"/>
          <w:color w:val="0E101A"/>
          <w:sz w:val="24"/>
          <w:szCs w:val="24"/>
          <w:lang w:eastAsia="en-ZA"/>
        </w:rPr>
        <w:t>’</w:t>
      </w:r>
      <w:r w:rsidRPr="00560467">
        <w:rPr>
          <w:rFonts w:ascii="Arial" w:eastAsia="Times New Roman" w:hAnsi="Arial" w:cs="Arial"/>
          <w:color w:val="0E101A"/>
          <w:sz w:val="24"/>
          <w:szCs w:val="24"/>
          <w:lang w:eastAsia="en-ZA"/>
        </w:rPr>
        <w:t xml:space="preserve"> </w:t>
      </w:r>
      <w:r w:rsidR="00CE4672">
        <w:rPr>
          <w:rFonts w:ascii="Arial" w:eastAsia="Times New Roman" w:hAnsi="Arial" w:cs="Arial"/>
          <w:color w:val="0E101A"/>
          <w:sz w:val="24"/>
          <w:szCs w:val="24"/>
          <w:lang w:eastAsia="en-ZA"/>
        </w:rPr>
        <w:t xml:space="preserve">experience.  </w:t>
      </w:r>
      <w:r w:rsidRPr="00560467">
        <w:rPr>
          <w:rFonts w:ascii="Arial" w:eastAsia="Times New Roman" w:hAnsi="Arial" w:cs="Arial"/>
          <w:color w:val="0E101A"/>
          <w:sz w:val="24"/>
          <w:szCs w:val="24"/>
          <w:lang w:eastAsia="en-ZA"/>
        </w:rPr>
        <w:t> </w:t>
      </w:r>
    </w:p>
    <w:p w14:paraId="28FC29E8" w14:textId="77777777" w:rsidR="00AB1A4B" w:rsidRPr="00AB1A4B" w:rsidRDefault="00AB1A4B" w:rsidP="00DB4484">
      <w:pPr>
        <w:spacing w:after="0" w:line="480" w:lineRule="auto"/>
        <w:jc w:val="both"/>
        <w:rPr>
          <w:rFonts w:ascii="Arial" w:eastAsia="Times New Roman" w:hAnsi="Arial" w:cs="Arial"/>
          <w:color w:val="0E101A"/>
          <w:sz w:val="24"/>
          <w:szCs w:val="24"/>
          <w:lang w:eastAsia="en-ZA"/>
        </w:rPr>
      </w:pPr>
    </w:p>
    <w:p w14:paraId="6CE083F1"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In my view, the method used by the applicant to calculate the period spent in doing the four projects and arriving at the conclusion of five years' experience is unsustainable. In paragraph 19.9 of its founding affidavit, the applicant contends that it has sixty-three months of experience based on the period spent on the above projects. However, on a proper calculation, the total number of months spent on the four projects is forty-one months, equal to three years and five months. This means the applicant had less than five years' experience and thus did not qualify to be awarded fifteen points. Therefore, the JRA cannot be faulted for unreasonableness or irregularity in awarding the applicant zero out of the fifteen points. </w:t>
      </w:r>
    </w:p>
    <w:p w14:paraId="7C32AC82" w14:textId="77777777" w:rsidR="00AB1A4B" w:rsidRPr="00AB1A4B" w:rsidRDefault="00AB1A4B" w:rsidP="00DB4484">
      <w:pPr>
        <w:spacing w:after="0" w:line="480" w:lineRule="auto"/>
        <w:jc w:val="both"/>
        <w:rPr>
          <w:rFonts w:ascii="Arial" w:eastAsia="Times New Roman" w:hAnsi="Arial" w:cs="Arial"/>
          <w:color w:val="0E101A"/>
          <w:sz w:val="24"/>
          <w:szCs w:val="24"/>
          <w:lang w:eastAsia="en-ZA"/>
        </w:rPr>
      </w:pPr>
    </w:p>
    <w:p w14:paraId="3F10F016"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b/>
          <w:bCs/>
          <w:color w:val="0E101A"/>
          <w:sz w:val="24"/>
          <w:szCs w:val="24"/>
          <w:lang w:eastAsia="en-ZA"/>
        </w:rPr>
        <w:t>The safety officer's qualification</w:t>
      </w:r>
      <w:r w:rsidRPr="00560467">
        <w:rPr>
          <w:rFonts w:ascii="Arial" w:eastAsia="Times New Roman" w:hAnsi="Arial" w:cs="Arial"/>
          <w:color w:val="0E101A"/>
          <w:sz w:val="24"/>
          <w:szCs w:val="24"/>
          <w:lang w:eastAsia="en-ZA"/>
        </w:rPr>
        <w:t>: The second ground of review is also unsustainable. The requirement in this regard was that each of the tenderers was required to provide a curriculum vita (CV) and certified copies of their safety officer's qualifications.</w:t>
      </w:r>
    </w:p>
    <w:p w14:paraId="07D75563" w14:textId="77777777" w:rsidR="00AB1A4B" w:rsidRPr="00AB1A4B" w:rsidRDefault="00AB1A4B" w:rsidP="00DB4484">
      <w:pPr>
        <w:spacing w:after="0" w:line="480" w:lineRule="auto"/>
        <w:jc w:val="both"/>
        <w:rPr>
          <w:rFonts w:ascii="Arial" w:eastAsia="Times New Roman" w:hAnsi="Arial" w:cs="Arial"/>
          <w:color w:val="0E101A"/>
          <w:sz w:val="24"/>
          <w:szCs w:val="24"/>
          <w:lang w:eastAsia="en-ZA"/>
        </w:rPr>
      </w:pPr>
    </w:p>
    <w:p w14:paraId="6AF35ED3"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 xml:space="preserve">It is common cause that the applicant submitted the details of Mr </w:t>
      </w:r>
      <w:proofErr w:type="spellStart"/>
      <w:r w:rsidRPr="00560467">
        <w:rPr>
          <w:rFonts w:ascii="Arial" w:eastAsia="Times New Roman" w:hAnsi="Arial" w:cs="Arial"/>
          <w:color w:val="0E101A"/>
          <w:sz w:val="24"/>
          <w:szCs w:val="24"/>
          <w:lang w:eastAsia="en-ZA"/>
        </w:rPr>
        <w:t>Raldo</w:t>
      </w:r>
      <w:proofErr w:type="spellEnd"/>
      <w:r w:rsidRPr="00560467">
        <w:rPr>
          <w:rFonts w:ascii="Arial" w:eastAsia="Times New Roman" w:hAnsi="Arial" w:cs="Arial"/>
          <w:color w:val="0E101A"/>
          <w:sz w:val="24"/>
          <w:szCs w:val="24"/>
          <w:lang w:eastAsia="en-ZA"/>
        </w:rPr>
        <w:t xml:space="preserve"> Butler as its safety officer and indicated that he had seventeen years of experience as a safety officer. However, he failed to attach his relevant qualification, which was one of the tender requirements. The CV attached to the tender documentation is a diploma in engineering and the SACPCMP certificate of </w:t>
      </w:r>
      <w:r w:rsidR="002F3346">
        <w:rPr>
          <w:rFonts w:ascii="Arial" w:eastAsia="Times New Roman" w:hAnsi="Arial" w:cs="Arial"/>
          <w:color w:val="0E101A"/>
          <w:sz w:val="24"/>
          <w:szCs w:val="24"/>
          <w:lang w:eastAsia="en-ZA"/>
        </w:rPr>
        <w:t xml:space="preserve">Mr </w:t>
      </w:r>
      <w:r w:rsidRPr="00560467">
        <w:rPr>
          <w:rFonts w:ascii="Arial" w:eastAsia="Times New Roman" w:hAnsi="Arial" w:cs="Arial"/>
          <w:color w:val="0E101A"/>
          <w:sz w:val="24"/>
          <w:szCs w:val="24"/>
          <w:lang w:eastAsia="en-ZA"/>
        </w:rPr>
        <w:t>Petrus Johannes Frederick Butler (Petrus). The applicant contends that although</w:t>
      </w:r>
      <w:r w:rsidR="002F3346">
        <w:rPr>
          <w:rFonts w:ascii="Arial" w:eastAsia="Times New Roman" w:hAnsi="Arial" w:cs="Arial"/>
          <w:color w:val="0E101A"/>
          <w:sz w:val="24"/>
          <w:szCs w:val="24"/>
          <w:lang w:eastAsia="en-ZA"/>
        </w:rPr>
        <w:t xml:space="preserve"> the two may be different names</w:t>
      </w:r>
      <w:r w:rsidRPr="00560467">
        <w:rPr>
          <w:rFonts w:ascii="Arial" w:eastAsia="Times New Roman" w:hAnsi="Arial" w:cs="Arial"/>
          <w:color w:val="0E101A"/>
          <w:sz w:val="24"/>
          <w:szCs w:val="24"/>
          <w:lang w:eastAsia="en-ZA"/>
        </w:rPr>
        <w:t xml:space="preserve"> it is, in fact, the same person. There is no evidence in the tender documents that the two names belong to the same person, i.e., </w:t>
      </w:r>
      <w:proofErr w:type="spellStart"/>
      <w:r w:rsidRPr="00560467">
        <w:rPr>
          <w:rFonts w:ascii="Arial" w:eastAsia="Times New Roman" w:hAnsi="Arial" w:cs="Arial"/>
          <w:color w:val="0E101A"/>
          <w:sz w:val="24"/>
          <w:szCs w:val="24"/>
          <w:lang w:eastAsia="en-ZA"/>
        </w:rPr>
        <w:t>Raldo</w:t>
      </w:r>
      <w:proofErr w:type="spellEnd"/>
      <w:r w:rsidRPr="00560467">
        <w:rPr>
          <w:rFonts w:ascii="Arial" w:eastAsia="Times New Roman" w:hAnsi="Arial" w:cs="Arial"/>
          <w:color w:val="0E101A"/>
          <w:sz w:val="24"/>
          <w:szCs w:val="24"/>
          <w:lang w:eastAsia="en-ZA"/>
        </w:rPr>
        <w:t xml:space="preserve"> and Petrus are</w:t>
      </w:r>
      <w:r w:rsidR="002F3346">
        <w:rPr>
          <w:rFonts w:ascii="Arial" w:eastAsia="Times New Roman" w:hAnsi="Arial" w:cs="Arial"/>
          <w:color w:val="0E101A"/>
          <w:sz w:val="24"/>
          <w:szCs w:val="24"/>
          <w:lang w:eastAsia="en-ZA"/>
        </w:rPr>
        <w:t xml:space="preserve"> names of</w:t>
      </w:r>
      <w:r w:rsidRPr="00560467">
        <w:rPr>
          <w:rFonts w:ascii="Arial" w:eastAsia="Times New Roman" w:hAnsi="Arial" w:cs="Arial"/>
          <w:color w:val="0E101A"/>
          <w:sz w:val="24"/>
          <w:szCs w:val="24"/>
          <w:lang w:eastAsia="en-ZA"/>
        </w:rPr>
        <w:t xml:space="preserve"> the same person. </w:t>
      </w:r>
    </w:p>
    <w:p w14:paraId="1589B6C5" w14:textId="77777777" w:rsidR="00AB1A4B" w:rsidRPr="00AB1A4B" w:rsidRDefault="00AB1A4B" w:rsidP="00DB4484">
      <w:pPr>
        <w:spacing w:after="0" w:line="480" w:lineRule="auto"/>
        <w:jc w:val="both"/>
        <w:rPr>
          <w:rFonts w:ascii="Arial" w:eastAsia="Times New Roman" w:hAnsi="Arial" w:cs="Arial"/>
          <w:color w:val="0E101A"/>
          <w:sz w:val="24"/>
          <w:szCs w:val="24"/>
          <w:lang w:eastAsia="en-ZA"/>
        </w:rPr>
      </w:pPr>
    </w:p>
    <w:p w14:paraId="5F356F9E" w14:textId="77777777" w:rsidR="00AB1A4B"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 xml:space="preserve">The other argument of the applicant is that </w:t>
      </w:r>
      <w:r w:rsidR="00CE4672">
        <w:rPr>
          <w:rFonts w:ascii="Arial" w:eastAsia="Times New Roman" w:hAnsi="Arial" w:cs="Arial"/>
          <w:color w:val="0E101A"/>
          <w:sz w:val="24"/>
          <w:szCs w:val="24"/>
          <w:lang w:eastAsia="en-ZA"/>
        </w:rPr>
        <w:t xml:space="preserve">the </w:t>
      </w:r>
      <w:r w:rsidRPr="00560467">
        <w:rPr>
          <w:rFonts w:ascii="Arial" w:eastAsia="Times New Roman" w:hAnsi="Arial" w:cs="Arial"/>
          <w:color w:val="0E101A"/>
          <w:sz w:val="24"/>
          <w:szCs w:val="24"/>
          <w:lang w:eastAsia="en-ZA"/>
        </w:rPr>
        <w:t>JRA ought to have known that these are the names of the same person based on the similarity of the surname. This proposition is unsustainable in the context where</w:t>
      </w:r>
      <w:r w:rsidR="00CE4672">
        <w:rPr>
          <w:rFonts w:ascii="Arial" w:eastAsia="Times New Roman" w:hAnsi="Arial" w:cs="Arial"/>
          <w:color w:val="0E101A"/>
          <w:sz w:val="24"/>
          <w:szCs w:val="24"/>
          <w:lang w:eastAsia="en-ZA"/>
        </w:rPr>
        <w:t xml:space="preserve"> the</w:t>
      </w:r>
      <w:r w:rsidRPr="00560467">
        <w:rPr>
          <w:rFonts w:ascii="Arial" w:eastAsia="Times New Roman" w:hAnsi="Arial" w:cs="Arial"/>
          <w:color w:val="0E101A"/>
          <w:sz w:val="24"/>
          <w:szCs w:val="24"/>
          <w:lang w:eastAsia="en-ZA"/>
        </w:rPr>
        <w:t xml:space="preserve"> JRA had to process forty-three voluminous tender bits and had to rely on the submissions made by each tenderer. It does not make sense and is, in my view, unreasonable to expect</w:t>
      </w:r>
      <w:r w:rsidR="00CE4672">
        <w:rPr>
          <w:rFonts w:ascii="Arial" w:eastAsia="Times New Roman" w:hAnsi="Arial" w:cs="Arial"/>
          <w:color w:val="0E101A"/>
          <w:sz w:val="24"/>
          <w:szCs w:val="24"/>
          <w:lang w:eastAsia="en-ZA"/>
        </w:rPr>
        <w:t xml:space="preserve"> the</w:t>
      </w:r>
      <w:r w:rsidRPr="00560467">
        <w:rPr>
          <w:rFonts w:ascii="Arial" w:eastAsia="Times New Roman" w:hAnsi="Arial" w:cs="Arial"/>
          <w:color w:val="0E101A"/>
          <w:sz w:val="24"/>
          <w:szCs w:val="24"/>
          <w:lang w:eastAsia="en-ZA"/>
        </w:rPr>
        <w:t xml:space="preserve"> JRA to identify and reconcile inconsistencies in each application. It was the applicant's duty to ensure that its tender complies with the requirements and to explain any inconsistency in the name of the site officer in its tender. </w:t>
      </w:r>
    </w:p>
    <w:p w14:paraId="2007E840" w14:textId="77777777" w:rsidR="002F3346" w:rsidRPr="00560467" w:rsidRDefault="002F3346" w:rsidP="00DB4484">
      <w:pPr>
        <w:pStyle w:val="ListParagraph"/>
        <w:spacing w:after="0" w:line="480" w:lineRule="auto"/>
        <w:ind w:left="0"/>
        <w:jc w:val="both"/>
        <w:rPr>
          <w:rFonts w:ascii="Arial" w:eastAsia="Times New Roman" w:hAnsi="Arial" w:cs="Arial"/>
          <w:color w:val="0E101A"/>
          <w:sz w:val="24"/>
          <w:szCs w:val="24"/>
          <w:lang w:eastAsia="en-ZA"/>
        </w:rPr>
      </w:pPr>
    </w:p>
    <w:p w14:paraId="6A65AFA5" w14:textId="77777777" w:rsidR="00AB1A4B" w:rsidRPr="00560467" w:rsidRDefault="00AB1A4B"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lastRenderedPageBreak/>
        <w:t xml:space="preserve">In light of the above, I agree with </w:t>
      </w:r>
      <w:r w:rsidR="00CE4672">
        <w:rPr>
          <w:rFonts w:ascii="Arial" w:eastAsia="Times New Roman" w:hAnsi="Arial" w:cs="Arial"/>
          <w:color w:val="0E101A"/>
          <w:sz w:val="24"/>
          <w:szCs w:val="24"/>
          <w:lang w:eastAsia="en-ZA"/>
        </w:rPr>
        <w:t xml:space="preserve">the </w:t>
      </w:r>
      <w:r w:rsidRPr="00560467">
        <w:rPr>
          <w:rFonts w:ascii="Arial" w:eastAsia="Times New Roman" w:hAnsi="Arial" w:cs="Arial"/>
          <w:color w:val="0E101A"/>
          <w:sz w:val="24"/>
          <w:szCs w:val="24"/>
          <w:lang w:eastAsia="en-ZA"/>
        </w:rPr>
        <w:t>JRA that the applicant has in its application failed to: </w:t>
      </w:r>
    </w:p>
    <w:p w14:paraId="5A104952" w14:textId="77777777" w:rsidR="00AB1A4B" w:rsidRPr="00560467" w:rsidRDefault="00AB1A4B" w:rsidP="00DB4484">
      <w:pPr>
        <w:pStyle w:val="ListParagraph"/>
        <w:numPr>
          <w:ilvl w:val="1"/>
          <w:numId w:val="11"/>
        </w:numPr>
        <w:spacing w:after="0" w:line="480" w:lineRule="auto"/>
        <w:ind w:left="0" w:firstLine="0"/>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establish the ground/s of review;</w:t>
      </w:r>
    </w:p>
    <w:p w14:paraId="3DD9BCB6" w14:textId="77777777" w:rsidR="00AB1A4B" w:rsidRPr="00560467" w:rsidRDefault="00AB1A4B" w:rsidP="00DB4484">
      <w:pPr>
        <w:pStyle w:val="ListParagraph"/>
        <w:numPr>
          <w:ilvl w:val="1"/>
          <w:numId w:val="11"/>
        </w:numPr>
        <w:spacing w:after="0" w:line="480" w:lineRule="auto"/>
        <w:ind w:left="709" w:hanging="709"/>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 xml:space="preserve">demonstrate how </w:t>
      </w:r>
      <w:r w:rsidR="00CE4672">
        <w:rPr>
          <w:rFonts w:ascii="Arial" w:eastAsia="Times New Roman" w:hAnsi="Arial" w:cs="Arial"/>
          <w:color w:val="0E101A"/>
          <w:sz w:val="24"/>
          <w:szCs w:val="24"/>
          <w:lang w:eastAsia="en-ZA"/>
        </w:rPr>
        <w:t xml:space="preserve">the </w:t>
      </w:r>
      <w:r w:rsidRPr="00560467">
        <w:rPr>
          <w:rFonts w:ascii="Arial" w:eastAsia="Times New Roman" w:hAnsi="Arial" w:cs="Arial"/>
          <w:color w:val="0E101A"/>
          <w:sz w:val="24"/>
          <w:szCs w:val="24"/>
          <w:lang w:eastAsia="en-ZA"/>
        </w:rPr>
        <w:t>JRA is said to have committed an irregularity in awarding the tender to the respondents. </w:t>
      </w:r>
    </w:p>
    <w:p w14:paraId="65295780" w14:textId="77777777" w:rsidR="00AB1A4B" w:rsidRPr="00560467" w:rsidRDefault="00AB1A4B" w:rsidP="00DB4484">
      <w:pPr>
        <w:pStyle w:val="ListParagraph"/>
        <w:numPr>
          <w:ilvl w:val="1"/>
          <w:numId w:val="11"/>
        </w:numPr>
        <w:spacing w:after="0" w:line="480" w:lineRule="auto"/>
        <w:ind w:left="709" w:hanging="567"/>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demonstrate in what manner</w:t>
      </w:r>
      <w:r w:rsidR="00CE4672">
        <w:rPr>
          <w:rFonts w:ascii="Arial" w:eastAsia="Times New Roman" w:hAnsi="Arial" w:cs="Arial"/>
          <w:color w:val="0E101A"/>
          <w:sz w:val="24"/>
          <w:szCs w:val="24"/>
          <w:lang w:eastAsia="en-ZA"/>
        </w:rPr>
        <w:t xml:space="preserve"> the </w:t>
      </w:r>
      <w:r w:rsidRPr="00560467">
        <w:rPr>
          <w:rFonts w:ascii="Arial" w:eastAsia="Times New Roman" w:hAnsi="Arial" w:cs="Arial"/>
          <w:color w:val="0E101A"/>
          <w:sz w:val="24"/>
          <w:szCs w:val="24"/>
          <w:lang w:eastAsia="en-ZA"/>
        </w:rPr>
        <w:t>JRA deviated from the requirements of legislation or policy and, if so, how such deviation is material.  </w:t>
      </w:r>
    </w:p>
    <w:p w14:paraId="7E0EAAFA" w14:textId="77777777" w:rsidR="00AB1A4B" w:rsidRDefault="001802B3" w:rsidP="00DB4484">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In summary, there is no reasonable basis to conclude that an irregularity was committed by the JRA in refusing to award the applicant the tender. </w:t>
      </w:r>
    </w:p>
    <w:p w14:paraId="13C24517" w14:textId="77777777" w:rsidR="00DB4484" w:rsidRPr="00AB1A4B" w:rsidRDefault="00DB4484" w:rsidP="00DB4484">
      <w:pPr>
        <w:spacing w:after="0" w:line="480" w:lineRule="auto"/>
        <w:jc w:val="both"/>
        <w:rPr>
          <w:rFonts w:ascii="Arial" w:eastAsia="Times New Roman" w:hAnsi="Arial" w:cs="Arial"/>
          <w:color w:val="0E101A"/>
          <w:sz w:val="24"/>
          <w:szCs w:val="24"/>
          <w:lang w:eastAsia="en-ZA"/>
        </w:rPr>
      </w:pPr>
    </w:p>
    <w:p w14:paraId="1EE13808" w14:textId="77777777" w:rsidR="00AB1A4B" w:rsidRPr="00AB5CF4" w:rsidRDefault="00AB1A4B" w:rsidP="00DB4484">
      <w:pPr>
        <w:pStyle w:val="ListParagraph"/>
        <w:spacing w:after="0" w:line="480" w:lineRule="auto"/>
        <w:ind w:left="0"/>
        <w:jc w:val="both"/>
        <w:rPr>
          <w:rFonts w:ascii="Arial" w:eastAsia="Times New Roman" w:hAnsi="Arial" w:cs="Arial"/>
          <w:b/>
          <w:color w:val="0E101A"/>
          <w:sz w:val="24"/>
          <w:szCs w:val="24"/>
          <w:lang w:eastAsia="en-ZA"/>
        </w:rPr>
      </w:pPr>
      <w:r w:rsidRPr="00AB5CF4">
        <w:rPr>
          <w:rFonts w:ascii="Arial" w:eastAsia="Times New Roman" w:hAnsi="Arial" w:cs="Arial"/>
          <w:b/>
          <w:color w:val="0E101A"/>
          <w:sz w:val="24"/>
          <w:szCs w:val="24"/>
          <w:lang w:eastAsia="en-ZA"/>
        </w:rPr>
        <w:t>Costs </w:t>
      </w:r>
    </w:p>
    <w:p w14:paraId="412F58FB" w14:textId="77777777" w:rsidR="00AB1A4B" w:rsidRDefault="001802B3"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The issue that remains for consideration is costs of both these proceedings and those in the urgent court under case number</w:t>
      </w:r>
      <w:r w:rsidR="00AB1A4B" w:rsidRPr="00560467">
        <w:rPr>
          <w:rFonts w:ascii="Arial" w:eastAsia="Times New Roman" w:hAnsi="Arial" w:cs="Arial"/>
          <w:color w:val="0E101A"/>
          <w:sz w:val="24"/>
          <w:szCs w:val="24"/>
          <w:lang w:eastAsia="en-ZA"/>
        </w:rPr>
        <w:t xml:space="preserve"> 18422/2019</w:t>
      </w:r>
      <w:r>
        <w:rPr>
          <w:rFonts w:ascii="Arial" w:eastAsia="Times New Roman" w:hAnsi="Arial" w:cs="Arial"/>
          <w:color w:val="0E101A"/>
          <w:sz w:val="24"/>
          <w:szCs w:val="24"/>
          <w:lang w:eastAsia="en-ZA"/>
        </w:rPr>
        <w:t xml:space="preserve">.  The two items of relief which the urgent court dealt with are: </w:t>
      </w:r>
    </w:p>
    <w:p w14:paraId="5075795D" w14:textId="77777777" w:rsidR="001802B3" w:rsidRDefault="001802B3" w:rsidP="00DB4484">
      <w:pPr>
        <w:pStyle w:val="ListParagraph"/>
        <w:numPr>
          <w:ilvl w:val="1"/>
          <w:numId w:val="11"/>
        </w:numPr>
        <w:spacing w:after="0" w:line="480" w:lineRule="auto"/>
        <w:ind w:left="851" w:hanging="284"/>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The JRA was required to furnish the reasons for refusing to award the applicant the tender. </w:t>
      </w:r>
    </w:p>
    <w:p w14:paraId="45BDB901" w14:textId="77777777" w:rsidR="001802B3" w:rsidRDefault="001802B3" w:rsidP="00DB4484">
      <w:pPr>
        <w:pStyle w:val="ListParagraph"/>
        <w:numPr>
          <w:ilvl w:val="1"/>
          <w:numId w:val="11"/>
        </w:numPr>
        <w:spacing w:after="0" w:line="480" w:lineRule="auto"/>
        <w:ind w:left="851" w:hanging="284"/>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Interdicting the JRA from contracting with the successful bidders or instructing them to do any work pending the outcome of the review. </w:t>
      </w:r>
    </w:p>
    <w:p w14:paraId="1A6F3B80" w14:textId="77777777" w:rsidR="00DB4484" w:rsidRDefault="00DB4484" w:rsidP="00DB4484">
      <w:pPr>
        <w:pStyle w:val="ListParagraph"/>
        <w:spacing w:after="0" w:line="480" w:lineRule="auto"/>
        <w:ind w:left="851"/>
        <w:jc w:val="both"/>
        <w:rPr>
          <w:rFonts w:ascii="Arial" w:eastAsia="Times New Roman" w:hAnsi="Arial" w:cs="Arial"/>
          <w:color w:val="0E101A"/>
          <w:sz w:val="24"/>
          <w:szCs w:val="24"/>
          <w:lang w:eastAsia="en-ZA"/>
        </w:rPr>
      </w:pPr>
    </w:p>
    <w:p w14:paraId="384A52B3" w14:textId="77777777" w:rsidR="001802B3" w:rsidRDefault="001802B3"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It is apparent from the reading of the urgent court’s judgment that the applicant was successful in relation to the issue </w:t>
      </w:r>
      <w:r w:rsidR="002726E3">
        <w:rPr>
          <w:rFonts w:ascii="Arial" w:eastAsia="Times New Roman" w:hAnsi="Arial" w:cs="Arial"/>
          <w:color w:val="0E101A"/>
          <w:sz w:val="24"/>
          <w:szCs w:val="24"/>
          <w:lang w:eastAsia="en-ZA"/>
        </w:rPr>
        <w:t xml:space="preserve">of furnishing </w:t>
      </w:r>
      <w:r>
        <w:rPr>
          <w:rFonts w:ascii="Arial" w:eastAsia="Times New Roman" w:hAnsi="Arial" w:cs="Arial"/>
          <w:color w:val="0E101A"/>
          <w:sz w:val="24"/>
          <w:szCs w:val="24"/>
          <w:lang w:eastAsia="en-ZA"/>
        </w:rPr>
        <w:t>the reasons for the</w:t>
      </w:r>
      <w:r w:rsidR="002726E3">
        <w:rPr>
          <w:rFonts w:ascii="Arial" w:eastAsia="Times New Roman" w:hAnsi="Arial" w:cs="Arial"/>
          <w:color w:val="0E101A"/>
          <w:sz w:val="24"/>
          <w:szCs w:val="24"/>
          <w:lang w:eastAsia="en-ZA"/>
        </w:rPr>
        <w:t xml:space="preserve"> refusal to award it </w:t>
      </w:r>
      <w:r>
        <w:rPr>
          <w:rFonts w:ascii="Arial" w:eastAsia="Times New Roman" w:hAnsi="Arial" w:cs="Arial"/>
          <w:color w:val="0E101A"/>
          <w:sz w:val="24"/>
          <w:szCs w:val="24"/>
          <w:lang w:eastAsia="en-ZA"/>
        </w:rPr>
        <w:t xml:space="preserve">the tender.  </w:t>
      </w:r>
    </w:p>
    <w:p w14:paraId="16537585" w14:textId="77777777" w:rsidR="001802B3" w:rsidRPr="001802B3" w:rsidRDefault="001802B3" w:rsidP="00DB4484">
      <w:pPr>
        <w:pStyle w:val="ListParagraph"/>
        <w:spacing w:after="0" w:line="480" w:lineRule="auto"/>
        <w:ind w:left="0"/>
        <w:jc w:val="both"/>
        <w:rPr>
          <w:rFonts w:ascii="Arial" w:eastAsia="Times New Roman" w:hAnsi="Arial" w:cs="Arial"/>
          <w:color w:val="0E101A"/>
          <w:sz w:val="24"/>
          <w:szCs w:val="24"/>
          <w:lang w:eastAsia="en-ZA"/>
        </w:rPr>
      </w:pPr>
    </w:p>
    <w:p w14:paraId="1AD036A7" w14:textId="77777777" w:rsidR="00D54070" w:rsidRPr="00D54070" w:rsidRDefault="001802B3"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sidRPr="00D54070">
        <w:rPr>
          <w:rFonts w:ascii="Arial" w:eastAsia="Times New Roman" w:hAnsi="Arial" w:cs="Arial"/>
          <w:color w:val="0E101A"/>
          <w:sz w:val="24"/>
          <w:szCs w:val="24"/>
          <w:lang w:eastAsia="en-ZA"/>
        </w:rPr>
        <w:t xml:space="preserve">In relation to the second item of the relief, it is common cause that at the time of the urgent application the JRA had not yet concluded contracts with the five </w:t>
      </w:r>
      <w:r w:rsidRPr="00D54070">
        <w:rPr>
          <w:rFonts w:ascii="Arial" w:eastAsia="Times New Roman" w:hAnsi="Arial" w:cs="Arial"/>
          <w:color w:val="0E101A"/>
          <w:sz w:val="24"/>
          <w:szCs w:val="24"/>
          <w:lang w:eastAsia="en-ZA"/>
        </w:rPr>
        <w:lastRenderedPageBreak/>
        <w:t xml:space="preserve">successful </w:t>
      </w:r>
      <w:r w:rsidR="008C179E" w:rsidRPr="00D54070">
        <w:rPr>
          <w:rFonts w:ascii="Arial" w:eastAsia="Times New Roman" w:hAnsi="Arial" w:cs="Arial"/>
          <w:color w:val="0E101A"/>
          <w:sz w:val="24"/>
          <w:szCs w:val="24"/>
          <w:lang w:eastAsia="en-ZA"/>
        </w:rPr>
        <w:t>tenderers. The court resolved the issue of whether the JRA should be interdicted from concluding contracts</w:t>
      </w:r>
      <w:r w:rsidR="002726E3" w:rsidRPr="00D54070">
        <w:rPr>
          <w:rFonts w:ascii="Arial" w:eastAsia="Times New Roman" w:hAnsi="Arial" w:cs="Arial"/>
          <w:color w:val="0E101A"/>
          <w:sz w:val="24"/>
          <w:szCs w:val="24"/>
          <w:lang w:eastAsia="en-ZA"/>
        </w:rPr>
        <w:t xml:space="preserve"> with the successful tenderers </w:t>
      </w:r>
      <w:r w:rsidR="008C179E" w:rsidRPr="00D54070">
        <w:rPr>
          <w:rFonts w:ascii="Arial" w:eastAsia="Times New Roman" w:hAnsi="Arial" w:cs="Arial"/>
          <w:color w:val="0E101A"/>
          <w:sz w:val="24"/>
          <w:szCs w:val="24"/>
          <w:lang w:eastAsia="en-ZA"/>
        </w:rPr>
        <w:t xml:space="preserve">in the following manner:   </w:t>
      </w:r>
    </w:p>
    <w:p w14:paraId="40CD5526" w14:textId="77777777" w:rsidR="00D54070" w:rsidRPr="00D54070" w:rsidRDefault="00D54070" w:rsidP="00DB4484">
      <w:pPr>
        <w:pStyle w:val="ListParagraph"/>
        <w:numPr>
          <w:ilvl w:val="0"/>
          <w:numId w:val="17"/>
        </w:numPr>
        <w:spacing w:line="480" w:lineRule="auto"/>
        <w:ind w:left="851" w:hanging="425"/>
        <w:jc w:val="both"/>
        <w:rPr>
          <w:rFonts w:ascii="Arial" w:hAnsi="Arial" w:cs="Arial"/>
        </w:rPr>
      </w:pPr>
      <w:r>
        <w:rPr>
          <w:rFonts w:ascii="Arial" w:hAnsi="Arial" w:cs="Arial"/>
        </w:rPr>
        <w:t>“</w:t>
      </w:r>
      <w:r w:rsidRPr="00D54070">
        <w:rPr>
          <w:rFonts w:ascii="Arial" w:hAnsi="Arial" w:cs="Arial"/>
        </w:rPr>
        <w:t>Pending the outcome of a review application by the applicant in respect of Tender Nr. JRA/19/001, the respondent shall contract with successful bidders on terms which do not oblige the respondent to guarantee any fixed or permanent percentage of the total contract budget to any bidder.</w:t>
      </w:r>
    </w:p>
    <w:p w14:paraId="20485A4A" w14:textId="77777777" w:rsidR="00D54070" w:rsidRPr="00D54070" w:rsidRDefault="00D54070" w:rsidP="00DB4484">
      <w:pPr>
        <w:pStyle w:val="ListParagraph"/>
        <w:spacing w:line="480" w:lineRule="auto"/>
        <w:ind w:left="1080"/>
        <w:jc w:val="both"/>
        <w:rPr>
          <w:rFonts w:ascii="Arial" w:hAnsi="Arial" w:cs="Arial"/>
        </w:rPr>
      </w:pPr>
    </w:p>
    <w:p w14:paraId="12BC874D" w14:textId="77777777" w:rsidR="00D54070" w:rsidRPr="00D54070" w:rsidRDefault="00D54070" w:rsidP="00DB4484">
      <w:pPr>
        <w:pStyle w:val="ListParagraph"/>
        <w:numPr>
          <w:ilvl w:val="0"/>
          <w:numId w:val="17"/>
        </w:numPr>
        <w:spacing w:line="480" w:lineRule="auto"/>
        <w:ind w:hanging="425"/>
        <w:jc w:val="both"/>
        <w:rPr>
          <w:rFonts w:ascii="Arial" w:hAnsi="Arial" w:cs="Arial"/>
        </w:rPr>
      </w:pPr>
      <w:r w:rsidRPr="00D54070">
        <w:rPr>
          <w:rFonts w:ascii="Arial" w:hAnsi="Arial" w:cs="Arial"/>
        </w:rPr>
        <w:t>This order shall not inhibit the respondent from concluding such a term with the bidders who are selected for the panel of contractors, once the review has been decided, regardless of the outcome of the review and regardless of whether or not the application is concluded in a recomposed panel with other contractors or not.</w:t>
      </w:r>
    </w:p>
    <w:p w14:paraId="659F5436" w14:textId="77777777" w:rsidR="00D54070" w:rsidRPr="00D54070" w:rsidRDefault="00D54070" w:rsidP="00DB4484">
      <w:pPr>
        <w:pStyle w:val="ListParagraph"/>
        <w:numPr>
          <w:ilvl w:val="0"/>
          <w:numId w:val="17"/>
        </w:numPr>
        <w:spacing w:line="480" w:lineRule="auto"/>
        <w:jc w:val="both"/>
        <w:rPr>
          <w:rFonts w:ascii="Arial" w:hAnsi="Arial" w:cs="Arial"/>
        </w:rPr>
      </w:pPr>
      <w:r w:rsidRPr="00D54070">
        <w:rPr>
          <w:rFonts w:ascii="Arial" w:hAnsi="Arial" w:cs="Arial"/>
        </w:rPr>
        <w:t xml:space="preserve">The respondent shall be entitled to conclude the </w:t>
      </w:r>
      <w:proofErr w:type="gramStart"/>
      <w:r w:rsidRPr="00D54070">
        <w:rPr>
          <w:rFonts w:ascii="Arial" w:hAnsi="Arial" w:cs="Arial"/>
        </w:rPr>
        <w:t>above mentioned</w:t>
      </w:r>
      <w:proofErr w:type="gramEnd"/>
      <w:r w:rsidRPr="00D54070">
        <w:rPr>
          <w:rFonts w:ascii="Arial" w:hAnsi="Arial" w:cs="Arial"/>
        </w:rPr>
        <w:t xml:space="preserve"> contracts at a time of its choosing and give work instructions as it deems appropriate, within the bounds of the contract.</w:t>
      </w:r>
    </w:p>
    <w:p w14:paraId="2C6E8126" w14:textId="77777777" w:rsidR="00D54070" w:rsidRPr="00D54070" w:rsidRDefault="00D54070" w:rsidP="00DB4484">
      <w:pPr>
        <w:pStyle w:val="ListParagraph"/>
        <w:numPr>
          <w:ilvl w:val="0"/>
          <w:numId w:val="17"/>
        </w:numPr>
        <w:spacing w:line="480" w:lineRule="auto"/>
        <w:jc w:val="both"/>
        <w:rPr>
          <w:rFonts w:ascii="Arial" w:hAnsi="Arial" w:cs="Arial"/>
        </w:rPr>
      </w:pPr>
      <w:r w:rsidRPr="00D54070">
        <w:rPr>
          <w:rFonts w:ascii="Arial" w:hAnsi="Arial" w:cs="Arial"/>
        </w:rPr>
        <w:t>The cost of this application shall be costs in the cause in the review.”</w:t>
      </w:r>
    </w:p>
    <w:p w14:paraId="265D4701" w14:textId="77777777" w:rsidR="00D54070" w:rsidRDefault="00D54070" w:rsidP="00DB4484">
      <w:pPr>
        <w:spacing w:after="0" w:line="480" w:lineRule="auto"/>
        <w:jc w:val="both"/>
        <w:rPr>
          <w:rFonts w:ascii="Arial" w:eastAsia="Times New Roman" w:hAnsi="Arial" w:cs="Arial"/>
          <w:color w:val="0E101A"/>
          <w:sz w:val="24"/>
          <w:szCs w:val="24"/>
          <w:lang w:eastAsia="en-ZA"/>
        </w:rPr>
      </w:pPr>
    </w:p>
    <w:p w14:paraId="6379ADAE" w14:textId="77777777" w:rsidR="009C2026" w:rsidRDefault="009C2026" w:rsidP="00DB4484">
      <w:pPr>
        <w:pStyle w:val="ListParagraph"/>
        <w:numPr>
          <w:ilvl w:val="0"/>
          <w:numId w:val="11"/>
        </w:numPr>
        <w:spacing w:after="0" w:line="480" w:lineRule="auto"/>
        <w:ind w:left="0" w:firstLine="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In light of the above, I am of the view that, the applicant in the urgent application was partially successful </w:t>
      </w:r>
      <w:r w:rsidR="00DE09ED">
        <w:rPr>
          <w:rFonts w:ascii="Arial" w:eastAsia="Times New Roman" w:hAnsi="Arial" w:cs="Arial"/>
          <w:color w:val="0E101A"/>
          <w:sz w:val="24"/>
          <w:szCs w:val="24"/>
          <w:lang w:eastAsia="en-ZA"/>
        </w:rPr>
        <w:t xml:space="preserve">and is thus </w:t>
      </w:r>
      <w:r>
        <w:rPr>
          <w:rFonts w:ascii="Arial" w:eastAsia="Times New Roman" w:hAnsi="Arial" w:cs="Arial"/>
          <w:color w:val="0E101A"/>
          <w:sz w:val="24"/>
          <w:szCs w:val="24"/>
          <w:lang w:eastAsia="en-ZA"/>
        </w:rPr>
        <w:t xml:space="preserve">entitled to 50% of the costs thereof.  On the other hand, the JRA in the present matter is successful and thus, in applying the well-established principle that costs follow the results it is entitled to the costs of the application.  </w:t>
      </w:r>
    </w:p>
    <w:p w14:paraId="4E08CE84" w14:textId="77777777" w:rsidR="009C2026" w:rsidRPr="009C2026" w:rsidRDefault="009C2026" w:rsidP="00DB4484">
      <w:pPr>
        <w:spacing w:after="0" w:line="480" w:lineRule="auto"/>
        <w:ind w:left="851"/>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 </w:t>
      </w:r>
    </w:p>
    <w:p w14:paraId="42E783C8" w14:textId="77777777" w:rsidR="00DE09ED" w:rsidRDefault="00DE09ED" w:rsidP="00DB4484">
      <w:pPr>
        <w:spacing w:after="0" w:line="480" w:lineRule="auto"/>
        <w:jc w:val="both"/>
        <w:rPr>
          <w:rFonts w:ascii="Arial" w:eastAsia="Times New Roman" w:hAnsi="Arial" w:cs="Arial"/>
          <w:b/>
          <w:bCs/>
          <w:color w:val="0E101A"/>
          <w:sz w:val="24"/>
          <w:szCs w:val="24"/>
          <w:lang w:eastAsia="en-ZA"/>
        </w:rPr>
      </w:pPr>
    </w:p>
    <w:p w14:paraId="46B763BA" w14:textId="77777777" w:rsidR="00DE09ED" w:rsidRDefault="00DE09ED" w:rsidP="00DB4484">
      <w:pPr>
        <w:spacing w:after="0" w:line="480" w:lineRule="auto"/>
        <w:jc w:val="both"/>
        <w:rPr>
          <w:rFonts w:ascii="Arial" w:eastAsia="Times New Roman" w:hAnsi="Arial" w:cs="Arial"/>
          <w:b/>
          <w:bCs/>
          <w:color w:val="0E101A"/>
          <w:sz w:val="24"/>
          <w:szCs w:val="24"/>
          <w:lang w:eastAsia="en-ZA"/>
        </w:rPr>
      </w:pPr>
    </w:p>
    <w:p w14:paraId="0479A8C5" w14:textId="77777777" w:rsidR="00DE09ED" w:rsidRDefault="00DE09ED" w:rsidP="00DB4484">
      <w:pPr>
        <w:spacing w:after="0" w:line="480" w:lineRule="auto"/>
        <w:jc w:val="both"/>
        <w:rPr>
          <w:rFonts w:ascii="Arial" w:eastAsia="Times New Roman" w:hAnsi="Arial" w:cs="Arial"/>
          <w:b/>
          <w:bCs/>
          <w:color w:val="0E101A"/>
          <w:sz w:val="24"/>
          <w:szCs w:val="24"/>
          <w:lang w:eastAsia="en-ZA"/>
        </w:rPr>
      </w:pPr>
    </w:p>
    <w:p w14:paraId="4A4C4B02" w14:textId="77777777" w:rsidR="009C2026" w:rsidRPr="009C2026" w:rsidRDefault="009C2026" w:rsidP="00DB4484">
      <w:pPr>
        <w:spacing w:after="0" w:line="480" w:lineRule="auto"/>
        <w:jc w:val="both"/>
        <w:rPr>
          <w:rFonts w:ascii="Arial" w:eastAsia="Times New Roman" w:hAnsi="Arial" w:cs="Arial"/>
          <w:color w:val="0E101A"/>
          <w:sz w:val="24"/>
          <w:szCs w:val="24"/>
          <w:lang w:eastAsia="en-ZA"/>
        </w:rPr>
      </w:pPr>
      <w:r w:rsidRPr="009C2026">
        <w:rPr>
          <w:rFonts w:ascii="Arial" w:eastAsia="Times New Roman" w:hAnsi="Arial" w:cs="Arial"/>
          <w:b/>
          <w:bCs/>
          <w:color w:val="0E101A"/>
          <w:sz w:val="24"/>
          <w:szCs w:val="24"/>
          <w:lang w:eastAsia="en-ZA"/>
        </w:rPr>
        <w:lastRenderedPageBreak/>
        <w:t>Order  </w:t>
      </w:r>
    </w:p>
    <w:p w14:paraId="6BE66377" w14:textId="77777777" w:rsidR="009C2026" w:rsidRDefault="009C2026" w:rsidP="00DB4484">
      <w:pPr>
        <w:pStyle w:val="ListParagraph"/>
        <w:spacing w:after="0" w:line="480" w:lineRule="auto"/>
        <w:ind w:left="0"/>
        <w:jc w:val="both"/>
        <w:rPr>
          <w:rFonts w:ascii="Arial" w:eastAsia="Times New Roman" w:hAnsi="Arial" w:cs="Arial"/>
          <w:color w:val="0E101A"/>
          <w:sz w:val="24"/>
          <w:szCs w:val="24"/>
          <w:lang w:eastAsia="en-ZA"/>
        </w:rPr>
      </w:pPr>
    </w:p>
    <w:p w14:paraId="0082C0F9" w14:textId="77777777" w:rsidR="009C2026" w:rsidRDefault="009C2026" w:rsidP="00DB4484">
      <w:pPr>
        <w:pStyle w:val="ListParagraph"/>
        <w:numPr>
          <w:ilvl w:val="0"/>
          <w:numId w:val="16"/>
        </w:numPr>
        <w:spacing w:after="0" w:line="480" w:lineRule="auto"/>
        <w:ind w:left="0" w:firstLine="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In the premises I make the following order: </w:t>
      </w:r>
    </w:p>
    <w:p w14:paraId="3331C3EF" w14:textId="77777777" w:rsidR="00D54070" w:rsidRDefault="00D54070" w:rsidP="00DB4484">
      <w:pPr>
        <w:pStyle w:val="ListParagraph"/>
        <w:numPr>
          <w:ilvl w:val="0"/>
          <w:numId w:val="15"/>
        </w:num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The First Respondent, shall pay the Applicant the costs of the urgent application on a 50% basis.</w:t>
      </w:r>
    </w:p>
    <w:p w14:paraId="17367980" w14:textId="77777777" w:rsidR="00AB1A4B" w:rsidRPr="00560467" w:rsidRDefault="00AB1A4B" w:rsidP="00DB4484">
      <w:pPr>
        <w:pStyle w:val="ListParagraph"/>
        <w:numPr>
          <w:ilvl w:val="0"/>
          <w:numId w:val="15"/>
        </w:numPr>
        <w:spacing w:after="0" w:line="480" w:lineRule="auto"/>
        <w:jc w:val="both"/>
        <w:rPr>
          <w:rFonts w:ascii="Arial" w:eastAsia="Times New Roman" w:hAnsi="Arial" w:cs="Arial"/>
          <w:color w:val="0E101A"/>
          <w:sz w:val="24"/>
          <w:szCs w:val="24"/>
          <w:lang w:eastAsia="en-ZA"/>
        </w:rPr>
      </w:pPr>
      <w:r w:rsidRPr="00560467">
        <w:rPr>
          <w:rFonts w:ascii="Arial" w:eastAsia="Times New Roman" w:hAnsi="Arial" w:cs="Arial"/>
          <w:color w:val="0E101A"/>
          <w:sz w:val="24"/>
          <w:szCs w:val="24"/>
          <w:lang w:eastAsia="en-ZA"/>
        </w:rPr>
        <w:t xml:space="preserve">The applicant's application </w:t>
      </w:r>
      <w:r w:rsidR="00D54070">
        <w:rPr>
          <w:rFonts w:ascii="Arial" w:eastAsia="Times New Roman" w:hAnsi="Arial" w:cs="Arial"/>
          <w:color w:val="0E101A"/>
          <w:sz w:val="24"/>
          <w:szCs w:val="24"/>
          <w:lang w:eastAsia="en-ZA"/>
        </w:rPr>
        <w:t xml:space="preserve">to review the decision of the First Respondent </w:t>
      </w:r>
      <w:r w:rsidRPr="00560467">
        <w:rPr>
          <w:rFonts w:ascii="Arial" w:eastAsia="Times New Roman" w:hAnsi="Arial" w:cs="Arial"/>
          <w:color w:val="0E101A"/>
          <w:sz w:val="24"/>
          <w:szCs w:val="24"/>
          <w:lang w:eastAsia="en-ZA"/>
        </w:rPr>
        <w:t>is dismissed with costs. </w:t>
      </w:r>
    </w:p>
    <w:p w14:paraId="1FDFE208" w14:textId="77777777" w:rsidR="00AB1A4B" w:rsidRPr="00AB1A4B" w:rsidRDefault="00AB1A4B" w:rsidP="00DB4484">
      <w:pPr>
        <w:spacing w:after="0" w:line="480" w:lineRule="auto"/>
        <w:jc w:val="both"/>
        <w:rPr>
          <w:rFonts w:ascii="Arial" w:eastAsia="Times New Roman" w:hAnsi="Arial" w:cs="Arial"/>
          <w:color w:val="0E101A"/>
          <w:sz w:val="24"/>
          <w:szCs w:val="24"/>
          <w:lang w:eastAsia="en-ZA"/>
        </w:rPr>
      </w:pPr>
    </w:p>
    <w:p w14:paraId="6AEF036A" w14:textId="77777777" w:rsidR="004943AB" w:rsidRDefault="00C93946" w:rsidP="00DB4484">
      <w:pPr>
        <w:widowControl w:val="0"/>
        <w:autoSpaceDE w:val="0"/>
        <w:autoSpaceDN w:val="0"/>
        <w:adjustRightInd w:val="0"/>
        <w:spacing w:after="0" w:line="480" w:lineRule="auto"/>
        <w:ind w:left="5670" w:firstLine="284"/>
        <w:jc w:val="both"/>
        <w:rPr>
          <w:rFonts w:ascii="Arial" w:hAnsi="Arial" w:cs="Arial"/>
          <w:color w:val="000000"/>
          <w:sz w:val="24"/>
          <w:szCs w:val="24"/>
          <w:u w:val="single"/>
        </w:rPr>
      </w:pP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14:paraId="6E62EC09" w14:textId="77777777" w:rsidR="00C93946" w:rsidRDefault="00C93946" w:rsidP="00DB4484">
      <w:pPr>
        <w:widowControl w:val="0"/>
        <w:autoSpaceDE w:val="0"/>
        <w:autoSpaceDN w:val="0"/>
        <w:adjustRightInd w:val="0"/>
        <w:spacing w:after="0" w:line="480" w:lineRule="auto"/>
        <w:ind w:left="5954"/>
        <w:jc w:val="both"/>
        <w:rPr>
          <w:rFonts w:ascii="Arial" w:hAnsi="Arial" w:cs="Arial"/>
          <w:color w:val="000000"/>
          <w:sz w:val="24"/>
          <w:szCs w:val="24"/>
        </w:rPr>
      </w:pPr>
      <w:r>
        <w:rPr>
          <w:rFonts w:ascii="Arial" w:hAnsi="Arial" w:cs="Arial"/>
          <w:color w:val="000000"/>
          <w:sz w:val="24"/>
          <w:szCs w:val="24"/>
        </w:rPr>
        <w:t xml:space="preserve">E </w:t>
      </w:r>
      <w:proofErr w:type="spellStart"/>
      <w:r>
        <w:rPr>
          <w:rFonts w:ascii="Arial" w:hAnsi="Arial" w:cs="Arial"/>
          <w:color w:val="000000"/>
          <w:sz w:val="24"/>
          <w:szCs w:val="24"/>
        </w:rPr>
        <w:t>Molahlehi</w:t>
      </w:r>
      <w:proofErr w:type="spellEnd"/>
      <w:r>
        <w:rPr>
          <w:rFonts w:ascii="Arial" w:hAnsi="Arial" w:cs="Arial"/>
          <w:color w:val="000000"/>
          <w:sz w:val="24"/>
          <w:szCs w:val="24"/>
        </w:rPr>
        <w:t xml:space="preserve"> </w:t>
      </w:r>
    </w:p>
    <w:p w14:paraId="6405F480" w14:textId="77777777" w:rsidR="00C93946" w:rsidRDefault="00C93946" w:rsidP="00DB4484">
      <w:pPr>
        <w:widowControl w:val="0"/>
        <w:autoSpaceDE w:val="0"/>
        <w:autoSpaceDN w:val="0"/>
        <w:adjustRightInd w:val="0"/>
        <w:spacing w:after="0" w:line="480" w:lineRule="auto"/>
        <w:ind w:left="5234" w:firstLine="720"/>
        <w:jc w:val="both"/>
        <w:rPr>
          <w:rFonts w:ascii="Arial" w:hAnsi="Arial" w:cs="Arial"/>
          <w:color w:val="000000"/>
          <w:sz w:val="24"/>
          <w:szCs w:val="24"/>
        </w:rPr>
      </w:pPr>
      <w:r>
        <w:rPr>
          <w:rFonts w:ascii="Arial" w:hAnsi="Arial" w:cs="Arial"/>
          <w:color w:val="000000"/>
          <w:sz w:val="24"/>
          <w:szCs w:val="24"/>
        </w:rPr>
        <w:t>Judge of the High Court</w:t>
      </w:r>
    </w:p>
    <w:p w14:paraId="5381CD9B" w14:textId="77777777" w:rsidR="00C93946" w:rsidRDefault="00C93946" w:rsidP="00DB4484">
      <w:pPr>
        <w:widowControl w:val="0"/>
        <w:autoSpaceDE w:val="0"/>
        <w:autoSpaceDN w:val="0"/>
        <w:adjustRightInd w:val="0"/>
        <w:spacing w:after="0" w:line="480" w:lineRule="auto"/>
        <w:ind w:left="5234" w:firstLine="720"/>
        <w:jc w:val="both"/>
        <w:rPr>
          <w:rFonts w:ascii="Arial" w:hAnsi="Arial" w:cs="Arial"/>
          <w:color w:val="000000"/>
          <w:sz w:val="24"/>
          <w:szCs w:val="24"/>
        </w:rPr>
      </w:pPr>
      <w:r>
        <w:rPr>
          <w:rFonts w:ascii="Arial" w:hAnsi="Arial" w:cs="Arial"/>
          <w:color w:val="000000"/>
          <w:sz w:val="24"/>
          <w:szCs w:val="24"/>
        </w:rPr>
        <w:t xml:space="preserve">Gauteng Local Division; </w:t>
      </w:r>
    </w:p>
    <w:p w14:paraId="35B99DDC" w14:textId="77777777" w:rsidR="00DF64FC" w:rsidRDefault="00C93946" w:rsidP="00DB4484">
      <w:pPr>
        <w:widowControl w:val="0"/>
        <w:autoSpaceDE w:val="0"/>
        <w:autoSpaceDN w:val="0"/>
        <w:adjustRightInd w:val="0"/>
        <w:spacing w:after="0" w:line="480" w:lineRule="auto"/>
        <w:ind w:left="5234" w:firstLine="720"/>
        <w:jc w:val="both"/>
        <w:rPr>
          <w:rFonts w:ascii="Arial" w:hAnsi="Arial" w:cs="Arial"/>
          <w:color w:val="000000"/>
          <w:sz w:val="24"/>
          <w:szCs w:val="24"/>
        </w:rPr>
      </w:pPr>
      <w:r>
        <w:rPr>
          <w:rFonts w:ascii="Arial" w:hAnsi="Arial" w:cs="Arial"/>
          <w:color w:val="000000"/>
          <w:sz w:val="24"/>
          <w:szCs w:val="24"/>
        </w:rPr>
        <w:t xml:space="preserve">Johannesburg </w:t>
      </w:r>
    </w:p>
    <w:p w14:paraId="2CE9BFA3" w14:textId="77777777" w:rsidR="00C93946" w:rsidRDefault="00C93946" w:rsidP="00DB4484">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 xml:space="preserve">Representation: </w:t>
      </w:r>
    </w:p>
    <w:p w14:paraId="1E69AB54" w14:textId="77777777" w:rsidR="00C93946" w:rsidRPr="00363A87" w:rsidRDefault="00C93946" w:rsidP="00DB4484">
      <w:pPr>
        <w:widowControl w:val="0"/>
        <w:autoSpaceDE w:val="0"/>
        <w:autoSpaceDN w:val="0"/>
        <w:adjustRightInd w:val="0"/>
        <w:spacing w:after="0" w:line="480" w:lineRule="auto"/>
        <w:jc w:val="both"/>
        <w:rPr>
          <w:rFonts w:ascii="Arial" w:hAnsi="Arial" w:cs="Arial"/>
          <w:color w:val="000000"/>
          <w:sz w:val="24"/>
          <w:szCs w:val="24"/>
        </w:rPr>
      </w:pPr>
      <w:r w:rsidRPr="00363A87">
        <w:rPr>
          <w:rFonts w:ascii="Arial" w:hAnsi="Arial" w:cs="Arial"/>
          <w:color w:val="000000"/>
          <w:sz w:val="24"/>
          <w:szCs w:val="24"/>
        </w:rPr>
        <w:t>For the Applicant: Adv</w:t>
      </w:r>
      <w:r w:rsidR="00363A87">
        <w:rPr>
          <w:rFonts w:ascii="Arial" w:hAnsi="Arial" w:cs="Arial"/>
          <w:color w:val="000000"/>
          <w:sz w:val="24"/>
          <w:szCs w:val="24"/>
        </w:rPr>
        <w:t xml:space="preserve">. </w:t>
      </w:r>
      <w:r w:rsidRPr="00363A87">
        <w:rPr>
          <w:rFonts w:ascii="Arial" w:hAnsi="Arial" w:cs="Arial"/>
          <w:color w:val="000000"/>
          <w:sz w:val="24"/>
          <w:szCs w:val="24"/>
        </w:rPr>
        <w:t xml:space="preserve"> JJ Buys </w:t>
      </w:r>
    </w:p>
    <w:p w14:paraId="56DE8A8F" w14:textId="77777777" w:rsidR="00C93946" w:rsidRPr="00363A87" w:rsidRDefault="00C93946" w:rsidP="00DB4484">
      <w:pPr>
        <w:widowControl w:val="0"/>
        <w:autoSpaceDE w:val="0"/>
        <w:autoSpaceDN w:val="0"/>
        <w:adjustRightInd w:val="0"/>
        <w:spacing w:after="0" w:line="480" w:lineRule="auto"/>
        <w:jc w:val="both"/>
        <w:rPr>
          <w:rFonts w:ascii="Arial" w:hAnsi="Arial" w:cs="Arial"/>
          <w:color w:val="000000"/>
          <w:sz w:val="24"/>
          <w:szCs w:val="24"/>
        </w:rPr>
      </w:pPr>
      <w:r w:rsidRPr="00363A87">
        <w:rPr>
          <w:rFonts w:ascii="Arial" w:hAnsi="Arial" w:cs="Arial"/>
          <w:color w:val="000000"/>
          <w:sz w:val="24"/>
          <w:szCs w:val="24"/>
        </w:rPr>
        <w:t xml:space="preserve">Instructed by: </w:t>
      </w:r>
      <w:r w:rsidR="00363A87" w:rsidRPr="00363A87">
        <w:rPr>
          <w:rFonts w:ascii="Arial" w:hAnsi="Arial" w:cs="Arial"/>
          <w:color w:val="000000"/>
          <w:sz w:val="24"/>
          <w:szCs w:val="24"/>
        </w:rPr>
        <w:t xml:space="preserve">L and V Attorneys </w:t>
      </w:r>
    </w:p>
    <w:p w14:paraId="32767002" w14:textId="77777777" w:rsidR="00C93946" w:rsidRPr="00363A87" w:rsidRDefault="00C93946" w:rsidP="00DB4484">
      <w:pPr>
        <w:widowControl w:val="0"/>
        <w:autoSpaceDE w:val="0"/>
        <w:autoSpaceDN w:val="0"/>
        <w:adjustRightInd w:val="0"/>
        <w:spacing w:after="0" w:line="480" w:lineRule="auto"/>
        <w:jc w:val="both"/>
        <w:rPr>
          <w:rFonts w:ascii="Arial" w:hAnsi="Arial" w:cs="Arial"/>
          <w:color w:val="000000"/>
          <w:sz w:val="24"/>
          <w:szCs w:val="24"/>
        </w:rPr>
      </w:pPr>
      <w:r w:rsidRPr="00363A87">
        <w:rPr>
          <w:rFonts w:ascii="Arial" w:hAnsi="Arial" w:cs="Arial"/>
          <w:color w:val="000000"/>
          <w:sz w:val="24"/>
          <w:szCs w:val="24"/>
        </w:rPr>
        <w:t>For the First Respondent: Adv</w:t>
      </w:r>
      <w:r w:rsidR="00363A87">
        <w:rPr>
          <w:rFonts w:ascii="Arial" w:hAnsi="Arial" w:cs="Arial"/>
          <w:color w:val="000000"/>
          <w:sz w:val="24"/>
          <w:szCs w:val="24"/>
        </w:rPr>
        <w:t>.</w:t>
      </w:r>
      <w:r w:rsidRPr="00363A87">
        <w:rPr>
          <w:rFonts w:ascii="Arial" w:hAnsi="Arial" w:cs="Arial"/>
          <w:color w:val="000000"/>
          <w:sz w:val="24"/>
          <w:szCs w:val="24"/>
        </w:rPr>
        <w:t xml:space="preserve"> P </w:t>
      </w:r>
      <w:proofErr w:type="spellStart"/>
      <w:r w:rsidRPr="00363A87">
        <w:rPr>
          <w:rFonts w:ascii="Arial" w:hAnsi="Arial" w:cs="Arial"/>
          <w:color w:val="000000"/>
          <w:sz w:val="24"/>
          <w:szCs w:val="24"/>
        </w:rPr>
        <w:t>Mafisa</w:t>
      </w:r>
      <w:proofErr w:type="spellEnd"/>
      <w:r w:rsidRPr="00363A87">
        <w:rPr>
          <w:rFonts w:ascii="Arial" w:hAnsi="Arial" w:cs="Arial"/>
          <w:color w:val="000000"/>
          <w:sz w:val="24"/>
          <w:szCs w:val="24"/>
        </w:rPr>
        <w:t xml:space="preserve"> with Adv K Mokoena </w:t>
      </w:r>
    </w:p>
    <w:p w14:paraId="04B3D153" w14:textId="77777777" w:rsidR="00C93946" w:rsidRDefault="00C93946" w:rsidP="00DB4484">
      <w:pPr>
        <w:widowControl w:val="0"/>
        <w:autoSpaceDE w:val="0"/>
        <w:autoSpaceDN w:val="0"/>
        <w:adjustRightInd w:val="0"/>
        <w:spacing w:after="0" w:line="480" w:lineRule="auto"/>
        <w:jc w:val="both"/>
        <w:rPr>
          <w:rFonts w:ascii="Arial" w:hAnsi="Arial" w:cs="Arial"/>
          <w:color w:val="000000"/>
          <w:sz w:val="24"/>
          <w:szCs w:val="24"/>
        </w:rPr>
      </w:pPr>
      <w:r w:rsidRPr="00363A87">
        <w:rPr>
          <w:rFonts w:ascii="Arial" w:hAnsi="Arial" w:cs="Arial"/>
          <w:color w:val="000000"/>
          <w:sz w:val="24"/>
          <w:szCs w:val="24"/>
        </w:rPr>
        <w:t xml:space="preserve">Instructed by: </w:t>
      </w:r>
      <w:proofErr w:type="spellStart"/>
      <w:r w:rsidR="00363A87" w:rsidRPr="00363A87">
        <w:rPr>
          <w:rFonts w:ascii="Arial" w:hAnsi="Arial" w:cs="Arial"/>
          <w:color w:val="000000"/>
          <w:sz w:val="24"/>
          <w:szCs w:val="24"/>
        </w:rPr>
        <w:t>Nomathembe</w:t>
      </w:r>
      <w:proofErr w:type="spellEnd"/>
      <w:r w:rsidR="00363A87" w:rsidRPr="00363A87">
        <w:rPr>
          <w:rFonts w:ascii="Arial" w:hAnsi="Arial" w:cs="Arial"/>
          <w:color w:val="000000"/>
          <w:sz w:val="24"/>
          <w:szCs w:val="24"/>
        </w:rPr>
        <w:t xml:space="preserve"> George Attorneys  </w:t>
      </w:r>
    </w:p>
    <w:p w14:paraId="01721368" w14:textId="77777777" w:rsidR="00FB4FD3" w:rsidRDefault="00FB4FD3" w:rsidP="00DB4484">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Date of the hearing: 28 July 2021</w:t>
      </w:r>
    </w:p>
    <w:p w14:paraId="105F1D61" w14:textId="77777777" w:rsidR="00FB4FD3" w:rsidRPr="00C93946" w:rsidRDefault="00FB4FD3" w:rsidP="00DB4484">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Delivered: 10 November 2021</w:t>
      </w:r>
    </w:p>
    <w:sectPr w:rsidR="00FB4FD3" w:rsidRPr="00C939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25DB" w14:textId="77777777" w:rsidR="00195EF2" w:rsidRDefault="00195EF2" w:rsidP="00560467">
      <w:pPr>
        <w:spacing w:after="0" w:line="240" w:lineRule="auto"/>
      </w:pPr>
      <w:r>
        <w:separator/>
      </w:r>
    </w:p>
  </w:endnote>
  <w:endnote w:type="continuationSeparator" w:id="0">
    <w:p w14:paraId="7998E53F" w14:textId="77777777" w:rsidR="00195EF2" w:rsidRDefault="00195EF2" w:rsidP="0056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0212" w14:textId="77777777" w:rsidR="00195EF2" w:rsidRDefault="00195EF2" w:rsidP="00560467">
      <w:pPr>
        <w:spacing w:after="0" w:line="240" w:lineRule="auto"/>
      </w:pPr>
      <w:r>
        <w:separator/>
      </w:r>
    </w:p>
  </w:footnote>
  <w:footnote w:type="continuationSeparator" w:id="0">
    <w:p w14:paraId="419CF03A" w14:textId="77777777" w:rsidR="00195EF2" w:rsidRDefault="00195EF2" w:rsidP="00560467">
      <w:pPr>
        <w:spacing w:after="0" w:line="240" w:lineRule="auto"/>
      </w:pPr>
      <w:r>
        <w:continuationSeparator/>
      </w:r>
    </w:p>
  </w:footnote>
  <w:footnote w:id="1">
    <w:p w14:paraId="52486AB5" w14:textId="77777777" w:rsidR="001C4D15" w:rsidRPr="001C4D15" w:rsidRDefault="001C4D15" w:rsidP="001C4D15">
      <w:pPr>
        <w:pStyle w:val="FootnoteText"/>
        <w:rPr>
          <w:lang w:val="en-GB"/>
        </w:rPr>
      </w:pPr>
      <w:r>
        <w:rPr>
          <w:rStyle w:val="FootnoteReference"/>
        </w:rPr>
        <w:footnoteRef/>
      </w:r>
      <w:r>
        <w:t xml:space="preserve"> Act number </w:t>
      </w:r>
      <w:r w:rsidRPr="001C4D15">
        <w:rPr>
          <w:rFonts w:ascii="Arial" w:eastAsia="Times New Roman" w:hAnsi="Arial" w:cs="Arial"/>
          <w:color w:val="0E101A"/>
          <w:lang w:eastAsia="en-ZA"/>
        </w:rPr>
        <w:t>3 of 2000</w:t>
      </w:r>
      <w:r>
        <w:rPr>
          <w:rFonts w:ascii="Arial" w:eastAsia="Times New Roman" w:hAnsi="Arial" w:cs="Arial"/>
          <w:color w:val="0E101A"/>
          <w:lang w:eastAsia="en-ZA"/>
        </w:rPr>
        <w:t>.</w:t>
      </w:r>
    </w:p>
  </w:footnote>
  <w:footnote w:id="2">
    <w:p w14:paraId="3F327869" w14:textId="77777777" w:rsidR="003A7D90" w:rsidRPr="003A7D90" w:rsidRDefault="003A7D90" w:rsidP="003A7D90">
      <w:pPr>
        <w:pStyle w:val="FootnoteText"/>
        <w:rPr>
          <w:lang w:val="en-GB"/>
        </w:rPr>
      </w:pPr>
      <w:r>
        <w:rPr>
          <w:rStyle w:val="FootnoteReference"/>
        </w:rPr>
        <w:footnoteRef/>
      </w:r>
      <w:r>
        <w:t xml:space="preserve"> Act number </w:t>
      </w:r>
      <w:r w:rsidR="00531676">
        <w:rPr>
          <w:rFonts w:ascii="Arial" w:eastAsia="Times New Roman" w:hAnsi="Arial" w:cs="Arial"/>
          <w:color w:val="0E101A"/>
          <w:lang w:eastAsia="en-ZA"/>
        </w:rPr>
        <w:t xml:space="preserve">108 of 1996. </w:t>
      </w:r>
    </w:p>
  </w:footnote>
  <w:footnote w:id="3">
    <w:p w14:paraId="0E421D6E" w14:textId="77777777" w:rsidR="003A7D90" w:rsidRPr="003A7D90" w:rsidRDefault="003A7D90" w:rsidP="003A7D90">
      <w:pPr>
        <w:pStyle w:val="FootnoteText"/>
        <w:rPr>
          <w:lang w:val="en-GB"/>
        </w:rPr>
      </w:pPr>
      <w:r>
        <w:rPr>
          <w:rStyle w:val="FootnoteReference"/>
        </w:rPr>
        <w:footnoteRef/>
      </w:r>
      <w:r>
        <w:t xml:space="preserve"> </w:t>
      </w:r>
      <w:r>
        <w:rPr>
          <w:lang w:val="en-GB"/>
        </w:rPr>
        <w:t xml:space="preserve">Act number </w:t>
      </w:r>
      <w:r w:rsidRPr="001C4D15">
        <w:rPr>
          <w:rFonts w:ascii="Arial" w:eastAsia="Times New Roman" w:hAnsi="Arial" w:cs="Arial"/>
          <w:color w:val="0E101A"/>
          <w:lang w:eastAsia="en-ZA"/>
        </w:rPr>
        <w:t>3 of 2000</w:t>
      </w:r>
    </w:p>
  </w:footnote>
  <w:footnote w:id="4">
    <w:p w14:paraId="196FAACD" w14:textId="77777777" w:rsidR="003A7D90" w:rsidRPr="003A7D90" w:rsidRDefault="003A7D90">
      <w:pPr>
        <w:pStyle w:val="FootnoteText"/>
        <w:rPr>
          <w:lang w:val="en-GB"/>
        </w:rPr>
      </w:pPr>
      <w:r>
        <w:rPr>
          <w:rStyle w:val="FootnoteReference"/>
        </w:rPr>
        <w:footnoteRef/>
      </w:r>
      <w:r>
        <w:t xml:space="preserve"> </w:t>
      </w:r>
      <w:r w:rsidRPr="003A7D90">
        <w:rPr>
          <w:rFonts w:ascii="Arial" w:eastAsia="Times New Roman" w:hAnsi="Arial" w:cs="Arial"/>
          <w:color w:val="0E101A"/>
          <w:lang w:eastAsia="en-ZA"/>
        </w:rPr>
        <w:t>2004 (1) SA 16 (SCA) at paragraphs 11 and 12</w:t>
      </w:r>
      <w:r>
        <w:rPr>
          <w:rFonts w:ascii="Arial" w:eastAsia="Times New Roman" w:hAnsi="Arial" w:cs="Arial"/>
          <w:color w:val="0E101A"/>
          <w:lang w:eastAsia="en-ZA"/>
        </w:rPr>
        <w:t>.</w:t>
      </w:r>
    </w:p>
  </w:footnote>
  <w:footnote w:id="5">
    <w:p w14:paraId="6BF849E5" w14:textId="77777777" w:rsidR="003A7D90" w:rsidRPr="003A7D90" w:rsidRDefault="003A7D90" w:rsidP="00E3564C">
      <w:pPr>
        <w:pStyle w:val="ListParagraph"/>
        <w:spacing w:after="0" w:line="480" w:lineRule="auto"/>
        <w:ind w:left="0"/>
        <w:rPr>
          <w:lang w:val="en-GB"/>
        </w:rPr>
      </w:pPr>
      <w:r>
        <w:rPr>
          <w:rStyle w:val="FootnoteReference"/>
        </w:rPr>
        <w:footnoteRef/>
      </w:r>
      <w:r>
        <w:t xml:space="preserve"> </w:t>
      </w:r>
      <w:r w:rsidRPr="003A7D90">
        <w:rPr>
          <w:rFonts w:ascii="Arial" w:eastAsia="Times New Roman" w:hAnsi="Arial" w:cs="Arial"/>
          <w:color w:val="0E101A"/>
          <w:sz w:val="20"/>
          <w:szCs w:val="20"/>
          <w:lang w:eastAsia="en-ZA"/>
        </w:rPr>
        <w:t xml:space="preserve">See Logbro Properties CC v Bedderson NO and Others 2003 (2) SA 460 (SCA) at 465F-466C. </w:t>
      </w:r>
    </w:p>
  </w:footnote>
  <w:footnote w:id="6">
    <w:p w14:paraId="2F37C4B6" w14:textId="77777777" w:rsidR="00E3564C" w:rsidRPr="00E3564C" w:rsidRDefault="00E3564C" w:rsidP="00E3564C">
      <w:pPr>
        <w:pStyle w:val="ListParagraph"/>
        <w:spacing w:after="0" w:line="480" w:lineRule="auto"/>
        <w:ind w:left="0"/>
        <w:rPr>
          <w:rFonts w:ascii="Arial" w:eastAsia="Times New Roman" w:hAnsi="Arial" w:cs="Arial"/>
          <w:color w:val="0E101A"/>
          <w:sz w:val="20"/>
          <w:szCs w:val="20"/>
          <w:lang w:eastAsia="en-ZA"/>
        </w:rPr>
      </w:pPr>
      <w:r>
        <w:rPr>
          <w:rStyle w:val="FootnoteReference"/>
        </w:rPr>
        <w:footnoteRef/>
      </w:r>
      <w:r>
        <w:t xml:space="preserve"> </w:t>
      </w:r>
      <w:r w:rsidRPr="00E3564C">
        <w:rPr>
          <w:rFonts w:ascii="Arial" w:eastAsia="Times New Roman" w:hAnsi="Arial" w:cs="Arial"/>
          <w:color w:val="0E101A"/>
          <w:sz w:val="20"/>
          <w:szCs w:val="20"/>
          <w:lang w:eastAsia="en-ZA"/>
        </w:rPr>
        <w:t>2015 ZASCA1 86 [29 November 2013] at paragraph 10.</w:t>
      </w:r>
    </w:p>
    <w:p w14:paraId="098250F6" w14:textId="77777777" w:rsidR="00E3564C" w:rsidRPr="00E3564C" w:rsidRDefault="00E3564C">
      <w:pPr>
        <w:pStyle w:val="FootnoteText"/>
        <w:rPr>
          <w:lang w:val="en-GB"/>
        </w:rPr>
      </w:pPr>
    </w:p>
  </w:footnote>
  <w:footnote w:id="7">
    <w:p w14:paraId="6768B4D9" w14:textId="77777777" w:rsidR="00E3564C" w:rsidRPr="00E3564C" w:rsidRDefault="00E3564C" w:rsidP="00E3564C">
      <w:pPr>
        <w:pStyle w:val="FootnoteText"/>
        <w:rPr>
          <w:lang w:val="en-GB"/>
        </w:rPr>
      </w:pPr>
      <w:r>
        <w:rPr>
          <w:rStyle w:val="FootnoteReference"/>
        </w:rPr>
        <w:footnoteRef/>
      </w:r>
      <w:r>
        <w:t xml:space="preserve"> </w:t>
      </w:r>
      <w:r w:rsidRPr="00E3564C">
        <w:rPr>
          <w:rFonts w:ascii="Arial" w:eastAsia="Times New Roman" w:hAnsi="Arial" w:cs="Arial"/>
          <w:color w:val="0E101A"/>
          <w:lang w:eastAsia="en-ZA"/>
        </w:rPr>
        <w:t>2004 (1) SA 308 [SCA] paragraph 31</w:t>
      </w:r>
      <w:r>
        <w:rPr>
          <w:rFonts w:ascii="Arial" w:eastAsia="Times New Roman" w:hAnsi="Arial" w:cs="Arial"/>
          <w:color w:val="0E101A"/>
          <w:lang w:eastAsia="en-ZA"/>
        </w:rPr>
        <w:t>.</w:t>
      </w:r>
    </w:p>
  </w:footnote>
  <w:footnote w:id="8">
    <w:p w14:paraId="36EECD9D" w14:textId="77777777" w:rsidR="00E3564C" w:rsidRPr="00E3564C" w:rsidRDefault="00E3564C" w:rsidP="00E3564C">
      <w:pPr>
        <w:pStyle w:val="ListParagraph"/>
        <w:spacing w:after="0" w:line="480" w:lineRule="auto"/>
        <w:ind w:left="0"/>
        <w:rPr>
          <w:rFonts w:ascii="Arial" w:eastAsia="Times New Roman" w:hAnsi="Arial" w:cs="Arial"/>
          <w:color w:val="0E101A"/>
          <w:sz w:val="20"/>
          <w:szCs w:val="20"/>
          <w:lang w:eastAsia="en-ZA"/>
        </w:rPr>
      </w:pPr>
      <w:r>
        <w:rPr>
          <w:rStyle w:val="FootnoteReference"/>
        </w:rPr>
        <w:footnoteRef/>
      </w:r>
      <w:r>
        <w:t xml:space="preserve"> </w:t>
      </w:r>
      <w:r w:rsidRPr="00E3564C">
        <w:rPr>
          <w:rFonts w:ascii="Arial" w:eastAsia="Times New Roman" w:hAnsi="Arial" w:cs="Arial"/>
          <w:color w:val="0E101A"/>
          <w:sz w:val="20"/>
          <w:szCs w:val="20"/>
          <w:lang w:eastAsia="en-ZA"/>
        </w:rPr>
        <w:t>2014 (1) BCLR (CC) at paragraph 22.</w:t>
      </w:r>
    </w:p>
    <w:p w14:paraId="0252BF47" w14:textId="77777777" w:rsidR="00E3564C" w:rsidRPr="00E3564C" w:rsidRDefault="00E3564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963976"/>
      <w:docPartObj>
        <w:docPartGallery w:val="Page Numbers (Top of Page)"/>
        <w:docPartUnique/>
      </w:docPartObj>
    </w:sdtPr>
    <w:sdtEndPr>
      <w:rPr>
        <w:noProof/>
      </w:rPr>
    </w:sdtEndPr>
    <w:sdtContent>
      <w:p w14:paraId="13F02F34" w14:textId="77777777" w:rsidR="00560467" w:rsidRDefault="00560467" w:rsidP="00560467">
        <w:pPr>
          <w:pStyle w:val="Header"/>
          <w:ind w:left="3407" w:firstLine="4513"/>
          <w:jc w:val="center"/>
        </w:pPr>
        <w:r>
          <w:t xml:space="preserve">Page </w:t>
        </w:r>
        <w:r>
          <w:fldChar w:fldCharType="begin"/>
        </w:r>
        <w:r>
          <w:instrText xml:space="preserve"> PAGE   \* MERGEFORMAT </w:instrText>
        </w:r>
        <w:r>
          <w:fldChar w:fldCharType="separate"/>
        </w:r>
        <w:r w:rsidR="00027738">
          <w:rPr>
            <w:noProof/>
          </w:rPr>
          <w:t>2</w:t>
        </w:r>
        <w:r>
          <w:rPr>
            <w:noProof/>
          </w:rPr>
          <w:fldChar w:fldCharType="end"/>
        </w:r>
      </w:p>
    </w:sdtContent>
  </w:sdt>
  <w:p w14:paraId="004F8934" w14:textId="77777777" w:rsidR="00560467" w:rsidRDefault="00560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738"/>
    <w:multiLevelType w:val="hybridMultilevel"/>
    <w:tmpl w:val="E250C12C"/>
    <w:lvl w:ilvl="0" w:tplc="5566C362">
      <w:start w:val="1"/>
      <w:numFmt w:val="decimal"/>
      <w:lvlText w:val="[%1]"/>
      <w:lvlJc w:val="left"/>
      <w:pPr>
        <w:ind w:left="720" w:hanging="360"/>
      </w:pPr>
      <w:rPr>
        <w:rFonts w:hint="default"/>
      </w:rPr>
    </w:lvl>
    <w:lvl w:ilvl="1" w:tplc="6E8C5518">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1F3732"/>
    <w:multiLevelType w:val="hybridMultilevel"/>
    <w:tmpl w:val="A0FA29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4E4059"/>
    <w:multiLevelType w:val="hybridMultilevel"/>
    <w:tmpl w:val="8DFEE8B2"/>
    <w:lvl w:ilvl="0" w:tplc="E44CBC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6502671"/>
    <w:multiLevelType w:val="multilevel"/>
    <w:tmpl w:val="0FC2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E126B"/>
    <w:multiLevelType w:val="hybridMultilevel"/>
    <w:tmpl w:val="220EFE64"/>
    <w:lvl w:ilvl="0" w:tplc="91B0A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B2C6433"/>
    <w:multiLevelType w:val="hybridMultilevel"/>
    <w:tmpl w:val="2618DD66"/>
    <w:lvl w:ilvl="0" w:tplc="FB78C0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E237726"/>
    <w:multiLevelType w:val="hybridMultilevel"/>
    <w:tmpl w:val="F69209C2"/>
    <w:lvl w:ilvl="0" w:tplc="E048EB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1732B7F"/>
    <w:multiLevelType w:val="hybridMultilevel"/>
    <w:tmpl w:val="AAC83296"/>
    <w:lvl w:ilvl="0" w:tplc="1C207748">
      <w:start w:val="1"/>
      <w:numFmt w:val="lowerLetter"/>
      <w:lvlText w:val="(%1)"/>
      <w:lvlJc w:val="left"/>
      <w:pPr>
        <w:ind w:left="1801" w:hanging="360"/>
      </w:pPr>
      <w:rPr>
        <w:rFonts w:hint="default"/>
      </w:rPr>
    </w:lvl>
    <w:lvl w:ilvl="1" w:tplc="1C090019" w:tentative="1">
      <w:start w:val="1"/>
      <w:numFmt w:val="lowerLetter"/>
      <w:lvlText w:val="%2."/>
      <w:lvlJc w:val="left"/>
      <w:pPr>
        <w:ind w:left="2521" w:hanging="360"/>
      </w:pPr>
    </w:lvl>
    <w:lvl w:ilvl="2" w:tplc="1C09001B" w:tentative="1">
      <w:start w:val="1"/>
      <w:numFmt w:val="lowerRoman"/>
      <w:lvlText w:val="%3."/>
      <w:lvlJc w:val="right"/>
      <w:pPr>
        <w:ind w:left="3241" w:hanging="180"/>
      </w:pPr>
    </w:lvl>
    <w:lvl w:ilvl="3" w:tplc="1C09000F" w:tentative="1">
      <w:start w:val="1"/>
      <w:numFmt w:val="decimal"/>
      <w:lvlText w:val="%4."/>
      <w:lvlJc w:val="left"/>
      <w:pPr>
        <w:ind w:left="3961" w:hanging="360"/>
      </w:pPr>
    </w:lvl>
    <w:lvl w:ilvl="4" w:tplc="1C090019" w:tentative="1">
      <w:start w:val="1"/>
      <w:numFmt w:val="lowerLetter"/>
      <w:lvlText w:val="%5."/>
      <w:lvlJc w:val="left"/>
      <w:pPr>
        <w:ind w:left="4681" w:hanging="360"/>
      </w:pPr>
    </w:lvl>
    <w:lvl w:ilvl="5" w:tplc="1C09001B" w:tentative="1">
      <w:start w:val="1"/>
      <w:numFmt w:val="lowerRoman"/>
      <w:lvlText w:val="%6."/>
      <w:lvlJc w:val="right"/>
      <w:pPr>
        <w:ind w:left="5401" w:hanging="180"/>
      </w:pPr>
    </w:lvl>
    <w:lvl w:ilvl="6" w:tplc="1C09000F" w:tentative="1">
      <w:start w:val="1"/>
      <w:numFmt w:val="decimal"/>
      <w:lvlText w:val="%7."/>
      <w:lvlJc w:val="left"/>
      <w:pPr>
        <w:ind w:left="6121" w:hanging="360"/>
      </w:pPr>
    </w:lvl>
    <w:lvl w:ilvl="7" w:tplc="1C090019" w:tentative="1">
      <w:start w:val="1"/>
      <w:numFmt w:val="lowerLetter"/>
      <w:lvlText w:val="%8."/>
      <w:lvlJc w:val="left"/>
      <w:pPr>
        <w:ind w:left="6841" w:hanging="360"/>
      </w:pPr>
    </w:lvl>
    <w:lvl w:ilvl="8" w:tplc="1C09001B" w:tentative="1">
      <w:start w:val="1"/>
      <w:numFmt w:val="lowerRoman"/>
      <w:lvlText w:val="%9."/>
      <w:lvlJc w:val="right"/>
      <w:pPr>
        <w:ind w:left="7561" w:hanging="180"/>
      </w:pPr>
    </w:lvl>
  </w:abstractNum>
  <w:abstractNum w:abstractNumId="9" w15:restartNumberingAfterBreak="0">
    <w:nsid w:val="41C96ADE"/>
    <w:multiLevelType w:val="hybridMultilevel"/>
    <w:tmpl w:val="EBDE2B8E"/>
    <w:lvl w:ilvl="0" w:tplc="2FDA366A">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BD44782"/>
    <w:multiLevelType w:val="hybridMultilevel"/>
    <w:tmpl w:val="82CC3F74"/>
    <w:lvl w:ilvl="0" w:tplc="A81E0B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0587969"/>
    <w:multiLevelType w:val="hybridMultilevel"/>
    <w:tmpl w:val="2550BD90"/>
    <w:lvl w:ilvl="0" w:tplc="AC3CFF56">
      <w:start w:val="2"/>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520F62E9"/>
    <w:multiLevelType w:val="hybridMultilevel"/>
    <w:tmpl w:val="56D20FBC"/>
    <w:lvl w:ilvl="0" w:tplc="165661A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419077C"/>
    <w:multiLevelType w:val="hybridMultilevel"/>
    <w:tmpl w:val="76AAD79C"/>
    <w:lvl w:ilvl="0" w:tplc="6F2E9D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7EA7105"/>
    <w:multiLevelType w:val="hybridMultilevel"/>
    <w:tmpl w:val="2C10EFA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A771FF2"/>
    <w:multiLevelType w:val="hybridMultilevel"/>
    <w:tmpl w:val="BAC821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E516F8E"/>
    <w:multiLevelType w:val="hybridMultilevel"/>
    <w:tmpl w:val="2550BD90"/>
    <w:lvl w:ilvl="0" w:tplc="AC3CFF56">
      <w:start w:val="2"/>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5"/>
  </w:num>
  <w:num w:numId="2">
    <w:abstractNumId w:val="6"/>
  </w:num>
  <w:num w:numId="3">
    <w:abstractNumId w:val="12"/>
  </w:num>
  <w:num w:numId="4">
    <w:abstractNumId w:val="9"/>
  </w:num>
  <w:num w:numId="5">
    <w:abstractNumId w:val="7"/>
  </w:num>
  <w:num w:numId="6">
    <w:abstractNumId w:val="5"/>
  </w:num>
  <w:num w:numId="7">
    <w:abstractNumId w:val="3"/>
  </w:num>
  <w:num w:numId="8">
    <w:abstractNumId w:val="4"/>
  </w:num>
  <w:num w:numId="9">
    <w:abstractNumId w:val="0"/>
  </w:num>
  <w:num w:numId="10">
    <w:abstractNumId w:val="10"/>
  </w:num>
  <w:num w:numId="11">
    <w:abstractNumId w:val="16"/>
  </w:num>
  <w:num w:numId="12">
    <w:abstractNumId w:val="2"/>
  </w:num>
  <w:num w:numId="13">
    <w:abstractNumId w:val="13"/>
  </w:num>
  <w:num w:numId="14">
    <w:abstractNumId w:val="8"/>
  </w:num>
  <w:num w:numId="15">
    <w:abstractNumId w:val="1"/>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9B"/>
    <w:rsid w:val="00027738"/>
    <w:rsid w:val="00055656"/>
    <w:rsid w:val="0009096B"/>
    <w:rsid w:val="000C2644"/>
    <w:rsid w:val="000D53E8"/>
    <w:rsid w:val="000E31C3"/>
    <w:rsid w:val="001011F6"/>
    <w:rsid w:val="00167555"/>
    <w:rsid w:val="001802B3"/>
    <w:rsid w:val="00180975"/>
    <w:rsid w:val="00195EF2"/>
    <w:rsid w:val="001B63C5"/>
    <w:rsid w:val="001C4D15"/>
    <w:rsid w:val="002726E3"/>
    <w:rsid w:val="00292412"/>
    <w:rsid w:val="002C66F6"/>
    <w:rsid w:val="002D1664"/>
    <w:rsid w:val="002F3346"/>
    <w:rsid w:val="003147F9"/>
    <w:rsid w:val="003317CC"/>
    <w:rsid w:val="00363A87"/>
    <w:rsid w:val="00366198"/>
    <w:rsid w:val="00371EAB"/>
    <w:rsid w:val="003A19C4"/>
    <w:rsid w:val="003A7D90"/>
    <w:rsid w:val="003D4EF5"/>
    <w:rsid w:val="003E62EF"/>
    <w:rsid w:val="003F4FAF"/>
    <w:rsid w:val="00450A2C"/>
    <w:rsid w:val="0048149F"/>
    <w:rsid w:val="004943AB"/>
    <w:rsid w:val="004D5435"/>
    <w:rsid w:val="00522840"/>
    <w:rsid w:val="00531676"/>
    <w:rsid w:val="00560467"/>
    <w:rsid w:val="005624D7"/>
    <w:rsid w:val="005964D6"/>
    <w:rsid w:val="005A2932"/>
    <w:rsid w:val="005A474E"/>
    <w:rsid w:val="005D7C1A"/>
    <w:rsid w:val="0068415B"/>
    <w:rsid w:val="00711764"/>
    <w:rsid w:val="0076692C"/>
    <w:rsid w:val="007E36A2"/>
    <w:rsid w:val="00815BAD"/>
    <w:rsid w:val="00824872"/>
    <w:rsid w:val="00847C2D"/>
    <w:rsid w:val="0086139B"/>
    <w:rsid w:val="00867B96"/>
    <w:rsid w:val="00886836"/>
    <w:rsid w:val="008C179E"/>
    <w:rsid w:val="008F606A"/>
    <w:rsid w:val="00946046"/>
    <w:rsid w:val="009A1385"/>
    <w:rsid w:val="009C2026"/>
    <w:rsid w:val="009D0094"/>
    <w:rsid w:val="009E3CFB"/>
    <w:rsid w:val="009F5C54"/>
    <w:rsid w:val="00A047BA"/>
    <w:rsid w:val="00A10D8A"/>
    <w:rsid w:val="00A4374D"/>
    <w:rsid w:val="00AB1A4B"/>
    <w:rsid w:val="00AB5CF4"/>
    <w:rsid w:val="00B44352"/>
    <w:rsid w:val="00B501A7"/>
    <w:rsid w:val="00BE73FE"/>
    <w:rsid w:val="00C04D79"/>
    <w:rsid w:val="00C333A7"/>
    <w:rsid w:val="00C93946"/>
    <w:rsid w:val="00CE4672"/>
    <w:rsid w:val="00D54070"/>
    <w:rsid w:val="00D5694B"/>
    <w:rsid w:val="00D70F8E"/>
    <w:rsid w:val="00D7182E"/>
    <w:rsid w:val="00D80C1A"/>
    <w:rsid w:val="00D92854"/>
    <w:rsid w:val="00DB0109"/>
    <w:rsid w:val="00DB4484"/>
    <w:rsid w:val="00DE09ED"/>
    <w:rsid w:val="00DF64FC"/>
    <w:rsid w:val="00E3564C"/>
    <w:rsid w:val="00E52A8A"/>
    <w:rsid w:val="00E532EE"/>
    <w:rsid w:val="00E60440"/>
    <w:rsid w:val="00E726E4"/>
    <w:rsid w:val="00E72C85"/>
    <w:rsid w:val="00EA23F3"/>
    <w:rsid w:val="00EB0E95"/>
    <w:rsid w:val="00EB776C"/>
    <w:rsid w:val="00EC6948"/>
    <w:rsid w:val="00EC7D95"/>
    <w:rsid w:val="00F40452"/>
    <w:rsid w:val="00F53156"/>
    <w:rsid w:val="00F872EC"/>
    <w:rsid w:val="00FB4F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5C00"/>
  <w15:chartTrackingRefBased/>
  <w15:docId w15:val="{B0C1E652-5742-45E2-822A-CDD62A7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9B"/>
    <w:pPr>
      <w:ind w:left="720"/>
      <w:contextualSpacing/>
    </w:pPr>
  </w:style>
  <w:style w:type="paragraph" w:styleId="NormalWeb">
    <w:name w:val="Normal (Web)"/>
    <w:basedOn w:val="Normal"/>
    <w:uiPriority w:val="99"/>
    <w:semiHidden/>
    <w:unhideWhenUsed/>
    <w:rsid w:val="0094604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946046"/>
    <w:rPr>
      <w:color w:val="0000FF"/>
      <w:u w:val="single"/>
    </w:rPr>
  </w:style>
  <w:style w:type="character" w:styleId="Strong">
    <w:name w:val="Strong"/>
    <w:basedOn w:val="DefaultParagraphFont"/>
    <w:uiPriority w:val="22"/>
    <w:qFormat/>
    <w:rsid w:val="00AB1A4B"/>
    <w:rPr>
      <w:b/>
      <w:bCs/>
    </w:rPr>
  </w:style>
  <w:style w:type="paragraph" w:styleId="Header">
    <w:name w:val="header"/>
    <w:basedOn w:val="Normal"/>
    <w:link w:val="HeaderChar"/>
    <w:uiPriority w:val="99"/>
    <w:unhideWhenUsed/>
    <w:rsid w:val="00560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467"/>
  </w:style>
  <w:style w:type="paragraph" w:styleId="Footer">
    <w:name w:val="footer"/>
    <w:basedOn w:val="Normal"/>
    <w:link w:val="FooterChar"/>
    <w:uiPriority w:val="99"/>
    <w:unhideWhenUsed/>
    <w:rsid w:val="00560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467"/>
  </w:style>
  <w:style w:type="paragraph" w:customStyle="1" w:styleId="Frontpagecaps">
    <w:name w:val="Front page caps"/>
    <w:basedOn w:val="Normal"/>
    <w:uiPriority w:val="2"/>
    <w:semiHidden/>
    <w:qFormat/>
    <w:rsid w:val="00363A87"/>
    <w:pPr>
      <w:spacing w:before="120" w:after="120" w:line="360" w:lineRule="auto"/>
    </w:pPr>
    <w:rPr>
      <w:rFonts w:ascii="Arial" w:eastAsia="Calibri" w:hAnsi="Arial" w:cs="Times New Roman"/>
      <w:b/>
      <w:caps/>
      <w:sz w:val="26"/>
      <w:szCs w:val="20"/>
    </w:rPr>
  </w:style>
  <w:style w:type="table" w:styleId="TableGrid">
    <w:name w:val="Table Grid"/>
    <w:basedOn w:val="TableNormal"/>
    <w:uiPriority w:val="39"/>
    <w:rsid w:val="0036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2EE"/>
    <w:rPr>
      <w:rFonts w:ascii="Segoe UI" w:hAnsi="Segoe UI" w:cs="Segoe UI"/>
      <w:sz w:val="18"/>
      <w:szCs w:val="18"/>
    </w:rPr>
  </w:style>
  <w:style w:type="paragraph" w:styleId="FootnoteText">
    <w:name w:val="footnote text"/>
    <w:basedOn w:val="Normal"/>
    <w:link w:val="FootnoteTextChar"/>
    <w:uiPriority w:val="99"/>
    <w:semiHidden/>
    <w:unhideWhenUsed/>
    <w:rsid w:val="00F531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156"/>
    <w:rPr>
      <w:sz w:val="20"/>
      <w:szCs w:val="20"/>
    </w:rPr>
  </w:style>
  <w:style w:type="character" w:styleId="FootnoteReference">
    <w:name w:val="footnote reference"/>
    <w:basedOn w:val="DefaultParagraphFont"/>
    <w:uiPriority w:val="99"/>
    <w:semiHidden/>
    <w:unhideWhenUsed/>
    <w:rsid w:val="00F53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5045">
      <w:bodyDiv w:val="1"/>
      <w:marLeft w:val="0"/>
      <w:marRight w:val="0"/>
      <w:marTop w:val="0"/>
      <w:marBottom w:val="0"/>
      <w:divBdr>
        <w:top w:val="none" w:sz="0" w:space="0" w:color="auto"/>
        <w:left w:val="none" w:sz="0" w:space="0" w:color="auto"/>
        <w:bottom w:val="none" w:sz="0" w:space="0" w:color="auto"/>
        <w:right w:val="none" w:sz="0" w:space="0" w:color="auto"/>
      </w:divBdr>
    </w:div>
    <w:div w:id="938492982">
      <w:bodyDiv w:val="1"/>
      <w:marLeft w:val="0"/>
      <w:marRight w:val="0"/>
      <w:marTop w:val="0"/>
      <w:marBottom w:val="0"/>
      <w:divBdr>
        <w:top w:val="none" w:sz="0" w:space="0" w:color="auto"/>
        <w:left w:val="none" w:sz="0" w:space="0" w:color="auto"/>
        <w:bottom w:val="none" w:sz="0" w:space="0" w:color="auto"/>
        <w:right w:val="none" w:sz="0" w:space="0" w:color="auto"/>
      </w:divBdr>
    </w:div>
    <w:div w:id="1249117777">
      <w:bodyDiv w:val="1"/>
      <w:marLeft w:val="0"/>
      <w:marRight w:val="0"/>
      <w:marTop w:val="0"/>
      <w:marBottom w:val="0"/>
      <w:divBdr>
        <w:top w:val="none" w:sz="0" w:space="0" w:color="auto"/>
        <w:left w:val="none" w:sz="0" w:space="0" w:color="auto"/>
        <w:bottom w:val="none" w:sz="0" w:space="0" w:color="auto"/>
        <w:right w:val="none" w:sz="0" w:space="0" w:color="auto"/>
      </w:divBdr>
    </w:div>
    <w:div w:id="1595671168">
      <w:bodyDiv w:val="1"/>
      <w:marLeft w:val="0"/>
      <w:marRight w:val="0"/>
      <w:marTop w:val="0"/>
      <w:marBottom w:val="0"/>
      <w:divBdr>
        <w:top w:val="none" w:sz="0" w:space="0" w:color="auto"/>
        <w:left w:val="none" w:sz="0" w:space="0" w:color="auto"/>
        <w:bottom w:val="none" w:sz="0" w:space="0" w:color="auto"/>
        <w:right w:val="none" w:sz="0" w:space="0" w:color="auto"/>
      </w:divBdr>
    </w:div>
    <w:div w:id="19164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C3866-EF6D-47F2-AF6F-6767D615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Graeme Rennie</cp:lastModifiedBy>
  <cp:revision>2</cp:revision>
  <cp:lastPrinted>2021-11-09T12:45:00Z</cp:lastPrinted>
  <dcterms:created xsi:type="dcterms:W3CDTF">2021-11-26T08:37:00Z</dcterms:created>
  <dcterms:modified xsi:type="dcterms:W3CDTF">2021-11-26T08:37:00Z</dcterms:modified>
</cp:coreProperties>
</file>