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77777777" w:rsidR="00B16DB4" w:rsidRDefault="00B16DB4" w:rsidP="00C82197">
      <w:pPr>
        <w:pStyle w:val="Title"/>
        <w:rPr>
          <w:sz w:val="24"/>
          <w:szCs w:val="24"/>
        </w:rPr>
      </w:pPr>
      <w:r>
        <w:rPr>
          <w:noProof/>
          <w:sz w:val="24"/>
          <w:szCs w:val="24"/>
          <w:lang w:eastAsia="en-ZA"/>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1081FF7A" w:rsidR="006D4C73" w:rsidRDefault="00C67123" w:rsidP="00C6712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226B2D">
                              <w:rPr>
                                <w:rFonts w:ascii="Century Gothic" w:hAnsi="Century Gothic"/>
                                <w:sz w:val="20"/>
                                <w:szCs w:val="20"/>
                              </w:rPr>
                              <w:t>NO</w:t>
                            </w:r>
                          </w:p>
                          <w:p w14:paraId="300C0173" w14:textId="186908C4" w:rsidR="006D4C73" w:rsidRDefault="00C67123" w:rsidP="00C67123">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226B2D">
                              <w:rPr>
                                <w:rFonts w:ascii="Century Gothic" w:hAnsi="Century Gothic"/>
                                <w:sz w:val="20"/>
                                <w:szCs w:val="20"/>
                              </w:rPr>
                              <w:t>NO</w:t>
                            </w:r>
                          </w:p>
                          <w:p w14:paraId="57A058C4" w14:textId="127E755C" w:rsidR="006D4C73" w:rsidRDefault="00C67123" w:rsidP="00C6712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0D5429F5"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5F6FE421"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676666">
                              <w:rPr>
                                <w:rFonts w:ascii="Century Gothic" w:hAnsi="Century Gothic"/>
                                <w:sz w:val="18"/>
                                <w:szCs w:val="18"/>
                              </w:rPr>
                              <w:t>5</w:t>
                            </w:r>
                            <w:r w:rsidR="002420C3">
                              <w:rPr>
                                <w:rFonts w:ascii="Century Gothic" w:hAnsi="Century Gothic"/>
                                <w:sz w:val="18"/>
                                <w:szCs w:val="18"/>
                              </w:rPr>
                              <w:t xml:space="preserve"> November 2021</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">
                <v:textbox>
                  <w:txbxContent>
                    <w:p w14:paraId="56D477FD" w14:textId="1081FF7A" w:rsidR="006D4C73" w:rsidRDefault="00C67123" w:rsidP="00C6712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226B2D">
                        <w:rPr>
                          <w:rFonts w:ascii="Century Gothic" w:hAnsi="Century Gothic"/>
                          <w:sz w:val="20"/>
                          <w:szCs w:val="20"/>
                        </w:rPr>
                        <w:t>NO</w:t>
                      </w:r>
                    </w:p>
                    <w:p w14:paraId="300C0173" w14:textId="186908C4" w:rsidR="006D4C73" w:rsidRDefault="00C67123" w:rsidP="00C67123">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226B2D">
                        <w:rPr>
                          <w:rFonts w:ascii="Century Gothic" w:hAnsi="Century Gothic"/>
                          <w:sz w:val="20"/>
                          <w:szCs w:val="20"/>
                        </w:rPr>
                        <w:t>NO</w:t>
                      </w:r>
                    </w:p>
                    <w:p w14:paraId="57A058C4" w14:textId="127E755C" w:rsidR="006D4C73" w:rsidRDefault="00C67123" w:rsidP="00C6712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0D5429F5"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5F6FE421"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676666">
                        <w:rPr>
                          <w:rFonts w:ascii="Century Gothic" w:hAnsi="Century Gothic"/>
                          <w:sz w:val="18"/>
                          <w:szCs w:val="18"/>
                        </w:rPr>
                        <w:t>5</w:t>
                      </w:r>
                      <w:r w:rsidR="002420C3">
                        <w:rPr>
                          <w:rFonts w:ascii="Century Gothic" w:hAnsi="Century Gothic"/>
                          <w:sz w:val="18"/>
                          <w:szCs w:val="18"/>
                        </w:rPr>
                        <w:t xml:space="preserve"> November 2021</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3512E265" w14:textId="3900E96C" w:rsidR="004415B7" w:rsidRDefault="00C82197" w:rsidP="004415B7">
      <w:pPr>
        <w:pStyle w:val="Heading4"/>
        <w:tabs>
          <w:tab w:val="right" w:pos="8646"/>
        </w:tabs>
        <w:jc w:val="left"/>
        <w:rPr>
          <w:b w:val="0"/>
          <w:sz w:val="24"/>
          <w:szCs w:val="24"/>
        </w:rPr>
      </w:pPr>
      <w:r>
        <w:rPr>
          <w:b w:val="0"/>
        </w:rPr>
        <w:t xml:space="preserve">                                                 </w:t>
      </w:r>
      <w:r>
        <w:rPr>
          <w:b w:val="0"/>
          <w:sz w:val="24"/>
          <w:szCs w:val="24"/>
        </w:rPr>
        <w:t xml:space="preserve">    </w:t>
      </w:r>
    </w:p>
    <w:p w14:paraId="6D58992C" w14:textId="14D54249" w:rsidR="00C82197" w:rsidRPr="003B7BDC" w:rsidRDefault="00C82197" w:rsidP="00C82197">
      <w:pPr>
        <w:pStyle w:val="Heading4"/>
        <w:tabs>
          <w:tab w:val="right" w:pos="8646"/>
        </w:tabs>
        <w:rPr>
          <w:b w:val="0"/>
          <w:sz w:val="24"/>
          <w:szCs w:val="24"/>
        </w:rPr>
      </w:pPr>
      <w:r>
        <w:rPr>
          <w:b w:val="0"/>
          <w:sz w:val="24"/>
          <w:szCs w:val="24"/>
        </w:rPr>
        <w:t>Case</w:t>
      </w:r>
      <w:r w:rsidRPr="003B7BDC">
        <w:rPr>
          <w:b w:val="0"/>
          <w:sz w:val="24"/>
          <w:szCs w:val="24"/>
        </w:rPr>
        <w:t xml:space="preserve"> No: </w:t>
      </w:r>
      <w:r w:rsidR="00676666">
        <w:rPr>
          <w:b w:val="0"/>
          <w:sz w:val="24"/>
          <w:szCs w:val="24"/>
        </w:rPr>
        <w:t>11111</w:t>
      </w:r>
      <w:r w:rsidR="00226B2D">
        <w:rPr>
          <w:b w:val="0"/>
          <w:sz w:val="24"/>
          <w:szCs w:val="24"/>
        </w:rPr>
        <w:t xml:space="preserve"> / 20</w:t>
      </w:r>
      <w:r w:rsidR="00676666">
        <w:rPr>
          <w:b w:val="0"/>
          <w:sz w:val="24"/>
          <w:szCs w:val="24"/>
        </w:rPr>
        <w:t>20</w:t>
      </w:r>
    </w:p>
    <w:p w14:paraId="7AF92D42" w14:textId="5E605CE6" w:rsidR="00C82197" w:rsidRDefault="00C82197" w:rsidP="00C82197">
      <w:pPr>
        <w:rPr>
          <w:rFonts w:ascii="Arial" w:hAnsi="Arial" w:cs="Arial"/>
          <w:lang w:val="en-ZA" w:eastAsia="ja-JP"/>
        </w:rPr>
      </w:pPr>
      <w:r w:rsidRPr="00F33F8F">
        <w:rPr>
          <w:rFonts w:ascii="Arial" w:hAnsi="Arial" w:cs="Arial"/>
          <w:lang w:val="en-ZA" w:eastAsia="ja-JP"/>
        </w:rPr>
        <w:t>I</w:t>
      </w:r>
      <w:r>
        <w:rPr>
          <w:rFonts w:ascii="Arial" w:hAnsi="Arial" w:cs="Arial"/>
          <w:lang w:val="en-ZA" w:eastAsia="ja-JP"/>
        </w:rPr>
        <w:t>n</w:t>
      </w:r>
      <w:r w:rsidRPr="00F33F8F">
        <w:rPr>
          <w:rFonts w:ascii="Arial" w:hAnsi="Arial" w:cs="Arial"/>
          <w:lang w:val="en-ZA" w:eastAsia="ja-JP"/>
        </w:rPr>
        <w:t xml:space="preserve"> the matter between:</w:t>
      </w:r>
    </w:p>
    <w:p w14:paraId="31D8BED2" w14:textId="77777777" w:rsidR="00226B2D" w:rsidRPr="00F33F8F" w:rsidRDefault="00226B2D" w:rsidP="00C82197">
      <w:pPr>
        <w:rPr>
          <w:rFonts w:ascii="Arial" w:hAnsi="Arial" w:cs="Arial"/>
          <w:lang w:val="en-ZA" w:eastAsia="ja-JP"/>
        </w:rPr>
      </w:pPr>
    </w:p>
    <w:p w14:paraId="6A37CD9C" w14:textId="70624251" w:rsidR="00C82197" w:rsidRDefault="00676666" w:rsidP="00C82197">
      <w:pPr>
        <w:tabs>
          <w:tab w:val="right" w:pos="8646"/>
        </w:tabs>
        <w:rPr>
          <w:rFonts w:ascii="Arial" w:hAnsi="Arial"/>
        </w:rPr>
      </w:pPr>
      <w:r>
        <w:rPr>
          <w:rFonts w:ascii="Arial" w:hAnsi="Arial"/>
          <w:b/>
        </w:rPr>
        <w:t>ANOOSHKUMAR ROOPLAL NO</w:t>
      </w:r>
      <w:r w:rsidR="00C82197" w:rsidRPr="004358DF">
        <w:rPr>
          <w:rFonts w:ascii="Arial" w:hAnsi="Arial"/>
        </w:rPr>
        <w:tab/>
      </w:r>
      <w:r>
        <w:rPr>
          <w:rFonts w:ascii="Arial" w:hAnsi="Arial"/>
        </w:rPr>
        <w:t>Applicant</w:t>
      </w:r>
    </w:p>
    <w:p w14:paraId="79D7C44B" w14:textId="77777777" w:rsidR="00C82197" w:rsidRDefault="00C82197" w:rsidP="00C82197">
      <w:pPr>
        <w:tabs>
          <w:tab w:val="right" w:pos="8646"/>
        </w:tabs>
        <w:rPr>
          <w:rFonts w:ascii="Arial" w:hAnsi="Arial"/>
        </w:rPr>
      </w:pPr>
    </w:p>
    <w:p w14:paraId="65925D4A" w14:textId="77777777" w:rsidR="00C82197" w:rsidRDefault="00C82197" w:rsidP="00C82197">
      <w:pPr>
        <w:tabs>
          <w:tab w:val="right" w:pos="8646"/>
        </w:tabs>
        <w:rPr>
          <w:rFonts w:ascii="Arial" w:hAnsi="Arial"/>
        </w:rPr>
      </w:pPr>
      <w:r>
        <w:rPr>
          <w:rFonts w:ascii="Arial" w:hAnsi="Arial"/>
        </w:rPr>
        <w:t>and</w:t>
      </w:r>
    </w:p>
    <w:p w14:paraId="3B11DD63" w14:textId="77777777" w:rsidR="00C82197" w:rsidRDefault="00C82197" w:rsidP="00C82197">
      <w:pPr>
        <w:tabs>
          <w:tab w:val="right" w:pos="8646"/>
        </w:tabs>
        <w:rPr>
          <w:rFonts w:ascii="Arial" w:hAnsi="Arial"/>
          <w:b/>
        </w:rPr>
      </w:pPr>
    </w:p>
    <w:p w14:paraId="37670252" w14:textId="77A1D875" w:rsidR="00C82197" w:rsidRDefault="00676666" w:rsidP="00C82197">
      <w:pPr>
        <w:tabs>
          <w:tab w:val="right" w:pos="8646"/>
        </w:tabs>
        <w:rPr>
          <w:rFonts w:ascii="Arial" w:hAnsi="Arial"/>
        </w:rPr>
      </w:pPr>
      <w:r>
        <w:rPr>
          <w:rFonts w:ascii="Arial" w:hAnsi="Arial"/>
          <w:b/>
        </w:rPr>
        <w:t>NDIVHUWO KHANGELA</w:t>
      </w:r>
      <w:r w:rsidR="00C82197">
        <w:rPr>
          <w:rFonts w:ascii="Arial" w:hAnsi="Arial"/>
          <w:b/>
        </w:rPr>
        <w:tab/>
      </w:r>
      <w:r w:rsidR="002420C3" w:rsidRPr="002420C3">
        <w:rPr>
          <w:rFonts w:ascii="Arial" w:hAnsi="Arial"/>
          <w:bCs/>
        </w:rPr>
        <w:t>First</w:t>
      </w:r>
      <w:r w:rsidR="002420C3">
        <w:rPr>
          <w:rFonts w:ascii="Arial" w:hAnsi="Arial"/>
          <w:b/>
        </w:rPr>
        <w:t xml:space="preserve"> </w:t>
      </w:r>
      <w:r>
        <w:rPr>
          <w:rFonts w:ascii="Arial" w:hAnsi="Arial"/>
        </w:rPr>
        <w:t>Respondent</w:t>
      </w:r>
    </w:p>
    <w:p w14:paraId="30349201" w14:textId="6BD20A20" w:rsidR="002420C3" w:rsidRDefault="002420C3" w:rsidP="00C82197">
      <w:pPr>
        <w:tabs>
          <w:tab w:val="right" w:pos="8646"/>
        </w:tabs>
        <w:rPr>
          <w:rFonts w:ascii="Arial" w:hAnsi="Arial"/>
        </w:rPr>
      </w:pPr>
    </w:p>
    <w:p w14:paraId="73DB5EB0" w14:textId="697C359E" w:rsidR="002420C3" w:rsidRDefault="00676666" w:rsidP="00C82197">
      <w:pPr>
        <w:tabs>
          <w:tab w:val="right" w:pos="8646"/>
        </w:tabs>
        <w:rPr>
          <w:rFonts w:ascii="Arial" w:hAnsi="Arial"/>
        </w:rPr>
      </w:pPr>
      <w:r>
        <w:rPr>
          <w:rFonts w:ascii="Arial" w:hAnsi="Arial"/>
          <w:b/>
          <w:bCs/>
        </w:rPr>
        <w:t>AZWINNDINI CONSTANCE KHANGELA</w:t>
      </w:r>
      <w:r w:rsidR="002420C3">
        <w:rPr>
          <w:rFonts w:ascii="Arial" w:hAnsi="Arial"/>
        </w:rPr>
        <w:tab/>
        <w:t xml:space="preserve">Second </w:t>
      </w:r>
      <w:r>
        <w:rPr>
          <w:rFonts w:ascii="Arial" w:hAnsi="Arial"/>
        </w:rPr>
        <w:t>Respondent</w:t>
      </w:r>
    </w:p>
    <w:p w14:paraId="0A162114" w14:textId="77777777" w:rsidR="007517F4" w:rsidRDefault="007517F4" w:rsidP="00C82197">
      <w:pPr>
        <w:pBdr>
          <w:bottom w:val="single" w:sz="12" w:space="1" w:color="auto"/>
        </w:pBdr>
        <w:rPr>
          <w:rFonts w:ascii="Arial" w:hAnsi="Arial"/>
        </w:rPr>
      </w:pPr>
    </w:p>
    <w:p w14:paraId="528491A3" w14:textId="77777777" w:rsidR="00C82197" w:rsidRPr="00690A9B" w:rsidRDefault="00C82197" w:rsidP="00C82197">
      <w:pPr>
        <w:pStyle w:val="Heading5"/>
        <w:rPr>
          <w:sz w:val="16"/>
          <w:szCs w:val="16"/>
        </w:rPr>
      </w:pPr>
    </w:p>
    <w:p w14:paraId="42D4091C" w14:textId="7D885C63" w:rsidR="00C82197" w:rsidRPr="00B16DB4" w:rsidRDefault="00B16DB4" w:rsidP="00C82197">
      <w:pPr>
        <w:pBdr>
          <w:bottom w:val="single" w:sz="12" w:space="1" w:color="auto"/>
        </w:pBdr>
        <w:jc w:val="center"/>
        <w:rPr>
          <w:rFonts w:ascii="Arial" w:hAnsi="Arial"/>
          <w:b/>
        </w:rPr>
      </w:pPr>
      <w:r>
        <w:rPr>
          <w:rFonts w:ascii="Arial" w:hAnsi="Arial"/>
          <w:b/>
        </w:rPr>
        <w:t>JUDGMENT</w:t>
      </w:r>
    </w:p>
    <w:p w14:paraId="5B6E4A6A" w14:textId="77777777" w:rsidR="00B16DB4" w:rsidRPr="00690A9B" w:rsidRDefault="00B16DB4" w:rsidP="00C82197">
      <w:pPr>
        <w:pBdr>
          <w:bottom w:val="single" w:sz="12" w:space="1" w:color="auto"/>
        </w:pBdr>
        <w:jc w:val="center"/>
        <w:rPr>
          <w:rFonts w:ascii="Arial" w:hAnsi="Arial"/>
          <w:b/>
          <w:sz w:val="16"/>
          <w:szCs w:val="16"/>
        </w:rPr>
      </w:pPr>
    </w:p>
    <w:p w14:paraId="32A6F9BA" w14:textId="77777777" w:rsidR="004415B7" w:rsidRPr="004415B7" w:rsidRDefault="004415B7" w:rsidP="004415B7">
      <w:pPr>
        <w:rPr>
          <w:rFonts w:ascii="Arial" w:eastAsia="Calibri" w:hAnsi="Arial" w:cs="Arial"/>
        </w:rPr>
      </w:pPr>
    </w:p>
    <w:p w14:paraId="2949F8DA" w14:textId="4F14439A" w:rsidR="00B16DB4" w:rsidRPr="00B16DB4" w:rsidRDefault="00B16DB4" w:rsidP="00C82197">
      <w:pPr>
        <w:spacing w:line="360" w:lineRule="auto"/>
        <w:contextualSpacing/>
        <w:jc w:val="both"/>
        <w:rPr>
          <w:rFonts w:ascii="Arial" w:eastAsia="Calibri" w:hAnsi="Arial" w:cs="Arial"/>
          <w:b/>
          <w:bCs/>
        </w:rPr>
      </w:pPr>
      <w:r w:rsidRPr="00925A62">
        <w:rPr>
          <w:rFonts w:ascii="Arial" w:eastAsia="Calibri" w:hAnsi="Arial" w:cs="Arial"/>
          <w:b/>
          <w:bCs/>
          <w:u w:val="single"/>
        </w:rPr>
        <w:t>WILSON AJ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35F15B77" w14:textId="419BD671" w:rsidR="00676666" w:rsidRPr="00AD6331" w:rsidRDefault="00C67123" w:rsidP="00C67123">
      <w:pPr>
        <w:pStyle w:val="Paragraph12pt"/>
        <w:tabs>
          <w:tab w:val="left" w:pos="851"/>
        </w:tabs>
        <w:ind w:left="851" w:hanging="851"/>
      </w:pPr>
      <w:r w:rsidRPr="00AD6331">
        <w:rPr>
          <w:rFonts w:cs="Arial"/>
          <w:color w:val="000000"/>
          <w:szCs w:val="24"/>
        </w:rPr>
        <w:t>1</w:t>
      </w:r>
      <w:r w:rsidRPr="00AD6331">
        <w:rPr>
          <w:rFonts w:cs="Arial"/>
          <w:color w:val="000000"/>
          <w:szCs w:val="24"/>
        </w:rPr>
        <w:tab/>
      </w:r>
      <w:r w:rsidR="00676666">
        <w:rPr>
          <w:rFonts w:cs="Arial"/>
        </w:rPr>
        <w:t>The applicant</w:t>
      </w:r>
      <w:r w:rsidR="00DB495C">
        <w:rPr>
          <w:rFonts w:cs="Arial"/>
        </w:rPr>
        <w:t>,</w:t>
      </w:r>
      <w:r w:rsidR="00676666">
        <w:rPr>
          <w:rFonts w:cs="Arial"/>
        </w:rPr>
        <w:t xml:space="preserve"> Mr. </w:t>
      </w:r>
      <w:proofErr w:type="spellStart"/>
      <w:r w:rsidR="00676666">
        <w:rPr>
          <w:rFonts w:cs="Arial"/>
        </w:rPr>
        <w:t>Rooplal</w:t>
      </w:r>
      <w:proofErr w:type="spellEnd"/>
      <w:r w:rsidR="00676666">
        <w:rPr>
          <w:rFonts w:cs="Arial"/>
        </w:rPr>
        <w:t xml:space="preserve">, is the liquidator of VBS Bank. In 2017, VBS entered into two credit agreements with the first and second respondents, Mr. and Mrs. </w:t>
      </w:r>
      <w:proofErr w:type="spellStart"/>
      <w:r w:rsidR="00676666">
        <w:rPr>
          <w:rFonts w:cs="Arial"/>
        </w:rPr>
        <w:t>Khangela</w:t>
      </w:r>
      <w:proofErr w:type="spellEnd"/>
      <w:r w:rsidR="00676666">
        <w:rPr>
          <w:rFonts w:cs="Arial"/>
        </w:rPr>
        <w:t>. The first agreement</w:t>
      </w:r>
      <w:r w:rsidR="00AD6331">
        <w:rPr>
          <w:rFonts w:cs="Arial"/>
        </w:rPr>
        <w:t>, a motor vehicle credit agreement,</w:t>
      </w:r>
      <w:r w:rsidR="00676666">
        <w:rPr>
          <w:rFonts w:cs="Arial"/>
        </w:rPr>
        <w:t xml:space="preserve"> finance</w:t>
      </w:r>
      <w:r w:rsidR="00085056">
        <w:rPr>
          <w:rFonts w:cs="Arial"/>
        </w:rPr>
        <w:t>d</w:t>
      </w:r>
      <w:r w:rsidR="00676666">
        <w:rPr>
          <w:rFonts w:cs="Arial"/>
        </w:rPr>
        <w:t xml:space="preserve"> the purchase of a Mercedes Benz. The second agreement</w:t>
      </w:r>
      <w:r w:rsidR="00AD6331">
        <w:rPr>
          <w:rFonts w:cs="Arial"/>
        </w:rPr>
        <w:t xml:space="preserve">, a </w:t>
      </w:r>
      <w:r w:rsidR="00AD6331">
        <w:rPr>
          <w:rFonts w:cs="Arial"/>
        </w:rPr>
        <w:lastRenderedPageBreak/>
        <w:t>mortgage credit agreement,</w:t>
      </w:r>
      <w:r w:rsidR="00676666">
        <w:rPr>
          <w:rFonts w:cs="Arial"/>
        </w:rPr>
        <w:t xml:space="preserve"> financed the purchase of Mr. and Mrs. </w:t>
      </w:r>
      <w:proofErr w:type="spellStart"/>
      <w:r w:rsidR="00676666">
        <w:rPr>
          <w:rFonts w:cs="Arial"/>
        </w:rPr>
        <w:t>Khangela</w:t>
      </w:r>
      <w:r w:rsidR="00636596">
        <w:rPr>
          <w:rFonts w:cs="Arial"/>
        </w:rPr>
        <w:t>’</w:t>
      </w:r>
      <w:r w:rsidR="00676666">
        <w:rPr>
          <w:rFonts w:cs="Arial"/>
        </w:rPr>
        <w:t>s</w:t>
      </w:r>
      <w:proofErr w:type="spellEnd"/>
      <w:r w:rsidR="00676666">
        <w:rPr>
          <w:rFonts w:cs="Arial"/>
        </w:rPr>
        <w:t xml:space="preserve"> home. </w:t>
      </w:r>
    </w:p>
    <w:p w14:paraId="6A8403DB" w14:textId="799E1BC2" w:rsidR="00676666" w:rsidRDefault="00C67123" w:rsidP="00C67123">
      <w:pPr>
        <w:pStyle w:val="Paragraph12pt"/>
        <w:tabs>
          <w:tab w:val="left" w:pos="851"/>
        </w:tabs>
        <w:ind w:left="851" w:hanging="851"/>
      </w:pPr>
      <w:r>
        <w:rPr>
          <w:rFonts w:cs="Arial"/>
          <w:color w:val="000000"/>
          <w:szCs w:val="24"/>
        </w:rPr>
        <w:t>2</w:t>
      </w:r>
      <w:r>
        <w:rPr>
          <w:rFonts w:cs="Arial"/>
          <w:color w:val="000000"/>
          <w:szCs w:val="24"/>
        </w:rPr>
        <w:tab/>
      </w:r>
      <w:r w:rsidR="00AD6331">
        <w:rPr>
          <w:rFonts w:cs="Arial"/>
        </w:rPr>
        <w:t xml:space="preserve">VBS went into liquidation in 2018. Apparently because Mr. </w:t>
      </w:r>
      <w:proofErr w:type="spellStart"/>
      <w:r w:rsidR="00AD6331">
        <w:rPr>
          <w:rFonts w:cs="Arial"/>
        </w:rPr>
        <w:t>Khangela’s</w:t>
      </w:r>
      <w:proofErr w:type="spellEnd"/>
      <w:r w:rsidR="00AD6331">
        <w:rPr>
          <w:rFonts w:cs="Arial"/>
        </w:rPr>
        <w:t xml:space="preserve"> income was derived from a contract he had with VBS at the time, and which Mr. </w:t>
      </w:r>
      <w:proofErr w:type="spellStart"/>
      <w:r w:rsidR="00AD6331">
        <w:rPr>
          <w:rFonts w:cs="Arial"/>
        </w:rPr>
        <w:t>Rooplal</w:t>
      </w:r>
      <w:proofErr w:type="spellEnd"/>
      <w:r w:rsidR="00AD6331">
        <w:rPr>
          <w:rFonts w:cs="Arial"/>
        </w:rPr>
        <w:t xml:space="preserve"> cancelled on VBS’ liquidation, </w:t>
      </w:r>
      <w:r w:rsidR="00676666">
        <w:t xml:space="preserve">Mr. and Mrs. </w:t>
      </w:r>
      <w:proofErr w:type="spellStart"/>
      <w:r w:rsidR="00676666">
        <w:t>Khangela</w:t>
      </w:r>
      <w:proofErr w:type="spellEnd"/>
      <w:r w:rsidR="00676666">
        <w:t xml:space="preserve"> fell into arrears on their repayments due under both</w:t>
      </w:r>
      <w:r w:rsidR="00AD6331">
        <w:t xml:space="preserve"> the credit</w:t>
      </w:r>
      <w:r w:rsidR="00676666">
        <w:t xml:space="preserve"> agreements. </w:t>
      </w:r>
    </w:p>
    <w:p w14:paraId="6C7B0BFD" w14:textId="39A13C96" w:rsidR="00AD6331" w:rsidRPr="00AD6331" w:rsidRDefault="00C67123" w:rsidP="00C67123">
      <w:pPr>
        <w:pStyle w:val="Paragraph12pt"/>
        <w:tabs>
          <w:tab w:val="left" w:pos="851"/>
        </w:tabs>
        <w:ind w:left="851" w:hanging="851"/>
      </w:pPr>
      <w:r w:rsidRPr="00AD6331">
        <w:rPr>
          <w:rFonts w:cs="Arial"/>
          <w:color w:val="000000"/>
          <w:szCs w:val="24"/>
        </w:rPr>
        <w:t>3</w:t>
      </w:r>
      <w:r w:rsidRPr="00AD6331">
        <w:rPr>
          <w:rFonts w:cs="Arial"/>
          <w:color w:val="000000"/>
          <w:szCs w:val="24"/>
        </w:rPr>
        <w:tab/>
      </w:r>
      <w:r w:rsidR="00AD6331">
        <w:rPr>
          <w:rFonts w:cs="Arial"/>
        </w:rPr>
        <w:t xml:space="preserve">In this application, Mr. </w:t>
      </w:r>
      <w:proofErr w:type="spellStart"/>
      <w:r w:rsidR="00AD6331">
        <w:rPr>
          <w:rFonts w:cs="Arial"/>
        </w:rPr>
        <w:t>Rooplal</w:t>
      </w:r>
      <w:proofErr w:type="spellEnd"/>
      <w:r w:rsidR="00AD6331">
        <w:rPr>
          <w:rFonts w:cs="Arial"/>
        </w:rPr>
        <w:t xml:space="preserve"> seeks the return of the motor vehicle, and judgment for the amount outstanding on the motor vehicle credit agreement, less the market value of the Mercedes at the point of its return. Mr. </w:t>
      </w:r>
      <w:proofErr w:type="spellStart"/>
      <w:r w:rsidR="00AD6331">
        <w:rPr>
          <w:rFonts w:cs="Arial"/>
        </w:rPr>
        <w:t>Rooplal</w:t>
      </w:r>
      <w:proofErr w:type="spellEnd"/>
      <w:r w:rsidR="00AD6331">
        <w:rPr>
          <w:rFonts w:cs="Arial"/>
        </w:rPr>
        <w:t xml:space="preserve"> also seeks judgment for the full accelerated amount due on the mortgage credit agreement.  </w:t>
      </w:r>
    </w:p>
    <w:p w14:paraId="3D2DA952" w14:textId="2BFD909A" w:rsidR="00AD6331" w:rsidRDefault="00C67123" w:rsidP="00C67123">
      <w:pPr>
        <w:pStyle w:val="Paragraph12pt"/>
        <w:tabs>
          <w:tab w:val="left" w:pos="851"/>
        </w:tabs>
        <w:ind w:left="851" w:hanging="851"/>
      </w:pPr>
      <w:r>
        <w:rPr>
          <w:rFonts w:cs="Arial"/>
          <w:color w:val="000000"/>
          <w:szCs w:val="24"/>
        </w:rPr>
        <w:t>4</w:t>
      </w:r>
      <w:r>
        <w:rPr>
          <w:rFonts w:cs="Arial"/>
          <w:color w:val="000000"/>
          <w:szCs w:val="24"/>
        </w:rPr>
        <w:tab/>
      </w:r>
      <w:r w:rsidR="00AD6331">
        <w:t xml:space="preserve">My sister Robinson AJ granted the relief sought in relation to the motor vehicle credit agreement on 28 April 2021. She postponed the application for the money judgment on the mortgage credit agreement </w:t>
      </w:r>
      <w:r w:rsidR="00AD6331" w:rsidRPr="00AD6331">
        <w:rPr>
          <w:i/>
          <w:iCs/>
        </w:rPr>
        <w:t>sine die</w:t>
      </w:r>
      <w:r w:rsidR="00085056">
        <w:t>,</w:t>
      </w:r>
      <w:r w:rsidR="00AD6331">
        <w:t xml:space="preserve"> in order to allow Mr. </w:t>
      </w:r>
      <w:proofErr w:type="spellStart"/>
      <w:r w:rsidR="00AD6331">
        <w:t>Rooplal</w:t>
      </w:r>
      <w:proofErr w:type="spellEnd"/>
      <w:r w:rsidR="00AD6331">
        <w:t xml:space="preserve"> to comply properly with section 129 (1) of the National Credit Act 34 of 2005</w:t>
      </w:r>
      <w:r w:rsidR="00085056">
        <w:t xml:space="preserve"> (“the Act”)</w:t>
      </w:r>
      <w:r w:rsidR="00AD6331">
        <w:t xml:space="preserve">. Robinson AJ’s judgment is reported as </w:t>
      </w:r>
      <w:proofErr w:type="spellStart"/>
      <w:r w:rsidR="00AD6331" w:rsidRPr="00AD6331">
        <w:rPr>
          <w:i/>
          <w:iCs/>
        </w:rPr>
        <w:t>Rooplal</w:t>
      </w:r>
      <w:proofErr w:type="spellEnd"/>
      <w:r w:rsidR="00AD6331" w:rsidRPr="00AD6331">
        <w:rPr>
          <w:i/>
          <w:iCs/>
        </w:rPr>
        <w:t xml:space="preserve"> N.O. v </w:t>
      </w:r>
      <w:proofErr w:type="spellStart"/>
      <w:r w:rsidR="00AD6331" w:rsidRPr="00AD6331">
        <w:rPr>
          <w:i/>
          <w:iCs/>
        </w:rPr>
        <w:t>Khangela</w:t>
      </w:r>
      <w:proofErr w:type="spellEnd"/>
      <w:r w:rsidR="00AD6331" w:rsidRPr="00AD6331">
        <w:t xml:space="preserve"> [2021] ZAGPJHC 516 (28 April 2021)</w:t>
      </w:r>
      <w:r w:rsidR="00AD6331">
        <w:t>.</w:t>
      </w:r>
    </w:p>
    <w:p w14:paraId="0D04C8E0" w14:textId="24C4C671" w:rsidR="00AD6331" w:rsidRDefault="00C67123" w:rsidP="00C67123">
      <w:pPr>
        <w:pStyle w:val="Paragraph12pt"/>
        <w:tabs>
          <w:tab w:val="left" w:pos="851"/>
        </w:tabs>
        <w:ind w:left="851" w:hanging="851"/>
      </w:pPr>
      <w:r>
        <w:rPr>
          <w:rFonts w:cs="Arial"/>
          <w:color w:val="000000"/>
          <w:szCs w:val="24"/>
        </w:rPr>
        <w:t>5</w:t>
      </w:r>
      <w:r>
        <w:rPr>
          <w:rFonts w:cs="Arial"/>
          <w:color w:val="000000"/>
          <w:szCs w:val="24"/>
        </w:rPr>
        <w:tab/>
      </w:r>
      <w:r w:rsidR="00AD6331">
        <w:t xml:space="preserve">Mr. </w:t>
      </w:r>
      <w:proofErr w:type="spellStart"/>
      <w:r w:rsidR="00AD6331">
        <w:t>Rooplal</w:t>
      </w:r>
      <w:proofErr w:type="spellEnd"/>
      <w:r w:rsidR="00AD6331">
        <w:t xml:space="preserve"> re-enrolled the application for a money judgment</w:t>
      </w:r>
      <w:r w:rsidR="00B94DA4">
        <w:t xml:space="preserve"> on the mortgage credit agreement</w:t>
      </w:r>
      <w:r w:rsidR="00AD6331">
        <w:t xml:space="preserve"> before me on </w:t>
      </w:r>
      <w:r w:rsidR="00611631">
        <w:t xml:space="preserve">28 October 2021. </w:t>
      </w:r>
    </w:p>
    <w:p w14:paraId="2E75E9B3" w14:textId="3DC40A1D" w:rsidR="00611631" w:rsidRDefault="00C67123" w:rsidP="00C67123">
      <w:pPr>
        <w:pStyle w:val="Paragraph12pt"/>
        <w:tabs>
          <w:tab w:val="left" w:pos="851"/>
        </w:tabs>
        <w:ind w:left="851" w:hanging="851"/>
      </w:pPr>
      <w:r>
        <w:rPr>
          <w:rFonts w:cs="Arial"/>
          <w:color w:val="000000"/>
          <w:szCs w:val="24"/>
        </w:rPr>
        <w:t>6</w:t>
      </w:r>
      <w:r>
        <w:rPr>
          <w:rFonts w:cs="Arial"/>
          <w:color w:val="000000"/>
          <w:szCs w:val="24"/>
        </w:rPr>
        <w:tab/>
      </w:r>
      <w:r w:rsidR="00611631">
        <w:t xml:space="preserve">The general rule, established in </w:t>
      </w:r>
      <w:r w:rsidR="00611631" w:rsidRPr="00611631">
        <w:rPr>
          <w:i/>
          <w:iCs/>
        </w:rPr>
        <w:t xml:space="preserve">Absa Bank v </w:t>
      </w:r>
      <w:proofErr w:type="spellStart"/>
      <w:r w:rsidR="00611631" w:rsidRPr="00611631">
        <w:rPr>
          <w:i/>
          <w:iCs/>
        </w:rPr>
        <w:t>Mokebe</w:t>
      </w:r>
      <w:proofErr w:type="spellEnd"/>
      <w:r w:rsidR="00611631">
        <w:t xml:space="preserve"> </w:t>
      </w:r>
      <w:r w:rsidR="00611631" w:rsidRPr="00611631">
        <w:t>2018 (6) SA 492 (GJ)</w:t>
      </w:r>
      <w:r w:rsidR="00085056">
        <w:t xml:space="preserve"> (“</w:t>
      </w:r>
      <w:proofErr w:type="spellStart"/>
      <w:r w:rsidR="00085056" w:rsidRPr="00085056">
        <w:rPr>
          <w:i/>
          <w:iCs/>
        </w:rPr>
        <w:t>Mokebe</w:t>
      </w:r>
      <w:proofErr w:type="spellEnd"/>
      <w:r w:rsidR="00085056">
        <w:t>”)</w:t>
      </w:r>
      <w:r w:rsidR="00611631">
        <w:t xml:space="preserve">, is that, where the mortgaged property is a home, Judges of this Division will not entertain and determine an application for a money judgment on a mortgage credit agreement separately from the application to execute </w:t>
      </w:r>
      <w:r w:rsidR="00611631">
        <w:lastRenderedPageBreak/>
        <w:t>against the mortgaged property. The money judgment forms part of the cause of action for the application for leave to execute. Whether or not the money judgment should be granted is inextricably bound up with the question of whether execution against the mortgaged property is proportionate, within t</w:t>
      </w:r>
      <w:r w:rsidR="00EC4DDE">
        <w:t>he</w:t>
      </w:r>
      <w:r w:rsidR="00611631">
        <w:t xml:space="preserve"> meaning of the decisions of the Constitutional Court in </w:t>
      </w:r>
      <w:r w:rsidR="00611631" w:rsidRPr="00611631">
        <w:rPr>
          <w:i/>
          <w:iCs/>
        </w:rPr>
        <w:t>Jaftha v Schoeman</w:t>
      </w:r>
      <w:r w:rsidR="00611631">
        <w:rPr>
          <w:i/>
          <w:iCs/>
        </w:rPr>
        <w:t>; Van Rooyen v Stoltz</w:t>
      </w:r>
      <w:r w:rsidR="00611631" w:rsidRPr="00611631">
        <w:rPr>
          <w:i/>
          <w:iCs/>
        </w:rPr>
        <w:t xml:space="preserve"> </w:t>
      </w:r>
      <w:r w:rsidR="00611631" w:rsidRPr="00611631">
        <w:t>2005 (2) SA 140 (CC)</w:t>
      </w:r>
      <w:r w:rsidR="00611631">
        <w:t xml:space="preserve"> and in </w:t>
      </w:r>
      <w:proofErr w:type="spellStart"/>
      <w:r w:rsidR="00611631" w:rsidRPr="00611631">
        <w:rPr>
          <w:i/>
          <w:iCs/>
        </w:rPr>
        <w:t>Gundwana</w:t>
      </w:r>
      <w:proofErr w:type="spellEnd"/>
      <w:r w:rsidR="00611631" w:rsidRPr="00611631">
        <w:rPr>
          <w:i/>
          <w:iCs/>
        </w:rPr>
        <w:t xml:space="preserve"> v </w:t>
      </w:r>
      <w:proofErr w:type="spellStart"/>
      <w:r w:rsidR="00611631" w:rsidRPr="00611631">
        <w:rPr>
          <w:i/>
          <w:iCs/>
        </w:rPr>
        <w:t>Steko</w:t>
      </w:r>
      <w:proofErr w:type="spellEnd"/>
      <w:r w:rsidR="00611631" w:rsidRPr="00611631">
        <w:rPr>
          <w:i/>
          <w:iCs/>
        </w:rPr>
        <w:t xml:space="preserve"> Development CC</w:t>
      </w:r>
      <w:r w:rsidR="00611631">
        <w:t xml:space="preserve"> </w:t>
      </w:r>
      <w:r w:rsidR="00611631" w:rsidRPr="00611631">
        <w:t>2011 (3) SA 608 (CC)</w:t>
      </w:r>
      <w:r w:rsidR="00611631">
        <w:t>.</w:t>
      </w:r>
    </w:p>
    <w:p w14:paraId="3D907B10" w14:textId="69E6291C" w:rsidR="00611631" w:rsidRDefault="00C67123" w:rsidP="00C67123">
      <w:pPr>
        <w:pStyle w:val="Paragraph12pt"/>
        <w:tabs>
          <w:tab w:val="left" w:pos="851"/>
        </w:tabs>
        <w:ind w:left="851" w:hanging="851"/>
      </w:pPr>
      <w:r>
        <w:rPr>
          <w:rFonts w:cs="Arial"/>
          <w:color w:val="000000"/>
          <w:szCs w:val="24"/>
        </w:rPr>
        <w:t>7</w:t>
      </w:r>
      <w:r>
        <w:rPr>
          <w:rFonts w:cs="Arial"/>
          <w:color w:val="000000"/>
          <w:szCs w:val="24"/>
        </w:rPr>
        <w:tab/>
      </w:r>
      <w:r w:rsidR="00611631">
        <w:t xml:space="preserve">I do not read this Court’s decision in </w:t>
      </w:r>
      <w:proofErr w:type="spellStart"/>
      <w:r w:rsidR="00611631" w:rsidRPr="00611631">
        <w:rPr>
          <w:i/>
          <w:iCs/>
        </w:rPr>
        <w:t>Mokebe</w:t>
      </w:r>
      <w:proofErr w:type="spellEnd"/>
      <w:r w:rsidR="00611631">
        <w:t xml:space="preserve"> as establishing an absolute rule that an application for a money judgment on a debt secured against residential property can never be determined separately from the application for leave to execute against the mortgaged property. However, the effect of </w:t>
      </w:r>
      <w:proofErr w:type="spellStart"/>
      <w:r w:rsidR="00611631" w:rsidRPr="00611631">
        <w:rPr>
          <w:i/>
          <w:iCs/>
        </w:rPr>
        <w:t>Mokebe</w:t>
      </w:r>
      <w:proofErr w:type="spellEnd"/>
      <w:r w:rsidR="00611631">
        <w:t xml:space="preserve"> is that there should </w:t>
      </w:r>
      <w:r w:rsidR="000A108F">
        <w:t xml:space="preserve">be circumstances that favour making an exception to the general rule that the money judgment relief and the special execution relief should be determined together. </w:t>
      </w:r>
    </w:p>
    <w:p w14:paraId="5B3165EC" w14:textId="16CA4C84" w:rsidR="000A108F" w:rsidRDefault="00C67123" w:rsidP="00C67123">
      <w:pPr>
        <w:pStyle w:val="Paragraph12pt"/>
        <w:tabs>
          <w:tab w:val="left" w:pos="851"/>
        </w:tabs>
        <w:ind w:left="851" w:hanging="851"/>
      </w:pPr>
      <w:r>
        <w:rPr>
          <w:rFonts w:cs="Arial"/>
          <w:color w:val="000000"/>
          <w:szCs w:val="24"/>
        </w:rPr>
        <w:t>8</w:t>
      </w:r>
      <w:r>
        <w:rPr>
          <w:rFonts w:cs="Arial"/>
          <w:color w:val="000000"/>
          <w:szCs w:val="24"/>
        </w:rPr>
        <w:tab/>
      </w:r>
      <w:r w:rsidR="000A108F">
        <w:t xml:space="preserve">I raised the </w:t>
      </w:r>
      <w:proofErr w:type="spellStart"/>
      <w:r w:rsidR="000A108F" w:rsidRPr="000A108F">
        <w:rPr>
          <w:i/>
          <w:iCs/>
        </w:rPr>
        <w:t>Mokebe</w:t>
      </w:r>
      <w:proofErr w:type="spellEnd"/>
      <w:r w:rsidR="000A108F">
        <w:t xml:space="preserve"> decision with Mr. </w:t>
      </w:r>
      <w:proofErr w:type="spellStart"/>
      <w:r w:rsidR="000A108F">
        <w:t>Mohapi</w:t>
      </w:r>
      <w:proofErr w:type="spellEnd"/>
      <w:r w:rsidR="000A108F">
        <w:t xml:space="preserve">, who appeared for Mr. </w:t>
      </w:r>
      <w:proofErr w:type="spellStart"/>
      <w:r w:rsidR="000A108F">
        <w:t>Rooplal</w:t>
      </w:r>
      <w:proofErr w:type="spellEnd"/>
      <w:r w:rsidR="000A108F">
        <w:t xml:space="preserve"> before me. He quite properly conceded both the meaning and effect that I have ascribed to the </w:t>
      </w:r>
      <w:proofErr w:type="spellStart"/>
      <w:r w:rsidR="000A108F" w:rsidRPr="000A108F">
        <w:rPr>
          <w:i/>
          <w:iCs/>
        </w:rPr>
        <w:t>Mokebe</w:t>
      </w:r>
      <w:proofErr w:type="spellEnd"/>
      <w:r w:rsidR="000A108F">
        <w:t xml:space="preserve"> decision and that there are no special circumstances that, in this case, warrant a departure from the general rule established in </w:t>
      </w:r>
      <w:proofErr w:type="spellStart"/>
      <w:r w:rsidR="000A108F" w:rsidRPr="000A108F">
        <w:rPr>
          <w:i/>
          <w:iCs/>
        </w:rPr>
        <w:t>Mokebe</w:t>
      </w:r>
      <w:proofErr w:type="spellEnd"/>
      <w:r w:rsidR="000A108F">
        <w:t xml:space="preserve">. </w:t>
      </w:r>
    </w:p>
    <w:p w14:paraId="53BC7930" w14:textId="68FEECAB" w:rsidR="008C0C5D" w:rsidRDefault="00C67123" w:rsidP="00C67123">
      <w:pPr>
        <w:pStyle w:val="Paragraph12pt"/>
        <w:tabs>
          <w:tab w:val="left" w:pos="851"/>
        </w:tabs>
        <w:ind w:left="851" w:hanging="851"/>
      </w:pPr>
      <w:r>
        <w:rPr>
          <w:rFonts w:cs="Arial"/>
          <w:color w:val="000000"/>
          <w:szCs w:val="24"/>
        </w:rPr>
        <w:t>9</w:t>
      </w:r>
      <w:r>
        <w:rPr>
          <w:rFonts w:cs="Arial"/>
          <w:color w:val="000000"/>
          <w:szCs w:val="24"/>
        </w:rPr>
        <w:tab/>
      </w:r>
      <w:r w:rsidR="000A108F">
        <w:t xml:space="preserve">It follows that the application for </w:t>
      </w:r>
      <w:r w:rsidR="00085056">
        <w:t>the</w:t>
      </w:r>
      <w:r w:rsidR="000A108F">
        <w:t xml:space="preserve"> money judgment</w:t>
      </w:r>
      <w:r w:rsidR="00085056">
        <w:t xml:space="preserve"> on the mortgage credit agreement</w:t>
      </w:r>
      <w:r w:rsidR="000A108F">
        <w:t xml:space="preserve"> cannot be granted, and that the matter will have to be postponed to allow Mr. </w:t>
      </w:r>
      <w:proofErr w:type="spellStart"/>
      <w:r w:rsidR="000A108F">
        <w:t>Rooplal</w:t>
      </w:r>
      <w:proofErr w:type="spellEnd"/>
      <w:r w:rsidR="000A108F">
        <w:t xml:space="preserve"> to supplement his papers and amend his relief to encompass special execution against the mortgaged property. I have given some thought to whether I should simply dismiss the application for </w:t>
      </w:r>
      <w:r w:rsidR="00085056">
        <w:t>the</w:t>
      </w:r>
      <w:r w:rsidR="000A108F">
        <w:t xml:space="preserve"> money </w:t>
      </w:r>
      <w:r w:rsidR="000A108F">
        <w:lastRenderedPageBreak/>
        <w:t xml:space="preserve">judgment, while making it clear that it is open to Mr. </w:t>
      </w:r>
      <w:proofErr w:type="spellStart"/>
      <w:r w:rsidR="000A108F">
        <w:t>Rooplal</w:t>
      </w:r>
      <w:proofErr w:type="spellEnd"/>
      <w:r w:rsidR="000A108F">
        <w:t xml:space="preserve"> to reinstitute an omnibus application for the money judgment and for leave to specially execute against the mortgaged property.</w:t>
      </w:r>
      <w:r w:rsidR="00B94DA4">
        <w:t xml:space="preserve"> But</w:t>
      </w:r>
      <w:r w:rsidR="000A108F">
        <w:t xml:space="preserve"> I can find nothing in the Act</w:t>
      </w:r>
      <w:r w:rsidR="006D6652">
        <w:t xml:space="preserve">, or in the extensive common law that has grown up around the proportionality requirement derived from section 26 (1) of the Constitution, 1996, </w:t>
      </w:r>
      <w:r w:rsidR="000A108F">
        <w:t xml:space="preserve">that requires this, whether expressly or by necessary implication. Nor are there any circumstances in this case that would favour making Mr. </w:t>
      </w:r>
      <w:proofErr w:type="spellStart"/>
      <w:r w:rsidR="000A108F">
        <w:t>Rooplal</w:t>
      </w:r>
      <w:proofErr w:type="spellEnd"/>
      <w:r w:rsidR="000A108F">
        <w:t xml:space="preserve"> reissue a fresh application. </w:t>
      </w:r>
    </w:p>
    <w:p w14:paraId="25EE6317" w14:textId="2C6CE7A2" w:rsidR="008C0C5D" w:rsidRDefault="00C67123" w:rsidP="00C67123">
      <w:pPr>
        <w:pStyle w:val="Paragraph12pt"/>
        <w:tabs>
          <w:tab w:val="left" w:pos="851"/>
        </w:tabs>
        <w:ind w:left="851" w:hanging="851"/>
      </w:pPr>
      <w:r>
        <w:rPr>
          <w:rFonts w:cs="Arial"/>
          <w:color w:val="000000"/>
          <w:szCs w:val="24"/>
        </w:rPr>
        <w:t>10</w:t>
      </w:r>
      <w:r>
        <w:rPr>
          <w:rFonts w:cs="Arial"/>
          <w:color w:val="000000"/>
          <w:szCs w:val="24"/>
        </w:rPr>
        <w:tab/>
      </w:r>
      <w:r w:rsidR="008C0C5D">
        <w:t xml:space="preserve">I should also point out that, shortly before the matter was heard before me, Mr. </w:t>
      </w:r>
      <w:proofErr w:type="spellStart"/>
      <w:r w:rsidR="008C0C5D">
        <w:t>Khangela</w:t>
      </w:r>
      <w:proofErr w:type="spellEnd"/>
      <w:r w:rsidR="008C0C5D">
        <w:t xml:space="preserve"> appears to have made an application under section 86 (1) of the Act to have himself declared over-indebted. In light of the provisions of section 86 (2) of the Act, and the decision of the Supreme Court of Appeal in </w:t>
      </w:r>
      <w:r w:rsidR="008C0C5D" w:rsidRPr="00F816DF">
        <w:rPr>
          <w:i/>
          <w:iCs/>
        </w:rPr>
        <w:t>Nedbank v National Credit Regulator</w:t>
      </w:r>
      <w:r w:rsidR="008C0C5D">
        <w:t xml:space="preserve"> 2</w:t>
      </w:r>
      <w:r w:rsidR="00F816DF">
        <w:t xml:space="preserve">011 (3) SA 581 (SCA), it seems unlikely that the debt review application would affect Mr. </w:t>
      </w:r>
      <w:proofErr w:type="spellStart"/>
      <w:r w:rsidR="00F816DF">
        <w:t>Rooplal’s</w:t>
      </w:r>
      <w:proofErr w:type="spellEnd"/>
      <w:r w:rsidR="00F816DF">
        <w:t xml:space="preserve"> right to press on with the enforcement of the mortgage credit agreement. In any event, the effect of the application for debt review, if any, on Mr. </w:t>
      </w:r>
      <w:proofErr w:type="spellStart"/>
      <w:r w:rsidR="00F816DF">
        <w:t>Rooplal’s</w:t>
      </w:r>
      <w:proofErr w:type="spellEnd"/>
      <w:r w:rsidR="00F816DF">
        <w:t xml:space="preserve"> application can be addressed, to the extent necessary, in his supplemented application. </w:t>
      </w:r>
    </w:p>
    <w:p w14:paraId="7FB01E27" w14:textId="751E749F" w:rsidR="00F816DF" w:rsidRDefault="00C67123" w:rsidP="00C67123">
      <w:pPr>
        <w:pStyle w:val="Paragraph12pt"/>
        <w:tabs>
          <w:tab w:val="left" w:pos="851"/>
        </w:tabs>
        <w:ind w:left="851" w:hanging="851"/>
      </w:pPr>
      <w:r>
        <w:rPr>
          <w:rFonts w:cs="Arial"/>
          <w:color w:val="000000"/>
          <w:szCs w:val="24"/>
        </w:rPr>
        <w:t>11</w:t>
      </w:r>
      <w:r>
        <w:rPr>
          <w:rFonts w:cs="Arial"/>
          <w:color w:val="000000"/>
          <w:szCs w:val="24"/>
        </w:rPr>
        <w:tab/>
      </w:r>
      <w:r w:rsidR="00F816DF">
        <w:t xml:space="preserve">I do not think that it would be right to order Mr. </w:t>
      </w:r>
      <w:r w:rsidR="006D6652">
        <w:t>and</w:t>
      </w:r>
      <w:r w:rsidR="00F816DF">
        <w:t xml:space="preserve"> Mrs. </w:t>
      </w:r>
      <w:proofErr w:type="spellStart"/>
      <w:r w:rsidR="00F816DF">
        <w:t>Khangela</w:t>
      </w:r>
      <w:proofErr w:type="spellEnd"/>
      <w:r w:rsidR="00F816DF">
        <w:t xml:space="preserve"> to bear the costs of the postponement. Mr. </w:t>
      </w:r>
      <w:proofErr w:type="spellStart"/>
      <w:r w:rsidR="00F816DF">
        <w:t>Rooplal</w:t>
      </w:r>
      <w:proofErr w:type="spellEnd"/>
      <w:r w:rsidR="00F816DF">
        <w:t xml:space="preserve"> chose to enrol the application for the money judgment despite the clear – albeit general – rule established in </w:t>
      </w:r>
      <w:proofErr w:type="spellStart"/>
      <w:r w:rsidR="00F816DF" w:rsidRPr="00F816DF">
        <w:rPr>
          <w:i/>
          <w:iCs/>
        </w:rPr>
        <w:t>Mokebe</w:t>
      </w:r>
      <w:proofErr w:type="spellEnd"/>
      <w:r w:rsidR="00F816DF">
        <w:t>. In her judgment on the motor vehicle credit agreement</w:t>
      </w:r>
      <w:r w:rsidR="006D6652">
        <w:t>,</w:t>
      </w:r>
      <w:r w:rsidR="00F816DF">
        <w:t xml:space="preserve"> Robinson AJ reserved </w:t>
      </w:r>
      <w:r w:rsidR="00755AE8">
        <w:t xml:space="preserve">costs. The costs up to and including the hearing before Robinson AJ should remain reserved. The costs arising between the date of Robinson AJ’s </w:t>
      </w:r>
      <w:r w:rsidR="00755AE8">
        <w:lastRenderedPageBreak/>
        <w:t>judgment and this judgment will be paid</w:t>
      </w:r>
      <w:r w:rsidR="00EC4DDE">
        <w:t xml:space="preserve"> by</w:t>
      </w:r>
      <w:r w:rsidR="00755AE8">
        <w:t xml:space="preserve"> Mr. </w:t>
      </w:r>
      <w:proofErr w:type="spellStart"/>
      <w:r w:rsidR="00755AE8">
        <w:t>Rooplal</w:t>
      </w:r>
      <w:proofErr w:type="spellEnd"/>
      <w:r w:rsidR="00EC4DDE">
        <w:t xml:space="preserve"> in</w:t>
      </w:r>
      <w:r w:rsidR="00755AE8">
        <w:t xml:space="preserve"> his capacity as VBS’ liquidator.</w:t>
      </w:r>
    </w:p>
    <w:p w14:paraId="4B326AD0" w14:textId="7F1C20AC" w:rsidR="008C0C5D" w:rsidRDefault="00C67123" w:rsidP="00C67123">
      <w:pPr>
        <w:pStyle w:val="Paragraph12pt"/>
        <w:tabs>
          <w:tab w:val="left" w:pos="851"/>
        </w:tabs>
        <w:ind w:left="851" w:hanging="851"/>
      </w:pPr>
      <w:r>
        <w:rPr>
          <w:rFonts w:cs="Arial"/>
          <w:color w:val="000000"/>
          <w:szCs w:val="24"/>
        </w:rPr>
        <w:t>12</w:t>
      </w:r>
      <w:r>
        <w:rPr>
          <w:rFonts w:cs="Arial"/>
          <w:color w:val="000000"/>
          <w:szCs w:val="24"/>
        </w:rPr>
        <w:tab/>
      </w:r>
      <w:r w:rsidR="008C0C5D">
        <w:t>Accordingly, I make the following order</w:t>
      </w:r>
      <w:r w:rsidR="00F816DF">
        <w:t xml:space="preserve"> –</w:t>
      </w:r>
    </w:p>
    <w:p w14:paraId="4F6490EB" w14:textId="79063B41" w:rsidR="00F816DF" w:rsidRPr="00C67123" w:rsidRDefault="00C67123" w:rsidP="00C67123">
      <w:pPr>
        <w:tabs>
          <w:tab w:val="left" w:pos="1814"/>
        </w:tabs>
        <w:spacing w:after="240" w:line="480" w:lineRule="auto"/>
        <w:ind w:left="1814" w:hanging="963"/>
        <w:jc w:val="both"/>
        <w:rPr>
          <w:rFonts w:ascii="Arial" w:hAnsi="Arial" w:cs="Arial"/>
        </w:rPr>
      </w:pPr>
      <w:r w:rsidRPr="00F816DF">
        <w:rPr>
          <w:rFonts w:ascii="Arial" w:hAnsi="Arial" w:cs="Arial"/>
        </w:rPr>
        <w:t>12.1</w:t>
      </w:r>
      <w:r w:rsidRPr="00F816DF">
        <w:rPr>
          <w:rFonts w:ascii="Arial" w:hAnsi="Arial" w:cs="Arial"/>
        </w:rPr>
        <w:tab/>
      </w:r>
      <w:r w:rsidR="00F816DF" w:rsidRPr="00C67123">
        <w:rPr>
          <w:rFonts w:ascii="Arial" w:hAnsi="Arial" w:cs="Arial"/>
        </w:rPr>
        <w:t xml:space="preserve">The relief sought in respect of the Large Mortgage Credit Agreement concluded between VBS Mutual Bank and the </w:t>
      </w:r>
      <w:r w:rsidR="006D6652" w:rsidRPr="00C67123">
        <w:rPr>
          <w:rFonts w:ascii="Arial" w:hAnsi="Arial" w:cs="Arial"/>
        </w:rPr>
        <w:t>r</w:t>
      </w:r>
      <w:r w:rsidR="00F816DF" w:rsidRPr="00C67123">
        <w:rPr>
          <w:rFonts w:ascii="Arial" w:hAnsi="Arial" w:cs="Arial"/>
        </w:rPr>
        <w:t xml:space="preserve">espondents (FA4 to the founding affidavit) is adjourned </w:t>
      </w:r>
      <w:r w:rsidR="00F816DF" w:rsidRPr="00C67123">
        <w:rPr>
          <w:rFonts w:ascii="Arial" w:hAnsi="Arial" w:cs="Arial"/>
          <w:i/>
          <w:iCs/>
        </w:rPr>
        <w:t>sine die</w:t>
      </w:r>
      <w:r w:rsidR="00755AE8" w:rsidRPr="00C67123">
        <w:rPr>
          <w:rFonts w:ascii="Arial" w:hAnsi="Arial" w:cs="Arial"/>
        </w:rPr>
        <w:t>.</w:t>
      </w:r>
    </w:p>
    <w:p w14:paraId="60185478" w14:textId="07107092" w:rsidR="00F816DF" w:rsidRPr="00C67123" w:rsidRDefault="00C67123" w:rsidP="00C67123">
      <w:pPr>
        <w:tabs>
          <w:tab w:val="left" w:pos="1814"/>
        </w:tabs>
        <w:spacing w:after="240" w:line="480" w:lineRule="auto"/>
        <w:ind w:left="1814" w:hanging="963"/>
        <w:jc w:val="both"/>
        <w:rPr>
          <w:rFonts w:ascii="Arial" w:hAnsi="Arial" w:cs="Arial"/>
        </w:rPr>
      </w:pPr>
      <w:r>
        <w:rPr>
          <w:rFonts w:ascii="Arial" w:hAnsi="Arial" w:cs="Arial"/>
        </w:rPr>
        <w:t>12.2</w:t>
      </w:r>
      <w:r>
        <w:rPr>
          <w:rFonts w:ascii="Arial" w:hAnsi="Arial" w:cs="Arial"/>
        </w:rPr>
        <w:tab/>
      </w:r>
      <w:r w:rsidR="00F816DF" w:rsidRPr="00C67123">
        <w:rPr>
          <w:rFonts w:ascii="Arial" w:hAnsi="Arial" w:cs="Arial"/>
        </w:rPr>
        <w:t xml:space="preserve">The applicant is granted leave to supplement his papers and to amend his notice of motion to incorporate relief declaring the </w:t>
      </w:r>
      <w:r w:rsidR="00755AE8" w:rsidRPr="00C67123">
        <w:rPr>
          <w:rFonts w:ascii="Arial" w:hAnsi="Arial" w:cs="Arial"/>
        </w:rPr>
        <w:t xml:space="preserve">mortgaged </w:t>
      </w:r>
      <w:r w:rsidR="00F816DF" w:rsidRPr="00C67123">
        <w:rPr>
          <w:rFonts w:ascii="Arial" w:hAnsi="Arial" w:cs="Arial"/>
        </w:rPr>
        <w:t xml:space="preserve">property </w:t>
      </w:r>
      <w:r w:rsidR="00755AE8" w:rsidRPr="00C67123">
        <w:rPr>
          <w:rFonts w:ascii="Arial" w:hAnsi="Arial" w:cs="Arial"/>
        </w:rPr>
        <w:t>(</w:t>
      </w:r>
      <w:r w:rsidR="00F816DF" w:rsidRPr="00C67123">
        <w:rPr>
          <w:rFonts w:ascii="Arial" w:hAnsi="Arial" w:cs="Arial"/>
        </w:rPr>
        <w:t xml:space="preserve">described as 538 Furrow Road, </w:t>
      </w:r>
      <w:proofErr w:type="spellStart"/>
      <w:r w:rsidR="00F816DF" w:rsidRPr="00C67123">
        <w:rPr>
          <w:rFonts w:ascii="Arial" w:hAnsi="Arial" w:cs="Arial"/>
        </w:rPr>
        <w:t>Featherfalls</w:t>
      </w:r>
      <w:proofErr w:type="spellEnd"/>
      <w:r w:rsidR="00F816DF" w:rsidRPr="00C67123">
        <w:rPr>
          <w:rFonts w:ascii="Arial" w:hAnsi="Arial" w:cs="Arial"/>
        </w:rPr>
        <w:t xml:space="preserve"> Estate, Erf 538 Homes Haven Ext 16</w:t>
      </w:r>
      <w:r w:rsidR="006D6652" w:rsidRPr="00C67123">
        <w:rPr>
          <w:rFonts w:ascii="Arial" w:hAnsi="Arial" w:cs="Arial"/>
        </w:rPr>
        <w:t>,</w:t>
      </w:r>
      <w:r w:rsidR="00F816DF" w:rsidRPr="00C67123">
        <w:rPr>
          <w:rFonts w:ascii="Arial" w:hAnsi="Arial" w:cs="Arial"/>
        </w:rPr>
        <w:t xml:space="preserve"> Mogale City Local Municipality</w:t>
      </w:r>
      <w:r w:rsidR="00755AE8" w:rsidRPr="00C67123">
        <w:rPr>
          <w:rFonts w:ascii="Arial" w:hAnsi="Arial" w:cs="Arial"/>
        </w:rPr>
        <w:t xml:space="preserve">) </w:t>
      </w:r>
      <w:proofErr w:type="gramStart"/>
      <w:r w:rsidR="00755AE8" w:rsidRPr="00C67123">
        <w:rPr>
          <w:rFonts w:ascii="Arial" w:hAnsi="Arial" w:cs="Arial"/>
        </w:rPr>
        <w:t>specially</w:t>
      </w:r>
      <w:proofErr w:type="gramEnd"/>
      <w:r w:rsidR="00755AE8" w:rsidRPr="00C67123">
        <w:rPr>
          <w:rFonts w:ascii="Arial" w:hAnsi="Arial" w:cs="Arial"/>
        </w:rPr>
        <w:t xml:space="preserve"> executable.</w:t>
      </w:r>
    </w:p>
    <w:p w14:paraId="206D7C47" w14:textId="30B3B730" w:rsidR="00F816DF" w:rsidRPr="00C67123" w:rsidRDefault="00C67123" w:rsidP="00C67123">
      <w:pPr>
        <w:tabs>
          <w:tab w:val="left" w:pos="1814"/>
        </w:tabs>
        <w:spacing w:after="240" w:line="480" w:lineRule="auto"/>
        <w:ind w:left="1814" w:hanging="963"/>
        <w:jc w:val="both"/>
        <w:rPr>
          <w:rFonts w:ascii="Arial" w:hAnsi="Arial" w:cs="Arial"/>
        </w:rPr>
      </w:pPr>
      <w:r>
        <w:rPr>
          <w:rFonts w:ascii="Arial" w:hAnsi="Arial" w:cs="Arial"/>
        </w:rPr>
        <w:t>12.3</w:t>
      </w:r>
      <w:r>
        <w:rPr>
          <w:rFonts w:ascii="Arial" w:hAnsi="Arial" w:cs="Arial"/>
        </w:rPr>
        <w:tab/>
      </w:r>
      <w:r w:rsidR="00755AE8" w:rsidRPr="00C67123">
        <w:rPr>
          <w:rFonts w:ascii="Arial" w:hAnsi="Arial" w:cs="Arial"/>
        </w:rPr>
        <w:t>T</w:t>
      </w:r>
      <w:r w:rsidR="00F816DF" w:rsidRPr="00C67123">
        <w:rPr>
          <w:rFonts w:ascii="Arial" w:hAnsi="Arial" w:cs="Arial"/>
        </w:rPr>
        <w:t xml:space="preserve">he respondents are granted leave to supplement their answering </w:t>
      </w:r>
      <w:r w:rsidR="00755AE8" w:rsidRPr="00C67123">
        <w:rPr>
          <w:rFonts w:ascii="Arial" w:hAnsi="Arial" w:cs="Arial"/>
        </w:rPr>
        <w:t>papers</w:t>
      </w:r>
      <w:r w:rsidR="00F816DF" w:rsidRPr="00C67123">
        <w:rPr>
          <w:rFonts w:ascii="Arial" w:hAnsi="Arial" w:cs="Arial"/>
        </w:rPr>
        <w:t xml:space="preserve"> in response to the </w:t>
      </w:r>
      <w:r w:rsidR="00B94DA4" w:rsidRPr="00C67123">
        <w:rPr>
          <w:rFonts w:ascii="Arial" w:hAnsi="Arial" w:cs="Arial"/>
        </w:rPr>
        <w:t xml:space="preserve">applicant’s </w:t>
      </w:r>
      <w:r w:rsidR="00F816DF" w:rsidRPr="00C67123">
        <w:rPr>
          <w:rFonts w:ascii="Arial" w:hAnsi="Arial" w:cs="Arial"/>
        </w:rPr>
        <w:t>supplemented relief, by no later than 15 days from the date on which the applicant’s supplemented papers are served on them</w:t>
      </w:r>
      <w:r w:rsidR="00755AE8" w:rsidRPr="00C67123">
        <w:rPr>
          <w:rFonts w:ascii="Arial" w:hAnsi="Arial" w:cs="Arial"/>
        </w:rPr>
        <w:t>.</w:t>
      </w:r>
    </w:p>
    <w:p w14:paraId="238C980E" w14:textId="7502FD4E" w:rsidR="00F816DF" w:rsidRPr="00C67123" w:rsidRDefault="00C67123" w:rsidP="00C67123">
      <w:pPr>
        <w:tabs>
          <w:tab w:val="left" w:pos="1814"/>
        </w:tabs>
        <w:spacing w:after="240" w:line="480" w:lineRule="auto"/>
        <w:ind w:left="1814" w:hanging="963"/>
        <w:jc w:val="both"/>
        <w:rPr>
          <w:rFonts w:ascii="Arial" w:hAnsi="Arial" w:cs="Arial"/>
        </w:rPr>
      </w:pPr>
      <w:r w:rsidRPr="00EC4DDE">
        <w:rPr>
          <w:rFonts w:ascii="Arial" w:hAnsi="Arial" w:cs="Arial"/>
        </w:rPr>
        <w:t>12.4</w:t>
      </w:r>
      <w:r w:rsidRPr="00EC4DDE">
        <w:rPr>
          <w:rFonts w:ascii="Arial" w:hAnsi="Arial" w:cs="Arial"/>
        </w:rPr>
        <w:tab/>
      </w:r>
      <w:r w:rsidR="00755AE8" w:rsidRPr="00C67123">
        <w:rPr>
          <w:rFonts w:ascii="Arial" w:hAnsi="Arial" w:cs="Arial"/>
        </w:rPr>
        <w:t>The costs of this application arising on o</w:t>
      </w:r>
      <w:r w:rsidR="003441A3" w:rsidRPr="00C67123">
        <w:rPr>
          <w:rFonts w:ascii="Arial" w:hAnsi="Arial" w:cs="Arial"/>
        </w:rPr>
        <w:t>r</w:t>
      </w:r>
      <w:r w:rsidR="00755AE8" w:rsidRPr="00C67123">
        <w:rPr>
          <w:rFonts w:ascii="Arial" w:hAnsi="Arial" w:cs="Arial"/>
        </w:rPr>
        <w:t xml:space="preserve"> before 28 April 2021 shall remain reserved. The applicant is directed to pay the costs of the application arising between 29 April 2021 and 5 November 20</w:t>
      </w:r>
      <w:r w:rsidR="00B94DA4" w:rsidRPr="00C67123">
        <w:rPr>
          <w:rFonts w:ascii="Arial" w:hAnsi="Arial" w:cs="Arial"/>
        </w:rPr>
        <w:t>2</w:t>
      </w:r>
      <w:r w:rsidR="00755AE8" w:rsidRPr="00C67123">
        <w:rPr>
          <w:rFonts w:ascii="Arial" w:hAnsi="Arial" w:cs="Arial"/>
        </w:rPr>
        <w:t xml:space="preserve">1, inclusive. </w:t>
      </w:r>
    </w:p>
    <w:p w14:paraId="238273DE" w14:textId="1476A5BF" w:rsidR="007F48CC" w:rsidRDefault="007F48CC" w:rsidP="00676666">
      <w:pPr>
        <w:pStyle w:val="Paragraph12pt"/>
        <w:ind w:left="851"/>
        <w:jc w:val="right"/>
      </w:pP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4EBC3432" w14:textId="2AB5D2B3" w:rsidR="007F48CC" w:rsidRDefault="007F48CC" w:rsidP="007F48CC">
      <w:pPr>
        <w:pStyle w:val="Paragraph12pt"/>
        <w:spacing w:after="0" w:line="240" w:lineRule="auto"/>
        <w:ind w:left="851" w:firstLine="589"/>
        <w:jc w:val="right"/>
      </w:pPr>
      <w:r>
        <w:t>Acting Judge of the High Court</w:t>
      </w:r>
    </w:p>
    <w:p w14:paraId="1C60D72D" w14:textId="4A2B8B06" w:rsidR="008E6DA3" w:rsidRDefault="008E6DA3" w:rsidP="008E6DA3">
      <w:pPr>
        <w:pStyle w:val="Paragraph12pt"/>
        <w:spacing w:after="0" w:line="240" w:lineRule="auto"/>
      </w:pPr>
    </w:p>
    <w:p w14:paraId="03814F6F" w14:textId="2F9CC8DD" w:rsidR="008E6DA3" w:rsidRDefault="008E6DA3" w:rsidP="00755AE8">
      <w:pPr>
        <w:pStyle w:val="Paragraph12pt"/>
      </w:pPr>
      <w:r w:rsidRPr="008E6DA3">
        <w:lastRenderedPageBreak/>
        <w:t xml:space="preserve">This judgment was prepared and authored by Acting Judge Wilson. It is handed down electronically by circulation to the parties or their legal representatives by email and by uploading it to the electronic file of this matter on </w:t>
      </w:r>
      <w:proofErr w:type="spellStart"/>
      <w:r w:rsidRPr="008E6DA3">
        <w:t>Caselines</w:t>
      </w:r>
      <w:proofErr w:type="spellEnd"/>
      <w:r w:rsidRPr="008E6DA3">
        <w:t xml:space="preserve">.  The date for hand-down is deemed to be </w:t>
      </w:r>
      <w:r w:rsidR="00676666">
        <w:t>5</w:t>
      </w:r>
      <w:r>
        <w:t xml:space="preserve"> November</w:t>
      </w:r>
      <w:r w:rsidRPr="008E6DA3">
        <w:t xml:space="preserve"> 2021.</w:t>
      </w:r>
    </w:p>
    <w:p w14:paraId="65451276" w14:textId="77777777" w:rsidR="00226B2D" w:rsidRDefault="00226B2D" w:rsidP="00E9302A">
      <w:pPr>
        <w:pStyle w:val="Paragraph12pt"/>
        <w:spacing w:after="0" w:line="240" w:lineRule="auto"/>
      </w:pPr>
    </w:p>
    <w:p w14:paraId="21605095" w14:textId="6B53247F" w:rsidR="000315F7" w:rsidRDefault="0051403A" w:rsidP="00A31389">
      <w:pPr>
        <w:pStyle w:val="Paragraph12pt"/>
        <w:spacing w:after="0" w:line="240" w:lineRule="auto"/>
        <w:jc w:val="left"/>
      </w:pPr>
      <w:r>
        <w:t>HEARD ON:</w:t>
      </w:r>
      <w:r>
        <w:tab/>
      </w:r>
      <w:r>
        <w:tab/>
      </w:r>
      <w:r w:rsidR="008979E4">
        <w:tab/>
      </w:r>
      <w:r w:rsidR="008979E4">
        <w:tab/>
      </w:r>
      <w:r w:rsidR="00676666">
        <w:t>28 October 2021</w:t>
      </w:r>
    </w:p>
    <w:p w14:paraId="34815143" w14:textId="601759B9" w:rsidR="008979E4" w:rsidRDefault="008979E4" w:rsidP="00A31389">
      <w:pPr>
        <w:pStyle w:val="Paragraph12pt"/>
        <w:spacing w:after="0" w:line="240" w:lineRule="auto"/>
        <w:jc w:val="left"/>
      </w:pPr>
    </w:p>
    <w:p w14:paraId="2B767162" w14:textId="36A0202F" w:rsidR="0051403A" w:rsidRDefault="0051403A" w:rsidP="00A31389">
      <w:pPr>
        <w:pStyle w:val="Paragraph12pt"/>
        <w:spacing w:after="0" w:line="240" w:lineRule="auto"/>
        <w:jc w:val="left"/>
      </w:pPr>
      <w:r>
        <w:t>DECIDED ON:</w:t>
      </w:r>
      <w:r>
        <w:tab/>
      </w:r>
      <w:r w:rsidR="00226B2D">
        <w:tab/>
      </w:r>
      <w:r w:rsidR="00226B2D">
        <w:tab/>
      </w:r>
      <w:r w:rsidR="00676666">
        <w:t>5</w:t>
      </w:r>
      <w:r w:rsidR="00037B84">
        <w:t xml:space="preserve"> </w:t>
      </w:r>
      <w:r w:rsidR="002420C3">
        <w:t>November</w:t>
      </w:r>
      <w:r w:rsidR="00037B84">
        <w:t xml:space="preserve"> 2021</w:t>
      </w:r>
    </w:p>
    <w:p w14:paraId="2523930D" w14:textId="77777777" w:rsidR="00822C4A" w:rsidRDefault="00822C4A" w:rsidP="00A31389">
      <w:pPr>
        <w:pStyle w:val="Paragraph12pt"/>
        <w:spacing w:after="0" w:line="240" w:lineRule="auto"/>
        <w:jc w:val="left"/>
      </w:pPr>
    </w:p>
    <w:p w14:paraId="28EFB408" w14:textId="77777777" w:rsidR="00A31389" w:rsidRDefault="00A31389" w:rsidP="00A31389">
      <w:pPr>
        <w:pStyle w:val="Paragraph12pt"/>
        <w:spacing w:after="0" w:line="240" w:lineRule="auto"/>
        <w:jc w:val="left"/>
      </w:pPr>
    </w:p>
    <w:p w14:paraId="05AFF686" w14:textId="2041EBE5" w:rsidR="007517F4" w:rsidRDefault="0051403A" w:rsidP="005539D4">
      <w:pPr>
        <w:pStyle w:val="Paragraph12pt"/>
        <w:spacing w:after="0" w:line="240" w:lineRule="auto"/>
        <w:jc w:val="left"/>
      </w:pPr>
      <w:r>
        <w:t>For the</w:t>
      </w:r>
      <w:r w:rsidR="00226B2D">
        <w:t xml:space="preserve"> </w:t>
      </w:r>
      <w:r w:rsidR="00AD6331">
        <w:t>Applicant</w:t>
      </w:r>
      <w:r>
        <w:t xml:space="preserve">: </w:t>
      </w:r>
      <w:r>
        <w:tab/>
      </w:r>
      <w:r>
        <w:tab/>
      </w:r>
      <w:r>
        <w:tab/>
      </w:r>
      <w:r w:rsidR="00AD6331">
        <w:t>S</w:t>
      </w:r>
      <w:r w:rsidR="00EC4DDE">
        <w:t xml:space="preserve"> L</w:t>
      </w:r>
      <w:r w:rsidR="00AD6331">
        <w:t xml:space="preserve"> </w:t>
      </w:r>
      <w:proofErr w:type="spellStart"/>
      <w:r w:rsidR="00AD6331">
        <w:t>Mohapi</w:t>
      </w:r>
      <w:proofErr w:type="spellEnd"/>
      <w:r w:rsidR="00226B2D">
        <w:t xml:space="preserve"> </w:t>
      </w:r>
      <w:r w:rsidR="007517F4">
        <w:t xml:space="preserve"> </w:t>
      </w:r>
    </w:p>
    <w:p w14:paraId="4DF21948" w14:textId="4B39A46B" w:rsidR="001A143C" w:rsidRDefault="0051403A" w:rsidP="00A31389">
      <w:pPr>
        <w:pStyle w:val="Paragraph12pt"/>
        <w:spacing w:after="0" w:line="240" w:lineRule="auto"/>
        <w:jc w:val="left"/>
      </w:pPr>
      <w:r>
        <w:tab/>
      </w:r>
      <w:r>
        <w:tab/>
      </w:r>
      <w:r>
        <w:tab/>
      </w:r>
      <w:r>
        <w:tab/>
      </w:r>
      <w:r>
        <w:tab/>
        <w:t xml:space="preserve">Instructed by </w:t>
      </w:r>
      <w:proofErr w:type="spellStart"/>
      <w:r w:rsidR="00AD6331">
        <w:t>Werksmans</w:t>
      </w:r>
      <w:proofErr w:type="spellEnd"/>
      <w:r w:rsidR="00AD6331">
        <w:t xml:space="preserve"> Incorporated</w:t>
      </w:r>
      <w:r w:rsidR="00226B2D">
        <w:t xml:space="preserve"> Attorneys</w:t>
      </w:r>
    </w:p>
    <w:p w14:paraId="253BCC30" w14:textId="77777777" w:rsidR="00A31389" w:rsidRDefault="00A31389" w:rsidP="00A31389">
      <w:pPr>
        <w:pStyle w:val="Paragraph12pt"/>
        <w:spacing w:after="0" w:line="240" w:lineRule="auto"/>
        <w:jc w:val="left"/>
      </w:pPr>
    </w:p>
    <w:p w14:paraId="6E5CEA03" w14:textId="12B84370" w:rsidR="0051403A" w:rsidRDefault="0051403A" w:rsidP="00AD6331">
      <w:pPr>
        <w:pStyle w:val="Paragraph12pt"/>
        <w:spacing w:after="0" w:line="240" w:lineRule="auto"/>
        <w:ind w:left="3600" w:hanging="3600"/>
        <w:jc w:val="left"/>
      </w:pPr>
      <w:r>
        <w:t xml:space="preserve">For the </w:t>
      </w:r>
      <w:r w:rsidR="00AD6331">
        <w:t>Respondents</w:t>
      </w:r>
      <w:r>
        <w:t>:</w:t>
      </w:r>
      <w:r>
        <w:tab/>
      </w:r>
      <w:r w:rsidR="00AD6331">
        <w:t xml:space="preserve">Mr. </w:t>
      </w:r>
      <w:proofErr w:type="spellStart"/>
      <w:r w:rsidR="00AD6331">
        <w:t>Khangela</w:t>
      </w:r>
      <w:proofErr w:type="spellEnd"/>
      <w:r w:rsidR="00AD6331">
        <w:t xml:space="preserve"> appearing in person on his own behalf, and on behalf of the second respondent.</w:t>
      </w:r>
    </w:p>
    <w:p w14:paraId="4E5BF8CA" w14:textId="41FFD87C" w:rsidR="002420C3" w:rsidRDefault="002420C3" w:rsidP="005539D4">
      <w:pPr>
        <w:pStyle w:val="Paragraph12pt"/>
        <w:spacing w:after="0" w:line="240" w:lineRule="auto"/>
        <w:jc w:val="left"/>
      </w:pPr>
      <w:r>
        <w:tab/>
      </w:r>
      <w:r>
        <w:tab/>
      </w:r>
      <w:r>
        <w:tab/>
      </w:r>
      <w:r>
        <w:tab/>
        <w:t xml:space="preserve"> </w:t>
      </w:r>
    </w:p>
    <w:p w14:paraId="2C6C559B" w14:textId="2B418745" w:rsidR="002420C3" w:rsidRDefault="002420C3" w:rsidP="005539D4">
      <w:pPr>
        <w:pStyle w:val="Paragraph12pt"/>
        <w:spacing w:after="0" w:line="240" w:lineRule="auto"/>
        <w:jc w:val="left"/>
      </w:pPr>
      <w:r>
        <w:tab/>
      </w:r>
      <w:r>
        <w:tab/>
      </w:r>
      <w:r>
        <w:tab/>
      </w:r>
      <w:r>
        <w:tab/>
      </w:r>
      <w:r>
        <w:tab/>
      </w:r>
    </w:p>
    <w:sectPr w:rsidR="002420C3" w:rsidSect="00E34C05">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0790" w14:textId="77777777" w:rsidR="00D30F53" w:rsidRDefault="00D30F53" w:rsidP="00023136">
      <w:r>
        <w:separator/>
      </w:r>
    </w:p>
  </w:endnote>
  <w:endnote w:type="continuationSeparator" w:id="0">
    <w:p w14:paraId="4FCB38E4" w14:textId="77777777" w:rsidR="00D30F53" w:rsidRDefault="00D30F53"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27F03963"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C30945">
          <w:rPr>
            <w:noProof/>
            <w:sz w:val="24"/>
            <w:szCs w:val="24"/>
          </w:rPr>
          <w:t>6</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5C4D" w14:textId="77777777" w:rsidR="00D30F53" w:rsidRDefault="00D30F53" w:rsidP="00023136">
      <w:r>
        <w:separator/>
      </w:r>
    </w:p>
  </w:footnote>
  <w:footnote w:type="continuationSeparator" w:id="0">
    <w:p w14:paraId="23775990" w14:textId="77777777" w:rsidR="00D30F53" w:rsidRDefault="00D30F53"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5831"/>
    <w:rsid w:val="0001207E"/>
    <w:rsid w:val="000142F6"/>
    <w:rsid w:val="000175D2"/>
    <w:rsid w:val="00022A59"/>
    <w:rsid w:val="00023136"/>
    <w:rsid w:val="000242E6"/>
    <w:rsid w:val="000271F7"/>
    <w:rsid w:val="000315F7"/>
    <w:rsid w:val="00032FF8"/>
    <w:rsid w:val="00037B84"/>
    <w:rsid w:val="000419C2"/>
    <w:rsid w:val="000420E9"/>
    <w:rsid w:val="000438D7"/>
    <w:rsid w:val="00054B4E"/>
    <w:rsid w:val="00055586"/>
    <w:rsid w:val="00061450"/>
    <w:rsid w:val="000649FE"/>
    <w:rsid w:val="000739D3"/>
    <w:rsid w:val="000827F8"/>
    <w:rsid w:val="000834C6"/>
    <w:rsid w:val="00085056"/>
    <w:rsid w:val="00086B11"/>
    <w:rsid w:val="000907F6"/>
    <w:rsid w:val="00091FC7"/>
    <w:rsid w:val="00092644"/>
    <w:rsid w:val="00094A3E"/>
    <w:rsid w:val="000A002D"/>
    <w:rsid w:val="000A108F"/>
    <w:rsid w:val="000A2F1E"/>
    <w:rsid w:val="000A63B7"/>
    <w:rsid w:val="000A7E6C"/>
    <w:rsid w:val="000B0260"/>
    <w:rsid w:val="000B433A"/>
    <w:rsid w:val="000C111B"/>
    <w:rsid w:val="000C7667"/>
    <w:rsid w:val="000D1822"/>
    <w:rsid w:val="000D2BED"/>
    <w:rsid w:val="000D4AB1"/>
    <w:rsid w:val="000D716E"/>
    <w:rsid w:val="000E0FCE"/>
    <w:rsid w:val="000E2B7C"/>
    <w:rsid w:val="000E3412"/>
    <w:rsid w:val="000F0A27"/>
    <w:rsid w:val="000F1501"/>
    <w:rsid w:val="000F4D80"/>
    <w:rsid w:val="000F4FA4"/>
    <w:rsid w:val="00102D51"/>
    <w:rsid w:val="001052DD"/>
    <w:rsid w:val="00105EBE"/>
    <w:rsid w:val="0011340A"/>
    <w:rsid w:val="00117216"/>
    <w:rsid w:val="00123BF9"/>
    <w:rsid w:val="00127B1D"/>
    <w:rsid w:val="00132BB9"/>
    <w:rsid w:val="00135E43"/>
    <w:rsid w:val="0015187C"/>
    <w:rsid w:val="00154598"/>
    <w:rsid w:val="00156C9A"/>
    <w:rsid w:val="00157307"/>
    <w:rsid w:val="001625E9"/>
    <w:rsid w:val="0017523E"/>
    <w:rsid w:val="00183346"/>
    <w:rsid w:val="00185028"/>
    <w:rsid w:val="001A143C"/>
    <w:rsid w:val="001A462C"/>
    <w:rsid w:val="001A532C"/>
    <w:rsid w:val="001B0CD4"/>
    <w:rsid w:val="001B50EB"/>
    <w:rsid w:val="001C0737"/>
    <w:rsid w:val="001C4F4C"/>
    <w:rsid w:val="001D2DAF"/>
    <w:rsid w:val="001D351D"/>
    <w:rsid w:val="001E0C36"/>
    <w:rsid w:val="001E4F79"/>
    <w:rsid w:val="001E7CC4"/>
    <w:rsid w:val="001F6B3A"/>
    <w:rsid w:val="001F727F"/>
    <w:rsid w:val="002055DF"/>
    <w:rsid w:val="00215B41"/>
    <w:rsid w:val="00217A4E"/>
    <w:rsid w:val="00225614"/>
    <w:rsid w:val="00225EF9"/>
    <w:rsid w:val="00226B2D"/>
    <w:rsid w:val="002377F5"/>
    <w:rsid w:val="00237B58"/>
    <w:rsid w:val="002420C3"/>
    <w:rsid w:val="00244DB2"/>
    <w:rsid w:val="002457FF"/>
    <w:rsid w:val="00251CBA"/>
    <w:rsid w:val="00255A2A"/>
    <w:rsid w:val="002739CC"/>
    <w:rsid w:val="00277325"/>
    <w:rsid w:val="00281207"/>
    <w:rsid w:val="0028361E"/>
    <w:rsid w:val="00291174"/>
    <w:rsid w:val="00291B14"/>
    <w:rsid w:val="002A33F4"/>
    <w:rsid w:val="002A6607"/>
    <w:rsid w:val="002B021B"/>
    <w:rsid w:val="002B30C6"/>
    <w:rsid w:val="002B4A76"/>
    <w:rsid w:val="002C0728"/>
    <w:rsid w:val="002C14FA"/>
    <w:rsid w:val="002D0141"/>
    <w:rsid w:val="002D4B37"/>
    <w:rsid w:val="002D5667"/>
    <w:rsid w:val="002E3F5D"/>
    <w:rsid w:val="002E5C39"/>
    <w:rsid w:val="002F229A"/>
    <w:rsid w:val="002F529B"/>
    <w:rsid w:val="002F6526"/>
    <w:rsid w:val="00303B86"/>
    <w:rsid w:val="00303DB2"/>
    <w:rsid w:val="00312F1C"/>
    <w:rsid w:val="0031632A"/>
    <w:rsid w:val="00321A27"/>
    <w:rsid w:val="003257D4"/>
    <w:rsid w:val="00330567"/>
    <w:rsid w:val="00336EBA"/>
    <w:rsid w:val="003441A3"/>
    <w:rsid w:val="00355CE6"/>
    <w:rsid w:val="00355D85"/>
    <w:rsid w:val="00360569"/>
    <w:rsid w:val="003610CA"/>
    <w:rsid w:val="00366969"/>
    <w:rsid w:val="00372C1E"/>
    <w:rsid w:val="00375125"/>
    <w:rsid w:val="00377BF0"/>
    <w:rsid w:val="003834BD"/>
    <w:rsid w:val="0038751A"/>
    <w:rsid w:val="00387983"/>
    <w:rsid w:val="00392DB5"/>
    <w:rsid w:val="00396EED"/>
    <w:rsid w:val="003A6A44"/>
    <w:rsid w:val="003A6D47"/>
    <w:rsid w:val="003B2A56"/>
    <w:rsid w:val="003C0ED3"/>
    <w:rsid w:val="003C5B1A"/>
    <w:rsid w:val="003C5BCF"/>
    <w:rsid w:val="003C7F90"/>
    <w:rsid w:val="003D4D89"/>
    <w:rsid w:val="003E0BF9"/>
    <w:rsid w:val="003E3D71"/>
    <w:rsid w:val="003E4CA1"/>
    <w:rsid w:val="003E4F7C"/>
    <w:rsid w:val="003E6414"/>
    <w:rsid w:val="003F1DB2"/>
    <w:rsid w:val="003F4D3A"/>
    <w:rsid w:val="0040054A"/>
    <w:rsid w:val="004025B7"/>
    <w:rsid w:val="0042272B"/>
    <w:rsid w:val="00423481"/>
    <w:rsid w:val="004405D8"/>
    <w:rsid w:val="004415B7"/>
    <w:rsid w:val="00444CE8"/>
    <w:rsid w:val="00445BDD"/>
    <w:rsid w:val="00451E8D"/>
    <w:rsid w:val="00456455"/>
    <w:rsid w:val="0046498E"/>
    <w:rsid w:val="004701EE"/>
    <w:rsid w:val="00473C00"/>
    <w:rsid w:val="004740CD"/>
    <w:rsid w:val="00475201"/>
    <w:rsid w:val="00485754"/>
    <w:rsid w:val="00497AFE"/>
    <w:rsid w:val="004A105A"/>
    <w:rsid w:val="004A3209"/>
    <w:rsid w:val="004A4575"/>
    <w:rsid w:val="004B0356"/>
    <w:rsid w:val="004B615F"/>
    <w:rsid w:val="004B6C09"/>
    <w:rsid w:val="004C318D"/>
    <w:rsid w:val="004C7405"/>
    <w:rsid w:val="004D7372"/>
    <w:rsid w:val="004E435D"/>
    <w:rsid w:val="004F2C17"/>
    <w:rsid w:val="004F351A"/>
    <w:rsid w:val="0050027D"/>
    <w:rsid w:val="00503094"/>
    <w:rsid w:val="00505088"/>
    <w:rsid w:val="0051403A"/>
    <w:rsid w:val="00520C15"/>
    <w:rsid w:val="005240A6"/>
    <w:rsid w:val="00524A8D"/>
    <w:rsid w:val="005271E9"/>
    <w:rsid w:val="00531F76"/>
    <w:rsid w:val="00534EEF"/>
    <w:rsid w:val="00542E2F"/>
    <w:rsid w:val="005461E8"/>
    <w:rsid w:val="0055038F"/>
    <w:rsid w:val="00553322"/>
    <w:rsid w:val="005537EC"/>
    <w:rsid w:val="005539D4"/>
    <w:rsid w:val="0055620E"/>
    <w:rsid w:val="00557A6D"/>
    <w:rsid w:val="00557C67"/>
    <w:rsid w:val="005607C0"/>
    <w:rsid w:val="00562C44"/>
    <w:rsid w:val="0056532E"/>
    <w:rsid w:val="00587D3E"/>
    <w:rsid w:val="005901C0"/>
    <w:rsid w:val="00590BC1"/>
    <w:rsid w:val="00592870"/>
    <w:rsid w:val="00593432"/>
    <w:rsid w:val="005A032A"/>
    <w:rsid w:val="005A6E16"/>
    <w:rsid w:val="005B6074"/>
    <w:rsid w:val="005B7564"/>
    <w:rsid w:val="005C73B3"/>
    <w:rsid w:val="005D2E79"/>
    <w:rsid w:val="005D7499"/>
    <w:rsid w:val="005D758A"/>
    <w:rsid w:val="005F0D75"/>
    <w:rsid w:val="005F383B"/>
    <w:rsid w:val="006029D8"/>
    <w:rsid w:val="0061057F"/>
    <w:rsid w:val="00611631"/>
    <w:rsid w:val="00612DD1"/>
    <w:rsid w:val="006170C0"/>
    <w:rsid w:val="00617EFF"/>
    <w:rsid w:val="00623E41"/>
    <w:rsid w:val="00627EA9"/>
    <w:rsid w:val="0063031C"/>
    <w:rsid w:val="00636146"/>
    <w:rsid w:val="00636596"/>
    <w:rsid w:val="00640A3B"/>
    <w:rsid w:val="006414D1"/>
    <w:rsid w:val="006478AB"/>
    <w:rsid w:val="00655D46"/>
    <w:rsid w:val="0065650F"/>
    <w:rsid w:val="00657EEC"/>
    <w:rsid w:val="00666F66"/>
    <w:rsid w:val="00667FFB"/>
    <w:rsid w:val="00676666"/>
    <w:rsid w:val="006775AE"/>
    <w:rsid w:val="00680F44"/>
    <w:rsid w:val="0068746C"/>
    <w:rsid w:val="006918A4"/>
    <w:rsid w:val="00697231"/>
    <w:rsid w:val="006B0C30"/>
    <w:rsid w:val="006B0ED5"/>
    <w:rsid w:val="006B1FFC"/>
    <w:rsid w:val="006B3475"/>
    <w:rsid w:val="006C54B6"/>
    <w:rsid w:val="006D4C73"/>
    <w:rsid w:val="006D6652"/>
    <w:rsid w:val="006D7DF0"/>
    <w:rsid w:val="006F0178"/>
    <w:rsid w:val="006F2EC1"/>
    <w:rsid w:val="006F4F6A"/>
    <w:rsid w:val="00702F3D"/>
    <w:rsid w:val="00707B54"/>
    <w:rsid w:val="00711265"/>
    <w:rsid w:val="00711F5C"/>
    <w:rsid w:val="0072092A"/>
    <w:rsid w:val="00720B37"/>
    <w:rsid w:val="00720F65"/>
    <w:rsid w:val="00724768"/>
    <w:rsid w:val="007369BE"/>
    <w:rsid w:val="00736E02"/>
    <w:rsid w:val="00746354"/>
    <w:rsid w:val="007466AB"/>
    <w:rsid w:val="0074692A"/>
    <w:rsid w:val="007517F4"/>
    <w:rsid w:val="0075333F"/>
    <w:rsid w:val="00755AE8"/>
    <w:rsid w:val="00760570"/>
    <w:rsid w:val="0076589A"/>
    <w:rsid w:val="0077312E"/>
    <w:rsid w:val="00780BBC"/>
    <w:rsid w:val="0078645E"/>
    <w:rsid w:val="00786C3D"/>
    <w:rsid w:val="00792A54"/>
    <w:rsid w:val="0079395A"/>
    <w:rsid w:val="007A287F"/>
    <w:rsid w:val="007B1EBD"/>
    <w:rsid w:val="007D5890"/>
    <w:rsid w:val="007E44CE"/>
    <w:rsid w:val="007E5B9A"/>
    <w:rsid w:val="007E6915"/>
    <w:rsid w:val="007F1345"/>
    <w:rsid w:val="007F1736"/>
    <w:rsid w:val="007F4887"/>
    <w:rsid w:val="007F48CC"/>
    <w:rsid w:val="0080019C"/>
    <w:rsid w:val="00800694"/>
    <w:rsid w:val="00800F69"/>
    <w:rsid w:val="008023C4"/>
    <w:rsid w:val="00806946"/>
    <w:rsid w:val="008162BC"/>
    <w:rsid w:val="00822C4A"/>
    <w:rsid w:val="008231D9"/>
    <w:rsid w:val="0083030A"/>
    <w:rsid w:val="00833258"/>
    <w:rsid w:val="00833771"/>
    <w:rsid w:val="00846EB8"/>
    <w:rsid w:val="008601DB"/>
    <w:rsid w:val="0086140B"/>
    <w:rsid w:val="00862400"/>
    <w:rsid w:val="00862CD3"/>
    <w:rsid w:val="00866B56"/>
    <w:rsid w:val="00866C7F"/>
    <w:rsid w:val="008735D2"/>
    <w:rsid w:val="008741FA"/>
    <w:rsid w:val="00875E25"/>
    <w:rsid w:val="00877096"/>
    <w:rsid w:val="00890F54"/>
    <w:rsid w:val="00892484"/>
    <w:rsid w:val="008925E0"/>
    <w:rsid w:val="00892F89"/>
    <w:rsid w:val="00897915"/>
    <w:rsid w:val="008979E4"/>
    <w:rsid w:val="008A05DA"/>
    <w:rsid w:val="008A0FE1"/>
    <w:rsid w:val="008B4C2B"/>
    <w:rsid w:val="008B7929"/>
    <w:rsid w:val="008C0C5D"/>
    <w:rsid w:val="008C32EC"/>
    <w:rsid w:val="008D3C4E"/>
    <w:rsid w:val="008D46C8"/>
    <w:rsid w:val="008E6DA3"/>
    <w:rsid w:val="008E73E3"/>
    <w:rsid w:val="008E7DEC"/>
    <w:rsid w:val="00911535"/>
    <w:rsid w:val="00912B3A"/>
    <w:rsid w:val="00920540"/>
    <w:rsid w:val="00920DC1"/>
    <w:rsid w:val="009229D4"/>
    <w:rsid w:val="00925406"/>
    <w:rsid w:val="00925A62"/>
    <w:rsid w:val="00946291"/>
    <w:rsid w:val="009507F5"/>
    <w:rsid w:val="00952D3C"/>
    <w:rsid w:val="00955B3E"/>
    <w:rsid w:val="009563AF"/>
    <w:rsid w:val="00970C48"/>
    <w:rsid w:val="009735FF"/>
    <w:rsid w:val="00985C74"/>
    <w:rsid w:val="00990143"/>
    <w:rsid w:val="009A3D72"/>
    <w:rsid w:val="009B10C5"/>
    <w:rsid w:val="009B5239"/>
    <w:rsid w:val="009C6A0C"/>
    <w:rsid w:val="009D277B"/>
    <w:rsid w:val="009D4303"/>
    <w:rsid w:val="009D7040"/>
    <w:rsid w:val="009E1568"/>
    <w:rsid w:val="009E5EF1"/>
    <w:rsid w:val="009E65B8"/>
    <w:rsid w:val="009F6F21"/>
    <w:rsid w:val="00A004E2"/>
    <w:rsid w:val="00A139DC"/>
    <w:rsid w:val="00A15D6A"/>
    <w:rsid w:val="00A1786A"/>
    <w:rsid w:val="00A24C2A"/>
    <w:rsid w:val="00A252E9"/>
    <w:rsid w:val="00A31389"/>
    <w:rsid w:val="00A32E29"/>
    <w:rsid w:val="00A40C93"/>
    <w:rsid w:val="00A42FCC"/>
    <w:rsid w:val="00A455C0"/>
    <w:rsid w:val="00A45B89"/>
    <w:rsid w:val="00A578D2"/>
    <w:rsid w:val="00A70F50"/>
    <w:rsid w:val="00A74A02"/>
    <w:rsid w:val="00A850AC"/>
    <w:rsid w:val="00A93498"/>
    <w:rsid w:val="00A93CDE"/>
    <w:rsid w:val="00A948EC"/>
    <w:rsid w:val="00AA00C9"/>
    <w:rsid w:val="00AA1B11"/>
    <w:rsid w:val="00AA7F56"/>
    <w:rsid w:val="00AB321F"/>
    <w:rsid w:val="00AB7D63"/>
    <w:rsid w:val="00AC1BE1"/>
    <w:rsid w:val="00AC64A8"/>
    <w:rsid w:val="00AD1A65"/>
    <w:rsid w:val="00AD3DE5"/>
    <w:rsid w:val="00AD4747"/>
    <w:rsid w:val="00AD6331"/>
    <w:rsid w:val="00AE2AE0"/>
    <w:rsid w:val="00AE546D"/>
    <w:rsid w:val="00AE7456"/>
    <w:rsid w:val="00AF537A"/>
    <w:rsid w:val="00AF739D"/>
    <w:rsid w:val="00B00409"/>
    <w:rsid w:val="00B02F42"/>
    <w:rsid w:val="00B0739C"/>
    <w:rsid w:val="00B110E1"/>
    <w:rsid w:val="00B11691"/>
    <w:rsid w:val="00B16DB4"/>
    <w:rsid w:val="00B2021B"/>
    <w:rsid w:val="00B37175"/>
    <w:rsid w:val="00B40E4A"/>
    <w:rsid w:val="00B418D7"/>
    <w:rsid w:val="00B4433D"/>
    <w:rsid w:val="00B4511C"/>
    <w:rsid w:val="00B56188"/>
    <w:rsid w:val="00B577D1"/>
    <w:rsid w:val="00B62A9A"/>
    <w:rsid w:val="00B63217"/>
    <w:rsid w:val="00B667C4"/>
    <w:rsid w:val="00B70059"/>
    <w:rsid w:val="00B85517"/>
    <w:rsid w:val="00B93BD9"/>
    <w:rsid w:val="00B94BE4"/>
    <w:rsid w:val="00B94DA4"/>
    <w:rsid w:val="00B95BF2"/>
    <w:rsid w:val="00BA74A1"/>
    <w:rsid w:val="00BA7B84"/>
    <w:rsid w:val="00BB0A10"/>
    <w:rsid w:val="00BB4D83"/>
    <w:rsid w:val="00BB6378"/>
    <w:rsid w:val="00BC5A8D"/>
    <w:rsid w:val="00BC7FA5"/>
    <w:rsid w:val="00BD712F"/>
    <w:rsid w:val="00BF2D91"/>
    <w:rsid w:val="00BF37A0"/>
    <w:rsid w:val="00C0480B"/>
    <w:rsid w:val="00C15A80"/>
    <w:rsid w:val="00C173CA"/>
    <w:rsid w:val="00C24059"/>
    <w:rsid w:val="00C24A76"/>
    <w:rsid w:val="00C30945"/>
    <w:rsid w:val="00C32013"/>
    <w:rsid w:val="00C3204F"/>
    <w:rsid w:val="00C3796E"/>
    <w:rsid w:val="00C40F21"/>
    <w:rsid w:val="00C471C1"/>
    <w:rsid w:val="00C57C38"/>
    <w:rsid w:val="00C67123"/>
    <w:rsid w:val="00C67440"/>
    <w:rsid w:val="00C7153F"/>
    <w:rsid w:val="00C73727"/>
    <w:rsid w:val="00C76221"/>
    <w:rsid w:val="00C80708"/>
    <w:rsid w:val="00C81706"/>
    <w:rsid w:val="00C82197"/>
    <w:rsid w:val="00C96F60"/>
    <w:rsid w:val="00CA7E0F"/>
    <w:rsid w:val="00CB2319"/>
    <w:rsid w:val="00CB5BB3"/>
    <w:rsid w:val="00CC3546"/>
    <w:rsid w:val="00CD2D41"/>
    <w:rsid w:val="00CE2896"/>
    <w:rsid w:val="00CF2941"/>
    <w:rsid w:val="00CF362F"/>
    <w:rsid w:val="00CF3632"/>
    <w:rsid w:val="00CF7D82"/>
    <w:rsid w:val="00D12313"/>
    <w:rsid w:val="00D12AB0"/>
    <w:rsid w:val="00D164DE"/>
    <w:rsid w:val="00D169FA"/>
    <w:rsid w:val="00D25B16"/>
    <w:rsid w:val="00D30F53"/>
    <w:rsid w:val="00D328DC"/>
    <w:rsid w:val="00D33899"/>
    <w:rsid w:val="00D37AB6"/>
    <w:rsid w:val="00D5212B"/>
    <w:rsid w:val="00D56BD2"/>
    <w:rsid w:val="00D62F55"/>
    <w:rsid w:val="00D65DDB"/>
    <w:rsid w:val="00D67153"/>
    <w:rsid w:val="00D71E5E"/>
    <w:rsid w:val="00D725E0"/>
    <w:rsid w:val="00D747FF"/>
    <w:rsid w:val="00D85110"/>
    <w:rsid w:val="00D87FE0"/>
    <w:rsid w:val="00D95F56"/>
    <w:rsid w:val="00DA2200"/>
    <w:rsid w:val="00DB1749"/>
    <w:rsid w:val="00DB200D"/>
    <w:rsid w:val="00DB4710"/>
    <w:rsid w:val="00DB495C"/>
    <w:rsid w:val="00DB535E"/>
    <w:rsid w:val="00DB76B8"/>
    <w:rsid w:val="00DC1B7D"/>
    <w:rsid w:val="00DC4667"/>
    <w:rsid w:val="00DD3864"/>
    <w:rsid w:val="00DE0275"/>
    <w:rsid w:val="00DE08A8"/>
    <w:rsid w:val="00DE60BE"/>
    <w:rsid w:val="00DE7272"/>
    <w:rsid w:val="00DE7D66"/>
    <w:rsid w:val="00DF55AB"/>
    <w:rsid w:val="00DF61C7"/>
    <w:rsid w:val="00E01B06"/>
    <w:rsid w:val="00E02C74"/>
    <w:rsid w:val="00E05DEB"/>
    <w:rsid w:val="00E06E9E"/>
    <w:rsid w:val="00E14983"/>
    <w:rsid w:val="00E1626C"/>
    <w:rsid w:val="00E34C05"/>
    <w:rsid w:val="00E362B0"/>
    <w:rsid w:val="00E42E9C"/>
    <w:rsid w:val="00E46DD6"/>
    <w:rsid w:val="00E52D10"/>
    <w:rsid w:val="00E62B5B"/>
    <w:rsid w:val="00E66D95"/>
    <w:rsid w:val="00E9302A"/>
    <w:rsid w:val="00E96FC2"/>
    <w:rsid w:val="00EA6D62"/>
    <w:rsid w:val="00EB44CC"/>
    <w:rsid w:val="00EC1695"/>
    <w:rsid w:val="00EC4DDE"/>
    <w:rsid w:val="00EE4245"/>
    <w:rsid w:val="00EE6D64"/>
    <w:rsid w:val="00F00D98"/>
    <w:rsid w:val="00F05E3C"/>
    <w:rsid w:val="00F07C34"/>
    <w:rsid w:val="00F14C98"/>
    <w:rsid w:val="00F24423"/>
    <w:rsid w:val="00F34E44"/>
    <w:rsid w:val="00F42672"/>
    <w:rsid w:val="00F474A5"/>
    <w:rsid w:val="00F47DCF"/>
    <w:rsid w:val="00F741FB"/>
    <w:rsid w:val="00F751B5"/>
    <w:rsid w:val="00F769AB"/>
    <w:rsid w:val="00F816DF"/>
    <w:rsid w:val="00F83C2B"/>
    <w:rsid w:val="00F84FD8"/>
    <w:rsid w:val="00F86D9B"/>
    <w:rsid w:val="00F904BB"/>
    <w:rsid w:val="00F97379"/>
    <w:rsid w:val="00F97E5B"/>
    <w:rsid w:val="00FB6614"/>
    <w:rsid w:val="00FB6BBA"/>
    <w:rsid w:val="00FC6173"/>
    <w:rsid w:val="00FC6EE9"/>
    <w:rsid w:val="00FD2AD0"/>
    <w:rsid w:val="00FE596A"/>
    <w:rsid w:val="00FE72B1"/>
    <w:rsid w:val="00FF1607"/>
    <w:rsid w:val="00FF267A"/>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B8FA-BE0B-4346-8B25-61D5296F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Graeme Rennie</cp:lastModifiedBy>
  <cp:revision>2</cp:revision>
  <cp:lastPrinted>2021-11-04T12:38:00Z</cp:lastPrinted>
  <dcterms:created xsi:type="dcterms:W3CDTF">2021-11-26T08:48:00Z</dcterms:created>
  <dcterms:modified xsi:type="dcterms:W3CDTF">2021-11-26T08:48:00Z</dcterms:modified>
</cp:coreProperties>
</file>