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A54D1" w14:textId="77777777" w:rsidR="00940B68" w:rsidRDefault="00940B68" w:rsidP="002D588A">
      <w:pPr>
        <w:spacing w:line="360" w:lineRule="auto"/>
        <w:ind w:leftChars="-38" w:left="-91"/>
        <w:jc w:val="center"/>
        <w:rPr>
          <w:rFonts w:cs="Arial"/>
          <w:b/>
        </w:rPr>
      </w:pPr>
      <w:bookmarkStart w:id="0" w:name="_GoBack"/>
      <w:bookmarkEnd w:id="0"/>
    </w:p>
    <w:p w14:paraId="40B7DB21" w14:textId="24D009F2" w:rsidR="002D588A" w:rsidRPr="008A3859" w:rsidRDefault="002D588A" w:rsidP="002D588A">
      <w:pPr>
        <w:spacing w:line="360" w:lineRule="auto"/>
        <w:ind w:leftChars="-38" w:left="-91"/>
        <w:jc w:val="center"/>
        <w:rPr>
          <w:rFonts w:cs="Arial"/>
          <w:b/>
        </w:rPr>
      </w:pPr>
      <w:r w:rsidRPr="008A3859">
        <w:rPr>
          <w:rFonts w:cs="Arial"/>
          <w:b/>
        </w:rPr>
        <w:t>REPUBLIC OF SOUTH AFRICA</w:t>
      </w:r>
    </w:p>
    <w:p w14:paraId="685E5C40" w14:textId="1AD24B74" w:rsidR="002D588A" w:rsidRPr="008A3859" w:rsidRDefault="00DC058B" w:rsidP="002D588A">
      <w:pPr>
        <w:spacing w:line="360" w:lineRule="auto"/>
        <w:ind w:leftChars="-38" w:left="-91"/>
        <w:jc w:val="center"/>
        <w:rPr>
          <w:rFonts w:cs="Arial"/>
          <w:b/>
        </w:rPr>
      </w:pPr>
      <w:r>
        <w:rPr>
          <w:rFonts w:cs="Arial"/>
          <w:b/>
          <w:noProof/>
          <w:lang w:eastAsia="en-ZA"/>
        </w:rPr>
        <w:drawing>
          <wp:inline distT="0" distB="0" distL="0" distR="0" wp14:anchorId="2794DC57" wp14:editId="0F7872A1">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0705E63C" w14:textId="77777777" w:rsidR="002D588A" w:rsidRPr="008A3859" w:rsidRDefault="002D588A" w:rsidP="002D588A">
      <w:pPr>
        <w:spacing w:line="360" w:lineRule="auto"/>
        <w:ind w:leftChars="-38" w:left="-91"/>
        <w:jc w:val="center"/>
        <w:rPr>
          <w:rFonts w:cs="Arial"/>
          <w:b/>
        </w:rPr>
      </w:pPr>
      <w:r w:rsidRPr="008A3859">
        <w:rPr>
          <w:rFonts w:cs="Arial"/>
          <w:b/>
        </w:rPr>
        <w:t>IN THE HIGH COURT OF SOUTH AFRICA</w:t>
      </w:r>
    </w:p>
    <w:p w14:paraId="085E3D41" w14:textId="41CA3C5F" w:rsidR="002D588A" w:rsidRPr="008A3859" w:rsidRDefault="002D588A" w:rsidP="002D588A">
      <w:pPr>
        <w:spacing w:line="360" w:lineRule="auto"/>
        <w:ind w:leftChars="-38" w:left="-91"/>
        <w:jc w:val="center"/>
        <w:rPr>
          <w:rFonts w:cs="Arial"/>
          <w:b/>
        </w:rPr>
      </w:pPr>
      <w:r w:rsidRPr="008A3859">
        <w:rPr>
          <w:rFonts w:cs="Arial"/>
          <w:b/>
        </w:rPr>
        <w:t>GAUTENG DIVISION, JOHANNESBURG</w:t>
      </w:r>
    </w:p>
    <w:p w14:paraId="22609598" w14:textId="77777777" w:rsidR="00227344" w:rsidRDefault="00227344" w:rsidP="00227344">
      <w:pPr>
        <w:widowControl w:val="0"/>
        <w:jc w:val="center"/>
        <w:rPr>
          <w:rFonts w:cs="Arial"/>
        </w:rPr>
      </w:pPr>
    </w:p>
    <w:p w14:paraId="6E57BDC9" w14:textId="77777777" w:rsidR="00170577" w:rsidRPr="00F04BA1" w:rsidRDefault="00170577" w:rsidP="00227344">
      <w:pPr>
        <w:widowControl w:val="0"/>
        <w:jc w:val="center"/>
        <w:rPr>
          <w:rFonts w:cs="Arial"/>
        </w:rPr>
      </w:pPr>
    </w:p>
    <w:p w14:paraId="3718B27E" w14:textId="2909B7C8" w:rsidR="00227344" w:rsidRDefault="00462FD0" w:rsidP="00227344">
      <w:pPr>
        <w:tabs>
          <w:tab w:val="left" w:pos="-720"/>
        </w:tabs>
        <w:suppressAutoHyphens/>
        <w:jc w:val="right"/>
        <w:rPr>
          <w:rFonts w:cs="Arial"/>
          <w:b/>
          <w:bCs/>
          <w:spacing w:val="-3"/>
        </w:rPr>
      </w:pPr>
      <w:r>
        <w:rPr>
          <w:rFonts w:cs="Arial"/>
          <w:b/>
          <w:bCs/>
          <w:spacing w:val="-3"/>
        </w:rPr>
        <w:t>CASE N</w:t>
      </w:r>
      <w:r w:rsidR="008B170D">
        <w:rPr>
          <w:rFonts w:cs="Arial"/>
          <w:b/>
          <w:bCs/>
          <w:spacing w:val="-3"/>
        </w:rPr>
        <w:t>UMBER</w:t>
      </w:r>
      <w:r>
        <w:rPr>
          <w:rFonts w:cs="Arial"/>
          <w:b/>
          <w:bCs/>
          <w:spacing w:val="-3"/>
        </w:rPr>
        <w:t>:</w:t>
      </w:r>
      <w:r w:rsidR="00C4182B" w:rsidRPr="00C4182B">
        <w:t xml:space="preserve"> </w:t>
      </w:r>
      <w:r w:rsidR="00B176EA" w:rsidRPr="00B176EA">
        <w:rPr>
          <w:b/>
        </w:rPr>
        <w:t>56719</w:t>
      </w:r>
      <w:r w:rsidR="000F64D9" w:rsidRPr="000F64D9">
        <w:rPr>
          <w:b/>
          <w:bCs/>
        </w:rPr>
        <w:t>/20</w:t>
      </w:r>
      <w:r w:rsidR="00B176EA">
        <w:rPr>
          <w:b/>
          <w:bCs/>
        </w:rPr>
        <w:t>2</w:t>
      </w:r>
      <w:r w:rsidR="000F64D9" w:rsidRPr="000F64D9">
        <w:rPr>
          <w:b/>
          <w:bCs/>
        </w:rPr>
        <w:t>1</w:t>
      </w:r>
    </w:p>
    <w:p w14:paraId="498469F5" w14:textId="77777777" w:rsidR="008B170D" w:rsidRPr="001750A3" w:rsidRDefault="008B170D" w:rsidP="00227344">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227344" w:rsidRPr="00F04BA1" w14:paraId="6D4ED682" w14:textId="77777777" w:rsidTr="008B170D">
        <w:trPr>
          <w:trHeight w:val="2528"/>
        </w:trPr>
        <w:tc>
          <w:tcPr>
            <w:tcW w:w="5812" w:type="dxa"/>
            <w:tcBorders>
              <w:top w:val="single" w:sz="4" w:space="0" w:color="auto"/>
              <w:left w:val="single" w:sz="4" w:space="0" w:color="auto"/>
              <w:bottom w:val="single" w:sz="4" w:space="0" w:color="auto"/>
              <w:right w:val="single" w:sz="4" w:space="0" w:color="auto"/>
            </w:tcBorders>
          </w:tcPr>
          <w:p w14:paraId="77E1C234" w14:textId="77777777" w:rsidR="00227344" w:rsidRPr="00F04BA1" w:rsidRDefault="00227344" w:rsidP="00585B73">
            <w:pPr>
              <w:jc w:val="both"/>
              <w:rPr>
                <w:rFonts w:cs="Arial"/>
                <w:sz w:val="16"/>
                <w:szCs w:val="16"/>
              </w:rPr>
            </w:pPr>
          </w:p>
          <w:p w14:paraId="2AE43BCE" w14:textId="77777777" w:rsidR="00227344" w:rsidRPr="008B170D" w:rsidRDefault="00227344" w:rsidP="00585B73">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10D70B81" w14:textId="77777777" w:rsidR="00641E28" w:rsidRPr="008B170D" w:rsidRDefault="00641E28" w:rsidP="00585B73">
            <w:pPr>
              <w:ind w:left="180"/>
              <w:jc w:val="center"/>
              <w:rPr>
                <w:rFonts w:cs="Arial"/>
                <w:b/>
                <w:bCs/>
                <w:color w:val="FF0000"/>
                <w:sz w:val="18"/>
                <w:szCs w:val="18"/>
                <w:u w:val="single"/>
              </w:rPr>
            </w:pPr>
          </w:p>
          <w:p w14:paraId="24E11A26" w14:textId="5578144E" w:rsidR="00227344" w:rsidRPr="008B170D" w:rsidRDefault="00227344" w:rsidP="008B170D">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8B170D" w:rsidRPr="008B170D">
              <w:rPr>
                <w:rFonts w:cs="Arial"/>
                <w:bCs/>
                <w:color w:val="FF0000"/>
                <w:sz w:val="18"/>
                <w:szCs w:val="18"/>
              </w:rPr>
              <w:t xml:space="preserve">                                                                </w:t>
            </w:r>
            <w:r w:rsidRPr="008B170D">
              <w:rPr>
                <w:rFonts w:cs="Arial"/>
                <w:bCs/>
                <w:color w:val="FF0000"/>
                <w:sz w:val="18"/>
                <w:szCs w:val="18"/>
              </w:rPr>
              <w:t>NO</w:t>
            </w:r>
          </w:p>
          <w:p w14:paraId="6AB4E5D0" w14:textId="174D5421" w:rsidR="00227344" w:rsidRPr="008B170D" w:rsidRDefault="00227344" w:rsidP="008B170D">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8B170D" w:rsidRPr="008B170D">
              <w:rPr>
                <w:rFonts w:cs="Arial"/>
                <w:bCs/>
                <w:color w:val="FF0000"/>
                <w:sz w:val="18"/>
                <w:szCs w:val="18"/>
              </w:rPr>
              <w:t xml:space="preserve">                               </w:t>
            </w:r>
            <w:r w:rsidRPr="008B170D">
              <w:rPr>
                <w:rFonts w:cs="Arial"/>
                <w:bCs/>
                <w:color w:val="FF0000"/>
                <w:sz w:val="18"/>
                <w:szCs w:val="18"/>
              </w:rPr>
              <w:t>NO</w:t>
            </w:r>
          </w:p>
          <w:p w14:paraId="38E15DBD" w14:textId="77777777" w:rsidR="00227344" w:rsidRPr="008B170D" w:rsidRDefault="008B170D" w:rsidP="008B170D">
            <w:pPr>
              <w:spacing w:line="480" w:lineRule="auto"/>
              <w:ind w:left="180"/>
              <w:jc w:val="both"/>
              <w:rPr>
                <w:rFonts w:cs="Arial"/>
                <w:bCs/>
                <w:color w:val="FF0000"/>
                <w:sz w:val="18"/>
                <w:szCs w:val="18"/>
              </w:rPr>
            </w:pPr>
            <w:r w:rsidRPr="008B170D">
              <w:rPr>
                <w:rFonts w:cs="Arial"/>
                <w:bCs/>
                <w:color w:val="FF0000"/>
                <w:sz w:val="18"/>
                <w:szCs w:val="18"/>
              </w:rPr>
              <w:t>3.REVISED</w:t>
            </w:r>
          </w:p>
          <w:p w14:paraId="38D5FB32" w14:textId="77777777" w:rsidR="008B170D" w:rsidRPr="008B170D" w:rsidRDefault="008B170D" w:rsidP="00585B73">
            <w:pPr>
              <w:spacing w:line="360" w:lineRule="auto"/>
              <w:ind w:left="180"/>
              <w:jc w:val="both"/>
              <w:rPr>
                <w:rFonts w:cs="Arial"/>
                <w:bCs/>
                <w:color w:val="FF0000"/>
                <w:sz w:val="18"/>
                <w:szCs w:val="18"/>
              </w:rPr>
            </w:pPr>
          </w:p>
          <w:p w14:paraId="04127759" w14:textId="667CD62A" w:rsidR="00227344" w:rsidRPr="008B170D" w:rsidRDefault="00817F6D" w:rsidP="00585B73">
            <w:pPr>
              <w:spacing w:line="360" w:lineRule="auto"/>
              <w:ind w:left="180"/>
              <w:jc w:val="both"/>
              <w:rPr>
                <w:rFonts w:cs="Arial"/>
                <w:b/>
                <w:bCs/>
                <w:color w:val="FF0000"/>
                <w:sz w:val="18"/>
                <w:szCs w:val="18"/>
              </w:rPr>
            </w:pPr>
            <w:r>
              <w:rPr>
                <w:rFonts w:cs="Arial"/>
                <w:b/>
                <w:bCs/>
                <w:color w:val="FF0000"/>
                <w:sz w:val="18"/>
                <w:szCs w:val="18"/>
              </w:rPr>
              <w:t>19 January 2022</w:t>
            </w:r>
            <w:r w:rsidR="00227344" w:rsidRPr="008B170D">
              <w:rPr>
                <w:rFonts w:cs="Arial"/>
                <w:b/>
                <w:bCs/>
                <w:color w:val="FF0000"/>
                <w:sz w:val="18"/>
                <w:szCs w:val="18"/>
              </w:rPr>
              <w:t xml:space="preserve">                       ……………………………</w:t>
            </w:r>
          </w:p>
          <w:p w14:paraId="53793E10" w14:textId="77777777" w:rsidR="00227344" w:rsidRPr="00F04BA1" w:rsidRDefault="00227344" w:rsidP="00585B73">
            <w:pPr>
              <w:spacing w:line="360" w:lineRule="auto"/>
              <w:jc w:val="both"/>
              <w:rPr>
                <w:rFonts w:cs="Arial"/>
                <w:sz w:val="16"/>
                <w:szCs w:val="16"/>
              </w:rPr>
            </w:pPr>
            <w:r w:rsidRPr="008B170D">
              <w:rPr>
                <w:rFonts w:cs="Arial"/>
                <w:b/>
                <w:bCs/>
                <w:color w:val="FF0000"/>
                <w:sz w:val="18"/>
                <w:szCs w:val="18"/>
              </w:rPr>
              <w:t xml:space="preserve">        DATE                                                     SIGNATURE</w:t>
            </w:r>
          </w:p>
        </w:tc>
      </w:tr>
    </w:tbl>
    <w:p w14:paraId="04882C3F" w14:textId="77777777" w:rsidR="00227344" w:rsidRDefault="00227344" w:rsidP="00227344">
      <w:pPr>
        <w:tabs>
          <w:tab w:val="left" w:pos="-720"/>
        </w:tabs>
        <w:suppressAutoHyphens/>
        <w:rPr>
          <w:rFonts w:cs="Arial"/>
          <w:bCs/>
          <w:spacing w:val="-3"/>
        </w:rPr>
      </w:pPr>
    </w:p>
    <w:p w14:paraId="09770EC3" w14:textId="77777777" w:rsidR="000F64D9" w:rsidRDefault="000F64D9" w:rsidP="00227344">
      <w:pPr>
        <w:tabs>
          <w:tab w:val="left" w:pos="-720"/>
        </w:tabs>
        <w:suppressAutoHyphens/>
        <w:rPr>
          <w:rFonts w:cs="Arial"/>
          <w:bCs/>
          <w:spacing w:val="-3"/>
        </w:rPr>
      </w:pPr>
    </w:p>
    <w:p w14:paraId="5325D08F" w14:textId="77777777" w:rsidR="000F64D9" w:rsidRDefault="000F64D9" w:rsidP="00227344">
      <w:pPr>
        <w:tabs>
          <w:tab w:val="left" w:pos="-720"/>
        </w:tabs>
        <w:suppressAutoHyphens/>
        <w:rPr>
          <w:rFonts w:cs="Arial"/>
          <w:bCs/>
          <w:spacing w:val="-3"/>
        </w:rPr>
      </w:pPr>
    </w:p>
    <w:p w14:paraId="77161977" w14:textId="51916D95" w:rsidR="00227344" w:rsidRDefault="00227344" w:rsidP="00227344">
      <w:pPr>
        <w:tabs>
          <w:tab w:val="left" w:pos="-720"/>
        </w:tabs>
        <w:suppressAutoHyphens/>
        <w:rPr>
          <w:rFonts w:cs="Arial"/>
          <w:bCs/>
          <w:spacing w:val="-3"/>
        </w:rPr>
      </w:pPr>
      <w:r w:rsidRPr="00F04BA1">
        <w:rPr>
          <w:rFonts w:cs="Arial"/>
          <w:bCs/>
          <w:spacing w:val="-3"/>
        </w:rPr>
        <w:t>In the matter between:</w:t>
      </w:r>
    </w:p>
    <w:p w14:paraId="7773B75F" w14:textId="77777777" w:rsidR="000F64D9" w:rsidRPr="00F04BA1" w:rsidRDefault="000F64D9" w:rsidP="00227344">
      <w:pPr>
        <w:tabs>
          <w:tab w:val="left" w:pos="-720"/>
        </w:tabs>
        <w:suppressAutoHyphens/>
        <w:rPr>
          <w:rFonts w:cs="Arial"/>
          <w:bCs/>
          <w:spacing w:val="-3"/>
        </w:rPr>
      </w:pPr>
    </w:p>
    <w:p w14:paraId="3FE4DF97" w14:textId="77777777" w:rsidR="000F64D9" w:rsidRPr="000F64D9" w:rsidRDefault="000F64D9" w:rsidP="000F64D9">
      <w:pPr>
        <w:widowControl w:val="0"/>
        <w:tabs>
          <w:tab w:val="right" w:pos="9356"/>
        </w:tabs>
        <w:jc w:val="both"/>
        <w:rPr>
          <w:b/>
        </w:rPr>
      </w:pPr>
    </w:p>
    <w:p w14:paraId="4A62808B" w14:textId="56508D2D" w:rsidR="000F64D9" w:rsidRPr="000F64D9" w:rsidRDefault="00B176EA" w:rsidP="000F64D9">
      <w:pPr>
        <w:widowControl w:val="0"/>
        <w:tabs>
          <w:tab w:val="right" w:pos="9356"/>
        </w:tabs>
        <w:jc w:val="both"/>
        <w:rPr>
          <w:b/>
        </w:rPr>
      </w:pPr>
      <w:r>
        <w:rPr>
          <w:b/>
        </w:rPr>
        <w:t>SASOL OIL</w:t>
      </w:r>
      <w:r w:rsidR="0074556C">
        <w:rPr>
          <w:b/>
        </w:rPr>
        <w:t xml:space="preserve"> </w:t>
      </w:r>
      <w:r w:rsidR="00A97D11" w:rsidRPr="000F64D9">
        <w:rPr>
          <w:b/>
        </w:rPr>
        <w:t>(</w:t>
      </w:r>
      <w:r w:rsidR="0074556C">
        <w:rPr>
          <w:b/>
        </w:rPr>
        <w:t>PTY</w:t>
      </w:r>
      <w:r w:rsidR="00A97D11" w:rsidRPr="000F64D9">
        <w:rPr>
          <w:b/>
        </w:rPr>
        <w:t>)</w:t>
      </w:r>
      <w:r w:rsidR="0074556C">
        <w:rPr>
          <w:b/>
        </w:rPr>
        <w:t xml:space="preserve"> L</w:t>
      </w:r>
      <w:r>
        <w:rPr>
          <w:b/>
        </w:rPr>
        <w:t>IMI</w:t>
      </w:r>
      <w:r w:rsidR="0074556C">
        <w:rPr>
          <w:b/>
        </w:rPr>
        <w:t>T</w:t>
      </w:r>
      <w:r>
        <w:rPr>
          <w:b/>
        </w:rPr>
        <w:t>E</w:t>
      </w:r>
      <w:r w:rsidR="0074556C">
        <w:rPr>
          <w:b/>
        </w:rPr>
        <w:t xml:space="preserve">D </w:t>
      </w:r>
      <w:r w:rsidR="000F64D9">
        <w:rPr>
          <w:b/>
        </w:rPr>
        <w:tab/>
      </w:r>
      <w:r w:rsidR="000F64D9" w:rsidRPr="000F64D9">
        <w:rPr>
          <w:b/>
        </w:rPr>
        <w:t>APPLICANT</w:t>
      </w:r>
    </w:p>
    <w:p w14:paraId="3FEA226C" w14:textId="1864DF06" w:rsidR="000F64D9" w:rsidRDefault="000F64D9" w:rsidP="000F64D9">
      <w:pPr>
        <w:widowControl w:val="0"/>
        <w:tabs>
          <w:tab w:val="right" w:pos="9356"/>
        </w:tabs>
        <w:jc w:val="both"/>
        <w:rPr>
          <w:b/>
        </w:rPr>
      </w:pPr>
    </w:p>
    <w:p w14:paraId="14375F7B" w14:textId="09D07134" w:rsidR="000F64D9" w:rsidRPr="000F64D9" w:rsidRDefault="00D72DA5" w:rsidP="000F64D9">
      <w:pPr>
        <w:widowControl w:val="0"/>
        <w:tabs>
          <w:tab w:val="right" w:pos="9356"/>
        </w:tabs>
        <w:jc w:val="both"/>
        <w:rPr>
          <w:b/>
        </w:rPr>
      </w:pPr>
      <w:r>
        <w:rPr>
          <w:b/>
        </w:rPr>
        <w:t>A</w:t>
      </w:r>
      <w:r w:rsidR="000F64D9" w:rsidRPr="000F64D9">
        <w:rPr>
          <w:b/>
        </w:rPr>
        <w:t>ND</w:t>
      </w:r>
    </w:p>
    <w:p w14:paraId="2B56A7C9" w14:textId="78C75AFB" w:rsidR="000F64D9" w:rsidRDefault="000F64D9" w:rsidP="000F64D9">
      <w:pPr>
        <w:widowControl w:val="0"/>
        <w:tabs>
          <w:tab w:val="right" w:pos="9356"/>
        </w:tabs>
        <w:jc w:val="both"/>
        <w:rPr>
          <w:b/>
        </w:rPr>
      </w:pPr>
    </w:p>
    <w:p w14:paraId="586B1E41" w14:textId="1DFBCF54" w:rsidR="0074556C" w:rsidRDefault="00B176EA" w:rsidP="000F64D9">
      <w:pPr>
        <w:widowControl w:val="0"/>
        <w:tabs>
          <w:tab w:val="right" w:pos="9356"/>
        </w:tabs>
        <w:jc w:val="both"/>
        <w:rPr>
          <w:b/>
        </w:rPr>
      </w:pPr>
      <w:bookmarkStart w:id="1" w:name="_Hlk46927591"/>
      <w:r>
        <w:rPr>
          <w:b/>
        </w:rPr>
        <w:t>EUROZAR (PTY)</w:t>
      </w:r>
      <w:r w:rsidR="0074556C">
        <w:rPr>
          <w:b/>
        </w:rPr>
        <w:t xml:space="preserve"> LIMITED</w:t>
      </w:r>
      <w:r w:rsidR="000F64D9">
        <w:tab/>
      </w:r>
      <w:r>
        <w:t xml:space="preserve"> </w:t>
      </w:r>
      <w:r w:rsidRPr="00B176EA">
        <w:rPr>
          <w:b/>
        </w:rPr>
        <w:t xml:space="preserve">FIRST </w:t>
      </w:r>
      <w:r w:rsidR="000F64D9" w:rsidRPr="000F64D9">
        <w:rPr>
          <w:b/>
        </w:rPr>
        <w:t>RESPONDENT</w:t>
      </w:r>
      <w:bookmarkEnd w:id="1"/>
    </w:p>
    <w:p w14:paraId="5CD43871" w14:textId="77777777" w:rsidR="0074556C" w:rsidRDefault="0074556C" w:rsidP="000F64D9">
      <w:pPr>
        <w:widowControl w:val="0"/>
        <w:tabs>
          <w:tab w:val="right" w:pos="9356"/>
        </w:tabs>
        <w:jc w:val="both"/>
        <w:rPr>
          <w:b/>
        </w:rPr>
      </w:pPr>
    </w:p>
    <w:p w14:paraId="4C07B54A" w14:textId="11C674BD" w:rsidR="00B176EA" w:rsidRDefault="00B176EA" w:rsidP="00B176EA">
      <w:pPr>
        <w:widowControl w:val="0"/>
        <w:tabs>
          <w:tab w:val="right" w:pos="9356"/>
        </w:tabs>
        <w:jc w:val="both"/>
        <w:rPr>
          <w:b/>
        </w:rPr>
      </w:pPr>
      <w:r>
        <w:rPr>
          <w:b/>
        </w:rPr>
        <w:t>MICHAEL MOOSA</w:t>
      </w:r>
      <w:r>
        <w:tab/>
      </w:r>
      <w:r w:rsidRPr="00B176EA">
        <w:rPr>
          <w:b/>
        </w:rPr>
        <w:t xml:space="preserve">SECOND </w:t>
      </w:r>
      <w:r w:rsidRPr="000F64D9">
        <w:rPr>
          <w:b/>
        </w:rPr>
        <w:t>RESPONDENT</w:t>
      </w:r>
    </w:p>
    <w:p w14:paraId="58CDCBDC" w14:textId="77777777" w:rsidR="00B176EA" w:rsidRDefault="00B176EA" w:rsidP="00B176EA">
      <w:pPr>
        <w:widowControl w:val="0"/>
        <w:tabs>
          <w:tab w:val="right" w:pos="9356"/>
        </w:tabs>
        <w:jc w:val="both"/>
        <w:rPr>
          <w:b/>
        </w:rPr>
      </w:pPr>
    </w:p>
    <w:p w14:paraId="4B0C67D7" w14:textId="5A22FE18" w:rsidR="00B176EA" w:rsidRDefault="00B176EA" w:rsidP="00B176EA">
      <w:pPr>
        <w:widowControl w:val="0"/>
        <w:tabs>
          <w:tab w:val="right" w:pos="9356"/>
        </w:tabs>
        <w:jc w:val="both"/>
        <w:rPr>
          <w:b/>
        </w:rPr>
      </w:pPr>
      <w:r>
        <w:rPr>
          <w:b/>
        </w:rPr>
        <w:t>NAEEM MOOSA</w:t>
      </w:r>
      <w:r>
        <w:tab/>
        <w:t xml:space="preserve"> </w:t>
      </w:r>
      <w:r w:rsidRPr="00B176EA">
        <w:rPr>
          <w:b/>
        </w:rPr>
        <w:t xml:space="preserve">THIRD </w:t>
      </w:r>
      <w:r w:rsidRPr="000F64D9">
        <w:rPr>
          <w:b/>
        </w:rPr>
        <w:t>RESPONDENT</w:t>
      </w:r>
    </w:p>
    <w:p w14:paraId="0571E445" w14:textId="77777777" w:rsidR="00B176EA" w:rsidRDefault="00B176EA" w:rsidP="00B176EA">
      <w:pPr>
        <w:widowControl w:val="0"/>
        <w:tabs>
          <w:tab w:val="right" w:pos="9356"/>
        </w:tabs>
        <w:jc w:val="both"/>
        <w:rPr>
          <w:b/>
        </w:rPr>
      </w:pPr>
    </w:p>
    <w:p w14:paraId="22350EE3" w14:textId="49E921A3" w:rsidR="00B176EA" w:rsidRDefault="00B176EA" w:rsidP="00B176EA">
      <w:pPr>
        <w:widowControl w:val="0"/>
        <w:tabs>
          <w:tab w:val="right" w:pos="9356"/>
        </w:tabs>
        <w:jc w:val="both"/>
        <w:rPr>
          <w:b/>
        </w:rPr>
      </w:pPr>
      <w:r>
        <w:rPr>
          <w:b/>
        </w:rPr>
        <w:t>SANDTONFUEL (PTY) LIMITED</w:t>
      </w:r>
      <w:r>
        <w:tab/>
        <w:t xml:space="preserve"> </w:t>
      </w:r>
      <w:r w:rsidRPr="00B176EA">
        <w:rPr>
          <w:b/>
        </w:rPr>
        <w:t>F</w:t>
      </w:r>
      <w:r>
        <w:rPr>
          <w:b/>
        </w:rPr>
        <w:t>OURTH</w:t>
      </w:r>
      <w:r w:rsidRPr="00B176EA">
        <w:rPr>
          <w:b/>
        </w:rPr>
        <w:t xml:space="preserve"> </w:t>
      </w:r>
      <w:r w:rsidRPr="000F64D9">
        <w:rPr>
          <w:b/>
        </w:rPr>
        <w:t>RESPONDENT</w:t>
      </w:r>
    </w:p>
    <w:p w14:paraId="4B13B938" w14:textId="4DF22076" w:rsidR="00C4182B" w:rsidRPr="00C4182B" w:rsidRDefault="000F64D9" w:rsidP="000F64D9">
      <w:pPr>
        <w:widowControl w:val="0"/>
        <w:tabs>
          <w:tab w:val="right" w:pos="9356"/>
        </w:tabs>
        <w:jc w:val="both"/>
        <w:rPr>
          <w:b/>
        </w:rPr>
      </w:pPr>
      <w:r w:rsidRPr="000F64D9">
        <w:rPr>
          <w:b/>
        </w:rPr>
        <w:tab/>
      </w:r>
      <w:r w:rsidRPr="000F64D9">
        <w:rPr>
          <w:b/>
        </w:rPr>
        <w:tab/>
        <w:t xml:space="preserve">   </w:t>
      </w:r>
    </w:p>
    <w:p w14:paraId="2E32F958" w14:textId="026C8742" w:rsidR="000F64D9" w:rsidRPr="000F64D9" w:rsidRDefault="004A78E2" w:rsidP="000F64D9">
      <w:pPr>
        <w:pStyle w:val="Tramlines"/>
        <w:rPr>
          <w:rFonts w:cs="Arial"/>
          <w:lang w:val="en-US"/>
        </w:rPr>
      </w:pPr>
      <w:r>
        <w:rPr>
          <w:rFonts w:cs="Arial"/>
          <w:lang w:val="en-US"/>
        </w:rPr>
        <w:lastRenderedPageBreak/>
        <w:t>J</w:t>
      </w:r>
      <w:r w:rsidR="00F07977">
        <w:rPr>
          <w:rFonts w:cs="Arial"/>
          <w:lang w:val="en-US"/>
        </w:rPr>
        <w:t>UDG</w:t>
      </w:r>
      <w:r w:rsidR="00113313" w:rsidRPr="00005B36">
        <w:rPr>
          <w:rFonts w:cs="Arial"/>
          <w:lang w:val="en-US"/>
        </w:rPr>
        <w:t>MENT</w:t>
      </w:r>
    </w:p>
    <w:p w14:paraId="32B74AE1" w14:textId="77777777" w:rsidR="00F4093B" w:rsidRDefault="00F4093B" w:rsidP="00F4093B">
      <w:pPr>
        <w:tabs>
          <w:tab w:val="left" w:pos="-720"/>
        </w:tabs>
        <w:suppressAutoHyphens/>
        <w:spacing w:line="360" w:lineRule="auto"/>
        <w:jc w:val="both"/>
        <w:rPr>
          <w:rFonts w:cs="Arial"/>
          <w:b/>
          <w:bCs/>
          <w:spacing w:val="-3"/>
        </w:rPr>
      </w:pPr>
    </w:p>
    <w:p w14:paraId="4C6EBD5C" w14:textId="1034590D" w:rsidR="003E152F" w:rsidRPr="003E152F" w:rsidRDefault="003E152F" w:rsidP="003E152F">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 xml:space="preserve">This judgment was handed down electronically by circulation to the parties’ legal representatives by e-mail. The date and time for hand-down is deemed to be 10h00 on the </w:t>
      </w:r>
      <w:r w:rsidR="00E57842">
        <w:rPr>
          <w:rFonts w:cs="Arial"/>
        </w:rPr>
        <w:t>1</w:t>
      </w:r>
      <w:r w:rsidR="00F71F65">
        <w:rPr>
          <w:rFonts w:cs="Arial"/>
        </w:rPr>
        <w:t>9</w:t>
      </w:r>
      <w:r w:rsidR="00F3360E">
        <w:rPr>
          <w:rFonts w:cs="Arial"/>
        </w:rPr>
        <w:t>th</w:t>
      </w:r>
      <w:r w:rsidRPr="003E152F">
        <w:rPr>
          <w:rFonts w:cs="Arial"/>
        </w:rPr>
        <w:t xml:space="preserve"> of </w:t>
      </w:r>
      <w:r w:rsidR="00307B0B">
        <w:rPr>
          <w:rFonts w:cs="Arial"/>
        </w:rPr>
        <w:t>January</w:t>
      </w:r>
      <w:r w:rsidRPr="003E152F">
        <w:rPr>
          <w:rFonts w:cs="Arial"/>
        </w:rPr>
        <w:t xml:space="preserve"> 202</w:t>
      </w:r>
      <w:r w:rsidR="00307B0B">
        <w:rPr>
          <w:rFonts w:cs="Arial"/>
        </w:rPr>
        <w:t>2</w:t>
      </w:r>
      <w:r w:rsidRPr="003E152F">
        <w:rPr>
          <w:rFonts w:cs="Arial"/>
        </w:rPr>
        <w:t>.</w:t>
      </w:r>
    </w:p>
    <w:p w14:paraId="2485EB8F" w14:textId="77777777" w:rsidR="003E152F" w:rsidRDefault="003E152F" w:rsidP="00F4093B">
      <w:pPr>
        <w:tabs>
          <w:tab w:val="left" w:pos="-720"/>
        </w:tabs>
        <w:suppressAutoHyphens/>
        <w:spacing w:line="360" w:lineRule="auto"/>
        <w:jc w:val="both"/>
        <w:rPr>
          <w:rFonts w:cs="Arial"/>
          <w:b/>
          <w:bCs/>
          <w:spacing w:val="-3"/>
          <w:u w:val="single"/>
        </w:rPr>
      </w:pPr>
    </w:p>
    <w:p w14:paraId="0C8690ED" w14:textId="77777777" w:rsidR="003E152F" w:rsidRDefault="003E152F" w:rsidP="00F4093B">
      <w:pPr>
        <w:tabs>
          <w:tab w:val="left" w:pos="-720"/>
        </w:tabs>
        <w:suppressAutoHyphens/>
        <w:spacing w:line="360" w:lineRule="auto"/>
        <w:jc w:val="both"/>
        <w:rPr>
          <w:rFonts w:cs="Arial"/>
          <w:b/>
          <w:bCs/>
          <w:spacing w:val="-3"/>
          <w:u w:val="single"/>
        </w:rPr>
      </w:pPr>
    </w:p>
    <w:p w14:paraId="3CC06FC2" w14:textId="5856945D" w:rsidR="00F4093B" w:rsidRDefault="006B5D7B" w:rsidP="00F4093B">
      <w:pPr>
        <w:tabs>
          <w:tab w:val="left" w:pos="-720"/>
        </w:tabs>
        <w:suppressAutoHyphens/>
        <w:spacing w:line="360" w:lineRule="auto"/>
        <w:jc w:val="both"/>
        <w:rPr>
          <w:rFonts w:cs="Arial"/>
          <w:b/>
          <w:bCs/>
          <w:spacing w:val="-3"/>
        </w:rPr>
      </w:pPr>
      <w:r>
        <w:rPr>
          <w:rFonts w:cs="Arial"/>
          <w:b/>
          <w:bCs/>
          <w:spacing w:val="-3"/>
          <w:u w:val="single"/>
        </w:rPr>
        <w:t>DIPPENAAR</w:t>
      </w:r>
      <w:r w:rsidR="009F27D2">
        <w:rPr>
          <w:rFonts w:cs="Arial"/>
          <w:b/>
          <w:bCs/>
          <w:spacing w:val="-3"/>
          <w:u w:val="single"/>
        </w:rPr>
        <w:t xml:space="preserve"> </w:t>
      </w:r>
      <w:r w:rsidR="00F4093B" w:rsidRPr="00F4093B">
        <w:rPr>
          <w:rFonts w:cs="Arial"/>
          <w:b/>
          <w:bCs/>
          <w:spacing w:val="-3"/>
          <w:u w:val="single"/>
        </w:rPr>
        <w:t>J</w:t>
      </w:r>
      <w:r w:rsidR="00F4093B">
        <w:rPr>
          <w:rFonts w:cs="Arial"/>
          <w:b/>
          <w:bCs/>
          <w:spacing w:val="-3"/>
        </w:rPr>
        <w:t>:</w:t>
      </w:r>
    </w:p>
    <w:p w14:paraId="113E160C" w14:textId="77777777" w:rsidR="001445C3" w:rsidRPr="00F4093B" w:rsidRDefault="001445C3" w:rsidP="00F4093B">
      <w:pPr>
        <w:tabs>
          <w:tab w:val="left" w:pos="-720"/>
        </w:tabs>
        <w:suppressAutoHyphens/>
        <w:spacing w:line="360" w:lineRule="auto"/>
        <w:jc w:val="both"/>
        <w:rPr>
          <w:rFonts w:cs="Arial"/>
          <w:b/>
          <w:bCs/>
          <w:spacing w:val="-3"/>
        </w:rPr>
      </w:pPr>
    </w:p>
    <w:p w14:paraId="31FED45D" w14:textId="0CFB6E3A" w:rsidR="00C42607" w:rsidRDefault="00C42607" w:rsidP="00C42607">
      <w:pPr>
        <w:pStyle w:val="level1"/>
        <w:numPr>
          <w:ilvl w:val="0"/>
          <w:numId w:val="0"/>
        </w:numPr>
        <w:spacing w:after="480" w:line="360" w:lineRule="auto"/>
        <w:jc w:val="both"/>
        <w:rPr>
          <w:lang w:val="en-US"/>
        </w:rPr>
      </w:pPr>
      <w:r>
        <w:rPr>
          <w:lang w:val="en-US"/>
        </w:rPr>
        <w:t>Introduction</w:t>
      </w:r>
      <w:r w:rsidR="00D6538D">
        <w:rPr>
          <w:lang w:val="en-US"/>
        </w:rPr>
        <w:t xml:space="preserve"> and background facts</w:t>
      </w:r>
    </w:p>
    <w:p w14:paraId="35CBD9DE" w14:textId="0743E565" w:rsidR="00DB2643" w:rsidRPr="00DB2643" w:rsidRDefault="00EF4E8D" w:rsidP="004002F5">
      <w:pPr>
        <w:pStyle w:val="level1"/>
        <w:spacing w:after="480" w:line="360" w:lineRule="auto"/>
        <w:ind w:left="0" w:firstLine="0"/>
        <w:jc w:val="both"/>
        <w:rPr>
          <w:lang w:val="en-US"/>
        </w:rPr>
      </w:pPr>
      <w:r w:rsidRPr="00DB2643">
        <w:rPr>
          <w:lang w:val="en-US"/>
        </w:rPr>
        <w:t>Th</w:t>
      </w:r>
      <w:r w:rsidR="00E82C25" w:rsidRPr="00DB2643">
        <w:rPr>
          <w:lang w:val="en-US"/>
        </w:rPr>
        <w:t>e</w:t>
      </w:r>
      <w:r w:rsidR="00AE29CB" w:rsidRPr="00DB2643">
        <w:rPr>
          <w:lang w:val="en-US"/>
        </w:rPr>
        <w:t xml:space="preserve"> applicant</w:t>
      </w:r>
      <w:r w:rsidR="00AD0CDE" w:rsidRPr="00DB2643">
        <w:rPr>
          <w:lang w:val="en-US"/>
        </w:rPr>
        <w:t xml:space="preserve"> </w:t>
      </w:r>
      <w:r w:rsidR="00E82C25" w:rsidRPr="00DB2643">
        <w:rPr>
          <w:lang w:val="en-US"/>
        </w:rPr>
        <w:t xml:space="preserve">(“Sasol”) by way of urgent application </w:t>
      </w:r>
      <w:r w:rsidR="00AD0CDE" w:rsidRPr="00DB2643">
        <w:rPr>
          <w:lang w:val="en-US"/>
        </w:rPr>
        <w:t>s</w:t>
      </w:r>
      <w:r w:rsidR="00F35640" w:rsidRPr="00DB2643">
        <w:rPr>
          <w:lang w:val="en-US"/>
        </w:rPr>
        <w:t>ought</w:t>
      </w:r>
      <w:r w:rsidR="00AD0CDE" w:rsidRPr="00DB2643">
        <w:rPr>
          <w:lang w:val="en-US"/>
        </w:rPr>
        <w:t xml:space="preserve"> the </w:t>
      </w:r>
      <w:r w:rsidR="00307B0B" w:rsidRPr="00DB2643">
        <w:rPr>
          <w:lang w:val="en-US"/>
        </w:rPr>
        <w:t xml:space="preserve">eviction of the </w:t>
      </w:r>
      <w:r w:rsidR="009B10A7" w:rsidRPr="00DB2643">
        <w:rPr>
          <w:lang w:val="en-US"/>
        </w:rPr>
        <w:t xml:space="preserve">first </w:t>
      </w:r>
      <w:r w:rsidR="00307B0B" w:rsidRPr="00DB2643">
        <w:rPr>
          <w:lang w:val="en-US"/>
        </w:rPr>
        <w:t>respondent</w:t>
      </w:r>
      <w:r w:rsidR="009B10A7" w:rsidRPr="00DB2643">
        <w:rPr>
          <w:lang w:val="en-US"/>
        </w:rPr>
        <w:t xml:space="preserve"> (“Eurozar”)</w:t>
      </w:r>
      <w:r w:rsidR="00307B0B" w:rsidRPr="00DB2643">
        <w:rPr>
          <w:lang w:val="en-US"/>
        </w:rPr>
        <w:t xml:space="preserve"> </w:t>
      </w:r>
      <w:r w:rsidR="00F35640" w:rsidRPr="00DB2643">
        <w:rPr>
          <w:lang w:val="en-US"/>
        </w:rPr>
        <w:t xml:space="preserve">and three further respondents </w:t>
      </w:r>
      <w:r w:rsidR="00307B0B" w:rsidRPr="00DB2643">
        <w:rPr>
          <w:lang w:val="en-US"/>
        </w:rPr>
        <w:t>from commercial premises</w:t>
      </w:r>
      <w:r w:rsidR="003155E7" w:rsidRPr="00DB2643">
        <w:rPr>
          <w:lang w:val="en-US"/>
        </w:rPr>
        <w:t>, together with punitive costs</w:t>
      </w:r>
      <w:r w:rsidR="00AD0CDE" w:rsidRPr="00DB2643">
        <w:rPr>
          <w:lang w:val="en-US"/>
        </w:rPr>
        <w:t>.</w:t>
      </w:r>
      <w:r w:rsidR="00DB2643" w:rsidRPr="00DB2643">
        <w:rPr>
          <w:lang w:val="en-US"/>
        </w:rPr>
        <w:t xml:space="preserve"> In short, Sasol’s case is that Eurozar has no right to occupy the premises as the franchise agreement terminated through effluxion of time, that its refusal to vacate the premises is unlawful and that it is entitled to an order ejecting Eurozar and all persons associated with it from the premises, including SasolFuel which is unlawfully conducting an Uber Eats business from the premises. </w:t>
      </w:r>
      <w:r w:rsidR="00F67748">
        <w:rPr>
          <w:lang w:val="en-US"/>
        </w:rPr>
        <w:t xml:space="preserve">Its case for urgency is based on potential brand damage, the siphoning of money to SasolFuel and the potential loss of its site licence. Its intention is to appoint an interim operator who will apply for a retail licence. </w:t>
      </w:r>
      <w:r w:rsidR="00DB2643" w:rsidRPr="00DB2643">
        <w:rPr>
          <w:lang w:val="en-US"/>
        </w:rPr>
        <w:t xml:space="preserve">Sasol </w:t>
      </w:r>
      <w:r w:rsidR="00F67748">
        <w:rPr>
          <w:lang w:val="en-US"/>
        </w:rPr>
        <w:t xml:space="preserve">contended that it </w:t>
      </w:r>
      <w:r w:rsidR="00DB2643" w:rsidRPr="00DB2643">
        <w:rPr>
          <w:lang w:val="en-US"/>
        </w:rPr>
        <w:t xml:space="preserve">is suffering significant brand damage as consumers are disappointed at the lack of service at the Sasol branded forecourt and convenience centre and have lodged complaints and </w:t>
      </w:r>
      <w:r w:rsidR="00F67748">
        <w:rPr>
          <w:lang w:val="en-US"/>
        </w:rPr>
        <w:t xml:space="preserve">that it </w:t>
      </w:r>
      <w:r w:rsidR="00DB2643" w:rsidRPr="00DB2643">
        <w:rPr>
          <w:lang w:val="en-US"/>
        </w:rPr>
        <w:t xml:space="preserve">is suffering substantial financial </w:t>
      </w:r>
      <w:r w:rsidR="00C376C5">
        <w:rPr>
          <w:lang w:val="en-US"/>
        </w:rPr>
        <w:t>losses</w:t>
      </w:r>
      <w:r w:rsidR="00DB2643" w:rsidRPr="00DB2643">
        <w:rPr>
          <w:lang w:val="en-US"/>
        </w:rPr>
        <w:t xml:space="preserve"> on an ongoing and increasing basis.</w:t>
      </w:r>
    </w:p>
    <w:p w14:paraId="71EF6985" w14:textId="7F27E9FE" w:rsidR="005C57D3" w:rsidRDefault="00D6538D" w:rsidP="000B5A36">
      <w:pPr>
        <w:pStyle w:val="level1"/>
        <w:spacing w:after="480" w:line="360" w:lineRule="auto"/>
        <w:ind w:left="0" w:firstLine="0"/>
        <w:jc w:val="both"/>
        <w:rPr>
          <w:lang w:val="en-US"/>
        </w:rPr>
      </w:pPr>
      <w:r>
        <w:rPr>
          <w:lang w:val="en-US"/>
        </w:rPr>
        <w:t xml:space="preserve">Eurozar challenged the urgency of the application, contended for the importation of an implied or tacit term </w:t>
      </w:r>
      <w:r w:rsidR="00817F6D">
        <w:rPr>
          <w:lang w:val="en-US"/>
        </w:rPr>
        <w:t xml:space="preserve">of good faith </w:t>
      </w:r>
      <w:r>
        <w:rPr>
          <w:lang w:val="en-US"/>
        </w:rPr>
        <w:t xml:space="preserve">into the franchise agreement concluded between it and Sasol, which the latter breached and by way of counter application sought a stay of the eviction application. </w:t>
      </w:r>
      <w:r w:rsidR="005C57D3">
        <w:rPr>
          <w:lang w:val="en-US"/>
        </w:rPr>
        <w:t>The second</w:t>
      </w:r>
      <w:r w:rsidR="00280732">
        <w:rPr>
          <w:lang w:val="en-US"/>
        </w:rPr>
        <w:t>,</w:t>
      </w:r>
      <w:r w:rsidR="005C57D3">
        <w:rPr>
          <w:lang w:val="en-US"/>
        </w:rPr>
        <w:t xml:space="preserve"> third and fourth respondents contend</w:t>
      </w:r>
      <w:r w:rsidR="00F35640">
        <w:rPr>
          <w:lang w:val="en-US"/>
        </w:rPr>
        <w:t>ed</w:t>
      </w:r>
      <w:r w:rsidR="005C57D3">
        <w:rPr>
          <w:lang w:val="en-US"/>
        </w:rPr>
        <w:t xml:space="preserve"> that they were wrongly joined to the application and no costs order should be granted against them. They d</w:t>
      </w:r>
      <w:r w:rsidR="00F35640">
        <w:rPr>
          <w:lang w:val="en-US"/>
        </w:rPr>
        <w:t>id</w:t>
      </w:r>
      <w:r w:rsidR="005C57D3">
        <w:rPr>
          <w:lang w:val="en-US"/>
        </w:rPr>
        <w:t xml:space="preserve"> not oppose the relief sought</w:t>
      </w:r>
      <w:r w:rsidR="00280732">
        <w:rPr>
          <w:lang w:val="en-US"/>
        </w:rPr>
        <w:t>, nor contend</w:t>
      </w:r>
      <w:r w:rsidR="00F35640">
        <w:rPr>
          <w:lang w:val="en-US"/>
        </w:rPr>
        <w:t xml:space="preserve">ed </w:t>
      </w:r>
      <w:r w:rsidR="00280732">
        <w:rPr>
          <w:lang w:val="en-US"/>
        </w:rPr>
        <w:t>for any right to occupy the premises</w:t>
      </w:r>
      <w:r w:rsidR="005C57D3">
        <w:rPr>
          <w:lang w:val="en-US"/>
        </w:rPr>
        <w:t xml:space="preserve">. </w:t>
      </w:r>
      <w:r w:rsidR="005C57D3">
        <w:rPr>
          <w:lang w:val="en-US"/>
        </w:rPr>
        <w:lastRenderedPageBreak/>
        <w:t xml:space="preserve">The second and third respondents are the sole directors of both </w:t>
      </w:r>
      <w:r w:rsidR="00E82C25">
        <w:rPr>
          <w:lang w:val="en-US"/>
        </w:rPr>
        <w:t>Eurozar</w:t>
      </w:r>
      <w:r w:rsidR="005C57D3">
        <w:rPr>
          <w:lang w:val="en-US"/>
        </w:rPr>
        <w:t xml:space="preserve"> and the fourth respondent</w:t>
      </w:r>
      <w:r w:rsidR="00F35640">
        <w:rPr>
          <w:lang w:val="en-US"/>
        </w:rPr>
        <w:t xml:space="preserve"> </w:t>
      </w:r>
      <w:r w:rsidR="00E82C25">
        <w:rPr>
          <w:lang w:val="en-US"/>
        </w:rPr>
        <w:t>(“Sandton</w:t>
      </w:r>
      <w:r w:rsidR="00691B06">
        <w:rPr>
          <w:lang w:val="en-US"/>
        </w:rPr>
        <w:t>F</w:t>
      </w:r>
      <w:r w:rsidR="00E82C25">
        <w:rPr>
          <w:lang w:val="en-US"/>
        </w:rPr>
        <w:t>uel”)</w:t>
      </w:r>
      <w:r w:rsidR="005C57D3">
        <w:rPr>
          <w:lang w:val="en-US"/>
        </w:rPr>
        <w:t>.</w:t>
      </w:r>
      <w:r w:rsidR="00307B0B">
        <w:rPr>
          <w:lang w:val="en-US"/>
        </w:rPr>
        <w:t xml:space="preserve"> </w:t>
      </w:r>
    </w:p>
    <w:p w14:paraId="09DB0CB9" w14:textId="3D8935E0" w:rsidR="009B10A7" w:rsidRPr="00E44FBF" w:rsidRDefault="009B10A7" w:rsidP="009B10A7">
      <w:pPr>
        <w:pStyle w:val="level1"/>
        <w:spacing w:after="480" w:line="360" w:lineRule="auto"/>
        <w:ind w:left="0" w:firstLine="0"/>
        <w:jc w:val="both"/>
        <w:rPr>
          <w:lang w:val="en-US"/>
        </w:rPr>
      </w:pPr>
      <w:r w:rsidRPr="00E44FBF">
        <w:rPr>
          <w:lang w:val="en-US"/>
        </w:rPr>
        <w:t xml:space="preserve">The </w:t>
      </w:r>
      <w:r w:rsidR="00F35640">
        <w:rPr>
          <w:lang w:val="en-US"/>
        </w:rPr>
        <w:t>application must be determined on the basis that the applican</w:t>
      </w:r>
      <w:r w:rsidRPr="00E44FBF">
        <w:rPr>
          <w:lang w:val="en-US"/>
        </w:rPr>
        <w:t>t s</w:t>
      </w:r>
      <w:r w:rsidR="00F35640">
        <w:rPr>
          <w:lang w:val="en-US"/>
        </w:rPr>
        <w:t>ought</w:t>
      </w:r>
      <w:r w:rsidRPr="00E44FBF">
        <w:rPr>
          <w:lang w:val="en-US"/>
        </w:rPr>
        <w:t xml:space="preserve"> final relief</w:t>
      </w:r>
      <w:r>
        <w:rPr>
          <w:rStyle w:val="FootnoteReference"/>
          <w:lang w:val="en-US"/>
        </w:rPr>
        <w:footnoteReference w:id="1"/>
      </w:r>
      <w:r w:rsidR="00F35640">
        <w:rPr>
          <w:lang w:val="en-US"/>
        </w:rPr>
        <w:t xml:space="preserve"> and applying</w:t>
      </w:r>
      <w:r w:rsidRPr="00E44FBF">
        <w:rPr>
          <w:lang w:val="en-US"/>
        </w:rPr>
        <w:t xml:space="preserve"> the so called Plascon Evans test</w:t>
      </w:r>
      <w:r>
        <w:rPr>
          <w:rStyle w:val="FootnoteReference"/>
          <w:lang w:val="en-US"/>
        </w:rPr>
        <w:footnoteReference w:id="2"/>
      </w:r>
      <w:r w:rsidRPr="00E44FBF">
        <w:rPr>
          <w:lang w:val="en-US"/>
        </w:rPr>
        <w:t>. Where there is a genuine dispute of fact, the respondent’s version must be accepted. A dispute will not be genuine if it is so far-fetched or so clearly untenable that it can be safely rejected on the papers.</w:t>
      </w:r>
      <w:r>
        <w:rPr>
          <w:rStyle w:val="FootnoteReference"/>
          <w:lang w:val="en-US"/>
        </w:rPr>
        <w:footnoteReference w:id="3"/>
      </w:r>
      <w:r w:rsidRPr="00E44FBF">
        <w:rPr>
          <w:lang w:val="en-US"/>
        </w:rPr>
        <w:t xml:space="preserve"> A real dispute of fact arises, </w:t>
      </w:r>
      <w:r w:rsidRPr="00F35640">
        <w:rPr>
          <w:i/>
          <w:lang w:val="en-US"/>
        </w:rPr>
        <w:t>inter alia</w:t>
      </w:r>
      <w:r w:rsidRPr="00E44FBF">
        <w:rPr>
          <w:lang w:val="en-US"/>
        </w:rPr>
        <w:t>, where a court is satisfied that the party who purports to raise the dispute has in its affidavit seriously and unambiguously addressed the facts said to be disputed.</w:t>
      </w:r>
      <w:r>
        <w:rPr>
          <w:rStyle w:val="FootnoteReference"/>
          <w:lang w:val="en-US"/>
        </w:rPr>
        <w:footnoteReference w:id="4"/>
      </w:r>
      <w:r w:rsidRPr="00E44FBF">
        <w:rPr>
          <w:lang w:val="en-US"/>
        </w:rPr>
        <w:t xml:space="preserve"> </w:t>
      </w:r>
    </w:p>
    <w:p w14:paraId="30F29D02" w14:textId="181E49B2" w:rsidR="00E82C25" w:rsidRPr="00280732" w:rsidRDefault="004277F3" w:rsidP="00B82688">
      <w:pPr>
        <w:pStyle w:val="level1"/>
        <w:spacing w:after="480" w:line="360" w:lineRule="auto"/>
        <w:ind w:left="0" w:firstLine="0"/>
        <w:jc w:val="both"/>
        <w:rPr>
          <w:lang w:val="en-US"/>
        </w:rPr>
      </w:pPr>
      <w:r w:rsidRPr="00280732">
        <w:rPr>
          <w:lang w:val="en-US"/>
        </w:rPr>
        <w:t>The back</w:t>
      </w:r>
      <w:r w:rsidR="00280732" w:rsidRPr="00280732">
        <w:rPr>
          <w:lang w:val="en-US"/>
        </w:rPr>
        <w:t>ground</w:t>
      </w:r>
      <w:r w:rsidRPr="00280732">
        <w:rPr>
          <w:lang w:val="en-US"/>
        </w:rPr>
        <w:t xml:space="preserve"> facts are not contentious</w:t>
      </w:r>
      <w:r w:rsidR="00280732" w:rsidRPr="00280732">
        <w:rPr>
          <w:lang w:val="en-US"/>
        </w:rPr>
        <w:t xml:space="preserve"> and are common cause</w:t>
      </w:r>
      <w:r w:rsidRPr="00280732">
        <w:rPr>
          <w:lang w:val="en-US"/>
        </w:rPr>
        <w:t>.</w:t>
      </w:r>
      <w:r w:rsidR="00280732">
        <w:rPr>
          <w:lang w:val="en-US"/>
        </w:rPr>
        <w:t xml:space="preserve"> </w:t>
      </w:r>
      <w:r w:rsidR="00E82C25" w:rsidRPr="00280732">
        <w:rPr>
          <w:lang w:val="en-US"/>
        </w:rPr>
        <w:t>Sasol holds the head lease over a Sasol branded forecourt and convenience store located at 375 Rivonia Road, Sandton (“the premises”).</w:t>
      </w:r>
      <w:r w:rsidR="00F35640">
        <w:rPr>
          <w:lang w:val="en-US"/>
        </w:rPr>
        <w:t xml:space="preserve"> </w:t>
      </w:r>
      <w:r w:rsidR="00E82C25" w:rsidRPr="00280732">
        <w:rPr>
          <w:lang w:val="en-US"/>
        </w:rPr>
        <w:t>Eurozar occupied the premises in terms of a written franchise agreement concluded with Sasol during 2016. The five</w:t>
      </w:r>
      <w:r w:rsidR="00F35640">
        <w:rPr>
          <w:lang w:val="en-US"/>
        </w:rPr>
        <w:t>-</w:t>
      </w:r>
      <w:r w:rsidR="00E82C25" w:rsidRPr="00280732">
        <w:rPr>
          <w:lang w:val="en-US"/>
        </w:rPr>
        <w:t>year initial period of the lease commenced on 8 May 2016 and expired on 7 May 2021.</w:t>
      </w:r>
    </w:p>
    <w:p w14:paraId="42D1C673" w14:textId="1B77E751" w:rsidR="00E82C25" w:rsidRDefault="00E82C25" w:rsidP="000B5A36">
      <w:pPr>
        <w:pStyle w:val="level1"/>
        <w:spacing w:after="480" w:line="360" w:lineRule="auto"/>
        <w:ind w:left="0" w:firstLine="0"/>
        <w:jc w:val="both"/>
        <w:rPr>
          <w:lang w:val="en-US"/>
        </w:rPr>
      </w:pPr>
      <w:r>
        <w:rPr>
          <w:lang w:val="en-US"/>
        </w:rPr>
        <w:t>The franchise agreement contained an extension clause, the relevant portion of which provides:</w:t>
      </w:r>
    </w:p>
    <w:p w14:paraId="61F1C067" w14:textId="3F7104CC" w:rsidR="00E82C25" w:rsidRPr="00FE1806" w:rsidRDefault="00E82C25" w:rsidP="00FE1806">
      <w:pPr>
        <w:pStyle w:val="level1"/>
        <w:numPr>
          <w:ilvl w:val="0"/>
          <w:numId w:val="0"/>
        </w:numPr>
        <w:spacing w:after="480"/>
        <w:ind w:left="360"/>
        <w:jc w:val="both"/>
        <w:rPr>
          <w:sz w:val="20"/>
          <w:szCs w:val="20"/>
          <w:lang w:val="en-US"/>
        </w:rPr>
      </w:pPr>
      <w:r w:rsidRPr="00FE1806">
        <w:rPr>
          <w:sz w:val="20"/>
          <w:szCs w:val="20"/>
          <w:lang w:val="en-US"/>
        </w:rPr>
        <w:t>“…</w:t>
      </w:r>
      <w:r w:rsidRPr="00FE1806">
        <w:rPr>
          <w:i/>
          <w:sz w:val="20"/>
          <w:szCs w:val="20"/>
          <w:lang w:val="en-US"/>
        </w:rPr>
        <w:t>the Franchisee has the right subject to the prior approval of the Franchisor, but is not obliged to, extend its relationship with the Franchisor for an additional period of five (5) years, calculated with effect from the date immediately following the expiry of the Initial Period…Although the Franchisor is not obliged to extend this Franchise Agreement for an additional period after the Initial Period, the Franchisor may not refuse to agree to such an extension on unreasonable grounds</w:t>
      </w:r>
      <w:r w:rsidRPr="00FE1806">
        <w:rPr>
          <w:sz w:val="20"/>
          <w:szCs w:val="20"/>
          <w:lang w:val="en-US"/>
        </w:rPr>
        <w:t>”.</w:t>
      </w:r>
    </w:p>
    <w:p w14:paraId="403751DF" w14:textId="77777777" w:rsidR="001F6D78" w:rsidRDefault="00FE1806" w:rsidP="00B82688">
      <w:pPr>
        <w:pStyle w:val="level1"/>
        <w:spacing w:after="480" w:line="360" w:lineRule="auto"/>
        <w:ind w:left="0" w:firstLine="0"/>
        <w:jc w:val="both"/>
        <w:rPr>
          <w:lang w:val="en-US"/>
        </w:rPr>
      </w:pPr>
      <w:r>
        <w:rPr>
          <w:lang w:val="en-US"/>
        </w:rPr>
        <w:lastRenderedPageBreak/>
        <w:t>On 4</w:t>
      </w:r>
      <w:r w:rsidR="00E82C25" w:rsidRPr="00BE1E3B">
        <w:rPr>
          <w:lang w:val="en-US"/>
        </w:rPr>
        <w:t xml:space="preserve"> November 2019, Sasol notified</w:t>
      </w:r>
      <w:r w:rsidR="00BE1E3B" w:rsidRPr="00BE1E3B">
        <w:rPr>
          <w:lang w:val="en-US"/>
        </w:rPr>
        <w:t xml:space="preserve"> Eurozar that it would not extend the Franchise agreement.</w:t>
      </w:r>
      <w:r w:rsidR="001F6D78">
        <w:rPr>
          <w:lang w:val="en-US"/>
        </w:rPr>
        <w:t xml:space="preserve"> The relevant portion of the letter provided:</w:t>
      </w:r>
    </w:p>
    <w:p w14:paraId="14045E3A" w14:textId="3889FF89" w:rsidR="001F6D78" w:rsidRDefault="001F6D78" w:rsidP="001F6D78">
      <w:pPr>
        <w:pStyle w:val="level1"/>
        <w:numPr>
          <w:ilvl w:val="0"/>
          <w:numId w:val="0"/>
        </w:numPr>
        <w:spacing w:after="480"/>
        <w:ind w:left="360"/>
        <w:jc w:val="both"/>
        <w:rPr>
          <w:i/>
          <w:sz w:val="20"/>
          <w:szCs w:val="20"/>
          <w:lang w:val="en-US"/>
        </w:rPr>
      </w:pPr>
      <w:r w:rsidRPr="001F6D78">
        <w:rPr>
          <w:i/>
          <w:sz w:val="20"/>
          <w:szCs w:val="20"/>
          <w:lang w:val="en-US"/>
        </w:rPr>
        <w:t>“The franchise agreement between Sasol and the franchisee is due to expire on 08 May 2021 in the ordinary course by the effluxion of time (the initial period</w:t>
      </w:r>
      <w:r w:rsidR="00817F6D">
        <w:rPr>
          <w:i/>
          <w:sz w:val="20"/>
          <w:szCs w:val="20"/>
          <w:lang w:val="en-US"/>
        </w:rPr>
        <w:t>)</w:t>
      </w:r>
      <w:r w:rsidRPr="001F6D78">
        <w:rPr>
          <w:i/>
          <w:sz w:val="20"/>
          <w:szCs w:val="20"/>
          <w:lang w:val="en-US"/>
        </w:rPr>
        <w:t xml:space="preserve">. </w:t>
      </w:r>
    </w:p>
    <w:p w14:paraId="79B88C12" w14:textId="4D702E4B" w:rsidR="001F6D78" w:rsidRPr="001F6D78" w:rsidRDefault="001F6D78" w:rsidP="001F6D78">
      <w:pPr>
        <w:pStyle w:val="level1"/>
        <w:numPr>
          <w:ilvl w:val="0"/>
          <w:numId w:val="0"/>
        </w:numPr>
        <w:spacing w:after="480"/>
        <w:ind w:left="360"/>
        <w:jc w:val="both"/>
        <w:rPr>
          <w:i/>
          <w:sz w:val="20"/>
          <w:szCs w:val="20"/>
          <w:lang w:val="en-US"/>
        </w:rPr>
      </w:pPr>
      <w:r w:rsidRPr="001F6D78">
        <w:rPr>
          <w:i/>
          <w:sz w:val="20"/>
          <w:szCs w:val="20"/>
          <w:lang w:val="en-US"/>
        </w:rPr>
        <w:t>Therefore, this serves to notify the franchisee that the relationship between Sasol and the franchisee will summarily terminate 08 May 2021 and Sasol is unable to offer any additional period for the franchisee to operate the Sasol Rivonia convenience store”</w:t>
      </w:r>
      <w:r>
        <w:rPr>
          <w:i/>
          <w:sz w:val="20"/>
          <w:szCs w:val="20"/>
          <w:lang w:val="en-US"/>
        </w:rPr>
        <w:t>.</w:t>
      </w:r>
      <w:r w:rsidR="00BE1E3B" w:rsidRPr="001F6D78">
        <w:rPr>
          <w:i/>
          <w:sz w:val="20"/>
          <w:szCs w:val="20"/>
          <w:lang w:val="en-US"/>
        </w:rPr>
        <w:t xml:space="preserve"> </w:t>
      </w:r>
    </w:p>
    <w:p w14:paraId="3E257205" w14:textId="77777777" w:rsidR="00C376C5" w:rsidRPr="00C376C5" w:rsidRDefault="001F6D78" w:rsidP="00B82688">
      <w:pPr>
        <w:pStyle w:val="level1"/>
        <w:spacing w:after="480" w:line="360" w:lineRule="auto"/>
        <w:ind w:left="0" w:firstLine="0"/>
        <w:jc w:val="both"/>
        <w:rPr>
          <w:i/>
          <w:lang w:val="en-US"/>
        </w:rPr>
      </w:pPr>
      <w:r>
        <w:rPr>
          <w:lang w:val="en-US"/>
        </w:rPr>
        <w:t>Eurozar asked Sasol to elaborate</w:t>
      </w:r>
      <w:r w:rsidR="00F35640">
        <w:rPr>
          <w:lang w:val="en-US"/>
        </w:rPr>
        <w:t xml:space="preserve"> </w:t>
      </w:r>
      <w:r>
        <w:rPr>
          <w:lang w:val="en-US"/>
        </w:rPr>
        <w:t>on why it was unable to offer an additional</w:t>
      </w:r>
      <w:r w:rsidR="00F35640">
        <w:rPr>
          <w:lang w:val="en-US"/>
        </w:rPr>
        <w:t xml:space="preserve"> p</w:t>
      </w:r>
      <w:r>
        <w:rPr>
          <w:lang w:val="en-US"/>
        </w:rPr>
        <w:t>eriod, pursuant to which Sasol on 2 December 2019 responded stating</w:t>
      </w:r>
      <w:r w:rsidR="00787D00">
        <w:rPr>
          <w:lang w:val="en-US"/>
        </w:rPr>
        <w:t>:</w:t>
      </w:r>
    </w:p>
    <w:p w14:paraId="151EF850" w14:textId="04D74C05" w:rsidR="001F6D78" w:rsidRPr="00787D00" w:rsidRDefault="00C376C5" w:rsidP="00787D00">
      <w:pPr>
        <w:pStyle w:val="level1"/>
        <w:numPr>
          <w:ilvl w:val="0"/>
          <w:numId w:val="0"/>
        </w:numPr>
        <w:spacing w:after="480"/>
        <w:ind w:left="360"/>
        <w:jc w:val="both"/>
        <w:rPr>
          <w:i/>
          <w:sz w:val="20"/>
          <w:szCs w:val="20"/>
          <w:lang w:val="en-US"/>
        </w:rPr>
      </w:pPr>
      <w:r w:rsidRPr="007D4630">
        <w:rPr>
          <w:sz w:val="20"/>
          <w:szCs w:val="20"/>
          <w:lang w:val="en-US"/>
        </w:rPr>
        <w:t>“</w:t>
      </w:r>
      <w:r w:rsidR="00F67748" w:rsidRPr="007D4630">
        <w:rPr>
          <w:i/>
          <w:sz w:val="20"/>
          <w:szCs w:val="20"/>
          <w:lang w:val="en-US"/>
        </w:rPr>
        <w:t>This is to reiterate that Sasol’s Franchise Agreement with Eurozar (Pty) Ltd will expire by effluxion of time on 8 May 2021. The property on which the premises are situated is not owned by Sasol and same reverts to the owner on expiration of this Franchise Agreement</w:t>
      </w:r>
      <w:r w:rsidR="007D4630" w:rsidRPr="007D4630">
        <w:rPr>
          <w:i/>
          <w:sz w:val="20"/>
          <w:szCs w:val="20"/>
          <w:lang w:val="en-US"/>
        </w:rPr>
        <w:t>.</w:t>
      </w:r>
      <w:r w:rsidRPr="007D4630">
        <w:rPr>
          <w:sz w:val="20"/>
          <w:szCs w:val="20"/>
          <w:lang w:val="en-US"/>
        </w:rPr>
        <w:t>”</w:t>
      </w:r>
      <w:r w:rsidR="00610EDB">
        <w:rPr>
          <w:i/>
          <w:sz w:val="20"/>
          <w:szCs w:val="20"/>
          <w:lang w:val="en-US"/>
        </w:rPr>
        <w:t xml:space="preserve"> </w:t>
      </w:r>
    </w:p>
    <w:p w14:paraId="1D7C0C73" w14:textId="0673225C" w:rsidR="001F6D78" w:rsidRPr="001F6D78" w:rsidRDefault="001F6D78" w:rsidP="00B82688">
      <w:pPr>
        <w:pStyle w:val="level1"/>
        <w:spacing w:after="480" w:line="360" w:lineRule="auto"/>
        <w:ind w:left="0" w:firstLine="0"/>
        <w:jc w:val="both"/>
        <w:rPr>
          <w:i/>
          <w:lang w:val="en-US"/>
        </w:rPr>
      </w:pPr>
      <w:r>
        <w:rPr>
          <w:lang w:val="en-US"/>
        </w:rPr>
        <w:t>On 27 February 2020, Eurozar notified Sasol that it wished to extend the franchise agreement for the additional period of five years, being the contractually agreed period</w:t>
      </w:r>
      <w:r w:rsidR="00610EDB">
        <w:rPr>
          <w:lang w:val="en-US"/>
        </w:rPr>
        <w:t xml:space="preserve"> in terms of clause 5.4 of the franchise agreement</w:t>
      </w:r>
      <w:r>
        <w:rPr>
          <w:lang w:val="en-US"/>
        </w:rPr>
        <w:t>.</w:t>
      </w:r>
    </w:p>
    <w:p w14:paraId="5DF34F0A" w14:textId="412FFC35" w:rsidR="00DB6046" w:rsidRPr="00BE1E3B" w:rsidRDefault="00BE1E3B" w:rsidP="00B82688">
      <w:pPr>
        <w:pStyle w:val="level1"/>
        <w:spacing w:after="480" w:line="360" w:lineRule="auto"/>
        <w:ind w:left="0" w:firstLine="0"/>
        <w:jc w:val="both"/>
        <w:rPr>
          <w:lang w:val="en-US"/>
        </w:rPr>
      </w:pPr>
      <w:r w:rsidRPr="00BE1E3B">
        <w:rPr>
          <w:lang w:val="en-US"/>
        </w:rPr>
        <w:t>Eurozar disputed the validity of Sasol’s refusal to extend the franchise agreement</w:t>
      </w:r>
      <w:r w:rsidR="00F35640">
        <w:rPr>
          <w:lang w:val="en-US"/>
        </w:rPr>
        <w:t xml:space="preserve"> and</w:t>
      </w:r>
      <w:r w:rsidR="00DB6046" w:rsidRPr="00BE1E3B">
        <w:rPr>
          <w:lang w:val="en-US"/>
        </w:rPr>
        <w:t xml:space="preserve"> sought to asse</w:t>
      </w:r>
      <w:r w:rsidR="00F35640">
        <w:rPr>
          <w:lang w:val="en-US"/>
        </w:rPr>
        <w:t>r</w:t>
      </w:r>
      <w:r w:rsidR="00DB6046" w:rsidRPr="00BE1E3B">
        <w:rPr>
          <w:lang w:val="en-US"/>
        </w:rPr>
        <w:t>t its rights under s 12B of the Petroleum Products Act</w:t>
      </w:r>
      <w:r w:rsidR="00DB6046">
        <w:rPr>
          <w:rStyle w:val="FootnoteReference"/>
          <w:lang w:val="en-US"/>
        </w:rPr>
        <w:footnoteReference w:id="5"/>
      </w:r>
      <w:r w:rsidR="00DB6046" w:rsidRPr="00BE1E3B">
        <w:rPr>
          <w:lang w:val="en-US"/>
        </w:rPr>
        <w:t xml:space="preserve"> (“the PPA”)</w:t>
      </w:r>
      <w:r w:rsidR="00DC561E" w:rsidRPr="00BE1E3B">
        <w:rPr>
          <w:lang w:val="en-US"/>
        </w:rPr>
        <w:t xml:space="preserve"> by lodging </w:t>
      </w:r>
      <w:r w:rsidRPr="00BE1E3B">
        <w:rPr>
          <w:lang w:val="en-US"/>
        </w:rPr>
        <w:t>i</w:t>
      </w:r>
      <w:r w:rsidR="00DC561E" w:rsidRPr="00BE1E3B">
        <w:rPr>
          <w:lang w:val="en-US"/>
        </w:rPr>
        <w:t xml:space="preserve">ts request for a referral to arbitration with the controller. </w:t>
      </w:r>
      <w:r w:rsidRPr="00BE1E3B">
        <w:rPr>
          <w:lang w:val="en-US"/>
        </w:rPr>
        <w:t>Its case was that Sasol’s decision not to extend its relationship with Eurozar for an additional period of five years constituted and unfair or unreasonable contractual practice as contemplated in s 12B</w:t>
      </w:r>
      <w:r w:rsidR="00CF4F91">
        <w:rPr>
          <w:rStyle w:val="FootnoteReference"/>
          <w:lang w:val="en-US"/>
        </w:rPr>
        <w:footnoteReference w:id="6"/>
      </w:r>
      <w:r w:rsidRPr="00BE1E3B">
        <w:rPr>
          <w:lang w:val="en-US"/>
        </w:rPr>
        <w:t xml:space="preserve">. </w:t>
      </w:r>
      <w:r w:rsidR="007A018D">
        <w:rPr>
          <w:lang w:val="en-US"/>
        </w:rPr>
        <w:t xml:space="preserve">It further sought compensation. </w:t>
      </w:r>
      <w:r w:rsidR="0022551E">
        <w:rPr>
          <w:lang w:val="en-US"/>
        </w:rPr>
        <w:t>On 26 March 2020, t</w:t>
      </w:r>
      <w:r w:rsidRPr="00BE1E3B">
        <w:rPr>
          <w:lang w:val="en-US"/>
        </w:rPr>
        <w:t>he matter was referred to arbitration and an arbitrator appointed.  A full hearing with evidence and argument</w:t>
      </w:r>
      <w:r w:rsidR="00DC561E" w:rsidRPr="00BE1E3B">
        <w:rPr>
          <w:lang w:val="en-US"/>
        </w:rPr>
        <w:t xml:space="preserve"> was conducted during June 2021.</w:t>
      </w:r>
      <w:r w:rsidR="0022551E">
        <w:rPr>
          <w:lang w:val="en-US"/>
        </w:rPr>
        <w:t xml:space="preserve"> </w:t>
      </w:r>
      <w:r w:rsidR="001F6D78">
        <w:rPr>
          <w:lang w:val="en-US"/>
        </w:rPr>
        <w:t>During the arbitration it transpired that Sasol had rights to occupy the property upon which the site is situate until March 2024.</w:t>
      </w:r>
      <w:r w:rsidR="00DC561E" w:rsidRPr="00BE1E3B">
        <w:rPr>
          <w:lang w:val="en-US"/>
        </w:rPr>
        <w:t xml:space="preserve"> </w:t>
      </w:r>
      <w:r>
        <w:rPr>
          <w:lang w:val="en-US"/>
        </w:rPr>
        <w:t xml:space="preserve"> </w:t>
      </w:r>
    </w:p>
    <w:p w14:paraId="05991986" w14:textId="233F2F47" w:rsidR="00DB6046" w:rsidRPr="00FE1806" w:rsidRDefault="00BE1E3B" w:rsidP="000B5A36">
      <w:pPr>
        <w:pStyle w:val="level1"/>
        <w:spacing w:after="480" w:line="360" w:lineRule="auto"/>
        <w:ind w:left="0" w:firstLine="0"/>
        <w:jc w:val="both"/>
        <w:rPr>
          <w:i/>
          <w:lang w:val="en-US"/>
        </w:rPr>
      </w:pPr>
      <w:r>
        <w:rPr>
          <w:lang w:val="en-US"/>
        </w:rPr>
        <w:lastRenderedPageBreak/>
        <w:t xml:space="preserve">The franchise agreement </w:t>
      </w:r>
      <w:r w:rsidR="00FE1806">
        <w:rPr>
          <w:lang w:val="en-US"/>
        </w:rPr>
        <w:t xml:space="preserve">in its terms </w:t>
      </w:r>
      <w:r>
        <w:rPr>
          <w:lang w:val="en-US"/>
        </w:rPr>
        <w:t>expired on 7 May 2021. As the arbitration was not completed at that time, the parties agreed to an interi</w:t>
      </w:r>
      <w:r w:rsidR="00FE1806">
        <w:rPr>
          <w:lang w:val="en-US"/>
        </w:rPr>
        <w:t>m</w:t>
      </w:r>
      <w:r>
        <w:rPr>
          <w:lang w:val="en-US"/>
        </w:rPr>
        <w:t xml:space="preserve"> arrangement from May 2021 that</w:t>
      </w:r>
      <w:r w:rsidR="00FE1806">
        <w:rPr>
          <w:lang w:val="en-US"/>
        </w:rPr>
        <w:t>:</w:t>
      </w:r>
      <w:r>
        <w:rPr>
          <w:lang w:val="en-US"/>
        </w:rPr>
        <w:t xml:space="preserve"> </w:t>
      </w:r>
      <w:r w:rsidRPr="00FE1806">
        <w:rPr>
          <w:i/>
          <w:lang w:val="en-US"/>
        </w:rPr>
        <w:t xml:space="preserve">“pending the resolution of the </w:t>
      </w:r>
      <w:r w:rsidR="00FE1806" w:rsidRPr="00FE1806">
        <w:rPr>
          <w:i/>
          <w:lang w:val="en-US"/>
        </w:rPr>
        <w:t xml:space="preserve">arbitration, Eurozar would carry on the business at the premises in accordance with the defined standards of operation and procedures set out in the </w:t>
      </w:r>
      <w:r w:rsidR="00404D99">
        <w:rPr>
          <w:i/>
          <w:lang w:val="en-US"/>
        </w:rPr>
        <w:t>f</w:t>
      </w:r>
      <w:r w:rsidR="00FE1806" w:rsidRPr="00FE1806">
        <w:rPr>
          <w:i/>
          <w:lang w:val="en-US"/>
        </w:rPr>
        <w:t xml:space="preserve">ranchise </w:t>
      </w:r>
      <w:r w:rsidR="00404D99">
        <w:rPr>
          <w:i/>
          <w:lang w:val="en-US"/>
        </w:rPr>
        <w:t>a</w:t>
      </w:r>
      <w:r w:rsidR="00FE1806" w:rsidRPr="00FE1806">
        <w:rPr>
          <w:i/>
          <w:lang w:val="en-US"/>
        </w:rPr>
        <w:t>greement</w:t>
      </w:r>
      <w:r w:rsidRPr="00FE1806">
        <w:rPr>
          <w:i/>
          <w:lang w:val="en-US"/>
        </w:rPr>
        <w:t>”</w:t>
      </w:r>
      <w:r w:rsidR="00FE1806" w:rsidRPr="00FE1806">
        <w:rPr>
          <w:i/>
          <w:lang w:val="en-US"/>
        </w:rPr>
        <w:t>.</w:t>
      </w:r>
    </w:p>
    <w:p w14:paraId="4C079E86" w14:textId="2021AAC5" w:rsidR="00FE1806" w:rsidRDefault="00FE1806" w:rsidP="000B5A36">
      <w:pPr>
        <w:pStyle w:val="level1"/>
        <w:spacing w:after="480" w:line="360" w:lineRule="auto"/>
        <w:ind w:left="0" w:firstLine="0"/>
        <w:jc w:val="both"/>
        <w:rPr>
          <w:lang w:val="en-US"/>
        </w:rPr>
      </w:pPr>
      <w:r>
        <w:rPr>
          <w:lang w:val="en-US"/>
        </w:rPr>
        <w:t xml:space="preserve">The arbitrator handed down his award in Sasol’s favour on 22 November 2021, putting an end to the interim arrangement. The arbitrator </w:t>
      </w:r>
      <w:r w:rsidR="007A018D">
        <w:rPr>
          <w:lang w:val="en-US"/>
        </w:rPr>
        <w:t xml:space="preserve">dismissed Eurozar’s claim with costs and </w:t>
      </w:r>
      <w:r>
        <w:rPr>
          <w:lang w:val="en-US"/>
        </w:rPr>
        <w:t xml:space="preserve">held, </w:t>
      </w:r>
      <w:r w:rsidRPr="00FE1806">
        <w:rPr>
          <w:i/>
          <w:lang w:val="en-US"/>
        </w:rPr>
        <w:t>inter alia,</w:t>
      </w:r>
      <w:r>
        <w:rPr>
          <w:lang w:val="en-US"/>
        </w:rPr>
        <w:t xml:space="preserve"> that</w:t>
      </w:r>
      <w:r w:rsidR="00CF4F91">
        <w:rPr>
          <w:lang w:val="en-US"/>
        </w:rPr>
        <w:t xml:space="preserve">: (i) Sasol’s refusal to extend the lease was not a breach of clause 5.3 of the </w:t>
      </w:r>
      <w:r w:rsidR="00404D99">
        <w:rPr>
          <w:lang w:val="en-US"/>
        </w:rPr>
        <w:t>franchise</w:t>
      </w:r>
      <w:r w:rsidR="00CF4F91">
        <w:rPr>
          <w:lang w:val="en-US"/>
        </w:rPr>
        <w:t xml:space="preserve"> agreement; and</w:t>
      </w:r>
      <w:r>
        <w:rPr>
          <w:lang w:val="en-US"/>
        </w:rPr>
        <w:t xml:space="preserve"> </w:t>
      </w:r>
      <w:r w:rsidR="00CF4F91">
        <w:rPr>
          <w:lang w:val="en-US"/>
        </w:rPr>
        <w:t>(ii) Sasol’s</w:t>
      </w:r>
      <w:r>
        <w:rPr>
          <w:lang w:val="en-US"/>
        </w:rPr>
        <w:t xml:space="preserve"> refusal to agree to an extension was not unreasonable </w:t>
      </w:r>
      <w:r w:rsidR="00CF4F91">
        <w:rPr>
          <w:lang w:val="en-US"/>
        </w:rPr>
        <w:t xml:space="preserve">or unfair </w:t>
      </w:r>
      <w:r>
        <w:rPr>
          <w:lang w:val="en-US"/>
        </w:rPr>
        <w:t>and was not an unfair or unreasonable contractual practice as envisaged by s 12B of the PPA. In terms of s12B(5), the arbitrator’s award is final and binding. The effect of the award is that the franchise agreement expired by effluxion of time on 8 May 2021.</w:t>
      </w:r>
    </w:p>
    <w:p w14:paraId="2911678B" w14:textId="6B9BF4C3" w:rsidR="00280732" w:rsidRDefault="00FE1806" w:rsidP="00B82688">
      <w:pPr>
        <w:pStyle w:val="level1"/>
        <w:spacing w:after="480" w:line="360" w:lineRule="auto"/>
        <w:ind w:left="0" w:firstLine="0"/>
        <w:jc w:val="both"/>
        <w:rPr>
          <w:lang w:val="en-US"/>
        </w:rPr>
      </w:pPr>
      <w:r w:rsidRPr="00FE1806">
        <w:rPr>
          <w:lang w:val="en-US"/>
        </w:rPr>
        <w:t xml:space="preserve">Sasol called on Eurozar to vacate the premises on </w:t>
      </w:r>
      <w:r w:rsidR="007A018D">
        <w:rPr>
          <w:lang w:val="en-US"/>
        </w:rPr>
        <w:t>26 November 2021</w:t>
      </w:r>
      <w:r w:rsidRPr="00FE1806">
        <w:rPr>
          <w:lang w:val="en-US"/>
        </w:rPr>
        <w:t xml:space="preserve">, </w:t>
      </w:r>
      <w:r w:rsidR="007A018D">
        <w:rPr>
          <w:lang w:val="en-US"/>
        </w:rPr>
        <w:t>giving it until 29 November 2021 to do. Eurozar’s directors, the second and third respondents (“Messrs Moosa”)</w:t>
      </w:r>
      <w:r w:rsidRPr="00FE1806">
        <w:rPr>
          <w:lang w:val="en-US"/>
        </w:rPr>
        <w:t xml:space="preserve"> </w:t>
      </w:r>
      <w:r w:rsidR="007A018D">
        <w:rPr>
          <w:lang w:val="en-US"/>
        </w:rPr>
        <w:t>refused</w:t>
      </w:r>
      <w:r w:rsidRPr="00FE1806">
        <w:rPr>
          <w:lang w:val="en-US"/>
        </w:rPr>
        <w:t xml:space="preserve"> to </w:t>
      </w:r>
      <w:r w:rsidR="007A018D">
        <w:rPr>
          <w:lang w:val="en-US"/>
        </w:rPr>
        <w:t>vacate the premises resulting in t</w:t>
      </w:r>
      <w:r w:rsidR="00DC561E" w:rsidRPr="00FE1806">
        <w:rPr>
          <w:lang w:val="en-US"/>
        </w:rPr>
        <w:t xml:space="preserve">he present application </w:t>
      </w:r>
      <w:r w:rsidR="007A018D">
        <w:rPr>
          <w:lang w:val="en-US"/>
        </w:rPr>
        <w:t>being</w:t>
      </w:r>
      <w:r w:rsidR="00DC561E" w:rsidRPr="00FE1806">
        <w:rPr>
          <w:lang w:val="en-US"/>
        </w:rPr>
        <w:t xml:space="preserve"> launched on 6 December 2021.</w:t>
      </w:r>
      <w:r w:rsidR="007A018D">
        <w:rPr>
          <w:lang w:val="en-US"/>
        </w:rPr>
        <w:t xml:space="preserve"> </w:t>
      </w:r>
    </w:p>
    <w:p w14:paraId="5B2B22C3" w14:textId="0757314B" w:rsidR="00B82688" w:rsidRDefault="00B82688" w:rsidP="00B82688">
      <w:pPr>
        <w:pStyle w:val="level1"/>
        <w:spacing w:after="480" w:line="360" w:lineRule="auto"/>
        <w:ind w:left="0" w:firstLine="0"/>
        <w:jc w:val="both"/>
        <w:rPr>
          <w:lang w:val="en-US"/>
        </w:rPr>
      </w:pPr>
      <w:r>
        <w:rPr>
          <w:lang w:val="en-US"/>
        </w:rPr>
        <w:t xml:space="preserve">It was undisputed that Eurozar is not conducting business from the convenience store, has not bought or sold fuel since July 2021 and has not paid any rental to Sasol for some six months. </w:t>
      </w:r>
      <w:r w:rsidR="00404D99">
        <w:rPr>
          <w:lang w:val="en-US"/>
        </w:rPr>
        <w:t>There is a dispute on the papers regarding SandtonFuel conducting business from the premises, an issue to which I later return.</w:t>
      </w:r>
      <w:r>
        <w:rPr>
          <w:lang w:val="en-US"/>
        </w:rPr>
        <w:t xml:space="preserve">  </w:t>
      </w:r>
    </w:p>
    <w:p w14:paraId="266F2564" w14:textId="5D1073E1" w:rsidR="00DB6046" w:rsidRPr="00FE1806" w:rsidRDefault="00280732" w:rsidP="00B82688">
      <w:pPr>
        <w:pStyle w:val="level1"/>
        <w:spacing w:after="480" w:line="360" w:lineRule="auto"/>
        <w:ind w:left="0" w:firstLine="0"/>
        <w:jc w:val="both"/>
        <w:rPr>
          <w:lang w:val="en-US"/>
        </w:rPr>
      </w:pPr>
      <w:r>
        <w:rPr>
          <w:lang w:val="en-US"/>
        </w:rPr>
        <w:t>Subsequent to the service of this application</w:t>
      </w:r>
      <w:r w:rsidR="00C42607">
        <w:rPr>
          <w:lang w:val="en-US"/>
        </w:rPr>
        <w:t>,</w:t>
      </w:r>
      <w:r w:rsidR="00BC0456">
        <w:rPr>
          <w:lang w:val="en-US"/>
        </w:rPr>
        <w:t xml:space="preserve"> </w:t>
      </w:r>
      <w:r>
        <w:rPr>
          <w:lang w:val="en-US"/>
        </w:rPr>
        <w:t xml:space="preserve">Eurozar </w:t>
      </w:r>
      <w:r w:rsidR="0022551E">
        <w:rPr>
          <w:lang w:val="en-US"/>
        </w:rPr>
        <w:t>on 17</w:t>
      </w:r>
      <w:r w:rsidR="00BC0456">
        <w:rPr>
          <w:lang w:val="en-US"/>
        </w:rPr>
        <w:t xml:space="preserve"> December 2021 instituted </w:t>
      </w:r>
      <w:r w:rsidR="00DC561E" w:rsidRPr="00FE1806">
        <w:rPr>
          <w:lang w:val="en-US"/>
        </w:rPr>
        <w:t xml:space="preserve">review proceedings in the High Court </w:t>
      </w:r>
      <w:r w:rsidR="0022551E">
        <w:rPr>
          <w:lang w:val="en-US"/>
        </w:rPr>
        <w:t>under s33 of the Arbitration Act</w:t>
      </w:r>
      <w:r w:rsidR="0022551E">
        <w:rPr>
          <w:rStyle w:val="FootnoteReference"/>
          <w:lang w:val="en-US"/>
        </w:rPr>
        <w:footnoteReference w:id="7"/>
      </w:r>
      <w:r w:rsidR="0022551E">
        <w:rPr>
          <w:lang w:val="en-US"/>
        </w:rPr>
        <w:t>,</w:t>
      </w:r>
      <w:r w:rsidR="00C42607">
        <w:rPr>
          <w:lang w:val="en-US"/>
        </w:rPr>
        <w:t xml:space="preserve"> </w:t>
      </w:r>
      <w:r w:rsidR="005A0212">
        <w:rPr>
          <w:lang w:val="en-US"/>
        </w:rPr>
        <w:t>which</w:t>
      </w:r>
      <w:r>
        <w:rPr>
          <w:lang w:val="en-US"/>
        </w:rPr>
        <w:t xml:space="preserve"> proceedings are still pending.</w:t>
      </w:r>
    </w:p>
    <w:p w14:paraId="1DB3A878" w14:textId="0B4EBB97" w:rsidR="000F7A97" w:rsidRDefault="00C42607" w:rsidP="00B82688">
      <w:pPr>
        <w:pStyle w:val="level1"/>
        <w:spacing w:after="480" w:line="360" w:lineRule="auto"/>
        <w:ind w:left="0" w:firstLine="0"/>
        <w:jc w:val="both"/>
        <w:rPr>
          <w:lang w:val="en-US"/>
        </w:rPr>
      </w:pPr>
      <w:r>
        <w:rPr>
          <w:lang w:val="en-US"/>
        </w:rPr>
        <w:lastRenderedPageBreak/>
        <w:t>The</w:t>
      </w:r>
      <w:r w:rsidR="000F7A97">
        <w:rPr>
          <w:lang w:val="en-US"/>
        </w:rPr>
        <w:t xml:space="preserve"> issues requir</w:t>
      </w:r>
      <w:r>
        <w:rPr>
          <w:lang w:val="en-US"/>
        </w:rPr>
        <w:t>ing</w:t>
      </w:r>
      <w:r w:rsidR="000F7A97">
        <w:rPr>
          <w:lang w:val="en-US"/>
        </w:rPr>
        <w:t xml:space="preserve"> determination</w:t>
      </w:r>
      <w:r>
        <w:rPr>
          <w:lang w:val="en-US"/>
        </w:rPr>
        <w:t xml:space="preserve"> are</w:t>
      </w:r>
      <w:r w:rsidR="000F7A97">
        <w:rPr>
          <w:lang w:val="en-US"/>
        </w:rPr>
        <w:t xml:space="preserve">: </w:t>
      </w:r>
      <w:r>
        <w:rPr>
          <w:lang w:val="en-US"/>
        </w:rPr>
        <w:t>(i)</w:t>
      </w:r>
      <w:r w:rsidR="000F7A97">
        <w:rPr>
          <w:lang w:val="en-US"/>
        </w:rPr>
        <w:t xml:space="preserve"> whether the application is urgent; </w:t>
      </w:r>
      <w:r>
        <w:rPr>
          <w:lang w:val="en-US"/>
        </w:rPr>
        <w:t>(ii)</w:t>
      </w:r>
      <w:r w:rsidR="000F7A97">
        <w:rPr>
          <w:lang w:val="en-US"/>
        </w:rPr>
        <w:t xml:space="preserve"> Eurozar’s counter applicat</w:t>
      </w:r>
      <w:r>
        <w:rPr>
          <w:lang w:val="en-US"/>
        </w:rPr>
        <w:t>i</w:t>
      </w:r>
      <w:r w:rsidR="000F7A97">
        <w:rPr>
          <w:lang w:val="en-US"/>
        </w:rPr>
        <w:t xml:space="preserve">on for a stay of the </w:t>
      </w:r>
      <w:r>
        <w:rPr>
          <w:lang w:val="en-US"/>
        </w:rPr>
        <w:t xml:space="preserve">eviction </w:t>
      </w:r>
      <w:r w:rsidR="000F7A97">
        <w:rPr>
          <w:lang w:val="en-US"/>
        </w:rPr>
        <w:t xml:space="preserve">application pending finalisation of </w:t>
      </w:r>
      <w:r>
        <w:rPr>
          <w:lang w:val="en-US"/>
        </w:rPr>
        <w:t xml:space="preserve">the </w:t>
      </w:r>
      <w:r w:rsidR="000F7A97">
        <w:rPr>
          <w:lang w:val="en-US"/>
        </w:rPr>
        <w:t xml:space="preserve">pending review proceedings; </w:t>
      </w:r>
      <w:r>
        <w:rPr>
          <w:lang w:val="en-US"/>
        </w:rPr>
        <w:t>(ii) the merits of Eurozar’s defence to the eviction, being the importation of a tacit term into the franchise agreement and Sasol’s alleged breach thereof; (iv)</w:t>
      </w:r>
      <w:r w:rsidR="000F7A97">
        <w:rPr>
          <w:lang w:val="en-US"/>
        </w:rPr>
        <w:t xml:space="preserve">, whether the joinder of the second to fourth respondents is appropriate and </w:t>
      </w:r>
      <w:r>
        <w:rPr>
          <w:lang w:val="en-US"/>
        </w:rPr>
        <w:t xml:space="preserve">(v) </w:t>
      </w:r>
      <w:r w:rsidR="000F7A97">
        <w:rPr>
          <w:lang w:val="en-US"/>
        </w:rPr>
        <w:t xml:space="preserve">an appropriate order as to costs.  </w:t>
      </w:r>
    </w:p>
    <w:p w14:paraId="7199E21B" w14:textId="7221842E" w:rsidR="00C42607" w:rsidRDefault="00C42607" w:rsidP="00C42607">
      <w:pPr>
        <w:pStyle w:val="level1"/>
        <w:numPr>
          <w:ilvl w:val="0"/>
          <w:numId w:val="0"/>
        </w:numPr>
        <w:spacing w:after="480" w:line="360" w:lineRule="auto"/>
        <w:jc w:val="both"/>
        <w:rPr>
          <w:lang w:val="en-US"/>
        </w:rPr>
      </w:pPr>
      <w:r>
        <w:rPr>
          <w:lang w:val="en-US"/>
        </w:rPr>
        <w:t>Urgency</w:t>
      </w:r>
    </w:p>
    <w:p w14:paraId="3AD38F74" w14:textId="3678FA9B" w:rsidR="00972F41" w:rsidRDefault="00D6538D" w:rsidP="00B82688">
      <w:pPr>
        <w:pStyle w:val="level1"/>
        <w:spacing w:after="480" w:line="360" w:lineRule="auto"/>
        <w:ind w:left="0" w:firstLine="0"/>
        <w:jc w:val="both"/>
        <w:rPr>
          <w:lang w:val="en-US"/>
        </w:rPr>
      </w:pPr>
      <w:r>
        <w:rPr>
          <w:lang w:val="en-US"/>
        </w:rPr>
        <w:t xml:space="preserve">Eurozar </w:t>
      </w:r>
      <w:r w:rsidR="003155E7" w:rsidRPr="00972F41">
        <w:rPr>
          <w:lang w:val="en-US"/>
        </w:rPr>
        <w:t xml:space="preserve">challenged </w:t>
      </w:r>
      <w:r w:rsidR="00280732" w:rsidRPr="00972F41">
        <w:rPr>
          <w:lang w:val="en-US"/>
        </w:rPr>
        <w:t>urgency</w:t>
      </w:r>
      <w:r w:rsidR="000D75A6" w:rsidRPr="00972F41">
        <w:rPr>
          <w:lang w:val="en-US"/>
        </w:rPr>
        <w:t xml:space="preserve"> on the basis that Sasol did not establish that it could not obtain substantial redress at a hearing in due course</w:t>
      </w:r>
      <w:r w:rsidR="000D75A6">
        <w:rPr>
          <w:rStyle w:val="FootnoteReference"/>
          <w:lang w:val="en-US"/>
        </w:rPr>
        <w:footnoteReference w:id="8"/>
      </w:r>
      <w:r w:rsidR="00280732" w:rsidRPr="00972F41">
        <w:rPr>
          <w:lang w:val="en-US"/>
        </w:rPr>
        <w:t>.</w:t>
      </w:r>
      <w:r w:rsidR="00972F41" w:rsidRPr="00972F41">
        <w:rPr>
          <w:lang w:val="en-US"/>
        </w:rPr>
        <w:t xml:space="preserve"> It further contended that any urgency was self</w:t>
      </w:r>
      <w:r w:rsidR="00972F41">
        <w:rPr>
          <w:lang w:val="en-US"/>
        </w:rPr>
        <w:t>-</w:t>
      </w:r>
      <w:r w:rsidR="00972F41" w:rsidRPr="00972F41">
        <w:rPr>
          <w:lang w:val="en-US"/>
        </w:rPr>
        <w:t>created as Sasol knew of the facts relied on months before the application was launched</w:t>
      </w:r>
      <w:r w:rsidR="00972F41">
        <w:rPr>
          <w:lang w:val="en-US"/>
        </w:rPr>
        <w:t xml:space="preserve"> and </w:t>
      </w:r>
      <w:r w:rsidR="00BC0456">
        <w:rPr>
          <w:lang w:val="en-US"/>
        </w:rPr>
        <w:t>since at least March 2021 alternatively August</w:t>
      </w:r>
      <w:r w:rsidR="00972F41">
        <w:rPr>
          <w:lang w:val="en-US"/>
        </w:rPr>
        <w:t xml:space="preserve"> 2021</w:t>
      </w:r>
      <w:r w:rsidR="00760D2F">
        <w:rPr>
          <w:lang w:val="en-US"/>
        </w:rPr>
        <w:t xml:space="preserve"> when Eurozar ceased to purchase fuel from it</w:t>
      </w:r>
      <w:r w:rsidR="00972F41" w:rsidRPr="00972F41">
        <w:rPr>
          <w:lang w:val="en-US"/>
        </w:rPr>
        <w:t xml:space="preserve">. I do not agree. </w:t>
      </w:r>
    </w:p>
    <w:p w14:paraId="3ED198EE" w14:textId="628FCBF3" w:rsidR="00B82688" w:rsidRDefault="00972F41" w:rsidP="00B82688">
      <w:pPr>
        <w:pStyle w:val="level1"/>
        <w:spacing w:after="480" w:line="360" w:lineRule="auto"/>
        <w:ind w:left="0" w:firstLine="0"/>
        <w:jc w:val="both"/>
        <w:rPr>
          <w:lang w:val="en-US"/>
        </w:rPr>
      </w:pPr>
      <w:r w:rsidRPr="00972F41">
        <w:rPr>
          <w:lang w:val="en-US"/>
        </w:rPr>
        <w:t xml:space="preserve">The prejudice and ongoing and increasing reputational and financial harm relied on by Sasol was not factually disputed. </w:t>
      </w:r>
      <w:r w:rsidR="000F7A97">
        <w:rPr>
          <w:lang w:val="en-US"/>
        </w:rPr>
        <w:t>Sasol intends installing a</w:t>
      </w:r>
      <w:r w:rsidR="00D6538D">
        <w:rPr>
          <w:lang w:val="en-US"/>
        </w:rPr>
        <w:t>n interim</w:t>
      </w:r>
      <w:r w:rsidR="000F7A97">
        <w:rPr>
          <w:lang w:val="en-US"/>
        </w:rPr>
        <w:t xml:space="preserve"> operator for the remainder of its head lease which terminate</w:t>
      </w:r>
      <w:r w:rsidR="00D6538D">
        <w:rPr>
          <w:lang w:val="en-US"/>
        </w:rPr>
        <w:t>s</w:t>
      </w:r>
      <w:r w:rsidR="000F7A97">
        <w:rPr>
          <w:lang w:val="en-US"/>
        </w:rPr>
        <w:t xml:space="preserve"> in March 2024 so that it can earn revenue from the fu</w:t>
      </w:r>
      <w:r w:rsidR="00B82688">
        <w:rPr>
          <w:lang w:val="en-US"/>
        </w:rPr>
        <w:t>e</w:t>
      </w:r>
      <w:r w:rsidR="000F7A97">
        <w:rPr>
          <w:lang w:val="en-US"/>
        </w:rPr>
        <w:t xml:space="preserve">l filling station and </w:t>
      </w:r>
      <w:r w:rsidR="00D6538D">
        <w:rPr>
          <w:lang w:val="en-US"/>
        </w:rPr>
        <w:t>convenience</w:t>
      </w:r>
      <w:r w:rsidR="000F7A97">
        <w:rPr>
          <w:lang w:val="en-US"/>
        </w:rPr>
        <w:t xml:space="preserve"> store.</w:t>
      </w:r>
      <w:r w:rsidR="00B82688">
        <w:rPr>
          <w:lang w:val="en-US"/>
        </w:rPr>
        <w:t xml:space="preserve"> It was not disputed that Sasol is liable to its landlord for monthly rental of some R75 000 plus VAT, could earn revenue from the sale of fuel of some R1.5 million per month</w:t>
      </w:r>
      <w:r w:rsidR="00D6538D">
        <w:rPr>
          <w:lang w:val="en-US"/>
        </w:rPr>
        <w:t xml:space="preserve"> and generate a 10% of turnover income from the operation of the convenience store. This income</w:t>
      </w:r>
      <w:r w:rsidR="00B82688">
        <w:rPr>
          <w:lang w:val="en-US"/>
        </w:rPr>
        <w:t xml:space="preserve"> is not presently earned as Eurozar is not purchasing fuel products and is not operating the convenience store </w:t>
      </w:r>
      <w:r w:rsidR="00D6538D">
        <w:rPr>
          <w:lang w:val="en-US"/>
        </w:rPr>
        <w:t>since about August 2021</w:t>
      </w:r>
      <w:r w:rsidR="00B82688">
        <w:rPr>
          <w:lang w:val="en-US"/>
        </w:rPr>
        <w:t>. It was further uncontested that Eurozar has been left as an empty shell with the result that Sasol would be unable to recover damages for holding over any additional period of Eurozar’s occupation of the premises.</w:t>
      </w:r>
      <w:r w:rsidR="00C376C5">
        <w:rPr>
          <w:lang w:val="en-US"/>
        </w:rPr>
        <w:t xml:space="preserve"> It was similarly not challenged that the </w:t>
      </w:r>
      <w:r w:rsidR="00C376C5">
        <w:rPr>
          <w:lang w:val="en-US"/>
        </w:rPr>
        <w:lastRenderedPageBreak/>
        <w:t>continued conduct of Eurozar places Sasol in jeopardy in relation to its head lease agreement.</w:t>
      </w:r>
      <w:r w:rsidR="00B82688">
        <w:rPr>
          <w:lang w:val="en-US"/>
        </w:rPr>
        <w:t xml:space="preserve"> </w:t>
      </w:r>
      <w:r w:rsidR="000F7A97">
        <w:rPr>
          <w:lang w:val="en-US"/>
        </w:rPr>
        <w:t xml:space="preserve"> </w:t>
      </w:r>
    </w:p>
    <w:p w14:paraId="0AADAE18" w14:textId="6031BEAA" w:rsidR="00280732" w:rsidRPr="00972F41" w:rsidRDefault="00972F41" w:rsidP="00B82688">
      <w:pPr>
        <w:pStyle w:val="level1"/>
        <w:spacing w:after="480" w:line="360" w:lineRule="auto"/>
        <w:ind w:left="0" w:firstLine="0"/>
        <w:jc w:val="both"/>
        <w:rPr>
          <w:lang w:val="en-US"/>
        </w:rPr>
      </w:pPr>
      <w:r w:rsidRPr="00972F41">
        <w:rPr>
          <w:lang w:val="en-US"/>
        </w:rPr>
        <w:t xml:space="preserve">Sasol’s explanation why the application was not launched prior to the arbitrator’s award becoming available </w:t>
      </w:r>
      <w:r w:rsidR="000F7A97">
        <w:rPr>
          <w:lang w:val="en-US"/>
        </w:rPr>
        <w:t xml:space="preserve">on 22 November 2021, </w:t>
      </w:r>
      <w:r w:rsidRPr="00972F41">
        <w:rPr>
          <w:lang w:val="en-US"/>
        </w:rPr>
        <w:t xml:space="preserve">is reasonable and acceptable. </w:t>
      </w:r>
      <w:r w:rsidR="000D75A6" w:rsidRPr="00972F41">
        <w:rPr>
          <w:lang w:val="en-US"/>
        </w:rPr>
        <w:t>It is well established that commercial urgency can justify the invocation of urgent proceedings</w:t>
      </w:r>
      <w:r w:rsidR="000D75A6">
        <w:rPr>
          <w:rStyle w:val="FootnoteReference"/>
          <w:lang w:val="en-US"/>
        </w:rPr>
        <w:footnoteReference w:id="9"/>
      </w:r>
      <w:r w:rsidR="000D75A6" w:rsidRPr="00972F41">
        <w:rPr>
          <w:lang w:val="en-US"/>
        </w:rPr>
        <w:t xml:space="preserve">. </w:t>
      </w:r>
      <w:r w:rsidR="00411F25">
        <w:rPr>
          <w:lang w:val="en-US"/>
        </w:rPr>
        <w:t>Th</w:t>
      </w:r>
      <w:r w:rsidR="003A67B0">
        <w:rPr>
          <w:lang w:val="en-US"/>
        </w:rPr>
        <w:t xml:space="preserve">is principle has found approval in </w:t>
      </w:r>
      <w:r w:rsidR="000D75A6" w:rsidRPr="00972F41">
        <w:rPr>
          <w:lang w:val="en-US"/>
        </w:rPr>
        <w:t xml:space="preserve">the context of commercial evictions </w:t>
      </w:r>
      <w:r w:rsidR="003A67B0">
        <w:rPr>
          <w:lang w:val="en-US"/>
        </w:rPr>
        <w:t xml:space="preserve">by </w:t>
      </w:r>
      <w:r w:rsidR="000D75A6" w:rsidRPr="00972F41">
        <w:rPr>
          <w:lang w:val="en-US"/>
        </w:rPr>
        <w:t xml:space="preserve">our courts </w:t>
      </w:r>
      <w:r w:rsidR="003A67B0">
        <w:rPr>
          <w:lang w:val="en-US"/>
        </w:rPr>
        <w:t>in similar circumstances to the present where tenants are not paying rental or offering to do so</w:t>
      </w:r>
      <w:r w:rsidR="000D75A6">
        <w:rPr>
          <w:rStyle w:val="FootnoteReference"/>
          <w:lang w:val="en-US"/>
        </w:rPr>
        <w:footnoteReference w:id="10"/>
      </w:r>
      <w:r w:rsidR="00D6538D">
        <w:rPr>
          <w:lang w:val="en-US"/>
        </w:rPr>
        <w:t>.</w:t>
      </w:r>
      <w:r w:rsidR="00411F25">
        <w:rPr>
          <w:lang w:val="en-US"/>
        </w:rPr>
        <w:t xml:space="preserve"> </w:t>
      </w:r>
    </w:p>
    <w:p w14:paraId="20F55720" w14:textId="23AABC6E" w:rsidR="00280732" w:rsidRPr="00972F41" w:rsidRDefault="00972F41" w:rsidP="00B82688">
      <w:pPr>
        <w:pStyle w:val="level1"/>
        <w:spacing w:after="480" w:line="360" w:lineRule="auto"/>
        <w:ind w:left="0" w:firstLine="0"/>
        <w:jc w:val="both"/>
        <w:rPr>
          <w:lang w:val="en-US"/>
        </w:rPr>
      </w:pPr>
      <w:r w:rsidRPr="00972F41">
        <w:rPr>
          <w:lang w:val="en-US"/>
        </w:rPr>
        <w:t>I</w:t>
      </w:r>
      <w:r w:rsidR="00D6538D">
        <w:rPr>
          <w:lang w:val="en-US"/>
        </w:rPr>
        <w:t xml:space="preserve"> conclude that </w:t>
      </w:r>
      <w:r w:rsidRPr="00972F41">
        <w:rPr>
          <w:lang w:val="en-US"/>
        </w:rPr>
        <w:t>Sasol has established that it will not obtain substantial redress at a hearing in due course</w:t>
      </w:r>
      <w:r>
        <w:rPr>
          <w:lang w:val="en-US"/>
        </w:rPr>
        <w:t xml:space="preserve"> and t</w:t>
      </w:r>
      <w:r w:rsidR="000D75A6" w:rsidRPr="00972F41">
        <w:rPr>
          <w:lang w:val="en-US"/>
        </w:rPr>
        <w:t xml:space="preserve">hat </w:t>
      </w:r>
      <w:r>
        <w:rPr>
          <w:lang w:val="en-US"/>
        </w:rPr>
        <w:t>it</w:t>
      </w:r>
      <w:r w:rsidR="000D75A6" w:rsidRPr="00972F41">
        <w:rPr>
          <w:lang w:val="en-US"/>
        </w:rPr>
        <w:t xml:space="preserve"> has appropriately considered the degree of urgency in the time limits set in the application</w:t>
      </w:r>
      <w:r w:rsidR="000D75A6">
        <w:rPr>
          <w:rStyle w:val="FootnoteReference"/>
          <w:lang w:val="en-US"/>
        </w:rPr>
        <w:footnoteReference w:id="11"/>
      </w:r>
      <w:r>
        <w:rPr>
          <w:lang w:val="en-US"/>
        </w:rPr>
        <w:t xml:space="preserve">. It cannot be concluded </w:t>
      </w:r>
      <w:r w:rsidR="000D75A6" w:rsidRPr="00972F41">
        <w:rPr>
          <w:lang w:val="en-US"/>
        </w:rPr>
        <w:t xml:space="preserve">that there was </w:t>
      </w:r>
      <w:r>
        <w:rPr>
          <w:lang w:val="en-US"/>
        </w:rPr>
        <w:t>a</w:t>
      </w:r>
      <w:r w:rsidR="000D75A6" w:rsidRPr="00972F41">
        <w:rPr>
          <w:lang w:val="en-US"/>
        </w:rPr>
        <w:t>n</w:t>
      </w:r>
      <w:r>
        <w:rPr>
          <w:lang w:val="en-US"/>
        </w:rPr>
        <w:t>y</w:t>
      </w:r>
      <w:r w:rsidR="000D75A6" w:rsidRPr="00972F41">
        <w:rPr>
          <w:lang w:val="en-US"/>
        </w:rPr>
        <w:t xml:space="preserve"> delay in the launching of</w:t>
      </w:r>
      <w:r w:rsidR="000F7A97">
        <w:rPr>
          <w:lang w:val="en-US"/>
        </w:rPr>
        <w:t xml:space="preserve"> the application</w:t>
      </w:r>
      <w:r w:rsidR="000D75A6" w:rsidRPr="00972F41">
        <w:rPr>
          <w:lang w:val="en-US"/>
        </w:rPr>
        <w:t>.</w:t>
      </w:r>
      <w:r w:rsidR="000F7A97">
        <w:rPr>
          <w:lang w:val="en-US"/>
        </w:rPr>
        <w:t xml:space="preserve"> It follows that this challenge must fail.</w:t>
      </w:r>
      <w:r w:rsidR="000D75A6" w:rsidRPr="00972F41">
        <w:rPr>
          <w:lang w:val="en-US"/>
        </w:rPr>
        <w:t xml:space="preserve"> </w:t>
      </w:r>
    </w:p>
    <w:p w14:paraId="73B86C0D" w14:textId="10ADBC25" w:rsidR="00703BA2" w:rsidRDefault="00B345EB" w:rsidP="00B345EB">
      <w:pPr>
        <w:pStyle w:val="level1"/>
        <w:numPr>
          <w:ilvl w:val="0"/>
          <w:numId w:val="0"/>
        </w:numPr>
        <w:spacing w:after="480" w:line="360" w:lineRule="auto"/>
        <w:jc w:val="both"/>
        <w:rPr>
          <w:lang w:val="en-US"/>
        </w:rPr>
      </w:pPr>
      <w:r>
        <w:rPr>
          <w:lang w:val="en-US"/>
        </w:rPr>
        <w:t xml:space="preserve">The </w:t>
      </w:r>
      <w:r w:rsidR="0048169C">
        <w:rPr>
          <w:lang w:val="en-US"/>
        </w:rPr>
        <w:t>stay application</w:t>
      </w:r>
    </w:p>
    <w:p w14:paraId="2B160DF8" w14:textId="602DFEE0" w:rsidR="00834D42" w:rsidRDefault="00B345EB" w:rsidP="0073352B">
      <w:pPr>
        <w:pStyle w:val="level1"/>
        <w:spacing w:after="480" w:line="360" w:lineRule="auto"/>
        <w:ind w:left="0" w:firstLine="0"/>
        <w:jc w:val="both"/>
        <w:rPr>
          <w:lang w:val="en-US"/>
        </w:rPr>
      </w:pPr>
      <w:r w:rsidRPr="0048169C">
        <w:rPr>
          <w:lang w:val="en-US"/>
        </w:rPr>
        <w:t xml:space="preserve">It is apposite to first deal with Eurozar’s </w:t>
      </w:r>
      <w:r w:rsidR="000E462A" w:rsidRPr="0048169C">
        <w:rPr>
          <w:lang w:val="en-US"/>
        </w:rPr>
        <w:t xml:space="preserve">application for a stay of the eviction application wherein it raises the imposition of a tacit or implied term of good faith, </w:t>
      </w:r>
      <w:r w:rsidR="009C375C">
        <w:rPr>
          <w:lang w:val="en-US"/>
        </w:rPr>
        <w:t xml:space="preserve">and an alleged breach thereof by Sasol, </w:t>
      </w:r>
      <w:r w:rsidR="000E462A" w:rsidRPr="0048169C">
        <w:rPr>
          <w:lang w:val="en-US"/>
        </w:rPr>
        <w:t>which</w:t>
      </w:r>
      <w:r w:rsidRPr="0048169C">
        <w:rPr>
          <w:lang w:val="en-US"/>
        </w:rPr>
        <w:t xml:space="preserve"> underpins its argument both in support of the stay application and its defence to the eviction application.</w:t>
      </w:r>
      <w:r w:rsidR="0048169C">
        <w:rPr>
          <w:lang w:val="en-US"/>
        </w:rPr>
        <w:t xml:space="preserve"> </w:t>
      </w:r>
    </w:p>
    <w:p w14:paraId="065D48D9" w14:textId="69842FE9" w:rsidR="00FC1FFC" w:rsidRPr="00FC1FFC" w:rsidRDefault="00FC1FFC" w:rsidP="0073352B">
      <w:pPr>
        <w:pStyle w:val="level1"/>
        <w:spacing w:after="480" w:line="360" w:lineRule="auto"/>
        <w:ind w:left="0" w:firstLine="0"/>
        <w:jc w:val="both"/>
        <w:rPr>
          <w:lang w:val="en-US"/>
        </w:rPr>
      </w:pPr>
      <w:r w:rsidRPr="00FC1FFC">
        <w:rPr>
          <w:lang w:val="en-US"/>
        </w:rPr>
        <w:t xml:space="preserve">In </w:t>
      </w:r>
      <w:r w:rsidRPr="00FC1FFC">
        <w:rPr>
          <w:i/>
          <w:lang w:val="en-US"/>
        </w:rPr>
        <w:t>Crompton Street Motors CC v Bright Idea Projects 66 (Pty) Ltd</w:t>
      </w:r>
      <w:r w:rsidRPr="007F4CEF">
        <w:rPr>
          <w:rStyle w:val="FootnoteReference"/>
          <w:i/>
          <w:lang w:val="en-US"/>
        </w:rPr>
        <w:footnoteReference w:id="12"/>
      </w:r>
      <w:r w:rsidRPr="00FC1FFC">
        <w:rPr>
          <w:i/>
          <w:lang w:val="en-US"/>
        </w:rPr>
        <w:t xml:space="preserve"> (“Crompton”),</w:t>
      </w:r>
      <w:r w:rsidRPr="00FC1FFC">
        <w:rPr>
          <w:lang w:val="en-US"/>
        </w:rPr>
        <w:t xml:space="preserve"> the Constitutional Court confirmed that </w:t>
      </w:r>
      <w:r w:rsidR="00817F6D">
        <w:rPr>
          <w:lang w:val="en-US"/>
        </w:rPr>
        <w:t xml:space="preserve">a </w:t>
      </w:r>
      <w:r w:rsidRPr="00FC1FFC">
        <w:rPr>
          <w:lang w:val="en-US"/>
        </w:rPr>
        <w:t>High Court’s jurisdiction to hear a dispute on the subject matter of an arbitration under s12B of the PPA is not ousted or deferred. In</w:t>
      </w:r>
      <w:r w:rsidRPr="00FC1FFC">
        <w:rPr>
          <w:lang w:val="en-GB"/>
        </w:rPr>
        <w:t xml:space="preserve"> </w:t>
      </w:r>
      <w:r w:rsidRPr="00FC1FFC">
        <w:rPr>
          <w:i/>
          <w:lang w:val="en-GB"/>
        </w:rPr>
        <w:t xml:space="preserve">Former </w:t>
      </w:r>
      <w:r w:rsidRPr="00FC1FFC">
        <w:rPr>
          <w:i/>
          <w:lang w:val="en-GB"/>
        </w:rPr>
        <w:lastRenderedPageBreak/>
        <w:t>Way Trade and Invest (Pty) Ltd v Bright Idea Projects 66 (Pty) Ltd</w:t>
      </w:r>
      <w:r w:rsidRPr="00FC1FFC">
        <w:rPr>
          <w:lang w:val="en-US"/>
        </w:rPr>
        <w:t xml:space="preserve"> </w:t>
      </w:r>
      <w:r>
        <w:rPr>
          <w:rStyle w:val="FootnoteReference"/>
          <w:lang w:val="en-US"/>
        </w:rPr>
        <w:footnoteReference w:id="13"/>
      </w:r>
      <w:r w:rsidRPr="00FC1FFC">
        <w:rPr>
          <w:lang w:val="en-US"/>
        </w:rPr>
        <w:t xml:space="preserve"> the Constitutional Court confirmed this principle and reiterated that the discretion is to be judicially exercised. The same principles would apply after the arbitration proceedings have been concluded. One of the benefits of arbitration is that the arbitrators award is final and binding which avoids the ordinary appellate processes applicable to litigation and thus saves time and resources as one of benefits. These benefits require that there should be legitimately compelling reasons to refuse a stay of proceedings</w:t>
      </w:r>
      <w:r>
        <w:rPr>
          <w:rStyle w:val="FootnoteReference"/>
          <w:lang w:val="en-US"/>
        </w:rPr>
        <w:footnoteReference w:id="14"/>
      </w:r>
      <w:r w:rsidRPr="00FC1FFC">
        <w:rPr>
          <w:lang w:val="en-US"/>
        </w:rPr>
        <w:t xml:space="preserve">. In </w:t>
      </w:r>
      <w:r w:rsidRPr="00FC1FFC">
        <w:rPr>
          <w:i/>
          <w:lang w:val="en-US"/>
        </w:rPr>
        <w:t>Crompton</w:t>
      </w:r>
      <w:r w:rsidRPr="00FC1FFC">
        <w:rPr>
          <w:lang w:val="en-US"/>
        </w:rPr>
        <w:t>, the Constitutional Court explained</w:t>
      </w:r>
      <w:r>
        <w:rPr>
          <w:rStyle w:val="FootnoteReference"/>
          <w:lang w:val="en-US"/>
        </w:rPr>
        <w:footnoteReference w:id="15"/>
      </w:r>
      <w:r w:rsidRPr="00FC1FFC">
        <w:rPr>
          <w:lang w:val="en-US"/>
        </w:rPr>
        <w:t xml:space="preserve"> that: </w:t>
      </w:r>
    </w:p>
    <w:p w14:paraId="43C05D16" w14:textId="77777777" w:rsidR="00FC1FFC" w:rsidRPr="00E77E0E" w:rsidRDefault="00FC1FFC" w:rsidP="00FC1FFC">
      <w:pPr>
        <w:pStyle w:val="level1"/>
        <w:numPr>
          <w:ilvl w:val="0"/>
          <w:numId w:val="0"/>
        </w:numPr>
        <w:spacing w:after="480"/>
        <w:ind w:left="360"/>
        <w:jc w:val="both"/>
        <w:rPr>
          <w:i/>
          <w:sz w:val="20"/>
          <w:szCs w:val="20"/>
          <w:lang w:val="en-US"/>
        </w:rPr>
      </w:pPr>
      <w:r w:rsidRPr="00E77E0E">
        <w:rPr>
          <w:i/>
          <w:sz w:val="20"/>
          <w:szCs w:val="20"/>
          <w:lang w:val="en-US"/>
        </w:rPr>
        <w:t xml:space="preserve">“[t]his principle of appellate restraint preserves judicial comity. It fosters certainty in the application of the law and favours finality in judicial decision making”.  </w:t>
      </w:r>
    </w:p>
    <w:p w14:paraId="622EB87F" w14:textId="3B5A767D" w:rsidR="00834D42" w:rsidRPr="00834D42" w:rsidRDefault="00B345EB" w:rsidP="0073352B">
      <w:pPr>
        <w:pStyle w:val="level1"/>
        <w:spacing w:after="480" w:line="360" w:lineRule="auto"/>
        <w:ind w:left="0" w:firstLine="0"/>
        <w:jc w:val="both"/>
        <w:rPr>
          <w:lang w:val="en-US"/>
        </w:rPr>
      </w:pPr>
      <w:r w:rsidRPr="00834D42">
        <w:rPr>
          <w:lang w:val="en-US"/>
        </w:rPr>
        <w:t>Eurozar argued that a stay of the application pending the finalization of the pending review proceedings would be in the interests of justice and just and equitable</w:t>
      </w:r>
      <w:r w:rsidR="0048169C" w:rsidRPr="00834D42">
        <w:rPr>
          <w:lang w:val="en-US"/>
        </w:rPr>
        <w:t xml:space="preserve">, considering the overlap of issues in the pending review proceedings and the </w:t>
      </w:r>
      <w:r w:rsidR="00834D42" w:rsidRPr="00834D42">
        <w:rPr>
          <w:lang w:val="en-US"/>
        </w:rPr>
        <w:t>eviction application</w:t>
      </w:r>
      <w:r w:rsidRPr="00834D42">
        <w:rPr>
          <w:lang w:val="en-US"/>
        </w:rPr>
        <w:t>.</w:t>
      </w:r>
      <w:r w:rsidR="00834D42" w:rsidRPr="00834D42">
        <w:rPr>
          <w:lang w:val="en-US"/>
        </w:rPr>
        <w:t xml:space="preserve"> It  contended for an overlap between the fairness and lawfulness dispensation, with a finding in the fairness dispensation having a material bearing on the lawfulness dispensation, that is that Eurozar stands to have the unfair or unreasonable practice corrected through an extension of the </w:t>
      </w:r>
      <w:r w:rsidR="00834D42">
        <w:rPr>
          <w:lang w:val="en-US"/>
        </w:rPr>
        <w:t>franchise agreement</w:t>
      </w:r>
      <w:r w:rsidR="00834D42" w:rsidRPr="00834D42">
        <w:rPr>
          <w:lang w:val="en-US"/>
        </w:rPr>
        <w:t xml:space="preserve"> for the envisaged three year period. It was anticipated that the unfair or unreasonable referral in terms of s12B would be referred back to the arbitrator for a fresh consideration. </w:t>
      </w:r>
      <w:r w:rsidR="00834D42">
        <w:rPr>
          <w:lang w:val="en-US"/>
        </w:rPr>
        <w:t>Eurozar</w:t>
      </w:r>
      <w:r w:rsidR="00834D42" w:rsidRPr="00834D42">
        <w:rPr>
          <w:lang w:val="en-US"/>
        </w:rPr>
        <w:t xml:space="preserve"> argued that if it is evicted</w:t>
      </w:r>
      <w:r w:rsidR="00834D42">
        <w:rPr>
          <w:lang w:val="en-US"/>
        </w:rPr>
        <w:t>,</w:t>
      </w:r>
      <w:r w:rsidR="00834D42" w:rsidRPr="00834D42">
        <w:rPr>
          <w:lang w:val="en-US"/>
        </w:rPr>
        <w:t xml:space="preserve"> its</w:t>
      </w:r>
      <w:r w:rsidR="00834D42">
        <w:rPr>
          <w:lang w:val="en-US"/>
        </w:rPr>
        <w:t xml:space="preserve"> </w:t>
      </w:r>
      <w:r w:rsidR="003B7770">
        <w:rPr>
          <w:lang w:val="en-US"/>
        </w:rPr>
        <w:t xml:space="preserve">retail </w:t>
      </w:r>
      <w:r w:rsidR="00834D42" w:rsidRPr="00834D42">
        <w:rPr>
          <w:lang w:val="en-US"/>
        </w:rPr>
        <w:t>licence would terminate and render it impossible fo</w:t>
      </w:r>
      <w:r w:rsidR="00834D42">
        <w:rPr>
          <w:lang w:val="en-US"/>
        </w:rPr>
        <w:t>r</w:t>
      </w:r>
      <w:r w:rsidR="00834D42" w:rsidRPr="00834D42">
        <w:rPr>
          <w:lang w:val="en-US"/>
        </w:rPr>
        <w:t xml:space="preserve"> the arbitrator to </w:t>
      </w:r>
      <w:r w:rsidR="00834D42">
        <w:rPr>
          <w:lang w:val="en-US"/>
        </w:rPr>
        <w:t xml:space="preserve">direct </w:t>
      </w:r>
      <w:r w:rsidR="00834D42" w:rsidRPr="00834D42">
        <w:rPr>
          <w:lang w:val="en-US"/>
        </w:rPr>
        <w:t>reinstate</w:t>
      </w:r>
      <w:r w:rsidR="00834D42">
        <w:rPr>
          <w:lang w:val="en-US"/>
        </w:rPr>
        <w:t>ment.</w:t>
      </w:r>
      <w:r w:rsidR="00834D42" w:rsidRPr="00834D42">
        <w:rPr>
          <w:lang w:val="en-US"/>
        </w:rPr>
        <w:t xml:space="preserve"> </w:t>
      </w:r>
    </w:p>
    <w:p w14:paraId="6AF1C9B0" w14:textId="77777777" w:rsidR="003B7770" w:rsidRDefault="003B7770" w:rsidP="003B7770">
      <w:pPr>
        <w:pStyle w:val="level1"/>
        <w:spacing w:after="480" w:line="360" w:lineRule="auto"/>
        <w:ind w:left="0" w:firstLine="0"/>
        <w:jc w:val="both"/>
        <w:rPr>
          <w:lang w:val="en-US"/>
        </w:rPr>
      </w:pPr>
      <w:r>
        <w:rPr>
          <w:lang w:val="en-US"/>
        </w:rPr>
        <w:t>In the review proceedings, Eurozar contends that the arbitrator committed a gross irregularity and misconceived the nature of the enquiry. It further contends that the arbitrator’s finding that he did not have jurisdiction to grant compensation is a gross irregularity.</w:t>
      </w:r>
      <w:r w:rsidRPr="00752FEB">
        <w:rPr>
          <w:lang w:val="en-US"/>
        </w:rPr>
        <w:t xml:space="preserve"> </w:t>
      </w:r>
    </w:p>
    <w:p w14:paraId="3372C559" w14:textId="6A5E77F2" w:rsidR="003B7770" w:rsidRPr="00094468" w:rsidRDefault="00B345EB" w:rsidP="003B7770">
      <w:pPr>
        <w:pStyle w:val="level1"/>
        <w:spacing w:after="480" w:line="360" w:lineRule="auto"/>
        <w:ind w:left="0" w:firstLine="0"/>
        <w:jc w:val="both"/>
        <w:rPr>
          <w:lang w:val="en-US"/>
        </w:rPr>
      </w:pPr>
      <w:r w:rsidRPr="00223347">
        <w:rPr>
          <w:lang w:val="en-US"/>
        </w:rPr>
        <w:lastRenderedPageBreak/>
        <w:t xml:space="preserve">Sasol </w:t>
      </w:r>
      <w:r w:rsidR="0048169C" w:rsidRPr="00223347">
        <w:rPr>
          <w:lang w:val="en-US"/>
        </w:rPr>
        <w:t xml:space="preserve">on the other hand </w:t>
      </w:r>
      <w:r w:rsidRPr="00223347">
        <w:rPr>
          <w:lang w:val="en-US"/>
        </w:rPr>
        <w:t xml:space="preserve">argued </w:t>
      </w:r>
      <w:r w:rsidR="00834D42" w:rsidRPr="00223347">
        <w:rPr>
          <w:lang w:val="en-US"/>
        </w:rPr>
        <w:t>th</w:t>
      </w:r>
      <w:r w:rsidR="003B7770">
        <w:rPr>
          <w:lang w:val="en-US"/>
        </w:rPr>
        <w:t>at the interests of justice did not favour a stay</w:t>
      </w:r>
      <w:r w:rsidR="00834D42" w:rsidRPr="00223347">
        <w:rPr>
          <w:lang w:val="en-US"/>
        </w:rPr>
        <w:t xml:space="preserve"> and contended </w:t>
      </w:r>
      <w:r w:rsidRPr="00223347">
        <w:rPr>
          <w:lang w:val="en-US"/>
        </w:rPr>
        <w:t>that the review proceedings have no prospects of success and constitutes an abuse</w:t>
      </w:r>
      <w:r w:rsidR="003B7770" w:rsidRPr="00094468">
        <w:rPr>
          <w:lang w:val="en-US"/>
        </w:rPr>
        <w:t xml:space="preserve"> and has been launched for purposes of delaying the eviction. </w:t>
      </w:r>
    </w:p>
    <w:p w14:paraId="0039E7F0" w14:textId="092E3A0F" w:rsidR="001E68D5" w:rsidRPr="003B7770" w:rsidRDefault="00B345EB" w:rsidP="0073352B">
      <w:pPr>
        <w:pStyle w:val="level1"/>
        <w:spacing w:after="480" w:line="360" w:lineRule="auto"/>
        <w:ind w:left="0" w:firstLine="0"/>
        <w:jc w:val="both"/>
        <w:rPr>
          <w:lang w:val="en-US"/>
        </w:rPr>
      </w:pPr>
      <w:r w:rsidRPr="003B7770">
        <w:rPr>
          <w:lang w:val="en-US"/>
        </w:rPr>
        <w:t xml:space="preserve"> It was common cause that s 6 of the Arbitration Act</w:t>
      </w:r>
      <w:r w:rsidR="00752FEB">
        <w:rPr>
          <w:rStyle w:val="FootnoteReference"/>
          <w:lang w:val="en-US"/>
        </w:rPr>
        <w:footnoteReference w:id="16"/>
      </w:r>
      <w:r w:rsidRPr="003B7770">
        <w:rPr>
          <w:lang w:val="en-US"/>
        </w:rPr>
        <w:t xml:space="preserve"> does not apply, given that the s12B arbitration has already been held and an award made</w:t>
      </w:r>
      <w:r w:rsidR="001E68D5" w:rsidRPr="003B7770">
        <w:rPr>
          <w:lang w:val="en-US"/>
        </w:rPr>
        <w:t xml:space="preserve"> by the arbitrator</w:t>
      </w:r>
      <w:r w:rsidRPr="003B7770">
        <w:rPr>
          <w:lang w:val="en-US"/>
        </w:rPr>
        <w:t>. In terms of s12(5) the arbitrator’s decision is final and binding.</w:t>
      </w:r>
      <w:r w:rsidR="00F57929" w:rsidRPr="003B7770">
        <w:rPr>
          <w:lang w:val="en-US"/>
        </w:rPr>
        <w:t xml:space="preserve"> </w:t>
      </w:r>
      <w:r w:rsidRPr="003B7770">
        <w:rPr>
          <w:lang w:val="en-US"/>
        </w:rPr>
        <w:t xml:space="preserve"> </w:t>
      </w:r>
    </w:p>
    <w:p w14:paraId="7A4C3B19" w14:textId="77777777" w:rsidR="00D87EBC" w:rsidRDefault="009C375C" w:rsidP="0073352B">
      <w:pPr>
        <w:pStyle w:val="level1"/>
        <w:spacing w:after="480" w:line="360" w:lineRule="auto"/>
        <w:ind w:left="0" w:firstLine="0"/>
        <w:jc w:val="both"/>
        <w:rPr>
          <w:lang w:val="en-US"/>
        </w:rPr>
      </w:pPr>
      <w:r w:rsidRPr="00FC1FFC">
        <w:rPr>
          <w:lang w:val="en-US"/>
        </w:rPr>
        <w:t>A court will favourably consider a stay when real and substantial justice re</w:t>
      </w:r>
      <w:r w:rsidR="006E107E" w:rsidRPr="00FC1FFC">
        <w:rPr>
          <w:lang w:val="en-US"/>
        </w:rPr>
        <w:t>q</w:t>
      </w:r>
      <w:r w:rsidRPr="00FC1FFC">
        <w:rPr>
          <w:lang w:val="en-US"/>
        </w:rPr>
        <w:t>uires suc</w:t>
      </w:r>
      <w:r w:rsidR="006E107E" w:rsidRPr="00FC1FFC">
        <w:rPr>
          <w:lang w:val="en-US"/>
        </w:rPr>
        <w:t>h</w:t>
      </w:r>
      <w:r w:rsidRPr="00FC1FFC">
        <w:rPr>
          <w:lang w:val="en-US"/>
        </w:rPr>
        <w:t xml:space="preserve"> a stay or where injustice would otherwise result.</w:t>
      </w:r>
      <w:r w:rsidR="006E107E" w:rsidRPr="00FC1FFC">
        <w:rPr>
          <w:lang w:val="en-US"/>
        </w:rPr>
        <w:t xml:space="preserve"> </w:t>
      </w:r>
      <w:r w:rsidRPr="00FC1FFC">
        <w:rPr>
          <w:lang w:val="en-US"/>
        </w:rPr>
        <w:t xml:space="preserve">Our courts have held that the requirements for an interim interdict could be taken into account </w:t>
      </w:r>
      <w:r w:rsidR="00C126E4" w:rsidRPr="00FC1FFC">
        <w:rPr>
          <w:lang w:val="en-US"/>
        </w:rPr>
        <w:t xml:space="preserve">as guidance </w:t>
      </w:r>
      <w:r w:rsidRPr="00FC1FFC">
        <w:rPr>
          <w:lang w:val="en-US"/>
        </w:rPr>
        <w:t>in determining whether or not to grant a stay</w:t>
      </w:r>
      <w:r>
        <w:rPr>
          <w:rStyle w:val="FootnoteReference"/>
          <w:lang w:val="en-US"/>
        </w:rPr>
        <w:footnoteReference w:id="17"/>
      </w:r>
      <w:r w:rsidR="006E107E" w:rsidRPr="00FC1FFC">
        <w:rPr>
          <w:lang w:val="en-US"/>
        </w:rPr>
        <w:t xml:space="preserve"> and that a similar test is to be applied, save insofar as an applicant may not be exerting a right</w:t>
      </w:r>
      <w:r w:rsidRPr="00FC1FFC">
        <w:rPr>
          <w:lang w:val="en-US"/>
        </w:rPr>
        <w:t xml:space="preserve">. Underpinning Eurozar’s contentions pertaining to the importation of an implied term of good faith and Sasol’s breach thereof, is that it is </w:t>
      </w:r>
      <w:r w:rsidR="006E107E" w:rsidRPr="00FC1FFC">
        <w:rPr>
          <w:lang w:val="en-US"/>
        </w:rPr>
        <w:t>pursuing</w:t>
      </w:r>
      <w:r w:rsidRPr="00FC1FFC">
        <w:rPr>
          <w:lang w:val="en-US"/>
        </w:rPr>
        <w:t xml:space="preserve"> a right to the extension of the franchise agreement for a period of three years</w:t>
      </w:r>
      <w:r w:rsidR="006E107E" w:rsidRPr="00FC1FFC">
        <w:rPr>
          <w:lang w:val="en-US"/>
        </w:rPr>
        <w:t>.</w:t>
      </w:r>
      <w:r w:rsidR="00FC1FFC" w:rsidRPr="00FC1FFC">
        <w:rPr>
          <w:lang w:val="en-US"/>
        </w:rPr>
        <w:t xml:space="preserve"> </w:t>
      </w:r>
    </w:p>
    <w:p w14:paraId="7E52D852" w14:textId="7D45D012" w:rsidR="00FC1FFC" w:rsidRDefault="00FC1FFC" w:rsidP="0073352B">
      <w:pPr>
        <w:pStyle w:val="level1"/>
        <w:spacing w:after="480" w:line="360" w:lineRule="auto"/>
        <w:ind w:left="0" w:firstLine="0"/>
        <w:jc w:val="both"/>
        <w:rPr>
          <w:lang w:val="en-US"/>
        </w:rPr>
      </w:pPr>
      <w:r w:rsidRPr="00FC1FFC">
        <w:rPr>
          <w:lang w:val="en-US"/>
        </w:rPr>
        <w:t>The interests of justice require that final arbitration awards are recognised and enforced. Eurozar’s dispute over the reasonableness and fairness of Sasol’s refusal to extend the franchise agreement has been referred to arbitration and has been determined. The grounds of review under s33 of the Arbitration Act are confined to considerations of the correctness of the procedure adopted at arriving at the award and do not extend to grounds of material errors of law</w:t>
      </w:r>
      <w:r>
        <w:rPr>
          <w:rStyle w:val="FootnoteReference"/>
          <w:lang w:val="en-US"/>
        </w:rPr>
        <w:footnoteReference w:id="18"/>
      </w:r>
      <w:r w:rsidRPr="00FC1FFC">
        <w:rPr>
          <w:lang w:val="en-US"/>
        </w:rPr>
        <w:t>. It is further not for a court or an arbitrator to amend the terms of the franchise agreement where there was no attack on the reasonableness of the terms themselves.</w:t>
      </w:r>
      <w:r>
        <w:rPr>
          <w:lang w:val="en-US"/>
        </w:rPr>
        <w:t xml:space="preserve"> </w:t>
      </w:r>
      <w:r w:rsidR="00B03A01" w:rsidRPr="00FC1FFC">
        <w:rPr>
          <w:lang w:val="en-US"/>
        </w:rPr>
        <w:t xml:space="preserve">In the present context it is apposite to bear in mind that the issues surrounding the importation of a good faith clause was not pleaded in the arbitration proceedings as forming part of the franchise agreement, nor did it form </w:t>
      </w:r>
      <w:r w:rsidR="00B03A01" w:rsidRPr="00FC1FFC">
        <w:rPr>
          <w:lang w:val="en-US"/>
        </w:rPr>
        <w:lastRenderedPageBreak/>
        <w:t>part of the issues which the arbitrator was called upon to determine</w:t>
      </w:r>
      <w:r w:rsidR="00166655">
        <w:rPr>
          <w:rStyle w:val="FootnoteReference"/>
          <w:lang w:val="en-US"/>
        </w:rPr>
        <w:footnoteReference w:id="19"/>
      </w:r>
      <w:r w:rsidR="00B03A01" w:rsidRPr="00FC1FFC">
        <w:rPr>
          <w:lang w:val="en-US"/>
        </w:rPr>
        <w:t xml:space="preserve">. The sole basis on which Eurozar sought relief was for an extension of an additional period of five years in accordance with the provisions of the franchise agreement. There </w:t>
      </w:r>
      <w:r w:rsidR="00166655" w:rsidRPr="00FC1FFC">
        <w:rPr>
          <w:lang w:val="en-US"/>
        </w:rPr>
        <w:t xml:space="preserve">has further been </w:t>
      </w:r>
      <w:r w:rsidR="00B03A01" w:rsidRPr="00FC1FFC">
        <w:rPr>
          <w:lang w:val="en-US"/>
        </w:rPr>
        <w:t>no attempt to amend the agreement to provide for a three year period.</w:t>
      </w:r>
      <w:r w:rsidR="00166655" w:rsidRPr="00FC1FFC">
        <w:rPr>
          <w:lang w:val="en-US"/>
        </w:rPr>
        <w:t xml:space="preserve"> </w:t>
      </w:r>
      <w:r w:rsidR="003B7770" w:rsidRPr="00FC1FFC">
        <w:rPr>
          <w:lang w:val="en-US"/>
        </w:rPr>
        <w:t>It is further relevant that the s 12B arbitration proceedings have already been concluded and that the grounds for review under s33 of the Arbitration Act are limited. R</w:t>
      </w:r>
      <w:r w:rsidR="00F14C6C" w:rsidRPr="00FC1FFC">
        <w:rPr>
          <w:lang w:val="en-US"/>
        </w:rPr>
        <w:t xml:space="preserve">eview proceedings were also only threatened once Sasol took steps to demand Eurozar’s vacation of the premises and launched after the launching of the eviction proceedings. </w:t>
      </w:r>
    </w:p>
    <w:p w14:paraId="0231B756" w14:textId="29D7D2EF" w:rsidR="003B7770" w:rsidRPr="00FC1FFC" w:rsidRDefault="00FC1FFC" w:rsidP="0073352B">
      <w:pPr>
        <w:pStyle w:val="level1"/>
        <w:spacing w:after="480" w:line="360" w:lineRule="auto"/>
        <w:ind w:left="0" w:firstLine="0"/>
        <w:jc w:val="both"/>
        <w:rPr>
          <w:lang w:val="en-US"/>
        </w:rPr>
      </w:pPr>
      <w:r w:rsidRPr="00FC1FFC">
        <w:rPr>
          <w:lang w:val="en-US"/>
        </w:rPr>
        <w:t>It is not for this court to predetermine the merits of the pending review proceedings or whether the review is competent</w:t>
      </w:r>
      <w:r>
        <w:rPr>
          <w:rStyle w:val="FootnoteReference"/>
          <w:lang w:val="en-US"/>
        </w:rPr>
        <w:footnoteReference w:id="20"/>
      </w:r>
      <w:r w:rsidRPr="00FC1FFC">
        <w:rPr>
          <w:lang w:val="en-US"/>
        </w:rPr>
        <w:t xml:space="preserve"> and I shall express no view thereon.  </w:t>
      </w:r>
      <w:r w:rsidR="00166655" w:rsidRPr="00FC1FFC">
        <w:rPr>
          <w:lang w:val="en-US"/>
        </w:rPr>
        <w:t>For present purposes, I accept that there is a possibility that the review may be successful</w:t>
      </w:r>
      <w:r w:rsidR="00557D84" w:rsidRPr="00FC1FFC">
        <w:rPr>
          <w:lang w:val="en-US"/>
        </w:rPr>
        <w:t xml:space="preserve"> and that Eurozar need not establish good prospects of success</w:t>
      </w:r>
      <w:r w:rsidR="003B7770" w:rsidRPr="00FC1FFC">
        <w:rPr>
          <w:lang w:val="en-US"/>
        </w:rPr>
        <w:t xml:space="preserve"> as it is not a weighty factor to take into consideration in exercising the discretion afforded</w:t>
      </w:r>
      <w:r w:rsidR="003B7770">
        <w:rPr>
          <w:rStyle w:val="FootnoteReference"/>
          <w:lang w:val="en-US"/>
        </w:rPr>
        <w:footnoteReference w:id="21"/>
      </w:r>
      <w:r w:rsidR="003B7770" w:rsidRPr="00FC1FFC">
        <w:rPr>
          <w:lang w:val="en-US"/>
        </w:rPr>
        <w:t xml:space="preserve">. </w:t>
      </w:r>
    </w:p>
    <w:p w14:paraId="63CC54FB" w14:textId="0FBD60C7" w:rsidR="00C126E4" w:rsidRDefault="00557D84" w:rsidP="0073352B">
      <w:pPr>
        <w:pStyle w:val="level1"/>
        <w:spacing w:after="480" w:line="360" w:lineRule="auto"/>
        <w:ind w:left="0" w:firstLine="0"/>
        <w:jc w:val="both"/>
        <w:rPr>
          <w:lang w:val="en-US"/>
        </w:rPr>
      </w:pPr>
      <w:r>
        <w:rPr>
          <w:lang w:val="en-US"/>
        </w:rPr>
        <w:t>I am not persuaded that Eurozar has</w:t>
      </w:r>
      <w:r w:rsidR="00C126E4">
        <w:rPr>
          <w:lang w:val="en-US"/>
        </w:rPr>
        <w:t xml:space="preserve">, considering its own conduct, met the remaining criteria, or </w:t>
      </w:r>
      <w:r>
        <w:rPr>
          <w:lang w:val="en-US"/>
        </w:rPr>
        <w:t xml:space="preserve">established </w:t>
      </w:r>
      <w:r w:rsidR="00C126E4">
        <w:rPr>
          <w:lang w:val="en-US"/>
        </w:rPr>
        <w:t>a favourable balance of convenience. Eurozar’s</w:t>
      </w:r>
      <w:r>
        <w:rPr>
          <w:lang w:val="en-US"/>
        </w:rPr>
        <w:t xml:space="preserve"> </w:t>
      </w:r>
      <w:r w:rsidRPr="00557D84">
        <w:rPr>
          <w:lang w:val="en-US"/>
        </w:rPr>
        <w:t>conduct</w:t>
      </w:r>
      <w:r w:rsidR="00C126E4">
        <w:rPr>
          <w:lang w:val="en-US"/>
        </w:rPr>
        <w:t xml:space="preserve"> has </w:t>
      </w:r>
      <w:r>
        <w:rPr>
          <w:lang w:val="en-US"/>
        </w:rPr>
        <w:t xml:space="preserve">since about August 2021 been in direct </w:t>
      </w:r>
      <w:r w:rsidR="00C0290F">
        <w:rPr>
          <w:lang w:val="en-US"/>
        </w:rPr>
        <w:t xml:space="preserve">contrast </w:t>
      </w:r>
      <w:r>
        <w:rPr>
          <w:lang w:val="en-US"/>
        </w:rPr>
        <w:t xml:space="preserve">to compliance with the franchise agreement or the interim arrangement reached between the parties and destructive of any contention that it has acted in good faith. </w:t>
      </w:r>
    </w:p>
    <w:p w14:paraId="74EDF2EF" w14:textId="7A9AD0DB" w:rsidR="000261FC" w:rsidRDefault="00557D84" w:rsidP="00D87EBC">
      <w:pPr>
        <w:pStyle w:val="level1"/>
        <w:spacing w:after="480" w:line="360" w:lineRule="auto"/>
        <w:ind w:left="0" w:firstLine="0"/>
        <w:jc w:val="both"/>
        <w:rPr>
          <w:lang w:val="en-US"/>
        </w:rPr>
      </w:pPr>
      <w:r w:rsidRPr="00111D3C">
        <w:rPr>
          <w:lang w:val="en-US"/>
        </w:rPr>
        <w:t>I</w:t>
      </w:r>
      <w:r w:rsidR="006E107E" w:rsidRPr="00111D3C">
        <w:rPr>
          <w:lang w:val="en-US"/>
        </w:rPr>
        <w:t xml:space="preserve">t was undisputed that Eurozar has </w:t>
      </w:r>
      <w:r w:rsidR="008463EF" w:rsidRPr="00111D3C">
        <w:rPr>
          <w:lang w:val="en-US"/>
        </w:rPr>
        <w:t xml:space="preserve">not </w:t>
      </w:r>
      <w:r w:rsidR="006E107E" w:rsidRPr="00111D3C">
        <w:rPr>
          <w:lang w:val="en-US"/>
        </w:rPr>
        <w:t>purchas</w:t>
      </w:r>
      <w:r w:rsidR="008463EF" w:rsidRPr="00111D3C">
        <w:rPr>
          <w:lang w:val="en-US"/>
        </w:rPr>
        <w:t>ed</w:t>
      </w:r>
      <w:r w:rsidR="006E107E" w:rsidRPr="00111D3C">
        <w:rPr>
          <w:lang w:val="en-US"/>
        </w:rPr>
        <w:t xml:space="preserve"> fuel from </w:t>
      </w:r>
      <w:r w:rsidR="008463EF" w:rsidRPr="00111D3C">
        <w:rPr>
          <w:lang w:val="en-US"/>
        </w:rPr>
        <w:t xml:space="preserve">Sasol </w:t>
      </w:r>
      <w:r w:rsidR="006E107E" w:rsidRPr="00111D3C">
        <w:rPr>
          <w:lang w:val="en-US"/>
        </w:rPr>
        <w:t>from 28 July 2021 and</w:t>
      </w:r>
      <w:r w:rsidR="008463EF" w:rsidRPr="00111D3C">
        <w:rPr>
          <w:lang w:val="en-US"/>
        </w:rPr>
        <w:t xml:space="preserve"> has </w:t>
      </w:r>
      <w:r w:rsidR="006E107E" w:rsidRPr="00111D3C">
        <w:rPr>
          <w:lang w:val="en-US"/>
        </w:rPr>
        <w:t>not been operating the forecourt as a fuel retailer or the convenience store as a Sasol convenience store</w:t>
      </w:r>
      <w:r w:rsidR="00C0290F" w:rsidRPr="00111D3C">
        <w:rPr>
          <w:lang w:val="en-US"/>
        </w:rPr>
        <w:t xml:space="preserve">. It has not </w:t>
      </w:r>
      <w:r w:rsidR="006E107E" w:rsidRPr="00111D3C">
        <w:rPr>
          <w:lang w:val="en-US"/>
        </w:rPr>
        <w:t xml:space="preserve">accounted to </w:t>
      </w:r>
      <w:r w:rsidR="008463EF" w:rsidRPr="00111D3C">
        <w:rPr>
          <w:lang w:val="en-US"/>
        </w:rPr>
        <w:t>Sasol</w:t>
      </w:r>
      <w:r w:rsidR="006E107E" w:rsidRPr="00111D3C">
        <w:rPr>
          <w:lang w:val="en-US"/>
        </w:rPr>
        <w:t xml:space="preserve"> for any sales from the convenience store</w:t>
      </w:r>
      <w:r w:rsidR="008463EF" w:rsidRPr="00111D3C">
        <w:rPr>
          <w:lang w:val="en-US"/>
        </w:rPr>
        <w:t xml:space="preserve">, despite sales taking place </w:t>
      </w:r>
      <w:r w:rsidR="006E107E" w:rsidRPr="00111D3C">
        <w:rPr>
          <w:lang w:val="en-US"/>
        </w:rPr>
        <w:t>and has not paid any rent</w:t>
      </w:r>
      <w:r w:rsidR="00C0290F" w:rsidRPr="00111D3C">
        <w:rPr>
          <w:lang w:val="en-US"/>
        </w:rPr>
        <w:t xml:space="preserve">al </w:t>
      </w:r>
      <w:r w:rsidR="006E107E" w:rsidRPr="00111D3C">
        <w:rPr>
          <w:lang w:val="en-US"/>
        </w:rPr>
        <w:t xml:space="preserve">or other payments. In its answering papers, </w:t>
      </w:r>
      <w:r w:rsidR="008463EF" w:rsidRPr="00111D3C">
        <w:rPr>
          <w:lang w:val="en-US"/>
        </w:rPr>
        <w:t>Eurozar</w:t>
      </w:r>
      <w:r w:rsidR="006E107E" w:rsidRPr="00111D3C">
        <w:rPr>
          <w:lang w:val="en-US"/>
        </w:rPr>
        <w:t xml:space="preserve"> g</w:t>
      </w:r>
      <w:r w:rsidR="00C0290F" w:rsidRPr="00111D3C">
        <w:rPr>
          <w:lang w:val="en-US"/>
        </w:rPr>
        <w:t xml:space="preserve">ave no cogent explanation for its conduct nor was any </w:t>
      </w:r>
      <w:r w:rsidR="006E107E" w:rsidRPr="00111D3C">
        <w:rPr>
          <w:lang w:val="en-US"/>
        </w:rPr>
        <w:t xml:space="preserve">indication </w:t>
      </w:r>
      <w:r w:rsidR="00C0290F" w:rsidRPr="00111D3C">
        <w:rPr>
          <w:lang w:val="en-US"/>
        </w:rPr>
        <w:t xml:space="preserve">given </w:t>
      </w:r>
      <w:r w:rsidR="006E107E" w:rsidRPr="00111D3C">
        <w:rPr>
          <w:lang w:val="en-US"/>
        </w:rPr>
        <w:t xml:space="preserve">that it intended to </w:t>
      </w:r>
      <w:r w:rsidR="00C0290F" w:rsidRPr="00111D3C">
        <w:rPr>
          <w:lang w:val="en-US"/>
        </w:rPr>
        <w:t>comply with a franchisee’s obligations</w:t>
      </w:r>
      <w:r w:rsidR="00C126E4" w:rsidRPr="00111D3C">
        <w:rPr>
          <w:lang w:val="en-US"/>
        </w:rPr>
        <w:t>,</w:t>
      </w:r>
      <w:r w:rsidR="00C0290F" w:rsidRPr="00111D3C">
        <w:rPr>
          <w:lang w:val="en-US"/>
        </w:rPr>
        <w:t xml:space="preserve"> </w:t>
      </w:r>
      <w:r w:rsidR="006E107E" w:rsidRPr="00111D3C">
        <w:rPr>
          <w:lang w:val="en-US"/>
        </w:rPr>
        <w:lastRenderedPageBreak/>
        <w:t xml:space="preserve">make any payments to </w:t>
      </w:r>
      <w:r w:rsidR="00C126E4" w:rsidRPr="00111D3C">
        <w:rPr>
          <w:lang w:val="en-US"/>
        </w:rPr>
        <w:t>Sasol</w:t>
      </w:r>
      <w:r w:rsidR="006E107E" w:rsidRPr="00111D3C">
        <w:rPr>
          <w:lang w:val="en-US"/>
        </w:rPr>
        <w:t xml:space="preserve"> or that it intended to properly conduct the operations on the premises in accordance with the requirements set in the franchise agreement, pending the determination of the proposed review application. </w:t>
      </w:r>
      <w:r w:rsidR="00C126E4" w:rsidRPr="00111D3C">
        <w:rPr>
          <w:lang w:val="en-US"/>
        </w:rPr>
        <w:t xml:space="preserve">Rather, the undisputed facts </w:t>
      </w:r>
      <w:r w:rsidR="00F14C6C">
        <w:rPr>
          <w:lang w:val="en-US"/>
        </w:rPr>
        <w:t xml:space="preserve">further </w:t>
      </w:r>
      <w:r w:rsidR="00C126E4" w:rsidRPr="00111D3C">
        <w:rPr>
          <w:lang w:val="en-US"/>
        </w:rPr>
        <w:t xml:space="preserve">established that </w:t>
      </w:r>
      <w:r w:rsidR="00111D3C" w:rsidRPr="00111D3C">
        <w:rPr>
          <w:lang w:val="en-US"/>
        </w:rPr>
        <w:t>a</w:t>
      </w:r>
      <w:r w:rsidR="00111D3C">
        <w:rPr>
          <w:lang w:val="en-US"/>
        </w:rPr>
        <w:t>n Uber Eats</w:t>
      </w:r>
      <w:r w:rsidR="00111D3C" w:rsidRPr="00111D3C">
        <w:rPr>
          <w:lang w:val="en-US"/>
        </w:rPr>
        <w:t xml:space="preserve"> </w:t>
      </w:r>
      <w:r w:rsidR="00C126E4" w:rsidRPr="00111D3C">
        <w:rPr>
          <w:lang w:val="en-US"/>
        </w:rPr>
        <w:t xml:space="preserve">business </w:t>
      </w:r>
      <w:r w:rsidR="00111D3C" w:rsidRPr="00111D3C">
        <w:rPr>
          <w:lang w:val="en-US"/>
        </w:rPr>
        <w:t xml:space="preserve">was being conducted </w:t>
      </w:r>
      <w:r w:rsidR="00C126E4" w:rsidRPr="00111D3C">
        <w:rPr>
          <w:lang w:val="en-US"/>
        </w:rPr>
        <w:t>from the premises earn</w:t>
      </w:r>
      <w:r w:rsidR="00111D3C" w:rsidRPr="00111D3C">
        <w:rPr>
          <w:lang w:val="en-US"/>
        </w:rPr>
        <w:t>ing</w:t>
      </w:r>
      <w:r w:rsidR="00C126E4" w:rsidRPr="00111D3C">
        <w:rPr>
          <w:lang w:val="en-US"/>
        </w:rPr>
        <w:t xml:space="preserve"> </w:t>
      </w:r>
      <w:r w:rsidR="00111D3C">
        <w:rPr>
          <w:lang w:val="en-US"/>
        </w:rPr>
        <w:t xml:space="preserve">substantial </w:t>
      </w:r>
      <w:r w:rsidR="00C126E4" w:rsidRPr="00111D3C">
        <w:rPr>
          <w:lang w:val="en-US"/>
        </w:rPr>
        <w:t xml:space="preserve">revenue </w:t>
      </w:r>
      <w:r w:rsidR="00111D3C">
        <w:rPr>
          <w:lang w:val="en-US"/>
        </w:rPr>
        <w:t xml:space="preserve">from about March 2020 </w:t>
      </w:r>
      <w:r w:rsidR="00C126E4" w:rsidRPr="00111D3C">
        <w:rPr>
          <w:lang w:val="en-US"/>
        </w:rPr>
        <w:t xml:space="preserve">without </w:t>
      </w:r>
      <w:r w:rsidR="00111D3C">
        <w:rPr>
          <w:lang w:val="en-US"/>
        </w:rPr>
        <w:t>any income being accounted for to Sasol.  Insofar as Eurozar contended that the business was an independent one operated by SandtonFuel, no consent was ever sought or obtained from Sasol to do so.</w:t>
      </w:r>
      <w:r w:rsidR="006E107E" w:rsidRPr="00111D3C">
        <w:rPr>
          <w:lang w:val="en-US"/>
        </w:rPr>
        <w:t xml:space="preserve"> </w:t>
      </w:r>
      <w:r w:rsidR="000261FC">
        <w:rPr>
          <w:lang w:val="en-US"/>
        </w:rPr>
        <w:t xml:space="preserve">It was further not disputed that Eurozar has been left as an empty shell which would afford to recourse to Sasol if it were to seek to recover damages. </w:t>
      </w:r>
    </w:p>
    <w:p w14:paraId="3B4251DF" w14:textId="2CB9F4B8" w:rsidR="00D87EBC" w:rsidRDefault="00111D3C" w:rsidP="00D87EBC">
      <w:pPr>
        <w:pStyle w:val="level1"/>
        <w:spacing w:after="480" w:line="360" w:lineRule="auto"/>
        <w:ind w:left="0" w:firstLine="0"/>
        <w:jc w:val="both"/>
        <w:rPr>
          <w:lang w:val="en-US"/>
        </w:rPr>
      </w:pPr>
      <w:r>
        <w:rPr>
          <w:lang w:val="en-US"/>
        </w:rPr>
        <w:t>Eurozar did not meaningfully dispute the prejudice and financial harm contended for by Sasol.</w:t>
      </w:r>
      <w:r w:rsidR="00F14C6C" w:rsidRPr="00111D3C">
        <w:rPr>
          <w:lang w:val="en-US"/>
        </w:rPr>
        <w:t xml:space="preserve"> </w:t>
      </w:r>
      <w:r w:rsidR="00F14C6C">
        <w:rPr>
          <w:lang w:val="en-US"/>
        </w:rPr>
        <w:t>I</w:t>
      </w:r>
      <w:r w:rsidR="00F14C6C" w:rsidRPr="00111D3C">
        <w:rPr>
          <w:lang w:val="en-US"/>
        </w:rPr>
        <w:t xml:space="preserve">t </w:t>
      </w:r>
      <w:r w:rsidR="00F14C6C">
        <w:rPr>
          <w:lang w:val="en-US"/>
        </w:rPr>
        <w:t>wa</w:t>
      </w:r>
      <w:r w:rsidR="00F14C6C" w:rsidRPr="00111D3C">
        <w:rPr>
          <w:lang w:val="en-US"/>
        </w:rPr>
        <w:t xml:space="preserve">s </w:t>
      </w:r>
      <w:r w:rsidR="00F14C6C">
        <w:rPr>
          <w:lang w:val="en-US"/>
        </w:rPr>
        <w:t xml:space="preserve">further </w:t>
      </w:r>
      <w:r w:rsidR="00F14C6C" w:rsidRPr="00111D3C">
        <w:rPr>
          <w:lang w:val="en-US"/>
        </w:rPr>
        <w:t>undisputed that Eurozar’s conduct would have breached the franchise agreement entitling Sasol to cancel it.</w:t>
      </w:r>
      <w:r w:rsidR="00D87EBC" w:rsidRPr="00D87EBC">
        <w:rPr>
          <w:lang w:val="en-US"/>
        </w:rPr>
        <w:t xml:space="preserve"> </w:t>
      </w:r>
      <w:r w:rsidR="00D87EBC">
        <w:rPr>
          <w:lang w:val="en-US"/>
        </w:rPr>
        <w:t xml:space="preserve"> As one of the relevant factors, a court is further entitled to consider that the franchise agreement has lapsed</w:t>
      </w:r>
      <w:r w:rsidR="00D87EBC">
        <w:rPr>
          <w:rStyle w:val="FootnoteReference"/>
          <w:lang w:val="en-US"/>
        </w:rPr>
        <w:footnoteReference w:id="22"/>
      </w:r>
      <w:r w:rsidR="00D87EBC">
        <w:rPr>
          <w:lang w:val="en-US"/>
        </w:rPr>
        <w:t xml:space="preserve">, despite Eurozar’s contention that the breach by Sasol must be considered as at November 2019, which occurred before the termination of the said agreement. In this instance the franchise agreement terminated by effluxion of time on 7 May 2021. </w:t>
      </w:r>
    </w:p>
    <w:p w14:paraId="35650F18" w14:textId="5821E057" w:rsidR="00111D3C" w:rsidRPr="000F7756" w:rsidRDefault="00FC1FFC" w:rsidP="0073352B">
      <w:pPr>
        <w:pStyle w:val="level1"/>
        <w:spacing w:after="480" w:line="360" w:lineRule="auto"/>
        <w:ind w:left="0" w:firstLine="0"/>
        <w:jc w:val="both"/>
        <w:rPr>
          <w:lang w:val="en-US"/>
        </w:rPr>
      </w:pPr>
      <w:r>
        <w:rPr>
          <w:lang w:val="en-US"/>
        </w:rPr>
        <w:t xml:space="preserve">Whilst </w:t>
      </w:r>
      <w:r w:rsidR="000F7756" w:rsidRPr="000F7756">
        <w:rPr>
          <w:lang w:val="en-US"/>
        </w:rPr>
        <w:t xml:space="preserve">Eurozar’s complaints pertaining to the demise of its business and loss of its retail licence </w:t>
      </w:r>
      <w:r>
        <w:rPr>
          <w:lang w:val="en-US"/>
        </w:rPr>
        <w:t xml:space="preserve">may constitute the risk of irreparable harm, this </w:t>
      </w:r>
      <w:r w:rsidR="000F7756" w:rsidRPr="000F7756">
        <w:rPr>
          <w:lang w:val="en-US"/>
        </w:rPr>
        <w:t xml:space="preserve">must be measured against its own </w:t>
      </w:r>
      <w:r w:rsidR="00D87EBC">
        <w:rPr>
          <w:lang w:val="en-US"/>
        </w:rPr>
        <w:t xml:space="preserve">brazen and unlawful </w:t>
      </w:r>
      <w:r w:rsidR="000F7756" w:rsidRPr="000F7756">
        <w:rPr>
          <w:lang w:val="en-US"/>
        </w:rPr>
        <w:t xml:space="preserve">conduct. Having elected to effectively repudiate all its obligations towards Sasol and not to act towards it in a bona fide manner, it cannot be concluded that Eurozar has established any balance of convenience in its favour. </w:t>
      </w:r>
      <w:r w:rsidR="00111D3C" w:rsidRPr="000F7756">
        <w:rPr>
          <w:lang w:val="en-US"/>
        </w:rPr>
        <w:t>Eurozar’s</w:t>
      </w:r>
      <w:r w:rsidR="00C0290F" w:rsidRPr="000F7756">
        <w:rPr>
          <w:lang w:val="en-US"/>
        </w:rPr>
        <w:t xml:space="preserve"> conduct smacks of mala fides and </w:t>
      </w:r>
      <w:r w:rsidR="00F14C6C" w:rsidRPr="000F7756">
        <w:rPr>
          <w:lang w:val="en-US"/>
        </w:rPr>
        <w:t xml:space="preserve">abuse and </w:t>
      </w:r>
      <w:r w:rsidR="00C0290F" w:rsidRPr="000F7756">
        <w:rPr>
          <w:lang w:val="en-US"/>
        </w:rPr>
        <w:t xml:space="preserve">strongly militates against </w:t>
      </w:r>
      <w:r>
        <w:rPr>
          <w:lang w:val="en-US"/>
        </w:rPr>
        <w:t xml:space="preserve">the balance of convenience favouring </w:t>
      </w:r>
      <w:r w:rsidR="00C0290F" w:rsidRPr="000F7756">
        <w:rPr>
          <w:lang w:val="en-US"/>
        </w:rPr>
        <w:t>the granting of a stay of the eviction application.</w:t>
      </w:r>
      <w:r w:rsidR="00111D3C" w:rsidRPr="000F7756">
        <w:rPr>
          <w:lang w:val="en-US"/>
        </w:rPr>
        <w:t xml:space="preserve"> </w:t>
      </w:r>
      <w:r w:rsidR="000F7756">
        <w:rPr>
          <w:lang w:val="en-US"/>
        </w:rPr>
        <w:t>Had it complied with its own obligations</w:t>
      </w:r>
      <w:r w:rsidR="00D87EBC">
        <w:rPr>
          <w:lang w:val="en-US"/>
        </w:rPr>
        <w:t xml:space="preserve"> and illustrated good faith towards Sasol</w:t>
      </w:r>
      <w:r w:rsidR="000F7756">
        <w:rPr>
          <w:lang w:val="en-US"/>
        </w:rPr>
        <w:t>, Eurozar’s position would have been entirely different. As matters stand, i</w:t>
      </w:r>
      <w:r w:rsidR="00111D3C" w:rsidRPr="000F7756">
        <w:rPr>
          <w:lang w:val="en-US"/>
        </w:rPr>
        <w:t xml:space="preserve">t </w:t>
      </w:r>
      <w:r w:rsidR="000F7756">
        <w:rPr>
          <w:lang w:val="en-US"/>
        </w:rPr>
        <w:t>would</w:t>
      </w:r>
      <w:r w:rsidR="00111D3C" w:rsidRPr="000F7756">
        <w:rPr>
          <w:lang w:val="en-US"/>
        </w:rPr>
        <w:t xml:space="preserve"> not </w:t>
      </w:r>
      <w:r w:rsidR="000F7756">
        <w:rPr>
          <w:lang w:val="en-US"/>
        </w:rPr>
        <w:t xml:space="preserve">be </w:t>
      </w:r>
      <w:r w:rsidR="00111D3C" w:rsidRPr="000F7756">
        <w:rPr>
          <w:lang w:val="en-US"/>
        </w:rPr>
        <w:t xml:space="preserve">in interests of justice for </w:t>
      </w:r>
      <w:r w:rsidR="000F7756">
        <w:rPr>
          <w:lang w:val="en-US"/>
        </w:rPr>
        <w:t xml:space="preserve">the present </w:t>
      </w:r>
      <w:r w:rsidR="00111D3C" w:rsidRPr="000F7756">
        <w:rPr>
          <w:lang w:val="en-US"/>
        </w:rPr>
        <w:t>arrangement to be endorsed</w:t>
      </w:r>
      <w:r w:rsidR="00111D3C">
        <w:rPr>
          <w:rStyle w:val="FootnoteReference"/>
          <w:lang w:val="en-US"/>
        </w:rPr>
        <w:footnoteReference w:id="23"/>
      </w:r>
      <w:r w:rsidR="00111D3C" w:rsidRPr="000F7756">
        <w:rPr>
          <w:lang w:val="en-US"/>
        </w:rPr>
        <w:t xml:space="preserve">.  </w:t>
      </w:r>
    </w:p>
    <w:p w14:paraId="7F4E3379" w14:textId="4C7A699D" w:rsidR="00B345EB" w:rsidRDefault="00D87EBC" w:rsidP="00B345EB">
      <w:pPr>
        <w:pStyle w:val="level1"/>
        <w:spacing w:after="480" w:line="360" w:lineRule="auto"/>
        <w:ind w:left="0" w:firstLine="0"/>
        <w:jc w:val="both"/>
        <w:rPr>
          <w:lang w:val="en-US"/>
        </w:rPr>
      </w:pPr>
      <w:r>
        <w:rPr>
          <w:lang w:val="en-US"/>
        </w:rPr>
        <w:lastRenderedPageBreak/>
        <w:t xml:space="preserve">For these reasons, </w:t>
      </w:r>
      <w:r w:rsidR="00B345EB">
        <w:rPr>
          <w:lang w:val="en-US"/>
        </w:rPr>
        <w:t xml:space="preserve">I conclude that even if the there is an unfortunate demise of </w:t>
      </w:r>
      <w:r>
        <w:rPr>
          <w:lang w:val="en-US"/>
        </w:rPr>
        <w:t xml:space="preserve">Eurozar’s </w:t>
      </w:r>
      <w:r w:rsidR="00B345EB">
        <w:rPr>
          <w:lang w:val="en-US"/>
        </w:rPr>
        <w:t>business as a result, this is not a case where equities and fairness could warrant the applicant being denied the relief to which it is entitled.</w:t>
      </w:r>
      <w:r w:rsidR="00B345EB">
        <w:rPr>
          <w:rStyle w:val="FootnoteReference"/>
          <w:lang w:val="en-US"/>
        </w:rPr>
        <w:footnoteReference w:id="24"/>
      </w:r>
      <w:r w:rsidR="00B345EB">
        <w:rPr>
          <w:lang w:val="en-US"/>
        </w:rPr>
        <w:t xml:space="preserve"> It follows that </w:t>
      </w:r>
      <w:r w:rsidR="003B7770">
        <w:rPr>
          <w:lang w:val="en-US"/>
        </w:rPr>
        <w:t xml:space="preserve">Eurozar’s </w:t>
      </w:r>
      <w:r w:rsidR="00B345EB">
        <w:rPr>
          <w:lang w:val="en-US"/>
        </w:rPr>
        <w:t>counter application must fail.</w:t>
      </w:r>
    </w:p>
    <w:p w14:paraId="2429D867" w14:textId="7B8D8A85" w:rsidR="0048169C" w:rsidRDefault="0048169C" w:rsidP="003B7770">
      <w:pPr>
        <w:pStyle w:val="level1"/>
        <w:numPr>
          <w:ilvl w:val="0"/>
          <w:numId w:val="0"/>
        </w:numPr>
        <w:spacing w:after="480" w:line="360" w:lineRule="auto"/>
        <w:jc w:val="both"/>
        <w:rPr>
          <w:lang w:val="en-US"/>
        </w:rPr>
      </w:pPr>
      <w:r>
        <w:rPr>
          <w:lang w:val="en-US"/>
        </w:rPr>
        <w:t>The importation of a tacit or implied term of good faith</w:t>
      </w:r>
    </w:p>
    <w:p w14:paraId="629DDEE9" w14:textId="20393D6B" w:rsidR="00F60452" w:rsidRPr="00F60452" w:rsidRDefault="0048169C" w:rsidP="00F60452">
      <w:pPr>
        <w:pStyle w:val="level1"/>
        <w:spacing w:after="480" w:line="360" w:lineRule="auto"/>
        <w:ind w:left="0" w:firstLine="0"/>
        <w:jc w:val="both"/>
        <w:rPr>
          <w:i/>
          <w:lang w:val="en-US"/>
        </w:rPr>
      </w:pPr>
      <w:r>
        <w:rPr>
          <w:lang w:val="en-US"/>
        </w:rPr>
        <w:t>Eurozar’s</w:t>
      </w:r>
      <w:r w:rsidRPr="00C05E32">
        <w:rPr>
          <w:lang w:val="en-US"/>
        </w:rPr>
        <w:t xml:space="preserve"> defence is predicated on a breach by Sasol </w:t>
      </w:r>
      <w:r w:rsidR="00D87EBC">
        <w:rPr>
          <w:lang w:val="en-US"/>
        </w:rPr>
        <w:t xml:space="preserve">during late 2019 </w:t>
      </w:r>
      <w:r w:rsidRPr="00C05E32">
        <w:rPr>
          <w:lang w:val="en-US"/>
        </w:rPr>
        <w:t xml:space="preserve">of the implied term to be imported into the franchise agreement. </w:t>
      </w:r>
      <w:r w:rsidR="00D87EBC">
        <w:rPr>
          <w:lang w:val="en-US"/>
        </w:rPr>
        <w:t>Its case was that Sasol was untruthful in its correspondence of November and December 2019</w:t>
      </w:r>
      <w:r w:rsidR="00F60452">
        <w:rPr>
          <w:lang w:val="en-US"/>
        </w:rPr>
        <w:t xml:space="preserve"> advising that it could not extend the franchise agreement for a further five years as its head lease would come to an end. </w:t>
      </w:r>
      <w:r w:rsidR="00F60452" w:rsidRPr="00F60452">
        <w:rPr>
          <w:lang w:val="en-US"/>
        </w:rPr>
        <w:t>The failure to advise Eurozar thereof was not only untruthful, but intended by Sasol to preclude Eurozar from calling upon Sasol to agree to an extension, albeit for a period of 3 years. This contention persists in the face of the 5 year extension being the term determined in the franchise agreement for which the franchise agreement should be extended.</w:t>
      </w:r>
      <w:r w:rsidR="00F60452" w:rsidRPr="00F60452">
        <w:rPr>
          <w:i/>
          <w:lang w:val="en-US"/>
        </w:rPr>
        <w:t xml:space="preserve"> </w:t>
      </w:r>
    </w:p>
    <w:p w14:paraId="3673B8CC" w14:textId="3BAC33B1" w:rsidR="0048169C" w:rsidRPr="00F60452" w:rsidRDefault="0048169C" w:rsidP="0073352B">
      <w:pPr>
        <w:pStyle w:val="level1"/>
        <w:spacing w:after="480" w:line="360" w:lineRule="auto"/>
        <w:ind w:left="0" w:firstLine="0"/>
        <w:jc w:val="both"/>
        <w:rPr>
          <w:lang w:val="en-US"/>
        </w:rPr>
      </w:pPr>
      <w:r w:rsidRPr="00F60452">
        <w:rPr>
          <w:lang w:val="en-US"/>
        </w:rPr>
        <w:t>It is undisputed that the equitable standards of fairness and reasonableness prevails in all petroleum contracts regardless of whether they are subject to statutory arbitration or ordinary court litigation</w:t>
      </w:r>
      <w:r>
        <w:rPr>
          <w:rStyle w:val="FootnoteReference"/>
          <w:lang w:val="en-US"/>
        </w:rPr>
        <w:footnoteReference w:id="25"/>
      </w:r>
      <w:r w:rsidRPr="00F60452">
        <w:rPr>
          <w:lang w:val="en-US"/>
        </w:rPr>
        <w:t xml:space="preserve">. </w:t>
      </w:r>
      <w:r w:rsidR="00D87EBC" w:rsidRPr="00F60452">
        <w:rPr>
          <w:lang w:val="en-US"/>
        </w:rPr>
        <w:t>Clause 5.3 of the franchise agreement, which forms the centre of the debate between the parties, expressly includes a reference to reasonableness.</w:t>
      </w:r>
      <w:r w:rsidR="00F60452">
        <w:rPr>
          <w:lang w:val="en-US"/>
        </w:rPr>
        <w:t xml:space="preserve"> </w:t>
      </w:r>
      <w:r w:rsidRPr="00F60452">
        <w:rPr>
          <w:lang w:val="en-US"/>
        </w:rPr>
        <w:t>In its answering affidavit</w:t>
      </w:r>
      <w:r>
        <w:rPr>
          <w:rStyle w:val="FootnoteReference"/>
          <w:lang w:val="en-US"/>
        </w:rPr>
        <w:footnoteReference w:id="26"/>
      </w:r>
      <w:r w:rsidRPr="00F60452">
        <w:rPr>
          <w:lang w:val="en-US"/>
        </w:rPr>
        <w:t>, Eurozar  pleaded:</w:t>
      </w:r>
    </w:p>
    <w:p w14:paraId="10854DEB" w14:textId="77777777" w:rsidR="0048169C" w:rsidRPr="008D01F9" w:rsidRDefault="0048169C" w:rsidP="0048169C">
      <w:pPr>
        <w:pStyle w:val="level1"/>
        <w:numPr>
          <w:ilvl w:val="0"/>
          <w:numId w:val="0"/>
        </w:numPr>
        <w:spacing w:after="480"/>
        <w:ind w:left="360"/>
        <w:jc w:val="both"/>
        <w:rPr>
          <w:sz w:val="20"/>
          <w:szCs w:val="20"/>
          <w:lang w:val="en-US"/>
        </w:rPr>
      </w:pPr>
      <w:r w:rsidRPr="008D01F9">
        <w:rPr>
          <w:sz w:val="20"/>
          <w:szCs w:val="20"/>
          <w:lang w:val="en-US"/>
        </w:rPr>
        <w:t>”</w:t>
      </w:r>
      <w:r w:rsidRPr="008D01F9">
        <w:rPr>
          <w:i/>
          <w:sz w:val="20"/>
          <w:szCs w:val="20"/>
          <w:lang w:val="en-US"/>
        </w:rPr>
        <w:t>It is implied, alternatively a tacit term, of the franchise agreement that Sasol would act in good faith and would cooperate with Eurozar in such a manner as to ensure that Eurozar continued its operation as a going concern.</w:t>
      </w:r>
      <w:r>
        <w:rPr>
          <w:i/>
          <w:sz w:val="20"/>
          <w:szCs w:val="20"/>
          <w:lang w:val="en-US"/>
        </w:rPr>
        <w:t xml:space="preserve"> </w:t>
      </w:r>
      <w:r w:rsidRPr="008D01F9">
        <w:rPr>
          <w:i/>
          <w:sz w:val="20"/>
          <w:szCs w:val="20"/>
          <w:lang w:val="en-US"/>
        </w:rPr>
        <w:t>Sasol, as aforementioned advised Eurozar on 2 December 2019 that it would have no further right to occupy the site post the termination of the franchise agreement. This was untrue and admitted by Sasol during the arbitration hearing. Sasol stated that it had a period of three years remaining in terms of its please with M</w:t>
      </w:r>
      <w:r>
        <w:rPr>
          <w:i/>
          <w:sz w:val="20"/>
          <w:szCs w:val="20"/>
          <w:lang w:val="en-US"/>
        </w:rPr>
        <w:t>c</w:t>
      </w:r>
      <w:r w:rsidRPr="008D01F9">
        <w:rPr>
          <w:i/>
          <w:sz w:val="20"/>
          <w:szCs w:val="20"/>
          <w:lang w:val="en-US"/>
        </w:rPr>
        <w:t>Cullough. The failure to advise Eurozar of the 3 year period and the intimation that it did not have any f</w:t>
      </w:r>
      <w:r>
        <w:rPr>
          <w:i/>
          <w:sz w:val="20"/>
          <w:szCs w:val="20"/>
          <w:lang w:val="en-US"/>
        </w:rPr>
        <w:t>u</w:t>
      </w:r>
      <w:r w:rsidRPr="008D01F9">
        <w:rPr>
          <w:i/>
          <w:sz w:val="20"/>
          <w:szCs w:val="20"/>
          <w:lang w:val="en-US"/>
        </w:rPr>
        <w:t>r</w:t>
      </w:r>
      <w:r>
        <w:rPr>
          <w:i/>
          <w:sz w:val="20"/>
          <w:szCs w:val="20"/>
          <w:lang w:val="en-US"/>
        </w:rPr>
        <w:t>t</w:t>
      </w:r>
      <w:r w:rsidRPr="008D01F9">
        <w:rPr>
          <w:i/>
          <w:sz w:val="20"/>
          <w:szCs w:val="20"/>
          <w:lang w:val="en-US"/>
        </w:rPr>
        <w:t xml:space="preserve">her period on it lease, was not only untrue, but was a </w:t>
      </w:r>
      <w:r w:rsidRPr="008D01F9">
        <w:rPr>
          <w:i/>
          <w:sz w:val="20"/>
          <w:szCs w:val="20"/>
          <w:lang w:val="en-US"/>
        </w:rPr>
        <w:lastRenderedPageBreak/>
        <w:t>machination intended to preclude Eurozar from calling upon Sasol to agree to an extension for a period that</w:t>
      </w:r>
      <w:r>
        <w:rPr>
          <w:i/>
          <w:sz w:val="20"/>
          <w:szCs w:val="20"/>
          <w:lang w:val="en-US"/>
        </w:rPr>
        <w:t xml:space="preserve"> </w:t>
      </w:r>
      <w:r w:rsidRPr="008D01F9">
        <w:rPr>
          <w:i/>
          <w:sz w:val="20"/>
          <w:szCs w:val="20"/>
          <w:lang w:val="en-US"/>
        </w:rPr>
        <w:t>it less and five years and is three years. This is not only a breach of Sasol’s implied alternatively tacit obligation but also constitutes an unfair or unreasonable contractual practice…it is submitted on behalf of Eurozar that a party who breaches an agreement cannot itself rely on that self</w:t>
      </w:r>
      <w:r>
        <w:rPr>
          <w:i/>
          <w:sz w:val="20"/>
          <w:szCs w:val="20"/>
          <w:lang w:val="en-US"/>
        </w:rPr>
        <w:t>-</w:t>
      </w:r>
      <w:r w:rsidRPr="008D01F9">
        <w:rPr>
          <w:i/>
          <w:sz w:val="20"/>
          <w:szCs w:val="20"/>
          <w:lang w:val="en-US"/>
        </w:rPr>
        <w:t>same agreemen</w:t>
      </w:r>
      <w:r>
        <w:rPr>
          <w:i/>
          <w:sz w:val="20"/>
          <w:szCs w:val="20"/>
          <w:lang w:val="en-US"/>
        </w:rPr>
        <w:t>t</w:t>
      </w:r>
      <w:r w:rsidRPr="008D01F9">
        <w:rPr>
          <w:i/>
          <w:sz w:val="20"/>
          <w:szCs w:val="20"/>
          <w:lang w:val="en-US"/>
        </w:rPr>
        <w:t xml:space="preserve">. To allow this, is to allow Sasol the benefit of its own wrong. As a consequence, the court will be </w:t>
      </w:r>
      <w:r>
        <w:rPr>
          <w:i/>
          <w:sz w:val="20"/>
          <w:szCs w:val="20"/>
          <w:lang w:val="en-US"/>
        </w:rPr>
        <w:t>a</w:t>
      </w:r>
      <w:r w:rsidRPr="008D01F9">
        <w:rPr>
          <w:i/>
          <w:sz w:val="20"/>
          <w:szCs w:val="20"/>
          <w:lang w:val="en-US"/>
        </w:rPr>
        <w:t>sked not to enforce the term requiring Eurozar to vacate the site, and thereby to dismiss the eviction”</w:t>
      </w:r>
      <w:r>
        <w:rPr>
          <w:i/>
          <w:sz w:val="20"/>
          <w:szCs w:val="20"/>
          <w:lang w:val="en-US"/>
        </w:rPr>
        <w:t>.</w:t>
      </w:r>
    </w:p>
    <w:p w14:paraId="5CCBFFD5" w14:textId="0072E529" w:rsidR="00F60452" w:rsidRDefault="0048169C" w:rsidP="0048169C">
      <w:pPr>
        <w:pStyle w:val="level1"/>
        <w:spacing w:after="480" w:line="360" w:lineRule="auto"/>
        <w:ind w:left="0" w:firstLine="0"/>
        <w:jc w:val="both"/>
        <w:rPr>
          <w:lang w:val="en-US"/>
        </w:rPr>
      </w:pPr>
      <w:r>
        <w:rPr>
          <w:lang w:val="en-US"/>
        </w:rPr>
        <w:t>N</w:t>
      </w:r>
      <w:r w:rsidRPr="00523A68">
        <w:rPr>
          <w:lang w:val="en-US"/>
        </w:rPr>
        <w:t>o facts were pleaded justifying the importation of a tacit term. During argument Eurozar, correctly in my view</w:t>
      </w:r>
      <w:r>
        <w:rPr>
          <w:rStyle w:val="FootnoteReference"/>
          <w:lang w:val="en-US"/>
        </w:rPr>
        <w:footnoteReference w:id="27"/>
      </w:r>
      <w:r w:rsidRPr="00523A68">
        <w:rPr>
          <w:lang w:val="en-US"/>
        </w:rPr>
        <w:t>, jettisoned any reliance on an obligation on Sasol “to cooperate with Eurozar to ensure it continues its operation as a going concern” and argued for the importation of a broad implied term incorporating the concept</w:t>
      </w:r>
      <w:r w:rsidR="00FB6731">
        <w:rPr>
          <w:lang w:val="en-US"/>
        </w:rPr>
        <w:t>s</w:t>
      </w:r>
      <w:r w:rsidRPr="00523A68">
        <w:rPr>
          <w:lang w:val="en-US"/>
        </w:rPr>
        <w:t xml:space="preserve"> of good faith</w:t>
      </w:r>
      <w:r w:rsidR="00FB6731">
        <w:rPr>
          <w:lang w:val="en-US"/>
        </w:rPr>
        <w:t xml:space="preserve"> and cooperation</w:t>
      </w:r>
      <w:r w:rsidRPr="00523A68">
        <w:rPr>
          <w:lang w:val="en-US"/>
        </w:rPr>
        <w:t>.</w:t>
      </w:r>
    </w:p>
    <w:p w14:paraId="56177269" w14:textId="77777777" w:rsidR="00FB6731" w:rsidRDefault="0048169C" w:rsidP="0048169C">
      <w:pPr>
        <w:pStyle w:val="level1"/>
        <w:spacing w:after="480" w:line="360" w:lineRule="auto"/>
        <w:ind w:left="0" w:firstLine="0"/>
        <w:jc w:val="both"/>
        <w:rPr>
          <w:lang w:val="en-US"/>
        </w:rPr>
      </w:pPr>
      <w:r w:rsidRPr="004B51DA">
        <w:rPr>
          <w:lang w:val="en-US"/>
        </w:rPr>
        <w:t>The breach of the duty of good faith is an issue raised in the pending review proceedings</w:t>
      </w:r>
      <w:r>
        <w:rPr>
          <w:rStyle w:val="FootnoteReference"/>
          <w:lang w:val="en-US"/>
        </w:rPr>
        <w:footnoteReference w:id="28"/>
      </w:r>
      <w:r w:rsidRPr="004B51DA">
        <w:rPr>
          <w:lang w:val="en-US"/>
        </w:rPr>
        <w:t>.</w:t>
      </w:r>
      <w:r>
        <w:rPr>
          <w:lang w:val="en-US"/>
        </w:rPr>
        <w:t xml:space="preserve"> It was undisputed that Eurozar did not plead the implied term in the arbitration proceedings and the issue did not form part of the issues the arbitrator was called upon to determine. </w:t>
      </w:r>
      <w:r w:rsidRPr="004B51DA">
        <w:rPr>
          <w:lang w:val="en-US"/>
        </w:rPr>
        <w:t xml:space="preserve">Much of Eurozar’s heads of argument was devoted to this issue, despite Eurozar contending that it was not for this court to determine whether the review is competent or not. </w:t>
      </w:r>
    </w:p>
    <w:p w14:paraId="6D83511F" w14:textId="09B09381" w:rsidR="0048169C" w:rsidRPr="004B51DA" w:rsidRDefault="0048169C" w:rsidP="0048169C">
      <w:pPr>
        <w:pStyle w:val="level1"/>
        <w:spacing w:after="480" w:line="360" w:lineRule="auto"/>
        <w:ind w:left="0" w:firstLine="0"/>
        <w:jc w:val="both"/>
        <w:rPr>
          <w:lang w:val="en-US"/>
        </w:rPr>
      </w:pPr>
      <w:r w:rsidRPr="004B51DA">
        <w:rPr>
          <w:lang w:val="en-US"/>
        </w:rPr>
        <w:t>I</w:t>
      </w:r>
      <w:r>
        <w:rPr>
          <w:lang w:val="en-US"/>
        </w:rPr>
        <w:t xml:space="preserve">t is </w:t>
      </w:r>
      <w:r w:rsidRPr="004B51DA">
        <w:rPr>
          <w:lang w:val="en-US"/>
        </w:rPr>
        <w:t xml:space="preserve">not </w:t>
      </w:r>
      <w:r>
        <w:rPr>
          <w:lang w:val="en-US"/>
        </w:rPr>
        <w:t xml:space="preserve">in my view </w:t>
      </w:r>
      <w:r w:rsidR="00B016FF">
        <w:rPr>
          <w:lang w:val="en-US"/>
        </w:rPr>
        <w:t xml:space="preserve">necessary or </w:t>
      </w:r>
      <w:r>
        <w:rPr>
          <w:lang w:val="en-US"/>
        </w:rPr>
        <w:t xml:space="preserve">appropriate </w:t>
      </w:r>
      <w:r w:rsidRPr="004B51DA">
        <w:rPr>
          <w:lang w:val="en-US"/>
        </w:rPr>
        <w:t xml:space="preserve">to make a </w:t>
      </w:r>
      <w:r>
        <w:rPr>
          <w:lang w:val="en-US"/>
        </w:rPr>
        <w:t xml:space="preserve">definitive </w:t>
      </w:r>
      <w:r w:rsidRPr="004B51DA">
        <w:rPr>
          <w:lang w:val="en-US"/>
        </w:rPr>
        <w:t xml:space="preserve">finding on the </w:t>
      </w:r>
      <w:r>
        <w:rPr>
          <w:lang w:val="en-US"/>
        </w:rPr>
        <w:t xml:space="preserve">implied term </w:t>
      </w:r>
      <w:r w:rsidRPr="004B51DA">
        <w:rPr>
          <w:lang w:val="en-US"/>
        </w:rPr>
        <w:t>issue</w:t>
      </w:r>
      <w:r>
        <w:rPr>
          <w:lang w:val="en-US"/>
        </w:rPr>
        <w:t xml:space="preserve"> in this application for various reasons</w:t>
      </w:r>
      <w:r w:rsidRPr="004B51DA">
        <w:rPr>
          <w:lang w:val="en-US"/>
        </w:rPr>
        <w:t xml:space="preserve">. </w:t>
      </w:r>
    </w:p>
    <w:p w14:paraId="1596866D" w14:textId="6058369F" w:rsidR="00FB6731" w:rsidRDefault="0048169C" w:rsidP="00FB6731">
      <w:pPr>
        <w:pStyle w:val="level1"/>
        <w:spacing w:after="480" w:line="360" w:lineRule="auto"/>
        <w:ind w:left="0" w:firstLine="0"/>
        <w:jc w:val="both"/>
        <w:rPr>
          <w:lang w:val="en-US"/>
        </w:rPr>
      </w:pPr>
      <w:r>
        <w:rPr>
          <w:lang w:val="en-US"/>
        </w:rPr>
        <w:t xml:space="preserve">First, </w:t>
      </w:r>
      <w:r w:rsidR="00B016FF">
        <w:rPr>
          <w:lang w:val="en-US"/>
        </w:rPr>
        <w:t>Eurozar cannot in argument stray beyond the case Sasol was called upon to meet</w:t>
      </w:r>
      <w:r w:rsidR="00FB6731">
        <w:rPr>
          <w:rStyle w:val="FootnoteReference"/>
          <w:lang w:val="en-US"/>
        </w:rPr>
        <w:footnoteReference w:id="29"/>
      </w:r>
      <w:r w:rsidR="00FB6731">
        <w:rPr>
          <w:lang w:val="en-US"/>
        </w:rPr>
        <w:t xml:space="preserve"> in its papers</w:t>
      </w:r>
      <w:r w:rsidR="00B016FF">
        <w:rPr>
          <w:lang w:val="en-US"/>
        </w:rPr>
        <w:t>.</w:t>
      </w:r>
      <w:r w:rsidR="00FB6731" w:rsidRPr="00FB6731">
        <w:rPr>
          <w:lang w:val="en-US"/>
        </w:rPr>
        <w:t xml:space="preserve"> </w:t>
      </w:r>
      <w:r w:rsidR="00FB6731">
        <w:rPr>
          <w:lang w:val="en-US"/>
        </w:rPr>
        <w:t>I agree with Sasol in Eurozar’s heads of argument and during oral argument, its case differed from the pleaded case which Sasol was called upon to meet in that the term contended for was substantially different that the one expressly pleaded and in argument, Eurozar’s case extended beyond the importation of a specified term.</w:t>
      </w:r>
      <w:r w:rsidR="00FB6731" w:rsidRPr="00523A68">
        <w:rPr>
          <w:lang w:val="en-US"/>
        </w:rPr>
        <w:t xml:space="preserve"> It is trite that in motion proceedings, the affidavits constitute both the pleadings and the </w:t>
      </w:r>
      <w:r w:rsidR="00FB6731" w:rsidRPr="00523A68">
        <w:rPr>
          <w:lang w:val="en-US"/>
        </w:rPr>
        <w:lastRenderedPageBreak/>
        <w:t>evidence</w:t>
      </w:r>
      <w:r w:rsidR="00FB6731">
        <w:rPr>
          <w:rStyle w:val="FootnoteReference"/>
          <w:lang w:val="en-US"/>
        </w:rPr>
        <w:footnoteReference w:id="30"/>
      </w:r>
      <w:r w:rsidR="00FB6731" w:rsidRPr="00523A68">
        <w:rPr>
          <w:lang w:val="en-US"/>
        </w:rPr>
        <w:t>.</w:t>
      </w:r>
      <w:r w:rsidR="00FB6731">
        <w:rPr>
          <w:lang w:val="en-US"/>
        </w:rPr>
        <w:t xml:space="preserve">  If I were to adjudicate the application on the basis advanced in oral argument and in Eurozar’s heads, Sasol would be prejudiced</w:t>
      </w:r>
      <w:r w:rsidR="002260D0">
        <w:rPr>
          <w:lang w:val="en-US"/>
        </w:rPr>
        <w:t xml:space="preserve"> as that was not the case it was called upon to meet in Eurozar’s answering affidavit.</w:t>
      </w:r>
    </w:p>
    <w:p w14:paraId="7C438284" w14:textId="5FD911BC" w:rsidR="002260D0" w:rsidRDefault="002260D0" w:rsidP="002260D0">
      <w:pPr>
        <w:pStyle w:val="level1"/>
        <w:spacing w:after="480" w:line="360" w:lineRule="auto"/>
        <w:ind w:left="0" w:firstLine="0"/>
        <w:jc w:val="both"/>
        <w:rPr>
          <w:lang w:val="en-US"/>
        </w:rPr>
      </w:pPr>
      <w:r w:rsidRPr="005B673E">
        <w:rPr>
          <w:lang w:val="en-US"/>
        </w:rPr>
        <w:t>S</w:t>
      </w:r>
      <w:r>
        <w:rPr>
          <w:lang w:val="en-US"/>
        </w:rPr>
        <w:t>econd</w:t>
      </w:r>
      <w:r w:rsidRPr="005B673E">
        <w:rPr>
          <w:lang w:val="en-US"/>
        </w:rPr>
        <w:t xml:space="preserve">, it is apposite to refer to </w:t>
      </w:r>
      <w:r w:rsidRPr="005B673E">
        <w:rPr>
          <w:i/>
          <w:lang w:val="en-US"/>
        </w:rPr>
        <w:t>South African Forestry C</w:t>
      </w:r>
      <w:r>
        <w:rPr>
          <w:i/>
          <w:lang w:val="en-US"/>
        </w:rPr>
        <w:t>ompany</w:t>
      </w:r>
      <w:r w:rsidRPr="005B673E">
        <w:rPr>
          <w:i/>
          <w:lang w:val="en-US"/>
        </w:rPr>
        <w:t xml:space="preserve"> Ltd v York Timbers Ltd</w:t>
      </w:r>
      <w:r>
        <w:rPr>
          <w:i/>
          <w:lang w:val="en-US"/>
        </w:rPr>
        <w:t>,</w:t>
      </w:r>
      <w:r>
        <w:rPr>
          <w:rStyle w:val="FootnoteReference"/>
          <w:lang w:val="en-US"/>
        </w:rPr>
        <w:footnoteReference w:id="31"/>
      </w:r>
      <w:r w:rsidRPr="005B673E">
        <w:rPr>
          <w:lang w:val="en-US"/>
        </w:rPr>
        <w:t xml:space="preserve">  </w:t>
      </w:r>
      <w:r>
        <w:rPr>
          <w:lang w:val="en-US"/>
        </w:rPr>
        <w:t>wherein the Supreme Court of Appeal held:</w:t>
      </w:r>
    </w:p>
    <w:p w14:paraId="44F2F651" w14:textId="77777777" w:rsidR="002260D0" w:rsidRPr="005B673E" w:rsidRDefault="002260D0" w:rsidP="002260D0">
      <w:pPr>
        <w:pStyle w:val="level1"/>
        <w:numPr>
          <w:ilvl w:val="0"/>
          <w:numId w:val="0"/>
        </w:numPr>
        <w:spacing w:after="480"/>
        <w:ind w:left="360"/>
        <w:jc w:val="both"/>
        <w:rPr>
          <w:i/>
          <w:sz w:val="20"/>
          <w:szCs w:val="20"/>
          <w:lang w:val="en-US"/>
        </w:rPr>
      </w:pPr>
      <w:r w:rsidRPr="005B673E">
        <w:rPr>
          <w:i/>
          <w:sz w:val="20"/>
          <w:szCs w:val="20"/>
          <w:lang w:val="en-US"/>
        </w:rPr>
        <w:t>“…unlike tacit terms, which are based on the inferred intention of the parties, implied terms are imported into contract by law from without….Once an implied term has been recognised however, it is incorporated into all contracts, if it is of general application, or into contracts of a specific class, unless it is specifically excluded by the parties….It follows, in my view, that a term cannot be implied merely because it is reasonable or to promote fairness and justice between the parties in a particular case. It can be implied only if it is considered to be good law in general. The particular parties and set of facts can serve only as catalyst in the process of legal development</w:t>
      </w:r>
      <w:r>
        <w:rPr>
          <w:i/>
          <w:sz w:val="20"/>
          <w:szCs w:val="20"/>
          <w:lang w:val="en-US"/>
        </w:rPr>
        <w:t>”.</w:t>
      </w:r>
    </w:p>
    <w:p w14:paraId="37E05EB6" w14:textId="2606EC7A" w:rsidR="002260D0" w:rsidRDefault="002260D0" w:rsidP="002260D0">
      <w:pPr>
        <w:pStyle w:val="level1"/>
        <w:spacing w:after="480" w:line="360" w:lineRule="auto"/>
        <w:ind w:left="0" w:firstLine="0"/>
        <w:jc w:val="both"/>
        <w:rPr>
          <w:i/>
          <w:lang w:val="en-US"/>
        </w:rPr>
      </w:pPr>
      <w:r>
        <w:rPr>
          <w:lang w:val="en-US"/>
        </w:rPr>
        <w:t xml:space="preserve">Considering the particular facts of this case and the circumstances under which the issue was raised and argued by Eurozar, this is not the appropriate case to determine whether good faith is to be imported into franchise agreements of this nature, an issue expressly left open by the Constitutional Court in </w:t>
      </w:r>
      <w:r w:rsidRPr="005B673E">
        <w:rPr>
          <w:i/>
          <w:lang w:val="en-US"/>
        </w:rPr>
        <w:t>Beadica</w:t>
      </w:r>
      <w:r>
        <w:rPr>
          <w:i/>
          <w:lang w:val="en-US"/>
        </w:rPr>
        <w:t xml:space="preserve"> </w:t>
      </w:r>
      <w:r w:rsidRPr="005B673E">
        <w:rPr>
          <w:i/>
          <w:lang w:val="en-US"/>
        </w:rPr>
        <w:t>231CC and Others v Trustees for the time being of the Oregon Trust</w:t>
      </w:r>
      <w:r w:rsidRPr="005B673E">
        <w:rPr>
          <w:rStyle w:val="FootnoteReference"/>
          <w:i/>
          <w:lang w:val="en-US"/>
        </w:rPr>
        <w:footnoteReference w:id="32"/>
      </w:r>
      <w:r>
        <w:rPr>
          <w:i/>
          <w:lang w:val="en-US"/>
        </w:rPr>
        <w:t xml:space="preserve">, </w:t>
      </w:r>
      <w:r w:rsidRPr="002260D0">
        <w:rPr>
          <w:lang w:val="en-US"/>
        </w:rPr>
        <w:t>as it would</w:t>
      </w:r>
      <w:r>
        <w:rPr>
          <w:i/>
          <w:lang w:val="en-US"/>
        </w:rPr>
        <w:t xml:space="preserve"> </w:t>
      </w:r>
      <w:r>
        <w:rPr>
          <w:lang w:val="en-US"/>
        </w:rPr>
        <w:t>have substantial implications for franchise agreements in the petroleum industry in general</w:t>
      </w:r>
      <w:r>
        <w:rPr>
          <w:i/>
          <w:lang w:val="en-US"/>
        </w:rPr>
        <w:t>.</w:t>
      </w:r>
      <w:r w:rsidR="0073352B">
        <w:rPr>
          <w:lang w:val="en-US"/>
        </w:rPr>
        <w:t xml:space="preserve"> It would be inimical to the interests of justice to determine such an important issue, absent it being fully and comprehensively addressed in the papers and in argument by both the parties.</w:t>
      </w:r>
    </w:p>
    <w:p w14:paraId="6027A649" w14:textId="35347923" w:rsidR="0081691F" w:rsidRDefault="0081691F" w:rsidP="00433FE0">
      <w:pPr>
        <w:pStyle w:val="level1"/>
        <w:spacing w:after="480" w:line="360" w:lineRule="auto"/>
        <w:ind w:left="0" w:firstLine="0"/>
        <w:jc w:val="both"/>
        <w:rPr>
          <w:lang w:val="en-US"/>
        </w:rPr>
      </w:pPr>
      <w:r>
        <w:rPr>
          <w:lang w:val="en-US"/>
        </w:rPr>
        <w:t>Third, i</w:t>
      </w:r>
      <w:r w:rsidR="002260D0">
        <w:rPr>
          <w:lang w:val="en-US"/>
        </w:rPr>
        <w:t xml:space="preserve">n the present circumstances, Eurozar has already referred its “unfair or unreasonable contractual practice” to arbitration under </w:t>
      </w:r>
      <w:r w:rsidR="0073352B">
        <w:rPr>
          <w:lang w:val="en-US"/>
        </w:rPr>
        <w:t xml:space="preserve">the equitable standard introduced </w:t>
      </w:r>
      <w:r w:rsidR="00433FE0">
        <w:rPr>
          <w:lang w:val="en-US"/>
        </w:rPr>
        <w:t xml:space="preserve">in the framework of the statutory arbitration mechanism under </w:t>
      </w:r>
      <w:r w:rsidR="002260D0">
        <w:rPr>
          <w:lang w:val="en-US"/>
        </w:rPr>
        <w:t>s12B of the PPA</w:t>
      </w:r>
      <w:r w:rsidR="00433FE0">
        <w:rPr>
          <w:rStyle w:val="FootnoteReference"/>
          <w:lang w:val="en-US"/>
        </w:rPr>
        <w:footnoteReference w:id="33"/>
      </w:r>
      <w:r w:rsidR="00433FE0">
        <w:rPr>
          <w:lang w:val="en-US"/>
        </w:rPr>
        <w:t>. The</w:t>
      </w:r>
      <w:r w:rsidR="002260D0">
        <w:rPr>
          <w:lang w:val="en-US"/>
        </w:rPr>
        <w:t xml:space="preserve"> arbitrator has </w:t>
      </w:r>
      <w:r w:rsidR="00433FE0">
        <w:rPr>
          <w:lang w:val="en-US"/>
        </w:rPr>
        <w:t xml:space="preserve">already </w:t>
      </w:r>
      <w:r w:rsidR="002260D0">
        <w:rPr>
          <w:lang w:val="en-US"/>
        </w:rPr>
        <w:t>made an award</w:t>
      </w:r>
      <w:r w:rsidR="0073352B">
        <w:rPr>
          <w:lang w:val="en-US"/>
        </w:rPr>
        <w:t xml:space="preserve">, </w:t>
      </w:r>
      <w:r w:rsidR="00433FE0">
        <w:rPr>
          <w:lang w:val="en-US"/>
        </w:rPr>
        <w:t>determining the reasonableness of the practice contended for</w:t>
      </w:r>
      <w:r w:rsidR="002260D0">
        <w:rPr>
          <w:lang w:val="en-US"/>
        </w:rPr>
        <w:t>.</w:t>
      </w:r>
      <w:r w:rsidR="00433FE0">
        <w:rPr>
          <w:lang w:val="en-US"/>
        </w:rPr>
        <w:t xml:space="preserve"> After a full hearing, including cross examination of all the witnesses and consideration of the correspondence which Eurozar now contends constitutes Sasol’s </w:t>
      </w:r>
      <w:r w:rsidR="00433FE0">
        <w:rPr>
          <w:lang w:val="en-US"/>
        </w:rPr>
        <w:lastRenderedPageBreak/>
        <w:t xml:space="preserve">breach of the franchise agreement, the arbitrator concluded in his award that Sasol was not unreasonable in refusing to extend the franchise agreement. In his award, the arbitrator assessed the relevant communications by Sasol. He found that they were </w:t>
      </w:r>
      <w:r w:rsidR="00433FE0" w:rsidRPr="007D4630">
        <w:rPr>
          <w:i/>
          <w:lang w:val="en-US"/>
        </w:rPr>
        <w:t>“</w:t>
      </w:r>
      <w:r w:rsidR="00433FE0">
        <w:rPr>
          <w:i/>
          <w:lang w:val="en-US"/>
        </w:rPr>
        <w:t>unsatisfactory</w:t>
      </w:r>
      <w:r w:rsidR="00433FE0" w:rsidRPr="007D4630">
        <w:rPr>
          <w:i/>
          <w:lang w:val="en-US"/>
        </w:rPr>
        <w:t xml:space="preserve"> and confusing”</w:t>
      </w:r>
      <w:r w:rsidR="00433FE0">
        <w:rPr>
          <w:lang w:val="en-US"/>
        </w:rPr>
        <w:t xml:space="preserve"> but did not find these communications to be dishonest or untrue. These are findings of fact.  Under s12B(5) the arbitration is final and binding. The grounds upon which Eurozar launched the review proceedings, will be determined in due course</w:t>
      </w:r>
      <w:r>
        <w:rPr>
          <w:lang w:val="en-US"/>
        </w:rPr>
        <w:t xml:space="preserve"> and it remains to be seen whether the arbitrator’s award will be set aside or not</w:t>
      </w:r>
      <w:r w:rsidR="00433FE0">
        <w:rPr>
          <w:lang w:val="en-US"/>
        </w:rPr>
        <w:t>. I have already stated that it is not appropriate to voice an opinion on the ultimate prospects of success</w:t>
      </w:r>
      <w:r>
        <w:rPr>
          <w:lang w:val="en-US"/>
        </w:rPr>
        <w:t xml:space="preserve"> of those proceedings.</w:t>
      </w:r>
      <w:r w:rsidR="00433FE0">
        <w:rPr>
          <w:lang w:val="en-US"/>
        </w:rPr>
        <w:t xml:space="preserve"> </w:t>
      </w:r>
    </w:p>
    <w:p w14:paraId="1300DE71" w14:textId="77777777" w:rsidR="001D7839" w:rsidRDefault="0081691F" w:rsidP="00F82090">
      <w:pPr>
        <w:pStyle w:val="level1"/>
        <w:spacing w:after="480" w:line="360" w:lineRule="auto"/>
        <w:ind w:left="0" w:firstLine="0"/>
        <w:jc w:val="both"/>
        <w:rPr>
          <w:lang w:val="en-US"/>
        </w:rPr>
      </w:pPr>
      <w:r w:rsidRPr="001D7839">
        <w:rPr>
          <w:lang w:val="en-US"/>
        </w:rPr>
        <w:t>Eurozar did not raise the issues surrounding the implied term of good faith in the proceedings before the arbitrator and it did not form part of the issues he was called upon to adjudicate. In the present application, Eurozar for the first time, sought to raise this issue but did not advance other grounds substantiating Sasol’s alleged breach of the franchise agreement. Factual findings have already been made on the issue by the arbitrator.</w:t>
      </w:r>
      <w:r w:rsidR="00C7347F" w:rsidRPr="001D7839">
        <w:rPr>
          <w:lang w:val="en-US"/>
        </w:rPr>
        <w:t xml:space="preserve"> </w:t>
      </w:r>
      <w:r w:rsidR="001D7839" w:rsidRPr="001D7839">
        <w:rPr>
          <w:lang w:val="en-US"/>
        </w:rPr>
        <w:t>Eurozar has not raised the implied term issue in the review proceedings.</w:t>
      </w:r>
      <w:r w:rsidR="001D7839">
        <w:rPr>
          <w:lang w:val="en-US"/>
        </w:rPr>
        <w:t xml:space="preserve"> </w:t>
      </w:r>
      <w:r w:rsidR="00C7347F" w:rsidRPr="001D7839">
        <w:rPr>
          <w:lang w:val="en-US"/>
        </w:rPr>
        <w:t>Eurozar cannot raise th</w:t>
      </w:r>
      <w:r w:rsidR="001D7839">
        <w:rPr>
          <w:lang w:val="en-US"/>
        </w:rPr>
        <w:t>is issue</w:t>
      </w:r>
      <w:r w:rsidR="00C7347F" w:rsidRPr="001D7839">
        <w:rPr>
          <w:lang w:val="en-US"/>
        </w:rPr>
        <w:t xml:space="preserve"> in an attempt to obtain a different outcome.</w:t>
      </w:r>
    </w:p>
    <w:p w14:paraId="651BA978" w14:textId="422B7BD9" w:rsidR="001D7839" w:rsidRDefault="001D7839" w:rsidP="001D7839">
      <w:pPr>
        <w:pStyle w:val="level1"/>
        <w:spacing w:after="480" w:line="360" w:lineRule="auto"/>
        <w:ind w:left="0" w:firstLine="0"/>
        <w:jc w:val="both"/>
        <w:rPr>
          <w:lang w:val="en-US"/>
        </w:rPr>
      </w:pPr>
      <w:r>
        <w:rPr>
          <w:lang w:val="en-US"/>
        </w:rPr>
        <w:t xml:space="preserve">Lastly, </w:t>
      </w:r>
      <w:r w:rsidRPr="006F335F">
        <w:rPr>
          <w:lang w:val="en-US"/>
        </w:rPr>
        <w:t>insofar as the issue is raised by Eurozar to bolster its prospects of success in the pending review proceedings and it is contended that the arbitrator could after a successful review direct that the cancellation of the franchise agreement be set aside and the agreement be reinstated as corrective relief</w:t>
      </w:r>
      <w:r>
        <w:rPr>
          <w:rStyle w:val="FootnoteReference"/>
          <w:lang w:val="en-US"/>
        </w:rPr>
        <w:footnoteReference w:id="34"/>
      </w:r>
      <w:r w:rsidRPr="006F335F">
        <w:rPr>
          <w:lang w:val="en-US"/>
        </w:rPr>
        <w:t>, it is not appropriate to make a finding on that issue in the present proceedings, which will be adjudicated upon in due course.</w:t>
      </w:r>
    </w:p>
    <w:p w14:paraId="05EFF367" w14:textId="30D9CA56" w:rsidR="0048169C" w:rsidRPr="00341782" w:rsidRDefault="001D7839" w:rsidP="0048169C">
      <w:pPr>
        <w:pStyle w:val="level1"/>
        <w:spacing w:after="480" w:line="360" w:lineRule="auto"/>
        <w:ind w:left="0" w:firstLine="0"/>
        <w:jc w:val="both"/>
        <w:rPr>
          <w:lang w:val="en-US"/>
        </w:rPr>
      </w:pPr>
      <w:r>
        <w:rPr>
          <w:lang w:val="en-US"/>
        </w:rPr>
        <w:t>I</w:t>
      </w:r>
      <w:r w:rsidR="0048169C" w:rsidRPr="00341782">
        <w:rPr>
          <w:lang w:val="en-US"/>
        </w:rPr>
        <w:t xml:space="preserve">t is </w:t>
      </w:r>
      <w:r>
        <w:rPr>
          <w:lang w:val="en-US"/>
        </w:rPr>
        <w:t xml:space="preserve">in any event </w:t>
      </w:r>
      <w:r w:rsidR="0048169C" w:rsidRPr="00341782">
        <w:rPr>
          <w:lang w:val="en-US"/>
        </w:rPr>
        <w:t xml:space="preserve">unclear how the importation of the implied term would assist Eurozar in resisting the eviction application. Even if the term contended for formed part of the franchise agreement, it would not apply to extend the express </w:t>
      </w:r>
      <w:r w:rsidR="0048169C">
        <w:rPr>
          <w:lang w:val="en-US"/>
        </w:rPr>
        <w:t>five</w:t>
      </w:r>
      <w:r w:rsidR="0048169C" w:rsidRPr="00341782">
        <w:rPr>
          <w:lang w:val="en-US"/>
        </w:rPr>
        <w:t xml:space="preserve"> year initial period, nor amend the </w:t>
      </w:r>
      <w:r w:rsidR="0048169C">
        <w:rPr>
          <w:lang w:val="en-US"/>
        </w:rPr>
        <w:t xml:space="preserve">express </w:t>
      </w:r>
      <w:r w:rsidR="0048169C" w:rsidRPr="00341782">
        <w:rPr>
          <w:lang w:val="en-US"/>
        </w:rPr>
        <w:t xml:space="preserve">basis on which Sasol was entitled to refuse an extension as envisaged in clause 5.3 of the franchise agreement. In its terms, the franchise agreement </w:t>
      </w:r>
      <w:r w:rsidR="0048169C" w:rsidRPr="00341782">
        <w:rPr>
          <w:lang w:val="en-US"/>
        </w:rPr>
        <w:lastRenderedPageBreak/>
        <w:t xml:space="preserve">expired on </w:t>
      </w:r>
      <w:r w:rsidR="00B016FF">
        <w:rPr>
          <w:lang w:val="en-US"/>
        </w:rPr>
        <w:t>7</w:t>
      </w:r>
      <w:r w:rsidR="0048169C" w:rsidRPr="00341782">
        <w:rPr>
          <w:lang w:val="en-US"/>
        </w:rPr>
        <w:t xml:space="preserve"> May 2021. The clause does not afford </w:t>
      </w:r>
      <w:r w:rsidR="0048169C">
        <w:rPr>
          <w:lang w:val="en-US"/>
        </w:rPr>
        <w:t>Eurozar</w:t>
      </w:r>
      <w:r w:rsidR="0048169C" w:rsidRPr="00341782">
        <w:rPr>
          <w:lang w:val="en-US"/>
        </w:rPr>
        <w:t xml:space="preserve"> the right to </w:t>
      </w:r>
      <w:r w:rsidR="0048169C">
        <w:rPr>
          <w:lang w:val="en-US"/>
        </w:rPr>
        <w:t>remain</w:t>
      </w:r>
      <w:r w:rsidR="0048169C" w:rsidRPr="00341782">
        <w:rPr>
          <w:lang w:val="en-US"/>
        </w:rPr>
        <w:t xml:space="preserve"> in the premises</w:t>
      </w:r>
      <w:r w:rsidR="00C7347F">
        <w:rPr>
          <w:lang w:val="en-US"/>
        </w:rPr>
        <w:t>, nor does it serve to extend the franchise agreement for the period contended for by Eurozar</w:t>
      </w:r>
      <w:r w:rsidR="0048169C">
        <w:rPr>
          <w:lang w:val="en-US"/>
        </w:rPr>
        <w:t>.</w:t>
      </w:r>
      <w:r w:rsidR="0048169C" w:rsidRPr="00341782">
        <w:rPr>
          <w:lang w:val="en-US"/>
        </w:rPr>
        <w:t xml:space="preserve"> </w:t>
      </w:r>
    </w:p>
    <w:p w14:paraId="2C7D974E" w14:textId="0C742CFB" w:rsidR="00C7347F" w:rsidRPr="0081691F" w:rsidRDefault="00C7347F" w:rsidP="00C7347F">
      <w:pPr>
        <w:pStyle w:val="level1"/>
        <w:spacing w:after="480" w:line="360" w:lineRule="auto"/>
        <w:ind w:left="0" w:firstLine="0"/>
        <w:jc w:val="both"/>
        <w:rPr>
          <w:lang w:val="en-US"/>
        </w:rPr>
      </w:pPr>
      <w:r w:rsidRPr="0081691F">
        <w:rPr>
          <w:lang w:val="en-US"/>
        </w:rPr>
        <w:t>Eurozar did not attack the validity of the franchise agreement or its terms, nor was it contended that the enforcement of the franchise agreement would be contrary to public policy. Fairness and reasonableness are not freestanding grounds which can be used to impugn the terms of a contract</w:t>
      </w:r>
      <w:r>
        <w:rPr>
          <w:rStyle w:val="FootnoteReference"/>
          <w:lang w:val="en-US"/>
        </w:rPr>
        <w:footnoteReference w:id="35"/>
      </w:r>
      <w:r w:rsidRPr="0081691F">
        <w:rPr>
          <w:lang w:val="en-US"/>
        </w:rPr>
        <w:t>.</w:t>
      </w:r>
      <w:r>
        <w:rPr>
          <w:lang w:val="en-US"/>
        </w:rPr>
        <w:t xml:space="preserve"> </w:t>
      </w:r>
      <w:r w:rsidRPr="0081691F">
        <w:rPr>
          <w:lang w:val="en-US"/>
        </w:rPr>
        <w:t>Moreover, on Eurozar’s own version, the arbitration, which deals with the fairness dispensation, did not deprive Sasol of any right to enforce it contractual rights and to approach this court under the lawfulness dispensation</w:t>
      </w:r>
      <w:r>
        <w:rPr>
          <w:rStyle w:val="FootnoteReference"/>
          <w:lang w:val="en-US"/>
        </w:rPr>
        <w:footnoteReference w:id="36"/>
      </w:r>
      <w:r w:rsidRPr="0081691F">
        <w:rPr>
          <w:lang w:val="en-US"/>
        </w:rPr>
        <w:t>.</w:t>
      </w:r>
      <w:r>
        <w:rPr>
          <w:lang w:val="en-US"/>
        </w:rPr>
        <w:t xml:space="preserve"> Eurozar </w:t>
      </w:r>
      <w:r w:rsidR="001D7839">
        <w:rPr>
          <w:lang w:val="en-US"/>
        </w:rPr>
        <w:t xml:space="preserve">in this application </w:t>
      </w:r>
      <w:r>
        <w:rPr>
          <w:lang w:val="en-US"/>
        </w:rPr>
        <w:t xml:space="preserve">sought </w:t>
      </w:r>
      <w:r w:rsidR="001D7839">
        <w:rPr>
          <w:lang w:val="en-US"/>
        </w:rPr>
        <w:t xml:space="preserve">the court not </w:t>
      </w:r>
      <w:r>
        <w:rPr>
          <w:lang w:val="en-US"/>
        </w:rPr>
        <w:t>to e</w:t>
      </w:r>
      <w:r w:rsidR="001D7839">
        <w:rPr>
          <w:lang w:val="en-US"/>
        </w:rPr>
        <w:t xml:space="preserve">nforce the term requiring Eurozar to vacate the premises. </w:t>
      </w:r>
      <w:r>
        <w:rPr>
          <w:lang w:val="en-US"/>
        </w:rPr>
        <w:t xml:space="preserve"> </w:t>
      </w:r>
    </w:p>
    <w:p w14:paraId="493670BF" w14:textId="78942D9C" w:rsidR="00C7347F" w:rsidRDefault="0048169C" w:rsidP="00C7347F">
      <w:pPr>
        <w:pStyle w:val="level1"/>
        <w:spacing w:after="480" w:line="360" w:lineRule="auto"/>
        <w:ind w:left="0" w:firstLine="0"/>
        <w:jc w:val="both"/>
        <w:rPr>
          <w:lang w:val="en-US"/>
        </w:rPr>
      </w:pPr>
      <w:r w:rsidRPr="00341782">
        <w:rPr>
          <w:lang w:val="en-US"/>
        </w:rPr>
        <w:t xml:space="preserve">I agree with Sasol that a breach on its part </w:t>
      </w:r>
      <w:r>
        <w:rPr>
          <w:lang w:val="en-US"/>
        </w:rPr>
        <w:t xml:space="preserve">of the franchise agreement </w:t>
      </w:r>
      <w:r w:rsidRPr="00341782">
        <w:rPr>
          <w:lang w:val="en-US"/>
        </w:rPr>
        <w:t xml:space="preserve">would not result in the </w:t>
      </w:r>
      <w:r>
        <w:rPr>
          <w:lang w:val="en-US"/>
        </w:rPr>
        <w:t>r</w:t>
      </w:r>
      <w:r w:rsidRPr="00341782">
        <w:rPr>
          <w:lang w:val="en-US"/>
        </w:rPr>
        <w:t xml:space="preserve">etention of the </w:t>
      </w:r>
      <w:r>
        <w:rPr>
          <w:lang w:val="en-US"/>
        </w:rPr>
        <w:t xml:space="preserve">franchise </w:t>
      </w:r>
      <w:r w:rsidRPr="00341782">
        <w:rPr>
          <w:lang w:val="en-US"/>
        </w:rPr>
        <w:t>agreement</w:t>
      </w:r>
      <w:r>
        <w:rPr>
          <w:lang w:val="en-US"/>
        </w:rPr>
        <w:t xml:space="preserve"> for a three year period. A breach</w:t>
      </w:r>
      <w:r w:rsidRPr="00341782">
        <w:rPr>
          <w:lang w:val="en-US"/>
        </w:rPr>
        <w:t xml:space="preserve"> would either result in its cancellation, if the breach was not accepted or specific performance, if it was not. Clause 5.3 of the franchise agreement </w:t>
      </w:r>
      <w:r>
        <w:rPr>
          <w:lang w:val="en-US"/>
        </w:rPr>
        <w:t>envisages</w:t>
      </w:r>
      <w:r w:rsidRPr="00341782">
        <w:rPr>
          <w:lang w:val="en-US"/>
        </w:rPr>
        <w:t xml:space="preserve"> an extension of 5 years, not the lesser </w:t>
      </w:r>
      <w:r>
        <w:rPr>
          <w:lang w:val="en-US"/>
        </w:rPr>
        <w:t>three</w:t>
      </w:r>
      <w:r w:rsidRPr="00341782">
        <w:rPr>
          <w:lang w:val="en-US"/>
        </w:rPr>
        <w:t xml:space="preserve"> year period contended for by </w:t>
      </w:r>
      <w:r>
        <w:rPr>
          <w:lang w:val="en-US"/>
        </w:rPr>
        <w:t>Eurozar, which it is common cause is not a term of the franchise agreement</w:t>
      </w:r>
      <w:r w:rsidRPr="00341782">
        <w:rPr>
          <w:lang w:val="en-US"/>
        </w:rPr>
        <w:t>.</w:t>
      </w:r>
      <w:r>
        <w:rPr>
          <w:lang w:val="en-US"/>
        </w:rPr>
        <w:t xml:space="preserve"> The franchise agreement was not amended and contains a non- variation clause, requiring any amendments to be in writing.</w:t>
      </w:r>
      <w:r w:rsidR="00C7347F" w:rsidRPr="00C7347F">
        <w:rPr>
          <w:lang w:val="en-US"/>
        </w:rPr>
        <w:t xml:space="preserve"> </w:t>
      </w:r>
      <w:r w:rsidR="00C7347F">
        <w:rPr>
          <w:lang w:val="en-US"/>
        </w:rPr>
        <w:t xml:space="preserve">On the papers in this application, it cannot be concluded that </w:t>
      </w:r>
      <w:r w:rsidR="001D7839">
        <w:rPr>
          <w:lang w:val="en-US"/>
        </w:rPr>
        <w:t>Eurozar has established any entitlement to remain in occupation of the premises</w:t>
      </w:r>
      <w:r w:rsidR="00C7347F">
        <w:rPr>
          <w:lang w:val="en-US"/>
        </w:rPr>
        <w:t xml:space="preserve">. </w:t>
      </w:r>
      <w:r w:rsidR="00837C84">
        <w:rPr>
          <w:lang w:val="en-US"/>
        </w:rPr>
        <w:t>On the facts set out in this application, it can further not be concluded that Sasol breached the franchise agreement as alleged.</w:t>
      </w:r>
    </w:p>
    <w:p w14:paraId="45D14877" w14:textId="5457E107" w:rsidR="0048169C" w:rsidRDefault="0048169C" w:rsidP="0048169C">
      <w:pPr>
        <w:pStyle w:val="level1"/>
        <w:spacing w:after="480" w:line="360" w:lineRule="auto"/>
        <w:ind w:left="0" w:firstLine="0"/>
        <w:jc w:val="both"/>
        <w:rPr>
          <w:lang w:val="en-US"/>
        </w:rPr>
      </w:pPr>
      <w:r>
        <w:rPr>
          <w:lang w:val="en-US"/>
        </w:rPr>
        <w:t xml:space="preserve">The franchise agreement in its terms contemplates and requires Eurozar to vacate at the end of the agreement. </w:t>
      </w:r>
      <w:r w:rsidR="00837C84">
        <w:rPr>
          <w:lang w:val="en-US"/>
        </w:rPr>
        <w:t xml:space="preserve">It is common cause that the franchise agreement terminated </w:t>
      </w:r>
      <w:r w:rsidR="00837C84">
        <w:rPr>
          <w:lang w:val="en-US"/>
        </w:rPr>
        <w:lastRenderedPageBreak/>
        <w:t xml:space="preserve">by effluxion of time on 7 May 2021. Eurozar has no other basis to claim an entitlement to remain in occupation of the premises. </w:t>
      </w:r>
    </w:p>
    <w:p w14:paraId="7F1C175C" w14:textId="77777777" w:rsidR="00837C84" w:rsidRDefault="00837C84" w:rsidP="0048169C">
      <w:pPr>
        <w:pStyle w:val="level1"/>
        <w:spacing w:after="480" w:line="360" w:lineRule="auto"/>
        <w:ind w:left="0" w:firstLine="0"/>
        <w:jc w:val="both"/>
        <w:rPr>
          <w:lang w:val="en-US"/>
        </w:rPr>
      </w:pPr>
      <w:r>
        <w:rPr>
          <w:lang w:val="en-US"/>
        </w:rPr>
        <w:t>On</w:t>
      </w:r>
      <w:r w:rsidR="0048169C">
        <w:rPr>
          <w:lang w:val="en-US"/>
        </w:rPr>
        <w:t xml:space="preserve"> a conspectus of the facts, I conclude that Eurozar has not established a valid defense to the eviction application. On the undisputed facts, Eurozar had only been entitled to occupation of the premises by virtue of the he franchise agreement and the interim arrangement in place pending the arbitrator’s award. The franchise agreement terminated by effluxion of time on 7 May 2021 and the interim arrangement on 22 November 2021 when the arbitrator’s award was delivered. After that date, Eurozar has no right to remain in occupation of the premises. Despite a demand to vacate the premises, Eurozar has refused to do so.</w:t>
      </w:r>
    </w:p>
    <w:p w14:paraId="0BFAED1D" w14:textId="5595EE0E" w:rsidR="0048169C" w:rsidRDefault="00837C84" w:rsidP="0048169C">
      <w:pPr>
        <w:pStyle w:val="level1"/>
        <w:spacing w:after="480" w:line="360" w:lineRule="auto"/>
        <w:ind w:left="0" w:firstLine="0"/>
        <w:jc w:val="both"/>
        <w:rPr>
          <w:lang w:val="en-US"/>
        </w:rPr>
      </w:pPr>
      <w:r>
        <w:rPr>
          <w:lang w:val="en-US"/>
        </w:rPr>
        <w:t xml:space="preserve">It follows that the application must succeed. </w:t>
      </w:r>
      <w:r w:rsidR="0048169C">
        <w:rPr>
          <w:lang w:val="en-US"/>
        </w:rPr>
        <w:t xml:space="preserve"> </w:t>
      </w:r>
    </w:p>
    <w:p w14:paraId="35A73642" w14:textId="0FB5477F" w:rsidR="00465A78" w:rsidRPr="003B2ED2" w:rsidRDefault="00465A78" w:rsidP="0073352B">
      <w:pPr>
        <w:pStyle w:val="level1"/>
        <w:numPr>
          <w:ilvl w:val="0"/>
          <w:numId w:val="0"/>
        </w:numPr>
        <w:spacing w:after="480" w:line="360" w:lineRule="auto"/>
        <w:jc w:val="both"/>
        <w:rPr>
          <w:lang w:val="en-US"/>
        </w:rPr>
      </w:pPr>
      <w:r w:rsidRPr="003B2ED2">
        <w:rPr>
          <w:lang w:val="en-US"/>
        </w:rPr>
        <w:t xml:space="preserve">Joinder of second, third and fourth respondents </w:t>
      </w:r>
    </w:p>
    <w:p w14:paraId="118C1CAC" w14:textId="6414BDFA" w:rsidR="00E92556" w:rsidRDefault="00E92556" w:rsidP="000B5A36">
      <w:pPr>
        <w:pStyle w:val="level1"/>
        <w:spacing w:after="480" w:line="360" w:lineRule="auto"/>
        <w:ind w:left="0" w:firstLine="0"/>
        <w:jc w:val="both"/>
        <w:rPr>
          <w:lang w:val="en-US"/>
        </w:rPr>
      </w:pPr>
      <w:r>
        <w:rPr>
          <w:lang w:val="en-US"/>
        </w:rPr>
        <w:t xml:space="preserve">Before considering costs, it is apposite to consider the respondents’ objection against the joinder of the second to fourth respondents in the proceedings. This issue was </w:t>
      </w:r>
      <w:r w:rsidR="003B2ED2">
        <w:rPr>
          <w:lang w:val="en-US"/>
        </w:rPr>
        <w:t xml:space="preserve">raised </w:t>
      </w:r>
      <w:r w:rsidR="005B3B85">
        <w:rPr>
          <w:lang w:val="en-US"/>
        </w:rPr>
        <w:t xml:space="preserve">to </w:t>
      </w:r>
      <w:r>
        <w:rPr>
          <w:lang w:val="en-US"/>
        </w:rPr>
        <w:t>support the argument that those respondents should not form part of the eviction order or be held liable for costs.</w:t>
      </w:r>
      <w:r w:rsidR="00691B06">
        <w:rPr>
          <w:lang w:val="en-US"/>
        </w:rPr>
        <w:t xml:space="preserve"> </w:t>
      </w:r>
      <w:r w:rsidR="00837C84">
        <w:rPr>
          <w:lang w:val="en-US"/>
        </w:rPr>
        <w:t>O</w:t>
      </w:r>
      <w:r w:rsidR="00691B06">
        <w:rPr>
          <w:lang w:val="en-US"/>
        </w:rPr>
        <w:t>bject</w:t>
      </w:r>
      <w:r w:rsidR="005B3B85">
        <w:rPr>
          <w:lang w:val="en-US"/>
        </w:rPr>
        <w:t>i</w:t>
      </w:r>
      <w:r w:rsidR="00691B06">
        <w:rPr>
          <w:lang w:val="en-US"/>
        </w:rPr>
        <w:t xml:space="preserve">on was taken against Sasol’s attempt to </w:t>
      </w:r>
      <w:r w:rsidR="00837C84">
        <w:rPr>
          <w:lang w:val="en-US"/>
        </w:rPr>
        <w:t>“</w:t>
      </w:r>
      <w:r w:rsidR="00691B06">
        <w:rPr>
          <w:lang w:val="en-US"/>
        </w:rPr>
        <w:t>pierce the corporate veil</w:t>
      </w:r>
      <w:r w:rsidR="00837C84">
        <w:rPr>
          <w:lang w:val="en-US"/>
        </w:rPr>
        <w:t>”</w:t>
      </w:r>
      <w:r w:rsidR="00691B06">
        <w:rPr>
          <w:lang w:val="en-US"/>
        </w:rPr>
        <w:t xml:space="preserve"> </w:t>
      </w:r>
      <w:r w:rsidR="00837C84">
        <w:rPr>
          <w:lang w:val="en-US"/>
        </w:rPr>
        <w:t xml:space="preserve">to obtain an order against the second and third respondents, </w:t>
      </w:r>
      <w:r w:rsidR="00691B06">
        <w:rPr>
          <w:lang w:val="en-US"/>
        </w:rPr>
        <w:t>absent a formal application.</w:t>
      </w:r>
      <w:r w:rsidR="005B3B85">
        <w:rPr>
          <w:lang w:val="en-US"/>
        </w:rPr>
        <w:t xml:space="preserve"> </w:t>
      </w:r>
      <w:r w:rsidR="00837C84">
        <w:rPr>
          <w:lang w:val="en-US"/>
        </w:rPr>
        <w:t>The second to fourth respondents did not claim any entitlement to occupy the premises and denied that they occupied it.  In my view, Eurozar’s arguments do not pass muster, considering the undisputed facts.</w:t>
      </w:r>
    </w:p>
    <w:p w14:paraId="5DA5AB9E" w14:textId="77777777" w:rsidR="008B6C09" w:rsidRDefault="00837C84" w:rsidP="000B5A36">
      <w:pPr>
        <w:pStyle w:val="level1"/>
        <w:spacing w:after="480" w:line="360" w:lineRule="auto"/>
        <w:ind w:left="0" w:firstLine="0"/>
        <w:jc w:val="both"/>
        <w:rPr>
          <w:lang w:val="en-US"/>
        </w:rPr>
      </w:pPr>
      <w:r>
        <w:rPr>
          <w:lang w:val="en-US"/>
        </w:rPr>
        <w:t xml:space="preserve">It was undisputed that </w:t>
      </w:r>
      <w:r w:rsidR="00E26491">
        <w:rPr>
          <w:lang w:val="en-US"/>
        </w:rPr>
        <w:t xml:space="preserve">the second and third respondents </w:t>
      </w:r>
      <w:r w:rsidR="00E92556">
        <w:rPr>
          <w:lang w:val="en-US"/>
        </w:rPr>
        <w:t>are the sole guiding minds</w:t>
      </w:r>
      <w:r w:rsidR="00E16A71">
        <w:rPr>
          <w:lang w:val="en-US"/>
        </w:rPr>
        <w:t xml:space="preserve"> and in control</w:t>
      </w:r>
      <w:r w:rsidR="00E92556">
        <w:rPr>
          <w:lang w:val="en-US"/>
        </w:rPr>
        <w:t xml:space="preserve"> of both Eurozar and SandtonFuel. </w:t>
      </w:r>
      <w:r w:rsidR="00E16A71">
        <w:rPr>
          <w:lang w:val="en-US"/>
        </w:rPr>
        <w:t xml:space="preserve">They are the individuals who embarked on the course of conduct </w:t>
      </w:r>
      <w:r w:rsidR="000261FC">
        <w:rPr>
          <w:lang w:val="en-US"/>
        </w:rPr>
        <w:t>set out in the application papers and in this judgment.</w:t>
      </w:r>
      <w:r w:rsidR="008B6C09">
        <w:rPr>
          <w:lang w:val="en-US"/>
        </w:rPr>
        <w:t xml:space="preserve"> They are also the individuals who expressly refused to vacate the premises at the proposed site hand over on 29 November 2021.</w:t>
      </w:r>
    </w:p>
    <w:p w14:paraId="35E104A9" w14:textId="0A002A7D" w:rsidR="008B6C09" w:rsidRPr="008B6C09" w:rsidRDefault="000261FC" w:rsidP="00D35ED7">
      <w:pPr>
        <w:pStyle w:val="level1"/>
        <w:spacing w:after="480" w:line="360" w:lineRule="auto"/>
        <w:ind w:left="0" w:firstLine="0"/>
        <w:jc w:val="both"/>
        <w:rPr>
          <w:lang w:val="en-US"/>
        </w:rPr>
      </w:pPr>
      <w:r w:rsidRPr="008B6C09">
        <w:rPr>
          <w:lang w:val="en-US"/>
        </w:rPr>
        <w:lastRenderedPageBreak/>
        <w:t xml:space="preserve">SandtonFuel </w:t>
      </w:r>
      <w:r w:rsidR="00E92556" w:rsidRPr="008B6C09">
        <w:rPr>
          <w:lang w:val="en-US"/>
        </w:rPr>
        <w:t xml:space="preserve">was </w:t>
      </w:r>
      <w:r w:rsidR="00E44FBF" w:rsidRPr="008B6C09">
        <w:rPr>
          <w:lang w:val="en-US"/>
        </w:rPr>
        <w:t>registered on 31</w:t>
      </w:r>
      <w:r w:rsidR="00E92556" w:rsidRPr="008B6C09">
        <w:rPr>
          <w:lang w:val="en-US"/>
        </w:rPr>
        <w:t xml:space="preserve"> July 2020</w:t>
      </w:r>
      <w:r w:rsidRPr="008B6C09">
        <w:rPr>
          <w:lang w:val="en-US"/>
        </w:rPr>
        <w:t>,</w:t>
      </w:r>
      <w:r w:rsidR="00E16A71" w:rsidRPr="008B6C09">
        <w:rPr>
          <w:lang w:val="en-US"/>
        </w:rPr>
        <w:t xml:space="preserve"> according to the respondents</w:t>
      </w:r>
      <w:r w:rsidRPr="008B6C09">
        <w:rPr>
          <w:lang w:val="en-US"/>
        </w:rPr>
        <w:t>,</w:t>
      </w:r>
      <w:r w:rsidR="00E16A71" w:rsidRPr="008B6C09">
        <w:rPr>
          <w:lang w:val="en-US"/>
        </w:rPr>
        <w:t xml:space="preserve"> to operate an independent Uber Eats business</w:t>
      </w:r>
      <w:r w:rsidRPr="008B6C09">
        <w:rPr>
          <w:lang w:val="en-US"/>
        </w:rPr>
        <w:t xml:space="preserve"> from</w:t>
      </w:r>
      <w:r w:rsidR="00E16A71" w:rsidRPr="008B6C09">
        <w:rPr>
          <w:lang w:val="en-US"/>
        </w:rPr>
        <w:t xml:space="preserve"> business premises situate</w:t>
      </w:r>
      <w:r w:rsidR="00BA071E">
        <w:rPr>
          <w:lang w:val="en-US"/>
        </w:rPr>
        <w:t>d at</w:t>
      </w:r>
      <w:r w:rsidR="00E16A71" w:rsidRPr="008B6C09">
        <w:rPr>
          <w:lang w:val="en-US"/>
        </w:rPr>
        <w:t xml:space="preserve"> Melrose </w:t>
      </w:r>
      <w:r w:rsidRPr="008B6C09">
        <w:rPr>
          <w:lang w:val="en-US"/>
        </w:rPr>
        <w:t>A</w:t>
      </w:r>
      <w:r w:rsidR="00E16A71" w:rsidRPr="008B6C09">
        <w:rPr>
          <w:lang w:val="en-US"/>
        </w:rPr>
        <w:t>rch.</w:t>
      </w:r>
      <w:r w:rsidR="008B6C09">
        <w:rPr>
          <w:lang w:val="en-US"/>
        </w:rPr>
        <w:t xml:space="preserve"> </w:t>
      </w:r>
      <w:r w:rsidR="006F0B9E">
        <w:rPr>
          <w:lang w:val="en-US"/>
        </w:rPr>
        <w:t>The</w:t>
      </w:r>
      <w:r w:rsidRPr="008B6C09">
        <w:rPr>
          <w:lang w:val="en-US"/>
        </w:rPr>
        <w:t xml:space="preserve"> Uber Eats </w:t>
      </w:r>
      <w:r w:rsidR="00E44FBF" w:rsidRPr="008B6C09">
        <w:rPr>
          <w:lang w:val="en-US"/>
        </w:rPr>
        <w:t xml:space="preserve">website </w:t>
      </w:r>
      <w:r w:rsidRPr="008B6C09">
        <w:rPr>
          <w:lang w:val="en-US"/>
        </w:rPr>
        <w:t xml:space="preserve">however </w:t>
      </w:r>
      <w:r w:rsidR="00E44FBF" w:rsidRPr="008B6C09">
        <w:rPr>
          <w:lang w:val="en-US"/>
        </w:rPr>
        <w:t xml:space="preserve">advertises the premises as “a SandtonFuel delivery centre”. </w:t>
      </w:r>
      <w:r w:rsidR="008B6C09" w:rsidRPr="008B6C09">
        <w:rPr>
          <w:lang w:val="en-US"/>
        </w:rPr>
        <w:t xml:space="preserve">It was undisputed that in the period between the delivery of the founding papers and the replying affidavits, the premises’ address at </w:t>
      </w:r>
      <w:r w:rsidR="00245ACC">
        <w:rPr>
          <w:lang w:val="en-US"/>
        </w:rPr>
        <w:t>“</w:t>
      </w:r>
      <w:r w:rsidR="008B6C09" w:rsidRPr="008B6C09">
        <w:rPr>
          <w:lang w:val="en-US"/>
        </w:rPr>
        <w:t xml:space="preserve">374 Rivonia </w:t>
      </w:r>
      <w:r w:rsidR="00245ACC">
        <w:rPr>
          <w:lang w:val="en-US"/>
        </w:rPr>
        <w:t>Rd</w:t>
      </w:r>
      <w:r w:rsidR="00245ACC">
        <w:rPr>
          <w:rStyle w:val="FootnoteReference"/>
          <w:lang w:val="en-US"/>
        </w:rPr>
        <w:footnoteReference w:id="37"/>
      </w:r>
      <w:r w:rsidR="00245ACC">
        <w:rPr>
          <w:lang w:val="en-US"/>
        </w:rPr>
        <w:t>”</w:t>
      </w:r>
      <w:r w:rsidR="008B6C09" w:rsidRPr="008B6C09">
        <w:rPr>
          <w:lang w:val="en-US"/>
        </w:rPr>
        <w:t xml:space="preserve"> was removed from the </w:t>
      </w:r>
      <w:r w:rsidR="006F0B9E">
        <w:rPr>
          <w:lang w:val="en-US"/>
        </w:rPr>
        <w:t>Uber Eats website</w:t>
      </w:r>
      <w:r w:rsidR="008B6C09" w:rsidRPr="008B6C09">
        <w:rPr>
          <w:lang w:val="en-US"/>
        </w:rPr>
        <w:t xml:space="preserve">, although </w:t>
      </w:r>
      <w:r w:rsidR="008B6C09">
        <w:rPr>
          <w:lang w:val="en-US"/>
        </w:rPr>
        <w:t>“</w:t>
      </w:r>
      <w:r w:rsidR="008B6C09" w:rsidRPr="008B6C09">
        <w:rPr>
          <w:lang w:val="en-US"/>
        </w:rPr>
        <w:t>Rivonia Sandton</w:t>
      </w:r>
      <w:r w:rsidR="008B6C09">
        <w:rPr>
          <w:lang w:val="en-US"/>
        </w:rPr>
        <w:t>”</w:t>
      </w:r>
      <w:r w:rsidR="008B6C09" w:rsidRPr="008B6C09">
        <w:rPr>
          <w:lang w:val="en-US"/>
        </w:rPr>
        <w:t xml:space="preserve">, remained listed as a </w:t>
      </w:r>
      <w:r w:rsidR="008B6C09">
        <w:rPr>
          <w:lang w:val="en-US"/>
        </w:rPr>
        <w:t>collection</w:t>
      </w:r>
      <w:r w:rsidR="008B6C09" w:rsidRPr="008B6C09">
        <w:rPr>
          <w:lang w:val="en-US"/>
        </w:rPr>
        <w:t xml:space="preserve"> point. I agree with Sasol that this conduct does not bear scrutiny and smacks of dishonesty. </w:t>
      </w:r>
      <w:r w:rsidR="006F0B9E">
        <w:rPr>
          <w:lang w:val="en-US"/>
        </w:rPr>
        <w:t>It was further not disputed on the papers that an Uber Eats business was conducted from the premises from as early as March 2020 and that substantial income has been generated thereby which has not been accounted for to Sasol. It is not necessary for present purposes to determine whether at that time and prior to December 2021, such business was conducted by Eurozar o</w:t>
      </w:r>
      <w:r w:rsidR="00BA071E">
        <w:rPr>
          <w:lang w:val="en-US"/>
        </w:rPr>
        <w:t>r</w:t>
      </w:r>
      <w:r w:rsidR="006F0B9E">
        <w:rPr>
          <w:lang w:val="en-US"/>
        </w:rPr>
        <w:t xml:space="preserve"> SandtonFuel. </w:t>
      </w:r>
    </w:p>
    <w:p w14:paraId="25A00A60" w14:textId="4CB652FB" w:rsidR="00451199" w:rsidRDefault="008B6C09" w:rsidP="008B6C09">
      <w:pPr>
        <w:pStyle w:val="level1"/>
        <w:spacing w:after="480" w:line="360" w:lineRule="auto"/>
        <w:ind w:left="0" w:firstLine="0"/>
        <w:jc w:val="both"/>
        <w:rPr>
          <w:lang w:val="en-US"/>
        </w:rPr>
      </w:pPr>
      <w:r w:rsidRPr="005B3B85">
        <w:rPr>
          <w:lang w:val="en-US"/>
        </w:rPr>
        <w:t xml:space="preserve">The respondents’ version on this issue is replete with bald denials, evasive responses and does not meaningfully grapple with the </w:t>
      </w:r>
      <w:r>
        <w:rPr>
          <w:lang w:val="en-US"/>
        </w:rPr>
        <w:t xml:space="preserve">detailed factual averments and </w:t>
      </w:r>
      <w:r w:rsidRPr="005B3B85">
        <w:rPr>
          <w:lang w:val="en-US"/>
        </w:rPr>
        <w:t>matters of substance raised by Sasol, which evidences the premises being used as a collection point for Uber Eats. It is baldly denied that SandtonFuel occupies the site but no clarity is provided as to who is operating the Uber Eats business. The bald allegation that SandtonFuel has premises in Melrose and thus did not exercise any requisites for possession is insufficient</w:t>
      </w:r>
      <w:r w:rsidR="00451199">
        <w:rPr>
          <w:lang w:val="en-US"/>
        </w:rPr>
        <w:t xml:space="preserve"> and does not meaningfully grapple with Sasol’s detailed version</w:t>
      </w:r>
      <w:r w:rsidRPr="005B3B85">
        <w:rPr>
          <w:lang w:val="en-US"/>
        </w:rPr>
        <w:t xml:space="preserve">. </w:t>
      </w:r>
    </w:p>
    <w:p w14:paraId="60FC5791" w14:textId="675380C9" w:rsidR="00451199" w:rsidRDefault="00451199" w:rsidP="008B6C09">
      <w:pPr>
        <w:pStyle w:val="level1"/>
        <w:spacing w:after="480" w:line="360" w:lineRule="auto"/>
        <w:ind w:left="0" w:firstLine="0"/>
        <w:jc w:val="both"/>
        <w:rPr>
          <w:lang w:val="en-US"/>
        </w:rPr>
      </w:pPr>
      <w:r>
        <w:rPr>
          <w:lang w:val="en-US"/>
        </w:rPr>
        <w:t>Applying the relevant principles</w:t>
      </w:r>
      <w:r>
        <w:rPr>
          <w:rStyle w:val="FootnoteReference"/>
          <w:lang w:val="en-US"/>
        </w:rPr>
        <w:footnoteReference w:id="38"/>
      </w:r>
      <w:r>
        <w:rPr>
          <w:lang w:val="en-US"/>
        </w:rPr>
        <w:t xml:space="preserve">, the respondent’s version </w:t>
      </w:r>
      <w:r w:rsidR="008B6C09" w:rsidRPr="005B3B85">
        <w:rPr>
          <w:lang w:val="en-US"/>
        </w:rPr>
        <w:t>can in my view be rejected on the papers as palpably false or untenable and no bona fide disputes of fact exist on this issue</w:t>
      </w:r>
      <w:r w:rsidR="008B6C09">
        <w:rPr>
          <w:rStyle w:val="FootnoteReference"/>
          <w:lang w:val="en-US"/>
        </w:rPr>
        <w:footnoteReference w:id="39"/>
      </w:r>
      <w:r w:rsidR="008B6C09" w:rsidRPr="005B3B85">
        <w:rPr>
          <w:lang w:val="en-US"/>
        </w:rPr>
        <w:t xml:space="preserve">. </w:t>
      </w:r>
    </w:p>
    <w:p w14:paraId="390C1176" w14:textId="0A977D44" w:rsidR="00691B06" w:rsidRPr="00451199" w:rsidRDefault="008B6C09" w:rsidP="00BD54D7">
      <w:pPr>
        <w:pStyle w:val="level1"/>
        <w:spacing w:after="480" w:line="360" w:lineRule="auto"/>
        <w:ind w:left="0" w:firstLine="0"/>
        <w:jc w:val="both"/>
        <w:rPr>
          <w:lang w:val="en-US"/>
        </w:rPr>
      </w:pPr>
      <w:r w:rsidRPr="00451199">
        <w:rPr>
          <w:lang w:val="en-US"/>
        </w:rPr>
        <w:t>The respondents’ argument that Sasol has not established possession of the premises by SandtonFuel</w:t>
      </w:r>
      <w:r w:rsidR="00451199" w:rsidRPr="00451199">
        <w:rPr>
          <w:lang w:val="en-US"/>
        </w:rPr>
        <w:t>,</w:t>
      </w:r>
      <w:r w:rsidRPr="00451199">
        <w:rPr>
          <w:lang w:val="en-US"/>
        </w:rPr>
        <w:t xml:space="preserve"> either in terms of the </w:t>
      </w:r>
      <w:r w:rsidRPr="00451199">
        <w:rPr>
          <w:i/>
          <w:lang w:val="en-US"/>
        </w:rPr>
        <w:t>animus</w:t>
      </w:r>
      <w:r w:rsidRPr="00451199">
        <w:rPr>
          <w:lang w:val="en-US"/>
        </w:rPr>
        <w:t xml:space="preserve"> or </w:t>
      </w:r>
      <w:r w:rsidRPr="00451199">
        <w:rPr>
          <w:i/>
          <w:lang w:val="en-US"/>
        </w:rPr>
        <w:t>detentio</w:t>
      </w:r>
      <w:r w:rsidRPr="00451199">
        <w:rPr>
          <w:lang w:val="en-US"/>
        </w:rPr>
        <w:t xml:space="preserve"> elements of </w:t>
      </w:r>
      <w:r w:rsidRPr="00451199">
        <w:rPr>
          <w:lang w:val="en-US"/>
        </w:rPr>
        <w:lastRenderedPageBreak/>
        <w:t xml:space="preserve">possession, </w:t>
      </w:r>
      <w:r w:rsidR="00451199" w:rsidRPr="00451199">
        <w:rPr>
          <w:lang w:val="en-US"/>
        </w:rPr>
        <w:t xml:space="preserve">also </w:t>
      </w:r>
      <w:r w:rsidRPr="00451199">
        <w:rPr>
          <w:lang w:val="en-US"/>
        </w:rPr>
        <w:t>does not pass muster. The underlying premise of the respondents’ own assertions is that some business is carried out by SandtonFuel from the premises. It is undisputed that SandtonFuel has no entitlement to do so. On the respondents’ own version, SandonFuel was registered as a separate business to commence with an Uber Eats business</w:t>
      </w:r>
      <w:r w:rsidR="00451199" w:rsidRPr="00451199">
        <w:rPr>
          <w:lang w:val="en-US"/>
        </w:rPr>
        <w:t>, which was not obliged to account to Sasol</w:t>
      </w:r>
      <w:r w:rsidRPr="00451199">
        <w:rPr>
          <w:lang w:val="en-US"/>
        </w:rPr>
        <w:t>.</w:t>
      </w:r>
      <w:r w:rsidR="00451199" w:rsidRPr="00451199">
        <w:rPr>
          <w:lang w:val="en-US"/>
        </w:rPr>
        <w:t xml:space="preserve"> </w:t>
      </w:r>
      <w:r w:rsidR="00E92556" w:rsidRPr="00451199">
        <w:rPr>
          <w:lang w:val="en-US"/>
        </w:rPr>
        <w:t>In my view</w:t>
      </w:r>
      <w:r w:rsidR="00451199" w:rsidRPr="00451199">
        <w:rPr>
          <w:lang w:val="en-US"/>
        </w:rPr>
        <w:t>,</w:t>
      </w:r>
      <w:r w:rsidR="00E92556" w:rsidRPr="00451199">
        <w:rPr>
          <w:lang w:val="en-US"/>
        </w:rPr>
        <w:t xml:space="preserve"> Sasol has established </w:t>
      </w:r>
      <w:r w:rsidR="005B3B85" w:rsidRPr="00451199">
        <w:rPr>
          <w:lang w:val="en-US"/>
        </w:rPr>
        <w:t xml:space="preserve">on undisputed facts </w:t>
      </w:r>
      <w:r w:rsidR="00E92556" w:rsidRPr="00451199">
        <w:rPr>
          <w:lang w:val="en-US"/>
        </w:rPr>
        <w:t xml:space="preserve">that the premises </w:t>
      </w:r>
      <w:r w:rsidR="005B3B85" w:rsidRPr="00451199">
        <w:rPr>
          <w:lang w:val="en-US"/>
        </w:rPr>
        <w:t>were</w:t>
      </w:r>
      <w:r w:rsidR="00E92556" w:rsidRPr="00451199">
        <w:rPr>
          <w:lang w:val="en-US"/>
        </w:rPr>
        <w:t xml:space="preserve"> used a</w:t>
      </w:r>
      <w:r w:rsidR="00691B06" w:rsidRPr="00451199">
        <w:rPr>
          <w:lang w:val="en-US"/>
        </w:rPr>
        <w:t>s</w:t>
      </w:r>
      <w:r w:rsidR="00E92556" w:rsidRPr="00451199">
        <w:rPr>
          <w:lang w:val="en-US"/>
        </w:rPr>
        <w:t xml:space="preserve"> an Uber Eats collection point</w:t>
      </w:r>
      <w:r w:rsidR="00451199">
        <w:rPr>
          <w:lang w:val="en-US"/>
        </w:rPr>
        <w:t xml:space="preserve"> and that SandtonFuel conducted business activities from the premises</w:t>
      </w:r>
      <w:r w:rsidR="00E92556" w:rsidRPr="00451199">
        <w:rPr>
          <w:lang w:val="en-US"/>
        </w:rPr>
        <w:t xml:space="preserve">. </w:t>
      </w:r>
      <w:r w:rsidR="006F0B9E">
        <w:rPr>
          <w:lang w:val="en-US"/>
        </w:rPr>
        <w:t>Moreover, the respondents’ conduct in relation to this issue can be characterised as dishonest.</w:t>
      </w:r>
    </w:p>
    <w:p w14:paraId="01A7D62B" w14:textId="765680F6" w:rsidR="0034066C" w:rsidRDefault="0034066C" w:rsidP="000B5A36">
      <w:pPr>
        <w:pStyle w:val="level1"/>
        <w:spacing w:after="480" w:line="360" w:lineRule="auto"/>
        <w:ind w:left="0" w:firstLine="0"/>
        <w:jc w:val="both"/>
        <w:rPr>
          <w:lang w:val="en-US"/>
        </w:rPr>
      </w:pPr>
      <w:r>
        <w:rPr>
          <w:lang w:val="en-US"/>
        </w:rPr>
        <w:t>Form the undisputed facts it can be concluded that these respondents intended to retain occupation of the premises and, at least to derive some benefit from possession</w:t>
      </w:r>
      <w:r w:rsidR="009A095B">
        <w:rPr>
          <w:rStyle w:val="FootnoteReference"/>
          <w:lang w:val="en-US"/>
        </w:rPr>
        <w:footnoteReference w:id="40"/>
      </w:r>
      <w:r>
        <w:rPr>
          <w:lang w:val="en-US"/>
        </w:rPr>
        <w:t xml:space="preserve"> and exercised sufficient control </w:t>
      </w:r>
      <w:r w:rsidR="00E83D3B">
        <w:rPr>
          <w:lang w:val="en-US"/>
        </w:rPr>
        <w:t xml:space="preserve">and exploitation of the premises </w:t>
      </w:r>
      <w:r>
        <w:rPr>
          <w:lang w:val="en-US"/>
        </w:rPr>
        <w:t>to constitute the physical detention element of possession.</w:t>
      </w:r>
    </w:p>
    <w:p w14:paraId="3559E588" w14:textId="35025DB7" w:rsidR="00223347" w:rsidRDefault="00223347" w:rsidP="000B5A36">
      <w:pPr>
        <w:pStyle w:val="level1"/>
        <w:spacing w:after="480" w:line="360" w:lineRule="auto"/>
        <w:ind w:left="0" w:firstLine="0"/>
        <w:jc w:val="both"/>
        <w:rPr>
          <w:lang w:val="en-US"/>
        </w:rPr>
      </w:pPr>
      <w:r>
        <w:rPr>
          <w:lang w:val="en-US"/>
        </w:rPr>
        <w:t>Sasol’s contention</w:t>
      </w:r>
      <w:r w:rsidR="00017FDE">
        <w:rPr>
          <w:lang w:val="en-US"/>
        </w:rPr>
        <w:t xml:space="preserve"> that the intention of </w:t>
      </w:r>
      <w:r w:rsidR="006F0B9E">
        <w:rPr>
          <w:lang w:val="en-US"/>
        </w:rPr>
        <w:t>the second and third respondents</w:t>
      </w:r>
      <w:r w:rsidR="00017FDE">
        <w:rPr>
          <w:lang w:val="en-US"/>
        </w:rPr>
        <w:t xml:space="preserve">, the controlling minds of both Eurozar and SandtonFuel </w:t>
      </w:r>
      <w:r>
        <w:rPr>
          <w:lang w:val="en-US"/>
        </w:rPr>
        <w:t>wa</w:t>
      </w:r>
      <w:r w:rsidR="00017FDE">
        <w:rPr>
          <w:lang w:val="en-US"/>
        </w:rPr>
        <w:t>s to use Eurozar’s personality to remain in occupation of the premises for as lo</w:t>
      </w:r>
      <w:r w:rsidR="00BA071E">
        <w:rPr>
          <w:lang w:val="en-US"/>
        </w:rPr>
        <w:t>.</w:t>
      </w:r>
      <w:r w:rsidR="00017FDE">
        <w:rPr>
          <w:lang w:val="en-US"/>
        </w:rPr>
        <w:t>ng as possible using SandtonFuel’s personality to run the Uber Eats business and exact profits without having to pay any expenses or account for any profits</w:t>
      </w:r>
      <w:r>
        <w:rPr>
          <w:lang w:val="en-US"/>
        </w:rPr>
        <w:t xml:space="preserve">, was not cogently disputed on the facts. </w:t>
      </w:r>
    </w:p>
    <w:p w14:paraId="0BE48E35" w14:textId="2B0A0D93" w:rsidR="00E16A71" w:rsidRPr="005B3B85" w:rsidRDefault="00E16A71" w:rsidP="00E16A71">
      <w:pPr>
        <w:pStyle w:val="level1"/>
        <w:spacing w:after="480" w:line="360" w:lineRule="auto"/>
        <w:ind w:left="0" w:firstLine="0"/>
        <w:jc w:val="both"/>
        <w:rPr>
          <w:lang w:val="en-US"/>
        </w:rPr>
      </w:pPr>
      <w:r>
        <w:rPr>
          <w:lang w:val="en-US"/>
        </w:rPr>
        <w:t>For purposes of th</w:t>
      </w:r>
      <w:r w:rsidR="00245ACC">
        <w:rPr>
          <w:lang w:val="en-US"/>
        </w:rPr>
        <w:t>is</w:t>
      </w:r>
      <w:r>
        <w:rPr>
          <w:lang w:val="en-US"/>
        </w:rPr>
        <w:t xml:space="preserve"> application it is not </w:t>
      </w:r>
      <w:r w:rsidR="00245ACC">
        <w:rPr>
          <w:lang w:val="en-US"/>
        </w:rPr>
        <w:t xml:space="preserve">in my view </w:t>
      </w:r>
      <w:r>
        <w:rPr>
          <w:lang w:val="en-US"/>
        </w:rPr>
        <w:t xml:space="preserve">necessary to formally “pierce the corporate veil” as contended by the respondents. </w:t>
      </w:r>
      <w:r w:rsidR="006F0B9E">
        <w:rPr>
          <w:lang w:val="en-US"/>
        </w:rPr>
        <w:t xml:space="preserve">On the established facts and the undisputed </w:t>
      </w:r>
      <w:r w:rsidR="00245ACC">
        <w:rPr>
          <w:lang w:val="en-US"/>
        </w:rPr>
        <w:t xml:space="preserve">conduct and dishonesty </w:t>
      </w:r>
      <w:r w:rsidR="006F0B9E">
        <w:rPr>
          <w:lang w:val="en-US"/>
        </w:rPr>
        <w:t xml:space="preserve">on the part of the second and third respondents, </w:t>
      </w:r>
      <w:r w:rsidR="00245ACC">
        <w:rPr>
          <w:lang w:val="en-US"/>
        </w:rPr>
        <w:t xml:space="preserve">their joinder </w:t>
      </w:r>
      <w:r w:rsidR="006F0B9E">
        <w:rPr>
          <w:lang w:val="en-US"/>
        </w:rPr>
        <w:t>an</w:t>
      </w:r>
      <w:r w:rsidR="00245ACC">
        <w:rPr>
          <w:lang w:val="en-US"/>
        </w:rPr>
        <w:t>d an</w:t>
      </w:r>
      <w:r w:rsidR="006F0B9E">
        <w:rPr>
          <w:lang w:val="en-US"/>
        </w:rPr>
        <w:t xml:space="preserve"> adverse order </w:t>
      </w:r>
      <w:r w:rsidR="00245ACC">
        <w:rPr>
          <w:lang w:val="en-US"/>
        </w:rPr>
        <w:t>against them is justified. Moreover, eviction o</w:t>
      </w:r>
      <w:r>
        <w:rPr>
          <w:lang w:val="en-US"/>
        </w:rPr>
        <w:t xml:space="preserve">rders are regularly granted in our courts </w:t>
      </w:r>
      <w:r w:rsidR="00245ACC">
        <w:rPr>
          <w:lang w:val="en-US"/>
        </w:rPr>
        <w:t xml:space="preserve">expressly </w:t>
      </w:r>
      <w:r>
        <w:rPr>
          <w:lang w:val="en-US"/>
        </w:rPr>
        <w:t xml:space="preserve">evicting persons who hold occupation under another person or entity. </w:t>
      </w:r>
    </w:p>
    <w:p w14:paraId="418CD774" w14:textId="0D9B8AAC" w:rsidR="00E92556" w:rsidRDefault="00223347" w:rsidP="000B5A36">
      <w:pPr>
        <w:pStyle w:val="level1"/>
        <w:spacing w:after="480" w:line="360" w:lineRule="auto"/>
        <w:ind w:left="0" w:firstLine="0"/>
        <w:jc w:val="both"/>
        <w:rPr>
          <w:lang w:val="en-US"/>
        </w:rPr>
      </w:pPr>
      <w:r>
        <w:rPr>
          <w:lang w:val="en-US"/>
        </w:rPr>
        <w:lastRenderedPageBreak/>
        <w:t xml:space="preserve">I conclude that in the circumstances, </w:t>
      </w:r>
      <w:r w:rsidR="00691B06">
        <w:rPr>
          <w:lang w:val="en-US"/>
        </w:rPr>
        <w:t xml:space="preserve">the </w:t>
      </w:r>
      <w:r w:rsidR="00245ACC">
        <w:rPr>
          <w:lang w:val="en-US"/>
        </w:rPr>
        <w:t xml:space="preserve">joinder and </w:t>
      </w:r>
      <w:r w:rsidR="00691B06">
        <w:rPr>
          <w:lang w:val="en-US"/>
        </w:rPr>
        <w:t xml:space="preserve">granting of an order against </w:t>
      </w:r>
      <w:r w:rsidR="00E26491">
        <w:rPr>
          <w:lang w:val="en-US"/>
        </w:rPr>
        <w:t xml:space="preserve">SandtonFuel and against </w:t>
      </w:r>
      <w:r w:rsidR="00691B06">
        <w:rPr>
          <w:lang w:val="en-US"/>
        </w:rPr>
        <w:t xml:space="preserve">the second </w:t>
      </w:r>
      <w:r w:rsidR="00E26491">
        <w:rPr>
          <w:lang w:val="en-US"/>
        </w:rPr>
        <w:t>and third</w:t>
      </w:r>
      <w:r w:rsidR="00691B06">
        <w:rPr>
          <w:lang w:val="en-US"/>
        </w:rPr>
        <w:t xml:space="preserve"> fourth respondents</w:t>
      </w:r>
      <w:r>
        <w:rPr>
          <w:lang w:val="en-US"/>
        </w:rPr>
        <w:t xml:space="preserve"> is justified</w:t>
      </w:r>
      <w:r w:rsidR="00691B06">
        <w:rPr>
          <w:lang w:val="en-US"/>
        </w:rPr>
        <w:t xml:space="preserve">. </w:t>
      </w:r>
    </w:p>
    <w:p w14:paraId="370F6E3A" w14:textId="025AED72" w:rsidR="00337457" w:rsidRPr="00B27FCE" w:rsidRDefault="00337457" w:rsidP="000E080E">
      <w:pPr>
        <w:pStyle w:val="level1"/>
        <w:spacing w:after="480" w:line="360" w:lineRule="auto"/>
        <w:ind w:left="0" w:firstLine="0"/>
        <w:jc w:val="both"/>
        <w:rPr>
          <w:lang w:val="en-US"/>
        </w:rPr>
      </w:pPr>
      <w:r w:rsidRPr="00B27FCE">
        <w:rPr>
          <w:lang w:val="en-US"/>
        </w:rPr>
        <w:t xml:space="preserve">The normal principle is that costs follow the result. </w:t>
      </w:r>
      <w:r w:rsidR="000B5A36">
        <w:rPr>
          <w:lang w:val="en-US"/>
        </w:rPr>
        <w:t>There is no basis to deviate from this principle</w:t>
      </w:r>
      <w:r w:rsidR="003E44AC">
        <w:rPr>
          <w:lang w:val="en-US"/>
        </w:rPr>
        <w:t>.</w:t>
      </w:r>
      <w:r w:rsidR="00B27F3B">
        <w:rPr>
          <w:lang w:val="en-US"/>
        </w:rPr>
        <w:t xml:space="preserve"> </w:t>
      </w:r>
      <w:r w:rsidR="00223347">
        <w:rPr>
          <w:lang w:val="en-US"/>
        </w:rPr>
        <w:t xml:space="preserve">Considering the issues, I am persuaded </w:t>
      </w:r>
      <w:r w:rsidR="00B27F3B">
        <w:rPr>
          <w:lang w:val="en-US"/>
        </w:rPr>
        <w:t xml:space="preserve">that the employment of </w:t>
      </w:r>
      <w:r w:rsidR="00E57842">
        <w:rPr>
          <w:lang w:val="en-US"/>
        </w:rPr>
        <w:t xml:space="preserve">two </w:t>
      </w:r>
      <w:r w:rsidR="00B27F3B">
        <w:rPr>
          <w:lang w:val="en-US"/>
        </w:rPr>
        <w:t>counsel w</w:t>
      </w:r>
      <w:r w:rsidR="00245ACC">
        <w:rPr>
          <w:lang w:val="en-US"/>
        </w:rPr>
        <w:t>as</w:t>
      </w:r>
      <w:r w:rsidR="00B27F3B">
        <w:rPr>
          <w:lang w:val="en-US"/>
        </w:rPr>
        <w:t xml:space="preserve"> justified.</w:t>
      </w:r>
      <w:r w:rsidR="00450929">
        <w:rPr>
          <w:lang w:val="en-US"/>
        </w:rPr>
        <w:t xml:space="preserve"> The applicant s</w:t>
      </w:r>
      <w:r w:rsidR="00C2336E">
        <w:rPr>
          <w:lang w:val="en-US"/>
        </w:rPr>
        <w:t>ought</w:t>
      </w:r>
      <w:r w:rsidR="00450929">
        <w:rPr>
          <w:lang w:val="en-US"/>
        </w:rPr>
        <w:t xml:space="preserve"> a punitive costs order</w:t>
      </w:r>
      <w:r w:rsidR="00C2336E">
        <w:rPr>
          <w:lang w:val="en-US"/>
        </w:rPr>
        <w:t xml:space="preserve"> based on</w:t>
      </w:r>
      <w:r w:rsidR="005B3B85">
        <w:rPr>
          <w:lang w:val="en-US"/>
        </w:rPr>
        <w:t xml:space="preserve"> the conduct of the respondents</w:t>
      </w:r>
      <w:r w:rsidR="00C2336E">
        <w:rPr>
          <w:lang w:val="en-US"/>
        </w:rPr>
        <w:t xml:space="preserve">. </w:t>
      </w:r>
      <w:r w:rsidR="00245ACC">
        <w:rPr>
          <w:lang w:val="en-US"/>
        </w:rPr>
        <w:t xml:space="preserve">For reasons already advanced, </w:t>
      </w:r>
      <w:r w:rsidR="005B3B85">
        <w:rPr>
          <w:lang w:val="en-US"/>
        </w:rPr>
        <w:t xml:space="preserve">I am persuaded that such an order </w:t>
      </w:r>
      <w:r w:rsidR="00C2336E">
        <w:rPr>
          <w:lang w:val="en-US"/>
        </w:rPr>
        <w:t>should be granted.</w:t>
      </w:r>
    </w:p>
    <w:p w14:paraId="7761EEAC" w14:textId="7BF65029" w:rsidR="005214DB" w:rsidRDefault="00F92079" w:rsidP="00EA7F5D">
      <w:pPr>
        <w:pStyle w:val="level1"/>
        <w:spacing w:after="480" w:line="360" w:lineRule="auto"/>
        <w:ind w:left="0" w:firstLine="0"/>
        <w:jc w:val="both"/>
        <w:rPr>
          <w:lang w:val="en-US"/>
        </w:rPr>
      </w:pPr>
      <w:r w:rsidRPr="006D2E02">
        <w:rPr>
          <w:lang w:val="en-US"/>
        </w:rPr>
        <w:t>I</w:t>
      </w:r>
      <w:r w:rsidR="005214DB" w:rsidRPr="006D2E02">
        <w:rPr>
          <w:lang w:val="en-US"/>
        </w:rPr>
        <w:t xml:space="preserve"> </w:t>
      </w:r>
      <w:r w:rsidR="00C6576B" w:rsidRPr="006D2E02">
        <w:rPr>
          <w:lang w:val="en-US"/>
        </w:rPr>
        <w:t>grant</w:t>
      </w:r>
      <w:r w:rsidR="005214DB" w:rsidRPr="006D2E02">
        <w:rPr>
          <w:lang w:val="en-US"/>
        </w:rPr>
        <w:t xml:space="preserve"> the following order:</w:t>
      </w:r>
    </w:p>
    <w:p w14:paraId="336E2091" w14:textId="066E5FF4" w:rsidR="00E55483" w:rsidRDefault="00E55483" w:rsidP="00465A78">
      <w:pPr>
        <w:pStyle w:val="level1"/>
        <w:numPr>
          <w:ilvl w:val="0"/>
          <w:numId w:val="0"/>
        </w:numPr>
        <w:spacing w:after="480" w:line="360" w:lineRule="auto"/>
        <w:ind w:left="360"/>
        <w:jc w:val="both"/>
        <w:rPr>
          <w:lang w:val="en-US"/>
        </w:rPr>
      </w:pPr>
      <w:r>
        <w:rPr>
          <w:lang w:val="en-US"/>
        </w:rPr>
        <w:t xml:space="preserve">[1] </w:t>
      </w:r>
      <w:r w:rsidR="00465A78">
        <w:rPr>
          <w:lang w:val="en-US"/>
        </w:rPr>
        <w:t>T</w:t>
      </w:r>
      <w:r>
        <w:rPr>
          <w:lang w:val="en-US"/>
        </w:rPr>
        <w:t>he forms and service provided for in the rules of court are dispensed with and the matter is treated as urgent in terms of rule 6</w:t>
      </w:r>
      <w:r w:rsidR="00245ACC">
        <w:rPr>
          <w:lang w:val="en-US"/>
        </w:rPr>
        <w:t>(</w:t>
      </w:r>
      <w:r>
        <w:rPr>
          <w:lang w:val="en-US"/>
        </w:rPr>
        <w:t>12)(a);</w:t>
      </w:r>
    </w:p>
    <w:p w14:paraId="6BB9AE90" w14:textId="39D6F0B0" w:rsidR="00E55483" w:rsidRDefault="00E55483" w:rsidP="00465A78">
      <w:pPr>
        <w:pStyle w:val="level1"/>
        <w:numPr>
          <w:ilvl w:val="0"/>
          <w:numId w:val="0"/>
        </w:numPr>
        <w:spacing w:after="480" w:line="360" w:lineRule="auto"/>
        <w:ind w:left="360"/>
        <w:jc w:val="both"/>
        <w:rPr>
          <w:lang w:val="en-US"/>
        </w:rPr>
      </w:pPr>
      <w:r>
        <w:rPr>
          <w:lang w:val="en-US"/>
        </w:rPr>
        <w:t>[2] The first, second, third and fourth respondents (“the respondents”) and all other persons who hold occupation with or under them, are hereby evicted from the property being Erf 154 Edenberg Township, Gauteng Province, known as Sasol Rivonia Convenience Centre, 375 Rivonia Boulevard, Sandton (“the premises”);</w:t>
      </w:r>
    </w:p>
    <w:p w14:paraId="568FE477" w14:textId="13373325" w:rsidR="00E55483" w:rsidRDefault="00E55483" w:rsidP="00465A78">
      <w:pPr>
        <w:pStyle w:val="level1"/>
        <w:numPr>
          <w:ilvl w:val="0"/>
          <w:numId w:val="0"/>
        </w:numPr>
        <w:spacing w:after="480" w:line="360" w:lineRule="auto"/>
        <w:ind w:left="360"/>
        <w:jc w:val="both"/>
        <w:rPr>
          <w:lang w:val="en-US"/>
        </w:rPr>
      </w:pPr>
      <w:r>
        <w:rPr>
          <w:lang w:val="en-US"/>
        </w:rPr>
        <w:t xml:space="preserve">[3] </w:t>
      </w:r>
      <w:r w:rsidR="00C2336E">
        <w:rPr>
          <w:lang w:val="en-US"/>
        </w:rPr>
        <w:t>T</w:t>
      </w:r>
      <w:r>
        <w:rPr>
          <w:lang w:val="en-US"/>
        </w:rPr>
        <w:t>he respondents and all those who hold occupation with or under them must vacate the premises within 48 hours of service of this order;</w:t>
      </w:r>
    </w:p>
    <w:p w14:paraId="51040BC6" w14:textId="5957971B" w:rsidR="00E55483" w:rsidRDefault="00E55483" w:rsidP="00465A78">
      <w:pPr>
        <w:pStyle w:val="level1"/>
        <w:numPr>
          <w:ilvl w:val="0"/>
          <w:numId w:val="0"/>
        </w:numPr>
        <w:spacing w:after="480" w:line="360" w:lineRule="auto"/>
        <w:ind w:left="360"/>
        <w:jc w:val="both"/>
        <w:rPr>
          <w:lang w:val="en-US"/>
        </w:rPr>
      </w:pPr>
      <w:r>
        <w:rPr>
          <w:lang w:val="en-US"/>
        </w:rPr>
        <w:t>[4] In the event of the respondents or any other person failing to comply with the terms in [2] and [3] above, the Sheriff is authorized to compel compliance by evicting the respondents and all other occupants from the premises;</w:t>
      </w:r>
    </w:p>
    <w:p w14:paraId="104CC526" w14:textId="0E980915" w:rsidR="003155E7" w:rsidRDefault="00C2336E" w:rsidP="00C2336E">
      <w:pPr>
        <w:pStyle w:val="level1"/>
        <w:numPr>
          <w:ilvl w:val="0"/>
          <w:numId w:val="0"/>
        </w:numPr>
        <w:spacing w:after="480" w:line="360" w:lineRule="auto"/>
        <w:ind w:left="360"/>
        <w:jc w:val="both"/>
        <w:rPr>
          <w:lang w:val="en-US"/>
        </w:rPr>
      </w:pPr>
      <w:r>
        <w:rPr>
          <w:lang w:val="en-US"/>
        </w:rPr>
        <w:t xml:space="preserve">[5] </w:t>
      </w:r>
      <w:r w:rsidR="00D74F62">
        <w:rPr>
          <w:lang w:val="en-US"/>
        </w:rPr>
        <w:t xml:space="preserve">The first respondent’s counter application for a stay </w:t>
      </w:r>
      <w:r w:rsidR="00465A78">
        <w:rPr>
          <w:lang w:val="en-US"/>
        </w:rPr>
        <w:t xml:space="preserve">of the eviction application </w:t>
      </w:r>
      <w:r w:rsidR="00D74F62">
        <w:rPr>
          <w:lang w:val="en-US"/>
        </w:rPr>
        <w:t>is dismissed;</w:t>
      </w:r>
      <w:r w:rsidR="003155E7">
        <w:rPr>
          <w:lang w:val="en-US"/>
        </w:rPr>
        <w:t xml:space="preserve">  </w:t>
      </w:r>
    </w:p>
    <w:p w14:paraId="77552A9E" w14:textId="3D4C8AE5" w:rsidR="00E55483" w:rsidRDefault="00C2336E" w:rsidP="00C2336E">
      <w:pPr>
        <w:pStyle w:val="level1"/>
        <w:numPr>
          <w:ilvl w:val="0"/>
          <w:numId w:val="0"/>
        </w:numPr>
        <w:spacing w:after="480" w:line="360" w:lineRule="auto"/>
        <w:ind w:left="360"/>
        <w:jc w:val="both"/>
        <w:rPr>
          <w:lang w:val="en-US"/>
        </w:rPr>
      </w:pPr>
      <w:r>
        <w:rPr>
          <w:lang w:val="en-US"/>
        </w:rPr>
        <w:lastRenderedPageBreak/>
        <w:t xml:space="preserve">[6] </w:t>
      </w:r>
      <w:r w:rsidR="00E55483">
        <w:rPr>
          <w:lang w:val="en-US"/>
        </w:rPr>
        <w:t xml:space="preserve">The respondents are directed to pay the costs on the </w:t>
      </w:r>
      <w:r w:rsidR="00245ACC">
        <w:rPr>
          <w:lang w:val="en-US"/>
        </w:rPr>
        <w:t xml:space="preserve">scale as between </w:t>
      </w:r>
      <w:r w:rsidR="00E55483">
        <w:rPr>
          <w:lang w:val="en-US"/>
        </w:rPr>
        <w:t xml:space="preserve">attorney and client, jointly and severally, including the costs of two counsel where </w:t>
      </w:r>
      <w:r w:rsidR="00245ACC">
        <w:rPr>
          <w:lang w:val="en-US"/>
        </w:rPr>
        <w:t xml:space="preserve">so </w:t>
      </w:r>
      <w:r w:rsidR="00E55483">
        <w:rPr>
          <w:lang w:val="en-US"/>
        </w:rPr>
        <w:t>employed</w:t>
      </w:r>
      <w:r w:rsidR="00245ACC">
        <w:rPr>
          <w:lang w:val="en-US"/>
        </w:rPr>
        <w:t>.</w:t>
      </w:r>
      <w:r w:rsidR="00E55483">
        <w:rPr>
          <w:lang w:val="en-US"/>
        </w:rPr>
        <w:t xml:space="preserve">  </w:t>
      </w:r>
    </w:p>
    <w:p w14:paraId="45DCE6FF" w14:textId="27A3853A" w:rsidR="00F3360E" w:rsidRDefault="00F3360E" w:rsidP="008F3943">
      <w:pPr>
        <w:pStyle w:val="level1"/>
        <w:numPr>
          <w:ilvl w:val="0"/>
          <w:numId w:val="0"/>
        </w:numPr>
        <w:spacing w:after="480" w:line="360" w:lineRule="auto"/>
        <w:ind w:left="360" w:firstLine="360"/>
        <w:jc w:val="both"/>
        <w:rPr>
          <w:lang w:val="en-US"/>
        </w:rPr>
      </w:pPr>
    </w:p>
    <w:p w14:paraId="473ADAB6" w14:textId="77777777" w:rsidR="00F71F65" w:rsidRDefault="00F71F65" w:rsidP="008F3943">
      <w:pPr>
        <w:pStyle w:val="level1"/>
        <w:numPr>
          <w:ilvl w:val="0"/>
          <w:numId w:val="0"/>
        </w:numPr>
        <w:spacing w:after="480" w:line="360" w:lineRule="auto"/>
        <w:ind w:left="360" w:firstLine="360"/>
        <w:jc w:val="both"/>
        <w:rPr>
          <w:lang w:val="en-US"/>
        </w:rPr>
      </w:pPr>
    </w:p>
    <w:p w14:paraId="20992EF4" w14:textId="0B89835F" w:rsidR="00831EA8" w:rsidRDefault="00831EA8" w:rsidP="00831EA8">
      <w:pPr>
        <w:spacing w:line="360" w:lineRule="auto"/>
        <w:ind w:left="2880" w:firstLine="720"/>
      </w:pPr>
      <w:r>
        <w:tab/>
        <w:t>_____________________________________</w:t>
      </w:r>
    </w:p>
    <w:p w14:paraId="2FAB0AE7" w14:textId="34FD47C1" w:rsidR="00831EA8" w:rsidRDefault="00A97BD6" w:rsidP="00831EA8">
      <w:pPr>
        <w:ind w:left="4395"/>
        <w:rPr>
          <w:b/>
        </w:rPr>
      </w:pPr>
      <w:r>
        <w:rPr>
          <w:b/>
        </w:rPr>
        <w:t>E</w:t>
      </w:r>
      <w:r w:rsidR="00831EA8">
        <w:rPr>
          <w:b/>
        </w:rPr>
        <w:t>F DIPPENAAR</w:t>
      </w:r>
      <w:r w:rsidR="00831EA8">
        <w:t xml:space="preserve">                        </w:t>
      </w:r>
    </w:p>
    <w:p w14:paraId="4FCE059A" w14:textId="77777777" w:rsidR="00831EA8" w:rsidRPr="00FB1B0A" w:rsidRDefault="00831EA8" w:rsidP="00831EA8">
      <w:pPr>
        <w:ind w:left="4395"/>
        <w:rPr>
          <w:b/>
        </w:rPr>
      </w:pPr>
      <w:r>
        <w:rPr>
          <w:b/>
        </w:rPr>
        <w:t xml:space="preserve">JUDGE OF THE HIGH COURT </w:t>
      </w:r>
      <w:smartTag w:uri="urn:schemas-microsoft-com:office:smarttags" w:element="place">
        <w:smartTag w:uri="urn:schemas-microsoft-com:office:smarttags" w:element="City">
          <w:r>
            <w:rPr>
              <w:b/>
            </w:rPr>
            <w:t>JOHANNESBURG</w:t>
          </w:r>
        </w:smartTag>
      </w:smartTag>
    </w:p>
    <w:p w14:paraId="6E394BEF" w14:textId="77777777" w:rsidR="007760C4" w:rsidRDefault="007760C4" w:rsidP="00227344">
      <w:pPr>
        <w:rPr>
          <w:b/>
          <w:u w:val="single"/>
        </w:rPr>
      </w:pPr>
    </w:p>
    <w:p w14:paraId="4F64579D" w14:textId="6A8E3FFA" w:rsidR="00227344" w:rsidRPr="008B170D" w:rsidRDefault="00227344" w:rsidP="00227344">
      <w:pPr>
        <w:rPr>
          <w:b/>
          <w:u w:val="single"/>
        </w:rPr>
      </w:pPr>
      <w:r w:rsidRPr="008B170D">
        <w:rPr>
          <w:b/>
          <w:u w:val="single"/>
        </w:rPr>
        <w:t xml:space="preserve">APPEARANCES </w:t>
      </w:r>
    </w:p>
    <w:p w14:paraId="57820145" w14:textId="77777777" w:rsidR="00227344" w:rsidRDefault="00227344" w:rsidP="00E34526">
      <w:pPr>
        <w:pStyle w:val="ListParagraph"/>
        <w:spacing w:after="0" w:line="240" w:lineRule="auto"/>
        <w:ind w:left="0"/>
      </w:pPr>
    </w:p>
    <w:p w14:paraId="317788BD" w14:textId="1C8B8D1A" w:rsidR="008B170D" w:rsidRPr="008B170D" w:rsidRDefault="008B170D" w:rsidP="008B170D">
      <w:pPr>
        <w:rPr>
          <w:b/>
        </w:rPr>
      </w:pPr>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321DF7">
        <w:t xml:space="preserve"> </w:t>
      </w:r>
      <w:r w:rsidR="00B27F3B">
        <w:t xml:space="preserve">11 </w:t>
      </w:r>
      <w:r w:rsidR="00307B0B">
        <w:t>January</w:t>
      </w:r>
      <w:r w:rsidR="00321DF7">
        <w:t xml:space="preserve"> 202</w:t>
      </w:r>
      <w:r w:rsidR="00307B0B">
        <w:t>2</w:t>
      </w:r>
      <w:r>
        <w:rPr>
          <w:b/>
        </w:rPr>
        <w:tab/>
      </w:r>
      <w:r w:rsidR="00FE58C5">
        <w:t xml:space="preserve"> </w:t>
      </w:r>
    </w:p>
    <w:p w14:paraId="117DE5B9" w14:textId="77777777" w:rsidR="00465A78" w:rsidRDefault="00465A78" w:rsidP="008B170D">
      <w:pPr>
        <w:rPr>
          <w:b/>
        </w:rPr>
      </w:pPr>
    </w:p>
    <w:p w14:paraId="1F94B594" w14:textId="5B56C32A" w:rsidR="008B170D" w:rsidRPr="008B170D" w:rsidRDefault="008B170D" w:rsidP="008B170D">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rsidR="003E44AC">
        <w:t xml:space="preserve"> </w:t>
      </w:r>
      <w:r w:rsidR="00307B0B">
        <w:t>1</w:t>
      </w:r>
      <w:r w:rsidR="00223347">
        <w:t>9</w:t>
      </w:r>
      <w:r w:rsidR="00307B0B">
        <w:t xml:space="preserve"> January</w:t>
      </w:r>
      <w:r w:rsidR="00321DF7" w:rsidRPr="00321DF7">
        <w:t xml:space="preserve"> 202</w:t>
      </w:r>
      <w:r w:rsidR="00307B0B">
        <w:t>2</w:t>
      </w:r>
    </w:p>
    <w:p w14:paraId="2706A324" w14:textId="77777777" w:rsidR="00227344" w:rsidRPr="008B170D" w:rsidRDefault="00227344" w:rsidP="00E34526">
      <w:pPr>
        <w:rPr>
          <w:b/>
        </w:rPr>
      </w:pPr>
      <w:r w:rsidRPr="008B170D">
        <w:rPr>
          <w:b/>
        </w:rPr>
        <w:tab/>
      </w:r>
      <w:r w:rsidRPr="008B170D">
        <w:rPr>
          <w:b/>
        </w:rPr>
        <w:tab/>
      </w:r>
      <w:r w:rsidRPr="008B170D">
        <w:rPr>
          <w:b/>
        </w:rPr>
        <w:tab/>
      </w:r>
      <w:r w:rsidRPr="008B170D">
        <w:rPr>
          <w:b/>
        </w:rPr>
        <w:tab/>
      </w:r>
    </w:p>
    <w:p w14:paraId="38649315" w14:textId="57A6C500" w:rsidR="00F148E1" w:rsidRDefault="009E27D7" w:rsidP="005214DB">
      <w:pPr>
        <w:pStyle w:val="ListParagraph"/>
        <w:spacing w:line="240" w:lineRule="auto"/>
        <w:ind w:left="0"/>
      </w:pPr>
      <w:r w:rsidRPr="008B170D">
        <w:rPr>
          <w:b/>
        </w:rPr>
        <w:t>APPLICANT</w:t>
      </w:r>
      <w:r w:rsidR="000F64D9">
        <w:rPr>
          <w:b/>
        </w:rPr>
        <w:t>’S COUNSEL</w:t>
      </w:r>
      <w:r w:rsidR="008B170D">
        <w:rPr>
          <w:b/>
        </w:rPr>
        <w:tab/>
      </w:r>
      <w:r w:rsidR="008B170D">
        <w:rPr>
          <w:b/>
        </w:rPr>
        <w:tab/>
      </w:r>
      <w:r w:rsidR="008B170D">
        <w:rPr>
          <w:b/>
        </w:rPr>
        <w:tab/>
      </w:r>
      <w:r w:rsidR="000F64D9">
        <w:rPr>
          <w:b/>
        </w:rPr>
        <w:tab/>
      </w:r>
      <w:r w:rsidR="008B170D" w:rsidRPr="008B170D">
        <w:t>:</w:t>
      </w:r>
      <w:r w:rsidR="00932745">
        <w:t xml:space="preserve"> </w:t>
      </w:r>
      <w:r w:rsidR="000F64D9" w:rsidRPr="000F64D9">
        <w:t xml:space="preserve">Adv. </w:t>
      </w:r>
      <w:r w:rsidR="00307B0B">
        <w:t>D Turner</w:t>
      </w:r>
    </w:p>
    <w:p w14:paraId="33E06A3E" w14:textId="2A13B10B" w:rsidR="00307B0B" w:rsidRDefault="00307B0B" w:rsidP="005214DB">
      <w:pPr>
        <w:pStyle w:val="ListParagraph"/>
        <w:spacing w:line="240" w:lineRule="auto"/>
        <w:ind w:left="0"/>
        <w:rPr>
          <w:b/>
          <w:bCs/>
        </w:rPr>
      </w:pPr>
      <w:r>
        <w:tab/>
      </w:r>
      <w:r>
        <w:tab/>
      </w:r>
      <w:r>
        <w:tab/>
      </w:r>
      <w:r>
        <w:tab/>
      </w:r>
      <w:r>
        <w:tab/>
      </w:r>
      <w:r>
        <w:tab/>
      </w:r>
      <w:r>
        <w:tab/>
        <w:t xml:space="preserve">  Adv K Naidoo</w:t>
      </w:r>
    </w:p>
    <w:p w14:paraId="3BA9B078" w14:textId="67F45354" w:rsidR="000F64D9" w:rsidRDefault="000F64D9" w:rsidP="005214DB">
      <w:pPr>
        <w:pStyle w:val="ListParagraph"/>
        <w:spacing w:line="240" w:lineRule="auto"/>
        <w:ind w:left="0"/>
      </w:pPr>
      <w:r w:rsidRPr="000F64D9">
        <w:rPr>
          <w:b/>
          <w:bCs/>
        </w:rPr>
        <w:t>APPLICANT’S ATTORNEYS</w:t>
      </w:r>
      <w:r>
        <w:tab/>
      </w:r>
      <w:r>
        <w:tab/>
      </w:r>
      <w:r>
        <w:tab/>
        <w:t xml:space="preserve">:  </w:t>
      </w:r>
      <w:r w:rsidR="00307B0B">
        <w:t>Poswa</w:t>
      </w:r>
      <w:r w:rsidR="00F148E1">
        <w:t xml:space="preserve"> Inc</w:t>
      </w:r>
    </w:p>
    <w:p w14:paraId="5950D977" w14:textId="69423E24" w:rsidR="000F64D9" w:rsidRDefault="00F148E1" w:rsidP="00C94975">
      <w:pPr>
        <w:pStyle w:val="ListParagraph"/>
        <w:spacing w:line="240" w:lineRule="auto"/>
        <w:ind w:left="0"/>
      </w:pPr>
      <w:r>
        <w:tab/>
      </w:r>
      <w:r>
        <w:tab/>
      </w:r>
      <w:r>
        <w:tab/>
      </w:r>
      <w:r>
        <w:tab/>
      </w:r>
      <w:r>
        <w:tab/>
      </w:r>
      <w:r>
        <w:tab/>
      </w:r>
      <w:r>
        <w:tab/>
        <w:t xml:space="preserve">  </w:t>
      </w:r>
      <w:r w:rsidR="00307B0B">
        <w:t>T Van der Merwe</w:t>
      </w:r>
      <w:r>
        <w:t xml:space="preserve"> </w:t>
      </w:r>
      <w:r w:rsidR="00A97BD6">
        <w:tab/>
      </w:r>
      <w:r w:rsidR="00932745">
        <w:t xml:space="preserve">  </w:t>
      </w:r>
      <w:bookmarkStart w:id="2" w:name="_Hlk44520146"/>
    </w:p>
    <w:bookmarkEnd w:id="2"/>
    <w:p w14:paraId="55D41FC4" w14:textId="63552F4C" w:rsidR="007744B0" w:rsidRDefault="00C94975" w:rsidP="00C94975">
      <w:pPr>
        <w:pStyle w:val="ListParagraph"/>
        <w:spacing w:line="240" w:lineRule="auto"/>
        <w:ind w:left="0"/>
        <w:rPr>
          <w:bCs/>
        </w:rPr>
      </w:pPr>
      <w:r>
        <w:rPr>
          <w:b/>
        </w:rPr>
        <w:t>RESPONDENT</w:t>
      </w:r>
      <w:r w:rsidR="00B27F3B">
        <w:rPr>
          <w:b/>
        </w:rPr>
        <w:t>S</w:t>
      </w:r>
      <w:r w:rsidR="00307B0B">
        <w:rPr>
          <w:b/>
        </w:rPr>
        <w:t>’</w:t>
      </w:r>
      <w:r w:rsidR="00B27F3B">
        <w:rPr>
          <w:b/>
        </w:rPr>
        <w:t xml:space="preserve"> COUNSEL</w:t>
      </w:r>
      <w:r w:rsidR="00B27F3B">
        <w:rPr>
          <w:b/>
        </w:rPr>
        <w:tab/>
      </w:r>
      <w:r w:rsidR="00B27F3B">
        <w:rPr>
          <w:b/>
        </w:rPr>
        <w:tab/>
      </w:r>
      <w:r w:rsidR="00B27F3B">
        <w:rPr>
          <w:b/>
        </w:rPr>
        <w:tab/>
      </w:r>
      <w:r w:rsidR="00B27F3B" w:rsidRPr="00B27F3B">
        <w:t>:</w:t>
      </w:r>
      <w:r w:rsidR="00B27F3B">
        <w:t xml:space="preserve"> Adv </w:t>
      </w:r>
      <w:r w:rsidR="00307B0B">
        <w:t>M Desai</w:t>
      </w:r>
    </w:p>
    <w:p w14:paraId="0836F423" w14:textId="7FE2CAC9" w:rsidR="00B27F3B" w:rsidRDefault="000F64D9" w:rsidP="006F080A">
      <w:pPr>
        <w:pStyle w:val="ListParagraph"/>
        <w:spacing w:line="240" w:lineRule="auto"/>
        <w:ind w:left="0"/>
        <w:rPr>
          <w:bCs/>
        </w:rPr>
      </w:pPr>
      <w:r>
        <w:rPr>
          <w:bCs/>
        </w:rPr>
        <w:tab/>
      </w:r>
      <w:r>
        <w:rPr>
          <w:bCs/>
        </w:rPr>
        <w:tab/>
      </w:r>
      <w:r>
        <w:rPr>
          <w:bCs/>
        </w:rPr>
        <w:tab/>
      </w:r>
      <w:r>
        <w:rPr>
          <w:bCs/>
        </w:rPr>
        <w:tab/>
      </w:r>
      <w:r>
        <w:rPr>
          <w:bCs/>
        </w:rPr>
        <w:tab/>
      </w:r>
      <w:r>
        <w:rPr>
          <w:bCs/>
        </w:rPr>
        <w:tab/>
      </w:r>
      <w:r>
        <w:rPr>
          <w:bCs/>
        </w:rPr>
        <w:tab/>
      </w:r>
    </w:p>
    <w:p w14:paraId="535A21E5" w14:textId="04098F3A" w:rsidR="00B27F3B" w:rsidRDefault="00B27F3B" w:rsidP="006F080A">
      <w:pPr>
        <w:pStyle w:val="ListParagraph"/>
        <w:spacing w:line="240" w:lineRule="auto"/>
        <w:ind w:left="0"/>
      </w:pPr>
      <w:r>
        <w:rPr>
          <w:b/>
        </w:rPr>
        <w:t>RESPONDENTS</w:t>
      </w:r>
      <w:r w:rsidR="00307B0B">
        <w:rPr>
          <w:b/>
        </w:rPr>
        <w:t>’</w:t>
      </w:r>
      <w:r>
        <w:rPr>
          <w:b/>
        </w:rPr>
        <w:t xml:space="preserve"> ATTORNEYS</w:t>
      </w:r>
      <w:r>
        <w:rPr>
          <w:b/>
        </w:rPr>
        <w:tab/>
      </w:r>
      <w:r>
        <w:rPr>
          <w:b/>
        </w:rPr>
        <w:tab/>
      </w:r>
      <w:r>
        <w:rPr>
          <w:b/>
        </w:rPr>
        <w:tab/>
      </w:r>
      <w:r w:rsidRPr="00B27F3B">
        <w:t>:</w:t>
      </w:r>
      <w:r w:rsidR="00F148E1">
        <w:t xml:space="preserve"> </w:t>
      </w:r>
      <w:r w:rsidR="00307B0B">
        <w:t>Des Naidoo &amp; Associates</w:t>
      </w:r>
    </w:p>
    <w:p w14:paraId="63AA99F7" w14:textId="27FC7CBC" w:rsidR="00F148E1" w:rsidRDefault="00F148E1" w:rsidP="006F080A">
      <w:pPr>
        <w:pStyle w:val="ListParagraph"/>
        <w:spacing w:line="240" w:lineRule="auto"/>
        <w:ind w:left="0"/>
      </w:pPr>
      <w:r>
        <w:tab/>
      </w:r>
      <w:r>
        <w:tab/>
      </w:r>
      <w:r>
        <w:tab/>
      </w:r>
      <w:r>
        <w:tab/>
      </w:r>
      <w:r>
        <w:tab/>
      </w:r>
      <w:r>
        <w:tab/>
      </w:r>
      <w:r>
        <w:tab/>
        <w:t xml:space="preserve">  Mr </w:t>
      </w:r>
      <w:r w:rsidR="002E5451">
        <w:t>Naidoo</w:t>
      </w:r>
    </w:p>
    <w:sectPr w:rsidR="00F148E1" w:rsidSect="0011331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4263" w14:textId="77777777" w:rsidR="003817A7" w:rsidRDefault="003817A7" w:rsidP="00113313">
      <w:r>
        <w:separator/>
      </w:r>
    </w:p>
  </w:endnote>
  <w:endnote w:type="continuationSeparator" w:id="0">
    <w:p w14:paraId="1730CF1A" w14:textId="77777777" w:rsidR="003817A7" w:rsidRDefault="003817A7" w:rsidP="0011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533D" w14:textId="77777777" w:rsidR="003817A7" w:rsidRDefault="003817A7" w:rsidP="00113313">
      <w:r>
        <w:separator/>
      </w:r>
    </w:p>
  </w:footnote>
  <w:footnote w:type="continuationSeparator" w:id="0">
    <w:p w14:paraId="6B5062BE" w14:textId="77777777" w:rsidR="003817A7" w:rsidRDefault="003817A7" w:rsidP="00113313">
      <w:r>
        <w:continuationSeparator/>
      </w:r>
    </w:p>
  </w:footnote>
  <w:footnote w:id="1">
    <w:p w14:paraId="3383CD7B" w14:textId="77777777" w:rsidR="0073352B" w:rsidRPr="002F3BA7" w:rsidRDefault="0073352B" w:rsidP="009B10A7">
      <w:pPr>
        <w:pStyle w:val="FootnoteText"/>
        <w:rPr>
          <w:lang w:val="en-GB"/>
        </w:rPr>
      </w:pPr>
      <w:r>
        <w:rPr>
          <w:rStyle w:val="FootnoteReference"/>
        </w:rPr>
        <w:footnoteRef/>
      </w:r>
      <w:r>
        <w:t xml:space="preserve"> </w:t>
      </w:r>
      <w:r>
        <w:rPr>
          <w:lang w:val="en-GB"/>
        </w:rPr>
        <w:t>In the alternative interim relief was sought, the effect of which may however be considered as final. To the benefit of the respondents, the application will be adjudicated on the basis that the relief sought is final.</w:t>
      </w:r>
    </w:p>
  </w:footnote>
  <w:footnote w:id="2">
    <w:p w14:paraId="626EAAF8" w14:textId="77777777" w:rsidR="0073352B" w:rsidRDefault="0073352B" w:rsidP="009B10A7">
      <w:pPr>
        <w:pStyle w:val="FootnoteText"/>
        <w:rPr>
          <w:lang w:val="en-US"/>
        </w:rPr>
      </w:pPr>
      <w:r>
        <w:rPr>
          <w:rStyle w:val="FootnoteReference"/>
        </w:rPr>
        <w:footnoteRef/>
      </w:r>
      <w:r>
        <w:t xml:space="preserve"> </w:t>
      </w:r>
      <w:r w:rsidRPr="002D0469">
        <w:t>Plascon-Evans Paints Ltd v Van Riebeeck Paints (Pty) Ltd, 1984 (3) SA 623 (A) at 634E to 635C</w:t>
      </w:r>
      <w:r>
        <w:rPr>
          <w:lang w:val="en-US"/>
        </w:rPr>
        <w:t xml:space="preserve">; </w:t>
      </w:r>
    </w:p>
    <w:p w14:paraId="4AA1CA47" w14:textId="77777777" w:rsidR="0073352B" w:rsidRPr="00BD4B24" w:rsidRDefault="0073352B" w:rsidP="009B10A7">
      <w:pPr>
        <w:pStyle w:val="FootnoteText"/>
        <w:rPr>
          <w:lang w:val="en-US"/>
        </w:rPr>
      </w:pPr>
      <w:r>
        <w:rPr>
          <w:lang w:val="en-US"/>
        </w:rPr>
        <w:t xml:space="preserve">NDPP v Zuma 2009 (2) SA 277 (SCA) para [26] </w:t>
      </w:r>
    </w:p>
  </w:footnote>
  <w:footnote w:id="3">
    <w:p w14:paraId="3BD9EBFF" w14:textId="77777777" w:rsidR="0073352B" w:rsidRPr="006B2043" w:rsidRDefault="0073352B" w:rsidP="009B10A7">
      <w:pPr>
        <w:pStyle w:val="FootnoteText"/>
        <w:rPr>
          <w:lang w:val="en-US"/>
        </w:rPr>
      </w:pPr>
      <w:r>
        <w:rPr>
          <w:rStyle w:val="FootnoteReference"/>
        </w:rPr>
        <w:footnoteRef/>
      </w:r>
      <w:r>
        <w:t xml:space="preserve"> </w:t>
      </w:r>
      <w:r w:rsidRPr="00BB0F29">
        <w:rPr>
          <w:lang w:val="af-ZA"/>
        </w:rPr>
        <w:t>J W Wightman (Pty) Ltd v Headfour (Pty) Ltd 2008 (3) SA 371(SCA)</w:t>
      </w:r>
      <w:r>
        <w:rPr>
          <w:lang w:val="en-US"/>
        </w:rPr>
        <w:t xml:space="preserve"> para 12</w:t>
      </w:r>
    </w:p>
  </w:footnote>
  <w:footnote w:id="4">
    <w:p w14:paraId="323F6630" w14:textId="77777777" w:rsidR="0073352B" w:rsidRPr="00E94E36" w:rsidRDefault="0073352B" w:rsidP="009B10A7">
      <w:pPr>
        <w:pStyle w:val="FootnoteText"/>
        <w:rPr>
          <w:lang w:val="en-US"/>
        </w:rPr>
      </w:pPr>
      <w:r>
        <w:rPr>
          <w:rStyle w:val="FootnoteReference"/>
        </w:rPr>
        <w:footnoteRef/>
      </w:r>
      <w:r>
        <w:t xml:space="preserve"> </w:t>
      </w:r>
      <w:r>
        <w:rPr>
          <w:lang w:val="en-US"/>
        </w:rPr>
        <w:t>PMG Motors Kyalami (Pty) Ltd (in liquidation) v Firstrand Bank Ltd, esbank Division 2015 1 All SA 437 (SCA) ; 2015 (2) Sa 634 (SCA); Wightman supra para 13</w:t>
      </w:r>
    </w:p>
  </w:footnote>
  <w:footnote w:id="5">
    <w:p w14:paraId="622DB8CB" w14:textId="2A61E732" w:rsidR="0073352B" w:rsidRPr="00DB6046" w:rsidRDefault="0073352B">
      <w:pPr>
        <w:pStyle w:val="FootnoteText"/>
        <w:rPr>
          <w:lang w:val="en-GB"/>
        </w:rPr>
      </w:pPr>
      <w:r>
        <w:rPr>
          <w:rStyle w:val="FootnoteReference"/>
        </w:rPr>
        <w:footnoteRef/>
      </w:r>
      <w:r>
        <w:t xml:space="preserve"> </w:t>
      </w:r>
      <w:r>
        <w:rPr>
          <w:lang w:val="en-GB"/>
        </w:rPr>
        <w:t>120 of 1977</w:t>
      </w:r>
    </w:p>
  </w:footnote>
  <w:footnote w:id="6">
    <w:p w14:paraId="0A62B7A5" w14:textId="432DFF21" w:rsidR="0073352B" w:rsidRPr="00CF4F91" w:rsidRDefault="0073352B">
      <w:pPr>
        <w:pStyle w:val="FootnoteText"/>
        <w:rPr>
          <w:lang w:val="en-GB"/>
        </w:rPr>
      </w:pPr>
      <w:r>
        <w:rPr>
          <w:rStyle w:val="FootnoteReference"/>
        </w:rPr>
        <w:footnoteRef/>
      </w:r>
      <w:r>
        <w:t xml:space="preserve"> </w:t>
      </w:r>
      <w:r>
        <w:rPr>
          <w:lang w:val="en-GB"/>
        </w:rPr>
        <w:t>The grounds advanced by Eurozar are recorded in paragraph 5 of the arbitrator’s award.</w:t>
      </w:r>
    </w:p>
  </w:footnote>
  <w:footnote w:id="7">
    <w:p w14:paraId="2CFC7907" w14:textId="72BE9A01" w:rsidR="0073352B" w:rsidRPr="0022551E" w:rsidRDefault="0073352B">
      <w:pPr>
        <w:pStyle w:val="FootnoteText"/>
        <w:rPr>
          <w:lang w:val="en-GB"/>
        </w:rPr>
      </w:pPr>
      <w:r>
        <w:rPr>
          <w:rStyle w:val="FootnoteReference"/>
        </w:rPr>
        <w:footnoteRef/>
      </w:r>
      <w:r>
        <w:t xml:space="preserve"> </w:t>
      </w:r>
      <w:r>
        <w:rPr>
          <w:lang w:val="en-GB"/>
        </w:rPr>
        <w:t>42 of 1965</w:t>
      </w:r>
    </w:p>
  </w:footnote>
  <w:footnote w:id="8">
    <w:p w14:paraId="605A80CC" w14:textId="32B7A523" w:rsidR="0073352B" w:rsidRPr="000D75A6" w:rsidRDefault="0073352B">
      <w:pPr>
        <w:pStyle w:val="FootnoteText"/>
        <w:rPr>
          <w:lang w:val="en-GB"/>
        </w:rPr>
      </w:pPr>
      <w:r>
        <w:rPr>
          <w:rStyle w:val="FootnoteReference"/>
        </w:rPr>
        <w:footnoteRef/>
      </w:r>
      <w:r>
        <w:t xml:space="preserve"> </w:t>
      </w:r>
      <w:r>
        <w:rPr>
          <w:lang w:val="en-GB"/>
        </w:rPr>
        <w:t>East Rock Trading 7(Pty) Ltd and Another v Eagle Valley Granite (Pty) Ltd and Others (2012) JOL 28244 (GSJ) paras [6]-[7]</w:t>
      </w:r>
    </w:p>
  </w:footnote>
  <w:footnote w:id="9">
    <w:p w14:paraId="479330F5" w14:textId="2AB0EAE9" w:rsidR="0073352B" w:rsidRPr="000D75A6" w:rsidRDefault="0073352B">
      <w:pPr>
        <w:pStyle w:val="FootnoteText"/>
        <w:rPr>
          <w:lang w:val="en-GB"/>
        </w:rPr>
      </w:pPr>
      <w:r>
        <w:rPr>
          <w:rStyle w:val="FootnoteReference"/>
        </w:rPr>
        <w:footnoteRef/>
      </w:r>
      <w:r>
        <w:t xml:space="preserve"> 20</w:t>
      </w:r>
      <w:r w:rsidRPr="000D75A6">
        <w:rPr>
          <w:vertAlign w:val="superscript"/>
        </w:rPr>
        <w:t>th</w:t>
      </w:r>
      <w:r>
        <w:t xml:space="preserve"> Century Fox Film Corporation v Anthony Blackfilms (Pty) Ltd 1982 (3) SA 582 (W) at 587G</w:t>
      </w:r>
    </w:p>
  </w:footnote>
  <w:footnote w:id="10">
    <w:p w14:paraId="6E7078A2" w14:textId="3A0DB3A2" w:rsidR="0073352B" w:rsidRPr="000D75A6" w:rsidRDefault="0073352B">
      <w:pPr>
        <w:pStyle w:val="FootnoteText"/>
        <w:rPr>
          <w:lang w:val="en-GB"/>
        </w:rPr>
      </w:pPr>
      <w:r>
        <w:rPr>
          <w:rStyle w:val="FootnoteReference"/>
        </w:rPr>
        <w:footnoteRef/>
      </w:r>
      <w:r>
        <w:t xml:space="preserve"> Blue Crest Holdings (Pty) Ltd v Body Action Health Clubs (Pty) Ltd [2020] ZAGPJHC 407 at paras [9], [11] and [14]; CEZ Investments (Pty) Ltd v Wynberg Auto Body (Pty) Ltd 2021 JDR 2487 (GJ) para [19]-[21]</w:t>
      </w:r>
    </w:p>
  </w:footnote>
  <w:footnote w:id="11">
    <w:p w14:paraId="6E7869E4" w14:textId="1FC846FA" w:rsidR="0073352B" w:rsidRPr="000D75A6" w:rsidRDefault="0073352B">
      <w:pPr>
        <w:pStyle w:val="FootnoteText"/>
        <w:rPr>
          <w:lang w:val="en-GB"/>
        </w:rPr>
      </w:pPr>
      <w:r>
        <w:rPr>
          <w:rStyle w:val="FootnoteReference"/>
        </w:rPr>
        <w:footnoteRef/>
      </w:r>
      <w:r>
        <w:t xml:space="preserve"> </w:t>
      </w:r>
      <w:r>
        <w:rPr>
          <w:lang w:val="en-GB"/>
        </w:rPr>
        <w:t>Luna Meubelvervaardigers (Edms) Bpk v Makin and Another, t/a Makin Furniture Manufacturers 1977 (4) SA 135 (W) at 137F</w:t>
      </w:r>
    </w:p>
  </w:footnote>
  <w:footnote w:id="12">
    <w:p w14:paraId="7B785C6C" w14:textId="77777777" w:rsidR="0073352B" w:rsidRPr="007F4CEF" w:rsidRDefault="0073352B" w:rsidP="00FC1FFC">
      <w:pPr>
        <w:pStyle w:val="FootnoteText"/>
        <w:rPr>
          <w:lang w:val="en-GB"/>
        </w:rPr>
      </w:pPr>
      <w:r>
        <w:rPr>
          <w:rStyle w:val="FootnoteReference"/>
        </w:rPr>
        <w:footnoteRef/>
      </w:r>
      <w:r>
        <w:t xml:space="preserve"> </w:t>
      </w:r>
      <w:r>
        <w:rPr>
          <w:lang w:val="en-GB"/>
        </w:rPr>
        <w:t xml:space="preserve">[2021] ZACC 24 para [26]; </w:t>
      </w:r>
    </w:p>
  </w:footnote>
  <w:footnote w:id="13">
    <w:p w14:paraId="537E8B67" w14:textId="77777777" w:rsidR="0073352B" w:rsidRPr="007F4CEF" w:rsidRDefault="0073352B" w:rsidP="00FC1FFC">
      <w:pPr>
        <w:pStyle w:val="FootnoteText"/>
        <w:rPr>
          <w:lang w:val="en-GB"/>
        </w:rPr>
      </w:pPr>
      <w:r>
        <w:rPr>
          <w:rStyle w:val="FootnoteReference"/>
        </w:rPr>
        <w:footnoteRef/>
      </w:r>
      <w:r>
        <w:t xml:space="preserve"> </w:t>
      </w:r>
      <w:r>
        <w:rPr>
          <w:lang w:val="en-GB"/>
        </w:rPr>
        <w:t>Former Way Trade and Invest (Pty) Ltd v Bright Idea Projects 66 (Pty) Ltd [2021] ZACC 33 (“Former Way”) paras [39]-[40]</w:t>
      </w:r>
    </w:p>
  </w:footnote>
  <w:footnote w:id="14">
    <w:p w14:paraId="38B6C51C" w14:textId="77777777" w:rsidR="0073352B" w:rsidRPr="003D33A4" w:rsidRDefault="0073352B" w:rsidP="00FC1FFC">
      <w:pPr>
        <w:pStyle w:val="FootnoteText"/>
        <w:rPr>
          <w:lang w:val="en-GB"/>
        </w:rPr>
      </w:pPr>
      <w:r>
        <w:rPr>
          <w:rStyle w:val="FootnoteReference"/>
        </w:rPr>
        <w:footnoteRef/>
      </w:r>
      <w:r>
        <w:t xml:space="preserve"> </w:t>
      </w:r>
      <w:r>
        <w:rPr>
          <w:lang w:val="en-GB"/>
        </w:rPr>
        <w:t>Crompton para [45]</w:t>
      </w:r>
    </w:p>
  </w:footnote>
  <w:footnote w:id="15">
    <w:p w14:paraId="56B4A314" w14:textId="77777777" w:rsidR="0073352B" w:rsidRPr="003D33A4" w:rsidRDefault="0073352B" w:rsidP="00FC1FFC">
      <w:pPr>
        <w:pStyle w:val="FootnoteText"/>
        <w:rPr>
          <w:lang w:val="en-GB"/>
        </w:rPr>
      </w:pPr>
      <w:r>
        <w:rPr>
          <w:rStyle w:val="FootnoteReference"/>
        </w:rPr>
        <w:footnoteRef/>
      </w:r>
      <w:r>
        <w:t xml:space="preserve"> </w:t>
      </w:r>
      <w:r>
        <w:rPr>
          <w:lang w:val="en-GB"/>
        </w:rPr>
        <w:t>Para [47]</w:t>
      </w:r>
    </w:p>
  </w:footnote>
  <w:footnote w:id="16">
    <w:p w14:paraId="67FC1890" w14:textId="77777777" w:rsidR="0073352B" w:rsidRPr="00007D18" w:rsidRDefault="0073352B" w:rsidP="00752FEB">
      <w:pPr>
        <w:pStyle w:val="FootnoteText"/>
        <w:rPr>
          <w:lang w:val="en-GB"/>
        </w:rPr>
      </w:pPr>
      <w:r>
        <w:rPr>
          <w:rStyle w:val="FootnoteReference"/>
        </w:rPr>
        <w:footnoteRef/>
      </w:r>
      <w:r>
        <w:t xml:space="preserve"> </w:t>
      </w:r>
      <w:r>
        <w:rPr>
          <w:lang w:val="en-GB"/>
        </w:rPr>
        <w:t>42 of 1965</w:t>
      </w:r>
    </w:p>
  </w:footnote>
  <w:footnote w:id="17">
    <w:p w14:paraId="1CDDC559" w14:textId="1CD33FB1" w:rsidR="0073352B" w:rsidRPr="009C375C" w:rsidRDefault="0073352B">
      <w:pPr>
        <w:pStyle w:val="FootnoteText"/>
        <w:rPr>
          <w:lang w:val="en-GB"/>
        </w:rPr>
      </w:pPr>
      <w:r>
        <w:rPr>
          <w:rStyle w:val="FootnoteReference"/>
        </w:rPr>
        <w:footnoteRef/>
      </w:r>
      <w:r>
        <w:t xml:space="preserve"> </w:t>
      </w:r>
      <w:r w:rsidRPr="009C375C">
        <w:rPr>
          <w:lang w:val="en-US"/>
        </w:rPr>
        <w:t>Gois t/a Shakespeare’s Pub v Van Zyl and Others</w:t>
      </w:r>
      <w:r w:rsidRPr="009C375C">
        <w:rPr>
          <w:lang w:val="en-GB"/>
        </w:rPr>
        <w:t xml:space="preserve"> </w:t>
      </w:r>
      <w:r>
        <w:rPr>
          <w:lang w:val="en-GB"/>
        </w:rPr>
        <w:t>2011 (1) SA 148 (LC) paras 32-33 and the authority referred to therein</w:t>
      </w:r>
    </w:p>
  </w:footnote>
  <w:footnote w:id="18">
    <w:p w14:paraId="6DC6FCEE" w14:textId="77777777" w:rsidR="0073352B" w:rsidRPr="00395798" w:rsidRDefault="0073352B" w:rsidP="00FC1FFC">
      <w:pPr>
        <w:pStyle w:val="FootnoteText"/>
        <w:rPr>
          <w:lang w:val="en-GB"/>
        </w:rPr>
      </w:pPr>
      <w:r>
        <w:rPr>
          <w:rStyle w:val="FootnoteReference"/>
        </w:rPr>
        <w:footnoteRef/>
      </w:r>
      <w:r>
        <w:t xml:space="preserve"> </w:t>
      </w:r>
      <w:r w:rsidRPr="00395798">
        <w:rPr>
          <w:lang w:val="en-US"/>
        </w:rPr>
        <w:t xml:space="preserve">Telcordia </w:t>
      </w:r>
      <w:r>
        <w:rPr>
          <w:lang w:val="en-US"/>
        </w:rPr>
        <w:t>T</w:t>
      </w:r>
      <w:r w:rsidRPr="00395798">
        <w:rPr>
          <w:lang w:val="en-US"/>
        </w:rPr>
        <w:t>echnologies I</w:t>
      </w:r>
      <w:r>
        <w:rPr>
          <w:lang w:val="en-US"/>
        </w:rPr>
        <w:t>n</w:t>
      </w:r>
      <w:r w:rsidRPr="00395798">
        <w:rPr>
          <w:lang w:val="en-US"/>
        </w:rPr>
        <w:t>c v Telkom S</w:t>
      </w:r>
      <w:r>
        <w:rPr>
          <w:lang w:val="en-US"/>
        </w:rPr>
        <w:t>A</w:t>
      </w:r>
      <w:r w:rsidRPr="00395798">
        <w:rPr>
          <w:lang w:val="en-US"/>
        </w:rPr>
        <w:t xml:space="preserve"> L</w:t>
      </w:r>
      <w:r>
        <w:rPr>
          <w:lang w:val="en-US"/>
        </w:rPr>
        <w:t>imi</w:t>
      </w:r>
      <w:r w:rsidRPr="00395798">
        <w:rPr>
          <w:lang w:val="en-US"/>
        </w:rPr>
        <w:t>t</w:t>
      </w:r>
      <w:r>
        <w:rPr>
          <w:lang w:val="en-US"/>
        </w:rPr>
        <w:t>ed</w:t>
      </w:r>
      <w:r w:rsidRPr="00395798">
        <w:rPr>
          <w:lang w:val="en-US"/>
        </w:rPr>
        <w:t xml:space="preserve"> 2007 (3) SA 266 SCA para </w:t>
      </w:r>
      <w:r>
        <w:rPr>
          <w:lang w:val="en-US"/>
        </w:rPr>
        <w:t>[</w:t>
      </w:r>
      <w:r w:rsidRPr="00395798">
        <w:rPr>
          <w:lang w:val="en-US"/>
        </w:rPr>
        <w:t>86</w:t>
      </w:r>
      <w:r>
        <w:rPr>
          <w:lang w:val="en-US"/>
        </w:rPr>
        <w:t>]</w:t>
      </w:r>
    </w:p>
  </w:footnote>
  <w:footnote w:id="19">
    <w:p w14:paraId="272183B4" w14:textId="77777777" w:rsidR="0073352B" w:rsidRPr="00C10F3A" w:rsidRDefault="0073352B" w:rsidP="00166655">
      <w:pPr>
        <w:pStyle w:val="FootnoteText"/>
        <w:rPr>
          <w:lang w:val="en-GB"/>
        </w:rPr>
      </w:pPr>
      <w:r>
        <w:rPr>
          <w:rStyle w:val="FootnoteReference"/>
        </w:rPr>
        <w:footnoteRef/>
      </w:r>
      <w:r>
        <w:t xml:space="preserve"> Hos+Med Medical Aid Scheme v thebe Ya Bophelo Healthcare Marketing &amp; Consulting (Pty) ltd and Others 2008 (2) SA 608 (SCA) paras [28] and [30]; s 12B(4)(a) of the PPA</w:t>
      </w:r>
    </w:p>
  </w:footnote>
  <w:footnote w:id="20">
    <w:p w14:paraId="2E08E2B6" w14:textId="77777777" w:rsidR="0073352B" w:rsidRPr="00007D18" w:rsidRDefault="0073352B" w:rsidP="00FC1FFC">
      <w:pPr>
        <w:pStyle w:val="FootnoteText"/>
        <w:rPr>
          <w:lang w:val="en-GB"/>
        </w:rPr>
      </w:pPr>
      <w:r>
        <w:rPr>
          <w:rStyle w:val="FootnoteReference"/>
        </w:rPr>
        <w:footnoteRef/>
      </w:r>
      <w:r>
        <w:t xml:space="preserve"> Gois supra paras 34-37 </w:t>
      </w:r>
    </w:p>
  </w:footnote>
  <w:footnote w:id="21">
    <w:p w14:paraId="48531577" w14:textId="77777777" w:rsidR="0073352B" w:rsidRPr="001E68D5" w:rsidRDefault="0073352B" w:rsidP="003B7770">
      <w:pPr>
        <w:pStyle w:val="FootnoteText"/>
        <w:rPr>
          <w:lang w:val="en-GB"/>
        </w:rPr>
      </w:pPr>
      <w:r>
        <w:rPr>
          <w:rStyle w:val="FootnoteReference"/>
        </w:rPr>
        <w:footnoteRef/>
      </w:r>
      <w:r>
        <w:t xml:space="preserve"> Crompton para [52]</w:t>
      </w:r>
    </w:p>
  </w:footnote>
  <w:footnote w:id="22">
    <w:p w14:paraId="7A4BB3CC" w14:textId="77777777" w:rsidR="0073352B" w:rsidRPr="00E77E0E" w:rsidRDefault="0073352B" w:rsidP="00D87EBC">
      <w:pPr>
        <w:pStyle w:val="FootnoteText"/>
        <w:rPr>
          <w:lang w:val="en-GB"/>
        </w:rPr>
      </w:pPr>
      <w:r>
        <w:rPr>
          <w:rStyle w:val="FootnoteReference"/>
        </w:rPr>
        <w:footnoteRef/>
      </w:r>
      <w:r>
        <w:t xml:space="preserve"> </w:t>
      </w:r>
      <w:r>
        <w:rPr>
          <w:lang w:val="en-GB"/>
        </w:rPr>
        <w:t>Crompton para [53]</w:t>
      </w:r>
    </w:p>
  </w:footnote>
  <w:footnote w:id="23">
    <w:p w14:paraId="0100EAF5" w14:textId="77777777" w:rsidR="0073352B" w:rsidRPr="00D74F62" w:rsidRDefault="0073352B" w:rsidP="00111D3C">
      <w:pPr>
        <w:pStyle w:val="FootnoteText"/>
        <w:rPr>
          <w:lang w:val="en-GB"/>
        </w:rPr>
      </w:pPr>
      <w:r>
        <w:rPr>
          <w:rStyle w:val="FootnoteReference"/>
        </w:rPr>
        <w:footnoteRef/>
      </w:r>
      <w:r>
        <w:t xml:space="preserve"> </w:t>
      </w:r>
      <w:r>
        <w:rPr>
          <w:lang w:val="en-GB"/>
        </w:rPr>
        <w:t>Medicross para 11 and 12</w:t>
      </w:r>
    </w:p>
  </w:footnote>
  <w:footnote w:id="24">
    <w:p w14:paraId="21585C49" w14:textId="5E68574D" w:rsidR="0073352B" w:rsidRPr="00450929" w:rsidRDefault="0073352B" w:rsidP="00B345EB">
      <w:pPr>
        <w:pStyle w:val="FootnoteText"/>
        <w:rPr>
          <w:lang w:val="en-GB"/>
        </w:rPr>
      </w:pPr>
      <w:r>
        <w:rPr>
          <w:rStyle w:val="FootnoteReference"/>
        </w:rPr>
        <w:footnoteRef/>
      </w:r>
      <w:r>
        <w:t xml:space="preserve"> Engen Petroleum Ltd v Mfosa Service Station (Pty) Ltd Unreported judgment of Keightley J under case numbers 2019 8398/19 and 12156/19 (17 December 2019) para [55]</w:t>
      </w:r>
    </w:p>
  </w:footnote>
  <w:footnote w:id="25">
    <w:p w14:paraId="346719EC" w14:textId="77777777" w:rsidR="0073352B" w:rsidRPr="000C3BC0" w:rsidRDefault="0073352B" w:rsidP="0048169C">
      <w:pPr>
        <w:pStyle w:val="FootnoteText"/>
        <w:rPr>
          <w:lang w:val="en-GB"/>
        </w:rPr>
      </w:pPr>
      <w:r>
        <w:rPr>
          <w:rStyle w:val="FootnoteReference"/>
        </w:rPr>
        <w:footnoteRef/>
      </w:r>
      <w:r w:rsidRPr="000C3BC0">
        <w:rPr>
          <w:lang w:val="en-US"/>
        </w:rPr>
        <w:t>The Business Zone 1010CC t/a E</w:t>
      </w:r>
      <w:r>
        <w:rPr>
          <w:lang w:val="en-US"/>
        </w:rPr>
        <w:t>mm</w:t>
      </w:r>
      <w:r w:rsidRPr="000C3BC0">
        <w:rPr>
          <w:lang w:val="en-US"/>
        </w:rPr>
        <w:t>arentia Convenience Centre v Engen Petroleum Limited and Others [2017] ZACC 2 (9 February 2017) at para [52]</w:t>
      </w:r>
      <w:r>
        <w:t xml:space="preserve"> </w:t>
      </w:r>
    </w:p>
  </w:footnote>
  <w:footnote w:id="26">
    <w:p w14:paraId="725A48E6" w14:textId="77777777" w:rsidR="0073352B" w:rsidRPr="00DD4D2E" w:rsidRDefault="0073352B" w:rsidP="0048169C">
      <w:pPr>
        <w:pStyle w:val="FootnoteText"/>
        <w:rPr>
          <w:lang w:val="en-GB"/>
        </w:rPr>
      </w:pPr>
      <w:r>
        <w:rPr>
          <w:rStyle w:val="FootnoteReference"/>
        </w:rPr>
        <w:footnoteRef/>
      </w:r>
      <w:r>
        <w:t xml:space="preserve"> </w:t>
      </w:r>
      <w:r>
        <w:rPr>
          <w:lang w:val="en-GB"/>
        </w:rPr>
        <w:t>Para 70-75</w:t>
      </w:r>
    </w:p>
  </w:footnote>
  <w:footnote w:id="27">
    <w:p w14:paraId="2E75EEBA" w14:textId="34BF4C09" w:rsidR="0073352B" w:rsidRPr="007D4630" w:rsidRDefault="0073352B" w:rsidP="0048169C">
      <w:pPr>
        <w:pStyle w:val="FootnoteText"/>
        <w:rPr>
          <w:lang w:val="en-GB"/>
        </w:rPr>
      </w:pPr>
      <w:r>
        <w:rPr>
          <w:rStyle w:val="FootnoteReference"/>
        </w:rPr>
        <w:footnoteRef/>
      </w:r>
      <w:r>
        <w:t xml:space="preserve"> </w:t>
      </w:r>
      <w:r w:rsidRPr="007D4630">
        <w:rPr>
          <w:lang w:val="en-US"/>
        </w:rPr>
        <w:t>The express terms of the franchise agreement contemplate the franchisee being completely responsible for its own business</w:t>
      </w:r>
      <w:r>
        <w:rPr>
          <w:lang w:val="en-US"/>
        </w:rPr>
        <w:t>.</w:t>
      </w:r>
    </w:p>
  </w:footnote>
  <w:footnote w:id="28">
    <w:p w14:paraId="1E392886" w14:textId="77777777" w:rsidR="0073352B" w:rsidRPr="00691547" w:rsidRDefault="0073352B" w:rsidP="0048169C">
      <w:pPr>
        <w:pStyle w:val="FootnoteText"/>
        <w:rPr>
          <w:lang w:val="en-GB"/>
        </w:rPr>
      </w:pPr>
      <w:r>
        <w:rPr>
          <w:rStyle w:val="FootnoteReference"/>
        </w:rPr>
        <w:footnoteRef/>
      </w:r>
      <w:r>
        <w:t xml:space="preserve"> </w:t>
      </w:r>
      <w:r>
        <w:rPr>
          <w:lang w:val="en-GB"/>
        </w:rPr>
        <w:t>Para 55</w:t>
      </w:r>
    </w:p>
  </w:footnote>
  <w:footnote w:id="29">
    <w:p w14:paraId="322D9061" w14:textId="2543E7FC" w:rsidR="0073352B" w:rsidRPr="00FB6731" w:rsidRDefault="0073352B">
      <w:pPr>
        <w:pStyle w:val="FootnoteText"/>
        <w:rPr>
          <w:lang w:val="en-GB"/>
        </w:rPr>
      </w:pPr>
      <w:r>
        <w:rPr>
          <w:rStyle w:val="FootnoteReference"/>
        </w:rPr>
        <w:footnoteRef/>
      </w:r>
      <w:r>
        <w:t xml:space="preserve"> </w:t>
      </w:r>
      <w:r>
        <w:rPr>
          <w:lang w:val="en-GB"/>
        </w:rPr>
        <w:t>Administrator, Transvaal and Others v Theletsane and Others 1991 92) SA 192 (A) at 196</w:t>
      </w:r>
    </w:p>
  </w:footnote>
  <w:footnote w:id="30">
    <w:p w14:paraId="4AAFB3C7" w14:textId="77777777" w:rsidR="0073352B" w:rsidRPr="00523A68" w:rsidRDefault="0073352B" w:rsidP="00FB6731">
      <w:pPr>
        <w:pStyle w:val="FootnoteText"/>
        <w:rPr>
          <w:lang w:val="en-GB"/>
        </w:rPr>
      </w:pPr>
      <w:r>
        <w:rPr>
          <w:rStyle w:val="FootnoteReference"/>
        </w:rPr>
        <w:footnoteRef/>
      </w:r>
      <w:r>
        <w:t xml:space="preserve"> Hart v Pinetown Drive-In Cinema (Pty) Ltd 1972 (1) SA 464(D) at 469D-E</w:t>
      </w:r>
    </w:p>
  </w:footnote>
  <w:footnote w:id="31">
    <w:p w14:paraId="359E4B6D" w14:textId="77777777" w:rsidR="0073352B" w:rsidRPr="005B673E" w:rsidRDefault="0073352B" w:rsidP="002260D0">
      <w:pPr>
        <w:pStyle w:val="FootnoteText"/>
        <w:rPr>
          <w:lang w:val="en-GB"/>
        </w:rPr>
      </w:pPr>
      <w:r>
        <w:rPr>
          <w:rStyle w:val="FootnoteReference"/>
        </w:rPr>
        <w:footnoteRef/>
      </w:r>
      <w:r>
        <w:t xml:space="preserve"> </w:t>
      </w:r>
      <w:r w:rsidRPr="005B673E">
        <w:rPr>
          <w:lang w:val="en-US"/>
        </w:rPr>
        <w:t>2005 (3) SA 323 SCA</w:t>
      </w:r>
      <w:r>
        <w:rPr>
          <w:lang w:val="en-US"/>
        </w:rPr>
        <w:t xml:space="preserve"> at</w:t>
      </w:r>
      <w:r w:rsidRPr="005B673E">
        <w:rPr>
          <w:lang w:val="en-US"/>
        </w:rPr>
        <w:t xml:space="preserve"> para [28]</w:t>
      </w:r>
    </w:p>
  </w:footnote>
  <w:footnote w:id="32">
    <w:p w14:paraId="14C0703D" w14:textId="77777777" w:rsidR="0073352B" w:rsidRPr="005B673E" w:rsidRDefault="0073352B" w:rsidP="002260D0">
      <w:pPr>
        <w:pStyle w:val="FootnoteText"/>
        <w:rPr>
          <w:lang w:val="en-GB"/>
        </w:rPr>
      </w:pPr>
      <w:r>
        <w:rPr>
          <w:rStyle w:val="FootnoteReference"/>
        </w:rPr>
        <w:footnoteRef/>
      </w:r>
      <w:r>
        <w:t xml:space="preserve"> </w:t>
      </w:r>
      <w:r>
        <w:rPr>
          <w:lang w:val="en-GB"/>
        </w:rPr>
        <w:t>2020 (5) SA 247 (CC)</w:t>
      </w:r>
    </w:p>
  </w:footnote>
  <w:footnote w:id="33">
    <w:p w14:paraId="1878A128" w14:textId="77777777" w:rsidR="00433FE0" w:rsidRPr="0073352B" w:rsidRDefault="00433FE0" w:rsidP="00433FE0">
      <w:pPr>
        <w:pStyle w:val="FootnoteText"/>
        <w:rPr>
          <w:lang w:val="en-GB"/>
        </w:rPr>
      </w:pPr>
      <w:r>
        <w:rPr>
          <w:rStyle w:val="FootnoteReference"/>
        </w:rPr>
        <w:footnoteRef/>
      </w:r>
      <w:r>
        <w:t xml:space="preserve"> Discussed</w:t>
      </w:r>
      <w:r>
        <w:rPr>
          <w:lang w:val="en-GB"/>
        </w:rPr>
        <w:t xml:space="preserve"> by the Constitutional Court in The Business Zone 1010 CC t/a Emmarentia Convenience Centre v Engen Petroleum Limited and Others [2017] ZACC 2 at paras [45]-[68]</w:t>
      </w:r>
    </w:p>
  </w:footnote>
  <w:footnote w:id="34">
    <w:p w14:paraId="7141558E" w14:textId="77777777" w:rsidR="001D7839" w:rsidRPr="0080414E" w:rsidRDefault="001D7839" w:rsidP="001D7839">
      <w:pPr>
        <w:pStyle w:val="FootnoteText"/>
        <w:rPr>
          <w:lang w:val="en-GB"/>
        </w:rPr>
      </w:pPr>
      <w:r>
        <w:rPr>
          <w:rStyle w:val="FootnoteReference"/>
        </w:rPr>
        <w:footnoteRef/>
      </w:r>
      <w:r>
        <w:t xml:space="preserve"> Business Zone Technologies Inc v Telkom SA Ltd [2017] ZACC 2 (9 February 2017) para [76]</w:t>
      </w:r>
    </w:p>
  </w:footnote>
  <w:footnote w:id="35">
    <w:p w14:paraId="69224999" w14:textId="77777777" w:rsidR="00C7347F" w:rsidRPr="0080414E" w:rsidRDefault="00C7347F" w:rsidP="00C7347F">
      <w:pPr>
        <w:pStyle w:val="FootnoteText"/>
        <w:rPr>
          <w:lang w:val="en-GB"/>
        </w:rPr>
      </w:pPr>
      <w:r>
        <w:rPr>
          <w:rStyle w:val="FootnoteReference"/>
        </w:rPr>
        <w:footnoteRef/>
      </w:r>
      <w:r>
        <w:t xml:space="preserve"> </w:t>
      </w:r>
      <w:r>
        <w:rPr>
          <w:lang w:val="en-GB"/>
        </w:rPr>
        <w:t>Atlantis Property Holdings Cc v Atlantis Excel Service Station CC 2019 (5) SA 443 (GP) at para [31], per Opperman &amp; Windell J, Vally J dissenting</w:t>
      </w:r>
    </w:p>
  </w:footnote>
  <w:footnote w:id="36">
    <w:p w14:paraId="636E709C" w14:textId="77777777" w:rsidR="00C7347F" w:rsidRPr="00BC0456" w:rsidRDefault="00C7347F" w:rsidP="00C7347F">
      <w:pPr>
        <w:pStyle w:val="FootnoteText"/>
        <w:rPr>
          <w:lang w:val="en-GB"/>
        </w:rPr>
      </w:pPr>
      <w:r>
        <w:rPr>
          <w:rStyle w:val="FootnoteReference"/>
        </w:rPr>
        <w:footnoteRef/>
      </w:r>
      <w:r>
        <w:t xml:space="preserve"> </w:t>
      </w:r>
      <w:r>
        <w:rPr>
          <w:lang w:val="en-GB"/>
        </w:rPr>
        <w:t>Answering affidavit, para 40</w:t>
      </w:r>
    </w:p>
  </w:footnote>
  <w:footnote w:id="37">
    <w:p w14:paraId="051B39AC" w14:textId="0DBC04BB" w:rsidR="00245ACC" w:rsidRPr="00245ACC" w:rsidRDefault="00245ACC">
      <w:pPr>
        <w:pStyle w:val="FootnoteText"/>
        <w:rPr>
          <w:lang w:val="en-GB"/>
        </w:rPr>
      </w:pPr>
      <w:r>
        <w:rPr>
          <w:rStyle w:val="FootnoteReference"/>
        </w:rPr>
        <w:footnoteRef/>
      </w:r>
      <w:r>
        <w:t xml:space="preserve"> </w:t>
      </w:r>
      <w:r>
        <w:rPr>
          <w:lang w:val="en-GB"/>
        </w:rPr>
        <w:t>Although the address is Rivonia Boulevard</w:t>
      </w:r>
    </w:p>
  </w:footnote>
  <w:footnote w:id="38">
    <w:p w14:paraId="6A1C00BC" w14:textId="77777777" w:rsidR="00451199" w:rsidRPr="00E92556" w:rsidRDefault="00451199" w:rsidP="00451199">
      <w:pPr>
        <w:pStyle w:val="FootnoteText"/>
        <w:rPr>
          <w:lang w:val="en-GB"/>
        </w:rPr>
      </w:pPr>
      <w:r>
        <w:rPr>
          <w:rStyle w:val="FootnoteReference"/>
        </w:rPr>
        <w:footnoteRef/>
      </w:r>
      <w:r>
        <w:t xml:space="preserve"> </w:t>
      </w:r>
      <w:r w:rsidRPr="00E92556">
        <w:rPr>
          <w:lang w:val="af-ZA"/>
        </w:rPr>
        <w:t>J W Wightman (Pty) Ltd v Headfour (Pty) Ltd 2008 (3) SA 371(SCA)</w:t>
      </w:r>
      <w:r>
        <w:rPr>
          <w:lang w:val="af-ZA"/>
        </w:rPr>
        <w:t xml:space="preserve"> para [12]</w:t>
      </w:r>
    </w:p>
  </w:footnote>
  <w:footnote w:id="39">
    <w:p w14:paraId="5946B2D6" w14:textId="77777777" w:rsidR="008B6C09" w:rsidRPr="007C2885" w:rsidRDefault="008B6C09" w:rsidP="008B6C09">
      <w:pPr>
        <w:pStyle w:val="FootnoteText"/>
        <w:rPr>
          <w:lang w:val="en-US"/>
        </w:rPr>
      </w:pPr>
      <w:r>
        <w:rPr>
          <w:rStyle w:val="FootnoteReference"/>
        </w:rPr>
        <w:footnoteRef/>
      </w:r>
      <w:r>
        <w:t xml:space="preserve"> </w:t>
      </w:r>
      <w:r w:rsidRPr="009023DA">
        <w:rPr>
          <w:lang w:val="en-US"/>
        </w:rPr>
        <w:t xml:space="preserve">Buffalo Freight Systems (Pty) Ltd v Crestleigh Trading (Pty) Ltd and Another </w:t>
      </w:r>
      <w:r>
        <w:rPr>
          <w:lang w:val="en-US"/>
        </w:rPr>
        <w:t>2011 (1) SA 8 (SCA) at paras [19] and [20]</w:t>
      </w:r>
    </w:p>
  </w:footnote>
  <w:footnote w:id="40">
    <w:p w14:paraId="0537C884" w14:textId="4F92F281" w:rsidR="0073352B" w:rsidRPr="009A095B" w:rsidRDefault="0073352B">
      <w:pPr>
        <w:pStyle w:val="FootnoteText"/>
        <w:rPr>
          <w:lang w:val="en-GB"/>
        </w:rPr>
      </w:pPr>
      <w:r>
        <w:rPr>
          <w:rStyle w:val="FootnoteReference"/>
        </w:rPr>
        <w:footnoteRef/>
      </w:r>
      <w:r>
        <w:t xml:space="preserve"> </w:t>
      </w:r>
      <w:r w:rsidRPr="009A095B">
        <w:rPr>
          <w:i/>
          <w:lang w:val="en-GB"/>
        </w:rPr>
        <w:t xml:space="preserve">Animus sibi habendi </w:t>
      </w:r>
      <w:r w:rsidRPr="009A095B">
        <w:rPr>
          <w:lang w:val="en-GB"/>
        </w:rPr>
        <w:t>or</w:t>
      </w:r>
      <w:r w:rsidRPr="009A095B">
        <w:rPr>
          <w:i/>
          <w:lang w:val="en-GB"/>
        </w:rPr>
        <w:t xml:space="preserve"> animus ex re commodum acquirendi</w:t>
      </w:r>
      <w:r>
        <w:rPr>
          <w:i/>
          <w:lang w:val="en-GB"/>
        </w:rPr>
        <w:t xml:space="preserve">; Scholtz v Faifer </w:t>
      </w:r>
      <w:r w:rsidRPr="009A095B">
        <w:rPr>
          <w:lang w:val="en-GB"/>
        </w:rPr>
        <w:t>1910 TPD 243 at 246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EDDC" w14:textId="05E48720" w:rsidR="0073352B" w:rsidRDefault="0073352B">
    <w:pPr>
      <w:pStyle w:val="Header"/>
      <w:jc w:val="right"/>
    </w:pPr>
    <w:r>
      <w:t xml:space="preserve">Page </w:t>
    </w:r>
    <w:r>
      <w:fldChar w:fldCharType="begin"/>
    </w:r>
    <w:r>
      <w:instrText xml:space="preserve"> PAGE   \* MERGEFORMAT </w:instrText>
    </w:r>
    <w:r>
      <w:fldChar w:fldCharType="separate"/>
    </w:r>
    <w:r w:rsidR="00463794">
      <w:rPr>
        <w:noProof/>
      </w:rPr>
      <w:t>21</w:t>
    </w:r>
    <w:r>
      <w:rPr>
        <w:noProof/>
      </w:rPr>
      <w:fldChar w:fldCharType="end"/>
    </w:r>
  </w:p>
  <w:p w14:paraId="2184E704" w14:textId="77777777" w:rsidR="0073352B" w:rsidRDefault="0073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125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014B190"/>
    <w:lvl w:ilvl="0">
      <w:start w:val="1"/>
      <w:numFmt w:val="decimal"/>
      <w:lvlText w:val="%1"/>
      <w:lvlJc w:val="left"/>
      <w:pPr>
        <w:tabs>
          <w:tab w:val="num" w:pos="709"/>
        </w:tabs>
        <w:ind w:left="709" w:hanging="709"/>
      </w:pPr>
      <w:rPr>
        <w:rFonts w:ascii="Arial" w:hAnsi="Arial" w:cs="Times New Roman" w:hint="default"/>
        <w:b w:val="0"/>
        <w:bCs w:val="0"/>
        <w:i w:val="0"/>
        <w:iCs w:val="0"/>
        <w:caps w:val="0"/>
        <w:smallCaps w:val="0"/>
        <w:strike w:val="0"/>
        <w:dstrike w:val="0"/>
        <w:vanish w:val="0"/>
        <w:color w:val="000000"/>
        <w:spacing w:val="0"/>
        <w:kern w:val="0"/>
        <w:position w:val="0"/>
        <w:sz w:val="24"/>
        <w:u w:val="none"/>
        <w:effect w:val="none"/>
        <w:vertAlign w:val="baseline"/>
      </w:rPr>
    </w:lvl>
    <w:lvl w:ilvl="1">
      <w:start w:val="1"/>
      <w:numFmt w:val="decimal"/>
      <w:lvlText w:val="%1.%2"/>
      <w:lvlJc w:val="left"/>
      <w:pPr>
        <w:tabs>
          <w:tab w:val="num" w:pos="1418"/>
        </w:tabs>
        <w:ind w:left="1418" w:hanging="709"/>
      </w:pPr>
      <w:rPr>
        <w:rFonts w:cs="Times New Roman" w:hint="default"/>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2127"/>
        </w:tabs>
        <w:ind w:left="2127" w:hanging="709"/>
      </w:pPr>
      <w:rPr>
        <w:rFonts w:ascii="Arial" w:hAnsi="Arial" w:cs="Times New Roman" w:hint="default"/>
        <w:b w:val="0"/>
        <w:i w:val="0"/>
        <w:sz w:val="22"/>
        <w:szCs w:val="22"/>
      </w:rPr>
    </w:lvl>
    <w:lvl w:ilvl="3">
      <w:start w:val="1"/>
      <w:numFmt w:val="lowerLetter"/>
      <w:lvlText w:val="(%4)"/>
      <w:lvlJc w:val="left"/>
      <w:pPr>
        <w:tabs>
          <w:tab w:val="num" w:pos="2835"/>
        </w:tabs>
        <w:ind w:left="2835" w:hanging="709"/>
      </w:pPr>
      <w:rPr>
        <w:rFonts w:ascii="Arial" w:hAnsi="Arial" w:cs="Times New Roman" w:hint="default"/>
        <w:b w:val="0"/>
        <w:i w:val="0"/>
        <w:sz w:val="22"/>
        <w:szCs w:val="22"/>
      </w:rPr>
    </w:lvl>
    <w:lvl w:ilvl="4">
      <w:start w:val="1"/>
      <w:numFmt w:val="lowerRoman"/>
      <w:lvlText w:val="(%5)"/>
      <w:lvlJc w:val="left"/>
      <w:pPr>
        <w:tabs>
          <w:tab w:val="num" w:pos="3544"/>
        </w:tabs>
        <w:ind w:left="3544" w:hanging="709"/>
      </w:pPr>
      <w:rPr>
        <w:rFonts w:ascii="Arial" w:hAnsi="Arial" w:cs="Times New Roman" w:hint="default"/>
        <w:b w:val="0"/>
        <w:i w:val="0"/>
        <w:sz w:val="24"/>
      </w:rPr>
    </w:lvl>
    <w:lvl w:ilvl="5">
      <w:start w:val="1"/>
      <w:numFmt w:val="lowerLetter"/>
      <w:lvlText w:val="(a%6)"/>
      <w:lvlJc w:val="left"/>
      <w:pPr>
        <w:tabs>
          <w:tab w:val="num" w:pos="4254"/>
        </w:tabs>
        <w:ind w:left="4254" w:hanging="709"/>
      </w:pPr>
      <w:rPr>
        <w:rFonts w:ascii="Arial" w:hAnsi="Arial" w:cs="Times New Roman" w:hint="default"/>
        <w:b w:val="0"/>
        <w:i w:val="0"/>
        <w:sz w:val="24"/>
      </w:rPr>
    </w:lvl>
    <w:lvl w:ilvl="6">
      <w:start w:val="1"/>
      <w:numFmt w:val="lowerLetter"/>
      <w:lvlText w:val="(b%7)"/>
      <w:lvlJc w:val="left"/>
      <w:pPr>
        <w:tabs>
          <w:tab w:val="num" w:pos="0"/>
        </w:tabs>
        <w:ind w:left="4963" w:hanging="709"/>
      </w:pPr>
      <w:rPr>
        <w:rFonts w:cs="Times New Roman" w:hint="default"/>
      </w:rPr>
    </w:lvl>
    <w:lvl w:ilvl="7">
      <w:start w:val="1"/>
      <w:numFmt w:val="lowerLetter"/>
      <w:lvlText w:val="(c%8)"/>
      <w:lvlJc w:val="left"/>
      <w:pPr>
        <w:tabs>
          <w:tab w:val="num" w:pos="0"/>
        </w:tabs>
        <w:ind w:left="5672" w:hanging="709"/>
      </w:pPr>
      <w:rPr>
        <w:rFonts w:cs="Times New Roman" w:hint="default"/>
      </w:rPr>
    </w:lvl>
    <w:lvl w:ilvl="8">
      <w:start w:val="1"/>
      <w:numFmt w:val="decimal"/>
      <w:lvlText w:val="(c%8)%9."/>
      <w:lvlJc w:val="left"/>
      <w:pPr>
        <w:tabs>
          <w:tab w:val="num" w:pos="0"/>
        </w:tabs>
        <w:ind w:left="6392" w:hanging="720"/>
      </w:pPr>
      <w:rPr>
        <w:rFonts w:cs="Times New Roman" w:hint="default"/>
      </w:rPr>
    </w:lvl>
  </w:abstractNum>
  <w:abstractNum w:abstractNumId="2" w15:restartNumberingAfterBreak="0">
    <w:nsid w:val="03F21931"/>
    <w:multiLevelType w:val="multilevel"/>
    <w:tmpl w:val="9C04EBF0"/>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1701"/>
        </w:tabs>
        <w:ind w:left="1701" w:hanging="850"/>
      </w:pPr>
      <w:rPr>
        <w:rFonts w:hint="default"/>
        <w:b w:val="0"/>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835"/>
        </w:tabs>
        <w:ind w:left="3402" w:hanging="850"/>
      </w:pPr>
      <w:rPr>
        <w:rFonts w:hint="default"/>
      </w:rPr>
    </w:lvl>
    <w:lvl w:ilvl="4">
      <w:start w:val="1"/>
      <w:numFmt w:val="decimal"/>
      <w:lvlText w:val="%1.%2.%3.%4.%5."/>
      <w:lvlJc w:val="left"/>
      <w:pPr>
        <w:ind w:left="4253" w:hanging="851"/>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095A7A26"/>
    <w:multiLevelType w:val="hybridMultilevel"/>
    <w:tmpl w:val="769CDC6A"/>
    <w:lvl w:ilvl="0" w:tplc="72686CA8">
      <w:start w:val="1"/>
      <w:numFmt w:val="decimal"/>
      <w:pStyle w:val="JUDGMENTNUMBERED"/>
      <w:lvlText w:val="[%1]"/>
      <w:lvlJc w:val="left"/>
      <w:pPr>
        <w:ind w:left="502"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82D4A4A2">
      <w:start w:val="1"/>
      <w:numFmt w:val="lowerLetter"/>
      <w:lvlText w:val="(%2)"/>
      <w:lvlJc w:val="left"/>
      <w:pPr>
        <w:ind w:left="1440" w:hanging="360"/>
      </w:pPr>
      <w:rPr>
        <w:rFonts w:cs="Times New Roman"/>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DF508F"/>
    <w:multiLevelType w:val="hybridMultilevel"/>
    <w:tmpl w:val="CB94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7BC"/>
    <w:multiLevelType w:val="multilevel"/>
    <w:tmpl w:val="7A604A8A"/>
    <w:lvl w:ilvl="0">
      <w:start w:val="1"/>
      <w:numFmt w:val="decimal"/>
      <w:lvlText w:val="[%1]"/>
      <w:lvlJc w:val="left"/>
      <w:pPr>
        <w:tabs>
          <w:tab w:val="num" w:pos="567"/>
        </w:tabs>
        <w:ind w:left="567" w:hanging="567"/>
      </w:pPr>
      <w:rPr>
        <w:rFonts w:hint="default"/>
        <w:b w:val="0"/>
        <w:i w:val="0"/>
        <w:color w:val="auto"/>
        <w:sz w:val="24"/>
        <w:szCs w:val="24"/>
        <w:u w:val="none"/>
      </w:rPr>
    </w:lvl>
    <w:lvl w:ilvl="1">
      <w:start w:val="1"/>
      <w:numFmt w:val="decimal"/>
      <w:isLgl/>
      <w:lvlText w:val="[%1.%2]"/>
      <w:lvlJc w:val="left"/>
      <w:pPr>
        <w:tabs>
          <w:tab w:val="num" w:pos="851"/>
        </w:tabs>
        <w:ind w:left="851" w:hanging="851"/>
      </w:pPr>
      <w:rPr>
        <w:rFonts w:ascii="Arial (W1)" w:hAnsi="Arial (W1)" w:hint="default"/>
        <w:b w:val="0"/>
        <w:i w:val="0"/>
        <w:sz w:val="24"/>
        <w:szCs w:val="24"/>
      </w:rPr>
    </w:lvl>
    <w:lvl w:ilvl="2">
      <w:start w:val="1"/>
      <w:numFmt w:val="decimal"/>
      <w:isLgl/>
      <w:lvlText w:val="[%1.%2.%3]"/>
      <w:lvlJc w:val="left"/>
      <w:pPr>
        <w:tabs>
          <w:tab w:val="num" w:pos="1134"/>
        </w:tabs>
        <w:ind w:left="1134" w:hanging="1134"/>
      </w:pPr>
      <w:rPr>
        <w:rFonts w:ascii="Arial (W1)" w:hAnsi="Arial (W1)" w:hint="default"/>
        <w:b w:val="0"/>
        <w:i w:val="0"/>
        <w:sz w:val="24"/>
        <w:szCs w:val="24"/>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D3561F1"/>
    <w:multiLevelType w:val="multilevel"/>
    <w:tmpl w:val="4BECF900"/>
    <w:lvl w:ilvl="0">
      <w:start w:val="1"/>
      <w:numFmt w:val="decimal"/>
      <w:lvlRestart w:val="0"/>
      <w:lvlText w:val="%1."/>
      <w:lvlJc w:val="left"/>
      <w:pPr>
        <w:tabs>
          <w:tab w:val="num" w:pos="1134"/>
        </w:tabs>
        <w:ind w:left="1134" w:hanging="1134"/>
      </w:pPr>
    </w:lvl>
    <w:lvl w:ilvl="1">
      <w:start w:val="1"/>
      <w:numFmt w:val="decimal"/>
      <w:lvlText w:val="%1.%2."/>
      <w:lvlJc w:val="left"/>
      <w:pPr>
        <w:tabs>
          <w:tab w:val="num" w:pos="2324"/>
        </w:tabs>
        <w:ind w:left="2268" w:hanging="1134"/>
      </w:pPr>
    </w:lvl>
    <w:lvl w:ilvl="2">
      <w:start w:val="1"/>
      <w:numFmt w:val="decimal"/>
      <w:lvlText w:val="%1.%2.%3."/>
      <w:lvlJc w:val="left"/>
      <w:pPr>
        <w:tabs>
          <w:tab w:val="num" w:pos="3458"/>
        </w:tabs>
        <w:ind w:left="3402" w:hanging="1134"/>
      </w:pPr>
    </w:lvl>
    <w:lvl w:ilvl="3">
      <w:start w:val="1"/>
      <w:numFmt w:val="decimal"/>
      <w:lvlText w:val="%1.%2.%3.%4."/>
      <w:lvlJc w:val="left"/>
      <w:pPr>
        <w:tabs>
          <w:tab w:val="num" w:pos="4592"/>
        </w:tabs>
        <w:ind w:left="4535" w:hanging="1133"/>
      </w:pPr>
    </w:lvl>
    <w:lvl w:ilvl="4">
      <w:start w:val="1"/>
      <w:numFmt w:val="decimal"/>
      <w:lvlText w:val="%1.%2.%3.%4.%5."/>
      <w:lvlJc w:val="left"/>
      <w:pPr>
        <w:tabs>
          <w:tab w:val="num" w:pos="5726"/>
        </w:tabs>
        <w:ind w:left="5669" w:hanging="1134"/>
      </w:pPr>
    </w:lvl>
    <w:lvl w:ilvl="5">
      <w:start w:val="1"/>
      <w:numFmt w:val="decimal"/>
      <w:lvlText w:val="%1.%2.%3.%4.%5.%6."/>
      <w:lvlJc w:val="left"/>
      <w:pPr>
        <w:tabs>
          <w:tab w:val="num" w:pos="6860"/>
        </w:tabs>
        <w:ind w:left="6803" w:hanging="1134"/>
      </w:pPr>
    </w:lvl>
    <w:lvl w:ilvl="6">
      <w:start w:val="1"/>
      <w:numFmt w:val="decimal"/>
      <w:lvlText w:val="%1.%2.%3.%4.%5.%6.%7."/>
      <w:lvlJc w:val="left"/>
      <w:pPr>
        <w:tabs>
          <w:tab w:val="num" w:pos="7994"/>
        </w:tabs>
        <w:ind w:left="7937" w:hanging="1134"/>
      </w:pPr>
    </w:lvl>
    <w:lvl w:ilvl="7">
      <w:start w:val="1"/>
      <w:numFmt w:val="decimal"/>
      <w:lvlText w:val="%1.%2.%3.%4.%5.%6.%7.%8."/>
      <w:lvlJc w:val="left"/>
      <w:pPr>
        <w:tabs>
          <w:tab w:val="num" w:pos="9128"/>
        </w:tabs>
        <w:ind w:left="9071" w:hanging="1134"/>
      </w:pPr>
    </w:lvl>
    <w:lvl w:ilvl="8">
      <w:start w:val="1"/>
      <w:numFmt w:val="decimal"/>
      <w:lvlText w:val="%1.%2.%3.%4.%5.%6.%7.%8.%9."/>
      <w:lvlJc w:val="left"/>
      <w:pPr>
        <w:tabs>
          <w:tab w:val="num" w:pos="10261"/>
        </w:tabs>
        <w:ind w:left="10205" w:hanging="1134"/>
      </w:pPr>
    </w:lvl>
  </w:abstractNum>
  <w:abstractNum w:abstractNumId="7" w15:restartNumberingAfterBreak="0">
    <w:nsid w:val="0DA05E23"/>
    <w:multiLevelType w:val="multilevel"/>
    <w:tmpl w:val="0EAA0288"/>
    <w:styleLink w:val="Style1"/>
    <w:lvl w:ilvl="0">
      <w:start w:val="1"/>
      <w:numFmt w:val="decimal"/>
      <w:lvlText w:val="%1."/>
      <w:lvlJc w:val="left"/>
      <w:pPr>
        <w:tabs>
          <w:tab w:val="num" w:pos="851"/>
        </w:tabs>
        <w:ind w:left="851" w:hanging="851"/>
      </w:pPr>
      <w:rPr>
        <w:rFonts w:hint="default"/>
        <w:b w:val="0"/>
        <w:bCs/>
      </w:rPr>
    </w:lvl>
    <w:lvl w:ilvl="1">
      <w:start w:val="1"/>
      <w:numFmt w:val="decimal"/>
      <w:lvlText w:val="%1.%2."/>
      <w:lvlJc w:val="left"/>
      <w:pPr>
        <w:tabs>
          <w:tab w:val="num" w:pos="1853"/>
        </w:tabs>
        <w:ind w:left="1853" w:hanging="850"/>
      </w:pPr>
      <w:rPr>
        <w:rFonts w:hint="default"/>
      </w:rPr>
    </w:lvl>
    <w:lvl w:ilvl="2">
      <w:start w:val="1"/>
      <w:numFmt w:val="decimal"/>
      <w:lvlText w:val="%1.%2.%3."/>
      <w:lvlJc w:val="left"/>
      <w:pPr>
        <w:tabs>
          <w:tab w:val="num" w:pos="2704"/>
        </w:tabs>
        <w:ind w:left="2704" w:hanging="851"/>
      </w:pPr>
      <w:rPr>
        <w:rFonts w:hint="default"/>
      </w:rPr>
    </w:lvl>
    <w:lvl w:ilvl="3">
      <w:start w:val="1"/>
      <w:numFmt w:val="lowerLetter"/>
      <w:lvlText w:val="(%4)"/>
      <w:lvlJc w:val="left"/>
      <w:pPr>
        <w:tabs>
          <w:tab w:val="num" w:pos="3271"/>
        </w:tabs>
        <w:ind w:left="3271" w:hanging="567"/>
      </w:pPr>
      <w:rPr>
        <w:rFonts w:hint="default"/>
      </w:rPr>
    </w:lvl>
    <w:lvl w:ilvl="4">
      <w:start w:val="1"/>
      <w:numFmt w:val="decimal"/>
      <w:lvlText w:val="%1.%2.%3.%4.%5."/>
      <w:lvlJc w:val="left"/>
      <w:pPr>
        <w:tabs>
          <w:tab w:val="num" w:pos="2384"/>
        </w:tabs>
        <w:ind w:left="2384" w:hanging="792"/>
      </w:pPr>
      <w:rPr>
        <w:rFonts w:hint="default"/>
      </w:rPr>
    </w:lvl>
    <w:lvl w:ilvl="5">
      <w:start w:val="1"/>
      <w:numFmt w:val="decimal"/>
      <w:lvlText w:val="%1.%2.%3.%4.%5.%6."/>
      <w:lvlJc w:val="left"/>
      <w:pPr>
        <w:tabs>
          <w:tab w:val="num" w:pos="2888"/>
        </w:tabs>
        <w:ind w:left="2888" w:hanging="936"/>
      </w:pPr>
      <w:rPr>
        <w:rFonts w:hint="default"/>
      </w:rPr>
    </w:lvl>
    <w:lvl w:ilvl="6">
      <w:start w:val="1"/>
      <w:numFmt w:val="decimal"/>
      <w:lvlText w:val="%1.%2.%3.%4.%5.%6.%7."/>
      <w:lvlJc w:val="left"/>
      <w:pPr>
        <w:tabs>
          <w:tab w:val="num" w:pos="3392"/>
        </w:tabs>
        <w:ind w:left="3392" w:hanging="1080"/>
      </w:pPr>
      <w:rPr>
        <w:rFonts w:hint="default"/>
      </w:rPr>
    </w:lvl>
    <w:lvl w:ilvl="7">
      <w:start w:val="1"/>
      <w:numFmt w:val="decimal"/>
      <w:lvlText w:val="%1.%2.%3.%4.%5.%6.%7.%8."/>
      <w:lvlJc w:val="left"/>
      <w:pPr>
        <w:tabs>
          <w:tab w:val="num" w:pos="3896"/>
        </w:tabs>
        <w:ind w:left="3896" w:hanging="1224"/>
      </w:pPr>
      <w:rPr>
        <w:rFonts w:hint="default"/>
      </w:rPr>
    </w:lvl>
    <w:lvl w:ilvl="8">
      <w:start w:val="1"/>
      <w:numFmt w:val="decimal"/>
      <w:lvlText w:val="%1.%2.%3.%4.%5.%6.%7.%8.%9."/>
      <w:lvlJc w:val="left"/>
      <w:pPr>
        <w:tabs>
          <w:tab w:val="num" w:pos="4472"/>
        </w:tabs>
        <w:ind w:left="4472" w:hanging="1440"/>
      </w:pPr>
      <w:rPr>
        <w:rFonts w:hint="default"/>
      </w:rPr>
    </w:lvl>
  </w:abstractNum>
  <w:abstractNum w:abstractNumId="8" w15:restartNumberingAfterBreak="0">
    <w:nsid w:val="154C3444"/>
    <w:multiLevelType w:val="multilevel"/>
    <w:tmpl w:val="DD222118"/>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rPr>
        <w:b w:val="0"/>
      </w:r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9" w15:restartNumberingAfterBreak="0">
    <w:nsid w:val="16334A6E"/>
    <w:multiLevelType w:val="hybridMultilevel"/>
    <w:tmpl w:val="85C67BB2"/>
    <w:lvl w:ilvl="0" w:tplc="4C585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0497B"/>
    <w:multiLevelType w:val="multilevel"/>
    <w:tmpl w:val="0EAA0288"/>
    <w:lvl w:ilvl="0">
      <w:start w:val="1"/>
      <w:numFmt w:val="decimal"/>
      <w:lvlText w:val="%1."/>
      <w:lvlJc w:val="left"/>
      <w:pPr>
        <w:tabs>
          <w:tab w:val="num" w:pos="851"/>
        </w:tabs>
        <w:ind w:left="851" w:hanging="851"/>
      </w:pPr>
      <w:rPr>
        <w:rFonts w:hint="default"/>
        <w:b w:val="0"/>
        <w:bCs/>
      </w:rPr>
    </w:lvl>
    <w:lvl w:ilvl="1">
      <w:start w:val="1"/>
      <w:numFmt w:val="decimal"/>
      <w:lvlText w:val="%1.%2."/>
      <w:lvlJc w:val="left"/>
      <w:pPr>
        <w:tabs>
          <w:tab w:val="num" w:pos="1853"/>
        </w:tabs>
        <w:ind w:left="1853" w:hanging="850"/>
      </w:pPr>
      <w:rPr>
        <w:rFonts w:hint="default"/>
      </w:rPr>
    </w:lvl>
    <w:lvl w:ilvl="2">
      <w:start w:val="1"/>
      <w:numFmt w:val="decimal"/>
      <w:lvlText w:val="%1.%2.%3."/>
      <w:lvlJc w:val="left"/>
      <w:pPr>
        <w:tabs>
          <w:tab w:val="num" w:pos="2704"/>
        </w:tabs>
        <w:ind w:left="2704" w:hanging="851"/>
      </w:pPr>
      <w:rPr>
        <w:rFonts w:hint="default"/>
      </w:rPr>
    </w:lvl>
    <w:lvl w:ilvl="3">
      <w:start w:val="1"/>
      <w:numFmt w:val="lowerLetter"/>
      <w:lvlText w:val="(%4)"/>
      <w:lvlJc w:val="left"/>
      <w:pPr>
        <w:tabs>
          <w:tab w:val="num" w:pos="3271"/>
        </w:tabs>
        <w:ind w:left="3271" w:hanging="567"/>
      </w:pPr>
      <w:rPr>
        <w:rFonts w:hint="default"/>
      </w:rPr>
    </w:lvl>
    <w:lvl w:ilvl="4">
      <w:start w:val="1"/>
      <w:numFmt w:val="decimal"/>
      <w:lvlText w:val="%1.%2.%3.%4.%5."/>
      <w:lvlJc w:val="left"/>
      <w:pPr>
        <w:tabs>
          <w:tab w:val="num" w:pos="2384"/>
        </w:tabs>
        <w:ind w:left="2384" w:hanging="792"/>
      </w:pPr>
      <w:rPr>
        <w:rFonts w:hint="default"/>
      </w:rPr>
    </w:lvl>
    <w:lvl w:ilvl="5">
      <w:start w:val="1"/>
      <w:numFmt w:val="decimal"/>
      <w:lvlText w:val="%1.%2.%3.%4.%5.%6."/>
      <w:lvlJc w:val="left"/>
      <w:pPr>
        <w:tabs>
          <w:tab w:val="num" w:pos="2888"/>
        </w:tabs>
        <w:ind w:left="2888" w:hanging="936"/>
      </w:pPr>
      <w:rPr>
        <w:rFonts w:hint="default"/>
      </w:rPr>
    </w:lvl>
    <w:lvl w:ilvl="6">
      <w:start w:val="1"/>
      <w:numFmt w:val="decimal"/>
      <w:lvlText w:val="%1.%2.%3.%4.%5.%6.%7."/>
      <w:lvlJc w:val="left"/>
      <w:pPr>
        <w:tabs>
          <w:tab w:val="num" w:pos="3392"/>
        </w:tabs>
        <w:ind w:left="3392" w:hanging="1080"/>
      </w:pPr>
      <w:rPr>
        <w:rFonts w:hint="default"/>
      </w:rPr>
    </w:lvl>
    <w:lvl w:ilvl="7">
      <w:start w:val="1"/>
      <w:numFmt w:val="decimal"/>
      <w:lvlText w:val="%1.%2.%3.%4.%5.%6.%7.%8."/>
      <w:lvlJc w:val="left"/>
      <w:pPr>
        <w:tabs>
          <w:tab w:val="num" w:pos="3896"/>
        </w:tabs>
        <w:ind w:left="3896" w:hanging="1224"/>
      </w:pPr>
      <w:rPr>
        <w:rFonts w:hint="default"/>
      </w:rPr>
    </w:lvl>
    <w:lvl w:ilvl="8">
      <w:start w:val="1"/>
      <w:numFmt w:val="decimal"/>
      <w:lvlText w:val="%1.%2.%3.%4.%5.%6.%7.%8.%9."/>
      <w:lvlJc w:val="left"/>
      <w:pPr>
        <w:tabs>
          <w:tab w:val="num" w:pos="4472"/>
        </w:tabs>
        <w:ind w:left="4472" w:hanging="1440"/>
      </w:pPr>
      <w:rPr>
        <w:rFonts w:hint="default"/>
      </w:rPr>
    </w:lvl>
  </w:abstractNum>
  <w:abstractNum w:abstractNumId="11" w15:restartNumberingAfterBreak="0">
    <w:nsid w:val="2A0E153D"/>
    <w:multiLevelType w:val="hybridMultilevel"/>
    <w:tmpl w:val="F6E8B21C"/>
    <w:lvl w:ilvl="0" w:tplc="D5164C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1224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D13B1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C14C28"/>
    <w:multiLevelType w:val="hybridMultilevel"/>
    <w:tmpl w:val="E2E60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6EB3F44"/>
    <w:multiLevelType w:val="multilevel"/>
    <w:tmpl w:val="0EAA0288"/>
    <w:numStyleLink w:val="Style1"/>
  </w:abstractNum>
  <w:abstractNum w:abstractNumId="16" w15:restartNumberingAfterBreak="0">
    <w:nsid w:val="58A75599"/>
    <w:multiLevelType w:val="multilevel"/>
    <w:tmpl w:val="0EAA0288"/>
    <w:lvl w:ilvl="0">
      <w:start w:val="1"/>
      <w:numFmt w:val="decimal"/>
      <w:pStyle w:val="ListLevel1"/>
      <w:lvlText w:val="%1."/>
      <w:lvlJc w:val="left"/>
      <w:pPr>
        <w:tabs>
          <w:tab w:val="num" w:pos="851"/>
        </w:tabs>
        <w:ind w:left="851" w:hanging="851"/>
      </w:pPr>
      <w:rPr>
        <w:rFonts w:hint="default"/>
        <w:b w:val="0"/>
        <w:bCs/>
      </w:rPr>
    </w:lvl>
    <w:lvl w:ilvl="1">
      <w:start w:val="1"/>
      <w:numFmt w:val="decimal"/>
      <w:pStyle w:val="ListLevel2"/>
      <w:lvlText w:val="%1.%2."/>
      <w:lvlJc w:val="left"/>
      <w:pPr>
        <w:tabs>
          <w:tab w:val="num" w:pos="1853"/>
        </w:tabs>
        <w:ind w:left="1853" w:hanging="850"/>
      </w:pPr>
      <w:rPr>
        <w:rFonts w:hint="default"/>
      </w:rPr>
    </w:lvl>
    <w:lvl w:ilvl="2">
      <w:start w:val="1"/>
      <w:numFmt w:val="decimal"/>
      <w:pStyle w:val="ListLevel3"/>
      <w:lvlText w:val="%1.%2.%3."/>
      <w:lvlJc w:val="left"/>
      <w:pPr>
        <w:tabs>
          <w:tab w:val="num" w:pos="2704"/>
        </w:tabs>
        <w:ind w:left="2704" w:hanging="851"/>
      </w:pPr>
      <w:rPr>
        <w:rFonts w:hint="default"/>
      </w:rPr>
    </w:lvl>
    <w:lvl w:ilvl="3">
      <w:start w:val="1"/>
      <w:numFmt w:val="lowerLetter"/>
      <w:pStyle w:val="ListLevel4"/>
      <w:lvlText w:val="(%4)"/>
      <w:lvlJc w:val="left"/>
      <w:pPr>
        <w:tabs>
          <w:tab w:val="num" w:pos="3271"/>
        </w:tabs>
        <w:ind w:left="3271" w:hanging="567"/>
      </w:pPr>
      <w:rPr>
        <w:rFonts w:hint="default"/>
      </w:rPr>
    </w:lvl>
    <w:lvl w:ilvl="4">
      <w:start w:val="1"/>
      <w:numFmt w:val="decimal"/>
      <w:pStyle w:val="BDHMainAgreement5"/>
      <w:lvlText w:val="%1.%2.%3.%4.%5."/>
      <w:lvlJc w:val="left"/>
      <w:pPr>
        <w:tabs>
          <w:tab w:val="num" w:pos="2384"/>
        </w:tabs>
        <w:ind w:left="2384" w:hanging="792"/>
      </w:pPr>
      <w:rPr>
        <w:rFonts w:hint="default"/>
      </w:rPr>
    </w:lvl>
    <w:lvl w:ilvl="5">
      <w:start w:val="1"/>
      <w:numFmt w:val="decimal"/>
      <w:pStyle w:val="BDHMainAgreement6"/>
      <w:lvlText w:val="%1.%2.%3.%4.%5.%6."/>
      <w:lvlJc w:val="left"/>
      <w:pPr>
        <w:tabs>
          <w:tab w:val="num" w:pos="2888"/>
        </w:tabs>
        <w:ind w:left="2888" w:hanging="936"/>
      </w:pPr>
      <w:rPr>
        <w:rFonts w:hint="default"/>
      </w:rPr>
    </w:lvl>
    <w:lvl w:ilvl="6">
      <w:start w:val="1"/>
      <w:numFmt w:val="decimal"/>
      <w:lvlText w:val="%1.%2.%3.%4.%5.%6.%7."/>
      <w:lvlJc w:val="left"/>
      <w:pPr>
        <w:tabs>
          <w:tab w:val="num" w:pos="3392"/>
        </w:tabs>
        <w:ind w:left="3392" w:hanging="1080"/>
      </w:pPr>
      <w:rPr>
        <w:rFonts w:hint="default"/>
      </w:rPr>
    </w:lvl>
    <w:lvl w:ilvl="7">
      <w:start w:val="1"/>
      <w:numFmt w:val="decimal"/>
      <w:lvlText w:val="%1.%2.%3.%4.%5.%6.%7.%8."/>
      <w:lvlJc w:val="left"/>
      <w:pPr>
        <w:tabs>
          <w:tab w:val="num" w:pos="3896"/>
        </w:tabs>
        <w:ind w:left="3896" w:hanging="1224"/>
      </w:pPr>
      <w:rPr>
        <w:rFonts w:hint="default"/>
      </w:rPr>
    </w:lvl>
    <w:lvl w:ilvl="8">
      <w:start w:val="1"/>
      <w:numFmt w:val="decimal"/>
      <w:lvlText w:val="%1.%2.%3.%4.%5.%6.%7.%8.%9."/>
      <w:lvlJc w:val="left"/>
      <w:pPr>
        <w:tabs>
          <w:tab w:val="num" w:pos="4472"/>
        </w:tabs>
        <w:ind w:left="4472" w:hanging="1440"/>
      </w:pPr>
      <w:rPr>
        <w:rFonts w:hint="default"/>
      </w:rPr>
    </w:lvl>
  </w:abstractNum>
  <w:abstractNum w:abstractNumId="17" w15:restartNumberingAfterBreak="0">
    <w:nsid w:val="669C325B"/>
    <w:multiLevelType w:val="hybridMultilevel"/>
    <w:tmpl w:val="CB94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E4A7D"/>
    <w:multiLevelType w:val="multilevel"/>
    <w:tmpl w:val="C6D45838"/>
    <w:lvl w:ilvl="0">
      <w:start w:val="1"/>
      <w:numFmt w:val="decimal"/>
      <w:lvlText w:val="[%1]"/>
      <w:lvlJc w:val="left"/>
      <w:pPr>
        <w:tabs>
          <w:tab w:val="num" w:pos="567"/>
        </w:tabs>
        <w:ind w:left="567" w:hanging="567"/>
      </w:pPr>
      <w:rPr>
        <w:rFonts w:hint="default"/>
        <w:b w:val="0"/>
        <w:i w:val="0"/>
        <w:color w:val="auto"/>
        <w:sz w:val="24"/>
        <w:szCs w:val="24"/>
        <w:u w:val="none"/>
      </w:rPr>
    </w:lvl>
    <w:lvl w:ilvl="1">
      <w:start w:val="1"/>
      <w:numFmt w:val="decimal"/>
      <w:isLgl/>
      <w:lvlText w:val="[%1.%2]"/>
      <w:lvlJc w:val="left"/>
      <w:pPr>
        <w:tabs>
          <w:tab w:val="num" w:pos="851"/>
        </w:tabs>
        <w:ind w:left="851" w:hanging="851"/>
      </w:pPr>
      <w:rPr>
        <w:rFonts w:ascii="Arial (W1)" w:hAnsi="Arial (W1)" w:hint="default"/>
        <w:b w:val="0"/>
        <w:i w:val="0"/>
        <w:sz w:val="24"/>
        <w:szCs w:val="24"/>
      </w:rPr>
    </w:lvl>
    <w:lvl w:ilvl="2">
      <w:start w:val="1"/>
      <w:numFmt w:val="decimal"/>
      <w:isLgl/>
      <w:lvlText w:val="[%1.%2.%3]"/>
      <w:lvlJc w:val="left"/>
      <w:pPr>
        <w:tabs>
          <w:tab w:val="num" w:pos="1134"/>
        </w:tabs>
        <w:ind w:left="1134" w:hanging="1134"/>
      </w:pPr>
      <w:rPr>
        <w:rFonts w:ascii="Arial (W1)" w:hAnsi="Arial (W1)" w:hint="default"/>
        <w:b w:val="0"/>
        <w:i w:val="0"/>
        <w:sz w:val="24"/>
        <w:szCs w:val="24"/>
      </w:rPr>
    </w:lvl>
    <w:lvl w:ilvl="3">
      <w:start w:val="1"/>
      <w:numFmt w:val="decimal"/>
      <w:isLgl/>
      <w:lvlText w:val="[%1.%2.%3.%4]"/>
      <w:lvlJc w:val="left"/>
      <w:pPr>
        <w:tabs>
          <w:tab w:val="num" w:pos="1418"/>
        </w:tabs>
        <w:ind w:left="1418" w:hanging="1418"/>
      </w:pPr>
      <w:rPr>
        <w:rFonts w:ascii="Arial (W1)" w:hAnsi="Arial (W1)" w:hint="default"/>
        <w:b w:val="0"/>
        <w:i w:val="0"/>
        <w:sz w:val="22"/>
        <w:szCs w:val="22"/>
      </w:rPr>
    </w:lvl>
    <w:lvl w:ilvl="4">
      <w:start w:val="1"/>
      <w:numFmt w:val="decimal"/>
      <w:lvlText w:val="[%1.%2.%3.%4.%5]"/>
      <w:lvlJc w:val="left"/>
      <w:pPr>
        <w:tabs>
          <w:tab w:val="num" w:pos="1701"/>
        </w:tabs>
        <w:ind w:left="1701" w:hanging="1701"/>
      </w:pPr>
      <w:rPr>
        <w:rFonts w:ascii="Arial (W1)" w:hAnsi="Arial (W1)" w:hint="default"/>
        <w:b w:val="0"/>
        <w:i w:val="0"/>
        <w:sz w:val="22"/>
        <w:szCs w:val="22"/>
      </w:rPr>
    </w:lvl>
    <w:lvl w:ilvl="5">
      <w:start w:val="1"/>
      <w:numFmt w:val="decimal"/>
      <w:lvlText w:val="[%1.%2.%3.%4.%5.%6]"/>
      <w:lvlJc w:val="left"/>
      <w:pPr>
        <w:tabs>
          <w:tab w:val="num" w:pos="1985"/>
        </w:tabs>
        <w:ind w:left="1985" w:hanging="1985"/>
      </w:pPr>
      <w:rPr>
        <w:rFonts w:ascii="Arial (W1)" w:hAnsi="Arial (W1)" w:hint="default"/>
        <w:b w:val="0"/>
        <w:i w:val="0"/>
        <w:sz w:val="22"/>
        <w:szCs w:val="22"/>
      </w:rPr>
    </w:lvl>
    <w:lvl w:ilvl="6">
      <w:start w:val="1"/>
      <w:numFmt w:val="decimal"/>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D17F80"/>
    <w:multiLevelType w:val="hybridMultilevel"/>
    <w:tmpl w:val="55644460"/>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705DA6"/>
    <w:multiLevelType w:val="hybridMultilevel"/>
    <w:tmpl w:val="957A06DC"/>
    <w:lvl w:ilvl="0" w:tplc="9974669A">
      <w:start w:val="1"/>
      <w:numFmt w:val="decimal"/>
      <w:lvlText w:val="(%1)"/>
      <w:lvlJc w:val="left"/>
      <w:pPr>
        <w:ind w:left="2062" w:hanging="360"/>
      </w:pPr>
      <w:rPr>
        <w:rFonts w:cs="Times New Roman" w:hint="default"/>
      </w:rPr>
    </w:lvl>
    <w:lvl w:ilvl="1" w:tplc="1C090019" w:tentative="1">
      <w:start w:val="1"/>
      <w:numFmt w:val="lowerLetter"/>
      <w:lvlText w:val="%2."/>
      <w:lvlJc w:val="left"/>
      <w:pPr>
        <w:ind w:left="2782" w:hanging="360"/>
      </w:pPr>
      <w:rPr>
        <w:rFonts w:cs="Times New Roman"/>
      </w:rPr>
    </w:lvl>
    <w:lvl w:ilvl="2" w:tplc="1C09001B" w:tentative="1">
      <w:start w:val="1"/>
      <w:numFmt w:val="lowerRoman"/>
      <w:lvlText w:val="%3."/>
      <w:lvlJc w:val="right"/>
      <w:pPr>
        <w:ind w:left="3502" w:hanging="180"/>
      </w:pPr>
      <w:rPr>
        <w:rFonts w:cs="Times New Roman"/>
      </w:rPr>
    </w:lvl>
    <w:lvl w:ilvl="3" w:tplc="1C09000F" w:tentative="1">
      <w:start w:val="1"/>
      <w:numFmt w:val="decimal"/>
      <w:lvlText w:val="%4."/>
      <w:lvlJc w:val="left"/>
      <w:pPr>
        <w:ind w:left="4222" w:hanging="360"/>
      </w:pPr>
      <w:rPr>
        <w:rFonts w:cs="Times New Roman"/>
      </w:rPr>
    </w:lvl>
    <w:lvl w:ilvl="4" w:tplc="1C090019" w:tentative="1">
      <w:start w:val="1"/>
      <w:numFmt w:val="lowerLetter"/>
      <w:lvlText w:val="%5."/>
      <w:lvlJc w:val="left"/>
      <w:pPr>
        <w:ind w:left="4942" w:hanging="360"/>
      </w:pPr>
      <w:rPr>
        <w:rFonts w:cs="Times New Roman"/>
      </w:rPr>
    </w:lvl>
    <w:lvl w:ilvl="5" w:tplc="1C09001B" w:tentative="1">
      <w:start w:val="1"/>
      <w:numFmt w:val="lowerRoman"/>
      <w:lvlText w:val="%6."/>
      <w:lvlJc w:val="right"/>
      <w:pPr>
        <w:ind w:left="5662" w:hanging="180"/>
      </w:pPr>
      <w:rPr>
        <w:rFonts w:cs="Times New Roman"/>
      </w:rPr>
    </w:lvl>
    <w:lvl w:ilvl="6" w:tplc="1C09000F" w:tentative="1">
      <w:start w:val="1"/>
      <w:numFmt w:val="decimal"/>
      <w:lvlText w:val="%7."/>
      <w:lvlJc w:val="left"/>
      <w:pPr>
        <w:ind w:left="6382" w:hanging="360"/>
      </w:pPr>
      <w:rPr>
        <w:rFonts w:cs="Times New Roman"/>
      </w:rPr>
    </w:lvl>
    <w:lvl w:ilvl="7" w:tplc="1C090019" w:tentative="1">
      <w:start w:val="1"/>
      <w:numFmt w:val="lowerLetter"/>
      <w:lvlText w:val="%8."/>
      <w:lvlJc w:val="left"/>
      <w:pPr>
        <w:ind w:left="7102" w:hanging="360"/>
      </w:pPr>
      <w:rPr>
        <w:rFonts w:cs="Times New Roman"/>
      </w:rPr>
    </w:lvl>
    <w:lvl w:ilvl="8" w:tplc="1C09001B" w:tentative="1">
      <w:start w:val="1"/>
      <w:numFmt w:val="lowerRoman"/>
      <w:lvlText w:val="%9."/>
      <w:lvlJc w:val="right"/>
      <w:pPr>
        <w:ind w:left="7822" w:hanging="180"/>
      </w:pPr>
      <w:rPr>
        <w:rFonts w:cs="Times New Roman"/>
      </w:rPr>
    </w:lvl>
  </w:abstractNum>
  <w:abstractNum w:abstractNumId="21" w15:restartNumberingAfterBreak="0">
    <w:nsid w:val="74A77F50"/>
    <w:multiLevelType w:val="hybridMultilevel"/>
    <w:tmpl w:val="AFC469C8"/>
    <w:lvl w:ilvl="0" w:tplc="71A2EDDC">
      <w:start w:val="2"/>
      <w:numFmt w:val="lowerRoman"/>
      <w:lvlText w:val="(%1)"/>
      <w:lvlJc w:val="left"/>
      <w:pPr>
        <w:ind w:left="4648" w:hanging="720"/>
      </w:pPr>
      <w:rPr>
        <w:rFonts w:ascii="Univers" w:hAnsi="Univers" w:cs="Times New Roman" w:hint="default"/>
      </w:rPr>
    </w:lvl>
    <w:lvl w:ilvl="1" w:tplc="04090019" w:tentative="1">
      <w:start w:val="1"/>
      <w:numFmt w:val="lowerLetter"/>
      <w:lvlText w:val="%2."/>
      <w:lvlJc w:val="left"/>
      <w:pPr>
        <w:ind w:left="5008" w:hanging="360"/>
      </w:pPr>
    </w:lvl>
    <w:lvl w:ilvl="2" w:tplc="0409001B" w:tentative="1">
      <w:start w:val="1"/>
      <w:numFmt w:val="lowerRoman"/>
      <w:lvlText w:val="%3."/>
      <w:lvlJc w:val="right"/>
      <w:pPr>
        <w:ind w:left="5728" w:hanging="180"/>
      </w:pPr>
    </w:lvl>
    <w:lvl w:ilvl="3" w:tplc="0409000F" w:tentative="1">
      <w:start w:val="1"/>
      <w:numFmt w:val="decimal"/>
      <w:lvlText w:val="%4."/>
      <w:lvlJc w:val="left"/>
      <w:pPr>
        <w:ind w:left="6448" w:hanging="360"/>
      </w:pPr>
    </w:lvl>
    <w:lvl w:ilvl="4" w:tplc="04090019" w:tentative="1">
      <w:start w:val="1"/>
      <w:numFmt w:val="lowerLetter"/>
      <w:lvlText w:val="%5."/>
      <w:lvlJc w:val="left"/>
      <w:pPr>
        <w:ind w:left="7168" w:hanging="360"/>
      </w:pPr>
    </w:lvl>
    <w:lvl w:ilvl="5" w:tplc="0409001B" w:tentative="1">
      <w:start w:val="1"/>
      <w:numFmt w:val="lowerRoman"/>
      <w:lvlText w:val="%6."/>
      <w:lvlJc w:val="right"/>
      <w:pPr>
        <w:ind w:left="7888" w:hanging="180"/>
      </w:pPr>
    </w:lvl>
    <w:lvl w:ilvl="6" w:tplc="0409000F" w:tentative="1">
      <w:start w:val="1"/>
      <w:numFmt w:val="decimal"/>
      <w:lvlText w:val="%7."/>
      <w:lvlJc w:val="left"/>
      <w:pPr>
        <w:ind w:left="8608" w:hanging="360"/>
      </w:pPr>
    </w:lvl>
    <w:lvl w:ilvl="7" w:tplc="04090019" w:tentative="1">
      <w:start w:val="1"/>
      <w:numFmt w:val="lowerLetter"/>
      <w:lvlText w:val="%8."/>
      <w:lvlJc w:val="left"/>
      <w:pPr>
        <w:ind w:left="9328" w:hanging="360"/>
      </w:pPr>
    </w:lvl>
    <w:lvl w:ilvl="8" w:tplc="0409001B" w:tentative="1">
      <w:start w:val="1"/>
      <w:numFmt w:val="lowerRoman"/>
      <w:lvlText w:val="%9."/>
      <w:lvlJc w:val="right"/>
      <w:pPr>
        <w:ind w:left="10048" w:hanging="180"/>
      </w:pPr>
    </w:lvl>
  </w:abstractNum>
  <w:abstractNum w:abstractNumId="22" w15:restartNumberingAfterBreak="0">
    <w:nsid w:val="76D2209D"/>
    <w:multiLevelType w:val="hybridMultilevel"/>
    <w:tmpl w:val="6FB628D6"/>
    <w:lvl w:ilvl="0" w:tplc="E32CB72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76108D3"/>
    <w:multiLevelType w:val="hybridMultilevel"/>
    <w:tmpl w:val="C15EE242"/>
    <w:lvl w:ilvl="0" w:tplc="5CF69E62">
      <w:start w:val="3"/>
      <w:numFmt w:val="decimal"/>
      <w:lvlText w:val="(%1)"/>
      <w:lvlJc w:val="left"/>
      <w:pPr>
        <w:ind w:left="2062" w:hanging="360"/>
      </w:pPr>
      <w:rPr>
        <w:rFonts w:cs="Times New Roman" w:hint="default"/>
      </w:rPr>
    </w:lvl>
    <w:lvl w:ilvl="1" w:tplc="1C090019" w:tentative="1">
      <w:start w:val="1"/>
      <w:numFmt w:val="lowerLetter"/>
      <w:lvlText w:val="%2."/>
      <w:lvlJc w:val="left"/>
      <w:pPr>
        <w:ind w:left="2782" w:hanging="360"/>
      </w:pPr>
      <w:rPr>
        <w:rFonts w:cs="Times New Roman"/>
      </w:rPr>
    </w:lvl>
    <w:lvl w:ilvl="2" w:tplc="1C09001B" w:tentative="1">
      <w:start w:val="1"/>
      <w:numFmt w:val="lowerRoman"/>
      <w:lvlText w:val="%3."/>
      <w:lvlJc w:val="right"/>
      <w:pPr>
        <w:ind w:left="3502" w:hanging="180"/>
      </w:pPr>
      <w:rPr>
        <w:rFonts w:cs="Times New Roman"/>
      </w:rPr>
    </w:lvl>
    <w:lvl w:ilvl="3" w:tplc="1C09000F" w:tentative="1">
      <w:start w:val="1"/>
      <w:numFmt w:val="decimal"/>
      <w:lvlText w:val="%4."/>
      <w:lvlJc w:val="left"/>
      <w:pPr>
        <w:ind w:left="4222" w:hanging="360"/>
      </w:pPr>
      <w:rPr>
        <w:rFonts w:cs="Times New Roman"/>
      </w:rPr>
    </w:lvl>
    <w:lvl w:ilvl="4" w:tplc="1C090019" w:tentative="1">
      <w:start w:val="1"/>
      <w:numFmt w:val="lowerLetter"/>
      <w:lvlText w:val="%5."/>
      <w:lvlJc w:val="left"/>
      <w:pPr>
        <w:ind w:left="4942" w:hanging="360"/>
      </w:pPr>
      <w:rPr>
        <w:rFonts w:cs="Times New Roman"/>
      </w:rPr>
    </w:lvl>
    <w:lvl w:ilvl="5" w:tplc="1C09001B" w:tentative="1">
      <w:start w:val="1"/>
      <w:numFmt w:val="lowerRoman"/>
      <w:lvlText w:val="%6."/>
      <w:lvlJc w:val="right"/>
      <w:pPr>
        <w:ind w:left="5662" w:hanging="180"/>
      </w:pPr>
      <w:rPr>
        <w:rFonts w:cs="Times New Roman"/>
      </w:rPr>
    </w:lvl>
    <w:lvl w:ilvl="6" w:tplc="1C09000F" w:tentative="1">
      <w:start w:val="1"/>
      <w:numFmt w:val="decimal"/>
      <w:lvlText w:val="%7."/>
      <w:lvlJc w:val="left"/>
      <w:pPr>
        <w:ind w:left="6382" w:hanging="360"/>
      </w:pPr>
      <w:rPr>
        <w:rFonts w:cs="Times New Roman"/>
      </w:rPr>
    </w:lvl>
    <w:lvl w:ilvl="7" w:tplc="1C090019" w:tentative="1">
      <w:start w:val="1"/>
      <w:numFmt w:val="lowerLetter"/>
      <w:lvlText w:val="%8."/>
      <w:lvlJc w:val="left"/>
      <w:pPr>
        <w:ind w:left="7102" w:hanging="360"/>
      </w:pPr>
      <w:rPr>
        <w:rFonts w:cs="Times New Roman"/>
      </w:rPr>
    </w:lvl>
    <w:lvl w:ilvl="8" w:tplc="1C09001B" w:tentative="1">
      <w:start w:val="1"/>
      <w:numFmt w:val="lowerRoman"/>
      <w:lvlText w:val="%9."/>
      <w:lvlJc w:val="right"/>
      <w:pPr>
        <w:ind w:left="7822" w:hanging="180"/>
      </w:pPr>
      <w:rPr>
        <w:rFonts w:cs="Times New Roman"/>
      </w:rPr>
    </w:lvl>
  </w:abstractNum>
  <w:abstractNum w:abstractNumId="24" w15:restartNumberingAfterBreak="0">
    <w:nsid w:val="776B235D"/>
    <w:multiLevelType w:val="multilevel"/>
    <w:tmpl w:val="4ED25E2E"/>
    <w:lvl w:ilvl="0">
      <w:start w:val="1"/>
      <w:numFmt w:val="decimal"/>
      <w:pStyle w:val="Heading1"/>
      <w:lvlText w:val="%1."/>
      <w:lvlJc w:val="left"/>
      <w:pPr>
        <w:tabs>
          <w:tab w:val="num" w:pos="794"/>
        </w:tabs>
        <w:ind w:left="794" w:hanging="794"/>
      </w:pPr>
    </w:lvl>
    <w:lvl w:ilvl="1">
      <w:start w:val="1"/>
      <w:numFmt w:val="decimal"/>
      <w:pStyle w:val="Heading2"/>
      <w:lvlText w:val="%1.%2."/>
      <w:lvlJc w:val="left"/>
      <w:pPr>
        <w:tabs>
          <w:tab w:val="num" w:pos="1587"/>
        </w:tabs>
        <w:ind w:left="1587" w:hanging="793"/>
      </w:pPr>
    </w:lvl>
    <w:lvl w:ilvl="2">
      <w:start w:val="1"/>
      <w:numFmt w:val="decimal"/>
      <w:pStyle w:val="Heading3"/>
      <w:lvlText w:val="%1.%2.%3."/>
      <w:lvlJc w:val="left"/>
      <w:pPr>
        <w:tabs>
          <w:tab w:val="num" w:pos="2381"/>
        </w:tabs>
        <w:ind w:left="2381" w:hanging="794"/>
      </w:pPr>
    </w:lvl>
    <w:lvl w:ilvl="3">
      <w:start w:val="1"/>
      <w:numFmt w:val="decimal"/>
      <w:pStyle w:val="Heading4"/>
      <w:lvlText w:val="%1.%2.%3.%4"/>
      <w:lvlJc w:val="left"/>
      <w:pPr>
        <w:tabs>
          <w:tab w:val="num" w:pos="3515"/>
        </w:tabs>
        <w:ind w:left="3515" w:hanging="1134"/>
      </w:pPr>
    </w:lvl>
    <w:lvl w:ilvl="4">
      <w:start w:val="1"/>
      <w:numFmt w:val="lowerRoman"/>
      <w:pStyle w:val="Heading5"/>
      <w:lvlText w:val="(%5)"/>
      <w:lvlJc w:val="left"/>
      <w:pPr>
        <w:tabs>
          <w:tab w:val="num" w:pos="4253"/>
        </w:tabs>
        <w:ind w:left="4253" w:hanging="738"/>
      </w:pPr>
    </w:lvl>
    <w:lvl w:ilvl="5">
      <w:start w:val="1"/>
      <w:numFmt w:val="lowerLetter"/>
      <w:pStyle w:val="Heading6"/>
      <w:lvlText w:val="(%6)"/>
      <w:lvlJc w:val="left"/>
      <w:pPr>
        <w:tabs>
          <w:tab w:val="num" w:pos="4649"/>
        </w:tabs>
        <w:ind w:left="4649" w:hanging="396"/>
      </w:pPr>
    </w:lvl>
    <w:lvl w:ilvl="6">
      <w:start w:val="1"/>
      <w:numFmt w:val="decimal"/>
      <w:pStyle w:val="Heading7"/>
      <w:lvlText w:val="(%5)%6.%7."/>
      <w:lvlJc w:val="left"/>
      <w:pPr>
        <w:tabs>
          <w:tab w:val="num" w:pos="5823"/>
        </w:tabs>
        <w:ind w:left="5387" w:hanging="284"/>
      </w:pPr>
    </w:lvl>
    <w:lvl w:ilvl="7">
      <w:start w:val="1"/>
      <w:numFmt w:val="decimal"/>
      <w:pStyle w:val="Heading8"/>
      <w:lvlText w:val="(%5)%6.%7.%8."/>
      <w:lvlJc w:val="left"/>
      <w:pPr>
        <w:tabs>
          <w:tab w:val="num" w:pos="0"/>
        </w:tabs>
        <w:ind w:left="5760" w:hanging="720"/>
      </w:pPr>
    </w:lvl>
    <w:lvl w:ilvl="8">
      <w:start w:val="1"/>
      <w:numFmt w:val="decimal"/>
      <w:pStyle w:val="Heading9"/>
      <w:lvlText w:val="(%5)%6.%7.%8.%9."/>
      <w:lvlJc w:val="left"/>
      <w:pPr>
        <w:tabs>
          <w:tab w:val="num" w:pos="0"/>
        </w:tabs>
        <w:ind w:left="6480" w:hanging="720"/>
      </w:pPr>
    </w:lvl>
  </w:abstractNum>
  <w:abstractNum w:abstractNumId="25" w15:restartNumberingAfterBreak="0">
    <w:nsid w:val="77C9302E"/>
    <w:multiLevelType w:val="multilevel"/>
    <w:tmpl w:val="2AAA249E"/>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4"/>
  </w:num>
  <w:num w:numId="2">
    <w:abstractNumId w:val="16"/>
  </w:num>
  <w:num w:numId="3">
    <w:abstractNumId w:val="16"/>
  </w:num>
  <w:num w:numId="4">
    <w:abstractNumId w:val="16"/>
  </w:num>
  <w:num w:numId="5">
    <w:abstractNumId w:val="21"/>
  </w:num>
  <w:num w:numId="6">
    <w:abstractNumId w:val="6"/>
  </w:num>
  <w:num w:numId="7">
    <w:abstractNumId w:val="16"/>
  </w:num>
  <w:num w:numId="8">
    <w:abstractNumId w:val="2"/>
  </w:num>
  <w:num w:numId="9">
    <w:abstractNumId w:val="0"/>
  </w:num>
  <w:num w:numId="10">
    <w:abstractNumId w:val="13"/>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7"/>
  </w:num>
  <w:num w:numId="16">
    <w:abstractNumId w:val="15"/>
  </w:num>
  <w:num w:numId="17">
    <w:abstractNumId w:val="10"/>
  </w:num>
  <w:num w:numId="18">
    <w:abstractNumId w:val="12"/>
  </w:num>
  <w:num w:numId="19">
    <w:abstractNumId w:val="19"/>
  </w:num>
  <w:num w:numId="20">
    <w:abstractNumId w:val="8"/>
  </w:num>
  <w:num w:numId="21">
    <w:abstractNumId w:val="11"/>
  </w:num>
  <w:num w:numId="22">
    <w:abstractNumId w:val="22"/>
  </w:num>
  <w:num w:numId="23">
    <w:abstractNumId w:val="25"/>
  </w:num>
  <w:num w:numId="24">
    <w:abstractNumId w:val="19"/>
    <w:lvlOverride w:ilvl="0">
      <w:startOverride w:val="1"/>
    </w:lvlOverride>
  </w:num>
  <w:num w:numId="25">
    <w:abstractNumId w:val="18"/>
  </w:num>
  <w:num w:numId="26">
    <w:abstractNumId w:val="5"/>
  </w:num>
  <w:num w:numId="27">
    <w:abstractNumId w:val="1"/>
  </w:num>
  <w:num w:numId="28">
    <w:abstractNumId w:val="20"/>
  </w:num>
  <w:num w:numId="29">
    <w:abstractNumId w:val="23"/>
  </w:num>
  <w:num w:numId="30">
    <w:abstractNumId w:val="19"/>
    <w:lvlOverride w:ilvl="0">
      <w:startOverride w:val="1"/>
    </w:lvlOverride>
  </w:num>
  <w:num w:numId="31">
    <w:abstractNumId w:val="9"/>
  </w:num>
  <w:num w:numId="3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3C"/>
    <w:rsid w:val="000022BA"/>
    <w:rsid w:val="0000274D"/>
    <w:rsid w:val="00004295"/>
    <w:rsid w:val="00004D61"/>
    <w:rsid w:val="000056BE"/>
    <w:rsid w:val="00007D18"/>
    <w:rsid w:val="00007DFF"/>
    <w:rsid w:val="0001010E"/>
    <w:rsid w:val="000169DE"/>
    <w:rsid w:val="00017D97"/>
    <w:rsid w:val="00017FDE"/>
    <w:rsid w:val="00020BCE"/>
    <w:rsid w:val="00021808"/>
    <w:rsid w:val="00023D2D"/>
    <w:rsid w:val="000261FC"/>
    <w:rsid w:val="0002723F"/>
    <w:rsid w:val="00027442"/>
    <w:rsid w:val="000312B6"/>
    <w:rsid w:val="00031984"/>
    <w:rsid w:val="00031E49"/>
    <w:rsid w:val="00031E84"/>
    <w:rsid w:val="00033522"/>
    <w:rsid w:val="00034C5B"/>
    <w:rsid w:val="0003536E"/>
    <w:rsid w:val="00037EBD"/>
    <w:rsid w:val="00041BB3"/>
    <w:rsid w:val="00041FA2"/>
    <w:rsid w:val="00042C4E"/>
    <w:rsid w:val="00042D2A"/>
    <w:rsid w:val="00042F1F"/>
    <w:rsid w:val="000438A0"/>
    <w:rsid w:val="00044E50"/>
    <w:rsid w:val="000451E8"/>
    <w:rsid w:val="00045C59"/>
    <w:rsid w:val="0004662B"/>
    <w:rsid w:val="000472BC"/>
    <w:rsid w:val="00050E63"/>
    <w:rsid w:val="00052BAE"/>
    <w:rsid w:val="00053CE6"/>
    <w:rsid w:val="00053E4C"/>
    <w:rsid w:val="00053F65"/>
    <w:rsid w:val="000626E7"/>
    <w:rsid w:val="00063D50"/>
    <w:rsid w:val="00064CB0"/>
    <w:rsid w:val="00065D71"/>
    <w:rsid w:val="00073463"/>
    <w:rsid w:val="000764C5"/>
    <w:rsid w:val="000769B5"/>
    <w:rsid w:val="000814CC"/>
    <w:rsid w:val="0008290F"/>
    <w:rsid w:val="00083E58"/>
    <w:rsid w:val="00083FAA"/>
    <w:rsid w:val="00085E3C"/>
    <w:rsid w:val="00086233"/>
    <w:rsid w:val="000863BC"/>
    <w:rsid w:val="00086757"/>
    <w:rsid w:val="00086FB1"/>
    <w:rsid w:val="00087D81"/>
    <w:rsid w:val="0009119C"/>
    <w:rsid w:val="000930D4"/>
    <w:rsid w:val="00093495"/>
    <w:rsid w:val="0009413E"/>
    <w:rsid w:val="000941FE"/>
    <w:rsid w:val="00094468"/>
    <w:rsid w:val="00095041"/>
    <w:rsid w:val="000A1C75"/>
    <w:rsid w:val="000A7061"/>
    <w:rsid w:val="000B0013"/>
    <w:rsid w:val="000B15DA"/>
    <w:rsid w:val="000B189D"/>
    <w:rsid w:val="000B1B56"/>
    <w:rsid w:val="000B1BDC"/>
    <w:rsid w:val="000B23F4"/>
    <w:rsid w:val="000B4774"/>
    <w:rsid w:val="000B4B02"/>
    <w:rsid w:val="000B54FA"/>
    <w:rsid w:val="000B5A36"/>
    <w:rsid w:val="000B6B0D"/>
    <w:rsid w:val="000B6C5A"/>
    <w:rsid w:val="000B7326"/>
    <w:rsid w:val="000B73D0"/>
    <w:rsid w:val="000C0702"/>
    <w:rsid w:val="000C2A71"/>
    <w:rsid w:val="000C3041"/>
    <w:rsid w:val="000C3657"/>
    <w:rsid w:val="000C3AF7"/>
    <w:rsid w:val="000C3BC0"/>
    <w:rsid w:val="000C4A36"/>
    <w:rsid w:val="000C50D8"/>
    <w:rsid w:val="000C53A3"/>
    <w:rsid w:val="000C76AB"/>
    <w:rsid w:val="000D04B0"/>
    <w:rsid w:val="000D082E"/>
    <w:rsid w:val="000D1E9C"/>
    <w:rsid w:val="000D556B"/>
    <w:rsid w:val="000D604C"/>
    <w:rsid w:val="000D75A6"/>
    <w:rsid w:val="000D7604"/>
    <w:rsid w:val="000D7950"/>
    <w:rsid w:val="000D7BF3"/>
    <w:rsid w:val="000E080E"/>
    <w:rsid w:val="000E0D8A"/>
    <w:rsid w:val="000E1D20"/>
    <w:rsid w:val="000E23F6"/>
    <w:rsid w:val="000E2471"/>
    <w:rsid w:val="000E25F4"/>
    <w:rsid w:val="000E462A"/>
    <w:rsid w:val="000E4849"/>
    <w:rsid w:val="000E5163"/>
    <w:rsid w:val="000F28C8"/>
    <w:rsid w:val="000F29CC"/>
    <w:rsid w:val="000F2DB2"/>
    <w:rsid w:val="000F3778"/>
    <w:rsid w:val="000F523E"/>
    <w:rsid w:val="000F5E40"/>
    <w:rsid w:val="000F64D9"/>
    <w:rsid w:val="000F716D"/>
    <w:rsid w:val="000F7470"/>
    <w:rsid w:val="000F7756"/>
    <w:rsid w:val="000F7A97"/>
    <w:rsid w:val="00100515"/>
    <w:rsid w:val="0010057E"/>
    <w:rsid w:val="00100B34"/>
    <w:rsid w:val="0010520C"/>
    <w:rsid w:val="0011027A"/>
    <w:rsid w:val="001113DD"/>
    <w:rsid w:val="00111D3C"/>
    <w:rsid w:val="00113313"/>
    <w:rsid w:val="001136FA"/>
    <w:rsid w:val="0011423D"/>
    <w:rsid w:val="001164C5"/>
    <w:rsid w:val="00116820"/>
    <w:rsid w:val="001215EE"/>
    <w:rsid w:val="00121A76"/>
    <w:rsid w:val="00125983"/>
    <w:rsid w:val="00131361"/>
    <w:rsid w:val="00132627"/>
    <w:rsid w:val="0013409C"/>
    <w:rsid w:val="00135B82"/>
    <w:rsid w:val="00136AC7"/>
    <w:rsid w:val="0013777B"/>
    <w:rsid w:val="001402C5"/>
    <w:rsid w:val="00140E36"/>
    <w:rsid w:val="00141489"/>
    <w:rsid w:val="00141AF4"/>
    <w:rsid w:val="00141B3E"/>
    <w:rsid w:val="001421A1"/>
    <w:rsid w:val="001431D8"/>
    <w:rsid w:val="00143454"/>
    <w:rsid w:val="00144058"/>
    <w:rsid w:val="001445C3"/>
    <w:rsid w:val="001448A0"/>
    <w:rsid w:val="00145D53"/>
    <w:rsid w:val="00146AAD"/>
    <w:rsid w:val="00146B2B"/>
    <w:rsid w:val="001514D9"/>
    <w:rsid w:val="00151A37"/>
    <w:rsid w:val="00154ECA"/>
    <w:rsid w:val="001550D3"/>
    <w:rsid w:val="00155F80"/>
    <w:rsid w:val="00156FC5"/>
    <w:rsid w:val="0016181F"/>
    <w:rsid w:val="00164559"/>
    <w:rsid w:val="00164D0A"/>
    <w:rsid w:val="00165779"/>
    <w:rsid w:val="00165A19"/>
    <w:rsid w:val="0016617F"/>
    <w:rsid w:val="00166655"/>
    <w:rsid w:val="00166F2E"/>
    <w:rsid w:val="00170577"/>
    <w:rsid w:val="001709E0"/>
    <w:rsid w:val="001712D7"/>
    <w:rsid w:val="001717F8"/>
    <w:rsid w:val="00171A48"/>
    <w:rsid w:val="00174279"/>
    <w:rsid w:val="00176572"/>
    <w:rsid w:val="00183E27"/>
    <w:rsid w:val="0018512B"/>
    <w:rsid w:val="001873EE"/>
    <w:rsid w:val="00193120"/>
    <w:rsid w:val="0019397E"/>
    <w:rsid w:val="00196DC2"/>
    <w:rsid w:val="001A18C5"/>
    <w:rsid w:val="001A235B"/>
    <w:rsid w:val="001A3867"/>
    <w:rsid w:val="001A4BF2"/>
    <w:rsid w:val="001A5B34"/>
    <w:rsid w:val="001A647F"/>
    <w:rsid w:val="001B4357"/>
    <w:rsid w:val="001B597A"/>
    <w:rsid w:val="001C029D"/>
    <w:rsid w:val="001C6847"/>
    <w:rsid w:val="001D09FC"/>
    <w:rsid w:val="001D0FB5"/>
    <w:rsid w:val="001D3621"/>
    <w:rsid w:val="001D44E6"/>
    <w:rsid w:val="001D584F"/>
    <w:rsid w:val="001D58D0"/>
    <w:rsid w:val="001D7839"/>
    <w:rsid w:val="001E070F"/>
    <w:rsid w:val="001E13F0"/>
    <w:rsid w:val="001E1A2B"/>
    <w:rsid w:val="001E3A69"/>
    <w:rsid w:val="001E43E9"/>
    <w:rsid w:val="001E5198"/>
    <w:rsid w:val="001E68D5"/>
    <w:rsid w:val="001F0222"/>
    <w:rsid w:val="001F091C"/>
    <w:rsid w:val="001F091F"/>
    <w:rsid w:val="001F2A63"/>
    <w:rsid w:val="001F39D7"/>
    <w:rsid w:val="001F3BC3"/>
    <w:rsid w:val="001F5A15"/>
    <w:rsid w:val="001F5D54"/>
    <w:rsid w:val="001F6D78"/>
    <w:rsid w:val="001F74A3"/>
    <w:rsid w:val="00200C20"/>
    <w:rsid w:val="00200C44"/>
    <w:rsid w:val="002042D1"/>
    <w:rsid w:val="00204CDD"/>
    <w:rsid w:val="002056D3"/>
    <w:rsid w:val="00205A70"/>
    <w:rsid w:val="00206E00"/>
    <w:rsid w:val="00210BD7"/>
    <w:rsid w:val="00211535"/>
    <w:rsid w:val="002128EE"/>
    <w:rsid w:val="00216A76"/>
    <w:rsid w:val="00222DF9"/>
    <w:rsid w:val="00223347"/>
    <w:rsid w:val="00223FA3"/>
    <w:rsid w:val="00225004"/>
    <w:rsid w:val="0022551E"/>
    <w:rsid w:val="002260D0"/>
    <w:rsid w:val="00227344"/>
    <w:rsid w:val="0023321B"/>
    <w:rsid w:val="00233809"/>
    <w:rsid w:val="002366FA"/>
    <w:rsid w:val="0023716F"/>
    <w:rsid w:val="00240004"/>
    <w:rsid w:val="0024104E"/>
    <w:rsid w:val="00241C86"/>
    <w:rsid w:val="00244CAF"/>
    <w:rsid w:val="00244FD5"/>
    <w:rsid w:val="00245ACC"/>
    <w:rsid w:val="00246087"/>
    <w:rsid w:val="002513F3"/>
    <w:rsid w:val="00251F67"/>
    <w:rsid w:val="00253867"/>
    <w:rsid w:val="0025387C"/>
    <w:rsid w:val="002538F3"/>
    <w:rsid w:val="00253CAF"/>
    <w:rsid w:val="00253CB3"/>
    <w:rsid w:val="002565FC"/>
    <w:rsid w:val="00256C82"/>
    <w:rsid w:val="002579A2"/>
    <w:rsid w:val="002603D2"/>
    <w:rsid w:val="00260C06"/>
    <w:rsid w:val="00261174"/>
    <w:rsid w:val="002626E0"/>
    <w:rsid w:val="00263E7A"/>
    <w:rsid w:val="00264E44"/>
    <w:rsid w:val="00266303"/>
    <w:rsid w:val="00273A16"/>
    <w:rsid w:val="00273AC9"/>
    <w:rsid w:val="00280732"/>
    <w:rsid w:val="00281871"/>
    <w:rsid w:val="00281E0F"/>
    <w:rsid w:val="00283388"/>
    <w:rsid w:val="00283521"/>
    <w:rsid w:val="00283531"/>
    <w:rsid w:val="002855EC"/>
    <w:rsid w:val="00286E9B"/>
    <w:rsid w:val="00287571"/>
    <w:rsid w:val="002905C1"/>
    <w:rsid w:val="00291D42"/>
    <w:rsid w:val="002949D2"/>
    <w:rsid w:val="002A0D02"/>
    <w:rsid w:val="002A5B8C"/>
    <w:rsid w:val="002A5C9D"/>
    <w:rsid w:val="002A5CF8"/>
    <w:rsid w:val="002B0070"/>
    <w:rsid w:val="002B17C7"/>
    <w:rsid w:val="002B42D6"/>
    <w:rsid w:val="002B58E8"/>
    <w:rsid w:val="002B7293"/>
    <w:rsid w:val="002B79C7"/>
    <w:rsid w:val="002C0CC6"/>
    <w:rsid w:val="002C19EE"/>
    <w:rsid w:val="002C5074"/>
    <w:rsid w:val="002C7B5B"/>
    <w:rsid w:val="002D0011"/>
    <w:rsid w:val="002D0591"/>
    <w:rsid w:val="002D096F"/>
    <w:rsid w:val="002D0CB5"/>
    <w:rsid w:val="002D0E40"/>
    <w:rsid w:val="002D0F5B"/>
    <w:rsid w:val="002D2F1B"/>
    <w:rsid w:val="002D35BD"/>
    <w:rsid w:val="002D588A"/>
    <w:rsid w:val="002D690E"/>
    <w:rsid w:val="002D7262"/>
    <w:rsid w:val="002D7F42"/>
    <w:rsid w:val="002E20C6"/>
    <w:rsid w:val="002E483F"/>
    <w:rsid w:val="002E5451"/>
    <w:rsid w:val="002E58A8"/>
    <w:rsid w:val="002E6C70"/>
    <w:rsid w:val="002F0584"/>
    <w:rsid w:val="002F0F7B"/>
    <w:rsid w:val="002F12E2"/>
    <w:rsid w:val="002F3BA7"/>
    <w:rsid w:val="002F7455"/>
    <w:rsid w:val="003010A1"/>
    <w:rsid w:val="00303655"/>
    <w:rsid w:val="00303704"/>
    <w:rsid w:val="00305D4E"/>
    <w:rsid w:val="00307641"/>
    <w:rsid w:val="00307B0B"/>
    <w:rsid w:val="00307E4A"/>
    <w:rsid w:val="00312757"/>
    <w:rsid w:val="00313759"/>
    <w:rsid w:val="003155E7"/>
    <w:rsid w:val="00315FDA"/>
    <w:rsid w:val="0031605D"/>
    <w:rsid w:val="0032192F"/>
    <w:rsid w:val="00321DF7"/>
    <w:rsid w:val="003228EA"/>
    <w:rsid w:val="00322ABF"/>
    <w:rsid w:val="00325DD9"/>
    <w:rsid w:val="003277CA"/>
    <w:rsid w:val="003324DD"/>
    <w:rsid w:val="003330F8"/>
    <w:rsid w:val="0033379E"/>
    <w:rsid w:val="0033640E"/>
    <w:rsid w:val="00337457"/>
    <w:rsid w:val="0034066C"/>
    <w:rsid w:val="00341782"/>
    <w:rsid w:val="00342D67"/>
    <w:rsid w:val="00350291"/>
    <w:rsid w:val="0035642B"/>
    <w:rsid w:val="00356EA1"/>
    <w:rsid w:val="0036185C"/>
    <w:rsid w:val="00362007"/>
    <w:rsid w:val="0036274E"/>
    <w:rsid w:val="00363C4E"/>
    <w:rsid w:val="00365299"/>
    <w:rsid w:val="00365BA0"/>
    <w:rsid w:val="00370230"/>
    <w:rsid w:val="00370AD6"/>
    <w:rsid w:val="00374BA7"/>
    <w:rsid w:val="00376758"/>
    <w:rsid w:val="0038008E"/>
    <w:rsid w:val="003817A7"/>
    <w:rsid w:val="00382783"/>
    <w:rsid w:val="00383B37"/>
    <w:rsid w:val="00385925"/>
    <w:rsid w:val="00386334"/>
    <w:rsid w:val="0038782A"/>
    <w:rsid w:val="00390805"/>
    <w:rsid w:val="00391C7D"/>
    <w:rsid w:val="00392FEB"/>
    <w:rsid w:val="00393F5C"/>
    <w:rsid w:val="00394093"/>
    <w:rsid w:val="00394E32"/>
    <w:rsid w:val="00395798"/>
    <w:rsid w:val="003A3DBF"/>
    <w:rsid w:val="003A6326"/>
    <w:rsid w:val="003A67B0"/>
    <w:rsid w:val="003B0E13"/>
    <w:rsid w:val="003B2ED2"/>
    <w:rsid w:val="003B2F64"/>
    <w:rsid w:val="003B4B95"/>
    <w:rsid w:val="003B5ABE"/>
    <w:rsid w:val="003B6DE3"/>
    <w:rsid w:val="003B751F"/>
    <w:rsid w:val="003B7770"/>
    <w:rsid w:val="003C5826"/>
    <w:rsid w:val="003D09FB"/>
    <w:rsid w:val="003D1732"/>
    <w:rsid w:val="003D33A4"/>
    <w:rsid w:val="003D5E5A"/>
    <w:rsid w:val="003D679F"/>
    <w:rsid w:val="003D7A24"/>
    <w:rsid w:val="003E152F"/>
    <w:rsid w:val="003E2C40"/>
    <w:rsid w:val="003E3692"/>
    <w:rsid w:val="003E44AC"/>
    <w:rsid w:val="003E493D"/>
    <w:rsid w:val="003E5BA5"/>
    <w:rsid w:val="003E6081"/>
    <w:rsid w:val="003F1880"/>
    <w:rsid w:val="003F311A"/>
    <w:rsid w:val="003F32B6"/>
    <w:rsid w:val="003F4A7D"/>
    <w:rsid w:val="003F4E30"/>
    <w:rsid w:val="003F6321"/>
    <w:rsid w:val="003F77E5"/>
    <w:rsid w:val="003F7D33"/>
    <w:rsid w:val="004002F5"/>
    <w:rsid w:val="004033BA"/>
    <w:rsid w:val="00404549"/>
    <w:rsid w:val="00404D99"/>
    <w:rsid w:val="00405A6E"/>
    <w:rsid w:val="004062D1"/>
    <w:rsid w:val="00406E23"/>
    <w:rsid w:val="00410B78"/>
    <w:rsid w:val="00411B75"/>
    <w:rsid w:val="00411F25"/>
    <w:rsid w:val="00413719"/>
    <w:rsid w:val="00413E73"/>
    <w:rsid w:val="00416ACB"/>
    <w:rsid w:val="00422BDF"/>
    <w:rsid w:val="0042507F"/>
    <w:rsid w:val="00425431"/>
    <w:rsid w:val="004277F3"/>
    <w:rsid w:val="00427B83"/>
    <w:rsid w:val="004329DB"/>
    <w:rsid w:val="00432A32"/>
    <w:rsid w:val="00433CC0"/>
    <w:rsid w:val="00433FE0"/>
    <w:rsid w:val="00437966"/>
    <w:rsid w:val="0044694E"/>
    <w:rsid w:val="00450929"/>
    <w:rsid w:val="00451199"/>
    <w:rsid w:val="0045130C"/>
    <w:rsid w:val="00452ACB"/>
    <w:rsid w:val="004536D3"/>
    <w:rsid w:val="0045466A"/>
    <w:rsid w:val="00454942"/>
    <w:rsid w:val="00454C7E"/>
    <w:rsid w:val="00462F1F"/>
    <w:rsid w:val="00462FD0"/>
    <w:rsid w:val="00463794"/>
    <w:rsid w:val="00465A78"/>
    <w:rsid w:val="00465C0A"/>
    <w:rsid w:val="00470D86"/>
    <w:rsid w:val="0047124D"/>
    <w:rsid w:val="00474334"/>
    <w:rsid w:val="004773AC"/>
    <w:rsid w:val="00477D54"/>
    <w:rsid w:val="0048059D"/>
    <w:rsid w:val="00480688"/>
    <w:rsid w:val="0048169C"/>
    <w:rsid w:val="004838F9"/>
    <w:rsid w:val="0048682F"/>
    <w:rsid w:val="00486C9D"/>
    <w:rsid w:val="00486DF3"/>
    <w:rsid w:val="004940F4"/>
    <w:rsid w:val="00495F15"/>
    <w:rsid w:val="0049668A"/>
    <w:rsid w:val="00496C0A"/>
    <w:rsid w:val="00497DBE"/>
    <w:rsid w:val="004A2D48"/>
    <w:rsid w:val="004A4F98"/>
    <w:rsid w:val="004A537E"/>
    <w:rsid w:val="004A5829"/>
    <w:rsid w:val="004A78E2"/>
    <w:rsid w:val="004B0CF2"/>
    <w:rsid w:val="004B1B1D"/>
    <w:rsid w:val="004B299B"/>
    <w:rsid w:val="004B2E94"/>
    <w:rsid w:val="004B51DA"/>
    <w:rsid w:val="004B53F3"/>
    <w:rsid w:val="004B5A5B"/>
    <w:rsid w:val="004B5E1C"/>
    <w:rsid w:val="004B6818"/>
    <w:rsid w:val="004B7B96"/>
    <w:rsid w:val="004C04B3"/>
    <w:rsid w:val="004C2D6D"/>
    <w:rsid w:val="004C30B2"/>
    <w:rsid w:val="004C321D"/>
    <w:rsid w:val="004C4107"/>
    <w:rsid w:val="004C6581"/>
    <w:rsid w:val="004D2563"/>
    <w:rsid w:val="004D284B"/>
    <w:rsid w:val="004D3D96"/>
    <w:rsid w:val="004D5992"/>
    <w:rsid w:val="004E3E98"/>
    <w:rsid w:val="004E5271"/>
    <w:rsid w:val="004E5AEC"/>
    <w:rsid w:val="004E6B49"/>
    <w:rsid w:val="004E7064"/>
    <w:rsid w:val="004E7F4E"/>
    <w:rsid w:val="004F165B"/>
    <w:rsid w:val="004F238F"/>
    <w:rsid w:val="004F3D74"/>
    <w:rsid w:val="004F43AC"/>
    <w:rsid w:val="004F475B"/>
    <w:rsid w:val="004F49E4"/>
    <w:rsid w:val="004F5B50"/>
    <w:rsid w:val="004F720C"/>
    <w:rsid w:val="0050060A"/>
    <w:rsid w:val="00507741"/>
    <w:rsid w:val="00507FE4"/>
    <w:rsid w:val="00510407"/>
    <w:rsid w:val="00510A51"/>
    <w:rsid w:val="00510E69"/>
    <w:rsid w:val="00511778"/>
    <w:rsid w:val="0051292E"/>
    <w:rsid w:val="00516664"/>
    <w:rsid w:val="00516BB7"/>
    <w:rsid w:val="00517D2B"/>
    <w:rsid w:val="005214DB"/>
    <w:rsid w:val="00522A13"/>
    <w:rsid w:val="00523A68"/>
    <w:rsid w:val="00526D77"/>
    <w:rsid w:val="00527488"/>
    <w:rsid w:val="005305C4"/>
    <w:rsid w:val="005346CE"/>
    <w:rsid w:val="00534BF7"/>
    <w:rsid w:val="00540DF8"/>
    <w:rsid w:val="005424FB"/>
    <w:rsid w:val="00542CF2"/>
    <w:rsid w:val="005445B7"/>
    <w:rsid w:val="00544828"/>
    <w:rsid w:val="0054556F"/>
    <w:rsid w:val="005467D4"/>
    <w:rsid w:val="005473BF"/>
    <w:rsid w:val="00551833"/>
    <w:rsid w:val="005526DE"/>
    <w:rsid w:val="00553CAD"/>
    <w:rsid w:val="005542D4"/>
    <w:rsid w:val="0055443A"/>
    <w:rsid w:val="00555235"/>
    <w:rsid w:val="00557D84"/>
    <w:rsid w:val="00560146"/>
    <w:rsid w:val="005606E1"/>
    <w:rsid w:val="005634BB"/>
    <w:rsid w:val="0056382F"/>
    <w:rsid w:val="00564FB8"/>
    <w:rsid w:val="005705EC"/>
    <w:rsid w:val="0057123A"/>
    <w:rsid w:val="00571F54"/>
    <w:rsid w:val="00572650"/>
    <w:rsid w:val="00572DD3"/>
    <w:rsid w:val="00573422"/>
    <w:rsid w:val="0057599D"/>
    <w:rsid w:val="00576CBD"/>
    <w:rsid w:val="005809F6"/>
    <w:rsid w:val="00581333"/>
    <w:rsid w:val="0058170F"/>
    <w:rsid w:val="005828A5"/>
    <w:rsid w:val="00583830"/>
    <w:rsid w:val="00583D97"/>
    <w:rsid w:val="0058477D"/>
    <w:rsid w:val="00585B73"/>
    <w:rsid w:val="005864FB"/>
    <w:rsid w:val="00586C30"/>
    <w:rsid w:val="00591D75"/>
    <w:rsid w:val="00593447"/>
    <w:rsid w:val="00596B04"/>
    <w:rsid w:val="00596C54"/>
    <w:rsid w:val="005A0212"/>
    <w:rsid w:val="005A24AA"/>
    <w:rsid w:val="005B0A4A"/>
    <w:rsid w:val="005B1947"/>
    <w:rsid w:val="005B1CE6"/>
    <w:rsid w:val="005B2298"/>
    <w:rsid w:val="005B3687"/>
    <w:rsid w:val="005B3B85"/>
    <w:rsid w:val="005B3F0A"/>
    <w:rsid w:val="005B4B11"/>
    <w:rsid w:val="005B523F"/>
    <w:rsid w:val="005B673E"/>
    <w:rsid w:val="005B763F"/>
    <w:rsid w:val="005B7721"/>
    <w:rsid w:val="005C1758"/>
    <w:rsid w:val="005C1ADD"/>
    <w:rsid w:val="005C237D"/>
    <w:rsid w:val="005C3ECC"/>
    <w:rsid w:val="005C4F1F"/>
    <w:rsid w:val="005C5280"/>
    <w:rsid w:val="005C57D3"/>
    <w:rsid w:val="005C735E"/>
    <w:rsid w:val="005D14F3"/>
    <w:rsid w:val="005D1F38"/>
    <w:rsid w:val="005D35E5"/>
    <w:rsid w:val="005D59A2"/>
    <w:rsid w:val="005D78A1"/>
    <w:rsid w:val="005D7B35"/>
    <w:rsid w:val="005E0086"/>
    <w:rsid w:val="005E5E52"/>
    <w:rsid w:val="005E690C"/>
    <w:rsid w:val="005F03E2"/>
    <w:rsid w:val="005F3811"/>
    <w:rsid w:val="005F4B6A"/>
    <w:rsid w:val="00602711"/>
    <w:rsid w:val="006041C2"/>
    <w:rsid w:val="00610EDB"/>
    <w:rsid w:val="00611500"/>
    <w:rsid w:val="006127D7"/>
    <w:rsid w:val="0061429F"/>
    <w:rsid w:val="00616A5B"/>
    <w:rsid w:val="006175D6"/>
    <w:rsid w:val="00622447"/>
    <w:rsid w:val="00622879"/>
    <w:rsid w:val="006231B1"/>
    <w:rsid w:val="00623FD0"/>
    <w:rsid w:val="00627066"/>
    <w:rsid w:val="00627CEB"/>
    <w:rsid w:val="0063074F"/>
    <w:rsid w:val="00632DB8"/>
    <w:rsid w:val="0063447D"/>
    <w:rsid w:val="006346F3"/>
    <w:rsid w:val="00634A8E"/>
    <w:rsid w:val="00637FCA"/>
    <w:rsid w:val="00641E28"/>
    <w:rsid w:val="00643060"/>
    <w:rsid w:val="0064441E"/>
    <w:rsid w:val="00644623"/>
    <w:rsid w:val="00645B9F"/>
    <w:rsid w:val="00647615"/>
    <w:rsid w:val="00647ADF"/>
    <w:rsid w:val="00650B6A"/>
    <w:rsid w:val="00651638"/>
    <w:rsid w:val="00653DF9"/>
    <w:rsid w:val="00655A5F"/>
    <w:rsid w:val="0066376F"/>
    <w:rsid w:val="00664D0A"/>
    <w:rsid w:val="006651C6"/>
    <w:rsid w:val="006653E2"/>
    <w:rsid w:val="0066611C"/>
    <w:rsid w:val="00667267"/>
    <w:rsid w:val="006715A1"/>
    <w:rsid w:val="00674985"/>
    <w:rsid w:val="00676290"/>
    <w:rsid w:val="006769CC"/>
    <w:rsid w:val="00680CB0"/>
    <w:rsid w:val="00680F52"/>
    <w:rsid w:val="006815BD"/>
    <w:rsid w:val="0068169A"/>
    <w:rsid w:val="0068690C"/>
    <w:rsid w:val="00686A90"/>
    <w:rsid w:val="00686C99"/>
    <w:rsid w:val="006876FF"/>
    <w:rsid w:val="00687FE7"/>
    <w:rsid w:val="0069000A"/>
    <w:rsid w:val="00691547"/>
    <w:rsid w:val="00691AB0"/>
    <w:rsid w:val="00691B06"/>
    <w:rsid w:val="0069208E"/>
    <w:rsid w:val="00694556"/>
    <w:rsid w:val="00697983"/>
    <w:rsid w:val="00697FBE"/>
    <w:rsid w:val="006A0C6B"/>
    <w:rsid w:val="006A2749"/>
    <w:rsid w:val="006A56DE"/>
    <w:rsid w:val="006A5CFD"/>
    <w:rsid w:val="006A751E"/>
    <w:rsid w:val="006B0AF7"/>
    <w:rsid w:val="006B125D"/>
    <w:rsid w:val="006B2D9D"/>
    <w:rsid w:val="006B432E"/>
    <w:rsid w:val="006B5D7B"/>
    <w:rsid w:val="006C0298"/>
    <w:rsid w:val="006C0E23"/>
    <w:rsid w:val="006C2870"/>
    <w:rsid w:val="006C3579"/>
    <w:rsid w:val="006C4620"/>
    <w:rsid w:val="006C687D"/>
    <w:rsid w:val="006C6EEC"/>
    <w:rsid w:val="006C6FF0"/>
    <w:rsid w:val="006D194E"/>
    <w:rsid w:val="006D2A84"/>
    <w:rsid w:val="006D2C3B"/>
    <w:rsid w:val="006D2E02"/>
    <w:rsid w:val="006D4CAD"/>
    <w:rsid w:val="006D736F"/>
    <w:rsid w:val="006E09B2"/>
    <w:rsid w:val="006E107E"/>
    <w:rsid w:val="006E11E2"/>
    <w:rsid w:val="006E1261"/>
    <w:rsid w:val="006E2349"/>
    <w:rsid w:val="006E55F5"/>
    <w:rsid w:val="006E5857"/>
    <w:rsid w:val="006E79DD"/>
    <w:rsid w:val="006F080A"/>
    <w:rsid w:val="006F0B9E"/>
    <w:rsid w:val="006F1197"/>
    <w:rsid w:val="006F173E"/>
    <w:rsid w:val="006F19E5"/>
    <w:rsid w:val="006F1FA4"/>
    <w:rsid w:val="006F2249"/>
    <w:rsid w:val="006F2F80"/>
    <w:rsid w:val="006F335F"/>
    <w:rsid w:val="006F3705"/>
    <w:rsid w:val="006F3C60"/>
    <w:rsid w:val="006F454E"/>
    <w:rsid w:val="006F55FF"/>
    <w:rsid w:val="006F5769"/>
    <w:rsid w:val="006F5BE7"/>
    <w:rsid w:val="00700069"/>
    <w:rsid w:val="00701A3C"/>
    <w:rsid w:val="007024FE"/>
    <w:rsid w:val="00703BA2"/>
    <w:rsid w:val="007079DE"/>
    <w:rsid w:val="00712ACE"/>
    <w:rsid w:val="007131EB"/>
    <w:rsid w:val="00713B61"/>
    <w:rsid w:val="00713B6F"/>
    <w:rsid w:val="007213E0"/>
    <w:rsid w:val="0072262A"/>
    <w:rsid w:val="00723451"/>
    <w:rsid w:val="00724D95"/>
    <w:rsid w:val="00726D21"/>
    <w:rsid w:val="00727A5C"/>
    <w:rsid w:val="00727C29"/>
    <w:rsid w:val="007313EE"/>
    <w:rsid w:val="0073212C"/>
    <w:rsid w:val="00732EEB"/>
    <w:rsid w:val="0073352B"/>
    <w:rsid w:val="007336CD"/>
    <w:rsid w:val="0073382C"/>
    <w:rsid w:val="00740E81"/>
    <w:rsid w:val="007412E2"/>
    <w:rsid w:val="00742DC7"/>
    <w:rsid w:val="007431B0"/>
    <w:rsid w:val="00744518"/>
    <w:rsid w:val="00744A53"/>
    <w:rsid w:val="0074556C"/>
    <w:rsid w:val="0074584F"/>
    <w:rsid w:val="007466E1"/>
    <w:rsid w:val="007470BC"/>
    <w:rsid w:val="00751AC6"/>
    <w:rsid w:val="00752FEB"/>
    <w:rsid w:val="00753EB3"/>
    <w:rsid w:val="007546B0"/>
    <w:rsid w:val="0075670D"/>
    <w:rsid w:val="00760D2F"/>
    <w:rsid w:val="00763BE8"/>
    <w:rsid w:val="00770894"/>
    <w:rsid w:val="00771146"/>
    <w:rsid w:val="00771573"/>
    <w:rsid w:val="0077173C"/>
    <w:rsid w:val="00771CE9"/>
    <w:rsid w:val="00771E8C"/>
    <w:rsid w:val="00772373"/>
    <w:rsid w:val="007744B0"/>
    <w:rsid w:val="00774FF9"/>
    <w:rsid w:val="0077511F"/>
    <w:rsid w:val="0077551C"/>
    <w:rsid w:val="00775C8D"/>
    <w:rsid w:val="007760C4"/>
    <w:rsid w:val="00777109"/>
    <w:rsid w:val="00780AA7"/>
    <w:rsid w:val="00780DAA"/>
    <w:rsid w:val="007844D4"/>
    <w:rsid w:val="00787D00"/>
    <w:rsid w:val="00787D71"/>
    <w:rsid w:val="00790416"/>
    <w:rsid w:val="00791D41"/>
    <w:rsid w:val="007927E3"/>
    <w:rsid w:val="0079359A"/>
    <w:rsid w:val="007959D4"/>
    <w:rsid w:val="00795BEE"/>
    <w:rsid w:val="00795D21"/>
    <w:rsid w:val="0079651C"/>
    <w:rsid w:val="00796837"/>
    <w:rsid w:val="007969D3"/>
    <w:rsid w:val="007A018D"/>
    <w:rsid w:val="007A2854"/>
    <w:rsid w:val="007A5BD9"/>
    <w:rsid w:val="007A70EE"/>
    <w:rsid w:val="007A7104"/>
    <w:rsid w:val="007B088A"/>
    <w:rsid w:val="007B167B"/>
    <w:rsid w:val="007B1D2E"/>
    <w:rsid w:val="007B2FFA"/>
    <w:rsid w:val="007B5FDA"/>
    <w:rsid w:val="007B6731"/>
    <w:rsid w:val="007B72D9"/>
    <w:rsid w:val="007C01BF"/>
    <w:rsid w:val="007C08E3"/>
    <w:rsid w:val="007C1349"/>
    <w:rsid w:val="007C1A3A"/>
    <w:rsid w:val="007C2479"/>
    <w:rsid w:val="007C3014"/>
    <w:rsid w:val="007C389C"/>
    <w:rsid w:val="007C419E"/>
    <w:rsid w:val="007C4BBC"/>
    <w:rsid w:val="007C53A7"/>
    <w:rsid w:val="007C740F"/>
    <w:rsid w:val="007C794C"/>
    <w:rsid w:val="007D19DC"/>
    <w:rsid w:val="007D1E18"/>
    <w:rsid w:val="007D1EBA"/>
    <w:rsid w:val="007D2063"/>
    <w:rsid w:val="007D2488"/>
    <w:rsid w:val="007D44DA"/>
    <w:rsid w:val="007D4630"/>
    <w:rsid w:val="007D55D5"/>
    <w:rsid w:val="007D6208"/>
    <w:rsid w:val="007D6EF6"/>
    <w:rsid w:val="007E12E0"/>
    <w:rsid w:val="007E23B4"/>
    <w:rsid w:val="007E2A23"/>
    <w:rsid w:val="007E2DD6"/>
    <w:rsid w:val="007E383A"/>
    <w:rsid w:val="007E551F"/>
    <w:rsid w:val="007E69CB"/>
    <w:rsid w:val="007F43B5"/>
    <w:rsid w:val="007F4CA7"/>
    <w:rsid w:val="007F4CEF"/>
    <w:rsid w:val="007F5647"/>
    <w:rsid w:val="0080066F"/>
    <w:rsid w:val="0080136C"/>
    <w:rsid w:val="00801910"/>
    <w:rsid w:val="00801914"/>
    <w:rsid w:val="00803332"/>
    <w:rsid w:val="0080414E"/>
    <w:rsid w:val="008108F2"/>
    <w:rsid w:val="008127EE"/>
    <w:rsid w:val="00812AFF"/>
    <w:rsid w:val="0081691F"/>
    <w:rsid w:val="00817F6D"/>
    <w:rsid w:val="008216A0"/>
    <w:rsid w:val="0082191D"/>
    <w:rsid w:val="0082321B"/>
    <w:rsid w:val="00823336"/>
    <w:rsid w:val="00826CBF"/>
    <w:rsid w:val="00831EA8"/>
    <w:rsid w:val="0083489D"/>
    <w:rsid w:val="00834D42"/>
    <w:rsid w:val="00837C84"/>
    <w:rsid w:val="00840AA2"/>
    <w:rsid w:val="00840CEE"/>
    <w:rsid w:val="008425AE"/>
    <w:rsid w:val="00843D5C"/>
    <w:rsid w:val="00844DCC"/>
    <w:rsid w:val="00844E6D"/>
    <w:rsid w:val="00845110"/>
    <w:rsid w:val="00845160"/>
    <w:rsid w:val="008457C2"/>
    <w:rsid w:val="00846265"/>
    <w:rsid w:val="008463EF"/>
    <w:rsid w:val="008471DE"/>
    <w:rsid w:val="00847BFD"/>
    <w:rsid w:val="00850739"/>
    <w:rsid w:val="00851EE8"/>
    <w:rsid w:val="00853648"/>
    <w:rsid w:val="0085365C"/>
    <w:rsid w:val="00854063"/>
    <w:rsid w:val="008563B5"/>
    <w:rsid w:val="00860C6F"/>
    <w:rsid w:val="00861AFA"/>
    <w:rsid w:val="00861E4D"/>
    <w:rsid w:val="00866868"/>
    <w:rsid w:val="0087030A"/>
    <w:rsid w:val="00870FF0"/>
    <w:rsid w:val="0087388A"/>
    <w:rsid w:val="00873CEA"/>
    <w:rsid w:val="00873F69"/>
    <w:rsid w:val="008754E9"/>
    <w:rsid w:val="00875ED6"/>
    <w:rsid w:val="00877734"/>
    <w:rsid w:val="008810A6"/>
    <w:rsid w:val="008817C2"/>
    <w:rsid w:val="008820CE"/>
    <w:rsid w:val="008820FE"/>
    <w:rsid w:val="0088295D"/>
    <w:rsid w:val="00884E7C"/>
    <w:rsid w:val="00885E85"/>
    <w:rsid w:val="008863B1"/>
    <w:rsid w:val="00891B19"/>
    <w:rsid w:val="00892A98"/>
    <w:rsid w:val="008957D4"/>
    <w:rsid w:val="00895BC5"/>
    <w:rsid w:val="00896060"/>
    <w:rsid w:val="008A0448"/>
    <w:rsid w:val="008A3085"/>
    <w:rsid w:val="008A3EA2"/>
    <w:rsid w:val="008A501C"/>
    <w:rsid w:val="008A7E99"/>
    <w:rsid w:val="008B16B4"/>
    <w:rsid w:val="008B170D"/>
    <w:rsid w:val="008B5D6B"/>
    <w:rsid w:val="008B6C09"/>
    <w:rsid w:val="008B71C3"/>
    <w:rsid w:val="008C0C80"/>
    <w:rsid w:val="008C2B31"/>
    <w:rsid w:val="008C3E9C"/>
    <w:rsid w:val="008C4CF4"/>
    <w:rsid w:val="008C53E0"/>
    <w:rsid w:val="008D00FD"/>
    <w:rsid w:val="008D01F9"/>
    <w:rsid w:val="008D07E2"/>
    <w:rsid w:val="008D3E06"/>
    <w:rsid w:val="008D749C"/>
    <w:rsid w:val="008E1593"/>
    <w:rsid w:val="008E1681"/>
    <w:rsid w:val="008E1D51"/>
    <w:rsid w:val="008E32C3"/>
    <w:rsid w:val="008E4B38"/>
    <w:rsid w:val="008E4BFE"/>
    <w:rsid w:val="008E614E"/>
    <w:rsid w:val="008E742D"/>
    <w:rsid w:val="008E7840"/>
    <w:rsid w:val="008E7BA4"/>
    <w:rsid w:val="008F047E"/>
    <w:rsid w:val="008F054C"/>
    <w:rsid w:val="008F0559"/>
    <w:rsid w:val="008F364D"/>
    <w:rsid w:val="008F3943"/>
    <w:rsid w:val="008F58E4"/>
    <w:rsid w:val="0090116E"/>
    <w:rsid w:val="009023DA"/>
    <w:rsid w:val="009029EA"/>
    <w:rsid w:val="009044EA"/>
    <w:rsid w:val="009048A8"/>
    <w:rsid w:val="009068AD"/>
    <w:rsid w:val="0090796F"/>
    <w:rsid w:val="00910C8D"/>
    <w:rsid w:val="0091251A"/>
    <w:rsid w:val="00912DB6"/>
    <w:rsid w:val="00912EC9"/>
    <w:rsid w:val="0091415C"/>
    <w:rsid w:val="00915050"/>
    <w:rsid w:val="00915365"/>
    <w:rsid w:val="00917B9F"/>
    <w:rsid w:val="00921438"/>
    <w:rsid w:val="00923F6C"/>
    <w:rsid w:val="00924AFB"/>
    <w:rsid w:val="00925938"/>
    <w:rsid w:val="00926A6C"/>
    <w:rsid w:val="00926DAC"/>
    <w:rsid w:val="00931837"/>
    <w:rsid w:val="00932745"/>
    <w:rsid w:val="00940B68"/>
    <w:rsid w:val="00941118"/>
    <w:rsid w:val="00941253"/>
    <w:rsid w:val="0094126A"/>
    <w:rsid w:val="00944C5B"/>
    <w:rsid w:val="00947151"/>
    <w:rsid w:val="00952809"/>
    <w:rsid w:val="00952DFB"/>
    <w:rsid w:val="00953BBF"/>
    <w:rsid w:val="009548E1"/>
    <w:rsid w:val="00954F91"/>
    <w:rsid w:val="00956381"/>
    <w:rsid w:val="009570BA"/>
    <w:rsid w:val="009606ED"/>
    <w:rsid w:val="00960ED7"/>
    <w:rsid w:val="009611B3"/>
    <w:rsid w:val="009637E0"/>
    <w:rsid w:val="009637F1"/>
    <w:rsid w:val="00963EBE"/>
    <w:rsid w:val="0096493A"/>
    <w:rsid w:val="00965BAD"/>
    <w:rsid w:val="00965E67"/>
    <w:rsid w:val="00966E0F"/>
    <w:rsid w:val="00967011"/>
    <w:rsid w:val="0097044A"/>
    <w:rsid w:val="00971AE6"/>
    <w:rsid w:val="009726A7"/>
    <w:rsid w:val="00972F41"/>
    <w:rsid w:val="00974A20"/>
    <w:rsid w:val="00975935"/>
    <w:rsid w:val="0098096A"/>
    <w:rsid w:val="00980D01"/>
    <w:rsid w:val="00984479"/>
    <w:rsid w:val="009844BE"/>
    <w:rsid w:val="009848C1"/>
    <w:rsid w:val="00985617"/>
    <w:rsid w:val="00990E2A"/>
    <w:rsid w:val="00991F49"/>
    <w:rsid w:val="009925FD"/>
    <w:rsid w:val="0099375B"/>
    <w:rsid w:val="00997446"/>
    <w:rsid w:val="009978F6"/>
    <w:rsid w:val="009A07A0"/>
    <w:rsid w:val="009A095B"/>
    <w:rsid w:val="009A1529"/>
    <w:rsid w:val="009A1CF7"/>
    <w:rsid w:val="009A2556"/>
    <w:rsid w:val="009A3E88"/>
    <w:rsid w:val="009A405A"/>
    <w:rsid w:val="009A66C0"/>
    <w:rsid w:val="009A7394"/>
    <w:rsid w:val="009B10A7"/>
    <w:rsid w:val="009B14BD"/>
    <w:rsid w:val="009B1F28"/>
    <w:rsid w:val="009B341C"/>
    <w:rsid w:val="009B341E"/>
    <w:rsid w:val="009B5FB2"/>
    <w:rsid w:val="009B6703"/>
    <w:rsid w:val="009B71B6"/>
    <w:rsid w:val="009B7EBB"/>
    <w:rsid w:val="009C29E3"/>
    <w:rsid w:val="009C375C"/>
    <w:rsid w:val="009C439F"/>
    <w:rsid w:val="009C5D6F"/>
    <w:rsid w:val="009C6E47"/>
    <w:rsid w:val="009D012E"/>
    <w:rsid w:val="009D0328"/>
    <w:rsid w:val="009D2961"/>
    <w:rsid w:val="009D30AF"/>
    <w:rsid w:val="009D3E71"/>
    <w:rsid w:val="009D3F64"/>
    <w:rsid w:val="009D6492"/>
    <w:rsid w:val="009E1AFF"/>
    <w:rsid w:val="009E1BA4"/>
    <w:rsid w:val="009E27D7"/>
    <w:rsid w:val="009E421A"/>
    <w:rsid w:val="009E457B"/>
    <w:rsid w:val="009E46E5"/>
    <w:rsid w:val="009E524E"/>
    <w:rsid w:val="009E65E5"/>
    <w:rsid w:val="009E7D6D"/>
    <w:rsid w:val="009F05F0"/>
    <w:rsid w:val="009F27D2"/>
    <w:rsid w:val="009F285B"/>
    <w:rsid w:val="009F2E23"/>
    <w:rsid w:val="009F3DCB"/>
    <w:rsid w:val="009F3E69"/>
    <w:rsid w:val="009F6ACD"/>
    <w:rsid w:val="009F6EAB"/>
    <w:rsid w:val="009F704B"/>
    <w:rsid w:val="00A0128D"/>
    <w:rsid w:val="00A062BB"/>
    <w:rsid w:val="00A06888"/>
    <w:rsid w:val="00A07785"/>
    <w:rsid w:val="00A07AC4"/>
    <w:rsid w:val="00A1249A"/>
    <w:rsid w:val="00A135BE"/>
    <w:rsid w:val="00A142FE"/>
    <w:rsid w:val="00A2049F"/>
    <w:rsid w:val="00A21112"/>
    <w:rsid w:val="00A2128D"/>
    <w:rsid w:val="00A21673"/>
    <w:rsid w:val="00A23232"/>
    <w:rsid w:val="00A23C0B"/>
    <w:rsid w:val="00A23DE4"/>
    <w:rsid w:val="00A23F23"/>
    <w:rsid w:val="00A2579C"/>
    <w:rsid w:val="00A25B18"/>
    <w:rsid w:val="00A325F1"/>
    <w:rsid w:val="00A34FCB"/>
    <w:rsid w:val="00A35738"/>
    <w:rsid w:val="00A42320"/>
    <w:rsid w:val="00A430B4"/>
    <w:rsid w:val="00A4374A"/>
    <w:rsid w:val="00A43F2F"/>
    <w:rsid w:val="00A45869"/>
    <w:rsid w:val="00A45D0A"/>
    <w:rsid w:val="00A461CC"/>
    <w:rsid w:val="00A46B17"/>
    <w:rsid w:val="00A477A3"/>
    <w:rsid w:val="00A51589"/>
    <w:rsid w:val="00A52133"/>
    <w:rsid w:val="00A5307E"/>
    <w:rsid w:val="00A53A62"/>
    <w:rsid w:val="00A60BDC"/>
    <w:rsid w:val="00A62477"/>
    <w:rsid w:val="00A7189C"/>
    <w:rsid w:val="00A71C2F"/>
    <w:rsid w:val="00A71E06"/>
    <w:rsid w:val="00A7369F"/>
    <w:rsid w:val="00A73C5B"/>
    <w:rsid w:val="00A74D15"/>
    <w:rsid w:val="00A75CAF"/>
    <w:rsid w:val="00A82E54"/>
    <w:rsid w:val="00A86860"/>
    <w:rsid w:val="00A9084B"/>
    <w:rsid w:val="00A91025"/>
    <w:rsid w:val="00A931F4"/>
    <w:rsid w:val="00A94820"/>
    <w:rsid w:val="00A9694C"/>
    <w:rsid w:val="00A96B56"/>
    <w:rsid w:val="00A97A9C"/>
    <w:rsid w:val="00A97BD6"/>
    <w:rsid w:val="00A97D11"/>
    <w:rsid w:val="00AA16C1"/>
    <w:rsid w:val="00AA16FD"/>
    <w:rsid w:val="00AA1937"/>
    <w:rsid w:val="00AA419C"/>
    <w:rsid w:val="00AA610B"/>
    <w:rsid w:val="00AA6D47"/>
    <w:rsid w:val="00AB28F9"/>
    <w:rsid w:val="00AB3B58"/>
    <w:rsid w:val="00AB42CB"/>
    <w:rsid w:val="00AB51C4"/>
    <w:rsid w:val="00AB5B39"/>
    <w:rsid w:val="00AB6519"/>
    <w:rsid w:val="00AB6BE3"/>
    <w:rsid w:val="00AC08A3"/>
    <w:rsid w:val="00AC3FEF"/>
    <w:rsid w:val="00AC4646"/>
    <w:rsid w:val="00AD0CDE"/>
    <w:rsid w:val="00AD2448"/>
    <w:rsid w:val="00AD3327"/>
    <w:rsid w:val="00AD38E5"/>
    <w:rsid w:val="00AD5107"/>
    <w:rsid w:val="00AD5DCE"/>
    <w:rsid w:val="00AD6A34"/>
    <w:rsid w:val="00AD6E2B"/>
    <w:rsid w:val="00AD6EDA"/>
    <w:rsid w:val="00AD770D"/>
    <w:rsid w:val="00AD7E1C"/>
    <w:rsid w:val="00AE1022"/>
    <w:rsid w:val="00AE1BA7"/>
    <w:rsid w:val="00AE29CB"/>
    <w:rsid w:val="00AE3A7C"/>
    <w:rsid w:val="00AE3C23"/>
    <w:rsid w:val="00AE478C"/>
    <w:rsid w:val="00AE4DF4"/>
    <w:rsid w:val="00AE5FA2"/>
    <w:rsid w:val="00AE61CD"/>
    <w:rsid w:val="00AE64B9"/>
    <w:rsid w:val="00AE7189"/>
    <w:rsid w:val="00AE7348"/>
    <w:rsid w:val="00AF0EC0"/>
    <w:rsid w:val="00AF0EC5"/>
    <w:rsid w:val="00AF102D"/>
    <w:rsid w:val="00AF1424"/>
    <w:rsid w:val="00AF25DA"/>
    <w:rsid w:val="00AF2E46"/>
    <w:rsid w:val="00AF6D75"/>
    <w:rsid w:val="00AF7623"/>
    <w:rsid w:val="00B00424"/>
    <w:rsid w:val="00B01264"/>
    <w:rsid w:val="00B016FF"/>
    <w:rsid w:val="00B02B75"/>
    <w:rsid w:val="00B039D7"/>
    <w:rsid w:val="00B03A01"/>
    <w:rsid w:val="00B057EA"/>
    <w:rsid w:val="00B05BD0"/>
    <w:rsid w:val="00B05C7F"/>
    <w:rsid w:val="00B11F91"/>
    <w:rsid w:val="00B13F91"/>
    <w:rsid w:val="00B15B5C"/>
    <w:rsid w:val="00B165E7"/>
    <w:rsid w:val="00B176EA"/>
    <w:rsid w:val="00B23EC0"/>
    <w:rsid w:val="00B27F3B"/>
    <w:rsid w:val="00B27FCE"/>
    <w:rsid w:val="00B300B7"/>
    <w:rsid w:val="00B30B5F"/>
    <w:rsid w:val="00B30D3E"/>
    <w:rsid w:val="00B30DEE"/>
    <w:rsid w:val="00B322FB"/>
    <w:rsid w:val="00B32693"/>
    <w:rsid w:val="00B328F9"/>
    <w:rsid w:val="00B345EB"/>
    <w:rsid w:val="00B3487C"/>
    <w:rsid w:val="00B355AE"/>
    <w:rsid w:val="00B36774"/>
    <w:rsid w:val="00B3749D"/>
    <w:rsid w:val="00B40F1B"/>
    <w:rsid w:val="00B4187C"/>
    <w:rsid w:val="00B421EC"/>
    <w:rsid w:val="00B4457F"/>
    <w:rsid w:val="00B44AD8"/>
    <w:rsid w:val="00B45D59"/>
    <w:rsid w:val="00B50134"/>
    <w:rsid w:val="00B50A04"/>
    <w:rsid w:val="00B53252"/>
    <w:rsid w:val="00B53671"/>
    <w:rsid w:val="00B54190"/>
    <w:rsid w:val="00B55B35"/>
    <w:rsid w:val="00B60B09"/>
    <w:rsid w:val="00B6183B"/>
    <w:rsid w:val="00B618C1"/>
    <w:rsid w:val="00B61918"/>
    <w:rsid w:val="00B623F1"/>
    <w:rsid w:val="00B64983"/>
    <w:rsid w:val="00B64ADB"/>
    <w:rsid w:val="00B64E6F"/>
    <w:rsid w:val="00B66B87"/>
    <w:rsid w:val="00B67942"/>
    <w:rsid w:val="00B71D7E"/>
    <w:rsid w:val="00B72705"/>
    <w:rsid w:val="00B73329"/>
    <w:rsid w:val="00B74671"/>
    <w:rsid w:val="00B76613"/>
    <w:rsid w:val="00B77E5A"/>
    <w:rsid w:val="00B81492"/>
    <w:rsid w:val="00B82688"/>
    <w:rsid w:val="00B834A8"/>
    <w:rsid w:val="00B83C4E"/>
    <w:rsid w:val="00B844E8"/>
    <w:rsid w:val="00B86880"/>
    <w:rsid w:val="00B91253"/>
    <w:rsid w:val="00B91A90"/>
    <w:rsid w:val="00B9255D"/>
    <w:rsid w:val="00B928BE"/>
    <w:rsid w:val="00B93013"/>
    <w:rsid w:val="00B94CBB"/>
    <w:rsid w:val="00BA071E"/>
    <w:rsid w:val="00BA6C2B"/>
    <w:rsid w:val="00BA73FF"/>
    <w:rsid w:val="00BB08E2"/>
    <w:rsid w:val="00BB0F95"/>
    <w:rsid w:val="00BB187F"/>
    <w:rsid w:val="00BB2B44"/>
    <w:rsid w:val="00BB2C66"/>
    <w:rsid w:val="00BB39C6"/>
    <w:rsid w:val="00BB3BF9"/>
    <w:rsid w:val="00BB4644"/>
    <w:rsid w:val="00BC0456"/>
    <w:rsid w:val="00BC2579"/>
    <w:rsid w:val="00BC370B"/>
    <w:rsid w:val="00BC5CAE"/>
    <w:rsid w:val="00BC61DA"/>
    <w:rsid w:val="00BC7282"/>
    <w:rsid w:val="00BD1703"/>
    <w:rsid w:val="00BD31E9"/>
    <w:rsid w:val="00BD3421"/>
    <w:rsid w:val="00BD354F"/>
    <w:rsid w:val="00BD3648"/>
    <w:rsid w:val="00BD4516"/>
    <w:rsid w:val="00BD653C"/>
    <w:rsid w:val="00BE00C8"/>
    <w:rsid w:val="00BE038F"/>
    <w:rsid w:val="00BE0E9D"/>
    <w:rsid w:val="00BE1156"/>
    <w:rsid w:val="00BE1C98"/>
    <w:rsid w:val="00BE1E3B"/>
    <w:rsid w:val="00BE351D"/>
    <w:rsid w:val="00BE3D02"/>
    <w:rsid w:val="00BE5898"/>
    <w:rsid w:val="00BE7555"/>
    <w:rsid w:val="00BE7651"/>
    <w:rsid w:val="00BF06DE"/>
    <w:rsid w:val="00BF0C05"/>
    <w:rsid w:val="00BF2496"/>
    <w:rsid w:val="00BF38DA"/>
    <w:rsid w:val="00BF3FA2"/>
    <w:rsid w:val="00BF40F9"/>
    <w:rsid w:val="00BF5795"/>
    <w:rsid w:val="00BF64FE"/>
    <w:rsid w:val="00C009AB"/>
    <w:rsid w:val="00C01AAA"/>
    <w:rsid w:val="00C0290F"/>
    <w:rsid w:val="00C042A1"/>
    <w:rsid w:val="00C05E32"/>
    <w:rsid w:val="00C07652"/>
    <w:rsid w:val="00C07B2A"/>
    <w:rsid w:val="00C10F3A"/>
    <w:rsid w:val="00C11ED1"/>
    <w:rsid w:val="00C126E4"/>
    <w:rsid w:val="00C14B53"/>
    <w:rsid w:val="00C2175D"/>
    <w:rsid w:val="00C2336E"/>
    <w:rsid w:val="00C24557"/>
    <w:rsid w:val="00C24A37"/>
    <w:rsid w:val="00C25F1E"/>
    <w:rsid w:val="00C34820"/>
    <w:rsid w:val="00C34848"/>
    <w:rsid w:val="00C34CD1"/>
    <w:rsid w:val="00C34F74"/>
    <w:rsid w:val="00C35F05"/>
    <w:rsid w:val="00C376C5"/>
    <w:rsid w:val="00C4182B"/>
    <w:rsid w:val="00C42607"/>
    <w:rsid w:val="00C4391E"/>
    <w:rsid w:val="00C44477"/>
    <w:rsid w:val="00C468F4"/>
    <w:rsid w:val="00C47057"/>
    <w:rsid w:val="00C47D8E"/>
    <w:rsid w:val="00C5025E"/>
    <w:rsid w:val="00C50508"/>
    <w:rsid w:val="00C50961"/>
    <w:rsid w:val="00C51852"/>
    <w:rsid w:val="00C525E7"/>
    <w:rsid w:val="00C539F9"/>
    <w:rsid w:val="00C55FEE"/>
    <w:rsid w:val="00C5653E"/>
    <w:rsid w:val="00C56CC8"/>
    <w:rsid w:val="00C62E10"/>
    <w:rsid w:val="00C631AA"/>
    <w:rsid w:val="00C6479E"/>
    <w:rsid w:val="00C6576B"/>
    <w:rsid w:val="00C70007"/>
    <w:rsid w:val="00C70D56"/>
    <w:rsid w:val="00C70E39"/>
    <w:rsid w:val="00C71737"/>
    <w:rsid w:val="00C71B26"/>
    <w:rsid w:val="00C720D0"/>
    <w:rsid w:val="00C7347F"/>
    <w:rsid w:val="00C7464C"/>
    <w:rsid w:val="00C7591E"/>
    <w:rsid w:val="00C75B7E"/>
    <w:rsid w:val="00C80262"/>
    <w:rsid w:val="00C80923"/>
    <w:rsid w:val="00C8196C"/>
    <w:rsid w:val="00C83C42"/>
    <w:rsid w:val="00C85551"/>
    <w:rsid w:val="00C87BB8"/>
    <w:rsid w:val="00C903FB"/>
    <w:rsid w:val="00C91071"/>
    <w:rsid w:val="00C921C7"/>
    <w:rsid w:val="00C94975"/>
    <w:rsid w:val="00C9645C"/>
    <w:rsid w:val="00C97479"/>
    <w:rsid w:val="00C974FF"/>
    <w:rsid w:val="00CA1A75"/>
    <w:rsid w:val="00CA3AFD"/>
    <w:rsid w:val="00CA48E5"/>
    <w:rsid w:val="00CA76FE"/>
    <w:rsid w:val="00CA7E6F"/>
    <w:rsid w:val="00CB0CA6"/>
    <w:rsid w:val="00CB1B3E"/>
    <w:rsid w:val="00CB2313"/>
    <w:rsid w:val="00CB34DF"/>
    <w:rsid w:val="00CB38F8"/>
    <w:rsid w:val="00CB39DA"/>
    <w:rsid w:val="00CB3ABC"/>
    <w:rsid w:val="00CB4639"/>
    <w:rsid w:val="00CB562F"/>
    <w:rsid w:val="00CB5DA7"/>
    <w:rsid w:val="00CB6275"/>
    <w:rsid w:val="00CB6792"/>
    <w:rsid w:val="00CB6D2F"/>
    <w:rsid w:val="00CC11E1"/>
    <w:rsid w:val="00CC203A"/>
    <w:rsid w:val="00CC307D"/>
    <w:rsid w:val="00CC30CC"/>
    <w:rsid w:val="00CC7F13"/>
    <w:rsid w:val="00CD071C"/>
    <w:rsid w:val="00CD0E63"/>
    <w:rsid w:val="00CD1A42"/>
    <w:rsid w:val="00CD39BA"/>
    <w:rsid w:val="00CD432C"/>
    <w:rsid w:val="00CD4A77"/>
    <w:rsid w:val="00CD6CDB"/>
    <w:rsid w:val="00CE1433"/>
    <w:rsid w:val="00CE16E7"/>
    <w:rsid w:val="00CE2704"/>
    <w:rsid w:val="00CE2C64"/>
    <w:rsid w:val="00CE3A2D"/>
    <w:rsid w:val="00CE6A02"/>
    <w:rsid w:val="00CE7304"/>
    <w:rsid w:val="00CF07E2"/>
    <w:rsid w:val="00CF0A99"/>
    <w:rsid w:val="00CF162C"/>
    <w:rsid w:val="00CF1E0B"/>
    <w:rsid w:val="00CF4F91"/>
    <w:rsid w:val="00CF5F23"/>
    <w:rsid w:val="00CF7098"/>
    <w:rsid w:val="00D018FD"/>
    <w:rsid w:val="00D02237"/>
    <w:rsid w:val="00D05538"/>
    <w:rsid w:val="00D05EFB"/>
    <w:rsid w:val="00D10C8E"/>
    <w:rsid w:val="00D13570"/>
    <w:rsid w:val="00D1439E"/>
    <w:rsid w:val="00D16585"/>
    <w:rsid w:val="00D2058B"/>
    <w:rsid w:val="00D22E7C"/>
    <w:rsid w:val="00D22FA9"/>
    <w:rsid w:val="00D23D66"/>
    <w:rsid w:val="00D26F7C"/>
    <w:rsid w:val="00D26FF3"/>
    <w:rsid w:val="00D27A97"/>
    <w:rsid w:val="00D333FE"/>
    <w:rsid w:val="00D33995"/>
    <w:rsid w:val="00D36485"/>
    <w:rsid w:val="00D3648B"/>
    <w:rsid w:val="00D377B0"/>
    <w:rsid w:val="00D4017A"/>
    <w:rsid w:val="00D41E8D"/>
    <w:rsid w:val="00D42194"/>
    <w:rsid w:val="00D42E6B"/>
    <w:rsid w:val="00D44937"/>
    <w:rsid w:val="00D45224"/>
    <w:rsid w:val="00D4538E"/>
    <w:rsid w:val="00D460CD"/>
    <w:rsid w:val="00D46D1A"/>
    <w:rsid w:val="00D51ABF"/>
    <w:rsid w:val="00D5363E"/>
    <w:rsid w:val="00D55A11"/>
    <w:rsid w:val="00D55DFE"/>
    <w:rsid w:val="00D57530"/>
    <w:rsid w:val="00D6052F"/>
    <w:rsid w:val="00D60BBF"/>
    <w:rsid w:val="00D612B2"/>
    <w:rsid w:val="00D62C12"/>
    <w:rsid w:val="00D62D90"/>
    <w:rsid w:val="00D6538D"/>
    <w:rsid w:val="00D66AAA"/>
    <w:rsid w:val="00D66FB0"/>
    <w:rsid w:val="00D72097"/>
    <w:rsid w:val="00D72DA5"/>
    <w:rsid w:val="00D72E78"/>
    <w:rsid w:val="00D749FF"/>
    <w:rsid w:val="00D74F62"/>
    <w:rsid w:val="00D75DF7"/>
    <w:rsid w:val="00D82314"/>
    <w:rsid w:val="00D84239"/>
    <w:rsid w:val="00D84C8D"/>
    <w:rsid w:val="00D85289"/>
    <w:rsid w:val="00D87EBC"/>
    <w:rsid w:val="00D900E8"/>
    <w:rsid w:val="00D91066"/>
    <w:rsid w:val="00D92BD7"/>
    <w:rsid w:val="00D92C37"/>
    <w:rsid w:val="00D9332A"/>
    <w:rsid w:val="00D94ADD"/>
    <w:rsid w:val="00D95D8B"/>
    <w:rsid w:val="00DA001B"/>
    <w:rsid w:val="00DA05A3"/>
    <w:rsid w:val="00DA1446"/>
    <w:rsid w:val="00DA1C89"/>
    <w:rsid w:val="00DA1F72"/>
    <w:rsid w:val="00DA3D6F"/>
    <w:rsid w:val="00DA4667"/>
    <w:rsid w:val="00DA4785"/>
    <w:rsid w:val="00DA4DDE"/>
    <w:rsid w:val="00DA51BB"/>
    <w:rsid w:val="00DA55FF"/>
    <w:rsid w:val="00DA5BAD"/>
    <w:rsid w:val="00DA6569"/>
    <w:rsid w:val="00DA68FF"/>
    <w:rsid w:val="00DA6F29"/>
    <w:rsid w:val="00DB1191"/>
    <w:rsid w:val="00DB2643"/>
    <w:rsid w:val="00DB3946"/>
    <w:rsid w:val="00DB45AF"/>
    <w:rsid w:val="00DB6046"/>
    <w:rsid w:val="00DB6635"/>
    <w:rsid w:val="00DC0232"/>
    <w:rsid w:val="00DC058B"/>
    <w:rsid w:val="00DC1C81"/>
    <w:rsid w:val="00DC561E"/>
    <w:rsid w:val="00DC5B28"/>
    <w:rsid w:val="00DC5B2B"/>
    <w:rsid w:val="00DD0726"/>
    <w:rsid w:val="00DD4443"/>
    <w:rsid w:val="00DD4D2E"/>
    <w:rsid w:val="00DD5A75"/>
    <w:rsid w:val="00DD66EA"/>
    <w:rsid w:val="00DE1091"/>
    <w:rsid w:val="00DE2F06"/>
    <w:rsid w:val="00DE3FB1"/>
    <w:rsid w:val="00DE4387"/>
    <w:rsid w:val="00DE4B98"/>
    <w:rsid w:val="00DE6415"/>
    <w:rsid w:val="00DF0231"/>
    <w:rsid w:val="00DF0930"/>
    <w:rsid w:val="00DF211B"/>
    <w:rsid w:val="00DF2196"/>
    <w:rsid w:val="00DF3A22"/>
    <w:rsid w:val="00DF4276"/>
    <w:rsid w:val="00DF479E"/>
    <w:rsid w:val="00E01149"/>
    <w:rsid w:val="00E01B52"/>
    <w:rsid w:val="00E03047"/>
    <w:rsid w:val="00E03FFF"/>
    <w:rsid w:val="00E0584C"/>
    <w:rsid w:val="00E05CD3"/>
    <w:rsid w:val="00E0690D"/>
    <w:rsid w:val="00E06AC0"/>
    <w:rsid w:val="00E0711F"/>
    <w:rsid w:val="00E104E1"/>
    <w:rsid w:val="00E12BBF"/>
    <w:rsid w:val="00E12C75"/>
    <w:rsid w:val="00E160DE"/>
    <w:rsid w:val="00E16A71"/>
    <w:rsid w:val="00E17A7E"/>
    <w:rsid w:val="00E25653"/>
    <w:rsid w:val="00E26377"/>
    <w:rsid w:val="00E26491"/>
    <w:rsid w:val="00E26AB9"/>
    <w:rsid w:val="00E31339"/>
    <w:rsid w:val="00E3392F"/>
    <w:rsid w:val="00E33D57"/>
    <w:rsid w:val="00E34526"/>
    <w:rsid w:val="00E34F59"/>
    <w:rsid w:val="00E36591"/>
    <w:rsid w:val="00E37B71"/>
    <w:rsid w:val="00E44FBF"/>
    <w:rsid w:val="00E458AB"/>
    <w:rsid w:val="00E45F40"/>
    <w:rsid w:val="00E4709C"/>
    <w:rsid w:val="00E47A7F"/>
    <w:rsid w:val="00E5091E"/>
    <w:rsid w:val="00E53DA2"/>
    <w:rsid w:val="00E543CF"/>
    <w:rsid w:val="00E55483"/>
    <w:rsid w:val="00E55CB7"/>
    <w:rsid w:val="00E56B07"/>
    <w:rsid w:val="00E56C56"/>
    <w:rsid w:val="00E57842"/>
    <w:rsid w:val="00E57D8C"/>
    <w:rsid w:val="00E57FDE"/>
    <w:rsid w:val="00E6140C"/>
    <w:rsid w:val="00E64D50"/>
    <w:rsid w:val="00E66734"/>
    <w:rsid w:val="00E70B67"/>
    <w:rsid w:val="00E7128B"/>
    <w:rsid w:val="00E74697"/>
    <w:rsid w:val="00E76B5A"/>
    <w:rsid w:val="00E77A96"/>
    <w:rsid w:val="00E77E0E"/>
    <w:rsid w:val="00E80211"/>
    <w:rsid w:val="00E8027E"/>
    <w:rsid w:val="00E81739"/>
    <w:rsid w:val="00E82C25"/>
    <w:rsid w:val="00E82F60"/>
    <w:rsid w:val="00E83D3B"/>
    <w:rsid w:val="00E848FC"/>
    <w:rsid w:val="00E84931"/>
    <w:rsid w:val="00E84FFA"/>
    <w:rsid w:val="00E87386"/>
    <w:rsid w:val="00E87C3E"/>
    <w:rsid w:val="00E92556"/>
    <w:rsid w:val="00E934D2"/>
    <w:rsid w:val="00E96EB7"/>
    <w:rsid w:val="00EA0998"/>
    <w:rsid w:val="00EA248A"/>
    <w:rsid w:val="00EA2A03"/>
    <w:rsid w:val="00EA2C77"/>
    <w:rsid w:val="00EA4E48"/>
    <w:rsid w:val="00EA7F5D"/>
    <w:rsid w:val="00EB0238"/>
    <w:rsid w:val="00EB1A7D"/>
    <w:rsid w:val="00EB3D6E"/>
    <w:rsid w:val="00EB592E"/>
    <w:rsid w:val="00EB6998"/>
    <w:rsid w:val="00EB7045"/>
    <w:rsid w:val="00EC2417"/>
    <w:rsid w:val="00EC2BE5"/>
    <w:rsid w:val="00EC6F3D"/>
    <w:rsid w:val="00ED23C9"/>
    <w:rsid w:val="00ED327E"/>
    <w:rsid w:val="00ED6435"/>
    <w:rsid w:val="00EE332E"/>
    <w:rsid w:val="00EE3915"/>
    <w:rsid w:val="00EE4480"/>
    <w:rsid w:val="00EE459F"/>
    <w:rsid w:val="00EE47DB"/>
    <w:rsid w:val="00EE4DE7"/>
    <w:rsid w:val="00EE5BEE"/>
    <w:rsid w:val="00EE5F3C"/>
    <w:rsid w:val="00EE63E2"/>
    <w:rsid w:val="00EF0650"/>
    <w:rsid w:val="00EF3FA8"/>
    <w:rsid w:val="00EF40A0"/>
    <w:rsid w:val="00EF4476"/>
    <w:rsid w:val="00EF4E8D"/>
    <w:rsid w:val="00EF61DC"/>
    <w:rsid w:val="00EF7658"/>
    <w:rsid w:val="00F00C1B"/>
    <w:rsid w:val="00F013C0"/>
    <w:rsid w:val="00F01E47"/>
    <w:rsid w:val="00F030B6"/>
    <w:rsid w:val="00F0380A"/>
    <w:rsid w:val="00F039D6"/>
    <w:rsid w:val="00F04AEF"/>
    <w:rsid w:val="00F07977"/>
    <w:rsid w:val="00F10CAC"/>
    <w:rsid w:val="00F1156C"/>
    <w:rsid w:val="00F148E1"/>
    <w:rsid w:val="00F14C6C"/>
    <w:rsid w:val="00F163F1"/>
    <w:rsid w:val="00F17180"/>
    <w:rsid w:val="00F20047"/>
    <w:rsid w:val="00F21E4B"/>
    <w:rsid w:val="00F26FFA"/>
    <w:rsid w:val="00F318AA"/>
    <w:rsid w:val="00F32850"/>
    <w:rsid w:val="00F32B40"/>
    <w:rsid w:val="00F3343B"/>
    <w:rsid w:val="00F3360E"/>
    <w:rsid w:val="00F33BAE"/>
    <w:rsid w:val="00F33BEF"/>
    <w:rsid w:val="00F35640"/>
    <w:rsid w:val="00F356E1"/>
    <w:rsid w:val="00F35C38"/>
    <w:rsid w:val="00F4093B"/>
    <w:rsid w:val="00F430C0"/>
    <w:rsid w:val="00F431A5"/>
    <w:rsid w:val="00F4467E"/>
    <w:rsid w:val="00F44732"/>
    <w:rsid w:val="00F459B4"/>
    <w:rsid w:val="00F46045"/>
    <w:rsid w:val="00F475C9"/>
    <w:rsid w:val="00F47AD4"/>
    <w:rsid w:val="00F47CC1"/>
    <w:rsid w:val="00F501C4"/>
    <w:rsid w:val="00F509E6"/>
    <w:rsid w:val="00F550B9"/>
    <w:rsid w:val="00F5670E"/>
    <w:rsid w:val="00F57400"/>
    <w:rsid w:val="00F57929"/>
    <w:rsid w:val="00F60452"/>
    <w:rsid w:val="00F60C35"/>
    <w:rsid w:val="00F60E21"/>
    <w:rsid w:val="00F61900"/>
    <w:rsid w:val="00F61F51"/>
    <w:rsid w:val="00F62CCB"/>
    <w:rsid w:val="00F67748"/>
    <w:rsid w:val="00F718C8"/>
    <w:rsid w:val="00F71ED9"/>
    <w:rsid w:val="00F71F65"/>
    <w:rsid w:val="00F72149"/>
    <w:rsid w:val="00F72FE7"/>
    <w:rsid w:val="00F732A2"/>
    <w:rsid w:val="00F755AC"/>
    <w:rsid w:val="00F77FF1"/>
    <w:rsid w:val="00F81E82"/>
    <w:rsid w:val="00F84B9F"/>
    <w:rsid w:val="00F851D9"/>
    <w:rsid w:val="00F854FF"/>
    <w:rsid w:val="00F85C65"/>
    <w:rsid w:val="00F86443"/>
    <w:rsid w:val="00F86556"/>
    <w:rsid w:val="00F866E5"/>
    <w:rsid w:val="00F86E5D"/>
    <w:rsid w:val="00F8700A"/>
    <w:rsid w:val="00F91894"/>
    <w:rsid w:val="00F92079"/>
    <w:rsid w:val="00F93A47"/>
    <w:rsid w:val="00FA0D99"/>
    <w:rsid w:val="00FA304D"/>
    <w:rsid w:val="00FB1B0A"/>
    <w:rsid w:val="00FB2974"/>
    <w:rsid w:val="00FB4E12"/>
    <w:rsid w:val="00FB5DBB"/>
    <w:rsid w:val="00FB6731"/>
    <w:rsid w:val="00FC1FFC"/>
    <w:rsid w:val="00FC2E99"/>
    <w:rsid w:val="00FC321C"/>
    <w:rsid w:val="00FC4452"/>
    <w:rsid w:val="00FC53AA"/>
    <w:rsid w:val="00FC6D22"/>
    <w:rsid w:val="00FC7400"/>
    <w:rsid w:val="00FC7F5C"/>
    <w:rsid w:val="00FD51CA"/>
    <w:rsid w:val="00FE1806"/>
    <w:rsid w:val="00FE1CB7"/>
    <w:rsid w:val="00FE2303"/>
    <w:rsid w:val="00FE27D0"/>
    <w:rsid w:val="00FE557A"/>
    <w:rsid w:val="00FE58C5"/>
    <w:rsid w:val="00FE7579"/>
    <w:rsid w:val="00FF04BD"/>
    <w:rsid w:val="00FF299A"/>
    <w:rsid w:val="00FF529B"/>
    <w:rsid w:val="00FF5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7F5460"/>
  <w15:docId w15:val="{12D7EC30-02A1-4F8C-A9A5-62596F46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63"/>
    <w:rPr>
      <w:rFonts w:eastAsia="Times New Roman"/>
      <w:kern w:val="28"/>
      <w:sz w:val="24"/>
      <w:szCs w:val="24"/>
      <w:lang w:eastAsia="en-GB"/>
    </w:rPr>
  </w:style>
  <w:style w:type="paragraph" w:styleId="Heading1">
    <w:name w:val="heading 1"/>
    <w:basedOn w:val="Normal"/>
    <w:next w:val="Normal"/>
    <w:link w:val="Heading1Char"/>
    <w:uiPriority w:val="9"/>
    <w:qFormat/>
    <w:rsid w:val="006D5663"/>
    <w:pPr>
      <w:keepNext/>
      <w:widowControl w:val="0"/>
      <w:numPr>
        <w:numId w:val="1"/>
      </w:numPr>
      <w:spacing w:before="240" w:after="120" w:line="480" w:lineRule="auto"/>
      <w:jc w:val="both"/>
      <w:outlineLvl w:val="0"/>
    </w:pPr>
  </w:style>
  <w:style w:type="paragraph" w:styleId="Heading2">
    <w:name w:val="heading 2"/>
    <w:basedOn w:val="Normal"/>
    <w:next w:val="Normal"/>
    <w:link w:val="Heading2Char"/>
    <w:uiPriority w:val="9"/>
    <w:qFormat/>
    <w:rsid w:val="006D5663"/>
    <w:pPr>
      <w:widowControl w:val="0"/>
      <w:numPr>
        <w:ilvl w:val="1"/>
        <w:numId w:val="1"/>
      </w:numPr>
      <w:tabs>
        <w:tab w:val="clear" w:pos="1587"/>
        <w:tab w:val="left" w:pos="1758"/>
      </w:tabs>
      <w:spacing w:before="240" w:after="120" w:line="480" w:lineRule="auto"/>
      <w:ind w:left="1758" w:hanging="964"/>
      <w:jc w:val="both"/>
      <w:outlineLvl w:val="1"/>
    </w:pPr>
  </w:style>
  <w:style w:type="paragraph" w:styleId="Heading3">
    <w:name w:val="heading 3"/>
    <w:basedOn w:val="Normal"/>
    <w:next w:val="Normal"/>
    <w:link w:val="Heading3Char"/>
    <w:uiPriority w:val="9"/>
    <w:qFormat/>
    <w:rsid w:val="006D5663"/>
    <w:pPr>
      <w:widowControl w:val="0"/>
      <w:numPr>
        <w:ilvl w:val="2"/>
        <w:numId w:val="1"/>
      </w:numPr>
      <w:tabs>
        <w:tab w:val="clear" w:pos="2381"/>
        <w:tab w:val="left" w:pos="2665"/>
      </w:tabs>
      <w:spacing w:before="240" w:after="120" w:line="480" w:lineRule="auto"/>
      <w:ind w:left="2665" w:hanging="907"/>
      <w:jc w:val="both"/>
      <w:outlineLvl w:val="2"/>
    </w:pPr>
  </w:style>
  <w:style w:type="paragraph" w:styleId="Heading4">
    <w:name w:val="heading 4"/>
    <w:basedOn w:val="Normal"/>
    <w:next w:val="Normal"/>
    <w:link w:val="Heading4Char"/>
    <w:qFormat/>
    <w:rsid w:val="006D5663"/>
    <w:pPr>
      <w:widowControl w:val="0"/>
      <w:numPr>
        <w:ilvl w:val="3"/>
        <w:numId w:val="1"/>
      </w:numPr>
      <w:tabs>
        <w:tab w:val="clear" w:pos="3515"/>
        <w:tab w:val="left" w:pos="3799"/>
      </w:tabs>
      <w:spacing w:before="240" w:after="120" w:line="480" w:lineRule="auto"/>
      <w:ind w:left="3799"/>
      <w:jc w:val="both"/>
      <w:outlineLvl w:val="3"/>
    </w:pPr>
  </w:style>
  <w:style w:type="paragraph" w:styleId="Heading5">
    <w:name w:val="heading 5"/>
    <w:basedOn w:val="Normal"/>
    <w:next w:val="Normal"/>
    <w:link w:val="Heading5Char"/>
    <w:uiPriority w:val="9"/>
    <w:qFormat/>
    <w:rsid w:val="006D5663"/>
    <w:pPr>
      <w:widowControl w:val="0"/>
      <w:numPr>
        <w:ilvl w:val="4"/>
        <w:numId w:val="1"/>
      </w:numPr>
      <w:tabs>
        <w:tab w:val="clear" w:pos="4253"/>
        <w:tab w:val="left" w:pos="4366"/>
      </w:tabs>
      <w:spacing w:before="240" w:after="120" w:line="480" w:lineRule="auto"/>
      <w:ind w:left="4366" w:hanging="567"/>
      <w:jc w:val="both"/>
      <w:outlineLvl w:val="4"/>
    </w:pPr>
  </w:style>
  <w:style w:type="paragraph" w:styleId="Heading6">
    <w:name w:val="heading 6"/>
    <w:basedOn w:val="Normal"/>
    <w:next w:val="Normal"/>
    <w:link w:val="Heading6Char"/>
    <w:uiPriority w:val="9"/>
    <w:qFormat/>
    <w:rsid w:val="006D5663"/>
    <w:pPr>
      <w:numPr>
        <w:ilvl w:val="5"/>
        <w:numId w:val="1"/>
      </w:numPr>
      <w:tabs>
        <w:tab w:val="clear" w:pos="4649"/>
        <w:tab w:val="left" w:pos="4933"/>
      </w:tabs>
      <w:spacing w:before="240" w:after="120" w:line="480" w:lineRule="auto"/>
      <w:ind w:left="4933" w:hanging="567"/>
      <w:jc w:val="both"/>
      <w:outlineLvl w:val="5"/>
    </w:pPr>
  </w:style>
  <w:style w:type="paragraph" w:styleId="Heading7">
    <w:name w:val="heading 7"/>
    <w:basedOn w:val="Normal"/>
    <w:next w:val="Normal"/>
    <w:link w:val="Heading7Char"/>
    <w:uiPriority w:val="9"/>
    <w:qFormat/>
    <w:rsid w:val="006D5663"/>
    <w:pPr>
      <w:numPr>
        <w:ilvl w:val="6"/>
        <w:numId w:val="1"/>
      </w:numPr>
      <w:tabs>
        <w:tab w:val="clear" w:pos="5823"/>
        <w:tab w:val="left" w:pos="6067"/>
      </w:tabs>
      <w:spacing w:before="240" w:after="120" w:line="480" w:lineRule="auto"/>
      <w:ind w:left="6067" w:hanging="1134"/>
      <w:outlineLvl w:val="6"/>
    </w:pPr>
  </w:style>
  <w:style w:type="paragraph" w:styleId="Heading8">
    <w:name w:val="heading 8"/>
    <w:basedOn w:val="Normal"/>
    <w:next w:val="Normal"/>
    <w:link w:val="Heading8Char"/>
    <w:uiPriority w:val="9"/>
    <w:qFormat/>
    <w:rsid w:val="006D5663"/>
    <w:pPr>
      <w:numPr>
        <w:ilvl w:val="7"/>
        <w:numId w:val="1"/>
      </w:numPr>
      <w:spacing w:before="240" w:after="120" w:line="480" w:lineRule="auto"/>
      <w:ind w:left="6974" w:hanging="907"/>
      <w:outlineLvl w:val="7"/>
    </w:pPr>
    <w:rPr>
      <w:i/>
    </w:rPr>
  </w:style>
  <w:style w:type="paragraph" w:styleId="Heading9">
    <w:name w:val="heading 9"/>
    <w:basedOn w:val="Normal"/>
    <w:next w:val="Normal"/>
    <w:link w:val="Heading9Char"/>
    <w:uiPriority w:val="9"/>
    <w:qFormat/>
    <w:rsid w:val="006D5663"/>
    <w:pPr>
      <w:numPr>
        <w:ilvl w:val="8"/>
        <w:numId w:val="1"/>
      </w:numPr>
      <w:spacing w:before="240" w:after="120" w:line="480" w:lineRule="auto"/>
      <w:ind w:left="6481"/>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01A3C"/>
    <w:pPr>
      <w:ind w:left="720"/>
      <w:contextualSpacing/>
    </w:pPr>
  </w:style>
  <w:style w:type="character" w:customStyle="1" w:styleId="Heading1Char">
    <w:name w:val="Heading 1 Char"/>
    <w:link w:val="Heading1"/>
    <w:rsid w:val="006D5663"/>
    <w:rPr>
      <w:rFonts w:eastAsia="Times New Roman"/>
      <w:kern w:val="28"/>
      <w:sz w:val="24"/>
      <w:szCs w:val="24"/>
      <w:lang w:val="en-GB" w:eastAsia="en-GB"/>
    </w:rPr>
  </w:style>
  <w:style w:type="character" w:customStyle="1" w:styleId="Heading2Char">
    <w:name w:val="Heading 2 Char"/>
    <w:link w:val="Heading2"/>
    <w:rsid w:val="006D5663"/>
    <w:rPr>
      <w:rFonts w:eastAsia="Times New Roman"/>
      <w:kern w:val="28"/>
      <w:sz w:val="24"/>
      <w:szCs w:val="24"/>
      <w:lang w:val="en-GB" w:eastAsia="en-GB"/>
    </w:rPr>
  </w:style>
  <w:style w:type="character" w:customStyle="1" w:styleId="Heading3Char">
    <w:name w:val="Heading 3 Char"/>
    <w:link w:val="Heading3"/>
    <w:rsid w:val="006D5663"/>
    <w:rPr>
      <w:rFonts w:eastAsia="Times New Roman"/>
      <w:kern w:val="28"/>
      <w:sz w:val="24"/>
      <w:szCs w:val="24"/>
      <w:lang w:val="en-GB" w:eastAsia="en-GB"/>
    </w:rPr>
  </w:style>
  <w:style w:type="character" w:customStyle="1" w:styleId="Heading4Char">
    <w:name w:val="Heading 4 Char"/>
    <w:link w:val="Heading4"/>
    <w:rsid w:val="006D5663"/>
    <w:rPr>
      <w:rFonts w:eastAsia="Times New Roman"/>
      <w:kern w:val="28"/>
      <w:sz w:val="24"/>
      <w:szCs w:val="24"/>
      <w:lang w:val="en-GB" w:eastAsia="en-GB"/>
    </w:rPr>
  </w:style>
  <w:style w:type="character" w:customStyle="1" w:styleId="Heading5Char">
    <w:name w:val="Heading 5 Char"/>
    <w:link w:val="Heading5"/>
    <w:rsid w:val="006D5663"/>
    <w:rPr>
      <w:rFonts w:eastAsia="Times New Roman"/>
      <w:kern w:val="28"/>
      <w:sz w:val="24"/>
      <w:szCs w:val="24"/>
      <w:lang w:val="en-GB" w:eastAsia="en-GB"/>
    </w:rPr>
  </w:style>
  <w:style w:type="character" w:customStyle="1" w:styleId="Heading6Char">
    <w:name w:val="Heading 6 Char"/>
    <w:link w:val="Heading6"/>
    <w:rsid w:val="006D5663"/>
    <w:rPr>
      <w:rFonts w:eastAsia="Times New Roman"/>
      <w:kern w:val="28"/>
      <w:sz w:val="24"/>
      <w:szCs w:val="24"/>
      <w:lang w:val="en-GB" w:eastAsia="en-GB"/>
    </w:rPr>
  </w:style>
  <w:style w:type="character" w:customStyle="1" w:styleId="Heading7Char">
    <w:name w:val="Heading 7 Char"/>
    <w:link w:val="Heading7"/>
    <w:rsid w:val="006D5663"/>
    <w:rPr>
      <w:rFonts w:eastAsia="Times New Roman"/>
      <w:kern w:val="28"/>
      <w:sz w:val="24"/>
      <w:szCs w:val="24"/>
      <w:lang w:val="en-GB" w:eastAsia="en-GB"/>
    </w:rPr>
  </w:style>
  <w:style w:type="character" w:customStyle="1" w:styleId="Heading8Char">
    <w:name w:val="Heading 8 Char"/>
    <w:link w:val="Heading8"/>
    <w:rsid w:val="006D5663"/>
    <w:rPr>
      <w:rFonts w:eastAsia="Times New Roman"/>
      <w:i/>
      <w:kern w:val="28"/>
      <w:sz w:val="24"/>
      <w:szCs w:val="24"/>
      <w:lang w:val="en-GB" w:eastAsia="en-GB"/>
    </w:rPr>
  </w:style>
  <w:style w:type="character" w:customStyle="1" w:styleId="Heading9Char">
    <w:name w:val="Heading 9 Char"/>
    <w:link w:val="Heading9"/>
    <w:rsid w:val="006D5663"/>
    <w:rPr>
      <w:rFonts w:eastAsia="Times New Roman"/>
      <w:b/>
      <w:i/>
      <w:kern w:val="28"/>
      <w:sz w:val="24"/>
      <w:szCs w:val="24"/>
      <w:lang w:val="en-GB" w:eastAsia="en-GB"/>
    </w:rPr>
  </w:style>
  <w:style w:type="paragraph" w:styleId="Header">
    <w:name w:val="header"/>
    <w:basedOn w:val="Normal"/>
    <w:link w:val="HeaderChar"/>
    <w:uiPriority w:val="99"/>
    <w:unhideWhenUsed/>
    <w:rsid w:val="00F437A1"/>
    <w:pPr>
      <w:tabs>
        <w:tab w:val="center" w:pos="4680"/>
        <w:tab w:val="right" w:pos="9360"/>
      </w:tabs>
    </w:pPr>
  </w:style>
  <w:style w:type="character" w:customStyle="1" w:styleId="HeaderChar">
    <w:name w:val="Header Char"/>
    <w:link w:val="Header"/>
    <w:uiPriority w:val="99"/>
    <w:rsid w:val="00F437A1"/>
    <w:rPr>
      <w:rFonts w:eastAsia="Times New Roman"/>
      <w:kern w:val="28"/>
      <w:sz w:val="24"/>
      <w:szCs w:val="24"/>
      <w:lang w:val="en-GB" w:eastAsia="en-GB"/>
    </w:rPr>
  </w:style>
  <w:style w:type="paragraph" w:styleId="Footer">
    <w:name w:val="footer"/>
    <w:basedOn w:val="Normal"/>
    <w:link w:val="FooterChar"/>
    <w:uiPriority w:val="99"/>
    <w:unhideWhenUsed/>
    <w:rsid w:val="00F437A1"/>
    <w:pPr>
      <w:tabs>
        <w:tab w:val="center" w:pos="4680"/>
        <w:tab w:val="right" w:pos="9360"/>
      </w:tabs>
    </w:pPr>
  </w:style>
  <w:style w:type="character" w:customStyle="1" w:styleId="FooterChar">
    <w:name w:val="Footer Char"/>
    <w:link w:val="Footer"/>
    <w:uiPriority w:val="99"/>
    <w:rsid w:val="00F437A1"/>
    <w:rPr>
      <w:rFonts w:eastAsia="Times New Roman"/>
      <w:kern w:val="28"/>
      <w:sz w:val="24"/>
      <w:szCs w:val="24"/>
      <w:lang w:val="en-GB" w:eastAsia="en-GB"/>
    </w:rPr>
  </w:style>
  <w:style w:type="paragraph" w:customStyle="1" w:styleId="SupHeadingBold">
    <w:name w:val="SupHeadingBold"/>
    <w:basedOn w:val="Normal"/>
    <w:rsid w:val="007D2FC6"/>
    <w:rPr>
      <w:rFonts w:ascii="Univers 55" w:hAnsi="Univers 55"/>
      <w:b/>
      <w:caps/>
      <w:kern w:val="0"/>
      <w:lang w:val="en-US" w:eastAsia="en-US"/>
    </w:rPr>
  </w:style>
  <w:style w:type="paragraph" w:customStyle="1" w:styleId="BodyText">
    <w:name w:val="BodyText"/>
    <w:basedOn w:val="Normal"/>
    <w:rsid w:val="00701521"/>
    <w:pPr>
      <w:widowControl w:val="0"/>
      <w:spacing w:after="560" w:line="480" w:lineRule="auto"/>
      <w:jc w:val="both"/>
    </w:pPr>
    <w:rPr>
      <w:kern w:val="0"/>
      <w:lang w:eastAsia="en-US"/>
    </w:rPr>
  </w:style>
  <w:style w:type="paragraph" w:customStyle="1" w:styleId="ListLevel1">
    <w:name w:val="ListLevel1"/>
    <w:basedOn w:val="BodyText"/>
    <w:rsid w:val="00701521"/>
    <w:pPr>
      <w:numPr>
        <w:numId w:val="2"/>
      </w:numPr>
    </w:pPr>
  </w:style>
  <w:style w:type="paragraph" w:customStyle="1" w:styleId="ListLevel2">
    <w:name w:val="ListLevel2"/>
    <w:basedOn w:val="ListLevel1"/>
    <w:rsid w:val="00701521"/>
    <w:pPr>
      <w:numPr>
        <w:ilvl w:val="1"/>
      </w:numPr>
    </w:pPr>
  </w:style>
  <w:style w:type="paragraph" w:customStyle="1" w:styleId="ListLevel3">
    <w:name w:val="ListLevel3"/>
    <w:basedOn w:val="ListLevel1"/>
    <w:rsid w:val="00701521"/>
    <w:pPr>
      <w:numPr>
        <w:ilvl w:val="2"/>
      </w:numPr>
    </w:pPr>
  </w:style>
  <w:style w:type="paragraph" w:customStyle="1" w:styleId="ListLevel4">
    <w:name w:val="ListLevel4"/>
    <w:basedOn w:val="ListLevel1"/>
    <w:rsid w:val="00701521"/>
    <w:pPr>
      <w:numPr>
        <w:ilvl w:val="3"/>
      </w:numPr>
    </w:pPr>
  </w:style>
  <w:style w:type="paragraph" w:customStyle="1" w:styleId="Tramlines">
    <w:name w:val="Tramlines"/>
    <w:basedOn w:val="Normal"/>
    <w:next w:val="BodyText"/>
    <w:rsid w:val="00701521"/>
    <w:pPr>
      <w:widowControl w:val="0"/>
      <w:pBdr>
        <w:top w:val="single" w:sz="4" w:space="12" w:color="auto"/>
        <w:bottom w:val="single" w:sz="4" w:space="12" w:color="auto"/>
      </w:pBdr>
      <w:jc w:val="center"/>
    </w:pPr>
    <w:rPr>
      <w:b/>
      <w:kern w:val="0"/>
      <w:lang w:eastAsia="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nhideWhenUsed/>
    <w:rsid w:val="00E60777"/>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link w:val="FootnoteText"/>
    <w:rsid w:val="00E60777"/>
    <w:rPr>
      <w:rFonts w:eastAsia="Times New Roman"/>
      <w:kern w:val="28"/>
      <w:lang w:val="en-GB" w:eastAsia="en-GB"/>
    </w:rPr>
  </w:style>
  <w:style w:type="character" w:styleId="FootnoteReference">
    <w:name w:val="footnote reference"/>
    <w:unhideWhenUsed/>
    <w:rsid w:val="00E60777"/>
    <w:rPr>
      <w:vertAlign w:val="superscript"/>
    </w:rPr>
  </w:style>
  <w:style w:type="paragraph" w:customStyle="1" w:styleId="BDHMainAgreement2">
    <w:name w:val="BDH Main Agreement 2"/>
    <w:basedOn w:val="Normal"/>
    <w:rsid w:val="004A0054"/>
    <w:pPr>
      <w:tabs>
        <w:tab w:val="num" w:pos="1853"/>
      </w:tabs>
      <w:spacing w:before="120" w:after="120" w:line="480" w:lineRule="auto"/>
      <w:ind w:left="1853" w:hanging="850"/>
      <w:jc w:val="both"/>
      <w:outlineLvl w:val="1"/>
    </w:pPr>
    <w:rPr>
      <w:rFonts w:ascii="Univers" w:hAnsi="Univers"/>
      <w:kern w:val="0"/>
      <w:lang w:eastAsia="en-US"/>
    </w:rPr>
  </w:style>
  <w:style w:type="paragraph" w:customStyle="1" w:styleId="BDHMainAgreement1">
    <w:name w:val="BDH Main Agreement 1"/>
    <w:basedOn w:val="Normal"/>
    <w:rsid w:val="004A0054"/>
    <w:pPr>
      <w:tabs>
        <w:tab w:val="num" w:pos="851"/>
      </w:tabs>
      <w:spacing w:before="240" w:after="120" w:line="480" w:lineRule="auto"/>
      <w:ind w:left="851" w:hanging="851"/>
      <w:jc w:val="both"/>
      <w:outlineLvl w:val="0"/>
    </w:pPr>
    <w:rPr>
      <w:rFonts w:ascii="Univers" w:hAnsi="Univers"/>
      <w:kern w:val="0"/>
      <w:lang w:eastAsia="en-US"/>
    </w:rPr>
  </w:style>
  <w:style w:type="paragraph" w:customStyle="1" w:styleId="BDHMainAgreement3">
    <w:name w:val="BDH Main Agreement 3"/>
    <w:basedOn w:val="Normal"/>
    <w:rsid w:val="004A0054"/>
    <w:pPr>
      <w:tabs>
        <w:tab w:val="num" w:pos="2704"/>
      </w:tabs>
      <w:spacing w:before="120" w:after="120" w:line="480" w:lineRule="auto"/>
      <w:ind w:left="2704" w:hanging="851"/>
      <w:jc w:val="both"/>
      <w:outlineLvl w:val="2"/>
    </w:pPr>
    <w:rPr>
      <w:rFonts w:ascii="Univers" w:hAnsi="Univers"/>
      <w:kern w:val="0"/>
      <w:lang w:eastAsia="en-US"/>
    </w:rPr>
  </w:style>
  <w:style w:type="paragraph" w:customStyle="1" w:styleId="BDHMainAgreement4">
    <w:name w:val="BDH Main Agreement 4"/>
    <w:basedOn w:val="Normal"/>
    <w:rsid w:val="004A0054"/>
    <w:pPr>
      <w:tabs>
        <w:tab w:val="num" w:pos="3271"/>
      </w:tabs>
      <w:spacing w:before="120" w:after="120" w:line="480" w:lineRule="auto"/>
      <w:ind w:left="3271" w:hanging="567"/>
      <w:jc w:val="both"/>
      <w:outlineLvl w:val="3"/>
    </w:pPr>
    <w:rPr>
      <w:rFonts w:ascii="Univers" w:hAnsi="Univers"/>
      <w:kern w:val="0"/>
      <w:lang w:eastAsia="en-US"/>
    </w:rPr>
  </w:style>
  <w:style w:type="paragraph" w:customStyle="1" w:styleId="BDHMainAgreement5">
    <w:name w:val="BDH Main Agreement 5"/>
    <w:basedOn w:val="Normal"/>
    <w:rsid w:val="004A0054"/>
    <w:pPr>
      <w:numPr>
        <w:ilvl w:val="4"/>
        <w:numId w:val="2"/>
      </w:numPr>
      <w:spacing w:before="120" w:after="120" w:line="480" w:lineRule="auto"/>
      <w:jc w:val="both"/>
      <w:outlineLvl w:val="4"/>
    </w:pPr>
    <w:rPr>
      <w:rFonts w:ascii="Univers" w:hAnsi="Univers"/>
      <w:kern w:val="0"/>
      <w:lang w:eastAsia="en-US"/>
    </w:rPr>
  </w:style>
  <w:style w:type="paragraph" w:customStyle="1" w:styleId="BDHMainAgreement6">
    <w:name w:val="BDH Main Agreement 6"/>
    <w:basedOn w:val="Normal"/>
    <w:rsid w:val="004A0054"/>
    <w:pPr>
      <w:numPr>
        <w:ilvl w:val="5"/>
        <w:numId w:val="2"/>
      </w:numPr>
      <w:tabs>
        <w:tab w:val="left" w:pos="5811"/>
      </w:tabs>
      <w:spacing w:before="120" w:after="120" w:line="480" w:lineRule="auto"/>
      <w:jc w:val="both"/>
      <w:outlineLvl w:val="4"/>
    </w:pPr>
    <w:rPr>
      <w:rFonts w:ascii="Univers" w:hAnsi="Univers"/>
      <w:kern w:val="0"/>
      <w:lang w:eastAsia="en-US"/>
    </w:rPr>
  </w:style>
  <w:style w:type="character" w:styleId="EndnoteReference">
    <w:name w:val="endnote reference"/>
    <w:semiHidden/>
    <w:rsid w:val="00052A2E"/>
    <w:rPr>
      <w:position w:val="10"/>
      <w:sz w:val="16"/>
      <w:szCs w:val="16"/>
    </w:rPr>
  </w:style>
  <w:style w:type="paragraph" w:styleId="BalloonText">
    <w:name w:val="Balloon Text"/>
    <w:basedOn w:val="Normal"/>
    <w:link w:val="BalloonTextChar"/>
    <w:uiPriority w:val="99"/>
    <w:semiHidden/>
    <w:unhideWhenUsed/>
    <w:rsid w:val="006F58D7"/>
    <w:rPr>
      <w:rFonts w:ascii="Lucida Grande" w:hAnsi="Lucida Grande"/>
      <w:sz w:val="18"/>
      <w:szCs w:val="18"/>
    </w:rPr>
  </w:style>
  <w:style w:type="character" w:customStyle="1" w:styleId="BalloonTextChar">
    <w:name w:val="Balloon Text Char"/>
    <w:link w:val="BalloonText"/>
    <w:uiPriority w:val="99"/>
    <w:semiHidden/>
    <w:rsid w:val="006F58D7"/>
    <w:rPr>
      <w:rFonts w:ascii="Lucida Grande" w:eastAsia="Times New Roman" w:hAnsi="Lucida Grande"/>
      <w:kern w:val="28"/>
      <w:sz w:val="18"/>
      <w:szCs w:val="18"/>
      <w:lang w:val="en-GB" w:eastAsia="en-GB"/>
    </w:rPr>
  </w:style>
  <w:style w:type="character" w:styleId="CommentReference">
    <w:name w:val="annotation reference"/>
    <w:uiPriority w:val="99"/>
    <w:unhideWhenUsed/>
    <w:rsid w:val="00775C8D"/>
    <w:rPr>
      <w:sz w:val="16"/>
      <w:szCs w:val="16"/>
    </w:rPr>
  </w:style>
  <w:style w:type="paragraph" w:styleId="CommentText">
    <w:name w:val="annotation text"/>
    <w:basedOn w:val="Normal"/>
    <w:link w:val="CommentTextChar"/>
    <w:uiPriority w:val="99"/>
    <w:unhideWhenUsed/>
    <w:rsid w:val="00775C8D"/>
    <w:rPr>
      <w:sz w:val="20"/>
      <w:szCs w:val="20"/>
    </w:rPr>
  </w:style>
  <w:style w:type="character" w:customStyle="1" w:styleId="CommentTextChar">
    <w:name w:val="Comment Text Char"/>
    <w:link w:val="CommentText"/>
    <w:uiPriority w:val="99"/>
    <w:rsid w:val="00775C8D"/>
    <w:rPr>
      <w:rFonts w:eastAsia="Times New Roman"/>
      <w:kern w:val="28"/>
      <w:lang w:val="en-GB" w:eastAsia="en-GB"/>
    </w:rPr>
  </w:style>
  <w:style w:type="paragraph" w:customStyle="1" w:styleId="TTI">
    <w:name w:val="TTI"/>
    <w:uiPriority w:val="99"/>
    <w:rsid w:val="00965BAD"/>
    <w:pPr>
      <w:widowControl w:val="0"/>
      <w:tabs>
        <w:tab w:val="left" w:pos="283"/>
        <w:tab w:val="left" w:pos="713"/>
        <w:tab w:val="left" w:pos="1293"/>
        <w:tab w:val="left" w:pos="1865"/>
        <w:tab w:val="left" w:pos="2443"/>
        <w:tab w:val="left" w:pos="3163"/>
      </w:tabs>
      <w:autoSpaceDE w:val="0"/>
      <w:autoSpaceDN w:val="0"/>
      <w:adjustRightInd w:val="0"/>
      <w:spacing w:after="181"/>
      <w:ind w:left="1293" w:hanging="1293"/>
    </w:pPr>
    <w:rPr>
      <w:rFonts w:ascii="Verdana" w:eastAsia="Times New Roman" w:hAnsi="Verdana"/>
    </w:rPr>
  </w:style>
  <w:style w:type="character" w:customStyle="1" w:styleId="Mc">
    <w:name w:val="Mc"/>
    <w:uiPriority w:val="99"/>
    <w:rsid w:val="00386334"/>
    <w:rPr>
      <w:rFonts w:cs="Arial"/>
      <w:vanish/>
      <w:color w:val="000000"/>
      <w:sz w:val="16"/>
      <w:szCs w:val="16"/>
    </w:rPr>
  </w:style>
  <w:style w:type="character" w:styleId="Strong">
    <w:name w:val="Strong"/>
    <w:qFormat/>
    <w:rsid w:val="00D13570"/>
    <w:rPr>
      <w:b/>
      <w:bCs/>
    </w:rPr>
  </w:style>
  <w:style w:type="paragraph" w:customStyle="1" w:styleId="Centered1">
    <w:name w:val="Centered1"/>
    <w:aliases w:val="Bold1"/>
    <w:uiPriority w:val="99"/>
    <w:rsid w:val="000A7061"/>
    <w:pPr>
      <w:widowControl w:val="0"/>
      <w:tabs>
        <w:tab w:val="left" w:pos="432"/>
        <w:tab w:val="left" w:pos="864"/>
        <w:tab w:val="left" w:pos="1440"/>
        <w:tab w:val="left" w:pos="2015"/>
        <w:tab w:val="left" w:pos="2591"/>
        <w:tab w:val="left" w:pos="3311"/>
      </w:tabs>
      <w:autoSpaceDE w:val="0"/>
      <w:autoSpaceDN w:val="0"/>
      <w:adjustRightInd w:val="0"/>
      <w:spacing w:after="181"/>
      <w:jc w:val="center"/>
    </w:pPr>
    <w:rPr>
      <w:rFonts w:ascii="Verdana" w:eastAsia="Times New Roman" w:hAnsi="Verdana"/>
      <w:b/>
      <w:bCs/>
      <w:color w:val="000000"/>
    </w:rPr>
  </w:style>
  <w:style w:type="paragraph" w:customStyle="1" w:styleId="Para">
    <w:name w:val="Para"/>
    <w:uiPriority w:val="99"/>
    <w:rsid w:val="000A7061"/>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181"/>
    </w:pPr>
    <w:rPr>
      <w:rFonts w:ascii="Verdana" w:eastAsia="Times New Roman" w:hAnsi="Verdana"/>
      <w:color w:val="000000"/>
    </w:rPr>
  </w:style>
  <w:style w:type="paragraph" w:styleId="ListParagraph">
    <w:name w:val="List Paragraph"/>
    <w:basedOn w:val="Normal"/>
    <w:uiPriority w:val="34"/>
    <w:qFormat/>
    <w:rsid w:val="00227344"/>
    <w:pPr>
      <w:spacing w:after="200" w:line="276" w:lineRule="auto"/>
      <w:ind w:left="720"/>
      <w:contextualSpacing/>
    </w:pPr>
    <w:rPr>
      <w:rFonts w:eastAsia="Calibri"/>
      <w:kern w:val="0"/>
      <w:szCs w:val="22"/>
      <w:lang w:eastAsia="en-US"/>
    </w:rPr>
  </w:style>
  <w:style w:type="numbering" w:customStyle="1" w:styleId="Style1">
    <w:name w:val="Style1"/>
    <w:uiPriority w:val="99"/>
    <w:rsid w:val="004F238F"/>
    <w:pPr>
      <w:numPr>
        <w:numId w:val="15"/>
      </w:numPr>
    </w:pPr>
  </w:style>
  <w:style w:type="paragraph" w:customStyle="1" w:styleId="level1">
    <w:name w:val="level1"/>
    <w:basedOn w:val="Normal"/>
    <w:rsid w:val="006B5D7B"/>
    <w:pPr>
      <w:numPr>
        <w:numId w:val="19"/>
      </w:numPr>
    </w:pPr>
  </w:style>
  <w:style w:type="character" w:styleId="Hyperlink">
    <w:name w:val="Hyperlink"/>
    <w:uiPriority w:val="99"/>
    <w:unhideWhenUsed/>
    <w:rsid w:val="00AF0EC5"/>
    <w:rPr>
      <w:color w:val="0000FF"/>
      <w:u w:val="single"/>
    </w:rPr>
  </w:style>
  <w:style w:type="paragraph" w:styleId="NormalWeb">
    <w:name w:val="Normal (Web)"/>
    <w:basedOn w:val="Normal"/>
    <w:uiPriority w:val="99"/>
    <w:semiHidden/>
    <w:unhideWhenUsed/>
    <w:rsid w:val="00087D81"/>
    <w:pPr>
      <w:spacing w:before="100" w:beforeAutospacing="1" w:after="100" w:afterAutospacing="1"/>
    </w:pPr>
    <w:rPr>
      <w:rFonts w:ascii="Times New Roman" w:hAnsi="Times New Roman"/>
      <w:kern w:val="0"/>
      <w:lang w:eastAsia="en-ZA"/>
    </w:rPr>
  </w:style>
  <w:style w:type="character" w:customStyle="1" w:styleId="UnresolvedMention1">
    <w:name w:val="Unresolved Mention1"/>
    <w:uiPriority w:val="99"/>
    <w:semiHidden/>
    <w:unhideWhenUsed/>
    <w:rsid w:val="004E6B49"/>
    <w:rPr>
      <w:color w:val="605E5C"/>
      <w:shd w:val="clear" w:color="auto" w:fill="E1DFDD"/>
    </w:rPr>
  </w:style>
  <w:style w:type="character" w:customStyle="1" w:styleId="JUDGMENTNUMBEREDChar">
    <w:name w:val="JUDGMENT NUMBERED Char"/>
    <w:basedOn w:val="DefaultParagraphFont"/>
    <w:link w:val="JUDGMENTNUMBERED"/>
    <w:locked/>
    <w:rsid w:val="00C70007"/>
    <w:rPr>
      <w:rFonts w:ascii="Times New Roman" w:eastAsia="Times New Roman" w:hAnsi="Times New Roman"/>
      <w:sz w:val="26"/>
    </w:rPr>
  </w:style>
  <w:style w:type="paragraph" w:customStyle="1" w:styleId="JUDGMENTNUMBERED">
    <w:name w:val="JUDGMENT NUMBERED"/>
    <w:basedOn w:val="Normal"/>
    <w:next w:val="Normal"/>
    <w:link w:val="JUDGMENTNUMBEREDChar"/>
    <w:qFormat/>
    <w:rsid w:val="00C70007"/>
    <w:pPr>
      <w:numPr>
        <w:numId w:val="32"/>
      </w:numPr>
      <w:spacing w:line="360" w:lineRule="auto"/>
      <w:jc w:val="both"/>
    </w:pPr>
    <w:rPr>
      <w:rFonts w:ascii="Times New Roman" w:hAnsi="Times New Roman"/>
      <w:kern w:val="0"/>
      <w:sz w:val="26"/>
      <w:szCs w:val="20"/>
      <w:lang w:eastAsia="en-ZA"/>
    </w:rPr>
  </w:style>
  <w:style w:type="paragraph" w:customStyle="1" w:styleId="QUOTATION">
    <w:name w:val="QUOTATION"/>
    <w:basedOn w:val="Normal"/>
    <w:next w:val="Normal"/>
    <w:qFormat/>
    <w:rsid w:val="00C70007"/>
    <w:pPr>
      <w:spacing w:line="360" w:lineRule="auto"/>
      <w:ind w:left="720" w:right="720"/>
      <w:jc w:val="both"/>
    </w:pPr>
    <w:rPr>
      <w:rFonts w:ascii="Times New Roman" w:hAnsi="Times New Roman"/>
      <w:kern w:val="0"/>
      <w:sz w:val="22"/>
      <w:szCs w:val="22"/>
      <w:lang w:eastAsia="en-US"/>
    </w:rPr>
  </w:style>
  <w:style w:type="paragraph" w:customStyle="1" w:styleId="JUDGMENTCONTINUED">
    <w:name w:val="JUDGMENT CONTINUED"/>
    <w:basedOn w:val="JUDGMENTNUMBERED"/>
    <w:next w:val="JUDGMENTNUMBERED"/>
    <w:qFormat/>
    <w:rsid w:val="00627CEB"/>
    <w:pPr>
      <w:numPr>
        <w:numId w:val="0"/>
      </w:numPr>
    </w:pPr>
    <w:rPr>
      <w:szCs w:val="22"/>
      <w:lang w:eastAsia="en-US"/>
    </w:rPr>
  </w:style>
  <w:style w:type="character" w:styleId="Emphasis">
    <w:name w:val="Emphasis"/>
    <w:basedOn w:val="DefaultParagraphFont"/>
    <w:uiPriority w:val="20"/>
    <w:qFormat/>
    <w:rsid w:val="00627CE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9640">
      <w:bodyDiv w:val="1"/>
      <w:marLeft w:val="0"/>
      <w:marRight w:val="0"/>
      <w:marTop w:val="0"/>
      <w:marBottom w:val="0"/>
      <w:divBdr>
        <w:top w:val="none" w:sz="0" w:space="0" w:color="auto"/>
        <w:left w:val="none" w:sz="0" w:space="0" w:color="auto"/>
        <w:bottom w:val="none" w:sz="0" w:space="0" w:color="auto"/>
        <w:right w:val="none" w:sz="0" w:space="0" w:color="auto"/>
      </w:divBdr>
    </w:div>
    <w:div w:id="148208149">
      <w:bodyDiv w:val="1"/>
      <w:marLeft w:val="0"/>
      <w:marRight w:val="0"/>
      <w:marTop w:val="0"/>
      <w:marBottom w:val="0"/>
      <w:divBdr>
        <w:top w:val="none" w:sz="0" w:space="0" w:color="auto"/>
        <w:left w:val="none" w:sz="0" w:space="0" w:color="auto"/>
        <w:bottom w:val="none" w:sz="0" w:space="0" w:color="auto"/>
        <w:right w:val="none" w:sz="0" w:space="0" w:color="auto"/>
      </w:divBdr>
    </w:div>
    <w:div w:id="264658209">
      <w:bodyDiv w:val="1"/>
      <w:marLeft w:val="0"/>
      <w:marRight w:val="0"/>
      <w:marTop w:val="0"/>
      <w:marBottom w:val="0"/>
      <w:divBdr>
        <w:top w:val="none" w:sz="0" w:space="0" w:color="auto"/>
        <w:left w:val="none" w:sz="0" w:space="0" w:color="auto"/>
        <w:bottom w:val="none" w:sz="0" w:space="0" w:color="auto"/>
        <w:right w:val="none" w:sz="0" w:space="0" w:color="auto"/>
      </w:divBdr>
    </w:div>
    <w:div w:id="328872439">
      <w:bodyDiv w:val="1"/>
      <w:marLeft w:val="0"/>
      <w:marRight w:val="0"/>
      <w:marTop w:val="0"/>
      <w:marBottom w:val="0"/>
      <w:divBdr>
        <w:top w:val="none" w:sz="0" w:space="0" w:color="auto"/>
        <w:left w:val="none" w:sz="0" w:space="0" w:color="auto"/>
        <w:bottom w:val="none" w:sz="0" w:space="0" w:color="auto"/>
        <w:right w:val="none" w:sz="0" w:space="0" w:color="auto"/>
      </w:divBdr>
    </w:div>
    <w:div w:id="426729395">
      <w:bodyDiv w:val="1"/>
      <w:marLeft w:val="0"/>
      <w:marRight w:val="0"/>
      <w:marTop w:val="0"/>
      <w:marBottom w:val="0"/>
      <w:divBdr>
        <w:top w:val="none" w:sz="0" w:space="0" w:color="auto"/>
        <w:left w:val="none" w:sz="0" w:space="0" w:color="auto"/>
        <w:bottom w:val="none" w:sz="0" w:space="0" w:color="auto"/>
        <w:right w:val="none" w:sz="0" w:space="0" w:color="auto"/>
      </w:divBdr>
    </w:div>
    <w:div w:id="496311590">
      <w:bodyDiv w:val="1"/>
      <w:marLeft w:val="0"/>
      <w:marRight w:val="0"/>
      <w:marTop w:val="0"/>
      <w:marBottom w:val="0"/>
      <w:divBdr>
        <w:top w:val="none" w:sz="0" w:space="0" w:color="auto"/>
        <w:left w:val="none" w:sz="0" w:space="0" w:color="auto"/>
        <w:bottom w:val="none" w:sz="0" w:space="0" w:color="auto"/>
        <w:right w:val="none" w:sz="0" w:space="0" w:color="auto"/>
      </w:divBdr>
    </w:div>
    <w:div w:id="648365695">
      <w:bodyDiv w:val="1"/>
      <w:marLeft w:val="0"/>
      <w:marRight w:val="0"/>
      <w:marTop w:val="0"/>
      <w:marBottom w:val="0"/>
      <w:divBdr>
        <w:top w:val="none" w:sz="0" w:space="0" w:color="auto"/>
        <w:left w:val="none" w:sz="0" w:space="0" w:color="auto"/>
        <w:bottom w:val="none" w:sz="0" w:space="0" w:color="auto"/>
        <w:right w:val="none" w:sz="0" w:space="0" w:color="auto"/>
      </w:divBdr>
    </w:div>
    <w:div w:id="866334456">
      <w:bodyDiv w:val="1"/>
      <w:marLeft w:val="0"/>
      <w:marRight w:val="0"/>
      <w:marTop w:val="0"/>
      <w:marBottom w:val="0"/>
      <w:divBdr>
        <w:top w:val="none" w:sz="0" w:space="0" w:color="auto"/>
        <w:left w:val="none" w:sz="0" w:space="0" w:color="auto"/>
        <w:bottom w:val="none" w:sz="0" w:space="0" w:color="auto"/>
        <w:right w:val="none" w:sz="0" w:space="0" w:color="auto"/>
      </w:divBdr>
    </w:div>
    <w:div w:id="968782291">
      <w:bodyDiv w:val="1"/>
      <w:marLeft w:val="0"/>
      <w:marRight w:val="0"/>
      <w:marTop w:val="0"/>
      <w:marBottom w:val="0"/>
      <w:divBdr>
        <w:top w:val="none" w:sz="0" w:space="0" w:color="auto"/>
        <w:left w:val="none" w:sz="0" w:space="0" w:color="auto"/>
        <w:bottom w:val="none" w:sz="0" w:space="0" w:color="auto"/>
        <w:right w:val="none" w:sz="0" w:space="0" w:color="auto"/>
      </w:divBdr>
    </w:div>
    <w:div w:id="971641374">
      <w:bodyDiv w:val="1"/>
      <w:marLeft w:val="0"/>
      <w:marRight w:val="0"/>
      <w:marTop w:val="0"/>
      <w:marBottom w:val="0"/>
      <w:divBdr>
        <w:top w:val="none" w:sz="0" w:space="0" w:color="auto"/>
        <w:left w:val="none" w:sz="0" w:space="0" w:color="auto"/>
        <w:bottom w:val="none" w:sz="0" w:space="0" w:color="auto"/>
        <w:right w:val="none" w:sz="0" w:space="0" w:color="auto"/>
      </w:divBdr>
    </w:div>
    <w:div w:id="1007709469">
      <w:bodyDiv w:val="1"/>
      <w:marLeft w:val="0"/>
      <w:marRight w:val="0"/>
      <w:marTop w:val="0"/>
      <w:marBottom w:val="0"/>
      <w:divBdr>
        <w:top w:val="none" w:sz="0" w:space="0" w:color="auto"/>
        <w:left w:val="none" w:sz="0" w:space="0" w:color="auto"/>
        <w:bottom w:val="none" w:sz="0" w:space="0" w:color="auto"/>
        <w:right w:val="none" w:sz="0" w:space="0" w:color="auto"/>
      </w:divBdr>
    </w:div>
    <w:div w:id="1319307429">
      <w:bodyDiv w:val="1"/>
      <w:marLeft w:val="0"/>
      <w:marRight w:val="0"/>
      <w:marTop w:val="0"/>
      <w:marBottom w:val="0"/>
      <w:divBdr>
        <w:top w:val="none" w:sz="0" w:space="0" w:color="auto"/>
        <w:left w:val="none" w:sz="0" w:space="0" w:color="auto"/>
        <w:bottom w:val="none" w:sz="0" w:space="0" w:color="auto"/>
        <w:right w:val="none" w:sz="0" w:space="0" w:color="auto"/>
      </w:divBdr>
    </w:div>
    <w:div w:id="1355811732">
      <w:bodyDiv w:val="1"/>
      <w:marLeft w:val="0"/>
      <w:marRight w:val="0"/>
      <w:marTop w:val="0"/>
      <w:marBottom w:val="0"/>
      <w:divBdr>
        <w:top w:val="none" w:sz="0" w:space="0" w:color="auto"/>
        <w:left w:val="none" w:sz="0" w:space="0" w:color="auto"/>
        <w:bottom w:val="none" w:sz="0" w:space="0" w:color="auto"/>
        <w:right w:val="none" w:sz="0" w:space="0" w:color="auto"/>
      </w:divBdr>
    </w:div>
    <w:div w:id="1487865030">
      <w:bodyDiv w:val="1"/>
      <w:marLeft w:val="0"/>
      <w:marRight w:val="0"/>
      <w:marTop w:val="0"/>
      <w:marBottom w:val="0"/>
      <w:divBdr>
        <w:top w:val="none" w:sz="0" w:space="0" w:color="auto"/>
        <w:left w:val="none" w:sz="0" w:space="0" w:color="auto"/>
        <w:bottom w:val="none" w:sz="0" w:space="0" w:color="auto"/>
        <w:right w:val="none" w:sz="0" w:space="0" w:color="auto"/>
      </w:divBdr>
    </w:div>
    <w:div w:id="1567833565">
      <w:bodyDiv w:val="1"/>
      <w:marLeft w:val="0"/>
      <w:marRight w:val="0"/>
      <w:marTop w:val="0"/>
      <w:marBottom w:val="0"/>
      <w:divBdr>
        <w:top w:val="none" w:sz="0" w:space="0" w:color="auto"/>
        <w:left w:val="none" w:sz="0" w:space="0" w:color="auto"/>
        <w:bottom w:val="none" w:sz="0" w:space="0" w:color="auto"/>
        <w:right w:val="none" w:sz="0" w:space="0" w:color="auto"/>
      </w:divBdr>
    </w:div>
    <w:div w:id="1701276735">
      <w:bodyDiv w:val="1"/>
      <w:marLeft w:val="0"/>
      <w:marRight w:val="0"/>
      <w:marTop w:val="0"/>
      <w:marBottom w:val="0"/>
      <w:divBdr>
        <w:top w:val="none" w:sz="0" w:space="0" w:color="auto"/>
        <w:left w:val="none" w:sz="0" w:space="0" w:color="auto"/>
        <w:bottom w:val="none" w:sz="0" w:space="0" w:color="auto"/>
        <w:right w:val="none" w:sz="0" w:space="0" w:color="auto"/>
      </w:divBdr>
    </w:div>
    <w:div w:id="18961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3222-019A-4A67-A99A-B04ECE73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 THE SOUTH GAUTENG HIGH COURT</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SOUTH GAUTENG HIGH COURT</dc:title>
  <dc:subject/>
  <dc:creator>Penny Bosman</dc:creator>
  <cp:keywords>HEADING</cp:keywords>
  <dc:description/>
  <cp:lastModifiedBy>Lazarus Rakgwale</cp:lastModifiedBy>
  <cp:revision>2</cp:revision>
  <cp:lastPrinted>2020-07-13T11:38:00Z</cp:lastPrinted>
  <dcterms:created xsi:type="dcterms:W3CDTF">2022-02-01T10:04:00Z</dcterms:created>
  <dcterms:modified xsi:type="dcterms:W3CDTF">2022-02-01T10:04:00Z</dcterms:modified>
</cp:coreProperties>
</file>