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4C21" w14:textId="294061D7" w:rsidR="00E44D0B" w:rsidRDefault="00716D67" w:rsidP="00FF18B6">
      <w:pPr>
        <w:spacing w:line="360" w:lineRule="auto"/>
        <w:jc w:val="center"/>
        <w:rPr>
          <w:b/>
          <w:bCs/>
          <w:u w:val="single"/>
        </w:rPr>
      </w:pPr>
      <w:r>
        <w:rPr>
          <w:b/>
          <w:bCs/>
          <w:u w:val="single"/>
        </w:rPr>
        <w:t>REPUBLIC OF SOUTH AFRICA</w:t>
      </w:r>
    </w:p>
    <w:p w14:paraId="0D69334C" w14:textId="26430300" w:rsidR="00E44D0B" w:rsidRDefault="00E44D0B" w:rsidP="00A30E99">
      <w:pPr>
        <w:spacing w:line="360" w:lineRule="auto"/>
        <w:jc w:val="center"/>
        <w:rPr>
          <w:b/>
          <w:bCs/>
          <w:u w:val="single"/>
        </w:rPr>
      </w:pPr>
      <w:r w:rsidRPr="00AE4D3D">
        <w:rPr>
          <w:noProof/>
          <w:lang w:eastAsia="en-ZA"/>
        </w:rPr>
        <w:drawing>
          <wp:anchor distT="0" distB="0" distL="114300" distR="114300" simplePos="0" relativeHeight="251659264" behindDoc="0" locked="0" layoutInCell="1" allowOverlap="1" wp14:anchorId="45E1FF02" wp14:editId="4632C17F">
            <wp:simplePos x="0" y="0"/>
            <wp:positionH relativeFrom="column">
              <wp:posOffset>2104742</wp:posOffset>
            </wp:positionH>
            <wp:positionV relativeFrom="paragraph">
              <wp:posOffset>205105</wp:posOffset>
            </wp:positionV>
            <wp:extent cx="1506220" cy="1089025"/>
            <wp:effectExtent l="0" t="0" r="5080" b="3175"/>
            <wp:wrapThrough wrapText="bothSides">
              <wp:wrapPolygon edited="0">
                <wp:start x="0" y="0"/>
                <wp:lineTo x="0" y="21411"/>
                <wp:lineTo x="21491" y="21411"/>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1089025"/>
                    </a:xfrm>
                    <a:prstGeom prst="rect">
                      <a:avLst/>
                    </a:prstGeom>
                    <a:noFill/>
                  </pic:spPr>
                </pic:pic>
              </a:graphicData>
            </a:graphic>
            <wp14:sizeRelH relativeFrom="margin">
              <wp14:pctWidth>0</wp14:pctWidth>
            </wp14:sizeRelH>
            <wp14:sizeRelV relativeFrom="margin">
              <wp14:pctHeight>0</wp14:pctHeight>
            </wp14:sizeRelV>
          </wp:anchor>
        </w:drawing>
      </w:r>
    </w:p>
    <w:p w14:paraId="579D5831" w14:textId="77777777" w:rsidR="00E44D0B" w:rsidRDefault="00E44D0B" w:rsidP="00E44D0B">
      <w:pPr>
        <w:spacing w:line="360" w:lineRule="auto"/>
        <w:ind w:firstLine="2127"/>
        <w:rPr>
          <w:b/>
          <w:bCs/>
          <w:u w:val="single"/>
        </w:rPr>
      </w:pPr>
    </w:p>
    <w:p w14:paraId="0EF28DDB" w14:textId="5C8DA687" w:rsidR="00E44D0B" w:rsidRDefault="00E44D0B" w:rsidP="00E44D0B">
      <w:pPr>
        <w:spacing w:line="360" w:lineRule="auto"/>
        <w:ind w:firstLine="2127"/>
        <w:jc w:val="center"/>
        <w:rPr>
          <w:b/>
          <w:bCs/>
          <w:u w:val="single"/>
        </w:rPr>
      </w:pPr>
    </w:p>
    <w:p w14:paraId="418B26A7" w14:textId="77777777" w:rsidR="00E44D0B" w:rsidRDefault="00E44D0B" w:rsidP="00A30E99">
      <w:pPr>
        <w:spacing w:line="360" w:lineRule="auto"/>
        <w:jc w:val="center"/>
        <w:rPr>
          <w:b/>
          <w:bCs/>
          <w:u w:val="single"/>
        </w:rPr>
      </w:pPr>
    </w:p>
    <w:p w14:paraId="21A56C15" w14:textId="77777777" w:rsidR="00E44D0B" w:rsidRDefault="00E44D0B" w:rsidP="00E44D0B">
      <w:pPr>
        <w:spacing w:line="360" w:lineRule="auto"/>
        <w:jc w:val="center"/>
        <w:rPr>
          <w:b/>
          <w:bCs/>
          <w:u w:val="single"/>
        </w:rPr>
      </w:pPr>
    </w:p>
    <w:p w14:paraId="6D2FF5BE" w14:textId="77777777" w:rsidR="00E44D0B" w:rsidRDefault="00E44D0B" w:rsidP="00A30E99">
      <w:pPr>
        <w:spacing w:line="360" w:lineRule="auto"/>
        <w:jc w:val="center"/>
        <w:rPr>
          <w:b/>
          <w:bCs/>
          <w:u w:val="single"/>
        </w:rPr>
      </w:pPr>
    </w:p>
    <w:p w14:paraId="68B223FB" w14:textId="4D7DB476" w:rsidR="0068653E" w:rsidRPr="001614F0" w:rsidRDefault="0068653E" w:rsidP="00FF18B6">
      <w:pPr>
        <w:spacing w:line="360" w:lineRule="auto"/>
        <w:jc w:val="center"/>
        <w:rPr>
          <w:b/>
          <w:bCs/>
          <w:u w:val="single"/>
        </w:rPr>
      </w:pPr>
      <w:r w:rsidRPr="001614F0">
        <w:rPr>
          <w:b/>
          <w:bCs/>
          <w:u w:val="single"/>
        </w:rPr>
        <w:t>IN THE HIGH COURT OF SOUTH AFRICA</w:t>
      </w:r>
    </w:p>
    <w:p w14:paraId="151B54B0" w14:textId="77777777" w:rsidR="00346379" w:rsidRPr="00A30E99" w:rsidRDefault="0068653E" w:rsidP="00A30E99">
      <w:pPr>
        <w:spacing w:line="360" w:lineRule="auto"/>
        <w:jc w:val="center"/>
        <w:rPr>
          <w:b/>
          <w:bCs/>
          <w:lang w:val="en-GB"/>
        </w:rPr>
      </w:pPr>
      <w:r w:rsidRPr="00A30E99">
        <w:rPr>
          <w:b/>
          <w:bCs/>
          <w:u w:val="single"/>
        </w:rPr>
        <w:t>GAUTENG DIVISION, JOHANNESBURG</w:t>
      </w:r>
    </w:p>
    <w:p w14:paraId="42553917" w14:textId="77777777" w:rsidR="003B7342" w:rsidRDefault="003B7342" w:rsidP="004B29ED">
      <w:pPr>
        <w:spacing w:line="360" w:lineRule="auto"/>
        <w:jc w:val="right"/>
        <w:rPr>
          <w:lang w:val="en-US"/>
        </w:rPr>
      </w:pPr>
    </w:p>
    <w:p w14:paraId="679C1613" w14:textId="24F926FC" w:rsidR="003B7342" w:rsidRDefault="00F67D61" w:rsidP="00FF18B6">
      <w:pPr>
        <w:spacing w:line="360" w:lineRule="auto"/>
        <w:jc w:val="right"/>
        <w:rPr>
          <w:b/>
          <w:bCs/>
        </w:rPr>
      </w:pPr>
      <w:r w:rsidRPr="001614F0">
        <w:rPr>
          <w:b/>
          <w:bCs/>
        </w:rPr>
        <w:t xml:space="preserve">CASE NO.: </w:t>
      </w:r>
      <w:r w:rsidR="00023D2C">
        <w:rPr>
          <w:b/>
          <w:bCs/>
        </w:rPr>
        <w:t>21375/201</w:t>
      </w:r>
      <w:r w:rsidR="00334206" w:rsidRPr="001614F0">
        <w:rPr>
          <w:b/>
          <w:bCs/>
        </w:rPr>
        <w:t>9</w:t>
      </w:r>
    </w:p>
    <w:p w14:paraId="305F7ACF" w14:textId="02FC5127" w:rsidR="003B7342" w:rsidRDefault="00FF18B6" w:rsidP="003B7342">
      <w:pPr>
        <w:rPr>
          <w:b/>
        </w:rPr>
      </w:pPr>
      <w:r w:rsidRPr="003740DD">
        <w:rPr>
          <w:b/>
          <w:bCs/>
          <w:noProof/>
          <w:szCs w:val="22"/>
          <w:lang w:eastAsia="en-ZA"/>
        </w:rPr>
        <mc:AlternateContent>
          <mc:Choice Requires="wps">
            <w:drawing>
              <wp:anchor distT="0" distB="0" distL="114300" distR="114300" simplePos="0" relativeHeight="251661312" behindDoc="0" locked="0" layoutInCell="1" allowOverlap="1" wp14:anchorId="59F712EA" wp14:editId="1DC6BC68">
                <wp:simplePos x="0" y="0"/>
                <wp:positionH relativeFrom="column">
                  <wp:posOffset>-25400</wp:posOffset>
                </wp:positionH>
                <wp:positionV relativeFrom="page">
                  <wp:posOffset>3968750</wp:posOffset>
                </wp:positionV>
                <wp:extent cx="3314700" cy="1841500"/>
                <wp:effectExtent l="0" t="0" r="19050" b="25400"/>
                <wp:wrapThrough wrapText="bothSides">
                  <wp:wrapPolygon edited="0">
                    <wp:start x="0" y="0"/>
                    <wp:lineTo x="0" y="21674"/>
                    <wp:lineTo x="21600" y="21674"/>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41500"/>
                        </a:xfrm>
                        <a:prstGeom prst="rect">
                          <a:avLst/>
                        </a:prstGeom>
                        <a:solidFill>
                          <a:srgbClr val="FFFFFF"/>
                        </a:solidFill>
                        <a:ln w="9525">
                          <a:solidFill>
                            <a:srgbClr val="000000"/>
                          </a:solidFill>
                          <a:miter lim="800000"/>
                          <a:headEnd/>
                          <a:tailEnd/>
                        </a:ln>
                      </wps:spPr>
                      <wps:txbx>
                        <w:txbxContent>
                          <w:p w14:paraId="1E282362" w14:textId="77777777" w:rsidR="003B7342" w:rsidRPr="00913F95" w:rsidRDefault="003B7342" w:rsidP="003B7342">
                            <w:pPr>
                              <w:jc w:val="center"/>
                              <w:rPr>
                                <w:rFonts w:ascii="Century Gothic" w:hAnsi="Century Gothic"/>
                                <w:b/>
                                <w:sz w:val="20"/>
                                <w:szCs w:val="20"/>
                              </w:rPr>
                            </w:pPr>
                          </w:p>
                          <w:p w14:paraId="04E23594" w14:textId="184F9B34" w:rsidR="003B7342" w:rsidRDefault="003B7342" w:rsidP="003B7342">
                            <w:pPr>
                              <w:numPr>
                                <w:ilvl w:val="0"/>
                                <w:numId w:val="39"/>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3B7342">
                              <w:rPr>
                                <w:rFonts w:ascii="Century Gothic" w:hAnsi="Century Gothic"/>
                                <w:b/>
                                <w:sz w:val="20"/>
                                <w:szCs w:val="20"/>
                              </w:rPr>
                              <w:t>YES</w:t>
                            </w:r>
                          </w:p>
                          <w:p w14:paraId="752E3379" w14:textId="0770F8E8" w:rsidR="003B7342" w:rsidRPr="00913F95" w:rsidRDefault="003B7342" w:rsidP="003B7342">
                            <w:pPr>
                              <w:numPr>
                                <w:ilvl w:val="0"/>
                                <w:numId w:val="39"/>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Pr="003B7342">
                              <w:rPr>
                                <w:rFonts w:ascii="Century Gothic" w:hAnsi="Century Gothic"/>
                                <w:b/>
                                <w:sz w:val="20"/>
                                <w:szCs w:val="20"/>
                              </w:rPr>
                              <w:t>YES</w:t>
                            </w:r>
                          </w:p>
                          <w:p w14:paraId="08799874" w14:textId="3DB8A589" w:rsidR="003B7342" w:rsidRPr="00913F95" w:rsidRDefault="003B7342" w:rsidP="003B7342">
                            <w:pPr>
                              <w:numPr>
                                <w:ilvl w:val="0"/>
                                <w:numId w:val="39"/>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3B7342">
                              <w:rPr>
                                <w:rFonts w:ascii="Century Gothic" w:hAnsi="Century Gothic"/>
                                <w:b/>
                                <w:sz w:val="20"/>
                                <w:szCs w:val="20"/>
                              </w:rPr>
                              <w:t>NO</w:t>
                            </w:r>
                          </w:p>
                          <w:p w14:paraId="6D74018E" w14:textId="77777777" w:rsidR="00FF18B6" w:rsidRDefault="00FF18B6" w:rsidP="003B7342">
                            <w:pPr>
                              <w:rPr>
                                <w:rFonts w:ascii="Century Gothic" w:hAnsi="Century Gothic"/>
                                <w:b/>
                                <w:sz w:val="18"/>
                                <w:szCs w:val="18"/>
                              </w:rPr>
                            </w:pPr>
                          </w:p>
                          <w:p w14:paraId="427E6573" w14:textId="2FAE24EC" w:rsidR="003B7342" w:rsidRDefault="003B7342" w:rsidP="003B7342">
                            <w:pPr>
                              <w:rPr>
                                <w:rFonts w:ascii="Century Gothic" w:hAnsi="Century Gothic"/>
                                <w:b/>
                                <w:sz w:val="18"/>
                                <w:szCs w:val="18"/>
                              </w:rPr>
                            </w:pPr>
                            <w:r>
                              <w:rPr>
                                <w:rFonts w:ascii="Century Gothic" w:hAnsi="Century Gothic"/>
                                <w:b/>
                                <w:sz w:val="18"/>
                                <w:szCs w:val="18"/>
                              </w:rPr>
                              <w:t xml:space="preserve"> </w:t>
                            </w:r>
                            <w:r w:rsidR="00FF18B6">
                              <w:rPr>
                                <w:rFonts w:ascii="Century Gothic" w:hAnsi="Century Gothic"/>
                                <w:b/>
                                <w:sz w:val="18"/>
                                <w:szCs w:val="18"/>
                              </w:rPr>
                              <w:t xml:space="preserve">   </w:t>
                            </w:r>
                            <w:r>
                              <w:rPr>
                                <w:rFonts w:ascii="Century Gothic" w:hAnsi="Century Gothic"/>
                                <w:b/>
                                <w:sz w:val="18"/>
                                <w:szCs w:val="18"/>
                              </w:rPr>
                              <w:t>0</w:t>
                            </w:r>
                            <w:r w:rsidR="00413717">
                              <w:rPr>
                                <w:rFonts w:ascii="Century Gothic" w:hAnsi="Century Gothic"/>
                                <w:b/>
                                <w:sz w:val="18"/>
                                <w:szCs w:val="18"/>
                              </w:rPr>
                              <w:t>7</w:t>
                            </w:r>
                            <w:r>
                              <w:rPr>
                                <w:rFonts w:ascii="Century Gothic" w:hAnsi="Century Gothic"/>
                                <w:b/>
                                <w:sz w:val="18"/>
                                <w:szCs w:val="18"/>
                              </w:rPr>
                              <w:t>/09/2022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p>
                          <w:p w14:paraId="0606B430" w14:textId="3AB4E7EB" w:rsidR="003B7342" w:rsidRDefault="003B7342" w:rsidP="003B7342">
                            <w:pPr>
                              <w:rPr>
                                <w:rFonts w:ascii="Century Gothic" w:hAnsi="Century Gothic"/>
                                <w:b/>
                                <w:sz w:val="18"/>
                                <w:szCs w:val="18"/>
                              </w:rPr>
                            </w:pPr>
                            <w:r>
                              <w:rPr>
                                <w:rFonts w:ascii="Century Gothic" w:hAnsi="Century Gothic"/>
                                <w:b/>
                                <w:sz w:val="18"/>
                                <w:szCs w:val="18"/>
                              </w:rPr>
                              <w:t xml:space="preserve">         DATE       </w:t>
                            </w:r>
                            <w:r w:rsidR="00FF18B6">
                              <w:rPr>
                                <w:rFonts w:ascii="Century Gothic" w:hAnsi="Century Gothic"/>
                                <w:b/>
                                <w:sz w:val="18"/>
                                <w:szCs w:val="18"/>
                              </w:rPr>
                              <w:t xml:space="preserve">                            </w:t>
                            </w:r>
                            <w:r>
                              <w:rPr>
                                <w:rFonts w:ascii="Century Gothic" w:hAnsi="Century Gothic"/>
                                <w:b/>
                                <w:sz w:val="18"/>
                                <w:szCs w:val="18"/>
                              </w:rPr>
                              <w:t xml:space="preserve"> SIGNATURE</w:t>
                            </w:r>
                          </w:p>
                          <w:p w14:paraId="4A3B4CE2" w14:textId="77777777" w:rsidR="003B7342" w:rsidRPr="00084341" w:rsidRDefault="003B7342" w:rsidP="003B7342">
                            <w:pPr>
                              <w:rPr>
                                <w:rFonts w:ascii="Century Gothic" w:hAnsi="Century Gothic"/>
                                <w:b/>
                                <w:sz w:val="18"/>
                                <w:szCs w:val="18"/>
                              </w:rPr>
                            </w:pPr>
                          </w:p>
                          <w:p w14:paraId="600163D3" w14:textId="77777777" w:rsidR="003B7342" w:rsidRPr="00084341" w:rsidRDefault="003B7342" w:rsidP="003B7342">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712EA" id="_x0000_t202" coordsize="21600,21600" o:spt="202" path="m,l,21600r21600,l21600,xe">
                <v:stroke joinstyle="miter"/>
                <v:path gradientshapeok="t" o:connecttype="rect"/>
              </v:shapetype>
              <v:shape id="Text Box 3" o:spid="_x0000_s1026" type="#_x0000_t202" style="position:absolute;left:0;text-align:left;margin-left:-2pt;margin-top:312.5pt;width:261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XKQIAAFE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">
                <v:textbox>
                  <w:txbxContent>
                    <w:p w14:paraId="1E282362" w14:textId="77777777" w:rsidR="003B7342" w:rsidRPr="00913F95" w:rsidRDefault="003B7342" w:rsidP="003B7342">
                      <w:pPr>
                        <w:jc w:val="center"/>
                        <w:rPr>
                          <w:rFonts w:ascii="Century Gothic" w:hAnsi="Century Gothic"/>
                          <w:b/>
                          <w:sz w:val="20"/>
                          <w:szCs w:val="20"/>
                        </w:rPr>
                      </w:pPr>
                    </w:p>
                    <w:p w14:paraId="04E23594" w14:textId="184F9B34" w:rsidR="003B7342" w:rsidRDefault="003B7342" w:rsidP="003B7342">
                      <w:pPr>
                        <w:numPr>
                          <w:ilvl w:val="0"/>
                          <w:numId w:val="39"/>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3B7342">
                        <w:rPr>
                          <w:rFonts w:ascii="Century Gothic" w:hAnsi="Century Gothic"/>
                          <w:b/>
                          <w:sz w:val="20"/>
                          <w:szCs w:val="20"/>
                        </w:rPr>
                        <w:t>YES</w:t>
                      </w:r>
                    </w:p>
                    <w:p w14:paraId="752E3379" w14:textId="0770F8E8" w:rsidR="003B7342" w:rsidRPr="00913F95" w:rsidRDefault="003B7342" w:rsidP="003B7342">
                      <w:pPr>
                        <w:numPr>
                          <w:ilvl w:val="0"/>
                          <w:numId w:val="39"/>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Pr="003B7342">
                        <w:rPr>
                          <w:rFonts w:ascii="Century Gothic" w:hAnsi="Century Gothic"/>
                          <w:b/>
                          <w:sz w:val="20"/>
                          <w:szCs w:val="20"/>
                        </w:rPr>
                        <w:t>YES</w:t>
                      </w:r>
                    </w:p>
                    <w:p w14:paraId="08799874" w14:textId="3DB8A589" w:rsidR="003B7342" w:rsidRPr="00913F95" w:rsidRDefault="003B7342" w:rsidP="003B7342">
                      <w:pPr>
                        <w:numPr>
                          <w:ilvl w:val="0"/>
                          <w:numId w:val="39"/>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3B7342">
                        <w:rPr>
                          <w:rFonts w:ascii="Century Gothic" w:hAnsi="Century Gothic"/>
                          <w:b/>
                          <w:sz w:val="20"/>
                          <w:szCs w:val="20"/>
                        </w:rPr>
                        <w:t>NO</w:t>
                      </w:r>
                    </w:p>
                    <w:p w14:paraId="6D74018E" w14:textId="77777777" w:rsidR="00FF18B6" w:rsidRDefault="00FF18B6" w:rsidP="003B7342">
                      <w:pPr>
                        <w:rPr>
                          <w:rFonts w:ascii="Century Gothic" w:hAnsi="Century Gothic"/>
                          <w:b/>
                          <w:sz w:val="18"/>
                          <w:szCs w:val="18"/>
                        </w:rPr>
                      </w:pPr>
                    </w:p>
                    <w:p w14:paraId="427E6573" w14:textId="2FAE24EC" w:rsidR="003B7342" w:rsidRDefault="003B7342" w:rsidP="003B7342">
                      <w:pPr>
                        <w:rPr>
                          <w:rFonts w:ascii="Century Gothic" w:hAnsi="Century Gothic"/>
                          <w:b/>
                          <w:sz w:val="18"/>
                          <w:szCs w:val="18"/>
                        </w:rPr>
                      </w:pPr>
                      <w:r>
                        <w:rPr>
                          <w:rFonts w:ascii="Century Gothic" w:hAnsi="Century Gothic"/>
                          <w:b/>
                          <w:sz w:val="18"/>
                          <w:szCs w:val="18"/>
                        </w:rPr>
                        <w:t xml:space="preserve"> </w:t>
                      </w:r>
                      <w:r w:rsidR="00FF18B6">
                        <w:rPr>
                          <w:rFonts w:ascii="Century Gothic" w:hAnsi="Century Gothic"/>
                          <w:b/>
                          <w:sz w:val="18"/>
                          <w:szCs w:val="18"/>
                        </w:rPr>
                        <w:t xml:space="preserve">   </w:t>
                      </w:r>
                      <w:r>
                        <w:rPr>
                          <w:rFonts w:ascii="Century Gothic" w:hAnsi="Century Gothic"/>
                          <w:b/>
                          <w:sz w:val="18"/>
                          <w:szCs w:val="18"/>
                        </w:rPr>
                        <w:t>0</w:t>
                      </w:r>
                      <w:r w:rsidR="00413717">
                        <w:rPr>
                          <w:rFonts w:ascii="Century Gothic" w:hAnsi="Century Gothic"/>
                          <w:b/>
                          <w:sz w:val="18"/>
                          <w:szCs w:val="18"/>
                        </w:rPr>
                        <w:t>7</w:t>
                      </w:r>
                      <w:r>
                        <w:rPr>
                          <w:rFonts w:ascii="Century Gothic" w:hAnsi="Century Gothic"/>
                          <w:b/>
                          <w:sz w:val="18"/>
                          <w:szCs w:val="18"/>
                        </w:rPr>
                        <w:t>/09/2022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bookmarkStart w:id="1" w:name="_GoBack"/>
                      <w:bookmarkEnd w:id="1"/>
                    </w:p>
                    <w:p w14:paraId="0606B430" w14:textId="3AB4E7EB" w:rsidR="003B7342" w:rsidRDefault="003B7342" w:rsidP="003B7342">
                      <w:pPr>
                        <w:rPr>
                          <w:rFonts w:ascii="Century Gothic" w:hAnsi="Century Gothic"/>
                          <w:b/>
                          <w:sz w:val="18"/>
                          <w:szCs w:val="18"/>
                        </w:rPr>
                      </w:pPr>
                      <w:r>
                        <w:rPr>
                          <w:rFonts w:ascii="Century Gothic" w:hAnsi="Century Gothic"/>
                          <w:b/>
                          <w:sz w:val="18"/>
                          <w:szCs w:val="18"/>
                        </w:rPr>
                        <w:t xml:space="preserve">         DATE       </w:t>
                      </w:r>
                      <w:r w:rsidR="00FF18B6">
                        <w:rPr>
                          <w:rFonts w:ascii="Century Gothic" w:hAnsi="Century Gothic"/>
                          <w:b/>
                          <w:sz w:val="18"/>
                          <w:szCs w:val="18"/>
                        </w:rPr>
                        <w:t xml:space="preserve">                            </w:t>
                      </w:r>
                      <w:r>
                        <w:rPr>
                          <w:rFonts w:ascii="Century Gothic" w:hAnsi="Century Gothic"/>
                          <w:b/>
                          <w:sz w:val="18"/>
                          <w:szCs w:val="18"/>
                        </w:rPr>
                        <w:t xml:space="preserve"> SIGNATURE</w:t>
                      </w:r>
                    </w:p>
                    <w:p w14:paraId="4A3B4CE2" w14:textId="77777777" w:rsidR="003B7342" w:rsidRPr="00084341" w:rsidRDefault="003B7342" w:rsidP="003B7342">
                      <w:pPr>
                        <w:rPr>
                          <w:rFonts w:ascii="Century Gothic" w:hAnsi="Century Gothic"/>
                          <w:b/>
                          <w:sz w:val="18"/>
                          <w:szCs w:val="18"/>
                        </w:rPr>
                      </w:pPr>
                    </w:p>
                    <w:p w14:paraId="600163D3" w14:textId="77777777" w:rsidR="003B7342" w:rsidRPr="00084341" w:rsidRDefault="003B7342" w:rsidP="003B7342">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v:textbox>
                <w10:wrap type="through" anchory="page"/>
              </v:shape>
            </w:pict>
          </mc:Fallback>
        </mc:AlternateContent>
      </w:r>
    </w:p>
    <w:p w14:paraId="08EEA18C" w14:textId="3E549C69" w:rsidR="003B7342" w:rsidRDefault="003B7342" w:rsidP="003B7342">
      <w:pPr>
        <w:spacing w:line="360" w:lineRule="auto"/>
        <w:jc w:val="left"/>
        <w:rPr>
          <w:b/>
          <w:bCs/>
        </w:rPr>
      </w:pPr>
    </w:p>
    <w:p w14:paraId="53CDDE49" w14:textId="77777777" w:rsidR="003B7342" w:rsidRPr="001614F0" w:rsidRDefault="003B7342" w:rsidP="003B7342">
      <w:pPr>
        <w:spacing w:line="360" w:lineRule="auto"/>
        <w:jc w:val="left"/>
        <w:rPr>
          <w:b/>
          <w:bCs/>
        </w:rPr>
      </w:pPr>
    </w:p>
    <w:p w14:paraId="586D7A58" w14:textId="0F183B81" w:rsidR="00F67D61" w:rsidRPr="001614F0" w:rsidRDefault="00F67D61" w:rsidP="00A30E99">
      <w:pPr>
        <w:tabs>
          <w:tab w:val="right" w:pos="8931"/>
        </w:tabs>
        <w:spacing w:line="360" w:lineRule="auto"/>
      </w:pPr>
    </w:p>
    <w:p w14:paraId="2FAF7013" w14:textId="77777777" w:rsidR="009C28B3" w:rsidRPr="001614F0" w:rsidRDefault="009C28B3">
      <w:pPr>
        <w:tabs>
          <w:tab w:val="right" w:pos="8931"/>
        </w:tabs>
        <w:spacing w:line="360" w:lineRule="auto"/>
      </w:pPr>
    </w:p>
    <w:p w14:paraId="55FCB3AE" w14:textId="77777777" w:rsidR="003B7342" w:rsidRDefault="003B7342">
      <w:pPr>
        <w:tabs>
          <w:tab w:val="right" w:pos="8931"/>
        </w:tabs>
        <w:spacing w:line="360" w:lineRule="auto"/>
      </w:pPr>
    </w:p>
    <w:p w14:paraId="1598A242" w14:textId="77777777" w:rsidR="003B7342" w:rsidRDefault="003B7342">
      <w:pPr>
        <w:tabs>
          <w:tab w:val="right" w:pos="8931"/>
        </w:tabs>
        <w:spacing w:line="360" w:lineRule="auto"/>
      </w:pPr>
    </w:p>
    <w:p w14:paraId="3AA8A2A4" w14:textId="77777777" w:rsidR="00FF18B6" w:rsidRDefault="00FF18B6">
      <w:pPr>
        <w:tabs>
          <w:tab w:val="right" w:pos="8931"/>
        </w:tabs>
        <w:spacing w:line="360" w:lineRule="auto"/>
      </w:pPr>
    </w:p>
    <w:p w14:paraId="0B8C88E9" w14:textId="77777777" w:rsidR="00FF18B6" w:rsidRDefault="00FF18B6">
      <w:pPr>
        <w:tabs>
          <w:tab w:val="right" w:pos="8931"/>
        </w:tabs>
        <w:spacing w:line="360" w:lineRule="auto"/>
      </w:pPr>
    </w:p>
    <w:p w14:paraId="7AFB65FF" w14:textId="534969A0" w:rsidR="00F67D61" w:rsidRPr="001614F0" w:rsidRDefault="00F67D61">
      <w:pPr>
        <w:tabs>
          <w:tab w:val="right" w:pos="8931"/>
        </w:tabs>
        <w:spacing w:line="360" w:lineRule="auto"/>
      </w:pPr>
      <w:r w:rsidRPr="001614F0">
        <w:t xml:space="preserve">In the matter between: </w:t>
      </w:r>
    </w:p>
    <w:p w14:paraId="1984D449" w14:textId="77777777" w:rsidR="00F67D61" w:rsidRPr="001614F0" w:rsidRDefault="00F67D61">
      <w:pPr>
        <w:tabs>
          <w:tab w:val="right" w:pos="8931"/>
        </w:tabs>
        <w:spacing w:line="360" w:lineRule="auto"/>
      </w:pPr>
    </w:p>
    <w:p w14:paraId="17D0B6AF" w14:textId="1F0BB5AA" w:rsidR="00F67D61" w:rsidRPr="001614F0" w:rsidRDefault="00334206" w:rsidP="004B29ED">
      <w:pPr>
        <w:tabs>
          <w:tab w:val="right" w:pos="8931"/>
        </w:tabs>
        <w:spacing w:line="360" w:lineRule="auto"/>
        <w:rPr>
          <w:b/>
          <w:spacing w:val="-3"/>
        </w:rPr>
      </w:pPr>
      <w:r w:rsidRPr="001614F0">
        <w:rPr>
          <w:b/>
          <w:spacing w:val="-3"/>
        </w:rPr>
        <w:t>DLAMINI</w:t>
      </w:r>
      <w:r w:rsidR="00910D6F" w:rsidRPr="001614F0">
        <w:rPr>
          <w:b/>
          <w:spacing w:val="-3"/>
        </w:rPr>
        <w:t>,</w:t>
      </w:r>
      <w:r w:rsidRPr="001614F0">
        <w:rPr>
          <w:b/>
          <w:spacing w:val="-3"/>
        </w:rPr>
        <w:t xml:space="preserve"> MBALI GOMOLEMO NOHLANHLA</w:t>
      </w:r>
      <w:r w:rsidR="00F67D61" w:rsidRPr="001614F0">
        <w:rPr>
          <w:b/>
          <w:spacing w:val="-3"/>
        </w:rPr>
        <w:tab/>
      </w:r>
      <w:r w:rsidRPr="001614F0">
        <w:rPr>
          <w:bCs/>
          <w:spacing w:val="-3"/>
        </w:rPr>
        <w:t>Plaintiff</w:t>
      </w:r>
    </w:p>
    <w:p w14:paraId="54D9C9A8" w14:textId="77777777" w:rsidR="00F67D61" w:rsidRPr="001614F0" w:rsidRDefault="00F67D61" w:rsidP="00A30E99">
      <w:pPr>
        <w:tabs>
          <w:tab w:val="right" w:pos="8931"/>
        </w:tabs>
        <w:spacing w:line="360" w:lineRule="auto"/>
        <w:rPr>
          <w:bCs/>
          <w:spacing w:val="-3"/>
        </w:rPr>
      </w:pPr>
    </w:p>
    <w:p w14:paraId="421A2353" w14:textId="77777777" w:rsidR="00F67D61" w:rsidRPr="001614F0" w:rsidRDefault="00F67D61">
      <w:pPr>
        <w:tabs>
          <w:tab w:val="right" w:pos="8931"/>
        </w:tabs>
        <w:spacing w:line="360" w:lineRule="auto"/>
        <w:rPr>
          <w:bCs/>
          <w:spacing w:val="-3"/>
        </w:rPr>
      </w:pPr>
      <w:r w:rsidRPr="001614F0">
        <w:rPr>
          <w:bCs/>
          <w:spacing w:val="-3"/>
        </w:rPr>
        <w:t>and</w:t>
      </w:r>
    </w:p>
    <w:p w14:paraId="7FC9F333" w14:textId="77777777" w:rsidR="00F67D61" w:rsidRPr="001614F0" w:rsidRDefault="00F67D61">
      <w:pPr>
        <w:tabs>
          <w:tab w:val="right" w:pos="8931"/>
        </w:tabs>
        <w:spacing w:line="360" w:lineRule="auto"/>
        <w:rPr>
          <w:bCs/>
          <w:spacing w:val="-3"/>
        </w:rPr>
      </w:pPr>
    </w:p>
    <w:p w14:paraId="0183F9BF" w14:textId="5699E615" w:rsidR="00F67D61" w:rsidRPr="001614F0" w:rsidRDefault="00334206" w:rsidP="004B29ED">
      <w:pPr>
        <w:tabs>
          <w:tab w:val="right" w:pos="8931"/>
        </w:tabs>
        <w:spacing w:line="360" w:lineRule="auto"/>
        <w:rPr>
          <w:bCs/>
          <w:spacing w:val="-3"/>
        </w:rPr>
      </w:pPr>
      <w:r w:rsidRPr="001614F0">
        <w:rPr>
          <w:b/>
          <w:spacing w:val="-3"/>
        </w:rPr>
        <w:t>THE ROAD ACCIDENT FUND</w:t>
      </w:r>
      <w:r w:rsidR="00F67D61" w:rsidRPr="001614F0">
        <w:rPr>
          <w:bCs/>
          <w:spacing w:val="-3"/>
        </w:rPr>
        <w:tab/>
      </w:r>
      <w:r w:rsidRPr="001614F0">
        <w:rPr>
          <w:bCs/>
          <w:spacing w:val="-3"/>
        </w:rPr>
        <w:t>Defendant</w:t>
      </w:r>
    </w:p>
    <w:p w14:paraId="006BCB00" w14:textId="77777777" w:rsidR="007B154B" w:rsidRPr="001614F0" w:rsidRDefault="007B154B" w:rsidP="00A30E99">
      <w:pPr>
        <w:tabs>
          <w:tab w:val="right" w:pos="8931"/>
        </w:tabs>
        <w:spacing w:line="360" w:lineRule="auto"/>
        <w:rPr>
          <w:lang w:val="en-GB"/>
        </w:rPr>
      </w:pPr>
    </w:p>
    <w:p w14:paraId="4257636A" w14:textId="77777777" w:rsidR="0049440F" w:rsidRPr="001614F0" w:rsidRDefault="0049440F" w:rsidP="004B29ED">
      <w:pPr>
        <w:pBdr>
          <w:top w:val="single" w:sz="4" w:space="1" w:color="auto"/>
        </w:pBdr>
        <w:spacing w:line="360" w:lineRule="auto"/>
      </w:pPr>
      <w:bookmarkStart w:id="0" w:name="_GoBack"/>
      <w:bookmarkEnd w:id="0"/>
    </w:p>
    <w:p w14:paraId="2D8DBDFD" w14:textId="2CEBFD52" w:rsidR="0049440F" w:rsidRPr="001614F0" w:rsidRDefault="00334206" w:rsidP="004B29ED">
      <w:pPr>
        <w:spacing w:line="360" w:lineRule="auto"/>
        <w:jc w:val="center"/>
      </w:pPr>
      <w:r w:rsidRPr="001614F0">
        <w:rPr>
          <w:b/>
        </w:rPr>
        <w:t>JUDGMENT</w:t>
      </w:r>
    </w:p>
    <w:p w14:paraId="31BE681B" w14:textId="77777777" w:rsidR="0049440F" w:rsidRPr="001614F0" w:rsidRDefault="0049440F" w:rsidP="00FF18B6">
      <w:pPr>
        <w:pBdr>
          <w:bottom w:val="single" w:sz="4" w:space="0" w:color="auto"/>
        </w:pBdr>
        <w:spacing w:line="360" w:lineRule="auto"/>
      </w:pPr>
    </w:p>
    <w:p w14:paraId="0C287B10" w14:textId="77777777" w:rsidR="00FF18B6" w:rsidRDefault="00FF18B6" w:rsidP="001614F0">
      <w:pPr>
        <w:rPr>
          <w:b/>
          <w:u w:val="single"/>
        </w:rPr>
      </w:pPr>
    </w:p>
    <w:p w14:paraId="70AC9B70" w14:textId="2EAF0A3C" w:rsidR="0049440F" w:rsidRPr="000A10F5" w:rsidRDefault="000A10F5" w:rsidP="001614F0">
      <w:pPr>
        <w:rPr>
          <w:b/>
          <w:u w:val="single"/>
        </w:rPr>
      </w:pPr>
      <w:r w:rsidRPr="000A10F5">
        <w:rPr>
          <w:b/>
          <w:u w:val="single"/>
        </w:rPr>
        <w:t>CORAM PULLINGER AJ</w:t>
      </w:r>
    </w:p>
    <w:p w14:paraId="1A5EC1EC" w14:textId="77777777" w:rsidR="00FF18B6" w:rsidRDefault="00FF18B6" w:rsidP="000A10F5">
      <w:pPr>
        <w:spacing w:line="360" w:lineRule="auto"/>
        <w:jc w:val="left"/>
        <w:rPr>
          <w:b/>
          <w:iCs/>
          <w:color w:val="242121"/>
          <w:u w:val="single"/>
          <w:lang w:eastAsia="en-ZA"/>
        </w:rPr>
      </w:pPr>
    </w:p>
    <w:p w14:paraId="0F9CE137" w14:textId="7F9BE2F5" w:rsidR="00DB0D62" w:rsidRPr="000A10F5" w:rsidRDefault="000A10F5" w:rsidP="000A10F5">
      <w:pPr>
        <w:spacing w:line="360" w:lineRule="auto"/>
        <w:jc w:val="left"/>
        <w:rPr>
          <w:b/>
          <w:iCs/>
          <w:color w:val="242121"/>
          <w:u w:val="single"/>
          <w:lang w:eastAsia="en-ZA"/>
        </w:rPr>
      </w:pPr>
      <w:r>
        <w:rPr>
          <w:b/>
          <w:iCs/>
          <w:color w:val="242121"/>
          <w:u w:val="single"/>
          <w:lang w:eastAsia="en-ZA"/>
        </w:rPr>
        <w:t>Summary</w:t>
      </w:r>
      <w:r w:rsidRPr="000A10F5">
        <w:rPr>
          <w:b/>
          <w:iCs/>
          <w:color w:val="242121"/>
          <w:u w:val="single"/>
          <w:lang w:eastAsia="en-ZA"/>
        </w:rPr>
        <w:t>:</w:t>
      </w:r>
    </w:p>
    <w:p w14:paraId="3CAAAA83" w14:textId="77777777" w:rsidR="000A10F5" w:rsidRPr="000A10F5" w:rsidRDefault="000A10F5" w:rsidP="000A10F5">
      <w:pPr>
        <w:spacing w:line="360" w:lineRule="auto"/>
        <w:jc w:val="center"/>
        <w:rPr>
          <w:b/>
          <w:iCs/>
          <w:color w:val="242121"/>
          <w:lang w:eastAsia="en-ZA"/>
        </w:rPr>
      </w:pPr>
    </w:p>
    <w:p w14:paraId="020B81B2" w14:textId="597ED624" w:rsidR="00DB0D62" w:rsidRPr="004B29ED" w:rsidRDefault="00DB0D62" w:rsidP="00DB0D62">
      <w:pPr>
        <w:spacing w:line="360" w:lineRule="auto"/>
        <w:rPr>
          <w:color w:val="242121"/>
          <w:lang w:eastAsia="en-ZA"/>
        </w:rPr>
      </w:pPr>
      <w:r>
        <w:rPr>
          <w:i/>
          <w:iCs/>
          <w:color w:val="242121"/>
          <w:lang w:eastAsia="en-ZA"/>
        </w:rPr>
        <w:t xml:space="preserve">Summary – action for damages arising from a motor vehicle accident – determination of past and future loss of earnings – </w:t>
      </w:r>
      <w:r w:rsidR="00645336">
        <w:rPr>
          <w:i/>
          <w:iCs/>
          <w:color w:val="242121"/>
          <w:lang w:eastAsia="en-ZA"/>
        </w:rPr>
        <w:t xml:space="preserve">no basis for application of court’s inherent jurisdiction in determining past and future loss of earnings – </w:t>
      </w:r>
      <w:r w:rsidR="000972F6">
        <w:rPr>
          <w:i/>
          <w:iCs/>
          <w:color w:val="242121"/>
          <w:lang w:eastAsia="en-ZA"/>
        </w:rPr>
        <w:t>the</w:t>
      </w:r>
      <w:r w:rsidR="00645336">
        <w:rPr>
          <w:i/>
          <w:iCs/>
          <w:color w:val="242121"/>
          <w:lang w:eastAsia="en-ZA"/>
        </w:rPr>
        <w:t xml:space="preserve"> wide discretion exercised by courts in the past, in determining past and future loss of earnings</w:t>
      </w:r>
      <w:r w:rsidR="000972F6">
        <w:rPr>
          <w:i/>
          <w:iCs/>
          <w:color w:val="242121"/>
          <w:lang w:eastAsia="en-ZA"/>
        </w:rPr>
        <w:t xml:space="preserve"> has been attenuated and narrowed by the practice of eliminating guesswork by the employment of actuarial scientists</w:t>
      </w:r>
      <w:r w:rsidR="00645336">
        <w:rPr>
          <w:i/>
          <w:iCs/>
          <w:color w:val="242121"/>
          <w:lang w:eastAsia="en-ZA"/>
        </w:rPr>
        <w:t xml:space="preserve"> – a plaintiff must discharge the onus of proving pecuniary loss and the quantum thereof through appropriate expert evidence – where the factual assumptions underlying the expert opinions are unchallenged</w:t>
      </w:r>
      <w:r w:rsidR="00F721F4">
        <w:rPr>
          <w:i/>
          <w:iCs/>
          <w:color w:val="242121"/>
          <w:lang w:eastAsia="en-ZA"/>
        </w:rPr>
        <w:t xml:space="preserve"> and</w:t>
      </w:r>
      <w:r w:rsidR="00F721F4" w:rsidRPr="00F721F4">
        <w:rPr>
          <w:i/>
          <w:iCs/>
          <w:color w:val="242121"/>
          <w:lang w:eastAsia="en-ZA"/>
        </w:rPr>
        <w:t xml:space="preserve"> </w:t>
      </w:r>
      <w:r w:rsidR="00F721F4">
        <w:rPr>
          <w:i/>
          <w:iCs/>
          <w:color w:val="242121"/>
          <w:lang w:eastAsia="en-ZA"/>
        </w:rPr>
        <w:t>harmonious with the facts</w:t>
      </w:r>
      <w:r w:rsidR="00645336">
        <w:rPr>
          <w:i/>
          <w:iCs/>
          <w:color w:val="242121"/>
          <w:lang w:eastAsia="en-ZA"/>
        </w:rPr>
        <w:t xml:space="preserve">, </w:t>
      </w:r>
      <w:r w:rsidR="0085610E">
        <w:rPr>
          <w:i/>
          <w:iCs/>
          <w:color w:val="242121"/>
          <w:lang w:eastAsia="en-ZA"/>
        </w:rPr>
        <w:t xml:space="preserve">a plaintiff will succeed in discharging the onus in relation to </w:t>
      </w:r>
      <w:r w:rsidR="00645336">
        <w:rPr>
          <w:i/>
          <w:iCs/>
          <w:color w:val="242121"/>
          <w:lang w:eastAsia="en-ZA"/>
        </w:rPr>
        <w:t xml:space="preserve">the quantum of the loss </w:t>
      </w:r>
      <w:r w:rsidR="0085610E">
        <w:rPr>
          <w:i/>
          <w:iCs/>
          <w:color w:val="242121"/>
          <w:lang w:eastAsia="en-ZA"/>
        </w:rPr>
        <w:t>and the appropriate contingencies to be applied</w:t>
      </w:r>
      <w:r w:rsidR="000972F6">
        <w:rPr>
          <w:i/>
          <w:iCs/>
          <w:color w:val="242121"/>
          <w:lang w:eastAsia="en-ZA"/>
        </w:rPr>
        <w:t xml:space="preserve"> subject to the computation of those contingencies being </w:t>
      </w:r>
      <w:r w:rsidR="00F721F4">
        <w:rPr>
          <w:i/>
          <w:iCs/>
          <w:color w:val="242121"/>
          <w:lang w:eastAsia="en-ZA"/>
        </w:rPr>
        <w:t>in accordance with</w:t>
      </w:r>
      <w:r w:rsidR="000972F6">
        <w:rPr>
          <w:i/>
          <w:iCs/>
          <w:color w:val="242121"/>
          <w:lang w:eastAsia="en-ZA"/>
        </w:rPr>
        <w:t xml:space="preserve"> established precedent</w:t>
      </w:r>
      <w:r w:rsidR="0085610E">
        <w:rPr>
          <w:i/>
          <w:iCs/>
          <w:color w:val="242121"/>
          <w:lang w:eastAsia="en-ZA"/>
        </w:rPr>
        <w:t>.</w:t>
      </w:r>
    </w:p>
    <w:p w14:paraId="179232D3" w14:textId="5A1D459E" w:rsidR="00A54613" w:rsidRPr="001614F0" w:rsidRDefault="00A54613"/>
    <w:p w14:paraId="603D52DA" w14:textId="77777777" w:rsidR="00DB0D62" w:rsidRDefault="00DB0D62" w:rsidP="00DB0D62">
      <w:pPr>
        <w:keepNext/>
        <w:rPr>
          <w:b/>
          <w:bCs/>
          <w:u w:val="single"/>
        </w:rPr>
      </w:pPr>
    </w:p>
    <w:p w14:paraId="3004B2D7" w14:textId="0CFCFB32" w:rsidR="006905FE" w:rsidRPr="001614F0" w:rsidRDefault="006905FE" w:rsidP="00DB0D62">
      <w:pPr>
        <w:keepNext/>
        <w:rPr>
          <w:b/>
          <w:bCs/>
          <w:u w:val="single"/>
        </w:rPr>
      </w:pPr>
      <w:r w:rsidRPr="001614F0">
        <w:rPr>
          <w:b/>
          <w:bCs/>
          <w:u w:val="single"/>
        </w:rPr>
        <w:t>Introduction</w:t>
      </w:r>
    </w:p>
    <w:p w14:paraId="02ADA19A" w14:textId="77777777" w:rsidR="006905FE" w:rsidRPr="001614F0" w:rsidRDefault="006905FE" w:rsidP="00DB0D62">
      <w:pPr>
        <w:keepNext/>
      </w:pPr>
    </w:p>
    <w:p w14:paraId="168EC2F6" w14:textId="17F3266B" w:rsidR="00984434" w:rsidRPr="001614F0" w:rsidRDefault="00A54613" w:rsidP="00DB0D62">
      <w:pPr>
        <w:pStyle w:val="NUM1"/>
        <w:keepNext/>
        <w:tabs>
          <w:tab w:val="clear" w:pos="720"/>
          <w:tab w:val="num" w:pos="567"/>
        </w:tabs>
        <w:ind w:left="567" w:hanging="567"/>
        <w:rPr>
          <w:bCs/>
          <w:spacing w:val="-3"/>
        </w:rPr>
      </w:pPr>
      <w:r w:rsidRPr="001614F0">
        <w:t xml:space="preserve">This is an action for damages arising from injuries sustained by Ms </w:t>
      </w:r>
      <w:r w:rsidRPr="001614F0">
        <w:rPr>
          <w:bCs/>
          <w:spacing w:val="-3"/>
        </w:rPr>
        <w:t>Mbali Gomolemo Nohlanhla Dlamini</w:t>
      </w:r>
      <w:r w:rsidR="00D04D99" w:rsidRPr="001614F0">
        <w:rPr>
          <w:bCs/>
          <w:spacing w:val="-3"/>
        </w:rPr>
        <w:t xml:space="preserve"> in</w:t>
      </w:r>
      <w:r w:rsidR="006602EA" w:rsidRPr="001614F0">
        <w:rPr>
          <w:bCs/>
          <w:spacing w:val="-3"/>
        </w:rPr>
        <w:t xml:space="preserve"> a motor vehicle accident on 14 February 2018. </w:t>
      </w:r>
    </w:p>
    <w:p w14:paraId="35094229" w14:textId="77777777" w:rsidR="00984434" w:rsidRPr="001614F0" w:rsidRDefault="00984434">
      <w:pPr>
        <w:tabs>
          <w:tab w:val="num" w:pos="567"/>
        </w:tabs>
        <w:ind w:left="567" w:hanging="567"/>
      </w:pPr>
    </w:p>
    <w:p w14:paraId="3C1FAB03" w14:textId="456A2D5E" w:rsidR="002C6D9E" w:rsidRPr="001614F0" w:rsidRDefault="00D04D99">
      <w:pPr>
        <w:pStyle w:val="NUM1"/>
        <w:tabs>
          <w:tab w:val="clear" w:pos="720"/>
          <w:tab w:val="num" w:pos="567"/>
        </w:tabs>
        <w:ind w:left="567" w:hanging="567"/>
        <w:rPr>
          <w:color w:val="000000"/>
        </w:rPr>
      </w:pPr>
      <w:r w:rsidRPr="001614F0">
        <w:rPr>
          <w:bCs/>
          <w:spacing w:val="-3"/>
        </w:rPr>
        <w:t xml:space="preserve">At the time that this action was instituted, Ms Dlamini was a minor and the action was instituted on her behalf by </w:t>
      </w:r>
      <w:r w:rsidR="00C9243C" w:rsidRPr="001614F0">
        <w:rPr>
          <w:bCs/>
          <w:spacing w:val="-3"/>
        </w:rPr>
        <w:t xml:space="preserve">her mother as </w:t>
      </w:r>
      <w:r w:rsidRPr="001614F0">
        <w:rPr>
          <w:bCs/>
          <w:spacing w:val="-3"/>
        </w:rPr>
        <w:t>nominal plaintiff.</w:t>
      </w:r>
      <w:r w:rsidR="006602EA" w:rsidRPr="001614F0">
        <w:rPr>
          <w:bCs/>
          <w:spacing w:val="-3"/>
        </w:rPr>
        <w:t xml:space="preserve"> </w:t>
      </w:r>
      <w:r w:rsidR="001C2E7A" w:rsidRPr="001614F0">
        <w:rPr>
          <w:bCs/>
          <w:spacing w:val="-3"/>
        </w:rPr>
        <w:t xml:space="preserve"> Ms Dlamini was substituted </w:t>
      </w:r>
      <w:r w:rsidR="001C2E7A" w:rsidRPr="001614F0">
        <w:rPr>
          <w:color w:val="000000"/>
        </w:rPr>
        <w:t>as the plaintiff on 23 March 2020</w:t>
      </w:r>
      <w:r w:rsidR="006602EA" w:rsidRPr="001614F0">
        <w:rPr>
          <w:color w:val="000000"/>
        </w:rPr>
        <w:t xml:space="preserve">. </w:t>
      </w:r>
    </w:p>
    <w:p w14:paraId="73CD6D9F" w14:textId="1384B4F4" w:rsidR="00F67D61" w:rsidRPr="001614F0" w:rsidRDefault="00F67D61">
      <w:pPr>
        <w:pStyle w:val="Header"/>
        <w:tabs>
          <w:tab w:val="clear" w:pos="4320"/>
          <w:tab w:val="clear" w:pos="8640"/>
          <w:tab w:val="left" w:pos="-142"/>
        </w:tabs>
        <w:outlineLvl w:val="0"/>
        <w:rPr>
          <w:b w:val="0"/>
        </w:rPr>
      </w:pPr>
    </w:p>
    <w:p w14:paraId="285A428C" w14:textId="30379853" w:rsidR="006F1A3C" w:rsidRPr="001614F0" w:rsidRDefault="006F1A3C">
      <w:pPr>
        <w:pStyle w:val="NUM1"/>
        <w:tabs>
          <w:tab w:val="clear" w:pos="720"/>
          <w:tab w:val="num" w:pos="567"/>
        </w:tabs>
        <w:ind w:left="567" w:hanging="567"/>
      </w:pPr>
      <w:r w:rsidRPr="001614F0">
        <w:t>The facts concerning the collision</w:t>
      </w:r>
      <w:r w:rsidR="00C9243C" w:rsidRPr="001614F0">
        <w:t>,</w:t>
      </w:r>
      <w:r w:rsidRPr="001614F0">
        <w:t xml:space="preserve"> the immediate aftermath </w:t>
      </w:r>
      <w:r w:rsidR="00C9243C" w:rsidRPr="001614F0">
        <w:t xml:space="preserve">and </w:t>
      </w:r>
      <w:r w:rsidR="00C9243C" w:rsidRPr="001614F0">
        <w:rPr>
          <w:i/>
          <w:iCs/>
        </w:rPr>
        <w:t>sequalae</w:t>
      </w:r>
      <w:r w:rsidR="00C9243C" w:rsidRPr="001614F0">
        <w:t xml:space="preserve"> </w:t>
      </w:r>
      <w:r w:rsidRPr="001614F0">
        <w:t>are</w:t>
      </w:r>
      <w:r w:rsidR="00A54613" w:rsidRPr="001614F0">
        <w:t xml:space="preserve"> common cause</w:t>
      </w:r>
      <w:r w:rsidRPr="001614F0">
        <w:t xml:space="preserve">. </w:t>
      </w:r>
    </w:p>
    <w:p w14:paraId="0898FC33" w14:textId="77777777" w:rsidR="006F1A3C" w:rsidRPr="001614F0" w:rsidRDefault="006F1A3C">
      <w:pPr>
        <w:tabs>
          <w:tab w:val="num" w:pos="567"/>
        </w:tabs>
        <w:ind w:left="567" w:hanging="567"/>
      </w:pPr>
    </w:p>
    <w:p w14:paraId="651EB8F9" w14:textId="61AF2D40" w:rsidR="00870A5A" w:rsidRPr="001614F0" w:rsidRDefault="006F1A3C">
      <w:pPr>
        <w:pStyle w:val="NUM1"/>
        <w:tabs>
          <w:tab w:val="clear" w:pos="720"/>
          <w:tab w:val="num" w:pos="567"/>
        </w:tabs>
        <w:ind w:left="567" w:hanging="567"/>
      </w:pPr>
      <w:r w:rsidRPr="001614F0">
        <w:lastRenderedPageBreak/>
        <w:t xml:space="preserve">At approximately 07h15 on </w:t>
      </w:r>
      <w:r w:rsidR="00A54613" w:rsidRPr="001614F0">
        <w:t xml:space="preserve">14 February 2018, and </w:t>
      </w:r>
      <w:r w:rsidR="00B2303C" w:rsidRPr="001614F0">
        <w:t>at</w:t>
      </w:r>
      <w:r w:rsidR="00A54613" w:rsidRPr="001614F0">
        <w:t xml:space="preserve"> the corner of Koma and Elias</w:t>
      </w:r>
      <w:r w:rsidR="00B2303C" w:rsidRPr="001614F0">
        <w:t xml:space="preserve"> Roads</w:t>
      </w:r>
      <w:r w:rsidR="00A54613" w:rsidRPr="001614F0">
        <w:t xml:space="preserve">, Johannesburg, a collision occurred between an unknown vehicle and a </w:t>
      </w:r>
      <w:r w:rsidR="00D94FD1" w:rsidRPr="001614F0">
        <w:t>minibus taxi</w:t>
      </w:r>
      <w:r w:rsidR="00A54613" w:rsidRPr="001614F0">
        <w:t xml:space="preserve"> in which </w:t>
      </w:r>
      <w:r w:rsidR="001C2E7A" w:rsidRPr="001614F0">
        <w:t>the plaintiff</w:t>
      </w:r>
      <w:r w:rsidR="00A54613" w:rsidRPr="001614F0">
        <w:t xml:space="preserve"> was a passenger.</w:t>
      </w:r>
      <w:r w:rsidR="00B2303C" w:rsidRPr="001614F0">
        <w:t xml:space="preserve"> </w:t>
      </w:r>
      <w:r w:rsidR="00DF3946" w:rsidRPr="001614F0">
        <w:t xml:space="preserve"> </w:t>
      </w:r>
      <w:r w:rsidR="00D56F57" w:rsidRPr="001614F0">
        <w:t xml:space="preserve">The minibus taxi </w:t>
      </w:r>
      <w:r w:rsidR="00936B14">
        <w:t>in which the plaintiff was travelling</w:t>
      </w:r>
      <w:r w:rsidR="00936B14" w:rsidRPr="001614F0">
        <w:t xml:space="preserve"> </w:t>
      </w:r>
      <w:r w:rsidR="00D56F57" w:rsidRPr="001614F0">
        <w:t>was hit from behind.</w:t>
      </w:r>
      <w:r w:rsidR="00DF3946" w:rsidRPr="001614F0">
        <w:t xml:space="preserve"> </w:t>
      </w:r>
      <w:r w:rsidR="00D56F57" w:rsidRPr="001614F0">
        <w:t xml:space="preserve"> The identity of the </w:t>
      </w:r>
      <w:r w:rsidR="00413717">
        <w:t xml:space="preserve">driver of the </w:t>
      </w:r>
      <w:r w:rsidR="00D56F57" w:rsidRPr="001614F0">
        <w:t>vehicle that collided with the minibus taxi</w:t>
      </w:r>
      <w:r w:rsidR="00864624">
        <w:t xml:space="preserve"> </w:t>
      </w:r>
      <w:r w:rsidR="00D56F57" w:rsidRPr="001614F0">
        <w:t xml:space="preserve">is unknown. </w:t>
      </w:r>
      <w:r w:rsidR="00B2303C" w:rsidRPr="001614F0">
        <w:t xml:space="preserve"> The plaintiff was 16</w:t>
      </w:r>
      <w:r w:rsidR="000221FA">
        <w:t> </w:t>
      </w:r>
      <w:r w:rsidR="00B2303C" w:rsidRPr="001614F0">
        <w:t>years old at the time.</w:t>
      </w:r>
      <w:r w:rsidR="00D56F57" w:rsidRPr="001614F0">
        <w:t xml:space="preserve">  She is now 20 years old.</w:t>
      </w:r>
      <w:r w:rsidR="00DF3946" w:rsidRPr="001614F0">
        <w:t xml:space="preserve"> </w:t>
      </w:r>
    </w:p>
    <w:p w14:paraId="3210E11F" w14:textId="4C993715" w:rsidR="00A54613" w:rsidRPr="001614F0" w:rsidRDefault="00A54613">
      <w:pPr>
        <w:tabs>
          <w:tab w:val="num" w:pos="567"/>
        </w:tabs>
        <w:ind w:left="567" w:hanging="567"/>
      </w:pPr>
    </w:p>
    <w:p w14:paraId="0917D504" w14:textId="32DC3059" w:rsidR="00073D27" w:rsidRDefault="00A54613">
      <w:pPr>
        <w:pStyle w:val="NUM1"/>
        <w:tabs>
          <w:tab w:val="clear" w:pos="720"/>
          <w:tab w:val="num" w:pos="567"/>
        </w:tabs>
        <w:ind w:left="567" w:hanging="567"/>
      </w:pPr>
      <w:r w:rsidRPr="001614F0">
        <w:t xml:space="preserve">As a result of the collision, </w:t>
      </w:r>
      <w:r w:rsidR="001C2E7A" w:rsidRPr="001614F0">
        <w:t>the plaintiff</w:t>
      </w:r>
      <w:r w:rsidRPr="001614F0">
        <w:t xml:space="preserve"> suffered, </w:t>
      </w:r>
      <w:r w:rsidRPr="001614F0">
        <w:rPr>
          <w:i/>
          <w:iCs/>
        </w:rPr>
        <w:t>inter alia</w:t>
      </w:r>
      <w:r w:rsidRPr="001614F0">
        <w:t>, a traumatic head injury</w:t>
      </w:r>
      <w:r w:rsidR="00D56F57" w:rsidRPr="001614F0">
        <w:t xml:space="preserve"> </w:t>
      </w:r>
      <w:r w:rsidR="009D39AD">
        <w:t>from</w:t>
      </w:r>
      <w:r w:rsidR="00D56F57" w:rsidRPr="001614F0">
        <w:t xml:space="preserve"> her head</w:t>
      </w:r>
      <w:r w:rsidR="009D39AD">
        <w:t xml:space="preserve"> being hit</w:t>
      </w:r>
      <w:r w:rsidR="00936B14">
        <w:t>ting</w:t>
      </w:r>
      <w:r w:rsidR="00D56F57" w:rsidRPr="001614F0">
        <w:t xml:space="preserve"> the seat in front of her</w:t>
      </w:r>
      <w:r w:rsidRPr="001614F0">
        <w:t>.</w:t>
      </w:r>
      <w:r w:rsidR="00DF3946" w:rsidRPr="001614F0">
        <w:t xml:space="preserve"> </w:t>
      </w:r>
      <w:r w:rsidRPr="001614F0">
        <w:t xml:space="preserve"> She was </w:t>
      </w:r>
      <w:r w:rsidR="00D94FD1" w:rsidRPr="001614F0">
        <w:t>rendered</w:t>
      </w:r>
      <w:r w:rsidRPr="001614F0">
        <w:t xml:space="preserve"> unconscious </w:t>
      </w:r>
      <w:r w:rsidR="00D94FD1" w:rsidRPr="001614F0">
        <w:t>for 1 to 2 hours, suffered an epileptic seizure</w:t>
      </w:r>
      <w:r w:rsidR="00DF3946" w:rsidRPr="001614F0">
        <w:t>,</w:t>
      </w:r>
      <w:r w:rsidR="00D94FD1" w:rsidRPr="001614F0">
        <w:t xml:space="preserve"> </w:t>
      </w:r>
      <w:r w:rsidRPr="001614F0">
        <w:t>and</w:t>
      </w:r>
      <w:r w:rsidR="00936B14">
        <w:t xml:space="preserve"> was</w:t>
      </w:r>
      <w:r w:rsidRPr="001614F0">
        <w:t xml:space="preserve"> transported to </w:t>
      </w:r>
      <w:r w:rsidR="00910D6F" w:rsidRPr="001614F0">
        <w:rPr>
          <w:color w:val="000000"/>
        </w:rPr>
        <w:t>Bheki Mlangeni</w:t>
      </w:r>
      <w:r w:rsidRPr="001614F0">
        <w:t xml:space="preserve"> hospital where she was </w:t>
      </w:r>
      <w:r w:rsidR="00D94FD1" w:rsidRPr="001614F0">
        <w:t>examined</w:t>
      </w:r>
      <w:r w:rsidR="000221FA">
        <w:t>.  The plaintiff</w:t>
      </w:r>
      <w:r w:rsidR="00D94FD1" w:rsidRPr="001614F0">
        <w:t xml:space="preserve"> </w:t>
      </w:r>
      <w:r w:rsidR="000221FA">
        <w:t>was</w:t>
      </w:r>
      <w:r w:rsidRPr="001614F0">
        <w:t xml:space="preserve"> later transferred to </w:t>
      </w:r>
      <w:r w:rsidR="0083606B" w:rsidRPr="001614F0">
        <w:t xml:space="preserve">Baragwanath </w:t>
      </w:r>
      <w:r w:rsidR="00B2303C" w:rsidRPr="001614F0">
        <w:t>h</w:t>
      </w:r>
      <w:r w:rsidR="0083606B" w:rsidRPr="001614F0">
        <w:t>ospital where she was treated for a further day.</w:t>
      </w:r>
      <w:r w:rsidR="00E7711D" w:rsidRPr="001614F0">
        <w:t xml:space="preserve"> </w:t>
      </w:r>
    </w:p>
    <w:p w14:paraId="0D1F4DD6" w14:textId="77777777" w:rsidR="00073D27" w:rsidRPr="00073D27" w:rsidRDefault="00073D27" w:rsidP="00073D27"/>
    <w:p w14:paraId="2CE2EBC9" w14:textId="4369F949" w:rsidR="00A54613" w:rsidRPr="001614F0" w:rsidRDefault="00E7711D">
      <w:pPr>
        <w:pStyle w:val="NUM1"/>
        <w:tabs>
          <w:tab w:val="clear" w:pos="720"/>
          <w:tab w:val="num" w:pos="567"/>
        </w:tabs>
        <w:ind w:left="567" w:hanging="567"/>
      </w:pPr>
      <w:r w:rsidRPr="001614F0">
        <w:t>The plaintiff has no recollection of the accident.</w:t>
      </w:r>
      <w:r w:rsidR="00DF3946" w:rsidRPr="001614F0">
        <w:t xml:space="preserve"> </w:t>
      </w:r>
      <w:r w:rsidRPr="001614F0">
        <w:t xml:space="preserve"> She was told that </w:t>
      </w:r>
      <w:r w:rsidR="00DF3946" w:rsidRPr="001614F0">
        <w:t xml:space="preserve">she </w:t>
      </w:r>
      <w:r w:rsidRPr="001614F0">
        <w:t xml:space="preserve">was found convulsing and frothing from the mouth </w:t>
      </w:r>
      <w:r w:rsidR="00936B14">
        <w:t>at the scene of</w:t>
      </w:r>
      <w:r w:rsidR="00D56F57" w:rsidRPr="001614F0">
        <w:t xml:space="preserve"> </w:t>
      </w:r>
      <w:r w:rsidRPr="001614F0">
        <w:t>the collision.</w:t>
      </w:r>
      <w:r w:rsidR="00DF3946" w:rsidRPr="001614F0">
        <w:t xml:space="preserve"> </w:t>
      </w:r>
    </w:p>
    <w:p w14:paraId="701E0C1B" w14:textId="4BC34B63" w:rsidR="0083606B" w:rsidRPr="001614F0" w:rsidRDefault="0083606B"/>
    <w:p w14:paraId="748008BE" w14:textId="5FDB7819" w:rsidR="00D94FD1" w:rsidRPr="001614F0" w:rsidRDefault="00E7711D">
      <w:pPr>
        <w:pStyle w:val="NUM1"/>
        <w:tabs>
          <w:tab w:val="clear" w:pos="720"/>
          <w:tab w:val="num" w:pos="567"/>
        </w:tabs>
        <w:ind w:left="567" w:hanging="567"/>
      </w:pPr>
      <w:r w:rsidRPr="001614F0">
        <w:t>Four days later, the plaintiff was again admitted to Baragwanath hospital following another epileptic seizure.  She was again admitted on 27</w:t>
      </w:r>
      <w:r w:rsidR="00DF3946" w:rsidRPr="001614F0">
        <w:t> </w:t>
      </w:r>
      <w:r w:rsidRPr="001614F0">
        <w:t>April 2018 following a further epileptic seizure.  As a result, investigations were undertaken and a diagnosis of generalised tonic-chronic epilep</w:t>
      </w:r>
      <w:r w:rsidR="005B51E1" w:rsidRPr="001614F0">
        <w:t>tic seizures</w:t>
      </w:r>
      <w:r w:rsidRPr="001614F0">
        <w:t xml:space="preserve"> was </w:t>
      </w:r>
      <w:r w:rsidR="005B51E1" w:rsidRPr="001614F0">
        <w:t>made</w:t>
      </w:r>
      <w:r w:rsidRPr="001614F0">
        <w:t>.</w:t>
      </w:r>
      <w:r w:rsidR="00DF3946" w:rsidRPr="001614F0">
        <w:t xml:space="preserve"> </w:t>
      </w:r>
    </w:p>
    <w:p w14:paraId="7850413E" w14:textId="77777777" w:rsidR="00E7711D" w:rsidRPr="001614F0" w:rsidRDefault="00E7711D"/>
    <w:p w14:paraId="7B8B4CEA" w14:textId="05E39103" w:rsidR="00984434" w:rsidRPr="001614F0" w:rsidRDefault="001C2E7A">
      <w:pPr>
        <w:pStyle w:val="NUM1"/>
        <w:tabs>
          <w:tab w:val="clear" w:pos="720"/>
          <w:tab w:val="num" w:pos="567"/>
        </w:tabs>
        <w:ind w:left="567" w:hanging="567"/>
      </w:pPr>
      <w:r w:rsidRPr="001614F0">
        <w:t>The plaintiff</w:t>
      </w:r>
      <w:r w:rsidR="0083606B" w:rsidRPr="001614F0">
        <w:t xml:space="preserve"> </w:t>
      </w:r>
      <w:r w:rsidR="00B944BE">
        <w:t xml:space="preserve">now </w:t>
      </w:r>
      <w:r w:rsidR="0083606B" w:rsidRPr="001614F0">
        <w:t>suffer</w:t>
      </w:r>
      <w:r w:rsidR="000E3205" w:rsidRPr="001614F0">
        <w:t>s</w:t>
      </w:r>
      <w:r w:rsidR="00B944BE">
        <w:t xml:space="preserve"> </w:t>
      </w:r>
      <w:r w:rsidR="0083606B" w:rsidRPr="001614F0">
        <w:t>from epileptic seizures of varying intensities on a</w:t>
      </w:r>
      <w:r w:rsidR="00B17CBA">
        <w:t>n almost</w:t>
      </w:r>
      <w:r w:rsidR="0083606B" w:rsidRPr="001614F0">
        <w:t xml:space="preserve"> daily basis.</w:t>
      </w:r>
      <w:r w:rsidR="00910D6F" w:rsidRPr="001614F0">
        <w:t xml:space="preserve">  The </w:t>
      </w:r>
      <w:r w:rsidR="00B944BE">
        <w:t xml:space="preserve">plaintiff’s </w:t>
      </w:r>
      <w:r w:rsidR="00910D6F" w:rsidRPr="001614F0">
        <w:t>epilepsy is treated with a drug known as Epilim which is administered twice a day.</w:t>
      </w:r>
      <w:r w:rsidR="0083606B" w:rsidRPr="001614F0">
        <w:t xml:space="preserve"> </w:t>
      </w:r>
    </w:p>
    <w:p w14:paraId="267DE58B" w14:textId="77777777" w:rsidR="00984434" w:rsidRPr="001614F0" w:rsidRDefault="00984434">
      <w:pPr>
        <w:tabs>
          <w:tab w:val="num" w:pos="567"/>
        </w:tabs>
        <w:ind w:left="567" w:hanging="567"/>
      </w:pPr>
    </w:p>
    <w:p w14:paraId="78900064" w14:textId="019B5005" w:rsidR="00984434" w:rsidRPr="001614F0" w:rsidRDefault="0083606B">
      <w:pPr>
        <w:pStyle w:val="NUM1"/>
        <w:tabs>
          <w:tab w:val="clear" w:pos="720"/>
          <w:tab w:val="num" w:pos="567"/>
        </w:tabs>
        <w:ind w:left="567" w:hanging="567"/>
      </w:pPr>
      <w:r w:rsidRPr="001614F0">
        <w:lastRenderedPageBreak/>
        <w:t xml:space="preserve">Together with these epileptic episodes, </w:t>
      </w:r>
      <w:r w:rsidR="00910D6F" w:rsidRPr="001614F0">
        <w:t>the plaintiff</w:t>
      </w:r>
      <w:r w:rsidRPr="001614F0">
        <w:t xml:space="preserve"> suffers severe depression and has resorted to self</w:t>
      </w:r>
      <w:r w:rsidRPr="001614F0">
        <w:noBreakHyphen/>
        <w:t xml:space="preserve">harming. </w:t>
      </w:r>
      <w:r w:rsidR="00910D6F" w:rsidRPr="001614F0">
        <w:t xml:space="preserve"> </w:t>
      </w:r>
      <w:r w:rsidRPr="001614F0">
        <w:t xml:space="preserve">She </w:t>
      </w:r>
      <w:r w:rsidR="00C9243C" w:rsidRPr="001614F0">
        <w:t>is suicidal</w:t>
      </w:r>
      <w:r w:rsidRPr="001614F0">
        <w:t xml:space="preserve"> and has attempted suicide at least once. </w:t>
      </w:r>
    </w:p>
    <w:p w14:paraId="1287B8D1" w14:textId="77777777" w:rsidR="00984434" w:rsidRPr="001614F0" w:rsidRDefault="00984434">
      <w:pPr>
        <w:tabs>
          <w:tab w:val="num" w:pos="567"/>
        </w:tabs>
        <w:ind w:left="567" w:hanging="567"/>
      </w:pPr>
    </w:p>
    <w:p w14:paraId="0C5911E9" w14:textId="3E5989BD" w:rsidR="00984434" w:rsidRPr="001614F0" w:rsidRDefault="00910D6F">
      <w:pPr>
        <w:pStyle w:val="NUM1"/>
        <w:tabs>
          <w:tab w:val="clear" w:pos="720"/>
          <w:tab w:val="num" w:pos="567"/>
        </w:tabs>
        <w:ind w:left="567" w:hanging="567"/>
      </w:pPr>
      <w:r w:rsidRPr="001614F0">
        <w:t xml:space="preserve">The plaintiff is not receiving treatment for her depression at present. </w:t>
      </w:r>
    </w:p>
    <w:p w14:paraId="2EBD7C67" w14:textId="77777777" w:rsidR="00984434" w:rsidRPr="001614F0" w:rsidRDefault="00984434">
      <w:pPr>
        <w:tabs>
          <w:tab w:val="num" w:pos="567"/>
        </w:tabs>
        <w:ind w:left="567" w:hanging="567"/>
      </w:pPr>
    </w:p>
    <w:p w14:paraId="3729AD09" w14:textId="37C2838D" w:rsidR="00C9243C" w:rsidRPr="001614F0" w:rsidRDefault="00910D6F" w:rsidP="00610B30">
      <w:pPr>
        <w:pStyle w:val="NUM1"/>
        <w:tabs>
          <w:tab w:val="clear" w:pos="720"/>
          <w:tab w:val="num" w:pos="567"/>
        </w:tabs>
        <w:ind w:left="567" w:hanging="567"/>
      </w:pPr>
      <w:r w:rsidRPr="001614F0">
        <w:t xml:space="preserve">The plaintiff also complains of back pain and headaches which </w:t>
      </w:r>
      <w:r w:rsidR="001B399C" w:rsidRPr="001614F0">
        <w:t xml:space="preserve">are </w:t>
      </w:r>
      <w:r w:rsidRPr="001614F0">
        <w:t>treated with over</w:t>
      </w:r>
      <w:r w:rsidR="00B17CBA">
        <w:t>-</w:t>
      </w:r>
      <w:r w:rsidRPr="001614F0">
        <w:t>the</w:t>
      </w:r>
      <w:r w:rsidR="00B17CBA">
        <w:t>-</w:t>
      </w:r>
      <w:r w:rsidRPr="001614F0">
        <w:t>counter analgesics.</w:t>
      </w:r>
      <w:r w:rsidR="001B399C" w:rsidRPr="001614F0">
        <w:t xml:space="preserve"> </w:t>
      </w:r>
    </w:p>
    <w:p w14:paraId="1D07EDDA" w14:textId="77777777" w:rsidR="00C9243C" w:rsidRPr="001614F0" w:rsidRDefault="00C9243C">
      <w:pPr>
        <w:tabs>
          <w:tab w:val="num" w:pos="567"/>
        </w:tabs>
        <w:ind w:left="567" w:hanging="567"/>
      </w:pPr>
    </w:p>
    <w:p w14:paraId="5F68DA3B" w14:textId="154B10B3" w:rsidR="008D3906" w:rsidRPr="001614F0" w:rsidRDefault="008D3906">
      <w:pPr>
        <w:pStyle w:val="NUM1"/>
        <w:tabs>
          <w:tab w:val="clear" w:pos="720"/>
          <w:tab w:val="num" w:pos="567"/>
        </w:tabs>
        <w:ind w:left="567" w:hanging="567"/>
        <w:rPr>
          <w:color w:val="000000"/>
        </w:rPr>
      </w:pPr>
      <w:r w:rsidRPr="001614F0">
        <w:rPr>
          <w:color w:val="000000"/>
        </w:rPr>
        <w:t>The plaintiff’s injuries are serious injuries that entitle her to an award of general damages</w:t>
      </w:r>
      <w:r w:rsidR="00B91CEC" w:rsidRPr="001614F0">
        <w:rPr>
          <w:color w:val="000000"/>
        </w:rPr>
        <w:t>.</w:t>
      </w:r>
      <w:r w:rsidR="00865651" w:rsidRPr="001614F0">
        <w:rPr>
          <w:color w:val="000000"/>
        </w:rPr>
        <w:t xml:space="preserve"> </w:t>
      </w:r>
      <w:r w:rsidR="00B91CEC" w:rsidRPr="001614F0">
        <w:rPr>
          <w:color w:val="000000"/>
        </w:rPr>
        <w:t xml:space="preserve"> The injuries</w:t>
      </w:r>
      <w:r w:rsidR="00984434" w:rsidRPr="001614F0">
        <w:rPr>
          <w:color w:val="000000"/>
        </w:rPr>
        <w:t xml:space="preserve"> sustained by the plaintiff</w:t>
      </w:r>
      <w:r w:rsidRPr="001614F0">
        <w:rPr>
          <w:color w:val="000000"/>
        </w:rPr>
        <w:t xml:space="preserve"> have a detrimental effect on her ability to</w:t>
      </w:r>
      <w:r w:rsidR="00952897" w:rsidRPr="001614F0">
        <w:rPr>
          <w:color w:val="000000"/>
        </w:rPr>
        <w:t xml:space="preserve"> acquire tertiary qualifications</w:t>
      </w:r>
      <w:r w:rsidR="00865651" w:rsidRPr="001614F0">
        <w:rPr>
          <w:color w:val="000000"/>
        </w:rPr>
        <w:t>,</w:t>
      </w:r>
      <w:r w:rsidRPr="001614F0">
        <w:rPr>
          <w:color w:val="000000"/>
        </w:rPr>
        <w:t xml:space="preserve"> and</w:t>
      </w:r>
      <w:r w:rsidR="00984434" w:rsidRPr="001614F0">
        <w:rPr>
          <w:color w:val="000000"/>
        </w:rPr>
        <w:t xml:space="preserve"> severely </w:t>
      </w:r>
      <w:r w:rsidR="00641726">
        <w:rPr>
          <w:color w:val="000000"/>
        </w:rPr>
        <w:t>limit</w:t>
      </w:r>
      <w:r w:rsidRPr="001614F0">
        <w:rPr>
          <w:color w:val="000000"/>
        </w:rPr>
        <w:t xml:space="preserve"> her employment prospects</w:t>
      </w:r>
      <w:r w:rsidR="00B91CEC" w:rsidRPr="001614F0">
        <w:rPr>
          <w:color w:val="000000"/>
        </w:rPr>
        <w:t>.</w:t>
      </w:r>
      <w:r w:rsidR="00865651" w:rsidRPr="001614F0">
        <w:rPr>
          <w:color w:val="000000"/>
        </w:rPr>
        <w:t xml:space="preserve"> </w:t>
      </w:r>
    </w:p>
    <w:p w14:paraId="68925D0A" w14:textId="77777777" w:rsidR="00B91CEC" w:rsidRPr="001614F0" w:rsidRDefault="00B91CEC"/>
    <w:p w14:paraId="5170CC21" w14:textId="3F29CF9F" w:rsidR="001C2E7A" w:rsidRPr="001614F0" w:rsidRDefault="001C2E7A">
      <w:pPr>
        <w:pStyle w:val="NUM1"/>
        <w:tabs>
          <w:tab w:val="clear" w:pos="720"/>
          <w:tab w:val="num" w:pos="567"/>
        </w:tabs>
        <w:ind w:left="567" w:hanging="567"/>
      </w:pPr>
      <w:r w:rsidRPr="001614F0">
        <w:t>On 26 March 2019</w:t>
      </w:r>
      <w:r w:rsidR="00865651" w:rsidRPr="001614F0">
        <w:t>,</w:t>
      </w:r>
      <w:r w:rsidRPr="001614F0">
        <w:t xml:space="preserve"> the defendant conceded liability for any damages that the plaintiff may prove.</w:t>
      </w:r>
      <w:r w:rsidR="00865651" w:rsidRPr="001614F0">
        <w:t xml:space="preserve"> </w:t>
      </w:r>
    </w:p>
    <w:p w14:paraId="77B18240" w14:textId="77777777" w:rsidR="001C2E7A" w:rsidRPr="001614F0" w:rsidRDefault="001C2E7A">
      <w:pPr>
        <w:tabs>
          <w:tab w:val="num" w:pos="567"/>
        </w:tabs>
        <w:ind w:left="567" w:hanging="567"/>
      </w:pPr>
    </w:p>
    <w:p w14:paraId="1369FD7E" w14:textId="63A42B17" w:rsidR="0042189D" w:rsidRPr="00A30E99" w:rsidRDefault="00B91CEC">
      <w:pPr>
        <w:pStyle w:val="NUM1"/>
        <w:tabs>
          <w:tab w:val="clear" w:pos="720"/>
          <w:tab w:val="num" w:pos="567"/>
        </w:tabs>
        <w:ind w:left="567" w:hanging="567"/>
      </w:pPr>
      <w:r w:rsidRPr="001614F0">
        <w:t>On 26 July 2022</w:t>
      </w:r>
      <w:r w:rsidR="00865651" w:rsidRPr="001614F0">
        <w:t>,</w:t>
      </w:r>
      <w:r w:rsidRPr="001614F0">
        <w:t xml:space="preserve"> </w:t>
      </w:r>
      <w:r w:rsidR="004253C0" w:rsidRPr="001614F0">
        <w:t>t</w:t>
      </w:r>
      <w:r w:rsidR="00C9243C" w:rsidRPr="001614F0">
        <w:t xml:space="preserve">he parties </w:t>
      </w:r>
      <w:r w:rsidR="00073D27">
        <w:t xml:space="preserve">also </w:t>
      </w:r>
      <w:r w:rsidR="00C9243C" w:rsidRPr="001614F0">
        <w:t>settled the</w:t>
      </w:r>
      <w:r w:rsidR="00073D27">
        <w:t xml:space="preserve"> plaintiff’s</w:t>
      </w:r>
      <w:r w:rsidR="00C9243C" w:rsidRPr="001614F0">
        <w:t xml:space="preserve"> claim for general damages</w:t>
      </w:r>
      <w:r w:rsidR="008D3906" w:rsidRPr="001614F0">
        <w:t xml:space="preserve"> in an amount of R750 000.00, an amount that is reasonable in the circumstances</w:t>
      </w:r>
      <w:r w:rsidR="00073D27">
        <w:t xml:space="preserve"> of this case</w:t>
      </w:r>
      <w:r w:rsidR="008D3906" w:rsidRPr="001614F0">
        <w:t>.</w:t>
      </w:r>
      <w:r w:rsidR="008D3906" w:rsidRPr="004B29ED">
        <w:rPr>
          <w:rStyle w:val="FootnoteReference"/>
          <w:sz w:val="24"/>
        </w:rPr>
        <w:footnoteReference w:id="1"/>
      </w:r>
      <w:r w:rsidR="008D3906" w:rsidRPr="001614F0">
        <w:t xml:space="preserve"> </w:t>
      </w:r>
    </w:p>
    <w:p w14:paraId="66BC8E46" w14:textId="77777777" w:rsidR="0042189D" w:rsidRPr="001614F0" w:rsidRDefault="0042189D">
      <w:pPr>
        <w:tabs>
          <w:tab w:val="num" w:pos="567"/>
        </w:tabs>
        <w:ind w:left="567" w:hanging="567"/>
      </w:pPr>
    </w:p>
    <w:p w14:paraId="2F26AEE4" w14:textId="4E6E634E" w:rsidR="00C9243C" w:rsidRPr="001614F0" w:rsidRDefault="008D3906">
      <w:pPr>
        <w:pStyle w:val="NUM1"/>
        <w:tabs>
          <w:tab w:val="clear" w:pos="720"/>
          <w:tab w:val="num" w:pos="567"/>
        </w:tabs>
        <w:ind w:left="567" w:hanging="567"/>
      </w:pPr>
      <w:r w:rsidRPr="001614F0">
        <w:t xml:space="preserve">There is no claim for </w:t>
      </w:r>
      <w:r w:rsidR="001C2E7A" w:rsidRPr="001614F0">
        <w:t>past and future medical expenses</w:t>
      </w:r>
      <w:r w:rsidR="006767C6" w:rsidRPr="001614F0">
        <w:t>,</w:t>
      </w:r>
      <w:r w:rsidR="001C2E7A" w:rsidRPr="001614F0">
        <w:t xml:space="preserve"> </w:t>
      </w:r>
      <w:r w:rsidRPr="001614F0">
        <w:t xml:space="preserve">given that the plaintiff’s historical treatment was received, but for three incidents, at State facilities.  The </w:t>
      </w:r>
      <w:r w:rsidRPr="001614F0">
        <w:lastRenderedPageBreak/>
        <w:t>defendant</w:t>
      </w:r>
      <w:r w:rsidR="00984434" w:rsidRPr="001614F0">
        <w:t xml:space="preserve"> has undertaken to</w:t>
      </w:r>
      <w:r w:rsidRPr="001614F0">
        <w:t xml:space="preserve"> furnish</w:t>
      </w:r>
      <w:r w:rsidR="00984434" w:rsidRPr="001614F0">
        <w:t xml:space="preserve"> </w:t>
      </w:r>
      <w:r w:rsidR="00B91CEC" w:rsidRPr="001614F0">
        <w:t>an undertaking for the plaintiff’s future medical expenses.</w:t>
      </w:r>
      <w:r w:rsidR="00483173" w:rsidRPr="001614F0">
        <w:t xml:space="preserve"> </w:t>
      </w:r>
    </w:p>
    <w:p w14:paraId="7F383720" w14:textId="77777777" w:rsidR="001C2E7A" w:rsidRPr="001614F0" w:rsidRDefault="001C2E7A"/>
    <w:p w14:paraId="1DC915CA" w14:textId="5610CC80" w:rsidR="003712EA" w:rsidRPr="001614F0" w:rsidRDefault="003712EA">
      <w:pPr>
        <w:pStyle w:val="NUM1"/>
        <w:tabs>
          <w:tab w:val="clear" w:pos="720"/>
          <w:tab w:val="num" w:pos="567"/>
        </w:tabs>
        <w:ind w:left="567" w:hanging="567"/>
      </w:pPr>
      <w:r w:rsidRPr="001614F0">
        <w:t>It is against this factual backdrop that I am required to determine the only issue which remains in dispute between the parties</w:t>
      </w:r>
      <w:r w:rsidR="008D54FE" w:rsidRPr="001614F0">
        <w:t>,</w:t>
      </w:r>
      <w:r w:rsidRPr="001614F0">
        <w:t xml:space="preserve"> that being </w:t>
      </w:r>
      <w:r w:rsidR="00F721F4">
        <w:t xml:space="preserve">the plaintiff’s </w:t>
      </w:r>
      <w:r w:rsidR="0013535E">
        <w:t xml:space="preserve">past and </w:t>
      </w:r>
      <w:r w:rsidRPr="001614F0">
        <w:t>future loss of income and the contingencies to be applied.</w:t>
      </w:r>
      <w:r w:rsidR="008D54FE" w:rsidRPr="001614F0">
        <w:t xml:space="preserve"> </w:t>
      </w:r>
    </w:p>
    <w:p w14:paraId="1FD35273" w14:textId="090ECD0A" w:rsidR="006905FE" w:rsidRPr="001614F0" w:rsidRDefault="006905FE">
      <w:pPr>
        <w:tabs>
          <w:tab w:val="num" w:pos="567"/>
        </w:tabs>
        <w:ind w:left="567" w:hanging="567"/>
      </w:pPr>
    </w:p>
    <w:p w14:paraId="17DCA225" w14:textId="16195AF2" w:rsidR="006905FE" w:rsidRPr="001614F0" w:rsidRDefault="006905FE">
      <w:pPr>
        <w:keepNext/>
        <w:tabs>
          <w:tab w:val="num" w:pos="567"/>
        </w:tabs>
        <w:ind w:left="567" w:hanging="567"/>
        <w:rPr>
          <w:b/>
          <w:bCs/>
          <w:u w:val="single"/>
        </w:rPr>
      </w:pPr>
      <w:r w:rsidRPr="001614F0">
        <w:rPr>
          <w:b/>
          <w:bCs/>
          <w:u w:val="single"/>
        </w:rPr>
        <w:t xml:space="preserve">The plaintiff’s </w:t>
      </w:r>
      <w:r w:rsidR="00610B30">
        <w:rPr>
          <w:b/>
          <w:bCs/>
          <w:u w:val="single"/>
        </w:rPr>
        <w:t>case</w:t>
      </w:r>
    </w:p>
    <w:p w14:paraId="3B616DB8" w14:textId="23BB089B" w:rsidR="003712EA" w:rsidRPr="001614F0" w:rsidRDefault="003712EA">
      <w:pPr>
        <w:keepNext/>
        <w:tabs>
          <w:tab w:val="num" w:pos="567"/>
        </w:tabs>
        <w:ind w:left="567" w:hanging="567"/>
      </w:pPr>
    </w:p>
    <w:p w14:paraId="20BC20E6" w14:textId="77777777" w:rsidR="00936B14" w:rsidRPr="001614F0" w:rsidRDefault="00936B14" w:rsidP="00936B14">
      <w:pPr>
        <w:pStyle w:val="NUM1"/>
        <w:tabs>
          <w:tab w:val="clear" w:pos="720"/>
          <w:tab w:val="num" w:pos="567"/>
        </w:tabs>
        <w:ind w:left="567" w:hanging="567"/>
      </w:pPr>
      <w:r w:rsidRPr="001614F0">
        <w:t xml:space="preserve">When the trial was called before me, Mr Naidoo of the State Attorney, on behalf of the defendant, indicated that he wished to cross-examine certain of the plaintiff's witnesses. </w:t>
      </w:r>
    </w:p>
    <w:p w14:paraId="6C46CFC0" w14:textId="77777777" w:rsidR="00936B14" w:rsidRPr="001614F0" w:rsidRDefault="00936B14" w:rsidP="00936B14">
      <w:pPr>
        <w:tabs>
          <w:tab w:val="num" w:pos="567"/>
        </w:tabs>
        <w:ind w:left="567" w:hanging="567"/>
      </w:pPr>
    </w:p>
    <w:p w14:paraId="1192A174" w14:textId="7575177C" w:rsidR="006905FE" w:rsidRDefault="00936B14" w:rsidP="0056586B">
      <w:pPr>
        <w:pStyle w:val="NUM1"/>
        <w:tabs>
          <w:tab w:val="clear" w:pos="720"/>
          <w:tab w:val="num" w:pos="567"/>
        </w:tabs>
        <w:ind w:left="567" w:hanging="567"/>
      </w:pPr>
      <w:r>
        <w:t>I was</w:t>
      </w:r>
      <w:r w:rsidR="0013535E">
        <w:t>, initially,</w:t>
      </w:r>
      <w:r>
        <w:t xml:space="preserve"> disinclined to allow the defendant this opportunity because of its failure to have pleaded anything more than a bare denial of the plaintiff’s case and had no witnesses to call itself.  But, </w:t>
      </w:r>
      <w:r w:rsidR="00467B06">
        <w:t>being mindful of a recent article in the South African Actuary periodical</w:t>
      </w:r>
      <w:r w:rsidR="00467B06" w:rsidRPr="00641726">
        <w:rPr>
          <w:rStyle w:val="FootnoteReference"/>
          <w:sz w:val="20"/>
          <w:szCs w:val="32"/>
        </w:rPr>
        <w:footnoteReference w:id="2"/>
      </w:r>
      <w:r w:rsidR="0013535E">
        <w:t>,</w:t>
      </w:r>
      <w:r w:rsidR="0056586B">
        <w:t xml:space="preserve"> </w:t>
      </w:r>
      <w:r w:rsidR="00413717">
        <w:t xml:space="preserve">and </w:t>
      </w:r>
      <w:r w:rsidR="0056586B">
        <w:t>as pointed out in</w:t>
      </w:r>
      <w:r>
        <w:t xml:space="preserve"> </w:t>
      </w:r>
      <w:r w:rsidRPr="00485C97">
        <w:rPr>
          <w:b/>
          <w:bCs/>
        </w:rPr>
        <w:t>Chakane</w:t>
      </w:r>
      <w:r w:rsidRPr="00641726">
        <w:rPr>
          <w:rStyle w:val="FootnoteReference"/>
          <w:sz w:val="20"/>
          <w:szCs w:val="32"/>
        </w:rPr>
        <w:footnoteReference w:id="3"/>
      </w:r>
      <w:r w:rsidR="0056586B">
        <w:t xml:space="preserve"> and, more recently, in </w:t>
      </w:r>
      <w:r w:rsidR="0056586B" w:rsidRPr="00D42069">
        <w:rPr>
          <w:b/>
          <w:bCs/>
        </w:rPr>
        <w:t>Maloney</w:t>
      </w:r>
      <w:r w:rsidR="0056586B" w:rsidRPr="00641726">
        <w:rPr>
          <w:rStyle w:val="FootnoteReference"/>
          <w:sz w:val="20"/>
          <w:szCs w:val="20"/>
        </w:rPr>
        <w:footnoteReference w:id="4"/>
      </w:r>
      <w:r w:rsidR="0056586B" w:rsidRPr="00641726">
        <w:rPr>
          <w:sz w:val="20"/>
          <w:szCs w:val="20"/>
        </w:rPr>
        <w:t>,</w:t>
      </w:r>
      <w:r w:rsidR="0056586B" w:rsidRPr="00641726">
        <w:t xml:space="preserve"> </w:t>
      </w:r>
      <w:r w:rsidR="00F721F4">
        <w:t>on the importance of the veracity of expert evidence being tested,</w:t>
      </w:r>
      <w:r w:rsidR="00F721F4" w:rsidRPr="00641726">
        <w:t xml:space="preserve"> </w:t>
      </w:r>
      <w:r w:rsidR="00467B06" w:rsidRPr="00641726">
        <w:t>I permitted</w:t>
      </w:r>
      <w:r w:rsidR="0056586B">
        <w:t xml:space="preserve"> the defendant to</w:t>
      </w:r>
      <w:r w:rsidR="00467B06" w:rsidRPr="001614F0">
        <w:t xml:space="preserve"> cross</w:t>
      </w:r>
      <w:r w:rsidR="00467B06" w:rsidRPr="001614F0">
        <w:noBreakHyphen/>
      </w:r>
      <w:r w:rsidR="0056586B" w:rsidRPr="001614F0">
        <w:t>examine</w:t>
      </w:r>
      <w:r w:rsidR="00467B06" w:rsidRPr="001614F0">
        <w:t xml:space="preserve"> </w:t>
      </w:r>
      <w:r w:rsidR="0056586B">
        <w:t xml:space="preserve">the plaintiff’s witnesses </w:t>
      </w:r>
      <w:r w:rsidR="00467B06" w:rsidRPr="001614F0">
        <w:t xml:space="preserve">on the </w:t>
      </w:r>
      <w:r w:rsidR="0056586B">
        <w:t>proviso</w:t>
      </w:r>
      <w:r w:rsidR="00467B06" w:rsidRPr="001614F0">
        <w:t xml:space="preserve"> that it </w:t>
      </w:r>
      <w:r w:rsidR="006C6A3A">
        <w:t>such cross-examination was</w:t>
      </w:r>
      <w:r w:rsidR="00467B06" w:rsidRPr="001614F0">
        <w:t xml:space="preserve"> pointedly directed at the </w:t>
      </w:r>
      <w:r w:rsidR="00F60EC0">
        <w:t>remaining</w:t>
      </w:r>
      <w:r w:rsidR="0013535E">
        <w:t xml:space="preserve"> </w:t>
      </w:r>
      <w:r w:rsidR="00467B06" w:rsidRPr="001614F0">
        <w:t>issue in the trial.</w:t>
      </w:r>
      <w:r w:rsidR="00F60EC0">
        <w:t xml:space="preserve"> </w:t>
      </w:r>
    </w:p>
    <w:p w14:paraId="154BD74A" w14:textId="77777777" w:rsidR="0056586B" w:rsidRPr="0056586B" w:rsidRDefault="0056586B" w:rsidP="0056586B"/>
    <w:p w14:paraId="50960CFB" w14:textId="22176786" w:rsidR="003712EA" w:rsidRPr="001614F0" w:rsidRDefault="003712EA">
      <w:pPr>
        <w:pStyle w:val="NUM1"/>
        <w:tabs>
          <w:tab w:val="clear" w:pos="720"/>
          <w:tab w:val="num" w:pos="567"/>
        </w:tabs>
        <w:ind w:left="567" w:hanging="567"/>
      </w:pPr>
      <w:r w:rsidRPr="001614F0">
        <w:lastRenderedPageBreak/>
        <w:t>It was agreed between</w:t>
      </w:r>
      <w:r w:rsidR="005E70C2" w:rsidRPr="001614F0">
        <w:t xml:space="preserve"> the</w:t>
      </w:r>
      <w:r w:rsidRPr="001614F0">
        <w:t xml:space="preserve"> plaintiff's counsel, Ms</w:t>
      </w:r>
      <w:r w:rsidR="005E70C2" w:rsidRPr="001614F0">
        <w:t xml:space="preserve"> v</w:t>
      </w:r>
      <w:r w:rsidRPr="001614F0">
        <w:t>an der Merwe and Mr Naidoo</w:t>
      </w:r>
      <w:r w:rsidR="005E70C2" w:rsidRPr="001614F0">
        <w:t>,</w:t>
      </w:r>
      <w:r w:rsidRPr="001614F0">
        <w:t xml:space="preserve"> that the expert reports, which had been confirmed by an affidavit, </w:t>
      </w:r>
      <w:r w:rsidR="00FB0EA2" w:rsidRPr="001614F0">
        <w:t xml:space="preserve">would and </w:t>
      </w:r>
      <w:r w:rsidR="00CF0D85">
        <w:t xml:space="preserve">did </w:t>
      </w:r>
      <w:r w:rsidR="00FB0EA2" w:rsidRPr="001614F0">
        <w:t>stand as their evidence</w:t>
      </w:r>
      <w:r w:rsidR="00CF0D85">
        <w:t>-</w:t>
      </w:r>
      <w:r w:rsidR="00FB0EA2" w:rsidRPr="001614F0">
        <w:t>in</w:t>
      </w:r>
      <w:r w:rsidR="00CF0D85">
        <w:t>-</w:t>
      </w:r>
      <w:r w:rsidR="00FB0EA2" w:rsidRPr="001614F0">
        <w:t>chief</w:t>
      </w:r>
      <w:r w:rsidR="00985EB3" w:rsidRPr="001614F0">
        <w:t xml:space="preserve">, although Ms van der Merwe </w:t>
      </w:r>
      <w:r w:rsidR="00995456" w:rsidRPr="001614F0">
        <w:t>did</w:t>
      </w:r>
      <w:r w:rsidR="00985EB3" w:rsidRPr="001614F0">
        <w:t xml:space="preserve"> lead</w:t>
      </w:r>
      <w:r w:rsidR="005E70C2" w:rsidRPr="001614F0">
        <w:t xml:space="preserve"> the</w:t>
      </w:r>
      <w:r w:rsidR="00985EB3" w:rsidRPr="001614F0">
        <w:t xml:space="preserve"> evidence </w:t>
      </w:r>
      <w:r w:rsidR="00995456" w:rsidRPr="001614F0">
        <w:t xml:space="preserve">of the plaintiff, </w:t>
      </w:r>
      <w:r w:rsidR="00911D24">
        <w:t>t</w:t>
      </w:r>
      <w:r w:rsidR="00995456" w:rsidRPr="001614F0">
        <w:t xml:space="preserve">he </w:t>
      </w:r>
      <w:r w:rsidR="00911D24">
        <w:t>plaintiff’s mother</w:t>
      </w:r>
      <w:r w:rsidR="00995456" w:rsidRPr="001614F0">
        <w:t xml:space="preserve"> and </w:t>
      </w:r>
      <w:r w:rsidR="0015183D">
        <w:t>those</w:t>
      </w:r>
      <w:r w:rsidR="00995456" w:rsidRPr="001614F0">
        <w:t xml:space="preserve"> experts </w:t>
      </w:r>
      <w:r w:rsidR="00F3437C">
        <w:t>that the defendant wanted to cross examine</w:t>
      </w:r>
      <w:r w:rsidR="00995456" w:rsidRPr="001614F0">
        <w:t>.</w:t>
      </w:r>
      <w:r w:rsidR="005E70C2" w:rsidRPr="001614F0">
        <w:t xml:space="preserve"> </w:t>
      </w:r>
    </w:p>
    <w:p w14:paraId="20F018AC" w14:textId="35EF401F" w:rsidR="00610B30" w:rsidRDefault="00610B30" w:rsidP="00610B30"/>
    <w:p w14:paraId="74CF1BC5" w14:textId="2812E383" w:rsidR="00610B30" w:rsidRPr="001614F0" w:rsidRDefault="00610B30" w:rsidP="00F83704">
      <w:pPr>
        <w:pStyle w:val="NUM1"/>
        <w:tabs>
          <w:tab w:val="clear" w:pos="720"/>
          <w:tab w:val="num" w:pos="567"/>
        </w:tabs>
        <w:ind w:left="567" w:hanging="567"/>
      </w:pPr>
      <w:r w:rsidRPr="001614F0">
        <w:t>The plaintiff presented her</w:t>
      </w:r>
      <w:r>
        <w:t xml:space="preserve"> evidence</w:t>
      </w:r>
      <w:r w:rsidRPr="001614F0">
        <w:t xml:space="preserve">, </w:t>
      </w:r>
      <w:r>
        <w:t xml:space="preserve">that of her </w:t>
      </w:r>
      <w:r w:rsidRPr="001614F0">
        <w:t>mother and a series of expert witnesses.  The expert witnesses’ reports are all confirmed under oath and, by agreement, are before me.</w:t>
      </w:r>
      <w:r w:rsidRPr="004B29ED">
        <w:rPr>
          <w:rStyle w:val="FootnoteReference"/>
          <w:sz w:val="24"/>
        </w:rPr>
        <w:footnoteReference w:id="5"/>
      </w:r>
      <w:r w:rsidR="00F83704">
        <w:t xml:space="preserve"> </w:t>
      </w:r>
    </w:p>
    <w:p w14:paraId="14BB699B" w14:textId="77777777" w:rsidR="00610B30" w:rsidRDefault="00610B30" w:rsidP="00610B30">
      <w:pPr>
        <w:pStyle w:val="NUM1"/>
        <w:numPr>
          <w:ilvl w:val="0"/>
          <w:numId w:val="0"/>
        </w:numPr>
        <w:ind w:left="567"/>
      </w:pPr>
    </w:p>
    <w:p w14:paraId="57F841A4" w14:textId="364E8D18" w:rsidR="006C6A3A" w:rsidRDefault="006C6A3A" w:rsidP="00610B30">
      <w:pPr>
        <w:pStyle w:val="NUM1"/>
        <w:tabs>
          <w:tab w:val="clear" w:pos="720"/>
          <w:tab w:val="num" w:pos="567"/>
        </w:tabs>
        <w:ind w:left="567" w:hanging="567"/>
      </w:pPr>
      <w:r>
        <w:t>For purposes of this judgment, I only traverse the evidence of the witnesses who were called and cross-examined.</w:t>
      </w:r>
      <w:r w:rsidR="007E12A0">
        <w:t xml:space="preserve"> </w:t>
      </w:r>
    </w:p>
    <w:p w14:paraId="3B8F2B68" w14:textId="77777777" w:rsidR="006C6A3A" w:rsidRPr="006C6A3A" w:rsidRDefault="006C6A3A" w:rsidP="006C6A3A"/>
    <w:p w14:paraId="478372CC" w14:textId="5C49054F" w:rsidR="00E276BB" w:rsidRDefault="00AE742C" w:rsidP="00610B30">
      <w:pPr>
        <w:pStyle w:val="NUM1"/>
        <w:tabs>
          <w:tab w:val="clear" w:pos="720"/>
          <w:tab w:val="num" w:pos="567"/>
        </w:tabs>
        <w:ind w:left="567" w:hanging="567"/>
      </w:pPr>
      <w:r>
        <w:t xml:space="preserve">The plaintiff’s evidence was that, prior to the collision, she had no history of any epileptic seizures.  Pursuant to the accident, she suffered from three to four seizures per week, with the last serious seizure taking place over the Easter weekend this year.  </w:t>
      </w:r>
      <w:r w:rsidR="00E276BB">
        <w:t>To control her epilepsy, the plaintiff takes Epilim which she obtains from the neurology clinic at Baragwanath hospital.  The clinic is only open on Wednesdays.</w:t>
      </w:r>
      <w:r w:rsidR="00911D24">
        <w:t xml:space="preserve"> </w:t>
      </w:r>
      <w:r w:rsidR="00E276BB">
        <w:t xml:space="preserve"> On occasion, the queue was too long for her to see a doctor and obtain medication. </w:t>
      </w:r>
    </w:p>
    <w:p w14:paraId="7695F0C9" w14:textId="7E87AB1B" w:rsidR="00553CDE" w:rsidRDefault="00E276BB" w:rsidP="00553CDE">
      <w:pPr>
        <w:pStyle w:val="NUM1"/>
        <w:tabs>
          <w:tab w:val="clear" w:pos="720"/>
          <w:tab w:val="num" w:pos="567"/>
        </w:tabs>
        <w:ind w:left="567" w:hanging="567"/>
      </w:pPr>
      <w:r>
        <w:lastRenderedPageBreak/>
        <w:t>The plaintiff testified, further, that she has different kinds of seizures.</w:t>
      </w:r>
      <w:r w:rsidR="007E12A0">
        <w:t xml:space="preserve"> </w:t>
      </w:r>
      <w:r>
        <w:t xml:space="preserve"> Some</w:t>
      </w:r>
      <w:r w:rsidR="00AE742C">
        <w:t xml:space="preserve"> </w:t>
      </w:r>
      <w:r>
        <w:t xml:space="preserve">are less serious and she can feel them coming on.  When his happens, </w:t>
      </w:r>
      <w:r w:rsidR="00553CDE">
        <w:t>she rests, drinks water and takes medication.</w:t>
      </w:r>
      <w:r w:rsidR="00D55962">
        <w:t xml:space="preserve"> </w:t>
      </w:r>
    </w:p>
    <w:p w14:paraId="3CFE3E25" w14:textId="77777777" w:rsidR="00553CDE" w:rsidRPr="00553CDE" w:rsidRDefault="00553CDE" w:rsidP="00553CDE"/>
    <w:p w14:paraId="1E044EFA" w14:textId="4CB1729A" w:rsidR="00553CDE" w:rsidRDefault="00553CDE" w:rsidP="00553CDE">
      <w:pPr>
        <w:pStyle w:val="NUM1"/>
        <w:tabs>
          <w:tab w:val="clear" w:pos="720"/>
          <w:tab w:val="num" w:pos="567"/>
        </w:tabs>
        <w:ind w:left="567" w:hanging="567"/>
      </w:pPr>
      <w:r>
        <w:t>Aside from the seizures, the plaintiff complained of headaches and back pain for which she uses over</w:t>
      </w:r>
      <w:r w:rsidR="00D55962">
        <w:t>-</w:t>
      </w:r>
      <w:r>
        <w:t>the</w:t>
      </w:r>
      <w:r w:rsidR="00D55962">
        <w:t>-</w:t>
      </w:r>
      <w:r>
        <w:t>counter analgesics.</w:t>
      </w:r>
      <w:r w:rsidR="00D55962">
        <w:t xml:space="preserve"> </w:t>
      </w:r>
    </w:p>
    <w:p w14:paraId="60C6A6CC" w14:textId="77777777" w:rsidR="00553CDE" w:rsidRPr="00553CDE" w:rsidRDefault="00553CDE" w:rsidP="00553CDE"/>
    <w:p w14:paraId="6910C510" w14:textId="56BF2725" w:rsidR="00553CDE" w:rsidRDefault="00553CDE" w:rsidP="00553CDE">
      <w:pPr>
        <w:pStyle w:val="NUM1"/>
        <w:tabs>
          <w:tab w:val="clear" w:pos="720"/>
          <w:tab w:val="num" w:pos="567"/>
        </w:tabs>
        <w:ind w:left="567" w:hanging="567"/>
      </w:pPr>
      <w:r>
        <w:t xml:space="preserve">In regard to her future, the plaintiff expressed a desire to re-write her senior certificate </w:t>
      </w:r>
      <w:r w:rsidR="00F721F4">
        <w:t xml:space="preserve">exams </w:t>
      </w:r>
      <w:r>
        <w:t xml:space="preserve">to obtain better marks and admission into a law degree.  The plaintiff expressed a fear, however, that she would not be able to obtain better marks. </w:t>
      </w:r>
    </w:p>
    <w:p w14:paraId="7F65B689" w14:textId="77777777" w:rsidR="00553CDE" w:rsidRPr="00553CDE" w:rsidRDefault="00553CDE" w:rsidP="00553CDE"/>
    <w:p w14:paraId="68921139" w14:textId="3BE724E8" w:rsidR="00553CDE" w:rsidRDefault="00553CDE" w:rsidP="00553CDE">
      <w:pPr>
        <w:pStyle w:val="NUM1"/>
        <w:tabs>
          <w:tab w:val="clear" w:pos="720"/>
          <w:tab w:val="num" w:pos="567"/>
        </w:tabs>
        <w:ind w:left="567" w:hanging="567"/>
      </w:pPr>
      <w:r>
        <w:t>The plaintiff became emotional and tearful</w:t>
      </w:r>
      <w:r w:rsidR="0013535E">
        <w:t xml:space="preserve"> during her testimony</w:t>
      </w:r>
      <w:r>
        <w:t xml:space="preserve"> when explaining her current emotional state</w:t>
      </w:r>
      <w:r w:rsidR="00541D60">
        <w:t>,</w:t>
      </w:r>
      <w:r>
        <w:t xml:space="preserve"> and disclosed that she had resorted to self-harm a</w:t>
      </w:r>
      <w:r w:rsidR="0013535E">
        <w:t>s</w:t>
      </w:r>
      <w:r>
        <w:t xml:space="preserve"> a coping mechanism.</w:t>
      </w:r>
      <w:r w:rsidR="00541D60">
        <w:t xml:space="preserve"> </w:t>
      </w:r>
    </w:p>
    <w:p w14:paraId="24F7A8A3" w14:textId="77777777" w:rsidR="00AE742C" w:rsidRPr="00AE742C" w:rsidRDefault="00AE742C" w:rsidP="00AE742C"/>
    <w:p w14:paraId="450B925C" w14:textId="716146D4" w:rsidR="00610B30" w:rsidRPr="001614F0" w:rsidRDefault="00610B30" w:rsidP="00610B30">
      <w:pPr>
        <w:pStyle w:val="NUM1"/>
        <w:tabs>
          <w:tab w:val="clear" w:pos="720"/>
          <w:tab w:val="num" w:pos="567"/>
        </w:tabs>
        <w:ind w:left="567" w:hanging="567"/>
      </w:pPr>
      <w:r w:rsidRPr="001614F0">
        <w:t xml:space="preserve">The plaintiff’s mother, a registered nurse (albeit currently unemployed), testified about the manifest change in the plaintiff’s character pursuant to the collision.  She </w:t>
      </w:r>
      <w:r>
        <w:t>said that</w:t>
      </w:r>
      <w:r w:rsidRPr="001614F0">
        <w:t>, at the time of the collision, the plaintiff was a minor and a school going child</w:t>
      </w:r>
      <w:r>
        <w:t>,</w:t>
      </w:r>
      <w:r w:rsidRPr="001614F0">
        <w:t xml:space="preserve"> pursuing an academic programme and involved in sports with an active social life.</w:t>
      </w:r>
      <w:r w:rsidR="00541D60">
        <w:t xml:space="preserve"> </w:t>
      </w:r>
      <w:r w:rsidRPr="001614F0">
        <w:t xml:space="preserve"> </w:t>
      </w:r>
      <w:r w:rsidRPr="001614F0">
        <w:rPr>
          <w:color w:val="000000"/>
        </w:rPr>
        <w:t>Pre-accident, the plaintiff was physically, cognitively and psychologically normal.</w:t>
      </w:r>
      <w:r w:rsidR="00541D60">
        <w:rPr>
          <w:color w:val="000000"/>
        </w:rPr>
        <w:t xml:space="preserve"> </w:t>
      </w:r>
      <w:r w:rsidRPr="001614F0">
        <w:rPr>
          <w:color w:val="000000"/>
        </w:rPr>
        <w:t xml:space="preserve"> </w:t>
      </w:r>
      <w:r w:rsidRPr="001614F0">
        <w:t xml:space="preserve">But she is no longer that person. </w:t>
      </w:r>
    </w:p>
    <w:p w14:paraId="67FA9BBA" w14:textId="77777777" w:rsidR="00610B30" w:rsidRPr="001614F0" w:rsidRDefault="00610B30" w:rsidP="00610B30">
      <w:pPr>
        <w:tabs>
          <w:tab w:val="num" w:pos="567"/>
        </w:tabs>
        <w:ind w:left="567" w:hanging="567"/>
      </w:pPr>
    </w:p>
    <w:p w14:paraId="4DAA47AF" w14:textId="2D702802" w:rsidR="00610B30" w:rsidRDefault="00610B30" w:rsidP="00610B30">
      <w:pPr>
        <w:pStyle w:val="NUM1"/>
        <w:tabs>
          <w:tab w:val="clear" w:pos="720"/>
          <w:tab w:val="num" w:pos="567"/>
        </w:tabs>
        <w:ind w:left="567" w:hanging="567"/>
      </w:pPr>
      <w:r w:rsidRPr="001614F0">
        <w:lastRenderedPageBreak/>
        <w:t xml:space="preserve">Although the plaintiff managed to pass Grade 12, she did not gain entry at the University of Johannesburg into her preferred course of study, being the LLB Degree.  Instead, the plaintiff enrolled for a diploma in Paralegal studies. </w:t>
      </w:r>
    </w:p>
    <w:p w14:paraId="6E4BE50A" w14:textId="77777777" w:rsidR="00610B30" w:rsidRPr="00610B30" w:rsidRDefault="00610B30" w:rsidP="00610B30"/>
    <w:p w14:paraId="1BFD8E76" w14:textId="6B79D0D9" w:rsidR="000F38A9" w:rsidRPr="00B77FDE" w:rsidRDefault="00610B30" w:rsidP="00B77FDE">
      <w:pPr>
        <w:pStyle w:val="NUM1"/>
        <w:tabs>
          <w:tab w:val="clear" w:pos="720"/>
          <w:tab w:val="num" w:pos="567"/>
        </w:tabs>
        <w:ind w:left="567" w:hanging="567"/>
      </w:pPr>
      <w:r w:rsidRPr="001614F0">
        <w:t>The Paralegal Diploma is enormously less demanding than an LLB Degree, and comprises only four subjects in the first year.  By year end, the plaintiff found the academic pressure overwhelming and suffered a nervous breakdown.  These studies have not been pursued any further.</w:t>
      </w:r>
      <w:r w:rsidR="00392FF4">
        <w:t xml:space="preserve"> </w:t>
      </w:r>
    </w:p>
    <w:p w14:paraId="61C9E62E" w14:textId="77777777" w:rsidR="004253C0" w:rsidRPr="001614F0" w:rsidRDefault="004253C0"/>
    <w:p w14:paraId="60656439" w14:textId="3B4E0500" w:rsidR="002E6CED" w:rsidRDefault="009F6A5F" w:rsidP="002E6CED">
      <w:pPr>
        <w:pStyle w:val="NUM1"/>
        <w:tabs>
          <w:tab w:val="clear" w:pos="720"/>
          <w:tab w:val="num" w:pos="567"/>
        </w:tabs>
        <w:ind w:left="567" w:hanging="567"/>
      </w:pPr>
      <w:r>
        <w:t xml:space="preserve">Dr Townsend, a specialist neurologist, explained the effect of an epileptic fit on a person. </w:t>
      </w:r>
    </w:p>
    <w:p w14:paraId="28E186D2" w14:textId="77777777" w:rsidR="002E6CED" w:rsidRPr="002E6CED" w:rsidRDefault="002E6CED" w:rsidP="002E6CED"/>
    <w:p w14:paraId="488EB270" w14:textId="2B906878" w:rsidR="002E6CED" w:rsidRDefault="002E6CED" w:rsidP="002E6CED">
      <w:pPr>
        <w:pStyle w:val="NUM1"/>
        <w:tabs>
          <w:tab w:val="clear" w:pos="720"/>
          <w:tab w:val="num" w:pos="567"/>
        </w:tabs>
        <w:ind w:left="567" w:hanging="567"/>
      </w:pPr>
      <w:r>
        <w:t>Dr Townsend’s evidence was that the plaintiff’s injuries ha</w:t>
      </w:r>
      <w:r w:rsidR="00392FF4">
        <w:t>ve</w:t>
      </w:r>
      <w:r>
        <w:t xml:space="preserve"> resulted in a significant attenuation to her ability to learn</w:t>
      </w:r>
      <w:r w:rsidR="00392FF4">
        <w:t xml:space="preserve">. </w:t>
      </w:r>
      <w:r>
        <w:t xml:space="preserve"> </w:t>
      </w:r>
      <w:r w:rsidR="00392FF4">
        <w:t>A</w:t>
      </w:r>
      <w:r>
        <w:t>s such, Dr Townsend doubted the plaintiff’s ability to better her senior certificate results</w:t>
      </w:r>
      <w:r w:rsidR="005962B6">
        <w:t>,</w:t>
      </w:r>
      <w:r>
        <w:t xml:space="preserve"> or sustain the academic vigour of obtaining an LLB degree.  In regard to employment, Dr</w:t>
      </w:r>
      <w:r w:rsidR="0013535E">
        <w:t xml:space="preserve"> Townsend</w:t>
      </w:r>
      <w:r>
        <w:t xml:space="preserve"> testified that if the plaintiff were able to obtain employment, she would struggle to sustain any such employment. </w:t>
      </w:r>
    </w:p>
    <w:p w14:paraId="3ABC281A" w14:textId="77777777" w:rsidR="002E6CED" w:rsidRDefault="002E6CED" w:rsidP="002E6CED">
      <w:pPr>
        <w:pStyle w:val="NUM1"/>
        <w:numPr>
          <w:ilvl w:val="0"/>
          <w:numId w:val="0"/>
        </w:numPr>
        <w:ind w:left="567"/>
      </w:pPr>
    </w:p>
    <w:p w14:paraId="74812293" w14:textId="1C9BFF12" w:rsidR="002E6CED" w:rsidRDefault="002E6CED" w:rsidP="002E6CED">
      <w:pPr>
        <w:pStyle w:val="NUM1"/>
        <w:tabs>
          <w:tab w:val="clear" w:pos="720"/>
          <w:tab w:val="num" w:pos="567"/>
        </w:tabs>
        <w:ind w:left="567" w:hanging="567"/>
      </w:pPr>
      <w:r>
        <w:t>Most r</w:t>
      </w:r>
      <w:r w:rsidR="009F6A5F">
        <w:t>elevant to the issue before me was her testimony under cross-examination that pursuant to an epileptic seizure, cognition is affected</w:t>
      </w:r>
      <w:r w:rsidR="002A18A8">
        <w:t>,</w:t>
      </w:r>
      <w:r w:rsidR="009F6A5F">
        <w:t xml:space="preserve"> results in fatigue and the inability to pursue academic endeavours</w:t>
      </w:r>
      <w:r>
        <w:t xml:space="preserve"> for as much as a week on end</w:t>
      </w:r>
      <w:r w:rsidR="009F6A5F">
        <w:t xml:space="preserve">. </w:t>
      </w:r>
      <w:r w:rsidR="00E26408">
        <w:t xml:space="preserve"> </w:t>
      </w:r>
      <w:r w:rsidR="007F7F75">
        <w:t xml:space="preserve">I would expect that this conclusion would hold true in relation to any employment that the plaintiff may obtain. </w:t>
      </w:r>
    </w:p>
    <w:p w14:paraId="0DDBA859" w14:textId="5FE0BD9D" w:rsidR="009F6A5F" w:rsidRPr="009F6A5F" w:rsidRDefault="009F6A5F" w:rsidP="002E6CED">
      <w:pPr>
        <w:pStyle w:val="NUM1"/>
        <w:numPr>
          <w:ilvl w:val="0"/>
          <w:numId w:val="0"/>
        </w:numPr>
        <w:ind w:left="567"/>
      </w:pPr>
    </w:p>
    <w:p w14:paraId="594EC534" w14:textId="00C3434F" w:rsidR="00FD4B57" w:rsidRPr="001614F0" w:rsidRDefault="004253C0">
      <w:pPr>
        <w:pStyle w:val="NUM1"/>
        <w:tabs>
          <w:tab w:val="clear" w:pos="720"/>
          <w:tab w:val="num" w:pos="567"/>
        </w:tabs>
        <w:ind w:left="567" w:hanging="567"/>
      </w:pPr>
      <w:r w:rsidRPr="001614F0">
        <w:lastRenderedPageBreak/>
        <w:t>Dr Rossi</w:t>
      </w:r>
      <w:r w:rsidR="000F38A9" w:rsidRPr="001614F0">
        <w:t>, an</w:t>
      </w:r>
      <w:r w:rsidRPr="001614F0">
        <w:t xml:space="preserve"> </w:t>
      </w:r>
      <w:r w:rsidRPr="001614F0">
        <w:rPr>
          <w:bCs/>
        </w:rPr>
        <w:t>educational psychologist</w:t>
      </w:r>
      <w:r w:rsidRPr="001614F0">
        <w:t xml:space="preserve"> </w:t>
      </w:r>
      <w:r w:rsidR="000F38A9" w:rsidRPr="001614F0">
        <w:t>and</w:t>
      </w:r>
      <w:r w:rsidRPr="001614F0">
        <w:t xml:space="preserve"> </w:t>
      </w:r>
      <w:r w:rsidRPr="001614F0">
        <w:rPr>
          <w:bCs/>
        </w:rPr>
        <w:t>neuropsychologist</w:t>
      </w:r>
      <w:r w:rsidR="009A6CE5" w:rsidRPr="001614F0">
        <w:rPr>
          <w:bCs/>
        </w:rPr>
        <w:t>,</w:t>
      </w:r>
      <w:r w:rsidR="000F38A9" w:rsidRPr="001614F0">
        <w:t xml:space="preserve"> delivered a report wherein she expressed the view that the</w:t>
      </w:r>
      <w:r w:rsidRPr="001614F0">
        <w:t xml:space="preserve"> plaintiff is severely depressed, psychologically overwrought and in urgent need of psychiatric care. </w:t>
      </w:r>
    </w:p>
    <w:p w14:paraId="45B9DC8B" w14:textId="77777777" w:rsidR="00FD4B57" w:rsidRPr="001614F0" w:rsidRDefault="00FD4B57"/>
    <w:p w14:paraId="23831BEB" w14:textId="483D0643" w:rsidR="004253C0" w:rsidRPr="001614F0" w:rsidRDefault="000F38A9">
      <w:pPr>
        <w:pStyle w:val="NUM1"/>
        <w:tabs>
          <w:tab w:val="clear" w:pos="720"/>
          <w:tab w:val="num" w:pos="567"/>
        </w:tabs>
        <w:ind w:left="567" w:hanging="567"/>
      </w:pPr>
      <w:r w:rsidRPr="001614F0">
        <w:t>Dr Rossi recorded that the plaintiff</w:t>
      </w:r>
      <w:r w:rsidR="004253C0" w:rsidRPr="001614F0">
        <w:t xml:space="preserve"> complains of seizures, headaches, lower back and neck pain</w:t>
      </w:r>
      <w:r w:rsidR="008D3F04" w:rsidRPr="001614F0">
        <w:t>,</w:t>
      </w:r>
      <w:r w:rsidR="004253C0" w:rsidRPr="001614F0">
        <w:t xml:space="preserve"> and fatigue.</w:t>
      </w:r>
      <w:r w:rsidR="008D3F04" w:rsidRPr="001614F0">
        <w:t xml:space="preserve"> </w:t>
      </w:r>
      <w:r w:rsidR="004253C0" w:rsidRPr="001614F0">
        <w:t xml:space="preserve"> Psychological </w:t>
      </w:r>
      <w:r w:rsidR="004253C0" w:rsidRPr="001614F0">
        <w:rPr>
          <w:i/>
          <w:iCs/>
        </w:rPr>
        <w:t>sequelae</w:t>
      </w:r>
      <w:r w:rsidR="004253C0" w:rsidRPr="001614F0">
        <w:t xml:space="preserve"> include anxiety and severe depression</w:t>
      </w:r>
      <w:r w:rsidR="00F721F4">
        <w:t>,</w:t>
      </w:r>
      <w:r w:rsidR="004253C0" w:rsidRPr="001614F0">
        <w:t xml:space="preserve"> </w:t>
      </w:r>
      <w:r w:rsidR="008D3F04" w:rsidRPr="001614F0">
        <w:t xml:space="preserve"> </w:t>
      </w:r>
      <w:r w:rsidR="00F721F4">
        <w:t>c</w:t>
      </w:r>
      <w:r w:rsidR="004253C0" w:rsidRPr="001614F0">
        <w:t>ognitive and educational deficits include fluctuating attention, visual discrimination and reading comprehension.</w:t>
      </w:r>
      <w:r w:rsidR="008D3F04" w:rsidRPr="001614F0">
        <w:t xml:space="preserve"> </w:t>
      </w:r>
    </w:p>
    <w:p w14:paraId="77D2D2A5" w14:textId="77777777" w:rsidR="004253C0" w:rsidRPr="001614F0" w:rsidRDefault="004253C0">
      <w:pPr>
        <w:pStyle w:val="ListParagraph"/>
        <w:tabs>
          <w:tab w:val="num" w:pos="567"/>
        </w:tabs>
        <w:ind w:left="567" w:hanging="567"/>
        <w:rPr>
          <w:color w:val="000000"/>
        </w:rPr>
      </w:pPr>
    </w:p>
    <w:p w14:paraId="1EFFA1B5" w14:textId="0A1FB717" w:rsidR="000F38A9" w:rsidRPr="001614F0" w:rsidRDefault="00FD4B57">
      <w:pPr>
        <w:pStyle w:val="NUM1"/>
        <w:tabs>
          <w:tab w:val="clear" w:pos="720"/>
          <w:tab w:val="num" w:pos="567"/>
        </w:tabs>
        <w:ind w:left="567" w:hanging="567"/>
      </w:pPr>
      <w:r w:rsidRPr="001614F0">
        <w:t>She recorded that</w:t>
      </w:r>
      <w:r w:rsidR="00A72BC0" w:rsidRPr="001614F0">
        <w:t>,</w:t>
      </w:r>
      <w:r w:rsidRPr="001614F0">
        <w:t xml:space="preserve"> p</w:t>
      </w:r>
      <w:r w:rsidR="004253C0" w:rsidRPr="001614F0">
        <w:t>re-accident</w:t>
      </w:r>
      <w:r w:rsidR="00153E73" w:rsidRPr="001614F0">
        <w:t>, the</w:t>
      </w:r>
      <w:r w:rsidR="004253C0" w:rsidRPr="001614F0">
        <w:t xml:space="preserve"> plaintiff was physically, cognitively and psychologically normal.</w:t>
      </w:r>
      <w:r w:rsidR="00153E73" w:rsidRPr="001614F0">
        <w:t xml:space="preserve"> </w:t>
      </w:r>
      <w:r w:rsidR="004253C0" w:rsidRPr="001614F0">
        <w:t xml:space="preserve"> Although she passed all her grades at school</w:t>
      </w:r>
      <w:r w:rsidR="00153E73" w:rsidRPr="001614F0">
        <w:t>,</w:t>
      </w:r>
      <w:r w:rsidR="004253C0" w:rsidRPr="001614F0">
        <w:t xml:space="preserve"> she was retained in Gr</w:t>
      </w:r>
      <w:r w:rsidR="00153E73" w:rsidRPr="001614F0">
        <w:t>ade</w:t>
      </w:r>
      <w:r w:rsidR="004253C0" w:rsidRPr="001614F0">
        <w:t xml:space="preserve"> 7 to strengthen her English.</w:t>
      </w:r>
      <w:r w:rsidR="00153E73" w:rsidRPr="001614F0">
        <w:t xml:space="preserve"> </w:t>
      </w:r>
      <w:r w:rsidR="004253C0" w:rsidRPr="001614F0">
        <w:t xml:space="preserve"> Based on the mean of the three highest sub</w:t>
      </w:r>
      <w:r w:rsidR="00153E73" w:rsidRPr="001614F0">
        <w:t>-</w:t>
      </w:r>
      <w:r w:rsidR="004253C0" w:rsidRPr="001614F0">
        <w:t>tests of the WAIS-III (bearing in mind she was anxious and depressed when the tests were performed)</w:t>
      </w:r>
      <w:r w:rsidR="00153E73" w:rsidRPr="001614F0">
        <w:t xml:space="preserve">, </w:t>
      </w:r>
      <w:r w:rsidRPr="001614F0">
        <w:t>Dr Rossi estimated that the p</w:t>
      </w:r>
      <w:r w:rsidR="004253C0" w:rsidRPr="001614F0">
        <w:t xml:space="preserve">laintiff’s </w:t>
      </w:r>
      <w:r w:rsidRPr="001614F0">
        <w:t>pre-accident IQ</w:t>
      </w:r>
      <w:r w:rsidR="004253C0" w:rsidRPr="001614F0">
        <w:t xml:space="preserve"> </w:t>
      </w:r>
      <w:r w:rsidRPr="001614F0">
        <w:t>wa</w:t>
      </w:r>
      <w:r w:rsidR="004253C0" w:rsidRPr="001614F0">
        <w:t>s estimated at</w:t>
      </w:r>
      <w:r w:rsidR="00153E73" w:rsidRPr="001614F0">
        <w:t xml:space="preserve"> an</w:t>
      </w:r>
      <w:r w:rsidR="004253C0" w:rsidRPr="001614F0">
        <w:t xml:space="preserve"> average </w:t>
      </w:r>
      <w:r w:rsidR="00153E73" w:rsidRPr="001614F0">
        <w:t xml:space="preserve">of </w:t>
      </w:r>
      <w:r w:rsidRPr="001614F0">
        <w:t xml:space="preserve">between </w:t>
      </w:r>
      <w:r w:rsidR="004253C0" w:rsidRPr="001614F0">
        <w:t>90</w:t>
      </w:r>
      <w:r w:rsidRPr="001614F0">
        <w:t xml:space="preserve"> to </w:t>
      </w:r>
      <w:r w:rsidR="004253C0" w:rsidRPr="001614F0">
        <w:t xml:space="preserve">109. </w:t>
      </w:r>
    </w:p>
    <w:p w14:paraId="16628034" w14:textId="77777777" w:rsidR="000F38A9" w:rsidRPr="001614F0" w:rsidRDefault="000F38A9"/>
    <w:p w14:paraId="222A4602" w14:textId="653A9F34" w:rsidR="00A72BC0" w:rsidRPr="001614F0" w:rsidRDefault="00A72BC0">
      <w:pPr>
        <w:pStyle w:val="NUM1"/>
        <w:tabs>
          <w:tab w:val="clear" w:pos="720"/>
          <w:tab w:val="num" w:pos="567"/>
        </w:tabs>
        <w:ind w:left="567" w:hanging="567"/>
      </w:pPr>
      <w:r w:rsidRPr="001614F0">
        <w:t>Dr Rossi is of the opinion that, but for the accident,</w:t>
      </w:r>
      <w:r w:rsidR="004253C0" w:rsidRPr="001614F0">
        <w:t xml:space="preserve"> </w:t>
      </w:r>
      <w:r w:rsidRPr="001614F0">
        <w:t>the plaintiff</w:t>
      </w:r>
      <w:r w:rsidR="004253C0" w:rsidRPr="001614F0">
        <w:t xml:space="preserve"> would have been expected to pass Gr</w:t>
      </w:r>
      <w:r w:rsidR="00153E73" w:rsidRPr="001614F0">
        <w:t>ade</w:t>
      </w:r>
      <w:r w:rsidR="004253C0" w:rsidRPr="001614F0">
        <w:t xml:space="preserve"> 12 and obtain a degree (NQF 7). </w:t>
      </w:r>
    </w:p>
    <w:p w14:paraId="432227C0" w14:textId="77777777" w:rsidR="009C28B3" w:rsidRPr="001614F0" w:rsidRDefault="009C28B3">
      <w:pPr>
        <w:tabs>
          <w:tab w:val="num" w:pos="567"/>
        </w:tabs>
        <w:ind w:left="567" w:hanging="567"/>
      </w:pPr>
    </w:p>
    <w:p w14:paraId="01B47F5C" w14:textId="48189D97" w:rsidR="00A72BC0" w:rsidRPr="001614F0" w:rsidRDefault="004253C0">
      <w:pPr>
        <w:pStyle w:val="NUM1"/>
        <w:tabs>
          <w:tab w:val="clear" w:pos="720"/>
          <w:tab w:val="num" w:pos="567"/>
        </w:tabs>
        <w:ind w:left="567" w:hanging="567"/>
      </w:pPr>
      <w:r w:rsidRPr="001614F0">
        <w:rPr>
          <w:iCs/>
        </w:rPr>
        <w:t xml:space="preserve">At the time of </w:t>
      </w:r>
      <w:r w:rsidR="00A72BC0" w:rsidRPr="001614F0">
        <w:rPr>
          <w:iCs/>
        </w:rPr>
        <w:t>Dr Rossi’s</w:t>
      </w:r>
      <w:r w:rsidRPr="001614F0">
        <w:rPr>
          <w:iCs/>
        </w:rPr>
        <w:t xml:space="preserve"> assessment</w:t>
      </w:r>
      <w:r w:rsidR="00A72BC0" w:rsidRPr="001614F0">
        <w:rPr>
          <w:iCs/>
        </w:rPr>
        <w:t xml:space="preserve"> of the plaintiff in</w:t>
      </w:r>
      <w:r w:rsidRPr="001614F0">
        <w:rPr>
          <w:i/>
        </w:rPr>
        <w:t xml:space="preserve"> </w:t>
      </w:r>
      <w:r w:rsidRPr="001614F0">
        <w:rPr>
          <w:iCs/>
        </w:rPr>
        <w:t>September 2020</w:t>
      </w:r>
      <w:r w:rsidR="00153E73" w:rsidRPr="001614F0">
        <w:rPr>
          <w:iCs/>
        </w:rPr>
        <w:t>,</w:t>
      </w:r>
      <w:r w:rsidRPr="001614F0">
        <w:rPr>
          <w:i/>
        </w:rPr>
        <w:t xml:space="preserve"> </w:t>
      </w:r>
      <w:r w:rsidRPr="001614F0">
        <w:rPr>
          <w:iCs/>
        </w:rPr>
        <w:t>the plaintiff was in Grade 12</w:t>
      </w:r>
      <w:r w:rsidRPr="001614F0">
        <w:t xml:space="preserve"> and her Full Scale IQ was</w:t>
      </w:r>
      <w:r w:rsidR="00A72BC0" w:rsidRPr="001614F0">
        <w:t xml:space="preserve"> measured</w:t>
      </w:r>
      <w:r w:rsidR="00153E73" w:rsidRPr="001614F0">
        <w:t xml:space="preserve"> at</w:t>
      </w:r>
      <w:r w:rsidRPr="001614F0">
        <w:t xml:space="preserve"> 87</w:t>
      </w:r>
      <w:r w:rsidR="00153E73" w:rsidRPr="001614F0">
        <w:t>,</w:t>
      </w:r>
      <w:r w:rsidRPr="001614F0">
        <w:t xml:space="preserve"> which is low average (80-89). </w:t>
      </w:r>
    </w:p>
    <w:p w14:paraId="3D299B4A" w14:textId="77777777" w:rsidR="00A72BC0" w:rsidRPr="001614F0" w:rsidRDefault="00A72BC0">
      <w:pPr>
        <w:tabs>
          <w:tab w:val="num" w:pos="567"/>
        </w:tabs>
        <w:ind w:left="567" w:hanging="567"/>
      </w:pPr>
    </w:p>
    <w:p w14:paraId="6E9C9564" w14:textId="2C0F1FAD" w:rsidR="00F0291F" w:rsidRPr="001614F0" w:rsidRDefault="00A72BC0">
      <w:pPr>
        <w:pStyle w:val="NUM1"/>
        <w:tabs>
          <w:tab w:val="clear" w:pos="720"/>
          <w:tab w:val="num" w:pos="567"/>
        </w:tabs>
        <w:ind w:left="567" w:hanging="567"/>
      </w:pPr>
      <w:r w:rsidRPr="001614F0">
        <w:t>Dr Rossi concluded that</w:t>
      </w:r>
      <w:r w:rsidR="00F0291F" w:rsidRPr="001614F0">
        <w:t>:</w:t>
      </w:r>
      <w:r w:rsidRPr="001614F0">
        <w:t xml:space="preserve"> </w:t>
      </w:r>
    </w:p>
    <w:p w14:paraId="39861D80" w14:textId="77777777" w:rsidR="00F0291F" w:rsidRPr="001614F0" w:rsidRDefault="00F0291F" w:rsidP="004B29ED">
      <w:pPr>
        <w:pStyle w:val="NUM1"/>
        <w:numPr>
          <w:ilvl w:val="0"/>
          <w:numId w:val="0"/>
        </w:numPr>
        <w:ind w:left="567"/>
      </w:pPr>
    </w:p>
    <w:p w14:paraId="32E4F237" w14:textId="5F099C13" w:rsidR="00AC2AEF" w:rsidRPr="001614F0" w:rsidRDefault="00A72BC0" w:rsidP="004B29ED">
      <w:pPr>
        <w:pStyle w:val="NUM2"/>
        <w:tabs>
          <w:tab w:val="clear" w:pos="1701"/>
          <w:tab w:val="num" w:pos="1418"/>
        </w:tabs>
        <w:ind w:left="1418" w:hanging="851"/>
      </w:pPr>
      <w:r w:rsidRPr="001614F0">
        <w:lastRenderedPageBreak/>
        <w:t>t</w:t>
      </w:r>
      <w:r w:rsidR="004253C0" w:rsidRPr="001614F0">
        <w:t xml:space="preserve">he accident has left </w:t>
      </w:r>
      <w:r w:rsidRPr="001614F0">
        <w:t>the plaintiff</w:t>
      </w:r>
      <w:r w:rsidR="004253C0" w:rsidRPr="001614F0">
        <w:t xml:space="preserve"> physically, cognitively and emotionally compromised</w:t>
      </w:r>
      <w:r w:rsidRPr="001614F0">
        <w:t>;</w:t>
      </w:r>
      <w:r w:rsidR="00AC2AEF" w:rsidRPr="001614F0">
        <w:t xml:space="preserve"> </w:t>
      </w:r>
    </w:p>
    <w:p w14:paraId="1D1ECD4D" w14:textId="77777777" w:rsidR="00AC2AEF" w:rsidRPr="001614F0" w:rsidRDefault="00AC2AEF" w:rsidP="004B29ED">
      <w:pPr>
        <w:pStyle w:val="NUM2"/>
        <w:numPr>
          <w:ilvl w:val="0"/>
          <w:numId w:val="0"/>
        </w:numPr>
        <w:ind w:left="1701"/>
      </w:pPr>
    </w:p>
    <w:p w14:paraId="104BD196" w14:textId="75EF3A5E" w:rsidR="00AC2AEF" w:rsidRPr="001614F0" w:rsidRDefault="00A72BC0" w:rsidP="004B29ED">
      <w:pPr>
        <w:pStyle w:val="NUM2"/>
        <w:tabs>
          <w:tab w:val="clear" w:pos="1701"/>
          <w:tab w:val="left" w:pos="1418"/>
        </w:tabs>
        <w:ind w:left="1418" w:hanging="851"/>
      </w:pPr>
      <w:r w:rsidRPr="001614F0">
        <w:t>w</w:t>
      </w:r>
      <w:r w:rsidR="004253C0" w:rsidRPr="001614F0">
        <w:t>hile epilepsy is a permanently disabling condition</w:t>
      </w:r>
      <w:r w:rsidR="0042189D" w:rsidRPr="001614F0">
        <w:t xml:space="preserve"> that can be controlled by</w:t>
      </w:r>
      <w:r w:rsidR="004253C0" w:rsidRPr="001614F0">
        <w:t xml:space="preserve"> medication, it affects personality, cognitive and educational performance, and in </w:t>
      </w:r>
      <w:r w:rsidRPr="001614F0">
        <w:t>the plaintiff’s case</w:t>
      </w:r>
      <w:r w:rsidR="004253C0" w:rsidRPr="001614F0">
        <w:t>, will affect her future academic development</w:t>
      </w:r>
      <w:r w:rsidRPr="001614F0">
        <w:t>;</w:t>
      </w:r>
      <w:r w:rsidR="00AC2AEF" w:rsidRPr="001614F0">
        <w:t xml:space="preserve"> </w:t>
      </w:r>
    </w:p>
    <w:p w14:paraId="65755701" w14:textId="77777777" w:rsidR="00AC2AEF" w:rsidRPr="001614F0" w:rsidRDefault="00AC2AEF" w:rsidP="004B29ED">
      <w:pPr>
        <w:pStyle w:val="NUM2"/>
        <w:numPr>
          <w:ilvl w:val="0"/>
          <w:numId w:val="0"/>
        </w:numPr>
        <w:tabs>
          <w:tab w:val="left" w:pos="1418"/>
        </w:tabs>
        <w:ind w:left="1418" w:hanging="851"/>
      </w:pPr>
    </w:p>
    <w:p w14:paraId="22845930" w14:textId="2957EF3C" w:rsidR="001F3F3B" w:rsidRPr="001614F0" w:rsidRDefault="00A72BC0" w:rsidP="004B29ED">
      <w:pPr>
        <w:pStyle w:val="NUM2"/>
        <w:tabs>
          <w:tab w:val="clear" w:pos="1701"/>
          <w:tab w:val="left" w:pos="1418"/>
        </w:tabs>
        <w:ind w:left="1418" w:hanging="851"/>
      </w:pPr>
      <w:r w:rsidRPr="001614F0">
        <w:t>e</w:t>
      </w:r>
      <w:r w:rsidR="004253C0" w:rsidRPr="001614F0">
        <w:t>ven with medical and psychiatric intervention and psychotherapy, this will not change as the accident has rendered her a vulnerable person forthwith</w:t>
      </w:r>
      <w:r w:rsidRPr="001614F0">
        <w:t>;</w:t>
      </w:r>
      <w:r w:rsidR="001F3F3B" w:rsidRPr="001614F0">
        <w:t xml:space="preserve"> </w:t>
      </w:r>
    </w:p>
    <w:p w14:paraId="1F6A1D55" w14:textId="77777777" w:rsidR="001F3F3B" w:rsidRPr="001614F0" w:rsidRDefault="001F3F3B" w:rsidP="004B29ED">
      <w:pPr>
        <w:pStyle w:val="NUM2"/>
        <w:numPr>
          <w:ilvl w:val="0"/>
          <w:numId w:val="0"/>
        </w:numPr>
        <w:tabs>
          <w:tab w:val="left" w:pos="1418"/>
        </w:tabs>
        <w:ind w:left="1418" w:hanging="851"/>
      </w:pPr>
    </w:p>
    <w:p w14:paraId="2D6E6EA6" w14:textId="5C51CB48" w:rsidR="00DD420B" w:rsidRPr="001614F0" w:rsidRDefault="007A66F1" w:rsidP="004B29ED">
      <w:pPr>
        <w:pStyle w:val="NUM2"/>
        <w:tabs>
          <w:tab w:val="clear" w:pos="1701"/>
          <w:tab w:val="left" w:pos="1418"/>
        </w:tabs>
        <w:ind w:left="1418" w:hanging="851"/>
      </w:pPr>
      <w:r w:rsidRPr="001614F0">
        <w:t>post-accident</w:t>
      </w:r>
      <w:r w:rsidR="00A72BC0" w:rsidRPr="001614F0">
        <w:t>,</w:t>
      </w:r>
      <w:r w:rsidRPr="001614F0">
        <w:t xml:space="preserve"> and</w:t>
      </w:r>
      <w:r w:rsidR="00A72BC0" w:rsidRPr="001614F0">
        <w:t xml:space="preserve"> </w:t>
      </w:r>
      <w:r w:rsidR="004253C0" w:rsidRPr="001614F0">
        <w:t xml:space="preserve">if </w:t>
      </w:r>
      <w:r w:rsidRPr="001614F0">
        <w:t>the plaintiff</w:t>
      </w:r>
      <w:r w:rsidR="004253C0" w:rsidRPr="001614F0">
        <w:t xml:space="preserve"> receive</w:t>
      </w:r>
      <w:r w:rsidRPr="001614F0">
        <w:t>s</w:t>
      </w:r>
      <w:r w:rsidR="004253C0" w:rsidRPr="001614F0">
        <w:t xml:space="preserve"> medical treatment and psychotherapy, </w:t>
      </w:r>
      <w:r w:rsidR="0042189D" w:rsidRPr="001614F0">
        <w:t xml:space="preserve">and </w:t>
      </w:r>
      <w:r w:rsidR="004253C0" w:rsidRPr="001614F0">
        <w:t xml:space="preserve">because she is hardworking, she may </w:t>
      </w:r>
      <w:r w:rsidR="0042189D" w:rsidRPr="001614F0">
        <w:t xml:space="preserve">still </w:t>
      </w:r>
      <w:r w:rsidR="004253C0" w:rsidRPr="001614F0">
        <w:t xml:space="preserve">achieve </w:t>
      </w:r>
      <w:r w:rsidR="0042189D" w:rsidRPr="001614F0">
        <w:t>a tertiary education</w:t>
      </w:r>
      <w:r w:rsidR="004253C0" w:rsidRPr="001614F0">
        <w:t xml:space="preserve">, but </w:t>
      </w:r>
      <w:r w:rsidR="0042189D" w:rsidRPr="001614F0">
        <w:t>over a longer period of time</w:t>
      </w:r>
      <w:r w:rsidR="00DD420B" w:rsidRPr="001614F0">
        <w:t>,</w:t>
      </w:r>
      <w:r w:rsidR="004253C0" w:rsidRPr="001614F0">
        <w:t xml:space="preserve"> due to her emotional problems which will result in her failing subjects</w:t>
      </w:r>
      <w:r w:rsidRPr="001614F0">
        <w:t>;</w:t>
      </w:r>
      <w:r w:rsidR="00DD420B" w:rsidRPr="001614F0">
        <w:t xml:space="preserve"> </w:t>
      </w:r>
    </w:p>
    <w:p w14:paraId="52483B69" w14:textId="77777777" w:rsidR="00DD420B" w:rsidRPr="001614F0" w:rsidRDefault="00DD420B" w:rsidP="004B29ED">
      <w:pPr>
        <w:pStyle w:val="NUM2"/>
        <w:numPr>
          <w:ilvl w:val="0"/>
          <w:numId w:val="0"/>
        </w:numPr>
        <w:ind w:left="1701"/>
      </w:pPr>
    </w:p>
    <w:p w14:paraId="6DE800B2" w14:textId="46ED03E4" w:rsidR="004253C0" w:rsidRPr="001614F0" w:rsidRDefault="007A66F1" w:rsidP="00E82986">
      <w:pPr>
        <w:pStyle w:val="NUM2"/>
        <w:tabs>
          <w:tab w:val="clear" w:pos="1701"/>
          <w:tab w:val="left" w:pos="1418"/>
        </w:tabs>
        <w:ind w:left="1418" w:hanging="851"/>
      </w:pPr>
      <w:r w:rsidRPr="001614F0">
        <w:t>i</w:t>
      </w:r>
      <w:r w:rsidR="004253C0" w:rsidRPr="001614F0">
        <w:t xml:space="preserve">f </w:t>
      </w:r>
      <w:r w:rsidRPr="001614F0">
        <w:t>the plaintiff</w:t>
      </w:r>
      <w:r w:rsidR="004253C0" w:rsidRPr="001614F0">
        <w:t xml:space="preserve"> does not receive intervention, she will not succeed at university and will be left with a matric, as it is unlikely that she will attempt diploma study.</w:t>
      </w:r>
      <w:r w:rsidR="00175F73" w:rsidRPr="001614F0">
        <w:t xml:space="preserve"> </w:t>
      </w:r>
    </w:p>
    <w:p w14:paraId="786F9722" w14:textId="77777777" w:rsidR="004253C0" w:rsidRPr="001614F0" w:rsidRDefault="004253C0" w:rsidP="004B29ED">
      <w:pPr>
        <w:tabs>
          <w:tab w:val="left" w:pos="709"/>
        </w:tabs>
        <w:ind w:left="720"/>
        <w:rPr>
          <w:color w:val="000000"/>
        </w:rPr>
      </w:pPr>
    </w:p>
    <w:p w14:paraId="6B37B858" w14:textId="0DBB14DA" w:rsidR="006905FE" w:rsidRPr="001614F0" w:rsidRDefault="004253C0" w:rsidP="001614F0">
      <w:pPr>
        <w:pStyle w:val="NUM1"/>
        <w:tabs>
          <w:tab w:val="clear" w:pos="720"/>
          <w:tab w:val="num" w:pos="567"/>
        </w:tabs>
        <w:ind w:left="567" w:hanging="567"/>
      </w:pPr>
      <w:r w:rsidRPr="001614F0">
        <w:t>In Dr Rossi’s addendum report of 15</w:t>
      </w:r>
      <w:r w:rsidR="00EF2EB7" w:rsidRPr="001614F0">
        <w:t> </w:t>
      </w:r>
      <w:r w:rsidRPr="001614F0">
        <w:t xml:space="preserve">June 2022, </w:t>
      </w:r>
      <w:r w:rsidR="003563C8" w:rsidRPr="001614F0">
        <w:t xml:space="preserve">delivered pursuant to a subsequent assessment, </w:t>
      </w:r>
      <w:r w:rsidRPr="001614F0">
        <w:t xml:space="preserve">she </w:t>
      </w:r>
      <w:r w:rsidR="003563C8" w:rsidRPr="001614F0">
        <w:t>recorded</w:t>
      </w:r>
      <w:r w:rsidRPr="001614F0">
        <w:t xml:space="preserve"> that the plaintiff, with reference to her school report, passed Grade 12 at the end of 2020 with the requirements for admission to a bachelor’s degree</w:t>
      </w:r>
      <w:r w:rsidR="003563C8" w:rsidRPr="001614F0">
        <w:t>,</w:t>
      </w:r>
      <w:r w:rsidR="00EF2EB7" w:rsidRPr="001614F0">
        <w:t xml:space="preserve"> and</w:t>
      </w:r>
      <w:r w:rsidR="003563C8" w:rsidRPr="001614F0">
        <w:t xml:space="preserve"> that</w:t>
      </w:r>
      <w:r w:rsidR="00EF2EB7" w:rsidRPr="001614F0">
        <w:t xml:space="preserve"> in</w:t>
      </w:r>
      <w:r w:rsidRPr="001614F0">
        <w:t xml:space="preserve"> 2021</w:t>
      </w:r>
      <w:r w:rsidR="003563C8" w:rsidRPr="001614F0">
        <w:t xml:space="preserve"> the</w:t>
      </w:r>
      <w:r w:rsidRPr="001614F0">
        <w:t xml:space="preserve"> </w:t>
      </w:r>
      <w:r w:rsidR="003563C8" w:rsidRPr="001614F0">
        <w:t>p</w:t>
      </w:r>
      <w:r w:rsidRPr="001614F0">
        <w:t xml:space="preserve">laintiff attempted </w:t>
      </w:r>
      <w:r w:rsidR="003563C8" w:rsidRPr="001614F0">
        <w:t xml:space="preserve">tertiary </w:t>
      </w:r>
      <w:r w:rsidR="003563C8" w:rsidRPr="001614F0">
        <w:lastRenderedPageBreak/>
        <w:t xml:space="preserve">education </w:t>
      </w:r>
      <w:r w:rsidRPr="001614F0">
        <w:t xml:space="preserve">but could not cope with the online lectures and independent university studies. </w:t>
      </w:r>
    </w:p>
    <w:p w14:paraId="6CB0BB5F" w14:textId="77777777" w:rsidR="006905FE" w:rsidRPr="001614F0" w:rsidRDefault="006905FE" w:rsidP="001614F0"/>
    <w:p w14:paraId="6B74942B" w14:textId="45DD8295" w:rsidR="003563C8" w:rsidRPr="001614F0" w:rsidRDefault="007A66F1" w:rsidP="00A30E99">
      <w:pPr>
        <w:pStyle w:val="NUM1"/>
        <w:tabs>
          <w:tab w:val="clear" w:pos="720"/>
          <w:tab w:val="num" w:pos="567"/>
        </w:tabs>
        <w:ind w:left="567" w:hanging="567"/>
      </w:pPr>
      <w:r w:rsidRPr="001614F0">
        <w:t>Dr Rossi record</w:t>
      </w:r>
      <w:r w:rsidR="003563C8" w:rsidRPr="001614F0">
        <w:t>ed</w:t>
      </w:r>
      <w:r w:rsidRPr="001614F0">
        <w:t xml:space="preserve"> that</w:t>
      </w:r>
      <w:r w:rsidR="003563C8" w:rsidRPr="001614F0">
        <w:t xml:space="preserve"> the</w:t>
      </w:r>
      <w:r w:rsidR="004253C0" w:rsidRPr="001614F0">
        <w:t xml:space="preserve"> plaintiff passed 4 out of the 5 assignments</w:t>
      </w:r>
      <w:r w:rsidR="00BC4ED1" w:rsidRPr="001614F0">
        <w:t>,</w:t>
      </w:r>
      <w:r w:rsidR="00147A93" w:rsidRPr="001614F0">
        <w:t xml:space="preserve"> but</w:t>
      </w:r>
      <w:r w:rsidR="004253C0" w:rsidRPr="001614F0">
        <w:t xml:space="preserve"> failed the June </w:t>
      </w:r>
      <w:r w:rsidR="003563C8" w:rsidRPr="001614F0">
        <w:t>examinations</w:t>
      </w:r>
      <w:r w:rsidR="00147A93" w:rsidRPr="001614F0">
        <w:t>.  The plaintiff</w:t>
      </w:r>
      <w:r w:rsidR="003563C8" w:rsidRPr="001614F0">
        <w:t xml:space="preserve"> </w:t>
      </w:r>
      <w:r w:rsidR="004253C0" w:rsidRPr="001614F0">
        <w:t>did not write November examinations as she suffered a breakdown</w:t>
      </w:r>
      <w:r w:rsidR="00147A93" w:rsidRPr="001614F0">
        <w:t xml:space="preserve"> from the stress of preparing therefor</w:t>
      </w:r>
      <w:r w:rsidR="004253C0" w:rsidRPr="001614F0">
        <w:t xml:space="preserve">. </w:t>
      </w:r>
    </w:p>
    <w:p w14:paraId="2BBE2037" w14:textId="77777777" w:rsidR="003563C8" w:rsidRPr="001614F0" w:rsidRDefault="003563C8" w:rsidP="001C04C5">
      <w:pPr>
        <w:tabs>
          <w:tab w:val="num" w:pos="567"/>
        </w:tabs>
        <w:ind w:left="567" w:hanging="567"/>
      </w:pPr>
    </w:p>
    <w:p w14:paraId="15B32265" w14:textId="31BBCACB" w:rsidR="003563C8" w:rsidRPr="001614F0" w:rsidRDefault="003563C8">
      <w:pPr>
        <w:pStyle w:val="NUM1"/>
        <w:tabs>
          <w:tab w:val="clear" w:pos="720"/>
          <w:tab w:val="num" w:pos="567"/>
        </w:tabs>
        <w:ind w:left="567" w:hanging="567"/>
      </w:pPr>
      <w:r w:rsidRPr="001614F0">
        <w:t>The plaintiff’s r</w:t>
      </w:r>
      <w:r w:rsidR="004253C0" w:rsidRPr="001614F0">
        <w:t>esults are not available due to outstanding fees</w:t>
      </w:r>
      <w:r w:rsidRPr="001614F0">
        <w:t xml:space="preserve"> arising from</w:t>
      </w:r>
      <w:r w:rsidR="004253C0" w:rsidRPr="001614F0">
        <w:t xml:space="preserve"> financial </w:t>
      </w:r>
      <w:r w:rsidRPr="001614F0">
        <w:t xml:space="preserve">constraints. </w:t>
      </w:r>
      <w:r w:rsidR="00C37B4E" w:rsidRPr="001614F0">
        <w:t xml:space="preserve"> </w:t>
      </w:r>
      <w:r w:rsidRPr="001614F0">
        <w:t>These constraints led to the plaintiff dropping</w:t>
      </w:r>
      <w:r w:rsidR="004253C0" w:rsidRPr="001614F0">
        <w:t xml:space="preserve"> out</w:t>
      </w:r>
      <w:r w:rsidR="007A66F1" w:rsidRPr="001614F0">
        <w:t xml:space="preserve"> of university</w:t>
      </w:r>
      <w:r w:rsidR="004253C0" w:rsidRPr="001614F0">
        <w:t xml:space="preserve">. </w:t>
      </w:r>
    </w:p>
    <w:p w14:paraId="40DE4ED3" w14:textId="77777777" w:rsidR="003563C8" w:rsidRPr="001614F0" w:rsidRDefault="003563C8">
      <w:pPr>
        <w:tabs>
          <w:tab w:val="num" w:pos="567"/>
        </w:tabs>
        <w:ind w:left="567" w:hanging="567"/>
      </w:pPr>
    </w:p>
    <w:p w14:paraId="53654D0F" w14:textId="7B319C2E" w:rsidR="006905FE" w:rsidRPr="001614F0" w:rsidRDefault="007A66F1">
      <w:pPr>
        <w:pStyle w:val="NUM1"/>
        <w:tabs>
          <w:tab w:val="clear" w:pos="720"/>
          <w:tab w:val="num" w:pos="567"/>
        </w:tabs>
        <w:ind w:left="567" w:hanging="567"/>
      </w:pPr>
      <w:r w:rsidRPr="001614F0">
        <w:t>This was a</w:t>
      </w:r>
      <w:r w:rsidR="00413717">
        <w:t>ccords with</w:t>
      </w:r>
      <w:r w:rsidRPr="001614F0">
        <w:t xml:space="preserve"> the evidence given by the plaintiff.</w:t>
      </w:r>
      <w:r w:rsidR="00C37B4E" w:rsidRPr="001614F0">
        <w:t xml:space="preserve"> </w:t>
      </w:r>
    </w:p>
    <w:p w14:paraId="65D4853B" w14:textId="77777777" w:rsidR="006905FE" w:rsidRPr="001614F0" w:rsidRDefault="006905FE">
      <w:pPr>
        <w:tabs>
          <w:tab w:val="num" w:pos="567"/>
        </w:tabs>
        <w:ind w:left="567" w:hanging="567"/>
      </w:pPr>
    </w:p>
    <w:p w14:paraId="449E8BCD" w14:textId="42DE1EA8" w:rsidR="006905FE" w:rsidRPr="001614F0" w:rsidRDefault="004253C0">
      <w:pPr>
        <w:pStyle w:val="NUM1"/>
        <w:tabs>
          <w:tab w:val="clear" w:pos="720"/>
          <w:tab w:val="num" w:pos="567"/>
        </w:tabs>
        <w:ind w:left="567" w:hanging="567"/>
      </w:pPr>
      <w:r w:rsidRPr="001614F0">
        <w:t xml:space="preserve">Dr Rossi </w:t>
      </w:r>
      <w:r w:rsidR="007A66F1" w:rsidRPr="001614F0">
        <w:t>recorded</w:t>
      </w:r>
      <w:r w:rsidRPr="001614F0">
        <w:t xml:space="preserve"> that</w:t>
      </w:r>
      <w:r w:rsidR="00167B62">
        <w:t xml:space="preserve"> the</w:t>
      </w:r>
      <w:r w:rsidRPr="001614F0">
        <w:t xml:space="preserve"> </w:t>
      </w:r>
      <w:r w:rsidR="007A66F1" w:rsidRPr="001614F0">
        <w:t>p</w:t>
      </w:r>
      <w:r w:rsidRPr="001614F0">
        <w:t xml:space="preserve">laintiff </w:t>
      </w:r>
      <w:r w:rsidR="007A66F1" w:rsidRPr="001614F0">
        <w:t xml:space="preserve">had </w:t>
      </w:r>
      <w:r w:rsidRPr="001614F0">
        <w:t>regressed</w:t>
      </w:r>
      <w:r w:rsidR="003563C8" w:rsidRPr="001614F0">
        <w:t xml:space="preserve"> in the time between the two assessments</w:t>
      </w:r>
      <w:r w:rsidR="007A66F1" w:rsidRPr="001614F0">
        <w:t>,</w:t>
      </w:r>
      <w:r w:rsidRPr="001614F0">
        <w:t xml:space="preserve"> is in urgent need of psychological intervention</w:t>
      </w:r>
      <w:r w:rsidR="00C37B4E" w:rsidRPr="001614F0">
        <w:t>,</w:t>
      </w:r>
      <w:r w:rsidRPr="001614F0">
        <w:t xml:space="preserve"> and it is unlikely that she will return to study a bachelor’s degree</w:t>
      </w:r>
      <w:r w:rsidR="00C37B4E" w:rsidRPr="001614F0">
        <w:t>,</w:t>
      </w:r>
      <w:r w:rsidRPr="001614F0">
        <w:t xml:space="preserve"> and will be left with </w:t>
      </w:r>
      <w:r w:rsidR="00C83E89">
        <w:t>her current</w:t>
      </w:r>
      <w:r w:rsidR="00C37B4E" w:rsidRPr="001614F0">
        <w:t xml:space="preserve"> Grade </w:t>
      </w:r>
      <w:r w:rsidRPr="001614F0">
        <w:t>12</w:t>
      </w:r>
      <w:r w:rsidR="00C83E89">
        <w:t xml:space="preserve"> results</w:t>
      </w:r>
      <w:r w:rsidRPr="001614F0">
        <w:t xml:space="preserve">. </w:t>
      </w:r>
      <w:r w:rsidR="00C37B4E" w:rsidRPr="001614F0">
        <w:t xml:space="preserve"> </w:t>
      </w:r>
      <w:r w:rsidR="003563C8" w:rsidRPr="001614F0">
        <w:t xml:space="preserve">She noted further that, if the plaintiff </w:t>
      </w:r>
      <w:r w:rsidRPr="001614F0">
        <w:t>receive</w:t>
      </w:r>
      <w:r w:rsidR="003563C8" w:rsidRPr="001614F0">
        <w:t>s</w:t>
      </w:r>
      <w:r w:rsidRPr="001614F0">
        <w:t xml:space="preserve"> intervention, she may be able to learn skill</w:t>
      </w:r>
      <w:r w:rsidR="00C37B4E" w:rsidRPr="001614F0">
        <w:t>s</w:t>
      </w:r>
      <w:r w:rsidRPr="001614F0">
        <w:t xml:space="preserve"> to obtain employment, otherwise she might be faced with permanent unemployment in the current economic climate.</w:t>
      </w:r>
      <w:r w:rsidR="00C37B4E" w:rsidRPr="001614F0">
        <w:t xml:space="preserve"> </w:t>
      </w:r>
    </w:p>
    <w:p w14:paraId="6C05F7E6" w14:textId="6E42DB7C" w:rsidR="004253C0" w:rsidRPr="001614F0" w:rsidRDefault="004253C0" w:rsidP="00114875">
      <w:pPr>
        <w:pStyle w:val="NUM1"/>
        <w:numPr>
          <w:ilvl w:val="0"/>
          <w:numId w:val="0"/>
        </w:numPr>
      </w:pPr>
    </w:p>
    <w:p w14:paraId="6B2D7C26" w14:textId="1F11E0C3" w:rsidR="004253C0" w:rsidRDefault="003563C8">
      <w:pPr>
        <w:pStyle w:val="NUM1"/>
        <w:tabs>
          <w:tab w:val="clear" w:pos="720"/>
          <w:tab w:val="num" w:pos="567"/>
        </w:tabs>
        <w:ind w:left="567" w:hanging="567"/>
      </w:pPr>
      <w:r w:rsidRPr="001614F0">
        <w:t>Ms Talmud, t</w:t>
      </w:r>
      <w:r w:rsidR="004253C0" w:rsidRPr="001614F0">
        <w:t xml:space="preserve">he </w:t>
      </w:r>
      <w:r w:rsidRPr="001614F0">
        <w:t>p</w:t>
      </w:r>
      <w:r w:rsidR="004253C0" w:rsidRPr="001614F0">
        <w:t xml:space="preserve">laintiff’s </w:t>
      </w:r>
      <w:r w:rsidR="004253C0" w:rsidRPr="001614F0">
        <w:rPr>
          <w:bCs/>
        </w:rPr>
        <w:t>industrial psychologist</w:t>
      </w:r>
      <w:r w:rsidR="004253C0" w:rsidRPr="001614F0">
        <w:t xml:space="preserve">, </w:t>
      </w:r>
      <w:r w:rsidRPr="001614F0">
        <w:t>stated in her first report that</w:t>
      </w:r>
      <w:r w:rsidR="00926506">
        <w:t>,</w:t>
      </w:r>
      <w:r w:rsidR="004253C0" w:rsidRPr="001614F0">
        <w:t xml:space="preserve"> </w:t>
      </w:r>
      <w:r w:rsidR="00D63C94" w:rsidRPr="001614F0">
        <w:rPr>
          <w:color w:val="000000"/>
        </w:rPr>
        <w:t>b</w:t>
      </w:r>
      <w:r w:rsidR="004253C0" w:rsidRPr="001614F0">
        <w:rPr>
          <w:color w:val="000000"/>
        </w:rPr>
        <w:t>ut for the accident</w:t>
      </w:r>
      <w:r w:rsidR="00D63C94" w:rsidRPr="001614F0">
        <w:rPr>
          <w:color w:val="000000"/>
        </w:rPr>
        <w:t xml:space="preserve">, the plaintiff </w:t>
      </w:r>
      <w:r w:rsidR="004253C0" w:rsidRPr="001614F0">
        <w:t>would have completed Grade 12 in 2020</w:t>
      </w:r>
      <w:r w:rsidR="00D63C94" w:rsidRPr="001614F0">
        <w:t xml:space="preserve">, </w:t>
      </w:r>
      <w:r w:rsidR="008A6184">
        <w:t xml:space="preserve">it </w:t>
      </w:r>
      <w:r w:rsidR="004253C0" w:rsidRPr="001614F0">
        <w:t>would have taken her 1</w:t>
      </w:r>
      <w:r w:rsidR="00621027" w:rsidRPr="001614F0">
        <w:t xml:space="preserve"> to </w:t>
      </w:r>
      <w:r w:rsidR="004253C0" w:rsidRPr="001614F0">
        <w:t>3 years to secure permanent employment</w:t>
      </w:r>
      <w:r w:rsidR="00867926" w:rsidRPr="001614F0">
        <w:t>,</w:t>
      </w:r>
      <w:r w:rsidR="00D63C94" w:rsidRPr="001614F0">
        <w:t xml:space="preserve"> d</w:t>
      </w:r>
      <w:r w:rsidR="004253C0" w:rsidRPr="001614F0">
        <w:t xml:space="preserve">uring </w:t>
      </w:r>
      <w:r w:rsidR="00D63C94" w:rsidRPr="001614F0">
        <w:t>which</w:t>
      </w:r>
      <w:r w:rsidR="004253C0" w:rsidRPr="001614F0">
        <w:t xml:space="preserve"> time she would have been working in temporary positions, working at most 6 months per annum</w:t>
      </w:r>
      <w:r w:rsidR="00867926" w:rsidRPr="001614F0">
        <w:t>,</w:t>
      </w:r>
      <w:r w:rsidR="004253C0" w:rsidRPr="001614F0">
        <w:t xml:space="preserve"> earning in line with the National Minimum </w:t>
      </w:r>
      <w:r w:rsidR="00147A93" w:rsidRPr="001614F0">
        <w:t>W</w:t>
      </w:r>
      <w:r w:rsidR="004253C0" w:rsidRPr="001614F0">
        <w:t>age</w:t>
      </w:r>
      <w:r w:rsidR="00D63C94" w:rsidRPr="001614F0">
        <w:t xml:space="preserve">. </w:t>
      </w:r>
      <w:r w:rsidR="00867926" w:rsidRPr="001614F0">
        <w:t xml:space="preserve"> </w:t>
      </w:r>
      <w:r w:rsidR="004253C0" w:rsidRPr="001614F0">
        <w:t xml:space="preserve">On securing </w:t>
      </w:r>
      <w:r w:rsidR="004253C0" w:rsidRPr="001614F0">
        <w:lastRenderedPageBreak/>
        <w:t xml:space="preserve">permanent employment, </w:t>
      </w:r>
      <w:r w:rsidR="009C28B3" w:rsidRPr="001614F0">
        <w:t>the plaintiff</w:t>
      </w:r>
      <w:r w:rsidR="004253C0" w:rsidRPr="001614F0">
        <w:t xml:space="preserve"> would have earned in line with Paterson A3 level, lower quartile package</w:t>
      </w:r>
      <w:r w:rsidR="00D63C94" w:rsidRPr="001614F0">
        <w:t>.</w:t>
      </w:r>
      <w:r w:rsidR="00867926" w:rsidRPr="001614F0">
        <w:t xml:space="preserve"> </w:t>
      </w:r>
      <w:r w:rsidR="00D63C94" w:rsidRPr="001614F0">
        <w:t xml:space="preserve"> </w:t>
      </w:r>
      <w:r w:rsidR="004253C0" w:rsidRPr="001614F0">
        <w:t xml:space="preserve">While working in </w:t>
      </w:r>
      <w:r w:rsidR="00D63C94" w:rsidRPr="001614F0">
        <w:t>such</w:t>
      </w:r>
      <w:r w:rsidR="004253C0" w:rsidRPr="001614F0">
        <w:t xml:space="preserve"> capacity</w:t>
      </w:r>
      <w:r w:rsidR="00867926" w:rsidRPr="001614F0">
        <w:t>,</w:t>
      </w:r>
      <w:r w:rsidR="004253C0" w:rsidRPr="001614F0">
        <w:t xml:space="preserve"> </w:t>
      </w:r>
      <w:r w:rsidR="00D63C94" w:rsidRPr="001614F0">
        <w:t>the plaintiff</w:t>
      </w:r>
      <w:r w:rsidR="004253C0" w:rsidRPr="001614F0">
        <w:t xml:space="preserve"> would have studied part</w:t>
      </w:r>
      <w:r w:rsidR="00F4388D">
        <w:t>-</w:t>
      </w:r>
      <w:r w:rsidR="004253C0" w:rsidRPr="001614F0">
        <w:t>time towards a degree</w:t>
      </w:r>
      <w:r w:rsidR="00867926" w:rsidRPr="001614F0">
        <w:t>,</w:t>
      </w:r>
      <w:r w:rsidR="004253C0" w:rsidRPr="001614F0">
        <w:t xml:space="preserve"> and would have completed same within 5</w:t>
      </w:r>
      <w:r w:rsidR="00D63C94" w:rsidRPr="001614F0">
        <w:t xml:space="preserve"> to </w:t>
      </w:r>
      <w:r w:rsidR="004253C0" w:rsidRPr="001614F0">
        <w:t xml:space="preserve">6 years. </w:t>
      </w:r>
      <w:r w:rsidR="00D63C94" w:rsidRPr="001614F0">
        <w:t xml:space="preserve"> </w:t>
      </w:r>
      <w:r w:rsidR="004253C0" w:rsidRPr="001614F0">
        <w:t>With a degree</w:t>
      </w:r>
      <w:r w:rsidR="00867926" w:rsidRPr="001614F0">
        <w:t>,</w:t>
      </w:r>
      <w:r w:rsidR="004253C0" w:rsidRPr="001614F0">
        <w:t xml:space="preserve"> her earnings would have increased to the Paterson B3 median package.</w:t>
      </w:r>
      <w:r w:rsidR="00D63C94" w:rsidRPr="001614F0">
        <w:t xml:space="preserve">  The plaintiff</w:t>
      </w:r>
      <w:r w:rsidR="004253C0" w:rsidRPr="001614F0">
        <w:t xml:space="preserve"> would have reached her career ceiling at the age of 45</w:t>
      </w:r>
      <w:r w:rsidR="00867926" w:rsidRPr="001614F0">
        <w:t>,</w:t>
      </w:r>
      <w:r w:rsidR="004253C0" w:rsidRPr="001614F0">
        <w:t xml:space="preserve"> earning in line with the D2 median package</w:t>
      </w:r>
      <w:r w:rsidR="00867926" w:rsidRPr="001614F0">
        <w:t>,</w:t>
      </w:r>
      <w:r w:rsidR="00D63C94" w:rsidRPr="001614F0">
        <w:t xml:space="preserve"> and t</w:t>
      </w:r>
      <w:r w:rsidR="004253C0" w:rsidRPr="001614F0">
        <w:t xml:space="preserve">hereafter annual increases would have been applicable until retirement age of 65. </w:t>
      </w:r>
    </w:p>
    <w:p w14:paraId="0BE85B4E" w14:textId="77777777" w:rsidR="005166F2" w:rsidRPr="005166F2" w:rsidRDefault="005166F2" w:rsidP="005166F2"/>
    <w:p w14:paraId="539A0CC4" w14:textId="4B31F848" w:rsidR="00147A93" w:rsidRPr="001614F0" w:rsidRDefault="004253C0" w:rsidP="001614F0">
      <w:pPr>
        <w:pStyle w:val="NUM1"/>
        <w:tabs>
          <w:tab w:val="clear" w:pos="720"/>
          <w:tab w:val="num" w:pos="567"/>
        </w:tabs>
        <w:ind w:left="567" w:hanging="567"/>
      </w:pPr>
      <w:r w:rsidRPr="001614F0">
        <w:t>In M</w:t>
      </w:r>
      <w:r w:rsidR="009C28B3" w:rsidRPr="001614F0">
        <w:t>s</w:t>
      </w:r>
      <w:r w:rsidRPr="001614F0">
        <w:t xml:space="preserve"> Talmud’s addendum report dated 11</w:t>
      </w:r>
      <w:r w:rsidR="001062B1" w:rsidRPr="001614F0">
        <w:t> </w:t>
      </w:r>
      <w:r w:rsidRPr="001614F0">
        <w:t>July 2022</w:t>
      </w:r>
      <w:r w:rsidR="009C28B3" w:rsidRPr="001614F0">
        <w:t>, delivered pursuant to a fu</w:t>
      </w:r>
      <w:r w:rsidR="00ED50EC" w:rsidRPr="001614F0">
        <w:t xml:space="preserve">rther assessment of the plaintiff, and on review of </w:t>
      </w:r>
      <w:r w:rsidRPr="001614F0">
        <w:t>further documents received</w:t>
      </w:r>
      <w:r w:rsidR="001062B1" w:rsidRPr="001614F0">
        <w:t>,</w:t>
      </w:r>
      <w:r w:rsidRPr="001614F0">
        <w:t xml:space="preserve"> </w:t>
      </w:r>
      <w:r w:rsidR="00ED50EC" w:rsidRPr="001614F0">
        <w:t>including</w:t>
      </w:r>
      <w:r w:rsidRPr="001614F0">
        <w:t xml:space="preserve"> the plaintiff’s National Senior Certificate (of 2020)</w:t>
      </w:r>
      <w:r w:rsidR="00ED50EC" w:rsidRPr="001614F0">
        <w:t>,</w:t>
      </w:r>
      <w:r w:rsidRPr="001614F0">
        <w:t xml:space="preserve"> the addendum report completed by Dr Rossi and a follow</w:t>
      </w:r>
      <w:r w:rsidR="001062B1" w:rsidRPr="001614F0">
        <w:t>-</w:t>
      </w:r>
      <w:r w:rsidRPr="001614F0">
        <w:t>up interview with the plaintiff’s mother,</w:t>
      </w:r>
      <w:r w:rsidR="005B51E1" w:rsidRPr="001614F0">
        <w:t xml:space="preserve"> concludes</w:t>
      </w:r>
      <w:r w:rsidRPr="001614F0">
        <w:t xml:space="preserve"> that the plaintiff’s career prospect</w:t>
      </w:r>
      <w:r w:rsidR="005B51E1" w:rsidRPr="001614F0">
        <w:t>s</w:t>
      </w:r>
      <w:r w:rsidRPr="001614F0">
        <w:t xml:space="preserve"> are</w:t>
      </w:r>
      <w:r w:rsidR="005B51E1" w:rsidRPr="001614F0">
        <w:t>,</w:t>
      </w:r>
      <w:r w:rsidR="00ED50EC" w:rsidRPr="001614F0">
        <w:t xml:space="preserve"> </w:t>
      </w:r>
      <w:r w:rsidR="005B51E1" w:rsidRPr="001614F0">
        <w:rPr>
          <w:color w:val="000000"/>
        </w:rPr>
        <w:t>b</w:t>
      </w:r>
      <w:r w:rsidRPr="001614F0">
        <w:rPr>
          <w:color w:val="000000"/>
        </w:rPr>
        <w:t>ut for the accident</w:t>
      </w:r>
      <w:r w:rsidR="005B51E1" w:rsidRPr="001614F0">
        <w:rPr>
          <w:color w:val="000000"/>
        </w:rPr>
        <w:t>,</w:t>
      </w:r>
      <w:r w:rsidRPr="001614F0">
        <w:t xml:space="preserve"> the same as stated in her initial report</w:t>
      </w:r>
      <w:r w:rsidR="005B51E1" w:rsidRPr="001614F0">
        <w:t xml:space="preserve">. </w:t>
      </w:r>
    </w:p>
    <w:p w14:paraId="0F770682" w14:textId="77777777" w:rsidR="00147A93" w:rsidRPr="001614F0" w:rsidRDefault="00147A93">
      <w:pPr>
        <w:tabs>
          <w:tab w:val="num" w:pos="567"/>
        </w:tabs>
        <w:ind w:left="567" w:hanging="567"/>
      </w:pPr>
    </w:p>
    <w:p w14:paraId="62DE0D33" w14:textId="6D711EBC" w:rsidR="00147A93" w:rsidRPr="001614F0" w:rsidRDefault="004253C0">
      <w:pPr>
        <w:pStyle w:val="NUM1"/>
        <w:tabs>
          <w:tab w:val="clear" w:pos="720"/>
          <w:tab w:val="num" w:pos="567"/>
        </w:tabs>
        <w:ind w:left="567" w:hanging="567"/>
      </w:pPr>
      <w:r w:rsidRPr="001614F0">
        <w:rPr>
          <w:color w:val="000000"/>
        </w:rPr>
        <w:t>Having regard to</w:t>
      </w:r>
      <w:r w:rsidR="00E0509B" w:rsidRPr="001614F0">
        <w:rPr>
          <w:color w:val="000000"/>
        </w:rPr>
        <w:t xml:space="preserve"> the </w:t>
      </w:r>
      <w:r w:rsidRPr="001614F0">
        <w:rPr>
          <w:color w:val="000000"/>
        </w:rPr>
        <w:t>accident</w:t>
      </w:r>
      <w:r w:rsidR="00147A93" w:rsidRPr="001614F0">
        <w:rPr>
          <w:color w:val="000000"/>
        </w:rPr>
        <w:t>,</w:t>
      </w:r>
      <w:r w:rsidRPr="001614F0">
        <w:rPr>
          <w:color w:val="000000"/>
        </w:rPr>
        <w:t xml:space="preserve"> </w:t>
      </w:r>
      <w:r w:rsidR="005B51E1" w:rsidRPr="001614F0">
        <w:rPr>
          <w:color w:val="000000"/>
        </w:rPr>
        <w:t>t</w:t>
      </w:r>
      <w:r w:rsidRPr="001614F0">
        <w:t>he plaintiff will secure employment within two years of the date of the report</w:t>
      </w:r>
      <w:r w:rsidR="00731C39" w:rsidRPr="001614F0">
        <w:t>,</w:t>
      </w:r>
      <w:r w:rsidR="005B51E1" w:rsidRPr="001614F0">
        <w:t xml:space="preserve"> </w:t>
      </w:r>
      <w:r w:rsidR="00E0509B" w:rsidRPr="001614F0">
        <w:t xml:space="preserve">when </w:t>
      </w:r>
      <w:r w:rsidR="005B51E1" w:rsidRPr="001614F0">
        <w:t>s</w:t>
      </w:r>
      <w:r w:rsidRPr="001614F0">
        <w:t xml:space="preserve">he will earn in line with the National </w:t>
      </w:r>
      <w:r w:rsidR="005B51E1" w:rsidRPr="001614F0">
        <w:t>M</w:t>
      </w:r>
      <w:r w:rsidRPr="001614F0">
        <w:t xml:space="preserve">inimum </w:t>
      </w:r>
      <w:r w:rsidR="005B51E1" w:rsidRPr="001614F0">
        <w:t>W</w:t>
      </w:r>
      <w:r w:rsidRPr="001614F0">
        <w:t>age, working 50% of the time.</w:t>
      </w:r>
      <w:r w:rsidR="005B51E1" w:rsidRPr="001614F0">
        <w:t xml:space="preserve"> </w:t>
      </w:r>
    </w:p>
    <w:p w14:paraId="3EF58589" w14:textId="77777777" w:rsidR="00147A93" w:rsidRPr="001614F0" w:rsidRDefault="00147A93"/>
    <w:p w14:paraId="19B6136D" w14:textId="65448FBE" w:rsidR="004253C0" w:rsidRDefault="004253C0">
      <w:pPr>
        <w:pStyle w:val="NUM1"/>
        <w:tabs>
          <w:tab w:val="clear" w:pos="720"/>
          <w:tab w:val="num" w:pos="567"/>
        </w:tabs>
        <w:ind w:left="567" w:hanging="567"/>
      </w:pPr>
      <w:r w:rsidRPr="001614F0">
        <w:t>With further training and work experience, she will progress to reach her career ceiling by the age of 45.</w:t>
      </w:r>
      <w:r w:rsidR="00731C39" w:rsidRPr="001614F0">
        <w:t xml:space="preserve"> </w:t>
      </w:r>
      <w:r w:rsidR="005B51E1" w:rsidRPr="001614F0">
        <w:t xml:space="preserve"> </w:t>
      </w:r>
      <w:r w:rsidRPr="001614F0">
        <w:t>Upon reaching her career ceiling, she</w:t>
      </w:r>
      <w:r w:rsidR="00731C39" w:rsidRPr="001614F0">
        <w:t xml:space="preserve"> will </w:t>
      </w:r>
      <w:r w:rsidRPr="001614F0">
        <w:t>earn in line with the Paterson A2 median basic salary</w:t>
      </w:r>
      <w:r w:rsidR="00731C39" w:rsidRPr="001614F0">
        <w:t>,</w:t>
      </w:r>
      <w:r w:rsidRPr="001614F0">
        <w:t xml:space="preserve"> plus an annual bonus equal to one month’s salary. </w:t>
      </w:r>
      <w:r w:rsidR="005B51E1" w:rsidRPr="001614F0">
        <w:t xml:space="preserve"> </w:t>
      </w:r>
      <w:r w:rsidRPr="001614F0">
        <w:t>Thereafter</w:t>
      </w:r>
      <w:r w:rsidR="00731C39" w:rsidRPr="001614F0">
        <w:t>,</w:t>
      </w:r>
      <w:r w:rsidRPr="001614F0">
        <w:t xml:space="preserve"> inflationary increases will be applicable until retirement age of 65. </w:t>
      </w:r>
    </w:p>
    <w:p w14:paraId="124B6BEE" w14:textId="72783F42" w:rsidR="00B77FDE" w:rsidRDefault="00B77FDE" w:rsidP="00B77FDE"/>
    <w:p w14:paraId="0A1FB0DB" w14:textId="4D4B0882" w:rsidR="00B77FDE" w:rsidRPr="00B77FDE" w:rsidRDefault="00B77FDE" w:rsidP="005166F2">
      <w:pPr>
        <w:keepNext/>
        <w:rPr>
          <w:b/>
          <w:bCs/>
          <w:u w:val="single"/>
        </w:rPr>
      </w:pPr>
      <w:r w:rsidRPr="00B77FDE">
        <w:rPr>
          <w:b/>
          <w:bCs/>
          <w:u w:val="single"/>
        </w:rPr>
        <w:lastRenderedPageBreak/>
        <w:t>The defendant’s case</w:t>
      </w:r>
    </w:p>
    <w:p w14:paraId="2EDFBA67" w14:textId="47ABF3CC" w:rsidR="00520515" w:rsidRDefault="00520515" w:rsidP="005166F2">
      <w:pPr>
        <w:keepNext/>
      </w:pPr>
    </w:p>
    <w:p w14:paraId="5D16475B" w14:textId="07AF6267" w:rsidR="00B77FDE" w:rsidRDefault="00B77FDE" w:rsidP="005166F2">
      <w:pPr>
        <w:pStyle w:val="NUM1"/>
        <w:keepNext/>
        <w:tabs>
          <w:tab w:val="clear" w:pos="720"/>
          <w:tab w:val="num" w:pos="567"/>
        </w:tabs>
        <w:ind w:left="567" w:hanging="567"/>
      </w:pPr>
      <w:r w:rsidRPr="001614F0">
        <w:t xml:space="preserve">The defendant’s case was limited to a proposition that the plaintiff’s injuries, and the detrimental effect thereof on her ability to acquire a tertiary qualification and secure employment and maintain employment, would improve consequent upon the improved medical care that would result from the undertaking aforesaid.  </w:t>
      </w:r>
      <w:r w:rsidR="00D15BAB">
        <w:t>This proposition is no more than a hypothesis.</w:t>
      </w:r>
      <w:r w:rsidR="005C2927">
        <w:t xml:space="preserve"> </w:t>
      </w:r>
    </w:p>
    <w:p w14:paraId="4D8E5A3F" w14:textId="77777777" w:rsidR="00B77FDE" w:rsidRPr="00B77FDE" w:rsidRDefault="00B77FDE" w:rsidP="00B77FDE"/>
    <w:p w14:paraId="1619FBDC" w14:textId="10633250" w:rsidR="009E67D6" w:rsidRDefault="00D15BAB" w:rsidP="009E67D6">
      <w:pPr>
        <w:pStyle w:val="NUM1"/>
        <w:tabs>
          <w:tab w:val="clear" w:pos="720"/>
          <w:tab w:val="num" w:pos="567"/>
        </w:tabs>
        <w:ind w:left="567" w:hanging="567"/>
      </w:pPr>
      <w:r>
        <w:t>But, t</w:t>
      </w:r>
      <w:r w:rsidR="009E67D6">
        <w:t>he defendant was unable to put any factual basis for its hypothesis to the witnesses and</w:t>
      </w:r>
      <w:r>
        <w:t>, as such,</w:t>
      </w:r>
      <w:r w:rsidR="009E67D6">
        <w:t xml:space="preserve"> its case was predicated on</w:t>
      </w:r>
      <w:r>
        <w:t xml:space="preserve"> mere</w:t>
      </w:r>
      <w:r w:rsidR="009E67D6">
        <w:t xml:space="preserve"> speculation.</w:t>
      </w:r>
    </w:p>
    <w:p w14:paraId="2506EF60" w14:textId="77777777" w:rsidR="009E67D6" w:rsidRDefault="009E67D6" w:rsidP="009E67D6">
      <w:pPr>
        <w:pStyle w:val="NUM1"/>
        <w:numPr>
          <w:ilvl w:val="0"/>
          <w:numId w:val="0"/>
        </w:numPr>
        <w:ind w:left="567"/>
      </w:pPr>
    </w:p>
    <w:p w14:paraId="73332F93" w14:textId="1C37A651" w:rsidR="00520515" w:rsidRPr="001614F0" w:rsidRDefault="00D15BAB" w:rsidP="00520515">
      <w:pPr>
        <w:pStyle w:val="NUM1"/>
        <w:tabs>
          <w:tab w:val="clear" w:pos="720"/>
          <w:tab w:val="num" w:pos="567"/>
        </w:tabs>
        <w:ind w:left="567" w:hanging="567"/>
      </w:pPr>
      <w:r>
        <w:t>Mr Naidoo put the defendant’s proposition</w:t>
      </w:r>
      <w:r w:rsidR="00520515" w:rsidRPr="001614F0">
        <w:t xml:space="preserve"> robustly put to each of the plaintiff’s medical experts</w:t>
      </w:r>
      <w:r w:rsidR="00612784">
        <w:t>,</w:t>
      </w:r>
      <w:r w:rsidR="00520515" w:rsidRPr="001614F0">
        <w:t xml:space="preserve"> and </w:t>
      </w:r>
      <w:r>
        <w:t xml:space="preserve">it was </w:t>
      </w:r>
      <w:r w:rsidR="00520515" w:rsidRPr="001614F0">
        <w:t xml:space="preserve">equally robustly rejected by them. </w:t>
      </w:r>
    </w:p>
    <w:p w14:paraId="0DB503C1" w14:textId="77777777" w:rsidR="00520515" w:rsidRPr="001614F0" w:rsidRDefault="00520515" w:rsidP="00520515">
      <w:pPr>
        <w:tabs>
          <w:tab w:val="num" w:pos="567"/>
        </w:tabs>
        <w:ind w:left="567" w:hanging="567"/>
      </w:pPr>
    </w:p>
    <w:p w14:paraId="117A0633" w14:textId="4436DD8D" w:rsidR="004253C0" w:rsidRDefault="00A8303B" w:rsidP="004B29ED">
      <w:pPr>
        <w:pStyle w:val="NUM1"/>
        <w:tabs>
          <w:tab w:val="clear" w:pos="720"/>
          <w:tab w:val="num" w:pos="567"/>
        </w:tabs>
        <w:ind w:left="567" w:hanging="567"/>
      </w:pPr>
      <w:r>
        <w:t>T</w:t>
      </w:r>
      <w:r w:rsidR="00520515" w:rsidRPr="001614F0">
        <w:t>he defendant was unable to mount any meaningful challenge to the evidence adduced by the plaintiff</w:t>
      </w:r>
      <w:r w:rsidR="00612784">
        <w:t>, or to</w:t>
      </w:r>
      <w:r>
        <w:t xml:space="preserve"> t</w:t>
      </w:r>
      <w:r w:rsidR="00520515">
        <w:t xml:space="preserve">he factual </w:t>
      </w:r>
      <w:r w:rsidR="00C83E89">
        <w:t>premise upon which the opinions</w:t>
      </w:r>
      <w:r w:rsidR="00520515">
        <w:t xml:space="preserve"> of </w:t>
      </w:r>
      <w:r w:rsidR="00CD041F">
        <w:t>Dr Townsend,</w:t>
      </w:r>
      <w:r w:rsidR="00520515">
        <w:t xml:space="preserve"> Dr</w:t>
      </w:r>
      <w:r w:rsidR="007329A4">
        <w:t> </w:t>
      </w:r>
      <w:r w:rsidR="00520515">
        <w:t>Rossi and Ms Talmud</w:t>
      </w:r>
      <w:r w:rsidR="00C83E89">
        <w:t xml:space="preserve"> were based</w:t>
      </w:r>
      <w:r>
        <w:t xml:space="preserve">. </w:t>
      </w:r>
    </w:p>
    <w:p w14:paraId="16959B76" w14:textId="0479ADE6" w:rsidR="00B77FDE" w:rsidRDefault="00B77FDE" w:rsidP="00B77FDE"/>
    <w:p w14:paraId="4B111497" w14:textId="7624FB89" w:rsidR="00B77FDE" w:rsidRDefault="00B77FDE" w:rsidP="00B77FDE">
      <w:pPr>
        <w:pStyle w:val="NUM1"/>
        <w:tabs>
          <w:tab w:val="clear" w:pos="720"/>
          <w:tab w:val="num" w:pos="567"/>
        </w:tabs>
        <w:ind w:left="567" w:hanging="567"/>
      </w:pPr>
      <w:r>
        <w:t>I must find, therefore, that the experts’ conclusions a</w:t>
      </w:r>
      <w:r w:rsidR="007F7F75">
        <w:t>re</w:t>
      </w:r>
      <w:r>
        <w:t xml:space="preserve"> “</w:t>
      </w:r>
      <w:r w:rsidRPr="007329A4">
        <w:rPr>
          <w:i/>
          <w:iCs/>
        </w:rPr>
        <w:t>solid</w:t>
      </w:r>
      <w:r>
        <w:t xml:space="preserve">” as contemplated in </w:t>
      </w:r>
      <w:r w:rsidRPr="00B77FDE">
        <w:rPr>
          <w:b/>
          <w:bCs/>
        </w:rPr>
        <w:t>Chakane</w:t>
      </w:r>
      <w:r w:rsidR="007329A4">
        <w:t xml:space="preserve">, </w:t>
      </w:r>
      <w:r w:rsidR="007F7F75">
        <w:t>in the sense of</w:t>
      </w:r>
      <w:r w:rsidR="00FA3809">
        <w:t xml:space="preserve"> being</w:t>
      </w:r>
      <w:r w:rsidR="007F7F75">
        <w:t xml:space="preserve"> independent</w:t>
      </w:r>
      <w:r w:rsidR="00FA3809">
        <w:t xml:space="preserve"> and founded</w:t>
      </w:r>
      <w:r w:rsidR="007F7F75">
        <w:t xml:space="preserve"> </w:t>
      </w:r>
      <w:r w:rsidR="00FA3809">
        <w:t>on</w:t>
      </w:r>
      <w:r w:rsidR="007F7F75">
        <w:t xml:space="preserve"> the</w:t>
      </w:r>
      <w:r w:rsidR="00C83E89">
        <w:t xml:space="preserve"> proved</w:t>
      </w:r>
      <w:r w:rsidR="007F7F75">
        <w:t xml:space="preserve"> facts. </w:t>
      </w:r>
    </w:p>
    <w:p w14:paraId="51AEAE05" w14:textId="77777777" w:rsidR="00A8303B" w:rsidRPr="00A8303B" w:rsidRDefault="00A8303B" w:rsidP="00A8303B"/>
    <w:p w14:paraId="094BAC3B" w14:textId="1BD401EB" w:rsidR="006905FE" w:rsidRPr="001614F0" w:rsidRDefault="006905FE" w:rsidP="003979C6">
      <w:pPr>
        <w:keepNext/>
        <w:tabs>
          <w:tab w:val="left" w:pos="709"/>
        </w:tabs>
        <w:rPr>
          <w:b/>
          <w:bCs/>
          <w:color w:val="000000"/>
          <w:u w:val="single"/>
        </w:rPr>
      </w:pPr>
      <w:r w:rsidRPr="001614F0">
        <w:rPr>
          <w:b/>
          <w:bCs/>
          <w:color w:val="000000"/>
          <w:u w:val="single"/>
        </w:rPr>
        <w:t xml:space="preserve">The actuarial calculation </w:t>
      </w:r>
    </w:p>
    <w:p w14:paraId="47CF895E" w14:textId="77777777" w:rsidR="00621027" w:rsidRPr="001614F0" w:rsidRDefault="00621027" w:rsidP="005166F2">
      <w:pPr>
        <w:tabs>
          <w:tab w:val="num" w:pos="567"/>
        </w:tabs>
      </w:pPr>
    </w:p>
    <w:p w14:paraId="3585F971" w14:textId="2D835144" w:rsidR="00272965" w:rsidRPr="001614F0" w:rsidRDefault="003C4F04" w:rsidP="004B29ED">
      <w:pPr>
        <w:pStyle w:val="NUM1"/>
        <w:tabs>
          <w:tab w:val="clear" w:pos="720"/>
          <w:tab w:val="num" w:pos="567"/>
        </w:tabs>
        <w:ind w:left="567" w:hanging="567"/>
      </w:pPr>
      <w:r w:rsidRPr="001614F0">
        <w:t xml:space="preserve">Gerard Jacobson Consulting </w:t>
      </w:r>
      <w:r w:rsidRPr="00F3437C">
        <w:rPr>
          <w:bCs/>
        </w:rPr>
        <w:t>Actuaries</w:t>
      </w:r>
      <w:r w:rsidRPr="001614F0">
        <w:t xml:space="preserve"> compiled a </w:t>
      </w:r>
      <w:r w:rsidR="005166F2">
        <w:t>second</w:t>
      </w:r>
      <w:r w:rsidRPr="001614F0">
        <w:t xml:space="preserve"> report on 11</w:t>
      </w:r>
      <w:r w:rsidR="00BC029E" w:rsidRPr="001614F0">
        <w:t> </w:t>
      </w:r>
      <w:r w:rsidRPr="001614F0">
        <w:t>July 2022</w:t>
      </w:r>
      <w:r w:rsidR="005166F2">
        <w:t xml:space="preserve"> (the first report having been rendered academic by Ms Talmud’s addendum </w:t>
      </w:r>
      <w:r w:rsidR="005166F2">
        <w:lastRenderedPageBreak/>
        <w:t>report)</w:t>
      </w:r>
      <w:r w:rsidR="00BC029E" w:rsidRPr="001614F0">
        <w:t>,</w:t>
      </w:r>
      <w:r w:rsidRPr="001614F0">
        <w:t xml:space="preserve"> based on </w:t>
      </w:r>
      <w:r w:rsidR="00621027" w:rsidRPr="001614F0">
        <w:t>Ms Talmud’s</w:t>
      </w:r>
      <w:r w:rsidRPr="001614F0">
        <w:t xml:space="preserve"> addendum report on </w:t>
      </w:r>
      <w:r w:rsidR="00621027" w:rsidRPr="001614F0">
        <w:t>the</w:t>
      </w:r>
      <w:r w:rsidRPr="001614F0">
        <w:t xml:space="preserve"> basis </w:t>
      </w:r>
      <w:r w:rsidR="00621027" w:rsidRPr="001614F0">
        <w:t xml:space="preserve">of the </w:t>
      </w:r>
      <w:r w:rsidRPr="001614F0">
        <w:t>only post-</w:t>
      </w:r>
      <w:r w:rsidR="00272965" w:rsidRPr="001614F0">
        <w:t>accident</w:t>
      </w:r>
      <w:r w:rsidRPr="001614F0">
        <w:t xml:space="preserve"> scenario</w:t>
      </w:r>
      <w:r w:rsidR="00621027" w:rsidRPr="001614F0">
        <w:t xml:space="preserve"> being that</w:t>
      </w:r>
      <w:r w:rsidRPr="001614F0">
        <w:t xml:space="preserve"> the plaintiff would be left with Grade 12</w:t>
      </w:r>
      <w:r w:rsidR="00BC029E" w:rsidRPr="001614F0">
        <w:t>,</w:t>
      </w:r>
      <w:r w:rsidRPr="001614F0">
        <w:t xml:space="preserve"> with a career ceiling in line with Paterson A2 median basic salary level</w:t>
      </w:r>
      <w:r w:rsidR="00F3437C">
        <w:t>.</w:t>
      </w:r>
      <w:r w:rsidRPr="001614F0">
        <w:t xml:space="preserve"> </w:t>
      </w:r>
    </w:p>
    <w:p w14:paraId="3B4069DE" w14:textId="77777777" w:rsidR="00F3437C" w:rsidRDefault="00F3437C" w:rsidP="004B29ED">
      <w:pPr>
        <w:pStyle w:val="NUM1"/>
        <w:numPr>
          <w:ilvl w:val="0"/>
          <w:numId w:val="0"/>
        </w:numPr>
        <w:ind w:left="567"/>
      </w:pPr>
    </w:p>
    <w:p w14:paraId="30F739D2" w14:textId="0BCD2447" w:rsidR="007F7F75" w:rsidRDefault="00733FF1">
      <w:pPr>
        <w:pStyle w:val="NUM1"/>
        <w:tabs>
          <w:tab w:val="clear" w:pos="720"/>
          <w:tab w:val="num" w:pos="567"/>
        </w:tabs>
        <w:ind w:left="567" w:hanging="567"/>
      </w:pPr>
      <w:r w:rsidRPr="001614F0">
        <w:t xml:space="preserve">The </w:t>
      </w:r>
      <w:r w:rsidR="00272965" w:rsidRPr="001614F0">
        <w:t xml:space="preserve">plaintiff’s past loss of earnings </w:t>
      </w:r>
      <w:r w:rsidRPr="001614F0">
        <w:t>were</w:t>
      </w:r>
      <w:r w:rsidR="00272965" w:rsidRPr="001614F0">
        <w:t xml:space="preserve"> calculated at R</w:t>
      </w:r>
      <w:r w:rsidR="002E5BB7" w:rsidRPr="001614F0">
        <w:t>40 230.00</w:t>
      </w:r>
      <w:r w:rsidR="00272965" w:rsidRPr="001614F0">
        <w:t xml:space="preserve"> and, b</w:t>
      </w:r>
      <w:r w:rsidR="003C4F04" w:rsidRPr="001614F0">
        <w:t>ut for the accident</w:t>
      </w:r>
      <w:r w:rsidR="00272965" w:rsidRPr="001614F0">
        <w:t>, the p</w:t>
      </w:r>
      <w:r w:rsidR="003C4F04" w:rsidRPr="001614F0">
        <w:t>laintiff would have earned R10 869</w:t>
      </w:r>
      <w:r w:rsidR="002E5BB7" w:rsidRPr="001614F0">
        <w:t> </w:t>
      </w:r>
      <w:r w:rsidR="003C4F04" w:rsidRPr="001614F0">
        <w:t>410</w:t>
      </w:r>
      <w:r w:rsidR="002E5BB7" w:rsidRPr="001614F0">
        <w:t>.00</w:t>
      </w:r>
      <w:r w:rsidR="003C4F04" w:rsidRPr="001614F0">
        <w:t xml:space="preserve"> until retirement age.</w:t>
      </w:r>
      <w:r w:rsidR="00272965" w:rsidRPr="001614F0">
        <w:t xml:space="preserve"> </w:t>
      </w:r>
    </w:p>
    <w:p w14:paraId="0BEFF585" w14:textId="77777777" w:rsidR="007F7F75" w:rsidRPr="007F7F75" w:rsidRDefault="007F7F75" w:rsidP="007F7F75"/>
    <w:p w14:paraId="071C9DE8" w14:textId="71B7A2E1" w:rsidR="003C4F04" w:rsidRPr="001614F0" w:rsidRDefault="00272965">
      <w:pPr>
        <w:pStyle w:val="NUM1"/>
        <w:tabs>
          <w:tab w:val="clear" w:pos="720"/>
          <w:tab w:val="num" w:pos="567"/>
        </w:tabs>
        <w:ind w:left="567" w:hanging="567"/>
      </w:pPr>
      <w:r w:rsidRPr="001614F0">
        <w:t xml:space="preserve">Now, </w:t>
      </w:r>
      <w:r w:rsidR="002E5BB7" w:rsidRPr="001614F0">
        <w:t xml:space="preserve">and as a result of the accident, </w:t>
      </w:r>
      <w:r w:rsidRPr="001614F0">
        <w:t xml:space="preserve">the plaintiff’s potential future earnings </w:t>
      </w:r>
      <w:r w:rsidR="00C86E10" w:rsidRPr="001614F0">
        <w:t xml:space="preserve">until retirement age </w:t>
      </w:r>
      <w:r w:rsidRPr="001614F0">
        <w:t>are estimated at</w:t>
      </w:r>
      <w:r w:rsidR="003C4F04" w:rsidRPr="001614F0">
        <w:t xml:space="preserve"> R1 930</w:t>
      </w:r>
      <w:r w:rsidRPr="001614F0">
        <w:t> </w:t>
      </w:r>
      <w:r w:rsidR="003C4F04" w:rsidRPr="001614F0">
        <w:t>610</w:t>
      </w:r>
      <w:r w:rsidRPr="001614F0">
        <w:t>.00</w:t>
      </w:r>
      <w:r w:rsidR="00733FF1" w:rsidRPr="001614F0">
        <w:t>, having regard to the accident.</w:t>
      </w:r>
      <w:r w:rsidRPr="001614F0">
        <w:t xml:space="preserve"> </w:t>
      </w:r>
    </w:p>
    <w:p w14:paraId="6477FD34" w14:textId="77777777" w:rsidR="006905FE" w:rsidRPr="001614F0" w:rsidRDefault="006905FE"/>
    <w:p w14:paraId="48AF748D" w14:textId="6A39AA6D" w:rsidR="006905FE" w:rsidRPr="001614F0" w:rsidRDefault="006905FE" w:rsidP="00716D67">
      <w:pPr>
        <w:keepNext/>
        <w:rPr>
          <w:b/>
          <w:bCs/>
          <w:u w:val="single"/>
        </w:rPr>
      </w:pPr>
      <w:r w:rsidRPr="001614F0">
        <w:rPr>
          <w:b/>
          <w:bCs/>
          <w:u w:val="single"/>
        </w:rPr>
        <w:t>Determining the quantum of damages</w:t>
      </w:r>
    </w:p>
    <w:p w14:paraId="414BFF13" w14:textId="77777777" w:rsidR="006905FE" w:rsidRPr="001614F0" w:rsidRDefault="006905FE" w:rsidP="00716D67">
      <w:pPr>
        <w:keepNext/>
        <w:rPr>
          <w:b/>
          <w:bCs/>
          <w:u w:val="single"/>
        </w:rPr>
      </w:pPr>
    </w:p>
    <w:p w14:paraId="6A089D11" w14:textId="25D22DA6" w:rsidR="002F206F" w:rsidRPr="001614F0" w:rsidRDefault="002F206F" w:rsidP="00716D67">
      <w:pPr>
        <w:pStyle w:val="NUM1"/>
        <w:keepNext/>
        <w:numPr>
          <w:ilvl w:val="0"/>
          <w:numId w:val="1"/>
        </w:numPr>
        <w:tabs>
          <w:tab w:val="clear" w:pos="720"/>
          <w:tab w:val="num" w:pos="567"/>
        </w:tabs>
        <w:ind w:left="567" w:hanging="567"/>
      </w:pPr>
      <w:r w:rsidRPr="001614F0">
        <w:t xml:space="preserve">Mr Naidoo argued, with some vigour, that </w:t>
      </w:r>
      <w:r w:rsidR="005166F2">
        <w:t>the court</w:t>
      </w:r>
      <w:r w:rsidRPr="001614F0">
        <w:t xml:space="preserve"> enjoy</w:t>
      </w:r>
      <w:r w:rsidR="005166F2">
        <w:t>s</w:t>
      </w:r>
      <w:r w:rsidRPr="001614F0">
        <w:t xml:space="preserve"> an </w:t>
      </w:r>
      <w:r w:rsidR="00F3437C">
        <w:t>“</w:t>
      </w:r>
      <w:r w:rsidRPr="005166F2">
        <w:t>inherent jurisdiction</w:t>
      </w:r>
      <w:r w:rsidR="00F3437C" w:rsidRPr="005166F2">
        <w:t>”</w:t>
      </w:r>
      <w:r w:rsidRPr="001614F0">
        <w:t xml:space="preserve"> in determining what the extent of the plaintiff's future loss of earnings would be, and what contingencies to apply.</w:t>
      </w:r>
      <w:r w:rsidR="00B173A8" w:rsidRPr="001614F0">
        <w:t xml:space="preserve"> </w:t>
      </w:r>
    </w:p>
    <w:p w14:paraId="677E7B14" w14:textId="77777777" w:rsidR="002F206F" w:rsidRPr="001614F0" w:rsidRDefault="002F206F">
      <w:pPr>
        <w:tabs>
          <w:tab w:val="num" w:pos="567"/>
        </w:tabs>
        <w:ind w:left="567" w:hanging="567"/>
      </w:pPr>
    </w:p>
    <w:p w14:paraId="7A44894D" w14:textId="7BE70477" w:rsidR="002F206F" w:rsidRPr="001614F0" w:rsidRDefault="002F206F">
      <w:pPr>
        <w:pStyle w:val="NUM1"/>
        <w:numPr>
          <w:ilvl w:val="0"/>
          <w:numId w:val="1"/>
        </w:numPr>
        <w:tabs>
          <w:tab w:val="clear" w:pos="720"/>
          <w:tab w:val="num" w:pos="567"/>
        </w:tabs>
        <w:ind w:left="567" w:hanging="567"/>
      </w:pPr>
      <w:r w:rsidRPr="001614F0">
        <w:t>I am unable to agree with that argument.</w:t>
      </w:r>
      <w:r w:rsidR="00B173A8" w:rsidRPr="001614F0">
        <w:t xml:space="preserve"> </w:t>
      </w:r>
    </w:p>
    <w:p w14:paraId="3254436A" w14:textId="77777777" w:rsidR="002F206F" w:rsidRPr="001614F0" w:rsidRDefault="002F206F">
      <w:pPr>
        <w:tabs>
          <w:tab w:val="num" w:pos="567"/>
        </w:tabs>
        <w:ind w:left="567" w:hanging="567"/>
      </w:pPr>
    </w:p>
    <w:p w14:paraId="74BB2533" w14:textId="2556F3A0" w:rsidR="00680974" w:rsidRPr="001614F0" w:rsidRDefault="002F206F">
      <w:pPr>
        <w:pStyle w:val="NUM1"/>
        <w:numPr>
          <w:ilvl w:val="0"/>
          <w:numId w:val="1"/>
        </w:numPr>
        <w:tabs>
          <w:tab w:val="clear" w:pos="720"/>
          <w:tab w:val="num" w:pos="567"/>
        </w:tabs>
        <w:ind w:left="567" w:hanging="567"/>
      </w:pPr>
      <w:r w:rsidRPr="001614F0">
        <w:t>The Court's inherent jurisdiction is derived from section 1</w:t>
      </w:r>
      <w:r w:rsidR="003E3809" w:rsidRPr="001614F0">
        <w:t>73</w:t>
      </w:r>
      <w:r w:rsidRPr="001614F0">
        <w:t xml:space="preserve"> of the Constitution. </w:t>
      </w:r>
      <w:r w:rsidR="00234AAA" w:rsidRPr="001614F0">
        <w:t xml:space="preserve"> </w:t>
      </w:r>
      <w:r w:rsidRPr="001614F0">
        <w:t>It is a power afforded to the Court to regulate its own process</w:t>
      </w:r>
      <w:r w:rsidR="003E3809" w:rsidRPr="001614F0">
        <w:t xml:space="preserve"> and develop the common law</w:t>
      </w:r>
      <w:r w:rsidR="00234AAA" w:rsidRPr="001614F0">
        <w:t>,</w:t>
      </w:r>
      <w:r w:rsidR="003E3809" w:rsidRPr="001614F0">
        <w:t xml:space="preserve"> taking into account the interests of justice.</w:t>
      </w:r>
      <w:r w:rsidR="00234AAA" w:rsidRPr="001614F0">
        <w:t xml:space="preserve"> </w:t>
      </w:r>
      <w:r w:rsidR="003E3809" w:rsidRPr="001614F0">
        <w:t xml:space="preserve"> B</w:t>
      </w:r>
      <w:r w:rsidRPr="001614F0">
        <w:t>ut, there is nothing within that power that permits a court to deviate from established precedent</w:t>
      </w:r>
      <w:r w:rsidR="00234AAA" w:rsidRPr="001614F0">
        <w:t>,</w:t>
      </w:r>
      <w:r w:rsidRPr="001614F0">
        <w:t xml:space="preserve"> save </w:t>
      </w:r>
      <w:r w:rsidR="00746227" w:rsidRPr="001614F0">
        <w:t>in very</w:t>
      </w:r>
      <w:r w:rsidRPr="001614F0">
        <w:t xml:space="preserve"> limited </w:t>
      </w:r>
      <w:r w:rsidR="00746227" w:rsidRPr="001614F0">
        <w:t>circumstances</w:t>
      </w:r>
      <w:r w:rsidRPr="001614F0">
        <w:t>.</w:t>
      </w:r>
      <w:r w:rsidR="00E10055" w:rsidRPr="004B29ED">
        <w:rPr>
          <w:rStyle w:val="FootnoteReference"/>
          <w:sz w:val="24"/>
        </w:rPr>
        <w:footnoteReference w:id="6"/>
      </w:r>
      <w:r w:rsidR="00680974" w:rsidRPr="001614F0">
        <w:t xml:space="preserve">  This</w:t>
      </w:r>
      <w:r w:rsidR="002C0B36" w:rsidRPr="001614F0">
        <w:t xml:space="preserve"> limited power </w:t>
      </w:r>
      <w:r w:rsidR="00B310B7">
        <w:t>gives effect to the</w:t>
      </w:r>
      <w:r w:rsidR="00680974" w:rsidRPr="000E7335">
        <w:t xml:space="preserve"> </w:t>
      </w:r>
      <w:r w:rsidR="00680974" w:rsidRPr="00486D60">
        <w:rPr>
          <w:i/>
          <w:iCs/>
        </w:rPr>
        <w:t xml:space="preserve">stare </w:t>
      </w:r>
      <w:r w:rsidR="00680974" w:rsidRPr="00486D60">
        <w:rPr>
          <w:i/>
          <w:iCs/>
        </w:rPr>
        <w:lastRenderedPageBreak/>
        <w:t>decisis</w:t>
      </w:r>
      <w:r w:rsidR="00E74757" w:rsidRPr="004B29ED">
        <w:rPr>
          <w:rStyle w:val="FootnoteReference"/>
          <w:i/>
          <w:iCs/>
          <w:sz w:val="24"/>
        </w:rPr>
        <w:footnoteReference w:id="7"/>
      </w:r>
      <w:r w:rsidR="00680974" w:rsidRPr="001614F0">
        <w:t xml:space="preserve"> </w:t>
      </w:r>
      <w:r w:rsidR="001B57C7" w:rsidRPr="001614F0">
        <w:t>doctrine</w:t>
      </w:r>
      <w:r w:rsidR="002C0B36" w:rsidRPr="001614F0">
        <w:t>, a</w:t>
      </w:r>
      <w:r w:rsidR="00680974" w:rsidRPr="00A30E99">
        <w:t xml:space="preserve"> </w:t>
      </w:r>
      <w:r w:rsidR="002C0B36" w:rsidRPr="000E7335">
        <w:t>cornerstone of</w:t>
      </w:r>
      <w:r w:rsidR="00680974" w:rsidRPr="00486D60">
        <w:t xml:space="preserve"> our law </w:t>
      </w:r>
      <w:r w:rsidR="002C0B36" w:rsidRPr="00486D60">
        <w:t>that</w:t>
      </w:r>
      <w:r w:rsidR="00680974" w:rsidRPr="00486D60">
        <w:t xml:space="preserve"> </w:t>
      </w:r>
      <w:r w:rsidR="00746227" w:rsidRPr="00486D60">
        <w:t xml:space="preserve">serves to </w:t>
      </w:r>
      <w:r w:rsidR="00E74757" w:rsidRPr="001C04C5">
        <w:t>avoid uncertainty, confusion, protect vested rights and legitimate expectations.</w:t>
      </w:r>
      <w:r w:rsidR="00FB100A" w:rsidRPr="004B29ED">
        <w:rPr>
          <w:rStyle w:val="FootnoteReference"/>
          <w:sz w:val="24"/>
        </w:rPr>
        <w:footnoteReference w:id="8"/>
      </w:r>
      <w:r w:rsidR="003372D3" w:rsidRPr="001614F0">
        <w:t xml:space="preserve"> </w:t>
      </w:r>
    </w:p>
    <w:p w14:paraId="6AE4BF1C" w14:textId="77777777" w:rsidR="002F206F" w:rsidRPr="00486D60" w:rsidRDefault="002F206F"/>
    <w:p w14:paraId="0D034BD4" w14:textId="0CC49224" w:rsidR="009E67D6" w:rsidRDefault="005166F2">
      <w:pPr>
        <w:pStyle w:val="NUM1"/>
        <w:numPr>
          <w:ilvl w:val="0"/>
          <w:numId w:val="1"/>
        </w:numPr>
        <w:tabs>
          <w:tab w:val="clear" w:pos="720"/>
          <w:tab w:val="num" w:pos="567"/>
        </w:tabs>
        <w:ind w:left="567" w:hanging="567"/>
      </w:pPr>
      <w:r>
        <w:t xml:space="preserve">Given developments in the law, </w:t>
      </w:r>
      <w:r w:rsidR="003E3809" w:rsidRPr="00486D60">
        <w:t xml:space="preserve">I </w:t>
      </w:r>
      <w:r w:rsidR="004E1EEE">
        <w:t>have some</w:t>
      </w:r>
      <w:r w:rsidR="003E3809" w:rsidRPr="00486D60">
        <w:t xml:space="preserve"> doubt </w:t>
      </w:r>
      <w:r w:rsidR="0081422C">
        <w:t>the expansiveness of the discretion that a court enjoys in determining a claim for future loss of income</w:t>
      </w:r>
      <w:r w:rsidR="009E67D6">
        <w:t xml:space="preserve"> in circumstances where the plaintiff’s evidence is built on undisputed factual evidence and that of experts</w:t>
      </w:r>
      <w:r w:rsidR="0015314E">
        <w:t>’</w:t>
      </w:r>
      <w:r w:rsidR="009E67D6">
        <w:t xml:space="preserve"> whose opinions were left </w:t>
      </w:r>
      <w:r w:rsidR="00751D6C">
        <w:t>undisturbed by the defendant’s cross</w:t>
      </w:r>
      <w:r w:rsidR="0015314E">
        <w:t>-</w:t>
      </w:r>
      <w:r w:rsidR="00751D6C">
        <w:t>examination</w:t>
      </w:r>
      <w:r w:rsidR="003E3809" w:rsidRPr="00486D60">
        <w:t xml:space="preserve">. </w:t>
      </w:r>
    </w:p>
    <w:p w14:paraId="2F6B0A2E" w14:textId="77777777" w:rsidR="009E67D6" w:rsidRPr="009E67D6" w:rsidRDefault="009E67D6" w:rsidP="009E67D6"/>
    <w:p w14:paraId="32D3D4EB" w14:textId="62A9C693" w:rsidR="00751D6C" w:rsidRDefault="00A47556" w:rsidP="00751D6C">
      <w:pPr>
        <w:pStyle w:val="NUM1"/>
        <w:numPr>
          <w:ilvl w:val="0"/>
          <w:numId w:val="1"/>
        </w:numPr>
        <w:tabs>
          <w:tab w:val="clear" w:pos="720"/>
          <w:tab w:val="num" w:pos="567"/>
        </w:tabs>
        <w:ind w:left="567" w:hanging="567"/>
      </w:pPr>
      <w:r>
        <w:t>Ms van der Merwe</w:t>
      </w:r>
      <w:r w:rsidR="003E3809" w:rsidRPr="00486D60">
        <w:t xml:space="preserve"> </w:t>
      </w:r>
      <w:r w:rsidR="00E522DE">
        <w:t>submitted that the court enjoys a</w:t>
      </w:r>
      <w:r>
        <w:t xml:space="preserve"> “</w:t>
      </w:r>
      <w:r w:rsidRPr="00C83E89">
        <w:t>wide discretion</w:t>
      </w:r>
      <w:r>
        <w:t>”</w:t>
      </w:r>
      <w:r w:rsidR="00E522DE">
        <w:t xml:space="preserve"> in determining a claim for future loss of earnings</w:t>
      </w:r>
      <w:r w:rsidR="0081422C">
        <w:t>.</w:t>
      </w:r>
      <w:r>
        <w:t xml:space="preserve"> </w:t>
      </w:r>
      <w:r w:rsidR="0081422C">
        <w:t xml:space="preserve"> </w:t>
      </w:r>
      <w:r w:rsidR="00751D6C">
        <w:t xml:space="preserve">This </w:t>
      </w:r>
      <w:r w:rsidR="00751D6C" w:rsidRPr="00486D60">
        <w:t xml:space="preserve">submission, </w:t>
      </w:r>
      <w:r w:rsidR="00751D6C">
        <w:t xml:space="preserve">was </w:t>
      </w:r>
      <w:r w:rsidR="00751D6C" w:rsidRPr="00486D60">
        <w:t>no dou</w:t>
      </w:r>
      <w:r w:rsidR="00751D6C" w:rsidRPr="001C04C5">
        <w:t>bt</w:t>
      </w:r>
      <w:r w:rsidR="00751D6C" w:rsidRPr="001614F0">
        <w:t xml:space="preserve">, predicated on those judgments that preceded </w:t>
      </w:r>
      <w:r w:rsidR="00751D6C" w:rsidRPr="001614F0">
        <w:rPr>
          <w:b/>
          <w:bCs/>
        </w:rPr>
        <w:t>Sweatman</w:t>
      </w:r>
      <w:r w:rsidR="00751D6C" w:rsidRPr="00920A2C">
        <w:rPr>
          <w:rStyle w:val="FootnoteReference"/>
          <w:sz w:val="20"/>
          <w:szCs w:val="32"/>
        </w:rPr>
        <w:footnoteReference w:id="9"/>
      </w:r>
      <w:r w:rsidR="00751D6C" w:rsidRPr="001614F0">
        <w:t xml:space="preserve">, such as </w:t>
      </w:r>
      <w:r w:rsidR="00751D6C" w:rsidRPr="00A30E99">
        <w:rPr>
          <w:b/>
          <w:bCs/>
        </w:rPr>
        <w:t>Pitt</w:t>
      </w:r>
      <w:r w:rsidR="00751D6C" w:rsidRPr="00920A2C">
        <w:rPr>
          <w:rStyle w:val="FootnoteReference"/>
          <w:sz w:val="20"/>
          <w:szCs w:val="32"/>
        </w:rPr>
        <w:footnoteReference w:id="10"/>
      </w:r>
      <w:r w:rsidR="00751D6C" w:rsidRPr="00743301">
        <w:t>,</w:t>
      </w:r>
      <w:r w:rsidR="00751D6C" w:rsidRPr="001614F0">
        <w:rPr>
          <w:b/>
          <w:bCs/>
        </w:rPr>
        <w:t xml:space="preserve"> </w:t>
      </w:r>
      <w:r w:rsidR="00751D6C" w:rsidRPr="00A30E99">
        <w:rPr>
          <w:b/>
          <w:bCs/>
        </w:rPr>
        <w:t>General Insurance</w:t>
      </w:r>
      <w:r w:rsidR="00751D6C" w:rsidRPr="00920A2C">
        <w:rPr>
          <w:rStyle w:val="FootnoteReference"/>
          <w:sz w:val="20"/>
          <w:szCs w:val="32"/>
        </w:rPr>
        <w:footnoteReference w:id="11"/>
      </w:r>
      <w:r w:rsidR="00751D6C" w:rsidRPr="004E1EEE">
        <w:rPr>
          <w:rStyle w:val="FootnoteReference"/>
        </w:rPr>
        <w:t xml:space="preserve"> </w:t>
      </w:r>
      <w:r w:rsidR="00920A2C">
        <w:t xml:space="preserve"> </w:t>
      </w:r>
      <w:r w:rsidR="00751D6C">
        <w:t xml:space="preserve">and </w:t>
      </w:r>
      <w:r w:rsidR="00751D6C" w:rsidRPr="00743301">
        <w:rPr>
          <w:b/>
          <w:bCs/>
        </w:rPr>
        <w:t>Guedes</w:t>
      </w:r>
      <w:r w:rsidR="00751D6C">
        <w:t>.</w:t>
      </w:r>
      <w:r w:rsidR="00751D6C" w:rsidRPr="00920A2C">
        <w:rPr>
          <w:rStyle w:val="FootnoteReference"/>
          <w:sz w:val="20"/>
          <w:szCs w:val="32"/>
        </w:rPr>
        <w:footnoteReference w:id="12"/>
      </w:r>
      <w:r w:rsidR="00751D6C" w:rsidRPr="001614F0">
        <w:t xml:space="preserve"> </w:t>
      </w:r>
      <w:r w:rsidR="00751D6C">
        <w:t xml:space="preserve"> </w:t>
      </w:r>
      <w:r w:rsidR="00285A46">
        <w:t xml:space="preserve">But it does not answer the question of the </w:t>
      </w:r>
      <w:r w:rsidR="005166F2">
        <w:t>extent of the c</w:t>
      </w:r>
      <w:r w:rsidR="00285A46">
        <w:t xml:space="preserve">ourt’s powers where the expert evidence has been accepted as accurate and reliable. </w:t>
      </w:r>
    </w:p>
    <w:p w14:paraId="13B60383" w14:textId="77777777" w:rsidR="00751D6C" w:rsidRPr="00751D6C" w:rsidRDefault="00751D6C" w:rsidP="00751D6C"/>
    <w:p w14:paraId="3B0F46D5" w14:textId="7357990A" w:rsidR="00D15BAB" w:rsidRDefault="0081422C">
      <w:pPr>
        <w:pStyle w:val="NUM1"/>
        <w:numPr>
          <w:ilvl w:val="0"/>
          <w:numId w:val="1"/>
        </w:numPr>
        <w:tabs>
          <w:tab w:val="clear" w:pos="720"/>
          <w:tab w:val="num" w:pos="567"/>
        </w:tabs>
        <w:ind w:left="567" w:hanging="567"/>
      </w:pPr>
      <w:r>
        <w:t>The distinction between a “</w:t>
      </w:r>
      <w:r w:rsidRPr="00C83E89">
        <w:t>wide</w:t>
      </w:r>
      <w:r>
        <w:t>” and “</w:t>
      </w:r>
      <w:r w:rsidRPr="00C83E89">
        <w:t>narrow</w:t>
      </w:r>
      <w:r>
        <w:t xml:space="preserve">” discretion was considered by the full court of this division in </w:t>
      </w:r>
      <w:r w:rsidRPr="0081422C">
        <w:rPr>
          <w:b/>
          <w:bCs/>
        </w:rPr>
        <w:t>Bookworks</w:t>
      </w:r>
      <w:r w:rsidR="00D15BAB" w:rsidRPr="00A92ECD">
        <w:t>.</w:t>
      </w:r>
      <w:r w:rsidRPr="00A92ECD">
        <w:rPr>
          <w:rStyle w:val="FootnoteReference"/>
          <w:sz w:val="20"/>
          <w:szCs w:val="32"/>
        </w:rPr>
        <w:footnoteReference w:id="13"/>
      </w:r>
      <w:r w:rsidR="00D15BAB" w:rsidRPr="00D15BAB">
        <w:t xml:space="preserve"> </w:t>
      </w:r>
    </w:p>
    <w:p w14:paraId="7F511C5E" w14:textId="77777777" w:rsidR="00D15BAB" w:rsidRPr="00D15BAB" w:rsidRDefault="00D15BAB" w:rsidP="00D15BAB"/>
    <w:p w14:paraId="6419DDD9" w14:textId="68216A38" w:rsidR="00285A46" w:rsidRDefault="00826A51">
      <w:pPr>
        <w:pStyle w:val="NUM1"/>
        <w:numPr>
          <w:ilvl w:val="0"/>
          <w:numId w:val="1"/>
        </w:numPr>
        <w:tabs>
          <w:tab w:val="clear" w:pos="720"/>
          <w:tab w:val="num" w:pos="567"/>
        </w:tabs>
        <w:ind w:left="567" w:hanging="567"/>
      </w:pPr>
      <w:r>
        <w:lastRenderedPageBreak/>
        <w:t>In a judgment that has been</w:t>
      </w:r>
      <w:r w:rsidR="00285A46">
        <w:t xml:space="preserve"> widely cited</w:t>
      </w:r>
      <w:r w:rsidR="00AB59AA">
        <w:t xml:space="preserve"> with approval</w:t>
      </w:r>
      <w:r w:rsidR="00285A46">
        <w:t xml:space="preserve"> by</w:t>
      </w:r>
      <w:r w:rsidR="00C140EE">
        <w:t>,</w:t>
      </w:r>
      <w:r w:rsidR="00285A46">
        <w:t xml:space="preserve"> </w:t>
      </w:r>
      <w:r w:rsidR="00285A46" w:rsidRPr="00AB59AA">
        <w:rPr>
          <w:i/>
          <w:iCs/>
        </w:rPr>
        <w:t>inter alia</w:t>
      </w:r>
      <w:r w:rsidR="00285A46">
        <w:t>,</w:t>
      </w:r>
      <w:r>
        <w:t xml:space="preserve"> the Supreme Court of Appeal and the Constitutional Court, </w:t>
      </w:r>
      <w:r w:rsidR="005166F2" w:rsidRPr="005166F2">
        <w:rPr>
          <w:b/>
          <w:bCs/>
        </w:rPr>
        <w:t>Bookworks</w:t>
      </w:r>
      <w:r w:rsidR="005166F2">
        <w:t xml:space="preserve"> considered </w:t>
      </w:r>
      <w:r>
        <w:t>t</w:t>
      </w:r>
      <w:r w:rsidR="00E30A26">
        <w:t xml:space="preserve">he </w:t>
      </w:r>
      <w:r>
        <w:t>distinction between</w:t>
      </w:r>
      <w:r w:rsidR="00E30A26">
        <w:t xml:space="preserve"> a narrow</w:t>
      </w:r>
      <w:r w:rsidR="00E522DE">
        <w:t xml:space="preserve"> and wide</w:t>
      </w:r>
      <w:r w:rsidR="00E30A26">
        <w:t xml:space="preserve"> discretion</w:t>
      </w:r>
      <w:r w:rsidR="007F7F75">
        <w:t xml:space="preserve"> for purposes of appealability</w:t>
      </w:r>
      <w:r w:rsidR="00E522DE">
        <w:t xml:space="preserve">. </w:t>
      </w:r>
    </w:p>
    <w:p w14:paraId="05064370" w14:textId="411C9838" w:rsidR="00285A46" w:rsidRDefault="00285A46" w:rsidP="00285A46">
      <w:pPr>
        <w:pStyle w:val="NUM1"/>
        <w:numPr>
          <w:ilvl w:val="0"/>
          <w:numId w:val="0"/>
        </w:numPr>
        <w:ind w:left="567"/>
      </w:pPr>
    </w:p>
    <w:p w14:paraId="35B02CF7" w14:textId="2FCABEC6" w:rsidR="0081422C" w:rsidRDefault="007F7F75">
      <w:pPr>
        <w:pStyle w:val="NUM1"/>
        <w:numPr>
          <w:ilvl w:val="0"/>
          <w:numId w:val="1"/>
        </w:numPr>
        <w:tabs>
          <w:tab w:val="clear" w:pos="720"/>
          <w:tab w:val="num" w:pos="567"/>
        </w:tabs>
        <w:ind w:left="567" w:hanging="567"/>
      </w:pPr>
      <w:r>
        <w:t>The</w:t>
      </w:r>
      <w:r w:rsidR="00285A46">
        <w:t xml:space="preserve"> full</w:t>
      </w:r>
      <w:r>
        <w:t xml:space="preserve"> </w:t>
      </w:r>
      <w:r w:rsidR="00285A46">
        <w:t>c</w:t>
      </w:r>
      <w:r>
        <w:t xml:space="preserve">ourt </w:t>
      </w:r>
      <w:r w:rsidR="00285A46">
        <w:t>described a</w:t>
      </w:r>
      <w:r w:rsidR="00836DD4">
        <w:t xml:space="preserve"> </w:t>
      </w:r>
      <w:r w:rsidR="00185FBB">
        <w:t>narrow</w:t>
      </w:r>
      <w:r w:rsidR="00836DD4">
        <w:t xml:space="preserve"> discretion </w:t>
      </w:r>
      <w:r w:rsidR="00285A46">
        <w:t>as r</w:t>
      </w:r>
      <w:r w:rsidR="00826A51">
        <w:t>elat</w:t>
      </w:r>
      <w:r w:rsidR="00285A46">
        <w:t>ing</w:t>
      </w:r>
      <w:r w:rsidR="00826A51">
        <w:t xml:space="preserve"> to the</w:t>
      </w:r>
      <w:r w:rsidR="00EB7F11">
        <w:t xml:space="preserve"> scenario</w:t>
      </w:r>
      <w:r w:rsidR="00826A51">
        <w:t xml:space="preserve"> </w:t>
      </w:r>
      <w:r w:rsidR="00EB7F11">
        <w:t>w</w:t>
      </w:r>
      <w:r w:rsidR="00826A51">
        <w:t>here the court</w:t>
      </w:r>
      <w:r w:rsidR="00697CA6">
        <w:t xml:space="preserve"> is required to exercise a value judgment, usually, in relation to a question of procedure</w:t>
      </w:r>
      <w:r w:rsidR="00CF4EBD">
        <w:t>, such as granting or refusing an amendment</w:t>
      </w:r>
      <w:r w:rsidR="00185FBB">
        <w:t>,</w:t>
      </w:r>
      <w:r w:rsidR="00CF4EBD">
        <w:t xml:space="preserve"> </w:t>
      </w:r>
      <w:r w:rsidR="00185FBB">
        <w:t xml:space="preserve">a </w:t>
      </w:r>
      <w:r w:rsidR="00CF4EBD">
        <w:t>postponement</w:t>
      </w:r>
      <w:r w:rsidR="00185FBB">
        <w:t xml:space="preserve"> or costs</w:t>
      </w:r>
      <w:r w:rsidR="00CF4EBD">
        <w:t>,</w:t>
      </w:r>
      <w:r w:rsidR="0090556B">
        <w:t xml:space="preserve"> and</w:t>
      </w:r>
      <w:r w:rsidR="00185FBB">
        <w:t xml:space="preserve"> usually</w:t>
      </w:r>
      <w:r w:rsidR="0090556B">
        <w:t xml:space="preserve"> involves a choice between alternatives</w:t>
      </w:r>
      <w:r w:rsidR="00185FBB">
        <w:t>.</w:t>
      </w:r>
      <w:r w:rsidR="00185FBB" w:rsidRPr="00064A5F">
        <w:rPr>
          <w:rStyle w:val="FootnoteReference"/>
          <w:sz w:val="20"/>
          <w:szCs w:val="32"/>
        </w:rPr>
        <w:footnoteReference w:id="14"/>
      </w:r>
      <w:r w:rsidR="00185FBB">
        <w:t xml:space="preserve"> </w:t>
      </w:r>
      <w:r w:rsidR="00064A5F">
        <w:t xml:space="preserve"> </w:t>
      </w:r>
      <w:r w:rsidR="0090556B">
        <w:t>A “</w:t>
      </w:r>
      <w:r w:rsidR="0090556B" w:rsidRPr="00064A5F">
        <w:rPr>
          <w:i/>
          <w:iCs/>
        </w:rPr>
        <w:t>wide</w:t>
      </w:r>
      <w:r w:rsidR="0090556B">
        <w:t xml:space="preserve">” </w:t>
      </w:r>
      <w:r w:rsidR="00E92D94">
        <w:t>or “</w:t>
      </w:r>
      <w:r w:rsidR="00E92D94" w:rsidRPr="00064A5F">
        <w:rPr>
          <w:i/>
          <w:iCs/>
        </w:rPr>
        <w:t>loose</w:t>
      </w:r>
      <w:r w:rsidR="00E92D94">
        <w:t xml:space="preserve">” </w:t>
      </w:r>
      <w:r w:rsidR="0090556B">
        <w:t>discretion is</w:t>
      </w:r>
      <w:r w:rsidR="00826A51">
        <w:t xml:space="preserve"> </w:t>
      </w:r>
      <w:r w:rsidR="0090556B">
        <w:t xml:space="preserve">a </w:t>
      </w:r>
      <w:r w:rsidR="00826A51">
        <w:t xml:space="preserve">power </w:t>
      </w:r>
      <w:r w:rsidR="00836DD4">
        <w:t xml:space="preserve">that obliges a court to have regard to a number of features </w:t>
      </w:r>
      <w:r w:rsidR="00E92D94">
        <w:t>in coming to a conclusion</w:t>
      </w:r>
      <w:r w:rsidR="00836DD4">
        <w:t>.</w:t>
      </w:r>
      <w:r w:rsidR="0090556B" w:rsidRPr="00064A5F">
        <w:rPr>
          <w:rStyle w:val="FootnoteReference"/>
          <w:sz w:val="20"/>
          <w:szCs w:val="32"/>
        </w:rPr>
        <w:footnoteReference w:id="15"/>
      </w:r>
      <w:r w:rsidR="00E92D94">
        <w:t xml:space="preserve"> </w:t>
      </w:r>
      <w:r w:rsidR="00064A5F">
        <w:t xml:space="preserve"> </w:t>
      </w:r>
      <w:r w:rsidR="00E92D94">
        <w:t>Such cases are those where justice and equity play a role</w:t>
      </w:r>
      <w:r w:rsidR="00556378">
        <w:t>,</w:t>
      </w:r>
      <w:r w:rsidR="008239C8">
        <w:t xml:space="preserve"> and a court is enjoined to take a series of factors into account</w:t>
      </w:r>
      <w:r w:rsidR="00E92D94">
        <w:t>.</w:t>
      </w:r>
      <w:r w:rsidR="00E92D94" w:rsidRPr="00871C3D">
        <w:rPr>
          <w:rStyle w:val="FootnoteReference"/>
          <w:sz w:val="20"/>
          <w:szCs w:val="32"/>
        </w:rPr>
        <w:footnoteReference w:id="16"/>
      </w:r>
      <w:r w:rsidR="00064A5F">
        <w:t xml:space="preserve"> </w:t>
      </w:r>
    </w:p>
    <w:p w14:paraId="4E98A099" w14:textId="2820529D" w:rsidR="006404DE" w:rsidRPr="001614F0" w:rsidRDefault="006404DE" w:rsidP="001614F0"/>
    <w:p w14:paraId="6DC55D5F" w14:textId="595EBEC1" w:rsidR="00147A93" w:rsidRPr="001614F0" w:rsidRDefault="002016B6" w:rsidP="001614F0">
      <w:pPr>
        <w:pStyle w:val="NUM1"/>
        <w:numPr>
          <w:ilvl w:val="0"/>
          <w:numId w:val="1"/>
        </w:numPr>
        <w:tabs>
          <w:tab w:val="clear" w:pos="720"/>
          <w:tab w:val="num" w:pos="567"/>
        </w:tabs>
        <w:ind w:left="567" w:hanging="567"/>
      </w:pPr>
      <w:r w:rsidRPr="001614F0">
        <w:t xml:space="preserve">In each of </w:t>
      </w:r>
      <w:r w:rsidRPr="001614F0">
        <w:rPr>
          <w:b/>
          <w:bCs/>
        </w:rPr>
        <w:t>Pitt</w:t>
      </w:r>
      <w:r w:rsidRPr="00A30E99">
        <w:t xml:space="preserve"> and </w:t>
      </w:r>
      <w:r w:rsidRPr="000E7335">
        <w:rPr>
          <w:b/>
          <w:bCs/>
        </w:rPr>
        <w:t>General Insurance</w:t>
      </w:r>
      <w:r w:rsidRPr="00486D60">
        <w:t xml:space="preserve">, the courts pointed out the difficulty facing a </w:t>
      </w:r>
      <w:r w:rsidR="00AB59AA">
        <w:t>trial court</w:t>
      </w:r>
      <w:r w:rsidRPr="00486D60">
        <w:t xml:space="preserve"> confronted with determining a claim for loss of earnings. </w:t>
      </w:r>
      <w:r w:rsidR="000011AA" w:rsidRPr="00486D60">
        <w:t xml:space="preserve"> </w:t>
      </w:r>
      <w:r w:rsidRPr="00486D60">
        <w:t xml:space="preserve">Each of the courts identified that a degree of guesswork was involved. </w:t>
      </w:r>
      <w:r w:rsidR="000011AA" w:rsidRPr="00486D60">
        <w:t xml:space="preserve"> </w:t>
      </w:r>
      <w:r w:rsidRPr="00486D60">
        <w:t xml:space="preserve">In </w:t>
      </w:r>
      <w:r w:rsidRPr="001C04C5">
        <w:rPr>
          <w:b/>
          <w:bCs/>
        </w:rPr>
        <w:t>Pitt</w:t>
      </w:r>
      <w:r w:rsidRPr="001614F0">
        <w:t xml:space="preserve">, the </w:t>
      </w:r>
      <w:r w:rsidR="00AB59AA">
        <w:t>c</w:t>
      </w:r>
      <w:r w:rsidRPr="001614F0">
        <w:t>ourt suggested that it would have to make do with such evidence as was before it</w:t>
      </w:r>
      <w:r w:rsidR="00556378">
        <w:t>.</w:t>
      </w:r>
      <w:r w:rsidR="00147A93" w:rsidRPr="00556378">
        <w:rPr>
          <w:rStyle w:val="FootnoteReference"/>
          <w:sz w:val="20"/>
          <w:szCs w:val="20"/>
        </w:rPr>
        <w:footnoteReference w:id="17"/>
      </w:r>
      <w:r w:rsidR="00556378">
        <w:t xml:space="preserve"> </w:t>
      </w:r>
      <w:r w:rsidRPr="001614F0">
        <w:t xml:space="preserve"> </w:t>
      </w:r>
      <w:r w:rsidR="00556378">
        <w:t>I</w:t>
      </w:r>
      <w:r w:rsidRPr="001614F0">
        <w:t xml:space="preserve">n the later decision of </w:t>
      </w:r>
      <w:r w:rsidRPr="000E7335">
        <w:rPr>
          <w:b/>
          <w:bCs/>
        </w:rPr>
        <w:t>General Insurance</w:t>
      </w:r>
      <w:r w:rsidRPr="00486D60">
        <w:t xml:space="preserve">, the two options available to a </w:t>
      </w:r>
      <w:r w:rsidR="00AB59AA">
        <w:t>trial court</w:t>
      </w:r>
      <w:r w:rsidRPr="00486D60">
        <w:t xml:space="preserve"> were identified, the first involving guesswork</w:t>
      </w:r>
      <w:r w:rsidR="002722FB">
        <w:t>,</w:t>
      </w:r>
      <w:r w:rsidRPr="00486D60">
        <w:t xml:space="preserve"> and the second, which was preferred, placing reliance on the evidence of actuarial scientists.</w:t>
      </w:r>
      <w:r w:rsidR="00147A93" w:rsidRPr="004B29ED">
        <w:rPr>
          <w:rStyle w:val="FootnoteReference"/>
          <w:sz w:val="24"/>
        </w:rPr>
        <w:footnoteReference w:id="18"/>
      </w:r>
      <w:r w:rsidRPr="001614F0">
        <w:t xml:space="preserve"> </w:t>
      </w:r>
      <w:r w:rsidR="009F73EF" w:rsidRPr="001614F0">
        <w:t xml:space="preserve"> </w:t>
      </w:r>
      <w:r w:rsidRPr="001614F0">
        <w:t>This</w:t>
      </w:r>
      <w:r w:rsidR="005E231D">
        <w:t xml:space="preserve"> </w:t>
      </w:r>
      <w:r w:rsidRPr="001614F0">
        <w:t xml:space="preserve">problem was </w:t>
      </w:r>
      <w:r w:rsidR="005E231D">
        <w:t>alluded to</w:t>
      </w:r>
      <w:r w:rsidRPr="001614F0">
        <w:t xml:space="preserve"> in </w:t>
      </w:r>
      <w:r w:rsidRPr="00A30E99">
        <w:rPr>
          <w:b/>
          <w:bCs/>
        </w:rPr>
        <w:t>Sweatman</w:t>
      </w:r>
      <w:r w:rsidR="005E231D">
        <w:rPr>
          <w:b/>
          <w:bCs/>
        </w:rPr>
        <w:t xml:space="preserve"> </w:t>
      </w:r>
      <w:r w:rsidR="005E231D" w:rsidRPr="005E231D">
        <w:t xml:space="preserve">in </w:t>
      </w:r>
      <w:r w:rsidR="00AB59AA">
        <w:t>dealing with actuarial</w:t>
      </w:r>
      <w:r w:rsidR="00CD041F">
        <w:t xml:space="preserve"> opposing</w:t>
      </w:r>
      <w:r w:rsidR="00AB59AA">
        <w:t xml:space="preserve"> calculations</w:t>
      </w:r>
      <w:r w:rsidR="005E231D" w:rsidRPr="005E231D">
        <w:t xml:space="preserve"> for future loss of earnings</w:t>
      </w:r>
      <w:r w:rsidRPr="000E7335">
        <w:t>.</w:t>
      </w:r>
      <w:r w:rsidR="00147A93" w:rsidRPr="004B29ED">
        <w:rPr>
          <w:rStyle w:val="FootnoteReference"/>
          <w:sz w:val="24"/>
        </w:rPr>
        <w:footnoteReference w:id="19"/>
      </w:r>
      <w:r w:rsidRPr="001614F0">
        <w:t xml:space="preserve"> </w:t>
      </w:r>
    </w:p>
    <w:p w14:paraId="433301AA" w14:textId="77777777" w:rsidR="00147A93" w:rsidRPr="000E7335" w:rsidRDefault="00147A93" w:rsidP="000E7335"/>
    <w:p w14:paraId="0D05135E" w14:textId="423D4AA1" w:rsidR="00AB59AA" w:rsidRDefault="00743301" w:rsidP="00C5427E">
      <w:pPr>
        <w:pStyle w:val="NUM1"/>
        <w:numPr>
          <w:ilvl w:val="0"/>
          <w:numId w:val="1"/>
        </w:numPr>
        <w:tabs>
          <w:tab w:val="clear" w:pos="720"/>
          <w:tab w:val="num" w:pos="567"/>
        </w:tabs>
        <w:ind w:left="567" w:hanging="567"/>
      </w:pPr>
      <w:r>
        <w:t xml:space="preserve">In </w:t>
      </w:r>
      <w:r w:rsidRPr="008F5328">
        <w:rPr>
          <w:b/>
          <w:bCs/>
        </w:rPr>
        <w:t>Gu</w:t>
      </w:r>
      <w:r w:rsidR="001F299D">
        <w:rPr>
          <w:b/>
          <w:bCs/>
        </w:rPr>
        <w:t>e</w:t>
      </w:r>
      <w:r w:rsidRPr="008F5328">
        <w:rPr>
          <w:b/>
          <w:bCs/>
        </w:rPr>
        <w:t>des</w:t>
      </w:r>
      <w:r>
        <w:t xml:space="preserve">, the Supreme Court of Appeal </w:t>
      </w:r>
      <w:r w:rsidR="00B6275D">
        <w:t xml:space="preserve">referred to the trial court’s </w:t>
      </w:r>
      <w:r w:rsidR="00A47556">
        <w:t>“</w:t>
      </w:r>
      <w:r w:rsidR="00A47556" w:rsidRPr="0098243D">
        <w:rPr>
          <w:i/>
          <w:iCs/>
        </w:rPr>
        <w:t>discretion</w:t>
      </w:r>
      <w:r w:rsidR="00A47556">
        <w:t>” in attempting to achieve t</w:t>
      </w:r>
      <w:r w:rsidR="008F5328">
        <w:t>h</w:t>
      </w:r>
      <w:r w:rsidR="00A47556">
        <w:t>e best estimate</w:t>
      </w:r>
      <w:r w:rsidR="008F5328">
        <w:t xml:space="preserve"> of a plaintiff’s loss</w:t>
      </w:r>
      <w:r w:rsidR="008F5328" w:rsidRPr="0098243D">
        <w:rPr>
          <w:rStyle w:val="FootnoteReference"/>
          <w:sz w:val="20"/>
          <w:szCs w:val="32"/>
        </w:rPr>
        <w:footnoteReference w:id="20"/>
      </w:r>
      <w:r w:rsidR="00ED3548">
        <w:t xml:space="preserve"> and</w:t>
      </w:r>
      <w:r w:rsidR="00AB59AA">
        <w:t xml:space="preserve"> that it was</w:t>
      </w:r>
      <w:r w:rsidR="00ED3548">
        <w:t xml:space="preserve"> a “</w:t>
      </w:r>
      <w:r w:rsidR="00ED3548" w:rsidRPr="00C83E89">
        <w:t>wide discretion</w:t>
      </w:r>
      <w:r w:rsidR="00ED3548">
        <w:t>” to “…</w:t>
      </w:r>
      <w:r w:rsidR="0098243D">
        <w:t> </w:t>
      </w:r>
      <w:r w:rsidR="00ED3548" w:rsidRPr="00C83E89">
        <w:t>award what it believes is just</w:t>
      </w:r>
      <w:r w:rsidR="0098243D">
        <w:rPr>
          <w:i/>
          <w:iCs/>
        </w:rPr>
        <w:t> </w:t>
      </w:r>
      <w:r w:rsidR="00ED3548">
        <w:t>…”.</w:t>
      </w:r>
      <w:r w:rsidR="00ED3548" w:rsidRPr="0098243D">
        <w:rPr>
          <w:rStyle w:val="FootnoteReference"/>
          <w:sz w:val="20"/>
          <w:szCs w:val="32"/>
        </w:rPr>
        <w:footnoteReference w:id="21"/>
      </w:r>
      <w:r w:rsidR="008F5328">
        <w:t xml:space="preserve"> </w:t>
      </w:r>
    </w:p>
    <w:p w14:paraId="228D70FA" w14:textId="2733E5D6" w:rsidR="00AB59AA" w:rsidRDefault="00B6275D" w:rsidP="00AB59AA">
      <w:pPr>
        <w:pStyle w:val="NUM1"/>
        <w:numPr>
          <w:ilvl w:val="0"/>
          <w:numId w:val="0"/>
        </w:numPr>
        <w:ind w:left="567"/>
      </w:pPr>
      <w:r>
        <w:t xml:space="preserve"> </w:t>
      </w:r>
    </w:p>
    <w:p w14:paraId="490D7928" w14:textId="569A2A4B" w:rsidR="00C14340" w:rsidRDefault="008F5328" w:rsidP="00C5427E">
      <w:pPr>
        <w:pStyle w:val="NUM1"/>
        <w:numPr>
          <w:ilvl w:val="0"/>
          <w:numId w:val="1"/>
        </w:numPr>
        <w:tabs>
          <w:tab w:val="clear" w:pos="720"/>
          <w:tab w:val="num" w:pos="567"/>
        </w:tabs>
        <w:ind w:left="567" w:hanging="567"/>
      </w:pPr>
      <w:r w:rsidRPr="008F5328">
        <w:rPr>
          <w:b/>
          <w:bCs/>
        </w:rPr>
        <w:t>Guedes</w:t>
      </w:r>
      <w:r>
        <w:t xml:space="preserve">, much like the case before me, was determined on undisputed expert evidence.  The </w:t>
      </w:r>
      <w:r w:rsidR="00511FE8">
        <w:t>decision of the High Court was</w:t>
      </w:r>
      <w:r w:rsidR="008239C8">
        <w:t>, however,</w:t>
      </w:r>
      <w:r w:rsidR="00511FE8">
        <w:t xml:space="preserve"> set aside</w:t>
      </w:r>
      <w:r w:rsidR="00C83E89">
        <w:t xml:space="preserve"> on appeal</w:t>
      </w:r>
      <w:r w:rsidR="00511FE8">
        <w:t xml:space="preserve"> on the basis of an incorrect application of the applicable legal principles</w:t>
      </w:r>
      <w:r w:rsidR="008239C8">
        <w:t xml:space="preserve"> surrounding contingencies</w:t>
      </w:r>
      <w:r w:rsidR="00511FE8">
        <w:t>.</w:t>
      </w:r>
      <w:r w:rsidR="00511FE8" w:rsidRPr="0098243D">
        <w:rPr>
          <w:rStyle w:val="FootnoteReference"/>
          <w:sz w:val="20"/>
          <w:szCs w:val="32"/>
        </w:rPr>
        <w:footnoteReference w:id="22"/>
      </w:r>
      <w:r w:rsidR="00ED3548">
        <w:t xml:space="preserve">  Th</w:t>
      </w:r>
      <w:r w:rsidR="00C83E89">
        <w:t>e Supreme Court of Appeal’s</w:t>
      </w:r>
      <w:r w:rsidR="00ED3548">
        <w:t xml:space="preserve"> approach</w:t>
      </w:r>
      <w:r w:rsidR="00C83E89">
        <w:t xml:space="preserve"> to overturning the trial judge’s exercise of his discretion</w:t>
      </w:r>
      <w:r w:rsidR="00ED3548">
        <w:t xml:space="preserve"> points to a move from a wide discretion to </w:t>
      </w:r>
      <w:r w:rsidR="00774231">
        <w:t>something narrow</w:t>
      </w:r>
      <w:r w:rsidR="0098243D">
        <w:t>er</w:t>
      </w:r>
      <w:r w:rsidR="00774231">
        <w:t xml:space="preserve"> and </w:t>
      </w:r>
      <w:r w:rsidR="0098243D">
        <w:t xml:space="preserve">more </w:t>
      </w:r>
      <w:r w:rsidR="00774231">
        <w:t>defined by established legal principle.</w:t>
      </w:r>
      <w:r w:rsidR="0098243D">
        <w:t xml:space="preserve"> </w:t>
      </w:r>
    </w:p>
    <w:p w14:paraId="2F5CD5D9" w14:textId="1784BFAD" w:rsidR="008F5328" w:rsidRDefault="008F5328" w:rsidP="008F5328"/>
    <w:p w14:paraId="31676749" w14:textId="2173BDCB" w:rsidR="004449D3" w:rsidRPr="008F5328" w:rsidRDefault="004449D3" w:rsidP="008F5328">
      <w:pPr>
        <w:pStyle w:val="NUM1"/>
        <w:numPr>
          <w:ilvl w:val="0"/>
          <w:numId w:val="1"/>
        </w:numPr>
        <w:tabs>
          <w:tab w:val="clear" w:pos="720"/>
          <w:tab w:val="num" w:pos="567"/>
        </w:tabs>
        <w:ind w:left="567" w:hanging="567"/>
      </w:pPr>
      <w:r w:rsidRPr="00774231">
        <w:rPr>
          <w:b/>
          <w:bCs/>
        </w:rPr>
        <w:t>Sweatman</w:t>
      </w:r>
      <w:r>
        <w:t xml:space="preserve"> concerned an appeal about the </w:t>
      </w:r>
      <w:r w:rsidR="00774231">
        <w:t>correct approach to the actuarial calculation undertaken in determining future loss of earnings</w:t>
      </w:r>
      <w:r w:rsidR="009C5FC3">
        <w:t xml:space="preserve"> arising from the cap imposed by section 17(4)(c) of the </w:t>
      </w:r>
      <w:r w:rsidR="0023776B">
        <w:t xml:space="preserve">Road Accident Fund </w:t>
      </w:r>
      <w:r w:rsidR="009C5FC3">
        <w:t>Act</w:t>
      </w:r>
      <w:r w:rsidR="00521720">
        <w:t xml:space="preserve"> (“</w:t>
      </w:r>
      <w:r w:rsidR="00521720" w:rsidRPr="00521720">
        <w:rPr>
          <w:b/>
          <w:bCs/>
        </w:rPr>
        <w:t>the Act</w:t>
      </w:r>
      <w:r w:rsidR="00521720">
        <w:t>”)</w:t>
      </w:r>
      <w:r w:rsidR="009C5FC3">
        <w:t>.</w:t>
      </w:r>
      <w:r w:rsidR="0023776B">
        <w:rPr>
          <w:rStyle w:val="FootnoteReference"/>
        </w:rPr>
        <w:footnoteReference w:id="23"/>
      </w:r>
      <w:r w:rsidR="009C5FC3">
        <w:t xml:space="preserve"> </w:t>
      </w:r>
      <w:r w:rsidR="005E231D">
        <w:t xml:space="preserve"> It had before it two divergent views </w:t>
      </w:r>
      <w:r w:rsidR="00D32C4C">
        <w:t>o</w:t>
      </w:r>
      <w:r w:rsidR="005E231D">
        <w:t xml:space="preserve">n the manner </w:t>
      </w:r>
      <w:r w:rsidR="00D32C4C">
        <w:t>in which</w:t>
      </w:r>
      <w:r w:rsidR="005E231D">
        <w:t xml:space="preserve"> the calculation should be made.</w:t>
      </w:r>
      <w:r w:rsidR="00D32C4C">
        <w:t xml:space="preserve"> </w:t>
      </w:r>
    </w:p>
    <w:p w14:paraId="13BFA194" w14:textId="77777777" w:rsidR="008F5328" w:rsidRPr="008F5328" w:rsidRDefault="008F5328" w:rsidP="008F5328"/>
    <w:p w14:paraId="36C0DEB8" w14:textId="3C70C3F9" w:rsidR="00A47556" w:rsidRPr="001614F0" w:rsidRDefault="004449D3" w:rsidP="00A47556">
      <w:pPr>
        <w:pStyle w:val="NUM1"/>
        <w:numPr>
          <w:ilvl w:val="0"/>
          <w:numId w:val="1"/>
        </w:numPr>
        <w:tabs>
          <w:tab w:val="clear" w:pos="720"/>
          <w:tab w:val="num" w:pos="567"/>
        </w:tabs>
        <w:ind w:left="567" w:hanging="567"/>
      </w:pPr>
      <w:r>
        <w:t>T</w:t>
      </w:r>
      <w:r w:rsidR="00A47556" w:rsidRPr="001614F0">
        <w:t>he Supreme Court of Appeal</w:t>
      </w:r>
      <w:r w:rsidR="00FF3785">
        <w:t>, preferring the traditional approach to the manner of calculation,</w:t>
      </w:r>
      <w:r w:rsidR="00A47556" w:rsidRPr="001614F0">
        <w:t xml:space="preserve"> </w:t>
      </w:r>
      <w:r w:rsidR="00A47556">
        <w:t>concluded</w:t>
      </w:r>
      <w:r w:rsidR="00A47556" w:rsidRPr="001614F0">
        <w:t xml:space="preserve">: </w:t>
      </w:r>
    </w:p>
    <w:p w14:paraId="202D0B91" w14:textId="77777777" w:rsidR="00A47556" w:rsidRPr="001614F0" w:rsidRDefault="00A47556" w:rsidP="00A47556">
      <w:pPr>
        <w:ind w:left="709"/>
      </w:pPr>
    </w:p>
    <w:p w14:paraId="7B218187" w14:textId="7C476BF7" w:rsidR="00A47556" w:rsidRPr="00B310B7" w:rsidRDefault="00A47556" w:rsidP="00A47556">
      <w:pPr>
        <w:tabs>
          <w:tab w:val="left" w:pos="1418"/>
        </w:tabs>
        <w:spacing w:line="360" w:lineRule="auto"/>
        <w:ind w:left="1418"/>
        <w:rPr>
          <w:sz w:val="20"/>
          <w:szCs w:val="20"/>
          <w:lang w:eastAsia="en-GB"/>
        </w:rPr>
      </w:pPr>
      <w:r w:rsidRPr="00B310B7">
        <w:rPr>
          <w:sz w:val="20"/>
          <w:szCs w:val="20"/>
        </w:rPr>
        <w:t>“</w:t>
      </w:r>
      <w:r w:rsidRPr="00B310B7">
        <w:rPr>
          <w:color w:val="000000"/>
          <w:sz w:val="20"/>
          <w:szCs w:val="20"/>
          <w:lang w:eastAsia="en-GB"/>
        </w:rPr>
        <w:t xml:space="preserve">In my view there is no cogent reason to depart from the conventional, tried-and-tested actuarial approach that this and other courts have accepted over decades. </w:t>
      </w:r>
      <w:r w:rsidRPr="004B29ED">
        <w:rPr>
          <w:color w:val="000000"/>
          <w:sz w:val="20"/>
          <w:szCs w:val="20"/>
          <w:lang w:eastAsia="en-GB"/>
        </w:rPr>
        <w:t xml:space="preserve"> </w:t>
      </w:r>
      <w:r w:rsidRPr="00B310B7">
        <w:rPr>
          <w:color w:val="000000"/>
          <w:sz w:val="20"/>
          <w:szCs w:val="20"/>
          <w:lang w:eastAsia="en-GB"/>
        </w:rPr>
        <w:t xml:space="preserve">The Fund </w:t>
      </w:r>
      <w:r w:rsidRPr="00B310B7">
        <w:rPr>
          <w:color w:val="000000"/>
          <w:sz w:val="20"/>
          <w:szCs w:val="20"/>
          <w:lang w:eastAsia="en-GB"/>
        </w:rPr>
        <w:lastRenderedPageBreak/>
        <w:t>argued that that method was not set in stone.</w:t>
      </w:r>
      <w:r w:rsidRPr="004B29ED">
        <w:rPr>
          <w:color w:val="000000"/>
          <w:sz w:val="20"/>
          <w:szCs w:val="20"/>
          <w:lang w:eastAsia="en-GB"/>
        </w:rPr>
        <w:t xml:space="preserve"> </w:t>
      </w:r>
      <w:r w:rsidRPr="00B310B7">
        <w:rPr>
          <w:color w:val="000000"/>
          <w:sz w:val="20"/>
          <w:szCs w:val="20"/>
          <w:lang w:eastAsia="en-GB"/>
        </w:rPr>
        <w:t xml:space="preserve"> That is true. </w:t>
      </w:r>
      <w:r w:rsidRPr="004B29ED">
        <w:rPr>
          <w:color w:val="000000"/>
          <w:sz w:val="20"/>
          <w:szCs w:val="20"/>
          <w:lang w:eastAsia="en-GB"/>
        </w:rPr>
        <w:t xml:space="preserve"> </w:t>
      </w:r>
      <w:r w:rsidRPr="00B310B7">
        <w:rPr>
          <w:color w:val="000000"/>
          <w:sz w:val="20"/>
          <w:szCs w:val="20"/>
          <w:lang w:eastAsia="en-GB"/>
        </w:rPr>
        <w:t>But since it proceeds from a logical basis and there is no apparent reason to change it, this court will not suggest any</w:t>
      </w:r>
      <w:r w:rsidRPr="004B29ED">
        <w:rPr>
          <w:color w:val="000000"/>
          <w:sz w:val="20"/>
          <w:szCs w:val="20"/>
          <w:lang w:eastAsia="en-GB"/>
        </w:rPr>
        <w:t xml:space="preserve"> </w:t>
      </w:r>
      <w:r w:rsidRPr="00B310B7">
        <w:rPr>
          <w:color w:val="000000"/>
          <w:sz w:val="20"/>
          <w:szCs w:val="20"/>
          <w:lang w:eastAsia="en-GB"/>
        </w:rPr>
        <w:t>departure from it.”</w:t>
      </w:r>
      <w:r w:rsidRPr="00A262BA">
        <w:rPr>
          <w:rStyle w:val="FootnoteReference"/>
          <w:color w:val="000000"/>
          <w:sz w:val="20"/>
          <w:lang w:eastAsia="en-GB"/>
        </w:rPr>
        <w:footnoteReference w:id="24"/>
      </w:r>
      <w:r w:rsidR="00A262BA">
        <w:rPr>
          <w:color w:val="000000"/>
          <w:sz w:val="20"/>
          <w:szCs w:val="20"/>
          <w:lang w:eastAsia="en-GB"/>
        </w:rPr>
        <w:t xml:space="preserve"> </w:t>
      </w:r>
    </w:p>
    <w:p w14:paraId="148B1567" w14:textId="77777777" w:rsidR="00A47556" w:rsidRDefault="00A47556" w:rsidP="00A47556">
      <w:pPr>
        <w:pStyle w:val="NUM1"/>
        <w:numPr>
          <w:ilvl w:val="0"/>
          <w:numId w:val="0"/>
        </w:numPr>
        <w:ind w:left="567"/>
      </w:pPr>
    </w:p>
    <w:p w14:paraId="2F656B17" w14:textId="0EB08A57" w:rsidR="006F2BB7" w:rsidRDefault="002016B6" w:rsidP="007C1E4D">
      <w:pPr>
        <w:pStyle w:val="NUM1"/>
        <w:numPr>
          <w:ilvl w:val="0"/>
          <w:numId w:val="1"/>
        </w:numPr>
        <w:tabs>
          <w:tab w:val="clear" w:pos="720"/>
          <w:tab w:val="num" w:pos="567"/>
        </w:tabs>
        <w:ind w:left="567" w:hanging="567"/>
      </w:pPr>
      <w:r w:rsidRPr="00486D60">
        <w:t xml:space="preserve">Given the </w:t>
      </w:r>
      <w:r w:rsidR="00147A93" w:rsidRPr="001C04C5">
        <w:t>conclusion</w:t>
      </w:r>
      <w:r w:rsidRPr="001614F0">
        <w:t xml:space="preserve"> in </w:t>
      </w:r>
      <w:r w:rsidRPr="00E522DE">
        <w:rPr>
          <w:b/>
          <w:bCs/>
        </w:rPr>
        <w:t>Sweatman</w:t>
      </w:r>
      <w:r w:rsidRPr="001614F0">
        <w:t xml:space="preserve">, </w:t>
      </w:r>
      <w:r w:rsidR="00AB59AA">
        <w:t xml:space="preserve">it appears that there is </w:t>
      </w:r>
      <w:r w:rsidR="00CD041F">
        <w:t>little room, if any,</w:t>
      </w:r>
      <w:r w:rsidR="00AB59AA">
        <w:t xml:space="preserve"> </w:t>
      </w:r>
      <w:r w:rsidRPr="001614F0">
        <w:t xml:space="preserve">for guesswork on the part of a court in determining the loss </w:t>
      </w:r>
      <w:r w:rsidR="001C50F8">
        <w:t xml:space="preserve">of income </w:t>
      </w:r>
      <w:r w:rsidRPr="001614F0">
        <w:t>suffered by a plaintiff.</w:t>
      </w:r>
      <w:r w:rsidR="00836A88" w:rsidRPr="001614F0">
        <w:t xml:space="preserve"> </w:t>
      </w:r>
      <w:r w:rsidRPr="001614F0">
        <w:t xml:space="preserve"> In that respect, the loss must be determined by the evidence</w:t>
      </w:r>
      <w:r w:rsidR="00114875">
        <w:t xml:space="preserve"> and, more particularly, that of appropriate expert evidence</w:t>
      </w:r>
      <w:r w:rsidR="009732B4">
        <w:t xml:space="preserve"> which must be evaluated by the </w:t>
      </w:r>
      <w:r w:rsidR="00AB59AA">
        <w:t xml:space="preserve">trial </w:t>
      </w:r>
      <w:r w:rsidR="009732B4">
        <w:t xml:space="preserve">court in accordance with established </w:t>
      </w:r>
      <w:r w:rsidR="00FF3785">
        <w:t>precedent</w:t>
      </w:r>
      <w:r w:rsidR="009732B4">
        <w:t xml:space="preserve">. </w:t>
      </w:r>
    </w:p>
    <w:p w14:paraId="425160FE" w14:textId="77777777" w:rsidR="00E522DE" w:rsidRPr="00E522DE" w:rsidRDefault="00E522DE" w:rsidP="00E522DE"/>
    <w:p w14:paraId="13D1A427" w14:textId="52416CE8" w:rsidR="00B77A09" w:rsidRDefault="00B77A09" w:rsidP="00E522DE">
      <w:pPr>
        <w:pStyle w:val="NUM1"/>
        <w:numPr>
          <w:ilvl w:val="0"/>
          <w:numId w:val="1"/>
        </w:numPr>
        <w:tabs>
          <w:tab w:val="clear" w:pos="720"/>
          <w:tab w:val="num" w:pos="567"/>
        </w:tabs>
        <w:ind w:left="567" w:hanging="567"/>
      </w:pPr>
      <w:r>
        <w:t>Notwithstanding the aforegoing, any discretion a court may exercise must be exercised on consideration of the facts before the court</w:t>
      </w:r>
      <w:r w:rsidR="00F62B67">
        <w:t>,</w:t>
      </w:r>
      <w:r>
        <w:t xml:space="preserve"> and on application of the applicable legal principles.</w:t>
      </w:r>
      <w:r w:rsidR="00952E5B" w:rsidRPr="008B2D57">
        <w:rPr>
          <w:rStyle w:val="FootnoteReference"/>
          <w:sz w:val="20"/>
          <w:szCs w:val="32"/>
        </w:rPr>
        <w:footnoteReference w:id="25"/>
      </w:r>
      <w:r>
        <w:t xml:space="preserve"> </w:t>
      </w:r>
    </w:p>
    <w:p w14:paraId="5216A037" w14:textId="77777777" w:rsidR="00B77A09" w:rsidRPr="00B77A09" w:rsidRDefault="00B77A09" w:rsidP="00B77A09"/>
    <w:p w14:paraId="1B8E24C0" w14:textId="048E3A18" w:rsidR="002F206F" w:rsidRPr="001614F0" w:rsidRDefault="00E522DE" w:rsidP="00E522DE">
      <w:pPr>
        <w:pStyle w:val="NUM1"/>
        <w:numPr>
          <w:ilvl w:val="0"/>
          <w:numId w:val="1"/>
        </w:numPr>
        <w:tabs>
          <w:tab w:val="clear" w:pos="720"/>
          <w:tab w:val="num" w:pos="567"/>
        </w:tabs>
        <w:ind w:left="567" w:hanging="567"/>
      </w:pPr>
      <w:r>
        <w:t xml:space="preserve">Whether this </w:t>
      </w:r>
      <w:r w:rsidR="00AB59AA">
        <w:t>is the</w:t>
      </w:r>
      <w:r>
        <w:t xml:space="preserve"> exercise of a wide discretion as understood in earlier cases</w:t>
      </w:r>
      <w:r w:rsidR="008712EE">
        <w:t>,</w:t>
      </w:r>
      <w:r>
        <w:t xml:space="preserve"> or </w:t>
      </w:r>
      <w:r w:rsidR="00AB59AA">
        <w:t>points to a</w:t>
      </w:r>
      <w:r>
        <w:t xml:space="preserve"> narrow</w:t>
      </w:r>
      <w:r w:rsidR="0026603B">
        <w:t>er</w:t>
      </w:r>
      <w:r w:rsidR="00AB59AA">
        <w:t xml:space="preserve"> discretion</w:t>
      </w:r>
      <w:r w:rsidR="008712EE">
        <w:t>,</w:t>
      </w:r>
      <w:r>
        <w:t xml:space="preserve"> needs not be determined here</w:t>
      </w:r>
      <w:r w:rsidR="000C5527">
        <w:t xml:space="preserve"> because</w:t>
      </w:r>
      <w:r w:rsidR="002F206F" w:rsidRPr="00486D60">
        <w:t xml:space="preserve"> </w:t>
      </w:r>
      <w:r w:rsidR="004502C3" w:rsidRPr="00486D60">
        <w:t>Mr</w:t>
      </w:r>
      <w:r w:rsidR="008712EE">
        <w:t> </w:t>
      </w:r>
      <w:r w:rsidR="004502C3" w:rsidRPr="00486D60">
        <w:t>Naidoo</w:t>
      </w:r>
      <w:r w:rsidR="001A79CF" w:rsidRPr="00486D60">
        <w:t>’s argument</w:t>
      </w:r>
      <w:r w:rsidR="000C5527">
        <w:t xml:space="preserve"> departs from an erroneous premise</w:t>
      </w:r>
      <w:r w:rsidR="00AB59AA">
        <w:t>;</w:t>
      </w:r>
      <w:r w:rsidR="000C5527">
        <w:t xml:space="preserve"> </w:t>
      </w:r>
      <w:r w:rsidR="00AB59AA">
        <w:t>a</w:t>
      </w:r>
      <w:r w:rsidR="002F206F" w:rsidRPr="001C04C5">
        <w:t xml:space="preserve"> claim for damages (of which future loss of earnings are) is part of a delictual action under the </w:t>
      </w:r>
      <w:r w:rsidR="002F206F" w:rsidRPr="00E522DE">
        <w:rPr>
          <w:i/>
          <w:iCs/>
        </w:rPr>
        <w:t>actio legis aquiliae</w:t>
      </w:r>
      <w:r w:rsidR="002F206F" w:rsidRPr="001614F0">
        <w:t>.</w:t>
      </w:r>
      <w:r w:rsidR="00BB34BB" w:rsidRPr="001614F0">
        <w:t xml:space="preserve"> </w:t>
      </w:r>
      <w:r w:rsidR="00773018" w:rsidRPr="001614F0">
        <w:t xml:space="preserve"> </w:t>
      </w:r>
      <w:r w:rsidR="006D57BB" w:rsidRPr="001614F0">
        <w:t xml:space="preserve">The </w:t>
      </w:r>
      <w:r w:rsidR="008906C6" w:rsidRPr="001614F0">
        <w:t xml:space="preserve">evaluation of and </w:t>
      </w:r>
      <w:r w:rsidR="00C86E10" w:rsidRPr="001614F0">
        <w:t>determination of damages</w:t>
      </w:r>
      <w:r w:rsidR="00B310B7">
        <w:t xml:space="preserve"> (including loss of income)</w:t>
      </w:r>
      <w:r w:rsidR="00C86E10" w:rsidRPr="001614F0">
        <w:t xml:space="preserve"> is</w:t>
      </w:r>
      <w:r w:rsidR="006D57BB" w:rsidRPr="001614F0">
        <w:t xml:space="preserve"> one of onus. </w:t>
      </w:r>
    </w:p>
    <w:p w14:paraId="3724959F" w14:textId="77777777" w:rsidR="002F206F" w:rsidRPr="001614F0" w:rsidRDefault="002F206F" w:rsidP="004B29ED">
      <w:pPr>
        <w:tabs>
          <w:tab w:val="num" w:pos="567"/>
        </w:tabs>
        <w:ind w:left="567" w:hanging="567"/>
      </w:pPr>
    </w:p>
    <w:p w14:paraId="21E41367" w14:textId="4D235C35" w:rsidR="00EE3617" w:rsidRPr="00486D60" w:rsidRDefault="00EE3617" w:rsidP="004B29ED">
      <w:pPr>
        <w:pStyle w:val="NUM1"/>
        <w:numPr>
          <w:ilvl w:val="0"/>
          <w:numId w:val="1"/>
        </w:numPr>
        <w:tabs>
          <w:tab w:val="clear" w:pos="720"/>
          <w:tab w:val="num" w:pos="567"/>
        </w:tabs>
        <w:ind w:left="567" w:hanging="567"/>
      </w:pPr>
      <w:r w:rsidRPr="001614F0">
        <w:t xml:space="preserve">In </w:t>
      </w:r>
      <w:r w:rsidRPr="001614F0">
        <w:rPr>
          <w:b/>
          <w:bCs/>
        </w:rPr>
        <w:t>Krugel</w:t>
      </w:r>
      <w:r w:rsidRPr="004B29ED">
        <w:rPr>
          <w:rStyle w:val="FootnoteReference"/>
          <w:bCs/>
          <w:sz w:val="24"/>
        </w:rPr>
        <w:footnoteReference w:id="26"/>
      </w:r>
      <w:r w:rsidR="00773018" w:rsidRPr="001614F0">
        <w:rPr>
          <w:bCs/>
        </w:rPr>
        <w:t>,</w:t>
      </w:r>
      <w:r w:rsidRPr="004B29ED">
        <w:rPr>
          <w:bCs/>
        </w:rPr>
        <w:t xml:space="preserve"> </w:t>
      </w:r>
      <w:r w:rsidRPr="001614F0">
        <w:t>the Transvaal Court</w:t>
      </w:r>
      <w:r w:rsidR="00B310B7">
        <w:t xml:space="preserve"> </w:t>
      </w:r>
      <w:r w:rsidR="006D57BB" w:rsidRPr="00486D60">
        <w:t>explained the question of onus thus</w:t>
      </w:r>
      <w:r w:rsidR="00773018" w:rsidRPr="00486D60">
        <w:t xml:space="preserve">: </w:t>
      </w:r>
    </w:p>
    <w:p w14:paraId="6888208E" w14:textId="77777777" w:rsidR="006D57BB" w:rsidRPr="001C04C5" w:rsidRDefault="006D57BB" w:rsidP="001614F0"/>
    <w:p w14:paraId="78FBE8EB" w14:textId="2253D822" w:rsidR="006D57BB" w:rsidRPr="00B310B7" w:rsidRDefault="006D57BB" w:rsidP="004B29ED">
      <w:pPr>
        <w:tabs>
          <w:tab w:val="left" w:pos="1418"/>
        </w:tabs>
        <w:spacing w:line="360" w:lineRule="auto"/>
        <w:ind w:left="1418"/>
        <w:rPr>
          <w:color w:val="000000"/>
          <w:sz w:val="20"/>
          <w:szCs w:val="20"/>
          <w:lang w:eastAsia="en-GB"/>
        </w:rPr>
      </w:pPr>
      <w:r w:rsidRPr="00B310B7">
        <w:rPr>
          <w:color w:val="000000"/>
          <w:sz w:val="20"/>
          <w:szCs w:val="20"/>
          <w:lang w:eastAsia="en-GB"/>
        </w:rPr>
        <w:lastRenderedPageBreak/>
        <w:t>“Die vraag ontstaan dan of die eiser 'n mindere werk sal kan verrig.</w:t>
      </w:r>
      <w:r w:rsidR="003B2496" w:rsidRPr="004B29ED">
        <w:rPr>
          <w:color w:val="000000"/>
          <w:sz w:val="20"/>
          <w:szCs w:val="20"/>
          <w:lang w:eastAsia="en-GB"/>
        </w:rPr>
        <w:t xml:space="preserve"> </w:t>
      </w:r>
      <w:r w:rsidRPr="00B310B7">
        <w:rPr>
          <w:color w:val="000000"/>
          <w:sz w:val="20"/>
          <w:szCs w:val="20"/>
          <w:lang w:eastAsia="en-GB"/>
        </w:rPr>
        <w:t xml:space="preserve"> Die vraag het aanleiding gegee tot 'n betoog oor die bewyslas. </w:t>
      </w:r>
      <w:r w:rsidR="003B2496" w:rsidRPr="004B29ED">
        <w:rPr>
          <w:color w:val="000000"/>
          <w:sz w:val="20"/>
          <w:szCs w:val="20"/>
          <w:lang w:eastAsia="en-GB"/>
        </w:rPr>
        <w:t xml:space="preserve"> </w:t>
      </w:r>
      <w:r w:rsidRPr="00B310B7">
        <w:rPr>
          <w:color w:val="000000"/>
          <w:sz w:val="20"/>
          <w:szCs w:val="20"/>
          <w:lang w:eastAsia="en-GB"/>
        </w:rPr>
        <w:t>Dit is nl namens die eiser betoog dat, sodra die eiser bewys gelewer het van sy ongeskiktheid en dat hy sy werk as gevolg daarvan verloor het, die beginsel van die plig tot vermindering van skade van toepassing kom, en</w:t>
      </w:r>
      <w:r w:rsidR="003B2496" w:rsidRPr="004B29ED">
        <w:rPr>
          <w:color w:val="000000"/>
          <w:sz w:val="20"/>
          <w:szCs w:val="20"/>
          <w:lang w:eastAsia="en-GB"/>
        </w:rPr>
        <w:t xml:space="preserve"> </w:t>
      </w:r>
      <w:r w:rsidRPr="00B310B7">
        <w:rPr>
          <w:color w:val="000000"/>
          <w:sz w:val="20"/>
          <w:szCs w:val="20"/>
          <w:lang w:eastAsia="en-GB"/>
        </w:rPr>
        <w:t xml:space="preserve">dat die verweerder dus moet bewys dat die eiser wel 'n mindere werk sal kan doen. </w:t>
      </w:r>
      <w:r w:rsidR="003B2496" w:rsidRPr="004B29ED">
        <w:rPr>
          <w:color w:val="000000"/>
          <w:sz w:val="20"/>
          <w:szCs w:val="20"/>
          <w:lang w:eastAsia="en-GB"/>
        </w:rPr>
        <w:t xml:space="preserve"> </w:t>
      </w:r>
      <w:r w:rsidRPr="00B310B7">
        <w:rPr>
          <w:color w:val="000000"/>
          <w:sz w:val="20"/>
          <w:szCs w:val="20"/>
          <w:lang w:eastAsia="en-GB"/>
        </w:rPr>
        <w:t xml:space="preserve">Die bewerings sal dan slegs bewys mag word indien dit gepleit is. </w:t>
      </w:r>
      <w:r w:rsidR="003B2496" w:rsidRPr="004B29ED">
        <w:rPr>
          <w:color w:val="000000"/>
          <w:sz w:val="20"/>
          <w:szCs w:val="20"/>
          <w:lang w:eastAsia="en-GB"/>
        </w:rPr>
        <w:t xml:space="preserve"> </w:t>
      </w:r>
      <w:r w:rsidRPr="00B310B7">
        <w:rPr>
          <w:color w:val="000000"/>
          <w:sz w:val="20"/>
          <w:szCs w:val="20"/>
          <w:lang w:eastAsia="en-GB"/>
        </w:rPr>
        <w:t>In hierdie geval is dit nie gedoen nie.</w:t>
      </w:r>
      <w:r w:rsidR="003B2496" w:rsidRPr="004B29ED">
        <w:rPr>
          <w:color w:val="000000"/>
          <w:sz w:val="20"/>
          <w:szCs w:val="20"/>
          <w:lang w:eastAsia="en-GB"/>
        </w:rPr>
        <w:t xml:space="preserve"> </w:t>
      </w:r>
      <w:r w:rsidRPr="00B310B7">
        <w:rPr>
          <w:color w:val="000000"/>
          <w:sz w:val="20"/>
          <w:szCs w:val="20"/>
          <w:lang w:eastAsia="en-GB"/>
        </w:rPr>
        <w:t xml:space="preserve"> Steun vir die standpunt oor die bewyslas is namens eiser gevind in</w:t>
      </w:r>
      <w:r w:rsidR="003B2496" w:rsidRPr="004B29ED">
        <w:rPr>
          <w:color w:val="000000"/>
          <w:sz w:val="20"/>
          <w:szCs w:val="20"/>
          <w:lang w:eastAsia="en-GB"/>
        </w:rPr>
        <w:t xml:space="preserve"> </w:t>
      </w:r>
      <w:r w:rsidRPr="00612C7B">
        <w:rPr>
          <w:i/>
          <w:iCs/>
          <w:color w:val="000000"/>
          <w:sz w:val="20"/>
          <w:szCs w:val="20"/>
          <w:lang w:eastAsia="en-GB"/>
        </w:rPr>
        <w:t>Van Almelo v Shield Insurance Co Ltd</w:t>
      </w:r>
      <w:r w:rsidRPr="00B310B7">
        <w:rPr>
          <w:color w:val="000000"/>
          <w:sz w:val="20"/>
          <w:szCs w:val="20"/>
          <w:lang w:eastAsia="en-GB"/>
        </w:rPr>
        <w:t xml:space="preserve"> waar Vos R die volgende gesê het:</w:t>
      </w:r>
      <w:r w:rsidR="00773018" w:rsidRPr="004B29ED">
        <w:rPr>
          <w:color w:val="000000"/>
          <w:sz w:val="20"/>
          <w:szCs w:val="20"/>
          <w:lang w:eastAsia="en-GB"/>
        </w:rPr>
        <w:t xml:space="preserve"> </w:t>
      </w:r>
    </w:p>
    <w:p w14:paraId="7323760E" w14:textId="0597518B" w:rsidR="006D57BB" w:rsidRPr="00B310B7" w:rsidRDefault="006D57BB" w:rsidP="00B310B7">
      <w:pPr>
        <w:spacing w:line="360" w:lineRule="auto"/>
        <w:ind w:left="709"/>
        <w:rPr>
          <w:color w:val="000000"/>
          <w:sz w:val="20"/>
          <w:szCs w:val="20"/>
          <w:lang w:eastAsia="en-GB"/>
        </w:rPr>
      </w:pPr>
    </w:p>
    <w:p w14:paraId="3274EC80" w14:textId="05E24C8A" w:rsidR="006D57BB" w:rsidRPr="00B310B7" w:rsidRDefault="006D57BB" w:rsidP="004B29ED">
      <w:pPr>
        <w:tabs>
          <w:tab w:val="left" w:pos="2268"/>
        </w:tabs>
        <w:spacing w:line="360" w:lineRule="auto"/>
        <w:ind w:left="2268"/>
        <w:rPr>
          <w:color w:val="000000"/>
          <w:sz w:val="20"/>
          <w:szCs w:val="20"/>
          <w:lang w:eastAsia="en-GB"/>
        </w:rPr>
      </w:pPr>
      <w:r w:rsidRPr="00B310B7">
        <w:rPr>
          <w:color w:val="000000"/>
          <w:sz w:val="20"/>
          <w:szCs w:val="20"/>
          <w:lang w:eastAsia="en-GB"/>
        </w:rPr>
        <w:t>'There was some debate between counsel in regard to the nature of the</w:t>
      </w:r>
      <w:r w:rsidR="00E911EE" w:rsidRPr="004B29ED">
        <w:rPr>
          <w:color w:val="000000"/>
          <w:sz w:val="20"/>
          <w:szCs w:val="20"/>
          <w:lang w:eastAsia="en-GB"/>
        </w:rPr>
        <w:t xml:space="preserve"> </w:t>
      </w:r>
      <w:r w:rsidRPr="004B29ED">
        <w:rPr>
          <w:color w:val="000000"/>
          <w:sz w:val="20"/>
          <w:szCs w:val="20"/>
          <w:lang w:eastAsia="en-GB"/>
        </w:rPr>
        <w:t>onus</w:t>
      </w:r>
      <w:r w:rsidR="00E911EE" w:rsidRPr="004B29ED">
        <w:rPr>
          <w:color w:val="000000"/>
          <w:sz w:val="20"/>
          <w:szCs w:val="20"/>
          <w:lang w:eastAsia="en-GB"/>
        </w:rPr>
        <w:t xml:space="preserve"> </w:t>
      </w:r>
      <w:r w:rsidRPr="00B310B7">
        <w:rPr>
          <w:color w:val="000000"/>
          <w:sz w:val="20"/>
          <w:szCs w:val="20"/>
          <w:lang w:eastAsia="en-GB"/>
        </w:rPr>
        <w:t xml:space="preserve">resting on defendant if plaintiff has proved his disability to work at his previous employment but has some residual ability to take other employment. </w:t>
      </w:r>
      <w:r w:rsidR="00E911EE" w:rsidRPr="004B29ED">
        <w:rPr>
          <w:color w:val="000000"/>
          <w:sz w:val="20"/>
          <w:szCs w:val="20"/>
          <w:lang w:eastAsia="en-GB"/>
        </w:rPr>
        <w:t xml:space="preserve"> </w:t>
      </w:r>
      <w:r w:rsidRPr="00B310B7">
        <w:rPr>
          <w:color w:val="000000"/>
          <w:sz w:val="20"/>
          <w:szCs w:val="20"/>
          <w:lang w:eastAsia="en-GB"/>
        </w:rPr>
        <w:t>For defendant it was submitted that plaintiff carries at least an evidential</w:t>
      </w:r>
      <w:r w:rsidR="00E911EE" w:rsidRPr="004B29ED">
        <w:rPr>
          <w:color w:val="000000"/>
          <w:sz w:val="20"/>
          <w:szCs w:val="20"/>
          <w:lang w:eastAsia="en-GB"/>
        </w:rPr>
        <w:t xml:space="preserve"> </w:t>
      </w:r>
      <w:r w:rsidRPr="004B29ED">
        <w:rPr>
          <w:color w:val="000000"/>
          <w:sz w:val="20"/>
          <w:szCs w:val="20"/>
          <w:lang w:eastAsia="en-GB"/>
        </w:rPr>
        <w:t>onus</w:t>
      </w:r>
      <w:r w:rsidR="00E911EE" w:rsidRPr="004B29ED">
        <w:rPr>
          <w:color w:val="000000"/>
          <w:sz w:val="20"/>
          <w:szCs w:val="20"/>
          <w:lang w:eastAsia="en-GB"/>
        </w:rPr>
        <w:t xml:space="preserve"> </w:t>
      </w:r>
      <w:r w:rsidRPr="00B310B7">
        <w:rPr>
          <w:color w:val="000000"/>
          <w:sz w:val="20"/>
          <w:szCs w:val="20"/>
          <w:lang w:eastAsia="en-GB"/>
        </w:rPr>
        <w:t xml:space="preserve">to prove the full extent of his disability, that is the loss and the residue. </w:t>
      </w:r>
      <w:r w:rsidR="00E911EE" w:rsidRPr="004B29ED">
        <w:rPr>
          <w:color w:val="000000"/>
          <w:sz w:val="20"/>
          <w:szCs w:val="20"/>
          <w:lang w:eastAsia="en-GB"/>
        </w:rPr>
        <w:t xml:space="preserve"> </w:t>
      </w:r>
      <w:r w:rsidRPr="00B310B7">
        <w:rPr>
          <w:color w:val="000000"/>
          <w:sz w:val="20"/>
          <w:szCs w:val="20"/>
          <w:lang w:eastAsia="en-GB"/>
        </w:rPr>
        <w:t>(See Luntz </w:t>
      </w:r>
      <w:r w:rsidRPr="004B29ED">
        <w:rPr>
          <w:color w:val="000000"/>
          <w:sz w:val="20"/>
          <w:szCs w:val="20"/>
          <w:lang w:eastAsia="en-GB"/>
        </w:rPr>
        <w:t>Assessment of Damages</w:t>
      </w:r>
      <w:r w:rsidRPr="00B310B7">
        <w:rPr>
          <w:color w:val="000000"/>
          <w:sz w:val="20"/>
          <w:szCs w:val="20"/>
          <w:lang w:eastAsia="en-GB"/>
        </w:rPr>
        <w:t xml:space="preserve"> 1974 ed at 66.) </w:t>
      </w:r>
      <w:r w:rsidR="00E911EE" w:rsidRPr="004B29ED">
        <w:rPr>
          <w:color w:val="000000"/>
          <w:sz w:val="20"/>
          <w:szCs w:val="20"/>
          <w:lang w:eastAsia="en-GB"/>
        </w:rPr>
        <w:t xml:space="preserve"> </w:t>
      </w:r>
      <w:r w:rsidRPr="00B310B7">
        <w:rPr>
          <w:b/>
          <w:bCs/>
          <w:color w:val="000000"/>
          <w:sz w:val="20"/>
          <w:szCs w:val="20"/>
          <w:lang w:eastAsia="en-GB"/>
        </w:rPr>
        <w:t>In my view our law is clear: plaintiff must prove his</w:t>
      </w:r>
      <w:r w:rsidR="00E911EE" w:rsidRPr="004B29ED">
        <w:rPr>
          <w:b/>
          <w:bCs/>
          <w:color w:val="000000"/>
          <w:sz w:val="20"/>
          <w:szCs w:val="20"/>
          <w:lang w:eastAsia="en-GB"/>
        </w:rPr>
        <w:t xml:space="preserve"> </w:t>
      </w:r>
      <w:r w:rsidRPr="00B310B7">
        <w:rPr>
          <w:b/>
          <w:bCs/>
          <w:color w:val="000000"/>
          <w:sz w:val="20"/>
          <w:szCs w:val="20"/>
          <w:lang w:eastAsia="en-GB"/>
        </w:rPr>
        <w:t>disability and defendant must prove that plaintiff did not act reasonably to minimise his loss.</w:t>
      </w:r>
      <w:r w:rsidR="00E911EE" w:rsidRPr="004B29ED">
        <w:rPr>
          <w:b/>
          <w:bCs/>
          <w:color w:val="000000"/>
          <w:sz w:val="20"/>
          <w:szCs w:val="20"/>
          <w:lang w:eastAsia="en-GB"/>
        </w:rPr>
        <w:t xml:space="preserve"> </w:t>
      </w:r>
      <w:r w:rsidRPr="00B310B7">
        <w:rPr>
          <w:color w:val="000000"/>
          <w:sz w:val="20"/>
          <w:szCs w:val="20"/>
          <w:lang w:eastAsia="en-GB"/>
        </w:rPr>
        <w:t xml:space="preserve"> See the</w:t>
      </w:r>
      <w:r w:rsidR="00E911EE" w:rsidRPr="004B29ED">
        <w:rPr>
          <w:color w:val="000000"/>
          <w:sz w:val="20"/>
          <w:szCs w:val="20"/>
          <w:lang w:eastAsia="en-GB"/>
        </w:rPr>
        <w:t xml:space="preserve"> </w:t>
      </w:r>
      <w:r w:rsidRPr="004B29ED">
        <w:rPr>
          <w:color w:val="000000"/>
          <w:sz w:val="20"/>
          <w:szCs w:val="20"/>
          <w:lang w:eastAsia="en-GB"/>
        </w:rPr>
        <w:t>De Pinto</w:t>
      </w:r>
      <w:r w:rsidR="00E911EE" w:rsidRPr="004B29ED">
        <w:rPr>
          <w:color w:val="000000"/>
          <w:sz w:val="20"/>
          <w:szCs w:val="20"/>
          <w:lang w:eastAsia="en-GB"/>
        </w:rPr>
        <w:t xml:space="preserve"> </w:t>
      </w:r>
      <w:r w:rsidRPr="00B310B7">
        <w:rPr>
          <w:color w:val="000000"/>
          <w:sz w:val="20"/>
          <w:szCs w:val="20"/>
          <w:lang w:eastAsia="en-GB"/>
        </w:rPr>
        <w:t>case</w:t>
      </w:r>
      <w:r w:rsidR="00E911EE" w:rsidRPr="004B29ED">
        <w:rPr>
          <w:color w:val="000000"/>
          <w:sz w:val="20"/>
          <w:szCs w:val="20"/>
          <w:lang w:eastAsia="en-GB"/>
        </w:rPr>
        <w:t xml:space="preserve"> </w:t>
      </w:r>
      <w:r w:rsidRPr="004B29ED">
        <w:rPr>
          <w:color w:val="000000"/>
          <w:sz w:val="20"/>
          <w:szCs w:val="20"/>
          <w:lang w:eastAsia="en-GB"/>
        </w:rPr>
        <w:t>supra</w:t>
      </w:r>
      <w:r w:rsidRPr="00B310B7">
        <w:rPr>
          <w:color w:val="000000"/>
          <w:sz w:val="20"/>
          <w:szCs w:val="20"/>
          <w:lang w:eastAsia="en-GB"/>
        </w:rPr>
        <w:t xml:space="preserve">. </w:t>
      </w:r>
      <w:r w:rsidR="00E911EE" w:rsidRPr="004B29ED">
        <w:rPr>
          <w:color w:val="000000"/>
          <w:sz w:val="20"/>
          <w:szCs w:val="20"/>
          <w:lang w:eastAsia="en-GB"/>
        </w:rPr>
        <w:t xml:space="preserve"> </w:t>
      </w:r>
      <w:r w:rsidRPr="00B310B7">
        <w:rPr>
          <w:b/>
          <w:bCs/>
          <w:color w:val="000000"/>
          <w:sz w:val="20"/>
          <w:szCs w:val="20"/>
          <w:lang w:eastAsia="en-GB"/>
        </w:rPr>
        <w:t>In other words, I am of opinion that plaintiff carries the</w:t>
      </w:r>
      <w:r w:rsidR="00E911EE" w:rsidRPr="004B29ED">
        <w:rPr>
          <w:b/>
          <w:bCs/>
          <w:color w:val="000000"/>
          <w:sz w:val="20"/>
          <w:szCs w:val="20"/>
          <w:lang w:eastAsia="en-GB"/>
        </w:rPr>
        <w:t xml:space="preserve"> </w:t>
      </w:r>
      <w:r w:rsidRPr="004B29ED">
        <w:rPr>
          <w:b/>
          <w:bCs/>
          <w:color w:val="000000"/>
          <w:sz w:val="20"/>
          <w:szCs w:val="20"/>
          <w:lang w:eastAsia="en-GB"/>
        </w:rPr>
        <w:t>onus</w:t>
      </w:r>
      <w:r w:rsidR="00E911EE" w:rsidRPr="004B29ED">
        <w:rPr>
          <w:b/>
          <w:bCs/>
          <w:color w:val="000000"/>
          <w:sz w:val="20"/>
          <w:szCs w:val="20"/>
          <w:lang w:eastAsia="en-GB"/>
        </w:rPr>
        <w:t xml:space="preserve"> </w:t>
      </w:r>
      <w:r w:rsidRPr="00B310B7">
        <w:rPr>
          <w:b/>
          <w:bCs/>
          <w:color w:val="000000"/>
          <w:sz w:val="20"/>
          <w:szCs w:val="20"/>
          <w:lang w:eastAsia="en-GB"/>
        </w:rPr>
        <w:t>of proving only his disability and defendant carries the</w:t>
      </w:r>
      <w:r w:rsidR="00E911EE" w:rsidRPr="004B29ED">
        <w:rPr>
          <w:b/>
          <w:bCs/>
          <w:color w:val="000000"/>
          <w:sz w:val="20"/>
          <w:szCs w:val="20"/>
          <w:lang w:eastAsia="en-GB"/>
        </w:rPr>
        <w:t xml:space="preserve"> </w:t>
      </w:r>
      <w:r w:rsidRPr="004B29ED">
        <w:rPr>
          <w:b/>
          <w:bCs/>
          <w:color w:val="000000"/>
          <w:sz w:val="20"/>
          <w:szCs w:val="20"/>
          <w:lang w:eastAsia="en-GB"/>
        </w:rPr>
        <w:t>onus</w:t>
      </w:r>
      <w:r w:rsidR="00E911EE" w:rsidRPr="004B29ED">
        <w:rPr>
          <w:b/>
          <w:bCs/>
          <w:color w:val="000000"/>
          <w:sz w:val="20"/>
          <w:szCs w:val="20"/>
          <w:lang w:eastAsia="en-GB"/>
        </w:rPr>
        <w:t xml:space="preserve"> </w:t>
      </w:r>
      <w:r w:rsidRPr="00B310B7">
        <w:rPr>
          <w:b/>
          <w:bCs/>
          <w:color w:val="000000"/>
          <w:sz w:val="20"/>
          <w:szCs w:val="20"/>
          <w:lang w:eastAsia="en-GB"/>
        </w:rPr>
        <w:t>of proving his residual ability</w:t>
      </w:r>
      <w:r w:rsidRPr="00B310B7">
        <w:rPr>
          <w:color w:val="000000"/>
          <w:sz w:val="20"/>
          <w:szCs w:val="20"/>
          <w:lang w:eastAsia="en-GB"/>
        </w:rPr>
        <w:t xml:space="preserve">. </w:t>
      </w:r>
      <w:r w:rsidR="00E911EE" w:rsidRPr="004B29ED">
        <w:rPr>
          <w:color w:val="000000"/>
          <w:sz w:val="20"/>
          <w:szCs w:val="20"/>
          <w:lang w:eastAsia="en-GB"/>
        </w:rPr>
        <w:t xml:space="preserve"> </w:t>
      </w:r>
      <w:r w:rsidRPr="00B310B7">
        <w:rPr>
          <w:color w:val="000000"/>
          <w:sz w:val="20"/>
          <w:szCs w:val="20"/>
          <w:lang w:eastAsia="en-GB"/>
        </w:rPr>
        <w:t>The application of these principles is in my opinion that, plaintiff having proved his inability to continue as a cable joiner and that he is going to take the position of meter tester, the</w:t>
      </w:r>
      <w:r w:rsidR="00E911EE" w:rsidRPr="004B29ED">
        <w:rPr>
          <w:color w:val="000000"/>
          <w:sz w:val="20"/>
          <w:szCs w:val="20"/>
          <w:lang w:eastAsia="en-GB"/>
        </w:rPr>
        <w:t xml:space="preserve"> </w:t>
      </w:r>
      <w:r w:rsidRPr="004B29ED">
        <w:rPr>
          <w:color w:val="000000"/>
          <w:sz w:val="20"/>
          <w:szCs w:val="20"/>
          <w:lang w:eastAsia="en-GB"/>
        </w:rPr>
        <w:t>onus</w:t>
      </w:r>
      <w:r w:rsidR="00E911EE" w:rsidRPr="004B29ED">
        <w:rPr>
          <w:color w:val="000000"/>
          <w:sz w:val="20"/>
          <w:szCs w:val="20"/>
          <w:lang w:eastAsia="en-GB"/>
        </w:rPr>
        <w:t xml:space="preserve"> </w:t>
      </w:r>
      <w:r w:rsidRPr="00B310B7">
        <w:rPr>
          <w:color w:val="000000"/>
          <w:sz w:val="20"/>
          <w:szCs w:val="20"/>
          <w:lang w:eastAsia="en-GB"/>
        </w:rPr>
        <w:t>rests on the defendant to prove that plaintiff's attitude in regard to the position of meter tester is unreasonable; and the Court should not be astute to hold that this</w:t>
      </w:r>
      <w:r w:rsidR="00E911EE" w:rsidRPr="004B29ED">
        <w:rPr>
          <w:color w:val="000000"/>
          <w:sz w:val="20"/>
          <w:szCs w:val="20"/>
          <w:lang w:eastAsia="en-GB"/>
        </w:rPr>
        <w:t xml:space="preserve"> </w:t>
      </w:r>
      <w:r w:rsidRPr="004B29ED">
        <w:rPr>
          <w:color w:val="000000"/>
          <w:sz w:val="20"/>
          <w:szCs w:val="20"/>
          <w:lang w:eastAsia="en-GB"/>
        </w:rPr>
        <w:t>onus</w:t>
      </w:r>
      <w:r w:rsidR="00E911EE" w:rsidRPr="004B29ED">
        <w:rPr>
          <w:color w:val="000000"/>
          <w:sz w:val="20"/>
          <w:szCs w:val="20"/>
          <w:lang w:eastAsia="en-GB"/>
        </w:rPr>
        <w:t xml:space="preserve"> </w:t>
      </w:r>
      <w:r w:rsidRPr="00B310B7">
        <w:rPr>
          <w:color w:val="000000"/>
          <w:sz w:val="20"/>
          <w:szCs w:val="20"/>
          <w:lang w:eastAsia="en-GB"/>
        </w:rPr>
        <w:t>has been discharged.'</w:t>
      </w:r>
      <w:r w:rsidR="00773018" w:rsidRPr="004B29ED">
        <w:rPr>
          <w:color w:val="000000"/>
          <w:sz w:val="20"/>
          <w:szCs w:val="20"/>
          <w:lang w:eastAsia="en-GB"/>
        </w:rPr>
        <w:t xml:space="preserve"> </w:t>
      </w:r>
    </w:p>
    <w:p w14:paraId="4AA1B641" w14:textId="77777777" w:rsidR="006D57BB" w:rsidRPr="00B310B7" w:rsidRDefault="006D57BB" w:rsidP="00B310B7">
      <w:pPr>
        <w:spacing w:line="360" w:lineRule="auto"/>
        <w:ind w:left="709"/>
        <w:rPr>
          <w:color w:val="000000"/>
          <w:sz w:val="20"/>
          <w:szCs w:val="20"/>
          <w:lang w:eastAsia="en-GB"/>
        </w:rPr>
      </w:pPr>
    </w:p>
    <w:p w14:paraId="38D9A797" w14:textId="5003D4E0" w:rsidR="006D57BB" w:rsidRPr="00B310B7" w:rsidRDefault="006D57BB" w:rsidP="004B29ED">
      <w:pPr>
        <w:tabs>
          <w:tab w:val="left" w:pos="1418"/>
        </w:tabs>
        <w:spacing w:line="360" w:lineRule="auto"/>
        <w:ind w:left="1418"/>
        <w:rPr>
          <w:color w:val="000000"/>
          <w:sz w:val="20"/>
          <w:szCs w:val="20"/>
          <w:lang w:eastAsia="en-GB"/>
        </w:rPr>
      </w:pPr>
      <w:r w:rsidRPr="00B310B7">
        <w:rPr>
          <w:color w:val="000000"/>
          <w:sz w:val="20"/>
          <w:szCs w:val="20"/>
          <w:lang w:eastAsia="en-GB"/>
        </w:rPr>
        <w:t xml:space="preserve">Die aanhaling moet gesien word teen die lig van die omstandighede van die saak. </w:t>
      </w:r>
      <w:r w:rsidR="00A4047E" w:rsidRPr="004B29ED">
        <w:rPr>
          <w:color w:val="000000"/>
          <w:sz w:val="20"/>
          <w:szCs w:val="20"/>
          <w:lang w:eastAsia="en-GB"/>
        </w:rPr>
        <w:t xml:space="preserve"> </w:t>
      </w:r>
      <w:r w:rsidRPr="00B310B7">
        <w:rPr>
          <w:color w:val="000000"/>
          <w:sz w:val="20"/>
          <w:szCs w:val="20"/>
          <w:lang w:eastAsia="en-GB"/>
        </w:rPr>
        <w:t xml:space="preserve">Daardie eiser was ongeskik vir sy werk. </w:t>
      </w:r>
      <w:r w:rsidR="00A4047E" w:rsidRPr="004B29ED">
        <w:rPr>
          <w:color w:val="000000"/>
          <w:sz w:val="20"/>
          <w:szCs w:val="20"/>
          <w:lang w:eastAsia="en-GB"/>
        </w:rPr>
        <w:t xml:space="preserve"> </w:t>
      </w:r>
      <w:r w:rsidRPr="00B310B7">
        <w:rPr>
          <w:color w:val="000000"/>
          <w:sz w:val="20"/>
          <w:szCs w:val="20"/>
          <w:lang w:eastAsia="en-GB"/>
        </w:rPr>
        <w:t xml:space="preserve">Hy wou 'n ander werk aanvaar en die debat was of die optrede redelik sou wees, dan wel of hy 'n beter betrekking met minder sekuriteit moes neem. </w:t>
      </w:r>
      <w:r w:rsidR="00AB505B" w:rsidRPr="004B29ED">
        <w:rPr>
          <w:color w:val="000000"/>
          <w:sz w:val="20"/>
          <w:szCs w:val="20"/>
          <w:lang w:eastAsia="en-GB"/>
        </w:rPr>
        <w:t xml:space="preserve"> </w:t>
      </w:r>
      <w:r w:rsidRPr="00B310B7">
        <w:rPr>
          <w:color w:val="000000"/>
          <w:sz w:val="20"/>
          <w:szCs w:val="20"/>
          <w:lang w:eastAsia="en-GB"/>
        </w:rPr>
        <w:t>Met die stelling dat 'n eiser slegs sy ongeskiktheid moet bewys en 'n verweerder</w:t>
      </w:r>
      <w:r w:rsidR="00AB505B" w:rsidRPr="004B29ED">
        <w:rPr>
          <w:color w:val="000000"/>
          <w:sz w:val="20"/>
          <w:szCs w:val="20"/>
          <w:lang w:eastAsia="en-GB"/>
        </w:rPr>
        <w:t xml:space="preserve"> </w:t>
      </w:r>
      <w:r w:rsidRPr="00B310B7">
        <w:rPr>
          <w:color w:val="000000"/>
          <w:sz w:val="20"/>
          <w:szCs w:val="20"/>
          <w:lang w:eastAsia="en-GB"/>
        </w:rPr>
        <w:t xml:space="preserve">dan die eiser se geskiktheid vir 'n ander werk, gaan ek nie akkoord nie, indien dit as algemene stelling aangebied word.” </w:t>
      </w:r>
      <w:r w:rsidR="00773018" w:rsidRPr="004B29ED">
        <w:rPr>
          <w:color w:val="000000"/>
          <w:sz w:val="20"/>
          <w:szCs w:val="20"/>
          <w:lang w:eastAsia="en-GB"/>
        </w:rPr>
        <w:t xml:space="preserve"> </w:t>
      </w:r>
      <w:r w:rsidRPr="00B310B7">
        <w:rPr>
          <w:color w:val="000000"/>
          <w:sz w:val="20"/>
          <w:szCs w:val="20"/>
          <w:lang w:eastAsia="en-GB"/>
        </w:rPr>
        <w:t>(</w:t>
      </w:r>
      <w:r w:rsidR="00AB505B" w:rsidRPr="004B29ED">
        <w:rPr>
          <w:color w:val="000000"/>
          <w:sz w:val="20"/>
          <w:szCs w:val="20"/>
          <w:lang w:eastAsia="en-GB"/>
        </w:rPr>
        <w:t>E</w:t>
      </w:r>
      <w:r w:rsidRPr="00B310B7">
        <w:rPr>
          <w:color w:val="000000"/>
          <w:sz w:val="20"/>
          <w:szCs w:val="20"/>
          <w:lang w:eastAsia="en-GB"/>
        </w:rPr>
        <w:t>mphasis added, internal references omitted</w:t>
      </w:r>
      <w:r w:rsidR="00AB505B" w:rsidRPr="004B29ED">
        <w:rPr>
          <w:color w:val="000000"/>
          <w:sz w:val="20"/>
          <w:szCs w:val="20"/>
          <w:lang w:eastAsia="en-GB"/>
        </w:rPr>
        <w:t>.</w:t>
      </w:r>
      <w:r w:rsidRPr="00B310B7">
        <w:rPr>
          <w:color w:val="000000"/>
          <w:sz w:val="20"/>
          <w:szCs w:val="20"/>
          <w:lang w:eastAsia="en-GB"/>
        </w:rPr>
        <w:t>)</w:t>
      </w:r>
      <w:r w:rsidR="00773018" w:rsidRPr="004B29ED">
        <w:rPr>
          <w:color w:val="000000"/>
          <w:sz w:val="20"/>
          <w:szCs w:val="20"/>
          <w:lang w:eastAsia="en-GB"/>
        </w:rPr>
        <w:t xml:space="preserve"> </w:t>
      </w:r>
    </w:p>
    <w:p w14:paraId="7FAC447D" w14:textId="77777777" w:rsidR="00EE3617" w:rsidRPr="001614F0" w:rsidRDefault="00EE3617" w:rsidP="001614F0"/>
    <w:p w14:paraId="400D22B5" w14:textId="34E5B9C9" w:rsidR="001B1114" w:rsidRPr="001614F0" w:rsidRDefault="001B1114" w:rsidP="00E54513">
      <w:pPr>
        <w:pStyle w:val="NUM1"/>
        <w:numPr>
          <w:ilvl w:val="0"/>
          <w:numId w:val="1"/>
        </w:numPr>
        <w:tabs>
          <w:tab w:val="clear" w:pos="720"/>
          <w:tab w:val="num" w:pos="567"/>
        </w:tabs>
        <w:ind w:left="567" w:hanging="567"/>
      </w:pPr>
      <w:r w:rsidRPr="001614F0">
        <w:lastRenderedPageBreak/>
        <w:t xml:space="preserve">In </w:t>
      </w:r>
      <w:r w:rsidRPr="00E54513">
        <w:rPr>
          <w:b/>
          <w:bCs/>
        </w:rPr>
        <w:t>Rudman</w:t>
      </w:r>
      <w:r w:rsidRPr="004B29ED">
        <w:rPr>
          <w:rStyle w:val="FootnoteReference"/>
          <w:sz w:val="24"/>
        </w:rPr>
        <w:footnoteReference w:id="27"/>
      </w:r>
      <w:r w:rsidR="00685C68" w:rsidRPr="001614F0">
        <w:t xml:space="preserve">, </w:t>
      </w:r>
      <w:r w:rsidRPr="00E54513">
        <w:t>the Supreme Court of Appeal</w:t>
      </w:r>
      <w:r w:rsidR="008906C6" w:rsidRPr="000E7335">
        <w:t>,</w:t>
      </w:r>
      <w:r w:rsidR="00FF78DB" w:rsidRPr="000E7335">
        <w:t xml:space="preserve"> in relation to a claim for damages for loss of income under the </w:t>
      </w:r>
      <w:r w:rsidR="00FF78DB" w:rsidRPr="001614F0">
        <w:rPr>
          <w:i/>
          <w:iCs/>
        </w:rPr>
        <w:t>actio legis aquiliae</w:t>
      </w:r>
      <w:r w:rsidR="008906C6" w:rsidRPr="001614F0">
        <w:rPr>
          <w:i/>
          <w:iCs/>
        </w:rPr>
        <w:t xml:space="preserve">, </w:t>
      </w:r>
      <w:r w:rsidR="008906C6" w:rsidRPr="001614F0">
        <w:t>said</w:t>
      </w:r>
      <w:r w:rsidR="00FF78DB" w:rsidRPr="001614F0">
        <w:rPr>
          <w:i/>
          <w:iCs/>
        </w:rPr>
        <w:t xml:space="preserve"> </w:t>
      </w:r>
      <w:r w:rsidR="00FF78DB" w:rsidRPr="001614F0">
        <w:t>that</w:t>
      </w:r>
      <w:r w:rsidR="00685C68" w:rsidRPr="001614F0">
        <w:t xml:space="preserve">: </w:t>
      </w:r>
    </w:p>
    <w:p w14:paraId="67B3206B" w14:textId="5DEF8B8D" w:rsidR="00267387" w:rsidRPr="001614F0" w:rsidRDefault="00267387" w:rsidP="004B29ED"/>
    <w:p w14:paraId="52A15ADF" w14:textId="634DE55B" w:rsidR="00267387" w:rsidRPr="00B310B7" w:rsidRDefault="00267387" w:rsidP="004B29ED">
      <w:pPr>
        <w:tabs>
          <w:tab w:val="left" w:pos="1418"/>
        </w:tabs>
        <w:spacing w:line="360" w:lineRule="auto"/>
        <w:ind w:left="1418"/>
        <w:rPr>
          <w:iCs/>
          <w:color w:val="000000"/>
          <w:sz w:val="20"/>
          <w:szCs w:val="20"/>
          <w:lang w:eastAsia="en-GB"/>
        </w:rPr>
      </w:pPr>
      <w:r w:rsidRPr="00B310B7">
        <w:rPr>
          <w:iCs/>
          <w:color w:val="000000"/>
          <w:sz w:val="20"/>
          <w:szCs w:val="20"/>
          <w:lang w:eastAsia="en-GB"/>
        </w:rPr>
        <w:t>“</w:t>
      </w:r>
      <w:r w:rsidRPr="00B310B7">
        <w:rPr>
          <w:b/>
          <w:bCs/>
          <w:iCs/>
          <w:color w:val="000000"/>
          <w:sz w:val="20"/>
          <w:szCs w:val="20"/>
          <w:lang w:eastAsia="en-GB"/>
        </w:rPr>
        <w:t>There must be proof that the reduction in earning capacity</w:t>
      </w:r>
      <w:r w:rsidR="00ED35BB" w:rsidRPr="004B29ED">
        <w:rPr>
          <w:b/>
          <w:bCs/>
          <w:iCs/>
          <w:color w:val="000000"/>
          <w:sz w:val="20"/>
          <w:szCs w:val="20"/>
          <w:lang w:eastAsia="en-GB"/>
        </w:rPr>
        <w:t xml:space="preserve"> </w:t>
      </w:r>
      <w:r w:rsidRPr="00B310B7">
        <w:rPr>
          <w:b/>
          <w:bCs/>
          <w:iCs/>
          <w:color w:val="000000"/>
          <w:sz w:val="20"/>
          <w:szCs w:val="20"/>
          <w:lang w:eastAsia="en-GB"/>
        </w:rPr>
        <w:t>indeed gives rise to pecuniary loss</w:t>
      </w:r>
      <w:r w:rsidRPr="00B310B7">
        <w:rPr>
          <w:iCs/>
          <w:color w:val="000000"/>
          <w:sz w:val="20"/>
          <w:szCs w:val="20"/>
          <w:lang w:eastAsia="en-GB"/>
        </w:rPr>
        <w:t>.</w:t>
      </w:r>
      <w:r w:rsidR="009D6BE7" w:rsidRPr="004B29ED">
        <w:rPr>
          <w:iCs/>
          <w:color w:val="000000"/>
          <w:sz w:val="20"/>
          <w:szCs w:val="20"/>
          <w:lang w:eastAsia="en-GB"/>
        </w:rPr>
        <w:t xml:space="preserve"> </w:t>
      </w:r>
      <w:r w:rsidRPr="00B310B7">
        <w:rPr>
          <w:iCs/>
          <w:color w:val="000000"/>
          <w:sz w:val="20"/>
          <w:szCs w:val="20"/>
          <w:lang w:eastAsia="en-GB"/>
        </w:rPr>
        <w:t xml:space="preserve"> Thus, in</w:t>
      </w:r>
      <w:r w:rsidR="00ED35BB" w:rsidRPr="004B29ED">
        <w:rPr>
          <w:iCs/>
          <w:color w:val="000000"/>
          <w:sz w:val="20"/>
          <w:szCs w:val="20"/>
          <w:lang w:eastAsia="en-GB"/>
        </w:rPr>
        <w:t xml:space="preserve"> </w:t>
      </w:r>
      <w:r w:rsidRPr="00AB59AA">
        <w:rPr>
          <w:i/>
          <w:color w:val="000000"/>
          <w:sz w:val="20"/>
          <w:szCs w:val="20"/>
          <w:lang w:eastAsia="en-GB"/>
        </w:rPr>
        <w:t>Union and National</w:t>
      </w:r>
      <w:r w:rsidR="00ED35BB" w:rsidRPr="00AB59AA">
        <w:rPr>
          <w:i/>
          <w:color w:val="000000"/>
          <w:sz w:val="20"/>
          <w:szCs w:val="20"/>
          <w:lang w:eastAsia="en-GB"/>
        </w:rPr>
        <w:t xml:space="preserve"> </w:t>
      </w:r>
      <w:r w:rsidRPr="00AB59AA">
        <w:rPr>
          <w:i/>
          <w:color w:val="000000"/>
          <w:sz w:val="20"/>
          <w:szCs w:val="20"/>
          <w:lang w:eastAsia="en-GB"/>
        </w:rPr>
        <w:t>Insurance Co Ltd v Coetzee</w:t>
      </w:r>
      <w:r w:rsidRPr="004B29ED">
        <w:rPr>
          <w:iCs/>
          <w:color w:val="000000"/>
          <w:sz w:val="20"/>
          <w:szCs w:val="20"/>
          <w:lang w:eastAsia="en-GB"/>
        </w:rPr>
        <w:t>,</w:t>
      </w:r>
      <w:bookmarkStart w:id="1" w:name="0-0-0-411399"/>
      <w:bookmarkEnd w:id="1"/>
      <w:r w:rsidRPr="00B310B7">
        <w:rPr>
          <w:iCs/>
          <w:color w:val="000000"/>
          <w:sz w:val="20"/>
          <w:szCs w:val="20"/>
          <w:lang w:eastAsia="en-GB"/>
        </w:rPr>
        <w:t xml:space="preserve"> which is referred to in the passage quoted above from</w:t>
      </w:r>
      <w:r w:rsidR="00ED35BB" w:rsidRPr="004B29ED">
        <w:rPr>
          <w:iCs/>
          <w:color w:val="000000"/>
          <w:sz w:val="20"/>
          <w:szCs w:val="20"/>
          <w:lang w:eastAsia="en-GB"/>
        </w:rPr>
        <w:t xml:space="preserve"> </w:t>
      </w:r>
      <w:r w:rsidRPr="004B29ED">
        <w:rPr>
          <w:iCs/>
          <w:color w:val="000000"/>
          <w:sz w:val="20"/>
          <w:szCs w:val="20"/>
          <w:lang w:eastAsia="en-GB"/>
        </w:rPr>
        <w:t>Dippenaar</w:t>
      </w:r>
      <w:r w:rsidRPr="00B310B7">
        <w:rPr>
          <w:iCs/>
          <w:color w:val="000000"/>
          <w:sz w:val="20"/>
          <w:szCs w:val="20"/>
          <w:lang w:eastAsia="en-GB"/>
        </w:rPr>
        <w:t>'s case</w:t>
      </w:r>
      <w:bookmarkStart w:id="2" w:name="0-0-0-411403"/>
      <w:bookmarkEnd w:id="2"/>
      <w:r w:rsidRPr="00B310B7">
        <w:rPr>
          <w:iCs/>
          <w:color w:val="000000"/>
          <w:sz w:val="20"/>
          <w:szCs w:val="20"/>
          <w:lang w:eastAsia="en-GB"/>
        </w:rPr>
        <w:t xml:space="preserve"> and which deals with a lump sum award for loss of earning capacity, Jansen JA makes the point</w:t>
      </w:r>
      <w:bookmarkStart w:id="3" w:name="0-0-0-411407"/>
      <w:bookmarkEnd w:id="3"/>
      <w:r w:rsidRPr="00B310B7">
        <w:rPr>
          <w:iCs/>
          <w:color w:val="808080"/>
          <w:sz w:val="20"/>
          <w:szCs w:val="20"/>
          <w:u w:val="single"/>
          <w:lang w:eastAsia="en-GB"/>
        </w:rPr>
        <w:t xml:space="preserve"> </w:t>
      </w:r>
      <w:r w:rsidRPr="00B310B7">
        <w:rPr>
          <w:iCs/>
          <w:color w:val="000000"/>
          <w:sz w:val="20"/>
          <w:szCs w:val="20"/>
          <w:lang w:eastAsia="en-GB"/>
        </w:rPr>
        <w:t>that</w:t>
      </w:r>
      <w:r w:rsidR="009D6BE7" w:rsidRPr="004B29ED">
        <w:rPr>
          <w:iCs/>
          <w:color w:val="000000"/>
          <w:sz w:val="20"/>
          <w:szCs w:val="20"/>
          <w:lang w:eastAsia="en-GB"/>
        </w:rPr>
        <w:t xml:space="preserve">: </w:t>
      </w:r>
    </w:p>
    <w:p w14:paraId="1327F116" w14:textId="77777777" w:rsidR="00267387" w:rsidRPr="00B310B7" w:rsidRDefault="00267387" w:rsidP="00B310B7">
      <w:pPr>
        <w:spacing w:line="360" w:lineRule="auto"/>
        <w:ind w:left="851"/>
        <w:rPr>
          <w:iCs/>
          <w:color w:val="000000"/>
          <w:sz w:val="20"/>
          <w:szCs w:val="20"/>
          <w:lang w:eastAsia="en-GB"/>
        </w:rPr>
      </w:pPr>
    </w:p>
    <w:p w14:paraId="7E5884D2" w14:textId="263BC621" w:rsidR="00267387" w:rsidRPr="00B310B7" w:rsidRDefault="00267387" w:rsidP="004B29ED">
      <w:pPr>
        <w:tabs>
          <w:tab w:val="left" w:pos="2268"/>
        </w:tabs>
        <w:spacing w:line="360" w:lineRule="auto"/>
        <w:ind w:left="2268"/>
        <w:rPr>
          <w:iCs/>
          <w:color w:val="000000"/>
          <w:sz w:val="20"/>
          <w:szCs w:val="20"/>
          <w:lang w:eastAsia="en-GB"/>
        </w:rPr>
      </w:pPr>
      <w:r w:rsidRPr="00B310B7">
        <w:rPr>
          <w:iCs/>
          <w:color w:val="000000"/>
          <w:sz w:val="20"/>
          <w:szCs w:val="20"/>
          <w:lang w:eastAsia="en-GB"/>
        </w:rPr>
        <w:t>'</w:t>
      </w:r>
      <w:r w:rsidRPr="004B29ED">
        <w:rPr>
          <w:iCs/>
          <w:color w:val="000000"/>
          <w:sz w:val="20"/>
          <w:szCs w:val="20"/>
          <w:lang w:eastAsia="en-GB"/>
        </w:rPr>
        <w:t>'n (b)</w:t>
      </w:r>
      <w:r w:rsidRPr="00B310B7">
        <w:rPr>
          <w:iCs/>
          <w:color w:val="000000"/>
          <w:sz w:val="20"/>
          <w:szCs w:val="20"/>
          <w:lang w:eastAsia="en-GB"/>
        </w:rPr>
        <w:t xml:space="preserve">epaalde liggaamlike gebrek bring egter nie noodwendig 'n vermindering van verdienvermoë mee nie of altyd 'n vermindering van gelyke omvang nie </w:t>
      </w:r>
      <w:r w:rsidR="00FD0930" w:rsidRPr="004B29ED">
        <w:rPr>
          <w:iCs/>
          <w:color w:val="000000"/>
          <w:sz w:val="20"/>
          <w:szCs w:val="20"/>
          <w:lang w:eastAsia="en-GB"/>
        </w:rPr>
        <w:t>–</w:t>
      </w:r>
      <w:r w:rsidRPr="00B310B7">
        <w:rPr>
          <w:iCs/>
          <w:color w:val="000000"/>
          <w:sz w:val="20"/>
          <w:szCs w:val="20"/>
          <w:lang w:eastAsia="en-GB"/>
        </w:rPr>
        <w:t xml:space="preserve"> dit hang oa af van die soort werk waarteen die gebrek beoordeel word'.” </w:t>
      </w:r>
      <w:r w:rsidR="00FD0930" w:rsidRPr="004B29ED">
        <w:rPr>
          <w:iCs/>
          <w:color w:val="000000"/>
          <w:sz w:val="20"/>
          <w:szCs w:val="20"/>
          <w:lang w:eastAsia="en-GB"/>
        </w:rPr>
        <w:t xml:space="preserve"> </w:t>
      </w:r>
      <w:r w:rsidRPr="00B310B7">
        <w:rPr>
          <w:iCs/>
          <w:color w:val="000000"/>
          <w:sz w:val="20"/>
          <w:szCs w:val="20"/>
          <w:lang w:eastAsia="en-GB"/>
        </w:rPr>
        <w:t>(</w:t>
      </w:r>
      <w:r w:rsidR="00FD0930" w:rsidRPr="004B29ED">
        <w:rPr>
          <w:iCs/>
          <w:color w:val="000000"/>
          <w:sz w:val="20"/>
          <w:szCs w:val="20"/>
          <w:lang w:eastAsia="en-GB"/>
        </w:rPr>
        <w:t>E</w:t>
      </w:r>
      <w:r w:rsidR="00EE3617" w:rsidRPr="00B310B7">
        <w:rPr>
          <w:iCs/>
          <w:color w:val="000000"/>
          <w:sz w:val="20"/>
          <w:szCs w:val="20"/>
          <w:lang w:eastAsia="en-GB"/>
        </w:rPr>
        <w:t xml:space="preserve">mphasis added, </w:t>
      </w:r>
      <w:r w:rsidRPr="00B310B7">
        <w:rPr>
          <w:iCs/>
          <w:color w:val="000000"/>
          <w:sz w:val="20"/>
          <w:szCs w:val="20"/>
          <w:lang w:eastAsia="en-GB"/>
        </w:rPr>
        <w:t>footnotes omitted</w:t>
      </w:r>
      <w:r w:rsidR="00FD0930" w:rsidRPr="004B29ED">
        <w:rPr>
          <w:iCs/>
          <w:color w:val="000000"/>
          <w:sz w:val="20"/>
          <w:szCs w:val="20"/>
          <w:lang w:eastAsia="en-GB"/>
        </w:rPr>
        <w:t>.</w:t>
      </w:r>
      <w:r w:rsidRPr="00B310B7">
        <w:rPr>
          <w:iCs/>
          <w:color w:val="000000"/>
          <w:sz w:val="20"/>
          <w:szCs w:val="20"/>
          <w:lang w:eastAsia="en-GB"/>
        </w:rPr>
        <w:t>)</w:t>
      </w:r>
      <w:r w:rsidR="00FD0930" w:rsidRPr="004B29ED">
        <w:rPr>
          <w:iCs/>
          <w:color w:val="000000"/>
          <w:sz w:val="20"/>
          <w:szCs w:val="20"/>
          <w:lang w:eastAsia="en-GB"/>
        </w:rPr>
        <w:t xml:space="preserve"> </w:t>
      </w:r>
    </w:p>
    <w:p w14:paraId="632C63CB" w14:textId="77777777" w:rsidR="001B1114" w:rsidRPr="001614F0" w:rsidRDefault="001B1114" w:rsidP="001614F0"/>
    <w:p w14:paraId="02FBE12D" w14:textId="5CD4388D" w:rsidR="008239C8" w:rsidRDefault="00267387" w:rsidP="00E54513">
      <w:pPr>
        <w:pStyle w:val="NUM1"/>
        <w:numPr>
          <w:ilvl w:val="0"/>
          <w:numId w:val="1"/>
        </w:numPr>
        <w:tabs>
          <w:tab w:val="clear" w:pos="720"/>
          <w:tab w:val="num" w:pos="567"/>
        </w:tabs>
        <w:ind w:left="567" w:hanging="567"/>
      </w:pPr>
      <w:r w:rsidRPr="001614F0">
        <w:t>A</w:t>
      </w:r>
      <w:r w:rsidR="006F2BB7" w:rsidRPr="00E54513">
        <w:t>s a matter of substantive law,</w:t>
      </w:r>
      <w:r w:rsidR="00733FF1" w:rsidRPr="000E7335">
        <w:t xml:space="preserve"> therefore, a</w:t>
      </w:r>
      <w:r w:rsidRPr="000E7335">
        <w:t xml:space="preserve"> </w:t>
      </w:r>
      <w:r w:rsidR="004502C3" w:rsidRPr="00486D60">
        <w:t>p</w:t>
      </w:r>
      <w:r w:rsidR="002F206F" w:rsidRPr="00486D60">
        <w:t>laintiff must</w:t>
      </w:r>
      <w:r w:rsidR="006F2BB7" w:rsidRPr="00486D60">
        <w:t xml:space="preserve"> </w:t>
      </w:r>
      <w:r w:rsidR="002F206F" w:rsidRPr="00486D60">
        <w:t xml:space="preserve">prove </w:t>
      </w:r>
      <w:r w:rsidRPr="00486D60">
        <w:t>his or her</w:t>
      </w:r>
      <w:r w:rsidR="002F206F" w:rsidRPr="001C04C5">
        <w:t xml:space="preserve"> damages</w:t>
      </w:r>
      <w:r w:rsidRPr="001614F0">
        <w:t xml:space="preserve"> and the quantum thereof</w:t>
      </w:r>
      <w:r w:rsidR="002F206F" w:rsidRPr="001614F0">
        <w:t xml:space="preserve"> on a balance of probabilities.</w:t>
      </w:r>
      <w:r w:rsidR="007660C0" w:rsidRPr="001614F0">
        <w:t xml:space="preserve"> </w:t>
      </w:r>
      <w:r w:rsidRPr="001614F0">
        <w:t xml:space="preserve"> In particular, there must be evidence that the disability </w:t>
      </w:r>
      <w:r w:rsidR="00402EBB" w:rsidRPr="001614F0">
        <w:t>giving rise to the damages impact</w:t>
      </w:r>
      <w:r w:rsidR="007660C0" w:rsidRPr="001614F0">
        <w:t>s</w:t>
      </w:r>
      <w:r w:rsidR="00402EBB" w:rsidRPr="001614F0">
        <w:t xml:space="preserve"> detrimentally upon the work or occupation that a plaintiff would probably have </w:t>
      </w:r>
      <w:r w:rsidR="007660C0" w:rsidRPr="001614F0">
        <w:t xml:space="preserve">pursued, </w:t>
      </w:r>
      <w:r w:rsidR="00402EBB" w:rsidRPr="001614F0">
        <w:t>had it not been for the accident.</w:t>
      </w:r>
      <w:r w:rsidR="00402EBB" w:rsidRPr="004B29ED">
        <w:rPr>
          <w:rStyle w:val="FootnoteReference"/>
          <w:sz w:val="24"/>
        </w:rPr>
        <w:footnoteReference w:id="28"/>
      </w:r>
      <w:r w:rsidR="00402EBB" w:rsidRPr="001614F0">
        <w:t xml:space="preserve"> </w:t>
      </w:r>
    </w:p>
    <w:p w14:paraId="008BFF66" w14:textId="77777777" w:rsidR="00930B49" w:rsidRPr="00930B49" w:rsidRDefault="00930B49" w:rsidP="00930B49"/>
    <w:p w14:paraId="118CC444" w14:textId="673B5E8F" w:rsidR="002F206F" w:rsidRPr="001614F0" w:rsidRDefault="001A79CF" w:rsidP="00E54513">
      <w:pPr>
        <w:pStyle w:val="NUM1"/>
        <w:numPr>
          <w:ilvl w:val="0"/>
          <w:numId w:val="1"/>
        </w:numPr>
        <w:tabs>
          <w:tab w:val="clear" w:pos="720"/>
          <w:tab w:val="num" w:pos="567"/>
        </w:tabs>
        <w:ind w:left="567" w:hanging="567"/>
      </w:pPr>
      <w:r w:rsidRPr="001614F0">
        <w:t xml:space="preserve">Thereafter, an actuarial calculation is </w:t>
      </w:r>
      <w:r w:rsidRPr="00E54513">
        <w:t>made</w:t>
      </w:r>
      <w:r w:rsidR="00733FF1" w:rsidRPr="000E7335">
        <w:t xml:space="preserve"> in which the loss (being the difference between the value of income but for the accident</w:t>
      </w:r>
      <w:r w:rsidR="00BB28F7">
        <w:t>,</w:t>
      </w:r>
      <w:r w:rsidR="00733FF1" w:rsidRPr="000E7335">
        <w:t xml:space="preserve"> and the value of the income having regard to the accident)</w:t>
      </w:r>
      <w:r w:rsidRPr="001614F0">
        <w:t xml:space="preserve"> </w:t>
      </w:r>
      <w:r w:rsidR="00733FF1" w:rsidRPr="001614F0">
        <w:t xml:space="preserve">is determined </w:t>
      </w:r>
      <w:r w:rsidRPr="001614F0">
        <w:t>and an appropriate contingency applied.  This is the approach approved</w:t>
      </w:r>
      <w:r w:rsidR="00930B49">
        <w:t xml:space="preserve"> by the Supreme Court of Appeal</w:t>
      </w:r>
      <w:r w:rsidRPr="001614F0">
        <w:t xml:space="preserve"> in </w:t>
      </w:r>
      <w:r w:rsidRPr="001614F0">
        <w:rPr>
          <w:b/>
          <w:bCs/>
        </w:rPr>
        <w:t>Swe</w:t>
      </w:r>
      <w:r w:rsidR="00BB28F7">
        <w:rPr>
          <w:b/>
          <w:bCs/>
        </w:rPr>
        <w:t>a</w:t>
      </w:r>
      <w:r w:rsidRPr="001614F0">
        <w:rPr>
          <w:b/>
          <w:bCs/>
        </w:rPr>
        <w:t>tman</w:t>
      </w:r>
      <w:r w:rsidRPr="001614F0">
        <w:t>.</w:t>
      </w:r>
      <w:r w:rsidRPr="004B29ED">
        <w:rPr>
          <w:rStyle w:val="FootnoteReference"/>
          <w:sz w:val="24"/>
        </w:rPr>
        <w:footnoteReference w:id="29"/>
      </w:r>
      <w:r w:rsidR="003423C4" w:rsidRPr="001614F0">
        <w:t xml:space="preserve"> </w:t>
      </w:r>
    </w:p>
    <w:p w14:paraId="60520D76" w14:textId="77777777" w:rsidR="002F206F" w:rsidRPr="001614F0" w:rsidRDefault="002F206F"/>
    <w:p w14:paraId="6E4DFFFB" w14:textId="6A8DA43B" w:rsidR="00402EBB" w:rsidRPr="001614F0" w:rsidRDefault="002F206F">
      <w:pPr>
        <w:pStyle w:val="NUM1"/>
        <w:numPr>
          <w:ilvl w:val="0"/>
          <w:numId w:val="1"/>
        </w:numPr>
        <w:tabs>
          <w:tab w:val="clear" w:pos="720"/>
          <w:tab w:val="num" w:pos="567"/>
        </w:tabs>
        <w:ind w:left="567" w:hanging="567"/>
      </w:pPr>
      <w:r w:rsidRPr="001614F0">
        <w:lastRenderedPageBreak/>
        <w:t xml:space="preserve">In a case such as this where, notwithstanding the opportunity afforded to the </w:t>
      </w:r>
      <w:r w:rsidR="004502C3" w:rsidRPr="001614F0">
        <w:t>d</w:t>
      </w:r>
      <w:r w:rsidRPr="001614F0">
        <w:t>efendant to challenge the factual conclusions upon which the expert opinions rest, the conclusions reached by the</w:t>
      </w:r>
      <w:r w:rsidR="004502C3" w:rsidRPr="001614F0">
        <w:t xml:space="preserve"> plaintiff’s</w:t>
      </w:r>
      <w:r w:rsidRPr="001614F0">
        <w:t xml:space="preserve"> experts </w:t>
      </w:r>
      <w:r w:rsidR="00402EBB" w:rsidRPr="001614F0">
        <w:t xml:space="preserve">in relation to the plaintiff’s disability </w:t>
      </w:r>
      <w:r w:rsidRPr="001614F0">
        <w:t>are</w:t>
      </w:r>
      <w:r w:rsidR="00521720">
        <w:t xml:space="preserve"> cogent, well-grounded and</w:t>
      </w:r>
      <w:r w:rsidRPr="001614F0">
        <w:t xml:space="preserve"> unchallenged</w:t>
      </w:r>
      <w:r w:rsidR="00687356">
        <w:t>.</w:t>
      </w:r>
      <w:r w:rsidRPr="001614F0">
        <w:t xml:space="preserve"> </w:t>
      </w:r>
      <w:r w:rsidR="00687356">
        <w:t>T</w:t>
      </w:r>
      <w:r w:rsidR="00521720">
        <w:t>hey</w:t>
      </w:r>
      <w:r w:rsidRPr="001614F0">
        <w:t xml:space="preserve"> must be</w:t>
      </w:r>
      <w:r w:rsidR="00D11CAE" w:rsidRPr="001614F0">
        <w:t xml:space="preserve"> accepted</w:t>
      </w:r>
      <w:r w:rsidRPr="001614F0">
        <w:t xml:space="preserve"> as proved.</w:t>
      </w:r>
      <w:r w:rsidR="003423C4" w:rsidRPr="001614F0">
        <w:t xml:space="preserve"> </w:t>
      </w:r>
    </w:p>
    <w:p w14:paraId="692058A0" w14:textId="77777777" w:rsidR="002F206F" w:rsidRPr="001614F0" w:rsidRDefault="002F206F">
      <w:pPr>
        <w:tabs>
          <w:tab w:val="num" w:pos="567"/>
        </w:tabs>
        <w:ind w:left="567" w:hanging="567"/>
      </w:pPr>
    </w:p>
    <w:p w14:paraId="197F1A97" w14:textId="28E49435" w:rsidR="00734CB3" w:rsidRPr="001614F0" w:rsidRDefault="00311550">
      <w:pPr>
        <w:pStyle w:val="NUM1"/>
        <w:numPr>
          <w:ilvl w:val="0"/>
          <w:numId w:val="1"/>
        </w:numPr>
        <w:tabs>
          <w:tab w:val="clear" w:pos="720"/>
          <w:tab w:val="num" w:pos="567"/>
        </w:tabs>
        <w:ind w:left="567" w:hanging="567"/>
      </w:pPr>
      <w:r w:rsidRPr="001614F0">
        <w:t>I</w:t>
      </w:r>
      <w:r w:rsidR="00E86838" w:rsidRPr="001614F0">
        <w:t xml:space="preserve"> turn </w:t>
      </w:r>
      <w:r w:rsidR="00734CB3" w:rsidRPr="001614F0">
        <w:t>now to the assessment of the plaintiff’s quantum and the contingencies to be applied.</w:t>
      </w:r>
      <w:r w:rsidR="00E86838" w:rsidRPr="001614F0">
        <w:t xml:space="preserve"> </w:t>
      </w:r>
    </w:p>
    <w:p w14:paraId="793E9BB3" w14:textId="77777777" w:rsidR="00734CB3" w:rsidRPr="001614F0" w:rsidRDefault="00734CB3">
      <w:pPr>
        <w:tabs>
          <w:tab w:val="num" w:pos="567"/>
        </w:tabs>
        <w:ind w:left="567" w:hanging="567"/>
      </w:pPr>
    </w:p>
    <w:p w14:paraId="045D50F6" w14:textId="74388A14" w:rsidR="00106C42" w:rsidRPr="001614F0" w:rsidRDefault="00252A26">
      <w:pPr>
        <w:pStyle w:val="NUM1"/>
        <w:numPr>
          <w:ilvl w:val="0"/>
          <w:numId w:val="1"/>
        </w:numPr>
        <w:tabs>
          <w:tab w:val="clear" w:pos="720"/>
          <w:tab w:val="num" w:pos="567"/>
        </w:tabs>
        <w:ind w:left="567" w:hanging="567"/>
        <w:rPr>
          <w:bCs/>
        </w:rPr>
      </w:pPr>
      <w:r w:rsidRPr="001614F0">
        <w:t xml:space="preserve">The facts lead ineluctably to a conclusion that, but for the accident, the plaintiff would have </w:t>
      </w:r>
      <w:r w:rsidR="00E86838" w:rsidRPr="001614F0">
        <w:t xml:space="preserve">pursued </w:t>
      </w:r>
      <w:r w:rsidRPr="001614F0">
        <w:t>tertiary education and qualified in the field of law</w:t>
      </w:r>
      <w:r w:rsidR="00521720">
        <w:t xml:space="preserve">. </w:t>
      </w:r>
      <w:r w:rsidRPr="001614F0">
        <w:t xml:space="preserve"> </w:t>
      </w:r>
    </w:p>
    <w:p w14:paraId="115AF2D2" w14:textId="77777777" w:rsidR="00106C42" w:rsidRPr="001614F0" w:rsidRDefault="00106C42" w:rsidP="001614F0"/>
    <w:p w14:paraId="1769C7E4" w14:textId="15B933DB" w:rsidR="0031323B" w:rsidRPr="001614F0" w:rsidRDefault="0031323B" w:rsidP="006F0A77">
      <w:pPr>
        <w:pStyle w:val="NUM1"/>
        <w:numPr>
          <w:ilvl w:val="0"/>
          <w:numId w:val="1"/>
        </w:numPr>
        <w:tabs>
          <w:tab w:val="clear" w:pos="720"/>
          <w:tab w:val="num" w:pos="567"/>
        </w:tabs>
        <w:ind w:left="567" w:hanging="567"/>
      </w:pPr>
      <w:r w:rsidRPr="001614F0">
        <w:t>There is ample authority for the proposition that the contingency deduction is dependent upon the facts of the case.</w:t>
      </w:r>
      <w:r w:rsidR="00D65FBF" w:rsidRPr="004B29ED">
        <w:rPr>
          <w:rStyle w:val="FootnoteReference"/>
          <w:sz w:val="24"/>
        </w:rPr>
        <w:footnoteReference w:id="30"/>
      </w:r>
      <w:r w:rsidR="006771AB" w:rsidRPr="001614F0">
        <w:t xml:space="preserve"> </w:t>
      </w:r>
    </w:p>
    <w:p w14:paraId="56AE4FD0" w14:textId="77777777" w:rsidR="0031323B" w:rsidRPr="00E54513" w:rsidRDefault="0031323B" w:rsidP="004B29ED">
      <w:pPr>
        <w:tabs>
          <w:tab w:val="num" w:pos="709"/>
        </w:tabs>
        <w:ind w:left="567" w:hanging="567"/>
      </w:pPr>
    </w:p>
    <w:p w14:paraId="0E8A64A7" w14:textId="00688535" w:rsidR="00402EBB" w:rsidRPr="001614F0" w:rsidRDefault="00D65FBF" w:rsidP="006F0A77">
      <w:pPr>
        <w:pStyle w:val="NUM1"/>
        <w:numPr>
          <w:ilvl w:val="0"/>
          <w:numId w:val="1"/>
        </w:numPr>
        <w:tabs>
          <w:tab w:val="clear" w:pos="720"/>
          <w:tab w:val="num" w:pos="567"/>
        </w:tabs>
        <w:ind w:left="567" w:hanging="567"/>
      </w:pPr>
      <w:r w:rsidRPr="001C04C5">
        <w:t>The purpose of the contingency deduction was explained i</w:t>
      </w:r>
      <w:r w:rsidR="00402EBB" w:rsidRPr="001614F0">
        <w:t xml:space="preserve">n </w:t>
      </w:r>
      <w:r w:rsidR="00402EBB" w:rsidRPr="001614F0">
        <w:rPr>
          <w:b/>
          <w:bCs/>
        </w:rPr>
        <w:t>Goodall</w:t>
      </w:r>
      <w:r w:rsidR="00402EBB" w:rsidRPr="004B29ED">
        <w:rPr>
          <w:rStyle w:val="FootnoteReference"/>
          <w:bCs/>
          <w:sz w:val="24"/>
        </w:rPr>
        <w:footnoteReference w:id="31"/>
      </w:r>
      <w:r w:rsidR="006771AB" w:rsidRPr="001614F0">
        <w:t>,</w:t>
      </w:r>
      <w:r w:rsidR="00734CB3" w:rsidRPr="004B29ED">
        <w:rPr>
          <w:bCs/>
        </w:rPr>
        <w:t xml:space="preserve"> </w:t>
      </w:r>
      <w:r w:rsidR="00FF78DB" w:rsidRPr="001614F0">
        <w:t xml:space="preserve">a judgment of this division, </w:t>
      </w:r>
      <w:r w:rsidRPr="001614F0">
        <w:t>where it</w:t>
      </w:r>
      <w:r w:rsidR="00734CB3" w:rsidRPr="00E54513">
        <w:t xml:space="preserve"> was said</w:t>
      </w:r>
      <w:r w:rsidRPr="001C04C5">
        <w:t xml:space="preserve"> that</w:t>
      </w:r>
      <w:r w:rsidR="006771AB" w:rsidRPr="001614F0">
        <w:t xml:space="preserve">: </w:t>
      </w:r>
    </w:p>
    <w:p w14:paraId="3D580720" w14:textId="4289F620" w:rsidR="00734CB3" w:rsidRPr="001614F0" w:rsidRDefault="00734CB3" w:rsidP="001614F0"/>
    <w:p w14:paraId="345162BF" w14:textId="66DBEA53" w:rsidR="00734CB3" w:rsidRPr="004B29ED" w:rsidRDefault="00734CB3" w:rsidP="004B29ED">
      <w:pPr>
        <w:tabs>
          <w:tab w:val="left" w:pos="1418"/>
        </w:tabs>
        <w:spacing w:line="360" w:lineRule="auto"/>
        <w:ind w:left="1418"/>
        <w:rPr>
          <w:iCs/>
          <w:color w:val="000000"/>
          <w:sz w:val="20"/>
          <w:szCs w:val="20"/>
          <w:lang w:eastAsia="en-GB"/>
        </w:rPr>
      </w:pPr>
      <w:r w:rsidRPr="004B29ED">
        <w:rPr>
          <w:iCs/>
          <w:color w:val="000000"/>
          <w:sz w:val="20"/>
          <w:szCs w:val="20"/>
          <w:lang w:eastAsia="en-GB"/>
        </w:rPr>
        <w:t>“In the assessment of a proper allowance for contingencies, arbitrary considerations must inevitably play a part, for the art or science of foretelling the future, so confidently practised by ancient prophets and soothsayers, and by modern authors of a certain type of almanack, is not numbered among the qualifications for judicial office.</w:t>
      </w:r>
      <w:r w:rsidR="00113E9C" w:rsidRPr="004B29ED">
        <w:rPr>
          <w:iCs/>
          <w:color w:val="000000"/>
          <w:sz w:val="20"/>
          <w:szCs w:val="20"/>
          <w:lang w:eastAsia="en-GB"/>
        </w:rPr>
        <w:t xml:space="preserve"> </w:t>
      </w:r>
      <w:r w:rsidRPr="004B29ED">
        <w:rPr>
          <w:iCs/>
          <w:color w:val="000000"/>
          <w:sz w:val="20"/>
          <w:szCs w:val="20"/>
          <w:lang w:eastAsia="en-GB"/>
        </w:rPr>
        <w:t xml:space="preserve"> In</w:t>
      </w:r>
      <w:r w:rsidR="00113E9C" w:rsidRPr="004B29ED">
        <w:rPr>
          <w:iCs/>
          <w:color w:val="000000"/>
          <w:sz w:val="20"/>
          <w:szCs w:val="20"/>
          <w:lang w:eastAsia="en-GB"/>
        </w:rPr>
        <w:t xml:space="preserve"> </w:t>
      </w:r>
      <w:r w:rsidRPr="00B10428">
        <w:rPr>
          <w:i/>
          <w:color w:val="000000"/>
          <w:sz w:val="20"/>
          <w:szCs w:val="20"/>
          <w:lang w:eastAsia="en-GB"/>
        </w:rPr>
        <w:t>De</w:t>
      </w:r>
      <w:r w:rsidRPr="004B29ED">
        <w:rPr>
          <w:iCs/>
          <w:color w:val="000000"/>
          <w:sz w:val="20"/>
          <w:szCs w:val="20"/>
          <w:lang w:eastAsia="en-GB"/>
        </w:rPr>
        <w:t xml:space="preserve"> </w:t>
      </w:r>
      <w:r w:rsidRPr="00B10428">
        <w:rPr>
          <w:i/>
          <w:color w:val="000000"/>
          <w:sz w:val="20"/>
          <w:szCs w:val="20"/>
          <w:lang w:eastAsia="en-GB"/>
        </w:rPr>
        <w:t>Jong v Gunther and Another</w:t>
      </w:r>
      <w:r w:rsidRPr="004B29ED">
        <w:rPr>
          <w:iCs/>
          <w:color w:val="000000"/>
          <w:sz w:val="20"/>
          <w:szCs w:val="20"/>
          <w:lang w:eastAsia="en-GB"/>
        </w:rPr>
        <w:t>,</w:t>
      </w:r>
      <w:r w:rsidR="00113E9C" w:rsidRPr="004B29ED">
        <w:rPr>
          <w:iCs/>
          <w:color w:val="000000"/>
          <w:sz w:val="20"/>
          <w:szCs w:val="20"/>
          <w:lang w:eastAsia="en-GB"/>
        </w:rPr>
        <w:t xml:space="preserve"> </w:t>
      </w:r>
      <w:r w:rsidRPr="004B29ED">
        <w:rPr>
          <w:iCs/>
          <w:color w:val="000000"/>
          <w:sz w:val="20"/>
          <w:szCs w:val="20"/>
          <w:lang w:eastAsia="en-GB"/>
        </w:rPr>
        <w:t>NICHOLAS, J., said, at p. 80, opposite the letter</w:t>
      </w:r>
      <w:r w:rsidR="00113E9C" w:rsidRPr="004B29ED">
        <w:rPr>
          <w:iCs/>
          <w:color w:val="000000"/>
          <w:sz w:val="20"/>
          <w:szCs w:val="20"/>
          <w:lang w:eastAsia="en-GB"/>
        </w:rPr>
        <w:t> </w:t>
      </w:r>
      <w:r w:rsidRPr="004B29ED">
        <w:rPr>
          <w:iCs/>
          <w:color w:val="000000"/>
          <w:sz w:val="20"/>
          <w:szCs w:val="20"/>
          <w:lang w:eastAsia="en-GB"/>
        </w:rPr>
        <w:t>F:</w:t>
      </w:r>
      <w:r w:rsidR="00113E9C" w:rsidRPr="004B29ED">
        <w:rPr>
          <w:iCs/>
          <w:color w:val="000000"/>
          <w:sz w:val="20"/>
          <w:szCs w:val="20"/>
          <w:lang w:eastAsia="en-GB"/>
        </w:rPr>
        <w:t xml:space="preserve"> </w:t>
      </w:r>
    </w:p>
    <w:p w14:paraId="3145FD59" w14:textId="77777777" w:rsidR="00734CB3" w:rsidRPr="004B29ED" w:rsidRDefault="00734CB3" w:rsidP="004B29ED">
      <w:pPr>
        <w:spacing w:line="360" w:lineRule="auto"/>
        <w:ind w:left="1134"/>
        <w:rPr>
          <w:iCs/>
          <w:color w:val="000000"/>
          <w:sz w:val="20"/>
          <w:szCs w:val="20"/>
          <w:lang w:eastAsia="en-GB"/>
        </w:rPr>
      </w:pPr>
    </w:p>
    <w:p w14:paraId="65150F81" w14:textId="6B9BFECD" w:rsidR="00734CB3" w:rsidRPr="004B29ED" w:rsidRDefault="00734CB3" w:rsidP="004B29ED">
      <w:pPr>
        <w:tabs>
          <w:tab w:val="left" w:pos="2268"/>
        </w:tabs>
        <w:spacing w:line="360" w:lineRule="auto"/>
        <w:ind w:left="2268"/>
        <w:rPr>
          <w:iCs/>
          <w:color w:val="000000"/>
          <w:sz w:val="20"/>
          <w:szCs w:val="20"/>
          <w:lang w:eastAsia="en-GB"/>
        </w:rPr>
      </w:pPr>
      <w:r w:rsidRPr="004B29ED">
        <w:rPr>
          <w:iCs/>
          <w:color w:val="000000"/>
          <w:sz w:val="20"/>
          <w:szCs w:val="20"/>
          <w:lang w:eastAsia="en-GB"/>
        </w:rPr>
        <w:t xml:space="preserve">"In a case where a plaintiff sues for his own future loss of earnings it is only contingencies which affect him personally which have to be considered. </w:t>
      </w:r>
      <w:r w:rsidR="002A16B7" w:rsidRPr="004B29ED">
        <w:rPr>
          <w:iCs/>
          <w:color w:val="000000"/>
          <w:sz w:val="20"/>
          <w:szCs w:val="20"/>
          <w:lang w:eastAsia="en-GB"/>
        </w:rPr>
        <w:t xml:space="preserve"> </w:t>
      </w:r>
      <w:r w:rsidRPr="004B29ED">
        <w:rPr>
          <w:iCs/>
          <w:color w:val="000000"/>
          <w:sz w:val="20"/>
          <w:szCs w:val="20"/>
          <w:lang w:eastAsia="en-GB"/>
        </w:rPr>
        <w:t>In his judgment in</w:t>
      </w:r>
      <w:r w:rsidR="002A16B7" w:rsidRPr="004B29ED">
        <w:rPr>
          <w:iCs/>
          <w:color w:val="000000"/>
          <w:sz w:val="20"/>
          <w:szCs w:val="20"/>
          <w:lang w:eastAsia="en-GB"/>
        </w:rPr>
        <w:t xml:space="preserve"> </w:t>
      </w:r>
      <w:r w:rsidRPr="00B10428">
        <w:rPr>
          <w:i/>
          <w:color w:val="000000"/>
          <w:sz w:val="20"/>
          <w:szCs w:val="20"/>
          <w:lang w:eastAsia="en-GB"/>
        </w:rPr>
        <w:t>Van Rensburg v President Versekeringsmaatskappy</w:t>
      </w:r>
      <w:r w:rsidRPr="004B29ED">
        <w:rPr>
          <w:iCs/>
          <w:color w:val="000000"/>
          <w:sz w:val="20"/>
          <w:szCs w:val="20"/>
          <w:lang w:eastAsia="en-GB"/>
        </w:rPr>
        <w:t xml:space="preserve">, (W.L.D. </w:t>
      </w:r>
      <w:r w:rsidRPr="004B29ED">
        <w:rPr>
          <w:iCs/>
          <w:color w:val="000000"/>
          <w:sz w:val="20"/>
          <w:szCs w:val="20"/>
          <w:lang w:eastAsia="en-GB"/>
        </w:rPr>
        <w:lastRenderedPageBreak/>
        <w:t>21.11.68), quoted in Corbett and Buchanan,</w:t>
      </w:r>
      <w:r w:rsidR="002A16B7" w:rsidRPr="004B29ED">
        <w:rPr>
          <w:iCs/>
          <w:color w:val="000000"/>
          <w:sz w:val="20"/>
          <w:szCs w:val="20"/>
          <w:lang w:eastAsia="en-GB"/>
        </w:rPr>
        <w:t xml:space="preserve"> </w:t>
      </w:r>
      <w:r w:rsidRPr="004B29ED">
        <w:rPr>
          <w:iCs/>
          <w:color w:val="000000"/>
          <w:sz w:val="20"/>
          <w:szCs w:val="20"/>
          <w:lang w:eastAsia="en-GB"/>
        </w:rPr>
        <w:t xml:space="preserve">The Quantum of Damages, vol. 2, at p. 65, LUDORF, J., referred to the fact that it has become almost customary, at any rate in this Division of the Supreme Court, for the Court to make a deduction for unforeseen circumstances of life of one-fifth. </w:t>
      </w:r>
      <w:r w:rsidR="002A16B7" w:rsidRPr="004B29ED">
        <w:rPr>
          <w:iCs/>
          <w:color w:val="000000"/>
          <w:sz w:val="20"/>
          <w:szCs w:val="20"/>
          <w:lang w:eastAsia="en-GB"/>
        </w:rPr>
        <w:t xml:space="preserve"> </w:t>
      </w:r>
      <w:r w:rsidRPr="004B29ED">
        <w:rPr>
          <w:iCs/>
          <w:color w:val="000000"/>
          <w:sz w:val="20"/>
          <w:szCs w:val="20"/>
          <w:lang w:eastAsia="en-GB"/>
        </w:rPr>
        <w:t>That is, it is true, a rough and ready approach, but the nature of the problem is such that one can do no better than adopt a rule of thumb of this kind."</w:t>
      </w:r>
      <w:r w:rsidR="00CD0792" w:rsidRPr="004B29ED">
        <w:rPr>
          <w:iCs/>
          <w:color w:val="000000"/>
          <w:sz w:val="20"/>
          <w:szCs w:val="20"/>
          <w:lang w:eastAsia="en-GB"/>
        </w:rPr>
        <w:t xml:space="preserve"> </w:t>
      </w:r>
    </w:p>
    <w:p w14:paraId="7400AF56" w14:textId="77777777" w:rsidR="00734CB3" w:rsidRPr="004B29ED" w:rsidRDefault="00734CB3" w:rsidP="004B29ED">
      <w:pPr>
        <w:spacing w:line="360" w:lineRule="auto"/>
        <w:ind w:left="1134"/>
        <w:rPr>
          <w:iCs/>
          <w:color w:val="000000"/>
          <w:sz w:val="20"/>
          <w:szCs w:val="20"/>
          <w:lang w:eastAsia="en-GB"/>
        </w:rPr>
      </w:pPr>
    </w:p>
    <w:p w14:paraId="59537086" w14:textId="2A45D4E1" w:rsidR="00734CB3" w:rsidRPr="004B29ED" w:rsidRDefault="00734CB3" w:rsidP="004B29ED">
      <w:pPr>
        <w:tabs>
          <w:tab w:val="left" w:pos="1418"/>
        </w:tabs>
        <w:spacing w:line="360" w:lineRule="auto"/>
        <w:ind w:left="1418"/>
        <w:rPr>
          <w:iCs/>
          <w:color w:val="000000"/>
          <w:sz w:val="20"/>
          <w:szCs w:val="20"/>
          <w:lang w:eastAsia="en-GB"/>
        </w:rPr>
      </w:pPr>
      <w:r w:rsidRPr="004B29ED">
        <w:rPr>
          <w:iCs/>
          <w:color w:val="000000"/>
          <w:sz w:val="20"/>
          <w:szCs w:val="20"/>
          <w:lang w:eastAsia="en-GB"/>
        </w:rPr>
        <w:t>In</w:t>
      </w:r>
      <w:r w:rsidR="00CD0792" w:rsidRPr="004B29ED">
        <w:rPr>
          <w:iCs/>
          <w:color w:val="000000"/>
          <w:sz w:val="20"/>
          <w:szCs w:val="20"/>
          <w:lang w:eastAsia="en-GB"/>
        </w:rPr>
        <w:t xml:space="preserve"> </w:t>
      </w:r>
      <w:r w:rsidRPr="00B10428">
        <w:rPr>
          <w:i/>
          <w:color w:val="000000"/>
          <w:sz w:val="20"/>
          <w:szCs w:val="20"/>
          <w:lang w:eastAsia="en-GB"/>
        </w:rPr>
        <w:t>Van Rensburg</w:t>
      </w:r>
      <w:r w:rsidRPr="004B29ED">
        <w:rPr>
          <w:iCs/>
          <w:color w:val="000000"/>
          <w:sz w:val="20"/>
          <w:szCs w:val="20"/>
          <w:lang w:eastAsia="en-GB"/>
        </w:rPr>
        <w:t>'s</w:t>
      </w:r>
      <w:r w:rsidR="00CD0792" w:rsidRPr="004B29ED">
        <w:rPr>
          <w:iCs/>
          <w:color w:val="000000"/>
          <w:sz w:val="20"/>
          <w:szCs w:val="20"/>
          <w:lang w:eastAsia="en-GB"/>
        </w:rPr>
        <w:t xml:space="preserve"> </w:t>
      </w:r>
      <w:r w:rsidRPr="004B29ED">
        <w:rPr>
          <w:iCs/>
          <w:color w:val="000000"/>
          <w:sz w:val="20"/>
          <w:szCs w:val="20"/>
          <w:lang w:eastAsia="en-GB"/>
        </w:rPr>
        <w:t>case the plaintiff was 25 years old, and in</w:t>
      </w:r>
      <w:r w:rsidR="00CD0792" w:rsidRPr="004B29ED">
        <w:rPr>
          <w:iCs/>
          <w:color w:val="000000"/>
          <w:sz w:val="20"/>
          <w:szCs w:val="20"/>
          <w:lang w:eastAsia="en-GB"/>
        </w:rPr>
        <w:t xml:space="preserve"> </w:t>
      </w:r>
      <w:r w:rsidRPr="00B10428">
        <w:rPr>
          <w:i/>
          <w:color w:val="000000"/>
          <w:sz w:val="20"/>
          <w:szCs w:val="20"/>
          <w:lang w:eastAsia="en-GB"/>
        </w:rPr>
        <w:t>De</w:t>
      </w:r>
      <w:r w:rsidR="00CD0792" w:rsidRPr="00B10428">
        <w:rPr>
          <w:i/>
          <w:color w:val="000000"/>
          <w:sz w:val="20"/>
          <w:szCs w:val="20"/>
          <w:lang w:eastAsia="en-GB"/>
        </w:rPr>
        <w:t> </w:t>
      </w:r>
      <w:r w:rsidRPr="00B10428">
        <w:rPr>
          <w:i/>
          <w:color w:val="000000"/>
          <w:sz w:val="20"/>
          <w:szCs w:val="20"/>
          <w:lang w:eastAsia="en-GB"/>
        </w:rPr>
        <w:t>Jongh</w:t>
      </w:r>
      <w:r w:rsidRPr="004B29ED">
        <w:rPr>
          <w:iCs/>
          <w:color w:val="000000"/>
          <w:sz w:val="20"/>
          <w:szCs w:val="20"/>
          <w:lang w:eastAsia="en-GB"/>
        </w:rPr>
        <w:t>'s case, which was a claim by dependants for loss of support, NICHOLAS, J.,</w:t>
      </w:r>
      <w:r w:rsidR="00CD0792" w:rsidRPr="004B29ED">
        <w:rPr>
          <w:iCs/>
          <w:color w:val="000000"/>
          <w:sz w:val="20"/>
          <w:szCs w:val="20"/>
          <w:lang w:eastAsia="en-GB"/>
        </w:rPr>
        <w:t xml:space="preserve"> </w:t>
      </w:r>
      <w:r w:rsidRPr="004B29ED">
        <w:rPr>
          <w:iCs/>
          <w:color w:val="000000"/>
          <w:sz w:val="20"/>
          <w:szCs w:val="20"/>
          <w:lang w:eastAsia="en-GB"/>
        </w:rPr>
        <w:t>adopted the figure of 20 per cent of contingencies in relation to the deceased's earning power, the deceased having been approximately 25 years of age at the time of his death.</w:t>
      </w:r>
      <w:r w:rsidR="00CD0792" w:rsidRPr="004B29ED">
        <w:rPr>
          <w:iCs/>
          <w:color w:val="000000"/>
          <w:sz w:val="20"/>
          <w:szCs w:val="20"/>
          <w:lang w:eastAsia="en-GB"/>
        </w:rPr>
        <w:t xml:space="preserve">  </w:t>
      </w:r>
      <w:r w:rsidRPr="00B10428">
        <w:rPr>
          <w:i/>
          <w:color w:val="000000"/>
          <w:sz w:val="20"/>
          <w:szCs w:val="20"/>
          <w:lang w:eastAsia="en-GB"/>
        </w:rPr>
        <w:t>Van Rij, N.O. v Employers' Liability Assurance Corporation Ltd</w:t>
      </w:r>
      <w:r w:rsidRPr="004B29ED">
        <w:rPr>
          <w:iCs/>
          <w:color w:val="000000"/>
          <w:sz w:val="20"/>
          <w:szCs w:val="20"/>
          <w:lang w:eastAsia="en-GB"/>
        </w:rPr>
        <w:t>., but reported on this point only in</w:t>
      </w:r>
      <w:r w:rsidR="00CD0792" w:rsidRPr="004B29ED">
        <w:rPr>
          <w:iCs/>
          <w:color w:val="000000"/>
          <w:sz w:val="20"/>
          <w:szCs w:val="20"/>
          <w:lang w:eastAsia="en-GB"/>
        </w:rPr>
        <w:t xml:space="preserve"> </w:t>
      </w:r>
      <w:r w:rsidRPr="004B29ED">
        <w:rPr>
          <w:iCs/>
          <w:color w:val="000000"/>
          <w:sz w:val="20"/>
          <w:szCs w:val="20"/>
          <w:lang w:eastAsia="en-GB"/>
        </w:rPr>
        <w:t>Corbett and Buchanan, vol. 1 at p. 618, is another instance of 20 per cent being allowed for contingencies, the plaintiff in that case</w:t>
      </w:r>
      <w:r w:rsidR="00CD0792" w:rsidRPr="004B29ED">
        <w:rPr>
          <w:iCs/>
          <w:color w:val="000000"/>
          <w:sz w:val="20"/>
          <w:szCs w:val="20"/>
          <w:lang w:eastAsia="en-GB"/>
        </w:rPr>
        <w:t xml:space="preserve"> </w:t>
      </w:r>
      <w:r w:rsidRPr="004B29ED">
        <w:rPr>
          <w:iCs/>
          <w:color w:val="000000"/>
          <w:sz w:val="20"/>
          <w:szCs w:val="20"/>
          <w:lang w:eastAsia="en-GB"/>
        </w:rPr>
        <w:t xml:space="preserve">being a minor who had not yet embarked on a firm career. </w:t>
      </w:r>
      <w:r w:rsidR="00CD0792" w:rsidRPr="004B29ED">
        <w:rPr>
          <w:iCs/>
          <w:color w:val="000000"/>
          <w:sz w:val="20"/>
          <w:szCs w:val="20"/>
          <w:lang w:eastAsia="en-GB"/>
        </w:rPr>
        <w:t xml:space="preserve"> </w:t>
      </w:r>
      <w:r w:rsidRPr="004B29ED">
        <w:rPr>
          <w:iCs/>
          <w:color w:val="000000"/>
          <w:sz w:val="20"/>
          <w:szCs w:val="20"/>
          <w:lang w:eastAsia="en-GB"/>
        </w:rPr>
        <w:t>In the well known case of</w:t>
      </w:r>
      <w:r w:rsidR="00CD0792" w:rsidRPr="004B29ED">
        <w:rPr>
          <w:iCs/>
          <w:color w:val="000000"/>
          <w:sz w:val="20"/>
          <w:szCs w:val="20"/>
          <w:lang w:eastAsia="en-GB"/>
        </w:rPr>
        <w:t xml:space="preserve"> </w:t>
      </w:r>
      <w:r w:rsidRPr="00F90B9F">
        <w:rPr>
          <w:i/>
          <w:color w:val="000000"/>
          <w:sz w:val="20"/>
          <w:szCs w:val="20"/>
          <w:lang w:eastAsia="en-GB"/>
        </w:rPr>
        <w:t>Sigournay v Gillbanks</w:t>
      </w:r>
      <w:r w:rsidRPr="004B29ED">
        <w:rPr>
          <w:iCs/>
          <w:color w:val="000000"/>
          <w:sz w:val="20"/>
          <w:szCs w:val="20"/>
          <w:lang w:eastAsia="en-GB"/>
        </w:rPr>
        <w:t xml:space="preserve">, SCHREINER, J.A., at p. 569, made provision for contingencies in an amount equal to approximately 16 per cent. </w:t>
      </w:r>
      <w:r w:rsidR="0071673D" w:rsidRPr="004B29ED">
        <w:rPr>
          <w:iCs/>
          <w:color w:val="000000"/>
          <w:sz w:val="20"/>
          <w:szCs w:val="20"/>
          <w:lang w:eastAsia="en-GB"/>
        </w:rPr>
        <w:t xml:space="preserve"> </w:t>
      </w:r>
      <w:r w:rsidRPr="004B29ED">
        <w:rPr>
          <w:iCs/>
          <w:color w:val="000000"/>
          <w:sz w:val="20"/>
          <w:szCs w:val="20"/>
          <w:lang w:eastAsia="en-GB"/>
        </w:rPr>
        <w:t>The plaintiff in that case was 33 years of age, a fact which appears from the report of the case in the Appellate</w:t>
      </w:r>
      <w:r w:rsidR="0071673D" w:rsidRPr="004B29ED">
        <w:rPr>
          <w:iCs/>
          <w:color w:val="000000"/>
          <w:sz w:val="20"/>
          <w:szCs w:val="20"/>
          <w:lang w:eastAsia="en-GB"/>
        </w:rPr>
        <w:t xml:space="preserve"> </w:t>
      </w:r>
      <w:r w:rsidRPr="004B29ED">
        <w:rPr>
          <w:iCs/>
          <w:color w:val="000000"/>
          <w:sz w:val="20"/>
          <w:szCs w:val="20"/>
          <w:lang w:eastAsia="en-GB"/>
        </w:rPr>
        <w:t>Division, or in the Court of first instance, or</w:t>
      </w:r>
      <w:r w:rsidR="0071673D" w:rsidRPr="004B29ED">
        <w:rPr>
          <w:iCs/>
          <w:color w:val="000000"/>
          <w:sz w:val="20"/>
          <w:szCs w:val="20"/>
          <w:lang w:eastAsia="en-GB"/>
        </w:rPr>
        <w:t xml:space="preserve"> </w:t>
      </w:r>
      <w:r w:rsidRPr="004B29ED">
        <w:rPr>
          <w:iCs/>
          <w:color w:val="000000"/>
          <w:sz w:val="20"/>
          <w:szCs w:val="20"/>
          <w:lang w:eastAsia="en-GB"/>
        </w:rPr>
        <w:t>Corbett and Buchanan.”</w:t>
      </w:r>
      <w:r w:rsidR="00113E9C" w:rsidRPr="004B29ED">
        <w:rPr>
          <w:iCs/>
          <w:color w:val="000000"/>
          <w:sz w:val="20"/>
          <w:szCs w:val="20"/>
          <w:lang w:eastAsia="en-GB"/>
        </w:rPr>
        <w:t xml:space="preserve"> </w:t>
      </w:r>
      <w:r w:rsidRPr="004B29ED">
        <w:rPr>
          <w:iCs/>
          <w:color w:val="000000"/>
          <w:sz w:val="20"/>
          <w:szCs w:val="20"/>
          <w:lang w:eastAsia="en-GB"/>
        </w:rPr>
        <w:t xml:space="preserve"> (</w:t>
      </w:r>
      <w:r w:rsidR="0071673D" w:rsidRPr="004B29ED">
        <w:rPr>
          <w:iCs/>
          <w:color w:val="000000"/>
          <w:sz w:val="20"/>
          <w:szCs w:val="20"/>
          <w:lang w:eastAsia="en-GB"/>
        </w:rPr>
        <w:t>I</w:t>
      </w:r>
      <w:r w:rsidRPr="004B29ED">
        <w:rPr>
          <w:iCs/>
          <w:color w:val="000000"/>
          <w:sz w:val="20"/>
          <w:szCs w:val="20"/>
          <w:lang w:eastAsia="en-GB"/>
        </w:rPr>
        <w:t>nternal references omitted</w:t>
      </w:r>
      <w:r w:rsidR="0071673D" w:rsidRPr="004B29ED">
        <w:rPr>
          <w:iCs/>
          <w:color w:val="000000"/>
          <w:sz w:val="20"/>
          <w:szCs w:val="20"/>
          <w:lang w:eastAsia="en-GB"/>
        </w:rPr>
        <w:t>.</w:t>
      </w:r>
      <w:r w:rsidRPr="004B29ED">
        <w:rPr>
          <w:iCs/>
          <w:color w:val="000000"/>
          <w:sz w:val="20"/>
          <w:szCs w:val="20"/>
          <w:lang w:eastAsia="en-GB"/>
        </w:rPr>
        <w:t>)</w:t>
      </w:r>
      <w:r w:rsidR="00113E9C" w:rsidRPr="004B29ED">
        <w:rPr>
          <w:iCs/>
          <w:color w:val="000000"/>
          <w:sz w:val="20"/>
          <w:szCs w:val="20"/>
          <w:lang w:eastAsia="en-GB"/>
        </w:rPr>
        <w:t xml:space="preserve"> </w:t>
      </w:r>
    </w:p>
    <w:p w14:paraId="1ACBBA26" w14:textId="77777777" w:rsidR="00BB34BB" w:rsidRPr="001614F0" w:rsidRDefault="00BB34BB" w:rsidP="001614F0">
      <w:pPr>
        <w:pStyle w:val="NUM1"/>
        <w:numPr>
          <w:ilvl w:val="0"/>
          <w:numId w:val="0"/>
        </w:numPr>
      </w:pPr>
    </w:p>
    <w:p w14:paraId="3AB1B232" w14:textId="6D40875C" w:rsidR="00FF78DB" w:rsidRPr="001614F0" w:rsidRDefault="00633B73" w:rsidP="00E54513">
      <w:pPr>
        <w:pStyle w:val="NUM1"/>
        <w:numPr>
          <w:ilvl w:val="0"/>
          <w:numId w:val="1"/>
        </w:numPr>
        <w:tabs>
          <w:tab w:val="clear" w:pos="720"/>
          <w:tab w:val="num" w:pos="567"/>
        </w:tabs>
        <w:ind w:left="567" w:hanging="567"/>
      </w:pPr>
      <w:r w:rsidRPr="001614F0">
        <w:t>T</w:t>
      </w:r>
      <w:r w:rsidR="00D65FBF" w:rsidRPr="00E54513">
        <w:t>he authorities indicate that a sliding scale approach of 0.5% per annum for every year over the period that income must be determined should be applied</w:t>
      </w:r>
      <w:r w:rsidRPr="001614F0">
        <w:t>,</w:t>
      </w:r>
      <w:r w:rsidR="00CA2C53" w:rsidRPr="001614F0">
        <w:t xml:space="preserve"> to achieve the best estimate of the plaintiff’s damages.</w:t>
      </w:r>
      <w:r w:rsidR="00CA2C53" w:rsidRPr="004B29ED">
        <w:rPr>
          <w:rStyle w:val="FootnoteReference"/>
          <w:sz w:val="24"/>
        </w:rPr>
        <w:footnoteReference w:id="32"/>
      </w:r>
      <w:r w:rsidR="00895409" w:rsidRPr="001614F0">
        <w:t xml:space="preserve"> </w:t>
      </w:r>
    </w:p>
    <w:p w14:paraId="194F5B6F" w14:textId="14737690" w:rsidR="00CA2C53" w:rsidRPr="001614F0" w:rsidRDefault="00CA2C53"/>
    <w:p w14:paraId="10DA1D95" w14:textId="5CFA4973" w:rsidR="000C5527" w:rsidRDefault="00082BB7">
      <w:pPr>
        <w:pStyle w:val="NUM1"/>
        <w:numPr>
          <w:ilvl w:val="0"/>
          <w:numId w:val="1"/>
        </w:numPr>
        <w:tabs>
          <w:tab w:val="clear" w:pos="720"/>
          <w:tab w:val="num" w:pos="567"/>
        </w:tabs>
        <w:ind w:left="567" w:hanging="567"/>
      </w:pPr>
      <w:r w:rsidRPr="001614F0">
        <w:t xml:space="preserve">Ms van der Merwe advanced an argument based on the approach taken by the Supreme Court of Appeal in </w:t>
      </w:r>
      <w:r w:rsidRPr="001614F0">
        <w:rPr>
          <w:b/>
          <w:bCs/>
        </w:rPr>
        <w:t xml:space="preserve">Guedes </w:t>
      </w:r>
      <w:r w:rsidRPr="001614F0">
        <w:t xml:space="preserve">that a 20% contingency is appropriate in the circumstances. </w:t>
      </w:r>
      <w:r w:rsidR="00687356">
        <w:t xml:space="preserve">This accords with the opinion expressed by </w:t>
      </w:r>
      <w:r w:rsidR="00687356" w:rsidRPr="001614F0">
        <w:t xml:space="preserve">Gerard Jacobson Consulting </w:t>
      </w:r>
      <w:r w:rsidR="00687356" w:rsidRPr="00F3437C">
        <w:rPr>
          <w:bCs/>
        </w:rPr>
        <w:t>Actuaries</w:t>
      </w:r>
      <w:r w:rsidR="00687356">
        <w:rPr>
          <w:bCs/>
        </w:rPr>
        <w:t>.</w:t>
      </w:r>
    </w:p>
    <w:p w14:paraId="12C49720" w14:textId="77777777" w:rsidR="000C5527" w:rsidRPr="000C5527" w:rsidRDefault="000C5527" w:rsidP="000C5527"/>
    <w:p w14:paraId="12E50D7C" w14:textId="61D52EBF" w:rsidR="00C95BE3" w:rsidRDefault="00082BB7">
      <w:pPr>
        <w:pStyle w:val="NUM1"/>
        <w:numPr>
          <w:ilvl w:val="0"/>
          <w:numId w:val="1"/>
        </w:numPr>
        <w:tabs>
          <w:tab w:val="clear" w:pos="720"/>
          <w:tab w:val="num" w:pos="567"/>
        </w:tabs>
        <w:ind w:left="567" w:hanging="567"/>
      </w:pPr>
      <w:r w:rsidRPr="001614F0">
        <w:t xml:space="preserve">The riposte from Mr Naidoo was that a contingency of no less than 30% would be appropriate. </w:t>
      </w:r>
      <w:r w:rsidR="00492E95" w:rsidRPr="001614F0">
        <w:t xml:space="preserve"> </w:t>
      </w:r>
      <w:r w:rsidRPr="001614F0">
        <w:t>The two</w:t>
      </w:r>
      <w:r w:rsidR="00C95BE3">
        <w:t>-</w:t>
      </w:r>
      <w:r w:rsidRPr="001614F0">
        <w:t>prong argument, as I understood it</w:t>
      </w:r>
      <w:r w:rsidR="00C95BE3">
        <w:t>,</w:t>
      </w:r>
      <w:r w:rsidRPr="001614F0">
        <w:t xml:space="preserve"> was</w:t>
      </w:r>
      <w:r w:rsidR="00C95BE3">
        <w:t xml:space="preserve">: </w:t>
      </w:r>
    </w:p>
    <w:p w14:paraId="3C1FF48D" w14:textId="77777777" w:rsidR="00C95BE3" w:rsidRDefault="00C95BE3" w:rsidP="00C95BE3">
      <w:pPr>
        <w:pStyle w:val="NUM1"/>
        <w:numPr>
          <w:ilvl w:val="0"/>
          <w:numId w:val="0"/>
        </w:numPr>
        <w:ind w:left="567"/>
      </w:pPr>
    </w:p>
    <w:p w14:paraId="53CD7B4E" w14:textId="660B9E8D" w:rsidR="00BC6D9F" w:rsidRDefault="00082BB7" w:rsidP="00C95BE3">
      <w:pPr>
        <w:pStyle w:val="NUM2"/>
        <w:tabs>
          <w:tab w:val="clear" w:pos="1701"/>
          <w:tab w:val="num" w:pos="1418"/>
        </w:tabs>
        <w:ind w:left="1418" w:hanging="851"/>
      </w:pPr>
      <w:r w:rsidRPr="001614F0">
        <w:t>first, that given the defendant’s undertaking in terms of section</w:t>
      </w:r>
      <w:r w:rsidR="00492E95" w:rsidRPr="001614F0">
        <w:t> </w:t>
      </w:r>
      <w:r w:rsidRPr="001614F0">
        <w:t xml:space="preserve">17(4)(a) of the Act, there was a possibility that the defendant’s </w:t>
      </w:r>
      <w:r w:rsidR="00D137D5" w:rsidRPr="001614F0">
        <w:t xml:space="preserve">post-accident </w:t>
      </w:r>
      <w:r w:rsidR="00D137D5" w:rsidRPr="004B29ED">
        <w:rPr>
          <w:i/>
        </w:rPr>
        <w:t>sequalae</w:t>
      </w:r>
      <w:r w:rsidR="00D137D5" w:rsidRPr="001614F0">
        <w:t xml:space="preserve"> could be improved</w:t>
      </w:r>
      <w:r w:rsidR="00BC6D9F">
        <w:t>;</w:t>
      </w:r>
      <w:r w:rsidR="00D137D5" w:rsidRPr="001614F0">
        <w:t xml:space="preserve"> and </w:t>
      </w:r>
    </w:p>
    <w:p w14:paraId="5D677BF7" w14:textId="77777777" w:rsidR="00BC6D9F" w:rsidRDefault="00BC6D9F" w:rsidP="00BC6D9F">
      <w:pPr>
        <w:pStyle w:val="NUM2"/>
        <w:numPr>
          <w:ilvl w:val="0"/>
          <w:numId w:val="0"/>
        </w:numPr>
        <w:ind w:left="1418"/>
      </w:pPr>
    </w:p>
    <w:p w14:paraId="4924E74C" w14:textId="0D003E6C" w:rsidR="00082BB7" w:rsidRPr="001614F0" w:rsidRDefault="00D137D5" w:rsidP="00C95BE3">
      <w:pPr>
        <w:pStyle w:val="NUM2"/>
        <w:tabs>
          <w:tab w:val="clear" w:pos="1701"/>
          <w:tab w:val="num" w:pos="1418"/>
        </w:tabs>
        <w:ind w:left="1418" w:hanging="851"/>
      </w:pPr>
      <w:r w:rsidRPr="001614F0">
        <w:t>second, that I should be mindful that an award of damages is paid from the public purse</w:t>
      </w:r>
      <w:r w:rsidR="00492E95" w:rsidRPr="001614F0">
        <w:t>,</w:t>
      </w:r>
      <w:r w:rsidRPr="00E54513">
        <w:t xml:space="preserve"> and circumspection should be exercised in making an award.</w:t>
      </w:r>
      <w:r w:rsidR="00492E95" w:rsidRPr="001614F0">
        <w:t xml:space="preserve"> </w:t>
      </w:r>
    </w:p>
    <w:p w14:paraId="63F41F54" w14:textId="2762C57D" w:rsidR="00D137D5" w:rsidRPr="001614F0" w:rsidRDefault="00D137D5">
      <w:pPr>
        <w:tabs>
          <w:tab w:val="num" w:pos="567"/>
        </w:tabs>
        <w:ind w:left="567" w:hanging="567"/>
      </w:pPr>
    </w:p>
    <w:p w14:paraId="7454F25E" w14:textId="315EAA0B" w:rsidR="00D137D5" w:rsidRPr="001614F0" w:rsidRDefault="00D137D5">
      <w:pPr>
        <w:pStyle w:val="NUM1"/>
        <w:numPr>
          <w:ilvl w:val="0"/>
          <w:numId w:val="1"/>
        </w:numPr>
        <w:tabs>
          <w:tab w:val="clear" w:pos="720"/>
          <w:tab w:val="num" w:pos="567"/>
        </w:tabs>
        <w:ind w:left="567" w:hanging="567"/>
      </w:pPr>
      <w:r w:rsidRPr="001614F0">
        <w:t>I am unable to agree with Mr Naidoo’s argument</w:t>
      </w:r>
      <w:r w:rsidR="002A7C94">
        <w:t>.</w:t>
      </w:r>
      <w:r w:rsidRPr="001614F0">
        <w:t xml:space="preserve"> </w:t>
      </w:r>
    </w:p>
    <w:p w14:paraId="1E4C78FC" w14:textId="77777777" w:rsidR="006F2BB7" w:rsidRPr="001614F0" w:rsidRDefault="006F2BB7"/>
    <w:p w14:paraId="4235E509" w14:textId="70BE29B4" w:rsidR="00BE41CC" w:rsidRPr="001614F0" w:rsidRDefault="001309AD">
      <w:pPr>
        <w:pStyle w:val="NUM1"/>
        <w:numPr>
          <w:ilvl w:val="0"/>
          <w:numId w:val="1"/>
        </w:numPr>
        <w:tabs>
          <w:tab w:val="clear" w:pos="720"/>
          <w:tab w:val="num" w:pos="567"/>
        </w:tabs>
        <w:ind w:left="567" w:hanging="567"/>
      </w:pPr>
      <w:r w:rsidRPr="001614F0">
        <w:t>First, and in relation to the evidence that was led</w:t>
      </w:r>
      <w:r w:rsidR="00742F8D" w:rsidRPr="001614F0">
        <w:t>:</w:t>
      </w:r>
      <w:r w:rsidR="00BE41CC" w:rsidRPr="001614F0">
        <w:t xml:space="preserve"> </w:t>
      </w:r>
    </w:p>
    <w:p w14:paraId="2B55C18B" w14:textId="77777777" w:rsidR="00BE41CC" w:rsidRPr="001614F0" w:rsidRDefault="00BE41CC" w:rsidP="004B29ED">
      <w:pPr>
        <w:pStyle w:val="NUM1"/>
        <w:numPr>
          <w:ilvl w:val="0"/>
          <w:numId w:val="0"/>
        </w:numPr>
        <w:ind w:left="709"/>
      </w:pPr>
    </w:p>
    <w:p w14:paraId="23683717" w14:textId="2A7830DC" w:rsidR="00633D86" w:rsidRPr="001614F0" w:rsidRDefault="001309AD" w:rsidP="004B29ED">
      <w:pPr>
        <w:pStyle w:val="NUM2"/>
        <w:tabs>
          <w:tab w:val="clear" w:pos="1701"/>
          <w:tab w:val="left" w:pos="1418"/>
        </w:tabs>
        <w:ind w:left="1418" w:hanging="851"/>
      </w:pPr>
      <w:r w:rsidRPr="001614F0">
        <w:t xml:space="preserve">The evidence given by </w:t>
      </w:r>
      <w:r w:rsidR="001C2192">
        <w:t xml:space="preserve">Dr Townsend, </w:t>
      </w:r>
      <w:r w:rsidRPr="001614F0">
        <w:t xml:space="preserve">Dr Rossi and Ms Talmud was unequivocal.  Whilst a better treatment regime of the plaintiff’s epilepsy may lead to fewer </w:t>
      </w:r>
      <w:r w:rsidR="00687356">
        <w:t xml:space="preserve">epileptic </w:t>
      </w:r>
      <w:r w:rsidRPr="001614F0">
        <w:t>episodes, the damage to the plaintiff’s brain and hence her cognitive ability is irreversible.</w:t>
      </w:r>
      <w:r w:rsidR="00D46EC5" w:rsidRPr="001614F0">
        <w:t xml:space="preserve"> </w:t>
      </w:r>
      <w:r w:rsidRPr="001614F0">
        <w:t xml:space="preserve"> With each epileptic episode, the neural pathways in the plaintiff’s brain are further irreversibly damaged. </w:t>
      </w:r>
    </w:p>
    <w:p w14:paraId="1DC5283B" w14:textId="77777777" w:rsidR="00633D86" w:rsidRPr="001614F0" w:rsidRDefault="00633D86" w:rsidP="004B29ED">
      <w:pPr>
        <w:pStyle w:val="NUM2"/>
        <w:numPr>
          <w:ilvl w:val="0"/>
          <w:numId w:val="0"/>
        </w:numPr>
        <w:tabs>
          <w:tab w:val="left" w:pos="1418"/>
        </w:tabs>
        <w:ind w:left="1418"/>
      </w:pPr>
    </w:p>
    <w:p w14:paraId="555FF36F" w14:textId="687CFB9A" w:rsidR="006A3F7E" w:rsidRPr="001614F0" w:rsidRDefault="001309AD" w:rsidP="004B29ED">
      <w:pPr>
        <w:pStyle w:val="NUM2"/>
        <w:tabs>
          <w:tab w:val="clear" w:pos="1701"/>
          <w:tab w:val="left" w:pos="1418"/>
        </w:tabs>
        <w:ind w:left="1418" w:hanging="851"/>
      </w:pPr>
      <w:r w:rsidRPr="001614F0">
        <w:t xml:space="preserve">There was no evidence that </w:t>
      </w:r>
      <w:r w:rsidR="00C145CA" w:rsidRPr="001614F0">
        <w:t>any existing or future medical treatment that could possibly come about in the future could or may reverse the existing and future extent of the plaintiff’s epilepsy</w:t>
      </w:r>
      <w:r w:rsidR="006A3F7E" w:rsidRPr="001614F0">
        <w:t>,</w:t>
      </w:r>
      <w:r w:rsidR="00C145CA" w:rsidRPr="001614F0">
        <w:t xml:space="preserve"> and the effect thereof on her brain and cognitive function.</w:t>
      </w:r>
      <w:r w:rsidR="006A3F7E" w:rsidRPr="001614F0">
        <w:t xml:space="preserve"> </w:t>
      </w:r>
    </w:p>
    <w:p w14:paraId="04326E4D" w14:textId="77777777" w:rsidR="006A3F7E" w:rsidRPr="001614F0" w:rsidRDefault="006A3F7E" w:rsidP="004B29ED">
      <w:pPr>
        <w:pStyle w:val="NUM2"/>
        <w:numPr>
          <w:ilvl w:val="0"/>
          <w:numId w:val="0"/>
        </w:numPr>
        <w:tabs>
          <w:tab w:val="left" w:pos="1418"/>
        </w:tabs>
        <w:ind w:left="1418"/>
      </w:pPr>
    </w:p>
    <w:p w14:paraId="20DB96A8" w14:textId="189EFB45" w:rsidR="00C145CA" w:rsidRPr="001614F0" w:rsidRDefault="00C145CA" w:rsidP="004B29ED">
      <w:pPr>
        <w:pStyle w:val="NUM2"/>
        <w:tabs>
          <w:tab w:val="clear" w:pos="1701"/>
          <w:tab w:val="left" w:pos="1418"/>
        </w:tabs>
        <w:ind w:left="1418" w:hanging="851"/>
      </w:pPr>
      <w:r w:rsidRPr="001614F0">
        <w:lastRenderedPageBreak/>
        <w:t>In these circumstances, and even on the most benevolent application of judicial notice surrounding advances in medicine, this speculative argument does not find traction on the facts.</w:t>
      </w:r>
      <w:r w:rsidR="00BC6D9F">
        <w:t xml:space="preserve"> </w:t>
      </w:r>
      <w:r w:rsidR="00AD71D4" w:rsidRPr="001614F0">
        <w:t xml:space="preserve"> </w:t>
      </w:r>
      <w:r w:rsidR="000B1E53">
        <w:t>The defendant’s case was entirely hypothetical and speculative.  It had no basis upon which to advance the defence it attempted to advance.</w:t>
      </w:r>
      <w:r w:rsidR="00BC6D9F">
        <w:t xml:space="preserve"> </w:t>
      </w:r>
    </w:p>
    <w:p w14:paraId="07E5CFB2" w14:textId="165DA0A1" w:rsidR="00C145CA" w:rsidRPr="001614F0" w:rsidRDefault="00C145CA" w:rsidP="001614F0">
      <w:pPr>
        <w:ind w:left="1560" w:hanging="851"/>
      </w:pPr>
    </w:p>
    <w:p w14:paraId="2C124F5C" w14:textId="6D7BFA83" w:rsidR="002A7C94" w:rsidRPr="001614F0" w:rsidRDefault="00C145CA" w:rsidP="002A7C94">
      <w:pPr>
        <w:pStyle w:val="NUM1"/>
        <w:numPr>
          <w:ilvl w:val="0"/>
          <w:numId w:val="1"/>
        </w:numPr>
        <w:tabs>
          <w:tab w:val="clear" w:pos="720"/>
          <w:tab w:val="num" w:pos="567"/>
        </w:tabs>
        <w:ind w:left="567" w:hanging="567"/>
      </w:pPr>
      <w:r w:rsidRPr="001614F0">
        <w:t xml:space="preserve">Second, </w:t>
      </w:r>
      <w:r w:rsidR="001C2192">
        <w:t xml:space="preserve">in relation to the law, </w:t>
      </w:r>
      <w:r w:rsidR="002A7C94" w:rsidRPr="001614F0">
        <w:t xml:space="preserve">the quantum of a plaintiff’s damages are determined by applying applicable precedent to the proven facts, subject to the limitation imposed by the Act. </w:t>
      </w:r>
    </w:p>
    <w:p w14:paraId="088E9A4D" w14:textId="77777777" w:rsidR="002A7C94" w:rsidRPr="002A7C94" w:rsidRDefault="002A7C94" w:rsidP="002A7C94"/>
    <w:p w14:paraId="0B0B40D8" w14:textId="0F154696" w:rsidR="00471E08" w:rsidRDefault="002A7C94" w:rsidP="004B29ED">
      <w:pPr>
        <w:pStyle w:val="NUM1"/>
        <w:numPr>
          <w:ilvl w:val="0"/>
          <w:numId w:val="1"/>
        </w:numPr>
        <w:tabs>
          <w:tab w:val="clear" w:pos="720"/>
          <w:tab w:val="num" w:pos="567"/>
        </w:tabs>
        <w:ind w:left="567" w:hanging="567"/>
      </w:pPr>
      <w:r>
        <w:t xml:space="preserve">Third, </w:t>
      </w:r>
      <w:r w:rsidR="00C145CA" w:rsidRPr="001614F0">
        <w:t xml:space="preserve">and in relation to the </w:t>
      </w:r>
      <w:r w:rsidR="007E5116">
        <w:t>purpose of the Road Accident Fund</w:t>
      </w:r>
      <w:r w:rsidR="000C5527">
        <w:t xml:space="preserve"> and that damages awards are paid from the public purse</w:t>
      </w:r>
      <w:r w:rsidR="007E5116">
        <w:t xml:space="preserve">, the case advanced by the defendant in this case bears a striking resemblance to that in </w:t>
      </w:r>
      <w:r w:rsidR="00FF3785" w:rsidRPr="00FF3785">
        <w:rPr>
          <w:b/>
          <w:bCs/>
        </w:rPr>
        <w:t>Mlatsheni</w:t>
      </w:r>
      <w:r w:rsidR="000B1E53" w:rsidRPr="001B2CE4">
        <w:rPr>
          <w:rStyle w:val="FootnoteReference"/>
          <w:sz w:val="20"/>
          <w:szCs w:val="32"/>
        </w:rPr>
        <w:footnoteReference w:id="33"/>
      </w:r>
      <w:r w:rsidR="007E5116">
        <w:t xml:space="preserve"> where the Court said</w:t>
      </w:r>
      <w:r w:rsidR="001B2CE4">
        <w:t xml:space="preserve">: </w:t>
      </w:r>
    </w:p>
    <w:p w14:paraId="66F48E05" w14:textId="4EF9527F" w:rsidR="00471E08" w:rsidRDefault="00471E08" w:rsidP="00471E08"/>
    <w:p w14:paraId="7F21F143" w14:textId="77777777" w:rsidR="002F6A7B" w:rsidRDefault="00471E08" w:rsidP="002F6A7B">
      <w:pPr>
        <w:tabs>
          <w:tab w:val="left" w:pos="1418"/>
        </w:tabs>
        <w:spacing w:line="360" w:lineRule="auto"/>
        <w:ind w:left="1418" w:hanging="851"/>
        <w:rPr>
          <w:color w:val="000000"/>
          <w:sz w:val="20"/>
          <w:szCs w:val="20"/>
          <w:lang w:eastAsia="en-GB"/>
        </w:rPr>
      </w:pPr>
      <w:r w:rsidRPr="00FD5A02">
        <w:rPr>
          <w:color w:val="000000"/>
          <w:sz w:val="20"/>
          <w:szCs w:val="20"/>
          <w:lang w:eastAsia="en-GB"/>
        </w:rPr>
        <w:t>“</w:t>
      </w:r>
      <w:r w:rsidRPr="00A32BAE">
        <w:rPr>
          <w:color w:val="000000"/>
          <w:sz w:val="20"/>
          <w:szCs w:val="20"/>
          <w:lang w:eastAsia="en-GB"/>
        </w:rPr>
        <w:t xml:space="preserve">[10] </w:t>
      </w:r>
      <w:r>
        <w:rPr>
          <w:color w:val="000000"/>
          <w:sz w:val="20"/>
          <w:szCs w:val="20"/>
          <w:lang w:eastAsia="en-GB"/>
        </w:rPr>
        <w:tab/>
      </w:r>
      <w:r w:rsidRPr="00A32BAE">
        <w:rPr>
          <w:color w:val="000000"/>
          <w:sz w:val="20"/>
          <w:szCs w:val="20"/>
          <w:lang w:eastAsia="en-GB"/>
        </w:rPr>
        <w:t>I turn my attention now to a most worrying aspect of this case.</w:t>
      </w:r>
      <w:r w:rsidR="002F6A7B">
        <w:rPr>
          <w:color w:val="000000"/>
          <w:sz w:val="20"/>
          <w:szCs w:val="20"/>
          <w:lang w:eastAsia="en-GB"/>
        </w:rPr>
        <w:t xml:space="preserve"> </w:t>
      </w:r>
      <w:r w:rsidRPr="00A32BAE">
        <w:rPr>
          <w:color w:val="000000"/>
          <w:sz w:val="20"/>
          <w:szCs w:val="20"/>
          <w:lang w:eastAsia="en-GB"/>
        </w:rPr>
        <w:t xml:space="preserve"> With</w:t>
      </w:r>
      <w:r w:rsidRPr="00FD5A02">
        <w:rPr>
          <w:color w:val="000000"/>
          <w:sz w:val="20"/>
          <w:szCs w:val="20"/>
          <w:lang w:eastAsia="en-GB"/>
        </w:rPr>
        <w:t xml:space="preserve"> </w:t>
      </w:r>
      <w:r w:rsidRPr="00A32BAE">
        <w:rPr>
          <w:color w:val="000000"/>
          <w:sz w:val="20"/>
          <w:szCs w:val="20"/>
          <w:lang w:eastAsia="en-GB"/>
        </w:rPr>
        <w:t xml:space="preserve">the degree of consensus between the parties that I have spoken of </w:t>
      </w:r>
      <w:r w:rsidR="002F6A7B">
        <w:rPr>
          <w:color w:val="000000"/>
          <w:sz w:val="20"/>
          <w:szCs w:val="20"/>
          <w:lang w:eastAsia="en-GB"/>
        </w:rPr>
        <w:t>–</w:t>
      </w:r>
      <w:r w:rsidRPr="00A32BAE">
        <w:rPr>
          <w:color w:val="000000"/>
          <w:sz w:val="20"/>
          <w:szCs w:val="20"/>
          <w:lang w:eastAsia="en-GB"/>
        </w:rPr>
        <w:t xml:space="preserve"> they were only R20</w:t>
      </w:r>
      <w:r w:rsidR="002F6A7B">
        <w:rPr>
          <w:color w:val="000000"/>
          <w:sz w:val="20"/>
          <w:szCs w:val="20"/>
          <w:lang w:eastAsia="en-GB"/>
        </w:rPr>
        <w:t> </w:t>
      </w:r>
      <w:r w:rsidRPr="00A32BAE">
        <w:rPr>
          <w:color w:val="000000"/>
          <w:sz w:val="20"/>
          <w:szCs w:val="20"/>
          <w:lang w:eastAsia="en-GB"/>
        </w:rPr>
        <w:t xml:space="preserve">000 apart on the quantum for general damages </w:t>
      </w:r>
      <w:r w:rsidR="002F6A7B">
        <w:rPr>
          <w:color w:val="000000"/>
          <w:sz w:val="20"/>
          <w:szCs w:val="20"/>
          <w:lang w:eastAsia="en-GB"/>
        </w:rPr>
        <w:t>–</w:t>
      </w:r>
      <w:r w:rsidRPr="00A32BAE">
        <w:rPr>
          <w:color w:val="000000"/>
          <w:sz w:val="20"/>
          <w:szCs w:val="20"/>
          <w:lang w:eastAsia="en-GB"/>
        </w:rPr>
        <w:t xml:space="preserve"> and bearing in mind the simplicity of the matter, one would have expected that the matter would have been settled a long time ago.</w:t>
      </w:r>
      <w:r w:rsidR="002F6A7B">
        <w:rPr>
          <w:color w:val="000000"/>
          <w:sz w:val="20"/>
          <w:szCs w:val="20"/>
          <w:lang w:eastAsia="en-GB"/>
        </w:rPr>
        <w:t xml:space="preserve"> </w:t>
      </w:r>
      <w:r w:rsidRPr="00A32BAE">
        <w:rPr>
          <w:color w:val="000000"/>
          <w:sz w:val="20"/>
          <w:szCs w:val="20"/>
          <w:lang w:eastAsia="en-GB"/>
        </w:rPr>
        <w:t xml:space="preserve"> I was informed by Mr Mvulana, however, that he had been instructed to oppose the relief claimed on the basis, as I understood him, that the Compensation</w:t>
      </w:r>
      <w:r w:rsidRPr="00FD5A02">
        <w:rPr>
          <w:color w:val="000000"/>
          <w:sz w:val="20"/>
          <w:szCs w:val="20"/>
          <w:lang w:eastAsia="en-GB"/>
        </w:rPr>
        <w:t xml:space="preserve"> </w:t>
      </w:r>
      <w:r w:rsidRPr="00A32BAE">
        <w:rPr>
          <w:color w:val="000000"/>
          <w:sz w:val="20"/>
          <w:szCs w:val="20"/>
          <w:lang w:eastAsia="en-GB"/>
        </w:rPr>
        <w:t>Commissioner (in terms of the Compensation for Occupational Injuries and Diseases </w:t>
      </w:r>
      <w:hyperlink r:id="rId9" w:tgtFrame="main" w:history="1">
        <w:r w:rsidRPr="00A32BAE">
          <w:rPr>
            <w:sz w:val="20"/>
            <w:szCs w:val="20"/>
            <w:u w:val="single"/>
            <w:lang w:eastAsia="en-GB"/>
          </w:rPr>
          <w:t>Act 130 of 1993</w:t>
        </w:r>
      </w:hyperlink>
      <w:r w:rsidRPr="00A32BAE">
        <w:rPr>
          <w:color w:val="000000"/>
          <w:sz w:val="20"/>
          <w:szCs w:val="20"/>
          <w:lang w:eastAsia="en-GB"/>
        </w:rPr>
        <w:t>) might perhaps still pay the plaintiff more</w:t>
      </w:r>
      <w:r w:rsidRPr="00FD5A02">
        <w:rPr>
          <w:color w:val="000000"/>
          <w:sz w:val="20"/>
          <w:szCs w:val="20"/>
          <w:lang w:eastAsia="en-GB"/>
        </w:rPr>
        <w:t xml:space="preserve"> </w:t>
      </w:r>
      <w:r w:rsidRPr="00A32BAE">
        <w:rPr>
          <w:color w:val="000000"/>
          <w:sz w:val="20"/>
          <w:szCs w:val="20"/>
          <w:lang w:eastAsia="en-GB"/>
        </w:rPr>
        <w:t xml:space="preserve">in compensation than the amount already paid. </w:t>
      </w:r>
      <w:r w:rsidR="002F6A7B">
        <w:rPr>
          <w:color w:val="000000"/>
          <w:sz w:val="20"/>
          <w:szCs w:val="20"/>
          <w:lang w:eastAsia="en-GB"/>
        </w:rPr>
        <w:t xml:space="preserve"> </w:t>
      </w:r>
      <w:r w:rsidRPr="00A32BAE">
        <w:rPr>
          <w:color w:val="000000"/>
          <w:sz w:val="20"/>
          <w:szCs w:val="20"/>
          <w:lang w:eastAsia="en-GB"/>
        </w:rPr>
        <w:t>Quite what this 'defence' entailed was not clear to me because it was advanced in the vaguest of terms.</w:t>
      </w:r>
      <w:r w:rsidR="002F6A7B">
        <w:rPr>
          <w:color w:val="000000"/>
          <w:sz w:val="20"/>
          <w:szCs w:val="20"/>
          <w:lang w:eastAsia="en-GB"/>
        </w:rPr>
        <w:t xml:space="preserve"> </w:t>
      </w:r>
    </w:p>
    <w:p w14:paraId="0FAEC8BB" w14:textId="77777777" w:rsidR="002F6A7B" w:rsidRDefault="002F6A7B" w:rsidP="002F6A7B">
      <w:pPr>
        <w:tabs>
          <w:tab w:val="left" w:pos="1418"/>
        </w:tabs>
        <w:spacing w:line="360" w:lineRule="auto"/>
        <w:ind w:left="1418" w:hanging="851"/>
        <w:rPr>
          <w:color w:val="000000"/>
          <w:sz w:val="20"/>
          <w:szCs w:val="20"/>
          <w:lang w:eastAsia="en-GB"/>
        </w:rPr>
      </w:pPr>
    </w:p>
    <w:p w14:paraId="06B669A3" w14:textId="77777777" w:rsidR="00EB47DF" w:rsidRDefault="00471E08" w:rsidP="00EB47DF">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[11] </w:t>
      </w:r>
      <w:r>
        <w:rPr>
          <w:color w:val="000000"/>
          <w:sz w:val="20"/>
          <w:szCs w:val="20"/>
          <w:lang w:eastAsia="en-GB"/>
        </w:rPr>
        <w:tab/>
      </w:r>
      <w:r w:rsidRPr="00A32BAE">
        <w:rPr>
          <w:color w:val="000000"/>
          <w:sz w:val="20"/>
          <w:szCs w:val="20"/>
          <w:lang w:eastAsia="en-GB"/>
        </w:rPr>
        <w:t xml:space="preserve">This defence, if it may be so called, was never pleaded and there was not one jot of evidence, or the slightest hint in the documents, to suggest that it may have any merit. </w:t>
      </w:r>
      <w:r w:rsidR="00EB47DF">
        <w:rPr>
          <w:color w:val="000000"/>
          <w:sz w:val="20"/>
          <w:szCs w:val="20"/>
          <w:lang w:eastAsia="en-GB"/>
        </w:rPr>
        <w:t xml:space="preserve"> </w:t>
      </w:r>
      <w:r w:rsidRPr="00A32BAE">
        <w:rPr>
          <w:color w:val="000000"/>
          <w:sz w:val="20"/>
          <w:szCs w:val="20"/>
          <w:lang w:eastAsia="en-GB"/>
        </w:rPr>
        <w:lastRenderedPageBreak/>
        <w:t>Nor did Mr Mvulana seek to lead any</w:t>
      </w:r>
      <w:r w:rsidR="00EB47DF">
        <w:rPr>
          <w:color w:val="000000"/>
          <w:sz w:val="20"/>
          <w:szCs w:val="20"/>
          <w:lang w:eastAsia="en-GB"/>
        </w:rPr>
        <w:t xml:space="preserve"> </w:t>
      </w:r>
      <w:r w:rsidRPr="00A32BAE">
        <w:rPr>
          <w:color w:val="000000"/>
          <w:sz w:val="20"/>
          <w:szCs w:val="20"/>
          <w:lang w:eastAsia="en-GB"/>
        </w:rPr>
        <w:t>evidence to establish a factual basis for it.</w:t>
      </w:r>
      <w:r w:rsidR="00EB47DF">
        <w:rPr>
          <w:color w:val="000000"/>
          <w:sz w:val="20"/>
          <w:szCs w:val="20"/>
          <w:lang w:eastAsia="en-GB"/>
        </w:rPr>
        <w:t xml:space="preserve"> </w:t>
      </w:r>
      <w:r w:rsidRPr="00A32BAE">
        <w:rPr>
          <w:color w:val="000000"/>
          <w:sz w:val="20"/>
          <w:szCs w:val="20"/>
          <w:lang w:eastAsia="en-GB"/>
        </w:rPr>
        <w:t xml:space="preserve"> (If he had, the plaintiff would no doubt have objected to the evidence being led.)</w:t>
      </w:r>
      <w:r w:rsidR="00EB47DF">
        <w:rPr>
          <w:color w:val="000000"/>
          <w:sz w:val="20"/>
          <w:szCs w:val="20"/>
          <w:lang w:eastAsia="en-GB"/>
        </w:rPr>
        <w:t xml:space="preserve"> </w:t>
      </w:r>
      <w:r w:rsidRPr="00A32BAE">
        <w:rPr>
          <w:color w:val="000000"/>
          <w:sz w:val="20"/>
          <w:szCs w:val="20"/>
          <w:lang w:eastAsia="en-GB"/>
        </w:rPr>
        <w:t xml:space="preserve"> I take the view that this defence was frivolous and calculated only to delay and frustrate the legitimate claim of the plaintiff.</w:t>
      </w:r>
      <w:r w:rsidR="00EB47DF">
        <w:rPr>
          <w:color w:val="000000"/>
          <w:sz w:val="20"/>
          <w:szCs w:val="20"/>
          <w:lang w:eastAsia="en-GB"/>
        </w:rPr>
        <w:t xml:space="preserve"> </w:t>
      </w:r>
      <w:r w:rsidRPr="00A32BAE">
        <w:rPr>
          <w:color w:val="000000"/>
          <w:sz w:val="20"/>
          <w:szCs w:val="20"/>
          <w:lang w:eastAsia="en-GB"/>
        </w:rPr>
        <w:t xml:space="preserve"> The instruction to raise it was, to put it as kindly as I can, misconceived. </w:t>
      </w:r>
      <w:r w:rsidR="00EB47DF">
        <w:rPr>
          <w:color w:val="000000"/>
          <w:sz w:val="20"/>
          <w:szCs w:val="20"/>
          <w:lang w:eastAsia="en-GB"/>
        </w:rPr>
        <w:t xml:space="preserve"> </w:t>
      </w:r>
      <w:r w:rsidRPr="00A32BAE">
        <w:rPr>
          <w:color w:val="000000"/>
          <w:sz w:val="20"/>
          <w:szCs w:val="20"/>
          <w:lang w:eastAsia="en-GB"/>
        </w:rPr>
        <w:t>On the basis of what was before me in</w:t>
      </w:r>
      <w:r w:rsidR="00EB47DF">
        <w:rPr>
          <w:color w:val="000000"/>
          <w:sz w:val="20"/>
          <w:szCs w:val="20"/>
          <w:lang w:eastAsia="en-GB"/>
        </w:rPr>
        <w:t xml:space="preserve"> </w:t>
      </w:r>
      <w:r w:rsidRPr="00A32BAE">
        <w:rPr>
          <w:color w:val="000000"/>
          <w:sz w:val="20"/>
          <w:szCs w:val="20"/>
          <w:lang w:eastAsia="en-GB"/>
        </w:rPr>
        <w:t>the trial, it seems to me that the employee of the defendant who gave the instruction could surely not have believed in good faith that the instruction was a proper one in the circumstances.</w:t>
      </w:r>
      <w:r w:rsidR="00EB47DF">
        <w:rPr>
          <w:color w:val="000000"/>
          <w:sz w:val="20"/>
          <w:szCs w:val="20"/>
          <w:lang w:eastAsia="en-GB"/>
        </w:rPr>
        <w:t xml:space="preserve"> </w:t>
      </w:r>
    </w:p>
    <w:p w14:paraId="44954EBA" w14:textId="77777777" w:rsidR="00EB47DF" w:rsidRDefault="00EB47DF" w:rsidP="00EB47DF">
      <w:pPr>
        <w:tabs>
          <w:tab w:val="left" w:pos="1418"/>
        </w:tabs>
        <w:spacing w:line="360" w:lineRule="auto"/>
        <w:ind w:left="1418" w:hanging="851"/>
        <w:rPr>
          <w:color w:val="000000"/>
          <w:sz w:val="20"/>
          <w:szCs w:val="20"/>
          <w:lang w:eastAsia="en-GB"/>
        </w:rPr>
      </w:pPr>
    </w:p>
    <w:p w14:paraId="10F3797E" w14:textId="77777777" w:rsidR="00AE4E40" w:rsidRDefault="00471E08" w:rsidP="00AE4E40">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[12] </w:t>
      </w:r>
      <w:r>
        <w:rPr>
          <w:color w:val="000000"/>
          <w:sz w:val="20"/>
          <w:szCs w:val="20"/>
          <w:lang w:eastAsia="en-GB"/>
        </w:rPr>
        <w:tab/>
      </w:r>
      <w:r w:rsidRPr="00A32BAE">
        <w:rPr>
          <w:color w:val="000000"/>
          <w:sz w:val="20"/>
          <w:szCs w:val="20"/>
          <w:lang w:eastAsia="en-GB"/>
        </w:rPr>
        <w:t>I have raised the problem of this spurious defence, the absence of</w:t>
      </w:r>
      <w:r w:rsidR="00AE4E40">
        <w:rPr>
          <w:color w:val="000000"/>
          <w:sz w:val="20"/>
          <w:szCs w:val="20"/>
          <w:lang w:eastAsia="en-GB"/>
        </w:rPr>
        <w:t xml:space="preserve"> </w:t>
      </w:r>
      <w:r w:rsidRPr="00A32BAE">
        <w:rPr>
          <w:color w:val="000000"/>
          <w:sz w:val="20"/>
          <w:szCs w:val="20"/>
          <w:lang w:eastAsia="en-GB"/>
        </w:rPr>
        <w:t>any mention of it in the pleadings and the absence of evidence upon which it could be based because this type of approach to matters of this kind by the defendant has become common practice in this jurisdiction: typically, when a trial commences, the plaintiff and his or her witnesses are ritualistically required to jump through a few hoops by the defendant,</w:t>
      </w:r>
      <w:r w:rsidR="00AE4E40">
        <w:rPr>
          <w:color w:val="000000"/>
          <w:sz w:val="20"/>
          <w:szCs w:val="20"/>
          <w:lang w:eastAsia="en-GB"/>
        </w:rPr>
        <w:t xml:space="preserve"> </w:t>
      </w:r>
      <w:r w:rsidRPr="00A32BAE">
        <w:rPr>
          <w:color w:val="000000"/>
          <w:sz w:val="20"/>
          <w:szCs w:val="20"/>
          <w:lang w:eastAsia="en-GB"/>
        </w:rPr>
        <w:t>who leads no evidence to advance its case and has not so much as an expert's report to counter th</w:t>
      </w:r>
      <w:bookmarkStart w:id="4" w:name="LPHit2"/>
      <w:bookmarkEnd w:id="4"/>
      <w:r w:rsidRPr="00FD5A02">
        <w:rPr>
          <w:color w:val="000000"/>
          <w:sz w:val="20"/>
          <w:szCs w:val="20"/>
          <w:lang w:eastAsia="en-GB"/>
        </w:rPr>
        <w:t xml:space="preserve">e expert </w:t>
      </w:r>
      <w:r w:rsidRPr="00A32BAE">
        <w:rPr>
          <w:color w:val="000000"/>
          <w:sz w:val="20"/>
          <w:szCs w:val="20"/>
          <w:lang w:eastAsia="en-GB"/>
        </w:rPr>
        <w:t>witnesses of the plaintiff, but still persists in its opposition in circumstances in which the matter should have been settled at an early stage.</w:t>
      </w:r>
      <w:r w:rsidR="00AE4E40">
        <w:rPr>
          <w:color w:val="000000"/>
          <w:sz w:val="20"/>
          <w:szCs w:val="20"/>
          <w:lang w:eastAsia="en-GB"/>
        </w:rPr>
        <w:t xml:space="preserve"> </w:t>
      </w:r>
    </w:p>
    <w:p w14:paraId="7C0A0C78" w14:textId="77777777" w:rsidR="00AE4E40" w:rsidRDefault="00AE4E40" w:rsidP="00AE4E40">
      <w:pPr>
        <w:tabs>
          <w:tab w:val="left" w:pos="1418"/>
        </w:tabs>
        <w:spacing w:line="360" w:lineRule="auto"/>
        <w:ind w:left="1418" w:hanging="851"/>
        <w:rPr>
          <w:color w:val="000000"/>
          <w:sz w:val="20"/>
          <w:szCs w:val="20"/>
          <w:lang w:eastAsia="en-GB"/>
        </w:rPr>
      </w:pPr>
    </w:p>
    <w:p w14:paraId="7CE0BB55" w14:textId="77777777" w:rsidR="00FC23FF" w:rsidRDefault="00471E08" w:rsidP="00FC23FF">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[13] </w:t>
      </w:r>
      <w:r>
        <w:rPr>
          <w:color w:val="000000"/>
          <w:sz w:val="20"/>
          <w:szCs w:val="20"/>
          <w:lang w:eastAsia="en-GB"/>
        </w:rPr>
        <w:tab/>
      </w:r>
      <w:r w:rsidRPr="00A32BAE">
        <w:rPr>
          <w:color w:val="000000"/>
          <w:sz w:val="20"/>
          <w:szCs w:val="20"/>
          <w:lang w:eastAsia="en-GB"/>
        </w:rPr>
        <w:t>The defendant is established by s 2 of the Road Accident Fund Act</w:t>
      </w:r>
      <w:r w:rsidRPr="00FD5A02">
        <w:rPr>
          <w:color w:val="000000"/>
          <w:sz w:val="20"/>
          <w:szCs w:val="20"/>
          <w:lang w:eastAsia="en-GB"/>
        </w:rPr>
        <w:t xml:space="preserve"> </w:t>
      </w:r>
      <w:r w:rsidRPr="00A32BAE">
        <w:rPr>
          <w:color w:val="000000"/>
          <w:sz w:val="20"/>
          <w:szCs w:val="20"/>
          <w:lang w:eastAsia="en-GB"/>
        </w:rPr>
        <w:t xml:space="preserve">56 of 1996. </w:t>
      </w:r>
      <w:r w:rsidR="00FC23FF">
        <w:rPr>
          <w:color w:val="000000"/>
          <w:sz w:val="20"/>
          <w:szCs w:val="20"/>
          <w:lang w:eastAsia="en-GB"/>
        </w:rPr>
        <w:t xml:space="preserve"> </w:t>
      </w:r>
      <w:r w:rsidRPr="00A32BAE">
        <w:rPr>
          <w:color w:val="000000"/>
          <w:sz w:val="20"/>
          <w:szCs w:val="20"/>
          <w:lang w:eastAsia="en-GB"/>
        </w:rPr>
        <w:t>Its object is to pay compensation 'in accordance with this Act for loss or damage wrongfully caused by the driving of motor vehicles'.</w:t>
      </w:r>
      <w:bookmarkStart w:id="5" w:name="0-0-0-299563"/>
      <w:bookmarkEnd w:id="5"/>
      <w:r w:rsidRPr="00A32BAE">
        <w:rPr>
          <w:color w:val="000000"/>
          <w:sz w:val="20"/>
          <w:szCs w:val="20"/>
          <w:lang w:eastAsia="en-GB"/>
        </w:rPr>
        <w:t> </w:t>
      </w:r>
      <w:r w:rsidRPr="00FD5A02">
        <w:rPr>
          <w:color w:val="000000"/>
          <w:sz w:val="20"/>
          <w:szCs w:val="20"/>
          <w:lang w:eastAsia="en-GB"/>
        </w:rPr>
        <w:t xml:space="preserve"> </w:t>
      </w:r>
      <w:r w:rsidRPr="00A32BAE">
        <w:rPr>
          <w:color w:val="000000"/>
          <w:sz w:val="20"/>
          <w:szCs w:val="20"/>
          <w:lang w:eastAsia="en-GB"/>
        </w:rPr>
        <w:t>It uses public funds to achieve the purposes assigned to it by the Act.</w:t>
      </w:r>
      <w:bookmarkStart w:id="6" w:name="0-0-0-299567"/>
      <w:bookmarkEnd w:id="6"/>
      <w:r w:rsidRPr="00A32BAE">
        <w:rPr>
          <w:color w:val="000000"/>
          <w:sz w:val="20"/>
          <w:szCs w:val="20"/>
          <w:lang w:eastAsia="en-GB"/>
        </w:rPr>
        <w:t> </w:t>
      </w:r>
      <w:r w:rsidRPr="00FD5A02">
        <w:rPr>
          <w:color w:val="000000"/>
          <w:sz w:val="20"/>
          <w:szCs w:val="20"/>
          <w:lang w:eastAsia="en-GB"/>
        </w:rPr>
        <w:t xml:space="preserve"> </w:t>
      </w:r>
      <w:r w:rsidRPr="00A32BAE">
        <w:rPr>
          <w:color w:val="000000"/>
          <w:sz w:val="20"/>
          <w:szCs w:val="20"/>
          <w:lang w:eastAsia="en-GB"/>
        </w:rPr>
        <w:t>Its resources and facilities are to be 'used exclusively to achieve, exercise and perform the object, powers and functions of the Fund, respectively'.</w:t>
      </w:r>
      <w:bookmarkStart w:id="7" w:name="0-0-0-299571"/>
      <w:bookmarkEnd w:id="7"/>
      <w:r w:rsidR="00FC23FF">
        <w:rPr>
          <w:color w:val="000000"/>
          <w:sz w:val="20"/>
          <w:szCs w:val="20"/>
          <w:lang w:eastAsia="en-GB"/>
        </w:rPr>
        <w:t xml:space="preserve"> </w:t>
      </w:r>
    </w:p>
    <w:p w14:paraId="3EA0AE7B" w14:textId="77777777" w:rsidR="00FC23FF" w:rsidRDefault="00FC23FF" w:rsidP="00FC23FF">
      <w:pPr>
        <w:tabs>
          <w:tab w:val="left" w:pos="1418"/>
        </w:tabs>
        <w:spacing w:line="360" w:lineRule="auto"/>
        <w:ind w:left="1418" w:hanging="851"/>
        <w:rPr>
          <w:color w:val="000000"/>
          <w:sz w:val="20"/>
          <w:szCs w:val="20"/>
          <w:lang w:eastAsia="en-GB"/>
        </w:rPr>
      </w:pPr>
    </w:p>
    <w:p w14:paraId="72EC0D86" w14:textId="77777777" w:rsidR="002950C3" w:rsidRDefault="00471E08" w:rsidP="002950C3">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[14] </w:t>
      </w:r>
      <w:r>
        <w:rPr>
          <w:color w:val="000000"/>
          <w:sz w:val="20"/>
          <w:szCs w:val="20"/>
          <w:lang w:eastAsia="en-GB"/>
        </w:rPr>
        <w:tab/>
      </w:r>
      <w:r w:rsidRPr="00A32BAE">
        <w:rPr>
          <w:color w:val="000000"/>
          <w:sz w:val="20"/>
          <w:szCs w:val="20"/>
          <w:lang w:eastAsia="en-GB"/>
        </w:rPr>
        <w:t>From these provisions, and a reading of the Act as a whole, it is not open to doubt that the defendant is an organ of State.</w:t>
      </w:r>
      <w:bookmarkStart w:id="8" w:name="0-0-0-299575"/>
      <w:bookmarkEnd w:id="8"/>
      <w:r w:rsidRPr="00A32BAE">
        <w:rPr>
          <w:color w:val="000000"/>
          <w:sz w:val="20"/>
          <w:szCs w:val="20"/>
          <w:lang w:eastAsia="en-GB"/>
        </w:rPr>
        <w:t> </w:t>
      </w:r>
      <w:r w:rsidRPr="00FD5A02">
        <w:rPr>
          <w:color w:val="000000"/>
          <w:sz w:val="20"/>
          <w:szCs w:val="20"/>
          <w:lang w:eastAsia="en-GB"/>
        </w:rPr>
        <w:t xml:space="preserve"> </w:t>
      </w:r>
      <w:r w:rsidRPr="00A32BAE">
        <w:rPr>
          <w:color w:val="000000"/>
          <w:sz w:val="20"/>
          <w:szCs w:val="20"/>
          <w:lang w:eastAsia="en-GB"/>
        </w:rPr>
        <w:t>That being so, it is bound by the Bill of Rights</w:t>
      </w:r>
      <w:bookmarkStart w:id="9" w:name="0-0-0-299579"/>
      <w:bookmarkEnd w:id="9"/>
      <w:r w:rsidRPr="00A32BAE">
        <w:rPr>
          <w:color w:val="000000"/>
          <w:sz w:val="20"/>
          <w:szCs w:val="20"/>
          <w:lang w:eastAsia="en-GB"/>
        </w:rPr>
        <w:t> and is under an express constitutional duty to 'respect, protect, promote and fulfil the rights in the Bill of Rights'.</w:t>
      </w:r>
      <w:bookmarkStart w:id="10" w:name="0-0-0-299583"/>
      <w:bookmarkEnd w:id="10"/>
      <w:r w:rsidR="002950C3">
        <w:rPr>
          <w:color w:val="000000"/>
          <w:sz w:val="20"/>
          <w:szCs w:val="20"/>
          <w:lang w:eastAsia="en-GB"/>
        </w:rPr>
        <w:t xml:space="preserve"> </w:t>
      </w:r>
      <w:r w:rsidRPr="00FD5A02">
        <w:rPr>
          <w:color w:val="000000"/>
          <w:sz w:val="20"/>
          <w:szCs w:val="20"/>
          <w:lang w:eastAsia="en-GB"/>
        </w:rPr>
        <w:t xml:space="preserve"> </w:t>
      </w:r>
      <w:r w:rsidRPr="00A32BAE">
        <w:rPr>
          <w:color w:val="000000"/>
          <w:sz w:val="20"/>
          <w:szCs w:val="20"/>
          <w:lang w:eastAsia="en-GB"/>
        </w:rPr>
        <w:t>This means not only that it must refrain from interfering with</w:t>
      </w:r>
      <w:r w:rsidRPr="00FD5A02">
        <w:rPr>
          <w:color w:val="000000"/>
          <w:sz w:val="20"/>
          <w:szCs w:val="20"/>
          <w:lang w:eastAsia="en-GB"/>
        </w:rPr>
        <w:t xml:space="preserve"> </w:t>
      </w:r>
      <w:r w:rsidRPr="00A32BAE">
        <w:rPr>
          <w:color w:val="000000"/>
          <w:sz w:val="20"/>
          <w:szCs w:val="20"/>
          <w:lang w:eastAsia="en-GB"/>
        </w:rPr>
        <w:t>the fundamental rights of people but also that it is under a positive duty</w:t>
      </w:r>
      <w:r w:rsidRPr="00FD5A02">
        <w:rPr>
          <w:color w:val="000000"/>
          <w:sz w:val="20"/>
          <w:szCs w:val="20"/>
          <w:lang w:eastAsia="en-GB"/>
        </w:rPr>
        <w:t xml:space="preserve"> </w:t>
      </w:r>
      <w:r w:rsidRPr="00A32BAE">
        <w:rPr>
          <w:color w:val="000000"/>
          <w:sz w:val="20"/>
          <w:szCs w:val="20"/>
          <w:lang w:eastAsia="en-GB"/>
        </w:rPr>
        <w:t>to act in such a way that their fundamental rights are realised.</w:t>
      </w:r>
      <w:bookmarkStart w:id="11" w:name="0-0-0-299587"/>
      <w:bookmarkEnd w:id="11"/>
      <w:r w:rsidRPr="00A32BAE">
        <w:rPr>
          <w:color w:val="000000"/>
          <w:sz w:val="20"/>
          <w:szCs w:val="20"/>
          <w:lang w:eastAsia="en-GB"/>
        </w:rPr>
        <w:t> </w:t>
      </w:r>
      <w:r w:rsidR="002950C3">
        <w:rPr>
          <w:color w:val="000000"/>
          <w:sz w:val="20"/>
          <w:szCs w:val="20"/>
          <w:lang w:eastAsia="en-GB"/>
        </w:rPr>
        <w:t xml:space="preserve"> </w:t>
      </w:r>
      <w:r w:rsidRPr="00A32BAE">
        <w:rPr>
          <w:color w:val="000000"/>
          <w:sz w:val="20"/>
          <w:szCs w:val="20"/>
          <w:lang w:eastAsia="en-GB"/>
        </w:rPr>
        <w:t>Furthermore, s 237 of the Constitution requires that all of its constitutional obligations 'must be performed diligently and without delay'.</w:t>
      </w:r>
      <w:r w:rsidR="002950C3">
        <w:rPr>
          <w:color w:val="000000"/>
          <w:sz w:val="20"/>
          <w:szCs w:val="20"/>
          <w:lang w:eastAsia="en-GB"/>
        </w:rPr>
        <w:t xml:space="preserve"> </w:t>
      </w:r>
    </w:p>
    <w:p w14:paraId="125C7163" w14:textId="77777777" w:rsidR="002950C3" w:rsidRDefault="002950C3" w:rsidP="002950C3">
      <w:pPr>
        <w:tabs>
          <w:tab w:val="left" w:pos="1418"/>
        </w:tabs>
        <w:spacing w:line="360" w:lineRule="auto"/>
        <w:ind w:left="1418" w:hanging="851"/>
        <w:rPr>
          <w:color w:val="000000"/>
          <w:sz w:val="20"/>
          <w:szCs w:val="20"/>
          <w:lang w:eastAsia="en-GB"/>
        </w:rPr>
      </w:pPr>
    </w:p>
    <w:p w14:paraId="2B0C9907" w14:textId="77777777" w:rsidR="00A37E8E" w:rsidRDefault="00471E08" w:rsidP="00A37E8E">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[15] </w:t>
      </w:r>
      <w:r>
        <w:rPr>
          <w:color w:val="000000"/>
          <w:sz w:val="20"/>
          <w:szCs w:val="20"/>
          <w:lang w:eastAsia="en-GB"/>
        </w:rPr>
        <w:tab/>
      </w:r>
      <w:r w:rsidRPr="00A32BAE">
        <w:rPr>
          <w:color w:val="000000"/>
          <w:sz w:val="20"/>
          <w:szCs w:val="20"/>
          <w:lang w:eastAsia="en-GB"/>
        </w:rPr>
        <w:t>By frustrating the legitimate claim of the plaintiff in the way that I have described, the employee of the fund who gave Mr Mvulana his</w:t>
      </w:r>
      <w:r w:rsidRPr="00FD5A02">
        <w:rPr>
          <w:color w:val="000000"/>
          <w:sz w:val="20"/>
          <w:szCs w:val="20"/>
          <w:lang w:eastAsia="en-GB"/>
        </w:rPr>
        <w:t xml:space="preserve"> </w:t>
      </w:r>
      <w:r w:rsidRPr="00A32BAE">
        <w:rPr>
          <w:color w:val="000000"/>
          <w:sz w:val="20"/>
          <w:szCs w:val="20"/>
          <w:lang w:eastAsia="en-GB"/>
        </w:rPr>
        <w:t>instructions has acted in violation of the Constitution: he or she has, by unjustifiably frustrating the claim of the plaintiff, failed to 'protect, promote and fulfil' his fundamental rights to human dignity,</w:t>
      </w:r>
      <w:bookmarkStart w:id="12" w:name="0-0-0-299591"/>
      <w:bookmarkEnd w:id="12"/>
      <w:r w:rsidRPr="00A32BAE">
        <w:rPr>
          <w:color w:val="000000"/>
          <w:sz w:val="20"/>
          <w:szCs w:val="20"/>
          <w:lang w:eastAsia="en-GB"/>
        </w:rPr>
        <w:t> to freedom and security of the person and to bodily integrity.</w:t>
      </w:r>
      <w:bookmarkStart w:id="13" w:name="0-0-0-299595"/>
      <w:bookmarkEnd w:id="13"/>
      <w:r w:rsidRPr="00FD5A02">
        <w:rPr>
          <w:color w:val="000000"/>
          <w:sz w:val="20"/>
          <w:szCs w:val="20"/>
          <w:lang w:eastAsia="en-GB"/>
        </w:rPr>
        <w:t xml:space="preserve"> </w:t>
      </w:r>
      <w:r w:rsidR="00A37E8E">
        <w:rPr>
          <w:color w:val="000000"/>
          <w:sz w:val="20"/>
          <w:szCs w:val="20"/>
          <w:lang w:eastAsia="en-GB"/>
        </w:rPr>
        <w:t xml:space="preserve"> </w:t>
      </w:r>
      <w:r w:rsidRPr="00A32BAE">
        <w:rPr>
          <w:color w:val="000000"/>
          <w:sz w:val="20"/>
          <w:szCs w:val="20"/>
          <w:lang w:eastAsia="en-GB"/>
        </w:rPr>
        <w:t>This employee has also fallen short of what is expected of public administrators by s 195 of</w:t>
      </w:r>
      <w:r w:rsidRPr="00FD5A02">
        <w:rPr>
          <w:color w:val="000000"/>
          <w:sz w:val="20"/>
          <w:szCs w:val="20"/>
          <w:lang w:eastAsia="en-GB"/>
        </w:rPr>
        <w:t xml:space="preserve"> </w:t>
      </w:r>
      <w:r w:rsidRPr="00A32BAE">
        <w:rPr>
          <w:color w:val="000000"/>
          <w:sz w:val="20"/>
          <w:szCs w:val="20"/>
          <w:lang w:eastAsia="en-GB"/>
        </w:rPr>
        <w:t xml:space="preserve">the Constitution, in that it cannot be said that the irresponsible raising of a frivolous defence promotes and maintains a </w:t>
      </w:r>
      <w:r w:rsidRPr="00A32BAE">
        <w:rPr>
          <w:color w:val="000000"/>
          <w:sz w:val="20"/>
          <w:szCs w:val="20"/>
          <w:lang w:eastAsia="en-GB"/>
        </w:rPr>
        <w:lastRenderedPageBreak/>
        <w:t>high standard of professional ethics or that it promotes the '(e)fficient, economic and effective use of resources'.</w:t>
      </w:r>
      <w:r w:rsidR="00A37E8E">
        <w:rPr>
          <w:color w:val="000000"/>
          <w:sz w:val="20"/>
          <w:szCs w:val="20"/>
          <w:lang w:eastAsia="en-GB"/>
        </w:rPr>
        <w:t xml:space="preserve"> </w:t>
      </w:r>
      <w:r w:rsidRPr="00A32BAE">
        <w:rPr>
          <w:color w:val="000000"/>
          <w:sz w:val="20"/>
          <w:szCs w:val="20"/>
          <w:lang w:eastAsia="en-GB"/>
        </w:rPr>
        <w:t xml:space="preserve"> It cannot similarly be said that he or she has performed the constitutional obligations owed to the plaintiff diligently.</w:t>
      </w:r>
      <w:r w:rsidR="00A37E8E">
        <w:rPr>
          <w:color w:val="000000"/>
          <w:sz w:val="20"/>
          <w:szCs w:val="20"/>
          <w:lang w:eastAsia="en-GB"/>
        </w:rPr>
        <w:t xml:space="preserve"> </w:t>
      </w:r>
    </w:p>
    <w:p w14:paraId="3EF47DFB" w14:textId="77777777" w:rsidR="00A37E8E" w:rsidRDefault="00A37E8E" w:rsidP="00A37E8E">
      <w:pPr>
        <w:tabs>
          <w:tab w:val="left" w:pos="1418"/>
        </w:tabs>
        <w:spacing w:line="360" w:lineRule="auto"/>
        <w:ind w:left="1418" w:hanging="851"/>
        <w:rPr>
          <w:color w:val="000000"/>
          <w:sz w:val="20"/>
          <w:szCs w:val="20"/>
          <w:lang w:eastAsia="en-GB"/>
        </w:rPr>
      </w:pPr>
    </w:p>
    <w:p w14:paraId="1F9F2DA5" w14:textId="77777777" w:rsidR="00DF1DB9" w:rsidRDefault="00471E08" w:rsidP="00DF1DB9">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[16] </w:t>
      </w:r>
      <w:r>
        <w:rPr>
          <w:color w:val="000000"/>
          <w:sz w:val="20"/>
          <w:szCs w:val="20"/>
          <w:lang w:eastAsia="en-GB"/>
        </w:rPr>
        <w:tab/>
      </w:r>
      <w:r w:rsidRPr="00A32BAE">
        <w:rPr>
          <w:color w:val="000000"/>
          <w:sz w:val="20"/>
          <w:szCs w:val="20"/>
          <w:lang w:eastAsia="en-GB"/>
        </w:rPr>
        <w:t>Organs of State are not free to litigate as they please.</w:t>
      </w:r>
      <w:bookmarkStart w:id="14" w:name="0-0-0-299599"/>
      <w:bookmarkEnd w:id="14"/>
      <w:r w:rsidRPr="00A32BAE">
        <w:rPr>
          <w:color w:val="000000"/>
          <w:sz w:val="20"/>
          <w:szCs w:val="20"/>
          <w:lang w:eastAsia="en-GB"/>
        </w:rPr>
        <w:t> </w:t>
      </w:r>
      <w:r w:rsidR="00DF1DB9">
        <w:rPr>
          <w:color w:val="000000"/>
          <w:sz w:val="20"/>
          <w:szCs w:val="20"/>
          <w:lang w:eastAsia="en-GB"/>
        </w:rPr>
        <w:t xml:space="preserve"> </w:t>
      </w:r>
      <w:r w:rsidRPr="00A32BAE">
        <w:rPr>
          <w:color w:val="000000"/>
          <w:sz w:val="20"/>
          <w:szCs w:val="20"/>
          <w:lang w:eastAsia="en-GB"/>
        </w:rPr>
        <w:t>The Constitution has subordinated them to what Cameron J, in </w:t>
      </w:r>
      <w:r w:rsidRPr="00A32BAE">
        <w:rPr>
          <w:i/>
          <w:iCs/>
          <w:color w:val="000000"/>
          <w:sz w:val="20"/>
          <w:szCs w:val="20"/>
          <w:lang w:eastAsia="en-GB"/>
        </w:rPr>
        <w:t>Van Niekerk v Pretoria City Council</w:t>
      </w:r>
      <w:r w:rsidRPr="00A32BAE">
        <w:rPr>
          <w:color w:val="000000"/>
          <w:sz w:val="20"/>
          <w:szCs w:val="20"/>
          <w:lang w:eastAsia="en-GB"/>
        </w:rPr>
        <w:t>,</w:t>
      </w:r>
      <w:bookmarkStart w:id="15" w:name="0-0-0-299603"/>
      <w:bookmarkEnd w:id="15"/>
      <w:r w:rsidRPr="00FD5A02">
        <w:rPr>
          <w:color w:val="000000"/>
          <w:sz w:val="20"/>
          <w:szCs w:val="20"/>
          <w:lang w:eastAsia="en-GB"/>
        </w:rPr>
        <w:t xml:space="preserve"> </w:t>
      </w:r>
      <w:r w:rsidRPr="00A32BAE">
        <w:rPr>
          <w:color w:val="000000"/>
          <w:sz w:val="20"/>
          <w:szCs w:val="20"/>
          <w:lang w:eastAsia="en-GB"/>
        </w:rPr>
        <w:t xml:space="preserve">called 'a new regimen of openness and fair dealing with the public'. </w:t>
      </w:r>
      <w:r w:rsidR="00DF1DB9">
        <w:rPr>
          <w:color w:val="000000"/>
          <w:sz w:val="20"/>
          <w:szCs w:val="20"/>
          <w:lang w:eastAsia="en-GB"/>
        </w:rPr>
        <w:t xml:space="preserve"> </w:t>
      </w:r>
      <w:r w:rsidRPr="00A32BAE">
        <w:rPr>
          <w:color w:val="000000"/>
          <w:sz w:val="20"/>
          <w:szCs w:val="20"/>
          <w:lang w:eastAsia="en-GB"/>
        </w:rPr>
        <w:t>The very purpose of their existence is to further the public interest, and their decisions must be aimed at doing just that. </w:t>
      </w:r>
      <w:r w:rsidR="00DF1DB9">
        <w:rPr>
          <w:color w:val="000000"/>
          <w:sz w:val="20"/>
          <w:szCs w:val="20"/>
          <w:lang w:eastAsia="en-GB"/>
        </w:rPr>
        <w:t xml:space="preserve"> </w:t>
      </w:r>
      <w:r w:rsidRPr="00A32BAE">
        <w:rPr>
          <w:color w:val="000000"/>
          <w:sz w:val="20"/>
          <w:szCs w:val="20"/>
          <w:lang w:eastAsia="en-GB"/>
        </w:rPr>
        <w:t>The power they exercise has been entrusted to them and they are accountable for how they fulfil their trust.</w:t>
      </w:r>
      <w:r w:rsidR="00DF1DB9">
        <w:rPr>
          <w:color w:val="000000"/>
          <w:sz w:val="20"/>
          <w:szCs w:val="20"/>
          <w:lang w:eastAsia="en-GB"/>
        </w:rPr>
        <w:t xml:space="preserve"> </w:t>
      </w:r>
    </w:p>
    <w:p w14:paraId="76272E37" w14:textId="77777777" w:rsidR="00DF1DB9" w:rsidRDefault="00DF1DB9" w:rsidP="00DF1DB9">
      <w:pPr>
        <w:tabs>
          <w:tab w:val="left" w:pos="1418"/>
        </w:tabs>
        <w:spacing w:line="360" w:lineRule="auto"/>
        <w:ind w:left="1418" w:hanging="851"/>
        <w:rPr>
          <w:color w:val="000000"/>
          <w:sz w:val="20"/>
          <w:szCs w:val="20"/>
          <w:lang w:eastAsia="en-GB"/>
        </w:rPr>
      </w:pPr>
    </w:p>
    <w:p w14:paraId="50DB57A2" w14:textId="65F0D215" w:rsidR="00471E08" w:rsidRPr="007E5116" w:rsidRDefault="00471E08" w:rsidP="00DF1DB9">
      <w:pPr>
        <w:tabs>
          <w:tab w:val="left" w:pos="1418"/>
        </w:tabs>
        <w:spacing w:line="360" w:lineRule="auto"/>
        <w:ind w:left="1418" w:hanging="851"/>
        <w:rPr>
          <w:color w:val="000000"/>
          <w:sz w:val="20"/>
          <w:szCs w:val="20"/>
          <w:lang w:eastAsia="en-GB"/>
        </w:rPr>
      </w:pPr>
      <w:r w:rsidRPr="00A32BAE">
        <w:rPr>
          <w:color w:val="000000"/>
          <w:sz w:val="20"/>
          <w:szCs w:val="20"/>
          <w:lang w:eastAsia="en-GB"/>
        </w:rPr>
        <w:t xml:space="preserve">[17] </w:t>
      </w:r>
      <w:r>
        <w:rPr>
          <w:color w:val="000000"/>
          <w:sz w:val="20"/>
          <w:szCs w:val="20"/>
          <w:lang w:eastAsia="en-GB"/>
        </w:rPr>
        <w:tab/>
      </w:r>
      <w:r w:rsidRPr="00A32BAE">
        <w:rPr>
          <w:color w:val="000000"/>
          <w:sz w:val="20"/>
          <w:szCs w:val="20"/>
          <w:lang w:eastAsia="en-GB"/>
        </w:rPr>
        <w:t xml:space="preserve">It is expected of organs of State that they behave honourably </w:t>
      </w:r>
      <w:r w:rsidR="009410FB">
        <w:rPr>
          <w:color w:val="000000"/>
          <w:sz w:val="20"/>
          <w:szCs w:val="20"/>
          <w:lang w:eastAsia="en-GB"/>
        </w:rPr>
        <w:t>–</w:t>
      </w:r>
      <w:r w:rsidRPr="00A32BAE">
        <w:rPr>
          <w:color w:val="000000"/>
          <w:sz w:val="20"/>
          <w:szCs w:val="20"/>
          <w:lang w:eastAsia="en-GB"/>
        </w:rPr>
        <w:t xml:space="preserve"> that they treat the members of the public with whom they deal with dignity, honestly, openly and fairly. </w:t>
      </w:r>
      <w:r w:rsidR="009410FB">
        <w:rPr>
          <w:color w:val="000000"/>
          <w:sz w:val="20"/>
          <w:szCs w:val="20"/>
          <w:lang w:eastAsia="en-GB"/>
        </w:rPr>
        <w:t xml:space="preserve"> </w:t>
      </w:r>
      <w:r w:rsidRPr="00A32BAE">
        <w:rPr>
          <w:color w:val="000000"/>
          <w:sz w:val="20"/>
          <w:szCs w:val="20"/>
          <w:lang w:eastAsia="en-GB"/>
        </w:rPr>
        <w:t>This is particularly so in the case of the</w:t>
      </w:r>
      <w:r w:rsidRPr="00FD5A02">
        <w:rPr>
          <w:color w:val="000000"/>
          <w:sz w:val="20"/>
          <w:szCs w:val="20"/>
          <w:lang w:eastAsia="en-GB"/>
        </w:rPr>
        <w:t xml:space="preserve"> </w:t>
      </w:r>
      <w:r w:rsidRPr="00A32BAE">
        <w:rPr>
          <w:color w:val="000000"/>
          <w:sz w:val="20"/>
          <w:szCs w:val="20"/>
          <w:lang w:eastAsia="en-GB"/>
        </w:rPr>
        <w:t xml:space="preserve">defendant: it is mandated to compensate with public funds those who have suffered violations of their fundamental rights to dignity, freedom and security of the person, and bodily integrity, as a result of road accidents. </w:t>
      </w:r>
      <w:r w:rsidR="009410FB">
        <w:rPr>
          <w:color w:val="000000"/>
          <w:sz w:val="20"/>
          <w:szCs w:val="20"/>
          <w:lang w:eastAsia="en-GB"/>
        </w:rPr>
        <w:t xml:space="preserve"> </w:t>
      </w:r>
      <w:r w:rsidRPr="00A32BAE">
        <w:rPr>
          <w:color w:val="000000"/>
          <w:sz w:val="20"/>
          <w:szCs w:val="20"/>
          <w:lang w:eastAsia="en-GB"/>
        </w:rPr>
        <w:t>The very mission of the defendant is to rectify those violations, to the extent that monetary compensation and compensation in kind ar</w:t>
      </w:r>
      <w:r w:rsidRPr="00FD5A02">
        <w:rPr>
          <w:color w:val="000000"/>
          <w:sz w:val="20"/>
          <w:szCs w:val="20"/>
          <w:lang w:eastAsia="en-GB"/>
        </w:rPr>
        <w:t xml:space="preserve">e </w:t>
      </w:r>
      <w:r w:rsidRPr="00A32BAE">
        <w:rPr>
          <w:color w:val="000000"/>
          <w:sz w:val="20"/>
          <w:szCs w:val="20"/>
          <w:lang w:eastAsia="en-GB"/>
        </w:rPr>
        <w:t xml:space="preserve">able to. </w:t>
      </w:r>
      <w:r w:rsidR="009410FB">
        <w:rPr>
          <w:color w:val="000000"/>
          <w:sz w:val="20"/>
          <w:szCs w:val="20"/>
          <w:lang w:eastAsia="en-GB"/>
        </w:rPr>
        <w:t xml:space="preserve"> </w:t>
      </w:r>
      <w:r w:rsidRPr="00A32BAE">
        <w:rPr>
          <w:color w:val="000000"/>
          <w:sz w:val="20"/>
          <w:szCs w:val="20"/>
          <w:lang w:eastAsia="en-GB"/>
        </w:rPr>
        <w:t>That places the defendant in a position of great responsibility: its control of the purse strings places it in a position of immense power in relation to the victims of road accidents, many of whom, it is well known, are poor and 'lacking in protective and assertive armour'.</w:t>
      </w:r>
      <w:bookmarkStart w:id="16" w:name="0-0-0-299607"/>
      <w:bookmarkEnd w:id="16"/>
      <w:r w:rsidRPr="00A32BAE">
        <w:rPr>
          <w:color w:val="000000"/>
          <w:sz w:val="20"/>
          <w:szCs w:val="20"/>
          <w:lang w:eastAsia="en-GB"/>
        </w:rPr>
        <w:t> </w:t>
      </w:r>
      <w:r w:rsidRPr="00FD5A02">
        <w:rPr>
          <w:color w:val="000000"/>
          <w:sz w:val="20"/>
          <w:szCs w:val="20"/>
          <w:lang w:eastAsia="en-GB"/>
        </w:rPr>
        <w:t xml:space="preserve"> </w:t>
      </w:r>
      <w:r w:rsidRPr="00A32BAE">
        <w:rPr>
          <w:color w:val="000000"/>
          <w:sz w:val="20"/>
          <w:szCs w:val="20"/>
          <w:lang w:eastAsia="en-GB"/>
        </w:rPr>
        <w:t>In this case,</w:t>
      </w:r>
      <w:r w:rsidRPr="00FD5A02">
        <w:rPr>
          <w:color w:val="000000"/>
          <w:sz w:val="20"/>
          <w:szCs w:val="20"/>
          <w:lang w:eastAsia="en-GB"/>
        </w:rPr>
        <w:t xml:space="preserve"> </w:t>
      </w:r>
      <w:r w:rsidRPr="00A32BAE">
        <w:rPr>
          <w:color w:val="000000"/>
          <w:sz w:val="20"/>
          <w:szCs w:val="20"/>
          <w:lang w:eastAsia="en-GB"/>
        </w:rPr>
        <w:t>the employee who gave Mr Mvulana his instructions has abused his or</w:t>
      </w:r>
      <w:r w:rsidRPr="00FD5A02">
        <w:rPr>
          <w:color w:val="000000"/>
          <w:sz w:val="20"/>
          <w:szCs w:val="20"/>
          <w:lang w:eastAsia="en-GB"/>
        </w:rPr>
        <w:t xml:space="preserve"> </w:t>
      </w:r>
      <w:r w:rsidRPr="00A32BAE">
        <w:rPr>
          <w:color w:val="000000"/>
          <w:sz w:val="20"/>
          <w:szCs w:val="20"/>
          <w:lang w:eastAsia="en-GB"/>
        </w:rPr>
        <w:t>her position of power.</w:t>
      </w:r>
      <w:r w:rsidRPr="00FD5A02">
        <w:rPr>
          <w:color w:val="000000"/>
          <w:sz w:val="20"/>
          <w:szCs w:val="20"/>
          <w:lang w:eastAsia="en-GB"/>
        </w:rPr>
        <w:t>”</w:t>
      </w:r>
      <w:r w:rsidR="009410FB">
        <w:rPr>
          <w:color w:val="000000"/>
          <w:sz w:val="20"/>
          <w:szCs w:val="20"/>
          <w:lang w:eastAsia="en-GB"/>
        </w:rPr>
        <w:t xml:space="preserve"> </w:t>
      </w:r>
    </w:p>
    <w:p w14:paraId="4EF8C56C" w14:textId="14D71D6F" w:rsidR="00471E08" w:rsidRPr="00471E08" w:rsidRDefault="00471E08" w:rsidP="00471E08"/>
    <w:p w14:paraId="7DE6FA80" w14:textId="31D869BF" w:rsidR="007E5116" w:rsidRDefault="007E5116" w:rsidP="004B29ED">
      <w:pPr>
        <w:pStyle w:val="NUM1"/>
        <w:numPr>
          <w:ilvl w:val="0"/>
          <w:numId w:val="1"/>
        </w:numPr>
        <w:tabs>
          <w:tab w:val="clear" w:pos="720"/>
          <w:tab w:val="num" w:pos="567"/>
        </w:tabs>
        <w:ind w:left="567" w:hanging="567"/>
      </w:pPr>
      <w:r>
        <w:t xml:space="preserve">Such </w:t>
      </w:r>
      <w:r w:rsidR="00584EC9">
        <w:t>o</w:t>
      </w:r>
      <w:r w:rsidR="002A7C94">
        <w:t xml:space="preserve">bjurgation is appropriate in this case.  Had the defendant properly prepared its case, a multi-day trial, and the costs consequent thereon could have been </w:t>
      </w:r>
      <w:r w:rsidR="00930B49">
        <w:t>wholly</w:t>
      </w:r>
      <w:r w:rsidR="00584EC9">
        <w:t xml:space="preserve"> avoided</w:t>
      </w:r>
      <w:r w:rsidR="002A7C94">
        <w:t>.</w:t>
      </w:r>
      <w:r w:rsidR="00220AEB">
        <w:t xml:space="preserve">  The use of public funds could have been </w:t>
      </w:r>
      <w:r w:rsidR="00942020">
        <w:t xml:space="preserve">better </w:t>
      </w:r>
      <w:r w:rsidR="00220AEB">
        <w:t>utilised by the defendant acquainting itself with the facts and legal principles</w:t>
      </w:r>
      <w:r w:rsidR="00B77A09">
        <w:t xml:space="preserve"> and making a proper, sensible offer to the plaintiff</w:t>
      </w:r>
      <w:r w:rsidR="00B57958">
        <w:t>, rather</w:t>
      </w:r>
      <w:r w:rsidR="00220AEB">
        <w:t xml:space="preserve"> than unnecessarily persisting in a trial in order to test the plaintiff’s experts’ evidence</w:t>
      </w:r>
      <w:r w:rsidR="00B57958">
        <w:t>,</w:t>
      </w:r>
      <w:r w:rsidR="00220AEB">
        <w:t xml:space="preserve"> by advancing an unsustainable </w:t>
      </w:r>
      <w:r w:rsidR="00B77A09">
        <w:t xml:space="preserve">case </w:t>
      </w:r>
      <w:r w:rsidR="00220AEB">
        <w:t>and wholly speculative line of questioning.</w:t>
      </w:r>
      <w:r w:rsidR="00B57958">
        <w:t xml:space="preserve"> </w:t>
      </w:r>
    </w:p>
    <w:p w14:paraId="141788A0" w14:textId="65E12E7A" w:rsidR="002A7C94" w:rsidRDefault="002A7C94" w:rsidP="002A7C94"/>
    <w:p w14:paraId="0AC0DBAF" w14:textId="27C4F619" w:rsidR="002A7C94" w:rsidRPr="002A7C94" w:rsidRDefault="002A7C94" w:rsidP="00687356">
      <w:pPr>
        <w:keepNext/>
        <w:rPr>
          <w:b/>
          <w:bCs/>
          <w:u w:val="single"/>
        </w:rPr>
      </w:pPr>
      <w:r w:rsidRPr="002A7C94">
        <w:rPr>
          <w:b/>
          <w:bCs/>
          <w:u w:val="single"/>
        </w:rPr>
        <w:lastRenderedPageBreak/>
        <w:t>Conclusion</w:t>
      </w:r>
    </w:p>
    <w:p w14:paraId="7E8A9ED0" w14:textId="26FB9BA8" w:rsidR="002A7C94" w:rsidRDefault="002A7C94" w:rsidP="00687356">
      <w:pPr>
        <w:keepNext/>
      </w:pPr>
    </w:p>
    <w:p w14:paraId="03AB8E08" w14:textId="77777777" w:rsidR="00540AE7" w:rsidRDefault="002A7C94" w:rsidP="00687356">
      <w:pPr>
        <w:pStyle w:val="NUM1"/>
        <w:keepNext/>
        <w:numPr>
          <w:ilvl w:val="0"/>
          <w:numId w:val="1"/>
        </w:numPr>
        <w:tabs>
          <w:tab w:val="clear" w:pos="720"/>
          <w:tab w:val="num" w:pos="567"/>
        </w:tabs>
        <w:ind w:left="567" w:hanging="567"/>
      </w:pPr>
      <w:r w:rsidRPr="001614F0">
        <w:t xml:space="preserve">In the circumstances, </w:t>
      </w:r>
      <w:r w:rsidR="00540AE7">
        <w:t xml:space="preserve">I find </w:t>
      </w:r>
      <w:r w:rsidRPr="001614F0">
        <w:t>that</w:t>
      </w:r>
      <w:r w:rsidR="00220AEB">
        <w:t>:</w:t>
      </w:r>
      <w:r w:rsidRPr="001614F0">
        <w:t xml:space="preserve"> </w:t>
      </w:r>
    </w:p>
    <w:p w14:paraId="7C167EC9" w14:textId="77777777" w:rsidR="00540AE7" w:rsidRDefault="00540AE7" w:rsidP="00540AE7">
      <w:pPr>
        <w:pStyle w:val="NUM1"/>
        <w:numPr>
          <w:ilvl w:val="0"/>
          <w:numId w:val="0"/>
        </w:numPr>
        <w:ind w:left="567"/>
      </w:pPr>
    </w:p>
    <w:p w14:paraId="4B31AA3A" w14:textId="77777777" w:rsidR="00540AE7" w:rsidRDefault="002A7C94" w:rsidP="00540AE7">
      <w:pPr>
        <w:pStyle w:val="NUM2"/>
        <w:tabs>
          <w:tab w:val="clear" w:pos="1701"/>
          <w:tab w:val="num" w:pos="1418"/>
        </w:tabs>
        <w:ind w:left="1418" w:hanging="851"/>
      </w:pPr>
      <w:r w:rsidRPr="001614F0">
        <w:t>the plaintiff has proved a past loss of earnings in the amount of R40 230.00, and the value of her income, but for the accident, to be R10 869 410</w:t>
      </w:r>
      <w:r w:rsidRPr="00540AE7">
        <w:rPr>
          <w:bCs/>
        </w:rPr>
        <w:t>.</w:t>
      </w:r>
      <w:r w:rsidRPr="001614F0">
        <w:t>00, and the value of the income having regard to the accident to be R1 930 610.00</w:t>
      </w:r>
      <w:r>
        <w:t>;</w:t>
      </w:r>
      <w:r w:rsidR="00540AE7">
        <w:t xml:space="preserve"> </w:t>
      </w:r>
    </w:p>
    <w:p w14:paraId="2F24B6A3" w14:textId="77777777" w:rsidR="00540AE7" w:rsidRDefault="00540AE7" w:rsidP="00540AE7">
      <w:pPr>
        <w:pStyle w:val="NUM2"/>
        <w:numPr>
          <w:ilvl w:val="0"/>
          <w:numId w:val="0"/>
        </w:numPr>
        <w:ind w:left="1418"/>
      </w:pPr>
    </w:p>
    <w:p w14:paraId="1D852D35" w14:textId="64B46654" w:rsidR="002A7C94" w:rsidRDefault="002A7C94" w:rsidP="00540AE7">
      <w:pPr>
        <w:pStyle w:val="NUM2"/>
        <w:tabs>
          <w:tab w:val="clear" w:pos="1701"/>
          <w:tab w:val="num" w:pos="1418"/>
        </w:tabs>
        <w:ind w:left="1418" w:hanging="851"/>
      </w:pPr>
      <w:r w:rsidRPr="001614F0">
        <w:t xml:space="preserve">it </w:t>
      </w:r>
      <w:r w:rsidR="000B1E53">
        <w:t xml:space="preserve">is </w:t>
      </w:r>
      <w:r w:rsidRPr="001614F0">
        <w:t xml:space="preserve">appropriate that a 5% contingency be applied to the plaintiff’s claim for past loss of earnings, a 20% contingency to be applied to the value of the plaintiff’s income, but for the accident, and a 25% contingency to the value of the plaintiff’s income, regard being had to the accident. </w:t>
      </w:r>
    </w:p>
    <w:p w14:paraId="3642F57C" w14:textId="77777777" w:rsidR="002C6D9E" w:rsidRPr="001614F0" w:rsidRDefault="002C6D9E"/>
    <w:p w14:paraId="1B631421" w14:textId="62209EE1" w:rsidR="00984434" w:rsidRPr="001614F0" w:rsidRDefault="00984434" w:rsidP="004B29ED">
      <w:pPr>
        <w:pStyle w:val="NUM1"/>
        <w:numPr>
          <w:ilvl w:val="0"/>
          <w:numId w:val="1"/>
        </w:numPr>
        <w:tabs>
          <w:tab w:val="clear" w:pos="720"/>
          <w:tab w:val="num" w:pos="567"/>
        </w:tabs>
        <w:ind w:left="567" w:hanging="567"/>
      </w:pPr>
      <w:r w:rsidRPr="001614F0">
        <w:t>In the result</w:t>
      </w:r>
      <w:r w:rsidR="007E1107" w:rsidRPr="001614F0">
        <w:t>,</w:t>
      </w:r>
      <w:r w:rsidRPr="001614F0">
        <w:t xml:space="preserve"> it is ordered</w:t>
      </w:r>
      <w:r w:rsidR="008E7228">
        <w:t xml:space="preserve"> that</w:t>
      </w:r>
      <w:r w:rsidRPr="001614F0">
        <w:t>:</w:t>
      </w:r>
      <w:r w:rsidR="007E1107" w:rsidRPr="001614F0">
        <w:t xml:space="preserve"> </w:t>
      </w:r>
    </w:p>
    <w:p w14:paraId="4D0596DC" w14:textId="77777777" w:rsidR="00984434" w:rsidRPr="001614F0" w:rsidRDefault="00984434" w:rsidP="001614F0"/>
    <w:p w14:paraId="6A794BDD" w14:textId="1AB7B8BC" w:rsidR="00984434" w:rsidRPr="001614F0" w:rsidRDefault="00984434" w:rsidP="004B29ED">
      <w:pPr>
        <w:pStyle w:val="NUM2"/>
        <w:numPr>
          <w:ilvl w:val="1"/>
          <w:numId w:val="1"/>
        </w:numPr>
        <w:tabs>
          <w:tab w:val="clear" w:pos="1701"/>
          <w:tab w:val="num" w:pos="1418"/>
        </w:tabs>
        <w:ind w:left="1418" w:hanging="851"/>
      </w:pPr>
      <w:r w:rsidRPr="001614F0">
        <w:t xml:space="preserve">The </w:t>
      </w:r>
      <w:r w:rsidR="00D11CAE" w:rsidRPr="001614F0">
        <w:t>d</w:t>
      </w:r>
      <w:r w:rsidRPr="001614F0">
        <w:t xml:space="preserve">efendant shall pay to the </w:t>
      </w:r>
      <w:r w:rsidR="00D11CAE" w:rsidRPr="001614F0">
        <w:t>p</w:t>
      </w:r>
      <w:r w:rsidRPr="001614F0">
        <w:t>laintiff the sum of R</w:t>
      </w:r>
      <w:r w:rsidR="006D775F" w:rsidRPr="001614F0">
        <w:t>8 035 789.00</w:t>
      </w:r>
      <w:r w:rsidRPr="001614F0">
        <w:t xml:space="preserve"> within 180</w:t>
      </w:r>
      <w:r w:rsidR="008E7228">
        <w:t> </w:t>
      </w:r>
      <w:r w:rsidRPr="001614F0">
        <w:t xml:space="preserve">days hereof, in respect of the </w:t>
      </w:r>
      <w:r w:rsidR="00D11CAE" w:rsidRPr="001614F0">
        <w:t>p</w:t>
      </w:r>
      <w:r w:rsidRPr="001614F0">
        <w:t xml:space="preserve">laintiff's claim against the </w:t>
      </w:r>
      <w:r w:rsidR="00D11CAE" w:rsidRPr="001614F0">
        <w:t>d</w:t>
      </w:r>
      <w:r w:rsidRPr="001614F0">
        <w:t>efendant for the following heads of damages:</w:t>
      </w:r>
      <w:r w:rsidR="00511928" w:rsidRPr="001614F0">
        <w:t xml:space="preserve"> </w:t>
      </w:r>
    </w:p>
    <w:p w14:paraId="4A60443C" w14:textId="77777777" w:rsidR="00984434" w:rsidRPr="001614F0" w:rsidRDefault="00984434" w:rsidP="001614F0"/>
    <w:p w14:paraId="6A26A1AA" w14:textId="1536D047" w:rsidR="00984434" w:rsidRPr="001614F0" w:rsidRDefault="00984434" w:rsidP="00E54513">
      <w:pPr>
        <w:pStyle w:val="NUM3"/>
        <w:numPr>
          <w:ilvl w:val="2"/>
          <w:numId w:val="1"/>
        </w:numPr>
        <w:tabs>
          <w:tab w:val="clear" w:pos="2835"/>
          <w:tab w:val="num" w:pos="2552"/>
        </w:tabs>
        <w:ind w:left="2552"/>
      </w:pPr>
      <w:r w:rsidRPr="001614F0">
        <w:t>past and future loss of earnings/earning capacity R</w:t>
      </w:r>
      <w:r w:rsidR="006D775F" w:rsidRPr="001614F0">
        <w:t>7 285 789.00</w:t>
      </w:r>
      <w:r w:rsidRPr="001614F0">
        <w:t>;</w:t>
      </w:r>
      <w:r w:rsidR="00E94A13" w:rsidRPr="001614F0">
        <w:t xml:space="preserve"> </w:t>
      </w:r>
    </w:p>
    <w:p w14:paraId="6714D7DD" w14:textId="77777777" w:rsidR="00984434" w:rsidRPr="001614F0" w:rsidRDefault="00984434"/>
    <w:p w14:paraId="25AA22B6" w14:textId="72E0EE4F" w:rsidR="00984434" w:rsidRPr="001614F0" w:rsidRDefault="00984434" w:rsidP="004B29ED">
      <w:pPr>
        <w:pStyle w:val="NUM3"/>
        <w:numPr>
          <w:ilvl w:val="2"/>
          <w:numId w:val="1"/>
        </w:numPr>
        <w:tabs>
          <w:tab w:val="clear" w:pos="2835"/>
          <w:tab w:val="num" w:pos="2552"/>
        </w:tabs>
        <w:ind w:left="2552"/>
      </w:pPr>
      <w:r w:rsidRPr="001614F0">
        <w:t xml:space="preserve">general damages </w:t>
      </w:r>
      <w:r w:rsidR="002C6D9E" w:rsidRPr="001614F0">
        <w:t>of</w:t>
      </w:r>
      <w:r w:rsidRPr="001614F0">
        <w:t xml:space="preserve"> R750</w:t>
      </w:r>
      <w:r w:rsidR="0092266C" w:rsidRPr="001614F0">
        <w:t> </w:t>
      </w:r>
      <w:r w:rsidRPr="001614F0">
        <w:t>000.00.</w:t>
      </w:r>
      <w:r w:rsidR="0092266C" w:rsidRPr="001614F0">
        <w:t xml:space="preserve"> </w:t>
      </w:r>
    </w:p>
    <w:p w14:paraId="0B026967" w14:textId="77777777" w:rsidR="00984434" w:rsidRPr="001614F0" w:rsidRDefault="00984434" w:rsidP="001614F0"/>
    <w:p w14:paraId="76923A41" w14:textId="4419A808" w:rsidR="00984434" w:rsidRPr="001614F0" w:rsidRDefault="00984434">
      <w:pPr>
        <w:pStyle w:val="NUM2"/>
        <w:numPr>
          <w:ilvl w:val="1"/>
          <w:numId w:val="1"/>
        </w:numPr>
        <w:tabs>
          <w:tab w:val="clear" w:pos="1701"/>
          <w:tab w:val="num" w:pos="1418"/>
        </w:tabs>
        <w:ind w:left="1418" w:hanging="851"/>
      </w:pPr>
      <w:r w:rsidRPr="001614F0">
        <w:lastRenderedPageBreak/>
        <w:t xml:space="preserve">In the event of the aforesaid amount not being paid timeously, the </w:t>
      </w:r>
      <w:r w:rsidR="00D11CAE" w:rsidRPr="001614F0">
        <w:t>d</w:t>
      </w:r>
      <w:r w:rsidRPr="001614F0">
        <w:t>efendant shall be liable for interest on the amount at the maximum rate prescribed by law, calculated from the 181</w:t>
      </w:r>
      <w:r w:rsidRPr="004B29ED">
        <w:rPr>
          <w:vertAlign w:val="superscript"/>
        </w:rPr>
        <w:t>st</w:t>
      </w:r>
      <w:r w:rsidR="00576744" w:rsidRPr="001614F0">
        <w:t xml:space="preserve"> </w:t>
      </w:r>
      <w:r w:rsidRPr="00E54513">
        <w:t xml:space="preserve">calendar day after the date of this order to date of payment. </w:t>
      </w:r>
    </w:p>
    <w:p w14:paraId="62D1C566" w14:textId="77777777" w:rsidR="00984434" w:rsidRPr="001614F0" w:rsidRDefault="00984434"/>
    <w:p w14:paraId="248EC893" w14:textId="08DAA677" w:rsidR="00984434" w:rsidRPr="001614F0" w:rsidRDefault="00984434">
      <w:pPr>
        <w:pStyle w:val="NUM1"/>
        <w:numPr>
          <w:ilvl w:val="0"/>
          <w:numId w:val="1"/>
        </w:numPr>
        <w:tabs>
          <w:tab w:val="clear" w:pos="720"/>
          <w:tab w:val="num" w:pos="567"/>
        </w:tabs>
        <w:ind w:left="567" w:hanging="567"/>
      </w:pPr>
      <w:r w:rsidRPr="001614F0">
        <w:t xml:space="preserve">The </w:t>
      </w:r>
      <w:r w:rsidR="00D11CAE" w:rsidRPr="001614F0">
        <w:t>d</w:t>
      </w:r>
      <w:r w:rsidRPr="001614F0">
        <w:t xml:space="preserve">efendant shall furnish the </w:t>
      </w:r>
      <w:r w:rsidR="00D11CAE" w:rsidRPr="001614F0">
        <w:t>p</w:t>
      </w:r>
      <w:r w:rsidRPr="001614F0">
        <w:t>laintiff with an undertaking in terms of section 17(4)(a) of Act 56 of 1996</w:t>
      </w:r>
      <w:r w:rsidR="00321685" w:rsidRPr="001614F0">
        <w:t>,</w:t>
      </w:r>
      <w:r w:rsidRPr="001614F0">
        <w:t xml:space="preserve"> for payment of 100% of the costs of future accommodation f</w:t>
      </w:r>
      <w:r w:rsidR="00BB605F">
        <w:t>or</w:t>
      </w:r>
      <w:r w:rsidRPr="001614F0">
        <w:t xml:space="preserve"> the </w:t>
      </w:r>
      <w:r w:rsidR="00D11CAE" w:rsidRPr="001614F0">
        <w:t>p</w:t>
      </w:r>
      <w:r w:rsidRPr="001614F0">
        <w:t xml:space="preserve">laintiff in hospital or </w:t>
      </w:r>
      <w:r w:rsidR="00BB605F">
        <w:t xml:space="preserve">a </w:t>
      </w:r>
      <w:r w:rsidRPr="001614F0">
        <w:t>nursing home</w:t>
      </w:r>
      <w:r w:rsidR="00321685" w:rsidRPr="001614F0">
        <w:t>,</w:t>
      </w:r>
      <w:r w:rsidRPr="001614F0">
        <w:t xml:space="preserve"> or treatment of or rendering of a service</w:t>
      </w:r>
      <w:r w:rsidR="00321685" w:rsidRPr="001614F0">
        <w:t>,</w:t>
      </w:r>
      <w:r w:rsidRPr="001614F0">
        <w:t xml:space="preserve"> or supplying of goods to the </w:t>
      </w:r>
      <w:r w:rsidR="00D11CAE" w:rsidRPr="001614F0">
        <w:t>p</w:t>
      </w:r>
      <w:r w:rsidRPr="001614F0">
        <w:t xml:space="preserve">laintiff resulting from the motor vehicle accident that occurred on 14 February 2018, to compensate the </w:t>
      </w:r>
      <w:r w:rsidR="00D11CAE" w:rsidRPr="001614F0">
        <w:t>p</w:t>
      </w:r>
      <w:r w:rsidRPr="001614F0">
        <w:t>laintiff in respect of these costs after the costs had been incurred and upon proof thereof.</w:t>
      </w:r>
      <w:r w:rsidR="00321685" w:rsidRPr="001614F0">
        <w:t xml:space="preserve"> </w:t>
      </w:r>
    </w:p>
    <w:p w14:paraId="14B1862C" w14:textId="77777777" w:rsidR="00984434" w:rsidRPr="001614F0" w:rsidRDefault="00984434" w:rsidP="004B29ED">
      <w:pPr>
        <w:tabs>
          <w:tab w:val="num" w:pos="567"/>
        </w:tabs>
        <w:ind w:left="567" w:hanging="567"/>
      </w:pPr>
    </w:p>
    <w:p w14:paraId="7975067F" w14:textId="0F1870B4" w:rsidR="00984434" w:rsidRPr="001614F0" w:rsidRDefault="00984434" w:rsidP="004B29ED">
      <w:pPr>
        <w:pStyle w:val="NUM1"/>
        <w:numPr>
          <w:ilvl w:val="0"/>
          <w:numId w:val="1"/>
        </w:numPr>
        <w:tabs>
          <w:tab w:val="clear" w:pos="720"/>
          <w:tab w:val="num" w:pos="567"/>
        </w:tabs>
        <w:ind w:left="567" w:hanging="567"/>
      </w:pPr>
      <w:r w:rsidRPr="001614F0">
        <w:t xml:space="preserve">The </w:t>
      </w:r>
      <w:r w:rsidR="00D11CAE" w:rsidRPr="001614F0">
        <w:t>d</w:t>
      </w:r>
      <w:r w:rsidRPr="001614F0">
        <w:t xml:space="preserve">efendant shall pay the </w:t>
      </w:r>
      <w:r w:rsidR="00D11CAE" w:rsidRPr="001614F0">
        <w:t>p</w:t>
      </w:r>
      <w:r w:rsidRPr="001614F0">
        <w:t xml:space="preserve">laintiff's taxed or agreed party and party costs, on the High Court scale, in respect of both the merits and </w:t>
      </w:r>
      <w:r w:rsidR="004A4176" w:rsidRPr="001614F0">
        <w:t xml:space="preserve">the </w:t>
      </w:r>
      <w:r w:rsidRPr="001614F0">
        <w:t xml:space="preserve">quantum, up to and including 29 July 2022, and notwithstanding, over and above the costs referred to in paragraph </w:t>
      </w:r>
      <w:r w:rsidR="001C2192">
        <w:t>92.2</w:t>
      </w:r>
      <w:r w:rsidRPr="001614F0">
        <w:t xml:space="preserve"> below</w:t>
      </w:r>
      <w:r w:rsidR="004A4176" w:rsidRPr="001614F0">
        <w:t>,</w:t>
      </w:r>
      <w:r w:rsidRPr="001614F0">
        <w:t xml:space="preserve"> subject thereto that:</w:t>
      </w:r>
      <w:r w:rsidR="004A4176" w:rsidRPr="001614F0">
        <w:t xml:space="preserve"> </w:t>
      </w:r>
    </w:p>
    <w:p w14:paraId="19871F0A" w14:textId="77777777" w:rsidR="00984434" w:rsidRPr="001614F0" w:rsidRDefault="00984434" w:rsidP="001614F0"/>
    <w:p w14:paraId="6FBE817F" w14:textId="1EBB44C1" w:rsidR="00984434" w:rsidRPr="001614F0" w:rsidRDefault="00984434" w:rsidP="004B29ED">
      <w:pPr>
        <w:pStyle w:val="NUM2"/>
        <w:numPr>
          <w:ilvl w:val="1"/>
          <w:numId w:val="1"/>
        </w:numPr>
        <w:tabs>
          <w:tab w:val="clear" w:pos="1701"/>
          <w:tab w:val="num" w:pos="1418"/>
        </w:tabs>
        <w:ind w:left="1418" w:hanging="851"/>
      </w:pPr>
      <w:r w:rsidRPr="001614F0">
        <w:t>In the event</w:t>
      </w:r>
      <w:r w:rsidR="00BB605F">
        <w:t xml:space="preserve"> that</w:t>
      </w:r>
      <w:r w:rsidR="00BB605F" w:rsidRPr="001614F0">
        <w:t xml:space="preserve"> </w:t>
      </w:r>
      <w:r w:rsidRPr="001614F0">
        <w:t>the costs are not agreed:</w:t>
      </w:r>
      <w:r w:rsidR="004A4176" w:rsidRPr="001614F0">
        <w:t xml:space="preserve"> </w:t>
      </w:r>
    </w:p>
    <w:p w14:paraId="7A7ACE2F" w14:textId="77777777" w:rsidR="00984434" w:rsidRPr="001614F0" w:rsidRDefault="00984434" w:rsidP="001614F0"/>
    <w:p w14:paraId="5444D463" w14:textId="22C5429F" w:rsidR="00984434" w:rsidRPr="001614F0" w:rsidRDefault="00984434" w:rsidP="004B29ED">
      <w:pPr>
        <w:pStyle w:val="NUM3"/>
        <w:numPr>
          <w:ilvl w:val="2"/>
          <w:numId w:val="1"/>
        </w:numPr>
        <w:tabs>
          <w:tab w:val="clear" w:pos="2835"/>
          <w:tab w:val="left" w:pos="2552"/>
        </w:tabs>
        <w:ind w:left="2552"/>
      </w:pPr>
      <w:r w:rsidRPr="001614F0">
        <w:t xml:space="preserve">the </w:t>
      </w:r>
      <w:r w:rsidR="00D11CAE" w:rsidRPr="001614F0">
        <w:t>p</w:t>
      </w:r>
      <w:r w:rsidRPr="001614F0">
        <w:t xml:space="preserve">laintiff shall serve a notice of taxation on the </w:t>
      </w:r>
      <w:r w:rsidR="00D11CAE" w:rsidRPr="001614F0">
        <w:t>d</w:t>
      </w:r>
      <w:r w:rsidRPr="001614F0">
        <w:t>efendant's attorneys of record;</w:t>
      </w:r>
      <w:r w:rsidR="00D52D7F" w:rsidRPr="001614F0">
        <w:t xml:space="preserve"> </w:t>
      </w:r>
    </w:p>
    <w:p w14:paraId="6F94C8C8" w14:textId="77777777" w:rsidR="00984434" w:rsidRPr="001614F0" w:rsidRDefault="00984434" w:rsidP="001614F0"/>
    <w:p w14:paraId="39E7934C" w14:textId="0C0ADBCD" w:rsidR="00984434" w:rsidRPr="001614F0" w:rsidRDefault="00984434" w:rsidP="004B29ED">
      <w:pPr>
        <w:pStyle w:val="NUM3"/>
        <w:numPr>
          <w:ilvl w:val="2"/>
          <w:numId w:val="1"/>
        </w:numPr>
        <w:tabs>
          <w:tab w:val="clear" w:pos="2835"/>
          <w:tab w:val="num" w:pos="2552"/>
        </w:tabs>
        <w:ind w:left="2552"/>
      </w:pPr>
      <w:r w:rsidRPr="001614F0">
        <w:t xml:space="preserve">the </w:t>
      </w:r>
      <w:r w:rsidR="00D11CAE" w:rsidRPr="001614F0">
        <w:t>p</w:t>
      </w:r>
      <w:r w:rsidRPr="001614F0">
        <w:t xml:space="preserve">laintiff shall allow the </w:t>
      </w:r>
      <w:r w:rsidR="00D11CAE" w:rsidRPr="001614F0">
        <w:t>d</w:t>
      </w:r>
      <w:r w:rsidRPr="001614F0">
        <w:t xml:space="preserve">efendant on 180 days from the date of </w:t>
      </w:r>
      <w:r w:rsidRPr="001614F0">
        <w:rPr>
          <w:i/>
          <w:iCs/>
        </w:rPr>
        <w:t>allocatu</w:t>
      </w:r>
      <w:r w:rsidRPr="001614F0">
        <w:t>r to make payment of the taxed costs; and</w:t>
      </w:r>
      <w:r w:rsidR="00D52D7F" w:rsidRPr="001614F0">
        <w:t xml:space="preserve"> </w:t>
      </w:r>
    </w:p>
    <w:p w14:paraId="040AA128" w14:textId="77777777" w:rsidR="00984434" w:rsidRPr="001614F0" w:rsidRDefault="00984434" w:rsidP="004B29ED">
      <w:pPr>
        <w:tabs>
          <w:tab w:val="num" w:pos="2552"/>
        </w:tabs>
        <w:ind w:left="2552" w:hanging="1134"/>
      </w:pPr>
    </w:p>
    <w:p w14:paraId="26D52724" w14:textId="3210AFC4" w:rsidR="00984434" w:rsidRPr="001614F0" w:rsidRDefault="00984434" w:rsidP="004B29ED">
      <w:pPr>
        <w:pStyle w:val="NUM3"/>
        <w:numPr>
          <w:ilvl w:val="2"/>
          <w:numId w:val="1"/>
        </w:numPr>
        <w:tabs>
          <w:tab w:val="clear" w:pos="2835"/>
          <w:tab w:val="num" w:pos="2552"/>
        </w:tabs>
        <w:ind w:left="2552"/>
      </w:pPr>
      <w:r w:rsidRPr="001614F0">
        <w:t xml:space="preserve">should payment not be </w:t>
      </w:r>
      <w:r w:rsidR="003F2723">
        <w:t>e</w:t>
      </w:r>
      <w:r w:rsidRPr="001614F0">
        <w:t xml:space="preserve">ffected timeously, the </w:t>
      </w:r>
      <w:r w:rsidR="00D11CAE" w:rsidRPr="001614F0">
        <w:t>p</w:t>
      </w:r>
      <w:r w:rsidRPr="001614F0">
        <w:t>laintiff shall be entitled to recover interest at the maximum rate prescribed by law</w:t>
      </w:r>
      <w:r w:rsidR="008B670B" w:rsidRPr="001614F0">
        <w:t>,</w:t>
      </w:r>
      <w:r w:rsidRPr="001614F0">
        <w:t xml:space="preserve"> on the taxed or agreed costs</w:t>
      </w:r>
      <w:r w:rsidR="008B670B" w:rsidRPr="001614F0">
        <w:t>,</w:t>
      </w:r>
      <w:r w:rsidRPr="001614F0">
        <w:t xml:space="preserve"> from the 180</w:t>
      </w:r>
      <w:r w:rsidRPr="004B29ED">
        <w:rPr>
          <w:vertAlign w:val="superscript"/>
        </w:rPr>
        <w:t>t</w:t>
      </w:r>
      <w:r w:rsidR="008B670B" w:rsidRPr="004B29ED">
        <w:rPr>
          <w:vertAlign w:val="superscript"/>
        </w:rPr>
        <w:t>h</w:t>
      </w:r>
      <w:r w:rsidR="008B670B" w:rsidRPr="001614F0">
        <w:t xml:space="preserve"> </w:t>
      </w:r>
      <w:r w:rsidRPr="00E54513">
        <w:t xml:space="preserve">day from the date of </w:t>
      </w:r>
      <w:r w:rsidRPr="001614F0">
        <w:rPr>
          <w:i/>
          <w:iCs/>
        </w:rPr>
        <w:t>allocatur</w:t>
      </w:r>
      <w:r w:rsidRPr="001614F0">
        <w:t xml:space="preserve"> to the date of final payment.</w:t>
      </w:r>
      <w:r w:rsidR="008B670B" w:rsidRPr="001614F0">
        <w:t xml:space="preserve"> </w:t>
      </w:r>
    </w:p>
    <w:p w14:paraId="5A4B5EFA" w14:textId="77777777" w:rsidR="00984434" w:rsidRPr="001614F0" w:rsidRDefault="00984434" w:rsidP="001614F0"/>
    <w:p w14:paraId="188780ED" w14:textId="2174E294" w:rsidR="00984434" w:rsidRPr="001614F0" w:rsidRDefault="00984434" w:rsidP="00E54513">
      <w:pPr>
        <w:pStyle w:val="NUM2"/>
        <w:keepNext/>
        <w:numPr>
          <w:ilvl w:val="1"/>
          <w:numId w:val="1"/>
        </w:numPr>
        <w:tabs>
          <w:tab w:val="clear" w:pos="1701"/>
          <w:tab w:val="num" w:pos="1418"/>
        </w:tabs>
        <w:ind w:left="1418" w:hanging="851"/>
      </w:pPr>
      <w:r w:rsidRPr="001614F0">
        <w:t>The costs referred to above shall include, as allowing by the Taxing Master:</w:t>
      </w:r>
      <w:r w:rsidR="00441BD6" w:rsidRPr="001614F0">
        <w:t xml:space="preserve"> </w:t>
      </w:r>
    </w:p>
    <w:p w14:paraId="2169D15A" w14:textId="77777777" w:rsidR="00984434" w:rsidRPr="001614F0" w:rsidRDefault="00984434">
      <w:pPr>
        <w:keepNext/>
      </w:pPr>
    </w:p>
    <w:p w14:paraId="73912795" w14:textId="2BB2E4FC" w:rsidR="00984434" w:rsidRPr="001614F0" w:rsidRDefault="00984434" w:rsidP="004B29ED">
      <w:pPr>
        <w:pStyle w:val="NUM3"/>
        <w:numPr>
          <w:ilvl w:val="2"/>
          <w:numId w:val="1"/>
        </w:numPr>
        <w:tabs>
          <w:tab w:val="clear" w:pos="2835"/>
          <w:tab w:val="left" w:pos="2552"/>
        </w:tabs>
        <w:ind w:left="2552"/>
      </w:pPr>
      <w:r w:rsidRPr="001614F0">
        <w:t>the costs incurred in obtaining payment of the amounts mentioned in paragraphs </w:t>
      </w:r>
      <w:r w:rsidR="008239C8">
        <w:t>9</w:t>
      </w:r>
      <w:r w:rsidR="001C2192">
        <w:t>0.1</w:t>
      </w:r>
      <w:r w:rsidR="00612C7B">
        <w:t>,</w:t>
      </w:r>
      <w:r w:rsidRPr="001614F0">
        <w:t xml:space="preserve"> </w:t>
      </w:r>
      <w:r w:rsidR="008239C8" w:rsidRPr="008239C8">
        <w:t>9</w:t>
      </w:r>
      <w:r w:rsidR="001C2192">
        <w:t>1</w:t>
      </w:r>
      <w:r w:rsidR="00612C7B">
        <w:t xml:space="preserve"> and 92</w:t>
      </w:r>
      <w:r w:rsidR="003F2723">
        <w:t xml:space="preserve"> </w:t>
      </w:r>
      <w:r w:rsidRPr="001614F0">
        <w:t>above;</w:t>
      </w:r>
      <w:r w:rsidR="00827B5D" w:rsidRPr="001614F0">
        <w:t xml:space="preserve"> </w:t>
      </w:r>
    </w:p>
    <w:p w14:paraId="22A880AF" w14:textId="77777777" w:rsidR="00984434" w:rsidRPr="001614F0" w:rsidRDefault="00984434" w:rsidP="004B29ED">
      <w:pPr>
        <w:tabs>
          <w:tab w:val="left" w:pos="2552"/>
        </w:tabs>
        <w:ind w:left="2552" w:hanging="1134"/>
      </w:pPr>
    </w:p>
    <w:p w14:paraId="355D6F4C" w14:textId="5245C581" w:rsidR="00984434" w:rsidRPr="001614F0" w:rsidRDefault="00984434" w:rsidP="004B29ED">
      <w:pPr>
        <w:pStyle w:val="NUM3"/>
        <w:numPr>
          <w:ilvl w:val="2"/>
          <w:numId w:val="1"/>
        </w:numPr>
        <w:tabs>
          <w:tab w:val="clear" w:pos="2835"/>
          <w:tab w:val="left" w:pos="2552"/>
        </w:tabs>
        <w:ind w:left="2552"/>
      </w:pPr>
      <w:r w:rsidRPr="001614F0">
        <w:t>the costs of and consequent to the appointment of counsel, Adv Amelia M</w:t>
      </w:r>
      <w:r w:rsidR="00D11CAE" w:rsidRPr="001614F0">
        <w:t>urray</w:t>
      </w:r>
      <w:r w:rsidRPr="001614F0">
        <w:t xml:space="preserve"> van der Merwe, including but not limited to the following:</w:t>
      </w:r>
      <w:r w:rsidR="00827B5D" w:rsidRPr="001614F0">
        <w:t xml:space="preserve"> </w:t>
      </w:r>
    </w:p>
    <w:p w14:paraId="5C839983" w14:textId="77777777" w:rsidR="00984434" w:rsidRPr="001614F0" w:rsidRDefault="00984434" w:rsidP="001614F0"/>
    <w:p w14:paraId="7541A36C" w14:textId="293A58D9" w:rsidR="00087880" w:rsidRPr="001614F0" w:rsidRDefault="00984434" w:rsidP="004B29ED">
      <w:pPr>
        <w:pStyle w:val="NUM4"/>
        <w:numPr>
          <w:ilvl w:val="3"/>
          <w:numId w:val="1"/>
        </w:numPr>
        <w:tabs>
          <w:tab w:val="left" w:pos="3969"/>
        </w:tabs>
        <w:ind w:left="3969" w:hanging="1417"/>
      </w:pPr>
      <w:r w:rsidRPr="001614F0">
        <w:t>for trial, including, but not limited to counsel's full fee for 26 July, 27 July and 29 July 2022</w:t>
      </w:r>
      <w:r w:rsidR="00390CDB" w:rsidRPr="001614F0">
        <w:t>,</w:t>
      </w:r>
      <w:r w:rsidRPr="001614F0">
        <w:t xml:space="preserve"> and the preparation and reasonable attendance fee of the applicable counsel for attending:</w:t>
      </w:r>
      <w:r w:rsidR="00390CDB" w:rsidRPr="001614F0">
        <w:t xml:space="preserve"> </w:t>
      </w:r>
    </w:p>
    <w:p w14:paraId="6886D6FD" w14:textId="77777777" w:rsidR="00087880" w:rsidRPr="001614F0" w:rsidRDefault="00087880" w:rsidP="004B29ED">
      <w:pPr>
        <w:pStyle w:val="NUM4"/>
        <w:numPr>
          <w:ilvl w:val="0"/>
          <w:numId w:val="0"/>
        </w:numPr>
        <w:tabs>
          <w:tab w:val="left" w:pos="3969"/>
        </w:tabs>
        <w:ind w:left="3969"/>
      </w:pPr>
    </w:p>
    <w:p w14:paraId="05630920" w14:textId="75B792E5" w:rsidR="00392FFD" w:rsidRPr="001614F0" w:rsidRDefault="00CC039A" w:rsidP="004B29ED">
      <w:pPr>
        <w:pStyle w:val="NUM4"/>
        <w:numPr>
          <w:ilvl w:val="4"/>
          <w:numId w:val="1"/>
        </w:numPr>
        <w:tabs>
          <w:tab w:val="left" w:pos="5387"/>
        </w:tabs>
        <w:ind w:left="5387" w:hanging="1418"/>
      </w:pPr>
      <w:r w:rsidRPr="001614F0">
        <w:t xml:space="preserve"> </w:t>
      </w:r>
      <w:r w:rsidR="00984434" w:rsidRPr="001614F0">
        <w:t xml:space="preserve">the interlocutory application to compel the </w:t>
      </w:r>
      <w:r w:rsidR="00D47E68" w:rsidRPr="001614F0">
        <w:t>d</w:t>
      </w:r>
      <w:r w:rsidR="00984434" w:rsidRPr="001614F0">
        <w:t xml:space="preserve">efendant to serve outstanding Medico-Legal Reports (orthopaedic surgeon, educational </w:t>
      </w:r>
      <w:r w:rsidR="00984434" w:rsidRPr="001614F0">
        <w:lastRenderedPageBreak/>
        <w:t>p</w:t>
      </w:r>
      <w:r w:rsidR="00460CDD">
        <w:t>s</w:t>
      </w:r>
      <w:r w:rsidR="00984434" w:rsidRPr="001614F0">
        <w:t>yc</w:t>
      </w:r>
      <w:r w:rsidR="00460CDD">
        <w:t>h</w:t>
      </w:r>
      <w:r w:rsidR="00984434" w:rsidRPr="001614F0">
        <w:t>ologist and clinical p</w:t>
      </w:r>
      <w:r w:rsidR="00460CDD">
        <w:t>s</w:t>
      </w:r>
      <w:r w:rsidR="00984434" w:rsidRPr="001614F0">
        <w:t>yc</w:t>
      </w:r>
      <w:r w:rsidR="00460CDD">
        <w:t>h</w:t>
      </w:r>
      <w:r w:rsidR="00984434" w:rsidRPr="001614F0">
        <w:t>ologist) held on 28 October</w:t>
      </w:r>
      <w:r w:rsidR="002C0D9C" w:rsidRPr="001614F0">
        <w:t xml:space="preserve"> </w:t>
      </w:r>
      <w:r w:rsidR="00984434" w:rsidRPr="001614F0">
        <w:t>2021 (Adv M</w:t>
      </w:r>
      <w:r w:rsidR="00D11CAE" w:rsidRPr="001614F0">
        <w:t>udau briefed on attendance at the interlocutory application</w:t>
      </w:r>
      <w:r w:rsidR="00984434" w:rsidRPr="001614F0">
        <w:t>);</w:t>
      </w:r>
      <w:r w:rsidR="002C0D9C" w:rsidRPr="001614F0">
        <w:t xml:space="preserve"> </w:t>
      </w:r>
      <w:r w:rsidR="00392FFD" w:rsidRPr="001614F0">
        <w:t xml:space="preserve"> </w:t>
      </w:r>
    </w:p>
    <w:p w14:paraId="186DADF7" w14:textId="77777777" w:rsidR="00392FFD" w:rsidRPr="001614F0" w:rsidRDefault="00392FFD" w:rsidP="004B29ED">
      <w:pPr>
        <w:pStyle w:val="NUM4"/>
        <w:numPr>
          <w:ilvl w:val="0"/>
          <w:numId w:val="0"/>
        </w:numPr>
        <w:tabs>
          <w:tab w:val="left" w:pos="5387"/>
        </w:tabs>
        <w:ind w:left="5387"/>
      </w:pPr>
    </w:p>
    <w:p w14:paraId="6F73CE61" w14:textId="0B9F2C21" w:rsidR="00984434" w:rsidRPr="001C04C5" w:rsidRDefault="00392FFD" w:rsidP="004B29ED">
      <w:pPr>
        <w:pStyle w:val="NUM4"/>
        <w:numPr>
          <w:ilvl w:val="4"/>
          <w:numId w:val="1"/>
        </w:numPr>
        <w:tabs>
          <w:tab w:val="left" w:pos="5387"/>
        </w:tabs>
        <w:ind w:left="5387" w:hanging="1418"/>
      </w:pPr>
      <w:r w:rsidRPr="001614F0">
        <w:t xml:space="preserve">the interlocutory application to compel the </w:t>
      </w:r>
      <w:r w:rsidR="00084565">
        <w:t>d</w:t>
      </w:r>
      <w:r w:rsidRPr="001614F0">
        <w:t>efendant to serve outstanding Medico-Legal Reports (orthopaedic surgeon, educational p</w:t>
      </w:r>
      <w:r w:rsidR="00084565">
        <w:t>s</w:t>
      </w:r>
      <w:r w:rsidRPr="001614F0">
        <w:t>yc</w:t>
      </w:r>
      <w:r w:rsidR="00084565">
        <w:t>h</w:t>
      </w:r>
      <w:r w:rsidRPr="001614F0">
        <w:t>ologist and clinical p</w:t>
      </w:r>
      <w:r w:rsidR="00084565">
        <w:t>s</w:t>
      </w:r>
      <w:r w:rsidRPr="001614F0">
        <w:t>yc</w:t>
      </w:r>
      <w:r w:rsidR="00084565">
        <w:t>h</w:t>
      </w:r>
      <w:r w:rsidRPr="001614F0">
        <w:t>ologist) held on 28 October 2021 (Adv Mudau briefed on attendance at the interlocutory application)</w:t>
      </w:r>
      <w:r w:rsidR="001C04C5">
        <w:t>;</w:t>
      </w:r>
      <w:r w:rsidRPr="001C04C5">
        <w:t xml:space="preserve"> </w:t>
      </w:r>
    </w:p>
    <w:p w14:paraId="7697662A" w14:textId="77777777" w:rsidR="00984434" w:rsidRPr="001614F0" w:rsidRDefault="00984434" w:rsidP="004B29ED">
      <w:pPr>
        <w:pStyle w:val="NUM5"/>
        <w:tabs>
          <w:tab w:val="left" w:pos="5387"/>
        </w:tabs>
      </w:pPr>
    </w:p>
    <w:p w14:paraId="29373F89" w14:textId="568D6596" w:rsidR="00984434" w:rsidRPr="001614F0" w:rsidRDefault="00984434" w:rsidP="004B29ED">
      <w:pPr>
        <w:pStyle w:val="NUM5"/>
        <w:numPr>
          <w:ilvl w:val="4"/>
          <w:numId w:val="1"/>
        </w:numPr>
        <w:tabs>
          <w:tab w:val="left" w:pos="5387"/>
        </w:tabs>
        <w:ind w:left="5387" w:hanging="1418"/>
      </w:pPr>
      <w:r w:rsidRPr="001614F0">
        <w:t xml:space="preserve">the interlocutory application to compel the </w:t>
      </w:r>
      <w:r w:rsidR="00A94AC6" w:rsidRPr="001614F0">
        <w:t>d</w:t>
      </w:r>
      <w:r w:rsidRPr="001614F0">
        <w:t>efendant to attend the inter</w:t>
      </w:r>
      <w:r w:rsidRPr="001614F0">
        <w:noBreakHyphen/>
        <w:t>party pre</w:t>
      </w:r>
      <w:r w:rsidRPr="001614F0">
        <w:noBreakHyphen/>
        <w:t xml:space="preserve">trial meeting with the </w:t>
      </w:r>
      <w:r w:rsidR="00A94AC6" w:rsidRPr="001614F0">
        <w:t>p</w:t>
      </w:r>
      <w:r w:rsidRPr="001614F0">
        <w:t>laintiff held on 28 October</w:t>
      </w:r>
      <w:r w:rsidR="00A94AC6" w:rsidRPr="001614F0">
        <w:t xml:space="preserve"> </w:t>
      </w:r>
      <w:r w:rsidRPr="001614F0">
        <w:t>2021 (Adv M</w:t>
      </w:r>
      <w:r w:rsidR="0000607E" w:rsidRPr="001614F0">
        <w:t>u</w:t>
      </w:r>
      <w:r w:rsidRPr="001614F0">
        <w:t xml:space="preserve">dau </w:t>
      </w:r>
      <w:r w:rsidR="00D11CAE" w:rsidRPr="001614F0">
        <w:t>briefed on attendance at the interlocutory application</w:t>
      </w:r>
      <w:r w:rsidRPr="001614F0">
        <w:t>);</w:t>
      </w:r>
      <w:r w:rsidR="00A1207A" w:rsidRPr="001614F0">
        <w:t xml:space="preserve"> </w:t>
      </w:r>
    </w:p>
    <w:p w14:paraId="478D425C" w14:textId="77777777" w:rsidR="00984434" w:rsidRPr="001614F0" w:rsidRDefault="00984434" w:rsidP="001614F0"/>
    <w:p w14:paraId="1137AA3A" w14:textId="6A1EC97D" w:rsidR="00984434" w:rsidRPr="001614F0" w:rsidRDefault="00984434" w:rsidP="00E54513">
      <w:pPr>
        <w:pStyle w:val="NUM5"/>
        <w:numPr>
          <w:ilvl w:val="4"/>
          <w:numId w:val="1"/>
        </w:numPr>
        <w:tabs>
          <w:tab w:val="left" w:pos="5387"/>
        </w:tabs>
        <w:ind w:left="5387" w:hanging="1418"/>
      </w:pPr>
      <w:r w:rsidRPr="001614F0">
        <w:lastRenderedPageBreak/>
        <w:t>the pre</w:t>
      </w:r>
      <w:r w:rsidRPr="001614F0">
        <w:noBreakHyphen/>
        <w:t>trial conference held on 2 November</w:t>
      </w:r>
      <w:r w:rsidR="00A1207A" w:rsidRPr="001614F0">
        <w:t xml:space="preserve"> </w:t>
      </w:r>
      <w:r w:rsidRPr="001614F0">
        <w:t>2021 and 18 July</w:t>
      </w:r>
      <w:r w:rsidR="00A1207A" w:rsidRPr="001614F0">
        <w:t xml:space="preserve"> </w:t>
      </w:r>
      <w:r w:rsidRPr="001614F0">
        <w:t>2022;</w:t>
      </w:r>
      <w:r w:rsidR="00A1207A" w:rsidRPr="001614F0">
        <w:t xml:space="preserve"> </w:t>
      </w:r>
    </w:p>
    <w:p w14:paraId="1F8A2EA4" w14:textId="77777777" w:rsidR="00984434" w:rsidRPr="001614F0" w:rsidRDefault="00984434" w:rsidP="004B29ED">
      <w:pPr>
        <w:tabs>
          <w:tab w:val="left" w:pos="5387"/>
        </w:tabs>
        <w:ind w:left="5387" w:hanging="1418"/>
      </w:pPr>
    </w:p>
    <w:p w14:paraId="132C0C91" w14:textId="68B6A03A" w:rsidR="00984434" w:rsidRPr="001614F0" w:rsidRDefault="00984434" w:rsidP="004B29ED">
      <w:pPr>
        <w:pStyle w:val="NUM5"/>
        <w:numPr>
          <w:ilvl w:val="4"/>
          <w:numId w:val="1"/>
        </w:numPr>
        <w:tabs>
          <w:tab w:val="left" w:pos="5387"/>
        </w:tabs>
        <w:ind w:left="5387" w:hanging="1418"/>
      </w:pPr>
      <w:r w:rsidRPr="001614F0">
        <w:t>the case management meeting held on 2 February</w:t>
      </w:r>
      <w:r w:rsidR="00A1207A" w:rsidRPr="001614F0">
        <w:t xml:space="preserve"> </w:t>
      </w:r>
      <w:r w:rsidRPr="001614F0">
        <w:t>2022 (Adv</w:t>
      </w:r>
      <w:r w:rsidR="00A1207A" w:rsidRPr="001614F0">
        <w:t> </w:t>
      </w:r>
      <w:r w:rsidRPr="001614F0">
        <w:t>M</w:t>
      </w:r>
      <w:r w:rsidR="00D11CAE" w:rsidRPr="001614F0">
        <w:t>u</w:t>
      </w:r>
      <w:r w:rsidRPr="001614F0">
        <w:t xml:space="preserve">dau </w:t>
      </w:r>
      <w:r w:rsidR="00D11CAE" w:rsidRPr="001614F0">
        <w:t>briefed on attendance at the case management meeting)</w:t>
      </w:r>
      <w:r w:rsidR="00CD2F9B">
        <w:t>;</w:t>
      </w:r>
      <w:r w:rsidR="00A1207A" w:rsidRPr="001614F0">
        <w:t xml:space="preserve"> </w:t>
      </w:r>
    </w:p>
    <w:p w14:paraId="1BEAD8FD" w14:textId="77777777" w:rsidR="00984434" w:rsidRPr="001614F0" w:rsidRDefault="00984434" w:rsidP="001614F0"/>
    <w:p w14:paraId="1B93323C" w14:textId="7B949E3D" w:rsidR="00984434" w:rsidRPr="001614F0" w:rsidRDefault="00984434" w:rsidP="004B29ED">
      <w:pPr>
        <w:pStyle w:val="NUM3"/>
        <w:numPr>
          <w:ilvl w:val="2"/>
          <w:numId w:val="1"/>
        </w:numPr>
        <w:tabs>
          <w:tab w:val="clear" w:pos="2835"/>
          <w:tab w:val="left" w:pos="2552"/>
        </w:tabs>
        <w:ind w:left="2552"/>
      </w:pPr>
      <w:r w:rsidRPr="001614F0">
        <w:t>the costs of all Medico</w:t>
      </w:r>
      <w:r w:rsidRPr="001614F0">
        <w:noBreakHyphen/>
        <w:t xml:space="preserve">Legal, radiological, MR, sonar, pathologist, actuarial and addendum reports and/or forms obtained, as well as such reports and/or forms furnished to the </w:t>
      </w:r>
      <w:r w:rsidR="00D11CAE" w:rsidRPr="001614F0">
        <w:t>d</w:t>
      </w:r>
      <w:r w:rsidRPr="001614F0">
        <w:t>efendant and/or its attorneys</w:t>
      </w:r>
      <w:r w:rsidR="001D7C64" w:rsidRPr="001614F0">
        <w:t>,</w:t>
      </w:r>
      <w:r w:rsidRPr="001614F0">
        <w:t xml:space="preserve"> as well as all reports and/or forms in their possession and all reports and/or forms contained in the </w:t>
      </w:r>
      <w:r w:rsidR="00D11CAE" w:rsidRPr="001614F0">
        <w:t>p</w:t>
      </w:r>
      <w:r w:rsidRPr="001614F0">
        <w:t>laintiff's bundles, including but not limited to the following:</w:t>
      </w:r>
      <w:r w:rsidR="001D7C64" w:rsidRPr="001614F0">
        <w:t xml:space="preserve"> </w:t>
      </w:r>
    </w:p>
    <w:p w14:paraId="78FAF6D8" w14:textId="77777777" w:rsidR="00984434" w:rsidRPr="001614F0" w:rsidRDefault="00984434" w:rsidP="001614F0"/>
    <w:p w14:paraId="4EDCAE82" w14:textId="49F1A6FA" w:rsidR="00984434" w:rsidRPr="001614F0" w:rsidRDefault="00984434" w:rsidP="004B29ED">
      <w:pPr>
        <w:pStyle w:val="NUM4"/>
        <w:numPr>
          <w:ilvl w:val="3"/>
          <w:numId w:val="1"/>
        </w:numPr>
        <w:tabs>
          <w:tab w:val="left" w:pos="3969"/>
        </w:tabs>
        <w:ind w:left="3969" w:hanging="1417"/>
      </w:pPr>
      <w:r w:rsidRPr="001614F0">
        <w:t>Dr M De Graad, orthopaedic surgeon;</w:t>
      </w:r>
      <w:r w:rsidR="001D7C64" w:rsidRPr="001614F0">
        <w:t xml:space="preserve"> </w:t>
      </w:r>
    </w:p>
    <w:p w14:paraId="031F9CC1" w14:textId="77777777" w:rsidR="00984434" w:rsidRPr="001614F0" w:rsidRDefault="00984434" w:rsidP="004B29ED">
      <w:pPr>
        <w:tabs>
          <w:tab w:val="left" w:pos="3969"/>
        </w:tabs>
        <w:ind w:left="3969" w:hanging="1417"/>
      </w:pPr>
    </w:p>
    <w:p w14:paraId="6ECD3E53" w14:textId="569F9046" w:rsidR="00984434" w:rsidRPr="001614F0" w:rsidRDefault="00984434" w:rsidP="004B29ED">
      <w:pPr>
        <w:pStyle w:val="NUM4"/>
        <w:numPr>
          <w:ilvl w:val="3"/>
          <w:numId w:val="1"/>
        </w:numPr>
        <w:tabs>
          <w:tab w:val="left" w:pos="3969"/>
        </w:tabs>
        <w:ind w:left="3969" w:hanging="1417"/>
      </w:pPr>
      <w:r w:rsidRPr="001614F0">
        <w:t>Dr De Villiers &amp; Partners, radiologists;</w:t>
      </w:r>
      <w:r w:rsidR="001D7C64" w:rsidRPr="001614F0">
        <w:t xml:space="preserve"> </w:t>
      </w:r>
    </w:p>
    <w:p w14:paraId="52DCE86B" w14:textId="77777777" w:rsidR="00984434" w:rsidRPr="001614F0" w:rsidRDefault="00984434" w:rsidP="004B29ED">
      <w:pPr>
        <w:tabs>
          <w:tab w:val="left" w:pos="3969"/>
        </w:tabs>
        <w:ind w:left="3969" w:hanging="1417"/>
      </w:pPr>
    </w:p>
    <w:p w14:paraId="7FCD41C9" w14:textId="4759F614" w:rsidR="00984434" w:rsidRPr="001614F0" w:rsidRDefault="00984434" w:rsidP="001614F0">
      <w:pPr>
        <w:pStyle w:val="NUM4"/>
        <w:numPr>
          <w:ilvl w:val="3"/>
          <w:numId w:val="1"/>
        </w:numPr>
        <w:tabs>
          <w:tab w:val="left" w:pos="3969"/>
        </w:tabs>
        <w:ind w:left="3969" w:hanging="1417"/>
      </w:pPr>
      <w:r w:rsidRPr="001614F0">
        <w:t>Dr Kruger, neurosurgeon;</w:t>
      </w:r>
      <w:r w:rsidR="00D6300D" w:rsidRPr="001614F0">
        <w:t xml:space="preserve"> </w:t>
      </w:r>
    </w:p>
    <w:p w14:paraId="0061B1F6" w14:textId="77777777" w:rsidR="00984434" w:rsidRPr="001614F0" w:rsidRDefault="00984434" w:rsidP="004B29ED">
      <w:pPr>
        <w:tabs>
          <w:tab w:val="left" w:pos="3969"/>
        </w:tabs>
        <w:ind w:left="3969" w:hanging="1417"/>
      </w:pPr>
    </w:p>
    <w:p w14:paraId="3EF4DA3F" w14:textId="61422CC3" w:rsidR="00984434" w:rsidRPr="001614F0" w:rsidRDefault="00984434" w:rsidP="004B29ED">
      <w:pPr>
        <w:pStyle w:val="NUM4"/>
        <w:numPr>
          <w:ilvl w:val="3"/>
          <w:numId w:val="1"/>
        </w:numPr>
        <w:tabs>
          <w:tab w:val="left" w:pos="3969"/>
        </w:tabs>
        <w:ind w:left="3969" w:hanging="1417"/>
      </w:pPr>
      <w:r w:rsidRPr="001614F0">
        <w:t>Dr Digby Ormond-Brown, neurophysiologist;</w:t>
      </w:r>
      <w:r w:rsidR="00D6300D" w:rsidRPr="001614F0">
        <w:t xml:space="preserve"> </w:t>
      </w:r>
    </w:p>
    <w:p w14:paraId="52657F59" w14:textId="77777777" w:rsidR="00984434" w:rsidRPr="001614F0" w:rsidRDefault="00984434" w:rsidP="004B29ED">
      <w:pPr>
        <w:tabs>
          <w:tab w:val="left" w:pos="3969"/>
        </w:tabs>
        <w:ind w:left="3969" w:hanging="1417"/>
      </w:pPr>
    </w:p>
    <w:p w14:paraId="1AD3671B" w14:textId="42BC2A54" w:rsidR="00984434" w:rsidRPr="001614F0" w:rsidRDefault="00984434" w:rsidP="004B29ED">
      <w:pPr>
        <w:pStyle w:val="NUM4"/>
        <w:numPr>
          <w:ilvl w:val="3"/>
          <w:numId w:val="1"/>
        </w:numPr>
        <w:tabs>
          <w:tab w:val="left" w:pos="3969"/>
        </w:tabs>
        <w:ind w:left="3969" w:hanging="1417"/>
      </w:pPr>
      <w:r w:rsidRPr="001614F0">
        <w:t>Dr T Townsend, neurologist;</w:t>
      </w:r>
      <w:r w:rsidR="00D6300D" w:rsidRPr="001614F0">
        <w:t xml:space="preserve"> </w:t>
      </w:r>
    </w:p>
    <w:p w14:paraId="3B272E42" w14:textId="77777777" w:rsidR="00984434" w:rsidRPr="001614F0" w:rsidRDefault="00984434" w:rsidP="004B29ED">
      <w:pPr>
        <w:tabs>
          <w:tab w:val="left" w:pos="3969"/>
        </w:tabs>
        <w:ind w:left="3969" w:hanging="1417"/>
      </w:pPr>
    </w:p>
    <w:p w14:paraId="69265D56" w14:textId="47B0AB29" w:rsidR="00984434" w:rsidRPr="001614F0" w:rsidRDefault="00984434" w:rsidP="004B29ED">
      <w:pPr>
        <w:pStyle w:val="NUM4"/>
        <w:numPr>
          <w:ilvl w:val="3"/>
          <w:numId w:val="1"/>
        </w:numPr>
        <w:tabs>
          <w:tab w:val="left" w:pos="3969"/>
        </w:tabs>
        <w:ind w:left="3969" w:hanging="1417"/>
      </w:pPr>
      <w:r w:rsidRPr="001614F0">
        <w:t>Dr M Naidoo, psychiatrist;</w:t>
      </w:r>
      <w:r w:rsidR="00D6300D" w:rsidRPr="001614F0">
        <w:t xml:space="preserve"> </w:t>
      </w:r>
    </w:p>
    <w:p w14:paraId="7FD79164" w14:textId="77777777" w:rsidR="00984434" w:rsidRPr="001614F0" w:rsidRDefault="00984434" w:rsidP="004B29ED">
      <w:pPr>
        <w:tabs>
          <w:tab w:val="left" w:pos="3969"/>
        </w:tabs>
        <w:ind w:left="3969" w:hanging="1417"/>
      </w:pPr>
    </w:p>
    <w:p w14:paraId="0BF1B1C7" w14:textId="5FA32B25" w:rsidR="00984434" w:rsidRPr="001614F0" w:rsidRDefault="00984434" w:rsidP="004B29ED">
      <w:pPr>
        <w:pStyle w:val="NUM4"/>
        <w:numPr>
          <w:ilvl w:val="3"/>
          <w:numId w:val="1"/>
        </w:numPr>
        <w:tabs>
          <w:tab w:val="left" w:pos="3969"/>
        </w:tabs>
        <w:ind w:left="3969" w:hanging="1417"/>
      </w:pPr>
      <w:r w:rsidRPr="001614F0">
        <w:t>Ms J Rossi, educational psychologist;</w:t>
      </w:r>
      <w:r w:rsidR="00D6300D" w:rsidRPr="001614F0">
        <w:t xml:space="preserve"> </w:t>
      </w:r>
    </w:p>
    <w:p w14:paraId="1DB2EDF1" w14:textId="5B46029C" w:rsidR="00516F11" w:rsidRPr="00516F11" w:rsidRDefault="00516F11" w:rsidP="004B29ED">
      <w:pPr>
        <w:tabs>
          <w:tab w:val="left" w:pos="3969"/>
        </w:tabs>
        <w:ind w:left="3969" w:hanging="1417"/>
      </w:pPr>
    </w:p>
    <w:p w14:paraId="27787080" w14:textId="11BB0FD3" w:rsidR="00984434" w:rsidRPr="001614F0" w:rsidRDefault="00984434" w:rsidP="004B29ED">
      <w:pPr>
        <w:pStyle w:val="NUM4"/>
        <w:numPr>
          <w:ilvl w:val="3"/>
          <w:numId w:val="1"/>
        </w:numPr>
        <w:tabs>
          <w:tab w:val="left" w:pos="3969"/>
        </w:tabs>
        <w:ind w:left="3969" w:hanging="1417"/>
      </w:pPr>
      <w:r w:rsidRPr="001614F0">
        <w:t>Ms K Cummings, occupational therapist;</w:t>
      </w:r>
      <w:r w:rsidR="00D6300D" w:rsidRPr="001614F0">
        <w:t xml:space="preserve"> </w:t>
      </w:r>
    </w:p>
    <w:p w14:paraId="5280AB73" w14:textId="77777777" w:rsidR="00984434" w:rsidRPr="001614F0" w:rsidRDefault="00984434" w:rsidP="004B29ED">
      <w:pPr>
        <w:tabs>
          <w:tab w:val="left" w:pos="3969"/>
        </w:tabs>
        <w:ind w:left="3969" w:hanging="1417"/>
      </w:pPr>
    </w:p>
    <w:p w14:paraId="2D3E4986" w14:textId="41A5DCC4" w:rsidR="00984434" w:rsidRPr="001614F0" w:rsidRDefault="00984434" w:rsidP="004B29ED">
      <w:pPr>
        <w:pStyle w:val="NUM4"/>
        <w:numPr>
          <w:ilvl w:val="3"/>
          <w:numId w:val="1"/>
        </w:numPr>
        <w:tabs>
          <w:tab w:val="left" w:pos="3969"/>
        </w:tabs>
        <w:ind w:left="3969" w:hanging="1417"/>
      </w:pPr>
      <w:r w:rsidRPr="001614F0">
        <w:t>Ms T Talmud, industrial p</w:t>
      </w:r>
      <w:r w:rsidR="00CD2F9B">
        <w:t>s</w:t>
      </w:r>
      <w:r w:rsidRPr="001614F0">
        <w:t>yc</w:t>
      </w:r>
      <w:r w:rsidR="00CD2F9B">
        <w:t>h</w:t>
      </w:r>
      <w:r w:rsidRPr="001614F0">
        <w:t>ologist;</w:t>
      </w:r>
      <w:r w:rsidR="00D6300D" w:rsidRPr="001614F0">
        <w:t xml:space="preserve"> </w:t>
      </w:r>
    </w:p>
    <w:p w14:paraId="4F23EA6C" w14:textId="77777777" w:rsidR="00984434" w:rsidRPr="001614F0" w:rsidRDefault="00984434" w:rsidP="004B29ED">
      <w:pPr>
        <w:tabs>
          <w:tab w:val="left" w:pos="3969"/>
        </w:tabs>
        <w:ind w:left="3969" w:hanging="1417"/>
      </w:pPr>
    </w:p>
    <w:p w14:paraId="2FE51B42" w14:textId="45488E88" w:rsidR="00984434" w:rsidRPr="001614F0" w:rsidRDefault="003979C6" w:rsidP="004B29ED">
      <w:pPr>
        <w:pStyle w:val="NUM4"/>
        <w:numPr>
          <w:ilvl w:val="3"/>
          <w:numId w:val="1"/>
        </w:numPr>
        <w:tabs>
          <w:tab w:val="left" w:pos="3969"/>
        </w:tabs>
        <w:ind w:left="3969" w:hanging="1417"/>
      </w:pPr>
      <w:r w:rsidRPr="001614F0">
        <w:t xml:space="preserve">Gerard Jacobson Consulting </w:t>
      </w:r>
      <w:r w:rsidRPr="001614F0">
        <w:rPr>
          <w:bCs/>
        </w:rPr>
        <w:t>Actuaries</w:t>
      </w:r>
      <w:r w:rsidR="00D6300D" w:rsidRPr="001614F0">
        <w:t xml:space="preserve">. </w:t>
      </w:r>
    </w:p>
    <w:p w14:paraId="03538DA5" w14:textId="77777777" w:rsidR="00984434" w:rsidRPr="001614F0" w:rsidRDefault="00984434" w:rsidP="001614F0"/>
    <w:p w14:paraId="376D9E2D" w14:textId="42665774" w:rsidR="00984434" w:rsidRPr="001614F0" w:rsidRDefault="00984434" w:rsidP="004B29ED">
      <w:pPr>
        <w:pStyle w:val="NUM3"/>
        <w:numPr>
          <w:ilvl w:val="2"/>
          <w:numId w:val="1"/>
        </w:numPr>
        <w:tabs>
          <w:tab w:val="clear" w:pos="2835"/>
          <w:tab w:val="left" w:pos="2552"/>
        </w:tabs>
        <w:ind w:left="2552"/>
      </w:pPr>
      <w:r w:rsidRPr="001614F0">
        <w:t>the reasonable and taxable preparation, qualifying and reservation fees of Dr Townsend, Ms Rossi and Ms Talmud, in such amount as is allowed by the Taxing Master in respect of th</w:t>
      </w:r>
      <w:r w:rsidR="00D11CAE" w:rsidRPr="001614F0">
        <w:t xml:space="preserve">ese </w:t>
      </w:r>
      <w:r w:rsidRPr="001614F0">
        <w:t>experts;</w:t>
      </w:r>
      <w:r w:rsidR="00A25A54" w:rsidRPr="001614F0">
        <w:t xml:space="preserve"> </w:t>
      </w:r>
    </w:p>
    <w:p w14:paraId="0359F6C6" w14:textId="77777777" w:rsidR="00984434" w:rsidRPr="001614F0" w:rsidRDefault="00984434" w:rsidP="004B29ED">
      <w:pPr>
        <w:tabs>
          <w:tab w:val="left" w:pos="2552"/>
        </w:tabs>
        <w:ind w:left="2552" w:hanging="1134"/>
      </w:pPr>
    </w:p>
    <w:p w14:paraId="2D5CCCEB" w14:textId="6B35C5BE" w:rsidR="00984434" w:rsidRPr="001614F0" w:rsidRDefault="00984434" w:rsidP="004B29ED">
      <w:pPr>
        <w:pStyle w:val="NUM3"/>
        <w:numPr>
          <w:ilvl w:val="2"/>
          <w:numId w:val="1"/>
        </w:numPr>
        <w:tabs>
          <w:tab w:val="clear" w:pos="2835"/>
          <w:tab w:val="left" w:pos="2552"/>
        </w:tabs>
        <w:ind w:left="2552"/>
      </w:pPr>
      <w:r w:rsidRPr="001614F0">
        <w:t xml:space="preserve">the reasonable costs incurred by and on behalf of the </w:t>
      </w:r>
      <w:r w:rsidR="00D11CAE" w:rsidRPr="001614F0">
        <w:t>p</w:t>
      </w:r>
      <w:r w:rsidRPr="001614F0">
        <w:t>laintiff in attending the Medico</w:t>
      </w:r>
      <w:r w:rsidRPr="001614F0">
        <w:noBreakHyphen/>
        <w:t>Legal examinations of both parties' experts;</w:t>
      </w:r>
      <w:r w:rsidR="00A25A54" w:rsidRPr="001614F0">
        <w:t xml:space="preserve"> </w:t>
      </w:r>
    </w:p>
    <w:p w14:paraId="5C2E15AE" w14:textId="77777777" w:rsidR="00984434" w:rsidRPr="001614F0" w:rsidRDefault="00984434" w:rsidP="001614F0"/>
    <w:p w14:paraId="6F02AAE5" w14:textId="4FA717B5" w:rsidR="00984434" w:rsidRPr="001614F0" w:rsidRDefault="00984434" w:rsidP="001614F0">
      <w:pPr>
        <w:pStyle w:val="NUM3"/>
        <w:numPr>
          <w:ilvl w:val="2"/>
          <w:numId w:val="1"/>
        </w:numPr>
        <w:tabs>
          <w:tab w:val="clear" w:pos="2835"/>
          <w:tab w:val="num" w:pos="2552"/>
        </w:tabs>
        <w:ind w:left="2552"/>
      </w:pPr>
      <w:r w:rsidRPr="001614F0">
        <w:t xml:space="preserve">the costs of and consequent to the </w:t>
      </w:r>
      <w:r w:rsidR="00D11CAE" w:rsidRPr="001614F0">
        <w:t>p</w:t>
      </w:r>
      <w:r w:rsidRPr="001614F0">
        <w:t>laintiff's trial bundles and witness bundles;</w:t>
      </w:r>
      <w:r w:rsidR="00670B7C" w:rsidRPr="001614F0">
        <w:t xml:space="preserve"> </w:t>
      </w:r>
    </w:p>
    <w:p w14:paraId="5463089A" w14:textId="77777777" w:rsidR="00984434" w:rsidRPr="001614F0" w:rsidRDefault="00984434" w:rsidP="004B29ED">
      <w:pPr>
        <w:tabs>
          <w:tab w:val="num" w:pos="2552"/>
        </w:tabs>
        <w:ind w:left="2552" w:hanging="1134"/>
      </w:pPr>
    </w:p>
    <w:p w14:paraId="764DEE0F" w14:textId="78D0859C" w:rsidR="00984434" w:rsidRPr="001614F0" w:rsidRDefault="00984434" w:rsidP="004B29ED">
      <w:pPr>
        <w:pStyle w:val="NUM3"/>
        <w:numPr>
          <w:ilvl w:val="2"/>
          <w:numId w:val="1"/>
        </w:numPr>
        <w:tabs>
          <w:tab w:val="clear" w:pos="2835"/>
          <w:tab w:val="num" w:pos="2552"/>
        </w:tabs>
        <w:ind w:left="2552"/>
      </w:pPr>
      <w:r w:rsidRPr="001614F0">
        <w:lastRenderedPageBreak/>
        <w:t xml:space="preserve">the </w:t>
      </w:r>
      <w:r w:rsidR="00D11CAE" w:rsidRPr="001614F0">
        <w:t>p</w:t>
      </w:r>
      <w:r w:rsidRPr="001614F0">
        <w:t>laintiff is declared a necessary witness</w:t>
      </w:r>
      <w:r w:rsidR="00670B7C" w:rsidRPr="001614F0">
        <w:t>,</w:t>
      </w:r>
      <w:r w:rsidRPr="001614F0">
        <w:t xml:space="preserve"> </w:t>
      </w:r>
      <w:r w:rsidR="00D11CAE" w:rsidRPr="001614F0">
        <w:t>her</w:t>
      </w:r>
      <w:r w:rsidRPr="001614F0">
        <w:t xml:space="preserve"> reasonable travelling expenses to attend the trial, as allowed by the Taxing Master; and</w:t>
      </w:r>
      <w:r w:rsidR="00670B7C" w:rsidRPr="001614F0">
        <w:t xml:space="preserve"> </w:t>
      </w:r>
    </w:p>
    <w:p w14:paraId="26B2A7CB" w14:textId="77777777" w:rsidR="00984434" w:rsidRPr="001614F0" w:rsidRDefault="00984434" w:rsidP="004B29ED">
      <w:pPr>
        <w:tabs>
          <w:tab w:val="num" w:pos="2552"/>
        </w:tabs>
        <w:ind w:left="2552" w:hanging="1134"/>
      </w:pPr>
    </w:p>
    <w:p w14:paraId="2EDBD16B" w14:textId="72A2A489" w:rsidR="00984434" w:rsidRPr="001614F0" w:rsidRDefault="00984434" w:rsidP="004B29ED">
      <w:pPr>
        <w:pStyle w:val="NUM3"/>
        <w:numPr>
          <w:ilvl w:val="2"/>
          <w:numId w:val="1"/>
        </w:numPr>
        <w:tabs>
          <w:tab w:val="clear" w:pos="2835"/>
          <w:tab w:val="num" w:pos="2552"/>
        </w:tabs>
        <w:ind w:left="2552"/>
      </w:pPr>
      <w:r w:rsidRPr="001614F0">
        <w:t xml:space="preserve">the costs consequent </w:t>
      </w:r>
      <w:r w:rsidR="00670B7C" w:rsidRPr="001614F0">
        <w:t xml:space="preserve">upon </w:t>
      </w:r>
      <w:r w:rsidRPr="001614F0">
        <w:t>the holding of all pre</w:t>
      </w:r>
      <w:r w:rsidRPr="001614F0">
        <w:noBreakHyphen/>
        <w:t>trial conferences.</w:t>
      </w:r>
      <w:r w:rsidR="004910FB" w:rsidRPr="001614F0">
        <w:t xml:space="preserve"> </w:t>
      </w:r>
    </w:p>
    <w:p w14:paraId="41FDB1F7" w14:textId="77777777" w:rsidR="00984434" w:rsidRPr="001614F0" w:rsidRDefault="00984434" w:rsidP="001614F0"/>
    <w:p w14:paraId="3CA11E22" w14:textId="3C9E0D92" w:rsidR="00984434" w:rsidRPr="001614F0" w:rsidRDefault="00984434" w:rsidP="004B29ED">
      <w:pPr>
        <w:pStyle w:val="NUM1"/>
        <w:numPr>
          <w:ilvl w:val="0"/>
          <w:numId w:val="1"/>
        </w:numPr>
        <w:tabs>
          <w:tab w:val="clear" w:pos="720"/>
          <w:tab w:val="num" w:pos="567"/>
        </w:tabs>
        <w:ind w:left="567" w:hanging="567"/>
      </w:pPr>
      <w:r w:rsidRPr="001614F0">
        <w:t xml:space="preserve">The amounts referred to in paragraphs </w:t>
      </w:r>
      <w:r w:rsidR="008239C8">
        <w:t>9</w:t>
      </w:r>
      <w:r w:rsidR="00612C7B">
        <w:t>0.1 and 92</w:t>
      </w:r>
      <w:r w:rsidR="00CD2F9B">
        <w:t xml:space="preserve"> </w:t>
      </w:r>
      <w:r w:rsidRPr="001614F0">
        <w:t xml:space="preserve">will be paid to the </w:t>
      </w:r>
      <w:r w:rsidR="0005580F" w:rsidRPr="001614F0">
        <w:t>p</w:t>
      </w:r>
      <w:r w:rsidRPr="001614F0">
        <w:t>laintiff's attorneys, A Wolmarans Inc, by direct transfer into their trust account, the details of which are the following:</w:t>
      </w:r>
      <w:r w:rsidR="0005580F" w:rsidRPr="001614F0">
        <w:t xml:space="preserve"> </w:t>
      </w:r>
    </w:p>
    <w:p w14:paraId="0C0DCA2F" w14:textId="77777777" w:rsidR="00984434" w:rsidRPr="001614F0" w:rsidRDefault="00984434" w:rsidP="001614F0"/>
    <w:p w14:paraId="0197316F" w14:textId="20501B76" w:rsidR="00CD2F9B" w:rsidRDefault="00984434" w:rsidP="00CD2F9B">
      <w:pPr>
        <w:pStyle w:val="NUM1TAB"/>
        <w:tabs>
          <w:tab w:val="clear" w:pos="720"/>
          <w:tab w:val="left" w:pos="4536"/>
        </w:tabs>
        <w:ind w:left="4536" w:hanging="3118"/>
      </w:pPr>
      <w:r w:rsidRPr="001614F0">
        <w:t xml:space="preserve">Name of account holder: </w:t>
      </w:r>
      <w:r w:rsidR="00CD2F9B">
        <w:tab/>
      </w:r>
      <w:r w:rsidRPr="001614F0">
        <w:t>A Wolmarans Inc</w:t>
      </w:r>
      <w:r w:rsidR="00F90263" w:rsidRPr="001614F0">
        <w:t xml:space="preserve"> </w:t>
      </w:r>
    </w:p>
    <w:p w14:paraId="4D88AF0D" w14:textId="77777777" w:rsidR="00CD2F9B" w:rsidRDefault="00984434" w:rsidP="00CD2F9B">
      <w:pPr>
        <w:pStyle w:val="NUM1TAB"/>
        <w:tabs>
          <w:tab w:val="clear" w:pos="720"/>
          <w:tab w:val="left" w:pos="4536"/>
        </w:tabs>
        <w:ind w:left="4536" w:hanging="3118"/>
      </w:pPr>
      <w:r w:rsidRPr="001614F0">
        <w:t xml:space="preserve">Name of bank and branch: </w:t>
      </w:r>
      <w:r w:rsidR="00CD2F9B">
        <w:tab/>
      </w:r>
      <w:r w:rsidRPr="001614F0">
        <w:t>Absa Bank Northcliff</w:t>
      </w:r>
      <w:r w:rsidR="00F90263" w:rsidRPr="001614F0">
        <w:t xml:space="preserve"> </w:t>
      </w:r>
    </w:p>
    <w:p w14:paraId="67A70079" w14:textId="77777777" w:rsidR="00CD2F9B" w:rsidRDefault="00984434" w:rsidP="00CD2F9B">
      <w:pPr>
        <w:pStyle w:val="NUM1TAB"/>
        <w:tabs>
          <w:tab w:val="clear" w:pos="720"/>
          <w:tab w:val="left" w:pos="4536"/>
        </w:tabs>
        <w:ind w:left="4536" w:hanging="3118"/>
      </w:pPr>
      <w:r w:rsidRPr="001614F0">
        <w:t xml:space="preserve">Account Number: </w:t>
      </w:r>
      <w:r w:rsidR="00CD2F9B">
        <w:tab/>
      </w:r>
      <w:r w:rsidRPr="001614F0">
        <w:t>4066803929</w:t>
      </w:r>
      <w:r w:rsidR="00F90263" w:rsidRPr="001614F0">
        <w:t xml:space="preserve"> </w:t>
      </w:r>
    </w:p>
    <w:p w14:paraId="18127745" w14:textId="77777777" w:rsidR="00CD2F9B" w:rsidRDefault="00984434" w:rsidP="00CD2F9B">
      <w:pPr>
        <w:pStyle w:val="NUM1TAB"/>
        <w:tabs>
          <w:tab w:val="clear" w:pos="720"/>
          <w:tab w:val="left" w:pos="4536"/>
        </w:tabs>
        <w:ind w:left="4536" w:hanging="3118"/>
      </w:pPr>
      <w:r w:rsidRPr="001614F0">
        <w:t xml:space="preserve">Branch Code: </w:t>
      </w:r>
      <w:r w:rsidR="00CD2F9B">
        <w:tab/>
      </w:r>
      <w:r w:rsidRPr="001614F0">
        <w:t>632005</w:t>
      </w:r>
      <w:r w:rsidR="00F90263" w:rsidRPr="001614F0">
        <w:t xml:space="preserve"> </w:t>
      </w:r>
    </w:p>
    <w:p w14:paraId="55BE439C" w14:textId="77777777" w:rsidR="00CD2F9B" w:rsidRDefault="00984434" w:rsidP="00CD2F9B">
      <w:pPr>
        <w:pStyle w:val="NUM1TAB"/>
        <w:tabs>
          <w:tab w:val="clear" w:pos="720"/>
          <w:tab w:val="left" w:pos="4536"/>
        </w:tabs>
        <w:ind w:left="4536" w:hanging="3118"/>
      </w:pPr>
      <w:r w:rsidRPr="001614F0">
        <w:t xml:space="preserve">Type of account: </w:t>
      </w:r>
      <w:r w:rsidR="00CD2F9B">
        <w:tab/>
      </w:r>
      <w:r w:rsidRPr="001614F0">
        <w:t>Cheque (Trust)</w:t>
      </w:r>
      <w:r w:rsidR="00F90263" w:rsidRPr="001614F0">
        <w:t xml:space="preserve"> </w:t>
      </w:r>
    </w:p>
    <w:p w14:paraId="0E219827" w14:textId="039A1E8C" w:rsidR="00984434" w:rsidRPr="001614F0" w:rsidRDefault="00984434" w:rsidP="00CD2F9B">
      <w:pPr>
        <w:pStyle w:val="NUM1TAB"/>
        <w:tabs>
          <w:tab w:val="clear" w:pos="720"/>
          <w:tab w:val="left" w:pos="4536"/>
        </w:tabs>
        <w:ind w:left="4536" w:hanging="3118"/>
      </w:pPr>
      <w:r w:rsidRPr="001614F0">
        <w:t xml:space="preserve">Reference: </w:t>
      </w:r>
      <w:r w:rsidR="00CD2F9B">
        <w:tab/>
      </w:r>
      <w:r w:rsidRPr="001614F0">
        <w:t xml:space="preserve">Ms </w:t>
      </w:r>
      <w:r w:rsidR="00D11CAE" w:rsidRPr="001614F0">
        <w:t>Kordas</w:t>
      </w:r>
      <w:r w:rsidR="00CD2F9B">
        <w:t xml:space="preserve"> </w:t>
      </w:r>
      <w:r w:rsidRPr="001614F0">
        <w:t>/</w:t>
      </w:r>
      <w:r w:rsidR="00CD2F9B">
        <w:t xml:space="preserve"> </w:t>
      </w:r>
      <w:r w:rsidRPr="001614F0">
        <w:t>MAT7158</w:t>
      </w:r>
      <w:r w:rsidR="00F90263" w:rsidRPr="001614F0">
        <w:t xml:space="preserve"> </w:t>
      </w:r>
    </w:p>
    <w:p w14:paraId="39D6B7CE" w14:textId="77777777" w:rsidR="00984434" w:rsidRPr="001614F0" w:rsidRDefault="00984434" w:rsidP="001614F0">
      <w:pPr>
        <w:pStyle w:val="NUM1TAB"/>
      </w:pPr>
    </w:p>
    <w:p w14:paraId="7D56370B" w14:textId="7430DEC0" w:rsidR="00984434" w:rsidRPr="001614F0" w:rsidRDefault="00984434" w:rsidP="004B29ED">
      <w:pPr>
        <w:pStyle w:val="NUM1"/>
        <w:numPr>
          <w:ilvl w:val="0"/>
          <w:numId w:val="1"/>
        </w:numPr>
        <w:tabs>
          <w:tab w:val="clear" w:pos="720"/>
          <w:tab w:val="num" w:pos="567"/>
        </w:tabs>
        <w:ind w:left="567" w:hanging="567"/>
      </w:pPr>
      <w:r w:rsidRPr="001614F0">
        <w:t>The statutory undertaking referred to in paragraph </w:t>
      </w:r>
      <w:r w:rsidR="008239C8">
        <w:t>9</w:t>
      </w:r>
      <w:r w:rsidR="00612C7B">
        <w:t>1</w:t>
      </w:r>
      <w:r w:rsidRPr="001614F0">
        <w:t xml:space="preserve"> above shall be delivered by the </w:t>
      </w:r>
      <w:r w:rsidR="00B3154E" w:rsidRPr="001614F0">
        <w:t>d</w:t>
      </w:r>
      <w:r w:rsidRPr="001614F0">
        <w:t xml:space="preserve">efendant to </w:t>
      </w:r>
      <w:r w:rsidR="00AB22B7">
        <w:t>A</w:t>
      </w:r>
      <w:r w:rsidRPr="001614F0">
        <w:t xml:space="preserve"> Wolmarans Inc</w:t>
      </w:r>
      <w:r w:rsidR="00B3154E" w:rsidRPr="001614F0">
        <w:t>,</w:t>
      </w:r>
      <w:r w:rsidRPr="001614F0">
        <w:t xml:space="preserve"> within 14 days of this order.</w:t>
      </w:r>
      <w:r w:rsidR="00B3154E" w:rsidRPr="001614F0">
        <w:t xml:space="preserve"> </w:t>
      </w:r>
    </w:p>
    <w:p w14:paraId="6F8A9FB2" w14:textId="77777777" w:rsidR="00984434" w:rsidRPr="001614F0" w:rsidRDefault="00984434" w:rsidP="001614F0"/>
    <w:p w14:paraId="341D75DD" w14:textId="14FEA992" w:rsidR="00984434" w:rsidRPr="001614F0" w:rsidRDefault="00984434" w:rsidP="001614F0">
      <w:pPr>
        <w:pStyle w:val="NUM1"/>
        <w:numPr>
          <w:ilvl w:val="0"/>
          <w:numId w:val="1"/>
        </w:numPr>
        <w:tabs>
          <w:tab w:val="clear" w:pos="720"/>
          <w:tab w:val="num" w:pos="567"/>
        </w:tabs>
        <w:ind w:left="567" w:hanging="567"/>
      </w:pPr>
      <w:r w:rsidRPr="001614F0">
        <w:t xml:space="preserve">The </w:t>
      </w:r>
      <w:r w:rsidR="00AF7E3F" w:rsidRPr="001614F0">
        <w:t>p</w:t>
      </w:r>
      <w:r w:rsidRPr="001614F0">
        <w:t>laintiff signed a Non</w:t>
      </w:r>
      <w:r w:rsidRPr="001614F0">
        <w:noBreakHyphen/>
        <w:t>Contingency Fee Agreement with her attorneys of record.</w:t>
      </w:r>
      <w:r w:rsidR="00AF7E3F" w:rsidRPr="001614F0">
        <w:t xml:space="preserve"> </w:t>
      </w:r>
    </w:p>
    <w:p w14:paraId="6D95D783" w14:textId="77777777" w:rsidR="00A737DA" w:rsidRPr="001614F0" w:rsidRDefault="00A737DA" w:rsidP="00E54513"/>
    <w:p w14:paraId="5F77FE7F" w14:textId="0AA04764" w:rsidR="00A737DA" w:rsidRPr="001614F0" w:rsidRDefault="00A737DA" w:rsidP="00DB0D62">
      <w:pPr>
        <w:spacing w:line="240" w:lineRule="auto"/>
        <w:ind w:left="4320" w:firstLine="720"/>
      </w:pPr>
    </w:p>
    <w:p w14:paraId="1E4A1E1A" w14:textId="77777777" w:rsidR="00797C7C" w:rsidRPr="004B29ED" w:rsidRDefault="00797C7C" w:rsidP="004B29ED">
      <w:pPr>
        <w:keepNext/>
        <w:shd w:val="clear" w:color="auto" w:fill="FFFFFF"/>
        <w:spacing w:line="240" w:lineRule="auto"/>
        <w:jc w:val="right"/>
        <w:rPr>
          <w:color w:val="242121"/>
          <w:lang w:eastAsia="en-ZA"/>
        </w:rPr>
      </w:pPr>
      <w:r w:rsidRPr="001614F0">
        <w:rPr>
          <w:color w:val="242121"/>
          <w:lang w:eastAsia="en-ZA"/>
        </w:rPr>
        <w:lastRenderedPageBreak/>
        <w:t>_____________________________</w:t>
      </w:r>
    </w:p>
    <w:p w14:paraId="1C7187C4" w14:textId="392E3588" w:rsidR="00797C7C" w:rsidRPr="004B29ED" w:rsidRDefault="00797C7C" w:rsidP="004B29ED">
      <w:pPr>
        <w:keepNext/>
        <w:shd w:val="clear" w:color="auto" w:fill="FFFFFF"/>
        <w:spacing w:line="240" w:lineRule="auto"/>
        <w:jc w:val="right"/>
        <w:rPr>
          <w:color w:val="242121"/>
          <w:lang w:eastAsia="en-ZA"/>
        </w:rPr>
      </w:pPr>
      <w:r w:rsidRPr="001614F0">
        <w:rPr>
          <w:b/>
          <w:bCs/>
          <w:color w:val="242121"/>
          <w:lang w:eastAsia="en-ZA"/>
        </w:rPr>
        <w:t>A W PULLINGER</w:t>
      </w:r>
      <w:r w:rsidR="004C7711" w:rsidRPr="001614F0">
        <w:rPr>
          <w:b/>
          <w:bCs/>
          <w:color w:val="242121"/>
          <w:lang w:eastAsia="en-ZA"/>
        </w:rPr>
        <w:t>, AJ</w:t>
      </w:r>
    </w:p>
    <w:p w14:paraId="4A722625" w14:textId="77777777" w:rsidR="00797C7C" w:rsidRPr="004B29ED" w:rsidRDefault="00797C7C" w:rsidP="004B29ED">
      <w:pPr>
        <w:keepNext/>
        <w:shd w:val="clear" w:color="auto" w:fill="FFFFFF"/>
        <w:spacing w:line="240" w:lineRule="auto"/>
        <w:jc w:val="right"/>
        <w:rPr>
          <w:color w:val="242121"/>
          <w:lang w:eastAsia="en-ZA"/>
        </w:rPr>
      </w:pPr>
      <w:r w:rsidRPr="001614F0">
        <w:rPr>
          <w:color w:val="242121"/>
          <w:lang w:eastAsia="en-ZA"/>
        </w:rPr>
        <w:t>ACTING JUDGE OF THE HIGH COURT</w:t>
      </w:r>
    </w:p>
    <w:p w14:paraId="182E3F46" w14:textId="167B7169" w:rsidR="00797C7C" w:rsidRDefault="00797C7C" w:rsidP="004B29ED">
      <w:pPr>
        <w:keepNext/>
        <w:shd w:val="clear" w:color="auto" w:fill="FFFFFF"/>
        <w:spacing w:line="240" w:lineRule="auto"/>
        <w:jc w:val="right"/>
        <w:rPr>
          <w:color w:val="242121"/>
          <w:lang w:eastAsia="en-ZA"/>
        </w:rPr>
      </w:pPr>
      <w:r w:rsidRPr="001614F0">
        <w:rPr>
          <w:color w:val="242121"/>
          <w:lang w:eastAsia="en-ZA"/>
        </w:rPr>
        <w:t>GAUTENG DIVISION, JOHANNESBURG</w:t>
      </w:r>
    </w:p>
    <w:p w14:paraId="18BA8BAF" w14:textId="77777777" w:rsidR="00612C7B" w:rsidRDefault="00612C7B" w:rsidP="004B29ED">
      <w:pPr>
        <w:keepNext/>
        <w:shd w:val="clear" w:color="auto" w:fill="FFFFFF"/>
        <w:spacing w:line="240" w:lineRule="auto"/>
        <w:jc w:val="right"/>
        <w:rPr>
          <w:color w:val="242121"/>
          <w:lang w:eastAsia="en-ZA"/>
        </w:rPr>
      </w:pPr>
    </w:p>
    <w:p w14:paraId="466B4EAE" w14:textId="5DFF42E0" w:rsidR="003B7342" w:rsidRDefault="003B7342" w:rsidP="004B29ED">
      <w:pPr>
        <w:keepNext/>
        <w:shd w:val="clear" w:color="auto" w:fill="FFFFFF"/>
        <w:spacing w:line="240" w:lineRule="auto"/>
        <w:jc w:val="right"/>
        <w:rPr>
          <w:color w:val="242121"/>
          <w:lang w:eastAsia="en-ZA"/>
        </w:rPr>
      </w:pPr>
    </w:p>
    <w:p w14:paraId="2B0D722E" w14:textId="568D584A" w:rsidR="000A10F5" w:rsidRDefault="000A10F5" w:rsidP="000A10F5">
      <w:pPr>
        <w:spacing w:line="360" w:lineRule="auto"/>
        <w:rPr>
          <w:i/>
          <w:iCs/>
          <w:color w:val="242121"/>
          <w:lang w:eastAsia="en-ZA"/>
        </w:rPr>
      </w:pPr>
      <w:r w:rsidRPr="001614F0">
        <w:rPr>
          <w:i/>
          <w:iCs/>
          <w:color w:val="242121"/>
          <w:lang w:eastAsia="en-ZA"/>
        </w:rPr>
        <w:t xml:space="preserve">This judgment was handed down electronically by circulation to the parties’ and/or parties’ representatives by email and by being uploaded to CaseLines. </w:t>
      </w:r>
      <w:r w:rsidRPr="00E54513">
        <w:rPr>
          <w:i/>
          <w:iCs/>
          <w:color w:val="242121"/>
          <w:lang w:eastAsia="en-ZA"/>
        </w:rPr>
        <w:t xml:space="preserve"> The date and time for hand-down is deemed to be </w:t>
      </w:r>
      <w:r w:rsidRPr="00E54513">
        <w:rPr>
          <w:i/>
          <w:iCs/>
        </w:rPr>
        <w:t>10h00</w:t>
      </w:r>
      <w:r w:rsidRPr="00E54513">
        <w:rPr>
          <w:i/>
          <w:iCs/>
          <w:color w:val="242121"/>
          <w:lang w:eastAsia="en-ZA"/>
        </w:rPr>
        <w:t xml:space="preserve"> on </w:t>
      </w:r>
      <w:r>
        <w:rPr>
          <w:i/>
          <w:iCs/>
        </w:rPr>
        <w:t>0</w:t>
      </w:r>
      <w:r w:rsidR="00930B49">
        <w:rPr>
          <w:i/>
          <w:iCs/>
        </w:rPr>
        <w:t>7</w:t>
      </w:r>
      <w:r>
        <w:rPr>
          <w:i/>
          <w:iCs/>
        </w:rPr>
        <w:t xml:space="preserve"> September</w:t>
      </w:r>
      <w:r w:rsidRPr="001C04C5">
        <w:rPr>
          <w:i/>
          <w:iCs/>
        </w:rPr>
        <w:t xml:space="preserve"> 2022</w:t>
      </w:r>
      <w:r w:rsidRPr="001C04C5">
        <w:rPr>
          <w:i/>
          <w:iCs/>
          <w:color w:val="242121"/>
          <w:lang w:eastAsia="en-ZA"/>
        </w:rPr>
        <w:t xml:space="preserve">. </w:t>
      </w:r>
    </w:p>
    <w:p w14:paraId="24B56883" w14:textId="43948CCE" w:rsidR="003B7342" w:rsidRDefault="003B7342" w:rsidP="000A10F5">
      <w:pPr>
        <w:keepNext/>
        <w:shd w:val="clear" w:color="auto" w:fill="FFFFFF"/>
        <w:spacing w:line="240" w:lineRule="auto"/>
        <w:jc w:val="left"/>
        <w:rPr>
          <w:color w:val="242121"/>
          <w:lang w:eastAsia="en-ZA"/>
        </w:rPr>
      </w:pPr>
    </w:p>
    <w:p w14:paraId="34EAA16A" w14:textId="77777777" w:rsidR="003B7342" w:rsidRPr="004B29ED" w:rsidRDefault="003B7342" w:rsidP="004B29ED">
      <w:pPr>
        <w:keepNext/>
        <w:shd w:val="clear" w:color="auto" w:fill="FFFFFF"/>
        <w:spacing w:line="240" w:lineRule="auto"/>
        <w:jc w:val="right"/>
        <w:rPr>
          <w:color w:val="242121"/>
          <w:lang w:eastAsia="en-ZA"/>
        </w:rPr>
      </w:pPr>
    </w:p>
    <w:p w14:paraId="413E0E23" w14:textId="77777777" w:rsidR="00797C7C" w:rsidRDefault="00797C7C" w:rsidP="004B29ED">
      <w:pPr>
        <w:spacing w:line="240" w:lineRule="auto"/>
        <w:rPr>
          <w:lang w:eastAsia="en-ZA"/>
        </w:rPr>
      </w:pPr>
    </w:p>
    <w:p w14:paraId="1736B65D" w14:textId="77777777" w:rsidR="00E54513" w:rsidRDefault="00E54513" w:rsidP="004B29ED">
      <w:pPr>
        <w:spacing w:line="240" w:lineRule="auto"/>
        <w:rPr>
          <w:lang w:eastAsia="en-ZA"/>
        </w:rPr>
      </w:pPr>
    </w:p>
    <w:p w14:paraId="1B2E9C74" w14:textId="77777777" w:rsidR="00797C7C" w:rsidRDefault="00797C7C" w:rsidP="004B29ED">
      <w:pPr>
        <w:spacing w:line="240" w:lineRule="auto"/>
        <w:rPr>
          <w:lang w:eastAsia="en-ZA"/>
        </w:rPr>
      </w:pPr>
    </w:p>
    <w:p w14:paraId="52F51A3B" w14:textId="77777777" w:rsidR="00E54513" w:rsidRPr="001614F0" w:rsidRDefault="00E54513" w:rsidP="004B29ED">
      <w:pPr>
        <w:spacing w:line="240" w:lineRule="auto"/>
        <w:rPr>
          <w:lang w:eastAsia="en-ZA"/>
        </w:rPr>
      </w:pPr>
    </w:p>
    <w:p w14:paraId="6634BF84" w14:textId="45401A17" w:rsidR="00797C7C" w:rsidRPr="004B29ED" w:rsidRDefault="00797C7C" w:rsidP="004B29ED">
      <w:pPr>
        <w:tabs>
          <w:tab w:val="left" w:pos="2268"/>
        </w:tabs>
        <w:spacing w:line="240" w:lineRule="auto"/>
        <w:ind w:left="2268" w:hanging="2268"/>
        <w:rPr>
          <w:color w:val="242121"/>
          <w:lang w:eastAsia="en-ZA"/>
        </w:rPr>
      </w:pPr>
      <w:r w:rsidRPr="001614F0">
        <w:rPr>
          <w:color w:val="242121"/>
          <w:lang w:eastAsia="en-ZA"/>
        </w:rPr>
        <w:t>Date of hearing:</w:t>
      </w:r>
      <w:r w:rsidRPr="00E54513">
        <w:rPr>
          <w:color w:val="242121"/>
          <w:lang w:eastAsia="en-ZA"/>
        </w:rPr>
        <w:tab/>
      </w:r>
      <w:r w:rsidR="00B91CEC" w:rsidRPr="00E54513">
        <w:t>26, 27 and 29 July 2022</w:t>
      </w:r>
      <w:r w:rsidR="00035AEF" w:rsidRPr="00E54513">
        <w:t xml:space="preserve"> </w:t>
      </w:r>
    </w:p>
    <w:p w14:paraId="10A41FB2" w14:textId="7AC56C56" w:rsidR="00797C7C" w:rsidRPr="004B29ED" w:rsidRDefault="00797C7C" w:rsidP="004B29ED">
      <w:pPr>
        <w:tabs>
          <w:tab w:val="left" w:pos="2268"/>
        </w:tabs>
        <w:spacing w:line="240" w:lineRule="auto"/>
        <w:ind w:left="2268" w:hanging="2268"/>
        <w:rPr>
          <w:color w:val="242121"/>
          <w:lang w:eastAsia="en-ZA"/>
        </w:rPr>
      </w:pPr>
      <w:r w:rsidRPr="001614F0">
        <w:rPr>
          <w:color w:val="242121"/>
          <w:lang w:eastAsia="en-ZA"/>
        </w:rPr>
        <w:t>Date of judgment:</w:t>
      </w:r>
      <w:r w:rsidRPr="001614F0">
        <w:rPr>
          <w:color w:val="242121"/>
          <w:lang w:eastAsia="en-ZA"/>
        </w:rPr>
        <w:tab/>
      </w:r>
      <w:r w:rsidR="003B7342">
        <w:t>0</w:t>
      </w:r>
      <w:r w:rsidR="00930B49">
        <w:t>7</w:t>
      </w:r>
      <w:r w:rsidR="003B7342">
        <w:t xml:space="preserve"> September</w:t>
      </w:r>
      <w:r w:rsidR="00B91CEC" w:rsidRPr="00E54513">
        <w:t xml:space="preserve"> 2022</w:t>
      </w:r>
      <w:r w:rsidR="00035AEF" w:rsidRPr="00E54513">
        <w:t xml:space="preserve"> </w:t>
      </w:r>
    </w:p>
    <w:p w14:paraId="0360A2FE" w14:textId="77777777" w:rsidR="00797C7C" w:rsidRDefault="00797C7C" w:rsidP="004B29ED">
      <w:pPr>
        <w:spacing w:line="240" w:lineRule="auto"/>
        <w:rPr>
          <w:lang w:eastAsia="en-ZA"/>
        </w:rPr>
      </w:pPr>
    </w:p>
    <w:p w14:paraId="1FFC3376" w14:textId="77777777" w:rsidR="00E54513" w:rsidRPr="001614F0" w:rsidRDefault="00E54513" w:rsidP="004B29ED">
      <w:pPr>
        <w:spacing w:line="240" w:lineRule="auto"/>
        <w:rPr>
          <w:lang w:eastAsia="en-ZA"/>
        </w:rPr>
      </w:pPr>
    </w:p>
    <w:p w14:paraId="2D59AE03" w14:textId="77777777" w:rsidR="00797C7C" w:rsidRPr="004B29ED" w:rsidRDefault="00797C7C" w:rsidP="004B29ED">
      <w:pPr>
        <w:spacing w:line="240" w:lineRule="auto"/>
        <w:rPr>
          <w:color w:val="242121"/>
          <w:lang w:eastAsia="en-ZA"/>
        </w:rPr>
      </w:pPr>
      <w:r w:rsidRPr="001614F0">
        <w:rPr>
          <w:b/>
          <w:bCs/>
          <w:color w:val="242121"/>
          <w:lang w:eastAsia="en-ZA"/>
        </w:rPr>
        <w:t>Appearances:</w:t>
      </w:r>
    </w:p>
    <w:p w14:paraId="6475645B" w14:textId="1B4E10F7" w:rsidR="00797C7C" w:rsidRPr="004B29ED" w:rsidRDefault="00797C7C" w:rsidP="004B29ED">
      <w:pPr>
        <w:tabs>
          <w:tab w:val="left" w:pos="3119"/>
        </w:tabs>
        <w:spacing w:line="240" w:lineRule="auto"/>
        <w:ind w:left="3119" w:hanging="3119"/>
        <w:rPr>
          <w:color w:val="242121"/>
          <w:lang w:eastAsia="en-ZA"/>
        </w:rPr>
      </w:pPr>
      <w:r w:rsidRPr="001614F0">
        <w:rPr>
          <w:color w:val="242121"/>
          <w:lang w:eastAsia="en-ZA"/>
        </w:rPr>
        <w:t>Counsel for the plaintiff:</w:t>
      </w:r>
      <w:r w:rsidR="00183C7F" w:rsidRPr="001614F0">
        <w:rPr>
          <w:color w:val="242121"/>
          <w:lang w:eastAsia="en-ZA"/>
        </w:rPr>
        <w:t xml:space="preserve"> </w:t>
      </w:r>
      <w:r w:rsidRPr="00E54513">
        <w:rPr>
          <w:color w:val="242121"/>
          <w:lang w:eastAsia="en-ZA"/>
        </w:rPr>
        <w:tab/>
      </w:r>
      <w:r w:rsidR="00B91CEC" w:rsidRPr="00E54513">
        <w:t>A M van der Merwe</w:t>
      </w:r>
      <w:r w:rsidR="00035AEF" w:rsidRPr="00E54513">
        <w:t xml:space="preserve"> </w:t>
      </w:r>
    </w:p>
    <w:p w14:paraId="0697EAE7" w14:textId="52572350" w:rsidR="00797C7C" w:rsidRPr="004B29ED" w:rsidRDefault="00797C7C" w:rsidP="004B29ED">
      <w:pPr>
        <w:tabs>
          <w:tab w:val="left" w:pos="3119"/>
        </w:tabs>
        <w:spacing w:line="240" w:lineRule="auto"/>
        <w:ind w:left="3119" w:hanging="3119"/>
        <w:rPr>
          <w:color w:val="242121"/>
          <w:lang w:eastAsia="en-ZA"/>
        </w:rPr>
      </w:pPr>
      <w:r w:rsidRPr="001614F0">
        <w:rPr>
          <w:color w:val="242121"/>
          <w:lang w:eastAsia="en-ZA"/>
        </w:rPr>
        <w:t>Attorney for the plaintiff:</w:t>
      </w:r>
      <w:r w:rsidR="00183C7F" w:rsidRPr="00E54513">
        <w:rPr>
          <w:color w:val="242121"/>
          <w:lang w:eastAsia="en-ZA"/>
        </w:rPr>
        <w:t xml:space="preserve"> </w:t>
      </w:r>
      <w:r w:rsidRPr="00E54513">
        <w:rPr>
          <w:color w:val="242121"/>
          <w:lang w:eastAsia="en-ZA"/>
        </w:rPr>
        <w:tab/>
      </w:r>
      <w:r w:rsidR="002C226F" w:rsidRPr="00E54513">
        <w:rPr>
          <w:color w:val="242121"/>
          <w:lang w:eastAsia="en-ZA"/>
        </w:rPr>
        <w:t xml:space="preserve">A </w:t>
      </w:r>
      <w:r w:rsidR="002C226F" w:rsidRPr="00E54513">
        <w:t>Wolmarans Inc</w:t>
      </w:r>
      <w:r w:rsidR="008F4EC3" w:rsidRPr="00E54513">
        <w:t xml:space="preserve"> </w:t>
      </w:r>
      <w:r w:rsidR="002C226F" w:rsidRPr="001C04C5">
        <w:t>/</w:t>
      </w:r>
      <w:r w:rsidR="008F4EC3" w:rsidRPr="001C04C5">
        <w:t xml:space="preserve"> </w:t>
      </w:r>
      <w:r w:rsidR="002C226F" w:rsidRPr="001C04C5">
        <w:t>Ms Kordas</w:t>
      </w:r>
      <w:r w:rsidR="008F4EC3" w:rsidRPr="001C04C5">
        <w:t xml:space="preserve"> </w:t>
      </w:r>
      <w:r w:rsidR="002C226F" w:rsidRPr="001C04C5">
        <w:t>/</w:t>
      </w:r>
      <w:r w:rsidR="008F4EC3" w:rsidRPr="00516F11">
        <w:t xml:space="preserve"> </w:t>
      </w:r>
      <w:r w:rsidR="002C226F" w:rsidRPr="00516F11">
        <w:t xml:space="preserve">MAT7158 </w:t>
      </w:r>
    </w:p>
    <w:p w14:paraId="0D1B4C5B" w14:textId="6273CAE0" w:rsidR="00797C7C" w:rsidRPr="004B29ED" w:rsidRDefault="00797C7C" w:rsidP="004B29ED">
      <w:pPr>
        <w:tabs>
          <w:tab w:val="left" w:pos="3119"/>
        </w:tabs>
        <w:spacing w:line="240" w:lineRule="auto"/>
        <w:ind w:left="3119" w:hanging="3119"/>
        <w:rPr>
          <w:color w:val="242121"/>
          <w:lang w:eastAsia="en-ZA"/>
        </w:rPr>
      </w:pPr>
      <w:r w:rsidRPr="001614F0">
        <w:rPr>
          <w:color w:val="242121"/>
          <w:lang w:eastAsia="en-ZA"/>
        </w:rPr>
        <w:t>Counsel for the defendant:</w:t>
      </w:r>
      <w:r w:rsidR="00183C7F" w:rsidRPr="001614F0">
        <w:rPr>
          <w:color w:val="242121"/>
          <w:lang w:eastAsia="en-ZA"/>
        </w:rPr>
        <w:t xml:space="preserve"> </w:t>
      </w:r>
      <w:r w:rsidRPr="00E54513">
        <w:rPr>
          <w:color w:val="242121"/>
          <w:lang w:eastAsia="en-ZA"/>
        </w:rPr>
        <w:tab/>
      </w:r>
      <w:r w:rsidR="004C7711" w:rsidRPr="00E54513">
        <w:t>Mr T</w:t>
      </w:r>
      <w:r w:rsidRPr="00E54513">
        <w:t xml:space="preserve"> Naidoo</w:t>
      </w:r>
      <w:r w:rsidR="00035AEF" w:rsidRPr="00E54513">
        <w:t xml:space="preserve"> </w:t>
      </w:r>
    </w:p>
    <w:p w14:paraId="7C60D52A" w14:textId="512634ED" w:rsidR="00A737DA" w:rsidRPr="00E54513" w:rsidRDefault="00797C7C" w:rsidP="004B29ED">
      <w:pPr>
        <w:tabs>
          <w:tab w:val="left" w:pos="3119"/>
        </w:tabs>
        <w:spacing w:line="240" w:lineRule="auto"/>
        <w:ind w:left="3119" w:hanging="3119"/>
        <w:rPr>
          <w:lang w:eastAsia="en-ZA"/>
        </w:rPr>
      </w:pPr>
      <w:r w:rsidRPr="001614F0">
        <w:rPr>
          <w:color w:val="242121"/>
          <w:lang w:eastAsia="en-ZA"/>
        </w:rPr>
        <w:t>Attorney for the defendant:</w:t>
      </w:r>
      <w:r w:rsidR="004C7711" w:rsidRPr="001614F0">
        <w:t xml:space="preserve"> </w:t>
      </w:r>
      <w:r w:rsidR="00035AEF" w:rsidRPr="00E54513">
        <w:tab/>
      </w:r>
      <w:r w:rsidR="004C7711" w:rsidRPr="00E54513">
        <w:t>State Attorney</w:t>
      </w:r>
      <w:r w:rsidR="00035AEF" w:rsidRPr="00E54513">
        <w:t xml:space="preserve"> </w:t>
      </w:r>
    </w:p>
    <w:sectPr w:rsidR="00A737DA" w:rsidRPr="00E54513" w:rsidSect="00391BB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7CEA" w14:textId="77777777" w:rsidR="006943C9" w:rsidRDefault="006943C9" w:rsidP="00AA34D9">
      <w:pPr>
        <w:spacing w:line="240" w:lineRule="auto"/>
      </w:pPr>
      <w:r>
        <w:separator/>
      </w:r>
    </w:p>
  </w:endnote>
  <w:endnote w:type="continuationSeparator" w:id="0">
    <w:p w14:paraId="49E1F8E7" w14:textId="77777777" w:rsidR="006943C9" w:rsidRDefault="006943C9"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9F0C" w14:textId="77777777" w:rsidR="006943C9" w:rsidRDefault="006943C9" w:rsidP="00AA34D9">
      <w:pPr>
        <w:spacing w:line="240" w:lineRule="auto"/>
      </w:pPr>
      <w:r>
        <w:separator/>
      </w:r>
    </w:p>
  </w:footnote>
  <w:footnote w:type="continuationSeparator" w:id="0">
    <w:p w14:paraId="6614899C" w14:textId="77777777" w:rsidR="006943C9" w:rsidRDefault="006943C9" w:rsidP="00AA34D9">
      <w:pPr>
        <w:spacing w:line="240" w:lineRule="auto"/>
      </w:pPr>
      <w:r>
        <w:continuationSeparator/>
      </w:r>
    </w:p>
  </w:footnote>
  <w:footnote w:id="1">
    <w:p w14:paraId="4C8EF011" w14:textId="6585703D" w:rsidR="008D3906" w:rsidRPr="00B412CC" w:rsidRDefault="008D3906" w:rsidP="00483173">
      <w:pPr>
        <w:pStyle w:val="FootnoteText"/>
        <w:tabs>
          <w:tab w:val="clear" w:pos="284"/>
          <w:tab w:val="left" w:pos="567"/>
        </w:tabs>
        <w:ind w:left="567" w:hanging="567"/>
        <w:rPr>
          <w:b/>
          <w:bCs/>
          <w:iCs/>
        </w:rPr>
      </w:pPr>
      <w:r w:rsidRPr="00483173">
        <w:rPr>
          <w:rStyle w:val="FootnoteReference"/>
          <w:sz w:val="20"/>
        </w:rPr>
        <w:footnoteRef/>
      </w:r>
      <w:r w:rsidRPr="00483173">
        <w:t xml:space="preserve"> </w:t>
      </w:r>
      <w:r w:rsidRPr="00483173">
        <w:tab/>
      </w:r>
      <w:r w:rsidRPr="00483173">
        <w:rPr>
          <w:b/>
          <w:bCs/>
          <w:iCs/>
          <w:color w:val="000000"/>
        </w:rPr>
        <w:t>Tsoael v R</w:t>
      </w:r>
      <w:r w:rsidR="0042189D" w:rsidRPr="00483173">
        <w:rPr>
          <w:b/>
          <w:bCs/>
          <w:iCs/>
          <w:color w:val="000000"/>
        </w:rPr>
        <w:t xml:space="preserve">oad </w:t>
      </w:r>
      <w:r w:rsidRPr="00483173">
        <w:rPr>
          <w:b/>
          <w:bCs/>
          <w:iCs/>
          <w:color w:val="000000"/>
        </w:rPr>
        <w:t>A</w:t>
      </w:r>
      <w:r w:rsidR="0042189D" w:rsidRPr="00483173">
        <w:rPr>
          <w:b/>
          <w:bCs/>
          <w:iCs/>
          <w:color w:val="000000"/>
        </w:rPr>
        <w:t xml:space="preserve">ccident </w:t>
      </w:r>
      <w:r w:rsidRPr="00483173">
        <w:rPr>
          <w:b/>
          <w:bCs/>
          <w:iCs/>
          <w:color w:val="000000"/>
        </w:rPr>
        <w:t>F</w:t>
      </w:r>
      <w:r w:rsidR="0042189D" w:rsidRPr="00483173">
        <w:rPr>
          <w:b/>
          <w:bCs/>
          <w:iCs/>
          <w:color w:val="000000"/>
        </w:rPr>
        <w:t>und</w:t>
      </w:r>
      <w:r w:rsidR="00B412CC">
        <w:rPr>
          <w:bCs/>
          <w:iCs/>
          <w:color w:val="000000"/>
        </w:rPr>
        <w:t>,</w:t>
      </w:r>
      <w:r w:rsidRPr="00483173">
        <w:rPr>
          <w:b/>
          <w:bCs/>
          <w:iCs/>
          <w:color w:val="000000"/>
        </w:rPr>
        <w:t xml:space="preserve"> </w:t>
      </w:r>
      <w:r w:rsidRPr="00483173">
        <w:rPr>
          <w:iCs/>
          <w:color w:val="000000"/>
        </w:rPr>
        <w:t>an unreported judgment of the Gauteng Division, Pretoria</w:t>
      </w:r>
      <w:r w:rsidR="00B412CC">
        <w:rPr>
          <w:iCs/>
          <w:color w:val="000000"/>
        </w:rPr>
        <w:t>,</w:t>
      </w:r>
      <w:r w:rsidRPr="00483173">
        <w:rPr>
          <w:iCs/>
          <w:color w:val="000000"/>
        </w:rPr>
        <w:t xml:space="preserve"> under case number </w:t>
      </w:r>
      <w:r w:rsidRPr="00483173">
        <w:t>2016/63013</w:t>
      </w:r>
      <w:r w:rsidR="00483173" w:rsidRPr="00483173">
        <w:t xml:space="preserve"> </w:t>
      </w:r>
    </w:p>
  </w:footnote>
  <w:footnote w:id="2">
    <w:p w14:paraId="6C452D24" w14:textId="7858706D" w:rsidR="00467B06" w:rsidRDefault="00467B06" w:rsidP="00565701">
      <w:pPr>
        <w:pStyle w:val="FootnoteText"/>
        <w:tabs>
          <w:tab w:val="clear" w:pos="284"/>
          <w:tab w:val="left" w:pos="567"/>
        </w:tabs>
        <w:ind w:left="567" w:hanging="567"/>
      </w:pPr>
      <w:r>
        <w:rPr>
          <w:rStyle w:val="FootnoteReference"/>
        </w:rPr>
        <w:footnoteRef/>
      </w:r>
      <w:r>
        <w:t xml:space="preserve"> </w:t>
      </w:r>
      <w:r>
        <w:tab/>
      </w:r>
      <w:r w:rsidR="0056586B">
        <w:t>Gregory Whittaker</w:t>
      </w:r>
      <w:r w:rsidR="00565701">
        <w:t>,</w:t>
      </w:r>
      <w:r w:rsidR="0056586B">
        <w:t xml:space="preserve"> </w:t>
      </w:r>
      <w:r w:rsidRPr="00467B06">
        <w:rPr>
          <w:i/>
          <w:iCs/>
        </w:rPr>
        <w:t>Mere Conduits will not do</w:t>
      </w:r>
      <w:r w:rsidR="0056586B">
        <w:rPr>
          <w:i/>
          <w:iCs/>
        </w:rPr>
        <w:t>;</w:t>
      </w:r>
      <w:r>
        <w:t xml:space="preserve"> South African Actuary</w:t>
      </w:r>
      <w:r w:rsidR="0056586B">
        <w:t xml:space="preserve">, </w:t>
      </w:r>
      <w:r>
        <w:t>July 2022</w:t>
      </w:r>
      <w:r w:rsidR="00565701">
        <w:t xml:space="preserve"> </w:t>
      </w:r>
    </w:p>
  </w:footnote>
  <w:footnote w:id="3">
    <w:p w14:paraId="5E6B3512" w14:textId="57B9499D" w:rsidR="00936B14" w:rsidRDefault="00936B14" w:rsidP="00565701">
      <w:pPr>
        <w:pStyle w:val="FootnoteText"/>
        <w:tabs>
          <w:tab w:val="clear" w:pos="284"/>
          <w:tab w:val="left" w:pos="567"/>
        </w:tabs>
        <w:ind w:left="567" w:hanging="567"/>
      </w:pPr>
      <w:r>
        <w:rPr>
          <w:rStyle w:val="FootnoteReference"/>
        </w:rPr>
        <w:footnoteRef/>
      </w:r>
      <w:r>
        <w:t xml:space="preserve"> </w:t>
      </w:r>
      <w:r>
        <w:tab/>
      </w:r>
      <w:r w:rsidRPr="00485C97">
        <w:rPr>
          <w:b/>
          <w:bCs/>
        </w:rPr>
        <w:t xml:space="preserve">Chakane v Road Accident Fund </w:t>
      </w:r>
      <w:r>
        <w:t xml:space="preserve">[2019] JOL 41825 FB </w:t>
      </w:r>
      <w:r w:rsidR="0056586B">
        <w:t xml:space="preserve">at [20] to [27] </w:t>
      </w:r>
    </w:p>
  </w:footnote>
  <w:footnote w:id="4">
    <w:p w14:paraId="2C502D20" w14:textId="58BCA921" w:rsidR="0056586B" w:rsidRDefault="0056586B" w:rsidP="00565701">
      <w:pPr>
        <w:pStyle w:val="FootnoteText"/>
        <w:tabs>
          <w:tab w:val="clear" w:pos="284"/>
          <w:tab w:val="left" w:pos="567"/>
        </w:tabs>
        <w:ind w:left="567" w:hanging="567"/>
      </w:pPr>
      <w:r>
        <w:rPr>
          <w:rStyle w:val="FootnoteReference"/>
        </w:rPr>
        <w:footnoteRef/>
      </w:r>
      <w:r>
        <w:t xml:space="preserve"> </w:t>
      </w:r>
      <w:r>
        <w:tab/>
      </w:r>
      <w:r w:rsidRPr="00D42069">
        <w:rPr>
          <w:b/>
          <w:bCs/>
        </w:rPr>
        <w:t>Maloney v Road Accident Fund</w:t>
      </w:r>
      <w:r>
        <w:t xml:space="preserve"> [2022] 3 All SA 137 (WCC) at [101] to [104]</w:t>
      </w:r>
      <w:r w:rsidR="00565701">
        <w:t xml:space="preserve"> </w:t>
      </w:r>
    </w:p>
  </w:footnote>
  <w:footnote w:id="5">
    <w:p w14:paraId="48693D2F" w14:textId="1527D334" w:rsidR="00610B30" w:rsidRPr="00485C97" w:rsidRDefault="00610B30" w:rsidP="003407E7">
      <w:pPr>
        <w:tabs>
          <w:tab w:val="left" w:pos="567"/>
        </w:tabs>
        <w:spacing w:line="240" w:lineRule="auto"/>
        <w:ind w:left="567" w:hanging="567"/>
        <w:rPr>
          <w:color w:val="000000"/>
          <w:sz w:val="20"/>
          <w:szCs w:val="20"/>
        </w:rPr>
      </w:pPr>
      <w:r w:rsidRPr="004B29ED">
        <w:rPr>
          <w:rStyle w:val="FootnoteReference"/>
          <w:sz w:val="20"/>
          <w:szCs w:val="20"/>
        </w:rPr>
        <w:footnoteRef/>
      </w:r>
      <w:r w:rsidRPr="004B29ED">
        <w:rPr>
          <w:sz w:val="20"/>
          <w:szCs w:val="20"/>
        </w:rPr>
        <w:t xml:space="preserve"> </w:t>
      </w:r>
      <w:r w:rsidRPr="004B29ED">
        <w:rPr>
          <w:sz w:val="20"/>
          <w:szCs w:val="20"/>
        </w:rPr>
        <w:tab/>
      </w:r>
      <w:r w:rsidRPr="00483173">
        <w:rPr>
          <w:sz w:val="20"/>
          <w:szCs w:val="20"/>
        </w:rPr>
        <w:t xml:space="preserve">The expert witnesses are </w:t>
      </w:r>
      <w:r w:rsidRPr="00483173">
        <w:rPr>
          <w:color w:val="000000"/>
          <w:sz w:val="20"/>
          <w:szCs w:val="20"/>
        </w:rPr>
        <w:t>Dr M de Graad, an</w:t>
      </w:r>
      <w:r w:rsidRPr="008D54FE">
        <w:rPr>
          <w:color w:val="000000"/>
          <w:sz w:val="20"/>
          <w:szCs w:val="20"/>
        </w:rPr>
        <w:t xml:space="preserve"> Orthopaedic surgeon</w:t>
      </w:r>
      <w:r>
        <w:rPr>
          <w:color w:val="000000"/>
          <w:sz w:val="20"/>
          <w:szCs w:val="20"/>
        </w:rPr>
        <w:t>,</w:t>
      </w:r>
      <w:r w:rsidRPr="008D54FE">
        <w:rPr>
          <w:color w:val="000000"/>
          <w:sz w:val="20"/>
          <w:szCs w:val="20"/>
        </w:rPr>
        <w:t xml:space="preserve"> who examined the plaintiff on </w:t>
      </w:r>
      <w:r>
        <w:rPr>
          <w:color w:val="000000"/>
          <w:sz w:val="20"/>
          <w:szCs w:val="20"/>
        </w:rPr>
        <w:t>25 March 2020</w:t>
      </w:r>
      <w:r w:rsidRPr="008D54FE">
        <w:rPr>
          <w:color w:val="000000"/>
          <w:sz w:val="20"/>
          <w:szCs w:val="20"/>
        </w:rPr>
        <w:t>, Dr Dharmesh, a Diagnostic Radiologist</w:t>
      </w:r>
      <w:r>
        <w:rPr>
          <w:color w:val="000000"/>
          <w:sz w:val="20"/>
          <w:szCs w:val="20"/>
        </w:rPr>
        <w:t>,</w:t>
      </w:r>
      <w:r w:rsidRPr="008D54FE">
        <w:rPr>
          <w:color w:val="000000"/>
          <w:sz w:val="20"/>
          <w:szCs w:val="20"/>
        </w:rPr>
        <w:t xml:space="preserve"> who examined the plaintiff on 25</w:t>
      </w:r>
      <w:r w:rsidR="001120EA">
        <w:rPr>
          <w:color w:val="000000"/>
          <w:sz w:val="20"/>
          <w:szCs w:val="20"/>
        </w:rPr>
        <w:t> </w:t>
      </w:r>
      <w:r>
        <w:rPr>
          <w:color w:val="000000"/>
          <w:sz w:val="20"/>
          <w:szCs w:val="20"/>
        </w:rPr>
        <w:t>March 2020</w:t>
      </w:r>
      <w:r w:rsidRPr="008D54FE">
        <w:rPr>
          <w:color w:val="000000"/>
          <w:sz w:val="20"/>
          <w:szCs w:val="20"/>
        </w:rPr>
        <w:t>, Dr Ormond-Brown, a Clinical Neuropsychologist</w:t>
      </w:r>
      <w:r>
        <w:rPr>
          <w:color w:val="000000"/>
          <w:sz w:val="20"/>
          <w:szCs w:val="20"/>
        </w:rPr>
        <w:t>,</w:t>
      </w:r>
      <w:r w:rsidRPr="008D54FE">
        <w:rPr>
          <w:color w:val="000000"/>
          <w:sz w:val="20"/>
          <w:szCs w:val="20"/>
        </w:rPr>
        <w:t xml:space="preserve"> who examined the plaintiff on 30</w:t>
      </w:r>
      <w:r w:rsidR="001120EA">
        <w:rPr>
          <w:color w:val="000000"/>
          <w:sz w:val="20"/>
          <w:szCs w:val="20"/>
        </w:rPr>
        <w:t> </w:t>
      </w:r>
      <w:r>
        <w:rPr>
          <w:color w:val="000000"/>
          <w:sz w:val="20"/>
          <w:szCs w:val="20"/>
        </w:rPr>
        <w:t>June 2019</w:t>
      </w:r>
      <w:r w:rsidRPr="008D54FE">
        <w:rPr>
          <w:color w:val="000000"/>
          <w:sz w:val="20"/>
          <w:szCs w:val="20"/>
        </w:rPr>
        <w:t xml:space="preserve"> and 23</w:t>
      </w:r>
      <w:r>
        <w:rPr>
          <w:color w:val="000000"/>
          <w:sz w:val="20"/>
          <w:szCs w:val="20"/>
        </w:rPr>
        <w:t xml:space="preserve"> June 2020</w:t>
      </w:r>
      <w:r w:rsidRPr="008D54FE">
        <w:rPr>
          <w:color w:val="000000"/>
          <w:sz w:val="20"/>
          <w:szCs w:val="20"/>
        </w:rPr>
        <w:t>, Dr J</w:t>
      </w:r>
      <w:r>
        <w:rPr>
          <w:color w:val="000000"/>
          <w:sz w:val="20"/>
          <w:szCs w:val="20"/>
        </w:rPr>
        <w:t xml:space="preserve"> </w:t>
      </w:r>
      <w:r w:rsidRPr="008D54FE">
        <w:rPr>
          <w:color w:val="000000"/>
          <w:sz w:val="20"/>
          <w:szCs w:val="20"/>
        </w:rPr>
        <w:t>H Kruger, a Neurosurgeon</w:t>
      </w:r>
      <w:r>
        <w:rPr>
          <w:color w:val="000000"/>
          <w:sz w:val="20"/>
          <w:szCs w:val="20"/>
        </w:rPr>
        <w:t>,</w:t>
      </w:r>
      <w:r w:rsidRPr="008D54FE">
        <w:rPr>
          <w:color w:val="000000"/>
          <w:sz w:val="20"/>
          <w:szCs w:val="20"/>
        </w:rPr>
        <w:t xml:space="preserve"> who examined the plaintiff on 12</w:t>
      </w:r>
      <w:r w:rsidR="001120EA">
        <w:rPr>
          <w:color w:val="000000"/>
          <w:sz w:val="20"/>
          <w:szCs w:val="20"/>
        </w:rPr>
        <w:t> </w:t>
      </w:r>
      <w:r>
        <w:rPr>
          <w:color w:val="000000"/>
          <w:sz w:val="20"/>
          <w:szCs w:val="20"/>
        </w:rPr>
        <w:t>June 2020</w:t>
      </w:r>
      <w:r w:rsidRPr="008D54FE">
        <w:rPr>
          <w:color w:val="000000"/>
          <w:sz w:val="20"/>
          <w:szCs w:val="20"/>
        </w:rPr>
        <w:t>, Dr Townsend, a Neurologist who examined the plaintiff on 23</w:t>
      </w:r>
      <w:r>
        <w:rPr>
          <w:color w:val="000000"/>
          <w:sz w:val="20"/>
          <w:szCs w:val="20"/>
        </w:rPr>
        <w:t xml:space="preserve"> September 2020</w:t>
      </w:r>
      <w:r w:rsidRPr="008D54FE">
        <w:rPr>
          <w:color w:val="000000"/>
          <w:sz w:val="20"/>
          <w:szCs w:val="20"/>
        </w:rPr>
        <w:t>, Dr</w:t>
      </w:r>
      <w:r w:rsidR="003407E7">
        <w:rPr>
          <w:color w:val="000000"/>
          <w:sz w:val="20"/>
          <w:szCs w:val="20"/>
        </w:rPr>
        <w:t> </w:t>
      </w:r>
      <w:r w:rsidRPr="008D54FE">
        <w:rPr>
          <w:color w:val="000000"/>
          <w:sz w:val="20"/>
          <w:szCs w:val="20"/>
        </w:rPr>
        <w:t>Rossi, an Educational and Neuropsychologist</w:t>
      </w:r>
      <w:r>
        <w:rPr>
          <w:color w:val="000000"/>
          <w:sz w:val="20"/>
          <w:szCs w:val="20"/>
        </w:rPr>
        <w:t>,</w:t>
      </w:r>
      <w:r w:rsidRPr="008D54FE">
        <w:rPr>
          <w:color w:val="000000"/>
          <w:sz w:val="20"/>
          <w:szCs w:val="20"/>
        </w:rPr>
        <w:t xml:space="preserve"> who examined the plaintiff on </w:t>
      </w:r>
      <w:r>
        <w:rPr>
          <w:color w:val="000000"/>
          <w:sz w:val="20"/>
          <w:szCs w:val="20"/>
        </w:rPr>
        <w:t>9 September 2020</w:t>
      </w:r>
      <w:r w:rsidRPr="008D54FE">
        <w:rPr>
          <w:color w:val="000000"/>
          <w:sz w:val="20"/>
          <w:szCs w:val="20"/>
        </w:rPr>
        <w:t xml:space="preserve"> and 15</w:t>
      </w:r>
      <w:r>
        <w:rPr>
          <w:color w:val="000000"/>
          <w:sz w:val="20"/>
          <w:szCs w:val="20"/>
        </w:rPr>
        <w:t xml:space="preserve"> June 2022</w:t>
      </w:r>
      <w:r w:rsidRPr="008D54FE">
        <w:rPr>
          <w:color w:val="000000"/>
          <w:sz w:val="20"/>
          <w:szCs w:val="20"/>
        </w:rPr>
        <w:t>, Dr Naidoo, a Psychiatrist</w:t>
      </w:r>
      <w:r>
        <w:rPr>
          <w:color w:val="000000"/>
          <w:sz w:val="20"/>
          <w:szCs w:val="20"/>
        </w:rPr>
        <w:t>,</w:t>
      </w:r>
      <w:r w:rsidRPr="008D54FE">
        <w:rPr>
          <w:color w:val="000000"/>
          <w:sz w:val="20"/>
          <w:szCs w:val="20"/>
        </w:rPr>
        <w:t xml:space="preserve"> who examined the plaintiff on 22</w:t>
      </w:r>
      <w:r>
        <w:rPr>
          <w:color w:val="000000"/>
          <w:sz w:val="20"/>
          <w:szCs w:val="20"/>
        </w:rPr>
        <w:t xml:space="preserve"> November 2019</w:t>
      </w:r>
      <w:r w:rsidRPr="008D54FE">
        <w:rPr>
          <w:color w:val="000000"/>
          <w:sz w:val="20"/>
          <w:szCs w:val="20"/>
        </w:rPr>
        <w:t>; Ms K</w:t>
      </w:r>
      <w:r>
        <w:rPr>
          <w:color w:val="000000"/>
          <w:sz w:val="20"/>
          <w:szCs w:val="20"/>
        </w:rPr>
        <w:t xml:space="preserve"> </w:t>
      </w:r>
      <w:r w:rsidRPr="008D54FE">
        <w:rPr>
          <w:color w:val="000000"/>
          <w:sz w:val="20"/>
          <w:szCs w:val="20"/>
        </w:rPr>
        <w:t>Cumming, a</w:t>
      </w:r>
      <w:r>
        <w:rPr>
          <w:color w:val="000000"/>
          <w:sz w:val="20"/>
          <w:szCs w:val="20"/>
        </w:rPr>
        <w:t>n</w:t>
      </w:r>
      <w:r w:rsidRPr="008D54FE">
        <w:rPr>
          <w:color w:val="000000"/>
          <w:sz w:val="20"/>
          <w:szCs w:val="20"/>
        </w:rPr>
        <w:t xml:space="preserve"> Occupational Therapist</w:t>
      </w:r>
      <w:r>
        <w:rPr>
          <w:color w:val="000000"/>
          <w:sz w:val="20"/>
          <w:szCs w:val="20"/>
        </w:rPr>
        <w:t>,</w:t>
      </w:r>
      <w:r w:rsidRPr="008D54FE">
        <w:rPr>
          <w:color w:val="000000"/>
          <w:sz w:val="20"/>
          <w:szCs w:val="20"/>
        </w:rPr>
        <w:t xml:space="preserve"> who examined the plaintiff on 20</w:t>
      </w:r>
      <w:r>
        <w:rPr>
          <w:color w:val="000000"/>
          <w:sz w:val="20"/>
          <w:szCs w:val="20"/>
        </w:rPr>
        <w:t xml:space="preserve"> March </w:t>
      </w:r>
      <w:r w:rsidRPr="008D54FE">
        <w:rPr>
          <w:color w:val="000000"/>
          <w:sz w:val="20"/>
          <w:szCs w:val="20"/>
        </w:rPr>
        <w:t>2020, and Ms T Talmud, an Industrial Psychologist</w:t>
      </w:r>
      <w:r>
        <w:rPr>
          <w:color w:val="000000"/>
          <w:sz w:val="20"/>
          <w:szCs w:val="20"/>
        </w:rPr>
        <w:t>,</w:t>
      </w:r>
      <w:r w:rsidRPr="008D54FE">
        <w:rPr>
          <w:color w:val="000000"/>
          <w:sz w:val="20"/>
          <w:szCs w:val="20"/>
        </w:rPr>
        <w:t xml:space="preserve"> who examined the plaintiff on </w:t>
      </w:r>
      <w:r w:rsidRPr="005E70C2">
        <w:rPr>
          <w:color w:val="000000"/>
          <w:sz w:val="20"/>
          <w:szCs w:val="20"/>
        </w:rPr>
        <w:t>9</w:t>
      </w:r>
      <w:r>
        <w:rPr>
          <w:color w:val="000000"/>
          <w:sz w:val="20"/>
          <w:szCs w:val="20"/>
        </w:rPr>
        <w:t xml:space="preserve"> October </w:t>
      </w:r>
      <w:r w:rsidRPr="005E70C2">
        <w:rPr>
          <w:color w:val="000000"/>
          <w:sz w:val="20"/>
          <w:szCs w:val="20"/>
        </w:rPr>
        <w:t>2020 and 11</w:t>
      </w:r>
      <w:r w:rsidR="001120EA">
        <w:rPr>
          <w:color w:val="000000"/>
          <w:sz w:val="20"/>
          <w:szCs w:val="20"/>
        </w:rPr>
        <w:t> </w:t>
      </w:r>
      <w:r>
        <w:rPr>
          <w:color w:val="000000"/>
          <w:sz w:val="20"/>
          <w:szCs w:val="20"/>
        </w:rPr>
        <w:t xml:space="preserve">July </w:t>
      </w:r>
      <w:r w:rsidRPr="005E70C2">
        <w:rPr>
          <w:color w:val="000000"/>
          <w:sz w:val="20"/>
          <w:szCs w:val="20"/>
        </w:rPr>
        <w:t>2022</w:t>
      </w:r>
      <w:r>
        <w:rPr>
          <w:color w:val="000000"/>
          <w:sz w:val="20"/>
          <w:szCs w:val="20"/>
        </w:rPr>
        <w:t xml:space="preserve"> </w:t>
      </w:r>
    </w:p>
  </w:footnote>
  <w:footnote w:id="6">
    <w:p w14:paraId="4ED03877" w14:textId="6C1AD84F" w:rsidR="00E10055" w:rsidRPr="00483173" w:rsidRDefault="00E10055"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Bwanya v The Master of the High Court and others</w:t>
      </w:r>
      <w:r w:rsidRPr="00483173">
        <w:t xml:space="preserve"> 2022 (3) SA 250 (CC) at [104] to [108]</w:t>
      </w:r>
      <w:r w:rsidR="003372D3">
        <w:t xml:space="preserve"> </w:t>
      </w:r>
    </w:p>
  </w:footnote>
  <w:footnote w:id="7">
    <w:p w14:paraId="50086119" w14:textId="6BC0BB39" w:rsidR="00E74757" w:rsidRPr="00483173" w:rsidRDefault="00E74757" w:rsidP="00483173">
      <w:pPr>
        <w:tabs>
          <w:tab w:val="left" w:pos="567"/>
        </w:tabs>
        <w:spacing w:line="240" w:lineRule="auto"/>
        <w:ind w:left="567" w:hanging="567"/>
        <w:rPr>
          <w:sz w:val="20"/>
          <w:szCs w:val="20"/>
          <w:lang w:eastAsia="en-GB"/>
        </w:rPr>
      </w:pPr>
      <w:r w:rsidRPr="004B29ED">
        <w:rPr>
          <w:rStyle w:val="FootnoteReference"/>
          <w:sz w:val="20"/>
          <w:szCs w:val="20"/>
        </w:rPr>
        <w:footnoteRef/>
      </w:r>
      <w:r w:rsidRPr="004B29ED">
        <w:rPr>
          <w:sz w:val="20"/>
          <w:szCs w:val="20"/>
        </w:rPr>
        <w:t xml:space="preserve"> </w:t>
      </w:r>
      <w:r w:rsidR="007520BD">
        <w:rPr>
          <w:sz w:val="20"/>
          <w:szCs w:val="20"/>
        </w:rPr>
        <w:tab/>
      </w:r>
      <w:r w:rsidR="001B57C7" w:rsidRPr="00483173">
        <w:rPr>
          <w:sz w:val="20"/>
          <w:szCs w:val="20"/>
        </w:rPr>
        <w:t>“</w:t>
      </w:r>
      <w:r w:rsidR="001B57C7" w:rsidRPr="008D54FE">
        <w:rPr>
          <w:i/>
          <w:iCs/>
          <w:sz w:val="20"/>
          <w:szCs w:val="20"/>
        </w:rPr>
        <w:t>Stare decisis</w:t>
      </w:r>
      <w:r w:rsidR="001B57C7" w:rsidRPr="008D54FE">
        <w:rPr>
          <w:sz w:val="20"/>
          <w:szCs w:val="20"/>
        </w:rPr>
        <w:t>”</w:t>
      </w:r>
      <w:r w:rsidR="001B57C7" w:rsidRPr="004B29ED">
        <w:rPr>
          <w:sz w:val="20"/>
          <w:szCs w:val="20"/>
        </w:rPr>
        <w:t xml:space="preserve"> </w:t>
      </w:r>
      <w:r w:rsidR="001B57C7" w:rsidRPr="00483173">
        <w:rPr>
          <w:color w:val="000000"/>
          <w:sz w:val="20"/>
          <w:szCs w:val="20"/>
          <w:shd w:val="clear" w:color="auto" w:fill="FFFFFF"/>
          <w:lang w:eastAsia="en-GB"/>
        </w:rPr>
        <w:t>is an abbreviation of the Latin maxim</w:t>
      </w:r>
      <w:r w:rsidR="007520BD">
        <w:rPr>
          <w:color w:val="000000"/>
          <w:sz w:val="20"/>
          <w:szCs w:val="20"/>
          <w:shd w:val="clear" w:color="auto" w:fill="FFFFFF"/>
          <w:lang w:eastAsia="en-GB"/>
        </w:rPr>
        <w:t xml:space="preserve"> </w:t>
      </w:r>
      <w:r w:rsidR="001B57C7" w:rsidRPr="008D54FE">
        <w:rPr>
          <w:i/>
          <w:iCs/>
          <w:color w:val="000000"/>
          <w:sz w:val="20"/>
          <w:szCs w:val="20"/>
          <w:lang w:eastAsia="en-GB"/>
        </w:rPr>
        <w:t>stare decisis et non quieta movere</w:t>
      </w:r>
      <w:r w:rsidR="001B57C7" w:rsidRPr="008D54FE">
        <w:rPr>
          <w:color w:val="000000"/>
          <w:sz w:val="20"/>
          <w:szCs w:val="20"/>
          <w:shd w:val="clear" w:color="auto" w:fill="FFFFFF"/>
          <w:lang w:eastAsia="en-GB"/>
        </w:rPr>
        <w:t xml:space="preserve">. </w:t>
      </w:r>
      <w:r w:rsidR="007520BD">
        <w:rPr>
          <w:color w:val="000000"/>
          <w:sz w:val="20"/>
          <w:szCs w:val="20"/>
          <w:shd w:val="clear" w:color="auto" w:fill="FFFFFF"/>
          <w:lang w:eastAsia="en-GB"/>
        </w:rPr>
        <w:t xml:space="preserve"> </w:t>
      </w:r>
      <w:r w:rsidR="001B57C7" w:rsidRPr="008D54FE">
        <w:rPr>
          <w:color w:val="000000"/>
          <w:sz w:val="20"/>
          <w:szCs w:val="20"/>
          <w:shd w:val="clear" w:color="auto" w:fill="FFFFFF"/>
          <w:lang w:eastAsia="en-GB"/>
        </w:rPr>
        <w:t>The historical development of this doctrine is traced by Kahn 1967</w:t>
      </w:r>
      <w:r w:rsidR="00E000E4">
        <w:rPr>
          <w:color w:val="000000"/>
          <w:sz w:val="20"/>
          <w:szCs w:val="20"/>
          <w:shd w:val="clear" w:color="auto" w:fill="FFFFFF"/>
          <w:lang w:eastAsia="en-GB"/>
        </w:rPr>
        <w:t xml:space="preserve"> </w:t>
      </w:r>
      <w:r w:rsidR="001B57C7" w:rsidRPr="008D54FE">
        <w:rPr>
          <w:i/>
          <w:iCs/>
          <w:color w:val="000000"/>
          <w:sz w:val="20"/>
          <w:szCs w:val="20"/>
          <w:lang w:eastAsia="en-GB"/>
        </w:rPr>
        <w:t>SALJ</w:t>
      </w:r>
      <w:r w:rsidR="00E000E4">
        <w:rPr>
          <w:i/>
          <w:iCs/>
          <w:color w:val="000000"/>
          <w:sz w:val="20"/>
          <w:szCs w:val="20"/>
          <w:lang w:eastAsia="en-GB"/>
        </w:rPr>
        <w:t xml:space="preserve"> </w:t>
      </w:r>
      <w:r w:rsidR="001B57C7" w:rsidRPr="00F0291F">
        <w:rPr>
          <w:color w:val="000000"/>
          <w:sz w:val="20"/>
          <w:szCs w:val="20"/>
          <w:shd w:val="clear" w:color="auto" w:fill="FFFFFF"/>
          <w:lang w:eastAsia="en-GB"/>
        </w:rPr>
        <w:t>43 175 308.</w:t>
      </w:r>
      <w:r w:rsidR="00C678A2">
        <w:rPr>
          <w:color w:val="000000"/>
          <w:sz w:val="20"/>
          <w:szCs w:val="20"/>
          <w:shd w:val="clear" w:color="auto" w:fill="FFFFFF"/>
          <w:lang w:eastAsia="en-GB"/>
        </w:rPr>
        <w:t xml:space="preserve"> </w:t>
      </w:r>
      <w:r w:rsidR="001B57C7" w:rsidRPr="00F0291F">
        <w:rPr>
          <w:color w:val="000000"/>
          <w:sz w:val="20"/>
          <w:szCs w:val="20"/>
          <w:shd w:val="clear" w:color="auto" w:fill="FFFFFF"/>
          <w:lang w:eastAsia="en-GB"/>
        </w:rPr>
        <w:t xml:space="preserve"> See also articles by Kotzé 1917</w:t>
      </w:r>
      <w:r w:rsidR="00E000E4">
        <w:rPr>
          <w:color w:val="000000"/>
          <w:sz w:val="20"/>
          <w:szCs w:val="20"/>
          <w:shd w:val="clear" w:color="auto" w:fill="FFFFFF"/>
          <w:lang w:eastAsia="en-GB"/>
        </w:rPr>
        <w:t xml:space="preserve"> </w:t>
      </w:r>
      <w:r w:rsidR="001B57C7" w:rsidRPr="00F0291F">
        <w:rPr>
          <w:i/>
          <w:iCs/>
          <w:color w:val="000000"/>
          <w:sz w:val="20"/>
          <w:szCs w:val="20"/>
          <w:lang w:eastAsia="en-GB"/>
        </w:rPr>
        <w:t>SALJ</w:t>
      </w:r>
      <w:r w:rsidR="00E000E4">
        <w:rPr>
          <w:i/>
          <w:iCs/>
          <w:color w:val="000000"/>
          <w:sz w:val="20"/>
          <w:szCs w:val="20"/>
          <w:lang w:eastAsia="en-GB"/>
        </w:rPr>
        <w:t xml:space="preserve"> </w:t>
      </w:r>
      <w:r w:rsidR="001B57C7" w:rsidRPr="00F0291F">
        <w:rPr>
          <w:color w:val="000000"/>
          <w:sz w:val="20"/>
          <w:szCs w:val="20"/>
          <w:shd w:val="clear" w:color="auto" w:fill="FFFFFF"/>
          <w:lang w:eastAsia="en-GB"/>
        </w:rPr>
        <w:t>280 315; McGregor 1946</w:t>
      </w:r>
      <w:r w:rsidR="00E000E4">
        <w:rPr>
          <w:color w:val="000000"/>
          <w:sz w:val="20"/>
          <w:szCs w:val="20"/>
          <w:shd w:val="clear" w:color="auto" w:fill="FFFFFF"/>
          <w:lang w:eastAsia="en-GB"/>
        </w:rPr>
        <w:t xml:space="preserve">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12; Kahn 1955</w:t>
      </w:r>
      <w:r w:rsidR="00E000E4">
        <w:rPr>
          <w:color w:val="000000"/>
          <w:sz w:val="20"/>
          <w:szCs w:val="20"/>
          <w:shd w:val="clear" w:color="auto" w:fill="FFFFFF"/>
          <w:lang w:eastAsia="en-GB"/>
        </w:rPr>
        <w:t xml:space="preserve">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6, 1965</w:t>
      </w:r>
      <w:r w:rsidR="00E000E4">
        <w:rPr>
          <w:color w:val="000000"/>
          <w:sz w:val="20"/>
          <w:szCs w:val="20"/>
          <w:shd w:val="clear" w:color="auto" w:fill="FFFFFF"/>
          <w:lang w:eastAsia="en-GB"/>
        </w:rPr>
        <w:t xml:space="preserve">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283 526, 1975 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105; Beck 1981</w:t>
      </w:r>
      <w:r w:rsidR="00E000E4">
        <w:rPr>
          <w:color w:val="000000"/>
          <w:sz w:val="20"/>
          <w:szCs w:val="20"/>
          <w:shd w:val="clear" w:color="auto" w:fill="FFFFFF"/>
          <w:lang w:eastAsia="en-GB"/>
        </w:rPr>
        <w:t xml:space="preserve">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353; Oelschig, Midgley and Kerr 1985</w:t>
      </w:r>
      <w:r w:rsidR="00E000E4">
        <w:rPr>
          <w:color w:val="000000"/>
          <w:sz w:val="20"/>
          <w:szCs w:val="20"/>
          <w:shd w:val="clear" w:color="auto" w:fill="FFFFFF"/>
          <w:lang w:eastAsia="en-GB"/>
        </w:rPr>
        <w:t xml:space="preserve"> </w:t>
      </w:r>
      <w:r w:rsidR="001B57C7" w:rsidRPr="00483173">
        <w:rPr>
          <w:i/>
          <w:iCs/>
          <w:color w:val="000000"/>
          <w:sz w:val="20"/>
          <w:szCs w:val="20"/>
          <w:lang w:eastAsia="en-GB"/>
        </w:rPr>
        <w:t>SALJ</w:t>
      </w:r>
      <w:r w:rsidR="00E000E4">
        <w:rPr>
          <w:i/>
          <w:iCs/>
          <w:color w:val="000000"/>
          <w:sz w:val="20"/>
          <w:szCs w:val="20"/>
          <w:lang w:eastAsia="en-GB"/>
        </w:rPr>
        <w:t xml:space="preserve"> </w:t>
      </w:r>
      <w:r w:rsidR="001B57C7" w:rsidRPr="00483173">
        <w:rPr>
          <w:color w:val="000000"/>
          <w:sz w:val="20"/>
          <w:szCs w:val="20"/>
          <w:shd w:val="clear" w:color="auto" w:fill="FFFFFF"/>
          <w:lang w:eastAsia="en-GB"/>
        </w:rPr>
        <w:t>370 374; Hahlo and Kahn</w:t>
      </w:r>
      <w:r w:rsidR="00C678A2">
        <w:rPr>
          <w:color w:val="000000"/>
          <w:sz w:val="20"/>
          <w:szCs w:val="20"/>
          <w:shd w:val="clear" w:color="auto" w:fill="FFFFFF"/>
          <w:lang w:eastAsia="en-GB"/>
        </w:rPr>
        <w:t xml:space="preserve">, </w:t>
      </w:r>
      <w:r w:rsidR="001B57C7" w:rsidRPr="00483173">
        <w:rPr>
          <w:i/>
          <w:iCs/>
          <w:color w:val="000000"/>
          <w:sz w:val="20"/>
          <w:szCs w:val="20"/>
          <w:lang w:eastAsia="en-GB"/>
        </w:rPr>
        <w:t>The SA Legal System and its Background</w:t>
      </w:r>
      <w:r w:rsidR="00C678A2">
        <w:rPr>
          <w:i/>
          <w:iCs/>
          <w:color w:val="000000"/>
          <w:sz w:val="20"/>
          <w:szCs w:val="20"/>
          <w:lang w:eastAsia="en-GB"/>
        </w:rPr>
        <w:t xml:space="preserve"> </w:t>
      </w:r>
      <w:r w:rsidR="001B57C7" w:rsidRPr="00483173">
        <w:rPr>
          <w:color w:val="000000"/>
          <w:sz w:val="20"/>
          <w:szCs w:val="20"/>
          <w:shd w:val="clear" w:color="auto" w:fill="FFFFFF"/>
          <w:lang w:eastAsia="en-GB"/>
        </w:rPr>
        <w:t>214</w:t>
      </w:r>
      <w:r w:rsidR="00C678A2">
        <w:rPr>
          <w:color w:val="000000"/>
          <w:sz w:val="20"/>
          <w:szCs w:val="20"/>
          <w:shd w:val="clear" w:color="auto" w:fill="FFFFFF"/>
          <w:lang w:eastAsia="en-GB"/>
        </w:rPr>
        <w:t xml:space="preserve"> </w:t>
      </w:r>
    </w:p>
  </w:footnote>
  <w:footnote w:id="8">
    <w:p w14:paraId="0BDBA218" w14:textId="3BBB6FC2" w:rsidR="00FB100A" w:rsidRPr="00483173" w:rsidRDefault="00FB100A"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002C0B36" w:rsidRPr="00483173">
        <w:t>LAWSA, vol 10, 3</w:t>
      </w:r>
      <w:r w:rsidR="002C0B36" w:rsidRPr="00483173">
        <w:rPr>
          <w:vertAlign w:val="superscript"/>
        </w:rPr>
        <w:t>rd</w:t>
      </w:r>
      <w:r w:rsidR="002C0B36" w:rsidRPr="00483173">
        <w:t xml:space="preserve"> ed at 520</w:t>
      </w:r>
      <w:r w:rsidR="00C678A2">
        <w:t xml:space="preserve"> </w:t>
      </w:r>
    </w:p>
  </w:footnote>
  <w:footnote w:id="9">
    <w:p w14:paraId="3650C0A2" w14:textId="77777777" w:rsidR="00751D6C" w:rsidRPr="00483173" w:rsidRDefault="00751D6C" w:rsidP="00751D6C">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Road Accident Fund v Sweatman</w:t>
      </w:r>
      <w:r w:rsidRPr="00483173">
        <w:t xml:space="preserve"> 2015 (6) SA 186 (SCA) at [20]</w:t>
      </w:r>
      <w:r>
        <w:t xml:space="preserve"> </w:t>
      </w:r>
    </w:p>
  </w:footnote>
  <w:footnote w:id="10">
    <w:p w14:paraId="52FAE795" w14:textId="77777777" w:rsidR="00751D6C" w:rsidRPr="00483173" w:rsidRDefault="00751D6C" w:rsidP="00751D6C">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Pitt v Economic Insurance Co Ltd</w:t>
      </w:r>
      <w:r w:rsidRPr="00483173">
        <w:t xml:space="preserve"> 1957 (3) SA 284 (D) at 287</w:t>
      </w:r>
      <w:r>
        <w:t xml:space="preserve"> </w:t>
      </w:r>
    </w:p>
  </w:footnote>
  <w:footnote w:id="11">
    <w:p w14:paraId="7E932C12" w14:textId="0E1FEE8D" w:rsidR="00751D6C" w:rsidRPr="00483173" w:rsidRDefault="00751D6C" w:rsidP="00751D6C">
      <w:pPr>
        <w:pStyle w:val="FootnoteText"/>
        <w:tabs>
          <w:tab w:val="clear" w:pos="284"/>
          <w:tab w:val="left" w:pos="567"/>
        </w:tabs>
        <w:ind w:left="567" w:hanging="567"/>
        <w:rPr>
          <w:lang w:val="en-ZA"/>
        </w:rPr>
      </w:pPr>
      <w:r w:rsidRPr="00E87BB9">
        <w:rPr>
          <w:rStyle w:val="FootnoteReference"/>
          <w:sz w:val="20"/>
        </w:rPr>
        <w:footnoteRef/>
      </w:r>
      <w:r w:rsidRPr="00483173">
        <w:t xml:space="preserve"> </w:t>
      </w:r>
      <w:r w:rsidRPr="00483173">
        <w:rPr>
          <w:lang w:val="en-ZA"/>
        </w:rPr>
        <w:tab/>
      </w:r>
      <w:r w:rsidRPr="00483173">
        <w:rPr>
          <w:b/>
          <w:bCs/>
          <w:lang w:val="en-ZA"/>
        </w:rPr>
        <w:t>Southern Insurance Association Ltd v Bailey N.O</w:t>
      </w:r>
      <w:r w:rsidR="00553532">
        <w:rPr>
          <w:b/>
          <w:bCs/>
          <w:lang w:val="en-ZA"/>
        </w:rPr>
        <w:t>.</w:t>
      </w:r>
      <w:r w:rsidRPr="00483173">
        <w:rPr>
          <w:lang w:val="en-ZA"/>
        </w:rPr>
        <w:t xml:space="preserve"> 1984 (1) SA </w:t>
      </w:r>
      <w:r>
        <w:rPr>
          <w:lang w:val="en-ZA"/>
        </w:rPr>
        <w:t>98</w:t>
      </w:r>
      <w:r w:rsidRPr="00483173">
        <w:rPr>
          <w:lang w:val="en-ZA"/>
        </w:rPr>
        <w:t xml:space="preserve"> (A)</w:t>
      </w:r>
      <w:r>
        <w:rPr>
          <w:lang w:val="en-ZA"/>
        </w:rPr>
        <w:t xml:space="preserve"> </w:t>
      </w:r>
    </w:p>
  </w:footnote>
  <w:footnote w:id="12">
    <w:p w14:paraId="6F0EB2C9" w14:textId="5BDB7B8E" w:rsidR="00751D6C" w:rsidRDefault="00751D6C" w:rsidP="00751D6C">
      <w:pPr>
        <w:pStyle w:val="FootnoteText"/>
        <w:tabs>
          <w:tab w:val="clear" w:pos="284"/>
          <w:tab w:val="left" w:pos="0"/>
        </w:tabs>
        <w:ind w:left="567" w:hanging="567"/>
      </w:pPr>
      <w:r>
        <w:rPr>
          <w:rStyle w:val="FootnoteReference"/>
        </w:rPr>
        <w:footnoteRef/>
      </w:r>
      <w:r>
        <w:t xml:space="preserve"> </w:t>
      </w:r>
      <w:r>
        <w:tab/>
      </w:r>
      <w:r w:rsidRPr="00483173">
        <w:rPr>
          <w:b/>
          <w:bCs/>
        </w:rPr>
        <w:t>Road Accident Fund v Guedes</w:t>
      </w:r>
      <w:r w:rsidRPr="00483173">
        <w:t xml:space="preserve"> 2006 (5) SA 583 (SCA)</w:t>
      </w:r>
      <w:r w:rsidR="00553532">
        <w:t xml:space="preserve"> </w:t>
      </w:r>
    </w:p>
  </w:footnote>
  <w:footnote w:id="13">
    <w:p w14:paraId="231A695F" w14:textId="14FB15BC" w:rsidR="0081422C" w:rsidRDefault="0081422C" w:rsidP="004134A0">
      <w:pPr>
        <w:pStyle w:val="FootnoteText"/>
        <w:tabs>
          <w:tab w:val="clear" w:pos="284"/>
          <w:tab w:val="left" w:pos="567"/>
        </w:tabs>
        <w:ind w:left="567" w:hanging="567"/>
      </w:pPr>
      <w:r>
        <w:rPr>
          <w:rStyle w:val="FootnoteReference"/>
        </w:rPr>
        <w:footnoteRef/>
      </w:r>
      <w:r>
        <w:t xml:space="preserve"> </w:t>
      </w:r>
      <w:r>
        <w:tab/>
      </w:r>
      <w:r w:rsidRPr="0081422C">
        <w:rPr>
          <w:b/>
          <w:bCs/>
        </w:rPr>
        <w:t>Bookworks (Pty) Ltd v Greater Johannesburg Transitional Council</w:t>
      </w:r>
      <w:r>
        <w:t xml:space="preserve"> 1999 (4) SA 799 (W)</w:t>
      </w:r>
      <w:r w:rsidR="00556378">
        <w:t xml:space="preserve"> </w:t>
      </w:r>
    </w:p>
  </w:footnote>
  <w:footnote w:id="14">
    <w:p w14:paraId="17ECEA02" w14:textId="7F7D9081" w:rsidR="00185FBB" w:rsidRDefault="00185FBB" w:rsidP="004134A0">
      <w:pPr>
        <w:pStyle w:val="FootnoteText"/>
        <w:tabs>
          <w:tab w:val="clear" w:pos="284"/>
          <w:tab w:val="left" w:pos="567"/>
        </w:tabs>
        <w:ind w:left="567" w:hanging="567"/>
      </w:pPr>
      <w:r>
        <w:rPr>
          <w:rStyle w:val="FootnoteReference"/>
        </w:rPr>
        <w:footnoteRef/>
      </w:r>
      <w:r>
        <w:t xml:space="preserve"> </w:t>
      </w:r>
      <w:r>
        <w:tab/>
        <w:t>At 805 G/H</w:t>
      </w:r>
      <w:r w:rsidR="0018141E">
        <w:t>; 806 C to 807 G</w:t>
      </w:r>
      <w:r>
        <w:t xml:space="preserve"> and 807 J</w:t>
      </w:r>
      <w:r w:rsidR="00556378">
        <w:t xml:space="preserve"> </w:t>
      </w:r>
    </w:p>
  </w:footnote>
  <w:footnote w:id="15">
    <w:p w14:paraId="09B1BA76" w14:textId="0F1DA272" w:rsidR="0090556B" w:rsidRDefault="0090556B" w:rsidP="004134A0">
      <w:pPr>
        <w:pStyle w:val="FootnoteText"/>
        <w:tabs>
          <w:tab w:val="clear" w:pos="284"/>
          <w:tab w:val="left" w:pos="567"/>
        </w:tabs>
        <w:ind w:left="567" w:hanging="567"/>
      </w:pPr>
      <w:r>
        <w:rPr>
          <w:rStyle w:val="FootnoteReference"/>
        </w:rPr>
        <w:footnoteRef/>
      </w:r>
      <w:r>
        <w:t xml:space="preserve"> </w:t>
      </w:r>
      <w:r>
        <w:tab/>
      </w:r>
      <w:r w:rsidR="00DC5E36" w:rsidRPr="005C44D1">
        <w:t>A</w:t>
      </w:r>
      <w:r w:rsidRPr="005C44D1">
        <w:t>t</w:t>
      </w:r>
      <w:r>
        <w:t xml:space="preserve"> 804 J to 80</w:t>
      </w:r>
      <w:r w:rsidR="00E92D94">
        <w:t>5 A/B</w:t>
      </w:r>
      <w:r w:rsidR="00556378">
        <w:t xml:space="preserve"> </w:t>
      </w:r>
    </w:p>
  </w:footnote>
  <w:footnote w:id="16">
    <w:p w14:paraId="3C932651" w14:textId="1BED344B" w:rsidR="00E92D94" w:rsidRDefault="00E92D94" w:rsidP="004134A0">
      <w:pPr>
        <w:pStyle w:val="FootnoteText"/>
        <w:tabs>
          <w:tab w:val="clear" w:pos="284"/>
          <w:tab w:val="left" w:pos="567"/>
        </w:tabs>
        <w:ind w:left="567" w:hanging="567"/>
      </w:pPr>
      <w:r>
        <w:rPr>
          <w:rStyle w:val="FootnoteReference"/>
        </w:rPr>
        <w:footnoteRef/>
      </w:r>
      <w:r>
        <w:t xml:space="preserve"> </w:t>
      </w:r>
      <w:r>
        <w:tab/>
        <w:t xml:space="preserve">See for example section 55A of the Magistrates Court Act, </w:t>
      </w:r>
      <w:r w:rsidR="008239C8">
        <w:t>1944</w:t>
      </w:r>
      <w:r w:rsidR="00556378">
        <w:t xml:space="preserve"> </w:t>
      </w:r>
    </w:p>
  </w:footnote>
  <w:footnote w:id="17">
    <w:p w14:paraId="317BF1E6" w14:textId="75FBDAA3" w:rsidR="00147A93" w:rsidRPr="00483173" w:rsidRDefault="00147A93" w:rsidP="00483173">
      <w:pPr>
        <w:pStyle w:val="FootnoteText"/>
        <w:tabs>
          <w:tab w:val="clear" w:pos="284"/>
          <w:tab w:val="left" w:pos="567"/>
        </w:tabs>
        <w:ind w:left="567" w:hanging="567"/>
      </w:pPr>
      <w:r w:rsidRPr="00E87BB9">
        <w:rPr>
          <w:rStyle w:val="FootnoteReference"/>
          <w:sz w:val="20"/>
        </w:rPr>
        <w:footnoteRef/>
      </w:r>
      <w:r w:rsidRPr="00483173">
        <w:t xml:space="preserve"> </w:t>
      </w:r>
      <w:r w:rsidR="00CF11B4">
        <w:tab/>
      </w:r>
      <w:r w:rsidR="00926506">
        <w:t xml:space="preserve">At 287 </w:t>
      </w:r>
      <w:r w:rsidR="00E65140">
        <w:t>C to F</w:t>
      </w:r>
      <w:r w:rsidR="00556378">
        <w:t xml:space="preserve"> </w:t>
      </w:r>
    </w:p>
  </w:footnote>
  <w:footnote w:id="18">
    <w:p w14:paraId="5D2FDD71" w14:textId="7F80CEA0" w:rsidR="00147A93" w:rsidRPr="00483173" w:rsidRDefault="00147A93" w:rsidP="00483173">
      <w:pPr>
        <w:pStyle w:val="FootnoteText"/>
        <w:tabs>
          <w:tab w:val="clear" w:pos="284"/>
          <w:tab w:val="left" w:pos="567"/>
        </w:tabs>
        <w:ind w:left="567" w:hanging="567"/>
      </w:pPr>
      <w:r w:rsidRPr="00E87BB9">
        <w:rPr>
          <w:rStyle w:val="FootnoteReference"/>
          <w:sz w:val="20"/>
        </w:rPr>
        <w:footnoteRef/>
      </w:r>
      <w:r w:rsidRPr="00483173">
        <w:t xml:space="preserve"> </w:t>
      </w:r>
      <w:r w:rsidR="00CF11B4">
        <w:tab/>
      </w:r>
      <w:r w:rsidR="00792800">
        <w:t>At 113 G to D/E</w:t>
      </w:r>
      <w:r w:rsidR="00CF11B4">
        <w:t xml:space="preserve"> </w:t>
      </w:r>
    </w:p>
  </w:footnote>
  <w:footnote w:id="19">
    <w:p w14:paraId="0E67B81C" w14:textId="5C0DCA06" w:rsidR="00147A93" w:rsidRPr="00483173" w:rsidRDefault="00147A93" w:rsidP="00483173">
      <w:pPr>
        <w:pStyle w:val="FootnoteText"/>
        <w:tabs>
          <w:tab w:val="clear" w:pos="284"/>
          <w:tab w:val="left" w:pos="567"/>
        </w:tabs>
        <w:ind w:left="567" w:hanging="567"/>
      </w:pPr>
      <w:r w:rsidRPr="00E87BB9">
        <w:rPr>
          <w:rStyle w:val="FootnoteReference"/>
          <w:sz w:val="20"/>
        </w:rPr>
        <w:footnoteRef/>
      </w:r>
      <w:r w:rsidRPr="00483173">
        <w:t xml:space="preserve"> </w:t>
      </w:r>
      <w:r w:rsidR="00CF11B4">
        <w:tab/>
      </w:r>
      <w:r w:rsidR="00792800">
        <w:t xml:space="preserve">At [6] </w:t>
      </w:r>
      <w:r w:rsidR="00C57A79">
        <w:t>and [7]</w:t>
      </w:r>
      <w:r w:rsidR="00A2271F">
        <w:t xml:space="preserve"> </w:t>
      </w:r>
    </w:p>
  </w:footnote>
  <w:footnote w:id="20">
    <w:p w14:paraId="2861CCFF" w14:textId="180C2D30" w:rsidR="008F5328" w:rsidRDefault="008F5328" w:rsidP="00A2271F">
      <w:pPr>
        <w:pStyle w:val="FootnoteText"/>
        <w:tabs>
          <w:tab w:val="clear" w:pos="284"/>
          <w:tab w:val="left" w:pos="567"/>
        </w:tabs>
        <w:ind w:left="567" w:hanging="567"/>
      </w:pPr>
      <w:r>
        <w:rPr>
          <w:rStyle w:val="FootnoteReference"/>
        </w:rPr>
        <w:footnoteRef/>
      </w:r>
      <w:r>
        <w:t xml:space="preserve"> </w:t>
      </w:r>
      <w:r>
        <w:tab/>
        <w:t>At [5]</w:t>
      </w:r>
      <w:r w:rsidR="00A2271F">
        <w:t xml:space="preserve"> </w:t>
      </w:r>
    </w:p>
  </w:footnote>
  <w:footnote w:id="21">
    <w:p w14:paraId="6302C186" w14:textId="262E3838" w:rsidR="00ED3548" w:rsidRDefault="00ED3548" w:rsidP="00A2271F">
      <w:pPr>
        <w:pStyle w:val="FootnoteText"/>
        <w:tabs>
          <w:tab w:val="clear" w:pos="284"/>
          <w:tab w:val="left" w:pos="567"/>
        </w:tabs>
        <w:ind w:left="567" w:hanging="567"/>
      </w:pPr>
      <w:r>
        <w:rPr>
          <w:rStyle w:val="FootnoteReference"/>
        </w:rPr>
        <w:footnoteRef/>
      </w:r>
      <w:r>
        <w:t xml:space="preserve"> </w:t>
      </w:r>
      <w:r>
        <w:tab/>
        <w:t>At [8]</w:t>
      </w:r>
      <w:r w:rsidR="00A2271F">
        <w:t xml:space="preserve"> </w:t>
      </w:r>
    </w:p>
  </w:footnote>
  <w:footnote w:id="22">
    <w:p w14:paraId="139BE81B" w14:textId="562F9582" w:rsidR="00511FE8" w:rsidRDefault="00511FE8" w:rsidP="00A2271F">
      <w:pPr>
        <w:pStyle w:val="FootnoteText"/>
        <w:tabs>
          <w:tab w:val="clear" w:pos="284"/>
          <w:tab w:val="left" w:pos="567"/>
        </w:tabs>
        <w:ind w:left="567" w:hanging="567"/>
      </w:pPr>
      <w:r>
        <w:rPr>
          <w:rStyle w:val="FootnoteReference"/>
        </w:rPr>
        <w:footnoteRef/>
      </w:r>
      <w:r>
        <w:t xml:space="preserve"> </w:t>
      </w:r>
      <w:r>
        <w:tab/>
      </w:r>
      <w:r w:rsidR="00ED3548">
        <w:t>At [10], [17] and [18]</w:t>
      </w:r>
      <w:r w:rsidR="00A2271F">
        <w:t xml:space="preserve"> </w:t>
      </w:r>
    </w:p>
  </w:footnote>
  <w:footnote w:id="23">
    <w:p w14:paraId="5ACBC083" w14:textId="4B8547DB" w:rsidR="0023776B" w:rsidRDefault="0023776B" w:rsidP="00521720">
      <w:pPr>
        <w:pStyle w:val="FootnoteText"/>
        <w:tabs>
          <w:tab w:val="clear" w:pos="284"/>
          <w:tab w:val="left" w:pos="0"/>
        </w:tabs>
        <w:ind w:left="567" w:hanging="567"/>
      </w:pPr>
      <w:r>
        <w:rPr>
          <w:rStyle w:val="FootnoteReference"/>
        </w:rPr>
        <w:footnoteRef/>
      </w:r>
      <w:r>
        <w:t xml:space="preserve"> </w:t>
      </w:r>
      <w:r>
        <w:tab/>
      </w:r>
      <w:r w:rsidR="00521720">
        <w:t>Act 56 of 1996</w:t>
      </w:r>
    </w:p>
  </w:footnote>
  <w:footnote w:id="24">
    <w:p w14:paraId="4F731FAA" w14:textId="3BDFAEDB" w:rsidR="00A47556" w:rsidRDefault="00A47556" w:rsidP="0026603B">
      <w:pPr>
        <w:pStyle w:val="FootnoteText"/>
        <w:tabs>
          <w:tab w:val="clear" w:pos="284"/>
          <w:tab w:val="left" w:pos="567"/>
        </w:tabs>
        <w:ind w:left="567" w:hanging="567"/>
      </w:pPr>
      <w:r>
        <w:rPr>
          <w:rStyle w:val="FootnoteReference"/>
        </w:rPr>
        <w:footnoteRef/>
      </w:r>
      <w:r>
        <w:t xml:space="preserve"> </w:t>
      </w:r>
      <w:r>
        <w:tab/>
        <w:t>At [20]</w:t>
      </w:r>
      <w:r w:rsidR="0026603B">
        <w:t xml:space="preserve"> </w:t>
      </w:r>
    </w:p>
  </w:footnote>
  <w:footnote w:id="25">
    <w:p w14:paraId="6A7F1AC7" w14:textId="06276E7C" w:rsidR="00952E5B" w:rsidRDefault="00952E5B" w:rsidP="0026603B">
      <w:pPr>
        <w:pStyle w:val="FootnoteText"/>
        <w:tabs>
          <w:tab w:val="clear" w:pos="284"/>
          <w:tab w:val="left" w:pos="567"/>
        </w:tabs>
        <w:ind w:left="567" w:hanging="567"/>
      </w:pPr>
      <w:r>
        <w:rPr>
          <w:rStyle w:val="FootnoteReference"/>
        </w:rPr>
        <w:footnoteRef/>
      </w:r>
      <w:r>
        <w:t xml:space="preserve"> </w:t>
      </w:r>
      <w:r>
        <w:tab/>
      </w:r>
      <w:r w:rsidR="00CF4EBD" w:rsidRPr="0026603B">
        <w:rPr>
          <w:i/>
          <w:iCs/>
        </w:rPr>
        <w:t>Compare</w:t>
      </w:r>
      <w:r w:rsidR="00CF4EBD">
        <w:t xml:space="preserve"> </w:t>
      </w:r>
      <w:r w:rsidR="00CF4EBD" w:rsidRPr="001A353F">
        <w:rPr>
          <w:b/>
          <w:bCs/>
        </w:rPr>
        <w:t xml:space="preserve">National Coalition for Gay and Lesbian Equality </w:t>
      </w:r>
      <w:r w:rsidR="001A353F" w:rsidRPr="001A353F">
        <w:rPr>
          <w:b/>
          <w:bCs/>
        </w:rPr>
        <w:t xml:space="preserve">and others v Minister of Home Affairs and others </w:t>
      </w:r>
      <w:r w:rsidR="001A353F">
        <w:t>2000 (2) SA 1 (CC) at [11]</w:t>
      </w:r>
      <w:r w:rsidR="0026603B">
        <w:t>,</w:t>
      </w:r>
      <w:r w:rsidR="00E92D94">
        <w:t xml:space="preserve"> and </w:t>
      </w:r>
      <w:r w:rsidR="00E92D94" w:rsidRPr="008239C8">
        <w:rPr>
          <w:b/>
          <w:bCs/>
        </w:rPr>
        <w:t>Benson v S</w:t>
      </w:r>
      <w:r w:rsidR="008239C8">
        <w:rPr>
          <w:b/>
          <w:bCs/>
        </w:rPr>
        <w:t>A</w:t>
      </w:r>
      <w:r w:rsidR="00E92D94" w:rsidRPr="008239C8">
        <w:rPr>
          <w:b/>
          <w:bCs/>
        </w:rPr>
        <w:t xml:space="preserve"> Mutual Life Assurance Society</w:t>
      </w:r>
      <w:r w:rsidR="00E92D94">
        <w:t xml:space="preserve"> 1986 (1) SA 776 (A) at 781 I to 782 B and the authorities therein cited</w:t>
      </w:r>
      <w:r w:rsidR="0026603B">
        <w:t xml:space="preserve"> </w:t>
      </w:r>
    </w:p>
  </w:footnote>
  <w:footnote w:id="26">
    <w:p w14:paraId="1215A644" w14:textId="36D9CE83" w:rsidR="00EE3617" w:rsidRPr="00483173" w:rsidRDefault="00EE3617"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Krugell v Shield Versekeringsmaatskappy Bpk</w:t>
      </w:r>
      <w:r w:rsidRPr="00483173">
        <w:t xml:space="preserve"> 1982 (4) SA 95 (T) at 98 to 99</w:t>
      </w:r>
      <w:r w:rsidR="00A4047E">
        <w:t xml:space="preserve"> </w:t>
      </w:r>
    </w:p>
  </w:footnote>
  <w:footnote w:id="27">
    <w:p w14:paraId="5BB3D47C" w14:textId="455B145B" w:rsidR="001B1114" w:rsidRPr="00483173" w:rsidRDefault="001B1114"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Rudman v Road Accident Fund</w:t>
      </w:r>
      <w:r w:rsidRPr="00483173">
        <w:t xml:space="preserve"> 2003</w:t>
      </w:r>
      <w:r w:rsidR="003979C6">
        <w:t xml:space="preserve"> (2)</w:t>
      </w:r>
      <w:r w:rsidRPr="00483173">
        <w:t xml:space="preserve"> SA 234 (SCA) at</w:t>
      </w:r>
      <w:r w:rsidR="00267387" w:rsidRPr="00483173">
        <w:t xml:space="preserve"> [11]</w:t>
      </w:r>
      <w:r w:rsidR="007660C0">
        <w:t xml:space="preserve"> </w:t>
      </w:r>
    </w:p>
  </w:footnote>
  <w:footnote w:id="28">
    <w:p w14:paraId="6F999DAD" w14:textId="17532447" w:rsidR="00402EBB" w:rsidRPr="00483173" w:rsidRDefault="00402EBB"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Union and National Insurance Co Limited v Coetzee</w:t>
      </w:r>
      <w:r w:rsidRPr="00483173">
        <w:t xml:space="preserve"> 1970 (1) SA 295 (A) at 300 A</w:t>
      </w:r>
      <w:r w:rsidR="007660C0">
        <w:t xml:space="preserve"> </w:t>
      </w:r>
    </w:p>
  </w:footnote>
  <w:footnote w:id="29">
    <w:p w14:paraId="62FCDEEC" w14:textId="28F62167" w:rsidR="001A79CF" w:rsidRPr="00483173" w:rsidRDefault="001A79CF"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i/>
          <w:iCs/>
        </w:rPr>
        <w:t>Supra</w:t>
      </w:r>
      <w:r w:rsidRPr="00483173">
        <w:t xml:space="preserve"> at [7] to [9]</w:t>
      </w:r>
      <w:r w:rsidR="00C426C9">
        <w:t xml:space="preserve"> </w:t>
      </w:r>
    </w:p>
  </w:footnote>
  <w:footnote w:id="30">
    <w:p w14:paraId="6A39FDFC" w14:textId="392E743D" w:rsidR="00D65FBF" w:rsidRPr="00483173" w:rsidRDefault="00D65FBF"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Pr="00483173">
        <w:rPr>
          <w:b/>
          <w:bCs/>
        </w:rPr>
        <w:t>Goodall v President Insurance Co Limited</w:t>
      </w:r>
      <w:r w:rsidRPr="00483173">
        <w:t xml:space="preserve"> 1978 (1) SA 389 (W) at 393</w:t>
      </w:r>
      <w:r w:rsidR="000E723F">
        <w:t xml:space="preserve"> </w:t>
      </w:r>
    </w:p>
  </w:footnote>
  <w:footnote w:id="31">
    <w:p w14:paraId="10F54A31" w14:textId="54DA416E" w:rsidR="00402EBB" w:rsidRPr="00483173" w:rsidRDefault="00402EBB"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00F90B9F" w:rsidRPr="00483173">
        <w:rPr>
          <w:i/>
          <w:iCs/>
        </w:rPr>
        <w:t>Supra</w:t>
      </w:r>
      <w:r w:rsidR="00F90B9F" w:rsidRPr="00483173">
        <w:t xml:space="preserve"> </w:t>
      </w:r>
      <w:r w:rsidRPr="00483173">
        <w:t>at 392 H to 393 G</w:t>
      </w:r>
      <w:r w:rsidR="000E723F">
        <w:t xml:space="preserve"> </w:t>
      </w:r>
    </w:p>
  </w:footnote>
  <w:footnote w:id="32">
    <w:p w14:paraId="1DEA4538" w14:textId="0282DD93" w:rsidR="00CA2C53" w:rsidRPr="00483173" w:rsidRDefault="00CA2C53" w:rsidP="00483173">
      <w:pPr>
        <w:pStyle w:val="FootnoteText"/>
        <w:tabs>
          <w:tab w:val="clear" w:pos="284"/>
          <w:tab w:val="left" w:pos="567"/>
        </w:tabs>
        <w:ind w:left="567" w:hanging="567"/>
      </w:pPr>
      <w:r w:rsidRPr="00E87BB9">
        <w:rPr>
          <w:rStyle w:val="FootnoteReference"/>
          <w:sz w:val="20"/>
        </w:rPr>
        <w:footnoteRef/>
      </w:r>
      <w:r w:rsidRPr="00483173">
        <w:t xml:space="preserve"> </w:t>
      </w:r>
      <w:r w:rsidRPr="00483173">
        <w:tab/>
      </w:r>
      <w:r w:rsidR="00C57A79" w:rsidRPr="00C57A79">
        <w:rPr>
          <w:b/>
          <w:bCs/>
        </w:rPr>
        <w:t>Guedes</w:t>
      </w:r>
      <w:r w:rsidR="00C57A79">
        <w:t xml:space="preserve"> </w:t>
      </w:r>
      <w:r w:rsidRPr="00483173">
        <w:t>at [5]</w:t>
      </w:r>
      <w:r w:rsidR="00895409">
        <w:t xml:space="preserve"> </w:t>
      </w:r>
    </w:p>
  </w:footnote>
  <w:footnote w:id="33">
    <w:p w14:paraId="1F69316A" w14:textId="28DE6C1C" w:rsidR="000B1E53" w:rsidRPr="00FF3785" w:rsidRDefault="000B1E53" w:rsidP="00FC23FF">
      <w:pPr>
        <w:tabs>
          <w:tab w:val="left" w:pos="567"/>
        </w:tabs>
        <w:ind w:left="567" w:hanging="567"/>
        <w:rPr>
          <w:color w:val="000000"/>
          <w:sz w:val="20"/>
          <w:szCs w:val="20"/>
          <w:lang w:eastAsia="en-GB"/>
        </w:rPr>
      </w:pPr>
      <w:r>
        <w:rPr>
          <w:rStyle w:val="FootnoteReference"/>
        </w:rPr>
        <w:footnoteRef/>
      </w:r>
      <w:r>
        <w:t xml:space="preserve"> </w:t>
      </w:r>
      <w:r w:rsidR="00FF3785">
        <w:rPr>
          <w:rFonts w:ascii="Verdana" w:hAnsi="Verdana" w:cs="Times New Roman"/>
          <w:color w:val="000000"/>
          <w:sz w:val="20"/>
          <w:szCs w:val="20"/>
          <w:lang w:eastAsia="en-GB"/>
        </w:rPr>
        <w:tab/>
      </w:r>
      <w:r w:rsidR="00FF3785" w:rsidRPr="00FF3785">
        <w:rPr>
          <w:b/>
          <w:bCs/>
          <w:color w:val="000000"/>
          <w:sz w:val="20"/>
          <w:szCs w:val="20"/>
          <w:lang w:eastAsia="en-GB"/>
        </w:rPr>
        <w:t>Mlatsheni v Road Accident Fund</w:t>
      </w:r>
      <w:r w:rsidR="00FF3785" w:rsidRPr="00FF3785">
        <w:rPr>
          <w:color w:val="000000"/>
          <w:sz w:val="20"/>
          <w:szCs w:val="20"/>
          <w:lang w:eastAsia="en-GB"/>
        </w:rPr>
        <w:t xml:space="preserve"> 2009 (2) SA 401 (ECD)</w:t>
      </w:r>
      <w:r w:rsidR="00FC23FF">
        <w:rPr>
          <w:color w:val="000000"/>
          <w:sz w:val="20"/>
          <w:szCs w:val="20"/>
          <w:lang w:eastAsia="en-GB"/>
        </w:rPr>
        <w:t xml:space="preserve"> </w:t>
      </w:r>
    </w:p>
    <w:p w14:paraId="17789D16" w14:textId="21996981" w:rsidR="000B1E53" w:rsidRDefault="000B1E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F435" w14:textId="56911F22" w:rsidR="00645AF1" w:rsidRPr="00427437" w:rsidRDefault="006943C9"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9F141D">
          <w:rPr>
            <w:b w:val="0"/>
            <w:noProof/>
          </w:rPr>
          <w:t>32</w:t>
        </w:r>
        <w:r w:rsidR="00645AF1" w:rsidRPr="00427437">
          <w:rPr>
            <w:b w:val="0"/>
            <w:noProof/>
          </w:rPr>
          <w:fldChar w:fldCharType="end"/>
        </w:r>
      </w:sdtContent>
    </w:sdt>
  </w:p>
  <w:p w14:paraId="0EE28832" w14:textId="77777777" w:rsidR="00645AF1" w:rsidRPr="00A441B2" w:rsidRDefault="00645AF1" w:rsidP="00391BBA">
    <w:pPr>
      <w:pStyle w:val="Header"/>
      <w:spacing w:line="240" w:lineRule="auto"/>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203"/>
    <w:multiLevelType w:val="hybridMultilevel"/>
    <w:tmpl w:val="5CF6D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B73321A"/>
    <w:multiLevelType w:val="hybridMultilevel"/>
    <w:tmpl w:val="AFFCFE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A626EE"/>
    <w:multiLevelType w:val="hybridMultilevel"/>
    <w:tmpl w:val="78AA89C4"/>
    <w:lvl w:ilvl="0" w:tplc="0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269718CD"/>
    <w:multiLevelType w:val="hybridMultilevel"/>
    <w:tmpl w:val="1C041C6C"/>
    <w:lvl w:ilvl="0" w:tplc="BAB68E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C4C"/>
    <w:multiLevelType w:val="hybridMultilevel"/>
    <w:tmpl w:val="739A7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A1FBB"/>
    <w:multiLevelType w:val="hybridMultilevel"/>
    <w:tmpl w:val="F24255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F1E3BBF"/>
    <w:multiLevelType w:val="hybridMultilevel"/>
    <w:tmpl w:val="BE5C48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63137C"/>
    <w:multiLevelType w:val="hybridMultilevel"/>
    <w:tmpl w:val="75909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39E4"/>
    <w:multiLevelType w:val="hybridMultilevel"/>
    <w:tmpl w:val="2188A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912BAB"/>
    <w:multiLevelType w:val="hybridMultilevel"/>
    <w:tmpl w:val="ED9C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15:restartNumberingAfterBreak="0">
    <w:nsid w:val="703D2B22"/>
    <w:multiLevelType w:val="hybridMultilevel"/>
    <w:tmpl w:val="E5521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32D65"/>
    <w:multiLevelType w:val="hybridMultilevel"/>
    <w:tmpl w:val="8FA6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67755"/>
    <w:multiLevelType w:val="hybridMultilevel"/>
    <w:tmpl w:val="87D4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E61CA"/>
    <w:multiLevelType w:val="hybridMultilevel"/>
    <w:tmpl w:val="9B0ED6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1"/>
  </w:num>
  <w:num w:numId="6">
    <w:abstractNumId w:val="11"/>
  </w:num>
  <w:num w:numId="7">
    <w:abstractNumId w:val="5"/>
  </w:num>
  <w:num w:numId="8">
    <w:abstractNumId w:val="7"/>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8"/>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9"/>
  </w:num>
  <w:num w:numId="27">
    <w:abstractNumId w:val="6"/>
  </w:num>
  <w:num w:numId="28">
    <w:abstractNumId w:val="11"/>
  </w:num>
  <w:num w:numId="29">
    <w:abstractNumId w:val="12"/>
  </w:num>
  <w:num w:numId="30">
    <w:abstractNumId w:val="10"/>
  </w:num>
  <w:num w:numId="31">
    <w:abstractNumId w:val="17"/>
  </w:num>
  <w:num w:numId="32">
    <w:abstractNumId w:val="4"/>
  </w:num>
  <w:num w:numId="33">
    <w:abstractNumId w:val="0"/>
  </w:num>
  <w:num w:numId="34">
    <w:abstractNumId w:val="14"/>
  </w:num>
  <w:num w:numId="35">
    <w:abstractNumId w:val="3"/>
  </w:num>
  <w:num w:numId="36">
    <w:abstractNumId w:val="11"/>
  </w:num>
  <w:num w:numId="37">
    <w:abstractNumId w:val="16"/>
  </w:num>
  <w:num w:numId="38">
    <w:abstractNumId w:val="15"/>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6"/>
    <w:rsid w:val="000011AA"/>
    <w:rsid w:val="00004382"/>
    <w:rsid w:val="0000607E"/>
    <w:rsid w:val="0000717C"/>
    <w:rsid w:val="000108B1"/>
    <w:rsid w:val="00010B6C"/>
    <w:rsid w:val="00012668"/>
    <w:rsid w:val="0001309B"/>
    <w:rsid w:val="000137EE"/>
    <w:rsid w:val="00014402"/>
    <w:rsid w:val="00016F06"/>
    <w:rsid w:val="00017D19"/>
    <w:rsid w:val="0002084A"/>
    <w:rsid w:val="00020E0A"/>
    <w:rsid w:val="0002144E"/>
    <w:rsid w:val="000217F5"/>
    <w:rsid w:val="00021FDE"/>
    <w:rsid w:val="000221FA"/>
    <w:rsid w:val="00023D2C"/>
    <w:rsid w:val="00024AAC"/>
    <w:rsid w:val="00030910"/>
    <w:rsid w:val="000322BE"/>
    <w:rsid w:val="00035361"/>
    <w:rsid w:val="00035AEF"/>
    <w:rsid w:val="000376BD"/>
    <w:rsid w:val="00041D3F"/>
    <w:rsid w:val="000422F3"/>
    <w:rsid w:val="00043CBF"/>
    <w:rsid w:val="00045022"/>
    <w:rsid w:val="00045486"/>
    <w:rsid w:val="00051893"/>
    <w:rsid w:val="0005580F"/>
    <w:rsid w:val="00055DE4"/>
    <w:rsid w:val="00057133"/>
    <w:rsid w:val="000579A0"/>
    <w:rsid w:val="00057D22"/>
    <w:rsid w:val="00061515"/>
    <w:rsid w:val="0006213B"/>
    <w:rsid w:val="00064A5F"/>
    <w:rsid w:val="00064D3F"/>
    <w:rsid w:val="00067F98"/>
    <w:rsid w:val="0007238B"/>
    <w:rsid w:val="00073D27"/>
    <w:rsid w:val="0007593F"/>
    <w:rsid w:val="000824F2"/>
    <w:rsid w:val="00082BB7"/>
    <w:rsid w:val="0008371E"/>
    <w:rsid w:val="00083A12"/>
    <w:rsid w:val="00084015"/>
    <w:rsid w:val="00084565"/>
    <w:rsid w:val="00084671"/>
    <w:rsid w:val="0008540E"/>
    <w:rsid w:val="00087880"/>
    <w:rsid w:val="000913B2"/>
    <w:rsid w:val="000932D7"/>
    <w:rsid w:val="00093C96"/>
    <w:rsid w:val="000972F6"/>
    <w:rsid w:val="000A10F5"/>
    <w:rsid w:val="000B02D2"/>
    <w:rsid w:val="000B03B8"/>
    <w:rsid w:val="000B18B8"/>
    <w:rsid w:val="000B1E53"/>
    <w:rsid w:val="000B23EE"/>
    <w:rsid w:val="000B2E91"/>
    <w:rsid w:val="000B49CA"/>
    <w:rsid w:val="000B50A5"/>
    <w:rsid w:val="000B70CA"/>
    <w:rsid w:val="000B720E"/>
    <w:rsid w:val="000C2254"/>
    <w:rsid w:val="000C2810"/>
    <w:rsid w:val="000C5527"/>
    <w:rsid w:val="000D0C94"/>
    <w:rsid w:val="000D5890"/>
    <w:rsid w:val="000D66D1"/>
    <w:rsid w:val="000E0799"/>
    <w:rsid w:val="000E0DCC"/>
    <w:rsid w:val="000E1DE7"/>
    <w:rsid w:val="000E228E"/>
    <w:rsid w:val="000E3205"/>
    <w:rsid w:val="000E339C"/>
    <w:rsid w:val="000E3E31"/>
    <w:rsid w:val="000E723F"/>
    <w:rsid w:val="000E7335"/>
    <w:rsid w:val="000F3132"/>
    <w:rsid w:val="000F38A9"/>
    <w:rsid w:val="000F5DDB"/>
    <w:rsid w:val="000F7588"/>
    <w:rsid w:val="001027C8"/>
    <w:rsid w:val="001056ED"/>
    <w:rsid w:val="001062B1"/>
    <w:rsid w:val="00106C42"/>
    <w:rsid w:val="00106D1E"/>
    <w:rsid w:val="001120EA"/>
    <w:rsid w:val="00113E9C"/>
    <w:rsid w:val="00113FB5"/>
    <w:rsid w:val="00114875"/>
    <w:rsid w:val="001148A5"/>
    <w:rsid w:val="00115721"/>
    <w:rsid w:val="001159FC"/>
    <w:rsid w:val="00115FD1"/>
    <w:rsid w:val="00116E54"/>
    <w:rsid w:val="00123489"/>
    <w:rsid w:val="00123890"/>
    <w:rsid w:val="00125E01"/>
    <w:rsid w:val="001264D8"/>
    <w:rsid w:val="00127864"/>
    <w:rsid w:val="00127D66"/>
    <w:rsid w:val="001309AD"/>
    <w:rsid w:val="00130CD4"/>
    <w:rsid w:val="00130ED0"/>
    <w:rsid w:val="00132677"/>
    <w:rsid w:val="00134D0E"/>
    <w:rsid w:val="0013535E"/>
    <w:rsid w:val="001355DF"/>
    <w:rsid w:val="00147A93"/>
    <w:rsid w:val="00147FB6"/>
    <w:rsid w:val="0015180E"/>
    <w:rsid w:val="0015183D"/>
    <w:rsid w:val="00151966"/>
    <w:rsid w:val="00152B72"/>
    <w:rsid w:val="0015314E"/>
    <w:rsid w:val="00153E73"/>
    <w:rsid w:val="001579AC"/>
    <w:rsid w:val="0016008C"/>
    <w:rsid w:val="00160E39"/>
    <w:rsid w:val="001614F0"/>
    <w:rsid w:val="001616D0"/>
    <w:rsid w:val="001649F2"/>
    <w:rsid w:val="00165830"/>
    <w:rsid w:val="00167B62"/>
    <w:rsid w:val="00175F73"/>
    <w:rsid w:val="00176F60"/>
    <w:rsid w:val="00177F30"/>
    <w:rsid w:val="001804ED"/>
    <w:rsid w:val="00180FB2"/>
    <w:rsid w:val="0018141E"/>
    <w:rsid w:val="001816E6"/>
    <w:rsid w:val="0018328E"/>
    <w:rsid w:val="00183C7F"/>
    <w:rsid w:val="001856D3"/>
    <w:rsid w:val="00185FBB"/>
    <w:rsid w:val="00192E51"/>
    <w:rsid w:val="001933B2"/>
    <w:rsid w:val="0019388E"/>
    <w:rsid w:val="00194F89"/>
    <w:rsid w:val="00196357"/>
    <w:rsid w:val="001A2118"/>
    <w:rsid w:val="001A353F"/>
    <w:rsid w:val="001A40B3"/>
    <w:rsid w:val="001A41C3"/>
    <w:rsid w:val="001A480C"/>
    <w:rsid w:val="001A7930"/>
    <w:rsid w:val="001A79CF"/>
    <w:rsid w:val="001B00C8"/>
    <w:rsid w:val="001B1114"/>
    <w:rsid w:val="001B174C"/>
    <w:rsid w:val="001B1F9D"/>
    <w:rsid w:val="001B1FD2"/>
    <w:rsid w:val="001B2CE4"/>
    <w:rsid w:val="001B399C"/>
    <w:rsid w:val="001B57C7"/>
    <w:rsid w:val="001B6E1C"/>
    <w:rsid w:val="001B6F4B"/>
    <w:rsid w:val="001C04C5"/>
    <w:rsid w:val="001C187E"/>
    <w:rsid w:val="001C2192"/>
    <w:rsid w:val="001C2E7A"/>
    <w:rsid w:val="001C50F8"/>
    <w:rsid w:val="001C73A2"/>
    <w:rsid w:val="001C7A55"/>
    <w:rsid w:val="001D7C64"/>
    <w:rsid w:val="001E3A27"/>
    <w:rsid w:val="001E4A33"/>
    <w:rsid w:val="001E5998"/>
    <w:rsid w:val="001E7F67"/>
    <w:rsid w:val="001F299D"/>
    <w:rsid w:val="001F3F3B"/>
    <w:rsid w:val="001F72BA"/>
    <w:rsid w:val="001F72DA"/>
    <w:rsid w:val="001F7C7D"/>
    <w:rsid w:val="002016B6"/>
    <w:rsid w:val="00214A1C"/>
    <w:rsid w:val="0021742E"/>
    <w:rsid w:val="00217FC3"/>
    <w:rsid w:val="00220AEB"/>
    <w:rsid w:val="00221452"/>
    <w:rsid w:val="00225A4A"/>
    <w:rsid w:val="00230289"/>
    <w:rsid w:val="0023039E"/>
    <w:rsid w:val="00231F84"/>
    <w:rsid w:val="00232EF7"/>
    <w:rsid w:val="0023455B"/>
    <w:rsid w:val="00234AAA"/>
    <w:rsid w:val="0023776B"/>
    <w:rsid w:val="00237F6E"/>
    <w:rsid w:val="00241084"/>
    <w:rsid w:val="00246E20"/>
    <w:rsid w:val="00247F2E"/>
    <w:rsid w:val="002509FE"/>
    <w:rsid w:val="00252665"/>
    <w:rsid w:val="00252A26"/>
    <w:rsid w:val="002537CD"/>
    <w:rsid w:val="00255244"/>
    <w:rsid w:val="002555DF"/>
    <w:rsid w:val="002560A3"/>
    <w:rsid w:val="00256D6F"/>
    <w:rsid w:val="002609A5"/>
    <w:rsid w:val="0026537A"/>
    <w:rsid w:val="0026603B"/>
    <w:rsid w:val="00267387"/>
    <w:rsid w:val="00267695"/>
    <w:rsid w:val="002722FB"/>
    <w:rsid w:val="00272965"/>
    <w:rsid w:val="00272DD5"/>
    <w:rsid w:val="00277A39"/>
    <w:rsid w:val="002806E3"/>
    <w:rsid w:val="00280B90"/>
    <w:rsid w:val="00284AC7"/>
    <w:rsid w:val="00285A46"/>
    <w:rsid w:val="00286B9D"/>
    <w:rsid w:val="0029248A"/>
    <w:rsid w:val="0029300B"/>
    <w:rsid w:val="00294EB4"/>
    <w:rsid w:val="002950C3"/>
    <w:rsid w:val="00295F2A"/>
    <w:rsid w:val="00296D2A"/>
    <w:rsid w:val="002A16B7"/>
    <w:rsid w:val="002A17FC"/>
    <w:rsid w:val="002A18A8"/>
    <w:rsid w:val="002A24A2"/>
    <w:rsid w:val="002A2DB0"/>
    <w:rsid w:val="002A4765"/>
    <w:rsid w:val="002A4D3C"/>
    <w:rsid w:val="002A54B1"/>
    <w:rsid w:val="002A5B96"/>
    <w:rsid w:val="002A668F"/>
    <w:rsid w:val="002A7C94"/>
    <w:rsid w:val="002B2004"/>
    <w:rsid w:val="002B412C"/>
    <w:rsid w:val="002B5439"/>
    <w:rsid w:val="002B7634"/>
    <w:rsid w:val="002C0B36"/>
    <w:rsid w:val="002C0D9C"/>
    <w:rsid w:val="002C105D"/>
    <w:rsid w:val="002C226F"/>
    <w:rsid w:val="002C3B5D"/>
    <w:rsid w:val="002C457D"/>
    <w:rsid w:val="002C49A3"/>
    <w:rsid w:val="002C6D9E"/>
    <w:rsid w:val="002D0D34"/>
    <w:rsid w:val="002D30CE"/>
    <w:rsid w:val="002D3CB4"/>
    <w:rsid w:val="002D7CF4"/>
    <w:rsid w:val="002E25E7"/>
    <w:rsid w:val="002E2D25"/>
    <w:rsid w:val="002E41F1"/>
    <w:rsid w:val="002E4272"/>
    <w:rsid w:val="002E4308"/>
    <w:rsid w:val="002E4893"/>
    <w:rsid w:val="002E5BB7"/>
    <w:rsid w:val="002E6CED"/>
    <w:rsid w:val="002F004F"/>
    <w:rsid w:val="002F206F"/>
    <w:rsid w:val="002F68D6"/>
    <w:rsid w:val="002F6A7B"/>
    <w:rsid w:val="002F6B54"/>
    <w:rsid w:val="00301C24"/>
    <w:rsid w:val="00302976"/>
    <w:rsid w:val="003046A0"/>
    <w:rsid w:val="00305208"/>
    <w:rsid w:val="00305E38"/>
    <w:rsid w:val="0031090F"/>
    <w:rsid w:val="00311550"/>
    <w:rsid w:val="00312187"/>
    <w:rsid w:val="00312EF1"/>
    <w:rsid w:val="0031323B"/>
    <w:rsid w:val="003159AC"/>
    <w:rsid w:val="00320EAA"/>
    <w:rsid w:val="00321685"/>
    <w:rsid w:val="00325172"/>
    <w:rsid w:val="00325D06"/>
    <w:rsid w:val="00334206"/>
    <w:rsid w:val="003372D3"/>
    <w:rsid w:val="003407E7"/>
    <w:rsid w:val="00341688"/>
    <w:rsid w:val="003421EC"/>
    <w:rsid w:val="003423C4"/>
    <w:rsid w:val="003437B8"/>
    <w:rsid w:val="00346379"/>
    <w:rsid w:val="003469F1"/>
    <w:rsid w:val="0035021C"/>
    <w:rsid w:val="003530D9"/>
    <w:rsid w:val="00353D7B"/>
    <w:rsid w:val="00354755"/>
    <w:rsid w:val="003547DA"/>
    <w:rsid w:val="003563C8"/>
    <w:rsid w:val="00357221"/>
    <w:rsid w:val="00361CF3"/>
    <w:rsid w:val="0036596D"/>
    <w:rsid w:val="00366FD5"/>
    <w:rsid w:val="0036768B"/>
    <w:rsid w:val="003712EA"/>
    <w:rsid w:val="00371D8A"/>
    <w:rsid w:val="00374344"/>
    <w:rsid w:val="00374742"/>
    <w:rsid w:val="003760C9"/>
    <w:rsid w:val="003777E2"/>
    <w:rsid w:val="003808EE"/>
    <w:rsid w:val="0038133B"/>
    <w:rsid w:val="00381B61"/>
    <w:rsid w:val="00382A47"/>
    <w:rsid w:val="00383892"/>
    <w:rsid w:val="0038564A"/>
    <w:rsid w:val="0038738E"/>
    <w:rsid w:val="003907E4"/>
    <w:rsid w:val="00390CDB"/>
    <w:rsid w:val="003910F0"/>
    <w:rsid w:val="003916FE"/>
    <w:rsid w:val="00391BBA"/>
    <w:rsid w:val="00392325"/>
    <w:rsid w:val="00392FF4"/>
    <w:rsid w:val="00392FFD"/>
    <w:rsid w:val="0039689D"/>
    <w:rsid w:val="003974EC"/>
    <w:rsid w:val="003979C6"/>
    <w:rsid w:val="003979CE"/>
    <w:rsid w:val="00397FF0"/>
    <w:rsid w:val="003A20CF"/>
    <w:rsid w:val="003A430F"/>
    <w:rsid w:val="003A46A4"/>
    <w:rsid w:val="003A4DE5"/>
    <w:rsid w:val="003A52E7"/>
    <w:rsid w:val="003A6288"/>
    <w:rsid w:val="003B1636"/>
    <w:rsid w:val="003B23B1"/>
    <w:rsid w:val="003B2496"/>
    <w:rsid w:val="003B38E3"/>
    <w:rsid w:val="003B4B1B"/>
    <w:rsid w:val="003B523F"/>
    <w:rsid w:val="003B5659"/>
    <w:rsid w:val="003B574F"/>
    <w:rsid w:val="003B63F6"/>
    <w:rsid w:val="003B65D6"/>
    <w:rsid w:val="003B6AA8"/>
    <w:rsid w:val="003B7342"/>
    <w:rsid w:val="003C35EA"/>
    <w:rsid w:val="003C4F04"/>
    <w:rsid w:val="003C5402"/>
    <w:rsid w:val="003C5F0B"/>
    <w:rsid w:val="003C7F26"/>
    <w:rsid w:val="003D0CA4"/>
    <w:rsid w:val="003D0E86"/>
    <w:rsid w:val="003D134D"/>
    <w:rsid w:val="003D1D1F"/>
    <w:rsid w:val="003D6338"/>
    <w:rsid w:val="003D6933"/>
    <w:rsid w:val="003D6BD7"/>
    <w:rsid w:val="003D6E52"/>
    <w:rsid w:val="003E09F0"/>
    <w:rsid w:val="003E0DDC"/>
    <w:rsid w:val="003E2088"/>
    <w:rsid w:val="003E3809"/>
    <w:rsid w:val="003E5DFA"/>
    <w:rsid w:val="003F098C"/>
    <w:rsid w:val="003F2723"/>
    <w:rsid w:val="003F2B0A"/>
    <w:rsid w:val="003F2C85"/>
    <w:rsid w:val="00400951"/>
    <w:rsid w:val="00402EBB"/>
    <w:rsid w:val="00403C41"/>
    <w:rsid w:val="00405028"/>
    <w:rsid w:val="00405C24"/>
    <w:rsid w:val="00405E60"/>
    <w:rsid w:val="004065F7"/>
    <w:rsid w:val="004132F8"/>
    <w:rsid w:val="004134A0"/>
    <w:rsid w:val="00413658"/>
    <w:rsid w:val="00413717"/>
    <w:rsid w:val="004139B4"/>
    <w:rsid w:val="00414DB8"/>
    <w:rsid w:val="00417305"/>
    <w:rsid w:val="00420711"/>
    <w:rsid w:val="0042189D"/>
    <w:rsid w:val="00422C4A"/>
    <w:rsid w:val="004250B3"/>
    <w:rsid w:val="004253C0"/>
    <w:rsid w:val="00426682"/>
    <w:rsid w:val="00426A28"/>
    <w:rsid w:val="00427437"/>
    <w:rsid w:val="00430701"/>
    <w:rsid w:val="00433703"/>
    <w:rsid w:val="00433E38"/>
    <w:rsid w:val="0043426F"/>
    <w:rsid w:val="0043572B"/>
    <w:rsid w:val="00435C12"/>
    <w:rsid w:val="004407C6"/>
    <w:rsid w:val="00441BD6"/>
    <w:rsid w:val="00441E5B"/>
    <w:rsid w:val="00443C59"/>
    <w:rsid w:val="004449D3"/>
    <w:rsid w:val="00445C40"/>
    <w:rsid w:val="004502C3"/>
    <w:rsid w:val="00451745"/>
    <w:rsid w:val="00454576"/>
    <w:rsid w:val="00460CDD"/>
    <w:rsid w:val="00461D1B"/>
    <w:rsid w:val="00462598"/>
    <w:rsid w:val="004651ED"/>
    <w:rsid w:val="00467B06"/>
    <w:rsid w:val="00467DBE"/>
    <w:rsid w:val="00467DFB"/>
    <w:rsid w:val="00470BE0"/>
    <w:rsid w:val="0047194E"/>
    <w:rsid w:val="00471E08"/>
    <w:rsid w:val="004725CF"/>
    <w:rsid w:val="00472CED"/>
    <w:rsid w:val="004742CA"/>
    <w:rsid w:val="00474815"/>
    <w:rsid w:val="00475E08"/>
    <w:rsid w:val="00476B43"/>
    <w:rsid w:val="00481133"/>
    <w:rsid w:val="00483173"/>
    <w:rsid w:val="00484042"/>
    <w:rsid w:val="004842EC"/>
    <w:rsid w:val="00485C97"/>
    <w:rsid w:val="00486D60"/>
    <w:rsid w:val="004910FB"/>
    <w:rsid w:val="00492E95"/>
    <w:rsid w:val="0049440F"/>
    <w:rsid w:val="004A02C2"/>
    <w:rsid w:val="004A136C"/>
    <w:rsid w:val="004A3DCE"/>
    <w:rsid w:val="004A4176"/>
    <w:rsid w:val="004A4DD7"/>
    <w:rsid w:val="004A602F"/>
    <w:rsid w:val="004A63BD"/>
    <w:rsid w:val="004B0FB9"/>
    <w:rsid w:val="004B1B5E"/>
    <w:rsid w:val="004B29ED"/>
    <w:rsid w:val="004B53A9"/>
    <w:rsid w:val="004B6834"/>
    <w:rsid w:val="004C10B0"/>
    <w:rsid w:val="004C24C6"/>
    <w:rsid w:val="004C45E9"/>
    <w:rsid w:val="004C7711"/>
    <w:rsid w:val="004C7D2F"/>
    <w:rsid w:val="004D0937"/>
    <w:rsid w:val="004D1117"/>
    <w:rsid w:val="004D1E79"/>
    <w:rsid w:val="004D2610"/>
    <w:rsid w:val="004D2D89"/>
    <w:rsid w:val="004D429B"/>
    <w:rsid w:val="004D6E6A"/>
    <w:rsid w:val="004D723A"/>
    <w:rsid w:val="004D73F8"/>
    <w:rsid w:val="004E1EEE"/>
    <w:rsid w:val="004E215C"/>
    <w:rsid w:val="004E2BCB"/>
    <w:rsid w:val="004E2F05"/>
    <w:rsid w:val="004E48A2"/>
    <w:rsid w:val="004E7A8C"/>
    <w:rsid w:val="004F0B6A"/>
    <w:rsid w:val="004F1906"/>
    <w:rsid w:val="004F2F7A"/>
    <w:rsid w:val="004F4B64"/>
    <w:rsid w:val="00502685"/>
    <w:rsid w:val="00503414"/>
    <w:rsid w:val="00505AB9"/>
    <w:rsid w:val="005061B7"/>
    <w:rsid w:val="005076C7"/>
    <w:rsid w:val="00511928"/>
    <w:rsid w:val="00511FE8"/>
    <w:rsid w:val="00514487"/>
    <w:rsid w:val="0051495F"/>
    <w:rsid w:val="005166F2"/>
    <w:rsid w:val="00516F11"/>
    <w:rsid w:val="0051703E"/>
    <w:rsid w:val="00517606"/>
    <w:rsid w:val="005178E8"/>
    <w:rsid w:val="00517962"/>
    <w:rsid w:val="00520515"/>
    <w:rsid w:val="00520ECE"/>
    <w:rsid w:val="00521258"/>
    <w:rsid w:val="00521720"/>
    <w:rsid w:val="00522DC0"/>
    <w:rsid w:val="00524EED"/>
    <w:rsid w:val="005254FB"/>
    <w:rsid w:val="00526252"/>
    <w:rsid w:val="0053158D"/>
    <w:rsid w:val="00537C30"/>
    <w:rsid w:val="005404E9"/>
    <w:rsid w:val="00540AE7"/>
    <w:rsid w:val="00540E59"/>
    <w:rsid w:val="00541D49"/>
    <w:rsid w:val="00541D60"/>
    <w:rsid w:val="005471A8"/>
    <w:rsid w:val="00552777"/>
    <w:rsid w:val="00553532"/>
    <w:rsid w:val="00553CDE"/>
    <w:rsid w:val="0055439E"/>
    <w:rsid w:val="005546D1"/>
    <w:rsid w:val="00556378"/>
    <w:rsid w:val="00557C17"/>
    <w:rsid w:val="005611C6"/>
    <w:rsid w:val="00562C90"/>
    <w:rsid w:val="00565701"/>
    <w:rsid w:val="0056586B"/>
    <w:rsid w:val="00565A25"/>
    <w:rsid w:val="00567FEB"/>
    <w:rsid w:val="00571FA4"/>
    <w:rsid w:val="005727DB"/>
    <w:rsid w:val="00573185"/>
    <w:rsid w:val="00574363"/>
    <w:rsid w:val="00575611"/>
    <w:rsid w:val="00576547"/>
    <w:rsid w:val="00576744"/>
    <w:rsid w:val="0058433D"/>
    <w:rsid w:val="00584EC9"/>
    <w:rsid w:val="0058658A"/>
    <w:rsid w:val="00587A87"/>
    <w:rsid w:val="00592490"/>
    <w:rsid w:val="005949F9"/>
    <w:rsid w:val="00594A91"/>
    <w:rsid w:val="005962B6"/>
    <w:rsid w:val="00596302"/>
    <w:rsid w:val="00596A83"/>
    <w:rsid w:val="00596F06"/>
    <w:rsid w:val="005B2A70"/>
    <w:rsid w:val="005B3B95"/>
    <w:rsid w:val="005B51E1"/>
    <w:rsid w:val="005C0338"/>
    <w:rsid w:val="005C10C8"/>
    <w:rsid w:val="005C2927"/>
    <w:rsid w:val="005C4167"/>
    <w:rsid w:val="005C44D1"/>
    <w:rsid w:val="005C721F"/>
    <w:rsid w:val="005D6D12"/>
    <w:rsid w:val="005E0378"/>
    <w:rsid w:val="005E1924"/>
    <w:rsid w:val="005E2091"/>
    <w:rsid w:val="005E231D"/>
    <w:rsid w:val="005E3FCD"/>
    <w:rsid w:val="005E57B7"/>
    <w:rsid w:val="005E636B"/>
    <w:rsid w:val="005E70C2"/>
    <w:rsid w:val="005F228B"/>
    <w:rsid w:val="005F4A3F"/>
    <w:rsid w:val="005F51FA"/>
    <w:rsid w:val="005F6826"/>
    <w:rsid w:val="00600744"/>
    <w:rsid w:val="006032F9"/>
    <w:rsid w:val="006051F1"/>
    <w:rsid w:val="00605914"/>
    <w:rsid w:val="00610A05"/>
    <w:rsid w:val="00610B30"/>
    <w:rsid w:val="006113CB"/>
    <w:rsid w:val="00611CD7"/>
    <w:rsid w:val="00612784"/>
    <w:rsid w:val="00612C7B"/>
    <w:rsid w:val="0061374E"/>
    <w:rsid w:val="006175C2"/>
    <w:rsid w:val="00620D1D"/>
    <w:rsid w:val="00621027"/>
    <w:rsid w:val="0062141B"/>
    <w:rsid w:val="00621903"/>
    <w:rsid w:val="00622331"/>
    <w:rsid w:val="00626126"/>
    <w:rsid w:val="00627123"/>
    <w:rsid w:val="00627A33"/>
    <w:rsid w:val="00627D74"/>
    <w:rsid w:val="00627E0A"/>
    <w:rsid w:val="006314C1"/>
    <w:rsid w:val="00633B73"/>
    <w:rsid w:val="00633D86"/>
    <w:rsid w:val="00636360"/>
    <w:rsid w:val="006365CA"/>
    <w:rsid w:val="0064034A"/>
    <w:rsid w:val="006404DE"/>
    <w:rsid w:val="00640E4A"/>
    <w:rsid w:val="00641726"/>
    <w:rsid w:val="00641BF8"/>
    <w:rsid w:val="00645336"/>
    <w:rsid w:val="00645AF1"/>
    <w:rsid w:val="006552C4"/>
    <w:rsid w:val="006602EA"/>
    <w:rsid w:val="00664D99"/>
    <w:rsid w:val="00665411"/>
    <w:rsid w:val="00665602"/>
    <w:rsid w:val="00666508"/>
    <w:rsid w:val="00670B7C"/>
    <w:rsid w:val="00672369"/>
    <w:rsid w:val="0067472C"/>
    <w:rsid w:val="006767C6"/>
    <w:rsid w:val="006771AB"/>
    <w:rsid w:val="00680974"/>
    <w:rsid w:val="00683BFE"/>
    <w:rsid w:val="00685C68"/>
    <w:rsid w:val="0068653E"/>
    <w:rsid w:val="00687356"/>
    <w:rsid w:val="006905FE"/>
    <w:rsid w:val="006922A9"/>
    <w:rsid w:val="00693033"/>
    <w:rsid w:val="006930A9"/>
    <w:rsid w:val="00693144"/>
    <w:rsid w:val="006943C9"/>
    <w:rsid w:val="00696BAA"/>
    <w:rsid w:val="00697781"/>
    <w:rsid w:val="00697CA6"/>
    <w:rsid w:val="006A1287"/>
    <w:rsid w:val="006A3B1A"/>
    <w:rsid w:val="006A3F7E"/>
    <w:rsid w:val="006A440A"/>
    <w:rsid w:val="006A557C"/>
    <w:rsid w:val="006B0505"/>
    <w:rsid w:val="006B4F86"/>
    <w:rsid w:val="006C12A3"/>
    <w:rsid w:val="006C2A21"/>
    <w:rsid w:val="006C2A58"/>
    <w:rsid w:val="006C6A3A"/>
    <w:rsid w:val="006C7759"/>
    <w:rsid w:val="006D0418"/>
    <w:rsid w:val="006D390A"/>
    <w:rsid w:val="006D4BBA"/>
    <w:rsid w:val="006D57BB"/>
    <w:rsid w:val="006D5815"/>
    <w:rsid w:val="006D7319"/>
    <w:rsid w:val="006D775F"/>
    <w:rsid w:val="006D7BFF"/>
    <w:rsid w:val="006E110E"/>
    <w:rsid w:val="006E20F4"/>
    <w:rsid w:val="006E29FF"/>
    <w:rsid w:val="006E2C87"/>
    <w:rsid w:val="006E5B5A"/>
    <w:rsid w:val="006E5E4B"/>
    <w:rsid w:val="006E6DF6"/>
    <w:rsid w:val="006F0A77"/>
    <w:rsid w:val="006F0C96"/>
    <w:rsid w:val="006F10B5"/>
    <w:rsid w:val="006F1A3C"/>
    <w:rsid w:val="006F2BB7"/>
    <w:rsid w:val="006F3F8D"/>
    <w:rsid w:val="00701D37"/>
    <w:rsid w:val="00702914"/>
    <w:rsid w:val="0070338D"/>
    <w:rsid w:val="007048C1"/>
    <w:rsid w:val="00704FD0"/>
    <w:rsid w:val="007051FD"/>
    <w:rsid w:val="00705274"/>
    <w:rsid w:val="00710E7C"/>
    <w:rsid w:val="007142C2"/>
    <w:rsid w:val="00716600"/>
    <w:rsid w:val="0071673D"/>
    <w:rsid w:val="00716D67"/>
    <w:rsid w:val="00722473"/>
    <w:rsid w:val="00723753"/>
    <w:rsid w:val="00726A8C"/>
    <w:rsid w:val="007316EB"/>
    <w:rsid w:val="00731C39"/>
    <w:rsid w:val="00732251"/>
    <w:rsid w:val="007329A4"/>
    <w:rsid w:val="00733F47"/>
    <w:rsid w:val="00733FF1"/>
    <w:rsid w:val="007342C6"/>
    <w:rsid w:val="00734CB3"/>
    <w:rsid w:val="00741690"/>
    <w:rsid w:val="00742F8D"/>
    <w:rsid w:val="00743301"/>
    <w:rsid w:val="00743B13"/>
    <w:rsid w:val="00743CD0"/>
    <w:rsid w:val="007447B0"/>
    <w:rsid w:val="00746227"/>
    <w:rsid w:val="007474B8"/>
    <w:rsid w:val="00750B6D"/>
    <w:rsid w:val="00751D6C"/>
    <w:rsid w:val="007520BD"/>
    <w:rsid w:val="007529AA"/>
    <w:rsid w:val="00752A37"/>
    <w:rsid w:val="00752F7B"/>
    <w:rsid w:val="00753779"/>
    <w:rsid w:val="00753FCF"/>
    <w:rsid w:val="00757F7C"/>
    <w:rsid w:val="00760590"/>
    <w:rsid w:val="00760DD2"/>
    <w:rsid w:val="007616C5"/>
    <w:rsid w:val="00762FBB"/>
    <w:rsid w:val="00764EDA"/>
    <w:rsid w:val="007660C0"/>
    <w:rsid w:val="00772C5F"/>
    <w:rsid w:val="00773018"/>
    <w:rsid w:val="00773CD1"/>
    <w:rsid w:val="00774231"/>
    <w:rsid w:val="00776E8F"/>
    <w:rsid w:val="00777AF8"/>
    <w:rsid w:val="00785D20"/>
    <w:rsid w:val="00787CC2"/>
    <w:rsid w:val="007915A4"/>
    <w:rsid w:val="00792800"/>
    <w:rsid w:val="00792C12"/>
    <w:rsid w:val="00793BB8"/>
    <w:rsid w:val="00793FC1"/>
    <w:rsid w:val="00795BBA"/>
    <w:rsid w:val="00797C7C"/>
    <w:rsid w:val="007A0BD9"/>
    <w:rsid w:val="007A66F1"/>
    <w:rsid w:val="007A73DD"/>
    <w:rsid w:val="007B154B"/>
    <w:rsid w:val="007B15FC"/>
    <w:rsid w:val="007B2596"/>
    <w:rsid w:val="007B4047"/>
    <w:rsid w:val="007B5A47"/>
    <w:rsid w:val="007C2BC5"/>
    <w:rsid w:val="007C3283"/>
    <w:rsid w:val="007C5290"/>
    <w:rsid w:val="007C5B4C"/>
    <w:rsid w:val="007D46BD"/>
    <w:rsid w:val="007D5078"/>
    <w:rsid w:val="007D6C2F"/>
    <w:rsid w:val="007E0146"/>
    <w:rsid w:val="007E1107"/>
    <w:rsid w:val="007E12A0"/>
    <w:rsid w:val="007E1F7C"/>
    <w:rsid w:val="007E21FC"/>
    <w:rsid w:val="007E2942"/>
    <w:rsid w:val="007E365F"/>
    <w:rsid w:val="007E5116"/>
    <w:rsid w:val="007E544C"/>
    <w:rsid w:val="007F050F"/>
    <w:rsid w:val="007F254E"/>
    <w:rsid w:val="007F3734"/>
    <w:rsid w:val="007F7F75"/>
    <w:rsid w:val="0080185E"/>
    <w:rsid w:val="00805E82"/>
    <w:rsid w:val="008070A0"/>
    <w:rsid w:val="00811137"/>
    <w:rsid w:val="0081422C"/>
    <w:rsid w:val="00814CD2"/>
    <w:rsid w:val="008173A1"/>
    <w:rsid w:val="008239C8"/>
    <w:rsid w:val="00826A51"/>
    <w:rsid w:val="00827B5D"/>
    <w:rsid w:val="00827FAC"/>
    <w:rsid w:val="0083289C"/>
    <w:rsid w:val="00833B60"/>
    <w:rsid w:val="00835E30"/>
    <w:rsid w:val="0083606B"/>
    <w:rsid w:val="00836A88"/>
    <w:rsid w:val="00836DD4"/>
    <w:rsid w:val="00847639"/>
    <w:rsid w:val="0085610E"/>
    <w:rsid w:val="00864624"/>
    <w:rsid w:val="00865651"/>
    <w:rsid w:val="00866880"/>
    <w:rsid w:val="00867926"/>
    <w:rsid w:val="00870A5A"/>
    <w:rsid w:val="008712EE"/>
    <w:rsid w:val="00871C3D"/>
    <w:rsid w:val="00873DA0"/>
    <w:rsid w:val="00874AFB"/>
    <w:rsid w:val="00875EB2"/>
    <w:rsid w:val="0088033E"/>
    <w:rsid w:val="00880F68"/>
    <w:rsid w:val="0088235B"/>
    <w:rsid w:val="00883179"/>
    <w:rsid w:val="00883B75"/>
    <w:rsid w:val="00885016"/>
    <w:rsid w:val="00885BD4"/>
    <w:rsid w:val="0088659F"/>
    <w:rsid w:val="008906C6"/>
    <w:rsid w:val="00895409"/>
    <w:rsid w:val="008A4CC8"/>
    <w:rsid w:val="008A6184"/>
    <w:rsid w:val="008B0AD5"/>
    <w:rsid w:val="008B1136"/>
    <w:rsid w:val="008B1B46"/>
    <w:rsid w:val="008B2D57"/>
    <w:rsid w:val="008B5FA1"/>
    <w:rsid w:val="008B670B"/>
    <w:rsid w:val="008B7680"/>
    <w:rsid w:val="008C294E"/>
    <w:rsid w:val="008C2B55"/>
    <w:rsid w:val="008C2F3A"/>
    <w:rsid w:val="008C59CF"/>
    <w:rsid w:val="008D0BB5"/>
    <w:rsid w:val="008D2A40"/>
    <w:rsid w:val="008D3906"/>
    <w:rsid w:val="008D3F04"/>
    <w:rsid w:val="008D54FE"/>
    <w:rsid w:val="008D689A"/>
    <w:rsid w:val="008D787A"/>
    <w:rsid w:val="008E6555"/>
    <w:rsid w:val="008E7228"/>
    <w:rsid w:val="008E7403"/>
    <w:rsid w:val="008F156E"/>
    <w:rsid w:val="008F286B"/>
    <w:rsid w:val="008F4EC3"/>
    <w:rsid w:val="008F5328"/>
    <w:rsid w:val="008F5817"/>
    <w:rsid w:val="008F6858"/>
    <w:rsid w:val="00901302"/>
    <w:rsid w:val="00901DB5"/>
    <w:rsid w:val="0090556B"/>
    <w:rsid w:val="00910D6F"/>
    <w:rsid w:val="0091103A"/>
    <w:rsid w:val="00911D24"/>
    <w:rsid w:val="009123D7"/>
    <w:rsid w:val="00912574"/>
    <w:rsid w:val="00913F3D"/>
    <w:rsid w:val="00920A2C"/>
    <w:rsid w:val="0092266C"/>
    <w:rsid w:val="009237BA"/>
    <w:rsid w:val="00926506"/>
    <w:rsid w:val="00927F64"/>
    <w:rsid w:val="00930B49"/>
    <w:rsid w:val="0093106D"/>
    <w:rsid w:val="00936B14"/>
    <w:rsid w:val="00937EF3"/>
    <w:rsid w:val="009410FB"/>
    <w:rsid w:val="00941525"/>
    <w:rsid w:val="00942020"/>
    <w:rsid w:val="00943839"/>
    <w:rsid w:val="0094464F"/>
    <w:rsid w:val="00944DB9"/>
    <w:rsid w:val="00952897"/>
    <w:rsid w:val="00952E5B"/>
    <w:rsid w:val="00954A85"/>
    <w:rsid w:val="00954C3B"/>
    <w:rsid w:val="0096339F"/>
    <w:rsid w:val="0096537E"/>
    <w:rsid w:val="00965F11"/>
    <w:rsid w:val="009675F4"/>
    <w:rsid w:val="0097177C"/>
    <w:rsid w:val="009732B4"/>
    <w:rsid w:val="009755C2"/>
    <w:rsid w:val="00977C04"/>
    <w:rsid w:val="0098147E"/>
    <w:rsid w:val="009821F4"/>
    <w:rsid w:val="0098243D"/>
    <w:rsid w:val="00984434"/>
    <w:rsid w:val="00985EB3"/>
    <w:rsid w:val="00990172"/>
    <w:rsid w:val="00995456"/>
    <w:rsid w:val="0099584D"/>
    <w:rsid w:val="00996B94"/>
    <w:rsid w:val="009A2344"/>
    <w:rsid w:val="009A6CE5"/>
    <w:rsid w:val="009B1D57"/>
    <w:rsid w:val="009B262E"/>
    <w:rsid w:val="009C0ADE"/>
    <w:rsid w:val="009C1CF8"/>
    <w:rsid w:val="009C28B3"/>
    <w:rsid w:val="009C3782"/>
    <w:rsid w:val="009C4BE9"/>
    <w:rsid w:val="009C4DC0"/>
    <w:rsid w:val="009C5FC3"/>
    <w:rsid w:val="009D2BE6"/>
    <w:rsid w:val="009D3471"/>
    <w:rsid w:val="009D39AD"/>
    <w:rsid w:val="009D6BE7"/>
    <w:rsid w:val="009D7E4D"/>
    <w:rsid w:val="009E0C58"/>
    <w:rsid w:val="009E14A5"/>
    <w:rsid w:val="009E5528"/>
    <w:rsid w:val="009E67D6"/>
    <w:rsid w:val="009E69D4"/>
    <w:rsid w:val="009E7E60"/>
    <w:rsid w:val="009F141D"/>
    <w:rsid w:val="009F1E4D"/>
    <w:rsid w:val="009F6A5F"/>
    <w:rsid w:val="009F73EF"/>
    <w:rsid w:val="009F7DD9"/>
    <w:rsid w:val="009F7F90"/>
    <w:rsid w:val="00A00020"/>
    <w:rsid w:val="00A1207A"/>
    <w:rsid w:val="00A12314"/>
    <w:rsid w:val="00A148DC"/>
    <w:rsid w:val="00A14A36"/>
    <w:rsid w:val="00A202EA"/>
    <w:rsid w:val="00A21C1C"/>
    <w:rsid w:val="00A2271F"/>
    <w:rsid w:val="00A25A54"/>
    <w:rsid w:val="00A262BA"/>
    <w:rsid w:val="00A30E99"/>
    <w:rsid w:val="00A33B49"/>
    <w:rsid w:val="00A37E8E"/>
    <w:rsid w:val="00A4047E"/>
    <w:rsid w:val="00A40886"/>
    <w:rsid w:val="00A415AB"/>
    <w:rsid w:val="00A422FD"/>
    <w:rsid w:val="00A43554"/>
    <w:rsid w:val="00A43B5A"/>
    <w:rsid w:val="00A43C40"/>
    <w:rsid w:val="00A441B2"/>
    <w:rsid w:val="00A44855"/>
    <w:rsid w:val="00A4710B"/>
    <w:rsid w:val="00A47556"/>
    <w:rsid w:val="00A54613"/>
    <w:rsid w:val="00A61035"/>
    <w:rsid w:val="00A65FD3"/>
    <w:rsid w:val="00A665EB"/>
    <w:rsid w:val="00A66D3D"/>
    <w:rsid w:val="00A67EB3"/>
    <w:rsid w:val="00A67F38"/>
    <w:rsid w:val="00A72BC0"/>
    <w:rsid w:val="00A737DA"/>
    <w:rsid w:val="00A74C3B"/>
    <w:rsid w:val="00A74F93"/>
    <w:rsid w:val="00A76412"/>
    <w:rsid w:val="00A82BEB"/>
    <w:rsid w:val="00A8303B"/>
    <w:rsid w:val="00A83CE3"/>
    <w:rsid w:val="00A87438"/>
    <w:rsid w:val="00A9184E"/>
    <w:rsid w:val="00A91ACD"/>
    <w:rsid w:val="00A91CE9"/>
    <w:rsid w:val="00A92ECD"/>
    <w:rsid w:val="00A94AC0"/>
    <w:rsid w:val="00A94AC6"/>
    <w:rsid w:val="00A95A49"/>
    <w:rsid w:val="00AA34D9"/>
    <w:rsid w:val="00AA3FB8"/>
    <w:rsid w:val="00AA51EA"/>
    <w:rsid w:val="00AA6656"/>
    <w:rsid w:val="00AB22B7"/>
    <w:rsid w:val="00AB505B"/>
    <w:rsid w:val="00AB59AA"/>
    <w:rsid w:val="00AC0008"/>
    <w:rsid w:val="00AC1DDA"/>
    <w:rsid w:val="00AC1FA0"/>
    <w:rsid w:val="00AC2AEF"/>
    <w:rsid w:val="00AC5393"/>
    <w:rsid w:val="00AD213F"/>
    <w:rsid w:val="00AD387F"/>
    <w:rsid w:val="00AD55AB"/>
    <w:rsid w:val="00AD59E7"/>
    <w:rsid w:val="00AD5CC5"/>
    <w:rsid w:val="00AD6B56"/>
    <w:rsid w:val="00AD71D4"/>
    <w:rsid w:val="00AD7731"/>
    <w:rsid w:val="00AD7E45"/>
    <w:rsid w:val="00AE24FA"/>
    <w:rsid w:val="00AE2A97"/>
    <w:rsid w:val="00AE372A"/>
    <w:rsid w:val="00AE4BCA"/>
    <w:rsid w:val="00AE4E40"/>
    <w:rsid w:val="00AE65AB"/>
    <w:rsid w:val="00AE742C"/>
    <w:rsid w:val="00AE7EC5"/>
    <w:rsid w:val="00AF45FE"/>
    <w:rsid w:val="00AF5039"/>
    <w:rsid w:val="00AF57CA"/>
    <w:rsid w:val="00AF5867"/>
    <w:rsid w:val="00AF5C72"/>
    <w:rsid w:val="00AF5F30"/>
    <w:rsid w:val="00AF7461"/>
    <w:rsid w:val="00AF78B1"/>
    <w:rsid w:val="00AF7E3F"/>
    <w:rsid w:val="00B010CD"/>
    <w:rsid w:val="00B01B63"/>
    <w:rsid w:val="00B048FF"/>
    <w:rsid w:val="00B04D12"/>
    <w:rsid w:val="00B05021"/>
    <w:rsid w:val="00B0551D"/>
    <w:rsid w:val="00B10428"/>
    <w:rsid w:val="00B10A1D"/>
    <w:rsid w:val="00B10A98"/>
    <w:rsid w:val="00B10E50"/>
    <w:rsid w:val="00B12DE0"/>
    <w:rsid w:val="00B13AFF"/>
    <w:rsid w:val="00B14318"/>
    <w:rsid w:val="00B14DC5"/>
    <w:rsid w:val="00B173A8"/>
    <w:rsid w:val="00B17CBA"/>
    <w:rsid w:val="00B213B7"/>
    <w:rsid w:val="00B2303C"/>
    <w:rsid w:val="00B23846"/>
    <w:rsid w:val="00B23CE7"/>
    <w:rsid w:val="00B24977"/>
    <w:rsid w:val="00B27DE2"/>
    <w:rsid w:val="00B310B7"/>
    <w:rsid w:val="00B3154E"/>
    <w:rsid w:val="00B32840"/>
    <w:rsid w:val="00B32A0C"/>
    <w:rsid w:val="00B3502E"/>
    <w:rsid w:val="00B35F47"/>
    <w:rsid w:val="00B370D2"/>
    <w:rsid w:val="00B40B8E"/>
    <w:rsid w:val="00B412CC"/>
    <w:rsid w:val="00B41AE1"/>
    <w:rsid w:val="00B43E59"/>
    <w:rsid w:val="00B509B0"/>
    <w:rsid w:val="00B57418"/>
    <w:rsid w:val="00B57958"/>
    <w:rsid w:val="00B619AA"/>
    <w:rsid w:val="00B6275D"/>
    <w:rsid w:val="00B64B00"/>
    <w:rsid w:val="00B66164"/>
    <w:rsid w:val="00B72549"/>
    <w:rsid w:val="00B7286C"/>
    <w:rsid w:val="00B72E8A"/>
    <w:rsid w:val="00B73801"/>
    <w:rsid w:val="00B73C51"/>
    <w:rsid w:val="00B777D7"/>
    <w:rsid w:val="00B77A09"/>
    <w:rsid w:val="00B77C62"/>
    <w:rsid w:val="00B77FDE"/>
    <w:rsid w:val="00B80201"/>
    <w:rsid w:val="00B84F6F"/>
    <w:rsid w:val="00B85C7F"/>
    <w:rsid w:val="00B90C58"/>
    <w:rsid w:val="00B91CEC"/>
    <w:rsid w:val="00B93810"/>
    <w:rsid w:val="00B942CC"/>
    <w:rsid w:val="00B944BE"/>
    <w:rsid w:val="00BA171D"/>
    <w:rsid w:val="00BA66D1"/>
    <w:rsid w:val="00BA7DA5"/>
    <w:rsid w:val="00BB02F7"/>
    <w:rsid w:val="00BB28F7"/>
    <w:rsid w:val="00BB34BB"/>
    <w:rsid w:val="00BB4A33"/>
    <w:rsid w:val="00BB5F1E"/>
    <w:rsid w:val="00BB605F"/>
    <w:rsid w:val="00BB6DF6"/>
    <w:rsid w:val="00BC029E"/>
    <w:rsid w:val="00BC10C4"/>
    <w:rsid w:val="00BC4ED1"/>
    <w:rsid w:val="00BC6D9F"/>
    <w:rsid w:val="00BC746B"/>
    <w:rsid w:val="00BC7B3A"/>
    <w:rsid w:val="00BD1DDF"/>
    <w:rsid w:val="00BD2CB5"/>
    <w:rsid w:val="00BD64ED"/>
    <w:rsid w:val="00BE07B2"/>
    <w:rsid w:val="00BE07CD"/>
    <w:rsid w:val="00BE0936"/>
    <w:rsid w:val="00BE185F"/>
    <w:rsid w:val="00BE3115"/>
    <w:rsid w:val="00BE41CC"/>
    <w:rsid w:val="00BE461A"/>
    <w:rsid w:val="00BE570D"/>
    <w:rsid w:val="00BE5F62"/>
    <w:rsid w:val="00BF0D08"/>
    <w:rsid w:val="00BF6FCF"/>
    <w:rsid w:val="00BF744F"/>
    <w:rsid w:val="00C00736"/>
    <w:rsid w:val="00C052FD"/>
    <w:rsid w:val="00C06BDE"/>
    <w:rsid w:val="00C140EE"/>
    <w:rsid w:val="00C14340"/>
    <w:rsid w:val="00C1441A"/>
    <w:rsid w:val="00C145CA"/>
    <w:rsid w:val="00C14FFC"/>
    <w:rsid w:val="00C164FD"/>
    <w:rsid w:val="00C16B5C"/>
    <w:rsid w:val="00C16FC7"/>
    <w:rsid w:val="00C20F4A"/>
    <w:rsid w:val="00C210A2"/>
    <w:rsid w:val="00C21BF2"/>
    <w:rsid w:val="00C2515D"/>
    <w:rsid w:val="00C35775"/>
    <w:rsid w:val="00C36A6A"/>
    <w:rsid w:val="00C37B4E"/>
    <w:rsid w:val="00C37E59"/>
    <w:rsid w:val="00C41BFF"/>
    <w:rsid w:val="00C426C9"/>
    <w:rsid w:val="00C430F3"/>
    <w:rsid w:val="00C43AE5"/>
    <w:rsid w:val="00C57A79"/>
    <w:rsid w:val="00C57D8F"/>
    <w:rsid w:val="00C6106C"/>
    <w:rsid w:val="00C61E61"/>
    <w:rsid w:val="00C678A2"/>
    <w:rsid w:val="00C7242B"/>
    <w:rsid w:val="00C73444"/>
    <w:rsid w:val="00C76104"/>
    <w:rsid w:val="00C7772E"/>
    <w:rsid w:val="00C80EDE"/>
    <w:rsid w:val="00C81700"/>
    <w:rsid w:val="00C82CA1"/>
    <w:rsid w:val="00C83E89"/>
    <w:rsid w:val="00C86E10"/>
    <w:rsid w:val="00C9243C"/>
    <w:rsid w:val="00C9477D"/>
    <w:rsid w:val="00C94DCC"/>
    <w:rsid w:val="00C95401"/>
    <w:rsid w:val="00C95BE3"/>
    <w:rsid w:val="00C9687D"/>
    <w:rsid w:val="00C97449"/>
    <w:rsid w:val="00C97D37"/>
    <w:rsid w:val="00CA2C53"/>
    <w:rsid w:val="00CA3EC8"/>
    <w:rsid w:val="00CA49A0"/>
    <w:rsid w:val="00CA55AF"/>
    <w:rsid w:val="00CA756A"/>
    <w:rsid w:val="00CB3C3F"/>
    <w:rsid w:val="00CB3EF7"/>
    <w:rsid w:val="00CB3EFE"/>
    <w:rsid w:val="00CB54CE"/>
    <w:rsid w:val="00CC039A"/>
    <w:rsid w:val="00CC3BBB"/>
    <w:rsid w:val="00CC3DDA"/>
    <w:rsid w:val="00CC4C09"/>
    <w:rsid w:val="00CC4CF6"/>
    <w:rsid w:val="00CC4D8C"/>
    <w:rsid w:val="00CC6632"/>
    <w:rsid w:val="00CD041F"/>
    <w:rsid w:val="00CD0792"/>
    <w:rsid w:val="00CD2F9B"/>
    <w:rsid w:val="00CD5EAF"/>
    <w:rsid w:val="00CE16B7"/>
    <w:rsid w:val="00CE1E55"/>
    <w:rsid w:val="00CE7877"/>
    <w:rsid w:val="00CF0D17"/>
    <w:rsid w:val="00CF0D85"/>
    <w:rsid w:val="00CF11B4"/>
    <w:rsid w:val="00CF187E"/>
    <w:rsid w:val="00CF3551"/>
    <w:rsid w:val="00CF4EBD"/>
    <w:rsid w:val="00CF65DF"/>
    <w:rsid w:val="00D011AE"/>
    <w:rsid w:val="00D04D99"/>
    <w:rsid w:val="00D0571C"/>
    <w:rsid w:val="00D06305"/>
    <w:rsid w:val="00D06995"/>
    <w:rsid w:val="00D11CAE"/>
    <w:rsid w:val="00D137D5"/>
    <w:rsid w:val="00D13F8E"/>
    <w:rsid w:val="00D15BAB"/>
    <w:rsid w:val="00D15F87"/>
    <w:rsid w:val="00D17011"/>
    <w:rsid w:val="00D17469"/>
    <w:rsid w:val="00D2199C"/>
    <w:rsid w:val="00D21FF6"/>
    <w:rsid w:val="00D258DD"/>
    <w:rsid w:val="00D32272"/>
    <w:rsid w:val="00D32C4C"/>
    <w:rsid w:val="00D3393D"/>
    <w:rsid w:val="00D361A6"/>
    <w:rsid w:val="00D42069"/>
    <w:rsid w:val="00D420D6"/>
    <w:rsid w:val="00D422FD"/>
    <w:rsid w:val="00D42C1F"/>
    <w:rsid w:val="00D45096"/>
    <w:rsid w:val="00D45BAE"/>
    <w:rsid w:val="00D45C77"/>
    <w:rsid w:val="00D46EC5"/>
    <w:rsid w:val="00D47CF2"/>
    <w:rsid w:val="00D47E68"/>
    <w:rsid w:val="00D52D7F"/>
    <w:rsid w:val="00D55962"/>
    <w:rsid w:val="00D56F57"/>
    <w:rsid w:val="00D57FF0"/>
    <w:rsid w:val="00D60AE1"/>
    <w:rsid w:val="00D61FD4"/>
    <w:rsid w:val="00D623E1"/>
    <w:rsid w:val="00D6300D"/>
    <w:rsid w:val="00D63550"/>
    <w:rsid w:val="00D63C94"/>
    <w:rsid w:val="00D649FF"/>
    <w:rsid w:val="00D64FB3"/>
    <w:rsid w:val="00D65FBF"/>
    <w:rsid w:val="00D71D9A"/>
    <w:rsid w:val="00D72648"/>
    <w:rsid w:val="00D7395C"/>
    <w:rsid w:val="00D74B8C"/>
    <w:rsid w:val="00D77D59"/>
    <w:rsid w:val="00D84F0A"/>
    <w:rsid w:val="00D86657"/>
    <w:rsid w:val="00D87EBD"/>
    <w:rsid w:val="00D9151F"/>
    <w:rsid w:val="00D91FE0"/>
    <w:rsid w:val="00D924E8"/>
    <w:rsid w:val="00D94FD1"/>
    <w:rsid w:val="00D96618"/>
    <w:rsid w:val="00DA0E43"/>
    <w:rsid w:val="00DA21D3"/>
    <w:rsid w:val="00DA21DC"/>
    <w:rsid w:val="00DA4229"/>
    <w:rsid w:val="00DA5D50"/>
    <w:rsid w:val="00DA74F4"/>
    <w:rsid w:val="00DB0D62"/>
    <w:rsid w:val="00DB1591"/>
    <w:rsid w:val="00DB2A2F"/>
    <w:rsid w:val="00DB2EFB"/>
    <w:rsid w:val="00DB4B99"/>
    <w:rsid w:val="00DB73E3"/>
    <w:rsid w:val="00DC0490"/>
    <w:rsid w:val="00DC19A2"/>
    <w:rsid w:val="00DC1F8D"/>
    <w:rsid w:val="00DC3770"/>
    <w:rsid w:val="00DC42DE"/>
    <w:rsid w:val="00DC5E36"/>
    <w:rsid w:val="00DC7F33"/>
    <w:rsid w:val="00DD336D"/>
    <w:rsid w:val="00DD420B"/>
    <w:rsid w:val="00DD5E8A"/>
    <w:rsid w:val="00DE27C8"/>
    <w:rsid w:val="00DE3501"/>
    <w:rsid w:val="00DE51BD"/>
    <w:rsid w:val="00DE5FF8"/>
    <w:rsid w:val="00DF00B4"/>
    <w:rsid w:val="00DF1D6A"/>
    <w:rsid w:val="00DF1DB9"/>
    <w:rsid w:val="00DF3564"/>
    <w:rsid w:val="00DF3946"/>
    <w:rsid w:val="00DF5941"/>
    <w:rsid w:val="00DF6238"/>
    <w:rsid w:val="00DF6827"/>
    <w:rsid w:val="00E000E4"/>
    <w:rsid w:val="00E0111E"/>
    <w:rsid w:val="00E0218A"/>
    <w:rsid w:val="00E047D4"/>
    <w:rsid w:val="00E0509B"/>
    <w:rsid w:val="00E0570F"/>
    <w:rsid w:val="00E10055"/>
    <w:rsid w:val="00E10642"/>
    <w:rsid w:val="00E10E2B"/>
    <w:rsid w:val="00E1396A"/>
    <w:rsid w:val="00E15955"/>
    <w:rsid w:val="00E178F2"/>
    <w:rsid w:val="00E179A5"/>
    <w:rsid w:val="00E22C75"/>
    <w:rsid w:val="00E24269"/>
    <w:rsid w:val="00E24EAD"/>
    <w:rsid w:val="00E26408"/>
    <w:rsid w:val="00E276BB"/>
    <w:rsid w:val="00E30A26"/>
    <w:rsid w:val="00E32133"/>
    <w:rsid w:val="00E32E33"/>
    <w:rsid w:val="00E33563"/>
    <w:rsid w:val="00E33991"/>
    <w:rsid w:val="00E346C6"/>
    <w:rsid w:val="00E37247"/>
    <w:rsid w:val="00E400E6"/>
    <w:rsid w:val="00E41A0D"/>
    <w:rsid w:val="00E44350"/>
    <w:rsid w:val="00E44D0B"/>
    <w:rsid w:val="00E45E84"/>
    <w:rsid w:val="00E522DE"/>
    <w:rsid w:val="00E53B14"/>
    <w:rsid w:val="00E54513"/>
    <w:rsid w:val="00E55AAB"/>
    <w:rsid w:val="00E56F78"/>
    <w:rsid w:val="00E57AC0"/>
    <w:rsid w:val="00E60D95"/>
    <w:rsid w:val="00E61A27"/>
    <w:rsid w:val="00E62E21"/>
    <w:rsid w:val="00E63B96"/>
    <w:rsid w:val="00E65140"/>
    <w:rsid w:val="00E67697"/>
    <w:rsid w:val="00E7047F"/>
    <w:rsid w:val="00E70F9A"/>
    <w:rsid w:val="00E7212C"/>
    <w:rsid w:val="00E73066"/>
    <w:rsid w:val="00E737AA"/>
    <w:rsid w:val="00E74757"/>
    <w:rsid w:val="00E7549B"/>
    <w:rsid w:val="00E7711D"/>
    <w:rsid w:val="00E80FE8"/>
    <w:rsid w:val="00E82986"/>
    <w:rsid w:val="00E82AD8"/>
    <w:rsid w:val="00E86838"/>
    <w:rsid w:val="00E87BB9"/>
    <w:rsid w:val="00E911EE"/>
    <w:rsid w:val="00E91639"/>
    <w:rsid w:val="00E92D94"/>
    <w:rsid w:val="00E94583"/>
    <w:rsid w:val="00E94A13"/>
    <w:rsid w:val="00E954BC"/>
    <w:rsid w:val="00E9779A"/>
    <w:rsid w:val="00EA09D3"/>
    <w:rsid w:val="00EA0A88"/>
    <w:rsid w:val="00EA0FE5"/>
    <w:rsid w:val="00EA289E"/>
    <w:rsid w:val="00EA5676"/>
    <w:rsid w:val="00EA63BF"/>
    <w:rsid w:val="00EB15FB"/>
    <w:rsid w:val="00EB2B58"/>
    <w:rsid w:val="00EB47DF"/>
    <w:rsid w:val="00EB556A"/>
    <w:rsid w:val="00EB59CD"/>
    <w:rsid w:val="00EB6C2B"/>
    <w:rsid w:val="00EB731A"/>
    <w:rsid w:val="00EB76DD"/>
    <w:rsid w:val="00EB7F11"/>
    <w:rsid w:val="00EC041D"/>
    <w:rsid w:val="00EC28B8"/>
    <w:rsid w:val="00EC3AB1"/>
    <w:rsid w:val="00EC4E32"/>
    <w:rsid w:val="00ED0110"/>
    <w:rsid w:val="00ED2111"/>
    <w:rsid w:val="00ED3548"/>
    <w:rsid w:val="00ED35BB"/>
    <w:rsid w:val="00ED5098"/>
    <w:rsid w:val="00ED50EC"/>
    <w:rsid w:val="00ED6C16"/>
    <w:rsid w:val="00ED7BD1"/>
    <w:rsid w:val="00EE12EB"/>
    <w:rsid w:val="00EE1E16"/>
    <w:rsid w:val="00EE3262"/>
    <w:rsid w:val="00EE3617"/>
    <w:rsid w:val="00EE477A"/>
    <w:rsid w:val="00EE4CD5"/>
    <w:rsid w:val="00EE509C"/>
    <w:rsid w:val="00EE5B83"/>
    <w:rsid w:val="00EE734E"/>
    <w:rsid w:val="00EE7B37"/>
    <w:rsid w:val="00EE7C4E"/>
    <w:rsid w:val="00EF1A9F"/>
    <w:rsid w:val="00EF2207"/>
    <w:rsid w:val="00EF2EB7"/>
    <w:rsid w:val="00EF403E"/>
    <w:rsid w:val="00EF5C45"/>
    <w:rsid w:val="00F0291F"/>
    <w:rsid w:val="00F033D0"/>
    <w:rsid w:val="00F0457B"/>
    <w:rsid w:val="00F0608D"/>
    <w:rsid w:val="00F17989"/>
    <w:rsid w:val="00F2525D"/>
    <w:rsid w:val="00F3000B"/>
    <w:rsid w:val="00F30BE9"/>
    <w:rsid w:val="00F312B2"/>
    <w:rsid w:val="00F3437C"/>
    <w:rsid w:val="00F378DA"/>
    <w:rsid w:val="00F41351"/>
    <w:rsid w:val="00F4388D"/>
    <w:rsid w:val="00F500D5"/>
    <w:rsid w:val="00F50288"/>
    <w:rsid w:val="00F53007"/>
    <w:rsid w:val="00F53B76"/>
    <w:rsid w:val="00F5433A"/>
    <w:rsid w:val="00F5460F"/>
    <w:rsid w:val="00F563E7"/>
    <w:rsid w:val="00F56E56"/>
    <w:rsid w:val="00F60EC0"/>
    <w:rsid w:val="00F62B67"/>
    <w:rsid w:val="00F672E8"/>
    <w:rsid w:val="00F67D61"/>
    <w:rsid w:val="00F701C0"/>
    <w:rsid w:val="00F721F4"/>
    <w:rsid w:val="00F73429"/>
    <w:rsid w:val="00F80C6C"/>
    <w:rsid w:val="00F83704"/>
    <w:rsid w:val="00F90263"/>
    <w:rsid w:val="00F90B9F"/>
    <w:rsid w:val="00F9178E"/>
    <w:rsid w:val="00F941C6"/>
    <w:rsid w:val="00F96E24"/>
    <w:rsid w:val="00FA2D56"/>
    <w:rsid w:val="00FA3809"/>
    <w:rsid w:val="00FA3B22"/>
    <w:rsid w:val="00FA5015"/>
    <w:rsid w:val="00FA5F41"/>
    <w:rsid w:val="00FA7565"/>
    <w:rsid w:val="00FB0EA2"/>
    <w:rsid w:val="00FB100A"/>
    <w:rsid w:val="00FB2581"/>
    <w:rsid w:val="00FB4050"/>
    <w:rsid w:val="00FB437E"/>
    <w:rsid w:val="00FB4802"/>
    <w:rsid w:val="00FC09B8"/>
    <w:rsid w:val="00FC23FF"/>
    <w:rsid w:val="00FC24F4"/>
    <w:rsid w:val="00FC42BD"/>
    <w:rsid w:val="00FC78C3"/>
    <w:rsid w:val="00FC7D70"/>
    <w:rsid w:val="00FD066A"/>
    <w:rsid w:val="00FD069B"/>
    <w:rsid w:val="00FD0930"/>
    <w:rsid w:val="00FD4B57"/>
    <w:rsid w:val="00FD7DE7"/>
    <w:rsid w:val="00FE28E3"/>
    <w:rsid w:val="00FE3F62"/>
    <w:rsid w:val="00FE4C85"/>
    <w:rsid w:val="00FE671F"/>
    <w:rsid w:val="00FF18B6"/>
    <w:rsid w:val="00FF3785"/>
    <w:rsid w:val="00FF51C6"/>
    <w:rsid w:val="00FF59B3"/>
    <w:rsid w:val="00FF636C"/>
    <w:rsid w:val="00FF78D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F5B26"/>
  <w15:docId w15:val="{35952247-AE83-4AA3-9C44-C022B60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nhideWhenUsed/>
    <w:rsid w:val="00461D1B"/>
    <w:rPr>
      <w:rFonts w:ascii="Arial" w:hAnsi="Arial"/>
      <w:sz w:val="16"/>
      <w:vertAlign w:val="superscript"/>
    </w:rPr>
  </w:style>
  <w:style w:type="paragraph" w:styleId="FootnoteText">
    <w:name w:val="footnote text"/>
    <w:basedOn w:val="Normal"/>
    <w:link w:val="FootnoteTextChar"/>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apple-converted-space">
    <w:name w:val="apple-converted-space"/>
    <w:basedOn w:val="DefaultParagraphFont"/>
    <w:rsid w:val="001B57C7"/>
  </w:style>
  <w:style w:type="paragraph" w:customStyle="1" w:styleId="NUM5">
    <w:name w:val="NUM5"/>
    <w:basedOn w:val="Normal"/>
    <w:next w:val="Normal"/>
    <w:qFormat/>
    <w:rsid w:val="00984434"/>
    <w:pPr>
      <w:ind w:left="5670" w:hanging="1417"/>
    </w:pPr>
  </w:style>
  <w:style w:type="character" w:customStyle="1" w:styleId="mc">
    <w:name w:val="mc"/>
    <w:basedOn w:val="DefaultParagraphFont"/>
    <w:rsid w:val="00B40B8E"/>
  </w:style>
  <w:style w:type="paragraph" w:styleId="Revision">
    <w:name w:val="Revision"/>
    <w:hidden/>
    <w:uiPriority w:val="99"/>
    <w:semiHidden/>
    <w:rsid w:val="00BB6DF6"/>
    <w:rPr>
      <w:rFonts w:ascii="Arial" w:eastAsia="Times New Roman" w:hAnsi="Arial" w:cs="Arial"/>
      <w:sz w:val="24"/>
      <w:szCs w:val="24"/>
    </w:rPr>
  </w:style>
  <w:style w:type="paragraph" w:customStyle="1" w:styleId="para-10">
    <w:name w:val="para-10"/>
    <w:basedOn w:val="Normal"/>
    <w:rsid w:val="00B6275D"/>
    <w:pPr>
      <w:spacing w:before="100" w:beforeAutospacing="1" w:after="100" w:afterAutospacing="1" w:line="240" w:lineRule="auto"/>
      <w:jc w:val="left"/>
    </w:pPr>
    <w:rPr>
      <w:rFonts w:ascii="Times New Roman" w:hAnsi="Times New Roman" w:cs="Times New Roman"/>
      <w:lang w:eastAsia="en-GB"/>
    </w:rPr>
  </w:style>
  <w:style w:type="paragraph" w:customStyle="1" w:styleId="normaltext">
    <w:name w:val="normaltext"/>
    <w:basedOn w:val="Normal"/>
    <w:rsid w:val="008A4CC8"/>
    <w:pPr>
      <w:spacing w:before="100" w:beforeAutospacing="1" w:after="100" w:afterAutospacing="1" w:line="240" w:lineRule="auto"/>
      <w:jc w:val="left"/>
    </w:pPr>
    <w:rPr>
      <w:rFonts w:ascii="Times New Roman" w:hAnsi="Times New Roman" w:cs="Times New Roman"/>
      <w:lang w:eastAsia="en-GB"/>
    </w:rPr>
  </w:style>
  <w:style w:type="paragraph" w:customStyle="1" w:styleId="blockquotetab">
    <w:name w:val="blockquotetab"/>
    <w:basedOn w:val="Normal"/>
    <w:rsid w:val="008A4CC8"/>
    <w:pPr>
      <w:spacing w:before="100" w:beforeAutospacing="1" w:after="100" w:afterAutospacing="1" w:line="240" w:lineRule="auto"/>
      <w:jc w:val="left"/>
    </w:pPr>
    <w:rPr>
      <w:rFonts w:ascii="Times New Roman" w:hAnsi="Times New Roman" w:cs="Times New Roman"/>
      <w:lang w:eastAsia="en-GB"/>
    </w:rPr>
  </w:style>
  <w:style w:type="paragraph" w:customStyle="1" w:styleId="blockquote-x">
    <w:name w:val="blockquote-x"/>
    <w:basedOn w:val="Normal"/>
    <w:rsid w:val="008A4CC8"/>
    <w:pPr>
      <w:spacing w:before="100" w:beforeAutospacing="1" w:after="100" w:afterAutospacing="1" w:line="240" w:lineRule="auto"/>
      <w:jc w:val="left"/>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11102893">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989597261">
      <w:bodyDiv w:val="1"/>
      <w:marLeft w:val="0"/>
      <w:marRight w:val="0"/>
      <w:marTop w:val="0"/>
      <w:marBottom w:val="0"/>
      <w:divBdr>
        <w:top w:val="none" w:sz="0" w:space="0" w:color="auto"/>
        <w:left w:val="none" w:sz="0" w:space="0" w:color="auto"/>
        <w:bottom w:val="none" w:sz="0" w:space="0" w:color="auto"/>
        <w:right w:val="none" w:sz="0" w:space="0" w:color="auto"/>
      </w:divBdr>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xt/foliolinks.asp%3ff=xhitlist&amp;xhitlist_x=Advanced&amp;xhitlist_vpc=first&amp;xhitlist_xsl=querylink.xsl&amp;xhitlist_sel=title;path;content-type;home-title&amp;xhitlist_d=%7bstatreg%7d&amp;xhitlist_q=%5bfield%20folio-destination-name:'a130y1993'%5d&amp;xhitlist_md=target-id=0-0-0-908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H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D464-4418-4F58-889E-FD07714E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HOA</Template>
  <TotalTime>1</TotalTime>
  <Pages>34</Pages>
  <Words>6624</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Lazarus Rakgwale</cp:lastModifiedBy>
  <cp:revision>2</cp:revision>
  <cp:lastPrinted>2022-09-07T11:40:00Z</cp:lastPrinted>
  <dcterms:created xsi:type="dcterms:W3CDTF">2022-09-08T13:41:00Z</dcterms:created>
  <dcterms:modified xsi:type="dcterms:W3CDTF">2022-09-08T13:41:00Z</dcterms:modified>
</cp:coreProperties>
</file>