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53" w:rsidRPr="00244753" w:rsidRDefault="00244753" w:rsidP="00911F56">
      <w:pPr>
        <w:spacing w:line="480" w:lineRule="auto"/>
        <w:jc w:val="center"/>
        <w:rPr>
          <w:rFonts w:ascii="Arial" w:eastAsia="Times New Roman" w:hAnsi="Arial" w:cs="Arial"/>
          <w:sz w:val="24"/>
          <w:szCs w:val="24"/>
          <w:lang w:eastAsia="en-ZA"/>
        </w:rPr>
      </w:pPr>
      <w:r>
        <w:rPr>
          <w:lang w:val="en-GB"/>
        </w:rPr>
        <w:t xml:space="preserve"> </w:t>
      </w:r>
      <w:r w:rsidRPr="00244753">
        <w:rPr>
          <w:rFonts w:ascii="Arial" w:eastAsia="Times New Roman" w:hAnsi="Arial" w:cs="Arial"/>
          <w:b/>
          <w:noProof/>
          <w:color w:val="000000"/>
          <w:sz w:val="24"/>
          <w:szCs w:val="24"/>
          <w:bdr w:val="none" w:sz="0" w:space="0" w:color="auto" w:frame="1"/>
          <w:lang w:val="en-US"/>
        </w:rPr>
        <w:drawing>
          <wp:inline distT="0" distB="0" distL="0" distR="0">
            <wp:extent cx="1435100" cy="14351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244753" w:rsidRPr="00244753" w:rsidRDefault="00244753" w:rsidP="00911F56">
      <w:pPr>
        <w:spacing w:line="480" w:lineRule="auto"/>
        <w:jc w:val="center"/>
        <w:rPr>
          <w:rFonts w:ascii="Arial" w:eastAsia="Times New Roman" w:hAnsi="Arial" w:cs="Arial"/>
          <w:sz w:val="24"/>
          <w:szCs w:val="24"/>
          <w:lang w:eastAsia="en-ZA"/>
        </w:rPr>
      </w:pPr>
      <w:r w:rsidRPr="00244753">
        <w:rPr>
          <w:rFonts w:ascii="Arial" w:eastAsia="Times New Roman" w:hAnsi="Arial" w:cs="Arial"/>
          <w:b/>
          <w:bCs/>
          <w:color w:val="000000"/>
          <w:sz w:val="24"/>
          <w:szCs w:val="24"/>
          <w:lang w:eastAsia="en-ZA"/>
        </w:rPr>
        <w:t>IN THE HIGH COURT OF SOUTH AFRICA</w:t>
      </w:r>
    </w:p>
    <w:p w:rsidR="00244753" w:rsidRPr="00244753" w:rsidRDefault="00244753" w:rsidP="00911F56">
      <w:pPr>
        <w:spacing w:line="480" w:lineRule="auto"/>
        <w:jc w:val="center"/>
        <w:rPr>
          <w:rFonts w:ascii="Arial" w:eastAsia="Times New Roman" w:hAnsi="Arial" w:cs="Arial"/>
          <w:sz w:val="24"/>
          <w:szCs w:val="24"/>
          <w:lang w:eastAsia="en-ZA"/>
        </w:rPr>
      </w:pPr>
      <w:r w:rsidRPr="00244753">
        <w:rPr>
          <w:rFonts w:ascii="Arial" w:eastAsia="Times New Roman" w:hAnsi="Arial" w:cs="Arial"/>
          <w:b/>
          <w:bCs/>
          <w:color w:val="000000"/>
          <w:sz w:val="24"/>
          <w:szCs w:val="24"/>
          <w:lang w:eastAsia="en-ZA"/>
        </w:rPr>
        <w:t>(GAUTENG LOCAL DIVISION, JOHANNESBURG)</w:t>
      </w:r>
    </w:p>
    <w:p w:rsidR="00244753" w:rsidRPr="00244753" w:rsidRDefault="00244753" w:rsidP="00911F56">
      <w:pPr>
        <w:spacing w:line="480" w:lineRule="auto"/>
        <w:jc w:val="both"/>
        <w:rPr>
          <w:rFonts w:ascii="Arial" w:eastAsia="Times New Roman" w:hAnsi="Arial" w:cs="Arial"/>
          <w:sz w:val="24"/>
          <w:szCs w:val="24"/>
          <w:lang w:eastAsia="en-ZA"/>
        </w:rPr>
      </w:pPr>
      <w:r w:rsidRPr="00244753">
        <w:rPr>
          <w:rFonts w:ascii="Arial" w:eastAsia="Times New Roman" w:hAnsi="Arial" w:cs="Arial"/>
          <w:b/>
          <w:bCs/>
          <w:color w:val="000000"/>
          <w:sz w:val="24"/>
          <w:szCs w:val="24"/>
          <w:lang w:eastAsia="en-ZA"/>
        </w:rPr>
        <w:tab/>
      </w:r>
      <w:r w:rsidRPr="00244753">
        <w:rPr>
          <w:rFonts w:ascii="Arial" w:eastAsia="Times New Roman" w:hAnsi="Arial" w:cs="Arial"/>
          <w:b/>
          <w:bCs/>
          <w:color w:val="000000"/>
          <w:sz w:val="24"/>
          <w:szCs w:val="24"/>
          <w:lang w:eastAsia="en-ZA"/>
        </w:rPr>
        <w:tab/>
      </w:r>
      <w:r w:rsidRPr="00244753">
        <w:rPr>
          <w:rFonts w:ascii="Arial" w:eastAsia="Times New Roman" w:hAnsi="Arial" w:cs="Arial"/>
          <w:b/>
          <w:bCs/>
          <w:color w:val="000000"/>
          <w:sz w:val="24"/>
          <w:szCs w:val="24"/>
          <w:lang w:eastAsia="en-ZA"/>
        </w:rPr>
        <w:tab/>
      </w:r>
      <w:r w:rsidRPr="00244753">
        <w:rPr>
          <w:rFonts w:ascii="Arial" w:eastAsia="Times New Roman" w:hAnsi="Arial" w:cs="Arial"/>
          <w:b/>
          <w:bCs/>
          <w:color w:val="000000"/>
          <w:sz w:val="24"/>
          <w:szCs w:val="24"/>
          <w:lang w:eastAsia="en-ZA"/>
        </w:rPr>
        <w:tab/>
      </w:r>
      <w:r w:rsidRPr="00244753">
        <w:rPr>
          <w:rFonts w:ascii="Arial" w:eastAsia="Times New Roman" w:hAnsi="Arial" w:cs="Arial"/>
          <w:b/>
          <w:bCs/>
          <w:color w:val="000000"/>
          <w:sz w:val="24"/>
          <w:szCs w:val="24"/>
          <w:lang w:eastAsia="en-ZA"/>
        </w:rPr>
        <w:tab/>
      </w:r>
      <w:r w:rsidRPr="00244753">
        <w:rPr>
          <w:rFonts w:ascii="Arial" w:eastAsia="Times New Roman" w:hAnsi="Arial" w:cs="Arial"/>
          <w:b/>
          <w:bCs/>
          <w:color w:val="000000"/>
          <w:sz w:val="24"/>
          <w:szCs w:val="24"/>
          <w:lang w:eastAsia="en-ZA"/>
        </w:rPr>
        <w:tab/>
      </w:r>
      <w:r w:rsidRPr="00244753">
        <w:rPr>
          <w:rFonts w:ascii="Arial" w:eastAsia="Times New Roman" w:hAnsi="Arial" w:cs="Arial"/>
          <w:b/>
          <w:bCs/>
          <w:color w:val="000000"/>
          <w:sz w:val="24"/>
          <w:szCs w:val="24"/>
          <w:lang w:eastAsia="en-ZA"/>
        </w:rPr>
        <w:tab/>
      </w:r>
      <w:r w:rsidRPr="00244753">
        <w:rPr>
          <w:rFonts w:ascii="Arial" w:eastAsia="Times New Roman" w:hAnsi="Arial" w:cs="Arial"/>
          <w:b/>
          <w:bCs/>
          <w:color w:val="000000"/>
          <w:sz w:val="24"/>
          <w:szCs w:val="24"/>
          <w:lang w:eastAsia="en-ZA"/>
        </w:rPr>
        <w:tab/>
        <w:t xml:space="preserve">  CASE NO: 2021/21595 </w:t>
      </w:r>
    </w:p>
    <w:tbl>
      <w:tblPr>
        <w:tblW w:w="3511" w:type="dxa"/>
        <w:tblCellMar>
          <w:left w:w="0" w:type="dxa"/>
          <w:right w:w="0" w:type="dxa"/>
        </w:tblCellMar>
        <w:tblLook w:val="04A0" w:firstRow="1" w:lastRow="0" w:firstColumn="1" w:lastColumn="0" w:noHBand="0" w:noVBand="1"/>
      </w:tblPr>
      <w:tblGrid>
        <w:gridCol w:w="3511"/>
      </w:tblGrid>
      <w:tr w:rsidR="00244753" w:rsidRPr="00244753" w:rsidTr="00936A36">
        <w:trPr>
          <w:trHeight w:val="9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753" w:rsidRPr="00244753" w:rsidRDefault="00F20435" w:rsidP="00F20435">
            <w:pPr>
              <w:tabs>
                <w:tab w:val="left" w:pos="720"/>
              </w:tabs>
              <w:spacing w:after="0" w:line="240" w:lineRule="auto"/>
              <w:ind w:right="-2340"/>
              <w:textAlignment w:val="baseline"/>
              <w:rPr>
                <w:rFonts w:ascii="Arial" w:eastAsia="Times New Roman" w:hAnsi="Arial" w:cs="Arial"/>
                <w:color w:val="000000"/>
                <w:sz w:val="16"/>
                <w:szCs w:val="16"/>
                <w:lang w:eastAsia="en-ZA"/>
              </w:rPr>
            </w:pPr>
            <w:r w:rsidRPr="00244753">
              <w:rPr>
                <w:rFonts w:ascii="Arial" w:eastAsia="Times New Roman" w:hAnsi="Arial" w:cs="Arial"/>
                <w:color w:val="000000"/>
                <w:sz w:val="16"/>
                <w:szCs w:val="16"/>
                <w:lang w:eastAsia="en-ZA"/>
              </w:rPr>
              <w:t>1.</w:t>
            </w:r>
            <w:r w:rsidRPr="00244753">
              <w:rPr>
                <w:rFonts w:ascii="Arial" w:eastAsia="Times New Roman" w:hAnsi="Arial" w:cs="Arial"/>
                <w:color w:val="000000"/>
                <w:sz w:val="16"/>
                <w:szCs w:val="16"/>
                <w:lang w:eastAsia="en-ZA"/>
              </w:rPr>
              <w:tab/>
            </w:r>
            <w:r w:rsidR="00244753" w:rsidRPr="00244753">
              <w:rPr>
                <w:rFonts w:ascii="Arial" w:eastAsia="Times New Roman" w:hAnsi="Arial" w:cs="Arial"/>
                <w:color w:val="000000"/>
                <w:sz w:val="16"/>
                <w:szCs w:val="16"/>
                <w:lang w:eastAsia="en-ZA"/>
              </w:rPr>
              <w:t>REPORTABLE: Not</w:t>
            </w:r>
          </w:p>
          <w:p w:rsidR="00244753" w:rsidRPr="00244753" w:rsidRDefault="00F20435" w:rsidP="00F20435">
            <w:pPr>
              <w:tabs>
                <w:tab w:val="left" w:pos="720"/>
              </w:tabs>
              <w:spacing w:after="0" w:line="240" w:lineRule="auto"/>
              <w:ind w:right="-2340"/>
              <w:textAlignment w:val="baseline"/>
              <w:rPr>
                <w:rFonts w:ascii="Arial" w:eastAsia="Times New Roman" w:hAnsi="Arial" w:cs="Arial"/>
                <w:color w:val="000000"/>
                <w:sz w:val="16"/>
                <w:szCs w:val="16"/>
                <w:lang w:eastAsia="en-ZA"/>
              </w:rPr>
            </w:pPr>
            <w:r w:rsidRPr="00244753">
              <w:rPr>
                <w:rFonts w:ascii="Arial" w:eastAsia="Times New Roman" w:hAnsi="Arial" w:cs="Arial"/>
                <w:color w:val="000000"/>
                <w:sz w:val="16"/>
                <w:szCs w:val="16"/>
                <w:lang w:eastAsia="en-ZA"/>
              </w:rPr>
              <w:t>2.</w:t>
            </w:r>
            <w:r w:rsidRPr="00244753">
              <w:rPr>
                <w:rFonts w:ascii="Arial" w:eastAsia="Times New Roman" w:hAnsi="Arial" w:cs="Arial"/>
                <w:color w:val="000000"/>
                <w:sz w:val="16"/>
                <w:szCs w:val="16"/>
                <w:lang w:eastAsia="en-ZA"/>
              </w:rPr>
              <w:tab/>
            </w:r>
            <w:r w:rsidR="00244753" w:rsidRPr="00244753">
              <w:rPr>
                <w:rFonts w:ascii="Arial" w:eastAsia="Times New Roman" w:hAnsi="Arial" w:cs="Arial"/>
                <w:color w:val="000000"/>
                <w:sz w:val="16"/>
                <w:szCs w:val="16"/>
                <w:lang w:eastAsia="en-ZA"/>
              </w:rPr>
              <w:t>OF INTEREST TO OTHER JUDGES: Not</w:t>
            </w:r>
          </w:p>
          <w:p w:rsidR="00244753" w:rsidRPr="00244753" w:rsidRDefault="00F20435" w:rsidP="00F20435">
            <w:pPr>
              <w:tabs>
                <w:tab w:val="left" w:pos="720"/>
              </w:tabs>
              <w:spacing w:after="0" w:line="240" w:lineRule="auto"/>
              <w:ind w:right="-2340"/>
              <w:textAlignment w:val="baseline"/>
              <w:rPr>
                <w:rFonts w:ascii="Arial" w:eastAsia="Times New Roman" w:hAnsi="Arial" w:cs="Arial"/>
                <w:color w:val="000000"/>
                <w:sz w:val="16"/>
                <w:szCs w:val="16"/>
                <w:lang w:eastAsia="en-ZA"/>
              </w:rPr>
            </w:pPr>
            <w:r w:rsidRPr="00244753">
              <w:rPr>
                <w:rFonts w:ascii="Arial" w:eastAsia="Times New Roman" w:hAnsi="Arial" w:cs="Arial"/>
                <w:color w:val="000000"/>
                <w:sz w:val="16"/>
                <w:szCs w:val="16"/>
                <w:lang w:eastAsia="en-ZA"/>
              </w:rPr>
              <w:t>3.</w:t>
            </w:r>
            <w:r w:rsidRPr="00244753">
              <w:rPr>
                <w:rFonts w:ascii="Arial" w:eastAsia="Times New Roman" w:hAnsi="Arial" w:cs="Arial"/>
                <w:color w:val="000000"/>
                <w:sz w:val="16"/>
                <w:szCs w:val="16"/>
                <w:lang w:eastAsia="en-ZA"/>
              </w:rPr>
              <w:tab/>
            </w:r>
            <w:r w:rsidR="00244753" w:rsidRPr="00244753">
              <w:rPr>
                <w:rFonts w:ascii="Arial" w:eastAsia="Times New Roman" w:hAnsi="Arial" w:cs="Arial"/>
                <w:color w:val="000000"/>
                <w:sz w:val="16"/>
                <w:szCs w:val="16"/>
                <w:lang w:eastAsia="en-ZA"/>
              </w:rPr>
              <w:t>REVISED. </w:t>
            </w:r>
          </w:p>
          <w:p w:rsidR="00244753" w:rsidRPr="00244753" w:rsidRDefault="00244753" w:rsidP="00911F56">
            <w:pPr>
              <w:spacing w:after="0" w:line="240" w:lineRule="auto"/>
              <w:rPr>
                <w:rFonts w:ascii="Arial" w:eastAsia="Times New Roman" w:hAnsi="Arial" w:cs="Arial"/>
                <w:sz w:val="16"/>
                <w:szCs w:val="16"/>
                <w:lang w:eastAsia="en-ZA"/>
              </w:rPr>
            </w:pPr>
          </w:p>
          <w:p w:rsidR="00936A36" w:rsidRDefault="00244753" w:rsidP="00911F56">
            <w:pPr>
              <w:spacing w:after="0" w:line="240" w:lineRule="auto"/>
              <w:rPr>
                <w:rFonts w:ascii="Arial" w:eastAsia="Times New Roman" w:hAnsi="Arial" w:cs="Arial"/>
                <w:color w:val="000000"/>
                <w:sz w:val="16"/>
                <w:szCs w:val="16"/>
                <w:lang w:eastAsia="en-ZA"/>
              </w:rPr>
            </w:pPr>
            <w:r w:rsidRPr="00244753">
              <w:rPr>
                <w:rFonts w:ascii="Arial" w:eastAsia="Times New Roman" w:hAnsi="Arial" w:cs="Arial"/>
                <w:color w:val="000000"/>
                <w:sz w:val="16"/>
                <w:szCs w:val="16"/>
                <w:lang w:eastAsia="en-ZA"/>
              </w:rPr>
              <w:t xml:space="preserve">   </w:t>
            </w:r>
            <w:r w:rsidR="00391772">
              <w:rPr>
                <w:rFonts w:ascii="Arial" w:eastAsia="Times New Roman" w:hAnsi="Arial" w:cs="Arial"/>
                <w:color w:val="000000"/>
                <w:sz w:val="16"/>
                <w:szCs w:val="16"/>
                <w:lang w:eastAsia="en-ZA"/>
              </w:rPr>
              <w:t>7</w:t>
            </w:r>
            <w:r w:rsidRPr="00244753">
              <w:rPr>
                <w:rFonts w:ascii="Arial" w:eastAsia="Times New Roman" w:hAnsi="Arial" w:cs="Arial"/>
                <w:color w:val="000000"/>
                <w:sz w:val="16"/>
                <w:szCs w:val="16"/>
                <w:u w:val="single"/>
                <w:lang w:eastAsia="en-ZA"/>
              </w:rPr>
              <w:t xml:space="preserve"> November </w:t>
            </w:r>
            <w:r w:rsidR="00936A36">
              <w:rPr>
                <w:rFonts w:ascii="Arial" w:eastAsia="Times New Roman" w:hAnsi="Arial" w:cs="Arial"/>
                <w:color w:val="000000"/>
                <w:sz w:val="16"/>
                <w:szCs w:val="16"/>
                <w:u w:val="single"/>
                <w:lang w:eastAsia="en-ZA"/>
              </w:rPr>
              <w:t xml:space="preserve">   </w:t>
            </w:r>
            <w:r w:rsidRPr="00244753">
              <w:rPr>
                <w:rFonts w:ascii="Arial" w:eastAsia="Times New Roman" w:hAnsi="Arial" w:cs="Arial"/>
                <w:color w:val="000000"/>
                <w:sz w:val="16"/>
                <w:szCs w:val="16"/>
                <w:u w:val="single"/>
                <w:lang w:eastAsia="en-ZA"/>
              </w:rPr>
              <w:t>2022</w:t>
            </w:r>
            <w:r w:rsidRPr="00244753">
              <w:rPr>
                <w:rFonts w:ascii="Arial" w:eastAsia="Times New Roman" w:hAnsi="Arial" w:cs="Arial"/>
                <w:color w:val="000000"/>
                <w:sz w:val="16"/>
                <w:szCs w:val="16"/>
                <w:lang w:eastAsia="en-ZA"/>
              </w:rPr>
              <w:t>      </w:t>
            </w:r>
          </w:p>
          <w:p w:rsidR="00936A36" w:rsidRDefault="00936A36" w:rsidP="00911F56">
            <w:pPr>
              <w:spacing w:after="0" w:line="240" w:lineRule="auto"/>
              <w:rPr>
                <w:rFonts w:ascii="Arial" w:eastAsia="Times New Roman" w:hAnsi="Arial" w:cs="Arial"/>
                <w:color w:val="000000"/>
                <w:sz w:val="16"/>
                <w:szCs w:val="16"/>
                <w:lang w:eastAsia="en-ZA"/>
              </w:rPr>
            </w:pPr>
          </w:p>
          <w:p w:rsidR="00936A36" w:rsidRDefault="00936A36" w:rsidP="00936A36">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              </w:t>
            </w:r>
          </w:p>
          <w:p w:rsidR="00244753" w:rsidRPr="00936A36" w:rsidRDefault="00244753" w:rsidP="00936A36">
            <w:pPr>
              <w:spacing w:after="0" w:line="240" w:lineRule="auto"/>
              <w:rPr>
                <w:rFonts w:ascii="Arial" w:eastAsia="Times New Roman" w:hAnsi="Arial" w:cs="Arial"/>
                <w:sz w:val="16"/>
                <w:szCs w:val="16"/>
                <w:lang w:eastAsia="en-ZA"/>
              </w:rPr>
            </w:pPr>
            <w:r w:rsidRPr="00244753">
              <w:rPr>
                <w:rFonts w:ascii="Arial" w:eastAsia="Times New Roman" w:hAnsi="Arial" w:cs="Arial"/>
                <w:color w:val="000000"/>
                <w:sz w:val="16"/>
                <w:szCs w:val="16"/>
                <w:lang w:eastAsia="en-ZA"/>
              </w:rPr>
              <w:t>                      signature</w:t>
            </w:r>
          </w:p>
        </w:tc>
      </w:tr>
    </w:tbl>
    <w:p w:rsidR="00244753" w:rsidRPr="00244753" w:rsidRDefault="00244753" w:rsidP="00911F56">
      <w:pPr>
        <w:spacing w:after="0" w:line="480" w:lineRule="auto"/>
        <w:rPr>
          <w:rFonts w:ascii="Arial" w:eastAsia="Times New Roman" w:hAnsi="Arial" w:cs="Arial"/>
          <w:b/>
          <w:color w:val="000000"/>
          <w:sz w:val="24"/>
          <w:szCs w:val="24"/>
          <w:lang w:eastAsia="en-ZA"/>
        </w:rPr>
      </w:pPr>
      <w:r w:rsidRPr="00244753">
        <w:rPr>
          <w:rFonts w:ascii="Arial" w:eastAsia="Times New Roman" w:hAnsi="Arial" w:cs="Arial"/>
          <w:b/>
          <w:color w:val="000000"/>
          <w:sz w:val="24"/>
          <w:szCs w:val="24"/>
          <w:lang w:eastAsia="en-ZA"/>
        </w:rPr>
        <w:t xml:space="preserve">In the matter between: </w:t>
      </w:r>
    </w:p>
    <w:p w:rsidR="00244753" w:rsidRPr="00244753" w:rsidRDefault="00244753" w:rsidP="00911F56">
      <w:pPr>
        <w:spacing w:after="0" w:line="480" w:lineRule="auto"/>
        <w:rPr>
          <w:rFonts w:ascii="Arial" w:eastAsia="Times New Roman" w:hAnsi="Arial" w:cs="Arial"/>
          <w:b/>
          <w:color w:val="000000"/>
          <w:sz w:val="24"/>
          <w:szCs w:val="24"/>
          <w:lang w:eastAsia="en-ZA"/>
        </w:rPr>
      </w:pPr>
      <w:r w:rsidRPr="00244753">
        <w:rPr>
          <w:rFonts w:ascii="Arial" w:eastAsia="Times New Roman" w:hAnsi="Arial" w:cs="Arial"/>
          <w:b/>
          <w:color w:val="000000"/>
          <w:sz w:val="24"/>
          <w:szCs w:val="24"/>
          <w:lang w:eastAsia="en-ZA"/>
        </w:rPr>
        <w:t xml:space="preserve">ACDC DYNAMICS (PTY) LTD </w:t>
      </w:r>
      <w:r w:rsidR="009918CB">
        <w:rPr>
          <w:rFonts w:ascii="Arial" w:eastAsia="Times New Roman" w:hAnsi="Arial" w:cs="Arial"/>
          <w:b/>
          <w:color w:val="000000"/>
          <w:sz w:val="24"/>
          <w:szCs w:val="24"/>
          <w:lang w:eastAsia="en-ZA"/>
        </w:rPr>
        <w:tab/>
      </w:r>
      <w:r w:rsidR="009918CB">
        <w:rPr>
          <w:rFonts w:ascii="Arial" w:eastAsia="Times New Roman" w:hAnsi="Arial" w:cs="Arial"/>
          <w:b/>
          <w:color w:val="000000"/>
          <w:sz w:val="24"/>
          <w:szCs w:val="24"/>
          <w:lang w:eastAsia="en-ZA"/>
        </w:rPr>
        <w:tab/>
      </w:r>
      <w:r w:rsidR="009918CB">
        <w:rPr>
          <w:rFonts w:ascii="Arial" w:eastAsia="Times New Roman" w:hAnsi="Arial" w:cs="Arial"/>
          <w:b/>
          <w:color w:val="000000"/>
          <w:sz w:val="24"/>
          <w:szCs w:val="24"/>
          <w:lang w:eastAsia="en-ZA"/>
        </w:rPr>
        <w:tab/>
      </w:r>
      <w:r w:rsidR="009918CB">
        <w:rPr>
          <w:rFonts w:ascii="Arial" w:eastAsia="Times New Roman" w:hAnsi="Arial" w:cs="Arial"/>
          <w:b/>
          <w:color w:val="000000"/>
          <w:sz w:val="24"/>
          <w:szCs w:val="24"/>
          <w:lang w:eastAsia="en-ZA"/>
        </w:rPr>
        <w:tab/>
      </w:r>
      <w:r w:rsidRPr="00244753">
        <w:rPr>
          <w:rFonts w:ascii="Arial" w:eastAsia="Times New Roman" w:hAnsi="Arial" w:cs="Arial"/>
          <w:b/>
          <w:color w:val="000000"/>
          <w:sz w:val="24"/>
          <w:szCs w:val="24"/>
          <w:lang w:eastAsia="en-ZA"/>
        </w:rPr>
        <w:t xml:space="preserve">Plaintiff </w:t>
      </w:r>
    </w:p>
    <w:p w:rsidR="00244753" w:rsidRPr="00244753" w:rsidRDefault="00244753" w:rsidP="00911F56">
      <w:pPr>
        <w:spacing w:after="0" w:line="480" w:lineRule="auto"/>
        <w:rPr>
          <w:rFonts w:ascii="Arial" w:eastAsia="Times New Roman" w:hAnsi="Arial" w:cs="Arial"/>
          <w:b/>
          <w:color w:val="000000"/>
          <w:sz w:val="24"/>
          <w:szCs w:val="24"/>
          <w:lang w:eastAsia="en-ZA"/>
        </w:rPr>
      </w:pPr>
      <w:r w:rsidRPr="00244753">
        <w:rPr>
          <w:rFonts w:ascii="Arial" w:eastAsia="Times New Roman" w:hAnsi="Arial" w:cs="Arial"/>
          <w:b/>
          <w:color w:val="000000"/>
          <w:sz w:val="24"/>
          <w:szCs w:val="24"/>
          <w:lang w:eastAsia="en-ZA"/>
        </w:rPr>
        <w:t xml:space="preserve">and </w:t>
      </w:r>
    </w:p>
    <w:p w:rsidR="009918CB" w:rsidRDefault="00244753" w:rsidP="00911F56">
      <w:pPr>
        <w:spacing w:after="0" w:line="480" w:lineRule="auto"/>
        <w:rPr>
          <w:rFonts w:ascii="Arial" w:eastAsia="Times New Roman" w:hAnsi="Arial" w:cs="Arial"/>
          <w:b/>
          <w:color w:val="000000"/>
          <w:sz w:val="24"/>
          <w:szCs w:val="24"/>
          <w:lang w:eastAsia="en-ZA"/>
        </w:rPr>
      </w:pPr>
      <w:r w:rsidRPr="00244753">
        <w:rPr>
          <w:rFonts w:ascii="Arial" w:eastAsia="Times New Roman" w:hAnsi="Arial" w:cs="Arial"/>
          <w:b/>
          <w:color w:val="000000"/>
          <w:sz w:val="24"/>
          <w:szCs w:val="24"/>
          <w:lang w:eastAsia="en-ZA"/>
        </w:rPr>
        <w:t xml:space="preserve">SHRINIK RETAILING (PTY) LTD </w:t>
      </w:r>
    </w:p>
    <w:p w:rsidR="00244753" w:rsidRPr="00244753" w:rsidRDefault="00244753" w:rsidP="00911F56">
      <w:pPr>
        <w:spacing w:after="0" w:line="480" w:lineRule="auto"/>
        <w:rPr>
          <w:rFonts w:ascii="Arial" w:eastAsia="Times New Roman" w:hAnsi="Arial" w:cs="Arial"/>
          <w:b/>
          <w:color w:val="000000"/>
          <w:sz w:val="24"/>
          <w:szCs w:val="24"/>
          <w:lang w:eastAsia="en-ZA"/>
        </w:rPr>
      </w:pPr>
      <w:r w:rsidRPr="00244753">
        <w:rPr>
          <w:rFonts w:ascii="Arial" w:eastAsia="Times New Roman" w:hAnsi="Arial" w:cs="Arial"/>
          <w:b/>
          <w:color w:val="000000"/>
          <w:sz w:val="24"/>
          <w:szCs w:val="24"/>
          <w:lang w:eastAsia="en-ZA"/>
        </w:rPr>
        <w:t xml:space="preserve">t/a ACDC </w:t>
      </w:r>
      <w:r w:rsidR="009918CB">
        <w:rPr>
          <w:rFonts w:ascii="Arial" w:eastAsia="Times New Roman" w:hAnsi="Arial" w:cs="Arial"/>
          <w:b/>
          <w:color w:val="000000"/>
          <w:sz w:val="24"/>
          <w:szCs w:val="24"/>
          <w:lang w:eastAsia="en-ZA"/>
        </w:rPr>
        <w:t xml:space="preserve"> </w:t>
      </w:r>
      <w:r w:rsidRPr="00244753">
        <w:rPr>
          <w:rFonts w:ascii="Arial" w:eastAsia="Times New Roman" w:hAnsi="Arial" w:cs="Arial"/>
          <w:b/>
          <w:color w:val="000000"/>
          <w:sz w:val="24"/>
          <w:szCs w:val="24"/>
          <w:lang w:eastAsia="en-ZA"/>
        </w:rPr>
        <w:t xml:space="preserve">EXPRESS MIDRAND </w:t>
      </w:r>
      <w:r w:rsidRPr="00244753">
        <w:rPr>
          <w:rFonts w:ascii="Arial" w:eastAsia="Times New Roman" w:hAnsi="Arial" w:cs="Arial"/>
          <w:b/>
          <w:color w:val="000000"/>
          <w:sz w:val="24"/>
          <w:szCs w:val="24"/>
          <w:lang w:eastAsia="en-ZA"/>
        </w:rPr>
        <w:tab/>
      </w:r>
      <w:r w:rsidRPr="00244753">
        <w:rPr>
          <w:rFonts w:ascii="Arial" w:eastAsia="Times New Roman" w:hAnsi="Arial" w:cs="Arial"/>
          <w:b/>
          <w:color w:val="000000"/>
          <w:sz w:val="24"/>
          <w:szCs w:val="24"/>
          <w:lang w:eastAsia="en-ZA"/>
        </w:rPr>
        <w:tab/>
      </w:r>
      <w:r w:rsidRPr="00244753">
        <w:rPr>
          <w:rFonts w:ascii="Arial" w:eastAsia="Times New Roman" w:hAnsi="Arial" w:cs="Arial"/>
          <w:b/>
          <w:color w:val="000000"/>
          <w:sz w:val="24"/>
          <w:szCs w:val="24"/>
          <w:lang w:eastAsia="en-ZA"/>
        </w:rPr>
        <w:tab/>
      </w:r>
      <w:r w:rsidRPr="00244753">
        <w:rPr>
          <w:rFonts w:ascii="Arial" w:eastAsia="Times New Roman" w:hAnsi="Arial" w:cs="Arial"/>
          <w:b/>
          <w:color w:val="000000"/>
          <w:sz w:val="24"/>
          <w:szCs w:val="24"/>
          <w:lang w:eastAsia="en-ZA"/>
        </w:rPr>
        <w:tab/>
        <w:t>First Defendant</w:t>
      </w:r>
    </w:p>
    <w:p w:rsidR="009918CB" w:rsidRDefault="00244753" w:rsidP="00911F56">
      <w:pPr>
        <w:spacing w:after="0" w:line="480" w:lineRule="auto"/>
        <w:rPr>
          <w:rFonts w:ascii="Arial" w:eastAsia="Times New Roman" w:hAnsi="Arial" w:cs="Arial"/>
          <w:b/>
          <w:color w:val="000000"/>
          <w:sz w:val="24"/>
          <w:szCs w:val="24"/>
          <w:lang w:eastAsia="en-ZA"/>
        </w:rPr>
      </w:pPr>
      <w:r w:rsidRPr="00244753">
        <w:rPr>
          <w:rFonts w:ascii="Arial" w:eastAsia="Times New Roman" w:hAnsi="Arial" w:cs="Arial"/>
          <w:b/>
          <w:color w:val="000000"/>
          <w:sz w:val="24"/>
          <w:szCs w:val="24"/>
          <w:lang w:eastAsia="en-ZA"/>
        </w:rPr>
        <w:t>INBENATHAN JAYASEELAN</w:t>
      </w:r>
    </w:p>
    <w:p w:rsidR="00244753" w:rsidRPr="00244753" w:rsidRDefault="00244753" w:rsidP="00911F56">
      <w:pPr>
        <w:spacing w:after="0" w:line="480" w:lineRule="auto"/>
        <w:rPr>
          <w:rFonts w:ascii="Arial" w:eastAsia="Times New Roman" w:hAnsi="Arial" w:cs="Arial"/>
          <w:b/>
          <w:color w:val="000000"/>
          <w:sz w:val="24"/>
          <w:szCs w:val="24"/>
          <w:lang w:eastAsia="en-ZA"/>
        </w:rPr>
      </w:pPr>
      <w:r w:rsidRPr="00244753">
        <w:rPr>
          <w:rFonts w:ascii="Arial" w:eastAsia="Times New Roman" w:hAnsi="Arial" w:cs="Arial"/>
          <w:b/>
          <w:color w:val="000000"/>
          <w:sz w:val="24"/>
          <w:szCs w:val="24"/>
          <w:lang w:eastAsia="en-ZA"/>
        </w:rPr>
        <w:t xml:space="preserve">GOVENDER </w:t>
      </w:r>
      <w:r w:rsidR="009918CB">
        <w:rPr>
          <w:rFonts w:ascii="Arial" w:eastAsia="Times New Roman" w:hAnsi="Arial" w:cs="Arial"/>
          <w:b/>
          <w:color w:val="000000"/>
          <w:sz w:val="24"/>
          <w:szCs w:val="24"/>
          <w:lang w:eastAsia="en-ZA"/>
        </w:rPr>
        <w:tab/>
      </w:r>
      <w:r w:rsidR="009918CB">
        <w:rPr>
          <w:rFonts w:ascii="Arial" w:eastAsia="Times New Roman" w:hAnsi="Arial" w:cs="Arial"/>
          <w:b/>
          <w:color w:val="000000"/>
          <w:sz w:val="24"/>
          <w:szCs w:val="24"/>
          <w:lang w:eastAsia="en-ZA"/>
        </w:rPr>
        <w:tab/>
      </w:r>
      <w:r w:rsidR="009918CB">
        <w:rPr>
          <w:rFonts w:ascii="Arial" w:eastAsia="Times New Roman" w:hAnsi="Arial" w:cs="Arial"/>
          <w:b/>
          <w:color w:val="000000"/>
          <w:sz w:val="24"/>
          <w:szCs w:val="24"/>
          <w:lang w:eastAsia="en-ZA"/>
        </w:rPr>
        <w:tab/>
      </w:r>
      <w:r w:rsidR="009918CB">
        <w:rPr>
          <w:rFonts w:ascii="Arial" w:eastAsia="Times New Roman" w:hAnsi="Arial" w:cs="Arial"/>
          <w:b/>
          <w:color w:val="000000"/>
          <w:sz w:val="24"/>
          <w:szCs w:val="24"/>
          <w:lang w:eastAsia="en-ZA"/>
        </w:rPr>
        <w:tab/>
      </w:r>
      <w:r w:rsidR="009918CB">
        <w:rPr>
          <w:rFonts w:ascii="Arial" w:eastAsia="Times New Roman" w:hAnsi="Arial" w:cs="Arial"/>
          <w:b/>
          <w:color w:val="000000"/>
          <w:sz w:val="24"/>
          <w:szCs w:val="24"/>
          <w:lang w:eastAsia="en-ZA"/>
        </w:rPr>
        <w:tab/>
      </w:r>
      <w:r w:rsidR="009918CB">
        <w:rPr>
          <w:rFonts w:ascii="Arial" w:eastAsia="Times New Roman" w:hAnsi="Arial" w:cs="Arial"/>
          <w:b/>
          <w:color w:val="000000"/>
          <w:sz w:val="24"/>
          <w:szCs w:val="24"/>
          <w:lang w:eastAsia="en-ZA"/>
        </w:rPr>
        <w:tab/>
      </w:r>
      <w:r w:rsidRPr="00244753">
        <w:rPr>
          <w:rFonts w:ascii="Arial" w:eastAsia="Times New Roman" w:hAnsi="Arial" w:cs="Arial"/>
          <w:b/>
          <w:color w:val="000000"/>
          <w:sz w:val="24"/>
          <w:szCs w:val="24"/>
          <w:lang w:eastAsia="en-ZA"/>
        </w:rPr>
        <w:t>Second Defendant</w:t>
      </w:r>
    </w:p>
    <w:p w:rsidR="00244753" w:rsidRDefault="00244753" w:rsidP="00BB30EB">
      <w:pPr>
        <w:pBdr>
          <w:bottom w:val="single" w:sz="4" w:space="1" w:color="auto"/>
        </w:pBdr>
        <w:spacing w:line="480" w:lineRule="auto"/>
        <w:ind w:left="1440" w:hanging="1440"/>
        <w:jc w:val="both"/>
        <w:rPr>
          <w:sz w:val="24"/>
          <w:szCs w:val="24"/>
        </w:rPr>
      </w:pPr>
      <w:r w:rsidRPr="00244753">
        <w:rPr>
          <w:rFonts w:ascii="Arial" w:hAnsi="Arial" w:cs="Arial"/>
          <w:b/>
          <w:sz w:val="24"/>
          <w:szCs w:val="24"/>
        </w:rPr>
        <w:t xml:space="preserve">Delivered: </w:t>
      </w:r>
      <w:r w:rsidR="00391772">
        <w:rPr>
          <w:rFonts w:ascii="Arial" w:hAnsi="Arial" w:cs="Arial"/>
          <w:b/>
          <w:sz w:val="24"/>
          <w:szCs w:val="24"/>
        </w:rPr>
        <w:tab/>
      </w:r>
      <w:r w:rsidRPr="00244753">
        <w:rPr>
          <w:sz w:val="24"/>
          <w:szCs w:val="24"/>
        </w:rPr>
        <w:t xml:space="preserve">This judgment was handed down electronically by circulation to the parties' legal representatives by email, and uploaded on caselines electronic platform. The date for hand-down is deemed to </w:t>
      </w:r>
      <w:r w:rsidRPr="00391772">
        <w:rPr>
          <w:sz w:val="24"/>
          <w:szCs w:val="24"/>
        </w:rPr>
        <w:t>be</w:t>
      </w:r>
      <w:r w:rsidR="00391772">
        <w:rPr>
          <w:sz w:val="24"/>
          <w:szCs w:val="24"/>
        </w:rPr>
        <w:t xml:space="preserve"> </w:t>
      </w:r>
      <w:r w:rsidR="00936A36">
        <w:rPr>
          <w:sz w:val="24"/>
          <w:szCs w:val="24"/>
        </w:rPr>
        <w:t xml:space="preserve">7 </w:t>
      </w:r>
      <w:r w:rsidR="00936A36" w:rsidRPr="00244753">
        <w:rPr>
          <w:sz w:val="24"/>
          <w:szCs w:val="24"/>
        </w:rPr>
        <w:t>November</w:t>
      </w:r>
      <w:r w:rsidRPr="00244753">
        <w:rPr>
          <w:sz w:val="24"/>
          <w:szCs w:val="24"/>
        </w:rPr>
        <w:t xml:space="preserve"> 2022.</w:t>
      </w:r>
    </w:p>
    <w:p w:rsidR="00391772" w:rsidRPr="00391772" w:rsidRDefault="00391772" w:rsidP="00BB30EB">
      <w:pPr>
        <w:pBdr>
          <w:bottom w:val="single" w:sz="4" w:space="1" w:color="auto"/>
        </w:pBdr>
        <w:spacing w:line="480" w:lineRule="auto"/>
        <w:ind w:left="1440" w:hanging="1440"/>
        <w:jc w:val="both"/>
        <w:rPr>
          <w:rFonts w:ascii="Arial" w:hAnsi="Arial" w:cs="Arial"/>
          <w:sz w:val="24"/>
          <w:szCs w:val="24"/>
        </w:rPr>
      </w:pPr>
      <w:r w:rsidRPr="00391772">
        <w:rPr>
          <w:rFonts w:ascii="Arial" w:hAnsi="Arial" w:cs="Arial"/>
          <w:b/>
          <w:sz w:val="24"/>
          <w:szCs w:val="24"/>
        </w:rPr>
        <w:t xml:space="preserve">Summary: </w:t>
      </w:r>
      <w:r>
        <w:rPr>
          <w:rFonts w:ascii="Arial" w:hAnsi="Arial" w:cs="Arial"/>
          <w:b/>
          <w:sz w:val="24"/>
          <w:szCs w:val="24"/>
        </w:rPr>
        <w:t xml:space="preserve"> </w:t>
      </w:r>
      <w:r w:rsidRPr="00391772">
        <w:rPr>
          <w:rFonts w:ascii="Arial" w:hAnsi="Arial" w:cs="Arial"/>
          <w:sz w:val="24"/>
          <w:szCs w:val="24"/>
        </w:rPr>
        <w:t xml:space="preserve">Application to amend </w:t>
      </w:r>
      <w:r>
        <w:rPr>
          <w:rFonts w:ascii="Arial" w:hAnsi="Arial" w:cs="Arial"/>
          <w:sz w:val="24"/>
          <w:szCs w:val="24"/>
        </w:rPr>
        <w:t xml:space="preserve">counter claim by the defendant. The principles governing amendment of pleadings restated. </w:t>
      </w:r>
      <w:r w:rsidR="00CC4697">
        <w:rPr>
          <w:rFonts w:ascii="Arial" w:hAnsi="Arial" w:cs="Arial"/>
          <w:sz w:val="24"/>
          <w:szCs w:val="24"/>
        </w:rPr>
        <w:t xml:space="preserve">The applicant filed the first counter application against the respondent’s claim on the grounds that </w:t>
      </w:r>
      <w:r w:rsidR="00CC4697">
        <w:rPr>
          <w:rFonts w:ascii="Arial" w:hAnsi="Arial" w:cs="Arial"/>
          <w:sz w:val="24"/>
          <w:szCs w:val="24"/>
        </w:rPr>
        <w:lastRenderedPageBreak/>
        <w:t>the respondent contravened sections 41, 42 and 48 of the Consumer Protection Act. The applicant sought to amend the counter claim following the exception raised by the respondent. It now seeks to amend that counter claim by substituting it with an amendment based on the alleged unjustified enrichment of the respondent alternatively fraudulent or negligent misrepresentation by the respondent.</w:t>
      </w:r>
      <w:r w:rsidR="00C968C5">
        <w:rPr>
          <w:rFonts w:ascii="Arial" w:hAnsi="Arial" w:cs="Arial"/>
          <w:sz w:val="24"/>
          <w:szCs w:val="24"/>
        </w:rPr>
        <w:t xml:space="preserve"> The respondent had instituted action against the applicant based on breach of the credit agreement between the parties. The respondent’s action </w:t>
      </w:r>
      <w:r w:rsidR="00F12CDD">
        <w:rPr>
          <w:rFonts w:ascii="Arial" w:hAnsi="Arial" w:cs="Arial"/>
          <w:sz w:val="24"/>
          <w:szCs w:val="24"/>
        </w:rPr>
        <w:t xml:space="preserve">is </w:t>
      </w:r>
      <w:r w:rsidR="00C968C5">
        <w:rPr>
          <w:rFonts w:ascii="Arial" w:hAnsi="Arial" w:cs="Arial"/>
          <w:sz w:val="24"/>
          <w:szCs w:val="24"/>
        </w:rPr>
        <w:t xml:space="preserve">based on demand for payment of goods sold and delivered to the applicant. The respondent objected to the proposed amendment on the grounds that the amendment is excepiable, vague and embarrassing. </w:t>
      </w:r>
    </w:p>
    <w:p w:rsidR="00244753" w:rsidRPr="00244753" w:rsidRDefault="00244753" w:rsidP="00BB30EB">
      <w:pPr>
        <w:spacing w:after="0" w:line="480" w:lineRule="auto"/>
        <w:jc w:val="center"/>
        <w:rPr>
          <w:rFonts w:ascii="Arial" w:eastAsia="Times New Roman" w:hAnsi="Arial" w:cs="Arial"/>
          <w:b/>
          <w:color w:val="000000"/>
          <w:sz w:val="24"/>
          <w:szCs w:val="24"/>
          <w:lang w:eastAsia="en-ZA"/>
        </w:rPr>
      </w:pPr>
      <w:r w:rsidRPr="00244753">
        <w:rPr>
          <w:rFonts w:ascii="Arial" w:eastAsia="Times New Roman" w:hAnsi="Arial" w:cs="Arial"/>
          <w:b/>
          <w:color w:val="000000"/>
          <w:sz w:val="24"/>
          <w:szCs w:val="24"/>
          <w:lang w:eastAsia="en-ZA"/>
        </w:rPr>
        <w:t>JUDGEMENT</w:t>
      </w:r>
    </w:p>
    <w:p w:rsidR="00244753" w:rsidRPr="00244753" w:rsidRDefault="00244753" w:rsidP="00911F56">
      <w:pPr>
        <w:pBdr>
          <w:bottom w:val="single" w:sz="4" w:space="1" w:color="auto"/>
        </w:pBdr>
        <w:spacing w:after="0" w:line="480" w:lineRule="auto"/>
        <w:rPr>
          <w:rFonts w:ascii="Arial" w:eastAsia="Times New Roman" w:hAnsi="Arial" w:cs="Arial"/>
          <w:b/>
          <w:color w:val="000000"/>
          <w:sz w:val="24"/>
          <w:szCs w:val="24"/>
          <w:lang w:eastAsia="en-ZA"/>
        </w:rPr>
      </w:pPr>
    </w:p>
    <w:p w:rsidR="006B4A62" w:rsidRDefault="006B4A62" w:rsidP="00911F56">
      <w:pPr>
        <w:spacing w:after="0" w:line="480" w:lineRule="auto"/>
        <w:rPr>
          <w:rFonts w:ascii="Arial" w:eastAsia="Times New Roman" w:hAnsi="Arial" w:cs="Arial"/>
          <w:b/>
          <w:color w:val="000000"/>
          <w:sz w:val="24"/>
          <w:szCs w:val="24"/>
          <w:lang w:eastAsia="en-ZA"/>
        </w:rPr>
      </w:pPr>
    </w:p>
    <w:p w:rsidR="00244753" w:rsidRPr="00244753" w:rsidRDefault="00244753" w:rsidP="00911F56">
      <w:pPr>
        <w:spacing w:after="0" w:line="480" w:lineRule="auto"/>
        <w:rPr>
          <w:rFonts w:ascii="Arial" w:eastAsia="Times New Roman" w:hAnsi="Arial" w:cs="Arial"/>
          <w:b/>
          <w:color w:val="000000"/>
          <w:sz w:val="24"/>
          <w:szCs w:val="24"/>
          <w:lang w:eastAsia="en-ZA"/>
        </w:rPr>
      </w:pPr>
      <w:r w:rsidRPr="00244753">
        <w:rPr>
          <w:rFonts w:ascii="Arial" w:eastAsia="Times New Roman" w:hAnsi="Arial" w:cs="Arial"/>
          <w:b/>
          <w:color w:val="000000"/>
          <w:sz w:val="24"/>
          <w:szCs w:val="24"/>
          <w:lang w:eastAsia="en-ZA"/>
        </w:rPr>
        <w:t>MOLAHLEHI J</w:t>
      </w:r>
    </w:p>
    <w:p w:rsidR="00244753" w:rsidRPr="00244753" w:rsidRDefault="00244753" w:rsidP="00911F56">
      <w:pPr>
        <w:spacing w:after="0" w:line="480" w:lineRule="auto"/>
        <w:rPr>
          <w:rFonts w:ascii="Arial" w:eastAsia="Times New Roman" w:hAnsi="Arial" w:cs="Arial"/>
          <w:color w:val="0E101A"/>
          <w:sz w:val="24"/>
          <w:szCs w:val="24"/>
          <w:lang w:eastAsia="en-ZA"/>
        </w:rPr>
      </w:pPr>
    </w:p>
    <w:p w:rsidR="00244753" w:rsidRPr="00244753" w:rsidRDefault="00244753" w:rsidP="00911F56">
      <w:pPr>
        <w:spacing w:after="0" w:line="480" w:lineRule="auto"/>
        <w:rPr>
          <w:rFonts w:ascii="Times New Roman" w:eastAsia="Times New Roman" w:hAnsi="Times New Roman" w:cs="Times New Roman"/>
          <w:b/>
          <w:sz w:val="24"/>
          <w:szCs w:val="24"/>
          <w:lang w:eastAsia="en-ZA"/>
        </w:rPr>
      </w:pPr>
      <w:r w:rsidRPr="00244753">
        <w:rPr>
          <w:rFonts w:ascii="Arial" w:eastAsia="Times New Roman" w:hAnsi="Arial" w:cs="Arial"/>
          <w:b/>
          <w:color w:val="0E101A"/>
          <w:sz w:val="24"/>
          <w:szCs w:val="24"/>
          <w:lang w:eastAsia="en-ZA"/>
        </w:rPr>
        <w:t>Introduction </w:t>
      </w:r>
    </w:p>
    <w:p w:rsidR="00244753" w:rsidRPr="00244753" w:rsidRDefault="00244753" w:rsidP="00911F56">
      <w:pPr>
        <w:spacing w:after="0" w:line="480" w:lineRule="auto"/>
        <w:rPr>
          <w:rFonts w:ascii="Arial" w:eastAsia="Times New Roman" w:hAnsi="Arial" w:cs="Arial"/>
          <w:color w:val="0E101A"/>
          <w:sz w:val="24"/>
          <w:szCs w:val="24"/>
          <w:lang w:eastAsia="en-ZA"/>
        </w:rPr>
      </w:pPr>
    </w:p>
    <w:p w:rsidR="00244753" w:rsidRPr="00244753" w:rsidRDefault="00F20435" w:rsidP="00F20435">
      <w:pPr>
        <w:spacing w:after="0" w:line="480" w:lineRule="auto"/>
        <w:jc w:val="both"/>
        <w:rPr>
          <w:rFonts w:ascii="Times New Roman" w:eastAsia="Times New Roman" w:hAnsi="Times New Roman" w:cs="Times New Roman"/>
          <w:sz w:val="24"/>
          <w:szCs w:val="24"/>
          <w:lang w:eastAsia="en-ZA"/>
        </w:rPr>
      </w:pPr>
      <w:r w:rsidRPr="00244753">
        <w:rPr>
          <w:rFonts w:ascii="Times New Roman" w:eastAsia="Times New Roman" w:hAnsi="Times New Roman" w:cs="Times New Roman"/>
          <w:sz w:val="24"/>
          <w:szCs w:val="24"/>
          <w:lang w:eastAsia="en-ZA"/>
        </w:rPr>
        <w:t>[1]</w:t>
      </w:r>
      <w:r w:rsidRPr="00244753">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The applicant in this app</w:t>
      </w:r>
      <w:r w:rsidR="00575438">
        <w:rPr>
          <w:rFonts w:ascii="Arial" w:eastAsia="Times New Roman" w:hAnsi="Arial" w:cs="Arial"/>
          <w:color w:val="0E101A"/>
          <w:sz w:val="24"/>
          <w:szCs w:val="24"/>
          <w:lang w:eastAsia="en-ZA"/>
        </w:rPr>
        <w:t>lication seeks an order authoris</w:t>
      </w:r>
      <w:r w:rsidR="00244753" w:rsidRPr="00244753">
        <w:rPr>
          <w:rFonts w:ascii="Arial" w:eastAsia="Times New Roman" w:hAnsi="Arial" w:cs="Arial"/>
          <w:color w:val="0E101A"/>
          <w:sz w:val="24"/>
          <w:szCs w:val="24"/>
          <w:lang w:eastAsia="en-ZA"/>
        </w:rPr>
        <w:t xml:space="preserve">ing it to amend its counterclaim. The applicant, </w:t>
      </w:r>
      <w:r w:rsidR="00BB30EB">
        <w:rPr>
          <w:rFonts w:ascii="Arial" w:eastAsia="Times New Roman" w:hAnsi="Arial" w:cs="Arial"/>
          <w:color w:val="0E101A"/>
          <w:sz w:val="24"/>
          <w:szCs w:val="24"/>
          <w:lang w:eastAsia="en-ZA"/>
        </w:rPr>
        <w:t>Shrini</w:t>
      </w:r>
      <w:r w:rsidR="009918CB" w:rsidRPr="006B4A62">
        <w:rPr>
          <w:rFonts w:ascii="Arial" w:eastAsia="Times New Roman" w:hAnsi="Arial" w:cs="Arial"/>
          <w:color w:val="0E101A"/>
          <w:sz w:val="24"/>
          <w:szCs w:val="24"/>
          <w:lang w:eastAsia="en-ZA"/>
        </w:rPr>
        <w:t xml:space="preserve">k Retailing </w:t>
      </w:r>
      <w:r w:rsidR="00244753" w:rsidRPr="00244753">
        <w:rPr>
          <w:rFonts w:ascii="Arial" w:eastAsia="Times New Roman" w:hAnsi="Arial" w:cs="Arial"/>
          <w:color w:val="0E101A"/>
          <w:sz w:val="24"/>
          <w:szCs w:val="24"/>
          <w:lang w:eastAsia="en-ZA"/>
        </w:rPr>
        <w:t>(Pty) Ltd is the defendant in the main action instituted by the respondent, ACDC Dynamics (Pty) Ltd, the plaintiff in the main action.  </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244753" w:rsidRDefault="00F20435" w:rsidP="00F20435">
      <w:pPr>
        <w:spacing w:after="0" w:line="480" w:lineRule="auto"/>
        <w:jc w:val="both"/>
        <w:rPr>
          <w:rFonts w:ascii="Times New Roman" w:eastAsia="Times New Roman" w:hAnsi="Times New Roman" w:cs="Times New Roman"/>
          <w:sz w:val="24"/>
          <w:szCs w:val="24"/>
          <w:lang w:eastAsia="en-ZA"/>
        </w:rPr>
      </w:pPr>
      <w:r w:rsidRPr="00244753">
        <w:rPr>
          <w:rFonts w:ascii="Times New Roman" w:eastAsia="Times New Roman" w:hAnsi="Times New Roman" w:cs="Times New Roman"/>
          <w:sz w:val="24"/>
          <w:szCs w:val="24"/>
          <w:lang w:eastAsia="en-ZA"/>
        </w:rPr>
        <w:t>[2]</w:t>
      </w:r>
      <w:r w:rsidRPr="00244753">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The applicant had earlier applied to amend its counterclaim, which it now seeks to substitute for the present application. The respondent opposes the application.</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244753" w:rsidRDefault="00244753" w:rsidP="00911F56">
      <w:pPr>
        <w:spacing w:after="0" w:line="480" w:lineRule="auto"/>
        <w:jc w:val="both"/>
        <w:rPr>
          <w:rFonts w:ascii="Arial" w:eastAsia="Times New Roman" w:hAnsi="Arial" w:cs="Arial"/>
          <w:color w:val="0E101A"/>
          <w:sz w:val="24"/>
          <w:szCs w:val="24"/>
          <w:lang w:eastAsia="en-ZA"/>
        </w:rPr>
      </w:pPr>
      <w:r w:rsidRPr="00244753">
        <w:rPr>
          <w:rFonts w:ascii="Arial" w:eastAsia="Times New Roman" w:hAnsi="Arial" w:cs="Arial"/>
          <w:b/>
          <w:bCs/>
          <w:color w:val="0E101A"/>
          <w:sz w:val="24"/>
          <w:szCs w:val="24"/>
          <w:lang w:eastAsia="en-ZA"/>
        </w:rPr>
        <w:t>Background facts</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244753" w:rsidRDefault="00F20435" w:rsidP="00F20435">
      <w:pPr>
        <w:spacing w:after="0" w:line="480" w:lineRule="auto"/>
        <w:jc w:val="both"/>
        <w:rPr>
          <w:rFonts w:ascii="Times New Roman" w:eastAsia="Times New Roman" w:hAnsi="Times New Roman" w:cs="Times New Roman"/>
          <w:sz w:val="24"/>
          <w:szCs w:val="24"/>
          <w:lang w:eastAsia="en-ZA"/>
        </w:rPr>
      </w:pPr>
      <w:r w:rsidRPr="00244753">
        <w:rPr>
          <w:rFonts w:ascii="Times New Roman" w:eastAsia="Times New Roman" w:hAnsi="Times New Roman" w:cs="Times New Roman"/>
          <w:sz w:val="24"/>
          <w:szCs w:val="24"/>
          <w:lang w:eastAsia="en-ZA"/>
        </w:rPr>
        <w:t>[3]</w:t>
      </w:r>
      <w:r w:rsidRPr="00244753">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The summons in the main action was served on the applicant on 3 May 2021. Following the service of the summons, the applicant and the second defendant served their</w:t>
      </w:r>
      <w:r w:rsidR="00CB333F">
        <w:rPr>
          <w:rFonts w:ascii="Arial" w:eastAsia="Times New Roman" w:hAnsi="Arial" w:cs="Arial"/>
          <w:color w:val="0E101A"/>
          <w:sz w:val="24"/>
          <w:szCs w:val="24"/>
          <w:lang w:eastAsia="en-ZA"/>
        </w:rPr>
        <w:t xml:space="preserve"> first</w:t>
      </w:r>
      <w:r w:rsidR="00244753" w:rsidRPr="00244753">
        <w:rPr>
          <w:rFonts w:ascii="Arial" w:eastAsia="Times New Roman" w:hAnsi="Arial" w:cs="Arial"/>
          <w:color w:val="0E101A"/>
          <w:sz w:val="24"/>
          <w:szCs w:val="24"/>
          <w:lang w:eastAsia="en-ZA"/>
        </w:rPr>
        <w:t xml:space="preserve"> counterclaim</w:t>
      </w:r>
      <w:r w:rsidR="007C18AC">
        <w:rPr>
          <w:rFonts w:ascii="Arial" w:eastAsia="Times New Roman" w:hAnsi="Arial" w:cs="Arial"/>
          <w:color w:val="0E101A"/>
          <w:sz w:val="24"/>
          <w:szCs w:val="24"/>
          <w:lang w:eastAsia="en-ZA"/>
        </w:rPr>
        <w:t xml:space="preserve"> (the first amendment</w:t>
      </w:r>
      <w:r w:rsidR="00575438">
        <w:rPr>
          <w:rFonts w:ascii="Arial" w:eastAsia="Times New Roman" w:hAnsi="Arial" w:cs="Arial"/>
          <w:color w:val="0E101A"/>
          <w:sz w:val="24"/>
          <w:szCs w:val="24"/>
          <w:lang w:eastAsia="en-ZA"/>
        </w:rPr>
        <w:t>)</w:t>
      </w:r>
      <w:r w:rsidR="00244753" w:rsidRPr="00244753">
        <w:rPr>
          <w:rFonts w:ascii="Arial" w:eastAsia="Times New Roman" w:hAnsi="Arial" w:cs="Arial"/>
          <w:color w:val="0E101A"/>
          <w:sz w:val="24"/>
          <w:szCs w:val="24"/>
          <w:lang w:eastAsia="en-ZA"/>
        </w:rPr>
        <w:t>.</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244753" w:rsidRDefault="00F20435" w:rsidP="00F20435">
      <w:pPr>
        <w:spacing w:after="0" w:line="480" w:lineRule="auto"/>
        <w:jc w:val="both"/>
        <w:rPr>
          <w:rFonts w:ascii="Times New Roman" w:eastAsia="Times New Roman" w:hAnsi="Times New Roman" w:cs="Times New Roman"/>
          <w:sz w:val="24"/>
          <w:szCs w:val="24"/>
          <w:lang w:eastAsia="en-ZA"/>
        </w:rPr>
      </w:pPr>
      <w:r w:rsidRPr="00244753">
        <w:rPr>
          <w:rFonts w:ascii="Times New Roman" w:eastAsia="Times New Roman" w:hAnsi="Times New Roman" w:cs="Times New Roman"/>
          <w:sz w:val="24"/>
          <w:szCs w:val="24"/>
          <w:lang w:eastAsia="en-ZA"/>
        </w:rPr>
        <w:t>[4]</w:t>
      </w:r>
      <w:r w:rsidRPr="00244753">
        <w:rPr>
          <w:rFonts w:ascii="Times New Roman" w:eastAsia="Times New Roman" w:hAnsi="Times New Roman" w:cs="Times New Roman"/>
          <w:sz w:val="24"/>
          <w:szCs w:val="24"/>
          <w:lang w:eastAsia="en-ZA"/>
        </w:rPr>
        <w:tab/>
      </w:r>
      <w:r w:rsidR="00CB333F">
        <w:rPr>
          <w:rFonts w:ascii="Arial" w:eastAsia="Times New Roman" w:hAnsi="Arial" w:cs="Arial"/>
          <w:color w:val="0E101A"/>
          <w:sz w:val="24"/>
          <w:szCs w:val="24"/>
          <w:lang w:eastAsia="en-ZA"/>
        </w:rPr>
        <w:t xml:space="preserve">In the first </w:t>
      </w:r>
      <w:r w:rsidR="00244753" w:rsidRPr="00244753">
        <w:rPr>
          <w:rFonts w:ascii="Arial" w:eastAsia="Times New Roman" w:hAnsi="Arial" w:cs="Arial"/>
          <w:color w:val="0E101A"/>
          <w:sz w:val="24"/>
          <w:szCs w:val="24"/>
          <w:lang w:eastAsia="en-ZA"/>
        </w:rPr>
        <w:t>countercla</w:t>
      </w:r>
      <w:r w:rsidR="00CB333F">
        <w:rPr>
          <w:rFonts w:ascii="Arial" w:eastAsia="Times New Roman" w:hAnsi="Arial" w:cs="Arial"/>
          <w:color w:val="0E101A"/>
          <w:sz w:val="24"/>
          <w:szCs w:val="24"/>
          <w:lang w:eastAsia="en-ZA"/>
        </w:rPr>
        <w:t>im, the applicant prayed for a</w:t>
      </w:r>
      <w:r w:rsidR="00244753" w:rsidRPr="00244753">
        <w:rPr>
          <w:rFonts w:ascii="Arial" w:eastAsia="Times New Roman" w:hAnsi="Arial" w:cs="Arial"/>
          <w:color w:val="0E101A"/>
          <w:sz w:val="24"/>
          <w:szCs w:val="24"/>
          <w:lang w:eastAsia="en-ZA"/>
        </w:rPr>
        <w:t xml:space="preserve"> declaratory order and payment of compensation on the grounds of contravention of sections 40, 41, and 48 of the Consumer Protection Act, 68 of 2008 (CPA).</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244753" w:rsidRDefault="00F20435" w:rsidP="00F20435">
      <w:pPr>
        <w:spacing w:after="0" w:line="480" w:lineRule="auto"/>
        <w:jc w:val="both"/>
        <w:rPr>
          <w:rFonts w:ascii="Times New Roman" w:eastAsia="Times New Roman" w:hAnsi="Times New Roman" w:cs="Times New Roman"/>
          <w:sz w:val="24"/>
          <w:szCs w:val="24"/>
          <w:lang w:eastAsia="en-ZA"/>
        </w:rPr>
      </w:pPr>
      <w:r w:rsidRPr="00244753">
        <w:rPr>
          <w:rFonts w:ascii="Times New Roman" w:eastAsia="Times New Roman" w:hAnsi="Times New Roman" w:cs="Times New Roman"/>
          <w:sz w:val="24"/>
          <w:szCs w:val="24"/>
          <w:lang w:eastAsia="en-ZA"/>
        </w:rPr>
        <w:t>[5]</w:t>
      </w:r>
      <w:r w:rsidRPr="00244753">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 xml:space="preserve">The applicant filed its </w:t>
      </w:r>
      <w:r w:rsidR="00CB333F">
        <w:rPr>
          <w:rFonts w:ascii="Arial" w:eastAsia="Times New Roman" w:hAnsi="Arial" w:cs="Arial"/>
          <w:color w:val="0E101A"/>
          <w:sz w:val="24"/>
          <w:szCs w:val="24"/>
          <w:lang w:eastAsia="en-ZA"/>
        </w:rPr>
        <w:t>notice to amend</w:t>
      </w:r>
      <w:r w:rsidR="00575438">
        <w:rPr>
          <w:rFonts w:ascii="Arial" w:eastAsia="Times New Roman" w:hAnsi="Arial" w:cs="Arial"/>
          <w:color w:val="0E101A"/>
          <w:sz w:val="24"/>
          <w:szCs w:val="24"/>
          <w:lang w:eastAsia="en-ZA"/>
        </w:rPr>
        <w:t xml:space="preserve"> to</w:t>
      </w:r>
      <w:r w:rsidR="00CB333F">
        <w:rPr>
          <w:rFonts w:ascii="Arial" w:eastAsia="Times New Roman" w:hAnsi="Arial" w:cs="Arial"/>
          <w:color w:val="0E101A"/>
          <w:sz w:val="24"/>
          <w:szCs w:val="24"/>
          <w:lang w:eastAsia="en-ZA"/>
        </w:rPr>
        <w:t xml:space="preserve"> the first counterclaim</w:t>
      </w:r>
      <w:r w:rsidR="00244753" w:rsidRPr="00244753">
        <w:rPr>
          <w:rFonts w:ascii="Arial" w:eastAsia="Times New Roman" w:hAnsi="Arial" w:cs="Arial"/>
          <w:color w:val="0E101A"/>
          <w:sz w:val="24"/>
          <w:szCs w:val="24"/>
          <w:lang w:eastAsia="en-ZA"/>
        </w:rPr>
        <w:t xml:space="preserve"> following the exce</w:t>
      </w:r>
      <w:r w:rsidR="00575438">
        <w:rPr>
          <w:rFonts w:ascii="Arial" w:eastAsia="Times New Roman" w:hAnsi="Arial" w:cs="Arial"/>
          <w:color w:val="0E101A"/>
          <w:sz w:val="24"/>
          <w:szCs w:val="24"/>
          <w:lang w:eastAsia="en-ZA"/>
        </w:rPr>
        <w:t xml:space="preserve">ption </w:t>
      </w:r>
      <w:r w:rsidR="00244753" w:rsidRPr="00244753">
        <w:rPr>
          <w:rFonts w:ascii="Arial" w:eastAsia="Times New Roman" w:hAnsi="Arial" w:cs="Arial"/>
          <w:color w:val="0E101A"/>
          <w:sz w:val="24"/>
          <w:szCs w:val="24"/>
          <w:lang w:eastAsia="en-ZA"/>
        </w:rPr>
        <w:t>by the respondent on 20 October 2021.</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244753" w:rsidRDefault="00F20435" w:rsidP="00F20435">
      <w:pPr>
        <w:spacing w:after="0" w:line="480" w:lineRule="auto"/>
        <w:jc w:val="both"/>
        <w:rPr>
          <w:rFonts w:ascii="Times New Roman" w:eastAsia="Times New Roman" w:hAnsi="Times New Roman" w:cs="Times New Roman"/>
          <w:sz w:val="24"/>
          <w:szCs w:val="24"/>
          <w:lang w:eastAsia="en-ZA"/>
        </w:rPr>
      </w:pPr>
      <w:r w:rsidRPr="00244753">
        <w:rPr>
          <w:rFonts w:ascii="Times New Roman" w:eastAsia="Times New Roman" w:hAnsi="Times New Roman" w:cs="Times New Roman"/>
          <w:sz w:val="24"/>
          <w:szCs w:val="24"/>
          <w:lang w:eastAsia="en-ZA"/>
        </w:rPr>
        <w:t>[6]</w:t>
      </w:r>
      <w:r w:rsidRPr="00244753">
        <w:rPr>
          <w:rFonts w:ascii="Times New Roman" w:eastAsia="Times New Roman" w:hAnsi="Times New Roman" w:cs="Times New Roman"/>
          <w:sz w:val="24"/>
          <w:szCs w:val="24"/>
          <w:lang w:eastAsia="en-ZA"/>
        </w:rPr>
        <w:tab/>
      </w:r>
      <w:r w:rsidR="007C18AC">
        <w:rPr>
          <w:rFonts w:ascii="Arial" w:eastAsia="Times New Roman" w:hAnsi="Arial" w:cs="Arial"/>
          <w:color w:val="0E101A"/>
          <w:sz w:val="24"/>
          <w:szCs w:val="24"/>
          <w:lang w:eastAsia="en-ZA"/>
        </w:rPr>
        <w:t>In the present application (the second amendment)</w:t>
      </w:r>
      <w:r w:rsidR="00244753" w:rsidRPr="00244753">
        <w:rPr>
          <w:rFonts w:ascii="Arial" w:eastAsia="Times New Roman" w:hAnsi="Arial" w:cs="Arial"/>
          <w:color w:val="0E101A"/>
          <w:sz w:val="24"/>
          <w:szCs w:val="24"/>
          <w:lang w:eastAsia="en-ZA"/>
        </w:rPr>
        <w:t xml:space="preserve"> the appl</w:t>
      </w:r>
      <w:r w:rsidR="00CB333F">
        <w:rPr>
          <w:rFonts w:ascii="Arial" w:eastAsia="Times New Roman" w:hAnsi="Arial" w:cs="Arial"/>
          <w:color w:val="0E101A"/>
          <w:sz w:val="24"/>
          <w:szCs w:val="24"/>
          <w:lang w:eastAsia="en-ZA"/>
        </w:rPr>
        <w:t>icant seeks to amend the first</w:t>
      </w:r>
      <w:r w:rsidR="00244753" w:rsidRPr="00244753">
        <w:rPr>
          <w:rFonts w:ascii="Arial" w:eastAsia="Times New Roman" w:hAnsi="Arial" w:cs="Arial"/>
          <w:color w:val="0E101A"/>
          <w:sz w:val="24"/>
          <w:szCs w:val="24"/>
          <w:lang w:eastAsia="en-ZA"/>
        </w:rPr>
        <w:t xml:space="preserve"> amendment of the counterclaim by deleting that amendment and substituting it with the present</w:t>
      </w:r>
      <w:r w:rsidR="00CB333F">
        <w:rPr>
          <w:rFonts w:ascii="Arial" w:eastAsia="Times New Roman" w:hAnsi="Arial" w:cs="Arial"/>
          <w:color w:val="0E101A"/>
          <w:sz w:val="24"/>
          <w:szCs w:val="24"/>
          <w:lang w:eastAsia="en-ZA"/>
        </w:rPr>
        <w:t xml:space="preserve"> application</w:t>
      </w:r>
      <w:r w:rsidR="00244753" w:rsidRPr="00244753">
        <w:rPr>
          <w:rFonts w:ascii="Arial" w:eastAsia="Times New Roman" w:hAnsi="Arial" w:cs="Arial"/>
          <w:color w:val="0E101A"/>
          <w:sz w:val="24"/>
          <w:szCs w:val="24"/>
          <w:lang w:eastAsia="en-ZA"/>
        </w:rPr>
        <w:t>.</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244753" w:rsidRDefault="00F20435" w:rsidP="00F20435">
      <w:pPr>
        <w:spacing w:after="0" w:line="480" w:lineRule="auto"/>
        <w:jc w:val="both"/>
        <w:rPr>
          <w:rFonts w:ascii="Times New Roman" w:eastAsia="Times New Roman" w:hAnsi="Times New Roman" w:cs="Times New Roman"/>
          <w:sz w:val="24"/>
          <w:szCs w:val="24"/>
          <w:lang w:eastAsia="en-ZA"/>
        </w:rPr>
      </w:pPr>
      <w:r w:rsidRPr="00244753">
        <w:rPr>
          <w:rFonts w:ascii="Times New Roman" w:eastAsia="Times New Roman" w:hAnsi="Times New Roman" w:cs="Times New Roman"/>
          <w:sz w:val="24"/>
          <w:szCs w:val="24"/>
          <w:lang w:eastAsia="en-ZA"/>
        </w:rPr>
        <w:t>[7]</w:t>
      </w:r>
      <w:r w:rsidRPr="00244753">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The present amendment is based upon the alleged unjust enrichment</w:t>
      </w:r>
      <w:r w:rsidR="00A931EB">
        <w:rPr>
          <w:rFonts w:ascii="Arial" w:eastAsia="Times New Roman" w:hAnsi="Arial" w:cs="Arial"/>
          <w:color w:val="0E101A"/>
          <w:sz w:val="24"/>
          <w:szCs w:val="24"/>
          <w:lang w:eastAsia="en-ZA"/>
        </w:rPr>
        <w:t xml:space="preserve"> of the respondent</w:t>
      </w:r>
      <w:r w:rsidR="00244753" w:rsidRPr="00244753">
        <w:rPr>
          <w:rFonts w:ascii="Arial" w:eastAsia="Times New Roman" w:hAnsi="Arial" w:cs="Arial"/>
          <w:color w:val="0E101A"/>
          <w:sz w:val="24"/>
          <w:szCs w:val="24"/>
          <w:lang w:eastAsia="en-ZA"/>
        </w:rPr>
        <w:t>, alternatively, fraudulent or negligent misrepresentation</w:t>
      </w:r>
      <w:r w:rsidR="00A931EB">
        <w:rPr>
          <w:rFonts w:ascii="Arial" w:eastAsia="Times New Roman" w:hAnsi="Arial" w:cs="Arial"/>
          <w:color w:val="0E101A"/>
          <w:sz w:val="24"/>
          <w:szCs w:val="24"/>
          <w:lang w:eastAsia="en-ZA"/>
        </w:rPr>
        <w:t xml:space="preserve"> by the respondent</w:t>
      </w:r>
      <w:r w:rsidR="00244753" w:rsidRPr="00244753">
        <w:rPr>
          <w:rFonts w:ascii="Arial" w:eastAsia="Times New Roman" w:hAnsi="Arial" w:cs="Arial"/>
          <w:color w:val="0E101A"/>
          <w:sz w:val="24"/>
          <w:szCs w:val="24"/>
          <w:lang w:eastAsia="en-ZA"/>
        </w:rPr>
        <w:t>.</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244753" w:rsidRDefault="00F20435" w:rsidP="00F20435">
      <w:pPr>
        <w:spacing w:after="0" w:line="480" w:lineRule="auto"/>
        <w:jc w:val="both"/>
        <w:rPr>
          <w:rFonts w:ascii="Times New Roman" w:eastAsia="Times New Roman" w:hAnsi="Times New Roman" w:cs="Times New Roman"/>
          <w:sz w:val="24"/>
          <w:szCs w:val="24"/>
          <w:lang w:eastAsia="en-ZA"/>
        </w:rPr>
      </w:pPr>
      <w:r w:rsidRPr="00244753">
        <w:rPr>
          <w:rFonts w:ascii="Times New Roman" w:eastAsia="Times New Roman" w:hAnsi="Times New Roman" w:cs="Times New Roman"/>
          <w:sz w:val="24"/>
          <w:szCs w:val="24"/>
          <w:lang w:eastAsia="en-ZA"/>
        </w:rPr>
        <w:t>[8]</w:t>
      </w:r>
      <w:r w:rsidRPr="00244753">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 xml:space="preserve">The respondent's action against the applicant is based on a credit facility granted to the applicant in December 2015. In terms of the agreement, the respondent </w:t>
      </w:r>
      <w:r w:rsidR="00244753" w:rsidRPr="00244753">
        <w:rPr>
          <w:rFonts w:ascii="Arial" w:eastAsia="Times New Roman" w:hAnsi="Arial" w:cs="Arial"/>
          <w:color w:val="0E101A"/>
          <w:sz w:val="24"/>
          <w:szCs w:val="24"/>
          <w:lang w:eastAsia="en-ZA"/>
        </w:rPr>
        <w:lastRenderedPageBreak/>
        <w:t>undertook to supply the applicant with certain goods subject to the applicant effecting payment of the same within thirty days of the delivery of the goods.</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244753" w:rsidRDefault="00F20435" w:rsidP="00F20435">
      <w:pPr>
        <w:spacing w:after="0" w:line="480" w:lineRule="auto"/>
        <w:jc w:val="both"/>
        <w:rPr>
          <w:rFonts w:ascii="Times New Roman" w:eastAsia="Times New Roman" w:hAnsi="Times New Roman" w:cs="Times New Roman"/>
          <w:sz w:val="24"/>
          <w:szCs w:val="24"/>
          <w:lang w:eastAsia="en-ZA"/>
        </w:rPr>
      </w:pPr>
      <w:r w:rsidRPr="00244753">
        <w:rPr>
          <w:rFonts w:ascii="Times New Roman" w:eastAsia="Times New Roman" w:hAnsi="Times New Roman" w:cs="Times New Roman"/>
          <w:sz w:val="24"/>
          <w:szCs w:val="24"/>
          <w:lang w:eastAsia="en-ZA"/>
        </w:rPr>
        <w:t>[9]</w:t>
      </w:r>
      <w:r w:rsidRPr="00244753">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The respondent alleges in the particulars of claim that it delivered</w:t>
      </w:r>
      <w:r w:rsidR="00575438">
        <w:rPr>
          <w:rFonts w:ascii="Arial" w:eastAsia="Times New Roman" w:hAnsi="Arial" w:cs="Arial"/>
          <w:color w:val="0E101A"/>
          <w:sz w:val="24"/>
          <w:szCs w:val="24"/>
          <w:lang w:eastAsia="en-ZA"/>
        </w:rPr>
        <w:t xml:space="preserve"> the</w:t>
      </w:r>
      <w:r w:rsidR="00244753" w:rsidRPr="00244753">
        <w:rPr>
          <w:rFonts w:ascii="Arial" w:eastAsia="Times New Roman" w:hAnsi="Arial" w:cs="Arial"/>
          <w:color w:val="0E101A"/>
          <w:sz w:val="24"/>
          <w:szCs w:val="24"/>
          <w:lang w:eastAsia="en-ZA"/>
        </w:rPr>
        <w:t xml:space="preserve"> goods to the applicant in terms of the agreement during November 2020 but that the applicant has failed to honour its obligation of effecting payment. As a result, the respondent claims payment in the sum of R2 860 958.79. </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244753" w:rsidRDefault="00F20435" w:rsidP="00F20435">
      <w:pPr>
        <w:spacing w:after="0" w:line="480" w:lineRule="auto"/>
        <w:jc w:val="both"/>
        <w:rPr>
          <w:rFonts w:ascii="Times New Roman" w:eastAsia="Times New Roman" w:hAnsi="Times New Roman" w:cs="Times New Roman"/>
          <w:sz w:val="24"/>
          <w:szCs w:val="24"/>
          <w:lang w:eastAsia="en-ZA"/>
        </w:rPr>
      </w:pPr>
      <w:r w:rsidRPr="00244753">
        <w:rPr>
          <w:rFonts w:ascii="Times New Roman" w:eastAsia="Times New Roman" w:hAnsi="Times New Roman" w:cs="Times New Roman"/>
          <w:sz w:val="24"/>
          <w:szCs w:val="24"/>
          <w:lang w:eastAsia="en-ZA"/>
        </w:rPr>
        <w:t>[10]</w:t>
      </w:r>
      <w:r w:rsidRPr="00244753">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The applicant's case is based on its alleged impoverishment and enrichment of the respondent, consequent the payment in the sum of</w:t>
      </w:r>
      <w:r w:rsidR="00244753" w:rsidRPr="009D6AF9">
        <w:rPr>
          <w:rFonts w:ascii="Arial" w:eastAsia="Times New Roman" w:hAnsi="Arial" w:cs="Arial"/>
          <w:b/>
          <w:bCs/>
          <w:sz w:val="24"/>
          <w:szCs w:val="24"/>
          <w:lang w:eastAsia="en-ZA"/>
        </w:rPr>
        <w:t> </w:t>
      </w:r>
      <w:r w:rsidR="007C18AC">
        <w:rPr>
          <w:rFonts w:ascii="Arial" w:eastAsia="Times New Roman" w:hAnsi="Arial" w:cs="Arial"/>
          <w:color w:val="0E101A"/>
          <w:sz w:val="24"/>
          <w:szCs w:val="24"/>
          <w:lang w:eastAsia="en-ZA"/>
        </w:rPr>
        <w:t xml:space="preserve">R31 </w:t>
      </w:r>
      <w:r w:rsidR="009D6AF9" w:rsidRPr="00244753">
        <w:rPr>
          <w:rFonts w:ascii="Arial" w:eastAsia="Times New Roman" w:hAnsi="Arial" w:cs="Arial"/>
          <w:color w:val="0E101A"/>
          <w:sz w:val="24"/>
          <w:szCs w:val="24"/>
          <w:lang w:eastAsia="en-ZA"/>
        </w:rPr>
        <w:t>270 296.76</w:t>
      </w:r>
      <w:r w:rsidR="00575438">
        <w:rPr>
          <w:rFonts w:ascii="Arial" w:eastAsia="Times New Roman" w:hAnsi="Arial" w:cs="Arial"/>
          <w:color w:val="0E101A"/>
          <w:sz w:val="24"/>
          <w:szCs w:val="24"/>
          <w:lang w:eastAsia="en-ZA"/>
        </w:rPr>
        <w:t xml:space="preserve"> to</w:t>
      </w:r>
      <w:r w:rsidR="00244753" w:rsidRPr="009D6AF9">
        <w:rPr>
          <w:rFonts w:ascii="Arial" w:eastAsia="Times New Roman" w:hAnsi="Arial" w:cs="Arial"/>
          <w:bCs/>
          <w:sz w:val="24"/>
          <w:szCs w:val="24"/>
          <w:lang w:eastAsia="en-ZA"/>
        </w:rPr>
        <w:t xml:space="preserve"> t</w:t>
      </w:r>
      <w:r w:rsidR="00244753" w:rsidRPr="00244753">
        <w:rPr>
          <w:rFonts w:ascii="Times New Roman" w:eastAsia="Times New Roman" w:hAnsi="Times New Roman" w:cs="Times New Roman"/>
          <w:sz w:val="24"/>
          <w:szCs w:val="24"/>
          <w:lang w:eastAsia="en-ZA"/>
        </w:rPr>
        <w:t>he respondent. Its alternative claim is based on</w:t>
      </w:r>
      <w:r w:rsidR="007C18AC">
        <w:rPr>
          <w:rFonts w:ascii="Times New Roman" w:eastAsia="Times New Roman" w:hAnsi="Times New Roman" w:cs="Times New Roman"/>
          <w:sz w:val="24"/>
          <w:szCs w:val="24"/>
          <w:lang w:eastAsia="en-ZA"/>
        </w:rPr>
        <w:t xml:space="preserve"> alleged fraudulent or negligent </w:t>
      </w:r>
      <w:r w:rsidR="00D00A94">
        <w:rPr>
          <w:rFonts w:ascii="Times New Roman" w:eastAsia="Times New Roman" w:hAnsi="Times New Roman" w:cs="Times New Roman"/>
          <w:sz w:val="24"/>
          <w:szCs w:val="24"/>
          <w:lang w:eastAsia="en-ZA"/>
        </w:rPr>
        <w:t xml:space="preserve">misrepresentation </w:t>
      </w:r>
      <w:r w:rsidR="00D00A94" w:rsidRPr="00244753">
        <w:rPr>
          <w:rFonts w:ascii="Times New Roman" w:eastAsia="Times New Roman" w:hAnsi="Times New Roman" w:cs="Times New Roman"/>
          <w:sz w:val="24"/>
          <w:szCs w:val="24"/>
          <w:lang w:eastAsia="en-ZA"/>
        </w:rPr>
        <w:t>made</w:t>
      </w:r>
      <w:r w:rsidR="00244753" w:rsidRPr="00244753">
        <w:rPr>
          <w:rFonts w:ascii="Times New Roman" w:eastAsia="Times New Roman" w:hAnsi="Times New Roman" w:cs="Times New Roman"/>
          <w:sz w:val="24"/>
          <w:szCs w:val="24"/>
          <w:lang w:eastAsia="en-ZA"/>
        </w:rPr>
        <w:t xml:space="preserve"> by the respondent. It is alleged in this regard that the applicant was induced by the representation made by the respondent to order goods from the respondent at a higher price. In other words, but for the misrepresentation and reliance thereon, the applicant could have acquired the same goods from other wholesalers. The applicant further contends that it was not bound to purchase the goods from the respondent and that the price was excessive.</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244753" w:rsidRDefault="00F20435" w:rsidP="00F20435">
      <w:pPr>
        <w:spacing w:after="0" w:line="480" w:lineRule="auto"/>
        <w:jc w:val="both"/>
        <w:rPr>
          <w:rFonts w:ascii="Times New Roman" w:eastAsia="Times New Roman" w:hAnsi="Times New Roman" w:cs="Times New Roman"/>
          <w:sz w:val="24"/>
          <w:szCs w:val="24"/>
          <w:lang w:eastAsia="en-ZA"/>
        </w:rPr>
      </w:pPr>
      <w:r w:rsidRPr="00244753">
        <w:rPr>
          <w:rFonts w:ascii="Times New Roman" w:eastAsia="Times New Roman" w:hAnsi="Times New Roman" w:cs="Times New Roman"/>
          <w:sz w:val="24"/>
          <w:szCs w:val="24"/>
          <w:lang w:eastAsia="en-ZA"/>
        </w:rPr>
        <w:t>[11]</w:t>
      </w:r>
      <w:r w:rsidRPr="00244753">
        <w:rPr>
          <w:rFonts w:ascii="Times New Roman" w:eastAsia="Times New Roman" w:hAnsi="Times New Roman" w:cs="Times New Roman"/>
          <w:sz w:val="24"/>
          <w:szCs w:val="24"/>
          <w:lang w:eastAsia="en-ZA"/>
        </w:rPr>
        <w:tab/>
      </w:r>
      <w:r w:rsidR="00575438">
        <w:rPr>
          <w:rFonts w:ascii="Arial" w:eastAsia="Times New Roman" w:hAnsi="Arial" w:cs="Arial"/>
          <w:color w:val="0E101A"/>
          <w:sz w:val="24"/>
          <w:szCs w:val="24"/>
          <w:lang w:eastAsia="en-ZA"/>
        </w:rPr>
        <w:t xml:space="preserve">The respondent has raised six grounds of objection to the proposed amendment and they are as follows:  </w:t>
      </w:r>
    </w:p>
    <w:p w:rsidR="00244753" w:rsidRPr="00015147" w:rsidRDefault="00015147" w:rsidP="004E526E">
      <w:pPr>
        <w:spacing w:after="0" w:line="480" w:lineRule="auto"/>
        <w:ind w:left="1440" w:hanging="720"/>
        <w:jc w:val="both"/>
        <w:rPr>
          <w:rFonts w:ascii="Times New Roman" w:eastAsia="Times New Roman" w:hAnsi="Times New Roman" w:cs="Times New Roman"/>
          <w:lang w:eastAsia="en-ZA"/>
        </w:rPr>
      </w:pPr>
      <w:r w:rsidRPr="00015147">
        <w:rPr>
          <w:rFonts w:ascii="Arial" w:eastAsia="Times New Roman" w:hAnsi="Arial" w:cs="Arial"/>
          <w:lang w:eastAsia="en-ZA"/>
        </w:rPr>
        <w:t>“</w:t>
      </w:r>
      <w:r w:rsidR="00244753" w:rsidRPr="00015147">
        <w:rPr>
          <w:rFonts w:ascii="Arial" w:eastAsia="Times New Roman" w:hAnsi="Arial" w:cs="Arial"/>
          <w:lang w:eastAsia="en-ZA"/>
        </w:rPr>
        <w:t xml:space="preserve">20.1 </w:t>
      </w:r>
      <w:r w:rsidR="004E526E" w:rsidRPr="00015147">
        <w:rPr>
          <w:rFonts w:ascii="Arial" w:eastAsia="Times New Roman" w:hAnsi="Arial" w:cs="Arial"/>
          <w:lang w:eastAsia="en-ZA"/>
        </w:rPr>
        <w:tab/>
      </w:r>
      <w:r w:rsidR="00244753" w:rsidRPr="00015147">
        <w:rPr>
          <w:rFonts w:ascii="Arial" w:eastAsia="Times New Roman" w:hAnsi="Arial" w:cs="Arial"/>
          <w:lang w:eastAsia="en-ZA"/>
        </w:rPr>
        <w:t>Ground 1:</w:t>
      </w:r>
      <w:r w:rsidRPr="00015147">
        <w:rPr>
          <w:rFonts w:ascii="Arial" w:eastAsia="Times New Roman" w:hAnsi="Arial" w:cs="Arial"/>
          <w:lang w:eastAsia="en-ZA"/>
        </w:rPr>
        <w:t xml:space="preserve"> </w:t>
      </w:r>
      <w:r w:rsidR="00244753" w:rsidRPr="00015147">
        <w:rPr>
          <w:rFonts w:ascii="Arial" w:eastAsia="Times New Roman" w:hAnsi="Arial" w:cs="Arial"/>
          <w:lang w:eastAsia="en-ZA"/>
        </w:rPr>
        <w:t>the Respondent alleges that the applicant's proposed counterclaim based on enrichment is excipiable as the respondent supplied products to the applicant against the payment of the sum of R31270296.76, and the respondent was therefore not enriched at the applicant's expense as alleged;</w:t>
      </w:r>
    </w:p>
    <w:p w:rsidR="00244753" w:rsidRPr="00015147" w:rsidRDefault="00244753" w:rsidP="00CB333F">
      <w:pPr>
        <w:spacing w:after="0" w:line="480" w:lineRule="auto"/>
        <w:ind w:left="1440" w:hanging="720"/>
        <w:jc w:val="both"/>
        <w:rPr>
          <w:rFonts w:ascii="Times New Roman" w:eastAsia="Times New Roman" w:hAnsi="Times New Roman" w:cs="Times New Roman"/>
          <w:lang w:eastAsia="en-ZA"/>
        </w:rPr>
      </w:pPr>
      <w:r w:rsidRPr="00015147">
        <w:rPr>
          <w:rFonts w:ascii="Arial" w:eastAsia="Times New Roman" w:hAnsi="Arial" w:cs="Arial"/>
          <w:lang w:eastAsia="en-ZA"/>
        </w:rPr>
        <w:t xml:space="preserve">20.2 </w:t>
      </w:r>
      <w:r w:rsidR="00CB333F" w:rsidRPr="00015147">
        <w:rPr>
          <w:rFonts w:ascii="Arial" w:eastAsia="Times New Roman" w:hAnsi="Arial" w:cs="Arial"/>
          <w:lang w:eastAsia="en-ZA"/>
        </w:rPr>
        <w:tab/>
      </w:r>
      <w:r w:rsidRPr="00015147">
        <w:rPr>
          <w:rFonts w:ascii="Arial" w:eastAsia="Times New Roman" w:hAnsi="Arial" w:cs="Arial"/>
          <w:lang w:eastAsia="en-ZA"/>
        </w:rPr>
        <w:t xml:space="preserve">Ground 2: the respondent alleges that paragraphs 12 and 14 of the applicant's proposed counterclaim if effected, would not disclose a cause of action, alternatively, would be vague and/or embarrassing by failing to plead how and </w:t>
      </w:r>
      <w:r w:rsidRPr="00015147">
        <w:rPr>
          <w:rFonts w:ascii="Arial" w:eastAsia="Times New Roman" w:hAnsi="Arial" w:cs="Arial"/>
          <w:lang w:eastAsia="en-ZA"/>
        </w:rPr>
        <w:lastRenderedPageBreak/>
        <w:t>on what basis the respondent was unjustifiably enriched at the expense of the applicant;</w:t>
      </w:r>
    </w:p>
    <w:p w:rsidR="00244753" w:rsidRPr="00015147" w:rsidRDefault="00244753" w:rsidP="00CB333F">
      <w:pPr>
        <w:spacing w:after="0" w:line="480" w:lineRule="auto"/>
        <w:ind w:left="1440" w:hanging="720"/>
        <w:jc w:val="both"/>
        <w:rPr>
          <w:rFonts w:ascii="Times New Roman" w:eastAsia="Times New Roman" w:hAnsi="Times New Roman" w:cs="Times New Roman"/>
          <w:lang w:eastAsia="en-ZA"/>
        </w:rPr>
      </w:pPr>
      <w:r w:rsidRPr="00015147">
        <w:rPr>
          <w:rFonts w:ascii="Arial" w:eastAsia="Times New Roman" w:hAnsi="Arial" w:cs="Arial"/>
          <w:lang w:eastAsia="en-ZA"/>
        </w:rPr>
        <w:t>20.3</w:t>
      </w:r>
      <w:r w:rsidR="00CB333F" w:rsidRPr="00015147">
        <w:rPr>
          <w:rFonts w:ascii="Arial" w:eastAsia="Times New Roman" w:hAnsi="Arial" w:cs="Arial"/>
          <w:lang w:eastAsia="en-ZA"/>
        </w:rPr>
        <w:tab/>
      </w:r>
      <w:r w:rsidRPr="00015147">
        <w:rPr>
          <w:rFonts w:ascii="Arial" w:eastAsia="Times New Roman" w:hAnsi="Arial" w:cs="Arial"/>
          <w:lang w:eastAsia="en-ZA"/>
        </w:rPr>
        <w:t xml:space="preserve"> Ground 3: the respondent alleges that paragraph 10 of the applicant's proposed counterclaim, if effected, would be irregular and/or vague and with the manner in which the alleged average gross profit percentage has been calculated, and further lacks particularity relating to other wholesalers and their prices, as well the calculation of the amount allegedly overcharged. embarrassing for failing to plead the manner in which the applicant had transferred the purported payment of the respondent's invoices and the account to which the amount was transferred;</w:t>
      </w:r>
    </w:p>
    <w:p w:rsidR="00244753" w:rsidRPr="00015147" w:rsidRDefault="00244753" w:rsidP="00CB333F">
      <w:pPr>
        <w:spacing w:after="0" w:line="480" w:lineRule="auto"/>
        <w:ind w:left="1440" w:hanging="720"/>
        <w:jc w:val="both"/>
        <w:rPr>
          <w:rFonts w:ascii="Times New Roman" w:eastAsia="Times New Roman" w:hAnsi="Times New Roman" w:cs="Times New Roman"/>
          <w:lang w:eastAsia="en-ZA"/>
        </w:rPr>
      </w:pPr>
      <w:r w:rsidRPr="00015147">
        <w:rPr>
          <w:rFonts w:ascii="Arial" w:eastAsia="Times New Roman" w:hAnsi="Arial" w:cs="Arial"/>
          <w:lang w:eastAsia="en-ZA"/>
        </w:rPr>
        <w:t>20.4</w:t>
      </w:r>
      <w:r w:rsidR="00CB333F" w:rsidRPr="00015147">
        <w:rPr>
          <w:rFonts w:ascii="Arial" w:eastAsia="Times New Roman" w:hAnsi="Arial" w:cs="Arial"/>
          <w:lang w:eastAsia="en-ZA"/>
        </w:rPr>
        <w:tab/>
      </w:r>
      <w:r w:rsidRPr="00015147">
        <w:rPr>
          <w:rFonts w:ascii="Arial" w:eastAsia="Times New Roman" w:hAnsi="Arial" w:cs="Arial"/>
          <w:lang w:eastAsia="en-ZA"/>
        </w:rPr>
        <w:t xml:space="preserve"> Ground 4: the respondent alleges that paragraph 18 of the applicant's proposed counterclaim if effected, would be irregular and/or vague and embarrassing for want of alleging that the respondent's representatives were duly authorized to make the alleged representations and by not pleading whether the alleged representations were made orally or in writing;</w:t>
      </w:r>
    </w:p>
    <w:p w:rsidR="00244753" w:rsidRPr="00015147" w:rsidRDefault="00244753" w:rsidP="00911F56">
      <w:pPr>
        <w:spacing w:after="0" w:line="480" w:lineRule="auto"/>
        <w:jc w:val="both"/>
        <w:rPr>
          <w:rFonts w:ascii="Arial" w:eastAsia="Times New Roman" w:hAnsi="Arial" w:cs="Arial"/>
          <w:lang w:eastAsia="en-ZA"/>
        </w:rPr>
      </w:pPr>
    </w:p>
    <w:p w:rsidR="00244753" w:rsidRPr="00015147" w:rsidRDefault="00244753" w:rsidP="00CB333F">
      <w:pPr>
        <w:spacing w:after="0" w:line="480" w:lineRule="auto"/>
        <w:ind w:left="1440" w:hanging="720"/>
        <w:jc w:val="both"/>
        <w:rPr>
          <w:rFonts w:ascii="Times New Roman" w:eastAsia="Times New Roman" w:hAnsi="Times New Roman" w:cs="Times New Roman"/>
          <w:lang w:eastAsia="en-ZA"/>
        </w:rPr>
      </w:pPr>
      <w:r w:rsidRPr="00015147">
        <w:rPr>
          <w:rFonts w:ascii="Arial" w:eastAsia="Times New Roman" w:hAnsi="Arial" w:cs="Arial"/>
          <w:lang w:eastAsia="en-ZA"/>
        </w:rPr>
        <w:t xml:space="preserve">20.5 </w:t>
      </w:r>
      <w:r w:rsidR="00CB333F" w:rsidRPr="00015147">
        <w:rPr>
          <w:rFonts w:ascii="Arial" w:eastAsia="Times New Roman" w:hAnsi="Arial" w:cs="Arial"/>
          <w:lang w:eastAsia="en-ZA"/>
        </w:rPr>
        <w:tab/>
      </w:r>
      <w:r w:rsidRPr="00015147">
        <w:rPr>
          <w:rFonts w:ascii="Arial" w:eastAsia="Times New Roman" w:hAnsi="Arial" w:cs="Arial"/>
          <w:lang w:eastAsia="en-ZA"/>
        </w:rPr>
        <w:t>Ground 5: the respondent alleges that paragraph 21 of the applicant's proposed amendment of its counterclaim if effected, would be irregular and/or vague and embarrassing by not alleging the basis and specifications of the fair value and/or market prices of the products, as well as the identity of other wholesalers and/or the prices such wholesalers would have charged for identical products;</w:t>
      </w:r>
    </w:p>
    <w:p w:rsidR="00244753" w:rsidRPr="00015147" w:rsidRDefault="00244753" w:rsidP="00015147">
      <w:pPr>
        <w:spacing w:after="0" w:line="480" w:lineRule="auto"/>
        <w:ind w:left="1440" w:hanging="720"/>
        <w:jc w:val="both"/>
        <w:rPr>
          <w:rFonts w:ascii="Times New Roman" w:eastAsia="Times New Roman" w:hAnsi="Times New Roman" w:cs="Times New Roman"/>
          <w:lang w:eastAsia="en-ZA"/>
        </w:rPr>
      </w:pPr>
      <w:r w:rsidRPr="00015147">
        <w:rPr>
          <w:rFonts w:ascii="Arial" w:eastAsia="Times New Roman" w:hAnsi="Arial" w:cs="Arial"/>
          <w:lang w:eastAsia="en-ZA"/>
        </w:rPr>
        <w:t>20.6</w:t>
      </w:r>
      <w:r w:rsidR="00CB333F" w:rsidRPr="00015147">
        <w:rPr>
          <w:rFonts w:ascii="Arial" w:eastAsia="Times New Roman" w:hAnsi="Arial" w:cs="Arial"/>
          <w:lang w:eastAsia="en-ZA"/>
        </w:rPr>
        <w:tab/>
      </w:r>
      <w:r w:rsidRPr="00015147">
        <w:rPr>
          <w:rFonts w:ascii="Arial" w:eastAsia="Times New Roman" w:hAnsi="Arial" w:cs="Arial"/>
          <w:lang w:eastAsia="en-ZA"/>
        </w:rPr>
        <w:t xml:space="preserve"> Ground 6: the respondent alleges that paragraphs 24, 25 and 26 of the applicant's proposed counterclaim, if effected, would be irregular and/or vague and embarrassing as it fails to deal with the manner in which the alleged average gross profit percentage has been calculated, and further lacks particularity relating to other wholesalers and their prices, as well the calculation of the amount allegedly overcharged."</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244753" w:rsidRDefault="00244753" w:rsidP="00911F56">
      <w:pPr>
        <w:spacing w:after="0" w:line="480" w:lineRule="auto"/>
        <w:jc w:val="both"/>
        <w:rPr>
          <w:rFonts w:ascii="Arial" w:eastAsia="Times New Roman" w:hAnsi="Arial" w:cs="Arial"/>
          <w:color w:val="0E101A"/>
          <w:sz w:val="24"/>
          <w:szCs w:val="24"/>
          <w:lang w:eastAsia="en-ZA"/>
        </w:rPr>
      </w:pPr>
      <w:r w:rsidRPr="00244753">
        <w:rPr>
          <w:rFonts w:ascii="Arial" w:eastAsia="Times New Roman" w:hAnsi="Arial" w:cs="Arial"/>
          <w:b/>
          <w:bCs/>
          <w:color w:val="0E101A"/>
          <w:sz w:val="24"/>
          <w:szCs w:val="24"/>
          <w:lang w:eastAsia="en-ZA"/>
        </w:rPr>
        <w:lastRenderedPageBreak/>
        <w:t>The legal principles</w:t>
      </w: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9918CB" w:rsidRPr="006B4A62" w:rsidRDefault="00F20435" w:rsidP="00F20435">
      <w:pPr>
        <w:spacing w:after="0" w:line="480" w:lineRule="auto"/>
        <w:jc w:val="both"/>
        <w:rPr>
          <w:rFonts w:ascii="Times New Roman" w:eastAsia="Times New Roman" w:hAnsi="Times New Roman" w:cs="Times New Roman"/>
          <w:sz w:val="24"/>
          <w:szCs w:val="24"/>
          <w:lang w:eastAsia="en-ZA"/>
        </w:rPr>
      </w:pPr>
      <w:r w:rsidRPr="006B4A62">
        <w:rPr>
          <w:rFonts w:ascii="Times New Roman" w:eastAsia="Times New Roman" w:hAnsi="Times New Roman" w:cs="Times New Roman"/>
          <w:sz w:val="24"/>
          <w:szCs w:val="24"/>
          <w:lang w:eastAsia="en-ZA"/>
        </w:rPr>
        <w:t>[12]</w:t>
      </w:r>
      <w:r w:rsidRPr="006B4A62">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The general principles governing an amendment of pleadings are set out in rule 28 of the Uniform Rules of Court.</w:t>
      </w:r>
      <w:r w:rsidR="003E099D">
        <w:rPr>
          <w:rStyle w:val="FootnoteReference"/>
          <w:rFonts w:ascii="Arial" w:eastAsia="Times New Roman" w:hAnsi="Arial" w:cs="Arial"/>
          <w:color w:val="0E101A"/>
          <w:sz w:val="24"/>
          <w:szCs w:val="24"/>
          <w:lang w:eastAsia="en-ZA"/>
        </w:rPr>
        <w:t xml:space="preserve"> </w:t>
      </w:r>
      <w:r w:rsidR="003E099D">
        <w:rPr>
          <w:rStyle w:val="FootnoteReference"/>
          <w:rFonts w:ascii="Arial" w:eastAsia="Times New Roman" w:hAnsi="Arial" w:cs="Arial"/>
          <w:color w:val="0E101A"/>
          <w:sz w:val="24"/>
          <w:szCs w:val="24"/>
          <w:lang w:eastAsia="en-ZA"/>
        </w:rPr>
        <w:footnoteReference w:id="1"/>
      </w:r>
      <w:r w:rsidR="00244753" w:rsidRPr="00244753">
        <w:rPr>
          <w:rFonts w:ascii="Arial" w:eastAsia="Times New Roman" w:hAnsi="Arial" w:cs="Arial"/>
          <w:color w:val="0E101A"/>
          <w:sz w:val="24"/>
          <w:szCs w:val="24"/>
          <w:lang w:eastAsia="en-ZA"/>
        </w:rPr>
        <w:t xml:space="preserve"> (the Rules). It is trite that where there is no objection to the proposed amendment same may be effected without the need to approach the court. However, where the other party objects to the amendment, the applicant would have to approach the court and obtain leave to amend. The general and sensible approach</w:t>
      </w:r>
      <w:r w:rsidR="00575438">
        <w:rPr>
          <w:rFonts w:ascii="Arial" w:eastAsia="Times New Roman" w:hAnsi="Arial" w:cs="Arial"/>
          <w:color w:val="0E101A"/>
          <w:sz w:val="24"/>
          <w:szCs w:val="24"/>
          <w:lang w:eastAsia="en-ZA"/>
        </w:rPr>
        <w:t xml:space="preserve"> that is usually adopted by the courts </w:t>
      </w:r>
      <w:r w:rsidR="00244753" w:rsidRPr="00244753">
        <w:rPr>
          <w:rFonts w:ascii="Arial" w:eastAsia="Times New Roman" w:hAnsi="Arial" w:cs="Arial"/>
          <w:color w:val="0E101A"/>
          <w:sz w:val="24"/>
          <w:szCs w:val="24"/>
          <w:lang w:eastAsia="en-ZA"/>
        </w:rPr>
        <w:t xml:space="preserve"> is to grant the amendment and avoid an overly technical approach in </w:t>
      </w:r>
      <w:r w:rsidR="006B4A62">
        <w:rPr>
          <w:rFonts w:ascii="Arial" w:eastAsia="Times New Roman" w:hAnsi="Arial" w:cs="Arial"/>
          <w:color w:val="0E101A"/>
          <w:sz w:val="24"/>
          <w:szCs w:val="24"/>
          <w:lang w:eastAsia="en-ZA"/>
        </w:rPr>
        <w:t>dealing with such applications</w:t>
      </w:r>
      <w:r w:rsidR="006B4A62" w:rsidRPr="006B4A62">
        <w:rPr>
          <w:rFonts w:ascii="Arial" w:eastAsia="Times New Roman" w:hAnsi="Arial" w:cs="Arial"/>
          <w:sz w:val="24"/>
          <w:szCs w:val="24"/>
          <w:lang w:eastAsia="en-ZA"/>
        </w:rPr>
        <w:t>.</w:t>
      </w:r>
      <w:r w:rsidR="00244753" w:rsidRPr="006B4A62">
        <w:rPr>
          <w:rFonts w:ascii="Arial" w:eastAsia="Times New Roman" w:hAnsi="Arial" w:cs="Arial"/>
          <w:i/>
          <w:sz w:val="24"/>
          <w:szCs w:val="24"/>
          <w:vertAlign w:val="superscript"/>
          <w:lang w:eastAsia="en-ZA"/>
        </w:rPr>
        <w:footnoteReference w:id="2"/>
      </w:r>
      <w:r w:rsidR="00244753" w:rsidRPr="00244753">
        <w:rPr>
          <w:rFonts w:ascii="Arial" w:eastAsia="Times New Roman" w:hAnsi="Arial" w:cs="Arial"/>
          <w:i/>
          <w:sz w:val="24"/>
          <w:szCs w:val="24"/>
          <w:lang w:eastAsia="en-ZA"/>
        </w:rPr>
        <w:t xml:space="preserve"> </w:t>
      </w:r>
      <w:r w:rsidR="001F1394">
        <w:rPr>
          <w:rFonts w:ascii="Arial" w:eastAsia="Times New Roman" w:hAnsi="Arial" w:cs="Arial"/>
          <w:sz w:val="24"/>
          <w:szCs w:val="24"/>
          <w:lang w:eastAsia="en-ZA"/>
        </w:rPr>
        <w:t xml:space="preserve"> The court may refuse to grant an amendment where the proposed amendment is execepiable.</w:t>
      </w:r>
      <w:r w:rsidR="00EB1B8D">
        <w:rPr>
          <w:rStyle w:val="FootnoteReference"/>
          <w:rFonts w:ascii="Arial" w:eastAsia="Times New Roman" w:hAnsi="Arial" w:cs="Arial"/>
          <w:sz w:val="24"/>
          <w:szCs w:val="24"/>
          <w:lang w:eastAsia="en-ZA"/>
        </w:rPr>
        <w:footnoteReference w:id="3"/>
      </w:r>
      <w:r w:rsidR="001F1394">
        <w:rPr>
          <w:rFonts w:ascii="Arial" w:eastAsia="Times New Roman" w:hAnsi="Arial" w:cs="Arial"/>
          <w:sz w:val="24"/>
          <w:szCs w:val="24"/>
          <w:lang w:eastAsia="en-ZA"/>
        </w:rPr>
        <w:t xml:space="preserve"> </w:t>
      </w:r>
    </w:p>
    <w:p w:rsidR="009918CB" w:rsidRPr="009918CB" w:rsidRDefault="009918CB" w:rsidP="009918CB">
      <w:pPr>
        <w:spacing w:after="0" w:line="480" w:lineRule="auto"/>
        <w:jc w:val="both"/>
        <w:rPr>
          <w:rFonts w:ascii="Times New Roman" w:eastAsia="Times New Roman" w:hAnsi="Times New Roman" w:cs="Times New Roman"/>
          <w:sz w:val="24"/>
          <w:szCs w:val="24"/>
          <w:highlight w:val="yellow"/>
          <w:lang w:eastAsia="en-ZA"/>
        </w:rPr>
      </w:pPr>
    </w:p>
    <w:p w:rsidR="009918CB" w:rsidRPr="001F1394" w:rsidRDefault="00F20435" w:rsidP="00F20435">
      <w:pPr>
        <w:spacing w:after="0" w:line="480" w:lineRule="auto"/>
        <w:jc w:val="both"/>
        <w:rPr>
          <w:rFonts w:ascii="Times New Roman" w:eastAsia="Times New Roman" w:hAnsi="Times New Roman" w:cs="Times New Roman"/>
          <w:sz w:val="24"/>
          <w:szCs w:val="24"/>
          <w:lang w:eastAsia="en-ZA"/>
        </w:rPr>
      </w:pPr>
      <w:r w:rsidRPr="001F1394">
        <w:rPr>
          <w:rFonts w:ascii="Times New Roman" w:eastAsia="Times New Roman" w:hAnsi="Times New Roman" w:cs="Times New Roman"/>
          <w:sz w:val="24"/>
          <w:szCs w:val="24"/>
          <w:lang w:eastAsia="en-ZA"/>
        </w:rPr>
        <w:lastRenderedPageBreak/>
        <w:t>[13]</w:t>
      </w:r>
      <w:r w:rsidRPr="001F1394">
        <w:rPr>
          <w:rFonts w:ascii="Times New Roman" w:eastAsia="Times New Roman" w:hAnsi="Times New Roman" w:cs="Times New Roman"/>
          <w:sz w:val="24"/>
          <w:szCs w:val="24"/>
          <w:lang w:eastAsia="en-ZA"/>
        </w:rPr>
        <w:tab/>
      </w:r>
      <w:r w:rsidR="00244753" w:rsidRPr="001F1394">
        <w:rPr>
          <w:rFonts w:ascii="Arial" w:eastAsia="Times New Roman" w:hAnsi="Arial" w:cs="Arial"/>
          <w:color w:val="0E101A"/>
          <w:sz w:val="24"/>
          <w:szCs w:val="24"/>
          <w:lang w:eastAsia="en-ZA"/>
        </w:rPr>
        <w:t>The principles relating to exceptions were explained in Living Hands (Pty) Ltd and Another v Ditz and Others,</w:t>
      </w:r>
      <w:r w:rsidR="001F1394">
        <w:rPr>
          <w:rStyle w:val="FootnoteReference"/>
          <w:rFonts w:ascii="Arial" w:eastAsia="Times New Roman" w:hAnsi="Arial" w:cs="Arial"/>
          <w:color w:val="0E101A"/>
          <w:sz w:val="24"/>
          <w:szCs w:val="24"/>
          <w:lang w:eastAsia="en-ZA"/>
        </w:rPr>
        <w:footnoteReference w:id="4"/>
      </w:r>
      <w:r w:rsidR="00244753" w:rsidRPr="001F1394">
        <w:rPr>
          <w:rFonts w:ascii="Arial" w:eastAsia="Times New Roman" w:hAnsi="Arial" w:cs="Arial"/>
          <w:color w:val="0E101A"/>
          <w:sz w:val="24"/>
          <w:szCs w:val="24"/>
          <w:lang w:eastAsia="en-ZA"/>
        </w:rPr>
        <w:t xml:space="preserve"> as follows: </w:t>
      </w:r>
      <w:r w:rsidR="009918CB" w:rsidRPr="001F1394">
        <w:rPr>
          <w:rFonts w:ascii="Arial" w:eastAsia="Times New Roman" w:hAnsi="Arial" w:cs="Arial"/>
          <w:color w:val="0E101A"/>
          <w:sz w:val="24"/>
          <w:szCs w:val="24"/>
          <w:lang w:eastAsia="en-ZA"/>
        </w:rPr>
        <w:t xml:space="preserve">   </w:t>
      </w:r>
    </w:p>
    <w:p w:rsidR="0052600E" w:rsidRPr="001F1394" w:rsidRDefault="00244753" w:rsidP="001F1394">
      <w:pPr>
        <w:spacing w:after="0" w:line="480" w:lineRule="auto"/>
        <w:ind w:left="1440" w:hanging="1020"/>
        <w:jc w:val="both"/>
        <w:rPr>
          <w:rFonts w:ascii="Arial" w:eastAsia="Times New Roman" w:hAnsi="Arial" w:cs="Arial"/>
          <w:color w:val="0E101A"/>
          <w:lang w:eastAsia="en-ZA"/>
        </w:rPr>
      </w:pPr>
      <w:r w:rsidRPr="001F1394">
        <w:rPr>
          <w:rFonts w:ascii="Arial" w:eastAsia="Times New Roman" w:hAnsi="Arial" w:cs="Arial"/>
          <w:color w:val="0E101A"/>
          <w:lang w:eastAsia="en-ZA"/>
        </w:rPr>
        <w:t>"</w:t>
      </w:r>
      <w:r w:rsidR="0052600E" w:rsidRPr="001F1394">
        <w:rPr>
          <w:rFonts w:ascii="Arial" w:eastAsia="Times New Roman" w:hAnsi="Arial" w:cs="Arial"/>
          <w:color w:val="0E101A"/>
          <w:lang w:eastAsia="en-ZA"/>
        </w:rPr>
        <w:t>(a)</w:t>
      </w:r>
      <w:r w:rsidR="0052600E" w:rsidRPr="001F1394">
        <w:rPr>
          <w:rFonts w:ascii="Arial" w:eastAsia="Times New Roman" w:hAnsi="Arial" w:cs="Arial"/>
          <w:color w:val="0E101A"/>
          <w:lang w:eastAsia="en-ZA"/>
        </w:rPr>
        <w:tab/>
        <w:t xml:space="preserve">. . . </w:t>
      </w:r>
      <w:r w:rsidR="0052600E" w:rsidRPr="001F1394">
        <w:rPr>
          <w:rFonts w:ascii="Arial" w:hAnsi="Arial" w:cs="Arial"/>
          <w:color w:val="242121"/>
          <w:shd w:val="clear" w:color="auto" w:fill="FFFFFF"/>
        </w:rPr>
        <w:t>the court will accept, as true, the allegations pleaded by the plaintiff to assess whether they disclose a cause of action.</w:t>
      </w:r>
    </w:p>
    <w:p w:rsidR="00244753" w:rsidRPr="001F1394" w:rsidRDefault="00244753" w:rsidP="0052600E">
      <w:pPr>
        <w:spacing w:after="0" w:line="480" w:lineRule="auto"/>
        <w:ind w:left="1440" w:hanging="720"/>
        <w:jc w:val="both"/>
        <w:rPr>
          <w:rFonts w:ascii="Arial" w:eastAsia="Times New Roman" w:hAnsi="Arial" w:cs="Arial"/>
          <w:color w:val="0E101A"/>
          <w:lang w:eastAsia="en-ZA"/>
        </w:rPr>
      </w:pPr>
      <w:r w:rsidRPr="001F1394">
        <w:rPr>
          <w:rFonts w:ascii="Arial" w:eastAsia="Times New Roman" w:hAnsi="Arial" w:cs="Arial"/>
          <w:color w:val="0E101A"/>
          <w:lang w:eastAsia="en-ZA"/>
        </w:rPr>
        <w:t>(b)</w:t>
      </w:r>
      <w:r w:rsidR="00F90F4B" w:rsidRPr="001F1394">
        <w:rPr>
          <w:rFonts w:ascii="Arial" w:eastAsia="Times New Roman" w:hAnsi="Arial" w:cs="Arial"/>
          <w:color w:val="0E101A"/>
          <w:lang w:eastAsia="en-ZA"/>
        </w:rPr>
        <w:tab/>
      </w:r>
      <w:r w:rsidRPr="001F1394">
        <w:rPr>
          <w:rFonts w:ascii="Arial" w:eastAsia="Times New Roman" w:hAnsi="Arial" w:cs="Arial"/>
          <w:color w:val="0E101A"/>
          <w:lang w:eastAsia="en-ZA"/>
        </w:rPr>
        <w:t>The object of exception is not to embarrass one's opponent or to take advantage of a technical flaw, but to dispose of the case or a portion thereof in an expeditious manner, or to protect oneself against an embarrassment which is so serious as to merit the costs.</w:t>
      </w:r>
    </w:p>
    <w:p w:rsidR="00244753" w:rsidRPr="001F1394" w:rsidRDefault="00244753" w:rsidP="00F90F4B">
      <w:pPr>
        <w:spacing w:after="0" w:line="480" w:lineRule="auto"/>
        <w:ind w:left="1440" w:hanging="720"/>
        <w:jc w:val="both"/>
        <w:rPr>
          <w:rFonts w:ascii="Arial" w:eastAsia="Times New Roman" w:hAnsi="Arial" w:cs="Arial"/>
          <w:lang w:eastAsia="en-ZA"/>
        </w:rPr>
      </w:pPr>
      <w:r w:rsidRPr="001F1394">
        <w:rPr>
          <w:rFonts w:ascii="Arial" w:eastAsia="Times New Roman" w:hAnsi="Arial" w:cs="Arial"/>
          <w:lang w:eastAsia="en-ZA"/>
        </w:rPr>
        <w:t>(c)</w:t>
      </w:r>
      <w:r w:rsidR="00F90F4B" w:rsidRPr="001F1394">
        <w:rPr>
          <w:rFonts w:ascii="Arial" w:eastAsia="Times New Roman" w:hAnsi="Arial" w:cs="Arial"/>
          <w:lang w:eastAsia="en-ZA"/>
        </w:rPr>
        <w:tab/>
      </w:r>
      <w:r w:rsidRPr="001F1394">
        <w:rPr>
          <w:rFonts w:ascii="Arial" w:eastAsia="Times New Roman" w:hAnsi="Arial" w:cs="Arial"/>
          <w:lang w:eastAsia="en-ZA"/>
        </w:rPr>
        <w:t xml:space="preserve"> The purpose of an exception is to raise a substantive question of law which may have the effect of settling the dispute between the parties. </w:t>
      </w:r>
    </w:p>
    <w:p w:rsidR="00244753" w:rsidRPr="001F1394" w:rsidRDefault="00244753" w:rsidP="00CB333F">
      <w:pPr>
        <w:spacing w:after="0" w:line="480" w:lineRule="auto"/>
        <w:ind w:left="1418" w:hanging="709"/>
        <w:jc w:val="both"/>
        <w:rPr>
          <w:rFonts w:ascii="Arial" w:eastAsia="Times New Roman" w:hAnsi="Arial" w:cs="Arial"/>
          <w:lang w:eastAsia="en-ZA"/>
        </w:rPr>
      </w:pPr>
      <w:r w:rsidRPr="001F1394">
        <w:rPr>
          <w:rFonts w:ascii="Arial" w:eastAsia="Times New Roman" w:hAnsi="Arial" w:cs="Arial"/>
          <w:color w:val="0E101A"/>
          <w:lang w:eastAsia="en-ZA"/>
        </w:rPr>
        <w:t xml:space="preserve">(d) </w:t>
      </w:r>
      <w:r w:rsidR="00F90F4B" w:rsidRPr="001F1394">
        <w:rPr>
          <w:rFonts w:ascii="Arial" w:eastAsia="Times New Roman" w:hAnsi="Arial" w:cs="Arial"/>
          <w:color w:val="0E101A"/>
          <w:lang w:eastAsia="en-ZA"/>
        </w:rPr>
        <w:tab/>
      </w:r>
      <w:r w:rsidRPr="001F1394">
        <w:rPr>
          <w:rFonts w:ascii="Arial" w:eastAsia="Times New Roman" w:hAnsi="Arial" w:cs="Arial"/>
          <w:color w:val="0E101A"/>
          <w:lang w:eastAsia="en-ZA"/>
        </w:rPr>
        <w:t>An excipient who alleges that a summons does not disclose a cause of action must establish that, upon any construction of the particulars of claim, no cause of action is disclosed.</w:t>
      </w:r>
    </w:p>
    <w:p w:rsidR="00244753" w:rsidRPr="001F1394" w:rsidRDefault="00244753" w:rsidP="00F90F4B">
      <w:pPr>
        <w:spacing w:after="0" w:line="480" w:lineRule="auto"/>
        <w:ind w:left="1440" w:hanging="720"/>
        <w:jc w:val="both"/>
        <w:rPr>
          <w:rFonts w:ascii="Arial" w:eastAsia="Times New Roman" w:hAnsi="Arial" w:cs="Arial"/>
          <w:lang w:eastAsia="en-ZA"/>
        </w:rPr>
      </w:pPr>
      <w:r w:rsidRPr="001F1394">
        <w:rPr>
          <w:rFonts w:ascii="Arial" w:eastAsia="Times New Roman" w:hAnsi="Arial" w:cs="Arial"/>
          <w:lang w:eastAsia="en-ZA"/>
        </w:rPr>
        <w:t xml:space="preserve">(e) </w:t>
      </w:r>
      <w:r w:rsidR="00F90F4B" w:rsidRPr="001F1394">
        <w:rPr>
          <w:rFonts w:ascii="Arial" w:eastAsia="Times New Roman" w:hAnsi="Arial" w:cs="Arial"/>
          <w:lang w:eastAsia="en-ZA"/>
        </w:rPr>
        <w:tab/>
      </w:r>
      <w:r w:rsidRPr="001F1394">
        <w:rPr>
          <w:rFonts w:ascii="Arial" w:eastAsia="Times New Roman" w:hAnsi="Arial" w:cs="Arial"/>
          <w:lang w:eastAsia="en-ZA"/>
        </w:rPr>
        <w:t xml:space="preserve">An over-technical approach should be avoided because it destroys the usefulness of the exception procedure, which is to weed out cases without legal merit. </w:t>
      </w:r>
    </w:p>
    <w:p w:rsidR="00244753" w:rsidRPr="001F1394" w:rsidRDefault="00244753" w:rsidP="00F90F4B">
      <w:pPr>
        <w:spacing w:after="0" w:line="480" w:lineRule="auto"/>
        <w:ind w:left="1440" w:hanging="720"/>
        <w:jc w:val="both"/>
        <w:rPr>
          <w:rFonts w:ascii="Arial" w:eastAsia="Times New Roman" w:hAnsi="Arial" w:cs="Arial"/>
          <w:color w:val="0E101A"/>
          <w:lang w:eastAsia="en-ZA"/>
        </w:rPr>
      </w:pPr>
      <w:r w:rsidRPr="001F1394">
        <w:rPr>
          <w:rFonts w:ascii="Arial" w:eastAsia="Times New Roman" w:hAnsi="Arial" w:cs="Arial"/>
          <w:color w:val="0E101A"/>
          <w:lang w:eastAsia="en-ZA"/>
        </w:rPr>
        <w:t>(f)</w:t>
      </w:r>
      <w:r w:rsidR="00F90F4B" w:rsidRPr="001F1394">
        <w:rPr>
          <w:rFonts w:ascii="Arial" w:eastAsia="Times New Roman" w:hAnsi="Arial" w:cs="Arial"/>
          <w:color w:val="0E101A"/>
          <w:lang w:eastAsia="en-ZA"/>
        </w:rPr>
        <w:tab/>
      </w:r>
      <w:r w:rsidRPr="001F1394">
        <w:rPr>
          <w:rFonts w:ascii="Arial" w:eastAsia="Times New Roman" w:hAnsi="Arial" w:cs="Arial"/>
          <w:color w:val="0E101A"/>
          <w:lang w:eastAsia="en-ZA"/>
        </w:rPr>
        <w:t xml:space="preserve"> Pleadings must be read as a whole and an exception cannot be taken to a paragraph or a part of a pleading that is not self-contained. </w:t>
      </w:r>
    </w:p>
    <w:p w:rsidR="001F1394" w:rsidRDefault="00244753" w:rsidP="001F1394">
      <w:pPr>
        <w:spacing w:after="0" w:line="480" w:lineRule="auto"/>
        <w:ind w:left="1440" w:hanging="720"/>
        <w:jc w:val="both"/>
        <w:rPr>
          <w:rFonts w:ascii="Arial" w:eastAsia="Times New Roman" w:hAnsi="Arial" w:cs="Arial"/>
          <w:color w:val="0E101A"/>
          <w:sz w:val="24"/>
          <w:szCs w:val="24"/>
          <w:lang w:eastAsia="en-ZA"/>
        </w:rPr>
      </w:pPr>
      <w:r w:rsidRPr="001F1394">
        <w:rPr>
          <w:rFonts w:ascii="Arial" w:eastAsia="Times New Roman" w:hAnsi="Arial" w:cs="Arial"/>
          <w:color w:val="0E101A"/>
          <w:lang w:eastAsia="en-ZA"/>
        </w:rPr>
        <w:t>(g)</w:t>
      </w:r>
      <w:r w:rsidR="00F90F4B" w:rsidRPr="001F1394">
        <w:rPr>
          <w:rFonts w:ascii="Arial" w:eastAsia="Times New Roman" w:hAnsi="Arial" w:cs="Arial"/>
          <w:color w:val="0E101A"/>
          <w:lang w:eastAsia="en-ZA"/>
        </w:rPr>
        <w:tab/>
      </w:r>
      <w:r w:rsidRPr="001F1394">
        <w:rPr>
          <w:rFonts w:ascii="Arial" w:eastAsia="Times New Roman" w:hAnsi="Arial" w:cs="Arial"/>
          <w:color w:val="0E101A"/>
          <w:lang w:eastAsia="en-ZA"/>
        </w:rPr>
        <w:t xml:space="preserve"> Minor blemishes and unradical embarrassments caused by a pleading can and should be cured by further particulars.</w:t>
      </w:r>
      <w:r w:rsidR="001F1394">
        <w:rPr>
          <w:rFonts w:ascii="Arial" w:eastAsia="Times New Roman" w:hAnsi="Arial" w:cs="Arial"/>
          <w:color w:val="0E101A"/>
          <w:lang w:eastAsia="en-ZA"/>
        </w:rPr>
        <w:t>”</w:t>
      </w:r>
      <w:r w:rsidR="001F1394">
        <w:rPr>
          <w:rFonts w:ascii="Arial" w:eastAsia="Times New Roman" w:hAnsi="Arial" w:cs="Arial"/>
          <w:color w:val="0E101A"/>
          <w:sz w:val="24"/>
          <w:szCs w:val="24"/>
          <w:lang w:eastAsia="en-ZA"/>
        </w:rPr>
        <w:t xml:space="preserve"> </w:t>
      </w:r>
    </w:p>
    <w:p w:rsidR="001F1394" w:rsidRDefault="001F1394" w:rsidP="001F1394">
      <w:pPr>
        <w:spacing w:after="0" w:line="480" w:lineRule="auto"/>
        <w:ind w:left="1440" w:hanging="720"/>
        <w:jc w:val="both"/>
        <w:rPr>
          <w:rFonts w:ascii="Arial" w:eastAsia="Times New Roman" w:hAnsi="Arial" w:cs="Arial"/>
          <w:color w:val="0E101A"/>
          <w:sz w:val="24"/>
          <w:szCs w:val="24"/>
          <w:lang w:eastAsia="en-ZA"/>
        </w:rPr>
      </w:pPr>
    </w:p>
    <w:p w:rsidR="001F1394" w:rsidRDefault="00F20435" w:rsidP="00F20435">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[14]</w:t>
      </w:r>
      <w:r>
        <w:rPr>
          <w:rFonts w:ascii="Arial" w:eastAsia="Times New Roman" w:hAnsi="Arial" w:cs="Arial"/>
          <w:color w:val="0E101A"/>
          <w:sz w:val="24"/>
          <w:szCs w:val="24"/>
          <w:lang w:eastAsia="en-ZA"/>
        </w:rPr>
        <w:tab/>
      </w:r>
      <w:r w:rsidR="00244753" w:rsidRPr="001F1394">
        <w:rPr>
          <w:rFonts w:ascii="Arial" w:eastAsia="Times New Roman" w:hAnsi="Arial" w:cs="Arial"/>
          <w:color w:val="0E101A"/>
          <w:sz w:val="24"/>
          <w:szCs w:val="24"/>
          <w:lang w:eastAsia="en-ZA"/>
        </w:rPr>
        <w:t xml:space="preserve">The other aspect of the general approach adopted by the courts is that an amendment will not be granted if the opposing party is prejudiced or if the amendment </w:t>
      </w:r>
      <w:r w:rsidR="00244753" w:rsidRPr="001F1394">
        <w:rPr>
          <w:rFonts w:ascii="Arial" w:eastAsia="Times New Roman" w:hAnsi="Arial" w:cs="Arial"/>
          <w:color w:val="0E101A"/>
          <w:sz w:val="24"/>
          <w:szCs w:val="24"/>
          <w:lang w:eastAsia="en-ZA"/>
        </w:rPr>
        <w:lastRenderedPageBreak/>
        <w:t xml:space="preserve">is </w:t>
      </w:r>
      <w:r w:rsidR="00244753" w:rsidRPr="001F1394">
        <w:rPr>
          <w:rFonts w:ascii="Arial" w:eastAsia="Times New Roman" w:hAnsi="Arial" w:cs="Arial"/>
          <w:i/>
          <w:color w:val="0E101A"/>
          <w:sz w:val="24"/>
          <w:szCs w:val="24"/>
          <w:lang w:eastAsia="en-ZA"/>
        </w:rPr>
        <w:t>mala fide.</w:t>
      </w:r>
      <w:r w:rsidR="00244753" w:rsidRPr="001F1394">
        <w:rPr>
          <w:rFonts w:ascii="Arial" w:eastAsia="Times New Roman" w:hAnsi="Arial" w:cs="Arial"/>
          <w:color w:val="0E101A"/>
          <w:sz w:val="24"/>
          <w:szCs w:val="24"/>
          <w:lang w:eastAsia="en-ZA"/>
        </w:rPr>
        <w:t xml:space="preserve"> </w:t>
      </w:r>
      <w:r w:rsidR="001F1394">
        <w:rPr>
          <w:rFonts w:ascii="Arial" w:eastAsia="Times New Roman" w:hAnsi="Arial" w:cs="Arial"/>
          <w:color w:val="0E101A"/>
          <w:sz w:val="24"/>
          <w:szCs w:val="24"/>
          <w:lang w:eastAsia="en-ZA"/>
        </w:rPr>
        <w:t xml:space="preserve">The respondent may be prejudice where amongst others the proposed amendment is vague and embarrassing. </w:t>
      </w:r>
    </w:p>
    <w:p w:rsidR="001F1394" w:rsidRDefault="001F1394" w:rsidP="001F1394">
      <w:pPr>
        <w:spacing w:after="0" w:line="480" w:lineRule="auto"/>
        <w:jc w:val="both"/>
        <w:rPr>
          <w:rFonts w:ascii="Arial" w:eastAsia="Times New Roman" w:hAnsi="Arial" w:cs="Arial"/>
          <w:color w:val="0E101A"/>
          <w:sz w:val="24"/>
          <w:szCs w:val="24"/>
          <w:lang w:eastAsia="en-ZA"/>
        </w:rPr>
      </w:pPr>
    </w:p>
    <w:p w:rsidR="00244753" w:rsidRPr="001F1394" w:rsidRDefault="00F20435" w:rsidP="00F20435">
      <w:pPr>
        <w:spacing w:after="0" w:line="480" w:lineRule="auto"/>
        <w:jc w:val="both"/>
        <w:rPr>
          <w:rFonts w:ascii="Arial" w:eastAsia="Times New Roman" w:hAnsi="Arial" w:cs="Arial"/>
          <w:color w:val="0E101A"/>
          <w:sz w:val="24"/>
          <w:szCs w:val="24"/>
          <w:lang w:eastAsia="en-ZA"/>
        </w:rPr>
      </w:pPr>
      <w:r w:rsidRPr="001F1394">
        <w:rPr>
          <w:rFonts w:ascii="Arial" w:eastAsia="Times New Roman" w:hAnsi="Arial" w:cs="Arial"/>
          <w:color w:val="0E101A"/>
          <w:sz w:val="24"/>
          <w:szCs w:val="24"/>
          <w:lang w:eastAsia="en-ZA"/>
        </w:rPr>
        <w:t>[15]</w:t>
      </w:r>
      <w:r w:rsidRPr="001F1394">
        <w:rPr>
          <w:rFonts w:ascii="Arial" w:eastAsia="Times New Roman" w:hAnsi="Arial" w:cs="Arial"/>
          <w:color w:val="0E101A"/>
          <w:sz w:val="24"/>
          <w:szCs w:val="24"/>
          <w:lang w:eastAsia="en-ZA"/>
        </w:rPr>
        <w:tab/>
      </w:r>
      <w:r w:rsidR="00244753" w:rsidRPr="001F1394">
        <w:rPr>
          <w:rFonts w:ascii="Arial" w:eastAsia="Times New Roman" w:hAnsi="Arial" w:cs="Arial"/>
          <w:color w:val="0E101A"/>
          <w:sz w:val="24"/>
          <w:szCs w:val="24"/>
          <w:lang w:eastAsia="en-ZA"/>
        </w:rPr>
        <w:t xml:space="preserve">In </w:t>
      </w:r>
      <w:r w:rsidR="00AE0005" w:rsidRPr="001F1394">
        <w:rPr>
          <w:rFonts w:ascii="Arial" w:eastAsia="Times New Roman" w:hAnsi="Arial" w:cs="Arial"/>
          <w:color w:val="0E101A"/>
          <w:sz w:val="24"/>
          <w:szCs w:val="24"/>
          <w:lang w:eastAsia="en-ZA"/>
        </w:rPr>
        <w:t xml:space="preserve"> </w:t>
      </w:r>
      <w:r w:rsidR="00AE0005" w:rsidRPr="001F1394">
        <w:rPr>
          <w:rFonts w:ascii="Arial" w:hAnsi="Arial" w:cs="Arial"/>
          <w:sz w:val="24"/>
          <w:szCs w:val="24"/>
        </w:rPr>
        <w:t xml:space="preserve">Van Zyl N.O </w:t>
      </w:r>
      <w:r w:rsidR="001F1394" w:rsidRPr="001F1394">
        <w:rPr>
          <w:rFonts w:ascii="Arial" w:hAnsi="Arial" w:cs="Arial"/>
          <w:sz w:val="24"/>
          <w:szCs w:val="24"/>
        </w:rPr>
        <w:t>and Another v Smit</w:t>
      </w:r>
      <w:r w:rsidR="00244753" w:rsidRPr="001F1394">
        <w:rPr>
          <w:rFonts w:ascii="Arial" w:eastAsia="Times New Roman" w:hAnsi="Arial" w:cs="Arial"/>
          <w:color w:val="0E101A"/>
          <w:sz w:val="24"/>
          <w:szCs w:val="24"/>
          <w:lang w:eastAsia="en-ZA"/>
        </w:rPr>
        <w:t>,</w:t>
      </w:r>
      <w:r w:rsidR="001F1394" w:rsidRPr="001F1394">
        <w:rPr>
          <w:rStyle w:val="FootnoteReference"/>
          <w:rFonts w:ascii="Arial" w:eastAsia="Times New Roman" w:hAnsi="Arial" w:cs="Arial"/>
          <w:color w:val="0E101A"/>
          <w:sz w:val="24"/>
          <w:szCs w:val="24"/>
          <w:lang w:eastAsia="en-ZA"/>
        </w:rPr>
        <w:footnoteReference w:id="5"/>
      </w:r>
      <w:r w:rsidR="00244753" w:rsidRPr="001F1394">
        <w:rPr>
          <w:rFonts w:ascii="Arial" w:eastAsia="Times New Roman" w:hAnsi="Arial" w:cs="Arial"/>
          <w:color w:val="0E101A"/>
          <w:sz w:val="24"/>
          <w:szCs w:val="24"/>
          <w:lang w:eastAsia="en-ZA"/>
        </w:rPr>
        <w:t xml:space="preserve"> the court, in dealing with the issue of vague and embarrassing averments, held that:</w:t>
      </w:r>
    </w:p>
    <w:p w:rsidR="00244753" w:rsidRPr="00244753" w:rsidRDefault="00244753" w:rsidP="00F90F4B">
      <w:pPr>
        <w:spacing w:after="0" w:line="480" w:lineRule="auto"/>
        <w:ind w:left="720"/>
        <w:jc w:val="both"/>
        <w:rPr>
          <w:rFonts w:ascii="Times New Roman" w:eastAsia="Times New Roman" w:hAnsi="Times New Roman" w:cs="Times New Roman"/>
          <w:sz w:val="24"/>
          <w:szCs w:val="24"/>
          <w:lang w:eastAsia="en-ZA"/>
        </w:rPr>
      </w:pPr>
      <w:r w:rsidRPr="00244753">
        <w:rPr>
          <w:rFonts w:ascii="Arial" w:eastAsia="Times New Roman" w:hAnsi="Arial" w:cs="Arial"/>
          <w:color w:val="0E101A"/>
          <w:lang w:eastAsia="en-ZA"/>
        </w:rPr>
        <w:t>"An exception that a pleading is vague or embarrassing will not be upheld unless the excipient will be seriously prejudiced. The excipient has a duty to persuade the court that the pleading is excipiable on any interpretation that can be attached to it. An exception that a pleading is vague and embarrassing is not directed at a particular paragraph within a cause of action: it goes to the whole cause of action, which must be demonstrated to be vague and embarrassing. Such an exception strikes at the formulation of the cause of action and not it’s legal validity. An exception that the</w:t>
      </w:r>
      <w:r w:rsidRPr="00244753">
        <w:rPr>
          <w:rFonts w:ascii="Arial" w:eastAsia="Times New Roman" w:hAnsi="Arial" w:cs="Arial"/>
          <w:color w:val="0E101A"/>
          <w:sz w:val="24"/>
          <w:szCs w:val="24"/>
          <w:lang w:eastAsia="en-ZA"/>
        </w:rPr>
        <w:t xml:space="preserve"> </w:t>
      </w:r>
      <w:r w:rsidRPr="00244753">
        <w:rPr>
          <w:rFonts w:ascii="Arial" w:eastAsia="Times New Roman" w:hAnsi="Arial" w:cs="Arial"/>
          <w:color w:val="0E101A"/>
          <w:lang w:eastAsia="en-ZA"/>
        </w:rPr>
        <w:t>pleading is vague and embarrassing will not be allowed unless the excipient will be seriously prejudiced if the offending allegations</w:t>
      </w:r>
      <w:r w:rsidRPr="00244753">
        <w:rPr>
          <w:rFonts w:ascii="Arial" w:eastAsia="Times New Roman" w:hAnsi="Arial" w:cs="Arial"/>
          <w:color w:val="0E101A"/>
          <w:sz w:val="24"/>
          <w:szCs w:val="24"/>
          <w:lang w:eastAsia="en-ZA"/>
        </w:rPr>
        <w:t xml:space="preserve"> </w:t>
      </w:r>
      <w:r w:rsidRPr="00244753">
        <w:rPr>
          <w:rFonts w:ascii="Arial" w:eastAsia="Times New Roman" w:hAnsi="Arial" w:cs="Arial"/>
          <w:color w:val="0E101A"/>
          <w:lang w:eastAsia="en-ZA"/>
        </w:rPr>
        <w:t>were not</w:t>
      </w:r>
      <w:r w:rsidRPr="00244753">
        <w:rPr>
          <w:rFonts w:ascii="Arial" w:eastAsia="Times New Roman" w:hAnsi="Arial" w:cs="Arial"/>
          <w:color w:val="0E101A"/>
          <w:sz w:val="24"/>
          <w:szCs w:val="24"/>
          <w:lang w:eastAsia="en-ZA"/>
        </w:rPr>
        <w:t xml:space="preserve"> </w:t>
      </w:r>
      <w:r w:rsidRPr="00244753">
        <w:rPr>
          <w:rFonts w:ascii="Arial" w:eastAsia="Times New Roman" w:hAnsi="Arial" w:cs="Arial"/>
          <w:color w:val="0E101A"/>
          <w:lang w:eastAsia="en-ZA"/>
        </w:rPr>
        <w:t>expunged. The court has to consider as a test for vagueness whether the pleading does lack particularity to an extent amounting to vagueness. Where a statement is vague it is either meaningless or capable of more than one meaning. The ultimate test as to whether or not the exception should be upheld is whether the excipient is prejudiced."</w:t>
      </w:r>
    </w:p>
    <w:p w:rsidR="00244753" w:rsidRPr="00EB1B8D" w:rsidRDefault="00244753" w:rsidP="00EB1B8D">
      <w:pPr>
        <w:spacing w:after="0" w:line="480" w:lineRule="auto"/>
        <w:jc w:val="both"/>
        <w:rPr>
          <w:rFonts w:ascii="Arial" w:eastAsia="Times New Roman" w:hAnsi="Arial" w:cs="Arial"/>
          <w:color w:val="0E101A"/>
          <w:sz w:val="24"/>
          <w:szCs w:val="24"/>
          <w:lang w:eastAsia="en-ZA"/>
        </w:rPr>
      </w:pPr>
    </w:p>
    <w:p w:rsidR="00F90F4B" w:rsidRPr="00EB1B8D" w:rsidRDefault="00F20435" w:rsidP="00F20435">
      <w:pPr>
        <w:spacing w:after="0" w:line="480" w:lineRule="auto"/>
        <w:jc w:val="both"/>
        <w:rPr>
          <w:rFonts w:ascii="Times New Roman" w:eastAsia="Times New Roman" w:hAnsi="Times New Roman" w:cs="Times New Roman"/>
          <w:sz w:val="24"/>
          <w:szCs w:val="24"/>
          <w:lang w:eastAsia="en-ZA"/>
        </w:rPr>
      </w:pPr>
      <w:r w:rsidRPr="00EB1B8D">
        <w:rPr>
          <w:rFonts w:ascii="Times New Roman" w:eastAsia="Times New Roman" w:hAnsi="Times New Roman" w:cs="Times New Roman"/>
          <w:sz w:val="24"/>
          <w:szCs w:val="24"/>
          <w:lang w:eastAsia="en-ZA"/>
        </w:rPr>
        <w:t>[16]</w:t>
      </w:r>
      <w:r w:rsidRPr="00EB1B8D">
        <w:rPr>
          <w:rFonts w:ascii="Times New Roman" w:eastAsia="Times New Roman" w:hAnsi="Times New Roman" w:cs="Times New Roman"/>
          <w:sz w:val="24"/>
          <w:szCs w:val="24"/>
          <w:lang w:eastAsia="en-ZA"/>
        </w:rPr>
        <w:tab/>
      </w:r>
      <w:r w:rsidR="00244753" w:rsidRPr="00EB1B8D">
        <w:rPr>
          <w:rFonts w:ascii="Arial" w:eastAsia="Times New Roman" w:hAnsi="Arial" w:cs="Arial"/>
          <w:color w:val="0E101A"/>
          <w:sz w:val="24"/>
          <w:szCs w:val="24"/>
          <w:lang w:eastAsia="en-ZA"/>
        </w:rPr>
        <w:t xml:space="preserve">In the present application, the respondent has objected to the amendment on the grounds that the cause of action pleaded by the applicant is vague and embarrassing. The principles governing an exception based on an averment that the cause of action is vague and embarrassing are well established in our law. The test </w:t>
      </w:r>
      <w:r w:rsidR="00244753" w:rsidRPr="00EB1B8D">
        <w:rPr>
          <w:rFonts w:ascii="Arial" w:eastAsia="Times New Roman" w:hAnsi="Arial" w:cs="Arial"/>
          <w:color w:val="0E101A"/>
          <w:sz w:val="24"/>
          <w:szCs w:val="24"/>
          <w:lang w:eastAsia="en-ZA"/>
        </w:rPr>
        <w:lastRenderedPageBreak/>
        <w:t>on exceptions was formulated as follows in Southernport Developments (Pty) Ltd v Transnet LTD:</w:t>
      </w:r>
      <w:r w:rsidR="00EB1B8D">
        <w:rPr>
          <w:rStyle w:val="FootnoteReference"/>
          <w:rFonts w:ascii="Arial" w:eastAsia="Times New Roman" w:hAnsi="Arial" w:cs="Arial"/>
          <w:color w:val="0E101A"/>
          <w:sz w:val="24"/>
          <w:szCs w:val="24"/>
          <w:lang w:eastAsia="en-ZA"/>
        </w:rPr>
        <w:footnoteReference w:id="6"/>
      </w:r>
      <w:r w:rsidR="00244753" w:rsidRPr="00EB1B8D">
        <w:rPr>
          <w:rFonts w:ascii="Arial" w:eastAsia="Times New Roman" w:hAnsi="Arial" w:cs="Arial"/>
          <w:color w:val="0E101A"/>
          <w:sz w:val="24"/>
          <w:szCs w:val="24"/>
          <w:lang w:eastAsia="en-ZA"/>
        </w:rPr>
        <w:t>   </w:t>
      </w:r>
    </w:p>
    <w:p w:rsidR="00F90F4B" w:rsidRPr="00EB1B8D" w:rsidRDefault="00F90F4B" w:rsidP="00F90F4B">
      <w:pPr>
        <w:spacing w:after="0" w:line="480" w:lineRule="auto"/>
        <w:ind w:left="1440" w:hanging="720"/>
        <w:jc w:val="both"/>
        <w:rPr>
          <w:rFonts w:ascii="Times New Roman" w:eastAsia="Times New Roman" w:hAnsi="Times New Roman" w:cs="Times New Roman"/>
          <w:lang w:eastAsia="en-ZA"/>
        </w:rPr>
      </w:pPr>
      <w:r w:rsidRPr="00EB1B8D">
        <w:rPr>
          <w:rFonts w:ascii="Arial" w:eastAsia="Times New Roman" w:hAnsi="Arial" w:cs="Arial"/>
          <w:color w:val="0E101A"/>
          <w:lang w:eastAsia="en-ZA"/>
        </w:rPr>
        <w:t xml:space="preserve">"1. </w:t>
      </w:r>
      <w:r w:rsidRPr="00EB1B8D">
        <w:rPr>
          <w:rFonts w:ascii="Arial" w:eastAsia="Times New Roman" w:hAnsi="Arial" w:cs="Arial"/>
          <w:color w:val="0E101A"/>
          <w:lang w:eastAsia="en-ZA"/>
        </w:rPr>
        <w:tab/>
        <w:t>In order for an exception to succeed, the excipient must establish that the pleading is excipiable on every interpretation that can reasonably be attached to it.</w:t>
      </w:r>
    </w:p>
    <w:p w:rsidR="00F90F4B" w:rsidRPr="00EB1B8D" w:rsidRDefault="00F90F4B" w:rsidP="00F90F4B">
      <w:pPr>
        <w:spacing w:after="0" w:line="480" w:lineRule="auto"/>
        <w:ind w:left="1440" w:hanging="720"/>
        <w:jc w:val="both"/>
        <w:rPr>
          <w:rFonts w:ascii="Times New Roman" w:eastAsia="Times New Roman" w:hAnsi="Times New Roman" w:cs="Times New Roman"/>
          <w:lang w:eastAsia="en-ZA"/>
        </w:rPr>
      </w:pPr>
      <w:r w:rsidRPr="00EB1B8D">
        <w:rPr>
          <w:rFonts w:ascii="Arial" w:eastAsia="Times New Roman" w:hAnsi="Arial" w:cs="Arial"/>
          <w:color w:val="0E101A"/>
          <w:lang w:eastAsia="en-ZA"/>
        </w:rPr>
        <w:t xml:space="preserve">2. </w:t>
      </w:r>
      <w:r w:rsidRPr="00EB1B8D">
        <w:rPr>
          <w:rFonts w:ascii="Arial" w:eastAsia="Times New Roman" w:hAnsi="Arial" w:cs="Arial"/>
          <w:color w:val="0E101A"/>
          <w:lang w:eastAsia="en-ZA"/>
        </w:rPr>
        <w:tab/>
        <w:t>A charitable test is used on exception, especially in deciding whether a cause of action is established, and the pleader is entitled to a benevolent interpretation. </w:t>
      </w:r>
    </w:p>
    <w:p w:rsidR="00F90F4B" w:rsidRPr="00F20435" w:rsidRDefault="00F20435" w:rsidP="00F20435">
      <w:pPr>
        <w:spacing w:after="0" w:line="480" w:lineRule="auto"/>
        <w:ind w:left="1080" w:hanging="360"/>
        <w:jc w:val="both"/>
        <w:rPr>
          <w:rFonts w:ascii="Times New Roman" w:eastAsia="Times New Roman" w:hAnsi="Times New Roman" w:cs="Times New Roman"/>
          <w:lang w:eastAsia="en-ZA"/>
        </w:rPr>
      </w:pPr>
      <w:r w:rsidRPr="00EB1B8D">
        <w:rPr>
          <w:rFonts w:ascii="Times New Roman" w:eastAsia="Times New Roman" w:hAnsi="Times New Roman" w:cs="Times New Roman"/>
          <w:lang w:eastAsia="en-ZA"/>
        </w:rPr>
        <w:t>3</w:t>
      </w:r>
      <w:r w:rsidRPr="00EB1B8D">
        <w:rPr>
          <w:rFonts w:ascii="Times New Roman" w:eastAsia="Times New Roman" w:hAnsi="Times New Roman" w:cs="Times New Roman"/>
          <w:lang w:eastAsia="en-ZA"/>
        </w:rPr>
        <w:tab/>
      </w:r>
      <w:r w:rsidR="00F90F4B" w:rsidRPr="00F20435">
        <w:rPr>
          <w:rFonts w:ascii="Arial" w:eastAsia="Times New Roman" w:hAnsi="Arial" w:cs="Arial"/>
          <w:color w:val="0E101A"/>
          <w:lang w:eastAsia="en-ZA"/>
        </w:rPr>
        <w:t>The Court should not look at a pleading with a magnifying glass of too high power. </w:t>
      </w:r>
    </w:p>
    <w:p w:rsidR="00F90F4B" w:rsidRPr="00F20435" w:rsidRDefault="00F20435" w:rsidP="00F20435">
      <w:pPr>
        <w:spacing w:after="0" w:line="480" w:lineRule="auto"/>
        <w:ind w:left="1080" w:hanging="360"/>
        <w:jc w:val="both"/>
        <w:rPr>
          <w:rFonts w:ascii="Times New Roman" w:eastAsia="Times New Roman" w:hAnsi="Times New Roman" w:cs="Times New Roman"/>
          <w:lang w:eastAsia="en-ZA"/>
        </w:rPr>
      </w:pPr>
      <w:r w:rsidRPr="00EB1B8D">
        <w:rPr>
          <w:rFonts w:ascii="Times New Roman" w:eastAsia="Times New Roman" w:hAnsi="Times New Roman" w:cs="Times New Roman"/>
          <w:lang w:eastAsia="en-ZA"/>
        </w:rPr>
        <w:t>4</w:t>
      </w:r>
      <w:r w:rsidRPr="00EB1B8D">
        <w:rPr>
          <w:rFonts w:ascii="Times New Roman" w:eastAsia="Times New Roman" w:hAnsi="Times New Roman" w:cs="Times New Roman"/>
          <w:lang w:eastAsia="en-ZA"/>
        </w:rPr>
        <w:tab/>
      </w:r>
      <w:r w:rsidR="00F90F4B" w:rsidRPr="00F20435">
        <w:rPr>
          <w:rFonts w:ascii="Arial" w:eastAsia="Times New Roman" w:hAnsi="Arial" w:cs="Arial"/>
          <w:color w:val="0E101A"/>
          <w:lang w:eastAsia="en-ZA"/>
        </w:rPr>
        <w:t>The pleadings must be read as a whole; no paragraph can be read in isolation. in order to succeed with an exception, the excipient needs to satisfy the court that it would be seriously prejudiced in the event that the exception should not be upheld."</w:t>
      </w:r>
    </w:p>
    <w:p w:rsidR="00F90F4B" w:rsidRDefault="00EB1B8D" w:rsidP="00EB1B8D">
      <w:pPr>
        <w:spacing w:after="0" w:line="480" w:lineRule="auto"/>
        <w:ind w:left="720"/>
        <w:jc w:val="both"/>
        <w:rPr>
          <w:rFonts w:ascii="Times New Roman" w:eastAsia="Times New Roman" w:hAnsi="Times New Roman" w:cs="Times New Roman"/>
          <w:sz w:val="24"/>
          <w:szCs w:val="24"/>
          <w:lang w:eastAsia="en-ZA"/>
        </w:rPr>
      </w:pPr>
      <w:r>
        <w:rPr>
          <w:rFonts w:ascii="Arial" w:eastAsia="Times New Roman" w:hAnsi="Arial" w:cs="Arial"/>
          <w:b/>
          <w:bCs/>
          <w:color w:val="0E101A"/>
          <w:sz w:val="24"/>
          <w:szCs w:val="24"/>
          <w:lang w:eastAsia="en-ZA"/>
        </w:rPr>
        <w:t xml:space="preserve"> </w:t>
      </w:r>
    </w:p>
    <w:p w:rsidR="00F90F4B" w:rsidRDefault="00244753" w:rsidP="00F90F4B">
      <w:pPr>
        <w:spacing w:after="0" w:line="480" w:lineRule="auto"/>
        <w:jc w:val="both"/>
        <w:rPr>
          <w:rFonts w:ascii="Arial" w:eastAsia="Times New Roman" w:hAnsi="Arial" w:cs="Arial"/>
          <w:b/>
          <w:bCs/>
          <w:color w:val="0E101A"/>
          <w:sz w:val="24"/>
          <w:szCs w:val="24"/>
          <w:lang w:eastAsia="en-ZA"/>
        </w:rPr>
      </w:pPr>
      <w:r w:rsidRPr="00F90F4B">
        <w:rPr>
          <w:rFonts w:ascii="Arial" w:eastAsia="Times New Roman" w:hAnsi="Arial" w:cs="Arial"/>
          <w:b/>
          <w:bCs/>
          <w:color w:val="0E101A"/>
          <w:sz w:val="24"/>
          <w:szCs w:val="24"/>
          <w:lang w:eastAsia="en-ZA"/>
        </w:rPr>
        <w:t>The parties' submissions.</w:t>
      </w:r>
    </w:p>
    <w:p w:rsidR="00F90F4B" w:rsidRDefault="00F90F4B" w:rsidP="00F90F4B">
      <w:pPr>
        <w:spacing w:after="0" w:line="480" w:lineRule="auto"/>
        <w:jc w:val="both"/>
        <w:rPr>
          <w:rFonts w:ascii="Times New Roman" w:eastAsia="Times New Roman" w:hAnsi="Times New Roman" w:cs="Times New Roman"/>
          <w:sz w:val="24"/>
          <w:szCs w:val="24"/>
          <w:lang w:eastAsia="en-ZA"/>
        </w:rPr>
      </w:pPr>
    </w:p>
    <w:p w:rsidR="00F90F4B" w:rsidRDefault="00F20435" w:rsidP="00F20435">
      <w:pPr>
        <w:spacing w:after="0" w:line="48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[17]</w:t>
      </w:r>
      <w:r>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The applicant contends that all the six grounds upon which the respondent based its objection</w:t>
      </w:r>
      <w:r w:rsidR="00EB1B8D">
        <w:rPr>
          <w:rFonts w:ascii="Arial" w:eastAsia="Times New Roman" w:hAnsi="Arial" w:cs="Arial"/>
          <w:color w:val="0E101A"/>
          <w:sz w:val="24"/>
          <w:szCs w:val="24"/>
          <w:lang w:eastAsia="en-ZA"/>
        </w:rPr>
        <w:t>s</w:t>
      </w:r>
      <w:r w:rsidR="00244753" w:rsidRPr="00244753">
        <w:rPr>
          <w:rFonts w:ascii="Arial" w:eastAsia="Times New Roman" w:hAnsi="Arial" w:cs="Arial"/>
          <w:color w:val="0E101A"/>
          <w:sz w:val="24"/>
          <w:szCs w:val="24"/>
          <w:lang w:eastAsia="en-ZA"/>
        </w:rPr>
        <w:t xml:space="preserve"> are technical and inconsistent with the principles of law discussed above. It was further argued on behalf of the applicant that even if certain necessary allegations may have been left out in the cause of action in the counterclaim, that is not dispositive of the case because the respondent may still be able to plead to the claim.</w:t>
      </w:r>
    </w:p>
    <w:p w:rsidR="00F90F4B" w:rsidRDefault="00F90F4B" w:rsidP="00F90F4B">
      <w:pPr>
        <w:spacing w:after="0" w:line="480" w:lineRule="auto"/>
        <w:jc w:val="both"/>
        <w:rPr>
          <w:rFonts w:ascii="Times New Roman" w:eastAsia="Times New Roman" w:hAnsi="Times New Roman" w:cs="Times New Roman"/>
          <w:sz w:val="24"/>
          <w:szCs w:val="24"/>
          <w:lang w:eastAsia="en-ZA"/>
        </w:rPr>
      </w:pPr>
    </w:p>
    <w:p w:rsidR="00AE0005" w:rsidRPr="00AE0005" w:rsidRDefault="00F20435" w:rsidP="00F20435">
      <w:pPr>
        <w:spacing w:after="0" w:line="480" w:lineRule="auto"/>
        <w:jc w:val="both"/>
        <w:rPr>
          <w:rFonts w:ascii="Times New Roman" w:eastAsia="Times New Roman" w:hAnsi="Times New Roman" w:cs="Times New Roman"/>
          <w:sz w:val="24"/>
          <w:szCs w:val="24"/>
          <w:lang w:eastAsia="en-ZA"/>
        </w:rPr>
      </w:pPr>
      <w:r w:rsidRPr="00AE0005">
        <w:rPr>
          <w:rFonts w:ascii="Times New Roman" w:eastAsia="Times New Roman" w:hAnsi="Times New Roman" w:cs="Times New Roman"/>
          <w:sz w:val="24"/>
          <w:szCs w:val="24"/>
          <w:lang w:eastAsia="en-ZA"/>
        </w:rPr>
        <w:t>[18]</w:t>
      </w:r>
      <w:r w:rsidRPr="00AE0005">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The applic</w:t>
      </w:r>
      <w:r w:rsidR="00EB1B8D">
        <w:rPr>
          <w:rFonts w:ascii="Arial" w:eastAsia="Times New Roman" w:hAnsi="Arial" w:cs="Arial"/>
          <w:color w:val="0E101A"/>
          <w:sz w:val="24"/>
          <w:szCs w:val="24"/>
          <w:lang w:eastAsia="en-ZA"/>
        </w:rPr>
        <w:t>ant argued in relation to grounds</w:t>
      </w:r>
      <w:r w:rsidR="00244753" w:rsidRPr="00244753">
        <w:rPr>
          <w:rFonts w:ascii="Arial" w:eastAsia="Times New Roman" w:hAnsi="Arial" w:cs="Arial"/>
          <w:color w:val="0E101A"/>
          <w:sz w:val="24"/>
          <w:szCs w:val="24"/>
          <w:lang w:eastAsia="en-ZA"/>
        </w:rPr>
        <w:t xml:space="preserve"> 1, 2, 3 and 4 of the objections that the respondent failed to discharge its duty of showing that, upon every interpretation of the counterclaim,</w:t>
      </w:r>
      <w:r w:rsidR="00EB1B8D">
        <w:rPr>
          <w:rFonts w:ascii="Arial" w:eastAsia="Times New Roman" w:hAnsi="Arial" w:cs="Arial"/>
          <w:color w:val="0E101A"/>
          <w:sz w:val="24"/>
          <w:szCs w:val="24"/>
          <w:lang w:eastAsia="en-ZA"/>
        </w:rPr>
        <w:t xml:space="preserve"> discloses </w:t>
      </w:r>
      <w:r w:rsidR="00244753" w:rsidRPr="00244753">
        <w:rPr>
          <w:rFonts w:ascii="Arial" w:eastAsia="Times New Roman" w:hAnsi="Arial" w:cs="Arial"/>
          <w:color w:val="0E101A"/>
          <w:sz w:val="24"/>
          <w:szCs w:val="24"/>
          <w:lang w:eastAsia="en-ZA"/>
        </w:rPr>
        <w:t>no cause of action</w:t>
      </w:r>
      <w:r w:rsidR="00EB1B8D">
        <w:rPr>
          <w:rFonts w:ascii="Arial" w:eastAsia="Times New Roman" w:hAnsi="Arial" w:cs="Arial"/>
          <w:color w:val="0E101A"/>
          <w:sz w:val="24"/>
          <w:szCs w:val="24"/>
          <w:lang w:eastAsia="en-ZA"/>
        </w:rPr>
        <w:t xml:space="preserve">. </w:t>
      </w:r>
    </w:p>
    <w:p w:rsidR="00AE0005" w:rsidRDefault="00AE0005" w:rsidP="00AE0005">
      <w:pPr>
        <w:pStyle w:val="ListParagraph"/>
        <w:rPr>
          <w:rFonts w:ascii="Arial" w:eastAsia="Times New Roman" w:hAnsi="Arial" w:cs="Arial"/>
          <w:color w:val="0E101A"/>
          <w:sz w:val="24"/>
          <w:szCs w:val="24"/>
          <w:lang w:eastAsia="en-ZA"/>
        </w:rPr>
      </w:pPr>
    </w:p>
    <w:p w:rsidR="00F90F4B" w:rsidRPr="00AE0005" w:rsidRDefault="00F20435" w:rsidP="00F20435">
      <w:pPr>
        <w:spacing w:after="0" w:line="480" w:lineRule="auto"/>
        <w:jc w:val="both"/>
        <w:rPr>
          <w:rFonts w:ascii="Times New Roman" w:eastAsia="Times New Roman" w:hAnsi="Times New Roman" w:cs="Times New Roman"/>
          <w:sz w:val="24"/>
          <w:szCs w:val="24"/>
          <w:lang w:eastAsia="en-ZA"/>
        </w:rPr>
      </w:pPr>
      <w:r w:rsidRPr="00AE0005">
        <w:rPr>
          <w:rFonts w:ascii="Times New Roman" w:eastAsia="Times New Roman" w:hAnsi="Times New Roman" w:cs="Times New Roman"/>
          <w:sz w:val="24"/>
          <w:szCs w:val="24"/>
          <w:lang w:eastAsia="en-ZA"/>
        </w:rPr>
        <w:t>[19]</w:t>
      </w:r>
      <w:r w:rsidRPr="00AE0005">
        <w:rPr>
          <w:rFonts w:ascii="Times New Roman" w:eastAsia="Times New Roman" w:hAnsi="Times New Roman" w:cs="Times New Roman"/>
          <w:sz w:val="24"/>
          <w:szCs w:val="24"/>
          <w:lang w:eastAsia="en-ZA"/>
        </w:rPr>
        <w:tab/>
      </w:r>
      <w:r w:rsidR="00244753" w:rsidRPr="00AE0005">
        <w:rPr>
          <w:rFonts w:ascii="Arial" w:eastAsia="Times New Roman" w:hAnsi="Arial" w:cs="Arial"/>
          <w:color w:val="0E101A"/>
          <w:sz w:val="24"/>
          <w:szCs w:val="24"/>
          <w:lang w:eastAsia="en-ZA"/>
        </w:rPr>
        <w:t xml:space="preserve">Relying on the decision in </w:t>
      </w:r>
      <w:r w:rsidR="00AE0005" w:rsidRPr="00AE0005">
        <w:rPr>
          <w:rFonts w:ascii="Arial" w:hAnsi="Arial" w:cs="Arial"/>
          <w:sz w:val="24"/>
          <w:szCs w:val="24"/>
        </w:rPr>
        <w:t xml:space="preserve">Jowell v Bramwell-Jones and </w:t>
      </w:r>
      <w:r w:rsidR="00AE0005" w:rsidRPr="00EB1B8D">
        <w:rPr>
          <w:rFonts w:ascii="Arial" w:hAnsi="Arial" w:cs="Arial"/>
          <w:sz w:val="24"/>
          <w:szCs w:val="24"/>
        </w:rPr>
        <w:t>Others</w:t>
      </w:r>
      <w:r w:rsidR="00EB1B8D">
        <w:rPr>
          <w:rFonts w:ascii="Arial" w:hAnsi="Arial" w:cs="Arial"/>
          <w:sz w:val="24"/>
          <w:szCs w:val="24"/>
        </w:rPr>
        <w:t>,</w:t>
      </w:r>
      <w:r w:rsidR="00EB1B8D">
        <w:rPr>
          <w:rStyle w:val="FootnoteReference"/>
          <w:rFonts w:ascii="Arial" w:hAnsi="Arial" w:cs="Arial"/>
          <w:sz w:val="24"/>
          <w:szCs w:val="24"/>
        </w:rPr>
        <w:footnoteReference w:id="7"/>
      </w:r>
      <w:r w:rsidR="00AE0005" w:rsidRPr="00EB1B8D">
        <w:rPr>
          <w:rFonts w:ascii="Arial" w:hAnsi="Arial" w:cs="Arial"/>
          <w:sz w:val="24"/>
          <w:szCs w:val="24"/>
        </w:rPr>
        <w:t xml:space="preserve"> </w:t>
      </w:r>
      <w:r w:rsidR="00244753" w:rsidRPr="00244753">
        <w:rPr>
          <w:rFonts w:ascii="Arial" w:eastAsia="Times New Roman" w:hAnsi="Arial" w:cs="Arial"/>
          <w:color w:val="0E101A"/>
          <w:sz w:val="24"/>
          <w:szCs w:val="24"/>
          <w:lang w:eastAsia="en-ZA"/>
        </w:rPr>
        <w:t>in relation to grounds 3 and 6, the applicant contend</w:t>
      </w:r>
      <w:r w:rsidR="00AE0005" w:rsidRPr="00AE0005">
        <w:rPr>
          <w:rFonts w:ascii="Arial" w:eastAsia="Times New Roman" w:hAnsi="Arial" w:cs="Arial"/>
          <w:color w:val="0E101A"/>
          <w:sz w:val="24"/>
          <w:szCs w:val="24"/>
          <w:lang w:eastAsia="en-ZA"/>
        </w:rPr>
        <w:t xml:space="preserve">s that the lack of particular averments </w:t>
      </w:r>
      <w:r w:rsidR="00244753" w:rsidRPr="00244753">
        <w:rPr>
          <w:rFonts w:ascii="Arial" w:eastAsia="Times New Roman" w:hAnsi="Arial" w:cs="Arial"/>
          <w:color w:val="0E101A"/>
          <w:sz w:val="24"/>
          <w:szCs w:val="24"/>
          <w:lang w:eastAsia="en-ZA"/>
        </w:rPr>
        <w:t>complained of by the respondent can be cured through either discovery or requests for further particulars.</w:t>
      </w:r>
    </w:p>
    <w:p w:rsidR="00F90F4B" w:rsidRDefault="00F90F4B" w:rsidP="00F90F4B">
      <w:pPr>
        <w:pStyle w:val="ListParagraph"/>
        <w:rPr>
          <w:rFonts w:ascii="Arial" w:eastAsia="Times New Roman" w:hAnsi="Arial" w:cs="Arial"/>
          <w:color w:val="0E101A"/>
          <w:sz w:val="24"/>
          <w:szCs w:val="24"/>
          <w:lang w:eastAsia="en-ZA"/>
        </w:rPr>
      </w:pPr>
    </w:p>
    <w:p w:rsidR="00F90F4B" w:rsidRPr="00EB1B8D" w:rsidRDefault="00F20435" w:rsidP="00F20435">
      <w:pPr>
        <w:spacing w:after="0" w:line="480" w:lineRule="auto"/>
        <w:jc w:val="both"/>
        <w:rPr>
          <w:rFonts w:ascii="Arial" w:eastAsia="Times New Roman" w:hAnsi="Arial" w:cs="Arial"/>
          <w:color w:val="0E101A"/>
          <w:sz w:val="24"/>
          <w:szCs w:val="24"/>
          <w:lang w:eastAsia="en-ZA"/>
        </w:rPr>
      </w:pPr>
      <w:r w:rsidRPr="00EB1B8D">
        <w:rPr>
          <w:rFonts w:ascii="Arial" w:eastAsia="Times New Roman" w:hAnsi="Arial" w:cs="Arial"/>
          <w:color w:val="0E101A"/>
          <w:sz w:val="24"/>
          <w:szCs w:val="24"/>
          <w:lang w:eastAsia="en-ZA"/>
        </w:rPr>
        <w:t>[20]</w:t>
      </w:r>
      <w:r w:rsidRPr="00EB1B8D">
        <w:rPr>
          <w:rFonts w:ascii="Arial" w:eastAsia="Times New Roman" w:hAnsi="Arial" w:cs="Arial"/>
          <w:color w:val="0E101A"/>
          <w:sz w:val="24"/>
          <w:szCs w:val="24"/>
          <w:lang w:eastAsia="en-ZA"/>
        </w:rPr>
        <w:tab/>
      </w:r>
      <w:r w:rsidR="00EB1B8D">
        <w:rPr>
          <w:rFonts w:ascii="Arial" w:eastAsia="Times New Roman" w:hAnsi="Arial" w:cs="Arial"/>
          <w:color w:val="0E101A"/>
          <w:sz w:val="24"/>
          <w:szCs w:val="24"/>
          <w:lang w:eastAsia="en-ZA"/>
        </w:rPr>
        <w:t xml:space="preserve"> </w:t>
      </w:r>
      <w:r w:rsidR="00EB1B8D" w:rsidRPr="00EB1B8D">
        <w:rPr>
          <w:rFonts w:ascii="Arial" w:eastAsia="Times New Roman" w:hAnsi="Arial" w:cs="Arial"/>
          <w:color w:val="0E101A"/>
          <w:sz w:val="24"/>
          <w:szCs w:val="24"/>
          <w:lang w:eastAsia="en-ZA"/>
        </w:rPr>
        <w:t xml:space="preserve">  On the other hand, the respondent contends that the second proposed amendment fails to disclose the cause of action and that the allegations contained in the cause of action are vague and embarrassing.</w:t>
      </w:r>
    </w:p>
    <w:p w:rsidR="00F90F4B" w:rsidRDefault="00F90F4B" w:rsidP="00F90F4B">
      <w:pPr>
        <w:pStyle w:val="ListParagraph"/>
        <w:rPr>
          <w:rFonts w:ascii="Arial" w:eastAsia="Times New Roman" w:hAnsi="Arial" w:cs="Arial"/>
          <w:b/>
          <w:bCs/>
          <w:color w:val="0E101A"/>
          <w:sz w:val="24"/>
          <w:szCs w:val="24"/>
          <w:lang w:eastAsia="en-ZA"/>
        </w:rPr>
      </w:pPr>
    </w:p>
    <w:p w:rsidR="00F90F4B" w:rsidRDefault="00244753" w:rsidP="00F90F4B">
      <w:pPr>
        <w:spacing w:after="0" w:line="480" w:lineRule="auto"/>
        <w:jc w:val="both"/>
        <w:rPr>
          <w:rFonts w:ascii="Times New Roman" w:eastAsia="Times New Roman" w:hAnsi="Times New Roman" w:cs="Times New Roman"/>
          <w:sz w:val="24"/>
          <w:szCs w:val="24"/>
          <w:lang w:eastAsia="en-ZA"/>
        </w:rPr>
      </w:pPr>
      <w:r w:rsidRPr="00F90F4B">
        <w:rPr>
          <w:rFonts w:ascii="Arial" w:eastAsia="Times New Roman" w:hAnsi="Arial" w:cs="Arial"/>
          <w:b/>
          <w:bCs/>
          <w:color w:val="0E101A"/>
          <w:sz w:val="24"/>
          <w:szCs w:val="24"/>
          <w:lang w:eastAsia="en-ZA"/>
        </w:rPr>
        <w:t>Evaluation</w:t>
      </w:r>
    </w:p>
    <w:p w:rsidR="00F90F4B" w:rsidRDefault="00F90F4B" w:rsidP="00F90F4B">
      <w:pPr>
        <w:pStyle w:val="ListParagraph"/>
        <w:rPr>
          <w:rFonts w:ascii="Arial" w:eastAsia="Times New Roman" w:hAnsi="Arial" w:cs="Arial"/>
          <w:color w:val="0E101A"/>
          <w:sz w:val="24"/>
          <w:szCs w:val="24"/>
          <w:lang w:eastAsia="en-ZA"/>
        </w:rPr>
      </w:pPr>
    </w:p>
    <w:p w:rsidR="00F90F4B" w:rsidRDefault="00F20435" w:rsidP="00F20435">
      <w:pPr>
        <w:spacing w:after="0" w:line="48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[21]</w:t>
      </w:r>
      <w:r>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The applicant's case, particularly in paragraph 20 of its heads of argument, is based on </w:t>
      </w:r>
      <w:r w:rsidR="00244753" w:rsidRPr="00F90F4B">
        <w:rPr>
          <w:rFonts w:ascii="Arial" w:eastAsia="Times New Roman" w:hAnsi="Arial" w:cs="Arial"/>
          <w:i/>
          <w:iCs/>
          <w:sz w:val="24"/>
          <w:szCs w:val="24"/>
          <w:lang w:eastAsia="en-ZA"/>
        </w:rPr>
        <w:t>conditio indebiti</w:t>
      </w:r>
      <w:r w:rsidR="00244753" w:rsidRPr="00244753">
        <w:rPr>
          <w:rFonts w:ascii="Arial" w:eastAsia="Times New Roman" w:hAnsi="Arial" w:cs="Arial"/>
          <w:sz w:val="24"/>
          <w:szCs w:val="24"/>
          <w:lang w:eastAsia="en-ZA"/>
        </w:rPr>
        <w:t> with the view to recovering what is referred to as "monies paid under an unenforceable contract."</w:t>
      </w:r>
    </w:p>
    <w:p w:rsidR="00F90F4B" w:rsidRPr="00F90F4B" w:rsidRDefault="00F90F4B" w:rsidP="00F90F4B">
      <w:pPr>
        <w:spacing w:after="0" w:line="480" w:lineRule="auto"/>
        <w:jc w:val="both"/>
        <w:rPr>
          <w:rFonts w:ascii="Times New Roman" w:eastAsia="Times New Roman" w:hAnsi="Times New Roman" w:cs="Times New Roman"/>
          <w:sz w:val="24"/>
          <w:szCs w:val="24"/>
          <w:lang w:eastAsia="en-ZA"/>
        </w:rPr>
      </w:pPr>
    </w:p>
    <w:p w:rsidR="00F90F4B" w:rsidRDefault="00F20435" w:rsidP="00F20435">
      <w:pPr>
        <w:spacing w:after="0" w:line="48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[22]</w:t>
      </w:r>
      <w:r>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It is apparent from the earlier discussion that grounds 1 and 2 of the respondent's objections relate to the issue of whether the proposed amendment discloses a cause of action. This will be dealt with in more detail later in this judgment.</w:t>
      </w:r>
    </w:p>
    <w:p w:rsidR="00F90F4B" w:rsidRDefault="00F90F4B" w:rsidP="00F90F4B">
      <w:pPr>
        <w:pStyle w:val="ListParagraph"/>
        <w:rPr>
          <w:rFonts w:ascii="Arial" w:eastAsia="Times New Roman" w:hAnsi="Arial" w:cs="Arial"/>
          <w:color w:val="0E101A"/>
          <w:sz w:val="24"/>
          <w:szCs w:val="24"/>
          <w:lang w:eastAsia="en-ZA"/>
        </w:rPr>
      </w:pPr>
    </w:p>
    <w:p w:rsidR="00F90F4B" w:rsidRDefault="00F20435" w:rsidP="00F20435">
      <w:pPr>
        <w:spacing w:after="0" w:line="48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[23]</w:t>
      </w:r>
      <w:r>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It is not in dispute that the respondent supplied the applicant with</w:t>
      </w:r>
      <w:r w:rsidR="009D6AF9">
        <w:rPr>
          <w:rFonts w:ascii="Arial" w:eastAsia="Times New Roman" w:hAnsi="Arial" w:cs="Arial"/>
          <w:color w:val="0E101A"/>
          <w:sz w:val="24"/>
          <w:szCs w:val="24"/>
          <w:lang w:eastAsia="en-ZA"/>
        </w:rPr>
        <w:t xml:space="preserve"> goods against the payment of R</w:t>
      </w:r>
      <w:r w:rsidR="00244753" w:rsidRPr="00244753">
        <w:rPr>
          <w:rFonts w:ascii="Arial" w:eastAsia="Times New Roman" w:hAnsi="Arial" w:cs="Arial"/>
          <w:color w:val="0E101A"/>
          <w:sz w:val="24"/>
          <w:szCs w:val="24"/>
          <w:lang w:eastAsia="en-ZA"/>
        </w:rPr>
        <w:t xml:space="preserve">31 270 296.76. The payment was made in the context of a credit agreement, which had been concluded between the two parties. </w:t>
      </w:r>
      <w:r w:rsidR="00E94675">
        <w:rPr>
          <w:rFonts w:ascii="Arial" w:eastAsia="Times New Roman" w:hAnsi="Arial" w:cs="Arial"/>
          <w:color w:val="0E101A"/>
          <w:sz w:val="24"/>
          <w:szCs w:val="24"/>
          <w:lang w:eastAsia="en-ZA"/>
        </w:rPr>
        <w:t xml:space="preserve"> </w:t>
      </w:r>
    </w:p>
    <w:p w:rsidR="00F90F4B" w:rsidRDefault="00F90F4B" w:rsidP="00F90F4B">
      <w:pPr>
        <w:spacing w:after="0" w:line="480" w:lineRule="auto"/>
        <w:jc w:val="both"/>
        <w:rPr>
          <w:rFonts w:ascii="Times New Roman" w:eastAsia="Times New Roman" w:hAnsi="Times New Roman" w:cs="Times New Roman"/>
          <w:sz w:val="24"/>
          <w:szCs w:val="24"/>
          <w:lang w:eastAsia="en-ZA"/>
        </w:rPr>
      </w:pPr>
    </w:p>
    <w:p w:rsidR="00244753" w:rsidRPr="00F90F4B" w:rsidRDefault="00F20435" w:rsidP="00F20435">
      <w:pPr>
        <w:spacing w:after="0" w:line="480" w:lineRule="auto"/>
        <w:jc w:val="both"/>
        <w:rPr>
          <w:rFonts w:ascii="Times New Roman" w:eastAsia="Times New Roman" w:hAnsi="Times New Roman" w:cs="Times New Roman"/>
          <w:sz w:val="24"/>
          <w:szCs w:val="24"/>
          <w:lang w:eastAsia="en-ZA"/>
        </w:rPr>
      </w:pPr>
      <w:r w:rsidRPr="00F90F4B">
        <w:rPr>
          <w:rFonts w:ascii="Times New Roman" w:eastAsia="Times New Roman" w:hAnsi="Times New Roman" w:cs="Times New Roman"/>
          <w:sz w:val="24"/>
          <w:szCs w:val="24"/>
          <w:lang w:eastAsia="en-ZA"/>
        </w:rPr>
        <w:lastRenderedPageBreak/>
        <w:t>[24]</w:t>
      </w:r>
      <w:r w:rsidRPr="00F90F4B">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 xml:space="preserve">In the proposed amendment, </w:t>
      </w:r>
      <w:r w:rsidR="00E94675">
        <w:rPr>
          <w:rFonts w:ascii="Arial" w:eastAsia="Times New Roman" w:hAnsi="Arial" w:cs="Arial"/>
          <w:color w:val="0E101A"/>
          <w:sz w:val="24"/>
          <w:szCs w:val="24"/>
          <w:lang w:eastAsia="en-ZA"/>
        </w:rPr>
        <w:t>the applicant seeks to avoid any</w:t>
      </w:r>
      <w:r w:rsidR="00244753" w:rsidRPr="00244753">
        <w:rPr>
          <w:rFonts w:ascii="Arial" w:eastAsia="Times New Roman" w:hAnsi="Arial" w:cs="Arial"/>
          <w:color w:val="0E101A"/>
          <w:sz w:val="24"/>
          <w:szCs w:val="24"/>
          <w:lang w:eastAsia="en-ZA"/>
        </w:rPr>
        <w:t xml:space="preserve"> contractua</w:t>
      </w:r>
      <w:r w:rsidR="009D6AF9">
        <w:rPr>
          <w:rFonts w:ascii="Arial" w:eastAsia="Times New Roman" w:hAnsi="Arial" w:cs="Arial"/>
          <w:color w:val="0E101A"/>
          <w:sz w:val="24"/>
          <w:szCs w:val="24"/>
          <w:lang w:eastAsia="en-ZA"/>
        </w:rPr>
        <w:t xml:space="preserve">l obligation </w:t>
      </w:r>
      <w:r w:rsidR="00244753" w:rsidRPr="00244753">
        <w:rPr>
          <w:rFonts w:ascii="Arial" w:eastAsia="Times New Roman" w:hAnsi="Arial" w:cs="Arial"/>
          <w:color w:val="0E101A"/>
          <w:sz w:val="24"/>
          <w:szCs w:val="24"/>
          <w:lang w:eastAsia="en-ZA"/>
        </w:rPr>
        <w:t>on the ground that the payment was made in error. The allegation in this regard is set out in paragraph 11 of the counterclaim as follows:  </w:t>
      </w:r>
    </w:p>
    <w:p w:rsidR="00F90F4B" w:rsidRPr="00E94675" w:rsidRDefault="00F90F4B" w:rsidP="00F90F4B">
      <w:pPr>
        <w:spacing w:after="0" w:line="480" w:lineRule="auto"/>
        <w:ind w:left="720"/>
        <w:jc w:val="both"/>
        <w:rPr>
          <w:rFonts w:ascii="Arial" w:eastAsia="Times New Roman" w:hAnsi="Arial" w:cs="Arial"/>
          <w:bCs/>
          <w:lang w:eastAsia="en-ZA"/>
        </w:rPr>
      </w:pPr>
      <w:r w:rsidRPr="00244753">
        <w:rPr>
          <w:rFonts w:ascii="Arial" w:eastAsia="Times New Roman" w:hAnsi="Arial" w:cs="Arial"/>
          <w:color w:val="0E101A"/>
          <w:lang w:eastAsia="en-ZA"/>
        </w:rPr>
        <w:t xml:space="preserve">"The payment by the first defendant to the plaintiff of the total sum of R31 270 296,76 </w:t>
      </w:r>
      <w:r w:rsidRPr="00E94675">
        <w:rPr>
          <w:rFonts w:ascii="Arial" w:eastAsia="Times New Roman" w:hAnsi="Arial" w:cs="Arial"/>
          <w:lang w:eastAsia="en-ZA"/>
        </w:rPr>
        <w:t>was not due and was made in error, i.e. it took place without valid legal g</w:t>
      </w:r>
      <w:r w:rsidRPr="00E94675">
        <w:rPr>
          <w:rFonts w:ascii="Arial" w:eastAsia="Times New Roman" w:hAnsi="Arial" w:cs="Arial"/>
          <w:bCs/>
          <w:lang w:eastAsia="en-ZA"/>
        </w:rPr>
        <w:t>rounds for any such payment obligation</w:t>
      </w:r>
      <w:r w:rsidR="00E94675" w:rsidRPr="00E94675">
        <w:rPr>
          <w:rFonts w:ascii="Arial" w:eastAsia="Times New Roman" w:hAnsi="Arial" w:cs="Arial"/>
          <w:bCs/>
          <w:lang w:eastAsia="en-ZA"/>
        </w:rPr>
        <w:t>,</w:t>
      </w:r>
      <w:r w:rsidRPr="00E94675">
        <w:rPr>
          <w:rFonts w:ascii="Arial" w:eastAsia="Times New Roman" w:hAnsi="Arial" w:cs="Arial"/>
          <w:bCs/>
          <w:lang w:eastAsia="en-ZA"/>
        </w:rPr>
        <w:t xml:space="preserve"> as the </w:t>
      </w:r>
      <w:r w:rsidR="00E94675" w:rsidRPr="00E94675">
        <w:rPr>
          <w:rFonts w:ascii="Arial" w:eastAsia="Times New Roman" w:hAnsi="Arial" w:cs="Arial"/>
          <w:bCs/>
          <w:lang w:eastAsia="en-ZA"/>
        </w:rPr>
        <w:t xml:space="preserve">supply </w:t>
      </w:r>
      <w:r w:rsidRPr="00E94675">
        <w:rPr>
          <w:rFonts w:ascii="Arial" w:eastAsia="Times New Roman" w:hAnsi="Arial" w:cs="Arial"/>
          <w:bCs/>
          <w:lang w:eastAsia="en-ZA"/>
        </w:rPr>
        <w:t xml:space="preserve">agreement never took effect and remained in operative." </w:t>
      </w:r>
    </w:p>
    <w:p w:rsidR="00F90F4B" w:rsidRDefault="00E94675" w:rsidP="00E94675">
      <w:pPr>
        <w:spacing w:after="0" w:line="480" w:lineRule="auto"/>
        <w:jc w:val="both"/>
        <w:rPr>
          <w:rFonts w:ascii="Times New Roman" w:eastAsia="Times New Roman" w:hAnsi="Times New Roman" w:cs="Times New Roman"/>
          <w:sz w:val="24"/>
          <w:szCs w:val="24"/>
          <w:lang w:eastAsia="en-ZA"/>
        </w:rPr>
      </w:pPr>
      <w:r>
        <w:rPr>
          <w:rFonts w:ascii="Arial" w:eastAsia="Times New Roman" w:hAnsi="Arial" w:cs="Arial"/>
          <w:b/>
          <w:bCs/>
          <w:lang w:eastAsia="en-ZA"/>
        </w:rPr>
        <w:t xml:space="preserve"> </w:t>
      </w:r>
    </w:p>
    <w:p w:rsidR="00244753" w:rsidRPr="00E94675" w:rsidRDefault="00F20435" w:rsidP="00F20435">
      <w:pPr>
        <w:spacing w:after="0" w:line="480" w:lineRule="auto"/>
        <w:jc w:val="both"/>
        <w:rPr>
          <w:rFonts w:ascii="Arial" w:eastAsia="Times New Roman" w:hAnsi="Arial" w:cs="Arial"/>
          <w:sz w:val="24"/>
          <w:szCs w:val="24"/>
          <w:lang w:eastAsia="en-ZA"/>
        </w:rPr>
      </w:pPr>
      <w:r w:rsidRPr="00E94675">
        <w:rPr>
          <w:rFonts w:ascii="Arial" w:eastAsia="Times New Roman" w:hAnsi="Arial" w:cs="Arial"/>
          <w:sz w:val="24"/>
          <w:szCs w:val="24"/>
          <w:lang w:eastAsia="en-ZA"/>
        </w:rPr>
        <w:t>[25]</w:t>
      </w:r>
      <w:r w:rsidRPr="00E94675">
        <w:rPr>
          <w:rFonts w:ascii="Arial" w:eastAsia="Times New Roman" w:hAnsi="Arial" w:cs="Arial"/>
          <w:sz w:val="24"/>
          <w:szCs w:val="24"/>
          <w:lang w:eastAsia="en-ZA"/>
        </w:rPr>
        <w:tab/>
      </w:r>
      <w:r w:rsidR="00244753" w:rsidRPr="00244753">
        <w:rPr>
          <w:rFonts w:ascii="Arial" w:eastAsia="Times New Roman" w:hAnsi="Arial" w:cs="Arial"/>
          <w:color w:val="0E101A"/>
          <w:sz w:val="24"/>
          <w:szCs w:val="24"/>
          <w:lang w:eastAsia="en-ZA"/>
        </w:rPr>
        <w:t>The applicant accepts in paragraph 12 of the proposed amendment that the payment was made pursuant to the said agreement. It contends that the payment was made with a </w:t>
      </w:r>
      <w:r w:rsidR="00244753" w:rsidRPr="00F90F4B">
        <w:rPr>
          <w:rFonts w:ascii="Arial" w:eastAsia="Times New Roman" w:hAnsi="Arial" w:cs="Arial"/>
          <w:i/>
          <w:iCs/>
          <w:sz w:val="24"/>
          <w:szCs w:val="24"/>
          <w:lang w:eastAsia="en-ZA"/>
        </w:rPr>
        <w:t xml:space="preserve">bona </w:t>
      </w:r>
      <w:r w:rsidR="00244753" w:rsidRPr="00E94675">
        <w:rPr>
          <w:rFonts w:ascii="Arial" w:eastAsia="Times New Roman" w:hAnsi="Arial" w:cs="Arial"/>
          <w:i/>
          <w:iCs/>
          <w:sz w:val="24"/>
          <w:szCs w:val="24"/>
          <w:lang w:eastAsia="en-ZA"/>
        </w:rPr>
        <w:t>fide</w:t>
      </w:r>
      <w:r w:rsidR="00244753" w:rsidRPr="00E94675">
        <w:rPr>
          <w:rFonts w:ascii="Arial" w:eastAsia="Times New Roman" w:hAnsi="Arial" w:cs="Arial"/>
          <w:sz w:val="24"/>
          <w:szCs w:val="24"/>
          <w:lang w:eastAsia="en-ZA"/>
        </w:rPr>
        <w:t> but mistaken belief that it was legally obliged to make the payment of the said amount. The allegation made in this regard is that: </w:t>
      </w:r>
    </w:p>
    <w:p w:rsidR="00F90F4B" w:rsidRPr="00244753" w:rsidRDefault="00F90F4B" w:rsidP="00F90F4B">
      <w:pPr>
        <w:spacing w:after="0" w:line="480" w:lineRule="auto"/>
        <w:ind w:left="720"/>
        <w:jc w:val="both"/>
        <w:rPr>
          <w:rFonts w:ascii="Times New Roman" w:eastAsia="Times New Roman" w:hAnsi="Times New Roman" w:cs="Times New Roman"/>
          <w:sz w:val="24"/>
          <w:szCs w:val="24"/>
          <w:lang w:eastAsia="en-ZA"/>
        </w:rPr>
      </w:pPr>
      <w:r w:rsidRPr="00244753">
        <w:rPr>
          <w:rFonts w:ascii="Arial" w:eastAsia="Times New Roman" w:hAnsi="Arial" w:cs="Arial"/>
          <w:color w:val="0E101A"/>
          <w:lang w:eastAsia="en-ZA"/>
        </w:rPr>
        <w:t>"The said payments were effected in reliance upon a putative agreement and motivated by the </w:t>
      </w:r>
      <w:r w:rsidRPr="00244753">
        <w:rPr>
          <w:rFonts w:ascii="Arial" w:eastAsia="Times New Roman" w:hAnsi="Arial" w:cs="Arial"/>
          <w:i/>
          <w:iCs/>
          <w:lang w:eastAsia="en-ZA"/>
        </w:rPr>
        <w:t>bona fide</w:t>
      </w:r>
      <w:r w:rsidRPr="00244753">
        <w:rPr>
          <w:rFonts w:ascii="Times New Roman" w:eastAsia="Times New Roman" w:hAnsi="Times New Roman" w:cs="Times New Roman"/>
          <w:lang w:eastAsia="en-ZA"/>
        </w:rPr>
        <w:t> but mistaken belief that the first defendant (the applicant) was legally obliged to make payment of the amounts reflected in the plaintiff's invoices, calculated at the plaintiff's prices, and that those amounts were in fact owing." </w:t>
      </w:r>
    </w:p>
    <w:p w:rsidR="00F90F4B" w:rsidRDefault="00F90F4B" w:rsidP="00F90F4B">
      <w:pPr>
        <w:spacing w:after="0" w:line="480" w:lineRule="auto"/>
        <w:jc w:val="both"/>
        <w:rPr>
          <w:rFonts w:ascii="Times New Roman" w:eastAsia="Times New Roman" w:hAnsi="Times New Roman" w:cs="Times New Roman"/>
          <w:sz w:val="24"/>
          <w:szCs w:val="24"/>
          <w:lang w:eastAsia="en-ZA"/>
        </w:rPr>
      </w:pPr>
    </w:p>
    <w:p w:rsidR="00F90F4B" w:rsidRPr="00EC6335" w:rsidRDefault="00F20435" w:rsidP="00F20435">
      <w:pPr>
        <w:spacing w:after="0" w:line="480" w:lineRule="auto"/>
        <w:jc w:val="both"/>
        <w:rPr>
          <w:rFonts w:ascii="Times New Roman" w:eastAsia="Times New Roman" w:hAnsi="Times New Roman" w:cs="Times New Roman"/>
          <w:sz w:val="24"/>
          <w:szCs w:val="24"/>
          <w:lang w:eastAsia="en-ZA"/>
        </w:rPr>
      </w:pPr>
      <w:r w:rsidRPr="00EC6335">
        <w:rPr>
          <w:rFonts w:ascii="Times New Roman" w:eastAsia="Times New Roman" w:hAnsi="Times New Roman" w:cs="Times New Roman"/>
          <w:sz w:val="24"/>
          <w:szCs w:val="24"/>
          <w:lang w:eastAsia="en-ZA"/>
        </w:rPr>
        <w:t>[26]</w:t>
      </w:r>
      <w:r w:rsidRPr="00EC6335">
        <w:rPr>
          <w:rFonts w:ascii="Times New Roman" w:eastAsia="Times New Roman" w:hAnsi="Times New Roman" w:cs="Times New Roman"/>
          <w:sz w:val="24"/>
          <w:szCs w:val="24"/>
          <w:lang w:eastAsia="en-ZA"/>
        </w:rPr>
        <w:tab/>
      </w:r>
      <w:r w:rsidR="00E94675">
        <w:rPr>
          <w:rFonts w:ascii="Arial" w:eastAsia="Times New Roman" w:hAnsi="Arial" w:cs="Arial"/>
          <w:color w:val="0E101A"/>
          <w:sz w:val="24"/>
          <w:szCs w:val="24"/>
          <w:lang w:eastAsia="en-ZA"/>
        </w:rPr>
        <w:t>It seems to me that t</w:t>
      </w:r>
      <w:r w:rsidR="00244753" w:rsidRPr="00244753">
        <w:rPr>
          <w:rFonts w:ascii="Arial" w:eastAsia="Times New Roman" w:hAnsi="Arial" w:cs="Arial"/>
          <w:color w:val="0E101A"/>
          <w:sz w:val="24"/>
          <w:szCs w:val="24"/>
          <w:lang w:eastAsia="en-ZA"/>
        </w:rPr>
        <w:t>he </w:t>
      </w:r>
      <w:r w:rsidR="00244753" w:rsidRPr="00F90F4B">
        <w:rPr>
          <w:rFonts w:ascii="Arial" w:eastAsia="Times New Roman" w:hAnsi="Arial" w:cs="Arial"/>
          <w:i/>
          <w:iCs/>
          <w:sz w:val="24"/>
          <w:szCs w:val="24"/>
          <w:lang w:eastAsia="en-ZA"/>
        </w:rPr>
        <w:t>conditio indebiti</w:t>
      </w:r>
      <w:r w:rsidR="00244753" w:rsidRPr="00244753">
        <w:rPr>
          <w:rFonts w:ascii="Arial" w:eastAsia="Times New Roman" w:hAnsi="Arial" w:cs="Arial"/>
          <w:sz w:val="24"/>
          <w:szCs w:val="24"/>
          <w:lang w:eastAsia="en-ZA"/>
        </w:rPr>
        <w:t> may</w:t>
      </w:r>
      <w:r w:rsidR="00E94675">
        <w:rPr>
          <w:rFonts w:ascii="Arial" w:eastAsia="Times New Roman" w:hAnsi="Arial" w:cs="Arial"/>
          <w:sz w:val="24"/>
          <w:szCs w:val="24"/>
          <w:lang w:eastAsia="en-ZA"/>
        </w:rPr>
        <w:t xml:space="preserve">, in all probabilities </w:t>
      </w:r>
      <w:r w:rsidR="00244753" w:rsidRPr="00244753">
        <w:rPr>
          <w:rFonts w:ascii="Arial" w:eastAsia="Times New Roman" w:hAnsi="Arial" w:cs="Arial"/>
          <w:sz w:val="24"/>
          <w:szCs w:val="24"/>
          <w:lang w:eastAsia="en-ZA"/>
        </w:rPr>
        <w:t>have been sustainable in favour of the applicant had it persisted with the first counterclaim because in that case, the contention was that there was noncompliance with the formalities prescribed by the CPA. Of course, this would also have depended on whether there was proof of the contravention of the CPA. That is different in the present application. To emphasize, at the risk of being repetitive, the payment in the present matter was made in exchange of the goods supplied in terms of a credit agreement.</w:t>
      </w:r>
    </w:p>
    <w:p w:rsidR="00F90F4B" w:rsidRDefault="00F90F4B" w:rsidP="00F90F4B">
      <w:pPr>
        <w:pStyle w:val="ListParagraph"/>
        <w:rPr>
          <w:rFonts w:ascii="Arial" w:eastAsia="Times New Roman" w:hAnsi="Arial" w:cs="Arial"/>
          <w:color w:val="0E101A"/>
          <w:sz w:val="24"/>
          <w:szCs w:val="24"/>
          <w:lang w:eastAsia="en-ZA"/>
        </w:rPr>
      </w:pPr>
    </w:p>
    <w:p w:rsidR="00F90F4B" w:rsidRDefault="00F20435" w:rsidP="00F20435">
      <w:pPr>
        <w:spacing w:after="0" w:line="48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lastRenderedPageBreak/>
        <w:t>[27]</w:t>
      </w:r>
      <w:r>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I am also in agreement with the respondent in relation to the issue of misrepresentation. The averments made are vague and embarrassing. In this respect, the applicant alleges that "the plaintiff represented by Mario Maio and Ricardo Maio and "other representatives," made the misrepre</w:t>
      </w:r>
      <w:r w:rsidR="009D6AF9">
        <w:rPr>
          <w:rFonts w:ascii="Arial" w:eastAsia="Times New Roman" w:hAnsi="Arial" w:cs="Arial"/>
          <w:color w:val="0E101A"/>
          <w:sz w:val="24"/>
          <w:szCs w:val="24"/>
          <w:lang w:eastAsia="en-ZA"/>
        </w:rPr>
        <w:t>sentation upon which it relied o</w:t>
      </w:r>
      <w:r w:rsidR="00244753" w:rsidRPr="00244753">
        <w:rPr>
          <w:rFonts w:ascii="Arial" w:eastAsia="Times New Roman" w:hAnsi="Arial" w:cs="Arial"/>
          <w:color w:val="0E101A"/>
          <w:sz w:val="24"/>
          <w:szCs w:val="24"/>
          <w:lang w:eastAsia="en-ZA"/>
        </w:rPr>
        <w:t xml:space="preserve">n </w:t>
      </w:r>
      <w:r w:rsidR="009D6AF9">
        <w:rPr>
          <w:rFonts w:ascii="Arial" w:eastAsia="Times New Roman" w:hAnsi="Arial" w:cs="Arial"/>
          <w:color w:val="0E101A"/>
          <w:sz w:val="24"/>
          <w:szCs w:val="24"/>
          <w:lang w:eastAsia="en-ZA"/>
        </w:rPr>
        <w:t xml:space="preserve">in </w:t>
      </w:r>
      <w:r w:rsidR="00244753" w:rsidRPr="00244753">
        <w:rPr>
          <w:rFonts w:ascii="Arial" w:eastAsia="Times New Roman" w:hAnsi="Arial" w:cs="Arial"/>
          <w:color w:val="0E101A"/>
          <w:sz w:val="24"/>
          <w:szCs w:val="24"/>
          <w:lang w:eastAsia="en-ZA"/>
        </w:rPr>
        <w:t>concluding the agreement. The proposed amendment provides no details as to who "the other representatives," are who represented the respondent.  </w:t>
      </w:r>
    </w:p>
    <w:p w:rsidR="00F90F4B" w:rsidRDefault="00F90F4B" w:rsidP="00F90F4B">
      <w:pPr>
        <w:pStyle w:val="ListParagraph"/>
        <w:rPr>
          <w:rFonts w:ascii="Arial" w:eastAsia="Times New Roman" w:hAnsi="Arial" w:cs="Arial"/>
          <w:color w:val="0E101A"/>
          <w:sz w:val="24"/>
          <w:szCs w:val="24"/>
          <w:lang w:eastAsia="en-ZA"/>
        </w:rPr>
      </w:pPr>
    </w:p>
    <w:p w:rsidR="00F90F4B" w:rsidRDefault="00F20435" w:rsidP="00F20435">
      <w:pPr>
        <w:spacing w:after="0" w:line="48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[28]</w:t>
      </w:r>
      <w:r>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The applicant's proposed amendment lacks particularity and details concerning the "cost of sales", and the identity of the wholesaler suppliers referred to in the proposed amendments to assist the respondent in making a comparison of the quality of the goods supplied by those other suppliers.</w:t>
      </w:r>
    </w:p>
    <w:p w:rsidR="00F90F4B" w:rsidRDefault="00F90F4B" w:rsidP="00F90F4B">
      <w:pPr>
        <w:pStyle w:val="ListParagraph"/>
        <w:rPr>
          <w:rFonts w:ascii="Arial" w:eastAsia="Times New Roman" w:hAnsi="Arial" w:cs="Arial"/>
          <w:color w:val="0E101A"/>
          <w:sz w:val="24"/>
          <w:szCs w:val="24"/>
          <w:lang w:eastAsia="en-ZA"/>
        </w:rPr>
      </w:pPr>
    </w:p>
    <w:p w:rsidR="009918CB" w:rsidRDefault="00F20435" w:rsidP="00F20435">
      <w:pPr>
        <w:spacing w:after="0" w:line="48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[29</w:t>
      </w:r>
      <w:bookmarkStart w:id="0" w:name="_GoBack"/>
      <w:bookmarkEnd w:id="0"/>
      <w:r>
        <w:rPr>
          <w:rFonts w:ascii="Times New Roman" w:eastAsia="Times New Roman" w:hAnsi="Times New Roman" w:cs="Times New Roman"/>
          <w:sz w:val="24"/>
          <w:szCs w:val="24"/>
          <w:lang w:eastAsia="en-ZA"/>
        </w:rPr>
        <w:t>]</w:t>
      </w:r>
      <w:r>
        <w:rPr>
          <w:rFonts w:ascii="Times New Roman" w:eastAsia="Times New Roman" w:hAnsi="Times New Roman" w:cs="Times New Roman"/>
          <w:sz w:val="24"/>
          <w:szCs w:val="24"/>
          <w:lang w:eastAsia="en-ZA"/>
        </w:rPr>
        <w:tab/>
      </w:r>
      <w:r w:rsidR="00244753" w:rsidRPr="00244753">
        <w:rPr>
          <w:rFonts w:ascii="Arial" w:eastAsia="Times New Roman" w:hAnsi="Arial" w:cs="Arial"/>
          <w:color w:val="0E101A"/>
          <w:sz w:val="24"/>
          <w:szCs w:val="24"/>
          <w:lang w:eastAsia="en-ZA"/>
        </w:rPr>
        <w:t>In light of the above, the applicant's application stands to fail. Furthermore, the application stands to fail because the applicant has been unable to show the existence of exceptional circumstances supporting the granting of the amendment.</w:t>
      </w:r>
    </w:p>
    <w:p w:rsidR="009918CB" w:rsidRDefault="009918CB" w:rsidP="009918CB">
      <w:pPr>
        <w:pStyle w:val="ListParagraph"/>
        <w:rPr>
          <w:rFonts w:ascii="Arial" w:eastAsia="Times New Roman" w:hAnsi="Arial" w:cs="Arial"/>
          <w:color w:val="0E101A"/>
          <w:sz w:val="24"/>
          <w:szCs w:val="24"/>
          <w:lang w:eastAsia="en-ZA"/>
        </w:rPr>
      </w:pPr>
    </w:p>
    <w:p w:rsidR="009918CB" w:rsidRPr="00D00A94" w:rsidRDefault="009918CB" w:rsidP="00D00A94">
      <w:pPr>
        <w:spacing w:after="0" w:line="480" w:lineRule="auto"/>
        <w:jc w:val="both"/>
        <w:rPr>
          <w:rFonts w:ascii="Times New Roman" w:eastAsia="Times New Roman" w:hAnsi="Times New Roman" w:cs="Times New Roman"/>
          <w:b/>
          <w:sz w:val="24"/>
          <w:szCs w:val="24"/>
          <w:lang w:eastAsia="en-ZA"/>
        </w:rPr>
      </w:pPr>
      <w:r w:rsidRPr="00D00A94">
        <w:rPr>
          <w:rFonts w:ascii="Arial" w:eastAsia="Times New Roman" w:hAnsi="Arial" w:cs="Arial"/>
          <w:b/>
          <w:color w:val="0E101A"/>
          <w:sz w:val="24"/>
          <w:szCs w:val="24"/>
          <w:lang w:eastAsia="en-ZA"/>
        </w:rPr>
        <w:t xml:space="preserve">Order </w:t>
      </w:r>
    </w:p>
    <w:p w:rsidR="009918CB" w:rsidRDefault="009918CB" w:rsidP="009918CB">
      <w:pPr>
        <w:pStyle w:val="ListParagraph"/>
        <w:rPr>
          <w:rFonts w:ascii="Times New Roman" w:eastAsia="Times New Roman" w:hAnsi="Times New Roman" w:cs="Times New Roman"/>
          <w:sz w:val="24"/>
          <w:szCs w:val="24"/>
          <w:lang w:eastAsia="en-ZA"/>
        </w:rPr>
      </w:pPr>
    </w:p>
    <w:p w:rsidR="009918CB" w:rsidRDefault="00F20435" w:rsidP="00F20435">
      <w:pPr>
        <w:spacing w:after="0" w:line="48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[30]</w:t>
      </w:r>
      <w:r>
        <w:rPr>
          <w:rFonts w:ascii="Times New Roman" w:eastAsia="Times New Roman" w:hAnsi="Times New Roman" w:cs="Times New Roman"/>
          <w:sz w:val="24"/>
          <w:szCs w:val="24"/>
          <w:lang w:eastAsia="en-ZA"/>
        </w:rPr>
        <w:tab/>
      </w:r>
      <w:r w:rsidR="009918CB">
        <w:rPr>
          <w:rFonts w:ascii="Times New Roman" w:eastAsia="Times New Roman" w:hAnsi="Times New Roman" w:cs="Times New Roman"/>
          <w:sz w:val="24"/>
          <w:szCs w:val="24"/>
          <w:lang w:eastAsia="en-ZA"/>
        </w:rPr>
        <w:t xml:space="preserve">In the circumstances the following order is made: </w:t>
      </w:r>
    </w:p>
    <w:p w:rsidR="009918CB" w:rsidRDefault="009918CB" w:rsidP="009918CB">
      <w:pPr>
        <w:pStyle w:val="ListParagraph"/>
        <w:rPr>
          <w:rFonts w:ascii="Times New Roman" w:eastAsia="Times New Roman" w:hAnsi="Times New Roman" w:cs="Times New Roman"/>
          <w:sz w:val="24"/>
          <w:szCs w:val="24"/>
          <w:lang w:eastAsia="en-ZA"/>
        </w:rPr>
      </w:pPr>
    </w:p>
    <w:p w:rsidR="009918CB" w:rsidRPr="00F20435" w:rsidRDefault="00F20435" w:rsidP="00F20435">
      <w:pPr>
        <w:spacing w:after="0" w:line="480" w:lineRule="auto"/>
        <w:ind w:left="1701" w:hanging="567"/>
        <w:jc w:val="both"/>
        <w:rPr>
          <w:rFonts w:ascii="Arial" w:eastAsia="Times New Roman" w:hAnsi="Arial" w:cs="Arial"/>
          <w:sz w:val="24"/>
          <w:szCs w:val="24"/>
          <w:lang w:eastAsia="en-ZA"/>
        </w:rPr>
      </w:pPr>
      <w:r w:rsidRPr="009918CB">
        <w:rPr>
          <w:rFonts w:ascii="Arial" w:eastAsia="Times New Roman" w:hAnsi="Arial" w:cs="Arial"/>
          <w:sz w:val="24"/>
          <w:szCs w:val="24"/>
          <w:lang w:eastAsia="en-ZA"/>
        </w:rPr>
        <w:t>1.</w:t>
      </w:r>
      <w:r w:rsidRPr="009918CB">
        <w:rPr>
          <w:rFonts w:ascii="Arial" w:eastAsia="Times New Roman" w:hAnsi="Arial" w:cs="Arial"/>
          <w:sz w:val="24"/>
          <w:szCs w:val="24"/>
          <w:lang w:eastAsia="en-ZA"/>
        </w:rPr>
        <w:tab/>
      </w:r>
      <w:r w:rsidR="009918CB" w:rsidRPr="00F20435">
        <w:rPr>
          <w:rFonts w:ascii="Arial" w:eastAsia="Times New Roman" w:hAnsi="Arial" w:cs="Arial"/>
          <w:sz w:val="24"/>
          <w:szCs w:val="24"/>
          <w:lang w:eastAsia="en-ZA"/>
        </w:rPr>
        <w:t>The applicant’s application to amen</w:t>
      </w:r>
      <w:r w:rsidR="008478AC" w:rsidRPr="00F20435">
        <w:rPr>
          <w:rFonts w:ascii="Arial" w:eastAsia="Times New Roman" w:hAnsi="Arial" w:cs="Arial"/>
          <w:sz w:val="24"/>
          <w:szCs w:val="24"/>
          <w:lang w:eastAsia="en-ZA"/>
        </w:rPr>
        <w:t xml:space="preserve">d the counterclaim is dismissed. </w:t>
      </w:r>
    </w:p>
    <w:p w:rsidR="009918CB" w:rsidRPr="00F20435" w:rsidRDefault="00F20435" w:rsidP="00F20435">
      <w:pPr>
        <w:spacing w:after="0" w:line="480" w:lineRule="auto"/>
        <w:ind w:left="1701" w:hanging="567"/>
        <w:jc w:val="both"/>
        <w:rPr>
          <w:rFonts w:ascii="Arial" w:eastAsia="Times New Roman" w:hAnsi="Arial" w:cs="Arial"/>
          <w:color w:val="0E101A"/>
          <w:sz w:val="24"/>
          <w:szCs w:val="24"/>
          <w:lang w:eastAsia="en-ZA"/>
        </w:rPr>
      </w:pPr>
      <w:r w:rsidRPr="009918CB">
        <w:rPr>
          <w:rFonts w:ascii="Arial" w:eastAsia="Times New Roman" w:hAnsi="Arial" w:cs="Arial"/>
          <w:color w:val="0E101A"/>
          <w:sz w:val="24"/>
          <w:szCs w:val="24"/>
          <w:lang w:eastAsia="en-ZA"/>
        </w:rPr>
        <w:t>2.</w:t>
      </w:r>
      <w:r w:rsidRPr="009918CB">
        <w:rPr>
          <w:rFonts w:ascii="Arial" w:eastAsia="Times New Roman" w:hAnsi="Arial" w:cs="Arial"/>
          <w:color w:val="0E101A"/>
          <w:sz w:val="24"/>
          <w:szCs w:val="24"/>
          <w:lang w:eastAsia="en-ZA"/>
        </w:rPr>
        <w:tab/>
      </w:r>
      <w:r w:rsidR="009918CB" w:rsidRPr="00F20435">
        <w:rPr>
          <w:rFonts w:ascii="Arial" w:eastAsia="Times New Roman" w:hAnsi="Arial" w:cs="Arial"/>
          <w:sz w:val="24"/>
          <w:szCs w:val="24"/>
          <w:lang w:eastAsia="en-ZA"/>
        </w:rPr>
        <w:t xml:space="preserve">The applicant is to pay cost of this </w:t>
      </w:r>
      <w:r w:rsidR="003D1ABD" w:rsidRPr="00F20435">
        <w:rPr>
          <w:rFonts w:ascii="Arial" w:eastAsia="Times New Roman" w:hAnsi="Arial" w:cs="Arial"/>
          <w:sz w:val="24"/>
          <w:szCs w:val="24"/>
          <w:lang w:eastAsia="en-ZA"/>
        </w:rPr>
        <w:t xml:space="preserve">application on the scale as between attorney and </w:t>
      </w:r>
      <w:r w:rsidR="009918CB" w:rsidRPr="00F20435">
        <w:rPr>
          <w:rFonts w:ascii="Arial" w:eastAsia="Times New Roman" w:hAnsi="Arial" w:cs="Arial"/>
          <w:sz w:val="24"/>
          <w:szCs w:val="24"/>
          <w:lang w:eastAsia="en-ZA"/>
        </w:rPr>
        <w:t xml:space="preserve">client. </w:t>
      </w:r>
    </w:p>
    <w:p w:rsidR="009918CB" w:rsidRPr="00244753" w:rsidRDefault="009918CB" w:rsidP="00BF75F3">
      <w:pPr>
        <w:pStyle w:val="ListParagraph"/>
        <w:spacing w:after="0" w:line="480" w:lineRule="auto"/>
        <w:ind w:left="1701"/>
        <w:jc w:val="both"/>
        <w:rPr>
          <w:rFonts w:ascii="Arial" w:eastAsia="Times New Roman" w:hAnsi="Arial" w:cs="Arial"/>
          <w:color w:val="0E101A"/>
          <w:sz w:val="24"/>
          <w:szCs w:val="24"/>
          <w:lang w:eastAsia="en-ZA"/>
        </w:rPr>
      </w:pPr>
    </w:p>
    <w:p w:rsidR="00244753" w:rsidRPr="00244753" w:rsidRDefault="00244753" w:rsidP="00911F56">
      <w:pPr>
        <w:spacing w:after="0" w:line="480" w:lineRule="auto"/>
        <w:jc w:val="both"/>
        <w:rPr>
          <w:rFonts w:ascii="Arial" w:eastAsia="Times New Roman" w:hAnsi="Arial" w:cs="Arial"/>
          <w:color w:val="0E101A"/>
          <w:sz w:val="24"/>
          <w:szCs w:val="24"/>
          <w:lang w:eastAsia="en-ZA"/>
        </w:rPr>
      </w:pPr>
    </w:p>
    <w:p w:rsidR="00244753" w:rsidRPr="00F12CDD" w:rsidRDefault="00F12CDD" w:rsidP="00F12CDD">
      <w:pPr>
        <w:widowControl w:val="0"/>
        <w:adjustRightInd w:val="0"/>
        <w:spacing w:after="0" w:line="480" w:lineRule="auto"/>
        <w:jc w:val="both"/>
        <w:rPr>
          <w:rFonts w:ascii="Arial" w:eastAsiaTheme="minorEastAsia" w:hAnsi="Arial" w:cs="Arial"/>
          <w:color w:val="000000"/>
          <w:sz w:val="24"/>
          <w:szCs w:val="24"/>
          <w:lang w:eastAsia="en-ZA"/>
        </w:rPr>
      </w:pPr>
      <w:r>
        <w:rPr>
          <w:rFonts w:ascii="Arial" w:eastAsiaTheme="minorEastAsia" w:hAnsi="Arial" w:cs="Arial"/>
          <w:color w:val="000000"/>
          <w:sz w:val="24"/>
          <w:szCs w:val="24"/>
          <w:lang w:eastAsia="en-ZA"/>
        </w:rPr>
        <w:t xml:space="preserve">                         </w:t>
      </w:r>
    </w:p>
    <w:p w:rsidR="00BF75F3" w:rsidRDefault="00BF75F3" w:rsidP="00BF75F3">
      <w:pPr>
        <w:widowControl w:val="0"/>
        <w:adjustRightInd w:val="0"/>
        <w:spacing w:after="0" w:line="480" w:lineRule="auto"/>
        <w:ind w:left="5670"/>
        <w:jc w:val="both"/>
        <w:rPr>
          <w:noProof/>
          <w:u w:val="single"/>
          <w:lang w:eastAsia="en-ZA"/>
        </w:rPr>
      </w:pPr>
    </w:p>
    <w:p w:rsidR="004F044C" w:rsidRDefault="004F044C" w:rsidP="00BF75F3">
      <w:pPr>
        <w:widowControl w:val="0"/>
        <w:adjustRightInd w:val="0"/>
        <w:spacing w:after="0" w:line="480" w:lineRule="auto"/>
        <w:ind w:left="5670"/>
        <w:jc w:val="both"/>
        <w:rPr>
          <w:rFonts w:ascii="Arial" w:eastAsiaTheme="minorEastAsia" w:hAnsi="Arial" w:cs="Arial"/>
          <w:color w:val="000000"/>
          <w:sz w:val="24"/>
          <w:szCs w:val="24"/>
          <w:u w:val="single"/>
          <w:lang w:eastAsia="en-ZA"/>
        </w:rPr>
      </w:pPr>
    </w:p>
    <w:p w:rsidR="00244753" w:rsidRPr="00BF75F3" w:rsidRDefault="00244753" w:rsidP="00BF75F3">
      <w:pPr>
        <w:widowControl w:val="0"/>
        <w:adjustRightInd w:val="0"/>
        <w:spacing w:after="0" w:line="480" w:lineRule="auto"/>
        <w:ind w:left="5670"/>
        <w:jc w:val="both"/>
        <w:rPr>
          <w:rFonts w:ascii="Arial" w:eastAsiaTheme="minorEastAsia" w:hAnsi="Arial" w:cs="Arial"/>
          <w:color w:val="000000"/>
          <w:sz w:val="24"/>
          <w:szCs w:val="24"/>
          <w:u w:val="single"/>
          <w:lang w:eastAsia="en-ZA"/>
        </w:rPr>
      </w:pPr>
      <w:r w:rsidRPr="00244753">
        <w:rPr>
          <w:rFonts w:ascii="Arial" w:eastAsiaTheme="minorEastAsia" w:hAnsi="Arial" w:cs="Arial"/>
          <w:color w:val="000000"/>
          <w:sz w:val="24"/>
          <w:szCs w:val="24"/>
          <w:lang w:eastAsia="en-ZA"/>
        </w:rPr>
        <w:t>E MOLAHLEHI</w:t>
      </w:r>
    </w:p>
    <w:p w:rsidR="00244753" w:rsidRPr="00244753" w:rsidRDefault="00244753" w:rsidP="00936A36">
      <w:pPr>
        <w:widowControl w:val="0"/>
        <w:adjustRightInd w:val="0"/>
        <w:spacing w:after="0" w:line="480" w:lineRule="auto"/>
        <w:ind w:left="5670"/>
        <w:jc w:val="both"/>
        <w:rPr>
          <w:rFonts w:ascii="Arial" w:eastAsiaTheme="minorEastAsia" w:hAnsi="Arial" w:cs="Arial"/>
          <w:color w:val="000000"/>
          <w:sz w:val="24"/>
          <w:szCs w:val="24"/>
          <w:lang w:eastAsia="en-ZA"/>
        </w:rPr>
      </w:pPr>
      <w:r w:rsidRPr="00244753">
        <w:rPr>
          <w:rFonts w:ascii="Arial" w:eastAsiaTheme="minorEastAsia" w:hAnsi="Arial" w:cs="Arial"/>
          <w:color w:val="000000"/>
          <w:sz w:val="24"/>
          <w:szCs w:val="24"/>
          <w:lang w:eastAsia="en-ZA"/>
        </w:rPr>
        <w:t>Judge of the High Court of South Africa, Gauteng Local Division, Johannesburg</w:t>
      </w:r>
    </w:p>
    <w:p w:rsidR="00244753" w:rsidRPr="00244753" w:rsidRDefault="00244753" w:rsidP="00911F56">
      <w:pPr>
        <w:widowControl w:val="0"/>
        <w:adjustRightInd w:val="0"/>
        <w:spacing w:after="0" w:line="480" w:lineRule="auto"/>
        <w:jc w:val="both"/>
        <w:rPr>
          <w:rFonts w:ascii="Arial" w:eastAsiaTheme="minorEastAsia" w:hAnsi="Arial" w:cs="Arial"/>
          <w:color w:val="000000"/>
          <w:sz w:val="24"/>
          <w:szCs w:val="24"/>
          <w:lang w:eastAsia="en-ZA"/>
        </w:rPr>
      </w:pPr>
      <w:r w:rsidRPr="00244753">
        <w:rPr>
          <w:rFonts w:ascii="Arial" w:eastAsiaTheme="minorEastAsia" w:hAnsi="Arial" w:cs="Arial"/>
          <w:color w:val="000000"/>
          <w:sz w:val="24"/>
          <w:szCs w:val="24"/>
          <w:lang w:eastAsia="en-ZA"/>
        </w:rPr>
        <w:t xml:space="preserve">Representation </w:t>
      </w:r>
    </w:p>
    <w:p w:rsidR="00244753" w:rsidRPr="00244753" w:rsidRDefault="00244753" w:rsidP="00911F56">
      <w:pPr>
        <w:widowControl w:val="0"/>
        <w:adjustRightInd w:val="0"/>
        <w:spacing w:after="0" w:line="480" w:lineRule="auto"/>
        <w:jc w:val="both"/>
        <w:rPr>
          <w:rFonts w:ascii="Arial" w:eastAsiaTheme="minorEastAsia" w:hAnsi="Arial" w:cs="Arial"/>
          <w:color w:val="000000"/>
          <w:sz w:val="24"/>
          <w:szCs w:val="24"/>
          <w:lang w:eastAsia="en-ZA"/>
        </w:rPr>
      </w:pPr>
      <w:r w:rsidRPr="00244753">
        <w:rPr>
          <w:rFonts w:ascii="Arial" w:eastAsiaTheme="minorEastAsia" w:hAnsi="Arial" w:cs="Arial"/>
          <w:color w:val="000000"/>
          <w:sz w:val="24"/>
          <w:szCs w:val="24"/>
          <w:lang w:eastAsia="en-ZA"/>
        </w:rPr>
        <w:t>For the Applicant: Adv D Moodliyer</w:t>
      </w:r>
    </w:p>
    <w:p w:rsidR="00244753" w:rsidRPr="00244753" w:rsidRDefault="00244753" w:rsidP="00911F56">
      <w:pPr>
        <w:widowControl w:val="0"/>
        <w:adjustRightInd w:val="0"/>
        <w:spacing w:after="0" w:line="480" w:lineRule="auto"/>
        <w:jc w:val="both"/>
        <w:rPr>
          <w:rFonts w:ascii="Arial" w:eastAsiaTheme="minorEastAsia" w:hAnsi="Arial" w:cs="Arial"/>
          <w:color w:val="000000"/>
          <w:sz w:val="24"/>
          <w:szCs w:val="24"/>
          <w:lang w:eastAsia="en-ZA"/>
        </w:rPr>
      </w:pPr>
      <w:r w:rsidRPr="00244753">
        <w:rPr>
          <w:rFonts w:ascii="Arial" w:eastAsiaTheme="minorEastAsia" w:hAnsi="Arial" w:cs="Arial"/>
          <w:color w:val="000000"/>
          <w:sz w:val="24"/>
          <w:szCs w:val="24"/>
          <w:lang w:eastAsia="en-ZA"/>
        </w:rPr>
        <w:t>Instructed by: D’ Amico Incorporated</w:t>
      </w:r>
    </w:p>
    <w:p w:rsidR="00244753" w:rsidRPr="00244753" w:rsidRDefault="00244753" w:rsidP="00911F56">
      <w:pPr>
        <w:widowControl w:val="0"/>
        <w:adjustRightInd w:val="0"/>
        <w:spacing w:after="0" w:line="480" w:lineRule="auto"/>
        <w:jc w:val="both"/>
        <w:rPr>
          <w:rFonts w:ascii="Arial" w:eastAsiaTheme="minorEastAsia" w:hAnsi="Arial" w:cs="Arial"/>
          <w:color w:val="000000"/>
          <w:sz w:val="24"/>
          <w:szCs w:val="24"/>
          <w:lang w:eastAsia="en-ZA"/>
        </w:rPr>
      </w:pPr>
      <w:r w:rsidRPr="00244753">
        <w:rPr>
          <w:rFonts w:ascii="Arial" w:eastAsiaTheme="minorEastAsia" w:hAnsi="Arial" w:cs="Arial"/>
          <w:color w:val="000000"/>
          <w:sz w:val="24"/>
          <w:szCs w:val="24"/>
          <w:lang w:eastAsia="en-ZA"/>
        </w:rPr>
        <w:t xml:space="preserve">For the respondent: Adv. Dean Van Niekerk </w:t>
      </w:r>
    </w:p>
    <w:p w:rsidR="00244753" w:rsidRPr="00244753" w:rsidRDefault="00244753" w:rsidP="00911F56">
      <w:pPr>
        <w:widowControl w:val="0"/>
        <w:adjustRightInd w:val="0"/>
        <w:spacing w:after="0" w:line="480" w:lineRule="auto"/>
        <w:jc w:val="both"/>
        <w:rPr>
          <w:rFonts w:ascii="Arial" w:eastAsiaTheme="minorEastAsia" w:hAnsi="Arial" w:cs="Arial"/>
          <w:color w:val="000000"/>
          <w:sz w:val="24"/>
          <w:szCs w:val="24"/>
          <w:lang w:eastAsia="en-ZA"/>
        </w:rPr>
      </w:pPr>
      <w:r w:rsidRPr="00244753">
        <w:rPr>
          <w:rFonts w:ascii="Arial" w:eastAsiaTheme="minorEastAsia" w:hAnsi="Arial" w:cs="Arial"/>
          <w:color w:val="000000"/>
          <w:sz w:val="24"/>
          <w:szCs w:val="24"/>
          <w:lang w:eastAsia="en-ZA"/>
        </w:rPr>
        <w:t>Instructed by: Cliffe Dekker Hofmeyer Inc.</w:t>
      </w:r>
    </w:p>
    <w:p w:rsidR="00244753" w:rsidRPr="00244753" w:rsidRDefault="00244753" w:rsidP="00911F56">
      <w:pPr>
        <w:widowControl w:val="0"/>
        <w:adjustRightInd w:val="0"/>
        <w:spacing w:after="0" w:line="480" w:lineRule="auto"/>
        <w:jc w:val="both"/>
        <w:rPr>
          <w:rFonts w:ascii="Arial" w:eastAsiaTheme="minorEastAsia" w:hAnsi="Arial" w:cs="Arial"/>
          <w:color w:val="000000"/>
          <w:sz w:val="24"/>
          <w:szCs w:val="24"/>
          <w:lang w:eastAsia="en-ZA"/>
        </w:rPr>
      </w:pPr>
      <w:r w:rsidRPr="00244753">
        <w:rPr>
          <w:rFonts w:ascii="Arial" w:eastAsiaTheme="minorEastAsia" w:hAnsi="Arial" w:cs="Arial"/>
          <w:color w:val="000000"/>
          <w:sz w:val="24"/>
          <w:szCs w:val="24"/>
          <w:lang w:eastAsia="en-ZA"/>
        </w:rPr>
        <w:t>Hearing date: 1 August 2022</w:t>
      </w:r>
    </w:p>
    <w:p w:rsidR="00244753" w:rsidRPr="00244753" w:rsidRDefault="00244753" w:rsidP="00911F56">
      <w:pPr>
        <w:widowControl w:val="0"/>
        <w:adjustRightInd w:val="0"/>
        <w:spacing w:after="0" w:line="480" w:lineRule="auto"/>
        <w:jc w:val="both"/>
        <w:rPr>
          <w:rFonts w:ascii="Arial" w:eastAsiaTheme="minorEastAsia" w:hAnsi="Arial" w:cs="Arial"/>
          <w:color w:val="000000"/>
          <w:sz w:val="24"/>
          <w:szCs w:val="24"/>
          <w:lang w:eastAsia="en-ZA"/>
        </w:rPr>
      </w:pPr>
      <w:r w:rsidRPr="00244753">
        <w:rPr>
          <w:rFonts w:ascii="Arial" w:eastAsiaTheme="minorEastAsia" w:hAnsi="Arial" w:cs="Arial"/>
          <w:color w:val="000000"/>
          <w:sz w:val="24"/>
          <w:szCs w:val="24"/>
          <w:lang w:eastAsia="en-ZA"/>
        </w:rPr>
        <w:t>Delivered:</w:t>
      </w:r>
      <w:r w:rsidR="00391772">
        <w:rPr>
          <w:rFonts w:ascii="Arial" w:eastAsiaTheme="minorEastAsia" w:hAnsi="Arial" w:cs="Arial"/>
          <w:color w:val="000000"/>
          <w:sz w:val="24"/>
          <w:szCs w:val="24"/>
          <w:lang w:eastAsia="en-ZA"/>
        </w:rPr>
        <w:t xml:space="preserve">  7 November 2022.</w:t>
      </w:r>
    </w:p>
    <w:p w:rsidR="00244753" w:rsidRPr="00244753" w:rsidRDefault="00244753" w:rsidP="00911F56">
      <w:pPr>
        <w:spacing w:line="480" w:lineRule="auto"/>
        <w:jc w:val="both"/>
        <w:rPr>
          <w:rFonts w:ascii="Arial" w:eastAsiaTheme="minorEastAsia" w:hAnsi="Arial" w:cs="Arial"/>
          <w:sz w:val="24"/>
          <w:szCs w:val="24"/>
          <w:lang w:eastAsia="en-ZA"/>
        </w:rPr>
      </w:pPr>
    </w:p>
    <w:p w:rsidR="00244753" w:rsidRPr="00244753" w:rsidRDefault="00244753" w:rsidP="00911F56">
      <w:pPr>
        <w:spacing w:after="0" w:line="240" w:lineRule="auto"/>
        <w:rPr>
          <w:rFonts w:ascii="Times New Roman" w:hAnsi="Times New Roman" w:cs="Times New Roman"/>
          <w:sz w:val="24"/>
          <w:szCs w:val="24"/>
          <w:lang w:eastAsia="en-ZA"/>
        </w:rPr>
      </w:pPr>
      <w:r w:rsidRPr="00244753">
        <w:rPr>
          <w:rFonts w:ascii="Times New Roman" w:hAnsi="Times New Roman" w:cs="Times New Roman"/>
          <w:sz w:val="24"/>
          <w:szCs w:val="24"/>
          <w:lang w:eastAsia="en-ZA"/>
        </w:rPr>
        <w:br w:type="textWrapping" w:clear="all"/>
      </w:r>
    </w:p>
    <w:p w:rsidR="00244753" w:rsidRPr="00244753" w:rsidRDefault="00AB3BA1" w:rsidP="00911F56">
      <w:pPr>
        <w:spacing w:after="0" w:line="240" w:lineRule="auto"/>
        <w:rPr>
          <w:rFonts w:ascii="Times New Roman" w:hAnsi="Times New Roman" w:cs="Times New Roman"/>
          <w:sz w:val="24"/>
          <w:szCs w:val="24"/>
          <w:lang w:eastAsia="en-ZA"/>
        </w:rPr>
      </w:pPr>
      <w:r>
        <w:rPr>
          <w:rFonts w:ascii="Times New Roman" w:hAnsi="Times New Roman" w:cs="Times New Roman"/>
          <w:sz w:val="24"/>
          <w:szCs w:val="24"/>
          <w:lang w:eastAsia="en-ZA"/>
        </w:rPr>
        <w:pict>
          <v:rect id="_x0000_i1025" style="width:148.95pt;height:.5pt" o:hrpct="330" o:hrstd="t" o:hr="t" fillcolor="#a0a0a0" stroked="f"/>
        </w:pict>
      </w:r>
    </w:p>
    <w:p w:rsidR="00214B41" w:rsidRPr="00370D1A" w:rsidRDefault="00214B41" w:rsidP="00911F56">
      <w:pPr>
        <w:rPr>
          <w:lang w:val="en-GB"/>
        </w:rPr>
      </w:pPr>
    </w:p>
    <w:sectPr w:rsidR="00214B41" w:rsidRPr="00370D1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BA1" w:rsidRDefault="00AB3BA1" w:rsidP="00244753">
      <w:pPr>
        <w:spacing w:after="0" w:line="240" w:lineRule="auto"/>
      </w:pPr>
      <w:r>
        <w:separator/>
      </w:r>
    </w:p>
  </w:endnote>
  <w:endnote w:type="continuationSeparator" w:id="0">
    <w:p w:rsidR="00AB3BA1" w:rsidRDefault="00AB3BA1" w:rsidP="0024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BA1" w:rsidRDefault="00AB3BA1" w:rsidP="00244753">
      <w:pPr>
        <w:spacing w:after="0" w:line="240" w:lineRule="auto"/>
      </w:pPr>
      <w:r>
        <w:separator/>
      </w:r>
    </w:p>
  </w:footnote>
  <w:footnote w:type="continuationSeparator" w:id="0">
    <w:p w:rsidR="00AB3BA1" w:rsidRDefault="00AB3BA1" w:rsidP="00244753">
      <w:pPr>
        <w:spacing w:after="0" w:line="240" w:lineRule="auto"/>
      </w:pPr>
      <w:r>
        <w:continuationSeparator/>
      </w:r>
    </w:p>
  </w:footnote>
  <w:footnote w:id="1">
    <w:p w:rsidR="003E099D" w:rsidRDefault="003E099D" w:rsidP="00BB30EB">
      <w:pPr>
        <w:pStyle w:val="FootnoteText"/>
        <w:jc w:val="both"/>
      </w:pPr>
      <w:r>
        <w:rPr>
          <w:rStyle w:val="FootnoteReference"/>
        </w:rPr>
        <w:footnoteRef/>
      </w:r>
      <w:r>
        <w:t xml:space="preserve"> Rule 28 Rule  provides as follows : “Amendments to pleadings and documents </w:t>
      </w:r>
    </w:p>
    <w:p w:rsidR="003E099D" w:rsidRDefault="003E099D" w:rsidP="00BB30EB">
      <w:pPr>
        <w:pStyle w:val="FootnoteText"/>
        <w:ind w:left="1134" w:hanging="414"/>
        <w:jc w:val="both"/>
      </w:pPr>
      <w:r>
        <w:t xml:space="preserve">(1) </w:t>
      </w:r>
      <w:r>
        <w:tab/>
        <w:t xml:space="preserve">Any party desiring to amend any pleading or document other than a sworn statement, filed in connection with any proceedings, shall notify all other parties of his intention to amend and shall furnish particulars of the amendment. </w:t>
      </w:r>
    </w:p>
    <w:p w:rsidR="003E099D" w:rsidRDefault="003E099D" w:rsidP="00BB30EB">
      <w:pPr>
        <w:pStyle w:val="FootnoteText"/>
        <w:ind w:left="1134" w:hanging="414"/>
        <w:jc w:val="both"/>
      </w:pPr>
      <w:r>
        <w:t>(2)</w:t>
      </w:r>
      <w:r>
        <w:tab/>
        <w:t xml:space="preserve">The notice referred to in subrule (1) shall state that unless written objection to the proposed amendment is delivered within 10 days of delivery of the notice, the amendment will be effected. </w:t>
      </w:r>
    </w:p>
    <w:p w:rsidR="003E099D" w:rsidRDefault="003E099D" w:rsidP="00BB30EB">
      <w:pPr>
        <w:pStyle w:val="FootnoteText"/>
        <w:ind w:left="1134" w:hanging="414"/>
        <w:jc w:val="both"/>
      </w:pPr>
      <w:r>
        <w:t>(3)</w:t>
      </w:r>
      <w:r>
        <w:tab/>
        <w:t xml:space="preserve"> An objection to a proposed amendment shall clearly and concisely state the grounds upon which the objection is founded. </w:t>
      </w:r>
    </w:p>
    <w:p w:rsidR="004C7C64" w:rsidRDefault="003E099D" w:rsidP="00BB30EB">
      <w:pPr>
        <w:pStyle w:val="FootnoteText"/>
        <w:ind w:left="1134" w:hanging="414"/>
        <w:jc w:val="both"/>
      </w:pPr>
      <w:r>
        <w:t>(4)</w:t>
      </w:r>
      <w:r>
        <w:tab/>
        <w:t xml:space="preserve"> If an objection which complies with subrule (3) is delivered within the period referred to in subrule (2), the party wishing to amend may, within 10 days, lodge an application for leave to amend.</w:t>
      </w:r>
      <w:r w:rsidR="004C7C64">
        <w:t xml:space="preserve"> </w:t>
      </w:r>
    </w:p>
    <w:p w:rsidR="004C7C64" w:rsidRDefault="004C7C64" w:rsidP="00BB30EB">
      <w:pPr>
        <w:pStyle w:val="FootnoteText"/>
        <w:ind w:left="1134" w:hanging="414"/>
        <w:jc w:val="both"/>
      </w:pPr>
      <w:r>
        <w:t>(5)</w:t>
      </w:r>
      <w:r>
        <w:tab/>
        <w:t xml:space="preserve"> If no objection is delivered as contemplated in subrule (4), every party who received notice of the proposed amendment shall be deemed to have consented to the amendment and the party who gave notice of the proposed amendment may, within 10 days of the expiration of the period mentioned in subrule (2), effect the amendment as contemplated in subrule (7).</w:t>
      </w:r>
    </w:p>
    <w:p w:rsidR="004C7C64" w:rsidRDefault="004C7C64" w:rsidP="00BB30EB">
      <w:pPr>
        <w:pStyle w:val="FootnoteText"/>
        <w:ind w:left="1134" w:hanging="414"/>
        <w:jc w:val="both"/>
      </w:pPr>
      <w:r>
        <w:t xml:space="preserve"> (6)</w:t>
      </w:r>
      <w:r>
        <w:tab/>
        <w:t xml:space="preserve"> Unless the court otherwise directs, an amendment authorized by an order of the court may not be effected later than 10 days after such authorization. </w:t>
      </w:r>
    </w:p>
    <w:p w:rsidR="004C7C64" w:rsidRDefault="004C7C64" w:rsidP="00BB30EB">
      <w:pPr>
        <w:pStyle w:val="FootnoteText"/>
        <w:ind w:left="1134" w:hanging="414"/>
        <w:jc w:val="both"/>
      </w:pPr>
      <w:r>
        <w:t xml:space="preserve">(7) </w:t>
      </w:r>
      <w:r>
        <w:tab/>
        <w:t xml:space="preserve">Unless the court otherwise directs, a party who is entitled to amend shall effect the amendment by delivering each relevant page in its amended form. </w:t>
      </w:r>
    </w:p>
    <w:p w:rsidR="004C7C64" w:rsidRDefault="004C7C64" w:rsidP="00BB30EB">
      <w:pPr>
        <w:pStyle w:val="FootnoteText"/>
        <w:ind w:left="1134" w:hanging="414"/>
        <w:jc w:val="both"/>
      </w:pPr>
      <w:r>
        <w:t>(8)</w:t>
      </w:r>
      <w:r>
        <w:tab/>
        <w:t xml:space="preserve"> Any party affected by an amendment may, within 15 days after the amendment has been effected or within such other period as the court may determine, make any consequential adjustment to the documents filed by him, and may also take the steps contemplated in rules 23 and 30. </w:t>
      </w:r>
    </w:p>
    <w:p w:rsidR="004C7C64" w:rsidRDefault="004C7C64" w:rsidP="00BB30EB">
      <w:pPr>
        <w:pStyle w:val="FootnoteText"/>
        <w:ind w:left="1134" w:hanging="414"/>
        <w:jc w:val="both"/>
      </w:pPr>
      <w:r>
        <w:t xml:space="preserve">(9) </w:t>
      </w:r>
      <w:r>
        <w:tab/>
        <w:t>A party giving notice of amendment in terms of subrule (1) shall, unless the court otherwise directs, be liable for the costs thereby occasioned to any other party.</w:t>
      </w:r>
    </w:p>
    <w:p w:rsidR="003E099D" w:rsidRPr="003E099D" w:rsidRDefault="004C7C64" w:rsidP="00BB30EB">
      <w:pPr>
        <w:pStyle w:val="FootnoteText"/>
        <w:ind w:left="1134" w:hanging="425"/>
        <w:jc w:val="both"/>
        <w:rPr>
          <w:lang w:val="en-GB"/>
        </w:rPr>
      </w:pPr>
      <w:r>
        <w:t xml:space="preserve">(10) </w:t>
      </w:r>
      <w:r>
        <w:tab/>
        <w:t>The court may, notwithstanding anything to the contrary in this rule, at any stage before judgment grant leave to amend any pleading or document on such other terms as to costs or other matters as it deems fit.”</w:t>
      </w:r>
    </w:p>
  </w:footnote>
  <w:footnote w:id="2">
    <w:p w:rsidR="00244753" w:rsidRDefault="00244753" w:rsidP="00244753">
      <w:pPr>
        <w:pStyle w:val="FootnoteText"/>
      </w:pPr>
      <w:r>
        <w:rPr>
          <w:rStyle w:val="FootnoteReference"/>
        </w:rPr>
        <w:footnoteRef/>
      </w:r>
      <w:r>
        <w:t xml:space="preserve"> </w:t>
      </w:r>
      <w:r w:rsidR="006B4A62" w:rsidRPr="001F1394">
        <w:rPr>
          <w:rFonts w:ascii="Arial" w:eastAsia="Times New Roman" w:hAnsi="Arial" w:cs="Arial"/>
          <w:color w:val="0E101A"/>
          <w:sz w:val="24"/>
          <w:szCs w:val="24"/>
        </w:rPr>
        <w:t xml:space="preserve">See </w:t>
      </w:r>
      <w:r w:rsidR="006B4A62" w:rsidRPr="001F1394">
        <w:rPr>
          <w:rFonts w:ascii="Arial" w:eastAsia="Times New Roman" w:hAnsi="Arial" w:cs="Arial"/>
          <w:i/>
          <w:color w:val="0E101A"/>
          <w:sz w:val="24"/>
          <w:szCs w:val="24"/>
        </w:rPr>
        <w:t xml:space="preserve">Telematics, the Advertising Standards Authority South African  </w:t>
      </w:r>
      <w:r>
        <w:rPr>
          <w:rFonts w:ascii="Arial" w:hAnsi="Arial" w:cs="Arial"/>
          <w:i/>
          <w:color w:val="0E101A"/>
        </w:rPr>
        <w:t>2006 (1) SA 461 (SCA).</w:t>
      </w:r>
      <w:r>
        <w:rPr>
          <w:rFonts w:ascii="Arial" w:hAnsi="Arial" w:cs="Arial"/>
          <w:color w:val="0E101A"/>
        </w:rPr>
        <w:t> </w:t>
      </w:r>
    </w:p>
  </w:footnote>
  <w:footnote w:id="3">
    <w:p w:rsidR="00EB1B8D" w:rsidRPr="00EB1B8D" w:rsidRDefault="00EB1B8D" w:rsidP="00EB1B8D">
      <w:pPr>
        <w:spacing w:after="0" w:line="480" w:lineRule="auto"/>
        <w:jc w:val="both"/>
        <w:rPr>
          <w:lang w:val="en-GB"/>
        </w:rPr>
      </w:pPr>
      <w:r w:rsidRPr="00EB1B8D">
        <w:rPr>
          <w:rStyle w:val="FootnoteReference"/>
        </w:rPr>
        <w:footnoteRef/>
      </w:r>
      <w:r w:rsidRPr="00EB1B8D">
        <w:t xml:space="preserve"> </w:t>
      </w:r>
      <w:r w:rsidRPr="00EB1B8D">
        <w:rPr>
          <w:rFonts w:ascii="Arial" w:eastAsia="Times New Roman" w:hAnsi="Arial" w:cs="Arial"/>
          <w:i/>
          <w:color w:val="0E101A"/>
          <w:sz w:val="24"/>
          <w:szCs w:val="24"/>
          <w:lang w:eastAsia="en-ZA"/>
        </w:rPr>
        <w:t xml:space="preserve">Check Krischke v The Road Accident Fund 2004 (4) SA. The 358 (W) at 363.  </w:t>
      </w:r>
    </w:p>
  </w:footnote>
  <w:footnote w:id="4">
    <w:p w:rsidR="001F1394" w:rsidRPr="001F1394" w:rsidRDefault="001F1394" w:rsidP="001F1394">
      <w:pPr>
        <w:spacing w:after="0" w:line="480" w:lineRule="auto"/>
        <w:jc w:val="both"/>
        <w:rPr>
          <w:rFonts w:ascii="Times New Roman" w:eastAsia="Times New Roman" w:hAnsi="Times New Roman" w:cs="Times New Roman"/>
          <w:sz w:val="20"/>
          <w:szCs w:val="20"/>
          <w:highlight w:val="yellow"/>
          <w:lang w:eastAsia="en-ZA"/>
        </w:rPr>
      </w:pPr>
      <w:r>
        <w:rPr>
          <w:rStyle w:val="FootnoteReference"/>
        </w:rPr>
        <w:footnoteRef/>
      </w:r>
      <w:r>
        <w:t xml:space="preserve"> </w:t>
      </w:r>
      <w:r w:rsidRPr="001F1394">
        <w:rPr>
          <w:rFonts w:ascii="Arial" w:hAnsi="Arial" w:cs="Arial"/>
          <w:sz w:val="20"/>
          <w:szCs w:val="20"/>
        </w:rPr>
        <w:t>(42728/2012) [2012] ZAGPJHC 218; 2013 (2) SA 368 (GSJ) (11 September 2012)</w:t>
      </w:r>
    </w:p>
    <w:p w:rsidR="001F1394" w:rsidRPr="001F1394" w:rsidRDefault="001F1394">
      <w:pPr>
        <w:pStyle w:val="FootnoteText"/>
        <w:rPr>
          <w:lang w:val="en-GB"/>
        </w:rPr>
      </w:pPr>
    </w:p>
  </w:footnote>
  <w:footnote w:id="5">
    <w:p w:rsidR="001F1394" w:rsidRPr="001F1394" w:rsidRDefault="001F1394">
      <w:pPr>
        <w:pStyle w:val="FootnoteText"/>
        <w:rPr>
          <w:lang w:val="en-GB"/>
        </w:rPr>
      </w:pPr>
      <w:r>
        <w:rPr>
          <w:rStyle w:val="FootnoteReference"/>
        </w:rPr>
        <w:footnoteRef/>
      </w:r>
      <w:r>
        <w:t xml:space="preserve"> </w:t>
      </w:r>
      <w:r w:rsidRPr="001F1394">
        <w:rPr>
          <w:rFonts w:ascii="Arial" w:hAnsi="Arial" w:cs="Arial"/>
        </w:rPr>
        <w:t>41425/2020) [2021] ZAGPPHC 499 (5 August 2021).</w:t>
      </w:r>
    </w:p>
  </w:footnote>
  <w:footnote w:id="6">
    <w:p w:rsidR="00EB1B8D" w:rsidRPr="00EB1B8D" w:rsidRDefault="00EB1B8D">
      <w:pPr>
        <w:pStyle w:val="FootnoteText"/>
        <w:rPr>
          <w:lang w:val="en-GB"/>
        </w:rPr>
      </w:pPr>
      <w:r>
        <w:rPr>
          <w:rStyle w:val="FootnoteReference"/>
        </w:rPr>
        <w:footnoteRef/>
      </w:r>
      <w:r>
        <w:t xml:space="preserve"> </w:t>
      </w:r>
      <w:r w:rsidRPr="00EB1B8D">
        <w:rPr>
          <w:rFonts w:ascii="Arial" w:eastAsia="Times New Roman" w:hAnsi="Arial" w:cs="Arial"/>
          <w:color w:val="0E101A"/>
        </w:rPr>
        <w:t>2003(5) SA 665 (W)</w:t>
      </w:r>
      <w:r>
        <w:rPr>
          <w:rFonts w:ascii="Arial" w:eastAsia="Times New Roman" w:hAnsi="Arial" w:cs="Arial"/>
          <w:color w:val="0E101A"/>
        </w:rPr>
        <w:t>.</w:t>
      </w:r>
    </w:p>
  </w:footnote>
  <w:footnote w:id="7">
    <w:p w:rsidR="00EB1B8D" w:rsidRPr="00EB1B8D" w:rsidRDefault="00EB1B8D" w:rsidP="00EB1B8D">
      <w:pPr>
        <w:pStyle w:val="FootnoteText"/>
        <w:rPr>
          <w:lang w:val="en-GB"/>
        </w:rPr>
      </w:pPr>
      <w:r w:rsidRPr="00EB1B8D">
        <w:rPr>
          <w:rStyle w:val="FootnoteReference"/>
        </w:rPr>
        <w:footnoteRef/>
      </w:r>
      <w:r w:rsidRPr="00EB1B8D">
        <w:t xml:space="preserve"> </w:t>
      </w:r>
      <w:r w:rsidRPr="00EB1B8D">
        <w:rPr>
          <w:rFonts w:ascii="Arial" w:hAnsi="Arial" w:cs="Arial"/>
        </w:rPr>
        <w:t>(543/97) [2000] ZASCA 16; 2000 (3) SA 274 (SCA); [2000] 2 All SA 161 (A) (28 March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93869"/>
      <w:docPartObj>
        <w:docPartGallery w:val="Page Numbers (Top of Page)"/>
        <w:docPartUnique/>
      </w:docPartObj>
    </w:sdtPr>
    <w:sdtEndPr>
      <w:rPr>
        <w:noProof/>
      </w:rPr>
    </w:sdtEndPr>
    <w:sdtContent>
      <w:p w:rsidR="006B5EA8" w:rsidRDefault="006B5EA8">
        <w:pPr>
          <w:pStyle w:val="Header"/>
          <w:jc w:val="right"/>
        </w:pPr>
        <w:r>
          <w:t>Page -</w:t>
        </w:r>
        <w:r>
          <w:fldChar w:fldCharType="begin"/>
        </w:r>
        <w:r>
          <w:instrText xml:space="preserve"> PAGE   \* MERGEFORMAT </w:instrText>
        </w:r>
        <w:r>
          <w:fldChar w:fldCharType="separate"/>
        </w:r>
        <w:r w:rsidR="00F20435">
          <w:rPr>
            <w:noProof/>
          </w:rPr>
          <w:t>12</w:t>
        </w:r>
        <w:r>
          <w:rPr>
            <w:noProof/>
          </w:rPr>
          <w:fldChar w:fldCharType="end"/>
        </w:r>
      </w:p>
    </w:sdtContent>
  </w:sdt>
  <w:p w:rsidR="006B5EA8" w:rsidRDefault="006B5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B32C5"/>
    <w:multiLevelType w:val="multilevel"/>
    <w:tmpl w:val="C19E6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65188A"/>
    <w:multiLevelType w:val="hybridMultilevel"/>
    <w:tmpl w:val="B90A51B6"/>
    <w:lvl w:ilvl="0" w:tplc="19C647AE">
      <w:start w:val="1"/>
      <w:numFmt w:val="decimal"/>
      <w:lvlText w:val="[%1]"/>
      <w:lvlJc w:val="left"/>
      <w:pPr>
        <w:ind w:left="720" w:hanging="360"/>
      </w:pPr>
      <w:rPr>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58B73B10"/>
    <w:multiLevelType w:val="hybridMultilevel"/>
    <w:tmpl w:val="EAF2FA6A"/>
    <w:lvl w:ilvl="0" w:tplc="13865D62">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1A"/>
    <w:rsid w:val="00015147"/>
    <w:rsid w:val="0004456F"/>
    <w:rsid w:val="000E4AE2"/>
    <w:rsid w:val="001F1394"/>
    <w:rsid w:val="00214B41"/>
    <w:rsid w:val="00244753"/>
    <w:rsid w:val="00252935"/>
    <w:rsid w:val="00370D1A"/>
    <w:rsid w:val="00391772"/>
    <w:rsid w:val="003D1ABD"/>
    <w:rsid w:val="003E099D"/>
    <w:rsid w:val="004C7C64"/>
    <w:rsid w:val="004E526E"/>
    <w:rsid w:val="004F044C"/>
    <w:rsid w:val="0052600E"/>
    <w:rsid w:val="00575438"/>
    <w:rsid w:val="0062145C"/>
    <w:rsid w:val="00695F7C"/>
    <w:rsid w:val="006A0DA1"/>
    <w:rsid w:val="006B4A62"/>
    <w:rsid w:val="006B5EA8"/>
    <w:rsid w:val="0075363E"/>
    <w:rsid w:val="00774FEE"/>
    <w:rsid w:val="007C18AC"/>
    <w:rsid w:val="007D29E1"/>
    <w:rsid w:val="008478AC"/>
    <w:rsid w:val="00885FBE"/>
    <w:rsid w:val="008E6565"/>
    <w:rsid w:val="00911F56"/>
    <w:rsid w:val="00936A36"/>
    <w:rsid w:val="00964612"/>
    <w:rsid w:val="009918CB"/>
    <w:rsid w:val="009D6AF9"/>
    <w:rsid w:val="00A931EB"/>
    <w:rsid w:val="00AB3BA1"/>
    <w:rsid w:val="00AE0005"/>
    <w:rsid w:val="00B23418"/>
    <w:rsid w:val="00BB30EB"/>
    <w:rsid w:val="00BF75F3"/>
    <w:rsid w:val="00C968C5"/>
    <w:rsid w:val="00CB333F"/>
    <w:rsid w:val="00CC4697"/>
    <w:rsid w:val="00CF4CBB"/>
    <w:rsid w:val="00D00A94"/>
    <w:rsid w:val="00E94675"/>
    <w:rsid w:val="00EB1B8D"/>
    <w:rsid w:val="00EC6335"/>
    <w:rsid w:val="00EE7356"/>
    <w:rsid w:val="00F12CDD"/>
    <w:rsid w:val="00F20435"/>
    <w:rsid w:val="00F90F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EFEF1-7194-48DB-8383-AA106CEB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000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75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244753"/>
    <w:pPr>
      <w:spacing w:after="0" w:line="240" w:lineRule="auto"/>
    </w:pPr>
    <w:rPr>
      <w:rFonts w:eastAsiaTheme="minorEastAsia"/>
      <w:sz w:val="20"/>
      <w:szCs w:val="20"/>
      <w:lang w:eastAsia="en-ZA"/>
    </w:rPr>
  </w:style>
  <w:style w:type="character" w:customStyle="1" w:styleId="FootnoteTextChar">
    <w:name w:val="Footnote Text Char"/>
    <w:basedOn w:val="DefaultParagraphFont"/>
    <w:link w:val="FootnoteText"/>
    <w:uiPriority w:val="99"/>
    <w:semiHidden/>
    <w:rsid w:val="00244753"/>
    <w:rPr>
      <w:rFonts w:eastAsiaTheme="minorEastAsia"/>
      <w:sz w:val="20"/>
      <w:szCs w:val="20"/>
      <w:lang w:eastAsia="en-ZA"/>
    </w:rPr>
  </w:style>
  <w:style w:type="character" w:styleId="FootnoteReference">
    <w:name w:val="footnote reference"/>
    <w:basedOn w:val="DefaultParagraphFont"/>
    <w:uiPriority w:val="99"/>
    <w:semiHidden/>
    <w:unhideWhenUsed/>
    <w:rsid w:val="00244753"/>
    <w:rPr>
      <w:vertAlign w:val="superscript"/>
    </w:rPr>
  </w:style>
  <w:style w:type="character" w:styleId="Strong">
    <w:name w:val="Strong"/>
    <w:basedOn w:val="DefaultParagraphFont"/>
    <w:uiPriority w:val="22"/>
    <w:qFormat/>
    <w:rsid w:val="00244753"/>
    <w:rPr>
      <w:b/>
      <w:bCs/>
    </w:rPr>
  </w:style>
  <w:style w:type="character" w:styleId="Emphasis">
    <w:name w:val="Emphasis"/>
    <w:basedOn w:val="DefaultParagraphFont"/>
    <w:uiPriority w:val="20"/>
    <w:qFormat/>
    <w:rsid w:val="00244753"/>
    <w:rPr>
      <w:i/>
      <w:iCs/>
    </w:rPr>
  </w:style>
  <w:style w:type="paragraph" w:styleId="ListParagraph">
    <w:name w:val="List Paragraph"/>
    <w:basedOn w:val="Normal"/>
    <w:uiPriority w:val="34"/>
    <w:qFormat/>
    <w:rsid w:val="00F90F4B"/>
    <w:pPr>
      <w:ind w:left="720"/>
      <w:contextualSpacing/>
    </w:pPr>
  </w:style>
  <w:style w:type="character" w:customStyle="1" w:styleId="Heading2Char">
    <w:name w:val="Heading 2 Char"/>
    <w:basedOn w:val="DefaultParagraphFont"/>
    <w:link w:val="Heading2"/>
    <w:uiPriority w:val="9"/>
    <w:rsid w:val="00AE0005"/>
    <w:rPr>
      <w:rFonts w:ascii="Times New Roman" w:eastAsia="Times New Roman" w:hAnsi="Times New Roman" w:cs="Times New Roman"/>
      <w:b/>
      <w:bCs/>
      <w:sz w:val="36"/>
      <w:szCs w:val="36"/>
      <w:lang w:eastAsia="en-ZA"/>
    </w:rPr>
  </w:style>
  <w:style w:type="paragraph" w:styleId="BalloonText">
    <w:name w:val="Balloon Text"/>
    <w:basedOn w:val="Normal"/>
    <w:link w:val="BalloonTextChar"/>
    <w:uiPriority w:val="99"/>
    <w:semiHidden/>
    <w:unhideWhenUsed/>
    <w:rsid w:val="00015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47"/>
    <w:rPr>
      <w:rFonts w:ascii="Segoe UI" w:hAnsi="Segoe UI" w:cs="Segoe UI"/>
      <w:sz w:val="18"/>
      <w:szCs w:val="18"/>
    </w:rPr>
  </w:style>
  <w:style w:type="paragraph" w:styleId="Header">
    <w:name w:val="header"/>
    <w:basedOn w:val="Normal"/>
    <w:link w:val="HeaderChar"/>
    <w:uiPriority w:val="99"/>
    <w:unhideWhenUsed/>
    <w:rsid w:val="006B5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EA8"/>
  </w:style>
  <w:style w:type="paragraph" w:styleId="Footer">
    <w:name w:val="footer"/>
    <w:basedOn w:val="Normal"/>
    <w:link w:val="FooterChar"/>
    <w:uiPriority w:val="99"/>
    <w:unhideWhenUsed/>
    <w:rsid w:val="006B5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3806">
      <w:bodyDiv w:val="1"/>
      <w:marLeft w:val="0"/>
      <w:marRight w:val="0"/>
      <w:marTop w:val="0"/>
      <w:marBottom w:val="0"/>
      <w:divBdr>
        <w:top w:val="none" w:sz="0" w:space="0" w:color="auto"/>
        <w:left w:val="none" w:sz="0" w:space="0" w:color="auto"/>
        <w:bottom w:val="none" w:sz="0" w:space="0" w:color="auto"/>
        <w:right w:val="none" w:sz="0" w:space="0" w:color="auto"/>
      </w:divBdr>
    </w:div>
    <w:div w:id="978455965">
      <w:bodyDiv w:val="1"/>
      <w:marLeft w:val="0"/>
      <w:marRight w:val="0"/>
      <w:marTop w:val="0"/>
      <w:marBottom w:val="0"/>
      <w:divBdr>
        <w:top w:val="none" w:sz="0" w:space="0" w:color="auto"/>
        <w:left w:val="none" w:sz="0" w:space="0" w:color="auto"/>
        <w:bottom w:val="none" w:sz="0" w:space="0" w:color="auto"/>
        <w:right w:val="none" w:sz="0" w:space="0" w:color="auto"/>
      </w:divBdr>
      <w:divsChild>
        <w:div w:id="470288605">
          <w:marLeft w:val="0"/>
          <w:marRight w:val="0"/>
          <w:marTop w:val="0"/>
          <w:marBottom w:val="0"/>
          <w:divBdr>
            <w:top w:val="none" w:sz="0" w:space="0" w:color="auto"/>
            <w:left w:val="none" w:sz="0" w:space="0" w:color="auto"/>
            <w:bottom w:val="single" w:sz="4" w:space="1" w:color="auto"/>
            <w:right w:val="none" w:sz="0" w:space="0" w:color="auto"/>
          </w:divBdr>
        </w:div>
        <w:div w:id="301470951">
          <w:marLeft w:val="0"/>
          <w:marRight w:val="0"/>
          <w:marTop w:val="0"/>
          <w:marBottom w:val="0"/>
          <w:divBdr>
            <w:top w:val="none" w:sz="0" w:space="0" w:color="auto"/>
            <w:left w:val="none" w:sz="0" w:space="0" w:color="auto"/>
            <w:bottom w:val="single" w:sz="4" w:space="1" w:color="auto"/>
            <w:right w:val="none" w:sz="0" w:space="0" w:color="auto"/>
          </w:divBdr>
        </w:div>
        <w:div w:id="1565139448">
          <w:marLeft w:val="0"/>
          <w:marRight w:val="0"/>
          <w:marTop w:val="0"/>
          <w:marBottom w:val="0"/>
          <w:divBdr>
            <w:top w:val="none" w:sz="0" w:space="0" w:color="auto"/>
            <w:left w:val="none" w:sz="0" w:space="0" w:color="auto"/>
            <w:bottom w:val="none" w:sz="0" w:space="0" w:color="auto"/>
            <w:right w:val="none" w:sz="0" w:space="0" w:color="auto"/>
          </w:divBdr>
        </w:div>
      </w:divsChild>
    </w:div>
    <w:div w:id="1512718689">
      <w:bodyDiv w:val="1"/>
      <w:marLeft w:val="0"/>
      <w:marRight w:val="0"/>
      <w:marTop w:val="0"/>
      <w:marBottom w:val="0"/>
      <w:divBdr>
        <w:top w:val="none" w:sz="0" w:space="0" w:color="auto"/>
        <w:left w:val="none" w:sz="0" w:space="0" w:color="auto"/>
        <w:bottom w:val="none" w:sz="0" w:space="0" w:color="auto"/>
        <w:right w:val="none" w:sz="0" w:space="0" w:color="auto"/>
      </w:divBdr>
    </w:div>
    <w:div w:id="16355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8ABB-A8DC-4609-AD17-4D76245B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Mokone</cp:lastModifiedBy>
  <cp:revision>3</cp:revision>
  <cp:lastPrinted>2022-11-07T10:02:00Z</cp:lastPrinted>
  <dcterms:created xsi:type="dcterms:W3CDTF">2022-11-09T12:48:00Z</dcterms:created>
  <dcterms:modified xsi:type="dcterms:W3CDTF">2022-11-09T12:48:00Z</dcterms:modified>
</cp:coreProperties>
</file>