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69069" w14:textId="77777777" w:rsidR="00E9495C" w:rsidRPr="00A22490" w:rsidRDefault="00E9495C" w:rsidP="00E9495C">
      <w:pPr>
        <w:pStyle w:val="LegalTitle"/>
        <w:spacing w:after="0" w:line="360" w:lineRule="auto"/>
      </w:pPr>
      <w:r w:rsidRPr="00A22490">
        <w:t>REPUBLIC OF SOUTH AFRICA</w:t>
      </w:r>
    </w:p>
    <w:p w14:paraId="3F5ED7E6" w14:textId="77777777" w:rsidR="00E9495C" w:rsidRPr="00A22490" w:rsidRDefault="00E9495C" w:rsidP="00E9495C">
      <w:pPr>
        <w:pStyle w:val="LegalTitle"/>
        <w:spacing w:after="0" w:line="360" w:lineRule="auto"/>
      </w:pPr>
      <w:r w:rsidRPr="00A22490">
        <w:rPr>
          <w:noProof/>
          <w:lang w:val="en-ZA" w:eastAsia="en-ZA"/>
        </w:rPr>
        <w:drawing>
          <wp:inline distT="0" distB="0" distL="0" distR="0" wp14:anchorId="1E5983E1" wp14:editId="6B250150">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348D5E88" w14:textId="77777777" w:rsidR="00E9495C" w:rsidRPr="00A22490" w:rsidRDefault="00E9495C" w:rsidP="00E9495C">
      <w:pPr>
        <w:pStyle w:val="LegalTitle"/>
        <w:spacing w:after="0" w:line="360" w:lineRule="auto"/>
      </w:pPr>
      <w:r w:rsidRPr="00A22490">
        <w:t>IN THE HIGH COURT OF SOUTH AFRICA</w:t>
      </w:r>
    </w:p>
    <w:p w14:paraId="2E70684A" w14:textId="77777777" w:rsidR="00E9495C" w:rsidRPr="00A22490" w:rsidRDefault="00E9495C" w:rsidP="00E9495C">
      <w:pPr>
        <w:pStyle w:val="LegalTitle"/>
        <w:spacing w:line="360" w:lineRule="auto"/>
      </w:pPr>
      <w:r w:rsidRPr="00A22490">
        <w:rPr>
          <w:rFonts w:eastAsiaTheme="minorEastAsia"/>
          <w:noProof/>
          <w:lang w:val="en-ZA" w:eastAsia="en-ZA"/>
        </w:rPr>
        <mc:AlternateContent>
          <mc:Choice Requires="wps">
            <w:drawing>
              <wp:anchor distT="0" distB="0" distL="114300" distR="114300" simplePos="0" relativeHeight="251659264" behindDoc="0" locked="0" layoutInCell="1" allowOverlap="1" wp14:anchorId="05B04B35" wp14:editId="5741EE85">
                <wp:simplePos x="0" y="0"/>
                <wp:positionH relativeFrom="column">
                  <wp:posOffset>-181583</wp:posOffset>
                </wp:positionH>
                <wp:positionV relativeFrom="paragraph">
                  <wp:posOffset>249514</wp:posOffset>
                </wp:positionV>
                <wp:extent cx="2665379" cy="1154349"/>
                <wp:effectExtent l="0" t="0" r="2095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379" cy="1154349"/>
                        </a:xfrm>
                        <a:prstGeom prst="rect">
                          <a:avLst/>
                        </a:prstGeom>
                        <a:solidFill>
                          <a:srgbClr val="FFFFFF"/>
                        </a:solidFill>
                        <a:ln w="9525">
                          <a:solidFill>
                            <a:srgbClr val="000000"/>
                          </a:solidFill>
                          <a:miter lim="800000"/>
                          <a:headEnd/>
                          <a:tailEnd/>
                        </a:ln>
                      </wps:spPr>
                      <wps:txbx>
                        <w:txbxContent>
                          <w:p w14:paraId="5BFAF897" w14:textId="77777777" w:rsidR="00B877FD" w:rsidRPr="0038792A" w:rsidRDefault="00B877FD" w:rsidP="00E9495C">
                            <w:pPr>
                              <w:numPr>
                                <w:ilvl w:val="0"/>
                                <w:numId w:val="50"/>
                              </w:numPr>
                              <w:spacing w:after="0" w:line="240" w:lineRule="auto"/>
                              <w:jc w:val="left"/>
                              <w:rPr>
                                <w:szCs w:val="20"/>
                              </w:rPr>
                            </w:pPr>
                            <w:r>
                              <w:rPr>
                                <w:szCs w:val="20"/>
                              </w:rPr>
                              <w:t xml:space="preserve">REPORTABLE: </w:t>
                            </w:r>
                            <w:r>
                              <w:rPr>
                                <w:b/>
                                <w:i/>
                                <w:szCs w:val="20"/>
                              </w:rPr>
                              <w:t>NO</w:t>
                            </w:r>
                          </w:p>
                          <w:p w14:paraId="461F9FE2" w14:textId="77777777" w:rsidR="00B877FD" w:rsidRPr="0038792A" w:rsidRDefault="00B877FD" w:rsidP="00E9495C">
                            <w:pPr>
                              <w:numPr>
                                <w:ilvl w:val="0"/>
                                <w:numId w:val="50"/>
                              </w:numPr>
                              <w:spacing w:after="0" w:line="240" w:lineRule="auto"/>
                              <w:jc w:val="left"/>
                              <w:rPr>
                                <w:szCs w:val="20"/>
                              </w:rPr>
                            </w:pPr>
                            <w:r w:rsidRPr="0038792A">
                              <w:rPr>
                                <w:szCs w:val="20"/>
                              </w:rPr>
                              <w:t xml:space="preserve">OF </w:t>
                            </w:r>
                            <w:r>
                              <w:rPr>
                                <w:szCs w:val="20"/>
                              </w:rPr>
                              <w:t xml:space="preserve">INTEREST TO OTHER JUDGES: </w:t>
                            </w:r>
                            <w:r w:rsidRPr="00732567">
                              <w:rPr>
                                <w:b/>
                                <w:szCs w:val="20"/>
                              </w:rPr>
                              <w:t>NO</w:t>
                            </w:r>
                          </w:p>
                          <w:p w14:paraId="46457193" w14:textId="77777777" w:rsidR="00B877FD" w:rsidRPr="00EB7E92" w:rsidRDefault="00B877FD" w:rsidP="00E9495C">
                            <w:pPr>
                              <w:numPr>
                                <w:ilvl w:val="0"/>
                                <w:numId w:val="50"/>
                              </w:numPr>
                              <w:spacing w:after="120" w:line="240" w:lineRule="auto"/>
                              <w:ind w:left="901"/>
                              <w:jc w:val="left"/>
                              <w:rPr>
                                <w:szCs w:val="20"/>
                              </w:rPr>
                            </w:pPr>
                            <w:r w:rsidRPr="00EB7E92">
                              <w:rPr>
                                <w:szCs w:val="20"/>
                              </w:rPr>
                              <w:t xml:space="preserve">REVISED: </w:t>
                            </w:r>
                            <w:r w:rsidRPr="00EB7E92">
                              <w:rPr>
                                <w:szCs w:val="20"/>
                              </w:rPr>
                              <w:tab/>
                            </w:r>
                          </w:p>
                          <w:p w14:paraId="7122F163" w14:textId="67D27E0B" w:rsidR="00B877FD" w:rsidRPr="00F12FD8" w:rsidRDefault="00B877FD" w:rsidP="00E9495C">
                            <w:pPr>
                              <w:rPr>
                                <w:noProof/>
                                <w:lang w:val="en-ZA" w:eastAsia="en-ZA"/>
                              </w:rPr>
                            </w:pPr>
                            <w:r w:rsidRPr="004D707E">
                              <w:t xml:space="preserve"> </w:t>
                            </w:r>
                            <w:r>
                              <w:t>Signature:Date: 4/11/2022</w:t>
                            </w:r>
                          </w:p>
                          <w:p w14:paraId="64934CC3" w14:textId="77777777" w:rsidR="00B877FD" w:rsidRDefault="00B877FD" w:rsidP="00E9495C">
                            <w:pPr>
                              <w:rPr>
                                <w:sz w:val="28"/>
                                <w:szCs w:val="28"/>
                              </w:rPr>
                            </w:pPr>
                          </w:p>
                          <w:p w14:paraId="01F4C0F7" w14:textId="77777777" w:rsidR="00B877FD" w:rsidRDefault="00B877FD" w:rsidP="00E9495C">
                            <w:pPr>
                              <w:rPr>
                                <w:sz w:val="28"/>
                                <w:szCs w:val="28"/>
                              </w:rPr>
                            </w:pPr>
                            <w:r>
                              <w:rPr>
                                <w:sz w:val="28"/>
                                <w:szCs w:val="28"/>
                              </w:rPr>
                              <w:t>____________________        ____________________</w:t>
                            </w:r>
                          </w:p>
                          <w:p w14:paraId="259B7B54" w14:textId="77777777" w:rsidR="00B877FD" w:rsidRDefault="00B877FD" w:rsidP="00E9495C">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8D716D0" w14:textId="77777777" w:rsidR="00B877FD" w:rsidRDefault="00B877FD" w:rsidP="00E9495C">
                            <w:pPr>
                              <w:rPr>
                                <w:sz w:val="28"/>
                                <w:szCs w:val="28"/>
                              </w:rPr>
                            </w:pPr>
                          </w:p>
                          <w:p w14:paraId="4E931D7A" w14:textId="77777777" w:rsidR="00B877FD" w:rsidRDefault="00B877FD" w:rsidP="00E9495C">
                            <w:pPr>
                              <w:rPr>
                                <w:sz w:val="28"/>
                                <w:szCs w:val="28"/>
                              </w:rPr>
                            </w:pPr>
                          </w:p>
                          <w:p w14:paraId="7CDEAB15" w14:textId="77777777" w:rsidR="00B877FD" w:rsidRDefault="00B877FD" w:rsidP="00E9495C">
                            <w:pPr>
                              <w:rPr>
                                <w:sz w:val="28"/>
                                <w:szCs w:val="28"/>
                              </w:rPr>
                            </w:pPr>
                          </w:p>
                          <w:p w14:paraId="055635B3" w14:textId="77777777" w:rsidR="00B877FD" w:rsidRPr="009533D5" w:rsidRDefault="00B877FD" w:rsidP="00E9495C">
                            <w:pPr>
                              <w:rPr>
                                <w:sz w:val="28"/>
                                <w:szCs w:val="28"/>
                              </w:rPr>
                            </w:pPr>
                          </w:p>
                          <w:p w14:paraId="5756CB40" w14:textId="77777777" w:rsidR="00B877FD" w:rsidRDefault="00B877FD" w:rsidP="00E9495C">
                            <w:pPr>
                              <w:rPr>
                                <w:b/>
                              </w:rPr>
                            </w:pPr>
                          </w:p>
                          <w:p w14:paraId="37C02B12" w14:textId="77777777" w:rsidR="00B877FD" w:rsidRDefault="00B877FD" w:rsidP="00E9495C">
                            <w:pPr>
                              <w:rPr>
                                <w:b/>
                              </w:rPr>
                            </w:pPr>
                          </w:p>
                          <w:p w14:paraId="62411CB1" w14:textId="77777777" w:rsidR="00B877FD" w:rsidRDefault="00B877FD" w:rsidP="00E9495C">
                            <w:pPr>
                              <w:rPr>
                                <w:b/>
                              </w:rPr>
                            </w:pPr>
                          </w:p>
                          <w:p w14:paraId="76F69341" w14:textId="77777777" w:rsidR="00B877FD" w:rsidRPr="00B93709" w:rsidRDefault="00B877FD" w:rsidP="00E9495C">
                            <w:pPr>
                              <w:rPr>
                                <w:b/>
                              </w:rPr>
                            </w:pPr>
                          </w:p>
                          <w:p w14:paraId="6C7C2676" w14:textId="77777777" w:rsidR="00B877FD" w:rsidRPr="00B93709" w:rsidRDefault="00B877FD" w:rsidP="00E9495C">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04B35" id="_x0000_t202" coordsize="21600,21600" o:spt="202" path="m,l,21600r21600,l21600,xe">
                <v:stroke joinstyle="miter"/>
                <v:path gradientshapeok="t" o:connecttype="rect"/>
              </v:shapetype>
              <v:shape id="Text Box 1" o:spid="_x0000_s1026" type="#_x0000_t202" style="position:absolute;left:0;text-align:left;margin-left:-14.3pt;margin-top:19.65pt;width:209.85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ubLAIAAFEEAAAOAAAAZHJzL2Uyb0RvYy54bWysVNtu2zAMfR+wfxD0vjhOk7Qx4hRdugwD&#10;ugvQ7gNkWbaFSaImKbG7rx8lp5mx7WmYHwRRpI4OD0lvbwetyEk4L8GUNJ/NKRGGQy1NW9KvT4c3&#10;N5T4wEzNFBhR0mfh6e3u9attbwuxgA5ULRxBEOOL3pa0C8EWWeZ5JzTzM7DCoLMBp1lA07VZ7ViP&#10;6Fpli/l8nfXgauuAC+/x9H500l3CbxrBw+em8SIQVVLkFtLq0lrFNdttWdE6ZjvJzzTYP7DQTBp8&#10;9AJ1zwIjRyf/gNKSO/DQhBkHnUHTSC5SDphNPv8tm8eOWZFyQXG8vcjk/x8s/3T64oissXaUGKax&#10;RE9iCOQtDCSP6vTWFxj0aDEsDHgcI2Om3j4A/+aJgX3HTCvunIO+E6xGdulmNrk64vgIUvUfocZn&#10;2DFAAhoapyMgikEQHav0fKlMpMLxcLFer66uN5Rw9OX5anm13ER2GSterlvnw3sBmsRNSR2WPsGz&#10;04MPY+hLSKIPStYHqVQyXFvtlSMnhm1ySN8Z3U/DlCF9STerxWpUYOrzU4h5+v4GoWXAfldSl/Tm&#10;EsSKqNs7U6duDEyqcY/ZKYNJRiGjdqOKYaiGc2EqqJ9RUgdjX+Mc4qYD94OSHnu6pP77kTlBifpg&#10;sCybfLmMQ5CM5ep6gYabeqqphxmOUCUNlIzbfRgH52idbDt8aWwEA3dYykYmkSPVkdWZN/ZtKtN5&#10;xuJgTO0U9etPsPsJAAD//wMAUEsDBBQABgAIAAAAIQCw+iRA4AAAAAoBAAAPAAAAZHJzL2Rvd25y&#10;ZXYueG1sTI/LTsMwEEX3SPyDNUhsUOs8UEhCJhVCAsGuFARbN54mEX4E203D32NWsJvRHN05t9ks&#10;WrGZnB+tQUjXCTAynZWj6RHeXh9WJTAfhJFCWUMI3+Rh056fNaKW9mReaN6FnsUQ42uBMIQw1Zz7&#10;biAt/NpOZOLtYJ0WIa6u59KJUwzXimdJUnAtRhM/DGKi+4G6z91RI5TXT/OHf863711xUFW4upkf&#10;vxzi5cVydwss0BL+YPjVj+rQRqe9PRrpmUJYZWURUYS8yoFFIK/SFNgeIcviwNuG/6/Q/gAAAP//&#10;AwBQSwECLQAUAAYACAAAACEAtoM4kv4AAADhAQAAEwAAAAAAAAAAAAAAAAAAAAAAW0NvbnRlbnRf&#10;VHlwZXNdLnhtbFBLAQItABQABgAIAAAAIQA4/SH/1gAAAJQBAAALAAAAAAAAAAAAAAAAAC8BAABf&#10;cmVscy8ucmVsc1BLAQItABQABgAIAAAAIQAD0xubLAIAAFEEAAAOAAAAAAAAAAAAAAAAAC4CAABk&#10;cnMvZTJvRG9jLnhtbFBLAQItABQABgAIAAAAIQCw+iRA4AAAAAoBAAAPAAAAAAAAAAAAAAAAAIYE&#10;AABkcnMvZG93bnJldi54bWxQSwUGAAAAAAQABADzAAAAkwUAAAAA&#10;">
                <v:textbox>
                  <w:txbxContent>
                    <w:p w14:paraId="5BFAF897" w14:textId="77777777" w:rsidR="00B877FD" w:rsidRPr="0038792A" w:rsidRDefault="00B877FD" w:rsidP="00E9495C">
                      <w:pPr>
                        <w:numPr>
                          <w:ilvl w:val="0"/>
                          <w:numId w:val="50"/>
                        </w:numPr>
                        <w:spacing w:after="0" w:line="240" w:lineRule="auto"/>
                        <w:jc w:val="left"/>
                        <w:rPr>
                          <w:szCs w:val="20"/>
                        </w:rPr>
                      </w:pPr>
                      <w:r>
                        <w:rPr>
                          <w:szCs w:val="20"/>
                        </w:rPr>
                        <w:t xml:space="preserve">REPORTABLE: </w:t>
                      </w:r>
                      <w:r>
                        <w:rPr>
                          <w:b/>
                          <w:i/>
                          <w:szCs w:val="20"/>
                        </w:rPr>
                        <w:t>NO</w:t>
                      </w:r>
                    </w:p>
                    <w:p w14:paraId="461F9FE2" w14:textId="77777777" w:rsidR="00B877FD" w:rsidRPr="0038792A" w:rsidRDefault="00B877FD" w:rsidP="00E9495C">
                      <w:pPr>
                        <w:numPr>
                          <w:ilvl w:val="0"/>
                          <w:numId w:val="50"/>
                        </w:numPr>
                        <w:spacing w:after="0" w:line="240" w:lineRule="auto"/>
                        <w:jc w:val="left"/>
                        <w:rPr>
                          <w:szCs w:val="20"/>
                        </w:rPr>
                      </w:pPr>
                      <w:r w:rsidRPr="0038792A">
                        <w:rPr>
                          <w:szCs w:val="20"/>
                        </w:rPr>
                        <w:t xml:space="preserve">OF </w:t>
                      </w:r>
                      <w:r>
                        <w:rPr>
                          <w:szCs w:val="20"/>
                        </w:rPr>
                        <w:t xml:space="preserve">INTEREST TO OTHER JUDGES: </w:t>
                      </w:r>
                      <w:r w:rsidRPr="00732567">
                        <w:rPr>
                          <w:b/>
                          <w:szCs w:val="20"/>
                        </w:rPr>
                        <w:t>NO</w:t>
                      </w:r>
                    </w:p>
                    <w:p w14:paraId="46457193" w14:textId="77777777" w:rsidR="00B877FD" w:rsidRPr="00EB7E92" w:rsidRDefault="00B877FD" w:rsidP="00E9495C">
                      <w:pPr>
                        <w:numPr>
                          <w:ilvl w:val="0"/>
                          <w:numId w:val="50"/>
                        </w:numPr>
                        <w:spacing w:after="120" w:line="240" w:lineRule="auto"/>
                        <w:ind w:left="901"/>
                        <w:jc w:val="left"/>
                        <w:rPr>
                          <w:szCs w:val="20"/>
                        </w:rPr>
                      </w:pPr>
                      <w:r w:rsidRPr="00EB7E92">
                        <w:rPr>
                          <w:szCs w:val="20"/>
                        </w:rPr>
                        <w:t xml:space="preserve">REVISED: </w:t>
                      </w:r>
                      <w:r w:rsidRPr="00EB7E92">
                        <w:rPr>
                          <w:szCs w:val="20"/>
                        </w:rPr>
                        <w:tab/>
                      </w:r>
                    </w:p>
                    <w:p w14:paraId="7122F163" w14:textId="67D27E0B" w:rsidR="00B877FD" w:rsidRPr="00F12FD8" w:rsidRDefault="00B877FD" w:rsidP="00E9495C">
                      <w:pPr>
                        <w:rPr>
                          <w:noProof/>
                          <w:lang w:val="en-ZA" w:eastAsia="en-ZA"/>
                        </w:rPr>
                      </w:pPr>
                      <w:r w:rsidRPr="004D707E">
                        <w:t xml:space="preserve"> </w:t>
                      </w:r>
                      <w:r>
                        <w:t>Signature:Date: 4/11/2022</w:t>
                      </w:r>
                    </w:p>
                    <w:p w14:paraId="64934CC3" w14:textId="77777777" w:rsidR="00B877FD" w:rsidRDefault="00B877FD" w:rsidP="00E9495C">
                      <w:pPr>
                        <w:rPr>
                          <w:sz w:val="28"/>
                          <w:szCs w:val="28"/>
                        </w:rPr>
                      </w:pPr>
                    </w:p>
                    <w:p w14:paraId="01F4C0F7" w14:textId="77777777" w:rsidR="00B877FD" w:rsidRDefault="00B877FD" w:rsidP="00E9495C">
                      <w:pPr>
                        <w:rPr>
                          <w:sz w:val="28"/>
                          <w:szCs w:val="28"/>
                        </w:rPr>
                      </w:pPr>
                      <w:r>
                        <w:rPr>
                          <w:sz w:val="28"/>
                          <w:szCs w:val="28"/>
                        </w:rPr>
                        <w:t>____________________        ____________________</w:t>
                      </w:r>
                    </w:p>
                    <w:p w14:paraId="259B7B54" w14:textId="77777777" w:rsidR="00B877FD" w:rsidRDefault="00B877FD" w:rsidP="00E9495C">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8D716D0" w14:textId="77777777" w:rsidR="00B877FD" w:rsidRDefault="00B877FD" w:rsidP="00E9495C">
                      <w:pPr>
                        <w:rPr>
                          <w:sz w:val="28"/>
                          <w:szCs w:val="28"/>
                        </w:rPr>
                      </w:pPr>
                    </w:p>
                    <w:p w14:paraId="4E931D7A" w14:textId="77777777" w:rsidR="00B877FD" w:rsidRDefault="00B877FD" w:rsidP="00E9495C">
                      <w:pPr>
                        <w:rPr>
                          <w:sz w:val="28"/>
                          <w:szCs w:val="28"/>
                        </w:rPr>
                      </w:pPr>
                    </w:p>
                    <w:p w14:paraId="7CDEAB15" w14:textId="77777777" w:rsidR="00B877FD" w:rsidRDefault="00B877FD" w:rsidP="00E9495C">
                      <w:pPr>
                        <w:rPr>
                          <w:sz w:val="28"/>
                          <w:szCs w:val="28"/>
                        </w:rPr>
                      </w:pPr>
                    </w:p>
                    <w:p w14:paraId="055635B3" w14:textId="77777777" w:rsidR="00B877FD" w:rsidRPr="009533D5" w:rsidRDefault="00B877FD" w:rsidP="00E9495C">
                      <w:pPr>
                        <w:rPr>
                          <w:sz w:val="28"/>
                          <w:szCs w:val="28"/>
                        </w:rPr>
                      </w:pPr>
                    </w:p>
                    <w:p w14:paraId="5756CB40" w14:textId="77777777" w:rsidR="00B877FD" w:rsidRDefault="00B877FD" w:rsidP="00E9495C">
                      <w:pPr>
                        <w:rPr>
                          <w:b/>
                        </w:rPr>
                      </w:pPr>
                    </w:p>
                    <w:p w14:paraId="37C02B12" w14:textId="77777777" w:rsidR="00B877FD" w:rsidRDefault="00B877FD" w:rsidP="00E9495C">
                      <w:pPr>
                        <w:rPr>
                          <w:b/>
                        </w:rPr>
                      </w:pPr>
                    </w:p>
                    <w:p w14:paraId="62411CB1" w14:textId="77777777" w:rsidR="00B877FD" w:rsidRDefault="00B877FD" w:rsidP="00E9495C">
                      <w:pPr>
                        <w:rPr>
                          <w:b/>
                        </w:rPr>
                      </w:pPr>
                    </w:p>
                    <w:p w14:paraId="76F69341" w14:textId="77777777" w:rsidR="00B877FD" w:rsidRPr="00B93709" w:rsidRDefault="00B877FD" w:rsidP="00E9495C">
                      <w:pPr>
                        <w:rPr>
                          <w:b/>
                        </w:rPr>
                      </w:pPr>
                    </w:p>
                    <w:p w14:paraId="6C7C2676" w14:textId="77777777" w:rsidR="00B877FD" w:rsidRPr="00B93709" w:rsidRDefault="00B877FD" w:rsidP="00E9495C">
                      <w:r w:rsidRPr="00B93709">
                        <w:t xml:space="preserve">             </w:t>
                      </w:r>
                      <w:r>
                        <w:t xml:space="preserve">  </w:t>
                      </w:r>
                      <w:r>
                        <w:tab/>
                      </w:r>
                      <w:r>
                        <w:tab/>
                        <w:t xml:space="preserve">      </w:t>
                      </w:r>
                    </w:p>
                  </w:txbxContent>
                </v:textbox>
              </v:shape>
            </w:pict>
          </mc:Fallback>
        </mc:AlternateContent>
      </w:r>
      <w:r w:rsidRPr="00A22490">
        <w:t>GAUTENG LOCAL DIVISION, JOHANNESBURG</w:t>
      </w:r>
    </w:p>
    <w:p w14:paraId="295DB367" w14:textId="77777777" w:rsidR="00E9495C" w:rsidRDefault="00E9495C" w:rsidP="00E9495C">
      <w:pPr>
        <w:pStyle w:val="LegalAnnexure"/>
        <w:spacing w:after="240" w:line="360" w:lineRule="auto"/>
        <w:rPr>
          <w:u w:val="single"/>
        </w:rPr>
      </w:pPr>
    </w:p>
    <w:p w14:paraId="0AB84C11" w14:textId="77777777" w:rsidR="00E9495C" w:rsidRDefault="00E9495C" w:rsidP="00E9495C">
      <w:pPr>
        <w:pStyle w:val="LegalAnnexure"/>
        <w:spacing w:after="120" w:line="360" w:lineRule="auto"/>
        <w:rPr>
          <w:u w:val="single"/>
        </w:rPr>
      </w:pPr>
    </w:p>
    <w:p w14:paraId="5B4ACCE4" w14:textId="77777777" w:rsidR="00E9495C" w:rsidRDefault="00E9495C" w:rsidP="00E9495C">
      <w:pPr>
        <w:spacing w:after="0"/>
        <w:jc w:val="right"/>
        <w:rPr>
          <w:b/>
          <w:sz w:val="24"/>
          <w:szCs w:val="24"/>
        </w:rPr>
      </w:pPr>
    </w:p>
    <w:p w14:paraId="5FA320D1" w14:textId="253CA585" w:rsidR="00E9495C" w:rsidRDefault="00E9495C" w:rsidP="00E9495C">
      <w:pPr>
        <w:spacing w:after="0"/>
        <w:jc w:val="right"/>
        <w:rPr>
          <w:sz w:val="24"/>
          <w:szCs w:val="24"/>
        </w:rPr>
      </w:pPr>
      <w:r w:rsidRPr="00A22490">
        <w:rPr>
          <w:b/>
          <w:sz w:val="24"/>
          <w:szCs w:val="24"/>
        </w:rPr>
        <w:t>CASE NO</w:t>
      </w:r>
      <w:r w:rsidRPr="000E19A8">
        <w:rPr>
          <w:sz w:val="24"/>
          <w:szCs w:val="24"/>
        </w:rPr>
        <w:t xml:space="preserve">: </w:t>
      </w:r>
      <w:r>
        <w:rPr>
          <w:sz w:val="24"/>
          <w:szCs w:val="24"/>
        </w:rPr>
        <w:t>30540</w:t>
      </w:r>
      <w:r w:rsidRPr="000E19A8">
        <w:rPr>
          <w:sz w:val="24"/>
          <w:szCs w:val="24"/>
        </w:rPr>
        <w:t>/20</w:t>
      </w:r>
      <w:r>
        <w:rPr>
          <w:sz w:val="24"/>
          <w:szCs w:val="24"/>
        </w:rPr>
        <w:t>17</w:t>
      </w:r>
      <w:r w:rsidRPr="000E19A8">
        <w:rPr>
          <w:sz w:val="24"/>
          <w:szCs w:val="24"/>
        </w:rPr>
        <w:t xml:space="preserve"> </w:t>
      </w:r>
    </w:p>
    <w:p w14:paraId="102ED18A" w14:textId="77777777" w:rsidR="00E9495C" w:rsidRDefault="00E9495C" w:rsidP="00E9495C">
      <w:pPr>
        <w:spacing w:after="0"/>
        <w:rPr>
          <w:sz w:val="24"/>
          <w:szCs w:val="24"/>
        </w:rPr>
      </w:pPr>
      <w:r w:rsidRPr="000E19A8">
        <w:rPr>
          <w:sz w:val="24"/>
          <w:szCs w:val="24"/>
        </w:rPr>
        <w:t xml:space="preserve">In the matter between: </w:t>
      </w:r>
    </w:p>
    <w:p w14:paraId="6F2945EA" w14:textId="77777777" w:rsidR="00E9495C" w:rsidRDefault="00E9495C" w:rsidP="00E9495C">
      <w:pPr>
        <w:spacing w:after="120"/>
        <w:rPr>
          <w:sz w:val="24"/>
          <w:szCs w:val="24"/>
        </w:rPr>
      </w:pPr>
    </w:p>
    <w:p w14:paraId="1D6C1759" w14:textId="051D237A" w:rsidR="00E9495C" w:rsidRDefault="00E9495C" w:rsidP="00E9495C">
      <w:pPr>
        <w:spacing w:after="120"/>
        <w:rPr>
          <w:sz w:val="24"/>
          <w:szCs w:val="24"/>
        </w:rPr>
      </w:pPr>
      <w:r>
        <w:rPr>
          <w:sz w:val="24"/>
          <w:szCs w:val="24"/>
        </w:rPr>
        <w:t xml:space="preserve">SHARNEE NOIK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First Applicant</w:t>
      </w:r>
    </w:p>
    <w:p w14:paraId="49E6A10A" w14:textId="30AFB79B" w:rsidR="00E9495C" w:rsidRDefault="00E9495C" w:rsidP="00E9495C">
      <w:pPr>
        <w:spacing w:after="120"/>
        <w:rPr>
          <w:sz w:val="24"/>
          <w:szCs w:val="24"/>
        </w:rPr>
      </w:pPr>
      <w:r>
        <w:rPr>
          <w:sz w:val="24"/>
          <w:szCs w:val="24"/>
        </w:rPr>
        <w:t xml:space="preserve">BRIAN NOIK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Applicant</w:t>
      </w:r>
    </w:p>
    <w:p w14:paraId="56C87631" w14:textId="77777777" w:rsidR="00E9495C" w:rsidRDefault="00E9495C" w:rsidP="00E9495C">
      <w:pPr>
        <w:spacing w:after="0"/>
        <w:rPr>
          <w:sz w:val="24"/>
          <w:szCs w:val="24"/>
        </w:rPr>
      </w:pPr>
    </w:p>
    <w:p w14:paraId="636B0CDE" w14:textId="77777777" w:rsidR="00E9495C" w:rsidRDefault="00E9495C" w:rsidP="00E9495C">
      <w:pPr>
        <w:spacing w:after="0"/>
        <w:rPr>
          <w:sz w:val="24"/>
          <w:szCs w:val="24"/>
        </w:rPr>
      </w:pPr>
      <w:r w:rsidRPr="000E19A8">
        <w:rPr>
          <w:sz w:val="24"/>
          <w:szCs w:val="24"/>
        </w:rPr>
        <w:t xml:space="preserve">And </w:t>
      </w:r>
    </w:p>
    <w:p w14:paraId="1CD97D0A" w14:textId="77777777" w:rsidR="00E9495C" w:rsidRDefault="00E9495C" w:rsidP="00E9495C">
      <w:pPr>
        <w:spacing w:after="0"/>
        <w:rPr>
          <w:sz w:val="24"/>
          <w:szCs w:val="24"/>
        </w:rPr>
      </w:pPr>
    </w:p>
    <w:p w14:paraId="5E9E9AAF" w14:textId="10DC7EAD" w:rsidR="00E9495C" w:rsidRDefault="00E9495C" w:rsidP="00E9495C">
      <w:pPr>
        <w:spacing w:after="120"/>
        <w:rPr>
          <w:sz w:val="24"/>
          <w:szCs w:val="24"/>
        </w:rPr>
      </w:pPr>
      <w:r>
        <w:rPr>
          <w:sz w:val="24"/>
          <w:szCs w:val="24"/>
        </w:rPr>
        <w:t xml:space="preserve">MARY CAROL LOUISE MASON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First Respondent</w:t>
      </w:r>
    </w:p>
    <w:p w14:paraId="55A6344B" w14:textId="0648C2C0" w:rsidR="00E9495C" w:rsidRDefault="00E9495C" w:rsidP="00E9495C">
      <w:pPr>
        <w:spacing w:after="120"/>
        <w:rPr>
          <w:sz w:val="24"/>
          <w:szCs w:val="24"/>
        </w:rPr>
      </w:pPr>
      <w:r>
        <w:rPr>
          <w:sz w:val="24"/>
          <w:szCs w:val="24"/>
        </w:rPr>
        <w:t>THE REGISTRAR OF DEEDS, JOHANNESBURG</w:t>
      </w:r>
      <w:r>
        <w:rPr>
          <w:sz w:val="24"/>
          <w:szCs w:val="24"/>
        </w:rPr>
        <w:tab/>
      </w:r>
      <w:r>
        <w:rPr>
          <w:sz w:val="24"/>
          <w:szCs w:val="24"/>
        </w:rPr>
        <w:tab/>
      </w:r>
      <w:r>
        <w:rPr>
          <w:sz w:val="24"/>
          <w:szCs w:val="24"/>
        </w:rPr>
        <w:tab/>
        <w:t xml:space="preserve">    Second Respondent</w:t>
      </w:r>
    </w:p>
    <w:p w14:paraId="6431098B" w14:textId="77777777" w:rsidR="00E9495C" w:rsidRDefault="00E9495C" w:rsidP="00E9495C">
      <w:pPr>
        <w:spacing w:after="0"/>
        <w:rPr>
          <w:sz w:val="24"/>
          <w:szCs w:val="24"/>
        </w:rPr>
      </w:pPr>
      <w:r>
        <w:rPr>
          <w:sz w:val="24"/>
          <w:szCs w:val="24"/>
        </w:rPr>
        <w:t>________________________________________________________________________</w:t>
      </w:r>
    </w:p>
    <w:p w14:paraId="484813B4" w14:textId="77777777" w:rsidR="00E9495C" w:rsidRPr="00986321" w:rsidRDefault="00E9495C" w:rsidP="00E9495C">
      <w:pPr>
        <w:spacing w:after="0"/>
        <w:jc w:val="center"/>
        <w:rPr>
          <w:b/>
          <w:sz w:val="24"/>
          <w:szCs w:val="24"/>
        </w:rPr>
      </w:pPr>
      <w:r w:rsidRPr="00986321">
        <w:rPr>
          <w:b/>
          <w:sz w:val="24"/>
          <w:szCs w:val="24"/>
        </w:rPr>
        <w:t>JUDGMENT</w:t>
      </w:r>
    </w:p>
    <w:p w14:paraId="1028C40C" w14:textId="77777777" w:rsidR="00E9495C" w:rsidRDefault="00E9495C" w:rsidP="00E9495C">
      <w:pPr>
        <w:spacing w:after="0"/>
        <w:jc w:val="center"/>
        <w:rPr>
          <w:sz w:val="24"/>
          <w:szCs w:val="24"/>
        </w:rPr>
      </w:pPr>
      <w:r>
        <w:rPr>
          <w:sz w:val="24"/>
          <w:szCs w:val="24"/>
        </w:rPr>
        <w:t>________________________________________________________________________</w:t>
      </w:r>
    </w:p>
    <w:p w14:paraId="55312826" w14:textId="06F5CA2B" w:rsidR="00E9495C" w:rsidRDefault="00E9495C" w:rsidP="00E9495C">
      <w:pPr>
        <w:spacing w:after="0"/>
        <w:rPr>
          <w:b/>
          <w:sz w:val="24"/>
          <w:szCs w:val="24"/>
        </w:rPr>
      </w:pPr>
      <w:r>
        <w:rPr>
          <w:b/>
          <w:sz w:val="24"/>
          <w:szCs w:val="24"/>
        </w:rPr>
        <w:t>NICHOLS AJ</w:t>
      </w:r>
    </w:p>
    <w:p w14:paraId="3E49AB4E" w14:textId="10EFA8F3" w:rsidR="00F565F2" w:rsidRDefault="00F565F2" w:rsidP="00A73AA1">
      <w:pPr>
        <w:spacing w:after="0"/>
        <w:rPr>
          <w:sz w:val="24"/>
          <w:szCs w:val="24"/>
        </w:rPr>
      </w:pPr>
      <w:r>
        <w:rPr>
          <w:b/>
          <w:sz w:val="24"/>
          <w:szCs w:val="24"/>
        </w:rPr>
        <w:t>Introduction</w:t>
      </w:r>
    </w:p>
    <w:p w14:paraId="6C576702" w14:textId="77777777" w:rsidR="00994AE2" w:rsidRDefault="00A73AA1" w:rsidP="00A73AA1">
      <w:pPr>
        <w:spacing w:after="0"/>
        <w:rPr>
          <w:sz w:val="24"/>
          <w:szCs w:val="24"/>
        </w:rPr>
      </w:pPr>
      <w:r>
        <w:rPr>
          <w:sz w:val="24"/>
          <w:szCs w:val="24"/>
        </w:rPr>
        <w:t>[1]</w:t>
      </w:r>
      <w:r>
        <w:rPr>
          <w:sz w:val="24"/>
          <w:szCs w:val="24"/>
        </w:rPr>
        <w:tab/>
      </w:r>
      <w:r w:rsidR="00F565F2">
        <w:rPr>
          <w:sz w:val="24"/>
          <w:szCs w:val="24"/>
        </w:rPr>
        <w:t>This is an application for contempt of court wherein the a</w:t>
      </w:r>
      <w:r w:rsidR="00342488" w:rsidRPr="00847F64">
        <w:rPr>
          <w:sz w:val="24"/>
          <w:szCs w:val="24"/>
        </w:rPr>
        <w:t>pplicants</w:t>
      </w:r>
      <w:r w:rsidR="006D3FCF">
        <w:rPr>
          <w:sz w:val="24"/>
          <w:szCs w:val="24"/>
        </w:rPr>
        <w:t>, Sharnee Noik and Brian Noik (the applicants)</w:t>
      </w:r>
      <w:r w:rsidR="00342488" w:rsidRPr="00847F64">
        <w:rPr>
          <w:sz w:val="24"/>
          <w:szCs w:val="24"/>
        </w:rPr>
        <w:t xml:space="preserve"> seek an order that </w:t>
      </w:r>
      <w:r w:rsidR="00F565F2" w:rsidRPr="00847F64">
        <w:rPr>
          <w:sz w:val="24"/>
          <w:szCs w:val="24"/>
        </w:rPr>
        <w:t>the</w:t>
      </w:r>
      <w:r w:rsidR="00F565F2">
        <w:rPr>
          <w:sz w:val="24"/>
          <w:szCs w:val="24"/>
        </w:rPr>
        <w:t xml:space="preserve"> </w:t>
      </w:r>
      <w:r w:rsidR="00410D02">
        <w:rPr>
          <w:sz w:val="24"/>
          <w:szCs w:val="24"/>
        </w:rPr>
        <w:t xml:space="preserve">first respondent, Mary Carol Louise Mason (the respondent) </w:t>
      </w:r>
      <w:r w:rsidR="00F565F2">
        <w:rPr>
          <w:sz w:val="24"/>
          <w:szCs w:val="24"/>
        </w:rPr>
        <w:t xml:space="preserve">be found to be in </w:t>
      </w:r>
      <w:r w:rsidR="00F565F2" w:rsidRPr="00847F64">
        <w:rPr>
          <w:sz w:val="24"/>
          <w:szCs w:val="24"/>
        </w:rPr>
        <w:t>contempt</w:t>
      </w:r>
      <w:r w:rsidR="00342488" w:rsidRPr="00847F64">
        <w:rPr>
          <w:sz w:val="24"/>
          <w:szCs w:val="24"/>
        </w:rPr>
        <w:t xml:space="preserve"> of the court </w:t>
      </w:r>
      <w:r w:rsidR="00F565F2" w:rsidRPr="00847F64">
        <w:rPr>
          <w:sz w:val="24"/>
          <w:szCs w:val="24"/>
        </w:rPr>
        <w:t>order, which</w:t>
      </w:r>
      <w:r w:rsidR="00F565F2">
        <w:rPr>
          <w:sz w:val="24"/>
          <w:szCs w:val="24"/>
        </w:rPr>
        <w:t xml:space="preserve"> was handed </w:t>
      </w:r>
      <w:r w:rsidR="00342488" w:rsidRPr="00847F64">
        <w:rPr>
          <w:sz w:val="24"/>
          <w:szCs w:val="24"/>
        </w:rPr>
        <w:t>down by the Honourable Ju</w:t>
      </w:r>
      <w:r w:rsidR="00F565F2">
        <w:rPr>
          <w:sz w:val="24"/>
          <w:szCs w:val="24"/>
        </w:rPr>
        <w:t xml:space="preserve">stice Mdalana-Mayisela on </w:t>
      </w:r>
      <w:r w:rsidR="00FB75B1">
        <w:rPr>
          <w:sz w:val="24"/>
          <w:szCs w:val="24"/>
        </w:rPr>
        <w:t>2</w:t>
      </w:r>
      <w:r w:rsidR="00F565F2">
        <w:rPr>
          <w:sz w:val="24"/>
          <w:szCs w:val="24"/>
        </w:rPr>
        <w:t>0 Mar</w:t>
      </w:r>
      <w:r w:rsidR="00342488" w:rsidRPr="00847F64">
        <w:rPr>
          <w:sz w:val="24"/>
          <w:szCs w:val="24"/>
        </w:rPr>
        <w:t>ch 2020</w:t>
      </w:r>
      <w:r w:rsidR="00F565F2">
        <w:rPr>
          <w:sz w:val="24"/>
          <w:szCs w:val="24"/>
        </w:rPr>
        <w:t xml:space="preserve"> (the March 2020 order)</w:t>
      </w:r>
      <w:r w:rsidR="00342488" w:rsidRPr="00847F64">
        <w:rPr>
          <w:sz w:val="24"/>
          <w:szCs w:val="24"/>
        </w:rPr>
        <w:t>.</w:t>
      </w:r>
    </w:p>
    <w:p w14:paraId="398CE7AF" w14:textId="620DA5C8" w:rsidR="00994AE2" w:rsidRDefault="00342488" w:rsidP="00A73AA1">
      <w:pPr>
        <w:spacing w:after="0"/>
        <w:rPr>
          <w:sz w:val="24"/>
          <w:szCs w:val="24"/>
        </w:rPr>
      </w:pPr>
      <w:r w:rsidRPr="00847F64">
        <w:rPr>
          <w:sz w:val="24"/>
          <w:szCs w:val="24"/>
        </w:rPr>
        <w:lastRenderedPageBreak/>
        <w:t xml:space="preserve"> </w:t>
      </w:r>
      <w:r w:rsidR="00994AE2">
        <w:rPr>
          <w:sz w:val="24"/>
          <w:szCs w:val="24"/>
        </w:rPr>
        <w:t>[2]</w:t>
      </w:r>
      <w:r w:rsidR="00994AE2">
        <w:rPr>
          <w:sz w:val="24"/>
          <w:szCs w:val="24"/>
        </w:rPr>
        <w:tab/>
      </w:r>
      <w:r w:rsidRPr="00847F64">
        <w:rPr>
          <w:sz w:val="24"/>
          <w:szCs w:val="24"/>
        </w:rPr>
        <w:t xml:space="preserve">Pursuant to </w:t>
      </w:r>
      <w:r w:rsidR="00F565F2">
        <w:rPr>
          <w:sz w:val="24"/>
          <w:szCs w:val="24"/>
        </w:rPr>
        <w:t>a finding of contempt, the applicants seek punitive relief ordering the r</w:t>
      </w:r>
      <w:r w:rsidRPr="00847F64">
        <w:rPr>
          <w:sz w:val="24"/>
          <w:szCs w:val="24"/>
        </w:rPr>
        <w:t>espondent to pay a judicial fine of R500</w:t>
      </w:r>
      <w:r w:rsidR="006D3FCF">
        <w:rPr>
          <w:sz w:val="24"/>
          <w:szCs w:val="24"/>
        </w:rPr>
        <w:t> </w:t>
      </w:r>
      <w:r w:rsidRPr="00847F64">
        <w:rPr>
          <w:sz w:val="24"/>
          <w:szCs w:val="24"/>
        </w:rPr>
        <w:t>000</w:t>
      </w:r>
      <w:r w:rsidR="006D3FCF">
        <w:rPr>
          <w:sz w:val="24"/>
          <w:szCs w:val="24"/>
        </w:rPr>
        <w:t xml:space="preserve">; directing that the respondent’s plea </w:t>
      </w:r>
      <w:r w:rsidRPr="00847F64">
        <w:rPr>
          <w:sz w:val="24"/>
          <w:szCs w:val="24"/>
        </w:rPr>
        <w:t xml:space="preserve">in the action under </w:t>
      </w:r>
      <w:r w:rsidR="006D3FCF">
        <w:rPr>
          <w:sz w:val="24"/>
          <w:szCs w:val="24"/>
        </w:rPr>
        <w:t xml:space="preserve">the same </w:t>
      </w:r>
      <w:r w:rsidRPr="00847F64">
        <w:rPr>
          <w:sz w:val="24"/>
          <w:szCs w:val="24"/>
        </w:rPr>
        <w:t>case number</w:t>
      </w:r>
      <w:r w:rsidR="006D3FCF">
        <w:rPr>
          <w:sz w:val="24"/>
          <w:szCs w:val="24"/>
        </w:rPr>
        <w:t xml:space="preserve"> (the action) be </w:t>
      </w:r>
      <w:r w:rsidRPr="00847F64">
        <w:rPr>
          <w:sz w:val="24"/>
          <w:szCs w:val="24"/>
        </w:rPr>
        <w:t xml:space="preserve"> struck out in its entirety</w:t>
      </w:r>
      <w:r w:rsidR="006D3FCF">
        <w:rPr>
          <w:sz w:val="24"/>
          <w:szCs w:val="24"/>
        </w:rPr>
        <w:t xml:space="preserve">; and following such striking of the respondent’s defence, </w:t>
      </w:r>
      <w:r w:rsidR="00CA2E1E">
        <w:rPr>
          <w:sz w:val="24"/>
          <w:szCs w:val="24"/>
        </w:rPr>
        <w:t xml:space="preserve">an </w:t>
      </w:r>
      <w:r w:rsidR="006D3FCF">
        <w:rPr>
          <w:sz w:val="24"/>
          <w:szCs w:val="24"/>
        </w:rPr>
        <w:t>award</w:t>
      </w:r>
      <w:r w:rsidR="00CA2E1E">
        <w:rPr>
          <w:sz w:val="24"/>
          <w:szCs w:val="24"/>
        </w:rPr>
        <w:t xml:space="preserve"> of </w:t>
      </w:r>
      <w:r w:rsidR="006D3FCF">
        <w:rPr>
          <w:sz w:val="24"/>
          <w:szCs w:val="24"/>
        </w:rPr>
        <w:t>judgment in favour of the applicants in the action.</w:t>
      </w:r>
    </w:p>
    <w:p w14:paraId="23D6F620" w14:textId="7E9F1F9E" w:rsidR="006D3FCF" w:rsidRDefault="006D3FCF" w:rsidP="00A73AA1">
      <w:pPr>
        <w:spacing w:after="0"/>
        <w:rPr>
          <w:sz w:val="24"/>
          <w:szCs w:val="24"/>
        </w:rPr>
      </w:pPr>
      <w:r>
        <w:rPr>
          <w:sz w:val="24"/>
          <w:szCs w:val="24"/>
        </w:rPr>
        <w:t xml:space="preserve"> </w:t>
      </w:r>
    </w:p>
    <w:p w14:paraId="4FAEBD3B" w14:textId="72D92927" w:rsidR="00342488" w:rsidRDefault="00994AE2" w:rsidP="00A73AA1">
      <w:pPr>
        <w:spacing w:after="0"/>
        <w:rPr>
          <w:sz w:val="24"/>
          <w:szCs w:val="24"/>
        </w:rPr>
      </w:pPr>
      <w:r>
        <w:rPr>
          <w:sz w:val="24"/>
          <w:szCs w:val="24"/>
        </w:rPr>
        <w:t>[3]</w:t>
      </w:r>
      <w:r>
        <w:rPr>
          <w:sz w:val="24"/>
          <w:szCs w:val="24"/>
        </w:rPr>
        <w:tab/>
      </w:r>
      <w:r w:rsidR="00342488" w:rsidRPr="00847F64">
        <w:rPr>
          <w:sz w:val="24"/>
          <w:szCs w:val="24"/>
        </w:rPr>
        <w:t xml:space="preserve">The applicants </w:t>
      </w:r>
      <w:r w:rsidR="00410D02">
        <w:rPr>
          <w:sz w:val="24"/>
          <w:szCs w:val="24"/>
        </w:rPr>
        <w:t xml:space="preserve">and respondent </w:t>
      </w:r>
      <w:r w:rsidR="00B8522B" w:rsidRPr="00847F64">
        <w:rPr>
          <w:sz w:val="24"/>
          <w:szCs w:val="24"/>
        </w:rPr>
        <w:t>are</w:t>
      </w:r>
      <w:r w:rsidR="00342488" w:rsidRPr="00847F64">
        <w:rPr>
          <w:sz w:val="24"/>
          <w:szCs w:val="24"/>
        </w:rPr>
        <w:t xml:space="preserve"> the plaintiffs </w:t>
      </w:r>
      <w:r w:rsidR="00410D02">
        <w:rPr>
          <w:sz w:val="24"/>
          <w:szCs w:val="24"/>
        </w:rPr>
        <w:t>and first defendant</w:t>
      </w:r>
      <w:r w:rsidR="00CA2E1E">
        <w:rPr>
          <w:sz w:val="24"/>
          <w:szCs w:val="24"/>
        </w:rPr>
        <w:t xml:space="preserve">, respectively, </w:t>
      </w:r>
      <w:r w:rsidR="00342488" w:rsidRPr="00847F64">
        <w:rPr>
          <w:sz w:val="24"/>
          <w:szCs w:val="24"/>
        </w:rPr>
        <w:t xml:space="preserve">in the action. </w:t>
      </w:r>
      <w:r w:rsidR="00410D02">
        <w:rPr>
          <w:sz w:val="24"/>
          <w:szCs w:val="24"/>
        </w:rPr>
        <w:t xml:space="preserve">The Registrar of Deeds </w:t>
      </w:r>
      <w:r w:rsidR="00CA2E1E">
        <w:rPr>
          <w:sz w:val="24"/>
          <w:szCs w:val="24"/>
        </w:rPr>
        <w:t xml:space="preserve">(the Registrar) </w:t>
      </w:r>
      <w:r w:rsidR="00410D02">
        <w:rPr>
          <w:sz w:val="24"/>
          <w:szCs w:val="24"/>
        </w:rPr>
        <w:t>who is cited as the s</w:t>
      </w:r>
      <w:r w:rsidR="00342488" w:rsidRPr="00847F64">
        <w:rPr>
          <w:sz w:val="24"/>
          <w:szCs w:val="24"/>
        </w:rPr>
        <w:t xml:space="preserve">econd </w:t>
      </w:r>
      <w:r w:rsidR="00410D02">
        <w:rPr>
          <w:sz w:val="24"/>
          <w:szCs w:val="24"/>
        </w:rPr>
        <w:t>d</w:t>
      </w:r>
      <w:r w:rsidR="00342488" w:rsidRPr="00847F64">
        <w:rPr>
          <w:sz w:val="24"/>
          <w:szCs w:val="24"/>
        </w:rPr>
        <w:t xml:space="preserve">efendant in the </w:t>
      </w:r>
      <w:r w:rsidR="0025746F" w:rsidRPr="00847F64">
        <w:rPr>
          <w:sz w:val="24"/>
          <w:szCs w:val="24"/>
        </w:rPr>
        <w:t>action</w:t>
      </w:r>
      <w:r w:rsidR="00342488" w:rsidRPr="00847F64">
        <w:rPr>
          <w:sz w:val="24"/>
          <w:szCs w:val="24"/>
        </w:rPr>
        <w:t xml:space="preserve"> is not a party to this application and no relief is sought against the </w:t>
      </w:r>
      <w:r w:rsidR="00CA2E1E">
        <w:rPr>
          <w:sz w:val="24"/>
          <w:szCs w:val="24"/>
        </w:rPr>
        <w:t>Registrar.</w:t>
      </w:r>
    </w:p>
    <w:p w14:paraId="100CA4CC" w14:textId="77777777" w:rsidR="00994AE2" w:rsidRDefault="00994AE2" w:rsidP="00A73AA1">
      <w:pPr>
        <w:spacing w:after="0"/>
        <w:rPr>
          <w:sz w:val="24"/>
          <w:szCs w:val="24"/>
        </w:rPr>
      </w:pPr>
    </w:p>
    <w:p w14:paraId="4D265143" w14:textId="4E2B830B" w:rsidR="0025746F" w:rsidRDefault="00994AE2" w:rsidP="00A73AA1">
      <w:pPr>
        <w:spacing w:after="0"/>
        <w:rPr>
          <w:sz w:val="24"/>
          <w:szCs w:val="24"/>
        </w:rPr>
      </w:pPr>
      <w:r>
        <w:rPr>
          <w:sz w:val="24"/>
          <w:szCs w:val="24"/>
        </w:rPr>
        <w:t>[4]</w:t>
      </w:r>
      <w:r>
        <w:rPr>
          <w:sz w:val="24"/>
          <w:szCs w:val="24"/>
        </w:rPr>
        <w:tab/>
      </w:r>
      <w:r w:rsidR="0025746F">
        <w:rPr>
          <w:sz w:val="24"/>
          <w:szCs w:val="24"/>
        </w:rPr>
        <w:t xml:space="preserve">Mr </w:t>
      </w:r>
      <w:r w:rsidR="00E64B70">
        <w:rPr>
          <w:sz w:val="24"/>
          <w:szCs w:val="24"/>
        </w:rPr>
        <w:t>Groenewald w</w:t>
      </w:r>
      <w:r w:rsidR="0025746F">
        <w:rPr>
          <w:sz w:val="24"/>
          <w:szCs w:val="24"/>
        </w:rPr>
        <w:t>ho appeared for the applicants, informed the Court at the hearing of the matter that</w:t>
      </w:r>
      <w:r>
        <w:rPr>
          <w:sz w:val="24"/>
          <w:szCs w:val="24"/>
        </w:rPr>
        <w:t xml:space="preserve"> the</w:t>
      </w:r>
      <w:r w:rsidR="0025746F">
        <w:rPr>
          <w:sz w:val="24"/>
          <w:szCs w:val="24"/>
        </w:rPr>
        <w:t xml:space="preserve"> applicants abandoned the alternative relief premised on constructive contempt of court.  </w:t>
      </w:r>
    </w:p>
    <w:p w14:paraId="764F27FE" w14:textId="77777777" w:rsidR="00994AE2" w:rsidRPr="00847F64" w:rsidRDefault="00994AE2" w:rsidP="00A73AA1">
      <w:pPr>
        <w:spacing w:after="0"/>
        <w:rPr>
          <w:sz w:val="24"/>
          <w:szCs w:val="24"/>
        </w:rPr>
      </w:pPr>
    </w:p>
    <w:p w14:paraId="74FEF037" w14:textId="12F3CC93" w:rsidR="00410D02" w:rsidRDefault="00410D02" w:rsidP="00A73AA1">
      <w:pPr>
        <w:spacing w:after="0"/>
        <w:rPr>
          <w:sz w:val="24"/>
          <w:szCs w:val="24"/>
        </w:rPr>
      </w:pPr>
      <w:r>
        <w:rPr>
          <w:b/>
          <w:sz w:val="24"/>
          <w:szCs w:val="24"/>
        </w:rPr>
        <w:t>Background</w:t>
      </w:r>
    </w:p>
    <w:p w14:paraId="1492F910" w14:textId="67773CEB" w:rsidR="00F64E3E" w:rsidRDefault="00994AE2" w:rsidP="00A73AA1">
      <w:pPr>
        <w:spacing w:after="0"/>
        <w:rPr>
          <w:sz w:val="24"/>
          <w:szCs w:val="24"/>
        </w:rPr>
      </w:pPr>
      <w:r>
        <w:rPr>
          <w:sz w:val="24"/>
          <w:szCs w:val="24"/>
        </w:rPr>
        <w:t>[5]</w:t>
      </w:r>
      <w:r>
        <w:rPr>
          <w:sz w:val="24"/>
          <w:szCs w:val="24"/>
        </w:rPr>
        <w:tab/>
      </w:r>
      <w:r w:rsidR="00410D02">
        <w:rPr>
          <w:sz w:val="24"/>
          <w:szCs w:val="24"/>
        </w:rPr>
        <w:t xml:space="preserve">The common cause </w:t>
      </w:r>
      <w:r w:rsidR="007E239F">
        <w:rPr>
          <w:sz w:val="24"/>
          <w:szCs w:val="24"/>
        </w:rPr>
        <w:t xml:space="preserve">and relevant </w:t>
      </w:r>
      <w:r w:rsidR="00410D02">
        <w:rPr>
          <w:sz w:val="24"/>
          <w:szCs w:val="24"/>
        </w:rPr>
        <w:t xml:space="preserve">facts that may be distilled from the prolix </w:t>
      </w:r>
      <w:r w:rsidR="009E18FE">
        <w:rPr>
          <w:sz w:val="24"/>
          <w:szCs w:val="24"/>
        </w:rPr>
        <w:t>application papers</w:t>
      </w:r>
      <w:r w:rsidR="00410D02">
        <w:rPr>
          <w:sz w:val="24"/>
          <w:szCs w:val="24"/>
        </w:rPr>
        <w:t xml:space="preserve"> are succinct. The </w:t>
      </w:r>
      <w:r w:rsidR="007E239F">
        <w:rPr>
          <w:sz w:val="24"/>
          <w:szCs w:val="24"/>
        </w:rPr>
        <w:t xml:space="preserve">genesis </w:t>
      </w:r>
      <w:r w:rsidR="00410D02">
        <w:rPr>
          <w:sz w:val="24"/>
          <w:szCs w:val="24"/>
        </w:rPr>
        <w:t>of the</w:t>
      </w:r>
      <w:r w:rsidR="007E239F">
        <w:rPr>
          <w:sz w:val="24"/>
          <w:szCs w:val="24"/>
        </w:rPr>
        <w:t xml:space="preserve"> matter as reflected in the pleadings and the various requests for further particulars are fully addressed in </w:t>
      </w:r>
      <w:r w:rsidR="00410D02">
        <w:rPr>
          <w:sz w:val="24"/>
          <w:szCs w:val="24"/>
        </w:rPr>
        <w:t>judgment consequent upon the M</w:t>
      </w:r>
      <w:r w:rsidR="00F64E3E">
        <w:rPr>
          <w:sz w:val="24"/>
          <w:szCs w:val="24"/>
        </w:rPr>
        <w:t xml:space="preserve">arch 2020 order. Due to the nature of </w:t>
      </w:r>
      <w:r w:rsidR="00CA2E1E">
        <w:rPr>
          <w:sz w:val="24"/>
          <w:szCs w:val="24"/>
        </w:rPr>
        <w:t xml:space="preserve">civil </w:t>
      </w:r>
      <w:r w:rsidR="00F64E3E">
        <w:rPr>
          <w:sz w:val="24"/>
          <w:szCs w:val="24"/>
        </w:rPr>
        <w:t xml:space="preserve">contempt </w:t>
      </w:r>
      <w:r w:rsidR="00CA2E1E">
        <w:rPr>
          <w:sz w:val="24"/>
          <w:szCs w:val="24"/>
        </w:rPr>
        <w:t xml:space="preserve">proceedings </w:t>
      </w:r>
      <w:r w:rsidR="00CA2E1E">
        <w:rPr>
          <w:i/>
          <w:sz w:val="24"/>
          <w:szCs w:val="24"/>
        </w:rPr>
        <w:t>ex facie curiae</w:t>
      </w:r>
      <w:r w:rsidR="00F64E3E">
        <w:rPr>
          <w:sz w:val="24"/>
          <w:szCs w:val="24"/>
        </w:rPr>
        <w:t>, it</w:t>
      </w:r>
      <w:r w:rsidR="00CA2E1E">
        <w:rPr>
          <w:sz w:val="24"/>
          <w:szCs w:val="24"/>
        </w:rPr>
        <w:t xml:space="preserve"> is not</w:t>
      </w:r>
      <w:r w:rsidR="00F64E3E">
        <w:rPr>
          <w:sz w:val="24"/>
          <w:szCs w:val="24"/>
        </w:rPr>
        <w:t xml:space="preserve"> necessary to traverse this</w:t>
      </w:r>
      <w:r w:rsidR="00FC51B7">
        <w:rPr>
          <w:sz w:val="24"/>
          <w:szCs w:val="24"/>
        </w:rPr>
        <w:t xml:space="preserve"> entire </w:t>
      </w:r>
      <w:r w:rsidR="00F64E3E">
        <w:rPr>
          <w:sz w:val="24"/>
          <w:szCs w:val="24"/>
        </w:rPr>
        <w:t>history again as it is irrelevant to the determination of the issues</w:t>
      </w:r>
      <w:r w:rsidR="00FC51B7">
        <w:rPr>
          <w:sz w:val="24"/>
          <w:szCs w:val="24"/>
        </w:rPr>
        <w:t xml:space="preserve"> between the parties, save to record that the parties </w:t>
      </w:r>
      <w:r w:rsidR="00FB75B1">
        <w:rPr>
          <w:sz w:val="24"/>
          <w:szCs w:val="24"/>
        </w:rPr>
        <w:t xml:space="preserve">are </w:t>
      </w:r>
      <w:r w:rsidR="00FC51B7">
        <w:rPr>
          <w:sz w:val="24"/>
          <w:szCs w:val="24"/>
        </w:rPr>
        <w:t>engaged in a litigious dispute regard</w:t>
      </w:r>
      <w:r w:rsidR="00FB75B1">
        <w:rPr>
          <w:sz w:val="24"/>
          <w:szCs w:val="24"/>
        </w:rPr>
        <w:t>ing</w:t>
      </w:r>
      <w:r w:rsidR="00FC51B7">
        <w:rPr>
          <w:sz w:val="24"/>
          <w:szCs w:val="24"/>
        </w:rPr>
        <w:t xml:space="preserve"> an immovable property that was sold by the respondent to the applicants.</w:t>
      </w:r>
    </w:p>
    <w:p w14:paraId="6468E321" w14:textId="77777777" w:rsidR="00994AE2" w:rsidRDefault="00994AE2" w:rsidP="00A73AA1">
      <w:pPr>
        <w:spacing w:after="0"/>
        <w:rPr>
          <w:sz w:val="24"/>
          <w:szCs w:val="24"/>
        </w:rPr>
      </w:pPr>
    </w:p>
    <w:p w14:paraId="1E5ED27B" w14:textId="7899F9EE" w:rsidR="007E239F" w:rsidRDefault="00994AE2" w:rsidP="00A73AA1">
      <w:pPr>
        <w:spacing w:after="0"/>
        <w:rPr>
          <w:sz w:val="24"/>
          <w:szCs w:val="24"/>
        </w:rPr>
      </w:pPr>
      <w:r>
        <w:rPr>
          <w:sz w:val="24"/>
          <w:szCs w:val="24"/>
        </w:rPr>
        <w:t>[6]</w:t>
      </w:r>
      <w:r>
        <w:rPr>
          <w:sz w:val="24"/>
          <w:szCs w:val="24"/>
        </w:rPr>
        <w:tab/>
      </w:r>
      <w:r w:rsidR="00F64E3E">
        <w:rPr>
          <w:sz w:val="24"/>
          <w:szCs w:val="24"/>
        </w:rPr>
        <w:t xml:space="preserve">The </w:t>
      </w:r>
      <w:r w:rsidR="00342488" w:rsidRPr="00847F64">
        <w:rPr>
          <w:sz w:val="24"/>
          <w:szCs w:val="24"/>
        </w:rPr>
        <w:t>March 2020</w:t>
      </w:r>
      <w:r w:rsidR="00F64E3E">
        <w:rPr>
          <w:sz w:val="24"/>
          <w:szCs w:val="24"/>
        </w:rPr>
        <w:t xml:space="preserve"> order</w:t>
      </w:r>
      <w:r w:rsidR="007E239F">
        <w:rPr>
          <w:sz w:val="24"/>
          <w:szCs w:val="24"/>
        </w:rPr>
        <w:t>,</w:t>
      </w:r>
      <w:r w:rsidR="00F64E3E">
        <w:rPr>
          <w:sz w:val="24"/>
          <w:szCs w:val="24"/>
        </w:rPr>
        <w:t xml:space="preserve"> which was granted </w:t>
      </w:r>
      <w:r w:rsidR="00342488" w:rsidRPr="00847F64">
        <w:rPr>
          <w:sz w:val="24"/>
          <w:szCs w:val="24"/>
        </w:rPr>
        <w:t>pursuant to an opposed application</w:t>
      </w:r>
      <w:r w:rsidR="00FB75B1">
        <w:rPr>
          <w:sz w:val="24"/>
          <w:szCs w:val="24"/>
        </w:rPr>
        <w:t>,</w:t>
      </w:r>
      <w:r w:rsidR="00F64E3E">
        <w:rPr>
          <w:sz w:val="24"/>
          <w:szCs w:val="24"/>
        </w:rPr>
        <w:t xml:space="preserve"> directed the respondent to</w:t>
      </w:r>
      <w:r w:rsidR="00FB75B1">
        <w:rPr>
          <w:sz w:val="24"/>
          <w:szCs w:val="24"/>
        </w:rPr>
        <w:t xml:space="preserve">, within ten days, </w:t>
      </w:r>
      <w:r w:rsidR="00F64E3E">
        <w:rPr>
          <w:sz w:val="24"/>
          <w:szCs w:val="24"/>
        </w:rPr>
        <w:t xml:space="preserve">provide </w:t>
      </w:r>
      <w:r w:rsidR="00B74C17" w:rsidRPr="00847F64">
        <w:rPr>
          <w:sz w:val="24"/>
          <w:szCs w:val="24"/>
        </w:rPr>
        <w:t>further</w:t>
      </w:r>
      <w:r w:rsidR="00F64E3E">
        <w:rPr>
          <w:sz w:val="24"/>
          <w:szCs w:val="24"/>
        </w:rPr>
        <w:t xml:space="preserve"> and better</w:t>
      </w:r>
      <w:r w:rsidR="00B74C17" w:rsidRPr="00847F64">
        <w:rPr>
          <w:sz w:val="24"/>
          <w:szCs w:val="24"/>
        </w:rPr>
        <w:t xml:space="preserve"> particulars</w:t>
      </w:r>
      <w:r w:rsidR="00F64E3E">
        <w:rPr>
          <w:sz w:val="24"/>
          <w:szCs w:val="24"/>
        </w:rPr>
        <w:t xml:space="preserve"> to the applicants </w:t>
      </w:r>
      <w:r w:rsidR="00B74C17" w:rsidRPr="00847F64">
        <w:rPr>
          <w:sz w:val="24"/>
          <w:szCs w:val="24"/>
        </w:rPr>
        <w:t xml:space="preserve">to </w:t>
      </w:r>
      <w:r w:rsidR="007E239F">
        <w:rPr>
          <w:sz w:val="24"/>
          <w:szCs w:val="24"/>
        </w:rPr>
        <w:t xml:space="preserve">the following </w:t>
      </w:r>
      <w:r w:rsidR="00B74C17" w:rsidRPr="00847F64">
        <w:rPr>
          <w:sz w:val="24"/>
          <w:szCs w:val="24"/>
        </w:rPr>
        <w:t>paragraphs</w:t>
      </w:r>
      <w:r w:rsidR="007E239F">
        <w:rPr>
          <w:sz w:val="24"/>
          <w:szCs w:val="24"/>
        </w:rPr>
        <w:t xml:space="preserve"> of the original request for trial particulars:</w:t>
      </w:r>
    </w:p>
    <w:p w14:paraId="73FAA49A" w14:textId="0A9CAD39" w:rsidR="007E239F" w:rsidRDefault="007E239F" w:rsidP="00A73AA1">
      <w:pPr>
        <w:spacing w:after="0"/>
        <w:rPr>
          <w:sz w:val="24"/>
          <w:szCs w:val="24"/>
        </w:rPr>
      </w:pPr>
      <w:r>
        <w:rPr>
          <w:sz w:val="24"/>
          <w:szCs w:val="24"/>
        </w:rPr>
        <w:t>(a)</w:t>
      </w:r>
      <w:r>
        <w:rPr>
          <w:sz w:val="24"/>
          <w:szCs w:val="24"/>
        </w:rPr>
        <w:tab/>
      </w:r>
      <w:r w:rsidR="00B74C17" w:rsidRPr="00847F64">
        <w:rPr>
          <w:sz w:val="24"/>
          <w:szCs w:val="24"/>
        </w:rPr>
        <w:t xml:space="preserve"> 1.1 to 1.1.4</w:t>
      </w:r>
      <w:r>
        <w:rPr>
          <w:sz w:val="24"/>
          <w:szCs w:val="24"/>
        </w:rPr>
        <w:t>;</w:t>
      </w:r>
    </w:p>
    <w:p w14:paraId="39AEE13E" w14:textId="77777777" w:rsidR="007E239F" w:rsidRDefault="007E239F" w:rsidP="00A73AA1">
      <w:pPr>
        <w:spacing w:after="0"/>
        <w:rPr>
          <w:sz w:val="24"/>
          <w:szCs w:val="24"/>
        </w:rPr>
      </w:pPr>
      <w:r>
        <w:rPr>
          <w:sz w:val="24"/>
          <w:szCs w:val="24"/>
        </w:rPr>
        <w:t>(b)</w:t>
      </w:r>
      <w:r>
        <w:rPr>
          <w:sz w:val="24"/>
          <w:szCs w:val="24"/>
        </w:rPr>
        <w:tab/>
      </w:r>
      <w:r w:rsidR="00B74C17" w:rsidRPr="00847F64">
        <w:rPr>
          <w:sz w:val="24"/>
          <w:szCs w:val="24"/>
        </w:rPr>
        <w:t>2.1 to 2.2.1 and</w:t>
      </w:r>
    </w:p>
    <w:p w14:paraId="3D81720B" w14:textId="120EFAFF" w:rsidR="00B74C17" w:rsidRDefault="007E239F" w:rsidP="00A73AA1">
      <w:pPr>
        <w:spacing w:after="0"/>
        <w:rPr>
          <w:sz w:val="24"/>
          <w:szCs w:val="24"/>
        </w:rPr>
      </w:pPr>
      <w:r>
        <w:rPr>
          <w:sz w:val="24"/>
          <w:szCs w:val="24"/>
        </w:rPr>
        <w:t>(c)</w:t>
      </w:r>
      <w:r>
        <w:rPr>
          <w:sz w:val="24"/>
          <w:szCs w:val="24"/>
        </w:rPr>
        <w:tab/>
      </w:r>
      <w:r w:rsidR="00B74C17" w:rsidRPr="00847F64">
        <w:rPr>
          <w:sz w:val="24"/>
          <w:szCs w:val="24"/>
        </w:rPr>
        <w:t>3.1 to 3.3</w:t>
      </w:r>
    </w:p>
    <w:p w14:paraId="63BFCE3E" w14:textId="77777777" w:rsidR="00994AE2" w:rsidRPr="00847F64" w:rsidRDefault="00994AE2" w:rsidP="00A73AA1">
      <w:pPr>
        <w:spacing w:after="0"/>
        <w:rPr>
          <w:sz w:val="24"/>
          <w:szCs w:val="24"/>
        </w:rPr>
      </w:pPr>
    </w:p>
    <w:p w14:paraId="241D23FC" w14:textId="5BBEF59C" w:rsidR="009F653B" w:rsidRDefault="00994AE2" w:rsidP="00A73AA1">
      <w:pPr>
        <w:spacing w:after="0"/>
        <w:rPr>
          <w:sz w:val="24"/>
          <w:szCs w:val="24"/>
        </w:rPr>
      </w:pPr>
      <w:r>
        <w:rPr>
          <w:sz w:val="24"/>
          <w:szCs w:val="24"/>
        </w:rPr>
        <w:t>[7]</w:t>
      </w:r>
      <w:r>
        <w:rPr>
          <w:sz w:val="24"/>
          <w:szCs w:val="24"/>
        </w:rPr>
        <w:tab/>
      </w:r>
      <w:r w:rsidR="009F653B" w:rsidRPr="00847F64">
        <w:rPr>
          <w:sz w:val="24"/>
          <w:szCs w:val="24"/>
        </w:rPr>
        <w:t xml:space="preserve">Due to the national lockdown </w:t>
      </w:r>
      <w:r w:rsidR="00FB75B1" w:rsidRPr="00847F64">
        <w:rPr>
          <w:sz w:val="24"/>
          <w:szCs w:val="24"/>
        </w:rPr>
        <w:t>imposed in terms</w:t>
      </w:r>
      <w:r w:rsidR="00FB75B1">
        <w:rPr>
          <w:sz w:val="24"/>
          <w:szCs w:val="24"/>
        </w:rPr>
        <w:t xml:space="preserve"> of the Disaster Management </w:t>
      </w:r>
      <w:r>
        <w:rPr>
          <w:sz w:val="24"/>
          <w:szCs w:val="24"/>
        </w:rPr>
        <w:t xml:space="preserve">Act 51 of 2005, </w:t>
      </w:r>
      <w:r w:rsidR="009E18FE">
        <w:rPr>
          <w:sz w:val="24"/>
          <w:szCs w:val="24"/>
        </w:rPr>
        <w:t>which</w:t>
      </w:r>
      <w:r w:rsidR="00FB75B1">
        <w:rPr>
          <w:sz w:val="24"/>
          <w:szCs w:val="24"/>
        </w:rPr>
        <w:t xml:space="preserve"> was </w:t>
      </w:r>
      <w:r w:rsidR="009F653B" w:rsidRPr="00847F64">
        <w:rPr>
          <w:sz w:val="24"/>
          <w:szCs w:val="24"/>
        </w:rPr>
        <w:t xml:space="preserve">occasioned as a result of COVID-19, the applicants provided various extensions to the respondent to comply with the March 2020 order culminating in their final </w:t>
      </w:r>
      <w:r w:rsidR="009F653B" w:rsidRPr="00847F64">
        <w:rPr>
          <w:sz w:val="24"/>
          <w:szCs w:val="24"/>
        </w:rPr>
        <w:lastRenderedPageBreak/>
        <w:t>extension that the response be provided by 15 May 2020. The respondent’s response was finally provided on 18 May 2020.</w:t>
      </w:r>
      <w:r w:rsidR="009F653B">
        <w:rPr>
          <w:sz w:val="24"/>
          <w:szCs w:val="24"/>
        </w:rPr>
        <w:t xml:space="preserve"> </w:t>
      </w:r>
    </w:p>
    <w:p w14:paraId="47E13C43" w14:textId="77777777" w:rsidR="00994AE2" w:rsidRDefault="00994AE2" w:rsidP="00A73AA1">
      <w:pPr>
        <w:spacing w:after="0"/>
        <w:rPr>
          <w:sz w:val="24"/>
          <w:szCs w:val="24"/>
        </w:rPr>
      </w:pPr>
    </w:p>
    <w:p w14:paraId="2D640006" w14:textId="4FFD6D81" w:rsidR="00E8099B" w:rsidRDefault="00994AE2" w:rsidP="00A73AA1">
      <w:pPr>
        <w:spacing w:after="0"/>
        <w:rPr>
          <w:sz w:val="24"/>
          <w:szCs w:val="24"/>
        </w:rPr>
      </w:pPr>
      <w:r>
        <w:rPr>
          <w:sz w:val="24"/>
          <w:szCs w:val="24"/>
        </w:rPr>
        <w:t>[8]</w:t>
      </w:r>
      <w:r>
        <w:rPr>
          <w:sz w:val="24"/>
          <w:szCs w:val="24"/>
        </w:rPr>
        <w:tab/>
      </w:r>
      <w:r w:rsidR="001F330B" w:rsidRPr="00847F64">
        <w:rPr>
          <w:sz w:val="24"/>
          <w:szCs w:val="24"/>
        </w:rPr>
        <w:t>The respondent resides on a farm in</w:t>
      </w:r>
      <w:r w:rsidR="00CA2E1E">
        <w:rPr>
          <w:sz w:val="24"/>
          <w:szCs w:val="24"/>
        </w:rPr>
        <w:t xml:space="preserve"> the</w:t>
      </w:r>
      <w:r w:rsidR="001F330B" w:rsidRPr="00847F64">
        <w:rPr>
          <w:sz w:val="24"/>
          <w:szCs w:val="24"/>
        </w:rPr>
        <w:t xml:space="preserve"> Eastern Cape with her husband. The farm has intermittent cellular and internet reception. </w:t>
      </w:r>
      <w:r w:rsidR="00E8099B">
        <w:rPr>
          <w:sz w:val="24"/>
          <w:szCs w:val="24"/>
        </w:rPr>
        <w:t xml:space="preserve">The respondent was informed by email </w:t>
      </w:r>
      <w:r w:rsidR="001F330B" w:rsidRPr="00847F64">
        <w:rPr>
          <w:sz w:val="24"/>
          <w:szCs w:val="24"/>
        </w:rPr>
        <w:t>on 24 March 2020 of her obligations to deliver a further response to the applicants. The respondent’s attorneys were in possession of all the documents which</w:t>
      </w:r>
      <w:r w:rsidR="00E8099B">
        <w:rPr>
          <w:sz w:val="24"/>
          <w:szCs w:val="24"/>
        </w:rPr>
        <w:t xml:space="preserve"> had been discovered and which </w:t>
      </w:r>
      <w:r w:rsidR="009E18FE">
        <w:rPr>
          <w:sz w:val="24"/>
          <w:szCs w:val="24"/>
        </w:rPr>
        <w:t xml:space="preserve">she </w:t>
      </w:r>
      <w:r w:rsidR="00E8099B">
        <w:rPr>
          <w:sz w:val="24"/>
          <w:szCs w:val="24"/>
        </w:rPr>
        <w:t xml:space="preserve">required </w:t>
      </w:r>
      <w:r w:rsidR="001F330B" w:rsidRPr="00847F64">
        <w:rPr>
          <w:sz w:val="24"/>
          <w:szCs w:val="24"/>
        </w:rPr>
        <w:t>to prepare her response</w:t>
      </w:r>
      <w:r w:rsidR="00E8099B">
        <w:rPr>
          <w:sz w:val="24"/>
          <w:szCs w:val="24"/>
        </w:rPr>
        <w:t xml:space="preserve">. </w:t>
      </w:r>
      <w:r w:rsidR="001F330B" w:rsidRPr="00847F64">
        <w:rPr>
          <w:sz w:val="24"/>
          <w:szCs w:val="24"/>
        </w:rPr>
        <w:t xml:space="preserve"> </w:t>
      </w:r>
    </w:p>
    <w:p w14:paraId="485EBB6A" w14:textId="77777777" w:rsidR="009B7D72" w:rsidRDefault="009B7D72" w:rsidP="00A73AA1">
      <w:pPr>
        <w:spacing w:after="0"/>
        <w:rPr>
          <w:sz w:val="24"/>
          <w:szCs w:val="24"/>
        </w:rPr>
      </w:pPr>
    </w:p>
    <w:p w14:paraId="00738448" w14:textId="4B538187" w:rsidR="00AF4CA7" w:rsidRDefault="009B7D72" w:rsidP="00A73AA1">
      <w:pPr>
        <w:spacing w:after="0"/>
        <w:rPr>
          <w:sz w:val="24"/>
          <w:szCs w:val="24"/>
        </w:rPr>
      </w:pPr>
      <w:r>
        <w:rPr>
          <w:sz w:val="24"/>
          <w:szCs w:val="24"/>
        </w:rPr>
        <w:t>[9]</w:t>
      </w:r>
      <w:r>
        <w:rPr>
          <w:sz w:val="24"/>
          <w:szCs w:val="24"/>
        </w:rPr>
        <w:tab/>
      </w:r>
      <w:r w:rsidR="00E8099B">
        <w:rPr>
          <w:sz w:val="24"/>
          <w:szCs w:val="24"/>
        </w:rPr>
        <w:t xml:space="preserve">The </w:t>
      </w:r>
      <w:r w:rsidR="001F330B" w:rsidRPr="00847F64">
        <w:rPr>
          <w:sz w:val="24"/>
          <w:szCs w:val="24"/>
        </w:rPr>
        <w:t>soonest</w:t>
      </w:r>
      <w:r w:rsidR="00E8099B">
        <w:rPr>
          <w:sz w:val="24"/>
          <w:szCs w:val="24"/>
        </w:rPr>
        <w:t xml:space="preserve"> the respondent was</w:t>
      </w:r>
      <w:r w:rsidR="001F330B" w:rsidRPr="00847F64">
        <w:rPr>
          <w:sz w:val="24"/>
          <w:szCs w:val="24"/>
        </w:rPr>
        <w:t xml:space="preserve"> able to travel to Johannesburg </w:t>
      </w:r>
      <w:r w:rsidR="00E8099B">
        <w:rPr>
          <w:sz w:val="24"/>
          <w:szCs w:val="24"/>
        </w:rPr>
        <w:t xml:space="preserve">to arrange to collect the lever arch files of documents </w:t>
      </w:r>
      <w:r w:rsidR="00501989" w:rsidRPr="00847F64">
        <w:rPr>
          <w:sz w:val="24"/>
          <w:szCs w:val="24"/>
        </w:rPr>
        <w:t>was 5</w:t>
      </w:r>
      <w:r w:rsidR="001F330B" w:rsidRPr="00847F64">
        <w:rPr>
          <w:sz w:val="24"/>
          <w:szCs w:val="24"/>
        </w:rPr>
        <w:t xml:space="preserve"> May 2020. Thereafter she arranged with her attorneys to have the files delivered to her from Pretoria. It </w:t>
      </w:r>
      <w:r w:rsidR="009E18FE">
        <w:rPr>
          <w:sz w:val="24"/>
          <w:szCs w:val="24"/>
        </w:rPr>
        <w:t xml:space="preserve">then </w:t>
      </w:r>
      <w:r w:rsidR="001F330B" w:rsidRPr="00847F64">
        <w:rPr>
          <w:sz w:val="24"/>
          <w:szCs w:val="24"/>
        </w:rPr>
        <w:t xml:space="preserve">took </w:t>
      </w:r>
      <w:r w:rsidR="00E8099B">
        <w:rPr>
          <w:sz w:val="24"/>
          <w:szCs w:val="24"/>
        </w:rPr>
        <w:t xml:space="preserve">the respondent and her husband </w:t>
      </w:r>
      <w:r w:rsidR="001F330B" w:rsidRPr="00847F64">
        <w:rPr>
          <w:sz w:val="24"/>
          <w:szCs w:val="24"/>
        </w:rPr>
        <w:t xml:space="preserve">in excess of three days to </w:t>
      </w:r>
      <w:r w:rsidR="00757B65">
        <w:rPr>
          <w:sz w:val="24"/>
          <w:szCs w:val="24"/>
        </w:rPr>
        <w:t>prepare her response</w:t>
      </w:r>
      <w:r w:rsidR="009E18FE">
        <w:rPr>
          <w:sz w:val="24"/>
          <w:szCs w:val="24"/>
        </w:rPr>
        <w:t xml:space="preserve"> in a schedule titled ‘Non-Exhaustive list of tasks’ done at the immovable property</w:t>
      </w:r>
      <w:r w:rsidR="00501989">
        <w:rPr>
          <w:sz w:val="24"/>
          <w:szCs w:val="24"/>
        </w:rPr>
        <w:t xml:space="preserve"> (the schedule)</w:t>
      </w:r>
      <w:r w:rsidR="009E18FE">
        <w:rPr>
          <w:sz w:val="24"/>
          <w:szCs w:val="24"/>
        </w:rPr>
        <w:t xml:space="preserve">. This </w:t>
      </w:r>
      <w:r w:rsidR="00501989">
        <w:rPr>
          <w:sz w:val="24"/>
          <w:szCs w:val="24"/>
        </w:rPr>
        <w:t>descriptive schedule</w:t>
      </w:r>
      <w:r w:rsidR="009E18FE">
        <w:rPr>
          <w:sz w:val="24"/>
          <w:szCs w:val="24"/>
        </w:rPr>
        <w:t xml:space="preserve"> </w:t>
      </w:r>
      <w:r w:rsidR="00501989">
        <w:rPr>
          <w:sz w:val="24"/>
          <w:szCs w:val="24"/>
        </w:rPr>
        <w:t>was compiled</w:t>
      </w:r>
      <w:r w:rsidR="003D5978">
        <w:rPr>
          <w:sz w:val="24"/>
          <w:szCs w:val="24"/>
        </w:rPr>
        <w:t xml:space="preserve"> after the respondent and her husband conducted the exercise of considering</w:t>
      </w:r>
      <w:r>
        <w:rPr>
          <w:sz w:val="24"/>
          <w:szCs w:val="24"/>
        </w:rPr>
        <w:t xml:space="preserve">, </w:t>
      </w:r>
      <w:r w:rsidR="003D5978">
        <w:rPr>
          <w:sz w:val="24"/>
          <w:szCs w:val="24"/>
        </w:rPr>
        <w:t>analyzing</w:t>
      </w:r>
      <w:r>
        <w:rPr>
          <w:sz w:val="24"/>
          <w:szCs w:val="24"/>
        </w:rPr>
        <w:t xml:space="preserve"> and </w:t>
      </w:r>
      <w:r w:rsidR="00E9495C">
        <w:rPr>
          <w:sz w:val="24"/>
          <w:szCs w:val="24"/>
        </w:rPr>
        <w:t>categorising all</w:t>
      </w:r>
      <w:r w:rsidR="003D5978">
        <w:rPr>
          <w:sz w:val="24"/>
          <w:szCs w:val="24"/>
        </w:rPr>
        <w:t xml:space="preserve"> the </w:t>
      </w:r>
      <w:r w:rsidR="00301D3F">
        <w:rPr>
          <w:sz w:val="24"/>
          <w:szCs w:val="24"/>
        </w:rPr>
        <w:t xml:space="preserve">discovered </w:t>
      </w:r>
      <w:r w:rsidR="003D5978">
        <w:rPr>
          <w:sz w:val="24"/>
          <w:szCs w:val="24"/>
        </w:rPr>
        <w:t>documents in</w:t>
      </w:r>
      <w:r>
        <w:rPr>
          <w:sz w:val="24"/>
          <w:szCs w:val="24"/>
        </w:rPr>
        <w:t xml:space="preserve"> the files</w:t>
      </w:r>
      <w:r w:rsidR="00301D3F">
        <w:rPr>
          <w:sz w:val="24"/>
          <w:szCs w:val="24"/>
        </w:rPr>
        <w:t>.</w:t>
      </w:r>
      <w:r>
        <w:rPr>
          <w:sz w:val="24"/>
          <w:szCs w:val="24"/>
        </w:rPr>
        <w:t xml:space="preserve"> </w:t>
      </w:r>
    </w:p>
    <w:p w14:paraId="17969463" w14:textId="77777777" w:rsidR="009B7D72" w:rsidRPr="00501989" w:rsidRDefault="009B7D72" w:rsidP="00A73AA1">
      <w:pPr>
        <w:spacing w:after="0"/>
        <w:rPr>
          <w:b/>
          <w:sz w:val="24"/>
          <w:szCs w:val="24"/>
        </w:rPr>
      </w:pPr>
    </w:p>
    <w:p w14:paraId="6AA66065" w14:textId="5C1A88DC" w:rsidR="00EF3271" w:rsidRDefault="009B7D72" w:rsidP="00A73AA1">
      <w:pPr>
        <w:spacing w:after="0"/>
        <w:rPr>
          <w:sz w:val="24"/>
          <w:szCs w:val="24"/>
        </w:rPr>
      </w:pPr>
      <w:r>
        <w:rPr>
          <w:sz w:val="24"/>
          <w:szCs w:val="24"/>
        </w:rPr>
        <w:t>[10]</w:t>
      </w:r>
      <w:r>
        <w:rPr>
          <w:sz w:val="24"/>
          <w:szCs w:val="24"/>
        </w:rPr>
        <w:tab/>
      </w:r>
      <w:r w:rsidR="00BE5157" w:rsidRPr="00847F64">
        <w:rPr>
          <w:sz w:val="24"/>
          <w:szCs w:val="24"/>
        </w:rPr>
        <w:t xml:space="preserve">It is </w:t>
      </w:r>
      <w:r w:rsidR="00EF3271" w:rsidRPr="00847F64">
        <w:rPr>
          <w:sz w:val="24"/>
          <w:szCs w:val="24"/>
        </w:rPr>
        <w:t xml:space="preserve">apparent from the judgment </w:t>
      </w:r>
      <w:r w:rsidR="009F653B">
        <w:rPr>
          <w:sz w:val="24"/>
          <w:szCs w:val="24"/>
        </w:rPr>
        <w:t xml:space="preserve">to the March 2020 </w:t>
      </w:r>
      <w:r w:rsidR="00EF3271" w:rsidRPr="00847F64">
        <w:rPr>
          <w:sz w:val="24"/>
          <w:szCs w:val="24"/>
        </w:rPr>
        <w:t>order</w:t>
      </w:r>
      <w:r w:rsidR="009F653B">
        <w:rPr>
          <w:sz w:val="24"/>
          <w:szCs w:val="24"/>
        </w:rPr>
        <w:t xml:space="preserve"> that </w:t>
      </w:r>
      <w:r w:rsidR="009F653B" w:rsidRPr="00847F64">
        <w:rPr>
          <w:sz w:val="24"/>
          <w:szCs w:val="24"/>
        </w:rPr>
        <w:t>the</w:t>
      </w:r>
      <w:r w:rsidR="00EF3271" w:rsidRPr="00847F64">
        <w:rPr>
          <w:sz w:val="24"/>
          <w:szCs w:val="24"/>
        </w:rPr>
        <w:t xml:space="preserve"> </w:t>
      </w:r>
      <w:r w:rsidR="009F653B">
        <w:rPr>
          <w:sz w:val="24"/>
          <w:szCs w:val="24"/>
        </w:rPr>
        <w:t>r</w:t>
      </w:r>
      <w:r w:rsidR="00EF3271" w:rsidRPr="00847F64">
        <w:rPr>
          <w:sz w:val="24"/>
          <w:szCs w:val="24"/>
        </w:rPr>
        <w:t xml:space="preserve">espondent was </w:t>
      </w:r>
      <w:r w:rsidR="009F653B">
        <w:rPr>
          <w:sz w:val="24"/>
          <w:szCs w:val="24"/>
        </w:rPr>
        <w:t xml:space="preserve">required </w:t>
      </w:r>
      <w:r w:rsidR="00EF3271" w:rsidRPr="00847F64">
        <w:rPr>
          <w:sz w:val="24"/>
          <w:szCs w:val="24"/>
        </w:rPr>
        <w:t xml:space="preserve">to supply further and better particulars to three different paragraphs of the </w:t>
      </w:r>
      <w:r w:rsidR="009F653B">
        <w:rPr>
          <w:sz w:val="24"/>
          <w:szCs w:val="24"/>
        </w:rPr>
        <w:t>a</w:t>
      </w:r>
      <w:r w:rsidR="00EF3271" w:rsidRPr="00847F64">
        <w:rPr>
          <w:sz w:val="24"/>
          <w:szCs w:val="24"/>
        </w:rPr>
        <w:t>pplicants'</w:t>
      </w:r>
      <w:r w:rsidR="00B8522B" w:rsidRPr="00847F64">
        <w:rPr>
          <w:sz w:val="24"/>
          <w:szCs w:val="24"/>
        </w:rPr>
        <w:t xml:space="preserve"> r</w:t>
      </w:r>
      <w:r w:rsidR="00EF3271" w:rsidRPr="00847F64">
        <w:rPr>
          <w:sz w:val="24"/>
          <w:szCs w:val="24"/>
        </w:rPr>
        <w:t xml:space="preserve">equest for further </w:t>
      </w:r>
      <w:r w:rsidR="00C454C2">
        <w:rPr>
          <w:sz w:val="24"/>
          <w:szCs w:val="24"/>
        </w:rPr>
        <w:t xml:space="preserve">trial </w:t>
      </w:r>
      <w:r w:rsidR="00EF3271" w:rsidRPr="00847F64">
        <w:rPr>
          <w:sz w:val="24"/>
          <w:szCs w:val="24"/>
        </w:rPr>
        <w:t>particulars</w:t>
      </w:r>
      <w:r w:rsidR="009F653B">
        <w:rPr>
          <w:sz w:val="24"/>
          <w:szCs w:val="24"/>
        </w:rPr>
        <w:t>. The a</w:t>
      </w:r>
      <w:r w:rsidR="00EF3271" w:rsidRPr="00847F64">
        <w:rPr>
          <w:sz w:val="24"/>
          <w:szCs w:val="24"/>
        </w:rPr>
        <w:t>pplicants</w:t>
      </w:r>
      <w:r w:rsidR="009F653B">
        <w:rPr>
          <w:sz w:val="24"/>
          <w:szCs w:val="24"/>
        </w:rPr>
        <w:t xml:space="preserve"> contend that the respondent has still failed to deliver the required particulars and her response is therefore non-compliant with the March 2020 order.</w:t>
      </w:r>
    </w:p>
    <w:p w14:paraId="67136C27" w14:textId="77777777" w:rsidR="009B7D72" w:rsidRDefault="009B7D72" w:rsidP="00A73AA1">
      <w:pPr>
        <w:spacing w:after="0"/>
        <w:rPr>
          <w:sz w:val="24"/>
          <w:szCs w:val="24"/>
        </w:rPr>
      </w:pPr>
    </w:p>
    <w:p w14:paraId="28B01738" w14:textId="58F0E2D6" w:rsidR="00FC51B7" w:rsidRDefault="009B7D72" w:rsidP="00A73AA1">
      <w:pPr>
        <w:spacing w:after="0"/>
        <w:rPr>
          <w:sz w:val="24"/>
          <w:szCs w:val="24"/>
        </w:rPr>
      </w:pPr>
      <w:r>
        <w:rPr>
          <w:sz w:val="24"/>
          <w:szCs w:val="24"/>
        </w:rPr>
        <w:t>[11]</w:t>
      </w:r>
      <w:r>
        <w:rPr>
          <w:sz w:val="24"/>
          <w:szCs w:val="24"/>
        </w:rPr>
        <w:tab/>
      </w:r>
      <w:r w:rsidR="00FC51B7">
        <w:rPr>
          <w:sz w:val="24"/>
          <w:szCs w:val="24"/>
        </w:rPr>
        <w:t>The first set of</w:t>
      </w:r>
      <w:r w:rsidR="00501989">
        <w:rPr>
          <w:sz w:val="24"/>
          <w:szCs w:val="24"/>
        </w:rPr>
        <w:t xml:space="preserve"> required particulars relate</w:t>
      </w:r>
      <w:r w:rsidR="00FC51B7">
        <w:rPr>
          <w:sz w:val="24"/>
          <w:szCs w:val="24"/>
        </w:rPr>
        <w:t xml:space="preserve"> to the exact repairs undertaken at the immovable property, when and by whom.</w:t>
      </w:r>
      <w:r w:rsidR="0083095D">
        <w:rPr>
          <w:sz w:val="24"/>
          <w:szCs w:val="24"/>
        </w:rPr>
        <w:t xml:space="preserve"> The second set</w:t>
      </w:r>
      <w:r w:rsidR="00501989">
        <w:rPr>
          <w:sz w:val="24"/>
          <w:szCs w:val="24"/>
        </w:rPr>
        <w:t xml:space="preserve"> of required particulars relate to when alleged</w:t>
      </w:r>
      <w:r w:rsidR="0083095D">
        <w:rPr>
          <w:sz w:val="24"/>
          <w:szCs w:val="24"/>
        </w:rPr>
        <w:t xml:space="preserve"> defects in the immovable property</w:t>
      </w:r>
      <w:r w:rsidR="00FC51B7">
        <w:rPr>
          <w:sz w:val="24"/>
          <w:szCs w:val="24"/>
        </w:rPr>
        <w:t xml:space="preserve"> </w:t>
      </w:r>
      <w:r w:rsidR="0083095D">
        <w:rPr>
          <w:sz w:val="24"/>
          <w:szCs w:val="24"/>
        </w:rPr>
        <w:t xml:space="preserve">were repaired and by whom. </w:t>
      </w:r>
      <w:r w:rsidR="00E31D77">
        <w:rPr>
          <w:sz w:val="24"/>
          <w:szCs w:val="24"/>
        </w:rPr>
        <w:t xml:space="preserve">In response, the </w:t>
      </w:r>
      <w:r w:rsidR="00501989">
        <w:rPr>
          <w:sz w:val="24"/>
          <w:szCs w:val="24"/>
        </w:rPr>
        <w:t xml:space="preserve">respondent </w:t>
      </w:r>
      <w:r w:rsidR="00501989" w:rsidRPr="00847F64">
        <w:rPr>
          <w:sz w:val="24"/>
          <w:szCs w:val="24"/>
        </w:rPr>
        <w:t>provided</w:t>
      </w:r>
      <w:r w:rsidR="00E31D77">
        <w:rPr>
          <w:sz w:val="24"/>
          <w:szCs w:val="24"/>
        </w:rPr>
        <w:t xml:space="preserve"> </w:t>
      </w:r>
      <w:r w:rsidR="00501989">
        <w:rPr>
          <w:sz w:val="24"/>
          <w:szCs w:val="24"/>
        </w:rPr>
        <w:t xml:space="preserve">the </w:t>
      </w:r>
      <w:r w:rsidR="00E31D77">
        <w:rPr>
          <w:sz w:val="24"/>
          <w:szCs w:val="24"/>
        </w:rPr>
        <w:t>schedule</w:t>
      </w:r>
      <w:r w:rsidR="00FC51B7" w:rsidRPr="00847F64">
        <w:rPr>
          <w:sz w:val="24"/>
          <w:szCs w:val="24"/>
        </w:rPr>
        <w:t>.</w:t>
      </w:r>
      <w:r w:rsidR="00E31D77">
        <w:rPr>
          <w:sz w:val="24"/>
          <w:szCs w:val="24"/>
        </w:rPr>
        <w:t xml:space="preserve"> The schedule </w:t>
      </w:r>
      <w:r w:rsidR="0083095D">
        <w:rPr>
          <w:sz w:val="24"/>
          <w:szCs w:val="24"/>
        </w:rPr>
        <w:t>co</w:t>
      </w:r>
      <w:r w:rsidR="00C454C2">
        <w:rPr>
          <w:sz w:val="24"/>
          <w:szCs w:val="24"/>
        </w:rPr>
        <w:t>nsists of a list of 209</w:t>
      </w:r>
      <w:r w:rsidR="0083095D">
        <w:rPr>
          <w:sz w:val="24"/>
          <w:szCs w:val="24"/>
        </w:rPr>
        <w:t xml:space="preserve"> repairs</w:t>
      </w:r>
      <w:r w:rsidR="00E31D77">
        <w:rPr>
          <w:sz w:val="24"/>
          <w:szCs w:val="24"/>
        </w:rPr>
        <w:t xml:space="preserve"> </w:t>
      </w:r>
      <w:r w:rsidR="00FC51B7" w:rsidRPr="00847F64">
        <w:rPr>
          <w:sz w:val="24"/>
          <w:szCs w:val="24"/>
        </w:rPr>
        <w:t xml:space="preserve">undertaken at the property; the areas at the property where the repairs were </w:t>
      </w:r>
      <w:r w:rsidR="004909BA">
        <w:rPr>
          <w:sz w:val="24"/>
          <w:szCs w:val="24"/>
        </w:rPr>
        <w:t>effected</w:t>
      </w:r>
      <w:r w:rsidR="00FC51B7" w:rsidRPr="00847F64">
        <w:rPr>
          <w:sz w:val="24"/>
          <w:szCs w:val="24"/>
        </w:rPr>
        <w:t xml:space="preserve">; the reason for the repairs being undertaken; the dates on which those repairs were </w:t>
      </w:r>
      <w:r w:rsidR="004909BA">
        <w:rPr>
          <w:sz w:val="24"/>
          <w:szCs w:val="24"/>
        </w:rPr>
        <w:t>effected</w:t>
      </w:r>
      <w:r w:rsidR="00FC51B7" w:rsidRPr="00847F64">
        <w:rPr>
          <w:sz w:val="24"/>
          <w:szCs w:val="24"/>
        </w:rPr>
        <w:t xml:space="preserve">; and </w:t>
      </w:r>
      <w:r>
        <w:rPr>
          <w:sz w:val="24"/>
          <w:szCs w:val="24"/>
        </w:rPr>
        <w:t xml:space="preserve">the details of </w:t>
      </w:r>
      <w:r w:rsidR="00C454C2">
        <w:rPr>
          <w:sz w:val="24"/>
          <w:szCs w:val="24"/>
        </w:rPr>
        <w:t>who effected each repair, where this is known and readily ascertainable.</w:t>
      </w:r>
      <w:r w:rsidR="00501989">
        <w:rPr>
          <w:sz w:val="24"/>
          <w:szCs w:val="24"/>
        </w:rPr>
        <w:t xml:space="preserve"> </w:t>
      </w:r>
    </w:p>
    <w:p w14:paraId="4B9162A4" w14:textId="77777777" w:rsidR="009B7D72" w:rsidRDefault="009B7D72" w:rsidP="00A73AA1">
      <w:pPr>
        <w:spacing w:after="0"/>
        <w:rPr>
          <w:sz w:val="24"/>
          <w:szCs w:val="24"/>
        </w:rPr>
      </w:pPr>
    </w:p>
    <w:p w14:paraId="74FC14FB" w14:textId="7BA4CB74" w:rsidR="00501989" w:rsidRPr="00847F64" w:rsidRDefault="009B7D72" w:rsidP="00A73AA1">
      <w:pPr>
        <w:spacing w:after="0"/>
        <w:rPr>
          <w:sz w:val="24"/>
          <w:szCs w:val="24"/>
        </w:rPr>
      </w:pPr>
      <w:r>
        <w:rPr>
          <w:sz w:val="24"/>
          <w:szCs w:val="24"/>
        </w:rPr>
        <w:t>[12]</w:t>
      </w:r>
      <w:r>
        <w:rPr>
          <w:sz w:val="24"/>
          <w:szCs w:val="24"/>
        </w:rPr>
        <w:tab/>
      </w:r>
      <w:r w:rsidR="00501989">
        <w:rPr>
          <w:sz w:val="24"/>
          <w:szCs w:val="24"/>
        </w:rPr>
        <w:t>The third set of required particulars required the respondent to detail the defects in the property that were known to her and which were disclosed by her to the applicants. In response, the</w:t>
      </w:r>
      <w:r w:rsidR="00232234">
        <w:rPr>
          <w:sz w:val="24"/>
          <w:szCs w:val="24"/>
        </w:rPr>
        <w:t xml:space="preserve"> applicants are referred </w:t>
      </w:r>
      <w:r w:rsidR="00501989">
        <w:rPr>
          <w:sz w:val="24"/>
          <w:szCs w:val="24"/>
        </w:rPr>
        <w:t xml:space="preserve">to the defects listed in annexure ‘POC3.2’ to the </w:t>
      </w:r>
      <w:r w:rsidR="00501989">
        <w:rPr>
          <w:sz w:val="24"/>
          <w:szCs w:val="24"/>
        </w:rPr>
        <w:lastRenderedPageBreak/>
        <w:t>particulars of claim in the action</w:t>
      </w:r>
      <w:r w:rsidR="00232234">
        <w:rPr>
          <w:sz w:val="24"/>
          <w:szCs w:val="24"/>
        </w:rPr>
        <w:t xml:space="preserve">. The respondent states that she </w:t>
      </w:r>
      <w:r w:rsidR="00232234" w:rsidRPr="00847F64">
        <w:rPr>
          <w:sz w:val="24"/>
          <w:szCs w:val="24"/>
        </w:rPr>
        <w:t>cannot recall which, if any, defects would have been disclosed to the applicants prior to the conclusion of the sale</w:t>
      </w:r>
      <w:r w:rsidR="009B2153">
        <w:rPr>
          <w:sz w:val="24"/>
          <w:szCs w:val="24"/>
        </w:rPr>
        <w:t xml:space="preserve"> for the immovable property </w:t>
      </w:r>
      <w:r w:rsidR="00232234" w:rsidRPr="00847F64">
        <w:rPr>
          <w:sz w:val="24"/>
          <w:szCs w:val="24"/>
        </w:rPr>
        <w:t>as she was</w:t>
      </w:r>
      <w:r w:rsidR="004909BA">
        <w:rPr>
          <w:sz w:val="24"/>
          <w:szCs w:val="24"/>
        </w:rPr>
        <w:t xml:space="preserve">, at that stage, </w:t>
      </w:r>
      <w:r w:rsidR="00232234" w:rsidRPr="00847F64">
        <w:rPr>
          <w:sz w:val="24"/>
          <w:szCs w:val="24"/>
        </w:rPr>
        <w:t>in the process of completing various re</w:t>
      </w:r>
      <w:r w:rsidR="004909BA">
        <w:rPr>
          <w:sz w:val="24"/>
          <w:szCs w:val="24"/>
        </w:rPr>
        <w:t>pairs to the property</w:t>
      </w:r>
      <w:r w:rsidR="009B2153">
        <w:rPr>
          <w:sz w:val="24"/>
          <w:szCs w:val="24"/>
        </w:rPr>
        <w:t>.</w:t>
      </w:r>
      <w:r w:rsidR="004909BA">
        <w:rPr>
          <w:sz w:val="24"/>
          <w:szCs w:val="24"/>
        </w:rPr>
        <w:t xml:space="preserve"> </w:t>
      </w:r>
      <w:r>
        <w:rPr>
          <w:sz w:val="24"/>
          <w:szCs w:val="24"/>
        </w:rPr>
        <w:t>Accordingly,</w:t>
      </w:r>
      <w:r w:rsidR="004909BA">
        <w:rPr>
          <w:sz w:val="24"/>
          <w:szCs w:val="24"/>
        </w:rPr>
        <w:t xml:space="preserve"> all</w:t>
      </w:r>
      <w:r w:rsidR="009B2153">
        <w:rPr>
          <w:sz w:val="24"/>
          <w:szCs w:val="24"/>
        </w:rPr>
        <w:t xml:space="preserve"> defects</w:t>
      </w:r>
      <w:r w:rsidR="004909BA">
        <w:rPr>
          <w:sz w:val="24"/>
          <w:szCs w:val="24"/>
        </w:rPr>
        <w:t xml:space="preserve">, known to her and </w:t>
      </w:r>
      <w:r w:rsidR="009B2153">
        <w:rPr>
          <w:sz w:val="24"/>
          <w:szCs w:val="24"/>
        </w:rPr>
        <w:t>which existed at the time of the sale were recorded and disclosed in</w:t>
      </w:r>
      <w:r>
        <w:rPr>
          <w:sz w:val="24"/>
          <w:szCs w:val="24"/>
        </w:rPr>
        <w:t xml:space="preserve"> annexure </w:t>
      </w:r>
      <w:r w:rsidR="009B2153">
        <w:rPr>
          <w:sz w:val="24"/>
          <w:szCs w:val="24"/>
        </w:rPr>
        <w:t xml:space="preserve">‘POC3.2’. </w:t>
      </w:r>
    </w:p>
    <w:p w14:paraId="74C4AD96" w14:textId="77777777" w:rsidR="009B7D72" w:rsidRDefault="009B7D72" w:rsidP="00A73AA1">
      <w:pPr>
        <w:spacing w:after="0"/>
        <w:rPr>
          <w:b/>
          <w:sz w:val="24"/>
          <w:szCs w:val="24"/>
        </w:rPr>
      </w:pPr>
    </w:p>
    <w:p w14:paraId="0B768DAD" w14:textId="60E60E6F" w:rsidR="009B2153" w:rsidRDefault="009B2153" w:rsidP="00A73AA1">
      <w:pPr>
        <w:spacing w:after="0"/>
        <w:rPr>
          <w:b/>
          <w:sz w:val="24"/>
          <w:szCs w:val="24"/>
        </w:rPr>
      </w:pPr>
      <w:r>
        <w:rPr>
          <w:b/>
          <w:sz w:val="24"/>
          <w:szCs w:val="24"/>
        </w:rPr>
        <w:t>The Issues</w:t>
      </w:r>
    </w:p>
    <w:p w14:paraId="068E2CFF" w14:textId="56D8F100" w:rsidR="009B7D72" w:rsidRDefault="009B7D72" w:rsidP="00A73AA1">
      <w:pPr>
        <w:spacing w:after="0"/>
        <w:rPr>
          <w:sz w:val="24"/>
          <w:szCs w:val="24"/>
        </w:rPr>
      </w:pPr>
      <w:r>
        <w:rPr>
          <w:sz w:val="24"/>
          <w:szCs w:val="24"/>
        </w:rPr>
        <w:t>[13]</w:t>
      </w:r>
      <w:r>
        <w:rPr>
          <w:sz w:val="24"/>
          <w:szCs w:val="24"/>
        </w:rPr>
        <w:tab/>
      </w:r>
      <w:r w:rsidR="009B2153">
        <w:rPr>
          <w:sz w:val="24"/>
          <w:szCs w:val="24"/>
        </w:rPr>
        <w:t xml:space="preserve">The </w:t>
      </w:r>
      <w:r w:rsidR="004909BA">
        <w:rPr>
          <w:sz w:val="24"/>
          <w:szCs w:val="24"/>
        </w:rPr>
        <w:t>issue</w:t>
      </w:r>
      <w:r w:rsidR="009B2153">
        <w:rPr>
          <w:sz w:val="24"/>
          <w:szCs w:val="24"/>
        </w:rPr>
        <w:t xml:space="preserve"> for determination is whether the</w:t>
      </w:r>
      <w:r w:rsidR="004909BA">
        <w:rPr>
          <w:sz w:val="24"/>
          <w:szCs w:val="24"/>
        </w:rPr>
        <w:t xml:space="preserve"> applicants have established the requisite elements for </w:t>
      </w:r>
      <w:r w:rsidR="00F932BA">
        <w:rPr>
          <w:sz w:val="24"/>
          <w:szCs w:val="24"/>
        </w:rPr>
        <w:t xml:space="preserve">civil </w:t>
      </w:r>
      <w:r w:rsidR="004909BA">
        <w:rPr>
          <w:sz w:val="24"/>
          <w:szCs w:val="24"/>
        </w:rPr>
        <w:t>contempt of court entitling them to an order declaring the respondent in contempt of the M</w:t>
      </w:r>
      <w:r w:rsidR="00521127">
        <w:rPr>
          <w:sz w:val="24"/>
          <w:szCs w:val="24"/>
        </w:rPr>
        <w:t>arch 2020 order</w:t>
      </w:r>
      <w:r>
        <w:rPr>
          <w:sz w:val="24"/>
          <w:szCs w:val="24"/>
        </w:rPr>
        <w:t>. F</w:t>
      </w:r>
      <w:r w:rsidR="004909BA">
        <w:rPr>
          <w:sz w:val="24"/>
          <w:szCs w:val="24"/>
        </w:rPr>
        <w:t>urther,</w:t>
      </w:r>
      <w:r>
        <w:rPr>
          <w:sz w:val="24"/>
          <w:szCs w:val="24"/>
        </w:rPr>
        <w:t xml:space="preserve"> and in the event that the applicants are entitled to an order declaring the respondent in contempt of the March 2020 order, whether in that event, </w:t>
      </w:r>
      <w:r w:rsidR="004909BA">
        <w:rPr>
          <w:sz w:val="24"/>
          <w:szCs w:val="24"/>
        </w:rPr>
        <w:t>the</w:t>
      </w:r>
      <w:r w:rsidR="00521127">
        <w:rPr>
          <w:sz w:val="24"/>
          <w:szCs w:val="24"/>
        </w:rPr>
        <w:t xml:space="preserve"> applicants </w:t>
      </w:r>
      <w:r w:rsidR="004909BA">
        <w:rPr>
          <w:sz w:val="24"/>
          <w:szCs w:val="24"/>
        </w:rPr>
        <w:t>are entitled</w:t>
      </w:r>
      <w:r w:rsidR="00521127">
        <w:rPr>
          <w:sz w:val="24"/>
          <w:szCs w:val="24"/>
        </w:rPr>
        <w:t xml:space="preserve"> to </w:t>
      </w:r>
      <w:r w:rsidR="004909BA">
        <w:rPr>
          <w:sz w:val="24"/>
          <w:szCs w:val="24"/>
        </w:rPr>
        <w:t>the</w:t>
      </w:r>
      <w:r w:rsidR="00521127">
        <w:rPr>
          <w:sz w:val="24"/>
          <w:szCs w:val="24"/>
        </w:rPr>
        <w:t xml:space="preserve"> </w:t>
      </w:r>
      <w:r>
        <w:rPr>
          <w:sz w:val="24"/>
          <w:szCs w:val="24"/>
        </w:rPr>
        <w:t>further</w:t>
      </w:r>
      <w:r w:rsidR="00521127">
        <w:rPr>
          <w:sz w:val="24"/>
          <w:szCs w:val="24"/>
        </w:rPr>
        <w:t xml:space="preserve"> </w:t>
      </w:r>
      <w:r w:rsidR="004909BA">
        <w:rPr>
          <w:sz w:val="24"/>
          <w:szCs w:val="24"/>
        </w:rPr>
        <w:t>punitive</w:t>
      </w:r>
      <w:r w:rsidR="00521127">
        <w:rPr>
          <w:sz w:val="24"/>
          <w:szCs w:val="24"/>
        </w:rPr>
        <w:t xml:space="preserve"> relief sought.</w:t>
      </w:r>
    </w:p>
    <w:p w14:paraId="175311D6" w14:textId="4BC603D7" w:rsidR="009B2153" w:rsidRDefault="00521127" w:rsidP="00A73AA1">
      <w:pPr>
        <w:spacing w:after="0"/>
        <w:rPr>
          <w:sz w:val="24"/>
          <w:szCs w:val="24"/>
        </w:rPr>
      </w:pPr>
      <w:r>
        <w:rPr>
          <w:sz w:val="24"/>
          <w:szCs w:val="24"/>
        </w:rPr>
        <w:t xml:space="preserve"> </w:t>
      </w:r>
    </w:p>
    <w:p w14:paraId="77B528BC" w14:textId="797B54F1" w:rsidR="009B2153" w:rsidRDefault="009B2153" w:rsidP="00A73AA1">
      <w:pPr>
        <w:spacing w:after="0"/>
        <w:rPr>
          <w:b/>
          <w:sz w:val="24"/>
          <w:szCs w:val="24"/>
        </w:rPr>
      </w:pPr>
      <w:r>
        <w:rPr>
          <w:b/>
          <w:sz w:val="24"/>
          <w:szCs w:val="24"/>
        </w:rPr>
        <w:t xml:space="preserve">The law and its application </w:t>
      </w:r>
    </w:p>
    <w:p w14:paraId="5FB74DF9" w14:textId="15839332" w:rsidR="002820BE" w:rsidRDefault="00F932BA" w:rsidP="00A73AA1">
      <w:pPr>
        <w:pStyle w:val="Heading2"/>
        <w:shd w:val="clear" w:color="auto" w:fill="FFFFFF"/>
        <w:spacing w:before="0"/>
        <w:rPr>
          <w:rFonts w:ascii="Arial" w:hAnsi="Arial" w:cs="Arial"/>
          <w:b w:val="0"/>
          <w:bCs w:val="0"/>
          <w:color w:val="auto"/>
          <w:sz w:val="24"/>
          <w:szCs w:val="24"/>
        </w:rPr>
      </w:pPr>
      <w:r w:rsidRPr="00F932BA">
        <w:rPr>
          <w:rFonts w:ascii="Arial" w:hAnsi="Arial" w:cs="Arial"/>
          <w:b w:val="0"/>
          <w:color w:val="auto"/>
          <w:sz w:val="24"/>
          <w:szCs w:val="24"/>
        </w:rPr>
        <w:t>[14]</w:t>
      </w:r>
      <w:r>
        <w:rPr>
          <w:sz w:val="24"/>
          <w:szCs w:val="24"/>
        </w:rPr>
        <w:tab/>
      </w:r>
      <w:r w:rsidR="002820BE" w:rsidRPr="00FC126E">
        <w:rPr>
          <w:rFonts w:ascii="Arial" w:hAnsi="Arial" w:cs="Arial"/>
          <w:b w:val="0"/>
          <w:color w:val="auto"/>
          <w:sz w:val="24"/>
          <w:szCs w:val="24"/>
        </w:rPr>
        <w:t>In</w:t>
      </w:r>
      <w:r w:rsidR="002820BE" w:rsidRPr="00FC126E">
        <w:rPr>
          <w:rFonts w:ascii="Arial" w:hAnsi="Arial" w:cs="Arial"/>
          <w:color w:val="auto"/>
          <w:sz w:val="24"/>
          <w:szCs w:val="24"/>
        </w:rPr>
        <w:t xml:space="preserve"> </w:t>
      </w:r>
      <w:r w:rsidR="002820BE" w:rsidRPr="002820BE">
        <w:rPr>
          <w:rFonts w:ascii="Arial" w:hAnsi="Arial" w:cs="Arial"/>
          <w:b w:val="0"/>
          <w:bCs w:val="0"/>
          <w:i/>
          <w:color w:val="auto"/>
          <w:sz w:val="24"/>
          <w:szCs w:val="24"/>
        </w:rPr>
        <w:t>Pheko and Others v Ekurhuleni Metropolitan Municipality</w:t>
      </w:r>
      <w:r>
        <w:rPr>
          <w:rFonts w:ascii="Arial" w:hAnsi="Arial" w:cs="Arial"/>
          <w:b w:val="0"/>
          <w:bCs w:val="0"/>
          <w:i/>
          <w:color w:val="auto"/>
          <w:sz w:val="24"/>
          <w:szCs w:val="24"/>
        </w:rPr>
        <w:t>,</w:t>
      </w:r>
      <w:r w:rsidR="002820BE" w:rsidRPr="002820BE">
        <w:rPr>
          <w:rStyle w:val="FootnoteReference"/>
          <w:rFonts w:ascii="Arial" w:hAnsi="Arial" w:cs="Arial"/>
          <w:b w:val="0"/>
          <w:bCs w:val="0"/>
          <w:color w:val="auto"/>
          <w:sz w:val="20"/>
        </w:rPr>
        <w:footnoteReference w:id="1"/>
      </w:r>
      <w:r w:rsidR="002820BE" w:rsidRPr="00FC126E">
        <w:rPr>
          <w:rFonts w:ascii="Arial" w:hAnsi="Arial" w:cs="Arial"/>
          <w:b w:val="0"/>
          <w:bCs w:val="0"/>
          <w:color w:val="auto"/>
          <w:sz w:val="24"/>
          <w:szCs w:val="24"/>
        </w:rPr>
        <w:t xml:space="preserve"> </w:t>
      </w:r>
      <w:r w:rsidR="002820BE">
        <w:rPr>
          <w:rFonts w:ascii="Arial" w:hAnsi="Arial" w:cs="Arial"/>
          <w:b w:val="0"/>
          <w:bCs w:val="0"/>
          <w:color w:val="auto"/>
          <w:sz w:val="24"/>
          <w:szCs w:val="24"/>
        </w:rPr>
        <w:t>Nkabinde J reiterated that:</w:t>
      </w:r>
    </w:p>
    <w:p w14:paraId="16372133" w14:textId="77777777" w:rsidR="002820BE" w:rsidRPr="00C454C2" w:rsidRDefault="002820BE" w:rsidP="00A73AA1">
      <w:pPr>
        <w:pStyle w:val="Heading2"/>
        <w:shd w:val="clear" w:color="auto" w:fill="FFFFFF"/>
        <w:spacing w:before="0"/>
        <w:rPr>
          <w:rFonts w:ascii="Arial" w:hAnsi="Arial" w:cs="Arial"/>
          <w:b w:val="0"/>
          <w:color w:val="auto"/>
          <w:sz w:val="24"/>
          <w:szCs w:val="24"/>
          <w:shd w:val="clear" w:color="auto" w:fill="FFFFFF"/>
        </w:rPr>
      </w:pPr>
      <w:r w:rsidRPr="00C454C2">
        <w:rPr>
          <w:rFonts w:ascii="Arial" w:hAnsi="Arial" w:cs="Arial"/>
          <w:b w:val="0"/>
          <w:bCs w:val="0"/>
          <w:color w:val="auto"/>
          <w:sz w:val="24"/>
          <w:szCs w:val="24"/>
        </w:rPr>
        <w:t>‘</w:t>
      </w:r>
      <w:r w:rsidRPr="00C454C2">
        <w:rPr>
          <w:rFonts w:ascii="Arial" w:hAnsi="Arial" w:cs="Arial"/>
          <w:b w:val="0"/>
          <w:i/>
          <w:color w:val="auto"/>
          <w:sz w:val="22"/>
          <w:szCs w:val="22"/>
          <w:shd w:val="clear" w:color="auto" w:fill="FFFFFF"/>
        </w:rPr>
        <w:t xml:space="preserve">Contempt of court is understood as the commission of any act or statement that displays disrespect for the authority of the court or its officers acting in an official capacity. This includes acts of contumacy in both senses: wilful disobedience and resistance to lawful court orders. . . </w:t>
      </w:r>
      <w:r w:rsidRPr="00C454C2">
        <w:rPr>
          <w:rFonts w:ascii="Arial" w:eastAsia="Times New Roman" w:hAnsi="Arial" w:cs="Arial"/>
          <w:b w:val="0"/>
          <w:bCs w:val="0"/>
          <w:i/>
          <w:color w:val="auto"/>
          <w:sz w:val="22"/>
          <w:szCs w:val="22"/>
          <w:shd w:val="clear" w:color="auto" w:fill="FFFFFF"/>
        </w:rPr>
        <w:t>Wilful disobedience of an order made in civil proceedings is both contemptuous and a criminal offence</w:t>
      </w:r>
      <w:bookmarkStart w:id="0" w:name="_ftnref26"/>
      <w:r w:rsidRPr="00C454C2">
        <w:rPr>
          <w:rFonts w:ascii="Arial" w:eastAsia="Times New Roman" w:hAnsi="Arial" w:cs="Arial"/>
          <w:b w:val="0"/>
          <w:bCs w:val="0"/>
          <w:i/>
          <w:color w:val="auto"/>
          <w:sz w:val="22"/>
          <w:szCs w:val="22"/>
          <w:shd w:val="clear" w:color="auto" w:fill="FFFFFF"/>
        </w:rPr>
        <w:t>.</w:t>
      </w:r>
      <w:bookmarkEnd w:id="0"/>
      <w:r w:rsidRPr="00C454C2">
        <w:rPr>
          <w:rFonts w:ascii="Arial" w:eastAsia="Times New Roman" w:hAnsi="Arial" w:cs="Arial"/>
          <w:b w:val="0"/>
          <w:bCs w:val="0"/>
          <w:i/>
          <w:color w:val="auto"/>
          <w:sz w:val="22"/>
          <w:szCs w:val="22"/>
          <w:shd w:val="clear" w:color="auto" w:fill="FFFFFF"/>
        </w:rPr>
        <w:t xml:space="preserve"> The object of contempt proceedings is to impose a penalty that will vindicate the court’s honour, consequent upon the disregard of its previous order, as well as to compel performance in accordance with the previous order.</w:t>
      </w:r>
      <w:r w:rsidRPr="00C454C2">
        <w:rPr>
          <w:rFonts w:ascii="Arial" w:hAnsi="Arial" w:cs="Arial"/>
          <w:b w:val="0"/>
          <w:color w:val="auto"/>
          <w:sz w:val="24"/>
          <w:szCs w:val="24"/>
          <w:shd w:val="clear" w:color="auto" w:fill="FFFFFF"/>
        </w:rPr>
        <w:t xml:space="preserve">’ </w:t>
      </w:r>
    </w:p>
    <w:p w14:paraId="05EDDC2A" w14:textId="77777777" w:rsidR="002820BE" w:rsidRDefault="002820BE" w:rsidP="00A73AA1">
      <w:pPr>
        <w:spacing w:after="0"/>
        <w:rPr>
          <w:sz w:val="24"/>
          <w:szCs w:val="24"/>
        </w:rPr>
      </w:pPr>
    </w:p>
    <w:p w14:paraId="71C4E4EF" w14:textId="4EB99321" w:rsidR="00CA2E1E" w:rsidRDefault="00F932BA" w:rsidP="00A73AA1">
      <w:pPr>
        <w:spacing w:after="0"/>
        <w:rPr>
          <w:sz w:val="24"/>
          <w:szCs w:val="24"/>
        </w:rPr>
      </w:pPr>
      <w:r>
        <w:rPr>
          <w:sz w:val="24"/>
          <w:szCs w:val="24"/>
        </w:rPr>
        <w:t>[15]</w:t>
      </w:r>
      <w:r>
        <w:rPr>
          <w:sz w:val="24"/>
          <w:szCs w:val="24"/>
        </w:rPr>
        <w:tab/>
      </w:r>
      <w:r w:rsidR="008D6278">
        <w:rPr>
          <w:sz w:val="24"/>
          <w:szCs w:val="24"/>
        </w:rPr>
        <w:t>The nature of the relief sought in these civil contempt proceedings are</w:t>
      </w:r>
      <w:r>
        <w:rPr>
          <w:sz w:val="24"/>
          <w:szCs w:val="24"/>
        </w:rPr>
        <w:t xml:space="preserve"> not coercive but rather </w:t>
      </w:r>
      <w:r w:rsidR="008D6278">
        <w:rPr>
          <w:sz w:val="24"/>
          <w:szCs w:val="24"/>
        </w:rPr>
        <w:t>punitive</w:t>
      </w:r>
      <w:r>
        <w:rPr>
          <w:sz w:val="24"/>
          <w:szCs w:val="24"/>
        </w:rPr>
        <w:t>.</w:t>
      </w:r>
      <w:r w:rsidR="008D6278">
        <w:rPr>
          <w:sz w:val="24"/>
          <w:szCs w:val="24"/>
        </w:rPr>
        <w:t xml:space="preserve"> This is evident from the fact that the applicants seek orders that the</w:t>
      </w:r>
      <w:r w:rsidR="00613D07">
        <w:rPr>
          <w:sz w:val="24"/>
          <w:szCs w:val="24"/>
        </w:rPr>
        <w:t xml:space="preserve"> r</w:t>
      </w:r>
      <w:r w:rsidR="00613D07" w:rsidRPr="00847F64">
        <w:rPr>
          <w:sz w:val="24"/>
          <w:szCs w:val="24"/>
        </w:rPr>
        <w:t>espondent  pay a judicial fine of R500</w:t>
      </w:r>
      <w:r w:rsidR="00613D07">
        <w:rPr>
          <w:sz w:val="24"/>
          <w:szCs w:val="24"/>
        </w:rPr>
        <w:t> </w:t>
      </w:r>
      <w:r w:rsidR="00613D07" w:rsidRPr="00847F64">
        <w:rPr>
          <w:sz w:val="24"/>
          <w:szCs w:val="24"/>
        </w:rPr>
        <w:t>000</w:t>
      </w:r>
      <w:r w:rsidR="00613D07">
        <w:rPr>
          <w:sz w:val="24"/>
          <w:szCs w:val="24"/>
        </w:rPr>
        <w:t xml:space="preserve">; that her plea </w:t>
      </w:r>
      <w:r w:rsidR="00613D07" w:rsidRPr="00847F64">
        <w:rPr>
          <w:sz w:val="24"/>
          <w:szCs w:val="24"/>
        </w:rPr>
        <w:t xml:space="preserve">in the action </w:t>
      </w:r>
      <w:r w:rsidR="00613D07">
        <w:rPr>
          <w:sz w:val="24"/>
          <w:szCs w:val="24"/>
        </w:rPr>
        <w:t xml:space="preserve">be </w:t>
      </w:r>
      <w:r w:rsidR="00613D07" w:rsidRPr="00847F64">
        <w:rPr>
          <w:sz w:val="24"/>
          <w:szCs w:val="24"/>
        </w:rPr>
        <w:t xml:space="preserve"> struck out in its entirety</w:t>
      </w:r>
      <w:r w:rsidR="00613D07">
        <w:rPr>
          <w:sz w:val="24"/>
          <w:szCs w:val="24"/>
        </w:rPr>
        <w:t>; and following such striking of the respondent’s defence, an award of judgment in the applicants favour in the action.</w:t>
      </w:r>
      <w:r w:rsidR="00613D07" w:rsidRPr="0046216A">
        <w:rPr>
          <w:rStyle w:val="FootnoteReference"/>
          <w:rFonts w:ascii="Arial" w:hAnsi="Arial"/>
          <w:sz w:val="20"/>
        </w:rPr>
        <w:footnoteReference w:id="2"/>
      </w:r>
      <w:r w:rsidR="00613D07">
        <w:rPr>
          <w:sz w:val="24"/>
          <w:szCs w:val="24"/>
        </w:rPr>
        <w:t xml:space="preserve"> </w:t>
      </w:r>
    </w:p>
    <w:p w14:paraId="404E4A35" w14:textId="77777777" w:rsidR="00F932BA" w:rsidRDefault="00F932BA" w:rsidP="00A73AA1">
      <w:pPr>
        <w:spacing w:after="0"/>
        <w:rPr>
          <w:sz w:val="24"/>
          <w:szCs w:val="24"/>
        </w:rPr>
      </w:pPr>
    </w:p>
    <w:p w14:paraId="58E5DA80" w14:textId="4FFC3508" w:rsidR="00257360" w:rsidRDefault="00F932BA" w:rsidP="00A73AA1">
      <w:pPr>
        <w:shd w:val="clear" w:color="auto" w:fill="FFFFFF"/>
        <w:spacing w:after="0"/>
        <w:outlineLvl w:val="1"/>
        <w:rPr>
          <w:sz w:val="24"/>
          <w:szCs w:val="24"/>
          <w:lang w:val="en-ZA" w:eastAsia="en-ZA"/>
        </w:rPr>
      </w:pPr>
      <w:r>
        <w:rPr>
          <w:sz w:val="24"/>
          <w:szCs w:val="24"/>
        </w:rPr>
        <w:lastRenderedPageBreak/>
        <w:t>[16]</w:t>
      </w:r>
      <w:r>
        <w:rPr>
          <w:sz w:val="24"/>
          <w:szCs w:val="24"/>
        </w:rPr>
        <w:tab/>
      </w:r>
      <w:r w:rsidR="0046216A">
        <w:rPr>
          <w:sz w:val="24"/>
          <w:szCs w:val="24"/>
        </w:rPr>
        <w:t>In clarifying the principles applicable to contempt proceedings</w:t>
      </w:r>
      <w:r w:rsidR="00521127">
        <w:rPr>
          <w:sz w:val="24"/>
          <w:szCs w:val="24"/>
        </w:rPr>
        <w:t xml:space="preserve"> </w:t>
      </w:r>
      <w:r w:rsidR="0046216A">
        <w:rPr>
          <w:sz w:val="24"/>
          <w:szCs w:val="24"/>
        </w:rPr>
        <w:t xml:space="preserve">in </w:t>
      </w:r>
      <w:r w:rsidR="0046216A" w:rsidRPr="00257360">
        <w:rPr>
          <w:i/>
          <w:sz w:val="24"/>
          <w:szCs w:val="24"/>
          <w:lang w:val="en-ZA" w:eastAsia="en-ZA"/>
        </w:rPr>
        <w:t>Matjhabeng Local Municipality v Eskom Holdings Limited and Others; Mkhonto and Others v Compensation Solutions (Pty) Limited</w:t>
      </w:r>
      <w:r w:rsidR="00257360" w:rsidRPr="00257360">
        <w:rPr>
          <w:rStyle w:val="FootnoteReference"/>
          <w:rFonts w:ascii="Arial" w:hAnsi="Arial"/>
          <w:sz w:val="20"/>
          <w:lang w:val="en-ZA" w:eastAsia="en-ZA"/>
        </w:rPr>
        <w:footnoteReference w:id="3"/>
      </w:r>
      <w:r w:rsidR="00257360">
        <w:rPr>
          <w:sz w:val="24"/>
          <w:szCs w:val="24"/>
          <w:lang w:val="en-ZA" w:eastAsia="en-ZA"/>
        </w:rPr>
        <w:t xml:space="preserve"> </w:t>
      </w:r>
      <w:r w:rsidR="00521127">
        <w:rPr>
          <w:sz w:val="24"/>
          <w:szCs w:val="24"/>
        </w:rPr>
        <w:t xml:space="preserve">Nkabinde ADCJ </w:t>
      </w:r>
      <w:r w:rsidR="00FA3CC6">
        <w:rPr>
          <w:sz w:val="24"/>
          <w:szCs w:val="24"/>
          <w:lang w:val="en-ZA" w:eastAsia="en-ZA"/>
        </w:rPr>
        <w:t>stated</w:t>
      </w:r>
      <w:r w:rsidR="00257360">
        <w:rPr>
          <w:sz w:val="24"/>
          <w:szCs w:val="24"/>
          <w:lang w:val="en-ZA" w:eastAsia="en-ZA"/>
        </w:rPr>
        <w:t xml:space="preserve"> that: </w:t>
      </w:r>
    </w:p>
    <w:p w14:paraId="0A3770FC" w14:textId="30A8CA40" w:rsidR="0046216A" w:rsidRPr="00257360" w:rsidRDefault="00257360" w:rsidP="00A73AA1">
      <w:pPr>
        <w:shd w:val="clear" w:color="auto" w:fill="FFFFFF"/>
        <w:spacing w:after="0"/>
        <w:outlineLvl w:val="1"/>
        <w:rPr>
          <w:sz w:val="22"/>
          <w:lang w:val="en-ZA" w:eastAsia="en-ZA"/>
        </w:rPr>
      </w:pPr>
      <w:r>
        <w:rPr>
          <w:color w:val="242121"/>
          <w:sz w:val="22"/>
        </w:rPr>
        <w:t>‘</w:t>
      </w:r>
      <w:r>
        <w:rPr>
          <w:i/>
          <w:color w:val="242121"/>
          <w:sz w:val="22"/>
        </w:rPr>
        <w:t xml:space="preserve">. . . </w:t>
      </w:r>
      <w:r w:rsidRPr="00257360">
        <w:rPr>
          <w:i/>
          <w:color w:val="242121"/>
          <w:sz w:val="22"/>
        </w:rPr>
        <w:t>I am of the view that the standard of proof must be applied in accordance with the purpose sought to be achieved, differently put, the consequences of the various remedies.  As I understand it, the maintenance of a distinction does have a practical significance: the civil contempt remedies of committal or a fine have material consequences on an individual’s freedom and security of the person.  However, it is necessary in some instances because disregard of a court order not only deprives the other party of the benefit of the order but also impairs the effective administration of justice.  There, the criminal standard of proof – beyond reasonable doubt – applies always.  A fitting example of this is </w:t>
      </w:r>
      <w:r w:rsidRPr="00257360">
        <w:rPr>
          <w:i/>
          <w:iCs/>
          <w:color w:val="242121"/>
          <w:sz w:val="22"/>
        </w:rPr>
        <w:t>Fakie</w:t>
      </w:r>
      <w:r w:rsidRPr="00257360">
        <w:rPr>
          <w:i/>
          <w:color w:val="242121"/>
          <w:sz w:val="22"/>
        </w:rPr>
        <w:t>.  On the other hand, there are civil contempt remedies − for example, declaratory relief, </w:t>
      </w:r>
      <w:r w:rsidRPr="00257360">
        <w:rPr>
          <w:i/>
          <w:iCs/>
          <w:color w:val="242121"/>
          <w:sz w:val="22"/>
        </w:rPr>
        <w:t>mandamus</w:t>
      </w:r>
      <w:r w:rsidRPr="00257360">
        <w:rPr>
          <w:i/>
          <w:color w:val="242121"/>
          <w:sz w:val="22"/>
        </w:rPr>
        <w:t>, or a structural interdict − that do not have the consequence of depriving an individual of their right to freedom and security of the person.  A fitting example of this is </w:t>
      </w:r>
      <w:r w:rsidRPr="00257360">
        <w:rPr>
          <w:i/>
          <w:iCs/>
          <w:color w:val="242121"/>
          <w:sz w:val="22"/>
        </w:rPr>
        <w:t>Burchell</w:t>
      </w:r>
      <w:r w:rsidRPr="00257360">
        <w:rPr>
          <w:i/>
          <w:color w:val="242121"/>
          <w:sz w:val="22"/>
        </w:rPr>
        <w:t>.  Here, and I stress, the civil standard of proof – a balance of probabilities – applies</w:t>
      </w:r>
      <w:r w:rsidRPr="00257360">
        <w:rPr>
          <w:color w:val="242121"/>
          <w:sz w:val="22"/>
        </w:rPr>
        <w:t>.</w:t>
      </w:r>
      <w:r>
        <w:rPr>
          <w:color w:val="242121"/>
          <w:sz w:val="22"/>
        </w:rPr>
        <w:t>’</w:t>
      </w:r>
      <w:r w:rsidRPr="00F91711">
        <w:rPr>
          <w:rStyle w:val="FootnoteReference"/>
          <w:rFonts w:ascii="Arial" w:hAnsi="Arial"/>
          <w:color w:val="242121"/>
          <w:sz w:val="20"/>
        </w:rPr>
        <w:footnoteReference w:id="4"/>
      </w:r>
      <w:r w:rsidRPr="00F91711">
        <w:rPr>
          <w:color w:val="242121"/>
          <w:szCs w:val="20"/>
        </w:rPr>
        <w:t xml:space="preserve"> </w:t>
      </w:r>
      <w:r w:rsidRPr="00257360">
        <w:rPr>
          <w:sz w:val="22"/>
          <w:lang w:val="en-ZA" w:eastAsia="en-ZA"/>
        </w:rPr>
        <w:t xml:space="preserve"> </w:t>
      </w:r>
      <w:r w:rsidR="0046216A" w:rsidRPr="00257360">
        <w:rPr>
          <w:sz w:val="22"/>
          <w:lang w:val="en-ZA" w:eastAsia="en-ZA"/>
        </w:rPr>
        <w:t xml:space="preserve"> </w:t>
      </w:r>
    </w:p>
    <w:p w14:paraId="181BCE83" w14:textId="6E1FC867" w:rsidR="0046216A" w:rsidRDefault="0046216A" w:rsidP="00A73AA1">
      <w:pPr>
        <w:spacing w:after="0"/>
        <w:rPr>
          <w:sz w:val="24"/>
          <w:szCs w:val="24"/>
        </w:rPr>
      </w:pPr>
    </w:p>
    <w:p w14:paraId="5457FD78" w14:textId="57A55C11" w:rsidR="00F91711" w:rsidRDefault="00F932BA" w:rsidP="00A73AA1">
      <w:pPr>
        <w:spacing w:after="0"/>
        <w:rPr>
          <w:sz w:val="24"/>
          <w:szCs w:val="24"/>
        </w:rPr>
      </w:pPr>
      <w:r>
        <w:rPr>
          <w:sz w:val="24"/>
          <w:szCs w:val="24"/>
        </w:rPr>
        <w:t>[17]</w:t>
      </w:r>
      <w:r>
        <w:rPr>
          <w:sz w:val="24"/>
          <w:szCs w:val="24"/>
        </w:rPr>
        <w:tab/>
      </w:r>
      <w:r w:rsidR="00F91711">
        <w:rPr>
          <w:sz w:val="24"/>
          <w:szCs w:val="24"/>
        </w:rPr>
        <w:t xml:space="preserve">Accordingly, the applicants </w:t>
      </w:r>
      <w:r w:rsidR="00FA3CC6">
        <w:rPr>
          <w:sz w:val="24"/>
          <w:szCs w:val="24"/>
        </w:rPr>
        <w:t xml:space="preserve">bear the onus of </w:t>
      </w:r>
      <w:r w:rsidR="000F0123">
        <w:rPr>
          <w:sz w:val="24"/>
          <w:szCs w:val="24"/>
        </w:rPr>
        <w:t>establish</w:t>
      </w:r>
      <w:r w:rsidR="00FA3CC6">
        <w:rPr>
          <w:sz w:val="24"/>
          <w:szCs w:val="24"/>
        </w:rPr>
        <w:t>ing</w:t>
      </w:r>
      <w:r w:rsidR="000F0123">
        <w:rPr>
          <w:sz w:val="24"/>
          <w:szCs w:val="24"/>
        </w:rPr>
        <w:t xml:space="preserve"> </w:t>
      </w:r>
      <w:r w:rsidR="00F91711">
        <w:rPr>
          <w:sz w:val="24"/>
          <w:szCs w:val="24"/>
        </w:rPr>
        <w:t xml:space="preserve">the </w:t>
      </w:r>
      <w:r w:rsidR="00FA3CC6">
        <w:rPr>
          <w:sz w:val="24"/>
          <w:szCs w:val="24"/>
        </w:rPr>
        <w:t>requirements for contempt</w:t>
      </w:r>
      <w:r w:rsidR="00521127">
        <w:rPr>
          <w:sz w:val="24"/>
          <w:szCs w:val="24"/>
        </w:rPr>
        <w:t>,</w:t>
      </w:r>
      <w:r w:rsidR="000F0123">
        <w:rPr>
          <w:sz w:val="24"/>
          <w:szCs w:val="24"/>
        </w:rPr>
        <w:t xml:space="preserve"> </w:t>
      </w:r>
      <w:r w:rsidR="00521127">
        <w:rPr>
          <w:sz w:val="24"/>
          <w:szCs w:val="24"/>
        </w:rPr>
        <w:t>namely</w:t>
      </w:r>
      <w:r w:rsidR="000F0123">
        <w:rPr>
          <w:sz w:val="24"/>
          <w:szCs w:val="24"/>
        </w:rPr>
        <w:t xml:space="preserve"> that </w:t>
      </w:r>
      <w:r w:rsidR="00F91711">
        <w:rPr>
          <w:sz w:val="24"/>
          <w:szCs w:val="24"/>
        </w:rPr>
        <w:t xml:space="preserve">the </w:t>
      </w:r>
      <w:r w:rsidR="000F0123">
        <w:rPr>
          <w:sz w:val="24"/>
          <w:szCs w:val="24"/>
        </w:rPr>
        <w:t xml:space="preserve">order exists; </w:t>
      </w:r>
      <w:r w:rsidR="00F91711">
        <w:rPr>
          <w:sz w:val="24"/>
          <w:szCs w:val="24"/>
        </w:rPr>
        <w:t>the</w:t>
      </w:r>
      <w:r w:rsidR="000F0123">
        <w:rPr>
          <w:sz w:val="24"/>
          <w:szCs w:val="24"/>
        </w:rPr>
        <w:t xml:space="preserve"> order has been served on, or </w:t>
      </w:r>
      <w:r w:rsidR="00F91711">
        <w:rPr>
          <w:sz w:val="24"/>
          <w:szCs w:val="24"/>
        </w:rPr>
        <w:t>brought to the notice of the alleged contemnor; there</w:t>
      </w:r>
      <w:r w:rsidR="000B7B32">
        <w:rPr>
          <w:sz w:val="24"/>
          <w:szCs w:val="24"/>
        </w:rPr>
        <w:t xml:space="preserve"> has been </w:t>
      </w:r>
      <w:r w:rsidR="00F91711">
        <w:rPr>
          <w:sz w:val="24"/>
          <w:szCs w:val="24"/>
        </w:rPr>
        <w:t xml:space="preserve">non-compliance with the order; and the non-compliance must be willful </w:t>
      </w:r>
      <w:r w:rsidR="000B7B32">
        <w:rPr>
          <w:sz w:val="24"/>
          <w:szCs w:val="24"/>
        </w:rPr>
        <w:t>or</w:t>
      </w:r>
      <w:r w:rsidR="00F91711">
        <w:rPr>
          <w:sz w:val="24"/>
          <w:szCs w:val="24"/>
        </w:rPr>
        <w:t xml:space="preserve"> </w:t>
      </w:r>
      <w:r w:rsidR="00F91711">
        <w:rPr>
          <w:i/>
          <w:sz w:val="24"/>
          <w:szCs w:val="24"/>
        </w:rPr>
        <w:t xml:space="preserve">mala fide. </w:t>
      </w:r>
      <w:r w:rsidR="00F91711">
        <w:rPr>
          <w:sz w:val="24"/>
          <w:szCs w:val="24"/>
        </w:rPr>
        <w:t>Since the relief sought</w:t>
      </w:r>
      <w:r w:rsidR="00FA3CC6">
        <w:rPr>
          <w:sz w:val="24"/>
          <w:szCs w:val="24"/>
        </w:rPr>
        <w:t xml:space="preserve"> is punitive and </w:t>
      </w:r>
      <w:r w:rsidR="00F91711">
        <w:rPr>
          <w:sz w:val="24"/>
          <w:szCs w:val="24"/>
        </w:rPr>
        <w:t>includes</w:t>
      </w:r>
      <w:r w:rsidR="00FA3CC6">
        <w:rPr>
          <w:sz w:val="24"/>
          <w:szCs w:val="24"/>
        </w:rPr>
        <w:t xml:space="preserve"> the imposition of</w:t>
      </w:r>
      <w:r w:rsidR="00F91711">
        <w:rPr>
          <w:sz w:val="24"/>
          <w:szCs w:val="24"/>
        </w:rPr>
        <w:t xml:space="preserve"> a judicial fine, the criminal standard of proof of beyond a reasonable doubt is applicable.</w:t>
      </w:r>
      <w:r w:rsidR="00F91711" w:rsidRPr="00F91711">
        <w:rPr>
          <w:rStyle w:val="FootnoteReference"/>
          <w:rFonts w:ascii="Arial" w:hAnsi="Arial"/>
          <w:sz w:val="20"/>
        </w:rPr>
        <w:footnoteReference w:id="5"/>
      </w:r>
      <w:r w:rsidR="00F91711">
        <w:rPr>
          <w:sz w:val="24"/>
          <w:szCs w:val="24"/>
        </w:rPr>
        <w:t xml:space="preserve"> </w:t>
      </w:r>
    </w:p>
    <w:p w14:paraId="0C95BDB7" w14:textId="77777777" w:rsidR="00F932BA" w:rsidRDefault="00F932BA" w:rsidP="00A73AA1">
      <w:pPr>
        <w:spacing w:after="0"/>
        <w:rPr>
          <w:sz w:val="24"/>
          <w:szCs w:val="24"/>
        </w:rPr>
      </w:pPr>
    </w:p>
    <w:p w14:paraId="5D7A6734" w14:textId="455A8C4E" w:rsidR="000B7B32" w:rsidRDefault="00F932BA" w:rsidP="00A73AA1">
      <w:pPr>
        <w:pStyle w:val="NormalWeb"/>
        <w:shd w:val="clear" w:color="auto" w:fill="FFFFFF"/>
        <w:spacing w:before="0" w:beforeAutospacing="0" w:after="0" w:afterAutospacing="0" w:line="360" w:lineRule="auto"/>
        <w:jc w:val="both"/>
        <w:rPr>
          <w:rFonts w:ascii="Arial" w:hAnsi="Arial" w:cs="Arial"/>
          <w:color w:val="242121"/>
        </w:rPr>
      </w:pPr>
      <w:r>
        <w:rPr>
          <w:rFonts w:ascii="Arial" w:hAnsi="Arial" w:cs="Arial"/>
        </w:rPr>
        <w:t>[18]</w:t>
      </w:r>
      <w:r>
        <w:rPr>
          <w:rFonts w:ascii="Arial" w:hAnsi="Arial" w:cs="Arial"/>
        </w:rPr>
        <w:tab/>
      </w:r>
      <w:r w:rsidR="00F91711" w:rsidRPr="000B7B32">
        <w:rPr>
          <w:rFonts w:ascii="Arial" w:hAnsi="Arial" w:cs="Arial"/>
        </w:rPr>
        <w:t xml:space="preserve">It is common cause that </w:t>
      </w:r>
      <w:r w:rsidR="000B7B32" w:rsidRPr="000B7B32">
        <w:rPr>
          <w:rFonts w:ascii="Arial" w:hAnsi="Arial" w:cs="Arial"/>
        </w:rPr>
        <w:t xml:space="preserve">the March 2020 order exists and that it was brought to the respondent’s attention. </w:t>
      </w:r>
      <w:r w:rsidR="000B7B32" w:rsidRPr="000B7B32">
        <w:rPr>
          <w:rFonts w:ascii="Arial" w:hAnsi="Arial" w:cs="Arial"/>
          <w:color w:val="242121"/>
        </w:rPr>
        <w:t>The applicants are therefor</w:t>
      </w:r>
      <w:r w:rsidR="000B7B32">
        <w:rPr>
          <w:rFonts w:ascii="Arial" w:hAnsi="Arial" w:cs="Arial"/>
          <w:color w:val="242121"/>
        </w:rPr>
        <w:t>e</w:t>
      </w:r>
      <w:r w:rsidR="000B7B32" w:rsidRPr="000B7B32">
        <w:rPr>
          <w:rFonts w:ascii="Arial" w:hAnsi="Arial" w:cs="Arial"/>
          <w:color w:val="242121"/>
        </w:rPr>
        <w:t xml:space="preserve"> required to demonstrate the respondent’s non-compliance with the </w:t>
      </w:r>
      <w:r w:rsidR="000B7B32">
        <w:rPr>
          <w:rFonts w:ascii="Arial" w:hAnsi="Arial" w:cs="Arial"/>
          <w:color w:val="242121"/>
        </w:rPr>
        <w:t xml:space="preserve">March 2020 </w:t>
      </w:r>
      <w:r w:rsidR="000B7B32" w:rsidRPr="000B7B32">
        <w:rPr>
          <w:rFonts w:ascii="Arial" w:hAnsi="Arial" w:cs="Arial"/>
          <w:color w:val="242121"/>
        </w:rPr>
        <w:t xml:space="preserve">order and that such non-compliance is wilful or mala fide in order to succeed with the first aspect of this </w:t>
      </w:r>
      <w:r w:rsidR="009052FE" w:rsidRPr="000B7B32">
        <w:rPr>
          <w:rFonts w:ascii="Arial" w:hAnsi="Arial" w:cs="Arial"/>
          <w:color w:val="242121"/>
        </w:rPr>
        <w:t>application, which</w:t>
      </w:r>
      <w:r w:rsidR="000B7B32" w:rsidRPr="000B7B32">
        <w:rPr>
          <w:rFonts w:ascii="Arial" w:hAnsi="Arial" w:cs="Arial"/>
          <w:color w:val="242121"/>
        </w:rPr>
        <w:t xml:space="preserve"> seeks a finding </w:t>
      </w:r>
      <w:r w:rsidR="000B7B32">
        <w:rPr>
          <w:rFonts w:ascii="Arial" w:hAnsi="Arial" w:cs="Arial"/>
          <w:color w:val="242121"/>
        </w:rPr>
        <w:t xml:space="preserve">declaring </w:t>
      </w:r>
      <w:r w:rsidR="000B7B32" w:rsidRPr="000B7B32">
        <w:rPr>
          <w:rFonts w:ascii="Arial" w:hAnsi="Arial" w:cs="Arial"/>
          <w:color w:val="242121"/>
        </w:rPr>
        <w:t>the respondent in contempt of the March 2020 order due to non-compliance</w:t>
      </w:r>
      <w:r w:rsidR="000B7B32">
        <w:rPr>
          <w:rFonts w:ascii="Arial" w:hAnsi="Arial" w:cs="Arial"/>
          <w:color w:val="242121"/>
        </w:rPr>
        <w:t>.</w:t>
      </w:r>
    </w:p>
    <w:p w14:paraId="1B75B799" w14:textId="77777777" w:rsidR="00656547" w:rsidRDefault="00656547" w:rsidP="00A73AA1">
      <w:pPr>
        <w:spacing w:after="0"/>
        <w:rPr>
          <w:sz w:val="24"/>
          <w:szCs w:val="24"/>
        </w:rPr>
      </w:pPr>
    </w:p>
    <w:p w14:paraId="6F19F36F" w14:textId="3BBB5B42" w:rsidR="009052FE" w:rsidRDefault="00F932BA" w:rsidP="00A73AA1">
      <w:pPr>
        <w:spacing w:after="0"/>
        <w:rPr>
          <w:sz w:val="24"/>
          <w:szCs w:val="24"/>
        </w:rPr>
      </w:pPr>
      <w:r>
        <w:rPr>
          <w:sz w:val="24"/>
          <w:szCs w:val="24"/>
        </w:rPr>
        <w:lastRenderedPageBreak/>
        <w:t>[19]</w:t>
      </w:r>
      <w:r>
        <w:rPr>
          <w:sz w:val="24"/>
          <w:szCs w:val="24"/>
        </w:rPr>
        <w:tab/>
      </w:r>
      <w:r w:rsidR="007125D7">
        <w:rPr>
          <w:sz w:val="24"/>
          <w:szCs w:val="24"/>
        </w:rPr>
        <w:t>The court’s view of what constitutes material non-compliance in</w:t>
      </w:r>
      <w:r w:rsidR="009052FE">
        <w:rPr>
          <w:sz w:val="24"/>
          <w:szCs w:val="24"/>
        </w:rPr>
        <w:t xml:space="preserve"> </w:t>
      </w:r>
      <w:r w:rsidR="009052FE">
        <w:rPr>
          <w:i/>
          <w:sz w:val="24"/>
          <w:szCs w:val="24"/>
        </w:rPr>
        <w:t>Consolidated Fish Distributors (Pty) Ltd v Zive and Others</w:t>
      </w:r>
      <w:r w:rsidR="009052FE" w:rsidRPr="009052FE">
        <w:rPr>
          <w:rStyle w:val="FootnoteReference"/>
          <w:rFonts w:ascii="Arial" w:hAnsi="Arial"/>
          <w:sz w:val="20"/>
        </w:rPr>
        <w:footnoteReference w:id="6"/>
      </w:r>
      <w:r w:rsidR="009052FE">
        <w:rPr>
          <w:sz w:val="24"/>
          <w:szCs w:val="24"/>
        </w:rPr>
        <w:t xml:space="preserve"> </w:t>
      </w:r>
      <w:r w:rsidR="00656547">
        <w:rPr>
          <w:sz w:val="24"/>
          <w:szCs w:val="24"/>
        </w:rPr>
        <w:t>is</w:t>
      </w:r>
      <w:r w:rsidR="007125D7">
        <w:rPr>
          <w:sz w:val="24"/>
          <w:szCs w:val="24"/>
        </w:rPr>
        <w:t xml:space="preserve"> apposite. The court </w:t>
      </w:r>
      <w:r w:rsidR="00B86134">
        <w:rPr>
          <w:sz w:val="24"/>
          <w:szCs w:val="24"/>
        </w:rPr>
        <w:t xml:space="preserve">stated </w:t>
      </w:r>
      <w:r w:rsidR="007125D7">
        <w:rPr>
          <w:sz w:val="24"/>
          <w:szCs w:val="24"/>
        </w:rPr>
        <w:t>that:</w:t>
      </w:r>
    </w:p>
    <w:p w14:paraId="432D3E2A" w14:textId="5AB8A8CF" w:rsidR="007125D7" w:rsidRDefault="007125D7" w:rsidP="00A73AA1">
      <w:pPr>
        <w:spacing w:after="0"/>
        <w:rPr>
          <w:i/>
          <w:sz w:val="22"/>
        </w:rPr>
      </w:pPr>
      <w:r>
        <w:rPr>
          <w:sz w:val="24"/>
          <w:szCs w:val="24"/>
        </w:rPr>
        <w:t>‘</w:t>
      </w:r>
      <w:r w:rsidRPr="00656547">
        <w:rPr>
          <w:i/>
          <w:sz w:val="22"/>
        </w:rPr>
        <w:t xml:space="preserve">Contempt of court, in the present context, means the deliberate, intentional (i.e. willful), disobedience of an order granted by a </w:t>
      </w:r>
      <w:r w:rsidR="00C454C2">
        <w:rPr>
          <w:i/>
          <w:sz w:val="22"/>
        </w:rPr>
        <w:t>court of competent jurisdiction</w:t>
      </w:r>
      <w:r w:rsidRPr="00656547">
        <w:rPr>
          <w:i/>
          <w:sz w:val="22"/>
        </w:rPr>
        <w:t>. In Southey v Southey it said was said that applicant for an attachment had to show a willful and material failure to comply with the reasonable construction of the order. The requirement of materiality is hardly ever mentioned in the cases, however pro</w:t>
      </w:r>
      <w:r w:rsidR="00F932BA">
        <w:rPr>
          <w:i/>
          <w:sz w:val="22"/>
        </w:rPr>
        <w:t>bably for the reason that in 99</w:t>
      </w:r>
      <w:r w:rsidRPr="00656547">
        <w:rPr>
          <w:i/>
          <w:sz w:val="22"/>
        </w:rPr>
        <w:t xml:space="preserve"> percent of the cases the whole order was disobeyed, which is obviously a ‘material’ non-compliance. It is reasonable to suggest where most of the order has been complied with and the non-compliance is in respect of some minor matter only, the court would take the substantial compliance into account, and would not commit for the minor non-compliance.’</w:t>
      </w:r>
      <w:r w:rsidR="00656547" w:rsidRPr="00656547">
        <w:rPr>
          <w:rStyle w:val="FootnoteReference"/>
          <w:rFonts w:ascii="Arial" w:hAnsi="Arial"/>
          <w:sz w:val="20"/>
        </w:rPr>
        <w:footnoteReference w:id="7"/>
      </w:r>
      <w:r w:rsidRPr="00656547">
        <w:rPr>
          <w:i/>
          <w:sz w:val="22"/>
        </w:rPr>
        <w:t xml:space="preserve"> </w:t>
      </w:r>
      <w:r w:rsidR="00656547" w:rsidRPr="00656547">
        <w:rPr>
          <w:i/>
          <w:sz w:val="22"/>
        </w:rPr>
        <w:t>(authorities omitted)</w:t>
      </w:r>
    </w:p>
    <w:p w14:paraId="6C506175" w14:textId="77777777" w:rsidR="00F932BA" w:rsidRPr="00656547" w:rsidRDefault="00F932BA" w:rsidP="00A73AA1">
      <w:pPr>
        <w:spacing w:after="0"/>
        <w:rPr>
          <w:sz w:val="22"/>
        </w:rPr>
      </w:pPr>
    </w:p>
    <w:p w14:paraId="067798AA" w14:textId="67D29924" w:rsidR="00FC51B7" w:rsidRPr="00847F64" w:rsidRDefault="00F932BA" w:rsidP="00A73AA1">
      <w:pPr>
        <w:spacing w:after="0"/>
        <w:rPr>
          <w:sz w:val="24"/>
          <w:szCs w:val="24"/>
        </w:rPr>
      </w:pPr>
      <w:r>
        <w:rPr>
          <w:sz w:val="24"/>
          <w:szCs w:val="24"/>
        </w:rPr>
        <w:t>[20]</w:t>
      </w:r>
      <w:r>
        <w:rPr>
          <w:sz w:val="24"/>
          <w:szCs w:val="24"/>
        </w:rPr>
        <w:tab/>
      </w:r>
      <w:r w:rsidR="00505883">
        <w:rPr>
          <w:sz w:val="24"/>
          <w:szCs w:val="24"/>
        </w:rPr>
        <w:t>The a</w:t>
      </w:r>
      <w:r w:rsidR="00FC51B7" w:rsidRPr="00847F64">
        <w:rPr>
          <w:sz w:val="24"/>
          <w:szCs w:val="24"/>
        </w:rPr>
        <w:t xml:space="preserve">pplicants contend that an analysis of the </w:t>
      </w:r>
      <w:r w:rsidR="009B2153">
        <w:rPr>
          <w:sz w:val="24"/>
          <w:szCs w:val="24"/>
        </w:rPr>
        <w:t>responden</w:t>
      </w:r>
      <w:r w:rsidR="00505883">
        <w:rPr>
          <w:sz w:val="24"/>
          <w:szCs w:val="24"/>
        </w:rPr>
        <w:t>t</w:t>
      </w:r>
      <w:r w:rsidR="009B2153">
        <w:rPr>
          <w:sz w:val="24"/>
          <w:szCs w:val="24"/>
        </w:rPr>
        <w:t xml:space="preserve">’s </w:t>
      </w:r>
      <w:r w:rsidR="00FC51B7" w:rsidRPr="00847F64">
        <w:rPr>
          <w:sz w:val="24"/>
          <w:szCs w:val="24"/>
        </w:rPr>
        <w:t>response reveals that</w:t>
      </w:r>
      <w:r w:rsidR="00505883">
        <w:rPr>
          <w:sz w:val="24"/>
          <w:szCs w:val="24"/>
        </w:rPr>
        <w:t xml:space="preserve"> she </w:t>
      </w:r>
      <w:r w:rsidR="00FC51B7" w:rsidRPr="00847F64">
        <w:rPr>
          <w:sz w:val="24"/>
          <w:szCs w:val="24"/>
        </w:rPr>
        <w:t>has</w:t>
      </w:r>
      <w:r w:rsidR="00505883">
        <w:rPr>
          <w:sz w:val="24"/>
          <w:szCs w:val="24"/>
        </w:rPr>
        <w:t xml:space="preserve"> not</w:t>
      </w:r>
      <w:r w:rsidR="00FC51B7" w:rsidRPr="00847F64">
        <w:rPr>
          <w:sz w:val="24"/>
          <w:szCs w:val="24"/>
        </w:rPr>
        <w:t xml:space="preserve"> com</w:t>
      </w:r>
      <w:r w:rsidR="00505883">
        <w:rPr>
          <w:sz w:val="24"/>
          <w:szCs w:val="24"/>
        </w:rPr>
        <w:t xml:space="preserve">plied with the March 2020 order </w:t>
      </w:r>
      <w:r w:rsidR="0088552B" w:rsidRPr="00847F64">
        <w:rPr>
          <w:sz w:val="24"/>
          <w:szCs w:val="24"/>
        </w:rPr>
        <w:t>and</w:t>
      </w:r>
      <w:r w:rsidR="0088552B">
        <w:rPr>
          <w:sz w:val="24"/>
          <w:szCs w:val="24"/>
        </w:rPr>
        <w:t xml:space="preserve"> that</w:t>
      </w:r>
      <w:r w:rsidR="00505883">
        <w:rPr>
          <w:sz w:val="24"/>
          <w:szCs w:val="24"/>
        </w:rPr>
        <w:t xml:space="preserve"> she </w:t>
      </w:r>
      <w:r w:rsidR="00FC51B7" w:rsidRPr="00847F64">
        <w:rPr>
          <w:sz w:val="24"/>
          <w:szCs w:val="24"/>
        </w:rPr>
        <w:t>effectively refuse</w:t>
      </w:r>
      <w:r w:rsidR="00505883">
        <w:rPr>
          <w:sz w:val="24"/>
          <w:szCs w:val="24"/>
        </w:rPr>
        <w:t xml:space="preserve">s </w:t>
      </w:r>
      <w:r w:rsidR="00FC51B7" w:rsidRPr="00847F64">
        <w:rPr>
          <w:sz w:val="24"/>
          <w:szCs w:val="24"/>
        </w:rPr>
        <w:t xml:space="preserve">to provide the particulars </w:t>
      </w:r>
      <w:r w:rsidR="00505883">
        <w:rPr>
          <w:sz w:val="24"/>
          <w:szCs w:val="24"/>
        </w:rPr>
        <w:t xml:space="preserve">they </w:t>
      </w:r>
      <w:r w:rsidR="00FC51B7" w:rsidRPr="00847F64">
        <w:rPr>
          <w:sz w:val="24"/>
          <w:szCs w:val="24"/>
        </w:rPr>
        <w:t>require</w:t>
      </w:r>
      <w:r w:rsidR="00505883">
        <w:rPr>
          <w:sz w:val="24"/>
          <w:szCs w:val="24"/>
        </w:rPr>
        <w:t>.</w:t>
      </w:r>
      <w:r w:rsidR="0088552B">
        <w:rPr>
          <w:sz w:val="24"/>
          <w:szCs w:val="24"/>
        </w:rPr>
        <w:t xml:space="preserve"> </w:t>
      </w:r>
      <w:r w:rsidR="00505883">
        <w:rPr>
          <w:sz w:val="24"/>
          <w:szCs w:val="24"/>
        </w:rPr>
        <w:t xml:space="preserve"> </w:t>
      </w:r>
      <w:r w:rsidR="005201A7">
        <w:rPr>
          <w:sz w:val="24"/>
          <w:szCs w:val="24"/>
        </w:rPr>
        <w:t>She has failed to provide the exact, precise and unambiguous responses they required.</w:t>
      </w:r>
    </w:p>
    <w:p w14:paraId="52508AEC" w14:textId="7289EAC0" w:rsidR="0088552B" w:rsidRDefault="0088552B" w:rsidP="00A73AA1">
      <w:pPr>
        <w:spacing w:after="0"/>
        <w:rPr>
          <w:sz w:val="24"/>
          <w:szCs w:val="24"/>
        </w:rPr>
      </w:pPr>
      <w:r>
        <w:rPr>
          <w:sz w:val="24"/>
          <w:szCs w:val="24"/>
        </w:rPr>
        <w:t>(a)</w:t>
      </w:r>
      <w:r>
        <w:rPr>
          <w:sz w:val="24"/>
          <w:szCs w:val="24"/>
        </w:rPr>
        <w:tab/>
      </w:r>
      <w:r w:rsidR="00505883">
        <w:rPr>
          <w:sz w:val="24"/>
          <w:szCs w:val="24"/>
        </w:rPr>
        <w:t>The a</w:t>
      </w:r>
      <w:r w:rsidR="00EF3271" w:rsidRPr="00847F64">
        <w:rPr>
          <w:sz w:val="24"/>
          <w:szCs w:val="24"/>
        </w:rPr>
        <w:t xml:space="preserve">pplicants complain </w:t>
      </w:r>
      <w:r>
        <w:rPr>
          <w:sz w:val="24"/>
          <w:szCs w:val="24"/>
        </w:rPr>
        <w:t xml:space="preserve">about </w:t>
      </w:r>
      <w:r w:rsidR="00505883">
        <w:rPr>
          <w:sz w:val="24"/>
          <w:szCs w:val="24"/>
        </w:rPr>
        <w:t xml:space="preserve">the wording of the heading to </w:t>
      </w:r>
      <w:r w:rsidR="00EF3271" w:rsidRPr="00847F64">
        <w:rPr>
          <w:sz w:val="24"/>
          <w:szCs w:val="24"/>
        </w:rPr>
        <w:t>the schedule</w:t>
      </w:r>
      <w:r w:rsidR="00505883">
        <w:rPr>
          <w:sz w:val="24"/>
          <w:szCs w:val="24"/>
        </w:rPr>
        <w:t xml:space="preserve"> describing it as a ‘n</w:t>
      </w:r>
      <w:r w:rsidR="00EF3271" w:rsidRPr="00847F64">
        <w:rPr>
          <w:sz w:val="24"/>
          <w:szCs w:val="24"/>
        </w:rPr>
        <w:t>on-exhaustive list of tasks</w:t>
      </w:r>
      <w:r w:rsidR="00505883">
        <w:rPr>
          <w:sz w:val="24"/>
          <w:szCs w:val="24"/>
        </w:rPr>
        <w:t>’ done at the immovable property</w:t>
      </w:r>
      <w:r>
        <w:rPr>
          <w:sz w:val="24"/>
          <w:szCs w:val="24"/>
        </w:rPr>
        <w:t>. They contend that a</w:t>
      </w:r>
      <w:r w:rsidRPr="00847F64">
        <w:rPr>
          <w:sz w:val="24"/>
          <w:szCs w:val="24"/>
        </w:rPr>
        <w:t xml:space="preserve">lthough </w:t>
      </w:r>
      <w:r>
        <w:rPr>
          <w:sz w:val="24"/>
          <w:szCs w:val="24"/>
        </w:rPr>
        <w:t xml:space="preserve">the schedule </w:t>
      </w:r>
      <w:r w:rsidRPr="00847F64">
        <w:rPr>
          <w:sz w:val="24"/>
          <w:szCs w:val="24"/>
        </w:rPr>
        <w:t>list</w:t>
      </w:r>
      <w:r>
        <w:rPr>
          <w:sz w:val="24"/>
          <w:szCs w:val="24"/>
        </w:rPr>
        <w:t>s</w:t>
      </w:r>
      <w:r w:rsidRPr="00847F64">
        <w:rPr>
          <w:sz w:val="24"/>
          <w:szCs w:val="24"/>
        </w:rPr>
        <w:t xml:space="preserve"> 209 tasks, the respondent</w:t>
      </w:r>
      <w:r>
        <w:rPr>
          <w:sz w:val="24"/>
          <w:szCs w:val="24"/>
        </w:rPr>
        <w:t xml:space="preserve"> may have </w:t>
      </w:r>
      <w:r w:rsidRPr="00847F64">
        <w:rPr>
          <w:sz w:val="24"/>
          <w:szCs w:val="24"/>
        </w:rPr>
        <w:t>chosen to exclude tasks since it is a non-exhaustive list.</w:t>
      </w:r>
    </w:p>
    <w:p w14:paraId="2FFFBB97" w14:textId="77777777" w:rsidR="00F932BA" w:rsidRDefault="00F932BA" w:rsidP="00A73AA1">
      <w:pPr>
        <w:spacing w:after="0"/>
        <w:rPr>
          <w:sz w:val="24"/>
          <w:szCs w:val="24"/>
        </w:rPr>
      </w:pPr>
    </w:p>
    <w:p w14:paraId="594963FD" w14:textId="65AFA588" w:rsidR="00F932BA" w:rsidRDefault="0088552B" w:rsidP="00A73AA1">
      <w:pPr>
        <w:spacing w:after="0"/>
        <w:rPr>
          <w:sz w:val="24"/>
          <w:szCs w:val="24"/>
        </w:rPr>
      </w:pPr>
      <w:r>
        <w:rPr>
          <w:sz w:val="24"/>
          <w:szCs w:val="24"/>
        </w:rPr>
        <w:t>(b)</w:t>
      </w:r>
      <w:r>
        <w:rPr>
          <w:sz w:val="24"/>
          <w:szCs w:val="24"/>
        </w:rPr>
        <w:tab/>
        <w:t>The schedule does not address the applicant</w:t>
      </w:r>
      <w:r w:rsidR="00EF3271" w:rsidRPr="00847F64">
        <w:rPr>
          <w:sz w:val="24"/>
          <w:szCs w:val="24"/>
        </w:rPr>
        <w:t>s</w:t>
      </w:r>
      <w:r>
        <w:rPr>
          <w:sz w:val="24"/>
          <w:szCs w:val="24"/>
        </w:rPr>
        <w:t xml:space="preserve">’ </w:t>
      </w:r>
      <w:r w:rsidR="00BC3405" w:rsidRPr="00847F64">
        <w:rPr>
          <w:sz w:val="24"/>
          <w:szCs w:val="24"/>
        </w:rPr>
        <w:t>request, which</w:t>
      </w:r>
      <w:r w:rsidR="00EF3271" w:rsidRPr="00847F64">
        <w:rPr>
          <w:sz w:val="24"/>
          <w:szCs w:val="24"/>
        </w:rPr>
        <w:t xml:space="preserve"> relate</w:t>
      </w:r>
      <w:r>
        <w:rPr>
          <w:sz w:val="24"/>
          <w:szCs w:val="24"/>
        </w:rPr>
        <w:t>s</w:t>
      </w:r>
      <w:r w:rsidR="00EF3271" w:rsidRPr="00847F64">
        <w:rPr>
          <w:sz w:val="24"/>
          <w:szCs w:val="24"/>
        </w:rPr>
        <w:t xml:space="preserve"> to defects and repairs and not </w:t>
      </w:r>
      <w:r>
        <w:rPr>
          <w:sz w:val="24"/>
          <w:szCs w:val="24"/>
        </w:rPr>
        <w:t xml:space="preserve">tasks. The applicants contend that </w:t>
      </w:r>
      <w:r w:rsidR="005201A7">
        <w:rPr>
          <w:sz w:val="24"/>
          <w:szCs w:val="24"/>
        </w:rPr>
        <w:t>‘</w:t>
      </w:r>
      <w:r>
        <w:rPr>
          <w:sz w:val="24"/>
          <w:szCs w:val="24"/>
        </w:rPr>
        <w:t>tasks</w:t>
      </w:r>
      <w:r w:rsidR="005201A7">
        <w:rPr>
          <w:sz w:val="24"/>
          <w:szCs w:val="24"/>
        </w:rPr>
        <w:t>’</w:t>
      </w:r>
      <w:r w:rsidR="00EF3271" w:rsidRPr="00847F64">
        <w:rPr>
          <w:sz w:val="24"/>
          <w:szCs w:val="24"/>
        </w:rPr>
        <w:t xml:space="preserve"> are clearly dif</w:t>
      </w:r>
      <w:r>
        <w:rPr>
          <w:sz w:val="24"/>
          <w:szCs w:val="24"/>
        </w:rPr>
        <w:t xml:space="preserve">ferent in meaning and substance and cannot be equated to a </w:t>
      </w:r>
      <w:r w:rsidR="005201A7">
        <w:rPr>
          <w:sz w:val="24"/>
          <w:szCs w:val="24"/>
        </w:rPr>
        <w:t>‘</w:t>
      </w:r>
      <w:r>
        <w:rPr>
          <w:sz w:val="24"/>
          <w:szCs w:val="24"/>
        </w:rPr>
        <w:t>defect</w:t>
      </w:r>
      <w:r w:rsidR="005201A7">
        <w:rPr>
          <w:sz w:val="24"/>
          <w:szCs w:val="24"/>
        </w:rPr>
        <w:t>’</w:t>
      </w:r>
      <w:r>
        <w:rPr>
          <w:sz w:val="24"/>
          <w:szCs w:val="24"/>
        </w:rPr>
        <w:t xml:space="preserve"> or </w:t>
      </w:r>
      <w:r w:rsidR="005201A7">
        <w:rPr>
          <w:sz w:val="24"/>
          <w:szCs w:val="24"/>
        </w:rPr>
        <w:t>‘</w:t>
      </w:r>
      <w:r>
        <w:rPr>
          <w:sz w:val="24"/>
          <w:szCs w:val="24"/>
        </w:rPr>
        <w:t>repair</w:t>
      </w:r>
      <w:r w:rsidR="005201A7">
        <w:rPr>
          <w:sz w:val="24"/>
          <w:szCs w:val="24"/>
        </w:rPr>
        <w:t>’</w:t>
      </w:r>
      <w:r>
        <w:rPr>
          <w:sz w:val="24"/>
          <w:szCs w:val="24"/>
        </w:rPr>
        <w:t>.</w:t>
      </w:r>
    </w:p>
    <w:p w14:paraId="7692BB1D" w14:textId="1052F338" w:rsidR="0088552B" w:rsidRDefault="0088552B" w:rsidP="00A73AA1">
      <w:pPr>
        <w:spacing w:after="0"/>
        <w:rPr>
          <w:sz w:val="24"/>
          <w:szCs w:val="24"/>
        </w:rPr>
      </w:pPr>
      <w:r>
        <w:rPr>
          <w:sz w:val="24"/>
          <w:szCs w:val="24"/>
        </w:rPr>
        <w:t xml:space="preserve"> </w:t>
      </w:r>
      <w:r w:rsidR="00F7674D" w:rsidRPr="00847F64">
        <w:rPr>
          <w:sz w:val="24"/>
          <w:szCs w:val="24"/>
        </w:rPr>
        <w:t xml:space="preserve"> </w:t>
      </w:r>
    </w:p>
    <w:p w14:paraId="0BCD0346" w14:textId="2ABD203E" w:rsidR="00B35385" w:rsidRDefault="0088552B" w:rsidP="00A73AA1">
      <w:pPr>
        <w:spacing w:after="0"/>
        <w:rPr>
          <w:sz w:val="24"/>
          <w:szCs w:val="24"/>
        </w:rPr>
      </w:pPr>
      <w:r>
        <w:rPr>
          <w:sz w:val="24"/>
          <w:szCs w:val="24"/>
        </w:rPr>
        <w:t>(c)</w:t>
      </w:r>
      <w:r>
        <w:rPr>
          <w:sz w:val="24"/>
          <w:szCs w:val="24"/>
        </w:rPr>
        <w:tab/>
      </w:r>
      <w:r w:rsidR="00656547">
        <w:rPr>
          <w:sz w:val="24"/>
          <w:szCs w:val="24"/>
        </w:rPr>
        <w:t>They contend that i</w:t>
      </w:r>
      <w:r w:rsidR="00F7674D" w:rsidRPr="00847F64">
        <w:rPr>
          <w:sz w:val="24"/>
          <w:szCs w:val="24"/>
        </w:rPr>
        <w:t>ncomplete information is provide</w:t>
      </w:r>
      <w:r w:rsidR="00656547">
        <w:rPr>
          <w:sz w:val="24"/>
          <w:szCs w:val="24"/>
        </w:rPr>
        <w:t>d</w:t>
      </w:r>
      <w:r w:rsidR="00F7674D" w:rsidRPr="00847F64">
        <w:rPr>
          <w:sz w:val="24"/>
          <w:szCs w:val="24"/>
        </w:rPr>
        <w:t xml:space="preserve"> in relation to some tasks</w:t>
      </w:r>
      <w:r w:rsidR="00656547">
        <w:rPr>
          <w:sz w:val="24"/>
          <w:szCs w:val="24"/>
        </w:rPr>
        <w:t xml:space="preserve"> for which dates are not specified; </w:t>
      </w:r>
      <w:r w:rsidR="00F7674D" w:rsidRPr="00847F64">
        <w:rPr>
          <w:sz w:val="24"/>
          <w:szCs w:val="24"/>
        </w:rPr>
        <w:t>some</w:t>
      </w:r>
      <w:r w:rsidR="00656547">
        <w:rPr>
          <w:sz w:val="24"/>
          <w:szCs w:val="24"/>
        </w:rPr>
        <w:t xml:space="preserve"> for which the </w:t>
      </w:r>
      <w:r w:rsidR="00F7674D" w:rsidRPr="00847F64">
        <w:rPr>
          <w:sz w:val="24"/>
          <w:szCs w:val="24"/>
        </w:rPr>
        <w:t>details of who undertook the task</w:t>
      </w:r>
      <w:r w:rsidR="00656547">
        <w:rPr>
          <w:sz w:val="24"/>
          <w:szCs w:val="24"/>
        </w:rPr>
        <w:t xml:space="preserve"> is not specified </w:t>
      </w:r>
      <w:r w:rsidR="00F7674D" w:rsidRPr="00847F64">
        <w:rPr>
          <w:sz w:val="24"/>
          <w:szCs w:val="24"/>
        </w:rPr>
        <w:t xml:space="preserve">and </w:t>
      </w:r>
      <w:r w:rsidR="00656547">
        <w:rPr>
          <w:sz w:val="24"/>
          <w:szCs w:val="24"/>
        </w:rPr>
        <w:t xml:space="preserve">some </w:t>
      </w:r>
      <w:r w:rsidR="00F7674D" w:rsidRPr="00847F64">
        <w:rPr>
          <w:sz w:val="24"/>
          <w:szCs w:val="24"/>
        </w:rPr>
        <w:t xml:space="preserve">for </w:t>
      </w:r>
      <w:r w:rsidR="00656547">
        <w:rPr>
          <w:sz w:val="24"/>
          <w:szCs w:val="24"/>
        </w:rPr>
        <w:t xml:space="preserve">which the </w:t>
      </w:r>
      <w:r w:rsidR="00F7674D" w:rsidRPr="00847F64">
        <w:rPr>
          <w:sz w:val="24"/>
          <w:szCs w:val="24"/>
        </w:rPr>
        <w:t>details</w:t>
      </w:r>
      <w:r w:rsidR="00656547">
        <w:rPr>
          <w:sz w:val="24"/>
          <w:szCs w:val="24"/>
        </w:rPr>
        <w:t xml:space="preserve"> provided for </w:t>
      </w:r>
      <w:r w:rsidR="00F7674D" w:rsidRPr="00847F64">
        <w:rPr>
          <w:sz w:val="24"/>
          <w:szCs w:val="24"/>
        </w:rPr>
        <w:t>the contractors is insufficient.</w:t>
      </w:r>
    </w:p>
    <w:p w14:paraId="348AC437" w14:textId="77777777" w:rsidR="00F932BA" w:rsidRPr="00847F64" w:rsidRDefault="00F932BA" w:rsidP="00A73AA1">
      <w:pPr>
        <w:spacing w:after="0"/>
        <w:rPr>
          <w:sz w:val="24"/>
          <w:szCs w:val="24"/>
        </w:rPr>
      </w:pPr>
    </w:p>
    <w:p w14:paraId="7F12C564" w14:textId="135F743D" w:rsidR="00C5299E" w:rsidRPr="00847F64" w:rsidRDefault="0088552B" w:rsidP="00A73AA1">
      <w:pPr>
        <w:spacing w:after="0"/>
        <w:rPr>
          <w:sz w:val="24"/>
          <w:szCs w:val="24"/>
        </w:rPr>
      </w:pPr>
      <w:r>
        <w:rPr>
          <w:sz w:val="24"/>
          <w:szCs w:val="24"/>
        </w:rPr>
        <w:t>(d)</w:t>
      </w:r>
      <w:r>
        <w:rPr>
          <w:sz w:val="24"/>
          <w:szCs w:val="24"/>
        </w:rPr>
        <w:tab/>
      </w:r>
      <w:r w:rsidR="00656547">
        <w:rPr>
          <w:sz w:val="24"/>
          <w:szCs w:val="24"/>
        </w:rPr>
        <w:t>The</w:t>
      </w:r>
      <w:r>
        <w:rPr>
          <w:sz w:val="24"/>
          <w:szCs w:val="24"/>
        </w:rPr>
        <w:t xml:space="preserve"> defects that have been repaired are not defined, identified or particularised. The applicants contend that</w:t>
      </w:r>
      <w:r w:rsidR="0041507A">
        <w:rPr>
          <w:sz w:val="24"/>
          <w:szCs w:val="24"/>
        </w:rPr>
        <w:t xml:space="preserve"> they</w:t>
      </w:r>
      <w:r>
        <w:rPr>
          <w:sz w:val="24"/>
          <w:szCs w:val="24"/>
        </w:rPr>
        <w:t xml:space="preserve"> are now required to trawl through the schedule in order to guess </w:t>
      </w:r>
      <w:r w:rsidR="0041507A">
        <w:rPr>
          <w:sz w:val="24"/>
          <w:szCs w:val="24"/>
        </w:rPr>
        <w:t xml:space="preserve">which task qualifies as a repair. This has and will hamper them in their preparation for trial. </w:t>
      </w:r>
      <w:r>
        <w:rPr>
          <w:sz w:val="24"/>
          <w:szCs w:val="24"/>
        </w:rPr>
        <w:t xml:space="preserve"> </w:t>
      </w:r>
      <w:r w:rsidRPr="0041507A">
        <w:rPr>
          <w:b/>
          <w:sz w:val="24"/>
          <w:szCs w:val="24"/>
        </w:rPr>
        <w:t xml:space="preserve"> </w:t>
      </w:r>
    </w:p>
    <w:p w14:paraId="2ED64C13" w14:textId="77777777" w:rsidR="00B33CAC" w:rsidRDefault="00B33CAC" w:rsidP="00A73AA1">
      <w:pPr>
        <w:spacing w:after="0"/>
        <w:rPr>
          <w:sz w:val="24"/>
          <w:szCs w:val="24"/>
        </w:rPr>
      </w:pPr>
    </w:p>
    <w:p w14:paraId="2A520508" w14:textId="5EF9C3B8" w:rsidR="0025470B" w:rsidRPr="00847F64" w:rsidRDefault="0041507A" w:rsidP="00A73AA1">
      <w:pPr>
        <w:spacing w:after="0"/>
        <w:rPr>
          <w:sz w:val="24"/>
          <w:szCs w:val="24"/>
        </w:rPr>
      </w:pPr>
      <w:r>
        <w:rPr>
          <w:sz w:val="24"/>
          <w:szCs w:val="24"/>
        </w:rPr>
        <w:lastRenderedPageBreak/>
        <w:t>(d)</w:t>
      </w:r>
      <w:r>
        <w:rPr>
          <w:sz w:val="24"/>
          <w:szCs w:val="24"/>
        </w:rPr>
        <w:tab/>
      </w:r>
      <w:r w:rsidR="0025470B" w:rsidRPr="00847F64">
        <w:rPr>
          <w:sz w:val="24"/>
          <w:szCs w:val="24"/>
        </w:rPr>
        <w:t xml:space="preserve">The </w:t>
      </w:r>
      <w:r>
        <w:rPr>
          <w:sz w:val="24"/>
          <w:szCs w:val="24"/>
        </w:rPr>
        <w:t xml:space="preserve">respondent’s response </w:t>
      </w:r>
      <w:r w:rsidR="0079516B">
        <w:rPr>
          <w:sz w:val="24"/>
          <w:szCs w:val="24"/>
        </w:rPr>
        <w:t xml:space="preserve">to </w:t>
      </w:r>
      <w:r>
        <w:rPr>
          <w:sz w:val="24"/>
          <w:szCs w:val="24"/>
        </w:rPr>
        <w:t xml:space="preserve">the third issue is contended as being </w:t>
      </w:r>
      <w:r w:rsidR="00115575" w:rsidRPr="00847F64">
        <w:rPr>
          <w:sz w:val="24"/>
          <w:szCs w:val="24"/>
        </w:rPr>
        <w:t>self-evidently</w:t>
      </w:r>
      <w:r w:rsidR="0025470B" w:rsidRPr="00847F64">
        <w:rPr>
          <w:sz w:val="24"/>
          <w:szCs w:val="24"/>
        </w:rPr>
        <w:t xml:space="preserve"> non-compliant </w:t>
      </w:r>
      <w:r>
        <w:rPr>
          <w:sz w:val="24"/>
          <w:szCs w:val="24"/>
        </w:rPr>
        <w:t xml:space="preserve">because it will require </w:t>
      </w:r>
      <w:r w:rsidR="0079516B">
        <w:rPr>
          <w:sz w:val="24"/>
          <w:szCs w:val="24"/>
        </w:rPr>
        <w:t xml:space="preserve">the applicants </w:t>
      </w:r>
      <w:r w:rsidR="00355A00" w:rsidRPr="00847F64">
        <w:rPr>
          <w:sz w:val="24"/>
          <w:szCs w:val="24"/>
        </w:rPr>
        <w:t xml:space="preserve">to go through </w:t>
      </w:r>
      <w:r w:rsidR="0079516B">
        <w:rPr>
          <w:sz w:val="24"/>
          <w:szCs w:val="24"/>
        </w:rPr>
        <w:t>a</w:t>
      </w:r>
      <w:r w:rsidR="00355A00" w:rsidRPr="00847F64">
        <w:rPr>
          <w:sz w:val="24"/>
          <w:szCs w:val="24"/>
        </w:rPr>
        <w:t xml:space="preserve">nnexure </w:t>
      </w:r>
      <w:r>
        <w:rPr>
          <w:sz w:val="24"/>
          <w:szCs w:val="24"/>
        </w:rPr>
        <w:t>‘</w:t>
      </w:r>
      <w:r w:rsidR="00355A00" w:rsidRPr="00847F64">
        <w:rPr>
          <w:sz w:val="24"/>
          <w:szCs w:val="24"/>
        </w:rPr>
        <w:t>POC3.2</w:t>
      </w:r>
      <w:r>
        <w:rPr>
          <w:sz w:val="24"/>
          <w:szCs w:val="24"/>
        </w:rPr>
        <w:t>’</w:t>
      </w:r>
      <w:r w:rsidR="00355A00" w:rsidRPr="00847F64">
        <w:rPr>
          <w:sz w:val="24"/>
          <w:szCs w:val="24"/>
        </w:rPr>
        <w:t xml:space="preserve"> with a fine toothcomb to determine for themselves what the </w:t>
      </w:r>
      <w:r>
        <w:rPr>
          <w:sz w:val="24"/>
          <w:szCs w:val="24"/>
        </w:rPr>
        <w:t>r</w:t>
      </w:r>
      <w:r w:rsidR="00355A00" w:rsidRPr="00847F64">
        <w:rPr>
          <w:sz w:val="24"/>
          <w:szCs w:val="24"/>
        </w:rPr>
        <w:t xml:space="preserve">espondent seeks to rely on as </w:t>
      </w:r>
      <w:r>
        <w:rPr>
          <w:sz w:val="24"/>
          <w:szCs w:val="24"/>
        </w:rPr>
        <w:t>a response when she could</w:t>
      </w:r>
      <w:r w:rsidR="00355A00" w:rsidRPr="00847F64">
        <w:rPr>
          <w:sz w:val="24"/>
          <w:szCs w:val="24"/>
        </w:rPr>
        <w:t xml:space="preserve"> and should have provided</w:t>
      </w:r>
      <w:r>
        <w:rPr>
          <w:sz w:val="24"/>
          <w:szCs w:val="24"/>
        </w:rPr>
        <w:t xml:space="preserve"> the </w:t>
      </w:r>
      <w:r w:rsidR="00355A00" w:rsidRPr="00847F64">
        <w:rPr>
          <w:sz w:val="24"/>
          <w:szCs w:val="24"/>
        </w:rPr>
        <w:t>direct answers without obscuring and confusing the issues</w:t>
      </w:r>
      <w:r>
        <w:rPr>
          <w:sz w:val="24"/>
          <w:szCs w:val="24"/>
        </w:rPr>
        <w:t>.</w:t>
      </w:r>
    </w:p>
    <w:p w14:paraId="73E26D7C" w14:textId="77777777" w:rsidR="00B33CAC" w:rsidRDefault="00B33CAC" w:rsidP="00A73AA1">
      <w:pPr>
        <w:spacing w:after="0"/>
        <w:rPr>
          <w:sz w:val="24"/>
          <w:szCs w:val="24"/>
        </w:rPr>
      </w:pPr>
    </w:p>
    <w:p w14:paraId="7FA9C84D" w14:textId="681218E9" w:rsidR="00825872" w:rsidRPr="00847F64" w:rsidRDefault="00B33CAC" w:rsidP="00A73AA1">
      <w:pPr>
        <w:spacing w:after="0"/>
        <w:rPr>
          <w:sz w:val="24"/>
          <w:szCs w:val="24"/>
        </w:rPr>
      </w:pPr>
      <w:r>
        <w:rPr>
          <w:sz w:val="24"/>
          <w:szCs w:val="24"/>
        </w:rPr>
        <w:t>[21]</w:t>
      </w:r>
      <w:r>
        <w:rPr>
          <w:sz w:val="24"/>
          <w:szCs w:val="24"/>
        </w:rPr>
        <w:tab/>
      </w:r>
      <w:r w:rsidR="0079516B">
        <w:rPr>
          <w:sz w:val="24"/>
          <w:szCs w:val="24"/>
        </w:rPr>
        <w:t xml:space="preserve">The </w:t>
      </w:r>
      <w:r w:rsidR="00B86134">
        <w:rPr>
          <w:sz w:val="24"/>
          <w:szCs w:val="24"/>
        </w:rPr>
        <w:t>applicants’</w:t>
      </w:r>
      <w:r w:rsidR="0079516B">
        <w:rPr>
          <w:sz w:val="24"/>
          <w:szCs w:val="24"/>
        </w:rPr>
        <w:t xml:space="preserve"> </w:t>
      </w:r>
      <w:r w:rsidR="00B86134">
        <w:rPr>
          <w:sz w:val="24"/>
          <w:szCs w:val="24"/>
        </w:rPr>
        <w:t>conclusion</w:t>
      </w:r>
      <w:r w:rsidR="0079516B">
        <w:rPr>
          <w:sz w:val="24"/>
          <w:szCs w:val="24"/>
        </w:rPr>
        <w:t xml:space="preserve"> and its papers in this matter</w:t>
      </w:r>
      <w:r w:rsidR="00842FB5">
        <w:rPr>
          <w:sz w:val="24"/>
          <w:szCs w:val="24"/>
        </w:rPr>
        <w:t xml:space="preserve"> are </w:t>
      </w:r>
      <w:r w:rsidR="0079516B">
        <w:rPr>
          <w:sz w:val="24"/>
          <w:szCs w:val="24"/>
        </w:rPr>
        <w:t xml:space="preserve">replete with </w:t>
      </w:r>
      <w:r w:rsidR="0041507A">
        <w:rPr>
          <w:sz w:val="24"/>
          <w:szCs w:val="24"/>
        </w:rPr>
        <w:t>descriptive</w:t>
      </w:r>
      <w:r w:rsidR="00842FB5">
        <w:rPr>
          <w:sz w:val="24"/>
          <w:szCs w:val="24"/>
        </w:rPr>
        <w:t xml:space="preserve"> and inflammatory </w:t>
      </w:r>
      <w:r w:rsidR="0041507A">
        <w:rPr>
          <w:sz w:val="24"/>
          <w:szCs w:val="24"/>
        </w:rPr>
        <w:t>invective and</w:t>
      </w:r>
      <w:r w:rsidR="00842FB5">
        <w:rPr>
          <w:sz w:val="24"/>
          <w:szCs w:val="24"/>
        </w:rPr>
        <w:t xml:space="preserve"> references to the </w:t>
      </w:r>
      <w:r w:rsidR="0055073F">
        <w:rPr>
          <w:sz w:val="24"/>
          <w:szCs w:val="24"/>
        </w:rPr>
        <w:t xml:space="preserve">respondent’s </w:t>
      </w:r>
      <w:r w:rsidR="00FB029E" w:rsidRPr="00847F64">
        <w:rPr>
          <w:sz w:val="24"/>
          <w:szCs w:val="24"/>
        </w:rPr>
        <w:t>response</w:t>
      </w:r>
      <w:r w:rsidR="0055073F">
        <w:rPr>
          <w:sz w:val="24"/>
          <w:szCs w:val="24"/>
        </w:rPr>
        <w:t xml:space="preserve"> </w:t>
      </w:r>
      <w:r w:rsidR="00842FB5">
        <w:rPr>
          <w:sz w:val="24"/>
          <w:szCs w:val="24"/>
        </w:rPr>
        <w:t xml:space="preserve">as </w:t>
      </w:r>
      <w:r w:rsidR="0055073F">
        <w:rPr>
          <w:sz w:val="24"/>
          <w:szCs w:val="24"/>
        </w:rPr>
        <w:t xml:space="preserve">non-compliant and </w:t>
      </w:r>
      <w:r w:rsidR="00605A82">
        <w:rPr>
          <w:sz w:val="24"/>
          <w:szCs w:val="24"/>
        </w:rPr>
        <w:t>deficient therefore</w:t>
      </w:r>
      <w:r w:rsidR="0055073F">
        <w:rPr>
          <w:sz w:val="24"/>
          <w:szCs w:val="24"/>
        </w:rPr>
        <w:t xml:space="preserve"> </w:t>
      </w:r>
      <w:r w:rsidR="00825872" w:rsidRPr="00847F64">
        <w:rPr>
          <w:sz w:val="24"/>
          <w:szCs w:val="24"/>
        </w:rPr>
        <w:t xml:space="preserve">entitling them to </w:t>
      </w:r>
      <w:r w:rsidR="00842FB5">
        <w:rPr>
          <w:sz w:val="24"/>
          <w:szCs w:val="24"/>
        </w:rPr>
        <w:t xml:space="preserve">the </w:t>
      </w:r>
      <w:r w:rsidR="00825872" w:rsidRPr="00847F64">
        <w:rPr>
          <w:sz w:val="24"/>
          <w:szCs w:val="24"/>
        </w:rPr>
        <w:t>order</w:t>
      </w:r>
      <w:r w:rsidR="00842FB5">
        <w:rPr>
          <w:sz w:val="24"/>
          <w:szCs w:val="24"/>
        </w:rPr>
        <w:t>s sought</w:t>
      </w:r>
      <w:r w:rsidR="00825872" w:rsidRPr="00847F64">
        <w:rPr>
          <w:sz w:val="24"/>
          <w:szCs w:val="24"/>
        </w:rPr>
        <w:t xml:space="preserve"> </w:t>
      </w:r>
      <w:r w:rsidR="00E80A52" w:rsidRPr="00847F64">
        <w:rPr>
          <w:sz w:val="24"/>
          <w:szCs w:val="24"/>
        </w:rPr>
        <w:t xml:space="preserve">on the basis that the respondent has </w:t>
      </w:r>
      <w:r w:rsidR="0055073F">
        <w:rPr>
          <w:sz w:val="24"/>
          <w:szCs w:val="24"/>
        </w:rPr>
        <w:t xml:space="preserve">been </w:t>
      </w:r>
      <w:r w:rsidR="00E80A52" w:rsidRPr="00847F64">
        <w:rPr>
          <w:sz w:val="24"/>
          <w:szCs w:val="24"/>
        </w:rPr>
        <w:t xml:space="preserve">wilful and </w:t>
      </w:r>
      <w:r w:rsidR="00E80A52" w:rsidRPr="0055073F">
        <w:rPr>
          <w:i/>
          <w:sz w:val="24"/>
          <w:szCs w:val="24"/>
        </w:rPr>
        <w:t>mala fide</w:t>
      </w:r>
      <w:r w:rsidR="00E80A52" w:rsidRPr="00847F64">
        <w:rPr>
          <w:sz w:val="24"/>
          <w:szCs w:val="24"/>
        </w:rPr>
        <w:t xml:space="preserve"> </w:t>
      </w:r>
      <w:r>
        <w:rPr>
          <w:sz w:val="24"/>
          <w:szCs w:val="24"/>
        </w:rPr>
        <w:t>by</w:t>
      </w:r>
      <w:r w:rsidR="00E80A52" w:rsidRPr="00847F64">
        <w:rPr>
          <w:sz w:val="24"/>
          <w:szCs w:val="24"/>
        </w:rPr>
        <w:t xml:space="preserve"> her non-compliance with the March 2020 order.</w:t>
      </w:r>
      <w:r w:rsidR="00842FB5">
        <w:rPr>
          <w:sz w:val="24"/>
          <w:szCs w:val="24"/>
        </w:rPr>
        <w:t xml:space="preserve"> The words used include ‘flagrant disregard’, ‘intransigent’, ‘obstructive’</w:t>
      </w:r>
      <w:r w:rsidR="00605A82">
        <w:rPr>
          <w:sz w:val="24"/>
          <w:szCs w:val="24"/>
        </w:rPr>
        <w:t xml:space="preserve"> and</w:t>
      </w:r>
      <w:r w:rsidR="00842FB5">
        <w:rPr>
          <w:sz w:val="24"/>
          <w:szCs w:val="24"/>
        </w:rPr>
        <w:t xml:space="preserve"> ‘obdurate’, </w:t>
      </w:r>
    </w:p>
    <w:p w14:paraId="59F4E683" w14:textId="77777777" w:rsidR="00B33CAC" w:rsidRDefault="00B33CAC" w:rsidP="00A73AA1">
      <w:pPr>
        <w:spacing w:after="0"/>
        <w:rPr>
          <w:sz w:val="24"/>
          <w:szCs w:val="24"/>
        </w:rPr>
      </w:pPr>
    </w:p>
    <w:p w14:paraId="745626A4" w14:textId="277DDF85" w:rsidR="00D34620" w:rsidRDefault="00B33CAC" w:rsidP="00A73AA1">
      <w:pPr>
        <w:spacing w:after="0"/>
        <w:rPr>
          <w:sz w:val="24"/>
          <w:szCs w:val="24"/>
        </w:rPr>
      </w:pPr>
      <w:r>
        <w:rPr>
          <w:sz w:val="24"/>
          <w:szCs w:val="24"/>
        </w:rPr>
        <w:t>[22]</w:t>
      </w:r>
      <w:r>
        <w:rPr>
          <w:sz w:val="24"/>
          <w:szCs w:val="24"/>
        </w:rPr>
        <w:tab/>
      </w:r>
      <w:r w:rsidR="00D34620" w:rsidRPr="00847F64">
        <w:rPr>
          <w:sz w:val="24"/>
          <w:szCs w:val="24"/>
        </w:rPr>
        <w:t xml:space="preserve">The respondent contends that the schedule was intended to and does in fact inform the applicants of the number of tasks completed on the property; the nature of those tasks; the dates upon which they were completed; who completed them and the reason for the task. </w:t>
      </w:r>
      <w:r w:rsidR="0055073F">
        <w:rPr>
          <w:sz w:val="24"/>
          <w:szCs w:val="24"/>
        </w:rPr>
        <w:t xml:space="preserve">This means that </w:t>
      </w:r>
      <w:r w:rsidR="00D34620" w:rsidRPr="00847F64">
        <w:rPr>
          <w:sz w:val="24"/>
          <w:szCs w:val="24"/>
        </w:rPr>
        <w:t>the applicants do not need to trawl through the receipts</w:t>
      </w:r>
      <w:r w:rsidR="0055073F">
        <w:rPr>
          <w:sz w:val="24"/>
          <w:szCs w:val="24"/>
        </w:rPr>
        <w:t xml:space="preserve">, invoices and documents </w:t>
      </w:r>
      <w:r w:rsidR="00D34620" w:rsidRPr="00847F64">
        <w:rPr>
          <w:sz w:val="24"/>
          <w:szCs w:val="24"/>
        </w:rPr>
        <w:t>that were discovered by the respondent to ascertain their relevanc</w:t>
      </w:r>
      <w:r w:rsidR="00605A82">
        <w:rPr>
          <w:sz w:val="24"/>
          <w:szCs w:val="24"/>
        </w:rPr>
        <w:t>e</w:t>
      </w:r>
      <w:r w:rsidR="000F0123">
        <w:rPr>
          <w:sz w:val="24"/>
          <w:szCs w:val="24"/>
        </w:rPr>
        <w:t xml:space="preserve">. The respondent also contends </w:t>
      </w:r>
      <w:r w:rsidR="00D34620" w:rsidRPr="00847F64">
        <w:rPr>
          <w:sz w:val="24"/>
          <w:szCs w:val="24"/>
        </w:rPr>
        <w:t>that she cannot be bound to produce information beyond her knowledge. She</w:t>
      </w:r>
      <w:r w:rsidR="000F0123">
        <w:rPr>
          <w:sz w:val="24"/>
          <w:szCs w:val="24"/>
        </w:rPr>
        <w:t xml:space="preserve"> </w:t>
      </w:r>
      <w:r w:rsidR="00D34620" w:rsidRPr="00847F64">
        <w:rPr>
          <w:sz w:val="24"/>
          <w:szCs w:val="24"/>
        </w:rPr>
        <w:t xml:space="preserve">has endeavoured to provide all the information known and available to her in a user-friendly format and any omissions of information or documentation at this stage are </w:t>
      </w:r>
      <w:r w:rsidR="00D34620" w:rsidRPr="000F0123">
        <w:rPr>
          <w:i/>
          <w:sz w:val="24"/>
          <w:szCs w:val="24"/>
        </w:rPr>
        <w:t>bona fide</w:t>
      </w:r>
      <w:r w:rsidR="00D34620" w:rsidRPr="00847F64">
        <w:rPr>
          <w:sz w:val="24"/>
          <w:szCs w:val="24"/>
        </w:rPr>
        <w:t>.</w:t>
      </w:r>
    </w:p>
    <w:p w14:paraId="15812EF7" w14:textId="77777777" w:rsidR="00B33CAC" w:rsidRDefault="00B33CAC" w:rsidP="00A73AA1">
      <w:pPr>
        <w:spacing w:after="0"/>
        <w:rPr>
          <w:sz w:val="24"/>
          <w:szCs w:val="24"/>
        </w:rPr>
      </w:pPr>
    </w:p>
    <w:p w14:paraId="4C44ABF2" w14:textId="0F20882B" w:rsidR="00605A82" w:rsidRPr="00847F64" w:rsidRDefault="00B33CAC" w:rsidP="00A73AA1">
      <w:pPr>
        <w:spacing w:after="0"/>
        <w:rPr>
          <w:sz w:val="24"/>
          <w:szCs w:val="24"/>
        </w:rPr>
      </w:pPr>
      <w:r>
        <w:rPr>
          <w:sz w:val="24"/>
          <w:szCs w:val="24"/>
        </w:rPr>
        <w:t>[23]</w:t>
      </w:r>
      <w:r>
        <w:rPr>
          <w:sz w:val="24"/>
          <w:szCs w:val="24"/>
        </w:rPr>
        <w:tab/>
      </w:r>
      <w:r w:rsidR="00605A82">
        <w:rPr>
          <w:sz w:val="24"/>
          <w:szCs w:val="24"/>
        </w:rPr>
        <w:t>Mr Mundell, who appeared for the respondent, argued that it is apparent that the respondent will not be able to satisfy the applicants because they have launched these unnecessary proceedings for an ulterior purpose, which is to avoid ventilating the actual dispute at trial. He submitted that the respondent’s response is clearly a complete and adequate response to the March 2020 order.</w:t>
      </w:r>
    </w:p>
    <w:p w14:paraId="36156695" w14:textId="59AF0A83" w:rsidR="002E02D9" w:rsidRDefault="002E02D9" w:rsidP="00A73AA1">
      <w:pPr>
        <w:spacing w:after="0"/>
        <w:rPr>
          <w:sz w:val="24"/>
          <w:szCs w:val="24"/>
        </w:rPr>
      </w:pPr>
    </w:p>
    <w:p w14:paraId="442835D1" w14:textId="0F1FDA36" w:rsidR="00574874" w:rsidRDefault="00B33CAC" w:rsidP="00A73AA1">
      <w:pPr>
        <w:spacing w:after="0"/>
        <w:rPr>
          <w:sz w:val="24"/>
          <w:szCs w:val="24"/>
        </w:rPr>
      </w:pPr>
      <w:r>
        <w:rPr>
          <w:sz w:val="24"/>
          <w:szCs w:val="24"/>
        </w:rPr>
        <w:t>[24]</w:t>
      </w:r>
      <w:r>
        <w:rPr>
          <w:sz w:val="24"/>
          <w:szCs w:val="24"/>
        </w:rPr>
        <w:tab/>
      </w:r>
      <w:r w:rsidR="002E02D9">
        <w:rPr>
          <w:sz w:val="24"/>
          <w:szCs w:val="24"/>
        </w:rPr>
        <w:t>The r</w:t>
      </w:r>
      <w:r w:rsidR="00574874" w:rsidRPr="00847F64">
        <w:rPr>
          <w:sz w:val="24"/>
          <w:szCs w:val="24"/>
        </w:rPr>
        <w:t xml:space="preserve">espondent contends that not only have the applicants failed to discharge the clear onus which rests upon them in the context of a contempt application, but that they have not remotely demonstrated </w:t>
      </w:r>
      <w:r w:rsidR="002E02D9">
        <w:rPr>
          <w:sz w:val="24"/>
          <w:szCs w:val="24"/>
        </w:rPr>
        <w:t xml:space="preserve">that she failed to comply with the March 2020 order or that </w:t>
      </w:r>
      <w:r w:rsidR="00AD025F">
        <w:rPr>
          <w:sz w:val="24"/>
          <w:szCs w:val="24"/>
        </w:rPr>
        <w:t xml:space="preserve">such non-compliance was </w:t>
      </w:r>
      <w:r w:rsidR="00C454C2" w:rsidRPr="00847F64">
        <w:rPr>
          <w:sz w:val="24"/>
          <w:szCs w:val="24"/>
        </w:rPr>
        <w:t>willful</w:t>
      </w:r>
      <w:r w:rsidR="00574874" w:rsidRPr="00847F64">
        <w:rPr>
          <w:sz w:val="24"/>
          <w:szCs w:val="24"/>
        </w:rPr>
        <w:t xml:space="preserve"> disobedience</w:t>
      </w:r>
      <w:r w:rsidR="00AD025F">
        <w:rPr>
          <w:sz w:val="24"/>
          <w:szCs w:val="24"/>
        </w:rPr>
        <w:t xml:space="preserve"> on her part.</w:t>
      </w:r>
    </w:p>
    <w:p w14:paraId="12AFA9E0" w14:textId="77777777" w:rsidR="00B33CAC" w:rsidRDefault="00B33CAC" w:rsidP="00A73AA1">
      <w:pPr>
        <w:spacing w:after="0"/>
        <w:rPr>
          <w:sz w:val="24"/>
          <w:szCs w:val="24"/>
        </w:rPr>
      </w:pPr>
    </w:p>
    <w:p w14:paraId="7FAAD7B0" w14:textId="7248669A" w:rsidR="00AD025F" w:rsidRDefault="00B33CAC" w:rsidP="00A73AA1">
      <w:pPr>
        <w:spacing w:after="0"/>
        <w:rPr>
          <w:sz w:val="24"/>
          <w:szCs w:val="24"/>
        </w:rPr>
      </w:pPr>
      <w:r>
        <w:rPr>
          <w:sz w:val="24"/>
          <w:szCs w:val="24"/>
        </w:rPr>
        <w:lastRenderedPageBreak/>
        <w:t>[25]</w:t>
      </w:r>
      <w:r>
        <w:rPr>
          <w:sz w:val="24"/>
          <w:szCs w:val="24"/>
        </w:rPr>
        <w:tab/>
      </w:r>
      <w:r w:rsidR="00AD025F">
        <w:rPr>
          <w:sz w:val="24"/>
          <w:szCs w:val="24"/>
        </w:rPr>
        <w:t xml:space="preserve">Mr Mundell correctly argues that the applicants have not engaged meaningfully and </w:t>
      </w:r>
      <w:r w:rsidR="00B877FD">
        <w:rPr>
          <w:sz w:val="24"/>
          <w:szCs w:val="24"/>
        </w:rPr>
        <w:t>genuinely with</w:t>
      </w:r>
      <w:r w:rsidR="00AD025F">
        <w:rPr>
          <w:sz w:val="24"/>
          <w:szCs w:val="24"/>
        </w:rPr>
        <w:t xml:space="preserve"> the respondent’s response in order to determine whether it complies with the March 2020 order. The applicants confine themselves </w:t>
      </w:r>
      <w:r w:rsidR="002F10E4">
        <w:rPr>
          <w:sz w:val="24"/>
          <w:szCs w:val="24"/>
        </w:rPr>
        <w:t xml:space="preserve">to a linguistic critique of the schedule and then contend for prejudice flowing from these semantic </w:t>
      </w:r>
      <w:r w:rsidR="000C5592">
        <w:rPr>
          <w:sz w:val="24"/>
          <w:szCs w:val="24"/>
        </w:rPr>
        <w:t>disjunctures</w:t>
      </w:r>
      <w:r w:rsidR="002F10E4">
        <w:rPr>
          <w:sz w:val="24"/>
          <w:szCs w:val="24"/>
        </w:rPr>
        <w:t>.</w:t>
      </w:r>
    </w:p>
    <w:p w14:paraId="70355559" w14:textId="77777777" w:rsidR="00B33CAC" w:rsidRDefault="00B33CAC" w:rsidP="00A73AA1">
      <w:pPr>
        <w:pStyle w:val="NormalWeb"/>
        <w:shd w:val="clear" w:color="auto" w:fill="FFFFFF"/>
        <w:spacing w:before="0" w:beforeAutospacing="0" w:after="0" w:afterAutospacing="0" w:line="360" w:lineRule="auto"/>
        <w:jc w:val="both"/>
        <w:rPr>
          <w:color w:val="242121"/>
          <w:shd w:val="clear" w:color="auto" w:fill="FFFFFF"/>
        </w:rPr>
      </w:pPr>
    </w:p>
    <w:p w14:paraId="0D7A1B32" w14:textId="7BC130F7" w:rsidR="002F10E4" w:rsidRDefault="00B33CA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sidRPr="00B33CAC">
        <w:rPr>
          <w:rFonts w:ascii="Arial" w:hAnsi="Arial" w:cs="Arial"/>
          <w:color w:val="242121"/>
          <w:shd w:val="clear" w:color="auto" w:fill="FFFFFF"/>
        </w:rPr>
        <w:t>[26]</w:t>
      </w:r>
      <w:r w:rsidRPr="00B33CAC">
        <w:rPr>
          <w:rFonts w:ascii="Arial" w:hAnsi="Arial" w:cs="Arial"/>
          <w:color w:val="242121"/>
          <w:shd w:val="clear" w:color="auto" w:fill="FFFFFF"/>
        </w:rPr>
        <w:tab/>
      </w:r>
      <w:r w:rsidR="002F10E4">
        <w:rPr>
          <w:rFonts w:ascii="Arial" w:hAnsi="Arial" w:cs="Arial"/>
          <w:color w:val="242121"/>
          <w:shd w:val="clear" w:color="auto" w:fill="FFFFFF"/>
        </w:rPr>
        <w:t>It has been emphasised by our courts that ‘</w:t>
      </w:r>
      <w:r w:rsidR="002F10E4" w:rsidRPr="002F10E4">
        <w:rPr>
          <w:rFonts w:ascii="Arial" w:hAnsi="Arial" w:cs="Arial"/>
          <w:i/>
          <w:color w:val="242121"/>
          <w:shd w:val="clear" w:color="auto" w:fill="FFFFFF"/>
        </w:rPr>
        <w:t>contempt of court does not consist of mere disobedience of a court order, but of the contumacious disrespect for judicial authority</w:t>
      </w:r>
      <w:r w:rsidR="002F10E4">
        <w:rPr>
          <w:rFonts w:ascii="Arial" w:hAnsi="Arial" w:cs="Arial"/>
          <w:color w:val="242121"/>
          <w:shd w:val="clear" w:color="auto" w:fill="FFFFFF"/>
        </w:rPr>
        <w:t>’.</w:t>
      </w:r>
      <w:r w:rsidR="002F10E4" w:rsidRPr="002F10E4">
        <w:rPr>
          <w:rStyle w:val="FootnoteReference"/>
          <w:rFonts w:ascii="Arial" w:hAnsi="Arial" w:cs="Arial"/>
          <w:color w:val="242121"/>
          <w:sz w:val="20"/>
          <w:shd w:val="clear" w:color="auto" w:fill="FFFFFF"/>
        </w:rPr>
        <w:footnoteReference w:id="8"/>
      </w:r>
      <w:r w:rsidR="002F10E4">
        <w:rPr>
          <w:rFonts w:ascii="Arial" w:hAnsi="Arial" w:cs="Arial"/>
          <w:color w:val="242121"/>
          <w:shd w:val="clear" w:color="auto" w:fill="FFFFFF"/>
        </w:rPr>
        <w:t xml:space="preserve">  Upon a proper analysis of the facts, it cannot be said that the respondent failed to comply with the March 2020 order let alone that such non-compliance was wilful or mala fide. The respondent’s undisputed evidence regarding her reasons for delivering her response on 18 May 2020 are not unreasonable given the challenges faced by all </w:t>
      </w:r>
      <w:r w:rsidR="008843A3">
        <w:rPr>
          <w:rFonts w:ascii="Arial" w:hAnsi="Arial" w:cs="Arial"/>
          <w:color w:val="242121"/>
          <w:shd w:val="clear" w:color="auto" w:fill="FFFFFF"/>
        </w:rPr>
        <w:t xml:space="preserve">residents in the </w:t>
      </w:r>
      <w:r w:rsidR="00C454C2">
        <w:rPr>
          <w:rFonts w:ascii="Arial" w:hAnsi="Arial" w:cs="Arial"/>
          <w:color w:val="242121"/>
          <w:shd w:val="clear" w:color="auto" w:fill="FFFFFF"/>
        </w:rPr>
        <w:t>country during</w:t>
      </w:r>
      <w:r w:rsidR="002F10E4">
        <w:rPr>
          <w:rFonts w:ascii="Arial" w:hAnsi="Arial" w:cs="Arial"/>
          <w:color w:val="242121"/>
          <w:shd w:val="clear" w:color="auto" w:fill="FFFFFF"/>
        </w:rPr>
        <w:t xml:space="preserve"> that period. </w:t>
      </w:r>
      <w:r w:rsidR="008843A3">
        <w:rPr>
          <w:rFonts w:ascii="Arial" w:hAnsi="Arial" w:cs="Arial"/>
          <w:color w:val="242121"/>
          <w:shd w:val="clear" w:color="auto" w:fill="FFFFFF"/>
        </w:rPr>
        <w:t>Nevertheless, the applicants do not</w:t>
      </w:r>
      <w:r>
        <w:rPr>
          <w:rFonts w:ascii="Arial" w:hAnsi="Arial" w:cs="Arial"/>
          <w:color w:val="242121"/>
          <w:shd w:val="clear" w:color="auto" w:fill="FFFFFF"/>
        </w:rPr>
        <w:t xml:space="preserve"> seriously</w:t>
      </w:r>
      <w:r w:rsidR="008843A3">
        <w:rPr>
          <w:rFonts w:ascii="Arial" w:hAnsi="Arial" w:cs="Arial"/>
          <w:color w:val="242121"/>
          <w:shd w:val="clear" w:color="auto" w:fill="FFFFFF"/>
        </w:rPr>
        <w:t xml:space="preserve"> take issue with the respondent’s delivery of her response three days after the agreed extended date because they contend and maintain that the response is non-compliant with the March 2020 order.</w:t>
      </w:r>
    </w:p>
    <w:p w14:paraId="52C54156" w14:textId="23119967" w:rsidR="00B9412B" w:rsidRDefault="00B9412B" w:rsidP="00A73AA1">
      <w:pPr>
        <w:spacing w:after="0"/>
        <w:rPr>
          <w:color w:val="242121"/>
          <w:sz w:val="24"/>
          <w:szCs w:val="24"/>
          <w:shd w:val="clear" w:color="auto" w:fill="FFFFFF"/>
        </w:rPr>
      </w:pPr>
    </w:p>
    <w:p w14:paraId="542F94CC" w14:textId="1F162200" w:rsidR="00286E21" w:rsidRDefault="00B33CA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t>[27]</w:t>
      </w:r>
      <w:r>
        <w:rPr>
          <w:rFonts w:ascii="Arial" w:hAnsi="Arial" w:cs="Arial"/>
          <w:color w:val="242121"/>
          <w:shd w:val="clear" w:color="auto" w:fill="FFFFFF"/>
        </w:rPr>
        <w:tab/>
      </w:r>
      <w:r w:rsidR="008843A3">
        <w:rPr>
          <w:rFonts w:ascii="Arial" w:hAnsi="Arial" w:cs="Arial"/>
          <w:color w:val="242121"/>
          <w:shd w:val="clear" w:color="auto" w:fill="FFFFFF"/>
        </w:rPr>
        <w:t xml:space="preserve">Turning to the nature of the response itself, it was readily apparent from a brief perusal of the schedule that the description of each task sufficiently, cogently and adequately identified whether the nature of that task constituted a repair and / or replacement </w:t>
      </w:r>
      <w:r w:rsidR="00E64B70">
        <w:rPr>
          <w:rFonts w:ascii="Arial" w:hAnsi="Arial" w:cs="Arial"/>
          <w:color w:val="242121"/>
          <w:shd w:val="clear" w:color="auto" w:fill="FFFFFF"/>
        </w:rPr>
        <w:t xml:space="preserve">of an item. </w:t>
      </w:r>
      <w:r w:rsidR="008843A3">
        <w:rPr>
          <w:rFonts w:ascii="Arial" w:hAnsi="Arial" w:cs="Arial"/>
          <w:color w:val="242121"/>
          <w:shd w:val="clear" w:color="auto" w:fill="FFFFFF"/>
        </w:rPr>
        <w:t xml:space="preserve">The term ‘task’ is clearly </w:t>
      </w:r>
      <w:r w:rsidR="00E64B70">
        <w:rPr>
          <w:rFonts w:ascii="Arial" w:hAnsi="Arial" w:cs="Arial"/>
          <w:color w:val="242121"/>
          <w:shd w:val="clear" w:color="auto" w:fill="FFFFFF"/>
        </w:rPr>
        <w:t xml:space="preserve">and obviously </w:t>
      </w:r>
      <w:r w:rsidR="008843A3">
        <w:rPr>
          <w:rFonts w:ascii="Arial" w:hAnsi="Arial" w:cs="Arial"/>
          <w:color w:val="242121"/>
          <w:shd w:val="clear" w:color="auto" w:fill="FFFFFF"/>
        </w:rPr>
        <w:t>used as an all encompassing term and it is difficult</w:t>
      </w:r>
      <w:r w:rsidR="00E64B70">
        <w:rPr>
          <w:rFonts w:ascii="Arial" w:hAnsi="Arial" w:cs="Arial"/>
          <w:color w:val="242121"/>
          <w:shd w:val="clear" w:color="auto" w:fill="FFFFFF"/>
        </w:rPr>
        <w:t xml:space="preserve">, </w:t>
      </w:r>
      <w:r w:rsidR="008843A3">
        <w:rPr>
          <w:rFonts w:ascii="Arial" w:hAnsi="Arial" w:cs="Arial"/>
          <w:color w:val="242121"/>
          <w:shd w:val="clear" w:color="auto" w:fill="FFFFFF"/>
        </w:rPr>
        <w:t>if not impossible to attribute the nefarious motives</w:t>
      </w:r>
      <w:r w:rsidR="00E64B70">
        <w:rPr>
          <w:rFonts w:ascii="Arial" w:hAnsi="Arial" w:cs="Arial"/>
          <w:color w:val="242121"/>
          <w:shd w:val="clear" w:color="auto" w:fill="FFFFFF"/>
        </w:rPr>
        <w:t xml:space="preserve"> to the respondent that the applicant would have this Court do. T</w:t>
      </w:r>
      <w:r w:rsidR="00286E21">
        <w:rPr>
          <w:rFonts w:ascii="Arial" w:hAnsi="Arial" w:cs="Arial"/>
          <w:color w:val="242121"/>
          <w:shd w:val="clear" w:color="auto" w:fill="FFFFFF"/>
        </w:rPr>
        <w:t>he schedule is compiled in a manner that does not make it difficult to ascertain the nature of the repairs effected to various sections of the immovable property and whether that repair was undertaken pursuant to a defect such as</w:t>
      </w:r>
      <w:r w:rsidR="003A7FA3">
        <w:rPr>
          <w:rFonts w:ascii="Arial" w:hAnsi="Arial" w:cs="Arial"/>
          <w:color w:val="242121"/>
          <w:shd w:val="clear" w:color="auto" w:fill="FFFFFF"/>
        </w:rPr>
        <w:t xml:space="preserve"> damp or</w:t>
      </w:r>
      <w:r w:rsidR="00286E21">
        <w:rPr>
          <w:rFonts w:ascii="Arial" w:hAnsi="Arial" w:cs="Arial"/>
          <w:color w:val="242121"/>
          <w:shd w:val="clear" w:color="auto" w:fill="FFFFFF"/>
        </w:rPr>
        <w:t xml:space="preserve"> termites, for example. </w:t>
      </w:r>
    </w:p>
    <w:p w14:paraId="594ED9EB" w14:textId="32362580" w:rsidR="00BE68F6" w:rsidRDefault="00BE68F6"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59742AD2" w14:textId="4E6802F2" w:rsidR="00B33CAC" w:rsidRDefault="00B33CA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t>[28]</w:t>
      </w:r>
      <w:r>
        <w:rPr>
          <w:rFonts w:ascii="Arial" w:hAnsi="Arial" w:cs="Arial"/>
          <w:color w:val="242121"/>
          <w:shd w:val="clear" w:color="auto" w:fill="FFFFFF"/>
        </w:rPr>
        <w:tab/>
      </w:r>
      <w:r w:rsidR="00BE68F6">
        <w:rPr>
          <w:rFonts w:ascii="Arial" w:hAnsi="Arial" w:cs="Arial"/>
          <w:color w:val="242121"/>
          <w:shd w:val="clear" w:color="auto" w:fill="FFFFFF"/>
        </w:rPr>
        <w:t xml:space="preserve">Mr Groenewald </w:t>
      </w:r>
      <w:r w:rsidR="008B74AF">
        <w:rPr>
          <w:rFonts w:ascii="Arial" w:hAnsi="Arial" w:cs="Arial"/>
          <w:color w:val="242121"/>
          <w:shd w:val="clear" w:color="auto" w:fill="FFFFFF"/>
        </w:rPr>
        <w:t xml:space="preserve">conceded that the respondent’s response constituted </w:t>
      </w:r>
      <w:r w:rsidR="008B74AF">
        <w:rPr>
          <w:rFonts w:ascii="Arial" w:hAnsi="Arial" w:cs="Arial"/>
          <w:i/>
          <w:color w:val="242121"/>
          <w:shd w:val="clear" w:color="auto" w:fill="FFFFFF"/>
        </w:rPr>
        <w:t xml:space="preserve">prima facie </w:t>
      </w:r>
      <w:r w:rsidR="008B74AF">
        <w:rPr>
          <w:rFonts w:ascii="Arial" w:hAnsi="Arial" w:cs="Arial"/>
          <w:color w:val="242121"/>
          <w:shd w:val="clear" w:color="auto" w:fill="FFFFFF"/>
        </w:rPr>
        <w:t xml:space="preserve">compliance with the March 2020 order. He </w:t>
      </w:r>
      <w:r w:rsidR="00BE68F6">
        <w:rPr>
          <w:rFonts w:ascii="Arial" w:hAnsi="Arial" w:cs="Arial"/>
          <w:color w:val="242121"/>
          <w:shd w:val="clear" w:color="auto" w:fill="FFFFFF"/>
        </w:rPr>
        <w:t>argued</w:t>
      </w:r>
      <w:r w:rsidR="008B74AF">
        <w:rPr>
          <w:rFonts w:ascii="Arial" w:hAnsi="Arial" w:cs="Arial"/>
          <w:color w:val="242121"/>
          <w:shd w:val="clear" w:color="auto" w:fill="FFFFFF"/>
        </w:rPr>
        <w:t xml:space="preserve"> however</w:t>
      </w:r>
      <w:r w:rsidR="003A7FA3">
        <w:rPr>
          <w:rFonts w:ascii="Arial" w:hAnsi="Arial" w:cs="Arial"/>
          <w:color w:val="242121"/>
          <w:shd w:val="clear" w:color="auto" w:fill="FFFFFF"/>
        </w:rPr>
        <w:t>,</w:t>
      </w:r>
      <w:r w:rsidR="00BE68F6">
        <w:rPr>
          <w:rFonts w:ascii="Arial" w:hAnsi="Arial" w:cs="Arial"/>
          <w:color w:val="242121"/>
          <w:shd w:val="clear" w:color="auto" w:fill="FFFFFF"/>
        </w:rPr>
        <w:t xml:space="preserve"> that the </w:t>
      </w:r>
      <w:r w:rsidR="00D63D36">
        <w:rPr>
          <w:rFonts w:ascii="Arial" w:hAnsi="Arial" w:cs="Arial"/>
          <w:color w:val="242121"/>
          <w:shd w:val="clear" w:color="auto" w:fill="FFFFFF"/>
        </w:rPr>
        <w:t>applicants’</w:t>
      </w:r>
      <w:r w:rsidR="00BE68F6">
        <w:rPr>
          <w:rFonts w:ascii="Arial" w:hAnsi="Arial" w:cs="Arial"/>
          <w:color w:val="242121"/>
          <w:shd w:val="clear" w:color="auto" w:fill="FFFFFF"/>
        </w:rPr>
        <w:t xml:space="preserve"> </w:t>
      </w:r>
      <w:r w:rsidR="00D63D36">
        <w:rPr>
          <w:rFonts w:ascii="Arial" w:hAnsi="Arial" w:cs="Arial"/>
          <w:color w:val="242121"/>
          <w:shd w:val="clear" w:color="auto" w:fill="FFFFFF"/>
        </w:rPr>
        <w:t>complaint is</w:t>
      </w:r>
      <w:r w:rsidR="00BE68F6">
        <w:rPr>
          <w:rFonts w:ascii="Arial" w:hAnsi="Arial" w:cs="Arial"/>
          <w:color w:val="242121"/>
          <w:shd w:val="clear" w:color="auto" w:fill="FFFFFF"/>
        </w:rPr>
        <w:t xml:space="preserve"> </w:t>
      </w:r>
      <w:r w:rsidR="00D63D36">
        <w:rPr>
          <w:rFonts w:ascii="Arial" w:hAnsi="Arial" w:cs="Arial"/>
          <w:color w:val="242121"/>
          <w:shd w:val="clear" w:color="auto" w:fill="FFFFFF"/>
        </w:rPr>
        <w:t>essentially that</w:t>
      </w:r>
      <w:r w:rsidR="00BE68F6">
        <w:rPr>
          <w:rFonts w:ascii="Arial" w:hAnsi="Arial" w:cs="Arial"/>
          <w:color w:val="242121"/>
          <w:shd w:val="clear" w:color="auto" w:fill="FFFFFF"/>
        </w:rPr>
        <w:t xml:space="preserve"> the respondent has not prepared her schedule the way </w:t>
      </w:r>
      <w:r>
        <w:rPr>
          <w:rFonts w:ascii="Arial" w:hAnsi="Arial" w:cs="Arial"/>
          <w:color w:val="242121"/>
          <w:shd w:val="clear" w:color="auto" w:fill="FFFFFF"/>
        </w:rPr>
        <w:t>the applicants</w:t>
      </w:r>
      <w:r w:rsidR="00BE68F6">
        <w:rPr>
          <w:rFonts w:ascii="Arial" w:hAnsi="Arial" w:cs="Arial"/>
          <w:color w:val="242121"/>
          <w:shd w:val="clear" w:color="auto" w:fill="FFFFFF"/>
        </w:rPr>
        <w:t xml:space="preserve"> would have and / or that she has not cross-referenced each task to the discovery bundle of invoices and receipts. </w:t>
      </w:r>
      <w:r w:rsidR="003A7FA3">
        <w:rPr>
          <w:rFonts w:ascii="Arial" w:hAnsi="Arial" w:cs="Arial"/>
          <w:color w:val="242121"/>
          <w:shd w:val="clear" w:color="auto" w:fill="FFFFFF"/>
        </w:rPr>
        <w:t>T</w:t>
      </w:r>
      <w:r w:rsidR="00BE68F6">
        <w:rPr>
          <w:rFonts w:ascii="Arial" w:hAnsi="Arial" w:cs="Arial"/>
          <w:color w:val="242121"/>
          <w:shd w:val="clear" w:color="auto" w:fill="FFFFFF"/>
        </w:rPr>
        <w:t xml:space="preserve">his </w:t>
      </w:r>
      <w:r w:rsidR="003A7FA3">
        <w:rPr>
          <w:rFonts w:ascii="Arial" w:hAnsi="Arial" w:cs="Arial"/>
          <w:color w:val="242121"/>
          <w:shd w:val="clear" w:color="auto" w:fill="FFFFFF"/>
        </w:rPr>
        <w:t xml:space="preserve">complaint </w:t>
      </w:r>
      <w:r w:rsidR="00D63D36">
        <w:rPr>
          <w:rFonts w:ascii="Arial" w:hAnsi="Arial" w:cs="Arial"/>
          <w:color w:val="242121"/>
          <w:shd w:val="clear" w:color="auto" w:fill="FFFFFF"/>
        </w:rPr>
        <w:t xml:space="preserve">does not come close to meeting the </w:t>
      </w:r>
      <w:r w:rsidR="00BE68F6">
        <w:rPr>
          <w:rFonts w:ascii="Arial" w:hAnsi="Arial" w:cs="Arial"/>
          <w:color w:val="242121"/>
          <w:shd w:val="clear" w:color="auto" w:fill="FFFFFF"/>
        </w:rPr>
        <w:t>standard required for n</w:t>
      </w:r>
      <w:r w:rsidR="00D63D36">
        <w:rPr>
          <w:rFonts w:ascii="Arial" w:hAnsi="Arial" w:cs="Arial"/>
          <w:color w:val="242121"/>
          <w:shd w:val="clear" w:color="auto" w:fill="FFFFFF"/>
        </w:rPr>
        <w:t xml:space="preserve">on-compliance of </w:t>
      </w:r>
      <w:r w:rsidR="008B74AF">
        <w:rPr>
          <w:rFonts w:ascii="Arial" w:hAnsi="Arial" w:cs="Arial"/>
          <w:color w:val="242121"/>
          <w:shd w:val="clear" w:color="auto" w:fill="FFFFFF"/>
        </w:rPr>
        <w:t>the March 2020</w:t>
      </w:r>
      <w:r w:rsidR="00D63D36">
        <w:rPr>
          <w:rFonts w:ascii="Arial" w:hAnsi="Arial" w:cs="Arial"/>
          <w:color w:val="242121"/>
          <w:shd w:val="clear" w:color="auto" w:fill="FFFFFF"/>
        </w:rPr>
        <w:t xml:space="preserve"> order. </w:t>
      </w:r>
    </w:p>
    <w:p w14:paraId="0DBD2871" w14:textId="77777777" w:rsidR="00B33CAC" w:rsidRDefault="00B33CA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2C621817" w14:textId="191A5D57" w:rsidR="008B74AF" w:rsidRDefault="00B33CA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lastRenderedPageBreak/>
        <w:t>[29]</w:t>
      </w:r>
      <w:r>
        <w:rPr>
          <w:rFonts w:ascii="Arial" w:hAnsi="Arial" w:cs="Arial"/>
          <w:color w:val="242121"/>
          <w:shd w:val="clear" w:color="auto" w:fill="FFFFFF"/>
        </w:rPr>
        <w:tab/>
      </w:r>
      <w:r w:rsidR="00D63D36">
        <w:rPr>
          <w:rFonts w:ascii="Arial" w:hAnsi="Arial" w:cs="Arial"/>
          <w:color w:val="242121"/>
          <w:shd w:val="clear" w:color="auto" w:fill="FFFFFF"/>
        </w:rPr>
        <w:t xml:space="preserve">I am satisfied that the respondent has provided an adequate and reasonable explanation for the delivery of her response on 18 May 2020. </w:t>
      </w:r>
      <w:r w:rsidR="003A7FA3">
        <w:rPr>
          <w:rFonts w:ascii="Arial" w:hAnsi="Arial" w:cs="Arial"/>
          <w:color w:val="242121"/>
          <w:shd w:val="clear" w:color="auto" w:fill="FFFFFF"/>
        </w:rPr>
        <w:t xml:space="preserve">On a conspectus of the common cause facts, </w:t>
      </w:r>
      <w:r w:rsidR="00D63D36">
        <w:rPr>
          <w:rFonts w:ascii="Arial" w:hAnsi="Arial" w:cs="Arial"/>
          <w:color w:val="242121"/>
          <w:shd w:val="clear" w:color="auto" w:fill="FFFFFF"/>
        </w:rPr>
        <w:t>I am further satisfied that the respondent’s response is in compliance with the Marc</w:t>
      </w:r>
      <w:r w:rsidR="008B74AF">
        <w:rPr>
          <w:rFonts w:ascii="Arial" w:hAnsi="Arial" w:cs="Arial"/>
          <w:color w:val="242121"/>
          <w:shd w:val="clear" w:color="auto" w:fill="FFFFFF"/>
        </w:rPr>
        <w:t>h 2020 order and the applicants have failed to establish beyond a reasonable doubt that she has not complied with the March 2020 order.</w:t>
      </w:r>
    </w:p>
    <w:p w14:paraId="22FE034F" w14:textId="77777777" w:rsidR="008B74AF" w:rsidRDefault="008B74AF"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624964F5" w14:textId="041CB224" w:rsidR="00BE68F6" w:rsidRDefault="008B74AF"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b/>
          <w:color w:val="242121"/>
          <w:shd w:val="clear" w:color="auto" w:fill="FFFFFF"/>
        </w:rPr>
        <w:t>Costs</w:t>
      </w:r>
      <w:r w:rsidR="00D63D36">
        <w:rPr>
          <w:rFonts w:ascii="Arial" w:hAnsi="Arial" w:cs="Arial"/>
          <w:color w:val="242121"/>
          <w:shd w:val="clear" w:color="auto" w:fill="FFFFFF"/>
        </w:rPr>
        <w:t xml:space="preserve"> </w:t>
      </w:r>
      <w:r>
        <w:rPr>
          <w:rFonts w:ascii="Arial" w:hAnsi="Arial" w:cs="Arial"/>
          <w:color w:val="242121"/>
          <w:shd w:val="clear" w:color="auto" w:fill="FFFFFF"/>
        </w:rPr>
        <w:t xml:space="preserve"> </w:t>
      </w:r>
    </w:p>
    <w:p w14:paraId="1F94182F" w14:textId="42A19BCB" w:rsidR="00E9495C" w:rsidRPr="00E9495C" w:rsidRDefault="00B33CAC" w:rsidP="00E9495C">
      <w:pPr>
        <w:spacing w:after="0"/>
        <w:rPr>
          <w:sz w:val="24"/>
          <w:szCs w:val="24"/>
        </w:rPr>
      </w:pPr>
      <w:r w:rsidRPr="00E9495C">
        <w:rPr>
          <w:color w:val="242121"/>
          <w:sz w:val="24"/>
          <w:szCs w:val="24"/>
          <w:shd w:val="clear" w:color="auto" w:fill="FFFFFF"/>
        </w:rPr>
        <w:t>[30]</w:t>
      </w:r>
      <w:r w:rsidRPr="00E9495C">
        <w:rPr>
          <w:color w:val="242121"/>
          <w:sz w:val="24"/>
          <w:szCs w:val="24"/>
          <w:shd w:val="clear" w:color="auto" w:fill="FFFFFF"/>
        </w:rPr>
        <w:tab/>
      </w:r>
      <w:r w:rsidR="00D62B3D">
        <w:rPr>
          <w:color w:val="242121"/>
          <w:sz w:val="24"/>
          <w:szCs w:val="24"/>
          <w:shd w:val="clear" w:color="auto" w:fill="FFFFFF"/>
        </w:rPr>
        <w:t xml:space="preserve">Both parties urged this Court to exercise its discretion in favour of a punitive costs award. </w:t>
      </w:r>
      <w:r w:rsidR="00E9495C" w:rsidRPr="00E9495C">
        <w:rPr>
          <w:sz w:val="24"/>
          <w:szCs w:val="24"/>
        </w:rPr>
        <w:t>The general rule in matters of cost is that the successful party should be awarded her costs, and this rule should not be departed from except where there are good grounds for doing so.</w:t>
      </w:r>
      <w:r w:rsidR="00660951" w:rsidRPr="00962162">
        <w:rPr>
          <w:rStyle w:val="FootnoteReference"/>
          <w:rFonts w:ascii="Arial" w:hAnsi="Arial"/>
          <w:sz w:val="20"/>
        </w:rPr>
        <w:footnoteReference w:id="9"/>
      </w:r>
      <w:r w:rsidR="00E9495C" w:rsidRPr="00962162">
        <w:rPr>
          <w:szCs w:val="20"/>
        </w:rPr>
        <w:t xml:space="preserve"> </w:t>
      </w:r>
    </w:p>
    <w:p w14:paraId="659DBB95" w14:textId="5B2DD204" w:rsidR="00B33CAC" w:rsidRDefault="00B33CA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07DECEAE" w14:textId="3D458D24" w:rsidR="00B33CAC" w:rsidRDefault="00E9495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t>[31]</w:t>
      </w:r>
      <w:r>
        <w:rPr>
          <w:rFonts w:ascii="Arial" w:hAnsi="Arial" w:cs="Arial"/>
          <w:color w:val="242121"/>
          <w:shd w:val="clear" w:color="auto" w:fill="FFFFFF"/>
        </w:rPr>
        <w:tab/>
      </w:r>
      <w:r w:rsidR="00D62B3D">
        <w:rPr>
          <w:rFonts w:ascii="Arial" w:hAnsi="Arial" w:cs="Arial"/>
          <w:color w:val="242121"/>
          <w:shd w:val="clear" w:color="auto" w:fill="FFFFFF"/>
        </w:rPr>
        <w:t>In determining whether, punitive costs should be awarded, I have taken account</w:t>
      </w:r>
      <w:r w:rsidR="00782AC8">
        <w:rPr>
          <w:rFonts w:ascii="Arial" w:hAnsi="Arial" w:cs="Arial"/>
          <w:color w:val="242121"/>
          <w:shd w:val="clear" w:color="auto" w:fill="FFFFFF"/>
        </w:rPr>
        <w:t xml:space="preserve"> as relevant considerations that these application papers were unnecessarily prolix and littered with inflammatory and needlessly emotive invective. </w:t>
      </w:r>
      <w:r w:rsidR="00C454C2">
        <w:rPr>
          <w:rFonts w:ascii="Arial" w:hAnsi="Arial" w:cs="Arial"/>
          <w:color w:val="242121"/>
          <w:shd w:val="clear" w:color="auto" w:fill="FFFFFF"/>
        </w:rPr>
        <w:t xml:space="preserve">A further relevant consideration </w:t>
      </w:r>
      <w:r w:rsidR="00782AC8">
        <w:rPr>
          <w:rFonts w:ascii="Arial" w:hAnsi="Arial" w:cs="Arial"/>
          <w:color w:val="242121"/>
          <w:shd w:val="clear" w:color="auto" w:fill="FFFFFF"/>
        </w:rPr>
        <w:t>is the fact that civil contempt is a crime for which a contemnor may be prosecuted in criminal proceedings.</w:t>
      </w:r>
      <w:r w:rsidR="00782AC8" w:rsidRPr="00A73AA1">
        <w:rPr>
          <w:rStyle w:val="FootnoteReference"/>
          <w:rFonts w:ascii="Arial" w:hAnsi="Arial" w:cs="Arial"/>
          <w:color w:val="242121"/>
          <w:sz w:val="20"/>
          <w:shd w:val="clear" w:color="auto" w:fill="FFFFFF"/>
        </w:rPr>
        <w:footnoteReference w:id="10"/>
      </w:r>
      <w:r w:rsidR="00D62B3D">
        <w:rPr>
          <w:rFonts w:ascii="Arial" w:hAnsi="Arial" w:cs="Arial"/>
          <w:color w:val="242121"/>
          <w:shd w:val="clear" w:color="auto" w:fill="FFFFFF"/>
        </w:rPr>
        <w:t xml:space="preserve"> </w:t>
      </w:r>
    </w:p>
    <w:p w14:paraId="4B6650C9" w14:textId="77777777" w:rsidR="00E9495C" w:rsidRDefault="00E9495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731B084C" w14:textId="7B8C4DA2" w:rsidR="00A73AA1" w:rsidRDefault="00E9495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t>[32]</w:t>
      </w:r>
      <w:r>
        <w:rPr>
          <w:rFonts w:ascii="Arial" w:hAnsi="Arial" w:cs="Arial"/>
          <w:color w:val="242121"/>
          <w:shd w:val="clear" w:color="auto" w:fill="FFFFFF"/>
        </w:rPr>
        <w:tab/>
      </w:r>
      <w:r w:rsidR="00267665">
        <w:rPr>
          <w:rFonts w:ascii="Arial" w:hAnsi="Arial" w:cs="Arial"/>
          <w:color w:val="242121"/>
          <w:shd w:val="clear" w:color="auto" w:fill="FFFFFF"/>
        </w:rPr>
        <w:t>In the result</w:t>
      </w:r>
      <w:r w:rsidR="00A73AA1">
        <w:rPr>
          <w:rFonts w:ascii="Arial" w:hAnsi="Arial" w:cs="Arial"/>
          <w:color w:val="242121"/>
          <w:shd w:val="clear" w:color="auto" w:fill="FFFFFF"/>
        </w:rPr>
        <w:t xml:space="preserve">, </w:t>
      </w:r>
      <w:r w:rsidR="00267665">
        <w:rPr>
          <w:rFonts w:ascii="Arial" w:hAnsi="Arial" w:cs="Arial"/>
          <w:color w:val="242121"/>
          <w:shd w:val="clear" w:color="auto" w:fill="FFFFFF"/>
        </w:rPr>
        <w:t>the following order is made</w:t>
      </w:r>
      <w:r w:rsidR="00A73AA1">
        <w:rPr>
          <w:rFonts w:ascii="Arial" w:hAnsi="Arial" w:cs="Arial"/>
          <w:color w:val="242121"/>
          <w:shd w:val="clear" w:color="auto" w:fill="FFFFFF"/>
        </w:rPr>
        <w:t>:</w:t>
      </w:r>
    </w:p>
    <w:p w14:paraId="29B196CE" w14:textId="5C25B105" w:rsidR="00A73AA1" w:rsidRDefault="00A73AA1"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t>(a)</w:t>
      </w:r>
      <w:r>
        <w:rPr>
          <w:rFonts w:ascii="Arial" w:hAnsi="Arial" w:cs="Arial"/>
          <w:color w:val="242121"/>
          <w:shd w:val="clear" w:color="auto" w:fill="FFFFFF"/>
        </w:rPr>
        <w:tab/>
        <w:t xml:space="preserve">The </w:t>
      </w:r>
      <w:r w:rsidR="00267665">
        <w:rPr>
          <w:rFonts w:ascii="Arial" w:hAnsi="Arial" w:cs="Arial"/>
          <w:color w:val="242121"/>
          <w:shd w:val="clear" w:color="auto" w:fill="FFFFFF"/>
        </w:rPr>
        <w:t xml:space="preserve">application for the respondent’s </w:t>
      </w:r>
      <w:r>
        <w:rPr>
          <w:rFonts w:ascii="Arial" w:hAnsi="Arial" w:cs="Arial"/>
          <w:color w:val="242121"/>
          <w:shd w:val="clear" w:color="auto" w:fill="FFFFFF"/>
        </w:rPr>
        <w:t>contempt</w:t>
      </w:r>
      <w:r w:rsidR="00FB23BA">
        <w:rPr>
          <w:rFonts w:ascii="Arial" w:hAnsi="Arial" w:cs="Arial"/>
          <w:color w:val="242121"/>
          <w:shd w:val="clear" w:color="auto" w:fill="FFFFFF"/>
        </w:rPr>
        <w:t xml:space="preserve"> of court </w:t>
      </w:r>
      <w:r>
        <w:rPr>
          <w:rFonts w:ascii="Arial" w:hAnsi="Arial" w:cs="Arial"/>
          <w:color w:val="242121"/>
          <w:shd w:val="clear" w:color="auto" w:fill="FFFFFF"/>
        </w:rPr>
        <w:t>is dismissed.</w:t>
      </w:r>
    </w:p>
    <w:p w14:paraId="35D19971" w14:textId="77777777" w:rsidR="00A73AA1" w:rsidRDefault="00A73AA1"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6E87D5E3" w14:textId="7B0565ED" w:rsidR="00A73AA1" w:rsidRDefault="00A73AA1"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r>
        <w:rPr>
          <w:rFonts w:ascii="Arial" w:hAnsi="Arial" w:cs="Arial"/>
          <w:color w:val="242121"/>
          <w:shd w:val="clear" w:color="auto" w:fill="FFFFFF"/>
        </w:rPr>
        <w:t>(b)</w:t>
      </w:r>
      <w:r>
        <w:rPr>
          <w:rFonts w:ascii="Arial" w:hAnsi="Arial" w:cs="Arial"/>
          <w:color w:val="242121"/>
          <w:shd w:val="clear" w:color="auto" w:fill="FFFFFF"/>
        </w:rPr>
        <w:tab/>
        <w:t>The applicants are ordered to pay the respondent’s costs on an attorney and client scale.</w:t>
      </w:r>
    </w:p>
    <w:p w14:paraId="0616DF24" w14:textId="46108FFA" w:rsidR="00286E21" w:rsidRDefault="00286E21"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p w14:paraId="056D6EDD" w14:textId="5B2F86E7" w:rsidR="00E9495C" w:rsidRDefault="00E9495C" w:rsidP="00E9495C">
      <w:pPr>
        <w:autoSpaceDE w:val="0"/>
        <w:autoSpaceDN w:val="0"/>
        <w:adjustRightInd w:val="0"/>
        <w:spacing w:after="0" w:line="240" w:lineRule="auto"/>
        <w:rPr>
          <w:noProof/>
          <w:lang w:val="en-ZA" w:eastAsia="en-Z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77FD">
        <w:rPr>
          <w:sz w:val="24"/>
          <w:szCs w:val="24"/>
        </w:rPr>
        <w:tab/>
      </w:r>
      <w:r w:rsidR="00B877FD">
        <w:rPr>
          <w:sz w:val="24"/>
          <w:szCs w:val="24"/>
        </w:rPr>
        <w:tab/>
      </w:r>
      <w:r>
        <w:rPr>
          <w:sz w:val="24"/>
          <w:szCs w:val="24"/>
        </w:rPr>
        <w:tab/>
      </w:r>
    </w:p>
    <w:p w14:paraId="495731BF" w14:textId="77777777" w:rsidR="00F12FD8" w:rsidRPr="001603A8" w:rsidRDefault="00F12FD8" w:rsidP="00E9495C">
      <w:pPr>
        <w:autoSpaceDE w:val="0"/>
        <w:autoSpaceDN w:val="0"/>
        <w:adjustRightInd w:val="0"/>
        <w:spacing w:after="0" w:line="240" w:lineRule="auto"/>
        <w:rPr>
          <w:sz w:val="24"/>
          <w:szCs w:val="24"/>
        </w:rPr>
      </w:pPr>
      <w:bookmarkStart w:id="1" w:name="_GoBack"/>
      <w:bookmarkEnd w:id="1"/>
    </w:p>
    <w:p w14:paraId="5242B614" w14:textId="77777777" w:rsidR="00E9495C" w:rsidRPr="00C55B3C" w:rsidRDefault="00E9495C" w:rsidP="00E9495C">
      <w:pPr>
        <w:spacing w:after="0" w:line="240" w:lineRule="auto"/>
        <w:jc w:val="right"/>
        <w:rPr>
          <w:b/>
          <w:u w:val="single"/>
        </w:rPr>
      </w:pPr>
      <w:r>
        <w:rPr>
          <w:sz w:val="24"/>
          <w:szCs w:val="24"/>
        </w:rPr>
        <w:tab/>
      </w:r>
      <w:r>
        <w:rPr>
          <w:sz w:val="24"/>
          <w:szCs w:val="24"/>
        </w:rPr>
        <w:tab/>
      </w:r>
      <w:r w:rsidRPr="00C55B3C">
        <w:rPr>
          <w:b/>
          <w:u w:val="single"/>
        </w:rPr>
        <w:t>_____________________</w:t>
      </w:r>
    </w:p>
    <w:p w14:paraId="644FF408" w14:textId="77777777" w:rsidR="00E9495C" w:rsidRPr="00813029" w:rsidRDefault="00E9495C" w:rsidP="00E9495C">
      <w:pPr>
        <w:autoSpaceDE w:val="0"/>
        <w:autoSpaceDN w:val="0"/>
        <w:adjustRightInd w:val="0"/>
        <w:spacing w:after="0"/>
        <w:ind w:left="709"/>
        <w:jc w:val="right"/>
        <w:rPr>
          <w:b/>
          <w:color w:val="000000"/>
          <w:sz w:val="24"/>
          <w:szCs w:val="24"/>
          <w:lang w:val="en-GB"/>
        </w:rPr>
      </w:pPr>
      <w:r>
        <w:rPr>
          <w:b/>
          <w:color w:val="000000"/>
          <w:sz w:val="24"/>
          <w:szCs w:val="24"/>
          <w:lang w:val="en-GB"/>
        </w:rPr>
        <w:tab/>
      </w:r>
      <w:r>
        <w:rPr>
          <w:b/>
          <w:color w:val="000000"/>
          <w:sz w:val="24"/>
          <w:szCs w:val="24"/>
          <w:lang w:val="en-GB"/>
        </w:rPr>
        <w:tab/>
      </w:r>
      <w:r w:rsidRPr="00813029">
        <w:rPr>
          <w:b/>
          <w:color w:val="000000"/>
          <w:sz w:val="24"/>
          <w:szCs w:val="24"/>
          <w:lang w:val="en-GB"/>
        </w:rPr>
        <w:t>T NICHOLS</w:t>
      </w:r>
    </w:p>
    <w:p w14:paraId="6A51BDC8" w14:textId="77777777" w:rsidR="00E9495C" w:rsidRPr="00813029" w:rsidRDefault="00E9495C" w:rsidP="00E9495C">
      <w:pPr>
        <w:autoSpaceDE w:val="0"/>
        <w:autoSpaceDN w:val="0"/>
        <w:adjustRightInd w:val="0"/>
        <w:spacing w:after="0"/>
        <w:ind w:left="709"/>
        <w:jc w:val="right"/>
        <w:rPr>
          <w:color w:val="000000"/>
          <w:sz w:val="24"/>
          <w:szCs w:val="24"/>
          <w:lang w:val="en-GB"/>
        </w:rPr>
      </w:pPr>
      <w:r w:rsidRPr="00813029">
        <w:rPr>
          <w:color w:val="000000"/>
          <w:sz w:val="24"/>
          <w:szCs w:val="24"/>
          <w:lang w:val="en-GB"/>
        </w:rPr>
        <w:t xml:space="preserve">ACTING JUDGE OF THE HIGH COURT </w:t>
      </w:r>
    </w:p>
    <w:p w14:paraId="5CEA8A8E" w14:textId="77777777" w:rsidR="00E9495C" w:rsidRPr="00813029" w:rsidRDefault="00E9495C" w:rsidP="00E9495C">
      <w:pPr>
        <w:autoSpaceDE w:val="0"/>
        <w:autoSpaceDN w:val="0"/>
        <w:adjustRightInd w:val="0"/>
        <w:spacing w:after="0"/>
        <w:ind w:left="709"/>
        <w:jc w:val="right"/>
        <w:rPr>
          <w:color w:val="000000"/>
          <w:sz w:val="24"/>
          <w:szCs w:val="24"/>
          <w:lang w:val="en-GB"/>
        </w:rPr>
      </w:pPr>
      <w:r w:rsidRPr="00813029">
        <w:rPr>
          <w:color w:val="000000"/>
          <w:sz w:val="24"/>
          <w:szCs w:val="24"/>
          <w:lang w:val="en-GB"/>
        </w:rPr>
        <w:t>GAUTENG LOCAL DIVISION, JOHANNESBURG</w:t>
      </w:r>
    </w:p>
    <w:p w14:paraId="2CD24ED1" w14:textId="77777777" w:rsidR="00E9495C" w:rsidRDefault="00E9495C" w:rsidP="00E9495C">
      <w:pPr>
        <w:spacing w:after="0"/>
        <w:rPr>
          <w:i/>
          <w:sz w:val="24"/>
          <w:szCs w:val="24"/>
        </w:rPr>
      </w:pPr>
    </w:p>
    <w:p w14:paraId="1B266A9D" w14:textId="566DF115" w:rsidR="00E9495C" w:rsidRDefault="00E9495C" w:rsidP="00E9495C">
      <w:pPr>
        <w:spacing w:after="0"/>
        <w:rPr>
          <w:i/>
        </w:rPr>
      </w:pPr>
      <w:r w:rsidRPr="006763B9">
        <w:rPr>
          <w:i/>
        </w:rPr>
        <w:lastRenderedPageBreak/>
        <w:t xml:space="preserve">This judgment was handed down electronically by circulation to the parties' representatives via email, by being uploaded to CaseLines and by release to SAFLII. The date and time for hand-down is deemed to be </w:t>
      </w:r>
      <w:r w:rsidR="00B877FD">
        <w:rPr>
          <w:i/>
        </w:rPr>
        <w:t>10h30</w:t>
      </w:r>
      <w:r w:rsidRPr="006763B9">
        <w:rPr>
          <w:i/>
        </w:rPr>
        <w:t xml:space="preserve"> on </w:t>
      </w:r>
      <w:r w:rsidR="00B877FD">
        <w:rPr>
          <w:i/>
        </w:rPr>
        <w:t xml:space="preserve">4 November </w:t>
      </w:r>
      <w:r>
        <w:rPr>
          <w:i/>
        </w:rPr>
        <w:t xml:space="preserve"> </w:t>
      </w:r>
      <w:r w:rsidRPr="006763B9">
        <w:rPr>
          <w:i/>
        </w:rPr>
        <w:t>202</w:t>
      </w:r>
      <w:r>
        <w:rPr>
          <w:i/>
        </w:rPr>
        <w:t>2</w:t>
      </w:r>
      <w:r w:rsidRPr="006763B9">
        <w:rPr>
          <w:i/>
        </w:rPr>
        <w:t>.</w:t>
      </w:r>
    </w:p>
    <w:p w14:paraId="2BD4D5D7" w14:textId="77777777" w:rsidR="00E9495C" w:rsidRDefault="00E9495C" w:rsidP="00E9495C">
      <w:pPr>
        <w:spacing w:after="0"/>
      </w:pPr>
    </w:p>
    <w:p w14:paraId="1F1C538D" w14:textId="456C206D" w:rsidR="00E9495C" w:rsidRDefault="00E9495C" w:rsidP="00E9495C">
      <w:pPr>
        <w:spacing w:after="0"/>
      </w:pPr>
      <w:r>
        <w:t>HEARD ON:</w:t>
      </w:r>
      <w:r>
        <w:tab/>
      </w:r>
      <w:r>
        <w:tab/>
      </w:r>
      <w:r>
        <w:tab/>
      </w:r>
      <w:r w:rsidR="006D484A">
        <w:t>9</w:t>
      </w:r>
      <w:r w:rsidR="00B877FD">
        <w:t xml:space="preserve"> </w:t>
      </w:r>
      <w:r>
        <w:t>September 2021</w:t>
      </w:r>
    </w:p>
    <w:p w14:paraId="1CBE15C7" w14:textId="30F8CB4F" w:rsidR="00E9495C" w:rsidRDefault="00E9495C" w:rsidP="00E9495C">
      <w:pPr>
        <w:spacing w:after="0"/>
      </w:pPr>
      <w:r>
        <w:t>JUDGEMENT DATE:</w:t>
      </w:r>
      <w:r>
        <w:tab/>
      </w:r>
      <w:r>
        <w:tab/>
      </w:r>
      <w:r w:rsidR="00B877FD">
        <w:t xml:space="preserve">4 November </w:t>
      </w:r>
      <w:r>
        <w:t>2022</w:t>
      </w:r>
    </w:p>
    <w:p w14:paraId="435626B2" w14:textId="05822477" w:rsidR="00E9495C" w:rsidRDefault="00E9495C" w:rsidP="00E9495C">
      <w:pPr>
        <w:spacing w:after="0"/>
      </w:pPr>
      <w:r>
        <w:t>FOR THE APPLICANT</w:t>
      </w:r>
      <w:r w:rsidR="00B877FD">
        <w:t>S</w:t>
      </w:r>
      <w:r>
        <w:t>:</w:t>
      </w:r>
      <w:r>
        <w:tab/>
      </w:r>
      <w:r w:rsidR="00B877FD">
        <w:t>Adv J Groenewald</w:t>
      </w:r>
    </w:p>
    <w:p w14:paraId="5B17455E" w14:textId="3398ED65" w:rsidR="00E9495C" w:rsidRDefault="00E9495C" w:rsidP="00E9495C">
      <w:pPr>
        <w:spacing w:after="0"/>
      </w:pPr>
      <w:r>
        <w:t>INSTRUCTED BY:</w:t>
      </w:r>
      <w:r>
        <w:tab/>
      </w:r>
      <w:r>
        <w:tab/>
      </w:r>
      <w:r w:rsidR="00B877FD">
        <w:t>BDK</w:t>
      </w:r>
      <w:r>
        <w:t xml:space="preserve"> Attorneys </w:t>
      </w:r>
    </w:p>
    <w:p w14:paraId="26CD04A9" w14:textId="40945E2D" w:rsidR="00E9495C" w:rsidRDefault="00E9495C" w:rsidP="00E9495C">
      <w:pPr>
        <w:spacing w:after="0"/>
        <w:rPr>
          <w:rFonts w:ascii="Century Gothic" w:hAnsi="Century Gothic"/>
          <w:sz w:val="22"/>
        </w:rPr>
      </w:pPr>
      <w:r>
        <w:tab/>
      </w:r>
      <w:r>
        <w:tab/>
      </w:r>
      <w:r>
        <w:tab/>
      </w:r>
      <w:r>
        <w:tab/>
      </w:r>
      <w:r>
        <w:rPr>
          <w:rFonts w:ascii="Century Gothic" w:hAnsi="Century Gothic"/>
          <w:sz w:val="22"/>
        </w:rPr>
        <w:t xml:space="preserve">Ref: </w:t>
      </w:r>
      <w:r w:rsidR="00B877FD">
        <w:rPr>
          <w:rFonts w:ascii="Century Gothic" w:hAnsi="Century Gothic"/>
          <w:sz w:val="22"/>
        </w:rPr>
        <w:t>A Gangel/av/Noik</w:t>
      </w:r>
    </w:p>
    <w:p w14:paraId="16EDA8E9" w14:textId="62661BAD" w:rsidR="00B877FD" w:rsidRDefault="00B877FD" w:rsidP="00E9495C">
      <w:pPr>
        <w:spacing w:after="0"/>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hyperlink r:id="rId12" w:history="1">
        <w:r w:rsidRPr="00EF0A92">
          <w:rPr>
            <w:rStyle w:val="Hyperlink"/>
            <w:sz w:val="22"/>
          </w:rPr>
          <w:t>amorette@bdk.co.za</w:t>
        </w:r>
      </w:hyperlink>
    </w:p>
    <w:p w14:paraId="6FC26129" w14:textId="13D3B6EF" w:rsidR="00E9495C" w:rsidRDefault="00E9495C" w:rsidP="00E9495C">
      <w:pPr>
        <w:spacing w:after="0"/>
      </w:pPr>
      <w:r>
        <w:t xml:space="preserve">FOR THE </w:t>
      </w:r>
      <w:r w:rsidR="00B877FD">
        <w:t>1</w:t>
      </w:r>
      <w:r w:rsidR="00B877FD" w:rsidRPr="00B877FD">
        <w:rPr>
          <w:vertAlign w:val="superscript"/>
        </w:rPr>
        <w:t>ST</w:t>
      </w:r>
      <w:r w:rsidR="00B877FD">
        <w:t xml:space="preserve"> </w:t>
      </w:r>
      <w:r>
        <w:t>RESPONDENT:</w:t>
      </w:r>
      <w:r w:rsidR="00B877FD">
        <w:tab/>
      </w:r>
      <w:r>
        <w:t>Adv T</w:t>
      </w:r>
      <w:r w:rsidR="00B877FD">
        <w:t xml:space="preserve"> </w:t>
      </w:r>
      <w:r>
        <w:t>M</w:t>
      </w:r>
      <w:r w:rsidR="00B877FD">
        <w:t>undell SC</w:t>
      </w:r>
    </w:p>
    <w:p w14:paraId="0F16427B" w14:textId="5817B3D5" w:rsidR="00E9495C" w:rsidRDefault="00E9495C" w:rsidP="00E9495C">
      <w:pPr>
        <w:spacing w:after="0"/>
      </w:pPr>
      <w:r>
        <w:t>INSTRUCTED BY:</w:t>
      </w:r>
      <w:r>
        <w:tab/>
      </w:r>
      <w:r>
        <w:tab/>
      </w:r>
      <w:r w:rsidR="00B877FD">
        <w:t xml:space="preserve">Hector North </w:t>
      </w:r>
      <w:r>
        <w:t xml:space="preserve">Inc </w:t>
      </w:r>
    </w:p>
    <w:p w14:paraId="64012167" w14:textId="5F4111DA" w:rsidR="00E9495C" w:rsidRDefault="00E9495C" w:rsidP="00E9495C">
      <w:pPr>
        <w:spacing w:after="0"/>
      </w:pPr>
      <w:r>
        <w:tab/>
      </w:r>
      <w:r>
        <w:tab/>
      </w:r>
      <w:r>
        <w:tab/>
      </w:r>
      <w:r>
        <w:tab/>
        <w:t>Ref: Mr M</w:t>
      </w:r>
      <w:r w:rsidR="00B877FD">
        <w:t>P North/LM/M822</w:t>
      </w:r>
    </w:p>
    <w:p w14:paraId="1A6B5984" w14:textId="790E9A21" w:rsidR="00E9495C" w:rsidRDefault="00E9495C" w:rsidP="00E9495C">
      <w:pPr>
        <w:spacing w:after="0"/>
      </w:pPr>
      <w:r>
        <w:tab/>
      </w:r>
      <w:r>
        <w:tab/>
      </w:r>
      <w:r>
        <w:tab/>
      </w:r>
      <w:r>
        <w:tab/>
      </w:r>
      <w:hyperlink r:id="rId13" w:history="1">
        <w:r w:rsidR="00B877FD" w:rsidRPr="00EF0A92">
          <w:rPr>
            <w:rStyle w:val="Hyperlink"/>
            <w:rFonts w:ascii="Arial" w:hAnsi="Arial"/>
            <w:sz w:val="20"/>
          </w:rPr>
          <w:t>mpn@hydeparklaw.co.za</w:t>
        </w:r>
      </w:hyperlink>
    </w:p>
    <w:p w14:paraId="366990F0" w14:textId="77777777" w:rsidR="00B877FD" w:rsidRDefault="00B877FD" w:rsidP="00E9495C">
      <w:pPr>
        <w:spacing w:after="0"/>
      </w:pPr>
    </w:p>
    <w:p w14:paraId="2355E26A" w14:textId="77777777" w:rsidR="00E9495C" w:rsidRDefault="00E9495C" w:rsidP="00E9495C">
      <w:pPr>
        <w:spacing w:after="0"/>
      </w:pPr>
    </w:p>
    <w:p w14:paraId="30DBBE99" w14:textId="77777777" w:rsidR="00E9495C" w:rsidRDefault="00E9495C" w:rsidP="00E9495C">
      <w:pPr>
        <w:spacing w:after="0"/>
        <w:rPr>
          <w:sz w:val="24"/>
          <w:szCs w:val="24"/>
        </w:rPr>
      </w:pPr>
    </w:p>
    <w:p w14:paraId="0470501A" w14:textId="77777777" w:rsidR="00E9495C" w:rsidRDefault="00E9495C" w:rsidP="00A73AA1">
      <w:pPr>
        <w:pStyle w:val="NormalWeb"/>
        <w:shd w:val="clear" w:color="auto" w:fill="FFFFFF"/>
        <w:spacing w:before="0" w:beforeAutospacing="0" w:after="0" w:afterAutospacing="0" w:line="360" w:lineRule="auto"/>
        <w:jc w:val="both"/>
        <w:rPr>
          <w:rFonts w:ascii="Arial" w:hAnsi="Arial" w:cs="Arial"/>
          <w:color w:val="242121"/>
          <w:shd w:val="clear" w:color="auto" w:fill="FFFFFF"/>
        </w:rPr>
      </w:pPr>
    </w:p>
    <w:sectPr w:rsidR="00E9495C" w:rsidSect="00E9495C">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F660" w14:textId="77777777" w:rsidR="005755DC" w:rsidRDefault="005755DC">
      <w:pPr>
        <w:spacing w:after="0" w:line="240" w:lineRule="auto"/>
      </w:pPr>
      <w:r>
        <w:separator/>
      </w:r>
    </w:p>
  </w:endnote>
  <w:endnote w:type="continuationSeparator" w:id="0">
    <w:p w14:paraId="4B76929C" w14:textId="77777777" w:rsidR="005755DC" w:rsidRDefault="0057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EE10" w14:textId="77777777" w:rsidR="00B877FD" w:rsidRDefault="00B877FD">
    <w:pPr>
      <w:pStyle w:val="Footer"/>
    </w:pPr>
  </w:p>
  <w:p w14:paraId="3DF3C96F" w14:textId="77777777" w:rsidR="00B877FD" w:rsidRDefault="00B877FD"/>
  <w:p w14:paraId="4C837733" w14:textId="77777777" w:rsidR="00B877FD" w:rsidRDefault="00B877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E674" w14:textId="1AC0E56C" w:rsidR="00B877FD" w:rsidRDefault="00B877FD" w:rsidP="00FC23BF">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0CBA" w14:textId="77777777" w:rsidR="00B877FD" w:rsidRDefault="00B877FD"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C78E" w14:textId="77777777" w:rsidR="005755DC" w:rsidRDefault="005755DC">
      <w:pPr>
        <w:spacing w:after="0" w:line="240" w:lineRule="auto"/>
      </w:pPr>
      <w:r>
        <w:separator/>
      </w:r>
    </w:p>
  </w:footnote>
  <w:footnote w:type="continuationSeparator" w:id="0">
    <w:p w14:paraId="6F021360" w14:textId="77777777" w:rsidR="005755DC" w:rsidRDefault="005755DC">
      <w:pPr>
        <w:spacing w:after="0" w:line="240" w:lineRule="auto"/>
      </w:pPr>
      <w:r>
        <w:continuationSeparator/>
      </w:r>
    </w:p>
  </w:footnote>
  <w:footnote w:id="1">
    <w:p w14:paraId="44B50A96" w14:textId="0AEE54A0" w:rsidR="00B877FD" w:rsidRPr="002820BE" w:rsidRDefault="00B877FD">
      <w:pPr>
        <w:pStyle w:val="FootnoteText"/>
        <w:rPr>
          <w:sz w:val="20"/>
          <w:lang w:val="en-ZA"/>
        </w:rPr>
      </w:pPr>
      <w:r w:rsidRPr="002820BE">
        <w:rPr>
          <w:rStyle w:val="FootnoteReference"/>
          <w:rFonts w:ascii="Arial" w:hAnsi="Arial"/>
          <w:sz w:val="20"/>
        </w:rPr>
        <w:footnoteRef/>
      </w:r>
      <w:r w:rsidRPr="002820BE">
        <w:rPr>
          <w:sz w:val="20"/>
        </w:rPr>
        <w:t xml:space="preserve"> </w:t>
      </w:r>
      <w:r w:rsidRPr="00D60C2F">
        <w:rPr>
          <w:i/>
          <w:iCs/>
          <w:color w:val="242121"/>
          <w:sz w:val="20"/>
          <w:shd w:val="clear" w:color="auto" w:fill="FFFFFF"/>
          <w:lang w:val="fr-FR"/>
        </w:rPr>
        <w:t>Pheko v Ekurhuleni Metropolitan Municipality</w:t>
      </w:r>
      <w:r w:rsidRPr="00D60C2F">
        <w:rPr>
          <w:iCs/>
          <w:color w:val="242121"/>
          <w:sz w:val="20"/>
          <w:shd w:val="clear" w:color="auto" w:fill="FFFFFF"/>
          <w:lang w:val="fr-FR"/>
        </w:rPr>
        <w:t xml:space="preserve"> (No 2)</w:t>
      </w:r>
      <w:r w:rsidRPr="00D60C2F">
        <w:rPr>
          <w:i/>
          <w:iCs/>
          <w:color w:val="242121"/>
          <w:sz w:val="20"/>
          <w:shd w:val="clear" w:color="auto" w:fill="FFFFFF"/>
          <w:lang w:val="fr-FR"/>
        </w:rPr>
        <w:t xml:space="preserve"> </w:t>
      </w:r>
      <w:r w:rsidRPr="00D60C2F">
        <w:rPr>
          <w:iCs/>
          <w:color w:val="242121"/>
          <w:sz w:val="20"/>
          <w:shd w:val="clear" w:color="auto" w:fill="FFFFFF"/>
          <w:lang w:val="fr-FR"/>
        </w:rPr>
        <w:t>[2015] ZACC 10 ;2015 (5) SA 600</w:t>
      </w:r>
      <w:r w:rsidRPr="00D60C2F">
        <w:rPr>
          <w:color w:val="242121"/>
          <w:sz w:val="20"/>
          <w:shd w:val="clear" w:color="auto" w:fill="FFFFFF"/>
          <w:lang w:val="fr-FR"/>
        </w:rPr>
        <w:t>; (CC);2015 (6) BCLR 711 (CC) (</w:t>
      </w:r>
      <w:r w:rsidRPr="00D60C2F">
        <w:rPr>
          <w:i/>
          <w:iCs/>
          <w:color w:val="242121"/>
          <w:sz w:val="20"/>
          <w:shd w:val="clear" w:color="auto" w:fill="FFFFFF"/>
          <w:lang w:val="fr-FR"/>
        </w:rPr>
        <w:t>Pheko II</w:t>
      </w:r>
      <w:r w:rsidRPr="00D60C2F">
        <w:rPr>
          <w:color w:val="242121"/>
          <w:sz w:val="20"/>
          <w:shd w:val="clear" w:color="auto" w:fill="FFFFFF"/>
          <w:lang w:val="fr-FR"/>
        </w:rPr>
        <w:t>)</w:t>
      </w:r>
      <w:r>
        <w:rPr>
          <w:color w:val="242121"/>
          <w:sz w:val="20"/>
          <w:shd w:val="clear" w:color="auto" w:fill="FFFFFF"/>
          <w:lang w:val="fr-FR"/>
        </w:rPr>
        <w:t xml:space="preserve"> para 28.</w:t>
      </w:r>
    </w:p>
  </w:footnote>
  <w:footnote w:id="2">
    <w:p w14:paraId="15EA9186" w14:textId="1053E125" w:rsidR="00B877FD" w:rsidRPr="00613D07" w:rsidRDefault="00B877FD">
      <w:pPr>
        <w:pStyle w:val="FootnoteText"/>
        <w:rPr>
          <w:sz w:val="20"/>
          <w:lang w:val="en-ZA"/>
        </w:rPr>
      </w:pPr>
      <w:r w:rsidRPr="00613D07">
        <w:rPr>
          <w:rStyle w:val="FootnoteReference"/>
          <w:rFonts w:ascii="Arial" w:hAnsi="Arial"/>
          <w:sz w:val="20"/>
        </w:rPr>
        <w:footnoteRef/>
      </w:r>
      <w:r w:rsidRPr="00613D07">
        <w:rPr>
          <w:sz w:val="20"/>
        </w:rPr>
        <w:t xml:space="preserve"> </w:t>
      </w:r>
      <w:r w:rsidRPr="00D60C2F">
        <w:rPr>
          <w:i/>
          <w:iCs/>
          <w:color w:val="242121"/>
          <w:sz w:val="20"/>
          <w:shd w:val="clear" w:color="auto" w:fill="FFFFFF"/>
          <w:lang w:val="fr-FR"/>
        </w:rPr>
        <w:t xml:space="preserve">Pheko </w:t>
      </w:r>
      <w:r>
        <w:rPr>
          <w:i/>
          <w:iCs/>
          <w:color w:val="242121"/>
          <w:sz w:val="20"/>
          <w:shd w:val="clear" w:color="auto" w:fill="FFFFFF"/>
          <w:lang w:val="fr-FR"/>
        </w:rPr>
        <w:t xml:space="preserve">II </w:t>
      </w:r>
      <w:r>
        <w:rPr>
          <w:iCs/>
          <w:color w:val="242121"/>
          <w:sz w:val="20"/>
          <w:shd w:val="clear" w:color="auto" w:fill="FFFFFF"/>
          <w:lang w:val="fr-FR"/>
        </w:rPr>
        <w:t>ibid</w:t>
      </w:r>
      <w:r>
        <w:rPr>
          <w:color w:val="242121"/>
          <w:sz w:val="20"/>
          <w:shd w:val="clear" w:color="auto" w:fill="FFFFFF"/>
          <w:lang w:val="fr-FR"/>
        </w:rPr>
        <w:t xml:space="preserve"> para 34.</w:t>
      </w:r>
    </w:p>
  </w:footnote>
  <w:footnote w:id="3">
    <w:p w14:paraId="1C2B1C79" w14:textId="781ABB82" w:rsidR="00B877FD" w:rsidRPr="00257360" w:rsidRDefault="00B877FD" w:rsidP="00257360">
      <w:pPr>
        <w:shd w:val="clear" w:color="auto" w:fill="FFFFFF"/>
        <w:spacing w:after="0"/>
        <w:outlineLvl w:val="1"/>
        <w:rPr>
          <w:szCs w:val="20"/>
          <w:lang w:val="en-ZA" w:eastAsia="en-ZA"/>
        </w:rPr>
      </w:pPr>
      <w:r w:rsidRPr="00257360">
        <w:rPr>
          <w:rStyle w:val="FootnoteReference"/>
          <w:rFonts w:ascii="Arial" w:hAnsi="Arial"/>
          <w:sz w:val="20"/>
        </w:rPr>
        <w:footnoteRef/>
      </w:r>
      <w:r w:rsidRPr="00257360">
        <w:rPr>
          <w:szCs w:val="20"/>
        </w:rPr>
        <w:t xml:space="preserve"> </w:t>
      </w:r>
      <w:r w:rsidRPr="00257360">
        <w:rPr>
          <w:i/>
          <w:szCs w:val="20"/>
          <w:lang w:val="en-ZA" w:eastAsia="en-ZA"/>
        </w:rPr>
        <w:t>Matjhabeng Local Municipality v Eskom Holdings Limited and Others; Mkhonto and Others v Compensation Solutions (Pty) Limited</w:t>
      </w:r>
      <w:r w:rsidRPr="00257360">
        <w:rPr>
          <w:szCs w:val="20"/>
          <w:lang w:val="en-ZA" w:eastAsia="en-ZA"/>
        </w:rPr>
        <w:t xml:space="preserve"> (CCT 217/15; CCT 99/16) [2017] ZACC 35; 2017 (11) BCLR 1408 (CC); 2018 (1) SA 1 (CC) (26 September 2017)</w:t>
      </w:r>
      <w:r>
        <w:rPr>
          <w:szCs w:val="20"/>
          <w:lang w:val="en-ZA" w:eastAsia="en-ZA"/>
        </w:rPr>
        <w:t>.</w:t>
      </w:r>
    </w:p>
    <w:p w14:paraId="72A16C35" w14:textId="4AFA614A" w:rsidR="00B877FD" w:rsidRPr="00257360" w:rsidRDefault="00B877FD">
      <w:pPr>
        <w:pStyle w:val="FootnoteText"/>
        <w:rPr>
          <w:lang w:val="en-ZA"/>
        </w:rPr>
      </w:pPr>
    </w:p>
  </w:footnote>
  <w:footnote w:id="4">
    <w:p w14:paraId="5663C24E" w14:textId="0EDD137F" w:rsidR="00B877FD" w:rsidRPr="00F91711" w:rsidRDefault="00B877FD">
      <w:pPr>
        <w:pStyle w:val="FootnoteText"/>
        <w:rPr>
          <w:sz w:val="20"/>
          <w:lang w:val="en-ZA"/>
        </w:rPr>
      </w:pPr>
      <w:r w:rsidRPr="00257360">
        <w:rPr>
          <w:rStyle w:val="FootnoteReference"/>
          <w:rFonts w:ascii="Arial" w:hAnsi="Arial"/>
          <w:sz w:val="20"/>
        </w:rPr>
        <w:footnoteRef/>
      </w:r>
      <w:r w:rsidRPr="00257360">
        <w:rPr>
          <w:sz w:val="20"/>
        </w:rPr>
        <w:t xml:space="preserve"> </w:t>
      </w:r>
      <w:r w:rsidRPr="00257360">
        <w:rPr>
          <w:i/>
          <w:sz w:val="20"/>
          <w:lang w:val="en-ZA" w:eastAsia="en-ZA"/>
        </w:rPr>
        <w:t>Matjhabeng Local Municipality</w:t>
      </w:r>
      <w:r>
        <w:rPr>
          <w:i/>
          <w:sz w:val="20"/>
          <w:lang w:val="en-ZA" w:eastAsia="en-ZA"/>
        </w:rPr>
        <w:t xml:space="preserve"> </w:t>
      </w:r>
      <w:r>
        <w:rPr>
          <w:sz w:val="20"/>
          <w:lang w:val="en-ZA" w:eastAsia="en-ZA"/>
        </w:rPr>
        <w:t>ibid para 63.</w:t>
      </w:r>
    </w:p>
  </w:footnote>
  <w:footnote w:id="5">
    <w:p w14:paraId="48213AAB" w14:textId="7F6CFA2F" w:rsidR="00B877FD" w:rsidRPr="00F91711" w:rsidRDefault="00B877FD">
      <w:pPr>
        <w:pStyle w:val="FootnoteText"/>
        <w:rPr>
          <w:sz w:val="20"/>
          <w:lang w:val="en-ZA"/>
        </w:rPr>
      </w:pPr>
      <w:r w:rsidRPr="00F91711">
        <w:rPr>
          <w:rStyle w:val="FootnoteReference"/>
          <w:rFonts w:ascii="Arial" w:hAnsi="Arial"/>
          <w:sz w:val="20"/>
        </w:rPr>
        <w:footnoteRef/>
      </w:r>
      <w:r w:rsidRPr="00F91711">
        <w:rPr>
          <w:sz w:val="20"/>
        </w:rPr>
        <w:t xml:space="preserve"> </w:t>
      </w:r>
      <w:r w:rsidRPr="00257360">
        <w:rPr>
          <w:i/>
          <w:sz w:val="20"/>
          <w:lang w:val="en-ZA" w:eastAsia="en-ZA"/>
        </w:rPr>
        <w:t>Matjhabeng Local Municipality</w:t>
      </w:r>
      <w:r>
        <w:rPr>
          <w:i/>
          <w:sz w:val="20"/>
          <w:lang w:val="en-ZA" w:eastAsia="en-ZA"/>
        </w:rPr>
        <w:t xml:space="preserve"> </w:t>
      </w:r>
      <w:r>
        <w:rPr>
          <w:sz w:val="20"/>
          <w:lang w:val="en-ZA" w:eastAsia="en-ZA"/>
        </w:rPr>
        <w:t>fn3 above paras 63 and 73.</w:t>
      </w:r>
    </w:p>
  </w:footnote>
  <w:footnote w:id="6">
    <w:p w14:paraId="29969033" w14:textId="0DFEA7BA" w:rsidR="00B877FD" w:rsidRPr="009052FE" w:rsidRDefault="00B877FD">
      <w:pPr>
        <w:pStyle w:val="FootnoteText"/>
        <w:rPr>
          <w:sz w:val="20"/>
          <w:lang w:val="en-ZA"/>
        </w:rPr>
      </w:pPr>
      <w:r w:rsidRPr="009052FE">
        <w:rPr>
          <w:rStyle w:val="FootnoteReference"/>
          <w:rFonts w:ascii="Arial" w:hAnsi="Arial"/>
          <w:sz w:val="20"/>
        </w:rPr>
        <w:footnoteRef/>
      </w:r>
      <w:r w:rsidRPr="009052FE">
        <w:rPr>
          <w:sz w:val="20"/>
        </w:rPr>
        <w:t xml:space="preserve"> </w:t>
      </w:r>
      <w:r>
        <w:rPr>
          <w:i/>
          <w:sz w:val="20"/>
        </w:rPr>
        <w:t xml:space="preserve">Consolidated Fish Distributors (Pty) Ltd v Zive and Others </w:t>
      </w:r>
      <w:r>
        <w:rPr>
          <w:sz w:val="20"/>
        </w:rPr>
        <w:t>1968 (2) SA 517 (C).</w:t>
      </w:r>
    </w:p>
  </w:footnote>
  <w:footnote w:id="7">
    <w:p w14:paraId="5740741C" w14:textId="42FAA7F8" w:rsidR="00B877FD" w:rsidRPr="00656547" w:rsidRDefault="00B877FD">
      <w:pPr>
        <w:pStyle w:val="FootnoteText"/>
        <w:rPr>
          <w:sz w:val="20"/>
          <w:lang w:val="en-ZA"/>
        </w:rPr>
      </w:pPr>
      <w:r w:rsidRPr="00656547">
        <w:rPr>
          <w:rStyle w:val="FootnoteReference"/>
          <w:rFonts w:ascii="Arial" w:hAnsi="Arial"/>
          <w:sz w:val="20"/>
        </w:rPr>
        <w:footnoteRef/>
      </w:r>
      <w:r w:rsidRPr="00656547">
        <w:rPr>
          <w:sz w:val="20"/>
        </w:rPr>
        <w:t xml:space="preserve"> </w:t>
      </w:r>
      <w:r>
        <w:rPr>
          <w:i/>
          <w:sz w:val="20"/>
        </w:rPr>
        <w:t xml:space="preserve">Consolidated Fish </w:t>
      </w:r>
      <w:r>
        <w:rPr>
          <w:sz w:val="20"/>
        </w:rPr>
        <w:t>ibid at 522B-E.</w:t>
      </w:r>
    </w:p>
  </w:footnote>
  <w:footnote w:id="8">
    <w:p w14:paraId="7DCF98CC" w14:textId="7B1EEF19" w:rsidR="00B877FD" w:rsidRPr="002F10E4" w:rsidRDefault="00B877FD">
      <w:pPr>
        <w:pStyle w:val="FootnoteText"/>
        <w:rPr>
          <w:sz w:val="20"/>
          <w:lang w:val="en-ZA"/>
        </w:rPr>
      </w:pPr>
      <w:r w:rsidRPr="002F10E4">
        <w:rPr>
          <w:rStyle w:val="FootnoteReference"/>
          <w:rFonts w:ascii="Arial" w:hAnsi="Arial"/>
          <w:sz w:val="20"/>
        </w:rPr>
        <w:footnoteRef/>
      </w:r>
      <w:r w:rsidRPr="002F10E4">
        <w:rPr>
          <w:sz w:val="20"/>
        </w:rPr>
        <w:t xml:space="preserve"> </w:t>
      </w:r>
      <w:r>
        <w:rPr>
          <w:i/>
          <w:sz w:val="20"/>
        </w:rPr>
        <w:t xml:space="preserve">Pheko II </w:t>
      </w:r>
      <w:r>
        <w:rPr>
          <w:sz w:val="20"/>
        </w:rPr>
        <w:t>fn</w:t>
      </w:r>
      <w:r w:rsidR="000C5592">
        <w:rPr>
          <w:sz w:val="20"/>
        </w:rPr>
        <w:t xml:space="preserve">1 </w:t>
      </w:r>
      <w:r w:rsidR="00C454C2">
        <w:rPr>
          <w:sz w:val="20"/>
        </w:rPr>
        <w:t xml:space="preserve">above </w:t>
      </w:r>
      <w:r>
        <w:rPr>
          <w:sz w:val="20"/>
        </w:rPr>
        <w:t>para 42.</w:t>
      </w:r>
    </w:p>
  </w:footnote>
  <w:footnote w:id="9">
    <w:p w14:paraId="2D422336" w14:textId="53C8050E" w:rsidR="00660951" w:rsidRPr="00962162" w:rsidRDefault="00660951">
      <w:pPr>
        <w:pStyle w:val="FootnoteText"/>
        <w:rPr>
          <w:sz w:val="20"/>
          <w:lang w:val="en-ZA"/>
        </w:rPr>
      </w:pPr>
      <w:r w:rsidRPr="00962162">
        <w:rPr>
          <w:rStyle w:val="FootnoteReference"/>
          <w:rFonts w:ascii="Arial" w:hAnsi="Arial"/>
          <w:sz w:val="20"/>
        </w:rPr>
        <w:footnoteRef/>
      </w:r>
      <w:r w:rsidRPr="00962162">
        <w:rPr>
          <w:sz w:val="20"/>
        </w:rPr>
        <w:t xml:space="preserve"> </w:t>
      </w:r>
      <w:r w:rsidR="00962162">
        <w:rPr>
          <w:i/>
          <w:sz w:val="20"/>
        </w:rPr>
        <w:t xml:space="preserve">Myers v Abramson </w:t>
      </w:r>
      <w:r w:rsidR="00962162">
        <w:rPr>
          <w:sz w:val="20"/>
        </w:rPr>
        <w:t>1951 (3) SA 438 (C) at 455.</w:t>
      </w:r>
    </w:p>
  </w:footnote>
  <w:footnote w:id="10">
    <w:p w14:paraId="7EA4B639" w14:textId="77777777" w:rsidR="00782AC8" w:rsidRPr="00A73AA1" w:rsidRDefault="00782AC8" w:rsidP="00782AC8">
      <w:pPr>
        <w:pStyle w:val="FootnoteText"/>
        <w:rPr>
          <w:sz w:val="20"/>
          <w:lang w:val="en-ZA"/>
        </w:rPr>
      </w:pPr>
      <w:r w:rsidRPr="00A73AA1">
        <w:rPr>
          <w:rStyle w:val="FootnoteReference"/>
          <w:rFonts w:ascii="Arial" w:hAnsi="Arial"/>
          <w:sz w:val="20"/>
        </w:rPr>
        <w:footnoteRef/>
      </w:r>
      <w:r w:rsidRPr="00A73AA1">
        <w:rPr>
          <w:sz w:val="20"/>
        </w:rPr>
        <w:t xml:space="preserve"> </w:t>
      </w:r>
      <w:r>
        <w:rPr>
          <w:i/>
          <w:sz w:val="20"/>
        </w:rPr>
        <w:t xml:space="preserve">Pheko II </w:t>
      </w:r>
      <w:r>
        <w:rPr>
          <w:sz w:val="20"/>
        </w:rPr>
        <w:t>fn1 above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7B68" w14:textId="77777777" w:rsidR="00B877FD" w:rsidRDefault="00B877FD"/>
  <w:p w14:paraId="52614941" w14:textId="77777777" w:rsidR="00B877FD" w:rsidRDefault="00B877FD"/>
  <w:p w14:paraId="794421D8" w14:textId="77777777" w:rsidR="00B877FD" w:rsidRDefault="00B877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356403"/>
      <w:docPartObj>
        <w:docPartGallery w:val="Page Numbers (Top of Page)"/>
        <w:docPartUnique/>
      </w:docPartObj>
    </w:sdtPr>
    <w:sdtEndPr>
      <w:rPr>
        <w:noProof/>
      </w:rPr>
    </w:sdtEndPr>
    <w:sdtContent>
      <w:p w14:paraId="4E575DD9" w14:textId="512CDAF8" w:rsidR="00B877FD" w:rsidRDefault="00B877FD">
        <w:pPr>
          <w:pStyle w:val="Header"/>
          <w:jc w:val="right"/>
        </w:pPr>
        <w:r>
          <w:fldChar w:fldCharType="begin"/>
        </w:r>
        <w:r>
          <w:instrText xml:space="preserve"> PAGE   \* MERGEFORMAT </w:instrText>
        </w:r>
        <w:r>
          <w:fldChar w:fldCharType="separate"/>
        </w:r>
        <w:r w:rsidR="00F12FD8">
          <w:rPr>
            <w:noProof/>
          </w:rPr>
          <w:t>10</w:t>
        </w:r>
        <w:r>
          <w:rPr>
            <w:noProof/>
          </w:rPr>
          <w:fldChar w:fldCharType="end"/>
        </w:r>
      </w:p>
    </w:sdtContent>
  </w:sdt>
  <w:p w14:paraId="3BD4B835" w14:textId="77777777" w:rsidR="00B877FD" w:rsidRDefault="00B877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9E55" w14:textId="77777777" w:rsidR="00B877FD" w:rsidRDefault="00B877FD" w:rsidP="00384E22">
    <w:pPr>
      <w:pStyle w:val="Header"/>
      <w:jc w:val="left"/>
    </w:pPr>
  </w:p>
  <w:p w14:paraId="1EA6F0CF" w14:textId="77777777" w:rsidR="00B877FD" w:rsidRDefault="00B877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2"/>
  </w:num>
  <w:num w:numId="10">
    <w:abstractNumId w:val="31"/>
  </w:num>
  <w:num w:numId="11">
    <w:abstractNumId w:val="43"/>
  </w:num>
  <w:num w:numId="12">
    <w:abstractNumId w:val="45"/>
  </w:num>
  <w:num w:numId="13">
    <w:abstractNumId w:val="3"/>
  </w:num>
  <w:num w:numId="14">
    <w:abstractNumId w:val="23"/>
  </w:num>
  <w:num w:numId="15">
    <w:abstractNumId w:val="15"/>
  </w:num>
  <w:num w:numId="16">
    <w:abstractNumId w:val="7"/>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9"/>
  </w:num>
  <w:num w:numId="25">
    <w:abstractNumId w:val="34"/>
  </w:num>
  <w:num w:numId="26">
    <w:abstractNumId w:val="42"/>
  </w:num>
  <w:num w:numId="27">
    <w:abstractNumId w:val="49"/>
  </w:num>
  <w:num w:numId="28">
    <w:abstractNumId w:val="8"/>
  </w:num>
  <w:num w:numId="29">
    <w:abstractNumId w:val="20"/>
  </w:num>
  <w:num w:numId="30">
    <w:abstractNumId w:val="26"/>
  </w:num>
  <w:num w:numId="31">
    <w:abstractNumId w:val="35"/>
  </w:num>
  <w:num w:numId="32">
    <w:abstractNumId w:val="10"/>
  </w:num>
  <w:num w:numId="33">
    <w:abstractNumId w:val="36"/>
  </w:num>
  <w:num w:numId="34">
    <w:abstractNumId w:val="44"/>
  </w:num>
  <w:num w:numId="35">
    <w:abstractNumId w:val="30"/>
  </w:num>
  <w:num w:numId="36">
    <w:abstractNumId w:val="18"/>
  </w:num>
  <w:num w:numId="37">
    <w:abstractNumId w:val="38"/>
  </w:num>
  <w:num w:numId="38">
    <w:abstractNumId w:val="48"/>
  </w:num>
  <w:num w:numId="39">
    <w:abstractNumId w:val="37"/>
  </w:num>
  <w:num w:numId="40">
    <w:abstractNumId w:val="27"/>
  </w:num>
  <w:num w:numId="41">
    <w:abstractNumId w:val="40"/>
  </w:num>
  <w:num w:numId="42">
    <w:abstractNumId w:val="12"/>
  </w:num>
  <w:num w:numId="43">
    <w:abstractNumId w:val="16"/>
  </w:num>
  <w:num w:numId="44">
    <w:abstractNumId w:val="14"/>
  </w:num>
  <w:num w:numId="45">
    <w:abstractNumId w:val="47"/>
  </w:num>
  <w:num w:numId="46">
    <w:abstractNumId w:val="0"/>
  </w:num>
  <w:num w:numId="47">
    <w:abstractNumId w:val="28"/>
  </w:num>
  <w:num w:numId="48">
    <w:abstractNumId w:val="39"/>
  </w:num>
  <w:num w:numId="49">
    <w:abstractNumId w:val="17"/>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342488"/>
    <w:rsid w:val="00014825"/>
    <w:rsid w:val="000164AB"/>
    <w:rsid w:val="0002004F"/>
    <w:rsid w:val="0002034F"/>
    <w:rsid w:val="000260A7"/>
    <w:rsid w:val="00034762"/>
    <w:rsid w:val="00044875"/>
    <w:rsid w:val="00045D47"/>
    <w:rsid w:val="0007023D"/>
    <w:rsid w:val="000732EF"/>
    <w:rsid w:val="000733C8"/>
    <w:rsid w:val="00082266"/>
    <w:rsid w:val="00091203"/>
    <w:rsid w:val="0009296D"/>
    <w:rsid w:val="00093F2D"/>
    <w:rsid w:val="000A2E93"/>
    <w:rsid w:val="000B7B32"/>
    <w:rsid w:val="000B7F03"/>
    <w:rsid w:val="000C5592"/>
    <w:rsid w:val="000C7D51"/>
    <w:rsid w:val="000D4460"/>
    <w:rsid w:val="000D6B19"/>
    <w:rsid w:val="000E6988"/>
    <w:rsid w:val="000F0123"/>
    <w:rsid w:val="000F1ED4"/>
    <w:rsid w:val="000F2251"/>
    <w:rsid w:val="000F2FD9"/>
    <w:rsid w:val="000F4535"/>
    <w:rsid w:val="000F4812"/>
    <w:rsid w:val="000F5634"/>
    <w:rsid w:val="00106EF4"/>
    <w:rsid w:val="0011130F"/>
    <w:rsid w:val="00115024"/>
    <w:rsid w:val="00115575"/>
    <w:rsid w:val="00115C15"/>
    <w:rsid w:val="0011777D"/>
    <w:rsid w:val="001177E5"/>
    <w:rsid w:val="001201E5"/>
    <w:rsid w:val="00126263"/>
    <w:rsid w:val="001350D7"/>
    <w:rsid w:val="0013627B"/>
    <w:rsid w:val="001432BC"/>
    <w:rsid w:val="00156532"/>
    <w:rsid w:val="00161A8F"/>
    <w:rsid w:val="0017403A"/>
    <w:rsid w:val="00176D2E"/>
    <w:rsid w:val="00193B2F"/>
    <w:rsid w:val="00197E89"/>
    <w:rsid w:val="001A23C2"/>
    <w:rsid w:val="001A2D31"/>
    <w:rsid w:val="001A3F4B"/>
    <w:rsid w:val="001A4A0F"/>
    <w:rsid w:val="001C062C"/>
    <w:rsid w:val="001C19F9"/>
    <w:rsid w:val="001D01DF"/>
    <w:rsid w:val="001D04B2"/>
    <w:rsid w:val="001E44FC"/>
    <w:rsid w:val="001F330B"/>
    <w:rsid w:val="001F393B"/>
    <w:rsid w:val="00200563"/>
    <w:rsid w:val="0020591D"/>
    <w:rsid w:val="00215121"/>
    <w:rsid w:val="00232234"/>
    <w:rsid w:val="002444C0"/>
    <w:rsid w:val="002540B5"/>
    <w:rsid w:val="0025470B"/>
    <w:rsid w:val="00257360"/>
    <w:rsid w:val="0025746F"/>
    <w:rsid w:val="00265D3B"/>
    <w:rsid w:val="00265D95"/>
    <w:rsid w:val="00267665"/>
    <w:rsid w:val="00277601"/>
    <w:rsid w:val="00280860"/>
    <w:rsid w:val="002820BE"/>
    <w:rsid w:val="00286E21"/>
    <w:rsid w:val="002908B8"/>
    <w:rsid w:val="00296E5E"/>
    <w:rsid w:val="002A0518"/>
    <w:rsid w:val="002A0711"/>
    <w:rsid w:val="002A75D0"/>
    <w:rsid w:val="002B1873"/>
    <w:rsid w:val="002B2553"/>
    <w:rsid w:val="002B27CC"/>
    <w:rsid w:val="002C5551"/>
    <w:rsid w:val="002C59D0"/>
    <w:rsid w:val="002C5A38"/>
    <w:rsid w:val="002C6F84"/>
    <w:rsid w:val="002D27BE"/>
    <w:rsid w:val="002D2E74"/>
    <w:rsid w:val="002D4510"/>
    <w:rsid w:val="002D6473"/>
    <w:rsid w:val="002D7BAD"/>
    <w:rsid w:val="002E02D9"/>
    <w:rsid w:val="002F0B3A"/>
    <w:rsid w:val="002F10E4"/>
    <w:rsid w:val="00300A2C"/>
    <w:rsid w:val="00301D3F"/>
    <w:rsid w:val="00303283"/>
    <w:rsid w:val="00336661"/>
    <w:rsid w:val="00342488"/>
    <w:rsid w:val="00355A00"/>
    <w:rsid w:val="00360A53"/>
    <w:rsid w:val="00361FF0"/>
    <w:rsid w:val="003651A0"/>
    <w:rsid w:val="00370CF7"/>
    <w:rsid w:val="00374C2F"/>
    <w:rsid w:val="00377914"/>
    <w:rsid w:val="00384557"/>
    <w:rsid w:val="00384E22"/>
    <w:rsid w:val="00391D43"/>
    <w:rsid w:val="00394078"/>
    <w:rsid w:val="003A024F"/>
    <w:rsid w:val="003A7FA3"/>
    <w:rsid w:val="003C3503"/>
    <w:rsid w:val="003D0003"/>
    <w:rsid w:val="003D5978"/>
    <w:rsid w:val="003D726C"/>
    <w:rsid w:val="003D7779"/>
    <w:rsid w:val="003F57D5"/>
    <w:rsid w:val="00405888"/>
    <w:rsid w:val="00407115"/>
    <w:rsid w:val="00410D02"/>
    <w:rsid w:val="00411531"/>
    <w:rsid w:val="0041507A"/>
    <w:rsid w:val="00421AAF"/>
    <w:rsid w:val="004336D5"/>
    <w:rsid w:val="0044084D"/>
    <w:rsid w:val="00441CAB"/>
    <w:rsid w:val="00460C85"/>
    <w:rsid w:val="0046216A"/>
    <w:rsid w:val="00467685"/>
    <w:rsid w:val="00467F4C"/>
    <w:rsid w:val="004718D5"/>
    <w:rsid w:val="004909BA"/>
    <w:rsid w:val="00490EBB"/>
    <w:rsid w:val="00494405"/>
    <w:rsid w:val="004A0D0F"/>
    <w:rsid w:val="004B13CA"/>
    <w:rsid w:val="004D047F"/>
    <w:rsid w:val="004D70CA"/>
    <w:rsid w:val="004E3FF1"/>
    <w:rsid w:val="004F2DC4"/>
    <w:rsid w:val="005002E7"/>
    <w:rsid w:val="00501989"/>
    <w:rsid w:val="00504FB0"/>
    <w:rsid w:val="00505883"/>
    <w:rsid w:val="00511C72"/>
    <w:rsid w:val="00515275"/>
    <w:rsid w:val="0051668C"/>
    <w:rsid w:val="005201A7"/>
    <w:rsid w:val="00520D28"/>
    <w:rsid w:val="00520DB7"/>
    <w:rsid w:val="00520E4B"/>
    <w:rsid w:val="00521127"/>
    <w:rsid w:val="00522A33"/>
    <w:rsid w:val="00522EB2"/>
    <w:rsid w:val="005257FC"/>
    <w:rsid w:val="005371DC"/>
    <w:rsid w:val="00542C41"/>
    <w:rsid w:val="0054350D"/>
    <w:rsid w:val="0055073F"/>
    <w:rsid w:val="0055296A"/>
    <w:rsid w:val="00553250"/>
    <w:rsid w:val="00553AAD"/>
    <w:rsid w:val="00557B28"/>
    <w:rsid w:val="00565BEB"/>
    <w:rsid w:val="00570967"/>
    <w:rsid w:val="00574874"/>
    <w:rsid w:val="00575081"/>
    <w:rsid w:val="005755DC"/>
    <w:rsid w:val="00577216"/>
    <w:rsid w:val="00580F35"/>
    <w:rsid w:val="005A10E0"/>
    <w:rsid w:val="005A408C"/>
    <w:rsid w:val="005A4188"/>
    <w:rsid w:val="005A64DB"/>
    <w:rsid w:val="005B6659"/>
    <w:rsid w:val="005C1BDB"/>
    <w:rsid w:val="005C1D1D"/>
    <w:rsid w:val="005E0B5E"/>
    <w:rsid w:val="005E1DE4"/>
    <w:rsid w:val="005F392A"/>
    <w:rsid w:val="005F4CDD"/>
    <w:rsid w:val="00600109"/>
    <w:rsid w:val="00605A82"/>
    <w:rsid w:val="006107E2"/>
    <w:rsid w:val="00613D07"/>
    <w:rsid w:val="006200A3"/>
    <w:rsid w:val="00623505"/>
    <w:rsid w:val="00652544"/>
    <w:rsid w:val="006560CB"/>
    <w:rsid w:val="006561BA"/>
    <w:rsid w:val="00656547"/>
    <w:rsid w:val="00660951"/>
    <w:rsid w:val="00665B0F"/>
    <w:rsid w:val="00666169"/>
    <w:rsid w:val="00667C51"/>
    <w:rsid w:val="006A37D8"/>
    <w:rsid w:val="006B12A8"/>
    <w:rsid w:val="006C15AD"/>
    <w:rsid w:val="006C1F17"/>
    <w:rsid w:val="006C373B"/>
    <w:rsid w:val="006C4FA0"/>
    <w:rsid w:val="006C7406"/>
    <w:rsid w:val="006D08B6"/>
    <w:rsid w:val="006D3FCF"/>
    <w:rsid w:val="006D484A"/>
    <w:rsid w:val="006E1D0D"/>
    <w:rsid w:val="006E36B9"/>
    <w:rsid w:val="006F12AA"/>
    <w:rsid w:val="006F6782"/>
    <w:rsid w:val="007049FC"/>
    <w:rsid w:val="007125D7"/>
    <w:rsid w:val="00716C67"/>
    <w:rsid w:val="007373FB"/>
    <w:rsid w:val="00744A1B"/>
    <w:rsid w:val="00745F15"/>
    <w:rsid w:val="00757B65"/>
    <w:rsid w:val="00763FC5"/>
    <w:rsid w:val="00782AC8"/>
    <w:rsid w:val="007902E3"/>
    <w:rsid w:val="00792F34"/>
    <w:rsid w:val="0079516B"/>
    <w:rsid w:val="007B0C6A"/>
    <w:rsid w:val="007B1849"/>
    <w:rsid w:val="007C09AB"/>
    <w:rsid w:val="007C4D93"/>
    <w:rsid w:val="007C5CF9"/>
    <w:rsid w:val="007C7BA5"/>
    <w:rsid w:val="007D3484"/>
    <w:rsid w:val="007D7DDC"/>
    <w:rsid w:val="007E0AFD"/>
    <w:rsid w:val="007E2208"/>
    <w:rsid w:val="007E239F"/>
    <w:rsid w:val="007E70F3"/>
    <w:rsid w:val="007F10C7"/>
    <w:rsid w:val="007F5AFE"/>
    <w:rsid w:val="00814AF4"/>
    <w:rsid w:val="008245AA"/>
    <w:rsid w:val="00824983"/>
    <w:rsid w:val="00825872"/>
    <w:rsid w:val="00827FFD"/>
    <w:rsid w:val="0083095D"/>
    <w:rsid w:val="008325C2"/>
    <w:rsid w:val="008329B2"/>
    <w:rsid w:val="00835F34"/>
    <w:rsid w:val="00842948"/>
    <w:rsid w:val="00842FB5"/>
    <w:rsid w:val="00847F64"/>
    <w:rsid w:val="0085308A"/>
    <w:rsid w:val="008558BF"/>
    <w:rsid w:val="00856D8C"/>
    <w:rsid w:val="008603E3"/>
    <w:rsid w:val="008672AA"/>
    <w:rsid w:val="008843A3"/>
    <w:rsid w:val="0088552B"/>
    <w:rsid w:val="00891A3D"/>
    <w:rsid w:val="008955A6"/>
    <w:rsid w:val="008A3D4F"/>
    <w:rsid w:val="008B1A86"/>
    <w:rsid w:val="008B4E78"/>
    <w:rsid w:val="008B74AF"/>
    <w:rsid w:val="008C0ADE"/>
    <w:rsid w:val="008C2C9A"/>
    <w:rsid w:val="008C3DBB"/>
    <w:rsid w:val="008D359F"/>
    <w:rsid w:val="008D519D"/>
    <w:rsid w:val="008D6278"/>
    <w:rsid w:val="008E0A4F"/>
    <w:rsid w:val="008E0FEF"/>
    <w:rsid w:val="009052FE"/>
    <w:rsid w:val="0090717C"/>
    <w:rsid w:val="00910069"/>
    <w:rsid w:val="00910BF1"/>
    <w:rsid w:val="00916108"/>
    <w:rsid w:val="0092197D"/>
    <w:rsid w:val="009302C8"/>
    <w:rsid w:val="00943BEF"/>
    <w:rsid w:val="00946EFD"/>
    <w:rsid w:val="009520FF"/>
    <w:rsid w:val="00962162"/>
    <w:rsid w:val="00972559"/>
    <w:rsid w:val="00984118"/>
    <w:rsid w:val="00987891"/>
    <w:rsid w:val="00987B3A"/>
    <w:rsid w:val="00990533"/>
    <w:rsid w:val="00991B25"/>
    <w:rsid w:val="00994AE2"/>
    <w:rsid w:val="009B2153"/>
    <w:rsid w:val="009B5D6F"/>
    <w:rsid w:val="009B7D72"/>
    <w:rsid w:val="009D78AA"/>
    <w:rsid w:val="009E18FE"/>
    <w:rsid w:val="009E6C5E"/>
    <w:rsid w:val="009F011F"/>
    <w:rsid w:val="009F653B"/>
    <w:rsid w:val="009F7BB8"/>
    <w:rsid w:val="00A04BA5"/>
    <w:rsid w:val="00A12477"/>
    <w:rsid w:val="00A21931"/>
    <w:rsid w:val="00A24E52"/>
    <w:rsid w:val="00A41181"/>
    <w:rsid w:val="00A52A9E"/>
    <w:rsid w:val="00A63D25"/>
    <w:rsid w:val="00A73AA1"/>
    <w:rsid w:val="00A776A4"/>
    <w:rsid w:val="00A85D6B"/>
    <w:rsid w:val="00AC3A5F"/>
    <w:rsid w:val="00AD025F"/>
    <w:rsid w:val="00AD1B2B"/>
    <w:rsid w:val="00AD6A33"/>
    <w:rsid w:val="00AD79F8"/>
    <w:rsid w:val="00AE7AAC"/>
    <w:rsid w:val="00AF3A62"/>
    <w:rsid w:val="00AF4CA7"/>
    <w:rsid w:val="00B12AA7"/>
    <w:rsid w:val="00B17906"/>
    <w:rsid w:val="00B20742"/>
    <w:rsid w:val="00B21294"/>
    <w:rsid w:val="00B24C0E"/>
    <w:rsid w:val="00B27924"/>
    <w:rsid w:val="00B33CAC"/>
    <w:rsid w:val="00B35385"/>
    <w:rsid w:val="00B40636"/>
    <w:rsid w:val="00B45C6F"/>
    <w:rsid w:val="00B505D9"/>
    <w:rsid w:val="00B52E30"/>
    <w:rsid w:val="00B57FE6"/>
    <w:rsid w:val="00B71086"/>
    <w:rsid w:val="00B74C17"/>
    <w:rsid w:val="00B8522B"/>
    <w:rsid w:val="00B85415"/>
    <w:rsid w:val="00B86134"/>
    <w:rsid w:val="00B8718D"/>
    <w:rsid w:val="00B877FD"/>
    <w:rsid w:val="00B9018F"/>
    <w:rsid w:val="00B9412B"/>
    <w:rsid w:val="00B97A9A"/>
    <w:rsid w:val="00BA4C80"/>
    <w:rsid w:val="00BB25E6"/>
    <w:rsid w:val="00BC3405"/>
    <w:rsid w:val="00BC5FE7"/>
    <w:rsid w:val="00BC6A0E"/>
    <w:rsid w:val="00BE4F6D"/>
    <w:rsid w:val="00BE5157"/>
    <w:rsid w:val="00BE68F6"/>
    <w:rsid w:val="00BF2031"/>
    <w:rsid w:val="00BF7C21"/>
    <w:rsid w:val="00C11405"/>
    <w:rsid w:val="00C13BF6"/>
    <w:rsid w:val="00C15393"/>
    <w:rsid w:val="00C1768E"/>
    <w:rsid w:val="00C2723C"/>
    <w:rsid w:val="00C371BF"/>
    <w:rsid w:val="00C37A55"/>
    <w:rsid w:val="00C417C7"/>
    <w:rsid w:val="00C426F1"/>
    <w:rsid w:val="00C454C2"/>
    <w:rsid w:val="00C5299E"/>
    <w:rsid w:val="00C52D6A"/>
    <w:rsid w:val="00C81C41"/>
    <w:rsid w:val="00C832AF"/>
    <w:rsid w:val="00C953B0"/>
    <w:rsid w:val="00C9605F"/>
    <w:rsid w:val="00C97AEB"/>
    <w:rsid w:val="00CA2941"/>
    <w:rsid w:val="00CA2E1E"/>
    <w:rsid w:val="00CA6CAF"/>
    <w:rsid w:val="00CB45A6"/>
    <w:rsid w:val="00CC7079"/>
    <w:rsid w:val="00CE0FA9"/>
    <w:rsid w:val="00CE1C4B"/>
    <w:rsid w:val="00CE693A"/>
    <w:rsid w:val="00CE6CEE"/>
    <w:rsid w:val="00CF0CEF"/>
    <w:rsid w:val="00CF2339"/>
    <w:rsid w:val="00CF3001"/>
    <w:rsid w:val="00CF4C80"/>
    <w:rsid w:val="00D0268D"/>
    <w:rsid w:val="00D07741"/>
    <w:rsid w:val="00D14D64"/>
    <w:rsid w:val="00D158AD"/>
    <w:rsid w:val="00D168B8"/>
    <w:rsid w:val="00D34620"/>
    <w:rsid w:val="00D41425"/>
    <w:rsid w:val="00D47B52"/>
    <w:rsid w:val="00D523AE"/>
    <w:rsid w:val="00D52B9F"/>
    <w:rsid w:val="00D6090B"/>
    <w:rsid w:val="00D61B0A"/>
    <w:rsid w:val="00D62B3D"/>
    <w:rsid w:val="00D63D36"/>
    <w:rsid w:val="00D7569D"/>
    <w:rsid w:val="00D810ED"/>
    <w:rsid w:val="00D828CD"/>
    <w:rsid w:val="00D84A15"/>
    <w:rsid w:val="00D87DF2"/>
    <w:rsid w:val="00D9014F"/>
    <w:rsid w:val="00DA7D73"/>
    <w:rsid w:val="00DB4177"/>
    <w:rsid w:val="00DC12F3"/>
    <w:rsid w:val="00DC3BD8"/>
    <w:rsid w:val="00DC6219"/>
    <w:rsid w:val="00DE2370"/>
    <w:rsid w:val="00DE70F1"/>
    <w:rsid w:val="00DF0EDF"/>
    <w:rsid w:val="00DF2CEC"/>
    <w:rsid w:val="00DF545E"/>
    <w:rsid w:val="00DF5532"/>
    <w:rsid w:val="00E05567"/>
    <w:rsid w:val="00E07A4C"/>
    <w:rsid w:val="00E11554"/>
    <w:rsid w:val="00E20A1E"/>
    <w:rsid w:val="00E31D77"/>
    <w:rsid w:val="00E562D1"/>
    <w:rsid w:val="00E63C79"/>
    <w:rsid w:val="00E64B70"/>
    <w:rsid w:val="00E66F1F"/>
    <w:rsid w:val="00E76D05"/>
    <w:rsid w:val="00E8099B"/>
    <w:rsid w:val="00E80A52"/>
    <w:rsid w:val="00E81004"/>
    <w:rsid w:val="00E82F6E"/>
    <w:rsid w:val="00E9495C"/>
    <w:rsid w:val="00E95F62"/>
    <w:rsid w:val="00EC665F"/>
    <w:rsid w:val="00ED2C3C"/>
    <w:rsid w:val="00EE692D"/>
    <w:rsid w:val="00EF1EDF"/>
    <w:rsid w:val="00EF3271"/>
    <w:rsid w:val="00F000E0"/>
    <w:rsid w:val="00F00166"/>
    <w:rsid w:val="00F016B7"/>
    <w:rsid w:val="00F12FD8"/>
    <w:rsid w:val="00F15561"/>
    <w:rsid w:val="00F22917"/>
    <w:rsid w:val="00F23EE7"/>
    <w:rsid w:val="00F353E0"/>
    <w:rsid w:val="00F37AC4"/>
    <w:rsid w:val="00F40686"/>
    <w:rsid w:val="00F454C4"/>
    <w:rsid w:val="00F46213"/>
    <w:rsid w:val="00F51E8C"/>
    <w:rsid w:val="00F565F2"/>
    <w:rsid w:val="00F63788"/>
    <w:rsid w:val="00F64E3E"/>
    <w:rsid w:val="00F677BB"/>
    <w:rsid w:val="00F71D98"/>
    <w:rsid w:val="00F7674D"/>
    <w:rsid w:val="00F911BB"/>
    <w:rsid w:val="00F91711"/>
    <w:rsid w:val="00F932BA"/>
    <w:rsid w:val="00F95457"/>
    <w:rsid w:val="00FA3CC6"/>
    <w:rsid w:val="00FB029E"/>
    <w:rsid w:val="00FB23BA"/>
    <w:rsid w:val="00FB75B1"/>
    <w:rsid w:val="00FC126E"/>
    <w:rsid w:val="00FC23BF"/>
    <w:rsid w:val="00FC51B7"/>
    <w:rsid w:val="00FD53C3"/>
    <w:rsid w:val="00FF00DF"/>
    <w:rsid w:val="00FF0B38"/>
    <w:rsid w:val="00FF3A1E"/>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BDDBB"/>
  <w15:chartTrackingRefBased/>
  <w15:docId w15:val="{0560C30D-57D8-4662-8068-C517394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Cs w:val="22"/>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rPr>
  </w:style>
  <w:style w:type="paragraph" w:customStyle="1" w:styleId="BowUnnumberedHeading2Blue10">
    <w:name w:val="Bow_Unnumbered Heading 2 Blue 10"/>
    <w:basedOn w:val="Normal"/>
    <w:next w:val="BowIndentAlt"/>
    <w:rsid w:val="00377914"/>
    <w:pPr>
      <w:keepNext/>
    </w:pPr>
    <w:rPr>
      <w:b/>
      <w:color w:val="002854"/>
    </w:rPr>
  </w:style>
  <w:style w:type="paragraph" w:customStyle="1" w:styleId="BowUnnumberedHeading3Copper10">
    <w:name w:val="Bow_Unnumbered Heading 3 Copper 10"/>
    <w:basedOn w:val="Normal"/>
    <w:next w:val="BowIndentAlt"/>
    <w:rsid w:val="00377914"/>
    <w:pPr>
      <w:keepNext/>
    </w:pPr>
    <w:rPr>
      <w:b/>
      <w:color w:val="B5613F"/>
    </w:rPr>
  </w:style>
  <w:style w:type="paragraph" w:customStyle="1" w:styleId="BowUnnumberedHeading4Underline10">
    <w:name w:val="Bow_Unnumbered Heading 4 Underline 10"/>
    <w:basedOn w:val="Normal"/>
    <w:next w:val="BowIndentAlt"/>
    <w:rsid w:val="00377914"/>
    <w:pPr>
      <w:keepNext/>
    </w:pPr>
    <w:rPr>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sz w:val="24"/>
    </w:rPr>
  </w:style>
  <w:style w:type="paragraph" w:customStyle="1" w:styleId="BowHC2AltCtrlNum2">
    <w:name w:val="Bow_HC2 Alt+Ctrl+Num2"/>
    <w:basedOn w:val="BowAnnexList2AltShiftK"/>
    <w:qFormat/>
    <w:rsid w:val="00C832AF"/>
    <w:pPr>
      <w:spacing w:after="0" w:line="480" w:lineRule="auto"/>
    </w:pPr>
    <w:rPr>
      <w:sz w:val="24"/>
    </w:rPr>
  </w:style>
  <w:style w:type="paragraph" w:customStyle="1" w:styleId="BowHC3AltCtrlNum3">
    <w:name w:val="Bow_HC3 Alt+Ctrl+Num3"/>
    <w:basedOn w:val="BowAnnexList3AltShiftJ"/>
    <w:qFormat/>
    <w:rsid w:val="00C832AF"/>
    <w:pPr>
      <w:spacing w:after="0" w:line="480" w:lineRule="auto"/>
    </w:pPr>
    <w:rPr>
      <w:sz w:val="24"/>
    </w:rPr>
  </w:style>
  <w:style w:type="paragraph" w:customStyle="1" w:styleId="BowHC4AltCtrlNum4">
    <w:name w:val="Bow_HC4 Alt+Ctrl+Num4"/>
    <w:basedOn w:val="BowAnnexList4AltShiftH"/>
    <w:qFormat/>
    <w:rsid w:val="00C832AF"/>
    <w:pPr>
      <w:spacing w:after="0" w:line="480" w:lineRule="auto"/>
    </w:pPr>
    <w:rPr>
      <w:sz w:val="24"/>
    </w:rPr>
  </w:style>
  <w:style w:type="paragraph" w:customStyle="1" w:styleId="BowHC5AltCtrlNum5">
    <w:name w:val="Bow_HC5 Alt+Ctrl+Num5"/>
    <w:basedOn w:val="BowAnnexList5AltShiftG"/>
    <w:qFormat/>
    <w:rsid w:val="00C832AF"/>
    <w:pPr>
      <w:spacing w:after="0" w:line="480" w:lineRule="auto"/>
    </w:pPr>
    <w:rPr>
      <w:sz w:val="24"/>
    </w:rPr>
  </w:style>
  <w:style w:type="paragraph" w:customStyle="1" w:styleId="BowHC6AltCtrlNum6">
    <w:name w:val="Bow_HC6 Alt+Ctrl+Num6"/>
    <w:basedOn w:val="BowAnnexList6AltShiftF"/>
    <w:qFormat/>
    <w:rsid w:val="00C832AF"/>
    <w:pPr>
      <w:spacing w:after="0" w:line="480" w:lineRule="auto"/>
    </w:pPr>
    <w:rPr>
      <w:sz w:val="24"/>
    </w:rPr>
  </w:style>
  <w:style w:type="paragraph" w:customStyle="1" w:styleId="BowHC7AltCtrlNum7">
    <w:name w:val="Bow_HC7 Alt+Ctrl+Num7"/>
    <w:basedOn w:val="BowAnnexList7AltShiftD"/>
    <w:qFormat/>
    <w:rsid w:val="00C832AF"/>
    <w:pPr>
      <w:spacing w:after="0" w:line="480" w:lineRule="auto"/>
    </w:pPr>
    <w:rPr>
      <w:sz w:val="24"/>
    </w:rPr>
  </w:style>
  <w:style w:type="paragraph" w:customStyle="1" w:styleId="BowHCNormalCrlNum0">
    <w:name w:val="Bow_HC Normal Crl+Num0"/>
    <w:basedOn w:val="BowIndentAlt"/>
    <w:qFormat/>
    <w:rsid w:val="00652544"/>
    <w:pPr>
      <w:spacing w:after="0" w:line="480" w:lineRule="auto"/>
    </w:pPr>
    <w:rPr>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styleId="NormalWeb">
    <w:name w:val="Normal (Web)"/>
    <w:basedOn w:val="Normal"/>
    <w:uiPriority w:val="99"/>
    <w:unhideWhenUsed/>
    <w:rsid w:val="00B9412B"/>
    <w:pPr>
      <w:spacing w:before="100" w:beforeAutospacing="1" w:after="100" w:afterAutospacing="1" w:line="240" w:lineRule="auto"/>
      <w:jc w:val="left"/>
    </w:pPr>
    <w:rPr>
      <w:rFonts w:ascii="Times New Roman" w:hAnsi="Times New Roman" w:cs="Times New Roman"/>
      <w:sz w:val="24"/>
      <w:szCs w:val="24"/>
      <w:lang w:val="en-ZA" w:eastAsia="en-ZA"/>
    </w:rPr>
  </w:style>
  <w:style w:type="paragraph" w:customStyle="1" w:styleId="LegalAnnexure">
    <w:name w:val="Legal_Annexure"/>
    <w:basedOn w:val="Normal"/>
    <w:next w:val="Normal"/>
    <w:semiHidden/>
    <w:rsid w:val="00E9495C"/>
    <w:pPr>
      <w:keepNext/>
      <w:suppressAutoHyphens/>
      <w:spacing w:after="360" w:line="480" w:lineRule="auto"/>
      <w:jc w:val="right"/>
    </w:pPr>
    <w:rPr>
      <w:rFonts w:cs="Times New Roman"/>
      <w:b/>
      <w:caps/>
      <w:sz w:val="24"/>
      <w:szCs w:val="24"/>
      <w:lang w:val="en-GB" w:eastAsia="en-GB"/>
    </w:rPr>
  </w:style>
  <w:style w:type="paragraph" w:customStyle="1" w:styleId="LegalTitle">
    <w:name w:val="Legal_Title"/>
    <w:basedOn w:val="Normal"/>
    <w:next w:val="Normal"/>
    <w:semiHidden/>
    <w:rsid w:val="00E9495C"/>
    <w:pPr>
      <w:keepNext/>
      <w:suppressAutoHyphens/>
      <w:spacing w:after="360" w:line="480" w:lineRule="auto"/>
      <w:jc w:val="center"/>
    </w:pPr>
    <w:rPr>
      <w:rFonts w:cs="Times New Roman"/>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1587">
      <w:bodyDiv w:val="1"/>
      <w:marLeft w:val="0"/>
      <w:marRight w:val="0"/>
      <w:marTop w:val="0"/>
      <w:marBottom w:val="0"/>
      <w:divBdr>
        <w:top w:val="none" w:sz="0" w:space="0" w:color="auto"/>
        <w:left w:val="none" w:sz="0" w:space="0" w:color="auto"/>
        <w:bottom w:val="none" w:sz="0" w:space="0" w:color="auto"/>
        <w:right w:val="none" w:sz="0" w:space="0" w:color="auto"/>
      </w:divBdr>
    </w:div>
    <w:div w:id="201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n@hydeparklaw.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morette@bdk.co.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2F76-A1B4-4705-913A-34B235CAD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97FB-1EEC-480D-BAE2-512AD024CE3B}">
  <ds:schemaRefs>
    <ds:schemaRef ds:uri="http://schemas.microsoft.com/sharepoint/v3/contenttype/forms"/>
  </ds:schemaRefs>
</ds:datastoreItem>
</file>

<file path=customXml/itemProps3.xml><?xml version="1.0" encoding="utf-8"?>
<ds:datastoreItem xmlns:ds="http://schemas.openxmlformats.org/officeDocument/2006/customXml" ds:itemID="{2389363C-FA99-4EFF-B952-6D62A91A8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8F9E5-31B0-403B-B3CA-1294CF68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Lazarus Rakgwale</cp:lastModifiedBy>
  <cp:revision>2</cp:revision>
  <cp:lastPrinted>2016-09-28T10:33:00Z</cp:lastPrinted>
  <dcterms:created xsi:type="dcterms:W3CDTF">2022-11-09T09:54:00Z</dcterms:created>
  <dcterms:modified xsi:type="dcterms:W3CDTF">2022-11-09T09:54:00Z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