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F3" w:rsidRPr="00DB2A06" w:rsidRDefault="002A43F3" w:rsidP="002A43F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2A43F3" w:rsidRDefault="002A43F3" w:rsidP="00210EA7">
      <w:pPr>
        <w:pStyle w:val="LegalTitle"/>
        <w:spacing w:after="0" w:line="360" w:lineRule="auto"/>
        <w:rPr>
          <w:u w:val="single"/>
        </w:rPr>
      </w:pPr>
    </w:p>
    <w:p w:rsidR="002A43F3" w:rsidRDefault="002A43F3" w:rsidP="00210EA7">
      <w:pPr>
        <w:pStyle w:val="LegalTitle"/>
        <w:spacing w:after="0" w:line="360" w:lineRule="auto"/>
        <w:rPr>
          <w:u w:val="single"/>
        </w:rPr>
      </w:pPr>
    </w:p>
    <w:p w:rsidR="00665349" w:rsidRPr="00520591" w:rsidRDefault="00665349" w:rsidP="00210EA7">
      <w:pPr>
        <w:pStyle w:val="LegalTitle"/>
        <w:spacing w:after="0" w:line="360" w:lineRule="auto"/>
        <w:rPr>
          <w:u w:val="single"/>
        </w:rPr>
      </w:pPr>
      <w:r>
        <w:rPr>
          <w:u w:val="single"/>
        </w:rPr>
        <w:t>REPUBLIC</w:t>
      </w:r>
      <w:r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US" w:eastAsia="en-US"/>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7D1AD1" w:rsidRPr="00F424E1" w:rsidRDefault="00BC0A2A" w:rsidP="00BC0A2A">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7D1AD1" w:rsidRPr="00F424E1">
                              <w:rPr>
                                <w:rFonts w:ascii="Century Gothic" w:hAnsi="Century Gothic"/>
                                <w:sz w:val="18"/>
                                <w:szCs w:val="18"/>
                              </w:rPr>
                              <w:t xml:space="preserve">REPORTABLE: </w:t>
                            </w:r>
                            <w:r w:rsidR="007D1AD1">
                              <w:rPr>
                                <w:rFonts w:ascii="Century Gothic" w:hAnsi="Century Gothic"/>
                                <w:b/>
                                <w:i/>
                                <w:sz w:val="18"/>
                                <w:szCs w:val="18"/>
                              </w:rPr>
                              <w:t>NO</w:t>
                            </w:r>
                          </w:p>
                          <w:p w:rsidR="007D1AD1" w:rsidRPr="00F424E1" w:rsidRDefault="00BC0A2A" w:rsidP="00BC0A2A">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7D1AD1" w:rsidRPr="00F424E1">
                              <w:rPr>
                                <w:rFonts w:ascii="Century Gothic" w:hAnsi="Century Gothic"/>
                                <w:sz w:val="18"/>
                                <w:szCs w:val="18"/>
                              </w:rPr>
                              <w:t xml:space="preserve">OF INTEREST TO OTHER JUDGES: </w:t>
                            </w:r>
                            <w:r w:rsidR="007D1AD1">
                              <w:rPr>
                                <w:rFonts w:ascii="Century Gothic" w:hAnsi="Century Gothic"/>
                                <w:b/>
                                <w:i/>
                                <w:sz w:val="18"/>
                                <w:szCs w:val="18"/>
                              </w:rPr>
                              <w:t>NO</w:t>
                            </w:r>
                          </w:p>
                          <w:p w:rsidR="007D1AD1" w:rsidRPr="00F424E1" w:rsidRDefault="00BC0A2A" w:rsidP="00BC0A2A">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7D1AD1" w:rsidRPr="00F424E1">
                              <w:rPr>
                                <w:rFonts w:ascii="Century Gothic" w:hAnsi="Century Gothic"/>
                                <w:sz w:val="18"/>
                                <w:szCs w:val="18"/>
                              </w:rPr>
                              <w:t xml:space="preserve">REVISED: </w:t>
                            </w:r>
                            <w:r w:rsidR="007D1AD1" w:rsidRPr="00F424E1">
                              <w:rPr>
                                <w:rFonts w:ascii="Century Gothic" w:hAnsi="Century Gothic"/>
                                <w:b/>
                                <w:i/>
                                <w:sz w:val="18"/>
                                <w:szCs w:val="18"/>
                              </w:rPr>
                              <w:t>Yes</w:t>
                            </w:r>
                            <w:r w:rsidR="007D1AD1"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283FB3">
                              <w:rPr>
                                <w:rFonts w:ascii="Century Gothic" w:hAnsi="Century Gothic"/>
                                <w:b/>
                                <w:i/>
                                <w:sz w:val="18"/>
                                <w:szCs w:val="18"/>
                                <w:u w:val="single"/>
                              </w:rPr>
                              <w:t>14</w:t>
                            </w:r>
                            <w:r w:rsidR="00283FB3" w:rsidRPr="00283FB3">
                              <w:rPr>
                                <w:rFonts w:ascii="Century Gothic" w:hAnsi="Century Gothic"/>
                                <w:b/>
                                <w:i/>
                                <w:sz w:val="18"/>
                                <w:szCs w:val="18"/>
                                <w:u w:val="single"/>
                                <w:vertAlign w:val="superscript"/>
                              </w:rPr>
                              <w:t>th</w:t>
                            </w:r>
                            <w:r w:rsidR="00283FB3">
                              <w:rPr>
                                <w:rFonts w:ascii="Century Gothic" w:hAnsi="Century Gothic"/>
                                <w:b/>
                                <w:i/>
                                <w:sz w:val="18"/>
                                <w:szCs w:val="18"/>
                                <w:u w:val="single"/>
                              </w:rPr>
                              <w:t xml:space="preserve"> October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_______</w:t>
                            </w:r>
                            <w:r>
                              <w:rPr>
                                <w:rFonts w:ascii="Century Gothic" w:hAnsi="Century Gothic"/>
                                <w:sz w:val="18"/>
                                <w:szCs w:val="18"/>
                              </w:rPr>
                              <w:t>_____________</w:t>
                            </w:r>
                            <w:r w:rsidRPr="00F424E1">
                              <w:rPr>
                                <w:rFonts w:ascii="Century Gothic" w:hAnsi="Century Gothic"/>
                                <w:sz w:val="18"/>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7D1AD1" w:rsidRPr="00F424E1" w:rsidRDefault="00BC0A2A" w:rsidP="00BC0A2A">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7D1AD1" w:rsidRPr="00F424E1">
                        <w:rPr>
                          <w:rFonts w:ascii="Century Gothic" w:hAnsi="Century Gothic"/>
                          <w:sz w:val="18"/>
                          <w:szCs w:val="18"/>
                        </w:rPr>
                        <w:t xml:space="preserve">REPORTABLE: </w:t>
                      </w:r>
                      <w:r w:rsidR="007D1AD1">
                        <w:rPr>
                          <w:rFonts w:ascii="Century Gothic" w:hAnsi="Century Gothic"/>
                          <w:b/>
                          <w:i/>
                          <w:sz w:val="18"/>
                          <w:szCs w:val="18"/>
                        </w:rPr>
                        <w:t>NO</w:t>
                      </w:r>
                    </w:p>
                    <w:p w:rsidR="007D1AD1" w:rsidRPr="00F424E1" w:rsidRDefault="00BC0A2A" w:rsidP="00BC0A2A">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7D1AD1" w:rsidRPr="00F424E1">
                        <w:rPr>
                          <w:rFonts w:ascii="Century Gothic" w:hAnsi="Century Gothic"/>
                          <w:sz w:val="18"/>
                          <w:szCs w:val="18"/>
                        </w:rPr>
                        <w:t xml:space="preserve">OF INTEREST TO OTHER JUDGES: </w:t>
                      </w:r>
                      <w:r w:rsidR="007D1AD1">
                        <w:rPr>
                          <w:rFonts w:ascii="Century Gothic" w:hAnsi="Century Gothic"/>
                          <w:b/>
                          <w:i/>
                          <w:sz w:val="18"/>
                          <w:szCs w:val="18"/>
                        </w:rPr>
                        <w:t>NO</w:t>
                      </w:r>
                    </w:p>
                    <w:p w:rsidR="007D1AD1" w:rsidRPr="00F424E1" w:rsidRDefault="00BC0A2A" w:rsidP="00BC0A2A">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7D1AD1" w:rsidRPr="00F424E1">
                        <w:rPr>
                          <w:rFonts w:ascii="Century Gothic" w:hAnsi="Century Gothic"/>
                          <w:sz w:val="18"/>
                          <w:szCs w:val="18"/>
                        </w:rPr>
                        <w:t xml:space="preserve">REVISED: </w:t>
                      </w:r>
                      <w:r w:rsidR="007D1AD1" w:rsidRPr="00F424E1">
                        <w:rPr>
                          <w:rFonts w:ascii="Century Gothic" w:hAnsi="Century Gothic"/>
                          <w:b/>
                          <w:i/>
                          <w:sz w:val="18"/>
                          <w:szCs w:val="18"/>
                        </w:rPr>
                        <w:t>Yes</w:t>
                      </w:r>
                      <w:r w:rsidR="007D1AD1"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283FB3">
                        <w:rPr>
                          <w:rFonts w:ascii="Century Gothic" w:hAnsi="Century Gothic"/>
                          <w:b/>
                          <w:i/>
                          <w:sz w:val="18"/>
                          <w:szCs w:val="18"/>
                          <w:u w:val="single"/>
                        </w:rPr>
                        <w:t>14</w:t>
                      </w:r>
                      <w:r w:rsidR="00283FB3" w:rsidRPr="00283FB3">
                        <w:rPr>
                          <w:rFonts w:ascii="Century Gothic" w:hAnsi="Century Gothic"/>
                          <w:b/>
                          <w:i/>
                          <w:sz w:val="18"/>
                          <w:szCs w:val="18"/>
                          <w:u w:val="single"/>
                          <w:vertAlign w:val="superscript"/>
                        </w:rPr>
                        <w:t>th</w:t>
                      </w:r>
                      <w:r w:rsidR="00283FB3">
                        <w:rPr>
                          <w:rFonts w:ascii="Century Gothic" w:hAnsi="Century Gothic"/>
                          <w:b/>
                          <w:i/>
                          <w:sz w:val="18"/>
                          <w:szCs w:val="18"/>
                          <w:u w:val="single"/>
                        </w:rPr>
                        <w:t xml:space="preserve"> October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_______</w:t>
                      </w:r>
                      <w:r>
                        <w:rPr>
                          <w:rFonts w:ascii="Century Gothic" w:hAnsi="Century Gothic"/>
                          <w:sz w:val="18"/>
                          <w:szCs w:val="18"/>
                        </w:rPr>
                        <w:t>_____________</w:t>
                      </w:r>
                      <w:r w:rsidRPr="00F424E1">
                        <w:rPr>
                          <w:rFonts w:ascii="Century Gothic" w:hAnsi="Century Gothic"/>
                          <w:sz w:val="18"/>
                          <w:szCs w:val="18"/>
                        </w:rPr>
                        <w:t>______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D025BE">
        <w:rPr>
          <w:b w:val="0"/>
        </w:rPr>
        <w:t>2328</w:t>
      </w:r>
      <w:r w:rsidR="00574C64">
        <w:rPr>
          <w:b w:val="0"/>
        </w:rPr>
        <w:t>/</w:t>
      </w:r>
      <w:r w:rsidR="00D025BE">
        <w:rPr>
          <w:b w:val="0"/>
        </w:rPr>
        <w:t>1993</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283FB3">
        <w:t>14</w:t>
      </w:r>
      <w:r w:rsidR="00283FB3" w:rsidRPr="00283FB3">
        <w:rPr>
          <w:vertAlign w:val="superscript"/>
        </w:rPr>
        <w:t>th</w:t>
      </w:r>
      <w:r w:rsidR="00283FB3">
        <w:t xml:space="preserve"> October</w:t>
      </w:r>
      <w:r w:rsidR="009E63ED">
        <w:t xml:space="preserve"> </w:t>
      </w:r>
      <w:r w:rsidR="00EB6695">
        <w:t>2022</w:t>
      </w:r>
    </w:p>
    <w:p w:rsidR="009314F3" w:rsidRPr="00A84826" w:rsidRDefault="009314F3" w:rsidP="00D025BE">
      <w:pPr>
        <w:pStyle w:val="LegalNormal"/>
        <w:spacing w:after="120" w:line="360" w:lineRule="auto"/>
      </w:pPr>
      <w:r w:rsidRPr="00A84826">
        <w:t>In the matter between:</w:t>
      </w:r>
    </w:p>
    <w:p w:rsidR="0076063C" w:rsidRDefault="002A43F3" w:rsidP="00D025BE">
      <w:pPr>
        <w:pStyle w:val="LegalPlainDef"/>
        <w:spacing w:after="120" w:line="360" w:lineRule="auto"/>
      </w:pPr>
      <w:r>
        <w:rPr>
          <w:b/>
          <w:u w:val="single"/>
        </w:rPr>
        <w:t>M</w:t>
      </w:r>
      <w:r w:rsidR="00665349">
        <w:rPr>
          <w:b/>
        </w:rPr>
        <w:t>,</w:t>
      </w:r>
      <w:r w:rsidR="009E63ED">
        <w:rPr>
          <w:b/>
        </w:rPr>
        <w:t xml:space="preserve"> </w:t>
      </w:r>
      <w:r>
        <w:rPr>
          <w:b/>
        </w:rPr>
        <w:t>P</w:t>
      </w:r>
      <w:r w:rsidR="0076063C">
        <w:rPr>
          <w:b/>
        </w:rPr>
        <w:t xml:space="preserve"> </w:t>
      </w:r>
      <w:r w:rsidR="0076063C">
        <w:rPr>
          <w:b/>
        </w:rPr>
        <w:tab/>
      </w:r>
      <w:r w:rsidR="00CB6A07">
        <w:t>A</w:t>
      </w:r>
      <w:r w:rsidR="001069D0">
        <w:t>pplicant</w:t>
      </w:r>
    </w:p>
    <w:p w:rsidR="009314F3" w:rsidRPr="00A84826" w:rsidRDefault="009314F3" w:rsidP="00D025BE">
      <w:pPr>
        <w:pStyle w:val="LegalNormal"/>
        <w:spacing w:after="120" w:line="360" w:lineRule="auto"/>
      </w:pPr>
      <w:r w:rsidRPr="00A84826">
        <w:t>and</w:t>
      </w:r>
      <w:r w:rsidR="008079AD">
        <w:t xml:space="preserve"> </w:t>
      </w:r>
    </w:p>
    <w:p w:rsidR="00D32377" w:rsidRDefault="002A43F3" w:rsidP="00D025BE">
      <w:pPr>
        <w:pStyle w:val="LegalPlainDef"/>
        <w:spacing w:after="0" w:line="360" w:lineRule="auto"/>
      </w:pPr>
      <w:r>
        <w:rPr>
          <w:b/>
          <w:u w:val="single"/>
        </w:rPr>
        <w:t>B</w:t>
      </w:r>
      <w:r w:rsidR="00D025BE">
        <w:rPr>
          <w:b/>
        </w:rPr>
        <w:t xml:space="preserve"> (</w:t>
      </w:r>
      <w:r w:rsidR="00D025BE" w:rsidRPr="00D025BE">
        <w:rPr>
          <w:b/>
        </w:rPr>
        <w:t>previously</w:t>
      </w:r>
      <w:r w:rsidR="00D025BE">
        <w:rPr>
          <w:b/>
        </w:rPr>
        <w:t xml:space="preserve"> </w:t>
      </w:r>
      <w:r>
        <w:rPr>
          <w:b/>
          <w:u w:val="single"/>
        </w:rPr>
        <w:t>M</w:t>
      </w:r>
      <w:r w:rsidR="00D025BE">
        <w:rPr>
          <w:b/>
        </w:rPr>
        <w:t>)</w:t>
      </w:r>
      <w:r w:rsidR="00CB6A07">
        <w:rPr>
          <w:b/>
        </w:rPr>
        <w:t xml:space="preserve">, </w:t>
      </w:r>
      <w:r>
        <w:rPr>
          <w:b/>
        </w:rPr>
        <w:t>M</w:t>
      </w:r>
      <w:r w:rsidR="00D025BE">
        <w:rPr>
          <w:b/>
        </w:rPr>
        <w:t xml:space="preserve"> </w:t>
      </w:r>
      <w:r w:rsidR="00D025BE">
        <w:rPr>
          <w:b/>
        </w:rPr>
        <w:tab/>
      </w:r>
      <w:r w:rsidR="00D025BE">
        <w:t>First R</w:t>
      </w:r>
      <w:r w:rsidR="00D32377">
        <w:t>espondent</w:t>
      </w:r>
    </w:p>
    <w:p w:rsidR="00D025BE" w:rsidRDefault="00D025BE" w:rsidP="00D025BE">
      <w:pPr>
        <w:pStyle w:val="LegalPlainDef"/>
        <w:spacing w:after="0" w:line="240" w:lineRule="auto"/>
        <w:rPr>
          <w:b/>
        </w:rPr>
      </w:pPr>
      <w:r>
        <w:rPr>
          <w:b/>
        </w:rPr>
        <w:t xml:space="preserve">THE SHERIFF OF THE COURT, </w:t>
      </w:r>
    </w:p>
    <w:p w:rsidR="00D025BE" w:rsidRDefault="00D025BE" w:rsidP="00D025BE">
      <w:pPr>
        <w:pStyle w:val="LegalPlainDef"/>
        <w:spacing w:after="240" w:line="360" w:lineRule="auto"/>
      </w:pPr>
      <w:r>
        <w:rPr>
          <w:b/>
        </w:rPr>
        <w:t xml:space="preserve">RANDBURG SOUTHWEST </w:t>
      </w:r>
      <w:r>
        <w:rPr>
          <w:b/>
        </w:rPr>
        <w:tab/>
      </w:r>
      <w:r>
        <w:t>Second Respondent</w:t>
      </w:r>
    </w:p>
    <w:p w:rsidR="00210EA7" w:rsidRDefault="00210EA7" w:rsidP="003065BD">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283FB3">
        <w:rPr>
          <w:rFonts w:cs="Arial"/>
          <w:lang w:val="en-ZA" w:eastAsia="en-US"/>
        </w:rPr>
        <w:t>14</w:t>
      </w:r>
      <w:r>
        <w:rPr>
          <w:rFonts w:cs="Arial"/>
          <w:lang w:val="en-ZA" w:eastAsia="en-US"/>
        </w:rPr>
        <w:t xml:space="preserve"> </w:t>
      </w:r>
      <w:r w:rsidR="00283FB3">
        <w:rPr>
          <w:rFonts w:cs="Arial"/>
          <w:lang w:val="en-ZA" w:eastAsia="en-US"/>
        </w:rPr>
        <w:t>October</w:t>
      </w:r>
      <w:r w:rsidR="002E09A6">
        <w:rPr>
          <w:rFonts w:cs="Arial"/>
          <w:lang w:val="en-ZA" w:eastAsia="en-US"/>
        </w:rPr>
        <w:t xml:space="preserve"> 2022</w:t>
      </w:r>
      <w:r>
        <w:rPr>
          <w:rFonts w:cs="Arial"/>
          <w:lang w:val="en-ZA" w:eastAsia="en-US"/>
        </w:rPr>
        <w:t xml:space="preserve"> – The ‘virtual hearing’ of this </w:t>
      </w:r>
      <w:r w:rsidR="00CB6A07">
        <w:rPr>
          <w:rFonts w:cs="Arial"/>
          <w:lang w:val="en-ZA" w:eastAsia="en-US"/>
        </w:rPr>
        <w:t xml:space="preserve">opposed </w:t>
      </w:r>
      <w:r>
        <w:rPr>
          <w:rFonts w:cs="Arial"/>
          <w:lang w:val="en-ZA" w:eastAsia="en-US"/>
        </w:rPr>
        <w:t xml:space="preserve">application was conducted as a videoconference on </w:t>
      </w:r>
      <w:r>
        <w:rPr>
          <w:rFonts w:cs="Arial"/>
          <w:i/>
          <w:lang w:val="en-ZA" w:eastAsia="en-US"/>
        </w:rPr>
        <w:t>Microsoft Teams</w:t>
      </w:r>
      <w:r>
        <w:rPr>
          <w:rFonts w:cs="Arial"/>
          <w:lang w:val="en-ZA" w:eastAsia="en-US"/>
        </w:rPr>
        <w:t>.</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283FB3">
        <w:rPr>
          <w:rFonts w:cs="Arial"/>
          <w:lang w:val="en-ZA" w:eastAsia="en-US"/>
        </w:rPr>
        <w:t>14</w:t>
      </w:r>
      <w:r>
        <w:rPr>
          <w:rFonts w:cs="Arial"/>
          <w:lang w:val="en-ZA" w:eastAsia="en-US"/>
        </w:rPr>
        <w:t xml:space="preserve"> </w:t>
      </w:r>
      <w:r w:rsidR="00283FB3">
        <w:rPr>
          <w:rFonts w:cs="Arial"/>
          <w:lang w:val="en-ZA" w:eastAsia="en-US"/>
        </w:rPr>
        <w:t>October</w:t>
      </w:r>
      <w:r w:rsidR="002E09A6">
        <w:rPr>
          <w:rFonts w:cs="Arial"/>
          <w:lang w:val="en-ZA" w:eastAsia="en-US"/>
        </w:rPr>
        <w:t xml:space="preserve">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283FB3">
        <w:rPr>
          <w:rFonts w:cs="Arial"/>
          <w:lang w:val="en-ZA" w:eastAsia="en-US"/>
        </w:rPr>
        <w:t>r hand-down is deemed to be 14</w:t>
      </w:r>
      <w:r w:rsidR="003065BD">
        <w:rPr>
          <w:rFonts w:cs="Arial"/>
          <w:lang w:val="en-ZA" w:eastAsia="en-US"/>
        </w:rPr>
        <w:t>:</w:t>
      </w:r>
      <w:r w:rsidR="00283FB3">
        <w:rPr>
          <w:rFonts w:cs="Arial"/>
          <w:lang w:val="en-ZA" w:eastAsia="en-US"/>
        </w:rPr>
        <w:t>0</w:t>
      </w:r>
      <w:r>
        <w:rPr>
          <w:rFonts w:cs="Arial"/>
          <w:lang w:val="en-ZA" w:eastAsia="en-US"/>
        </w:rPr>
        <w:t>0</w:t>
      </w:r>
      <w:r w:rsidRPr="002C75EB">
        <w:rPr>
          <w:rFonts w:cs="Arial"/>
          <w:lang w:val="en-ZA" w:eastAsia="en-US"/>
        </w:rPr>
        <w:t xml:space="preserve"> on </w:t>
      </w:r>
      <w:r w:rsidR="00283FB3">
        <w:rPr>
          <w:rFonts w:cs="Arial"/>
          <w:lang w:val="en-ZA" w:eastAsia="en-US"/>
        </w:rPr>
        <w:t>14</w:t>
      </w:r>
      <w:r>
        <w:rPr>
          <w:rFonts w:cs="Arial"/>
          <w:lang w:val="en-ZA" w:eastAsia="en-US"/>
        </w:rPr>
        <w:t xml:space="preserve"> </w:t>
      </w:r>
      <w:r w:rsidR="00283FB3">
        <w:rPr>
          <w:rFonts w:cs="Arial"/>
          <w:lang w:val="en-ZA" w:eastAsia="en-US"/>
        </w:rPr>
        <w:t>October</w:t>
      </w:r>
      <w:r w:rsidR="002E09A6">
        <w:rPr>
          <w:rFonts w:cs="Arial"/>
          <w:lang w:val="en-ZA" w:eastAsia="en-US"/>
        </w:rPr>
        <w:t xml:space="preserve"> 2022</w:t>
      </w:r>
      <w:r>
        <w:rPr>
          <w:rFonts w:cs="Arial"/>
          <w:lang w:val="en-ZA" w:eastAsia="en-US"/>
        </w:rPr>
        <w:t>.</w:t>
      </w:r>
    </w:p>
    <w:p w:rsidR="006A54CB" w:rsidRPr="006A54CB" w:rsidRDefault="006A54CB" w:rsidP="006A54CB">
      <w:pPr>
        <w:spacing w:after="240" w:line="360" w:lineRule="auto"/>
        <w:jc w:val="both"/>
        <w:rPr>
          <w:rFonts w:cs="Arial"/>
          <w:bCs/>
          <w:lang w:val="en-ZA" w:eastAsia="en-US"/>
        </w:rPr>
      </w:pPr>
      <w:r w:rsidRPr="006A54CB">
        <w:rPr>
          <w:rFonts w:cs="Arial"/>
          <w:b/>
          <w:bCs/>
          <w:lang w:val="en-ZA" w:eastAsia="en-US"/>
        </w:rPr>
        <w:lastRenderedPageBreak/>
        <w:t>Summary:</w:t>
      </w:r>
      <w:r w:rsidRPr="006A54CB">
        <w:rPr>
          <w:rFonts w:cs="Arial"/>
          <w:bCs/>
          <w:lang w:val="en-ZA" w:eastAsia="en-US"/>
        </w:rPr>
        <w:tab/>
        <w:t xml:space="preserve">Application for leave to appeal </w:t>
      </w:r>
      <w:r w:rsidRPr="006A54CB">
        <w:rPr>
          <w:rFonts w:cs="Arial"/>
          <w:bCs/>
          <w:lang w:val="en-US" w:eastAsia="en-US"/>
        </w:rPr>
        <w:t xml:space="preserve">– </w:t>
      </w:r>
      <w:r w:rsidRPr="006A54CB">
        <w:rPr>
          <w:lang w:val="en-ZA" w:eastAsia="en-US"/>
        </w:rPr>
        <w:t>s 17(1)(a)(i) of the Superior Courts Act 10 of 2013</w:t>
      </w:r>
      <w:r w:rsidRPr="006A54CB">
        <w:rPr>
          <w:rFonts w:cs="Arial"/>
          <w:bCs/>
          <w:lang w:val="en-US" w:eastAsia="en-US"/>
        </w:rPr>
        <w:t xml:space="preserve"> – </w:t>
      </w:r>
      <w:r w:rsidRPr="006A54CB">
        <w:rPr>
          <w:lang w:val="en-ZA" w:eastAsia="en-US"/>
        </w:rPr>
        <w:t>an applicant now faces a higher and a more stringent threshold</w:t>
      </w:r>
      <w:r w:rsidRPr="006A54CB">
        <w:rPr>
          <w:rFonts w:cs="Arial"/>
          <w:bCs/>
          <w:lang w:val="en-US" w:eastAsia="en-US"/>
        </w:rPr>
        <w:t xml:space="preserve"> –</w:t>
      </w:r>
      <w:r w:rsidRPr="006A54CB">
        <w:rPr>
          <w:rFonts w:cs="Arial"/>
          <w:bCs/>
          <w:lang w:val="en-ZA" w:eastAsia="en-US"/>
        </w:rPr>
        <w:t xml:space="preserve"> leave to appeal </w:t>
      </w:r>
      <w:r w:rsidR="00753AE5">
        <w:rPr>
          <w:rFonts w:cs="Arial"/>
          <w:bCs/>
          <w:lang w:val="en-ZA" w:eastAsia="en-US"/>
        </w:rPr>
        <w:t>refused.</w:t>
      </w:r>
    </w:p>
    <w:p w:rsidR="006A54CB" w:rsidRPr="006A54CB" w:rsidRDefault="006A54CB" w:rsidP="006A54CB">
      <w:pPr>
        <w:keepNext/>
        <w:pBdr>
          <w:top w:val="single" w:sz="4" w:space="18" w:color="auto"/>
          <w:bottom w:val="single" w:sz="4" w:space="18" w:color="auto"/>
        </w:pBdr>
        <w:spacing w:after="240"/>
        <w:jc w:val="center"/>
        <w:rPr>
          <w:rFonts w:ascii="Arial Bold" w:hAnsi="Arial Bold"/>
          <w:b/>
        </w:rPr>
      </w:pPr>
      <w:r w:rsidRPr="006A54CB">
        <w:rPr>
          <w:rFonts w:ascii="Arial Bold" w:hAnsi="Arial Bold"/>
          <w:b/>
        </w:rPr>
        <w:t>ORDER</w:t>
      </w:r>
    </w:p>
    <w:p w:rsidR="006A54CB" w:rsidRPr="006A54CB" w:rsidRDefault="00BC0A2A" w:rsidP="00BC0A2A">
      <w:pPr>
        <w:tabs>
          <w:tab w:val="left" w:pos="720"/>
        </w:tabs>
        <w:spacing w:after="240" w:line="360" w:lineRule="auto"/>
        <w:ind w:left="720" w:hanging="720"/>
        <w:jc w:val="both"/>
        <w:outlineLvl w:val="0"/>
        <w:rPr>
          <w:color w:val="000000"/>
          <w:lang w:val="en-ZA"/>
        </w:rPr>
      </w:pPr>
      <w:r w:rsidRPr="006A54CB">
        <w:rPr>
          <w:color w:val="000000"/>
          <w:lang w:val="en-ZA"/>
        </w:rPr>
        <w:t>(1)</w:t>
      </w:r>
      <w:r w:rsidRPr="006A54CB">
        <w:rPr>
          <w:color w:val="000000"/>
          <w:lang w:val="en-ZA"/>
        </w:rPr>
        <w:tab/>
      </w:r>
      <w:r w:rsidR="006A54CB" w:rsidRPr="006A54CB">
        <w:rPr>
          <w:color w:val="000000"/>
          <w:lang w:val="en-ZA"/>
        </w:rPr>
        <w:t xml:space="preserve">The applicant’s application for leave to appeal </w:t>
      </w:r>
      <w:r w:rsidR="00283FB3">
        <w:rPr>
          <w:color w:val="000000"/>
          <w:lang w:val="en-ZA"/>
        </w:rPr>
        <w:t>is dismissed with costs</w:t>
      </w:r>
      <w:r w:rsidR="006A54CB" w:rsidRPr="006A54CB">
        <w:rPr>
          <w:color w:val="000000"/>
          <w:lang w:val="en-ZA"/>
        </w:rPr>
        <w:t>.</w:t>
      </w:r>
    </w:p>
    <w:p w:rsidR="006A54CB" w:rsidRPr="006A54CB" w:rsidRDefault="006A54CB" w:rsidP="006A54CB">
      <w:pPr>
        <w:pBdr>
          <w:top w:val="single" w:sz="4" w:space="18" w:color="auto"/>
          <w:bottom w:val="single" w:sz="4" w:space="18" w:color="auto"/>
        </w:pBdr>
        <w:spacing w:after="240"/>
        <w:jc w:val="center"/>
        <w:rPr>
          <w:rFonts w:ascii="Arial Bold" w:hAnsi="Arial Bold"/>
          <w:b/>
        </w:rPr>
      </w:pPr>
      <w:r w:rsidRPr="006A54CB">
        <w:rPr>
          <w:rFonts w:ascii="Arial Bold" w:hAnsi="Arial Bold"/>
          <w:b/>
        </w:rPr>
        <w:t>JUDGMENT [APPLICATION FOR LEAVE TO APPEAL]</w:t>
      </w:r>
    </w:p>
    <w:p w:rsidR="006A54CB" w:rsidRPr="006A54CB" w:rsidRDefault="006A54CB" w:rsidP="006A54CB">
      <w:pPr>
        <w:keepNext/>
        <w:spacing w:after="120" w:line="360" w:lineRule="auto"/>
        <w:jc w:val="both"/>
        <w:rPr>
          <w:b/>
          <w:caps/>
        </w:rPr>
      </w:pPr>
      <w:r w:rsidRPr="006A54CB">
        <w:rPr>
          <w:b/>
        </w:rPr>
        <w:t>Adams J:</w:t>
      </w:r>
    </w:p>
    <w:p w:rsidR="006A54CB" w:rsidRPr="006A54CB" w:rsidRDefault="00BC0A2A" w:rsidP="00BC0A2A">
      <w:pPr>
        <w:tabs>
          <w:tab w:val="left" w:pos="720"/>
        </w:tabs>
        <w:spacing w:after="120" w:line="360" w:lineRule="auto"/>
        <w:jc w:val="both"/>
        <w:outlineLvl w:val="0"/>
        <w:rPr>
          <w:color w:val="000000"/>
        </w:rPr>
      </w:pPr>
      <w:r w:rsidRPr="006A54CB">
        <w:rPr>
          <w:color w:val="000000"/>
        </w:rPr>
        <w:t>[</w:t>
      </w:r>
      <w:bookmarkStart w:id="0" w:name="_GoBack"/>
      <w:bookmarkEnd w:id="0"/>
      <w:r w:rsidRPr="006A54CB">
        <w:rPr>
          <w:color w:val="000000"/>
        </w:rPr>
        <w:t>1].</w:t>
      </w:r>
      <w:r w:rsidRPr="006A54CB">
        <w:rPr>
          <w:color w:val="000000"/>
        </w:rPr>
        <w:tab/>
      </w:r>
      <w:r w:rsidR="006A54CB" w:rsidRPr="006A54CB">
        <w:rPr>
          <w:color w:val="000000"/>
        </w:rPr>
        <w:t xml:space="preserve">I shall refer to the parties as referred to in the original application for the setting aside of a warrant of execution against the property of the applicant. The applicant is the applicant in this application for leave to appeal and the respondent herein was the </w:t>
      </w:r>
      <w:r w:rsidR="00753AE5">
        <w:rPr>
          <w:color w:val="000000"/>
        </w:rPr>
        <w:t xml:space="preserve">first </w:t>
      </w:r>
      <w:r w:rsidR="006A54CB" w:rsidRPr="006A54CB">
        <w:rPr>
          <w:color w:val="000000"/>
        </w:rPr>
        <w:t xml:space="preserve">respondent in the said application. The applicant </w:t>
      </w:r>
      <w:r w:rsidR="006A54CB" w:rsidRPr="006A54CB">
        <w:rPr>
          <w:color w:val="000000"/>
          <w:lang w:val="en-ZA"/>
        </w:rPr>
        <w:t>applies for leave to appeal against the judgment and the order, as well as the reason</w:t>
      </w:r>
      <w:r w:rsidR="00753AE5">
        <w:rPr>
          <w:color w:val="000000"/>
          <w:lang w:val="en-ZA"/>
        </w:rPr>
        <w:t>s therefor, which I granted on 2</w:t>
      </w:r>
      <w:r w:rsidR="006A54CB" w:rsidRPr="006A54CB">
        <w:rPr>
          <w:color w:val="000000"/>
          <w:lang w:val="en-ZA"/>
        </w:rPr>
        <w:t xml:space="preserve">2 August 2022, in terms of which I had dismissed, with costs, the applicant’s application to have set aside a writ issued against his property for alleged arrear maintenance in terms of a divorce order. </w:t>
      </w:r>
    </w:p>
    <w:p w:rsidR="00871D55" w:rsidRPr="00871D55" w:rsidRDefault="00BC0A2A" w:rsidP="00BC0A2A">
      <w:pPr>
        <w:spacing w:after="120" w:line="360" w:lineRule="auto"/>
        <w:jc w:val="both"/>
        <w:outlineLvl w:val="0"/>
        <w:rPr>
          <w:color w:val="000000"/>
        </w:rPr>
      </w:pPr>
      <w:r w:rsidRPr="00871D55">
        <w:rPr>
          <w:color w:val="000000"/>
        </w:rPr>
        <w:t>[2].</w:t>
      </w:r>
      <w:r w:rsidRPr="00871D55">
        <w:rPr>
          <w:color w:val="000000"/>
        </w:rPr>
        <w:tab/>
      </w:r>
      <w:r w:rsidR="006A54CB" w:rsidRPr="006A54CB">
        <w:rPr>
          <w:color w:val="000000"/>
          <w:lang w:val="en-ZA"/>
        </w:rPr>
        <w:t>The application for leave to appeal is ma</w:t>
      </w:r>
      <w:r w:rsidR="00871D55">
        <w:rPr>
          <w:color w:val="000000"/>
          <w:lang w:val="en-ZA"/>
        </w:rPr>
        <w:t xml:space="preserve">inly against my factual finding that the applicant, in his founding affidavit, did not genuinely and </w:t>
      </w:r>
      <w:r w:rsidR="00871D55" w:rsidRPr="00871D55">
        <w:rPr>
          <w:i/>
          <w:color w:val="000000"/>
          <w:lang w:val="en-ZA"/>
        </w:rPr>
        <w:t>bona fide</w:t>
      </w:r>
      <w:r w:rsidR="00871D55">
        <w:rPr>
          <w:color w:val="000000"/>
          <w:lang w:val="en-ZA"/>
        </w:rPr>
        <w:t xml:space="preserve"> dispute his indebtedness to the first respondent nor the quantum thereof. If regard is had to his version </w:t>
      </w:r>
      <w:r w:rsidR="00871D55" w:rsidRPr="00871D55">
        <w:rPr>
          <w:color w:val="000000"/>
          <w:lang w:val="en-ZA"/>
        </w:rPr>
        <w:t xml:space="preserve">as set out in the founding affidavit, </w:t>
      </w:r>
      <w:r w:rsidR="00871D55">
        <w:rPr>
          <w:color w:val="000000"/>
          <w:lang w:val="en-ZA"/>
        </w:rPr>
        <w:t xml:space="preserve">so the applicant contends, </w:t>
      </w:r>
      <w:r w:rsidR="00871D55" w:rsidRPr="00871D55">
        <w:rPr>
          <w:color w:val="000000"/>
          <w:lang w:val="en-ZA"/>
        </w:rPr>
        <w:t xml:space="preserve">it is evident that </w:t>
      </w:r>
      <w:r w:rsidR="00871D55">
        <w:rPr>
          <w:color w:val="000000"/>
          <w:lang w:val="en-ZA"/>
        </w:rPr>
        <w:t>he manifestly</w:t>
      </w:r>
      <w:r w:rsidR="00871D55" w:rsidRPr="00871D55">
        <w:rPr>
          <w:color w:val="000000"/>
          <w:lang w:val="en-ZA"/>
        </w:rPr>
        <w:t xml:space="preserve"> dispute</w:t>
      </w:r>
      <w:r w:rsidR="00871D55">
        <w:rPr>
          <w:color w:val="000000"/>
          <w:lang w:val="en-ZA"/>
        </w:rPr>
        <w:t>s</w:t>
      </w:r>
      <w:r w:rsidR="00871D55" w:rsidRPr="00871D55">
        <w:rPr>
          <w:color w:val="000000"/>
          <w:lang w:val="en-ZA"/>
        </w:rPr>
        <w:t xml:space="preserve"> the amount </w:t>
      </w:r>
      <w:r w:rsidR="00871D55">
        <w:rPr>
          <w:color w:val="000000"/>
          <w:lang w:val="en-ZA"/>
        </w:rPr>
        <w:t>claimed by the first respondent</w:t>
      </w:r>
      <w:r w:rsidR="00871D55" w:rsidRPr="00871D55">
        <w:rPr>
          <w:color w:val="000000"/>
          <w:lang w:val="en-ZA"/>
        </w:rPr>
        <w:t>.</w:t>
      </w:r>
      <w:r w:rsidR="00871D55">
        <w:rPr>
          <w:color w:val="000000"/>
          <w:lang w:val="en-ZA"/>
        </w:rPr>
        <w:t xml:space="preserve"> In my view, this submission misses the point – that being that the first respondent set out in detail how she arrived at the amount claimed and confirmed that the documentary evidence in support of the details of the calculations are available for inspection and </w:t>
      </w:r>
      <w:r w:rsidR="00134669">
        <w:rPr>
          <w:color w:val="000000"/>
          <w:lang w:val="en-ZA"/>
        </w:rPr>
        <w:t xml:space="preserve">the applicant’s response is one of a denial without any engagement with the amounts. How can this translate into a genuine and a </w:t>
      </w:r>
      <w:r w:rsidR="00134669" w:rsidRPr="00134669">
        <w:rPr>
          <w:i/>
          <w:color w:val="000000"/>
          <w:lang w:val="en-ZA"/>
        </w:rPr>
        <w:t>bona</w:t>
      </w:r>
      <w:r w:rsidR="00134669">
        <w:rPr>
          <w:color w:val="000000"/>
          <w:lang w:val="en-ZA"/>
        </w:rPr>
        <w:t xml:space="preserve"> </w:t>
      </w:r>
      <w:r w:rsidR="00134669" w:rsidRPr="00134669">
        <w:rPr>
          <w:i/>
          <w:color w:val="000000"/>
          <w:lang w:val="en-ZA"/>
        </w:rPr>
        <w:t>fide</w:t>
      </w:r>
      <w:r w:rsidR="00134669">
        <w:rPr>
          <w:color w:val="000000"/>
          <w:lang w:val="en-ZA"/>
        </w:rPr>
        <w:t xml:space="preserve"> dispute, I ask rhetorically.</w:t>
      </w:r>
      <w:r w:rsidR="00871D55">
        <w:rPr>
          <w:color w:val="000000"/>
          <w:lang w:val="en-ZA"/>
        </w:rPr>
        <w:t xml:space="preserve"> </w:t>
      </w:r>
    </w:p>
    <w:p w:rsidR="00871D55" w:rsidRPr="00F941CD" w:rsidRDefault="00BC0A2A" w:rsidP="00BC0A2A">
      <w:pPr>
        <w:spacing w:after="120" w:line="360" w:lineRule="auto"/>
        <w:jc w:val="both"/>
        <w:outlineLvl w:val="0"/>
        <w:rPr>
          <w:color w:val="000000"/>
          <w:lang w:val="en-ZA"/>
        </w:rPr>
      </w:pPr>
      <w:r w:rsidRPr="00F941CD">
        <w:rPr>
          <w:color w:val="000000"/>
          <w:lang w:val="en-ZA"/>
        </w:rPr>
        <w:lastRenderedPageBreak/>
        <w:t>[3].</w:t>
      </w:r>
      <w:r w:rsidRPr="00F941CD">
        <w:rPr>
          <w:color w:val="000000"/>
          <w:lang w:val="en-ZA"/>
        </w:rPr>
        <w:tab/>
      </w:r>
      <w:r w:rsidR="00134669" w:rsidRPr="00134669">
        <w:rPr>
          <w:color w:val="000000"/>
          <w:lang w:val="en-ZA"/>
        </w:rPr>
        <w:t xml:space="preserve">The applicant also contends that the court </w:t>
      </w:r>
      <w:r w:rsidR="00134669" w:rsidRPr="00134669">
        <w:rPr>
          <w:i/>
          <w:color w:val="000000"/>
          <w:lang w:val="en-ZA"/>
        </w:rPr>
        <w:t>a quo</w:t>
      </w:r>
      <w:r w:rsidR="00134669" w:rsidRPr="00134669">
        <w:rPr>
          <w:color w:val="000000"/>
          <w:lang w:val="en-ZA"/>
        </w:rPr>
        <w:t xml:space="preserve"> erred in finding that he </w:t>
      </w:r>
      <w:r w:rsidR="00871D55" w:rsidRPr="00134669">
        <w:rPr>
          <w:color w:val="000000"/>
          <w:lang w:val="en-ZA"/>
        </w:rPr>
        <w:t xml:space="preserve">does not dispute that he did not contribute towards the costs of tertiary education of their daughter. </w:t>
      </w:r>
      <w:r w:rsidR="00134669" w:rsidRPr="00134669">
        <w:rPr>
          <w:color w:val="000000"/>
          <w:lang w:val="en-ZA"/>
        </w:rPr>
        <w:t xml:space="preserve">I should have found, so the applicant argues, that because their </w:t>
      </w:r>
      <w:r w:rsidR="00871D55" w:rsidRPr="00134669">
        <w:rPr>
          <w:color w:val="000000"/>
          <w:lang w:val="en-ZA"/>
        </w:rPr>
        <w:t xml:space="preserve">minor daughter, </w:t>
      </w:r>
      <w:r w:rsidR="00134669" w:rsidRPr="00134669">
        <w:rPr>
          <w:color w:val="000000"/>
          <w:lang w:val="en-ZA"/>
        </w:rPr>
        <w:t>on reaching the age of majority during</w:t>
      </w:r>
      <w:r w:rsidR="00871D55" w:rsidRPr="00134669">
        <w:rPr>
          <w:color w:val="000000"/>
          <w:lang w:val="en-ZA"/>
        </w:rPr>
        <w:t xml:space="preserve"> 2010, told </w:t>
      </w:r>
      <w:r w:rsidR="00134669" w:rsidRPr="00134669">
        <w:rPr>
          <w:color w:val="000000"/>
          <w:lang w:val="en-ZA"/>
        </w:rPr>
        <w:t xml:space="preserve">him </w:t>
      </w:r>
      <w:r w:rsidR="00871D55" w:rsidRPr="00134669">
        <w:rPr>
          <w:color w:val="000000"/>
          <w:lang w:val="en-ZA"/>
        </w:rPr>
        <w:t xml:space="preserve">that </w:t>
      </w:r>
      <w:r w:rsidR="00134669" w:rsidRPr="00134669">
        <w:rPr>
          <w:color w:val="000000"/>
          <w:lang w:val="en-ZA"/>
        </w:rPr>
        <w:t>‘</w:t>
      </w:r>
      <w:r w:rsidR="00871D55" w:rsidRPr="00134669">
        <w:rPr>
          <w:color w:val="000000"/>
          <w:lang w:val="en-ZA"/>
        </w:rPr>
        <w:t xml:space="preserve">she </w:t>
      </w:r>
      <w:r w:rsidR="00134669" w:rsidRPr="00134669">
        <w:rPr>
          <w:color w:val="000000"/>
          <w:lang w:val="en-ZA"/>
        </w:rPr>
        <w:t>wanted</w:t>
      </w:r>
      <w:r w:rsidR="00871D55" w:rsidRPr="00134669">
        <w:rPr>
          <w:color w:val="000000"/>
          <w:lang w:val="en-ZA"/>
        </w:rPr>
        <w:t xml:space="preserve"> nothing to do with him</w:t>
      </w:r>
      <w:r w:rsidR="00134669" w:rsidRPr="00134669">
        <w:rPr>
          <w:color w:val="000000"/>
          <w:lang w:val="en-ZA"/>
        </w:rPr>
        <w:t xml:space="preserve">’, that the applicant in fact disputed his liability for payment of such tertiary education fees. In any event, so the argument continues, </w:t>
      </w:r>
      <w:r w:rsidR="00134669">
        <w:rPr>
          <w:color w:val="000000"/>
          <w:lang w:val="en-ZA"/>
        </w:rPr>
        <w:t>the aforesaid constituted</w:t>
      </w:r>
      <w:r w:rsidR="00871D55" w:rsidRPr="00134669">
        <w:rPr>
          <w:color w:val="000000"/>
          <w:lang w:val="en-ZA"/>
        </w:rPr>
        <w:t xml:space="preserve"> an express waiver of the right to maintenance in r</w:t>
      </w:r>
      <w:r w:rsidR="00F941CD">
        <w:rPr>
          <w:color w:val="000000"/>
          <w:lang w:val="en-ZA"/>
        </w:rPr>
        <w:t>elation to the now major child, which</w:t>
      </w:r>
      <w:r w:rsidR="00871D55" w:rsidRPr="00F941CD">
        <w:rPr>
          <w:color w:val="000000"/>
          <w:lang w:val="en-ZA"/>
        </w:rPr>
        <w:t xml:space="preserve"> in itself constitutes a valid defence </w:t>
      </w:r>
      <w:r w:rsidR="00F941CD">
        <w:rPr>
          <w:color w:val="000000"/>
          <w:lang w:val="en-ZA"/>
        </w:rPr>
        <w:t>to at least a portion of the first respondent’s claim.</w:t>
      </w:r>
    </w:p>
    <w:p w:rsidR="007A5210" w:rsidRDefault="00BC0A2A" w:rsidP="00BC0A2A">
      <w:pPr>
        <w:spacing w:after="120" w:line="360" w:lineRule="auto"/>
        <w:jc w:val="both"/>
        <w:outlineLvl w:val="0"/>
        <w:rPr>
          <w:color w:val="000000"/>
          <w:lang w:val="en-ZA"/>
        </w:rPr>
      </w:pPr>
      <w:r>
        <w:rPr>
          <w:color w:val="000000"/>
          <w:lang w:val="en-ZA"/>
        </w:rPr>
        <w:t>[4].</w:t>
      </w:r>
      <w:r>
        <w:rPr>
          <w:color w:val="000000"/>
          <w:lang w:val="en-ZA"/>
        </w:rPr>
        <w:tab/>
      </w:r>
      <w:r w:rsidR="006A54CB" w:rsidRPr="006A54CB">
        <w:rPr>
          <w:rFonts w:cs="Arial"/>
          <w:lang w:val="en-ZA" w:eastAsia="en-US"/>
        </w:rPr>
        <w:t>Nothing new has been raised by the applicant in this application for leave to appeal. In my original judgment, I have dealt with most of the issues raised and it is not necessary to repeat those in full.</w:t>
      </w:r>
      <w:r w:rsidR="006A54CB" w:rsidRPr="006A54CB">
        <w:rPr>
          <w:color w:val="000000"/>
          <w:lang w:val="en-ZA"/>
        </w:rPr>
        <w:t xml:space="preserve"> </w:t>
      </w:r>
      <w:r w:rsidR="006A54CB" w:rsidRPr="006A54CB">
        <w:rPr>
          <w:rFonts w:cs="Arial"/>
          <w:lang w:val="en-ZA" w:eastAsia="en-US"/>
        </w:rPr>
        <w:t xml:space="preserve">Suffice to restate what I said in my judgment, namely </w:t>
      </w:r>
      <w:r w:rsidR="006A54CB" w:rsidRPr="006A54CB">
        <w:rPr>
          <w:color w:val="000000"/>
          <w:lang w:val="en-ZA"/>
        </w:rPr>
        <w:t xml:space="preserve">that, in my view, </w:t>
      </w:r>
      <w:r w:rsidR="007A5210">
        <w:rPr>
          <w:color w:val="000000"/>
          <w:lang w:val="en-ZA"/>
        </w:rPr>
        <w:t xml:space="preserve">the applicant’s attempt to play ‘cat-and-mouse’ and to </w:t>
      </w:r>
      <w:r w:rsidR="007A5210" w:rsidRPr="007A5210">
        <w:rPr>
          <w:color w:val="000000"/>
          <w:lang w:val="en-ZA"/>
        </w:rPr>
        <w:t>‘kick up enough dust’ so as to cloud the issues and draw attention away from the fact</w:t>
      </w:r>
      <w:r w:rsidR="007A5210">
        <w:rPr>
          <w:color w:val="000000"/>
          <w:lang w:val="en-ZA"/>
        </w:rPr>
        <w:t xml:space="preserve"> inter alia </w:t>
      </w:r>
      <w:r w:rsidR="007A5210" w:rsidRPr="007A5210">
        <w:rPr>
          <w:color w:val="000000"/>
          <w:lang w:val="en-ZA"/>
        </w:rPr>
        <w:t>that</w:t>
      </w:r>
      <w:r w:rsidR="007A5210">
        <w:rPr>
          <w:color w:val="000000"/>
          <w:lang w:val="en-ZA"/>
        </w:rPr>
        <w:t xml:space="preserve"> h</w:t>
      </w:r>
      <w:r w:rsidR="007A5210" w:rsidRPr="007A5210">
        <w:rPr>
          <w:color w:val="000000"/>
          <w:lang w:val="en-ZA"/>
        </w:rPr>
        <w:t xml:space="preserve">e was liable to pay </w:t>
      </w:r>
      <w:r w:rsidR="007A5210">
        <w:rPr>
          <w:color w:val="000000"/>
          <w:lang w:val="en-ZA"/>
        </w:rPr>
        <w:t xml:space="preserve">arrear </w:t>
      </w:r>
      <w:r w:rsidR="007A5210" w:rsidRPr="007A5210">
        <w:rPr>
          <w:color w:val="000000"/>
          <w:lang w:val="en-ZA"/>
        </w:rPr>
        <w:t>maintenance</w:t>
      </w:r>
      <w:r w:rsidR="007A5210">
        <w:rPr>
          <w:color w:val="000000"/>
          <w:lang w:val="en-ZA"/>
        </w:rPr>
        <w:t>, should not be countenanced.</w:t>
      </w:r>
    </w:p>
    <w:p w:rsidR="006A54CB" w:rsidRPr="006456DF" w:rsidRDefault="00BC0A2A" w:rsidP="00BC0A2A">
      <w:pPr>
        <w:spacing w:after="120" w:line="360" w:lineRule="auto"/>
        <w:jc w:val="both"/>
        <w:outlineLvl w:val="0"/>
        <w:rPr>
          <w:color w:val="000000"/>
        </w:rPr>
      </w:pPr>
      <w:r w:rsidRPr="006456DF">
        <w:rPr>
          <w:color w:val="000000"/>
        </w:rPr>
        <w:t>[5].</w:t>
      </w:r>
      <w:r w:rsidRPr="006456DF">
        <w:rPr>
          <w:color w:val="000000"/>
        </w:rPr>
        <w:tab/>
      </w:r>
      <w:r w:rsidR="006A54CB" w:rsidRPr="006A54CB">
        <w:rPr>
          <w:lang w:val="en-ZA" w:eastAsia="en-US"/>
        </w:rPr>
        <w:t>The traditional test in deciding whether leave to appeal should be granted was whether there is a reasonable prospect that another court may come to a different conclusion to that reached by me in my judgment. This approach has now been codified in s 17(1)(a)(i) of the Superior Courts Act 10 of 2013, which came into operation on the 23</w:t>
      </w:r>
      <w:r w:rsidR="006A54CB" w:rsidRPr="006A54CB">
        <w:rPr>
          <w:vertAlign w:val="superscript"/>
          <w:lang w:val="en-ZA" w:eastAsia="en-US"/>
        </w:rPr>
        <w:t>rd</w:t>
      </w:r>
      <w:r w:rsidR="006A54CB" w:rsidRPr="006A54CB">
        <w:rPr>
          <w:lang w:val="en-ZA" w:eastAsia="en-US"/>
        </w:rPr>
        <w:t xml:space="preserve"> of August 2013, and which provides that leave to appeal may only be given where the judges concerned are of the opinion that ‘the appeal would have a reasonable prospect of success’. </w:t>
      </w:r>
    </w:p>
    <w:p w:rsidR="006456DF" w:rsidRDefault="00BC0A2A" w:rsidP="00BC0A2A">
      <w:pPr>
        <w:spacing w:after="120" w:line="360" w:lineRule="auto"/>
        <w:jc w:val="both"/>
        <w:outlineLvl w:val="0"/>
        <w:rPr>
          <w:color w:val="000000"/>
        </w:rPr>
      </w:pPr>
      <w:r>
        <w:rPr>
          <w:color w:val="000000"/>
        </w:rPr>
        <w:t>[6].</w:t>
      </w:r>
      <w:r>
        <w:rPr>
          <w:color w:val="000000"/>
        </w:rPr>
        <w:tab/>
      </w:r>
      <w:r w:rsidR="006456DF">
        <w:rPr>
          <w:color w:val="000000"/>
        </w:rPr>
        <w:t xml:space="preserve">In </w:t>
      </w:r>
      <w:r w:rsidR="006456DF" w:rsidRPr="006456DF">
        <w:rPr>
          <w:i/>
          <w:color w:val="000000"/>
        </w:rPr>
        <w:t>Ramakatsa and Others v African National Congress and Another</w:t>
      </w:r>
      <w:r w:rsidR="006456DF">
        <w:rPr>
          <w:rStyle w:val="FootnoteReference"/>
          <w:i/>
          <w:color w:val="000000"/>
        </w:rPr>
        <w:footnoteReference w:id="1"/>
      </w:r>
      <w:r w:rsidR="006456DF">
        <w:rPr>
          <w:color w:val="000000"/>
        </w:rPr>
        <w:t xml:space="preserve">, the SCA </w:t>
      </w:r>
      <w:r w:rsidR="006456DF" w:rsidRPr="006456DF">
        <w:rPr>
          <w:color w:val="000000"/>
        </w:rPr>
        <w:t>held that the test of</w:t>
      </w:r>
      <w:r w:rsidR="006456DF">
        <w:rPr>
          <w:color w:val="000000"/>
        </w:rPr>
        <w:t xml:space="preserve"> </w:t>
      </w:r>
      <w:r w:rsidR="006456DF" w:rsidRPr="006456DF">
        <w:rPr>
          <w:color w:val="000000"/>
        </w:rPr>
        <w:t xml:space="preserve">reasonable prospects of success postulates a dispassionate decision, based on the facts and </w:t>
      </w:r>
      <w:r w:rsidR="006456DF">
        <w:rPr>
          <w:color w:val="000000"/>
        </w:rPr>
        <w:t>the law that a court of appeal ‘could’</w:t>
      </w:r>
      <w:r w:rsidR="006456DF" w:rsidRPr="006456DF">
        <w:rPr>
          <w:color w:val="000000"/>
        </w:rPr>
        <w:t xml:space="preserve"> reasonably arrive at a conclusion different to that of the trial court. These prospects of success must not be remote, but there must exist a reasonable chance of succeeding. An applicant who applies for leave to appeal must show </w:t>
      </w:r>
      <w:r w:rsidR="006456DF" w:rsidRPr="006456DF">
        <w:rPr>
          <w:color w:val="000000"/>
        </w:rPr>
        <w:lastRenderedPageBreak/>
        <w:t>that there is a sound and rational basis for the conclusion that there are prospects of success.</w:t>
      </w:r>
    </w:p>
    <w:p w:rsidR="006456DF" w:rsidRPr="00D76566" w:rsidRDefault="00BC0A2A" w:rsidP="00BC0A2A">
      <w:pPr>
        <w:spacing w:line="360" w:lineRule="auto"/>
        <w:jc w:val="both"/>
        <w:outlineLvl w:val="0"/>
        <w:rPr>
          <w:color w:val="000000"/>
        </w:rPr>
      </w:pPr>
      <w:r w:rsidRPr="00D76566">
        <w:rPr>
          <w:color w:val="000000"/>
        </w:rPr>
        <w:t>[7].</w:t>
      </w:r>
      <w:r w:rsidRPr="00D76566">
        <w:rPr>
          <w:color w:val="000000"/>
        </w:rPr>
        <w:tab/>
      </w:r>
      <w:r w:rsidR="00D76566">
        <w:rPr>
          <w:color w:val="000000"/>
        </w:rPr>
        <w:t>The</w:t>
      </w:r>
      <w:r w:rsidR="006456DF">
        <w:rPr>
          <w:color w:val="000000"/>
        </w:rPr>
        <w:t xml:space="preserve"> ratio</w:t>
      </w:r>
      <w:r w:rsidR="00D76566">
        <w:rPr>
          <w:color w:val="000000"/>
        </w:rPr>
        <w:t xml:space="preserve"> in </w:t>
      </w:r>
      <w:r w:rsidR="00D76566" w:rsidRPr="00D76566">
        <w:rPr>
          <w:i/>
          <w:color w:val="000000"/>
        </w:rPr>
        <w:t>Ramakatsa</w:t>
      </w:r>
      <w:r w:rsidR="00D76566">
        <w:rPr>
          <w:color w:val="000000"/>
        </w:rPr>
        <w:t xml:space="preserve"> simply</w:t>
      </w:r>
      <w:r w:rsidR="006456DF">
        <w:rPr>
          <w:color w:val="000000"/>
        </w:rPr>
        <w:t xml:space="preserve"> followed </w:t>
      </w:r>
      <w:r w:rsidR="006456DF" w:rsidRPr="006456DF">
        <w:rPr>
          <w:i/>
          <w:color w:val="000000"/>
        </w:rPr>
        <w:t>S v Smith</w:t>
      </w:r>
      <w:r w:rsidR="006456DF">
        <w:rPr>
          <w:color w:val="000000"/>
        </w:rPr>
        <w:t xml:space="preserve"> </w:t>
      </w:r>
      <w:r w:rsidR="006456DF" w:rsidRPr="006456DF">
        <w:rPr>
          <w:color w:val="000000"/>
        </w:rPr>
        <w:t>2012 (1) SACR 567 (SCA)</w:t>
      </w:r>
      <w:r w:rsidR="006456DF">
        <w:rPr>
          <w:color w:val="000000"/>
        </w:rPr>
        <w:t>,</w:t>
      </w:r>
      <w:r w:rsidR="006456DF" w:rsidRPr="006456DF">
        <w:rPr>
          <w:color w:val="000000"/>
        </w:rPr>
        <w:t xml:space="preserve"> [2011] ZASCA 15</w:t>
      </w:r>
      <w:r w:rsidR="00D76566">
        <w:rPr>
          <w:color w:val="000000"/>
        </w:rPr>
        <w:t xml:space="preserve">, in which </w:t>
      </w:r>
      <w:r w:rsidR="00D76566" w:rsidRPr="00D76566">
        <w:rPr>
          <w:color w:val="000000"/>
        </w:rPr>
        <w:t>Plasket</w:t>
      </w:r>
      <w:r w:rsidR="006456DF" w:rsidRPr="00D76566">
        <w:rPr>
          <w:color w:val="000000"/>
        </w:rPr>
        <w:t xml:space="preserve"> AJA</w:t>
      </w:r>
      <w:r w:rsidR="00D76566">
        <w:rPr>
          <w:color w:val="000000"/>
        </w:rPr>
        <w:t xml:space="preserve"> (</w:t>
      </w:r>
      <w:r w:rsidR="006456DF" w:rsidRPr="00D76566">
        <w:rPr>
          <w:color w:val="000000"/>
        </w:rPr>
        <w:t>Cloete JA and Maya JA</w:t>
      </w:r>
      <w:r w:rsidR="00D76566">
        <w:rPr>
          <w:color w:val="000000"/>
        </w:rPr>
        <w:t xml:space="preserve"> concurring)</w:t>
      </w:r>
      <w:r w:rsidR="006456DF" w:rsidRPr="00D76566">
        <w:rPr>
          <w:color w:val="000000"/>
        </w:rPr>
        <w:t xml:space="preserve">, </w:t>
      </w:r>
      <w:r w:rsidR="00D76566">
        <w:rPr>
          <w:color w:val="000000"/>
        </w:rPr>
        <w:t xml:space="preserve">held as follows at </w:t>
      </w:r>
      <w:r w:rsidR="006456DF" w:rsidRPr="00D76566">
        <w:rPr>
          <w:color w:val="000000"/>
        </w:rPr>
        <w:t>para 7:</w:t>
      </w:r>
    </w:p>
    <w:p w:rsidR="006456DF" w:rsidRPr="00D76566" w:rsidRDefault="00D76566" w:rsidP="00D76566">
      <w:pPr>
        <w:spacing w:after="120" w:line="360" w:lineRule="auto"/>
        <w:jc w:val="both"/>
        <w:outlineLvl w:val="0"/>
        <w:rPr>
          <w:color w:val="000000"/>
          <w:sz w:val="22"/>
          <w:szCs w:val="22"/>
        </w:rPr>
      </w:pPr>
      <w:r w:rsidRPr="00D76566">
        <w:rPr>
          <w:color w:val="000000"/>
          <w:sz w:val="22"/>
          <w:szCs w:val="22"/>
        </w:rPr>
        <w:t>‘</w:t>
      </w:r>
      <w:r w:rsidR="006456DF" w:rsidRPr="00D76566">
        <w:rPr>
          <w:color w:val="000000"/>
          <w:sz w:val="22"/>
          <w:szCs w:val="22"/>
        </w:rPr>
        <w:t>What the test of reasonable prospects of success postulates is a dispassionate decision, based on the facts and the law that the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w:t>
      </w:r>
      <w:r w:rsidRPr="00D76566">
        <w:rPr>
          <w:color w:val="000000"/>
          <w:sz w:val="22"/>
          <w:szCs w:val="22"/>
        </w:rPr>
        <w:t xml:space="preserve"> </w:t>
      </w:r>
      <w:r w:rsidR="006456DF" w:rsidRPr="00D76566">
        <w:rPr>
          <w:color w:val="000000"/>
          <w:sz w:val="22"/>
          <w:szCs w:val="22"/>
        </w:rPr>
        <w:t xml:space="preserve">hopeless. There must, in other words, be a sound, rational basis for the conclusion that there are </w:t>
      </w:r>
      <w:r w:rsidRPr="00D76566">
        <w:rPr>
          <w:color w:val="000000"/>
          <w:sz w:val="22"/>
          <w:szCs w:val="22"/>
        </w:rPr>
        <w:t>prospects of success on appeal.’</w:t>
      </w:r>
    </w:p>
    <w:p w:rsidR="006A54CB" w:rsidRPr="006A54CB" w:rsidRDefault="00BC0A2A" w:rsidP="00BC0A2A">
      <w:pPr>
        <w:spacing w:after="120" w:line="360" w:lineRule="auto"/>
        <w:jc w:val="both"/>
        <w:outlineLvl w:val="0"/>
        <w:rPr>
          <w:color w:val="000000"/>
        </w:rPr>
      </w:pPr>
      <w:r w:rsidRPr="006A54CB">
        <w:rPr>
          <w:color w:val="000000"/>
        </w:rPr>
        <w:t>[8].</w:t>
      </w:r>
      <w:r w:rsidRPr="006A54CB">
        <w:rPr>
          <w:color w:val="000000"/>
        </w:rPr>
        <w:tab/>
      </w:r>
      <w:r w:rsidR="006A54CB" w:rsidRPr="006A54CB">
        <w:rPr>
          <w:lang w:val="en-ZA" w:eastAsia="en-US"/>
        </w:rPr>
        <w:t xml:space="preserve">In </w:t>
      </w:r>
      <w:r w:rsidR="006A54CB" w:rsidRPr="006A54CB">
        <w:rPr>
          <w:i/>
          <w:lang w:val="en-ZA" w:eastAsia="en-US"/>
        </w:rPr>
        <w:t>Mont Chevaux Trust v Tina Goosen</w:t>
      </w:r>
      <w:r w:rsidR="006A54CB" w:rsidRPr="006A54CB">
        <w:rPr>
          <w:rFonts w:ascii="Times New Roman" w:hAnsi="Times New Roman"/>
          <w:i/>
          <w:sz w:val="22"/>
          <w:vertAlign w:val="superscript"/>
          <w:lang w:val="en-ZA" w:eastAsia="en-US"/>
        </w:rPr>
        <w:footnoteReference w:id="2"/>
      </w:r>
      <w:r w:rsidR="006A54CB" w:rsidRPr="006A54CB">
        <w:rPr>
          <w:lang w:val="en-ZA" w:eastAsia="en-US"/>
        </w:rPr>
        <w:t xml:space="preserve">, the Land Claims Court held (in an </w:t>
      </w:r>
      <w:r w:rsidR="006A54CB" w:rsidRPr="006A54CB">
        <w:rPr>
          <w:i/>
          <w:lang w:val="en-ZA" w:eastAsia="en-US"/>
        </w:rPr>
        <w:t>obiter dictum</w:t>
      </w:r>
      <w:r w:rsidR="006A54CB" w:rsidRPr="006A54CB">
        <w:rPr>
          <w:lang w:val="en-ZA" w:eastAsia="en-US"/>
        </w:rPr>
        <w:t xml:space="preserve">) that the wording of this subsection raised the bar of the test that now has to be applied to the merits of the proposed appeal before leave should be granted. I agree with that view, which has also now been endorsed by the SCA in an unreported judgment in </w:t>
      </w:r>
      <w:r w:rsidR="006A54CB" w:rsidRPr="006A54CB">
        <w:rPr>
          <w:i/>
          <w:lang w:val="en-ZA" w:eastAsia="en-US"/>
        </w:rPr>
        <w:t>Notshokovu v S</w:t>
      </w:r>
      <w:r w:rsidR="006A54CB" w:rsidRPr="006A54CB">
        <w:rPr>
          <w:rFonts w:ascii="Times New Roman" w:hAnsi="Times New Roman"/>
          <w:i/>
          <w:sz w:val="22"/>
          <w:vertAlign w:val="superscript"/>
          <w:lang w:val="en-ZA" w:eastAsia="en-US"/>
        </w:rPr>
        <w:footnoteReference w:id="3"/>
      </w:r>
      <w:r w:rsidR="006A54CB" w:rsidRPr="006A54CB">
        <w:rPr>
          <w:lang w:val="en-ZA" w:eastAsia="en-US"/>
        </w:rPr>
        <w:t xml:space="preserve">. In that matter the SCA remarked that an appellant now faces a higher and a more stringent threshold, in terms of the Superior Court Act 10 of 2013 compared to that under the provisions of the repealed Supreme Court Act 59 of 1959. The applicable legal principle as enunciated in </w:t>
      </w:r>
      <w:r w:rsidR="006A54CB" w:rsidRPr="006A54CB">
        <w:rPr>
          <w:i/>
          <w:lang w:val="en-ZA" w:eastAsia="en-US"/>
        </w:rPr>
        <w:t>Mont Chevaux</w:t>
      </w:r>
      <w:r w:rsidR="006A54CB" w:rsidRPr="006A54CB">
        <w:rPr>
          <w:lang w:val="en-ZA" w:eastAsia="en-US"/>
        </w:rPr>
        <w:t xml:space="preserve"> has also now been endorsed by the Full Court of the Gauteng Division of the High Court in Pretoria in </w:t>
      </w:r>
      <w:r w:rsidR="006A54CB" w:rsidRPr="006A54CB">
        <w:rPr>
          <w:i/>
          <w:lang w:val="en-ZA" w:eastAsia="en-US"/>
        </w:rPr>
        <w:t>Acting National Director of Public Prosecutions and Others v Democratic Alliance In Re: Democratic Alliance v Acting National Director of Public Prosecutions and Others</w:t>
      </w:r>
      <w:r w:rsidR="006A54CB" w:rsidRPr="006A54CB">
        <w:rPr>
          <w:rFonts w:ascii="Times New Roman" w:hAnsi="Times New Roman"/>
          <w:i/>
          <w:sz w:val="22"/>
          <w:vertAlign w:val="superscript"/>
          <w:lang w:val="en-ZA" w:eastAsia="en-US"/>
        </w:rPr>
        <w:footnoteReference w:id="4"/>
      </w:r>
      <w:r w:rsidR="006A54CB" w:rsidRPr="006A54CB">
        <w:rPr>
          <w:lang w:val="en-ZA" w:eastAsia="en-US"/>
        </w:rPr>
        <w:t>.</w:t>
      </w:r>
    </w:p>
    <w:p w:rsidR="006A54CB" w:rsidRPr="006A54CB" w:rsidRDefault="00BC0A2A" w:rsidP="00BC0A2A">
      <w:pPr>
        <w:tabs>
          <w:tab w:val="left" w:pos="720"/>
        </w:tabs>
        <w:spacing w:after="120" w:line="360" w:lineRule="auto"/>
        <w:jc w:val="both"/>
        <w:outlineLvl w:val="0"/>
        <w:rPr>
          <w:color w:val="000000"/>
        </w:rPr>
      </w:pPr>
      <w:r w:rsidRPr="006A54CB">
        <w:rPr>
          <w:color w:val="000000"/>
        </w:rPr>
        <w:t>[9].</w:t>
      </w:r>
      <w:r w:rsidRPr="006A54CB">
        <w:rPr>
          <w:color w:val="000000"/>
        </w:rPr>
        <w:tab/>
      </w:r>
      <w:r w:rsidR="006A54CB" w:rsidRPr="006A54CB">
        <w:rPr>
          <w:color w:val="000000"/>
          <w:lang w:val="en-ZA"/>
        </w:rPr>
        <w:t xml:space="preserve">I am </w:t>
      </w:r>
      <w:r w:rsidR="007A5210">
        <w:rPr>
          <w:color w:val="000000"/>
          <w:lang w:val="en-ZA"/>
        </w:rPr>
        <w:t xml:space="preserve">not </w:t>
      </w:r>
      <w:r w:rsidR="006A54CB" w:rsidRPr="006A54CB">
        <w:rPr>
          <w:color w:val="000000"/>
          <w:lang w:val="en-ZA"/>
        </w:rPr>
        <w:t xml:space="preserve">persuaded that the issues raised by the applicant in his application for leave to appeal are issues in respect of which another court is likely to reach </w:t>
      </w:r>
      <w:r w:rsidR="006A54CB" w:rsidRPr="006A54CB">
        <w:rPr>
          <w:color w:val="000000"/>
          <w:lang w:val="en-ZA"/>
        </w:rPr>
        <w:lastRenderedPageBreak/>
        <w:t xml:space="preserve">conclusions different to those reached by me. I am therefore of the view that there are </w:t>
      </w:r>
      <w:r w:rsidR="007A5210">
        <w:rPr>
          <w:color w:val="000000"/>
          <w:lang w:val="en-ZA"/>
        </w:rPr>
        <w:t xml:space="preserve">no </w:t>
      </w:r>
      <w:r w:rsidR="006A54CB" w:rsidRPr="006A54CB">
        <w:rPr>
          <w:color w:val="000000"/>
          <w:lang w:val="en-ZA"/>
        </w:rPr>
        <w:t xml:space="preserve">reasonable prospects of another court making factual findings and coming to legal conclusions at variance with my factual findings and legal conclusions. The appeal therefore, in my view, </w:t>
      </w:r>
      <w:r w:rsidR="007A5210">
        <w:rPr>
          <w:color w:val="000000"/>
          <w:lang w:val="en-ZA"/>
        </w:rPr>
        <w:t xml:space="preserve">does not have a </w:t>
      </w:r>
      <w:r w:rsidR="006A54CB" w:rsidRPr="006A54CB">
        <w:rPr>
          <w:color w:val="000000"/>
          <w:lang w:val="en-ZA"/>
        </w:rPr>
        <w:t>reasonable prospect of success.</w:t>
      </w:r>
    </w:p>
    <w:p w:rsidR="006A54CB" w:rsidRPr="006A54CB" w:rsidRDefault="00BC0A2A" w:rsidP="00BC0A2A">
      <w:pPr>
        <w:spacing w:after="240" w:line="360" w:lineRule="auto"/>
        <w:jc w:val="both"/>
        <w:outlineLvl w:val="0"/>
        <w:rPr>
          <w:color w:val="000000"/>
        </w:rPr>
      </w:pPr>
      <w:r w:rsidRPr="006A54CB">
        <w:rPr>
          <w:color w:val="000000"/>
        </w:rPr>
        <w:t>[10].</w:t>
      </w:r>
      <w:r w:rsidRPr="006A54CB">
        <w:rPr>
          <w:color w:val="000000"/>
        </w:rPr>
        <w:tab/>
      </w:r>
      <w:r w:rsidR="006A54CB" w:rsidRPr="006A54CB">
        <w:rPr>
          <w:color w:val="000000"/>
          <w:lang w:val="en-ZA"/>
        </w:rPr>
        <w:t xml:space="preserve">Leave to appeal should therefore be </w:t>
      </w:r>
      <w:r w:rsidR="007A5210">
        <w:rPr>
          <w:color w:val="000000"/>
          <w:lang w:val="en-ZA"/>
        </w:rPr>
        <w:t>refused</w:t>
      </w:r>
      <w:r w:rsidR="006A54CB" w:rsidRPr="006A54CB">
        <w:rPr>
          <w:color w:val="000000"/>
          <w:lang w:val="en-ZA"/>
        </w:rPr>
        <w:t>.</w:t>
      </w:r>
    </w:p>
    <w:p w:rsidR="006A54CB" w:rsidRPr="006A54CB" w:rsidRDefault="006A54CB" w:rsidP="006A54CB">
      <w:pPr>
        <w:spacing w:after="120" w:line="360" w:lineRule="auto"/>
        <w:jc w:val="both"/>
        <w:outlineLvl w:val="0"/>
        <w:rPr>
          <w:color w:val="000000"/>
        </w:rPr>
      </w:pPr>
      <w:r w:rsidRPr="006A54CB">
        <w:rPr>
          <w:b/>
          <w:lang w:val="en-ZA"/>
        </w:rPr>
        <w:t>Order</w:t>
      </w:r>
    </w:p>
    <w:p w:rsidR="006A54CB" w:rsidRPr="006A54CB" w:rsidRDefault="00BC0A2A" w:rsidP="00BC0A2A">
      <w:pPr>
        <w:spacing w:after="120" w:line="360" w:lineRule="auto"/>
        <w:jc w:val="both"/>
        <w:outlineLvl w:val="0"/>
        <w:rPr>
          <w:color w:val="000000"/>
        </w:rPr>
      </w:pPr>
      <w:r w:rsidRPr="006A54CB">
        <w:rPr>
          <w:color w:val="000000"/>
        </w:rPr>
        <w:t>[11].</w:t>
      </w:r>
      <w:r w:rsidRPr="006A54CB">
        <w:rPr>
          <w:color w:val="000000"/>
        </w:rPr>
        <w:tab/>
      </w:r>
      <w:r w:rsidR="006A54CB" w:rsidRPr="006A54CB">
        <w:rPr>
          <w:color w:val="000000"/>
          <w:lang w:val="en-ZA"/>
        </w:rPr>
        <w:t>In the circumstances, the following order is made:</w:t>
      </w:r>
    </w:p>
    <w:p w:rsidR="006A54CB" w:rsidRPr="006A54CB" w:rsidRDefault="00BC0A2A" w:rsidP="00BC0A2A">
      <w:pPr>
        <w:spacing w:after="240" w:line="360" w:lineRule="auto"/>
        <w:ind w:left="720" w:hanging="720"/>
        <w:jc w:val="both"/>
        <w:outlineLvl w:val="0"/>
        <w:rPr>
          <w:color w:val="000000"/>
          <w:lang w:val="en-ZA"/>
        </w:rPr>
      </w:pPr>
      <w:r w:rsidRPr="006A54CB">
        <w:rPr>
          <w:color w:val="000000"/>
          <w:lang w:val="en-ZA"/>
        </w:rPr>
        <w:t>(1)</w:t>
      </w:r>
      <w:r w:rsidRPr="006A54CB">
        <w:rPr>
          <w:color w:val="000000"/>
          <w:lang w:val="en-ZA"/>
        </w:rPr>
        <w:tab/>
      </w:r>
      <w:r w:rsidR="006A54CB" w:rsidRPr="006A54CB">
        <w:rPr>
          <w:color w:val="000000"/>
          <w:lang w:val="en-ZA"/>
        </w:rPr>
        <w:t xml:space="preserve">The applicant’s application for leave to appeal </w:t>
      </w:r>
      <w:r w:rsidR="007A5210">
        <w:rPr>
          <w:color w:val="000000"/>
          <w:lang w:val="en-ZA"/>
        </w:rPr>
        <w:t>is dismissed with costs</w:t>
      </w:r>
      <w:r w:rsidR="006A54CB" w:rsidRPr="006A54CB">
        <w:rPr>
          <w:color w:val="000000"/>
          <w:lang w:val="en-ZA"/>
        </w:rPr>
        <w:t>.</w:t>
      </w:r>
    </w:p>
    <w:p w:rsidR="009314F3" w:rsidRDefault="00D63801" w:rsidP="007A5210">
      <w:pPr>
        <w:keepNext/>
        <w:keepLines/>
        <w:tabs>
          <w:tab w:val="left" w:pos="0"/>
        </w:tabs>
        <w:spacing w:before="1200"/>
        <w:jc w:val="right"/>
        <w:rPr>
          <w:b/>
          <w:u w:val="single"/>
        </w:rPr>
      </w:pPr>
      <w:r>
        <w:rPr>
          <w:b/>
          <w:u w:val="single"/>
        </w:rPr>
        <w:t>__________________________</w:t>
      </w:r>
      <w:r w:rsidR="00E541D3">
        <w:rPr>
          <w:b/>
          <w:u w:val="single"/>
        </w:rPr>
        <w:t>______</w:t>
      </w:r>
    </w:p>
    <w:p w:rsidR="004D79F9" w:rsidRDefault="001C52E1" w:rsidP="007A5210">
      <w:pPr>
        <w:keepNext/>
        <w:jc w:val="right"/>
        <w:rPr>
          <w:rFonts w:cs="Arial"/>
          <w:b/>
        </w:rPr>
      </w:pPr>
      <w:r>
        <w:rPr>
          <w:rFonts w:cs="Arial"/>
          <w:b/>
        </w:rPr>
        <w:t>L R ADAMS</w:t>
      </w:r>
    </w:p>
    <w:p w:rsidR="004D79F9" w:rsidRPr="0084771B" w:rsidRDefault="004D79F9" w:rsidP="007A5210">
      <w:pPr>
        <w:keepNext/>
        <w:jc w:val="right"/>
        <w:rPr>
          <w:rFonts w:cs="Arial"/>
          <w:i/>
        </w:rPr>
      </w:pPr>
      <w:r w:rsidRPr="0084771B">
        <w:rPr>
          <w:rFonts w:cs="Arial"/>
          <w:i/>
        </w:rPr>
        <w:t>Judge of the High Court</w:t>
      </w:r>
      <w:r w:rsidR="00E541D3">
        <w:rPr>
          <w:rFonts w:cs="Arial"/>
          <w:i/>
        </w:rPr>
        <w:t xml:space="preserve"> of South Africa</w:t>
      </w:r>
    </w:p>
    <w:p w:rsidR="004D79F9" w:rsidRDefault="004D79F9" w:rsidP="00EA4978">
      <w:pPr>
        <w:spacing w:line="360" w:lineRule="auto"/>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lastRenderedPageBreak/>
              <w:t>HEARD ON: </w:t>
            </w:r>
          </w:p>
        </w:tc>
        <w:tc>
          <w:tcPr>
            <w:tcW w:w="4961" w:type="dxa"/>
            <w:tcMar>
              <w:top w:w="32" w:type="dxa"/>
              <w:left w:w="108" w:type="dxa"/>
              <w:bottom w:w="32" w:type="dxa"/>
              <w:right w:w="108" w:type="dxa"/>
            </w:tcMar>
            <w:vAlign w:val="center"/>
            <w:hideMark/>
          </w:tcPr>
          <w:p w:rsidR="00C50582" w:rsidRDefault="00283FB3" w:rsidP="00283FB3">
            <w:pPr>
              <w:keepNext/>
              <w:spacing w:before="120" w:after="120"/>
              <w:ind w:left="-108"/>
              <w:rPr>
                <w:sz w:val="22"/>
                <w:szCs w:val="22"/>
                <w:lang w:eastAsia="en-US"/>
              </w:rPr>
            </w:pPr>
            <w:r>
              <w:t>14</w:t>
            </w:r>
            <w:r w:rsidRPr="00283FB3">
              <w:rPr>
                <w:vertAlign w:val="superscript"/>
              </w:rPr>
              <w:t>th</w:t>
            </w:r>
            <w:r w:rsidR="00E12308">
              <w:t xml:space="preserve"> </w:t>
            </w:r>
            <w:r>
              <w:t>October</w:t>
            </w:r>
            <w:r w:rsidR="0019026A">
              <w:t xml:space="preserve"> 2022</w:t>
            </w:r>
            <w:r w:rsidR="00210EA7">
              <w:t xml:space="preserve"> as a videoconference on </w:t>
            </w:r>
            <w:r w:rsidR="00210EA7" w:rsidRPr="00210EA7">
              <w:rPr>
                <w:i/>
              </w:rPr>
              <w:t>Microsoft Teams</w:t>
            </w:r>
            <w:r w:rsidR="00210EA7">
              <w:t xml:space="preserve"> </w:t>
            </w:r>
            <w:r w:rsidR="005B6CDC">
              <w:t xml:space="preserve"> </w:t>
            </w:r>
            <w:r w:rsidR="002E70CF">
              <w:t xml:space="preserve"> </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283FB3" w:rsidP="00283FB3">
            <w:pPr>
              <w:keepNext/>
              <w:spacing w:before="120" w:after="120"/>
              <w:ind w:left="-108"/>
            </w:pPr>
            <w:r>
              <w:t>14</w:t>
            </w:r>
            <w:r w:rsidRPr="00283FB3">
              <w:rPr>
                <w:vertAlign w:val="superscript"/>
              </w:rPr>
              <w:t>th</w:t>
            </w:r>
            <w:r>
              <w:t xml:space="preserve"> October</w:t>
            </w:r>
            <w:r w:rsidR="000D2C48">
              <w:t xml:space="preserve"> </w:t>
            </w:r>
            <w:r w:rsidR="00C50582">
              <w:t>20</w:t>
            </w:r>
            <w:r w:rsidR="00210EA7">
              <w:t>2</w:t>
            </w:r>
            <w:r w:rsidR="0019026A">
              <w:t>2</w:t>
            </w:r>
            <w:r>
              <w:t xml:space="preserve"> – handed down electronically </w:t>
            </w:r>
          </w:p>
        </w:tc>
      </w:tr>
      <w:tr w:rsidR="00C50582" w:rsidTr="00210EA7">
        <w:tc>
          <w:tcPr>
            <w:tcW w:w="3544" w:type="dxa"/>
            <w:tcMar>
              <w:top w:w="32" w:type="dxa"/>
              <w:left w:w="108" w:type="dxa"/>
              <w:bottom w:w="32" w:type="dxa"/>
              <w:right w:w="108" w:type="dxa"/>
            </w:tcMar>
            <w:vAlign w:val="center"/>
          </w:tcPr>
          <w:p w:rsidR="00C50582" w:rsidRDefault="00C50582" w:rsidP="0019026A">
            <w:pPr>
              <w:keepNext/>
              <w:spacing w:before="120" w:after="120"/>
            </w:pPr>
            <w:r>
              <w:t>FOR THE APPLICANT:</w:t>
            </w:r>
          </w:p>
        </w:tc>
        <w:tc>
          <w:tcPr>
            <w:tcW w:w="4961" w:type="dxa"/>
            <w:tcMar>
              <w:top w:w="32" w:type="dxa"/>
              <w:left w:w="108" w:type="dxa"/>
              <w:bottom w:w="32" w:type="dxa"/>
              <w:right w:w="108" w:type="dxa"/>
            </w:tcMar>
            <w:vAlign w:val="center"/>
          </w:tcPr>
          <w:p w:rsidR="00C50582" w:rsidRDefault="00D73F67" w:rsidP="00E12308">
            <w:pPr>
              <w:keepNext/>
              <w:spacing w:before="120" w:after="120"/>
              <w:ind w:left="-108"/>
            </w:pPr>
            <w:r>
              <w:t xml:space="preserve">Advocate </w:t>
            </w:r>
            <w:r w:rsidR="00E12308">
              <w:t>Ian L Posthumus</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E12308" w:rsidP="00E12308">
            <w:pPr>
              <w:keepNext/>
              <w:spacing w:before="120" w:after="120"/>
              <w:ind w:left="-108"/>
            </w:pPr>
            <w:r>
              <w:t>JNS Attorneys</w:t>
            </w:r>
            <w:r w:rsidR="009F3C7E">
              <w:t xml:space="preserve">, </w:t>
            </w:r>
            <w:r>
              <w:t>Randburg</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F56246">
            <w:pPr>
              <w:keepNext/>
              <w:spacing w:before="120" w:after="120"/>
            </w:pPr>
            <w:r>
              <w:t xml:space="preserve">FOR THE </w:t>
            </w:r>
            <w:r w:rsidR="00E12308">
              <w:t xml:space="preserve">FIRST </w:t>
            </w:r>
            <w:r>
              <w:t>RESPONDENT:</w:t>
            </w:r>
          </w:p>
        </w:tc>
        <w:tc>
          <w:tcPr>
            <w:tcW w:w="4961" w:type="dxa"/>
            <w:tcMar>
              <w:top w:w="32" w:type="dxa"/>
              <w:left w:w="108" w:type="dxa"/>
              <w:bottom w:w="32" w:type="dxa"/>
              <w:right w:w="108" w:type="dxa"/>
            </w:tcMar>
            <w:vAlign w:val="center"/>
          </w:tcPr>
          <w:p w:rsidR="009F3C7E" w:rsidRDefault="00F56246" w:rsidP="00E12308">
            <w:pPr>
              <w:keepNext/>
              <w:spacing w:before="120" w:after="120"/>
              <w:ind w:left="-108"/>
            </w:pPr>
            <w:r>
              <w:t xml:space="preserve">Advocate </w:t>
            </w:r>
            <w:r w:rsidR="00E12308">
              <w:t>R G</w:t>
            </w:r>
            <w:r>
              <w:t xml:space="preserve"> </w:t>
            </w:r>
            <w:r w:rsidR="00E12308">
              <w:t>Cohen</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1346E6">
            <w:pPr>
              <w:keepNext/>
              <w:spacing w:before="120" w:after="120"/>
            </w:pPr>
            <w:r>
              <w:t>INSTRUCTED BY:</w:t>
            </w:r>
          </w:p>
        </w:tc>
        <w:tc>
          <w:tcPr>
            <w:tcW w:w="4961" w:type="dxa"/>
            <w:tcMar>
              <w:top w:w="32" w:type="dxa"/>
              <w:left w:w="108" w:type="dxa"/>
              <w:bottom w:w="32" w:type="dxa"/>
              <w:right w:w="108" w:type="dxa"/>
            </w:tcMar>
            <w:vAlign w:val="center"/>
          </w:tcPr>
          <w:p w:rsidR="009F3C7E" w:rsidRDefault="00E12308" w:rsidP="00E12308">
            <w:pPr>
              <w:keepNext/>
              <w:spacing w:before="120" w:after="120"/>
              <w:ind w:left="-108"/>
            </w:pPr>
            <w:r>
              <w:t>Glynnis Cohen</w:t>
            </w:r>
            <w:r w:rsidR="009925A2">
              <w:t xml:space="preserve"> Attorneys, </w:t>
            </w:r>
            <w:r>
              <w:t xml:space="preserve">Emmarentia, Johannesburg </w:t>
            </w:r>
            <w:r w:rsidR="009925A2">
              <w:t xml:space="preserve"> </w:t>
            </w:r>
            <w:r w:rsidR="009F3C7E">
              <w:t xml:space="preserve">   </w:t>
            </w:r>
          </w:p>
        </w:tc>
      </w:tr>
      <w:tr w:rsidR="00E12308" w:rsidTr="009F3C7E">
        <w:tc>
          <w:tcPr>
            <w:tcW w:w="3544" w:type="dxa"/>
            <w:tcMar>
              <w:top w:w="32" w:type="dxa"/>
              <w:left w:w="108" w:type="dxa"/>
              <w:bottom w:w="32" w:type="dxa"/>
              <w:right w:w="108" w:type="dxa"/>
            </w:tcMar>
            <w:vAlign w:val="center"/>
          </w:tcPr>
          <w:p w:rsidR="00E12308" w:rsidRDefault="00E12308" w:rsidP="001346E6">
            <w:pPr>
              <w:keepNext/>
              <w:spacing w:before="120" w:after="120"/>
            </w:pPr>
            <w:r>
              <w:t>FOR THE SECOND RESPONDENT:</w:t>
            </w:r>
          </w:p>
        </w:tc>
        <w:tc>
          <w:tcPr>
            <w:tcW w:w="4961" w:type="dxa"/>
            <w:tcMar>
              <w:top w:w="32" w:type="dxa"/>
              <w:left w:w="108" w:type="dxa"/>
              <w:bottom w:w="32" w:type="dxa"/>
              <w:right w:w="108" w:type="dxa"/>
            </w:tcMar>
            <w:vAlign w:val="center"/>
          </w:tcPr>
          <w:p w:rsidR="00E12308" w:rsidRDefault="00E12308" w:rsidP="00E12308">
            <w:pPr>
              <w:keepNext/>
              <w:spacing w:before="120" w:after="120"/>
              <w:ind w:left="-108"/>
            </w:pPr>
            <w:r>
              <w:t xml:space="preserve">No appearance </w:t>
            </w:r>
          </w:p>
        </w:tc>
      </w:tr>
      <w:tr w:rsidR="00E12308" w:rsidTr="009F3C7E">
        <w:tc>
          <w:tcPr>
            <w:tcW w:w="3544" w:type="dxa"/>
            <w:tcMar>
              <w:top w:w="32" w:type="dxa"/>
              <w:left w:w="108" w:type="dxa"/>
              <w:bottom w:w="32" w:type="dxa"/>
              <w:right w:w="108" w:type="dxa"/>
            </w:tcMar>
            <w:vAlign w:val="center"/>
          </w:tcPr>
          <w:p w:rsidR="00E12308" w:rsidRDefault="00E12308" w:rsidP="001346E6">
            <w:pPr>
              <w:keepNext/>
              <w:spacing w:before="120" w:after="120"/>
            </w:pPr>
            <w:r>
              <w:t>INSTRUCTED BY:</w:t>
            </w:r>
          </w:p>
        </w:tc>
        <w:tc>
          <w:tcPr>
            <w:tcW w:w="4961" w:type="dxa"/>
            <w:tcMar>
              <w:top w:w="32" w:type="dxa"/>
              <w:left w:w="108" w:type="dxa"/>
              <w:bottom w:w="32" w:type="dxa"/>
              <w:right w:w="108" w:type="dxa"/>
            </w:tcMar>
            <w:vAlign w:val="center"/>
          </w:tcPr>
          <w:p w:rsidR="00E12308" w:rsidRDefault="00E12308" w:rsidP="00E12308">
            <w:pPr>
              <w:keepNext/>
              <w:spacing w:before="120" w:after="120"/>
              <w:ind w:left="-108"/>
            </w:pPr>
            <w:r>
              <w:t>No appearance</w:t>
            </w:r>
          </w:p>
        </w:tc>
      </w:tr>
    </w:tbl>
    <w:p w:rsidR="00C50582" w:rsidRDefault="00C50582" w:rsidP="009925A2">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1A" w:rsidRDefault="004A6F1A">
      <w:pPr>
        <w:spacing w:line="20" w:lineRule="exact"/>
      </w:pPr>
    </w:p>
  </w:endnote>
  <w:endnote w:type="continuationSeparator" w:id="0">
    <w:p w:rsidR="004A6F1A" w:rsidRDefault="004A6F1A">
      <w:r>
        <w:t xml:space="preserve"> </w:t>
      </w:r>
    </w:p>
  </w:endnote>
  <w:endnote w:type="continuationNotice" w:id="1">
    <w:p w:rsidR="004A6F1A" w:rsidRDefault="004A6F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1A" w:rsidRDefault="004A6F1A">
      <w:r>
        <w:separator/>
      </w:r>
    </w:p>
  </w:footnote>
  <w:footnote w:type="continuationSeparator" w:id="0">
    <w:p w:rsidR="004A6F1A" w:rsidRDefault="004A6F1A">
      <w:r>
        <w:continuationSeparator/>
      </w:r>
    </w:p>
  </w:footnote>
  <w:footnote w:id="1">
    <w:p w:rsidR="006456DF" w:rsidRDefault="006456DF">
      <w:pPr>
        <w:pStyle w:val="FootnoteText"/>
      </w:pPr>
      <w:r>
        <w:rPr>
          <w:rStyle w:val="FootnoteReference"/>
        </w:rPr>
        <w:footnoteRef/>
      </w:r>
      <w:r>
        <w:t xml:space="preserve"> </w:t>
      </w:r>
      <w:r w:rsidRPr="006456DF">
        <w:rPr>
          <w:i/>
          <w:color w:val="000000"/>
        </w:rPr>
        <w:t>Ramakatsa and Others v African National Congress and Another</w:t>
      </w:r>
      <w:r w:rsidRPr="006456DF">
        <w:rPr>
          <w:color w:val="000000"/>
        </w:rPr>
        <w:t xml:space="preserve"> (724/2019) [2021] ZASCA 31 (31 March 2021)</w:t>
      </w:r>
      <w:r>
        <w:rPr>
          <w:color w:val="000000"/>
        </w:rPr>
        <w:t xml:space="preserve">; </w:t>
      </w:r>
    </w:p>
  </w:footnote>
  <w:footnote w:id="2">
    <w:p w:rsidR="006A54CB" w:rsidRDefault="006A54CB" w:rsidP="006A54CB">
      <w:pPr>
        <w:pStyle w:val="FootnoteText"/>
      </w:pPr>
      <w:r>
        <w:rPr>
          <w:rStyle w:val="FootnoteReference"/>
        </w:rPr>
        <w:footnoteRef/>
      </w:r>
      <w:r>
        <w:t xml:space="preserve"> </w:t>
      </w:r>
      <w:r>
        <w:rPr>
          <w:i/>
          <w:lang w:val="en-ZA" w:eastAsia="en-US"/>
        </w:rPr>
        <w:t>Mont Chevaux Trust v Tina Goosen,</w:t>
      </w:r>
      <w:r>
        <w:rPr>
          <w:lang w:val="en-ZA" w:eastAsia="en-US"/>
        </w:rPr>
        <w:t xml:space="preserve"> LCC 14R/2014 (unreported).</w:t>
      </w:r>
    </w:p>
  </w:footnote>
  <w:footnote w:id="3">
    <w:p w:rsidR="006A54CB" w:rsidRDefault="006A54CB" w:rsidP="006A54CB">
      <w:pPr>
        <w:pStyle w:val="FootnoteText"/>
      </w:pPr>
      <w:r>
        <w:rPr>
          <w:rStyle w:val="FootnoteReference"/>
        </w:rPr>
        <w:footnoteRef/>
      </w:r>
      <w:r>
        <w:t xml:space="preserve"> </w:t>
      </w:r>
      <w:r>
        <w:rPr>
          <w:i/>
          <w:lang w:val="en-ZA" w:eastAsia="en-US"/>
        </w:rPr>
        <w:t xml:space="preserve">Notshokovu v S, </w:t>
      </w:r>
      <w:r>
        <w:rPr>
          <w:lang w:val="en-ZA" w:eastAsia="en-US"/>
        </w:rPr>
        <w:t>case no: 157/2015 [2016] ZASCA 112 (7 September 2016).</w:t>
      </w:r>
    </w:p>
  </w:footnote>
  <w:footnote w:id="4">
    <w:p w:rsidR="006A54CB" w:rsidRDefault="006A54CB" w:rsidP="006A54CB">
      <w:pPr>
        <w:pStyle w:val="FootnoteText"/>
      </w:pPr>
      <w:r>
        <w:rPr>
          <w:rStyle w:val="FootnoteReference"/>
        </w:rPr>
        <w:footnoteRef/>
      </w:r>
      <w:r>
        <w:t xml:space="preserve"> </w:t>
      </w:r>
      <w:r>
        <w:rPr>
          <w:i/>
          <w:lang w:val="en-ZA" w:eastAsia="en-US"/>
        </w:rPr>
        <w:t>Acting National Director of Public Prosecutions and Others v Democratic Alliance In Re: Democratic Alliance v Acting National Director of Public Prosecutions and Others</w:t>
      </w:r>
      <w:r>
        <w:rPr>
          <w:lang w:val="en-ZA" w:eastAsia="en-US"/>
        </w:rPr>
        <w:t xml:space="preserve"> (19577/09) [2016] ZAGPPHC 489 (24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D1" w:rsidRDefault="007D1A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AD1" w:rsidRDefault="007D1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rsidR="007D1AD1" w:rsidRDefault="007D1AD1">
        <w:pPr>
          <w:pStyle w:val="Header"/>
          <w:jc w:val="right"/>
        </w:pPr>
        <w:r>
          <w:fldChar w:fldCharType="begin"/>
        </w:r>
        <w:r>
          <w:instrText xml:space="preserve"> PAGE   \* MERGEFORMAT </w:instrText>
        </w:r>
        <w:r>
          <w:fldChar w:fldCharType="separate"/>
        </w:r>
        <w:r w:rsidR="00BC0A2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7093C16"/>
    <w:multiLevelType w:val="hybridMultilevel"/>
    <w:tmpl w:val="B5180170"/>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5">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5F4731"/>
    <w:multiLevelType w:val="hybridMultilevel"/>
    <w:tmpl w:val="634E1B0E"/>
    <w:lvl w:ilvl="0" w:tplc="859E9736">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9FE33ED"/>
    <w:multiLevelType w:val="hybridMultilevel"/>
    <w:tmpl w:val="B2A02412"/>
    <w:lvl w:ilvl="0" w:tplc="004241E8">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3"/>
  </w:num>
  <w:num w:numId="3">
    <w:abstractNumId w:val="30"/>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6"/>
  </w:num>
  <w:num w:numId="9">
    <w:abstractNumId w:val="34"/>
  </w:num>
  <w:num w:numId="10">
    <w:abstractNumId w:val="21"/>
  </w:num>
  <w:num w:numId="11">
    <w:abstractNumId w:val="24"/>
  </w:num>
  <w:num w:numId="12">
    <w:abstractNumId w:val="26"/>
  </w:num>
  <w:num w:numId="13">
    <w:abstractNumId w:val="13"/>
  </w:num>
  <w:num w:numId="14">
    <w:abstractNumId w:val="11"/>
  </w:num>
  <w:num w:numId="15">
    <w:abstractNumId w:val="12"/>
  </w:num>
  <w:num w:numId="16">
    <w:abstractNumId w:val="4"/>
  </w:num>
  <w:num w:numId="17">
    <w:abstractNumId w:val="5"/>
  </w:num>
  <w:num w:numId="18">
    <w:abstractNumId w:val="27"/>
  </w:num>
  <w:num w:numId="19">
    <w:abstractNumId w:val="10"/>
  </w:num>
  <w:num w:numId="20">
    <w:abstractNumId w:val="31"/>
  </w:num>
  <w:num w:numId="21">
    <w:abstractNumId w:val="29"/>
  </w:num>
  <w:num w:numId="22">
    <w:abstractNumId w:val="22"/>
  </w:num>
  <w:num w:numId="23">
    <w:abstractNumId w:val="15"/>
  </w:num>
  <w:num w:numId="24">
    <w:abstractNumId w:val="19"/>
  </w:num>
  <w:num w:numId="25">
    <w:abstractNumId w:val="23"/>
    <w:lvlOverride w:ilvl="0">
      <w:startOverride w:val="4"/>
    </w:lvlOverride>
    <w:lvlOverride w:ilvl="1">
      <w:startOverride w:val="1"/>
    </w:lvlOverride>
  </w:num>
  <w:num w:numId="26">
    <w:abstractNumId w:val="23"/>
    <w:lvlOverride w:ilvl="0">
      <w:startOverride w:val="4"/>
    </w:lvlOverride>
    <w:lvlOverride w:ilvl="1">
      <w:startOverride w:val="2"/>
    </w:lvlOverride>
  </w:num>
  <w:num w:numId="27">
    <w:abstractNumId w:val="23"/>
    <w:lvlOverride w:ilvl="0">
      <w:startOverride w:val="4"/>
    </w:lvlOverride>
    <w:lvlOverride w:ilvl="1">
      <w:startOverride w:val="2"/>
    </w:lvlOverride>
  </w:num>
  <w:num w:numId="28">
    <w:abstractNumId w:val="23"/>
    <w:lvlOverride w:ilvl="0">
      <w:startOverride w:val="4"/>
    </w:lvlOverride>
    <w:lvlOverride w:ilvl="1">
      <w:startOverride w:val="2"/>
    </w:lvlOverride>
  </w:num>
  <w:num w:numId="29">
    <w:abstractNumId w:val="23"/>
    <w:lvlOverride w:ilvl="0">
      <w:startOverride w:val="4"/>
    </w:lvlOverride>
    <w:lvlOverride w:ilvl="1">
      <w:startOverride w:val="3"/>
    </w:lvlOverride>
  </w:num>
  <w:num w:numId="30">
    <w:abstractNumId w:val="23"/>
    <w:lvlOverride w:ilvl="0">
      <w:startOverride w:val="4"/>
    </w:lvlOverride>
    <w:lvlOverride w:ilvl="1">
      <w:startOverride w:val="6"/>
    </w:lvlOverride>
  </w:num>
  <w:num w:numId="31">
    <w:abstractNumId w:val="32"/>
  </w:num>
  <w:num w:numId="32">
    <w:abstractNumId w:val="23"/>
    <w:lvlOverride w:ilvl="0">
      <w:startOverride w:val="5"/>
    </w:lvlOverride>
    <w:lvlOverride w:ilvl="1">
      <w:startOverride w:val="1"/>
    </w:lvlOverride>
  </w:num>
  <w:num w:numId="33">
    <w:abstractNumId w:val="3"/>
  </w:num>
  <w:num w:numId="34">
    <w:abstractNumId w:val="18"/>
  </w:num>
  <w:num w:numId="35">
    <w:abstractNumId w:val="2"/>
  </w:num>
  <w:num w:numId="36">
    <w:abstractNumId w:val="7"/>
  </w:num>
  <w:num w:numId="37">
    <w:abstractNumId w:val="33"/>
  </w:num>
  <w:num w:numId="38">
    <w:abstractNumId w:val="17"/>
  </w:num>
  <w:num w:numId="39">
    <w:abstractNumId w:val="2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031B3"/>
    <w:rsid w:val="000111D7"/>
    <w:rsid w:val="000117DD"/>
    <w:rsid w:val="00012716"/>
    <w:rsid w:val="00012B55"/>
    <w:rsid w:val="00012FA8"/>
    <w:rsid w:val="00013EAD"/>
    <w:rsid w:val="000141C1"/>
    <w:rsid w:val="00015CFB"/>
    <w:rsid w:val="00016ECF"/>
    <w:rsid w:val="000175E5"/>
    <w:rsid w:val="00027828"/>
    <w:rsid w:val="0002785A"/>
    <w:rsid w:val="0003241F"/>
    <w:rsid w:val="00032CD3"/>
    <w:rsid w:val="00032F52"/>
    <w:rsid w:val="00033FDD"/>
    <w:rsid w:val="00034BB6"/>
    <w:rsid w:val="000351A6"/>
    <w:rsid w:val="00037B6A"/>
    <w:rsid w:val="00041515"/>
    <w:rsid w:val="000445C8"/>
    <w:rsid w:val="000454E4"/>
    <w:rsid w:val="00050D2E"/>
    <w:rsid w:val="000551D8"/>
    <w:rsid w:val="00056255"/>
    <w:rsid w:val="00061DB7"/>
    <w:rsid w:val="00064626"/>
    <w:rsid w:val="000647F0"/>
    <w:rsid w:val="00065DC6"/>
    <w:rsid w:val="00067743"/>
    <w:rsid w:val="0006781F"/>
    <w:rsid w:val="000701CD"/>
    <w:rsid w:val="000712CD"/>
    <w:rsid w:val="000718BB"/>
    <w:rsid w:val="00072960"/>
    <w:rsid w:val="000730EE"/>
    <w:rsid w:val="000757B9"/>
    <w:rsid w:val="0007784D"/>
    <w:rsid w:val="00080279"/>
    <w:rsid w:val="0008077E"/>
    <w:rsid w:val="00081434"/>
    <w:rsid w:val="000814F0"/>
    <w:rsid w:val="00081733"/>
    <w:rsid w:val="00081AC0"/>
    <w:rsid w:val="00085059"/>
    <w:rsid w:val="0008730B"/>
    <w:rsid w:val="00090F50"/>
    <w:rsid w:val="00094C0B"/>
    <w:rsid w:val="0009782E"/>
    <w:rsid w:val="000A000E"/>
    <w:rsid w:val="000A0DAC"/>
    <w:rsid w:val="000A4BB6"/>
    <w:rsid w:val="000A5A85"/>
    <w:rsid w:val="000A6612"/>
    <w:rsid w:val="000A6771"/>
    <w:rsid w:val="000A75D7"/>
    <w:rsid w:val="000A779C"/>
    <w:rsid w:val="000B096A"/>
    <w:rsid w:val="000B3344"/>
    <w:rsid w:val="000B4072"/>
    <w:rsid w:val="000B64EF"/>
    <w:rsid w:val="000C24D7"/>
    <w:rsid w:val="000C3608"/>
    <w:rsid w:val="000C3874"/>
    <w:rsid w:val="000C43F3"/>
    <w:rsid w:val="000C66F2"/>
    <w:rsid w:val="000C6BD2"/>
    <w:rsid w:val="000D0918"/>
    <w:rsid w:val="000D0AF6"/>
    <w:rsid w:val="000D1266"/>
    <w:rsid w:val="000D2C48"/>
    <w:rsid w:val="000D3C87"/>
    <w:rsid w:val="000D5597"/>
    <w:rsid w:val="000D6100"/>
    <w:rsid w:val="000D6F3A"/>
    <w:rsid w:val="000D7A25"/>
    <w:rsid w:val="000E0CFF"/>
    <w:rsid w:val="000E386F"/>
    <w:rsid w:val="000E416E"/>
    <w:rsid w:val="000E487F"/>
    <w:rsid w:val="000E7194"/>
    <w:rsid w:val="000F1C74"/>
    <w:rsid w:val="000F3817"/>
    <w:rsid w:val="000F4792"/>
    <w:rsid w:val="000F505F"/>
    <w:rsid w:val="000F6C7D"/>
    <w:rsid w:val="00100B58"/>
    <w:rsid w:val="00101198"/>
    <w:rsid w:val="0010128C"/>
    <w:rsid w:val="00102B34"/>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3154B"/>
    <w:rsid w:val="0013390C"/>
    <w:rsid w:val="00134669"/>
    <w:rsid w:val="001346E6"/>
    <w:rsid w:val="00134EBF"/>
    <w:rsid w:val="00140558"/>
    <w:rsid w:val="00142930"/>
    <w:rsid w:val="001432BE"/>
    <w:rsid w:val="00145295"/>
    <w:rsid w:val="001464CC"/>
    <w:rsid w:val="00151A63"/>
    <w:rsid w:val="001541F6"/>
    <w:rsid w:val="00160E8B"/>
    <w:rsid w:val="00163BD1"/>
    <w:rsid w:val="001730A8"/>
    <w:rsid w:val="00175190"/>
    <w:rsid w:val="00175809"/>
    <w:rsid w:val="00175F81"/>
    <w:rsid w:val="00177C74"/>
    <w:rsid w:val="00181B27"/>
    <w:rsid w:val="0019026A"/>
    <w:rsid w:val="00195161"/>
    <w:rsid w:val="0019694E"/>
    <w:rsid w:val="0019747D"/>
    <w:rsid w:val="00197482"/>
    <w:rsid w:val="001A091C"/>
    <w:rsid w:val="001A23A4"/>
    <w:rsid w:val="001A37E5"/>
    <w:rsid w:val="001A3DC0"/>
    <w:rsid w:val="001A42AD"/>
    <w:rsid w:val="001A4A19"/>
    <w:rsid w:val="001A4DA3"/>
    <w:rsid w:val="001A749D"/>
    <w:rsid w:val="001A76B3"/>
    <w:rsid w:val="001B50F1"/>
    <w:rsid w:val="001B5BBB"/>
    <w:rsid w:val="001B621D"/>
    <w:rsid w:val="001B7126"/>
    <w:rsid w:val="001C0A0D"/>
    <w:rsid w:val="001C2344"/>
    <w:rsid w:val="001C52E1"/>
    <w:rsid w:val="001D4AF2"/>
    <w:rsid w:val="001D5D9C"/>
    <w:rsid w:val="001D5E32"/>
    <w:rsid w:val="001D6E90"/>
    <w:rsid w:val="001E0063"/>
    <w:rsid w:val="001E06D5"/>
    <w:rsid w:val="001E6292"/>
    <w:rsid w:val="001E6F6C"/>
    <w:rsid w:val="001F2020"/>
    <w:rsid w:val="001F2647"/>
    <w:rsid w:val="001F33B1"/>
    <w:rsid w:val="001F440C"/>
    <w:rsid w:val="001F48CC"/>
    <w:rsid w:val="001F5488"/>
    <w:rsid w:val="001F57B4"/>
    <w:rsid w:val="001F5B5F"/>
    <w:rsid w:val="001F757A"/>
    <w:rsid w:val="001F78C4"/>
    <w:rsid w:val="002004CA"/>
    <w:rsid w:val="002007D4"/>
    <w:rsid w:val="00201369"/>
    <w:rsid w:val="00201E7E"/>
    <w:rsid w:val="002027EC"/>
    <w:rsid w:val="00205925"/>
    <w:rsid w:val="00205CC8"/>
    <w:rsid w:val="00210EA7"/>
    <w:rsid w:val="002123AA"/>
    <w:rsid w:val="00213B9F"/>
    <w:rsid w:val="0021531D"/>
    <w:rsid w:val="00215AFA"/>
    <w:rsid w:val="0022018A"/>
    <w:rsid w:val="00223009"/>
    <w:rsid w:val="00223F61"/>
    <w:rsid w:val="00224EDB"/>
    <w:rsid w:val="00230431"/>
    <w:rsid w:val="00230797"/>
    <w:rsid w:val="00230DF6"/>
    <w:rsid w:val="00231EED"/>
    <w:rsid w:val="00235C00"/>
    <w:rsid w:val="00237903"/>
    <w:rsid w:val="00242D44"/>
    <w:rsid w:val="002433EC"/>
    <w:rsid w:val="00244284"/>
    <w:rsid w:val="00246642"/>
    <w:rsid w:val="00247A38"/>
    <w:rsid w:val="00252D5F"/>
    <w:rsid w:val="002549A4"/>
    <w:rsid w:val="00256878"/>
    <w:rsid w:val="002572C9"/>
    <w:rsid w:val="00257DCC"/>
    <w:rsid w:val="00262147"/>
    <w:rsid w:val="0026224C"/>
    <w:rsid w:val="002634C7"/>
    <w:rsid w:val="0026387F"/>
    <w:rsid w:val="002647E0"/>
    <w:rsid w:val="002673D4"/>
    <w:rsid w:val="00271071"/>
    <w:rsid w:val="00272260"/>
    <w:rsid w:val="00272B5A"/>
    <w:rsid w:val="00274593"/>
    <w:rsid w:val="00276484"/>
    <w:rsid w:val="002805F5"/>
    <w:rsid w:val="002811FF"/>
    <w:rsid w:val="00282310"/>
    <w:rsid w:val="00283FB3"/>
    <w:rsid w:val="00287487"/>
    <w:rsid w:val="002920DC"/>
    <w:rsid w:val="00292AD3"/>
    <w:rsid w:val="00292CBC"/>
    <w:rsid w:val="0029329F"/>
    <w:rsid w:val="00294598"/>
    <w:rsid w:val="0029673C"/>
    <w:rsid w:val="00297C30"/>
    <w:rsid w:val="002A0DAF"/>
    <w:rsid w:val="002A139F"/>
    <w:rsid w:val="002A1440"/>
    <w:rsid w:val="002A39A6"/>
    <w:rsid w:val="002A43F3"/>
    <w:rsid w:val="002A61CE"/>
    <w:rsid w:val="002A6EE4"/>
    <w:rsid w:val="002A7FE3"/>
    <w:rsid w:val="002B00BF"/>
    <w:rsid w:val="002B0157"/>
    <w:rsid w:val="002B1519"/>
    <w:rsid w:val="002B1ABA"/>
    <w:rsid w:val="002B6B65"/>
    <w:rsid w:val="002C0FDD"/>
    <w:rsid w:val="002C26EF"/>
    <w:rsid w:val="002C44C1"/>
    <w:rsid w:val="002D1A3E"/>
    <w:rsid w:val="002D1E6F"/>
    <w:rsid w:val="002D4810"/>
    <w:rsid w:val="002D693C"/>
    <w:rsid w:val="002D7318"/>
    <w:rsid w:val="002D7762"/>
    <w:rsid w:val="002E06AE"/>
    <w:rsid w:val="002E0818"/>
    <w:rsid w:val="002E0905"/>
    <w:rsid w:val="002E09A6"/>
    <w:rsid w:val="002E1F95"/>
    <w:rsid w:val="002E261F"/>
    <w:rsid w:val="002E49A9"/>
    <w:rsid w:val="002E62A9"/>
    <w:rsid w:val="002E654A"/>
    <w:rsid w:val="002E6DA7"/>
    <w:rsid w:val="002E70CF"/>
    <w:rsid w:val="002F0507"/>
    <w:rsid w:val="002F0D6E"/>
    <w:rsid w:val="002F1252"/>
    <w:rsid w:val="002F1E79"/>
    <w:rsid w:val="002F5040"/>
    <w:rsid w:val="00300149"/>
    <w:rsid w:val="0030014F"/>
    <w:rsid w:val="0030249B"/>
    <w:rsid w:val="0030271F"/>
    <w:rsid w:val="00303A60"/>
    <w:rsid w:val="003065BD"/>
    <w:rsid w:val="00306746"/>
    <w:rsid w:val="003074F5"/>
    <w:rsid w:val="003105EC"/>
    <w:rsid w:val="00310C25"/>
    <w:rsid w:val="00312CDC"/>
    <w:rsid w:val="00312CEA"/>
    <w:rsid w:val="00316678"/>
    <w:rsid w:val="0031674A"/>
    <w:rsid w:val="00317219"/>
    <w:rsid w:val="0032073C"/>
    <w:rsid w:val="00321FB3"/>
    <w:rsid w:val="003232B0"/>
    <w:rsid w:val="003243F8"/>
    <w:rsid w:val="00324E61"/>
    <w:rsid w:val="003263BE"/>
    <w:rsid w:val="003266F7"/>
    <w:rsid w:val="00327C56"/>
    <w:rsid w:val="00327F3D"/>
    <w:rsid w:val="0033196F"/>
    <w:rsid w:val="003321FE"/>
    <w:rsid w:val="003431D2"/>
    <w:rsid w:val="0034332B"/>
    <w:rsid w:val="0034552D"/>
    <w:rsid w:val="003515DF"/>
    <w:rsid w:val="00354BC6"/>
    <w:rsid w:val="00354FA0"/>
    <w:rsid w:val="003555FF"/>
    <w:rsid w:val="00360A64"/>
    <w:rsid w:val="0036147D"/>
    <w:rsid w:val="0036366E"/>
    <w:rsid w:val="00363701"/>
    <w:rsid w:val="00364F91"/>
    <w:rsid w:val="003656C9"/>
    <w:rsid w:val="00366470"/>
    <w:rsid w:val="0036670F"/>
    <w:rsid w:val="00371D9E"/>
    <w:rsid w:val="00372AB4"/>
    <w:rsid w:val="00373086"/>
    <w:rsid w:val="00374176"/>
    <w:rsid w:val="00376F81"/>
    <w:rsid w:val="00377858"/>
    <w:rsid w:val="00377DCD"/>
    <w:rsid w:val="0038143C"/>
    <w:rsid w:val="00381B82"/>
    <w:rsid w:val="003852D3"/>
    <w:rsid w:val="003856E2"/>
    <w:rsid w:val="0039196B"/>
    <w:rsid w:val="00392343"/>
    <w:rsid w:val="0039309F"/>
    <w:rsid w:val="003945F4"/>
    <w:rsid w:val="00396A88"/>
    <w:rsid w:val="003A0B48"/>
    <w:rsid w:val="003A1FE4"/>
    <w:rsid w:val="003A2810"/>
    <w:rsid w:val="003B210D"/>
    <w:rsid w:val="003B5909"/>
    <w:rsid w:val="003B7974"/>
    <w:rsid w:val="003C0D15"/>
    <w:rsid w:val="003C1DA7"/>
    <w:rsid w:val="003C44EE"/>
    <w:rsid w:val="003D2BC6"/>
    <w:rsid w:val="003D3941"/>
    <w:rsid w:val="003D46C1"/>
    <w:rsid w:val="003D501C"/>
    <w:rsid w:val="003D6D39"/>
    <w:rsid w:val="003E0AC6"/>
    <w:rsid w:val="003E1258"/>
    <w:rsid w:val="003E4964"/>
    <w:rsid w:val="003E4C9E"/>
    <w:rsid w:val="003E4DEC"/>
    <w:rsid w:val="003E7397"/>
    <w:rsid w:val="003E74C6"/>
    <w:rsid w:val="003F0251"/>
    <w:rsid w:val="003F0384"/>
    <w:rsid w:val="003F29BB"/>
    <w:rsid w:val="003F6966"/>
    <w:rsid w:val="003F7774"/>
    <w:rsid w:val="004012AE"/>
    <w:rsid w:val="00402AD1"/>
    <w:rsid w:val="00402F9C"/>
    <w:rsid w:val="00403BD5"/>
    <w:rsid w:val="004048AE"/>
    <w:rsid w:val="00405222"/>
    <w:rsid w:val="00407F9F"/>
    <w:rsid w:val="00410D37"/>
    <w:rsid w:val="004123BF"/>
    <w:rsid w:val="00412548"/>
    <w:rsid w:val="004130CA"/>
    <w:rsid w:val="00413602"/>
    <w:rsid w:val="0041389E"/>
    <w:rsid w:val="004143ED"/>
    <w:rsid w:val="004146A1"/>
    <w:rsid w:val="00422733"/>
    <w:rsid w:val="004234E1"/>
    <w:rsid w:val="004271FA"/>
    <w:rsid w:val="00427D7F"/>
    <w:rsid w:val="004325F2"/>
    <w:rsid w:val="0043381C"/>
    <w:rsid w:val="00433A25"/>
    <w:rsid w:val="00437B75"/>
    <w:rsid w:val="00440BDE"/>
    <w:rsid w:val="004415D7"/>
    <w:rsid w:val="004416EB"/>
    <w:rsid w:val="004445BD"/>
    <w:rsid w:val="00444911"/>
    <w:rsid w:val="004459E3"/>
    <w:rsid w:val="004460B7"/>
    <w:rsid w:val="004464D2"/>
    <w:rsid w:val="00446842"/>
    <w:rsid w:val="00446BA0"/>
    <w:rsid w:val="00446DED"/>
    <w:rsid w:val="0045111F"/>
    <w:rsid w:val="00451F69"/>
    <w:rsid w:val="00452AFC"/>
    <w:rsid w:val="004532DC"/>
    <w:rsid w:val="00454AFC"/>
    <w:rsid w:val="00456C7F"/>
    <w:rsid w:val="00460C6C"/>
    <w:rsid w:val="0046204C"/>
    <w:rsid w:val="00462491"/>
    <w:rsid w:val="004643EF"/>
    <w:rsid w:val="00464530"/>
    <w:rsid w:val="004646CA"/>
    <w:rsid w:val="00465510"/>
    <w:rsid w:val="004737A6"/>
    <w:rsid w:val="00474852"/>
    <w:rsid w:val="00475788"/>
    <w:rsid w:val="00475A07"/>
    <w:rsid w:val="004760DD"/>
    <w:rsid w:val="00476F92"/>
    <w:rsid w:val="0047728D"/>
    <w:rsid w:val="00480075"/>
    <w:rsid w:val="004803C3"/>
    <w:rsid w:val="00480CB2"/>
    <w:rsid w:val="00480DB3"/>
    <w:rsid w:val="0048153B"/>
    <w:rsid w:val="004816F7"/>
    <w:rsid w:val="00481A03"/>
    <w:rsid w:val="004863D2"/>
    <w:rsid w:val="00490D1A"/>
    <w:rsid w:val="00490F10"/>
    <w:rsid w:val="004915C2"/>
    <w:rsid w:val="00491B03"/>
    <w:rsid w:val="0049321E"/>
    <w:rsid w:val="00494C6D"/>
    <w:rsid w:val="00497591"/>
    <w:rsid w:val="004A0DE2"/>
    <w:rsid w:val="004A1B67"/>
    <w:rsid w:val="004A381B"/>
    <w:rsid w:val="004A562D"/>
    <w:rsid w:val="004A5FC3"/>
    <w:rsid w:val="004A69D3"/>
    <w:rsid w:val="004A6F1A"/>
    <w:rsid w:val="004B0786"/>
    <w:rsid w:val="004B4386"/>
    <w:rsid w:val="004B4B94"/>
    <w:rsid w:val="004B4EFC"/>
    <w:rsid w:val="004B5EC2"/>
    <w:rsid w:val="004C036F"/>
    <w:rsid w:val="004D06F0"/>
    <w:rsid w:val="004D74B1"/>
    <w:rsid w:val="004D79F9"/>
    <w:rsid w:val="004E0B27"/>
    <w:rsid w:val="004E1144"/>
    <w:rsid w:val="004E1291"/>
    <w:rsid w:val="004E23BE"/>
    <w:rsid w:val="004E3345"/>
    <w:rsid w:val="004E3399"/>
    <w:rsid w:val="004E48A7"/>
    <w:rsid w:val="004E5064"/>
    <w:rsid w:val="004E577A"/>
    <w:rsid w:val="004E5C48"/>
    <w:rsid w:val="004E602C"/>
    <w:rsid w:val="004E61C0"/>
    <w:rsid w:val="004F017E"/>
    <w:rsid w:val="004F0350"/>
    <w:rsid w:val="004F091F"/>
    <w:rsid w:val="004F1BF1"/>
    <w:rsid w:val="004F3A4E"/>
    <w:rsid w:val="004F4702"/>
    <w:rsid w:val="004F69C6"/>
    <w:rsid w:val="00504D8E"/>
    <w:rsid w:val="00506A60"/>
    <w:rsid w:val="005118A6"/>
    <w:rsid w:val="00512261"/>
    <w:rsid w:val="00512916"/>
    <w:rsid w:val="005142A3"/>
    <w:rsid w:val="00515353"/>
    <w:rsid w:val="005155E0"/>
    <w:rsid w:val="00515AE0"/>
    <w:rsid w:val="005166EC"/>
    <w:rsid w:val="00516A35"/>
    <w:rsid w:val="00520591"/>
    <w:rsid w:val="0052171B"/>
    <w:rsid w:val="00524873"/>
    <w:rsid w:val="00526172"/>
    <w:rsid w:val="00526CD8"/>
    <w:rsid w:val="00527E91"/>
    <w:rsid w:val="00531E97"/>
    <w:rsid w:val="0053283B"/>
    <w:rsid w:val="00532B0D"/>
    <w:rsid w:val="00533C08"/>
    <w:rsid w:val="00533FE7"/>
    <w:rsid w:val="005364B5"/>
    <w:rsid w:val="00540D08"/>
    <w:rsid w:val="00546BE5"/>
    <w:rsid w:val="0055279C"/>
    <w:rsid w:val="00553016"/>
    <w:rsid w:val="0055317C"/>
    <w:rsid w:val="0055617A"/>
    <w:rsid w:val="00561C82"/>
    <w:rsid w:val="00563954"/>
    <w:rsid w:val="005642BB"/>
    <w:rsid w:val="00564822"/>
    <w:rsid w:val="0056589D"/>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90163"/>
    <w:rsid w:val="00595335"/>
    <w:rsid w:val="005958D4"/>
    <w:rsid w:val="00597612"/>
    <w:rsid w:val="005A0564"/>
    <w:rsid w:val="005A1B09"/>
    <w:rsid w:val="005A4D18"/>
    <w:rsid w:val="005A4E82"/>
    <w:rsid w:val="005A6203"/>
    <w:rsid w:val="005B45D2"/>
    <w:rsid w:val="005B4F30"/>
    <w:rsid w:val="005B5784"/>
    <w:rsid w:val="005B67F4"/>
    <w:rsid w:val="005B6CDC"/>
    <w:rsid w:val="005B70C8"/>
    <w:rsid w:val="005B7994"/>
    <w:rsid w:val="005C5220"/>
    <w:rsid w:val="005D0DB6"/>
    <w:rsid w:val="005D164E"/>
    <w:rsid w:val="005D26A6"/>
    <w:rsid w:val="005D4B38"/>
    <w:rsid w:val="005D5557"/>
    <w:rsid w:val="005D7458"/>
    <w:rsid w:val="005E3601"/>
    <w:rsid w:val="005E4BED"/>
    <w:rsid w:val="005E4DF8"/>
    <w:rsid w:val="005E5030"/>
    <w:rsid w:val="005E54A4"/>
    <w:rsid w:val="005F0360"/>
    <w:rsid w:val="005F0406"/>
    <w:rsid w:val="005F42F2"/>
    <w:rsid w:val="006008DF"/>
    <w:rsid w:val="00600E49"/>
    <w:rsid w:val="00600F23"/>
    <w:rsid w:val="00601F19"/>
    <w:rsid w:val="006022B2"/>
    <w:rsid w:val="00607B5E"/>
    <w:rsid w:val="0061038A"/>
    <w:rsid w:val="00610FA0"/>
    <w:rsid w:val="00613C79"/>
    <w:rsid w:val="00615E29"/>
    <w:rsid w:val="006175E4"/>
    <w:rsid w:val="00620D53"/>
    <w:rsid w:val="00623FF2"/>
    <w:rsid w:val="0062474F"/>
    <w:rsid w:val="006253F1"/>
    <w:rsid w:val="006261BE"/>
    <w:rsid w:val="00626303"/>
    <w:rsid w:val="00626E1F"/>
    <w:rsid w:val="0063000C"/>
    <w:rsid w:val="0063035A"/>
    <w:rsid w:val="00630A5E"/>
    <w:rsid w:val="006365FE"/>
    <w:rsid w:val="00636A69"/>
    <w:rsid w:val="00636ACA"/>
    <w:rsid w:val="00640671"/>
    <w:rsid w:val="0064271A"/>
    <w:rsid w:val="00644B11"/>
    <w:rsid w:val="0064531F"/>
    <w:rsid w:val="006456DF"/>
    <w:rsid w:val="00647A22"/>
    <w:rsid w:val="00651705"/>
    <w:rsid w:val="00651913"/>
    <w:rsid w:val="00655E13"/>
    <w:rsid w:val="006625F0"/>
    <w:rsid w:val="00663199"/>
    <w:rsid w:val="00665349"/>
    <w:rsid w:val="0066552C"/>
    <w:rsid w:val="0066612A"/>
    <w:rsid w:val="006677B0"/>
    <w:rsid w:val="00670062"/>
    <w:rsid w:val="006702FC"/>
    <w:rsid w:val="006726D1"/>
    <w:rsid w:val="00674064"/>
    <w:rsid w:val="00677F7B"/>
    <w:rsid w:val="00685CE6"/>
    <w:rsid w:val="00686189"/>
    <w:rsid w:val="00686614"/>
    <w:rsid w:val="00694A83"/>
    <w:rsid w:val="00695F1A"/>
    <w:rsid w:val="00696357"/>
    <w:rsid w:val="006A0FCA"/>
    <w:rsid w:val="006A17B1"/>
    <w:rsid w:val="006A1D98"/>
    <w:rsid w:val="006A2A96"/>
    <w:rsid w:val="006A3072"/>
    <w:rsid w:val="006A3D8E"/>
    <w:rsid w:val="006A4E49"/>
    <w:rsid w:val="006A54CB"/>
    <w:rsid w:val="006B48F9"/>
    <w:rsid w:val="006B65D1"/>
    <w:rsid w:val="006B6C6B"/>
    <w:rsid w:val="006B6D3A"/>
    <w:rsid w:val="006B7627"/>
    <w:rsid w:val="006B78B7"/>
    <w:rsid w:val="006B7B94"/>
    <w:rsid w:val="006C0083"/>
    <w:rsid w:val="006C06CB"/>
    <w:rsid w:val="006C2D10"/>
    <w:rsid w:val="006C48BC"/>
    <w:rsid w:val="006C5C98"/>
    <w:rsid w:val="006C75AB"/>
    <w:rsid w:val="006D045D"/>
    <w:rsid w:val="006D1094"/>
    <w:rsid w:val="006D27B0"/>
    <w:rsid w:val="006D4572"/>
    <w:rsid w:val="006D45D0"/>
    <w:rsid w:val="006D5D26"/>
    <w:rsid w:val="006D6A0D"/>
    <w:rsid w:val="006D719D"/>
    <w:rsid w:val="006E21B3"/>
    <w:rsid w:val="006E232C"/>
    <w:rsid w:val="006E23A4"/>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FCE"/>
    <w:rsid w:val="00701FF7"/>
    <w:rsid w:val="00706D83"/>
    <w:rsid w:val="00710881"/>
    <w:rsid w:val="007108A0"/>
    <w:rsid w:val="00713551"/>
    <w:rsid w:val="00716951"/>
    <w:rsid w:val="007204C5"/>
    <w:rsid w:val="00720FB5"/>
    <w:rsid w:val="007214B8"/>
    <w:rsid w:val="00726C25"/>
    <w:rsid w:val="007322A0"/>
    <w:rsid w:val="0073245C"/>
    <w:rsid w:val="00732859"/>
    <w:rsid w:val="007329C4"/>
    <w:rsid w:val="00732ED9"/>
    <w:rsid w:val="007338D1"/>
    <w:rsid w:val="0073727C"/>
    <w:rsid w:val="00743FEE"/>
    <w:rsid w:val="007458A7"/>
    <w:rsid w:val="0074679E"/>
    <w:rsid w:val="00746851"/>
    <w:rsid w:val="0074720B"/>
    <w:rsid w:val="007477B4"/>
    <w:rsid w:val="00750030"/>
    <w:rsid w:val="00751F41"/>
    <w:rsid w:val="00753AE5"/>
    <w:rsid w:val="007549EF"/>
    <w:rsid w:val="0076063C"/>
    <w:rsid w:val="0076063F"/>
    <w:rsid w:val="007638CB"/>
    <w:rsid w:val="007653F7"/>
    <w:rsid w:val="00766FEB"/>
    <w:rsid w:val="007709E3"/>
    <w:rsid w:val="00772EDA"/>
    <w:rsid w:val="0077388E"/>
    <w:rsid w:val="007812F4"/>
    <w:rsid w:val="00781D14"/>
    <w:rsid w:val="007824E0"/>
    <w:rsid w:val="00787165"/>
    <w:rsid w:val="00791201"/>
    <w:rsid w:val="007935C6"/>
    <w:rsid w:val="007954F2"/>
    <w:rsid w:val="0079585B"/>
    <w:rsid w:val="00795CDC"/>
    <w:rsid w:val="007965F1"/>
    <w:rsid w:val="00796CC8"/>
    <w:rsid w:val="007A0563"/>
    <w:rsid w:val="007A1721"/>
    <w:rsid w:val="007A1A67"/>
    <w:rsid w:val="007A2AAC"/>
    <w:rsid w:val="007A4709"/>
    <w:rsid w:val="007A5210"/>
    <w:rsid w:val="007A54F7"/>
    <w:rsid w:val="007A6359"/>
    <w:rsid w:val="007A6B4E"/>
    <w:rsid w:val="007B340F"/>
    <w:rsid w:val="007B37ED"/>
    <w:rsid w:val="007B3A9E"/>
    <w:rsid w:val="007B64FF"/>
    <w:rsid w:val="007C1DC9"/>
    <w:rsid w:val="007C2A79"/>
    <w:rsid w:val="007C493C"/>
    <w:rsid w:val="007C5083"/>
    <w:rsid w:val="007C6D00"/>
    <w:rsid w:val="007C7EA3"/>
    <w:rsid w:val="007D0838"/>
    <w:rsid w:val="007D08D1"/>
    <w:rsid w:val="007D1AD1"/>
    <w:rsid w:val="007D1FDE"/>
    <w:rsid w:val="007D2E68"/>
    <w:rsid w:val="007D3435"/>
    <w:rsid w:val="007D3873"/>
    <w:rsid w:val="007D4E8E"/>
    <w:rsid w:val="007D51C2"/>
    <w:rsid w:val="007D600C"/>
    <w:rsid w:val="007E0C17"/>
    <w:rsid w:val="007E2C20"/>
    <w:rsid w:val="007E3BF1"/>
    <w:rsid w:val="007E5E2B"/>
    <w:rsid w:val="007E5F6C"/>
    <w:rsid w:val="007E66CE"/>
    <w:rsid w:val="007F1C4B"/>
    <w:rsid w:val="007F24C1"/>
    <w:rsid w:val="007F2B52"/>
    <w:rsid w:val="007F3DB4"/>
    <w:rsid w:val="007F3FE5"/>
    <w:rsid w:val="007F44E6"/>
    <w:rsid w:val="007F6252"/>
    <w:rsid w:val="007F6859"/>
    <w:rsid w:val="007F6EE9"/>
    <w:rsid w:val="007F7AE1"/>
    <w:rsid w:val="00800230"/>
    <w:rsid w:val="0080126D"/>
    <w:rsid w:val="0080776D"/>
    <w:rsid w:val="008079AD"/>
    <w:rsid w:val="00807A7A"/>
    <w:rsid w:val="00812BA7"/>
    <w:rsid w:val="00812D4D"/>
    <w:rsid w:val="00814800"/>
    <w:rsid w:val="00816249"/>
    <w:rsid w:val="0082120A"/>
    <w:rsid w:val="00821BAF"/>
    <w:rsid w:val="008221F7"/>
    <w:rsid w:val="008223BB"/>
    <w:rsid w:val="008230FC"/>
    <w:rsid w:val="00824062"/>
    <w:rsid w:val="0082455D"/>
    <w:rsid w:val="00825545"/>
    <w:rsid w:val="00826E2B"/>
    <w:rsid w:val="00834A91"/>
    <w:rsid w:val="00834B98"/>
    <w:rsid w:val="00836C74"/>
    <w:rsid w:val="0084152F"/>
    <w:rsid w:val="008419AF"/>
    <w:rsid w:val="00844669"/>
    <w:rsid w:val="00845C66"/>
    <w:rsid w:val="00846056"/>
    <w:rsid w:val="0084671C"/>
    <w:rsid w:val="008524A5"/>
    <w:rsid w:val="00853464"/>
    <w:rsid w:val="00853CAC"/>
    <w:rsid w:val="0085478E"/>
    <w:rsid w:val="00854896"/>
    <w:rsid w:val="0085560F"/>
    <w:rsid w:val="008571A7"/>
    <w:rsid w:val="00857B46"/>
    <w:rsid w:val="0086121B"/>
    <w:rsid w:val="00862AA0"/>
    <w:rsid w:val="00863991"/>
    <w:rsid w:val="0086579C"/>
    <w:rsid w:val="008677CE"/>
    <w:rsid w:val="00871D55"/>
    <w:rsid w:val="00872C29"/>
    <w:rsid w:val="0087305F"/>
    <w:rsid w:val="00874281"/>
    <w:rsid w:val="0087524E"/>
    <w:rsid w:val="00876001"/>
    <w:rsid w:val="00876220"/>
    <w:rsid w:val="0087643C"/>
    <w:rsid w:val="008768D9"/>
    <w:rsid w:val="0087695E"/>
    <w:rsid w:val="00883096"/>
    <w:rsid w:val="00883197"/>
    <w:rsid w:val="00885434"/>
    <w:rsid w:val="00892BCE"/>
    <w:rsid w:val="00894D8B"/>
    <w:rsid w:val="008950F5"/>
    <w:rsid w:val="00895791"/>
    <w:rsid w:val="00896A4A"/>
    <w:rsid w:val="008A472E"/>
    <w:rsid w:val="008A567D"/>
    <w:rsid w:val="008B04E0"/>
    <w:rsid w:val="008B2430"/>
    <w:rsid w:val="008B3FFD"/>
    <w:rsid w:val="008B4FDA"/>
    <w:rsid w:val="008B5E2E"/>
    <w:rsid w:val="008B6308"/>
    <w:rsid w:val="008C308C"/>
    <w:rsid w:val="008C68F9"/>
    <w:rsid w:val="008C7B8A"/>
    <w:rsid w:val="008D2689"/>
    <w:rsid w:val="008D3E31"/>
    <w:rsid w:val="008D4B01"/>
    <w:rsid w:val="008D6A65"/>
    <w:rsid w:val="008E1FE6"/>
    <w:rsid w:val="008E2AF0"/>
    <w:rsid w:val="008E46EE"/>
    <w:rsid w:val="008F100F"/>
    <w:rsid w:val="008F1BF9"/>
    <w:rsid w:val="008F4562"/>
    <w:rsid w:val="008F49B5"/>
    <w:rsid w:val="008F545D"/>
    <w:rsid w:val="008F58BD"/>
    <w:rsid w:val="008F5F48"/>
    <w:rsid w:val="008F75F6"/>
    <w:rsid w:val="00903E85"/>
    <w:rsid w:val="00906A1B"/>
    <w:rsid w:val="00914131"/>
    <w:rsid w:val="00915507"/>
    <w:rsid w:val="009155C5"/>
    <w:rsid w:val="00916A60"/>
    <w:rsid w:val="00917B0D"/>
    <w:rsid w:val="00923229"/>
    <w:rsid w:val="00923CB6"/>
    <w:rsid w:val="0092600E"/>
    <w:rsid w:val="00927C0C"/>
    <w:rsid w:val="009304E3"/>
    <w:rsid w:val="009314F3"/>
    <w:rsid w:val="009338E4"/>
    <w:rsid w:val="00940EC5"/>
    <w:rsid w:val="009413A5"/>
    <w:rsid w:val="00943FBC"/>
    <w:rsid w:val="00944252"/>
    <w:rsid w:val="00945C1A"/>
    <w:rsid w:val="0094679D"/>
    <w:rsid w:val="00947196"/>
    <w:rsid w:val="00950A78"/>
    <w:rsid w:val="00952064"/>
    <w:rsid w:val="009522E9"/>
    <w:rsid w:val="00953A0B"/>
    <w:rsid w:val="009603BB"/>
    <w:rsid w:val="00962E32"/>
    <w:rsid w:val="00966172"/>
    <w:rsid w:val="00967A2F"/>
    <w:rsid w:val="00967CE3"/>
    <w:rsid w:val="009704CC"/>
    <w:rsid w:val="009712AD"/>
    <w:rsid w:val="00972855"/>
    <w:rsid w:val="00976996"/>
    <w:rsid w:val="00976FA9"/>
    <w:rsid w:val="009776A4"/>
    <w:rsid w:val="00980229"/>
    <w:rsid w:val="009807E8"/>
    <w:rsid w:val="009878F8"/>
    <w:rsid w:val="009914D9"/>
    <w:rsid w:val="009925A2"/>
    <w:rsid w:val="00993445"/>
    <w:rsid w:val="00993494"/>
    <w:rsid w:val="00997803"/>
    <w:rsid w:val="009A0242"/>
    <w:rsid w:val="009A3E79"/>
    <w:rsid w:val="009A5024"/>
    <w:rsid w:val="009A6106"/>
    <w:rsid w:val="009A6228"/>
    <w:rsid w:val="009B11CE"/>
    <w:rsid w:val="009B2E80"/>
    <w:rsid w:val="009B40BA"/>
    <w:rsid w:val="009B5348"/>
    <w:rsid w:val="009B6FDE"/>
    <w:rsid w:val="009B701F"/>
    <w:rsid w:val="009C2D0A"/>
    <w:rsid w:val="009C3AFA"/>
    <w:rsid w:val="009C3B52"/>
    <w:rsid w:val="009C4325"/>
    <w:rsid w:val="009C4707"/>
    <w:rsid w:val="009C6DDE"/>
    <w:rsid w:val="009D18F0"/>
    <w:rsid w:val="009D2BE0"/>
    <w:rsid w:val="009D3396"/>
    <w:rsid w:val="009D3590"/>
    <w:rsid w:val="009D5496"/>
    <w:rsid w:val="009E408C"/>
    <w:rsid w:val="009E580F"/>
    <w:rsid w:val="009E63ED"/>
    <w:rsid w:val="009E7290"/>
    <w:rsid w:val="009E7EDE"/>
    <w:rsid w:val="009F28C6"/>
    <w:rsid w:val="009F36B0"/>
    <w:rsid w:val="009F3C7E"/>
    <w:rsid w:val="009F446F"/>
    <w:rsid w:val="009F5D6E"/>
    <w:rsid w:val="009F5DD1"/>
    <w:rsid w:val="009F61A8"/>
    <w:rsid w:val="00A00A5F"/>
    <w:rsid w:val="00A037E3"/>
    <w:rsid w:val="00A062A5"/>
    <w:rsid w:val="00A0729D"/>
    <w:rsid w:val="00A077BA"/>
    <w:rsid w:val="00A10717"/>
    <w:rsid w:val="00A109C9"/>
    <w:rsid w:val="00A117E5"/>
    <w:rsid w:val="00A13D22"/>
    <w:rsid w:val="00A146F8"/>
    <w:rsid w:val="00A2210E"/>
    <w:rsid w:val="00A2271E"/>
    <w:rsid w:val="00A22E48"/>
    <w:rsid w:val="00A2311E"/>
    <w:rsid w:val="00A24C9E"/>
    <w:rsid w:val="00A26D37"/>
    <w:rsid w:val="00A27EFA"/>
    <w:rsid w:val="00A3290C"/>
    <w:rsid w:val="00A32AF9"/>
    <w:rsid w:val="00A34FB3"/>
    <w:rsid w:val="00A351D9"/>
    <w:rsid w:val="00A37F9A"/>
    <w:rsid w:val="00A40931"/>
    <w:rsid w:val="00A424FC"/>
    <w:rsid w:val="00A4284C"/>
    <w:rsid w:val="00A42BBE"/>
    <w:rsid w:val="00A44A4F"/>
    <w:rsid w:val="00A46EE6"/>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12C3"/>
    <w:rsid w:val="00A82FB4"/>
    <w:rsid w:val="00A8327C"/>
    <w:rsid w:val="00A837D3"/>
    <w:rsid w:val="00A838F1"/>
    <w:rsid w:val="00A84826"/>
    <w:rsid w:val="00A850CE"/>
    <w:rsid w:val="00A92065"/>
    <w:rsid w:val="00A94F75"/>
    <w:rsid w:val="00A95469"/>
    <w:rsid w:val="00A95DC0"/>
    <w:rsid w:val="00AA373B"/>
    <w:rsid w:val="00AA4E21"/>
    <w:rsid w:val="00AB108E"/>
    <w:rsid w:val="00AB1BD1"/>
    <w:rsid w:val="00AB1EFE"/>
    <w:rsid w:val="00AB2A82"/>
    <w:rsid w:val="00AB5A42"/>
    <w:rsid w:val="00AB6C65"/>
    <w:rsid w:val="00AB70D9"/>
    <w:rsid w:val="00AC09A1"/>
    <w:rsid w:val="00AC0AA3"/>
    <w:rsid w:val="00AC3865"/>
    <w:rsid w:val="00AC5CEC"/>
    <w:rsid w:val="00AC6ED9"/>
    <w:rsid w:val="00AC71DA"/>
    <w:rsid w:val="00AD06A7"/>
    <w:rsid w:val="00AD0AC0"/>
    <w:rsid w:val="00AD1217"/>
    <w:rsid w:val="00AD1331"/>
    <w:rsid w:val="00AD2034"/>
    <w:rsid w:val="00AD35AF"/>
    <w:rsid w:val="00AD37E6"/>
    <w:rsid w:val="00AD4C45"/>
    <w:rsid w:val="00AD5637"/>
    <w:rsid w:val="00AD7772"/>
    <w:rsid w:val="00AE017C"/>
    <w:rsid w:val="00AE1898"/>
    <w:rsid w:val="00AE34D4"/>
    <w:rsid w:val="00AE35F8"/>
    <w:rsid w:val="00AE3A1F"/>
    <w:rsid w:val="00AE7437"/>
    <w:rsid w:val="00AF13FA"/>
    <w:rsid w:val="00AF1EF4"/>
    <w:rsid w:val="00AF313B"/>
    <w:rsid w:val="00AF50C3"/>
    <w:rsid w:val="00AF589C"/>
    <w:rsid w:val="00B0056A"/>
    <w:rsid w:val="00B01637"/>
    <w:rsid w:val="00B02403"/>
    <w:rsid w:val="00B03081"/>
    <w:rsid w:val="00B05E39"/>
    <w:rsid w:val="00B062E4"/>
    <w:rsid w:val="00B10650"/>
    <w:rsid w:val="00B11CD6"/>
    <w:rsid w:val="00B13AFF"/>
    <w:rsid w:val="00B14C9A"/>
    <w:rsid w:val="00B1661F"/>
    <w:rsid w:val="00B17416"/>
    <w:rsid w:val="00B21103"/>
    <w:rsid w:val="00B26643"/>
    <w:rsid w:val="00B26EB6"/>
    <w:rsid w:val="00B2704C"/>
    <w:rsid w:val="00B30389"/>
    <w:rsid w:val="00B342DE"/>
    <w:rsid w:val="00B3536E"/>
    <w:rsid w:val="00B3742F"/>
    <w:rsid w:val="00B37A94"/>
    <w:rsid w:val="00B44698"/>
    <w:rsid w:val="00B45518"/>
    <w:rsid w:val="00B50380"/>
    <w:rsid w:val="00B503CD"/>
    <w:rsid w:val="00B50796"/>
    <w:rsid w:val="00B51858"/>
    <w:rsid w:val="00B55E22"/>
    <w:rsid w:val="00B56C58"/>
    <w:rsid w:val="00B617ED"/>
    <w:rsid w:val="00B63E0F"/>
    <w:rsid w:val="00B7018E"/>
    <w:rsid w:val="00B73DE6"/>
    <w:rsid w:val="00B7493D"/>
    <w:rsid w:val="00B74B43"/>
    <w:rsid w:val="00B74DAE"/>
    <w:rsid w:val="00B75B45"/>
    <w:rsid w:val="00B75F8E"/>
    <w:rsid w:val="00B82051"/>
    <w:rsid w:val="00B83519"/>
    <w:rsid w:val="00B85096"/>
    <w:rsid w:val="00B86D7B"/>
    <w:rsid w:val="00B90432"/>
    <w:rsid w:val="00B91F7B"/>
    <w:rsid w:val="00B93E4B"/>
    <w:rsid w:val="00B942D3"/>
    <w:rsid w:val="00B94C99"/>
    <w:rsid w:val="00B96E6F"/>
    <w:rsid w:val="00B973A2"/>
    <w:rsid w:val="00B977A5"/>
    <w:rsid w:val="00BA08A5"/>
    <w:rsid w:val="00BA0BEA"/>
    <w:rsid w:val="00BA1EE0"/>
    <w:rsid w:val="00BA2304"/>
    <w:rsid w:val="00BA3C64"/>
    <w:rsid w:val="00BA4970"/>
    <w:rsid w:val="00BB0921"/>
    <w:rsid w:val="00BB4F68"/>
    <w:rsid w:val="00BB4FBB"/>
    <w:rsid w:val="00BB5CEE"/>
    <w:rsid w:val="00BB6FD5"/>
    <w:rsid w:val="00BC03BE"/>
    <w:rsid w:val="00BC0A2A"/>
    <w:rsid w:val="00BC125B"/>
    <w:rsid w:val="00BC24CA"/>
    <w:rsid w:val="00BC5E75"/>
    <w:rsid w:val="00BD03A0"/>
    <w:rsid w:val="00BD1498"/>
    <w:rsid w:val="00BD2131"/>
    <w:rsid w:val="00BD279E"/>
    <w:rsid w:val="00BD768B"/>
    <w:rsid w:val="00BE0050"/>
    <w:rsid w:val="00BE0B23"/>
    <w:rsid w:val="00BE4580"/>
    <w:rsid w:val="00BE591B"/>
    <w:rsid w:val="00BE6A49"/>
    <w:rsid w:val="00BF26BF"/>
    <w:rsid w:val="00BF27BF"/>
    <w:rsid w:val="00BF2B64"/>
    <w:rsid w:val="00BF4237"/>
    <w:rsid w:val="00BF4945"/>
    <w:rsid w:val="00BF7DEA"/>
    <w:rsid w:val="00C059C2"/>
    <w:rsid w:val="00C11776"/>
    <w:rsid w:val="00C15592"/>
    <w:rsid w:val="00C16774"/>
    <w:rsid w:val="00C17498"/>
    <w:rsid w:val="00C1785F"/>
    <w:rsid w:val="00C230C7"/>
    <w:rsid w:val="00C24116"/>
    <w:rsid w:val="00C2767C"/>
    <w:rsid w:val="00C31797"/>
    <w:rsid w:val="00C32456"/>
    <w:rsid w:val="00C33340"/>
    <w:rsid w:val="00C353F5"/>
    <w:rsid w:val="00C36F41"/>
    <w:rsid w:val="00C4237B"/>
    <w:rsid w:val="00C4239E"/>
    <w:rsid w:val="00C437FB"/>
    <w:rsid w:val="00C47AF7"/>
    <w:rsid w:val="00C50582"/>
    <w:rsid w:val="00C52F1F"/>
    <w:rsid w:val="00C55492"/>
    <w:rsid w:val="00C57457"/>
    <w:rsid w:val="00C57D6C"/>
    <w:rsid w:val="00C60B92"/>
    <w:rsid w:val="00C65B9A"/>
    <w:rsid w:val="00C65FC7"/>
    <w:rsid w:val="00C71B0E"/>
    <w:rsid w:val="00C74C82"/>
    <w:rsid w:val="00C772C1"/>
    <w:rsid w:val="00C77758"/>
    <w:rsid w:val="00C802DD"/>
    <w:rsid w:val="00C81502"/>
    <w:rsid w:val="00C815D7"/>
    <w:rsid w:val="00C8553C"/>
    <w:rsid w:val="00C97CBC"/>
    <w:rsid w:val="00CA061B"/>
    <w:rsid w:val="00CA105D"/>
    <w:rsid w:val="00CA137A"/>
    <w:rsid w:val="00CA17AB"/>
    <w:rsid w:val="00CA2132"/>
    <w:rsid w:val="00CA2AC1"/>
    <w:rsid w:val="00CA3676"/>
    <w:rsid w:val="00CA3698"/>
    <w:rsid w:val="00CA43D4"/>
    <w:rsid w:val="00CA76B0"/>
    <w:rsid w:val="00CB4FD9"/>
    <w:rsid w:val="00CB6A07"/>
    <w:rsid w:val="00CB7A3D"/>
    <w:rsid w:val="00CC05A2"/>
    <w:rsid w:val="00CC277D"/>
    <w:rsid w:val="00CC4BE8"/>
    <w:rsid w:val="00CC66F1"/>
    <w:rsid w:val="00CD3E8C"/>
    <w:rsid w:val="00CE3413"/>
    <w:rsid w:val="00CE3785"/>
    <w:rsid w:val="00CE5669"/>
    <w:rsid w:val="00CE595B"/>
    <w:rsid w:val="00CE6C64"/>
    <w:rsid w:val="00CF00DE"/>
    <w:rsid w:val="00CF41F6"/>
    <w:rsid w:val="00CF433E"/>
    <w:rsid w:val="00CF5322"/>
    <w:rsid w:val="00CF72F5"/>
    <w:rsid w:val="00D0071D"/>
    <w:rsid w:val="00D01AA2"/>
    <w:rsid w:val="00D025BE"/>
    <w:rsid w:val="00D037A5"/>
    <w:rsid w:val="00D060D7"/>
    <w:rsid w:val="00D069CB"/>
    <w:rsid w:val="00D07E30"/>
    <w:rsid w:val="00D11937"/>
    <w:rsid w:val="00D15B19"/>
    <w:rsid w:val="00D1718F"/>
    <w:rsid w:val="00D20952"/>
    <w:rsid w:val="00D23038"/>
    <w:rsid w:val="00D25435"/>
    <w:rsid w:val="00D26CB1"/>
    <w:rsid w:val="00D3022D"/>
    <w:rsid w:val="00D30EB4"/>
    <w:rsid w:val="00D31D26"/>
    <w:rsid w:val="00D32377"/>
    <w:rsid w:val="00D3272F"/>
    <w:rsid w:val="00D329B6"/>
    <w:rsid w:val="00D335EE"/>
    <w:rsid w:val="00D3361F"/>
    <w:rsid w:val="00D352B1"/>
    <w:rsid w:val="00D356AF"/>
    <w:rsid w:val="00D35EB3"/>
    <w:rsid w:val="00D3646B"/>
    <w:rsid w:val="00D36C6D"/>
    <w:rsid w:val="00D37C97"/>
    <w:rsid w:val="00D418DD"/>
    <w:rsid w:val="00D42513"/>
    <w:rsid w:val="00D5258E"/>
    <w:rsid w:val="00D52D25"/>
    <w:rsid w:val="00D55165"/>
    <w:rsid w:val="00D57878"/>
    <w:rsid w:val="00D6101F"/>
    <w:rsid w:val="00D611D7"/>
    <w:rsid w:val="00D6120B"/>
    <w:rsid w:val="00D61661"/>
    <w:rsid w:val="00D617F5"/>
    <w:rsid w:val="00D61CB8"/>
    <w:rsid w:val="00D62C97"/>
    <w:rsid w:val="00D63351"/>
    <w:rsid w:val="00D63801"/>
    <w:rsid w:val="00D66175"/>
    <w:rsid w:val="00D66D4F"/>
    <w:rsid w:val="00D7184D"/>
    <w:rsid w:val="00D73ACB"/>
    <w:rsid w:val="00D73F67"/>
    <w:rsid w:val="00D745B6"/>
    <w:rsid w:val="00D75813"/>
    <w:rsid w:val="00D760BA"/>
    <w:rsid w:val="00D76566"/>
    <w:rsid w:val="00D76B7D"/>
    <w:rsid w:val="00D807A1"/>
    <w:rsid w:val="00D81A10"/>
    <w:rsid w:val="00D84B2C"/>
    <w:rsid w:val="00D84E91"/>
    <w:rsid w:val="00D860C4"/>
    <w:rsid w:val="00D91BA2"/>
    <w:rsid w:val="00D9330B"/>
    <w:rsid w:val="00D96D5A"/>
    <w:rsid w:val="00D974A2"/>
    <w:rsid w:val="00DA03CC"/>
    <w:rsid w:val="00DA0769"/>
    <w:rsid w:val="00DA1C9E"/>
    <w:rsid w:val="00DA38D0"/>
    <w:rsid w:val="00DA6B1C"/>
    <w:rsid w:val="00DB0259"/>
    <w:rsid w:val="00DB11B1"/>
    <w:rsid w:val="00DB14A0"/>
    <w:rsid w:val="00DB24DB"/>
    <w:rsid w:val="00DB7CFE"/>
    <w:rsid w:val="00DC1203"/>
    <w:rsid w:val="00DC1983"/>
    <w:rsid w:val="00DC2E69"/>
    <w:rsid w:val="00DC3E47"/>
    <w:rsid w:val="00DC4C5F"/>
    <w:rsid w:val="00DC4E6B"/>
    <w:rsid w:val="00DD1C42"/>
    <w:rsid w:val="00DD38A5"/>
    <w:rsid w:val="00DD7B2C"/>
    <w:rsid w:val="00DE2012"/>
    <w:rsid w:val="00DE2524"/>
    <w:rsid w:val="00DE3568"/>
    <w:rsid w:val="00DE64DD"/>
    <w:rsid w:val="00DF0A47"/>
    <w:rsid w:val="00DF249D"/>
    <w:rsid w:val="00DF253C"/>
    <w:rsid w:val="00DF29CD"/>
    <w:rsid w:val="00E01C98"/>
    <w:rsid w:val="00E03944"/>
    <w:rsid w:val="00E07A02"/>
    <w:rsid w:val="00E1011C"/>
    <w:rsid w:val="00E11C8D"/>
    <w:rsid w:val="00E12308"/>
    <w:rsid w:val="00E12E8B"/>
    <w:rsid w:val="00E13CB3"/>
    <w:rsid w:val="00E1634B"/>
    <w:rsid w:val="00E16EB3"/>
    <w:rsid w:val="00E20811"/>
    <w:rsid w:val="00E20ECD"/>
    <w:rsid w:val="00E211D7"/>
    <w:rsid w:val="00E213DC"/>
    <w:rsid w:val="00E25338"/>
    <w:rsid w:val="00E26F14"/>
    <w:rsid w:val="00E301AF"/>
    <w:rsid w:val="00E307BC"/>
    <w:rsid w:val="00E32957"/>
    <w:rsid w:val="00E35E31"/>
    <w:rsid w:val="00E406BA"/>
    <w:rsid w:val="00E40B20"/>
    <w:rsid w:val="00E4537D"/>
    <w:rsid w:val="00E45C8B"/>
    <w:rsid w:val="00E46FC6"/>
    <w:rsid w:val="00E478B7"/>
    <w:rsid w:val="00E541D3"/>
    <w:rsid w:val="00E54D3C"/>
    <w:rsid w:val="00E62B64"/>
    <w:rsid w:val="00E63D4D"/>
    <w:rsid w:val="00E6430E"/>
    <w:rsid w:val="00E64EAD"/>
    <w:rsid w:val="00E66A92"/>
    <w:rsid w:val="00E678AC"/>
    <w:rsid w:val="00E761D9"/>
    <w:rsid w:val="00E8177E"/>
    <w:rsid w:val="00E81A7A"/>
    <w:rsid w:val="00E82AA9"/>
    <w:rsid w:val="00E83ACD"/>
    <w:rsid w:val="00E83DA3"/>
    <w:rsid w:val="00E879D6"/>
    <w:rsid w:val="00E94465"/>
    <w:rsid w:val="00E951F8"/>
    <w:rsid w:val="00E95676"/>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59D3"/>
    <w:rsid w:val="00ED26C5"/>
    <w:rsid w:val="00ED3583"/>
    <w:rsid w:val="00ED4FEF"/>
    <w:rsid w:val="00ED51DC"/>
    <w:rsid w:val="00ED5A09"/>
    <w:rsid w:val="00ED671E"/>
    <w:rsid w:val="00EE1120"/>
    <w:rsid w:val="00EE3889"/>
    <w:rsid w:val="00EE5E06"/>
    <w:rsid w:val="00EF187A"/>
    <w:rsid w:val="00EF34AF"/>
    <w:rsid w:val="00EF38F6"/>
    <w:rsid w:val="00EF4AFE"/>
    <w:rsid w:val="00EF756D"/>
    <w:rsid w:val="00EF7FA3"/>
    <w:rsid w:val="00F03C31"/>
    <w:rsid w:val="00F06C25"/>
    <w:rsid w:val="00F100BE"/>
    <w:rsid w:val="00F10BBA"/>
    <w:rsid w:val="00F111D7"/>
    <w:rsid w:val="00F11545"/>
    <w:rsid w:val="00F11E23"/>
    <w:rsid w:val="00F12F01"/>
    <w:rsid w:val="00F14AAC"/>
    <w:rsid w:val="00F15361"/>
    <w:rsid w:val="00F208F7"/>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4B2"/>
    <w:rsid w:val="00F4689F"/>
    <w:rsid w:val="00F50878"/>
    <w:rsid w:val="00F515B4"/>
    <w:rsid w:val="00F52BB2"/>
    <w:rsid w:val="00F536C8"/>
    <w:rsid w:val="00F53F03"/>
    <w:rsid w:val="00F54FDC"/>
    <w:rsid w:val="00F56246"/>
    <w:rsid w:val="00F578D2"/>
    <w:rsid w:val="00F57B64"/>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38E"/>
    <w:rsid w:val="00F9081F"/>
    <w:rsid w:val="00F91795"/>
    <w:rsid w:val="00F92365"/>
    <w:rsid w:val="00F93711"/>
    <w:rsid w:val="00F93956"/>
    <w:rsid w:val="00F941CD"/>
    <w:rsid w:val="00F94220"/>
    <w:rsid w:val="00F9477D"/>
    <w:rsid w:val="00F97236"/>
    <w:rsid w:val="00F97B71"/>
    <w:rsid w:val="00FA06D4"/>
    <w:rsid w:val="00FA11D9"/>
    <w:rsid w:val="00FA1936"/>
    <w:rsid w:val="00FA6C09"/>
    <w:rsid w:val="00FB1989"/>
    <w:rsid w:val="00FB2564"/>
    <w:rsid w:val="00FB2C9E"/>
    <w:rsid w:val="00FB35E7"/>
    <w:rsid w:val="00FB6262"/>
    <w:rsid w:val="00FC0A17"/>
    <w:rsid w:val="00FC0BCD"/>
    <w:rsid w:val="00FC1A6E"/>
    <w:rsid w:val="00FC1BD4"/>
    <w:rsid w:val="00FC1EC7"/>
    <w:rsid w:val="00FC20DD"/>
    <w:rsid w:val="00FC22F5"/>
    <w:rsid w:val="00FC23B1"/>
    <w:rsid w:val="00FC2B86"/>
    <w:rsid w:val="00FC4D19"/>
    <w:rsid w:val="00FC58F7"/>
    <w:rsid w:val="00FC65CA"/>
    <w:rsid w:val="00FC7798"/>
    <w:rsid w:val="00FD308B"/>
    <w:rsid w:val="00FD3EBF"/>
    <w:rsid w:val="00FD7282"/>
    <w:rsid w:val="00FE028F"/>
    <w:rsid w:val="00FE22ED"/>
    <w:rsid w:val="00FE77E2"/>
    <w:rsid w:val="00FF02C3"/>
    <w:rsid w:val="00FF0EA2"/>
    <w:rsid w:val="00FF332A"/>
    <w:rsid w:val="00FF38B6"/>
    <w:rsid w:val="00FF39E5"/>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link w:val="FootnoteTextChar"/>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 w:type="character" w:customStyle="1" w:styleId="FootnoteTextChar">
    <w:name w:val="Footnote Text Char"/>
    <w:basedOn w:val="DefaultParagraphFont"/>
    <w:link w:val="FootnoteText"/>
    <w:semiHidden/>
    <w:rsid w:val="006A54CB"/>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867791657">
      <w:bodyDiv w:val="1"/>
      <w:marLeft w:val="0"/>
      <w:marRight w:val="0"/>
      <w:marTop w:val="0"/>
      <w:marBottom w:val="0"/>
      <w:divBdr>
        <w:top w:val="none" w:sz="0" w:space="0" w:color="auto"/>
        <w:left w:val="none" w:sz="0" w:space="0" w:color="auto"/>
        <w:bottom w:val="none" w:sz="0" w:space="0" w:color="auto"/>
        <w:right w:val="none" w:sz="0" w:space="0" w:color="auto"/>
      </w:divBdr>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EA205-A0C0-459B-A61D-76F7892D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6</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2019-12-09T12:27:00Z</cp:lastPrinted>
  <dcterms:created xsi:type="dcterms:W3CDTF">2022-11-11T08:41:00Z</dcterms:created>
  <dcterms:modified xsi:type="dcterms:W3CDTF">2022-11-11T08:46:00Z</dcterms:modified>
</cp:coreProperties>
</file>