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E86" w14:textId="77777777" w:rsidR="00EA589C" w:rsidRDefault="00EA589C" w:rsidP="00300D09">
      <w:pPr>
        <w:jc w:val="center"/>
        <w:rPr>
          <w:rFonts w:cs="Arial"/>
          <w:b/>
          <w:bCs/>
          <w:lang w:eastAsia="en-GB"/>
        </w:rPr>
      </w:pPr>
    </w:p>
    <w:p w14:paraId="48ACFFA7" w14:textId="77777777" w:rsidR="00EA589C" w:rsidRDefault="00EA589C" w:rsidP="00300D09">
      <w:pPr>
        <w:jc w:val="center"/>
        <w:rPr>
          <w:rFonts w:cs="Arial"/>
          <w:b/>
          <w:bCs/>
          <w:lang w:eastAsia="en-GB"/>
        </w:rPr>
      </w:pPr>
    </w:p>
    <w:p w14:paraId="7EE1A879" w14:textId="77777777"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0455ACEB"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2FABCBCB" w:rsidR="00300D09" w:rsidRPr="00B51B9D" w:rsidRDefault="00E52518" w:rsidP="00E52518">
      <w:pPr>
        <w:jc w:val="right"/>
      </w:pPr>
      <w:r w:rsidRPr="00B51B9D">
        <w:t xml:space="preserve">Case </w:t>
      </w:r>
      <w:r w:rsidR="002941ED" w:rsidRPr="00B51B9D">
        <w:t>N</w:t>
      </w:r>
      <w:r w:rsidRPr="00B51B9D">
        <w:t>o:</w:t>
      </w:r>
      <w:r w:rsidR="00B11B4C" w:rsidRPr="00B51B9D">
        <w:t xml:space="preserve"> </w:t>
      </w:r>
      <w:r w:rsidR="00D24DCF" w:rsidRPr="00D24DCF">
        <w:t>2021/27206</w:t>
      </w:r>
    </w:p>
    <w:p w14:paraId="37AD3266" w14:textId="77777777" w:rsidR="00E52518" w:rsidRPr="00B51B9D" w:rsidRDefault="00033914" w:rsidP="00E52518">
      <w:pPr>
        <w:jc w:val="right"/>
      </w:pPr>
      <w:r w:rsidRPr="00B51B9D">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DC2BD5" w:rsidRPr="004120A8" w:rsidRDefault="00DC2BD5" w:rsidP="00E52518">
                            <w:pPr>
                              <w:jc w:val="center"/>
                              <w:rPr>
                                <w:rFonts w:ascii="Century Gothic" w:hAnsi="Century Gothic"/>
                                <w:b/>
                                <w:sz w:val="2"/>
                                <w:szCs w:val="18"/>
                              </w:rPr>
                            </w:pPr>
                          </w:p>
                          <w:p w14:paraId="6B22D321" w14:textId="6673810B"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70E35">
                              <w:rPr>
                                <w:rFonts w:cs="Arial"/>
                                <w:sz w:val="18"/>
                                <w:szCs w:val="18"/>
                              </w:rPr>
                              <w:t xml:space="preserve">REPORTABLE: </w:t>
                            </w:r>
                            <w:r w:rsidR="00DC2BD5">
                              <w:rPr>
                                <w:rFonts w:cs="Arial"/>
                                <w:sz w:val="18"/>
                                <w:szCs w:val="18"/>
                              </w:rPr>
                              <w:t>NO</w:t>
                            </w:r>
                          </w:p>
                          <w:p w14:paraId="320A79A6" w14:textId="2025D545"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70E35">
                              <w:rPr>
                                <w:rFonts w:cs="Arial"/>
                                <w:sz w:val="18"/>
                                <w:szCs w:val="18"/>
                              </w:rPr>
                              <w:t xml:space="preserve">OF INTEREST TO OTHER JUDGES: </w:t>
                            </w:r>
                            <w:r w:rsidR="00DC2BD5">
                              <w:rPr>
                                <w:rFonts w:cs="Arial"/>
                                <w:sz w:val="18"/>
                                <w:szCs w:val="18"/>
                              </w:rPr>
                              <w:t>NO</w:t>
                            </w:r>
                          </w:p>
                          <w:p w14:paraId="56E99511" w14:textId="28A369FD"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DC2BD5" w:rsidRPr="00EE6CBE">
                              <w:rPr>
                                <w:rFonts w:cs="Arial"/>
                                <w:sz w:val="18"/>
                                <w:szCs w:val="18"/>
                              </w:rPr>
                              <w:t>REVISED</w:t>
                            </w:r>
                            <w:r w:rsidR="00DC2BD5">
                              <w:rPr>
                                <w:rFonts w:cs="Arial"/>
                                <w:sz w:val="18"/>
                                <w:szCs w:val="18"/>
                              </w:rPr>
                              <w:t xml:space="preserve"> YES/NO</w:t>
                            </w:r>
                          </w:p>
                          <w:p w14:paraId="5A089D1E" w14:textId="77777777" w:rsidR="00DC2BD5" w:rsidRPr="00EE6CBE" w:rsidRDefault="00DC2BD5" w:rsidP="00E52518">
                            <w:pPr>
                              <w:rPr>
                                <w:rFonts w:cs="Arial"/>
                                <w:b/>
                                <w:sz w:val="18"/>
                                <w:szCs w:val="18"/>
                              </w:rPr>
                            </w:pPr>
                          </w:p>
                          <w:p w14:paraId="17806FFA" w14:textId="24D0257D" w:rsidR="00DC2BD5" w:rsidRDefault="00DC2BD5" w:rsidP="00E52518">
                            <w:pPr>
                              <w:rPr>
                                <w:rFonts w:cs="Arial"/>
                                <w:b/>
                                <w:sz w:val="18"/>
                                <w:szCs w:val="18"/>
                              </w:rPr>
                            </w:pPr>
                            <w:r>
                              <w:rPr>
                                <w:rFonts w:cs="Arial"/>
                                <w:b/>
                                <w:sz w:val="18"/>
                                <w:szCs w:val="18"/>
                              </w:rPr>
                              <w:t>..........................................</w:t>
                            </w:r>
                            <w:r>
                              <w:rPr>
                                <w:rFonts w:cs="Arial"/>
                                <w:b/>
                                <w:sz w:val="18"/>
                                <w:szCs w:val="18"/>
                              </w:rPr>
                              <w:tab/>
                            </w:r>
                            <w:r>
                              <w:rPr>
                                <w:rFonts w:cs="Arial"/>
                                <w:b/>
                                <w:sz w:val="18"/>
                                <w:szCs w:val="18"/>
                              </w:rPr>
                              <w:tab/>
                            </w:r>
                            <w:r w:rsidR="00470E35">
                              <w:rPr>
                                <w:rFonts w:cs="Arial"/>
                                <w:b/>
                                <w:sz w:val="18"/>
                                <w:szCs w:val="18"/>
                              </w:rPr>
                              <w:t>18 October 2022</w:t>
                            </w:r>
                            <w:r>
                              <w:rPr>
                                <w:rFonts w:cs="Arial"/>
                                <w:b/>
                                <w:sz w:val="18"/>
                                <w:szCs w:val="18"/>
                              </w:rPr>
                              <w:t>.</w:t>
                            </w:r>
                          </w:p>
                          <w:p w14:paraId="355488C3" w14:textId="33D61B23" w:rsidR="00DC2BD5" w:rsidRPr="00EE6CBE" w:rsidRDefault="00DC2BD5"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r>
                          </w:p>
                          <w:p w14:paraId="070F6A80" w14:textId="77777777" w:rsidR="00DC2BD5" w:rsidRPr="004120A8" w:rsidRDefault="00DC2BD5"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DC2BD5" w:rsidRPr="004120A8" w:rsidRDefault="00DC2BD5" w:rsidP="00E52518">
                      <w:pPr>
                        <w:jc w:val="center"/>
                        <w:rPr>
                          <w:rFonts w:ascii="Century Gothic" w:hAnsi="Century Gothic"/>
                          <w:b/>
                          <w:sz w:val="2"/>
                          <w:szCs w:val="18"/>
                        </w:rPr>
                      </w:pPr>
                    </w:p>
                    <w:p w14:paraId="6B22D321" w14:textId="6673810B"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70E35">
                        <w:rPr>
                          <w:rFonts w:cs="Arial"/>
                          <w:sz w:val="18"/>
                          <w:szCs w:val="18"/>
                        </w:rPr>
                        <w:t xml:space="preserve">REPORTABLE: </w:t>
                      </w:r>
                      <w:r w:rsidR="00DC2BD5">
                        <w:rPr>
                          <w:rFonts w:cs="Arial"/>
                          <w:sz w:val="18"/>
                          <w:szCs w:val="18"/>
                        </w:rPr>
                        <w:t>NO</w:t>
                      </w:r>
                    </w:p>
                    <w:p w14:paraId="320A79A6" w14:textId="2025D545"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70E35">
                        <w:rPr>
                          <w:rFonts w:cs="Arial"/>
                          <w:sz w:val="18"/>
                          <w:szCs w:val="18"/>
                        </w:rPr>
                        <w:t xml:space="preserve">OF INTEREST TO OTHER JUDGES: </w:t>
                      </w:r>
                      <w:r w:rsidR="00DC2BD5">
                        <w:rPr>
                          <w:rFonts w:cs="Arial"/>
                          <w:sz w:val="18"/>
                          <w:szCs w:val="18"/>
                        </w:rPr>
                        <w:t>NO</w:t>
                      </w:r>
                    </w:p>
                    <w:p w14:paraId="56E99511" w14:textId="28A369FD" w:rsidR="00DC2BD5" w:rsidRPr="00EE6CBE" w:rsidRDefault="00B3641D" w:rsidP="00B3641D">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DC2BD5" w:rsidRPr="00EE6CBE">
                        <w:rPr>
                          <w:rFonts w:cs="Arial"/>
                          <w:sz w:val="18"/>
                          <w:szCs w:val="18"/>
                        </w:rPr>
                        <w:t>REVISED</w:t>
                      </w:r>
                      <w:r w:rsidR="00DC2BD5">
                        <w:rPr>
                          <w:rFonts w:cs="Arial"/>
                          <w:sz w:val="18"/>
                          <w:szCs w:val="18"/>
                        </w:rPr>
                        <w:t xml:space="preserve"> YES/NO</w:t>
                      </w:r>
                    </w:p>
                    <w:p w14:paraId="5A089D1E" w14:textId="77777777" w:rsidR="00DC2BD5" w:rsidRPr="00EE6CBE" w:rsidRDefault="00DC2BD5" w:rsidP="00E52518">
                      <w:pPr>
                        <w:rPr>
                          <w:rFonts w:cs="Arial"/>
                          <w:b/>
                          <w:sz w:val="18"/>
                          <w:szCs w:val="18"/>
                        </w:rPr>
                      </w:pPr>
                    </w:p>
                    <w:p w14:paraId="17806FFA" w14:textId="24D0257D" w:rsidR="00DC2BD5" w:rsidRDefault="00DC2BD5" w:rsidP="00E52518">
                      <w:pPr>
                        <w:rPr>
                          <w:rFonts w:cs="Arial"/>
                          <w:b/>
                          <w:sz w:val="18"/>
                          <w:szCs w:val="18"/>
                        </w:rPr>
                      </w:pPr>
                      <w:r>
                        <w:rPr>
                          <w:rFonts w:cs="Arial"/>
                          <w:b/>
                          <w:sz w:val="18"/>
                          <w:szCs w:val="18"/>
                        </w:rPr>
                        <w:t>..........................................</w:t>
                      </w:r>
                      <w:r>
                        <w:rPr>
                          <w:rFonts w:cs="Arial"/>
                          <w:b/>
                          <w:sz w:val="18"/>
                          <w:szCs w:val="18"/>
                        </w:rPr>
                        <w:tab/>
                      </w:r>
                      <w:r>
                        <w:rPr>
                          <w:rFonts w:cs="Arial"/>
                          <w:b/>
                          <w:sz w:val="18"/>
                          <w:szCs w:val="18"/>
                        </w:rPr>
                        <w:tab/>
                      </w:r>
                      <w:r w:rsidR="00470E35">
                        <w:rPr>
                          <w:rFonts w:cs="Arial"/>
                          <w:b/>
                          <w:sz w:val="18"/>
                          <w:szCs w:val="18"/>
                        </w:rPr>
                        <w:t>18 October 2022</w:t>
                      </w:r>
                      <w:r>
                        <w:rPr>
                          <w:rFonts w:cs="Arial"/>
                          <w:b/>
                          <w:sz w:val="18"/>
                          <w:szCs w:val="18"/>
                        </w:rPr>
                        <w:t>.</w:t>
                      </w:r>
                    </w:p>
                    <w:p w14:paraId="355488C3" w14:textId="33D61B23" w:rsidR="00DC2BD5" w:rsidRPr="00EE6CBE" w:rsidRDefault="00DC2BD5"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r>
                    </w:p>
                    <w:p w14:paraId="070F6A80" w14:textId="77777777" w:rsidR="00DC2BD5" w:rsidRPr="004120A8" w:rsidRDefault="00DC2BD5"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6CA1AD1E" w14:textId="12F1DBAF" w:rsidR="00300D09" w:rsidRPr="00B51B9D" w:rsidRDefault="00300D09" w:rsidP="00300D09">
      <w:r w:rsidRPr="00B51B9D">
        <w:t xml:space="preserve">In the matter </w:t>
      </w:r>
      <w:r w:rsidR="00CB3F60" w:rsidRPr="00B51B9D">
        <w:t>between</w:t>
      </w:r>
      <w:r w:rsidRPr="00B51B9D">
        <w:t>:</w:t>
      </w:r>
    </w:p>
    <w:p w14:paraId="4351AD4F" w14:textId="2F45DD99" w:rsidR="00300D09" w:rsidRPr="00B51B9D" w:rsidRDefault="00300D09" w:rsidP="00300D09">
      <w:pPr>
        <w:pStyle w:val="Parties"/>
      </w:pPr>
    </w:p>
    <w:p w14:paraId="398A7498" w14:textId="1417BE14" w:rsidR="004750BD" w:rsidRPr="00B51B9D" w:rsidRDefault="004750BD" w:rsidP="00011A47">
      <w:pPr>
        <w:pStyle w:val="Parties"/>
        <w:rPr>
          <w:b/>
          <w:bCs/>
          <w:lang w:eastAsia="en-GB"/>
        </w:rPr>
      </w:pPr>
    </w:p>
    <w:p w14:paraId="277257CB" w14:textId="77CAAB71" w:rsidR="00011A47" w:rsidRDefault="00D24DCF" w:rsidP="00011A47">
      <w:pPr>
        <w:pStyle w:val="Parties"/>
        <w:rPr>
          <w:lang w:eastAsia="en-GB"/>
        </w:rPr>
      </w:pPr>
      <w:r w:rsidRPr="00D24DCF">
        <w:rPr>
          <w:b/>
          <w:lang w:eastAsia="en-GB"/>
        </w:rPr>
        <w:t>DILUCULO PROPERTIES (PTY) LTD</w:t>
      </w:r>
      <w:r w:rsidR="007D4DCB" w:rsidRPr="00B51B9D">
        <w:rPr>
          <w:lang w:eastAsia="en-GB"/>
        </w:rPr>
        <w:tab/>
      </w:r>
      <w:r w:rsidRPr="00D24DCF">
        <w:rPr>
          <w:b/>
          <w:lang w:eastAsia="en-GB"/>
        </w:rPr>
        <w:t>Applicant</w:t>
      </w:r>
    </w:p>
    <w:p w14:paraId="352000EB" w14:textId="0A6A45AE" w:rsidR="00D24DCF" w:rsidRDefault="00D24DCF" w:rsidP="00011A47">
      <w:pPr>
        <w:pStyle w:val="Parties"/>
        <w:rPr>
          <w:lang w:eastAsia="en-GB"/>
        </w:rPr>
      </w:pPr>
    </w:p>
    <w:p w14:paraId="29FFD990" w14:textId="59813928" w:rsidR="00D24DCF" w:rsidRDefault="00D24DCF" w:rsidP="00011A47">
      <w:pPr>
        <w:pStyle w:val="Parties"/>
        <w:rPr>
          <w:lang w:eastAsia="en-GB"/>
        </w:rPr>
      </w:pPr>
      <w:r>
        <w:rPr>
          <w:lang w:eastAsia="en-GB"/>
        </w:rPr>
        <w:t>and</w:t>
      </w:r>
    </w:p>
    <w:p w14:paraId="6D8288EE" w14:textId="43CBFF1B" w:rsidR="005524A2" w:rsidRDefault="005524A2" w:rsidP="00011A47">
      <w:pPr>
        <w:pStyle w:val="Parties"/>
        <w:rPr>
          <w:lang w:eastAsia="en-GB"/>
        </w:rPr>
      </w:pPr>
    </w:p>
    <w:p w14:paraId="04069756" w14:textId="78B381C6" w:rsidR="005524A2" w:rsidRDefault="00D24DCF" w:rsidP="00011A47">
      <w:pPr>
        <w:pStyle w:val="Parties"/>
        <w:rPr>
          <w:lang w:eastAsia="en-GB"/>
        </w:rPr>
      </w:pPr>
      <w:r w:rsidRPr="00D24DCF">
        <w:rPr>
          <w:b/>
          <w:bCs/>
          <w:lang w:eastAsia="en-GB"/>
        </w:rPr>
        <w:t>CITY OF JOHANNESBURG</w:t>
      </w:r>
      <w:r w:rsidR="005524A2">
        <w:rPr>
          <w:b/>
          <w:bCs/>
          <w:lang w:eastAsia="en-GB"/>
        </w:rPr>
        <w:tab/>
      </w:r>
      <w:r>
        <w:rPr>
          <w:b/>
          <w:bCs/>
          <w:lang w:eastAsia="en-GB"/>
        </w:rPr>
        <w:t>First Respondent</w:t>
      </w:r>
    </w:p>
    <w:p w14:paraId="3BDB7E51" w14:textId="6E89BBD8" w:rsidR="005524A2" w:rsidRDefault="005524A2" w:rsidP="00011A47">
      <w:pPr>
        <w:pStyle w:val="Parties"/>
        <w:rPr>
          <w:lang w:eastAsia="en-GB"/>
        </w:rPr>
      </w:pPr>
    </w:p>
    <w:p w14:paraId="34F8462E" w14:textId="319FF604" w:rsidR="005524A2" w:rsidRDefault="00D24DCF" w:rsidP="00011A47">
      <w:pPr>
        <w:pStyle w:val="Parties"/>
        <w:rPr>
          <w:lang w:eastAsia="en-GB"/>
        </w:rPr>
      </w:pPr>
      <w:r>
        <w:rPr>
          <w:b/>
          <w:bCs/>
          <w:lang w:eastAsia="en-GB"/>
        </w:rPr>
        <w:t>BRINK, FLOYD</w:t>
      </w:r>
      <w:r w:rsidR="005524A2">
        <w:rPr>
          <w:b/>
          <w:bCs/>
          <w:lang w:eastAsia="en-GB"/>
        </w:rPr>
        <w:tab/>
      </w:r>
      <w:r>
        <w:rPr>
          <w:b/>
          <w:bCs/>
          <w:lang w:eastAsia="en-GB"/>
        </w:rPr>
        <w:t>Second</w:t>
      </w:r>
      <w:r w:rsidR="005524A2">
        <w:rPr>
          <w:lang w:eastAsia="en-GB"/>
        </w:rPr>
        <w:t xml:space="preserve"> </w:t>
      </w:r>
      <w:r w:rsidRPr="00D24DCF">
        <w:rPr>
          <w:b/>
          <w:lang w:eastAsia="en-GB"/>
        </w:rPr>
        <w:t>Respondent</w:t>
      </w:r>
    </w:p>
    <w:p w14:paraId="6186E9C7" w14:textId="0FC35B1A" w:rsidR="005524A2" w:rsidRDefault="005524A2" w:rsidP="00011A47">
      <w:pPr>
        <w:pStyle w:val="Parties"/>
        <w:rPr>
          <w:lang w:eastAsia="en-GB"/>
        </w:rPr>
      </w:pPr>
    </w:p>
    <w:p w14:paraId="010B5C2F" w14:textId="77777777" w:rsidR="00011A47" w:rsidRPr="00B51B9D" w:rsidRDefault="00011A47" w:rsidP="005524A2">
      <w:pPr>
        <w:pStyle w:val="Header"/>
        <w:tabs>
          <w:tab w:val="clear" w:pos="4513"/>
          <w:tab w:val="clear" w:pos="9026"/>
        </w:tabs>
        <w:rPr>
          <w:lang w:eastAsia="en-GB"/>
        </w:rPr>
      </w:pPr>
    </w:p>
    <w:p w14:paraId="486EBBBF" w14:textId="77777777" w:rsidR="004E040E" w:rsidRDefault="004E040E" w:rsidP="00011A47">
      <w:pPr>
        <w:rPr>
          <w:lang w:eastAsia="en-GB"/>
        </w:rPr>
      </w:pPr>
    </w:p>
    <w:p w14:paraId="0D955194" w14:textId="289FFC02" w:rsidR="00011A47" w:rsidRDefault="00D24DCF" w:rsidP="00011A47">
      <w:pPr>
        <w:rPr>
          <w:lang w:eastAsia="en-GB"/>
        </w:rPr>
      </w:pPr>
      <w:r>
        <w:rPr>
          <w:lang w:eastAsia="en-GB"/>
        </w:rPr>
        <w:t>In re:</w:t>
      </w:r>
    </w:p>
    <w:p w14:paraId="76239E2A" w14:textId="77777777" w:rsidR="00CD0608" w:rsidRDefault="00CD0608" w:rsidP="00011A47">
      <w:pPr>
        <w:rPr>
          <w:lang w:eastAsia="en-GB"/>
        </w:rPr>
      </w:pPr>
    </w:p>
    <w:p w14:paraId="6E5ADB10" w14:textId="36DA8B8D" w:rsidR="00CD0608" w:rsidRDefault="00CD0608" w:rsidP="00CD0608">
      <w:pPr>
        <w:ind w:left="5040" w:firstLine="720"/>
        <w:jc w:val="right"/>
        <w:rPr>
          <w:lang w:eastAsia="en-GB"/>
        </w:rPr>
      </w:pPr>
    </w:p>
    <w:p w14:paraId="1C938F34" w14:textId="4BFC497D" w:rsidR="00CD0608" w:rsidRPr="00B51B9D" w:rsidRDefault="003B11FE" w:rsidP="003B11FE">
      <w:pPr>
        <w:ind w:left="5040" w:firstLine="720"/>
        <w:jc w:val="center"/>
        <w:rPr>
          <w:lang w:eastAsia="en-GB"/>
        </w:rPr>
      </w:pPr>
      <w:r>
        <w:rPr>
          <w:lang w:eastAsia="en-GB"/>
        </w:rPr>
        <w:t xml:space="preserve">        </w:t>
      </w:r>
      <w:r w:rsidR="00CD0608" w:rsidRPr="00CD0608">
        <w:rPr>
          <w:lang w:eastAsia="en-GB"/>
        </w:rPr>
        <w:t>Case N</w:t>
      </w:r>
      <w:r w:rsidR="00CD0608">
        <w:rPr>
          <w:lang w:eastAsia="en-GB"/>
        </w:rPr>
        <w:t xml:space="preserve">o: </w:t>
      </w:r>
      <w:r w:rsidR="00CD0608" w:rsidRPr="00CD0608">
        <w:rPr>
          <w:lang w:eastAsia="en-GB"/>
        </w:rPr>
        <w:t>5576/2018</w:t>
      </w:r>
    </w:p>
    <w:p w14:paraId="37DABA96" w14:textId="77777777" w:rsidR="00011A47" w:rsidRPr="00B51B9D" w:rsidRDefault="00011A47" w:rsidP="00011A47">
      <w:pPr>
        <w:pStyle w:val="Parties"/>
        <w:rPr>
          <w:b/>
          <w:bCs/>
          <w:lang w:eastAsia="en-GB"/>
        </w:rPr>
      </w:pPr>
    </w:p>
    <w:p w14:paraId="118BBAA1" w14:textId="77777777" w:rsidR="004E040E" w:rsidRDefault="004E040E" w:rsidP="00011A47">
      <w:pPr>
        <w:pStyle w:val="Parties"/>
        <w:rPr>
          <w:b/>
          <w:bCs/>
          <w:lang w:eastAsia="en-GB"/>
        </w:rPr>
      </w:pPr>
    </w:p>
    <w:p w14:paraId="3467604D" w14:textId="75D38676" w:rsidR="00011A47" w:rsidRDefault="00CD0608" w:rsidP="00011A47">
      <w:pPr>
        <w:pStyle w:val="Parties"/>
        <w:rPr>
          <w:b/>
          <w:lang w:eastAsia="en-GB"/>
        </w:rPr>
      </w:pPr>
      <w:bookmarkStart w:id="1" w:name="_GoBack"/>
      <w:r w:rsidRPr="00CD0608">
        <w:rPr>
          <w:b/>
          <w:bCs/>
          <w:lang w:eastAsia="en-GB"/>
        </w:rPr>
        <w:t>DILUCULO PROPERTIES (PTY) LTD</w:t>
      </w:r>
      <w:bookmarkEnd w:id="1"/>
      <w:r w:rsidR="0089764C" w:rsidRPr="00B51B9D">
        <w:rPr>
          <w:b/>
          <w:bCs/>
          <w:lang w:eastAsia="en-GB"/>
        </w:rPr>
        <w:tab/>
      </w:r>
      <w:r>
        <w:rPr>
          <w:b/>
          <w:bCs/>
          <w:lang w:eastAsia="en-GB"/>
        </w:rPr>
        <w:t>Applic</w:t>
      </w:r>
      <w:r w:rsidRPr="00CD0608">
        <w:rPr>
          <w:b/>
          <w:lang w:eastAsia="en-GB"/>
        </w:rPr>
        <w:t>ant</w:t>
      </w:r>
    </w:p>
    <w:p w14:paraId="3612C1FD" w14:textId="2EBA193C" w:rsidR="00CD0608" w:rsidRDefault="00CD0608" w:rsidP="00011A47">
      <w:pPr>
        <w:pStyle w:val="Parties"/>
        <w:rPr>
          <w:b/>
          <w:lang w:eastAsia="en-GB"/>
        </w:rPr>
      </w:pPr>
    </w:p>
    <w:p w14:paraId="3466CDC4" w14:textId="69993DD3" w:rsidR="00CD0608" w:rsidRPr="00CD0608" w:rsidRDefault="00CD0608" w:rsidP="00011A47">
      <w:pPr>
        <w:pStyle w:val="Parties"/>
        <w:rPr>
          <w:lang w:eastAsia="en-GB"/>
        </w:rPr>
      </w:pPr>
      <w:r w:rsidRPr="00CD0608">
        <w:rPr>
          <w:lang w:eastAsia="en-GB"/>
        </w:rPr>
        <w:t>and</w:t>
      </w:r>
    </w:p>
    <w:p w14:paraId="08C6FED2" w14:textId="552A676C" w:rsidR="000E576B" w:rsidRDefault="000E576B" w:rsidP="00011A47">
      <w:pPr>
        <w:pStyle w:val="Parties"/>
        <w:rPr>
          <w:lang w:eastAsia="en-GB"/>
        </w:rPr>
      </w:pPr>
    </w:p>
    <w:p w14:paraId="56CE8FB9" w14:textId="79D664E8" w:rsidR="000E576B" w:rsidRPr="000E576B" w:rsidRDefault="00CD0608" w:rsidP="00011A47">
      <w:pPr>
        <w:pStyle w:val="Parties"/>
        <w:rPr>
          <w:lang w:eastAsia="en-GB"/>
        </w:rPr>
      </w:pPr>
      <w:r w:rsidRPr="00CD0608">
        <w:rPr>
          <w:b/>
          <w:bCs/>
          <w:lang w:eastAsia="en-GB"/>
        </w:rPr>
        <w:t>CITY OF JOHANNESBURG</w:t>
      </w:r>
      <w:r w:rsidR="000E576B">
        <w:rPr>
          <w:b/>
          <w:bCs/>
          <w:lang w:eastAsia="en-GB"/>
        </w:rPr>
        <w:tab/>
      </w:r>
      <w:r>
        <w:rPr>
          <w:b/>
          <w:bCs/>
          <w:lang w:eastAsia="en-GB"/>
        </w:rPr>
        <w:t>Respo</w:t>
      </w:r>
      <w:r w:rsidRPr="00CD0608">
        <w:rPr>
          <w:b/>
          <w:lang w:eastAsia="en-GB"/>
        </w:rPr>
        <w:t>nde</w:t>
      </w:r>
      <w:r w:rsidR="000E576B" w:rsidRPr="00CD0608">
        <w:rPr>
          <w:b/>
          <w:lang w:eastAsia="en-GB"/>
        </w:rPr>
        <w:t>nt</w:t>
      </w:r>
    </w:p>
    <w:p w14:paraId="4A5B3E61" w14:textId="77777777" w:rsidR="00011A47" w:rsidRPr="00B51B9D" w:rsidRDefault="00011A47" w:rsidP="00645244">
      <w:pPr>
        <w:rPr>
          <w:lang w:eastAsia="en-GB"/>
        </w:rPr>
      </w:pPr>
    </w:p>
    <w:p w14:paraId="3F0817C7" w14:textId="77777777" w:rsidR="00300D09" w:rsidRPr="00B51B9D" w:rsidRDefault="00300D09" w:rsidP="00300D09">
      <w:pPr>
        <w:pStyle w:val="Parties"/>
      </w:pPr>
    </w:p>
    <w:p w14:paraId="3484F380" w14:textId="77777777" w:rsidR="006D7F36" w:rsidRPr="00B51B9D" w:rsidRDefault="00CC22D8" w:rsidP="00573270">
      <w:pPr>
        <w:pStyle w:val="Parties"/>
        <w:tabs>
          <w:tab w:val="center" w:pos="4111"/>
        </w:tabs>
      </w:pPr>
      <w:r w:rsidRPr="00B51B9D">
        <w:tab/>
      </w:r>
    </w:p>
    <w:p w14:paraId="68D8E137" w14:textId="08C938E5" w:rsidR="00927518" w:rsidRPr="00B51B9D" w:rsidRDefault="002A4D60" w:rsidP="00CD0608">
      <w:pPr>
        <w:pStyle w:val="TramLines"/>
      </w:pPr>
      <w:r w:rsidRPr="00B51B9D">
        <w:t>JUDGMENT</w:t>
      </w:r>
    </w:p>
    <w:p w14:paraId="637444A6" w14:textId="44D43046" w:rsidR="00E52518" w:rsidRDefault="003A295B" w:rsidP="00E52518">
      <w:pPr>
        <w:rPr>
          <w:b/>
          <w:bCs/>
        </w:rPr>
      </w:pPr>
      <w:r w:rsidRPr="00B51B9D">
        <w:rPr>
          <w:b/>
          <w:bCs/>
        </w:rPr>
        <w:t>M</w:t>
      </w:r>
      <w:r w:rsidR="00CD0608">
        <w:rPr>
          <w:b/>
          <w:bCs/>
        </w:rPr>
        <w:t>UDAU</w:t>
      </w:r>
      <w:r w:rsidR="00A543C9">
        <w:rPr>
          <w:b/>
          <w:bCs/>
        </w:rPr>
        <w:t>,</w:t>
      </w:r>
      <w:r w:rsidRPr="00B51B9D">
        <w:rPr>
          <w:b/>
          <w:bCs/>
        </w:rPr>
        <w:t xml:space="preserve"> J </w:t>
      </w:r>
    </w:p>
    <w:p w14:paraId="34E961D7" w14:textId="7ADDC389" w:rsidR="000E576B" w:rsidRDefault="00B3641D" w:rsidP="00B3641D">
      <w:pPr>
        <w:pStyle w:val="1"/>
        <w:numPr>
          <w:ilvl w:val="0"/>
          <w:numId w:val="0"/>
        </w:numPr>
        <w:tabs>
          <w:tab w:val="left" w:pos="567"/>
        </w:tabs>
        <w:spacing w:line="360" w:lineRule="auto"/>
        <w:ind w:left="567" w:hanging="567"/>
      </w:pPr>
      <w:r>
        <w:t>[1]</w:t>
      </w:r>
      <w:r>
        <w:tab/>
      </w:r>
      <w:r w:rsidR="00CD0608" w:rsidRPr="00CD0608">
        <w:t>These are contempt of court proceedings. The applicant in addition, seeks other substantive relief. The applicant is the registered owner of the immoveable property described as Erf 5252 Johannesburg Township, Registration Division I.R., Gauteng (</w:t>
      </w:r>
      <w:r w:rsidR="00A205F6">
        <w:t>“</w:t>
      </w:r>
      <w:r w:rsidR="00CD0608" w:rsidRPr="00CD0608">
        <w:t xml:space="preserve">the property”), commonly referred to as Jozi House. Jozi House is a 17 story building, comprising 244 residential units and 2 commercial spaces. The </w:t>
      </w:r>
      <w:r w:rsidR="00A205F6" w:rsidRPr="00CD0608">
        <w:t>f</w:t>
      </w:r>
      <w:r w:rsidR="00CD0608" w:rsidRPr="00CD0608">
        <w:t xml:space="preserve">irst </w:t>
      </w:r>
      <w:r w:rsidR="00A205F6" w:rsidRPr="00CD0608">
        <w:t>r</w:t>
      </w:r>
      <w:r w:rsidR="00CD0608" w:rsidRPr="00CD0608">
        <w:t xml:space="preserve">espondent is the City of Johannesburg, a Metropolitan Municipality (“the </w:t>
      </w:r>
      <w:r w:rsidR="00B86663" w:rsidRPr="00CD0608">
        <w:t>m</w:t>
      </w:r>
      <w:r w:rsidR="00CD0608" w:rsidRPr="00CD0608">
        <w:t xml:space="preserve">unicipality”). The </w:t>
      </w:r>
      <w:r w:rsidR="00A205F6" w:rsidRPr="00CD0608">
        <w:t>s</w:t>
      </w:r>
      <w:r w:rsidR="00CD0608" w:rsidRPr="00CD0608">
        <w:t xml:space="preserve">econd </w:t>
      </w:r>
      <w:r w:rsidR="00A205F6" w:rsidRPr="00CD0608">
        <w:t>r</w:t>
      </w:r>
      <w:r w:rsidR="00CD0608" w:rsidRPr="00CD0608">
        <w:t xml:space="preserve">espondent is Floyd Brink (“Brink”), an adult male and the then acting </w:t>
      </w:r>
      <w:r w:rsidR="00A205F6" w:rsidRPr="00CD0608">
        <w:t>C</w:t>
      </w:r>
      <w:r w:rsidR="00CD0608" w:rsidRPr="00CD0608">
        <w:t xml:space="preserve">ity </w:t>
      </w:r>
      <w:r w:rsidR="00A205F6" w:rsidRPr="00CD0608">
        <w:t>M</w:t>
      </w:r>
      <w:r w:rsidR="00CD0608" w:rsidRPr="00CD0608">
        <w:t xml:space="preserve">anager of the </w:t>
      </w:r>
      <w:r w:rsidR="00A205F6" w:rsidRPr="00CD0608">
        <w:t>f</w:t>
      </w:r>
      <w:r w:rsidR="00CD0608" w:rsidRPr="00CD0608">
        <w:t xml:space="preserve">irst </w:t>
      </w:r>
      <w:r w:rsidR="00A205F6" w:rsidRPr="00CD0608">
        <w:t>r</w:t>
      </w:r>
      <w:r w:rsidR="00CD0608" w:rsidRPr="00CD0608">
        <w:t>espondent</w:t>
      </w:r>
      <w:r w:rsidR="000E576B">
        <w:t xml:space="preserve">. </w:t>
      </w:r>
    </w:p>
    <w:p w14:paraId="398F0A25" w14:textId="764D9AD2" w:rsidR="00CD0608" w:rsidRPr="00681E96" w:rsidRDefault="00CD0608" w:rsidP="00681E96">
      <w:pPr>
        <w:pStyle w:val="1"/>
        <w:numPr>
          <w:ilvl w:val="0"/>
          <w:numId w:val="0"/>
        </w:numPr>
        <w:spacing w:line="360" w:lineRule="auto"/>
        <w:rPr>
          <w:i/>
        </w:rPr>
      </w:pPr>
      <w:r w:rsidRPr="00681E96">
        <w:rPr>
          <w:i/>
        </w:rPr>
        <w:t>In limine</w:t>
      </w:r>
    </w:p>
    <w:p w14:paraId="6D09C397" w14:textId="25F31E4A" w:rsidR="000E576B" w:rsidRDefault="00B3641D" w:rsidP="00B3641D">
      <w:pPr>
        <w:pStyle w:val="1"/>
        <w:numPr>
          <w:ilvl w:val="0"/>
          <w:numId w:val="0"/>
        </w:numPr>
        <w:tabs>
          <w:tab w:val="left" w:pos="567"/>
        </w:tabs>
        <w:spacing w:line="360" w:lineRule="auto"/>
        <w:ind w:left="567" w:hanging="567"/>
      </w:pPr>
      <w:r>
        <w:t>[2]</w:t>
      </w:r>
      <w:r>
        <w:tab/>
      </w:r>
      <w:r w:rsidR="002272C4" w:rsidRPr="00CD0608">
        <w:t>T</w:t>
      </w:r>
      <w:r w:rsidR="00CD0608" w:rsidRPr="00CD0608">
        <w:t>he respondents have taken a</w:t>
      </w:r>
      <w:r w:rsidR="002272C4">
        <w:t>n</w:t>
      </w:r>
      <w:r w:rsidR="00CD0608" w:rsidRPr="00CD0608">
        <w:t xml:space="preserve"> </w:t>
      </w:r>
      <w:r w:rsidR="002272C4" w:rsidRPr="00CD0608">
        <w:t xml:space="preserve">in </w:t>
      </w:r>
      <w:r w:rsidR="002272C4" w:rsidRPr="000C61FC">
        <w:rPr>
          <w:i/>
        </w:rPr>
        <w:t>limine</w:t>
      </w:r>
      <w:r w:rsidR="002272C4" w:rsidRPr="00CD0608">
        <w:t xml:space="preserve"> </w:t>
      </w:r>
      <w:r w:rsidR="00CD0608" w:rsidRPr="00CD0608">
        <w:t>point law of non-joinder of the second respondent, even though cited in his nominal and personal capacity in the current proceedings. It is trite that a court could, </w:t>
      </w:r>
      <w:r w:rsidR="00CD0608" w:rsidRPr="00681E96">
        <w:rPr>
          <w:i/>
        </w:rPr>
        <w:t>mero motu</w:t>
      </w:r>
      <w:r w:rsidR="00CD0608" w:rsidRPr="00CD0608">
        <w:t>, raise a question of joinder to safeguard the interest of a necessary party and decline to hear a matter until joinder has been effected</w:t>
      </w:r>
      <w:r w:rsidR="00DC486C">
        <w:t>.</w:t>
      </w:r>
      <w:r w:rsidR="00CD0608" w:rsidRPr="00CD0608">
        <w:rPr>
          <w:vertAlign w:val="superscript"/>
        </w:rPr>
        <w:footnoteReference w:id="1"/>
      </w:r>
      <w:r w:rsidR="00CD0608" w:rsidRPr="00CD0608">
        <w:t xml:space="preserve"> </w:t>
      </w:r>
      <w:r w:rsidR="00DE371B" w:rsidRPr="00CD0608">
        <w:t>In its notice of motion t</w:t>
      </w:r>
      <w:r w:rsidR="00CD0608" w:rsidRPr="00CD0608">
        <w:t>he applicant did not seek an order for joinder directed against the second respondent personally</w:t>
      </w:r>
      <w:r w:rsidR="003A477A">
        <w:t>.</w:t>
      </w:r>
    </w:p>
    <w:p w14:paraId="23CDCD5C" w14:textId="78746FD4" w:rsidR="000E576B" w:rsidRDefault="00B3641D" w:rsidP="00B3641D">
      <w:pPr>
        <w:pStyle w:val="1"/>
        <w:numPr>
          <w:ilvl w:val="0"/>
          <w:numId w:val="0"/>
        </w:numPr>
        <w:tabs>
          <w:tab w:val="left" w:pos="567"/>
        </w:tabs>
        <w:spacing w:line="360" w:lineRule="auto"/>
        <w:ind w:left="567" w:hanging="567"/>
      </w:pPr>
      <w:r>
        <w:t>[3]</w:t>
      </w:r>
      <w:r>
        <w:tab/>
      </w:r>
      <w:r w:rsidR="00CD0608" w:rsidRPr="00CD0608">
        <w:t xml:space="preserve">Counsel for the respondents contends that formal joinder of the second respondent is necessary as the second respondent was not a party in litigation </w:t>
      </w:r>
      <w:r w:rsidR="00DE371B">
        <w:t xml:space="preserve">proceedings </w:t>
      </w:r>
      <w:r w:rsidR="00CD0608" w:rsidRPr="00CD0608">
        <w:t xml:space="preserve">before Mtati AJ </w:t>
      </w:r>
      <w:r w:rsidR="009E6000">
        <w:t>that preceded</w:t>
      </w:r>
      <w:r w:rsidR="00CD0608" w:rsidRPr="00CD0608">
        <w:t xml:space="preserve"> these contempt proceedings. This </w:t>
      </w:r>
      <w:r w:rsidR="00E02B56" w:rsidRPr="00CD0608">
        <w:t>C</w:t>
      </w:r>
      <w:r w:rsidR="00CD0608" w:rsidRPr="00CD0608">
        <w:t xml:space="preserve">ourt was referred to </w:t>
      </w:r>
      <w:r w:rsidR="009E6000">
        <w:t>the</w:t>
      </w:r>
      <w:r w:rsidR="00CD0608" w:rsidRPr="00CD0608">
        <w:t xml:space="preserve"> Labour </w:t>
      </w:r>
      <w:r w:rsidR="009E6000">
        <w:t xml:space="preserve">Appeal Court </w:t>
      </w:r>
      <w:r w:rsidR="00CD0608" w:rsidRPr="00CD0608">
        <w:t xml:space="preserve">decision </w:t>
      </w:r>
      <w:r w:rsidR="00CD0608" w:rsidRPr="00681E96">
        <w:rPr>
          <w:i/>
        </w:rPr>
        <w:t>National Union of Metal</w:t>
      </w:r>
      <w:r w:rsidR="00722897" w:rsidRPr="00722897">
        <w:rPr>
          <w:i/>
        </w:rPr>
        <w:t>w</w:t>
      </w:r>
      <w:r w:rsidR="00CD0608" w:rsidRPr="00681E96">
        <w:rPr>
          <w:i/>
        </w:rPr>
        <w:t>orkers of SA and Others v Vulcania Reinforcing Co (P</w:t>
      </w:r>
      <w:r w:rsidR="009E6000" w:rsidRPr="00681E96">
        <w:rPr>
          <w:i/>
        </w:rPr>
        <w:t>ty</w:t>
      </w:r>
      <w:r w:rsidR="00CD0608" w:rsidRPr="00681E96">
        <w:rPr>
          <w:i/>
        </w:rPr>
        <w:t>) Ltd and Another</w:t>
      </w:r>
      <w:r w:rsidR="00CD0608" w:rsidRPr="00CD0608">
        <w:rPr>
          <w:vertAlign w:val="superscript"/>
        </w:rPr>
        <w:footnoteReference w:id="2"/>
      </w:r>
      <w:r w:rsidR="00CD0608" w:rsidRPr="00CD0608">
        <w:t xml:space="preserve"> wherein </w:t>
      </w:r>
      <w:r w:rsidR="00D433E3" w:rsidRPr="00CD0608">
        <w:t>at para 18</w:t>
      </w:r>
      <w:r w:rsidR="00D433E3">
        <w:t xml:space="preserve"> </w:t>
      </w:r>
      <w:r w:rsidR="00CD0608" w:rsidRPr="00CD0608">
        <w:t>it is stated</w:t>
      </w:r>
      <w:r w:rsidR="00CD0608">
        <w:t>:</w:t>
      </w:r>
    </w:p>
    <w:p w14:paraId="7DD99E03" w14:textId="4237B09A" w:rsidR="00A22A2F" w:rsidRPr="00681E96" w:rsidRDefault="00A22A2F" w:rsidP="00681E96">
      <w:pPr>
        <w:pStyle w:val="1"/>
        <w:numPr>
          <w:ilvl w:val="0"/>
          <w:numId w:val="0"/>
        </w:numPr>
        <w:spacing w:line="360" w:lineRule="auto"/>
        <w:ind w:left="1440"/>
        <w:rPr>
          <w:sz w:val="22"/>
        </w:rPr>
      </w:pPr>
      <w:r w:rsidRPr="00681E96">
        <w:rPr>
          <w:sz w:val="22"/>
        </w:rPr>
        <w:t>“In any event, the second respondent was not a party to the proceedings when the consent order was made. The procedure followed in this matter is no different from that which was followed in </w:t>
      </w:r>
      <w:r w:rsidRPr="00681E96">
        <w:rPr>
          <w:i/>
          <w:sz w:val="22"/>
        </w:rPr>
        <w:t>Matjhabeng.</w:t>
      </w:r>
      <w:r w:rsidRPr="00681E96">
        <w:rPr>
          <w:sz w:val="22"/>
        </w:rPr>
        <w:t xml:space="preserve"> The second respondent </w:t>
      </w:r>
      <w:r w:rsidRPr="00681E96">
        <w:rPr>
          <w:sz w:val="22"/>
        </w:rPr>
        <w:lastRenderedPageBreak/>
        <w:t xml:space="preserve">was called upon to file an affidavit explaining his non-compliance with the consent order and to face a contempt of </w:t>
      </w:r>
      <w:r w:rsidR="00D433E3" w:rsidRPr="00681E96">
        <w:rPr>
          <w:sz w:val="22"/>
        </w:rPr>
        <w:t>c</w:t>
      </w:r>
      <w:r w:rsidRPr="00681E96">
        <w:rPr>
          <w:sz w:val="22"/>
        </w:rPr>
        <w:t xml:space="preserve">ourt order. He was never joined in the proceedings. Failure to join the second respondent in his personal capacity was fatal to the appellants’ case against him”. </w:t>
      </w:r>
      <w:r w:rsidR="00E40C0C">
        <w:rPr>
          <w:sz w:val="22"/>
        </w:rPr>
        <w:t>(</w:t>
      </w:r>
      <w:r w:rsidRPr="00681E96">
        <w:rPr>
          <w:sz w:val="22"/>
        </w:rPr>
        <w:t>footnote omitted</w:t>
      </w:r>
      <w:r w:rsidR="00E40C0C">
        <w:rPr>
          <w:sz w:val="22"/>
        </w:rPr>
        <w:t>)</w:t>
      </w:r>
    </w:p>
    <w:p w14:paraId="725070EA" w14:textId="17FDA375" w:rsidR="000E576B" w:rsidRDefault="00B3641D" w:rsidP="00B3641D">
      <w:pPr>
        <w:pStyle w:val="1"/>
        <w:numPr>
          <w:ilvl w:val="0"/>
          <w:numId w:val="0"/>
        </w:numPr>
        <w:tabs>
          <w:tab w:val="left" w:pos="567"/>
        </w:tabs>
        <w:spacing w:line="360" w:lineRule="auto"/>
        <w:ind w:left="567" w:hanging="567"/>
      </w:pPr>
      <w:r>
        <w:t>[4]</w:t>
      </w:r>
      <w:r>
        <w:tab/>
      </w:r>
      <w:r w:rsidR="00A22A2F" w:rsidRPr="00A22A2F">
        <w:t xml:space="preserve">In opposing this argument on non-joinder, counsel for the applicant submitted that </w:t>
      </w:r>
      <w:r w:rsidR="00AF321B">
        <w:t>it is incorrect th</w:t>
      </w:r>
      <w:r w:rsidR="00A22A2F" w:rsidRPr="00A22A2F">
        <w:t>a</w:t>
      </w:r>
      <w:r w:rsidR="00AF321B">
        <w:t>t a</w:t>
      </w:r>
      <w:r w:rsidR="00A22A2F" w:rsidRPr="00A22A2F">
        <w:t xml:space="preserve"> separate application must be brought to join such person in his or her personal capacity. Citation in a personal capacity, it was argued</w:t>
      </w:r>
      <w:r w:rsidR="004F55E2">
        <w:t>,</w:t>
      </w:r>
      <w:r w:rsidR="00A22A2F" w:rsidRPr="00A22A2F">
        <w:t xml:space="preserve"> was sufficient</w:t>
      </w:r>
      <w:r w:rsidR="00AB60AF">
        <w:t>.</w:t>
      </w:r>
      <w:r w:rsidR="000E576B">
        <w:t xml:space="preserve"> </w:t>
      </w:r>
    </w:p>
    <w:p w14:paraId="0BB26579" w14:textId="13289C37" w:rsidR="000E576B" w:rsidRDefault="00B3641D" w:rsidP="00B3641D">
      <w:pPr>
        <w:pStyle w:val="1"/>
        <w:numPr>
          <w:ilvl w:val="0"/>
          <w:numId w:val="0"/>
        </w:numPr>
        <w:tabs>
          <w:tab w:val="left" w:pos="567"/>
        </w:tabs>
        <w:spacing w:line="360" w:lineRule="auto"/>
        <w:ind w:left="567" w:hanging="567"/>
      </w:pPr>
      <w:r>
        <w:t>[5]</w:t>
      </w:r>
      <w:r>
        <w:tab/>
      </w:r>
      <w:r w:rsidR="00A22A2F" w:rsidRPr="00A22A2F">
        <w:t xml:space="preserve">The law on joinder is however, settled.  No court can make findings that affect any person’s interests, without that person first being a party to the proceedings before it. In </w:t>
      </w:r>
      <w:r w:rsidR="00A22A2F" w:rsidRPr="00681E96">
        <w:rPr>
          <w:i/>
        </w:rPr>
        <w:t>Mjeni v Minister of Health and Welfare, Eastern Cape</w:t>
      </w:r>
      <w:r w:rsidR="00A22A2F" w:rsidRPr="00A22A2F">
        <w:rPr>
          <w:vertAlign w:val="superscript"/>
        </w:rPr>
        <w:footnoteReference w:id="3"/>
      </w:r>
      <w:r w:rsidR="00A22A2F" w:rsidRPr="00A22A2F">
        <w:t>  Jafta J held</w:t>
      </w:r>
      <w:r w:rsidR="00A22A2F">
        <w:t>:</w:t>
      </w:r>
    </w:p>
    <w:p w14:paraId="7EB91C6E" w14:textId="36CD1CAB" w:rsidR="00A22A2F" w:rsidRDefault="00A22A2F" w:rsidP="00681E96">
      <w:pPr>
        <w:pStyle w:val="1"/>
        <w:numPr>
          <w:ilvl w:val="0"/>
          <w:numId w:val="0"/>
        </w:numPr>
        <w:spacing w:line="360" w:lineRule="auto"/>
        <w:ind w:left="1440"/>
      </w:pPr>
      <w:r w:rsidRPr="00681E96">
        <w:rPr>
          <w:sz w:val="22"/>
        </w:rPr>
        <w:t>“[C]ontempt of court proceedings can only succeed against a particular public official or person if the order has been personally served on him or its existence brought to his attention and it is his responsibility to take steps necessary to comply with the order but he wilfully and contemptuously refuses to comply with the court order</w:t>
      </w:r>
      <w:r>
        <w:t>”</w:t>
      </w:r>
      <w:r w:rsidR="004D10E8">
        <w:t>.</w:t>
      </w:r>
      <w:r w:rsidR="00705983">
        <w:rPr>
          <w:rStyle w:val="FootnoteReference"/>
        </w:rPr>
        <w:footnoteReference w:id="4"/>
      </w:r>
    </w:p>
    <w:p w14:paraId="6312465F" w14:textId="01D2E85B" w:rsidR="00A22A2F" w:rsidRDefault="00B3641D" w:rsidP="00B3641D">
      <w:pPr>
        <w:pStyle w:val="1"/>
        <w:numPr>
          <w:ilvl w:val="0"/>
          <w:numId w:val="0"/>
        </w:numPr>
        <w:tabs>
          <w:tab w:val="left" w:pos="567"/>
        </w:tabs>
        <w:spacing w:line="360" w:lineRule="auto"/>
        <w:ind w:left="567" w:hanging="567"/>
      </w:pPr>
      <w:r>
        <w:t>[6]</w:t>
      </w:r>
      <w:r>
        <w:tab/>
      </w:r>
      <w:r w:rsidR="00A22A2F" w:rsidRPr="00A22A2F">
        <w:t xml:space="preserve">In </w:t>
      </w:r>
      <w:r w:rsidR="00A22A2F" w:rsidRPr="00681E96">
        <w:rPr>
          <w:i/>
        </w:rPr>
        <w:t>Matjhabeng Local Municipality v Eskom Holdings Limited and Others; Mkhonto and Others v Compensation Solutions (Pty) Limited</w:t>
      </w:r>
      <w:r w:rsidR="00A22A2F" w:rsidRPr="00A22A2F">
        <w:rPr>
          <w:vertAlign w:val="superscript"/>
        </w:rPr>
        <w:footnoteReference w:id="5"/>
      </w:r>
      <w:r w:rsidR="00A22A2F" w:rsidRPr="00A22A2F">
        <w:t xml:space="preserve"> at para 103 the court stated thus</w:t>
      </w:r>
      <w:r w:rsidR="00A22A2F">
        <w:t>:</w:t>
      </w:r>
    </w:p>
    <w:p w14:paraId="4C8FB0B5" w14:textId="75D19147" w:rsidR="00AA1012" w:rsidRDefault="00A22A2F" w:rsidP="00681E96">
      <w:pPr>
        <w:pStyle w:val="1"/>
        <w:numPr>
          <w:ilvl w:val="0"/>
          <w:numId w:val="0"/>
        </w:numPr>
        <w:spacing w:line="360" w:lineRule="auto"/>
        <w:ind w:left="1440"/>
      </w:pPr>
      <w:r w:rsidRPr="00681E96">
        <w:t>“</w:t>
      </w:r>
      <w:r w:rsidRPr="00681E96">
        <w:rPr>
          <w:sz w:val="22"/>
        </w:rPr>
        <w:t>Bearing in mind, that the persons targeted were the officials concerned − the Municipal Manager and Commissioner in their official capacities − the non-joinder in the circumstances of these cases is thus fatal.  Both Messrs Lepheana and Mkhonto should thus have been cited in their personal capacities − by name − and not in their nominal capacities.  They were not informed, in their personal capacities, of the cases they were to face, especially when their committal to prison was in the offing.  It is thus inconceivable how and to what extent Messrs Lepheana and Mkhonto could, in the circumstances, be said to have been in contempt and be committed to prison</w:t>
      </w:r>
      <w:r w:rsidRPr="00681E96">
        <w:t>”</w:t>
      </w:r>
      <w:r>
        <w:rPr>
          <w:i/>
        </w:rPr>
        <w:t>.</w:t>
      </w:r>
      <w:r w:rsidR="00AA1012">
        <w:t xml:space="preserve"> </w:t>
      </w:r>
    </w:p>
    <w:p w14:paraId="56BB64BB" w14:textId="46FD632F" w:rsidR="00AA1012" w:rsidRDefault="00B3641D" w:rsidP="00B3641D">
      <w:pPr>
        <w:pStyle w:val="1"/>
        <w:numPr>
          <w:ilvl w:val="0"/>
          <w:numId w:val="0"/>
        </w:numPr>
        <w:tabs>
          <w:tab w:val="left" w:pos="567"/>
        </w:tabs>
        <w:spacing w:line="360" w:lineRule="auto"/>
        <w:ind w:left="567" w:hanging="567"/>
      </w:pPr>
      <w:r>
        <w:lastRenderedPageBreak/>
        <w:t>[7]</w:t>
      </w:r>
      <w:r>
        <w:tab/>
      </w:r>
      <w:r w:rsidR="00A22A2F" w:rsidRPr="00A22A2F">
        <w:t xml:space="preserve">In this matter, the applicant has not been able to secure personal service of the order on the second respondent. The return of service indicates that service was effected upon Ms N Sefalafala, a legal clerk employed at the head office of the </w:t>
      </w:r>
      <w:r w:rsidR="00B86663" w:rsidRPr="00A22A2F">
        <w:t>m</w:t>
      </w:r>
      <w:r w:rsidR="00A22A2F" w:rsidRPr="00A22A2F">
        <w:t xml:space="preserve">unicipality. Brink was not informed, in his personal capacity, of the case he was to face, particularly when his committal to prison </w:t>
      </w:r>
      <w:r w:rsidR="00D80CD6">
        <w:t xml:space="preserve">is </w:t>
      </w:r>
      <w:r w:rsidR="00A22A2F" w:rsidRPr="00A22A2F">
        <w:t>looming</w:t>
      </w:r>
      <w:r w:rsidR="00AB60AF">
        <w:t xml:space="preserve">. </w:t>
      </w:r>
    </w:p>
    <w:p w14:paraId="01BF988F" w14:textId="382A39EF" w:rsidR="00AA1012" w:rsidRDefault="00B3641D" w:rsidP="00B3641D">
      <w:pPr>
        <w:pStyle w:val="1"/>
        <w:numPr>
          <w:ilvl w:val="0"/>
          <w:numId w:val="0"/>
        </w:numPr>
        <w:tabs>
          <w:tab w:val="left" w:pos="567"/>
        </w:tabs>
        <w:spacing w:line="360" w:lineRule="auto"/>
        <w:ind w:left="567" w:hanging="567"/>
      </w:pPr>
      <w:r>
        <w:t>[8]</w:t>
      </w:r>
      <w:r>
        <w:tab/>
      </w:r>
      <w:r w:rsidR="00A22A2F" w:rsidRPr="00A22A2F">
        <w:t xml:space="preserve">I accordingly find that that the objection of non-joinder by the </w:t>
      </w:r>
      <w:r w:rsidR="00B86663" w:rsidRPr="00A22A2F">
        <w:t>m</w:t>
      </w:r>
      <w:r w:rsidR="00A22A2F" w:rsidRPr="00A22A2F">
        <w:t>unicipality in this matter, is not a purely idle or technical one, taken simply to cause delays and not from a legitimate concern to safeguard the rights of Mr Brink. The point in</w:t>
      </w:r>
      <w:r w:rsidR="00A22A2F" w:rsidRPr="00A22A2F">
        <w:rPr>
          <w:i/>
        </w:rPr>
        <w:t xml:space="preserve"> limine</w:t>
      </w:r>
      <w:r w:rsidR="00A22A2F" w:rsidRPr="00A22A2F">
        <w:t xml:space="preserve"> is meritorious and thus upheld</w:t>
      </w:r>
      <w:r w:rsidR="00AA1012">
        <w:t xml:space="preserve">. </w:t>
      </w:r>
    </w:p>
    <w:p w14:paraId="732F7FBA" w14:textId="4471E532" w:rsidR="00A22A2F" w:rsidRPr="00681E96" w:rsidRDefault="00A22A2F" w:rsidP="00681E96">
      <w:pPr>
        <w:pStyle w:val="1"/>
        <w:numPr>
          <w:ilvl w:val="0"/>
          <w:numId w:val="0"/>
        </w:numPr>
        <w:spacing w:line="360" w:lineRule="auto"/>
        <w:rPr>
          <w:i/>
        </w:rPr>
      </w:pPr>
      <w:r w:rsidRPr="00681E96">
        <w:rPr>
          <w:i/>
        </w:rPr>
        <w:t>Background facts</w:t>
      </w:r>
    </w:p>
    <w:p w14:paraId="0008964B" w14:textId="63B88098" w:rsidR="002B6EBA" w:rsidRDefault="00B3641D" w:rsidP="00B3641D">
      <w:pPr>
        <w:pStyle w:val="1"/>
        <w:numPr>
          <w:ilvl w:val="0"/>
          <w:numId w:val="0"/>
        </w:numPr>
        <w:tabs>
          <w:tab w:val="left" w:pos="567"/>
        </w:tabs>
        <w:spacing w:line="360" w:lineRule="auto"/>
        <w:ind w:left="567" w:hanging="567"/>
      </w:pPr>
      <w:r>
        <w:t>[9]</w:t>
      </w:r>
      <w:r>
        <w:tab/>
      </w:r>
      <w:r w:rsidR="00A22A2F" w:rsidRPr="00A22A2F">
        <w:t xml:space="preserve">On 28 February 2013, the property was rezoned from </w:t>
      </w:r>
      <w:r w:rsidR="00967527">
        <w:t>“</w:t>
      </w:r>
      <w:r w:rsidR="00A22A2F" w:rsidRPr="00A22A2F">
        <w:t>Business 1</w:t>
      </w:r>
      <w:r w:rsidR="00967527">
        <w:t>”</w:t>
      </w:r>
      <w:r w:rsidR="00A22A2F" w:rsidRPr="00A22A2F">
        <w:t xml:space="preserve"> to </w:t>
      </w:r>
      <w:r w:rsidR="00967527">
        <w:t>“</w:t>
      </w:r>
      <w:r w:rsidR="00A22A2F" w:rsidRPr="00A22A2F">
        <w:t>Residential 4</w:t>
      </w:r>
      <w:r w:rsidR="00967527">
        <w:t>”</w:t>
      </w:r>
      <w:r w:rsidR="00A22A2F" w:rsidRPr="00A22A2F">
        <w:t xml:space="preserve">. It is common cause that municipal services are supplied to the property by way of a single bulk meter in respect of water consumption; and separate bulk meters in respect of electricity consumption, applying respectively to the residential and commercial portions of the property. </w:t>
      </w:r>
      <w:r w:rsidR="00B0111C">
        <w:t>T</w:t>
      </w:r>
      <w:r w:rsidR="00A22A2F" w:rsidRPr="00A22A2F">
        <w:t xml:space="preserve">he </w:t>
      </w:r>
      <w:r w:rsidR="003E2BBB">
        <w:t>a</w:t>
      </w:r>
      <w:r w:rsidR="00A22A2F" w:rsidRPr="00A22A2F">
        <w:t xml:space="preserve">pplicant </w:t>
      </w:r>
      <w:r w:rsidR="00470FEB">
        <w:t>“</w:t>
      </w:r>
      <w:r w:rsidR="00A22A2F" w:rsidRPr="00A22A2F">
        <w:t>resells</w:t>
      </w:r>
      <w:r w:rsidR="00470FEB">
        <w:t>”</w:t>
      </w:r>
      <w:r w:rsidR="00A22A2F" w:rsidRPr="00A22A2F">
        <w:t xml:space="preserve"> the electricity to its tenants as measured by the individual meters supplied to each unit</w:t>
      </w:r>
      <w:r w:rsidR="002B6EBA">
        <w:t>.</w:t>
      </w:r>
    </w:p>
    <w:p w14:paraId="224E921B" w14:textId="711C3F62" w:rsidR="00AA1012" w:rsidRDefault="00B3641D" w:rsidP="00B3641D">
      <w:pPr>
        <w:pStyle w:val="1"/>
        <w:numPr>
          <w:ilvl w:val="0"/>
          <w:numId w:val="0"/>
        </w:numPr>
        <w:tabs>
          <w:tab w:val="left" w:pos="567"/>
        </w:tabs>
        <w:spacing w:line="360" w:lineRule="auto"/>
        <w:ind w:left="567" w:hanging="567"/>
      </w:pPr>
      <w:r>
        <w:t>[10]</w:t>
      </w:r>
      <w:r>
        <w:tab/>
      </w:r>
      <w:r w:rsidR="005660AE" w:rsidRPr="00A22A2F">
        <w:t>The thrust of the dispute</w:t>
      </w:r>
      <w:r w:rsidR="005660AE">
        <w:t xml:space="preserve"> is, as </w:t>
      </w:r>
      <w:r w:rsidR="005660AE" w:rsidRPr="00A22A2F">
        <w:t xml:space="preserve"> the applicant contends</w:t>
      </w:r>
      <w:r w:rsidR="005660AE">
        <w:t>, that</w:t>
      </w:r>
      <w:r w:rsidR="005660AE" w:rsidRPr="00A22A2F">
        <w:t xml:space="preserve"> </w:t>
      </w:r>
      <w:r w:rsidR="005660AE">
        <w:t>f</w:t>
      </w:r>
      <w:r w:rsidR="00A22A2F" w:rsidRPr="00A22A2F">
        <w:t xml:space="preserve">rom 28 February 2013 any service charges ought to have been raised in accordance with the appropriate </w:t>
      </w:r>
      <w:r w:rsidR="00167F61">
        <w:t>“</w:t>
      </w:r>
      <w:r w:rsidR="00A22A2F" w:rsidRPr="00A22A2F">
        <w:t>multi-dwelling</w:t>
      </w:r>
      <w:r w:rsidR="00167F61">
        <w:t>”</w:t>
      </w:r>
      <w:r w:rsidR="00A22A2F" w:rsidRPr="00A22A2F">
        <w:t xml:space="preserve"> tariff applicable for any given period of time. </w:t>
      </w:r>
      <w:r w:rsidR="008D4BE8">
        <w:t>It contends</w:t>
      </w:r>
      <w:r w:rsidR="00A22A2F" w:rsidRPr="00A22A2F">
        <w:t xml:space="preserve"> that the water supply to the properly, for example, is still being charged on the business tariff despite the rezoning of the property to Residential 4 on 28 February 2013 as indicated above</w:t>
      </w:r>
      <w:r w:rsidR="00FC7C1E">
        <w:t xml:space="preserve">. </w:t>
      </w:r>
    </w:p>
    <w:p w14:paraId="2F6F80C8" w14:textId="637DEDE4" w:rsidR="00FC7C1E" w:rsidRDefault="00B3641D" w:rsidP="00B3641D">
      <w:pPr>
        <w:pStyle w:val="1"/>
        <w:numPr>
          <w:ilvl w:val="0"/>
          <w:numId w:val="0"/>
        </w:numPr>
        <w:tabs>
          <w:tab w:val="left" w:pos="567"/>
        </w:tabs>
        <w:spacing w:line="360" w:lineRule="auto"/>
        <w:ind w:left="567" w:hanging="567"/>
      </w:pPr>
      <w:r>
        <w:t>[11]</w:t>
      </w:r>
      <w:r>
        <w:tab/>
      </w:r>
      <w:r w:rsidR="00A22A2F" w:rsidRPr="00A22A2F">
        <w:t xml:space="preserve">According to the applicant, on 25 February 2015, the </w:t>
      </w:r>
      <w:r w:rsidR="00B86663" w:rsidRPr="00A22A2F">
        <w:t>m</w:t>
      </w:r>
      <w:r w:rsidR="00A22A2F" w:rsidRPr="00A22A2F">
        <w:t xml:space="preserve">unicipality recalculated the account, but again calculated the water portion thereof on the </w:t>
      </w:r>
      <w:r w:rsidR="00160EE9">
        <w:t>“</w:t>
      </w:r>
      <w:r w:rsidR="00A22A2F" w:rsidRPr="00A22A2F">
        <w:t>commercial</w:t>
      </w:r>
      <w:r w:rsidR="00160EE9">
        <w:t>”</w:t>
      </w:r>
      <w:r w:rsidR="00A22A2F" w:rsidRPr="00A22A2F">
        <w:t xml:space="preserve"> tariff. Furthermore, the </w:t>
      </w:r>
      <w:r w:rsidR="00B86663" w:rsidRPr="00A22A2F">
        <w:t>m</w:t>
      </w:r>
      <w:r w:rsidR="00A22A2F" w:rsidRPr="00A22A2F">
        <w:t xml:space="preserve">unicipality caused inconsistent amounts to be raised to the account for the respective billing periods. In so doing, the </w:t>
      </w:r>
      <w:r w:rsidR="00B86663" w:rsidRPr="00A22A2F">
        <w:t>m</w:t>
      </w:r>
      <w:r w:rsidR="00A22A2F" w:rsidRPr="00A22A2F">
        <w:t>unicipality had raised 95 tranches to the account, but reversed only 10 thereof</w:t>
      </w:r>
      <w:r w:rsidR="00FC7C1E">
        <w:t>.</w:t>
      </w:r>
    </w:p>
    <w:p w14:paraId="06A48A71" w14:textId="6E5F9256" w:rsidR="00FC7C1E" w:rsidRDefault="00B3641D" w:rsidP="00B3641D">
      <w:pPr>
        <w:pStyle w:val="1"/>
        <w:numPr>
          <w:ilvl w:val="0"/>
          <w:numId w:val="0"/>
        </w:numPr>
        <w:tabs>
          <w:tab w:val="left" w:pos="567"/>
        </w:tabs>
        <w:spacing w:line="360" w:lineRule="auto"/>
        <w:ind w:left="567" w:hanging="567"/>
      </w:pPr>
      <w:r>
        <w:t>[12]</w:t>
      </w:r>
      <w:r>
        <w:tab/>
      </w:r>
      <w:r w:rsidR="00A22A2F" w:rsidRPr="00A22A2F">
        <w:t xml:space="preserve">According to the applicant, the water consumption for some 51 billing periods had been raised in 33 entries, which by virtue of the </w:t>
      </w:r>
      <w:r w:rsidR="00B86663" w:rsidRPr="00A22A2F">
        <w:t>m</w:t>
      </w:r>
      <w:r w:rsidR="00A22A2F" w:rsidRPr="00A22A2F">
        <w:t xml:space="preserve">unicipality's stepped tariff </w:t>
      </w:r>
      <w:r w:rsidR="00A22A2F" w:rsidRPr="00A22A2F">
        <w:lastRenderedPageBreak/>
        <w:t xml:space="preserve">system, which on the applicant’s version, artificially inflated the charges raised to the account. The applicant raised queries with the </w:t>
      </w:r>
      <w:r w:rsidR="00B86663" w:rsidRPr="00A22A2F">
        <w:t>m</w:t>
      </w:r>
      <w:r w:rsidR="00A22A2F" w:rsidRPr="00A22A2F">
        <w:t xml:space="preserve">unicipality in an attempt to resolve the dispute by way of the </w:t>
      </w:r>
      <w:r w:rsidR="00892CA4">
        <w:t>latter</w:t>
      </w:r>
      <w:r w:rsidR="00B422AF">
        <w:t>’</w:t>
      </w:r>
      <w:r w:rsidR="00A22A2F" w:rsidRPr="00A22A2F">
        <w:t>s internal mechanisms. This included lodging a complaint with the Municipality's ombudsman on 14 July 2017.</w:t>
      </w:r>
      <w:r w:rsidR="008A7498">
        <w:t xml:space="preserve"> </w:t>
      </w:r>
      <w:r w:rsidR="00A22A2F" w:rsidRPr="00A22A2F">
        <w:t>The matter however, remained unresolved</w:t>
      </w:r>
      <w:r w:rsidR="009F4DDE">
        <w:t>.</w:t>
      </w:r>
    </w:p>
    <w:p w14:paraId="19BA29B6" w14:textId="1BC84DDB" w:rsidR="00834171" w:rsidRDefault="00B3641D" w:rsidP="00B3641D">
      <w:pPr>
        <w:pStyle w:val="1"/>
        <w:numPr>
          <w:ilvl w:val="0"/>
          <w:numId w:val="0"/>
        </w:numPr>
        <w:tabs>
          <w:tab w:val="left" w:pos="567"/>
        </w:tabs>
        <w:spacing w:line="360" w:lineRule="auto"/>
        <w:ind w:left="567" w:hanging="567"/>
      </w:pPr>
      <w:r>
        <w:t>[13]</w:t>
      </w:r>
      <w:r>
        <w:tab/>
      </w:r>
      <w:r w:rsidR="00A22A2F" w:rsidRPr="00A22A2F">
        <w:t xml:space="preserve">Subsequently, on 8 February 2018, the </w:t>
      </w:r>
      <w:r w:rsidR="00B86663">
        <w:t>m</w:t>
      </w:r>
      <w:r w:rsidR="00A22A2F" w:rsidRPr="00A22A2F">
        <w:t xml:space="preserve">unicipality proceeded to terminate the water supply to the property and removed the water meter. As a result, the applicant launched </w:t>
      </w:r>
      <w:r w:rsidR="003A0835">
        <w:t>an urgent</w:t>
      </w:r>
      <w:r w:rsidR="00A22A2F" w:rsidRPr="00A22A2F">
        <w:t xml:space="preserve"> </w:t>
      </w:r>
      <w:r w:rsidR="00A22A2F" w:rsidRPr="00A22A2F">
        <w:rPr>
          <w:i/>
        </w:rPr>
        <w:t xml:space="preserve">mandamus </w:t>
      </w:r>
      <w:r w:rsidR="00A22A2F" w:rsidRPr="00A22A2F">
        <w:t>application</w:t>
      </w:r>
      <w:r w:rsidR="003A0835">
        <w:t xml:space="preserve"> in this </w:t>
      </w:r>
      <w:r w:rsidR="003A0835" w:rsidRPr="00A22A2F">
        <w:t>Court</w:t>
      </w:r>
      <w:r w:rsidR="00A22A2F" w:rsidRPr="00A22A2F">
        <w:t xml:space="preserve">, which comprised of 2 parts on </w:t>
      </w:r>
      <w:r w:rsidR="00AD7CF0">
        <w:t>1</w:t>
      </w:r>
      <w:r w:rsidR="00A22A2F" w:rsidRPr="00A22A2F">
        <w:t>3 February 2018</w:t>
      </w:r>
      <w:r w:rsidR="003A0835">
        <w:t>.</w:t>
      </w:r>
      <w:r w:rsidR="00A22A2F" w:rsidRPr="00A22A2F">
        <w:t xml:space="preserve"> Part A of the application under case number 5576/2018 against the first respondent only, was granted. The applicant sought certain interim interdictory relief in relation to the supply of water and electricity to the property pending finalisation of Part B thereof</w:t>
      </w:r>
      <w:r w:rsidR="00A22A2F">
        <w:t>.</w:t>
      </w:r>
    </w:p>
    <w:p w14:paraId="6FDCB2D7" w14:textId="2871409B" w:rsidR="00F93CF7" w:rsidRDefault="00B3641D" w:rsidP="00B3641D">
      <w:pPr>
        <w:pStyle w:val="1"/>
        <w:numPr>
          <w:ilvl w:val="0"/>
          <w:numId w:val="0"/>
        </w:numPr>
        <w:tabs>
          <w:tab w:val="left" w:pos="567"/>
        </w:tabs>
        <w:ind w:left="567" w:hanging="567"/>
      </w:pPr>
      <w:r>
        <w:t>[14]</w:t>
      </w:r>
      <w:r>
        <w:tab/>
      </w:r>
      <w:r w:rsidR="00A22A2F" w:rsidRPr="00A22A2F">
        <w:t>On 9 May 2019, Mtati AJ heard Part B of the application and granted an order in the following terms</w:t>
      </w:r>
      <w:r w:rsidR="00F93CF7">
        <w:t xml:space="preserve">: </w:t>
      </w:r>
    </w:p>
    <w:p w14:paraId="0DD2A4FA" w14:textId="77777777" w:rsidR="00A22A2F" w:rsidRPr="00681E96" w:rsidRDefault="00F93CF7" w:rsidP="00A22A2F">
      <w:pPr>
        <w:pStyle w:val="Quote"/>
        <w:rPr>
          <w:sz w:val="22"/>
        </w:rPr>
      </w:pPr>
      <w:r w:rsidRPr="00681E96">
        <w:rPr>
          <w:sz w:val="22"/>
        </w:rPr>
        <w:t>“</w:t>
      </w:r>
      <w:r w:rsidR="00A22A2F" w:rsidRPr="00681E96">
        <w:rPr>
          <w:sz w:val="22"/>
        </w:rPr>
        <w:t>1. That the Respondent is ordered and directed to amend its records in order that the municipality services and rates are reflected as those pertaining to a residential building alternatively a predominantly residential and partly commercial building.</w:t>
      </w:r>
    </w:p>
    <w:p w14:paraId="650FB05C" w14:textId="77777777" w:rsidR="00A22A2F" w:rsidRPr="00681E96" w:rsidRDefault="00A22A2F" w:rsidP="00A22A2F">
      <w:pPr>
        <w:pStyle w:val="Quote"/>
        <w:rPr>
          <w:sz w:val="22"/>
        </w:rPr>
      </w:pPr>
      <w:r w:rsidRPr="00681E96">
        <w:rPr>
          <w:sz w:val="22"/>
        </w:rPr>
        <w:t>2. The Respondent is ordered and directed to effect such change to its records within 1 (one) month of the date of service of any order of this Honourable Court.</w:t>
      </w:r>
    </w:p>
    <w:p w14:paraId="21E9ECB0" w14:textId="244821A7" w:rsidR="00A26D47" w:rsidRPr="00681E96" w:rsidRDefault="00A22A2F" w:rsidP="00A22A2F">
      <w:pPr>
        <w:pStyle w:val="Quote"/>
        <w:rPr>
          <w:sz w:val="22"/>
        </w:rPr>
      </w:pPr>
      <w:r w:rsidRPr="00681E96">
        <w:rPr>
          <w:sz w:val="22"/>
        </w:rPr>
        <w:t>3. Having given effect to 1 and 2 above, the Respondent is ordered and directed within 10 (ten) days thereafter to recalculate all services and rates of accounts under the account number 550394278, and without limit</w:t>
      </w:r>
      <w:r w:rsidR="001E6D36">
        <w:rPr>
          <w:sz w:val="22"/>
        </w:rPr>
        <w:t>i</w:t>
      </w:r>
      <w:r w:rsidRPr="00681E96">
        <w:rPr>
          <w:sz w:val="22"/>
        </w:rPr>
        <w:t>ng the generality hereof the Respondent is ordered and directed to recalculate the water and sewerage components of the account to the appropriate multi dwelling tariff with effect from 28 February 2013 to present.</w:t>
      </w:r>
      <w:r w:rsidR="001C5B8B" w:rsidRPr="00681E96">
        <w:rPr>
          <w:sz w:val="22"/>
        </w:rPr>
        <w:t>”</w:t>
      </w:r>
    </w:p>
    <w:p w14:paraId="7CD2FF5A" w14:textId="4B2A14EA" w:rsidR="008238F3" w:rsidRDefault="00B3641D" w:rsidP="00B3641D">
      <w:pPr>
        <w:pStyle w:val="1"/>
        <w:numPr>
          <w:ilvl w:val="0"/>
          <w:numId w:val="0"/>
        </w:numPr>
        <w:tabs>
          <w:tab w:val="left" w:pos="567"/>
        </w:tabs>
        <w:spacing w:line="360" w:lineRule="auto"/>
        <w:ind w:left="567" w:hanging="567"/>
      </w:pPr>
      <w:r>
        <w:t>[15]</w:t>
      </w:r>
      <w:r>
        <w:tab/>
      </w:r>
      <w:r w:rsidR="001C5B8B" w:rsidRPr="001C5B8B">
        <w:t xml:space="preserve">The order was served on the </w:t>
      </w:r>
      <w:r w:rsidR="00B86663">
        <w:t>m</w:t>
      </w:r>
      <w:r w:rsidR="001C5B8B" w:rsidRPr="001C5B8B">
        <w:t>unicipality by the Sheriff of the Court on 23 May 2019. This is the subject of the contempt relief sought</w:t>
      </w:r>
      <w:r w:rsidR="00F1262F">
        <w:t xml:space="preserve"> in these proceedings</w:t>
      </w:r>
      <w:r w:rsidR="001C5B8B" w:rsidRPr="001C5B8B">
        <w:t xml:space="preserve">. The applicant contends that service was “by extension on the office of the </w:t>
      </w:r>
      <w:r w:rsidR="00250BF8" w:rsidRPr="001C5B8B">
        <w:t>s</w:t>
      </w:r>
      <w:r w:rsidR="001C5B8B" w:rsidRPr="001C5B8B">
        <w:t xml:space="preserve">econd </w:t>
      </w:r>
      <w:r w:rsidR="00250BF8" w:rsidRPr="001C5B8B">
        <w:t>r</w:t>
      </w:r>
      <w:r w:rsidR="001C5B8B" w:rsidRPr="001C5B8B">
        <w:t xml:space="preserve">espondent”. As indicated above, there was no personal service on the second </w:t>
      </w:r>
      <w:r w:rsidR="001C5B8B" w:rsidRPr="001C5B8B">
        <w:lastRenderedPageBreak/>
        <w:t>respondent in his personal capacity. The applicant alleges that, notwithstanding service o</w:t>
      </w:r>
      <w:r w:rsidR="0064769E">
        <w:t>f</w:t>
      </w:r>
      <w:r w:rsidR="001C5B8B" w:rsidRPr="001C5B8B">
        <w:t xml:space="preserve"> the court order and subsequent engagement, the </w:t>
      </w:r>
      <w:r w:rsidR="00492DA9" w:rsidRPr="001C5B8B">
        <w:t>r</w:t>
      </w:r>
      <w:r w:rsidR="001C5B8B" w:rsidRPr="001C5B8B">
        <w:t>espondents have failed to recalculate the account as ordered. In order to avoid rendering this application unduly bulky, the applicant prepared a separate reference bundle including all of the pleadings in respect of case number 5576/2018</w:t>
      </w:r>
      <w:r w:rsidR="00A26D47">
        <w:t xml:space="preserve">. </w:t>
      </w:r>
    </w:p>
    <w:p w14:paraId="68F697F1" w14:textId="635B932D" w:rsidR="008238F3" w:rsidRDefault="00B3641D" w:rsidP="00B3641D">
      <w:pPr>
        <w:pStyle w:val="1"/>
        <w:numPr>
          <w:ilvl w:val="0"/>
          <w:numId w:val="0"/>
        </w:numPr>
        <w:tabs>
          <w:tab w:val="left" w:pos="567"/>
        </w:tabs>
        <w:spacing w:line="360" w:lineRule="auto"/>
        <w:ind w:left="567" w:hanging="567"/>
      </w:pPr>
      <w:r>
        <w:t>[16]</w:t>
      </w:r>
      <w:r>
        <w:tab/>
      </w:r>
      <w:r w:rsidR="001C5B8B" w:rsidRPr="001C5B8B">
        <w:t xml:space="preserve">On 21 May 2019, notwithstanding the order, the </w:t>
      </w:r>
      <w:r w:rsidR="00B86663">
        <w:t>m</w:t>
      </w:r>
      <w:r w:rsidR="001C5B8B" w:rsidRPr="001C5B8B">
        <w:t>unicipality disconnected the supply of electricity to the property. Further correspondences between the parties followed</w:t>
      </w:r>
      <w:r w:rsidR="00A45AEC">
        <w:t>,</w:t>
      </w:r>
      <w:r w:rsidR="001C5B8B" w:rsidRPr="001C5B8B">
        <w:t xml:space="preserve"> i.e. letters from the applicant’s attorneys to the </w:t>
      </w:r>
      <w:r w:rsidR="00A45AEC">
        <w:t>r</w:t>
      </w:r>
      <w:r w:rsidR="001C5B8B" w:rsidRPr="001C5B8B">
        <w:t>espondents on 23 May 2019, and on 8 July 2019 and again on 6 April 2021, in which the respondents</w:t>
      </w:r>
      <w:r w:rsidR="00123A75">
        <w:t>’</w:t>
      </w:r>
      <w:r w:rsidR="001C5B8B" w:rsidRPr="001C5B8B">
        <w:t xml:space="preserve"> alleged contempt of the order was recorded. The applicant</w:t>
      </w:r>
      <w:r w:rsidR="001C5B8B" w:rsidRPr="00EB2E3F">
        <w:t xml:space="preserve"> </w:t>
      </w:r>
      <w:r w:rsidR="001C5B8B" w:rsidRPr="001C5B8B">
        <w:t xml:space="preserve">subsequently received a Customer Electricity Disconnection Card from the </w:t>
      </w:r>
      <w:r w:rsidR="00B86663">
        <w:t>m</w:t>
      </w:r>
      <w:r w:rsidR="001C5B8B" w:rsidRPr="001C5B8B">
        <w:t>uni</w:t>
      </w:r>
      <w:r w:rsidR="00123A75">
        <w:t>ci</w:t>
      </w:r>
      <w:r w:rsidR="001C5B8B" w:rsidRPr="001C5B8B">
        <w:t>pality. This resulted in an exchange between VMW Inc.</w:t>
      </w:r>
      <w:r w:rsidR="00123A75">
        <w:t xml:space="preserve">, representing the applicant </w:t>
      </w:r>
      <w:r w:rsidR="001C5B8B" w:rsidRPr="001C5B8B">
        <w:t xml:space="preserve">and the </w:t>
      </w:r>
      <w:r w:rsidR="00B86663">
        <w:t>m</w:t>
      </w:r>
      <w:r w:rsidR="001C5B8B" w:rsidRPr="001C5B8B">
        <w:t>uni</w:t>
      </w:r>
      <w:r w:rsidR="00123A75">
        <w:t>ci</w:t>
      </w:r>
      <w:r w:rsidR="001C5B8B" w:rsidRPr="001C5B8B">
        <w:t xml:space="preserve">pality, with the </w:t>
      </w:r>
      <w:r w:rsidR="00B86663">
        <w:t>m</w:t>
      </w:r>
      <w:r w:rsidR="001C5B8B" w:rsidRPr="001C5B8B">
        <w:t xml:space="preserve">unicipality ultimately requesting one of its officials (the deponent </w:t>
      </w:r>
      <w:r w:rsidR="00123A75">
        <w:t>i</w:t>
      </w:r>
      <w:r w:rsidR="001C5B8B" w:rsidRPr="001C5B8B">
        <w:t>t</w:t>
      </w:r>
      <w:r w:rsidR="00123A75">
        <w:t>s</w:t>
      </w:r>
      <w:r w:rsidR="001C5B8B" w:rsidRPr="001C5B8B">
        <w:t xml:space="preserve"> answering affidavit) to contact VMW Inc. with a view to finalis</w:t>
      </w:r>
      <w:r w:rsidR="00B04817">
        <w:t>e</w:t>
      </w:r>
      <w:r w:rsidR="001C5B8B" w:rsidRPr="001C5B8B">
        <w:t xml:space="preserve"> the dispute. </w:t>
      </w:r>
      <w:r w:rsidR="003229C1">
        <w:t>The a</w:t>
      </w:r>
      <w:r w:rsidR="001C5B8B" w:rsidRPr="001C5B8B">
        <w:t xml:space="preserve">pplicant submits that any interest charged on the account ought to be reversed, as it has been raised on amounts which are not due, owing and payable to the </w:t>
      </w:r>
      <w:r w:rsidR="00B86663">
        <w:t>m</w:t>
      </w:r>
      <w:r w:rsidR="001C5B8B" w:rsidRPr="001C5B8B">
        <w:t xml:space="preserve">unicipality. Part A of this application in part, seeks the structured relief set out in the notice of motion, together with </w:t>
      </w:r>
      <w:r w:rsidR="00C32799">
        <w:t>a</w:t>
      </w:r>
      <w:r w:rsidR="001C5B8B" w:rsidRPr="001C5B8B">
        <w:t xml:space="preserve"> declaration of contempt</w:t>
      </w:r>
      <w:r w:rsidR="002035F0">
        <w:t xml:space="preserve">. </w:t>
      </w:r>
    </w:p>
    <w:p w14:paraId="7E97D4E6" w14:textId="3E4B21C7" w:rsidR="001C5B8B" w:rsidRDefault="00B3641D" w:rsidP="00B3641D">
      <w:pPr>
        <w:pStyle w:val="1"/>
        <w:numPr>
          <w:ilvl w:val="0"/>
          <w:numId w:val="0"/>
        </w:numPr>
        <w:tabs>
          <w:tab w:val="left" w:pos="567"/>
        </w:tabs>
        <w:spacing w:line="360" w:lineRule="auto"/>
        <w:ind w:left="567" w:hanging="567"/>
      </w:pPr>
      <w:r>
        <w:t>[17]</w:t>
      </w:r>
      <w:r>
        <w:tab/>
      </w:r>
      <w:r w:rsidR="0011017F" w:rsidRPr="001C5B8B">
        <w:t xml:space="preserve">Part A </w:t>
      </w:r>
      <w:r w:rsidR="0011017F">
        <w:t>of t</w:t>
      </w:r>
      <w:r w:rsidR="001C5B8B" w:rsidRPr="001C5B8B">
        <w:t>he notice of motion in  this application is couched in the following terms</w:t>
      </w:r>
      <w:r w:rsidR="001C5B8B">
        <w:t>:</w:t>
      </w:r>
    </w:p>
    <w:p w14:paraId="1F3C4A93" w14:textId="03F335BE" w:rsidR="001C5B8B" w:rsidRPr="00681E96" w:rsidRDefault="001C5B8B" w:rsidP="00681E96">
      <w:pPr>
        <w:pStyle w:val="1"/>
        <w:numPr>
          <w:ilvl w:val="0"/>
          <w:numId w:val="0"/>
        </w:numPr>
        <w:spacing w:before="120" w:after="120" w:line="360" w:lineRule="auto"/>
        <w:ind w:left="1440"/>
        <w:rPr>
          <w:sz w:val="22"/>
        </w:rPr>
      </w:pPr>
      <w:r>
        <w:t>“</w:t>
      </w:r>
      <w:r w:rsidRPr="00681E96">
        <w:rPr>
          <w:sz w:val="22"/>
        </w:rPr>
        <w:t>1. That this matter be treated as one of urgency in terms of Rule 6(12) of the Uniform Rules of Court.</w:t>
      </w:r>
    </w:p>
    <w:p w14:paraId="6705A844" w14:textId="2C3F80DA" w:rsidR="001C5B8B" w:rsidRPr="00681E96" w:rsidRDefault="001C5B8B" w:rsidP="00681E96">
      <w:pPr>
        <w:pStyle w:val="1"/>
        <w:numPr>
          <w:ilvl w:val="0"/>
          <w:numId w:val="0"/>
        </w:numPr>
        <w:spacing w:before="120" w:after="120" w:line="360" w:lineRule="auto"/>
        <w:ind w:left="1440"/>
        <w:rPr>
          <w:sz w:val="22"/>
        </w:rPr>
      </w:pPr>
      <w:r w:rsidRPr="00681E96">
        <w:rPr>
          <w:sz w:val="22"/>
        </w:rPr>
        <w:t>2. That the First and Second Respondents are declared to be in contempt of the order of the Honourable Justice Mtati of 9 May 2019 under case number 2018/5576, annexed hereto as "Y".</w:t>
      </w:r>
    </w:p>
    <w:p w14:paraId="5F1521C0" w14:textId="7F8BF07F" w:rsidR="001C5B8B" w:rsidRPr="00681E96" w:rsidRDefault="001C5B8B" w:rsidP="00681E96">
      <w:pPr>
        <w:pStyle w:val="1"/>
        <w:numPr>
          <w:ilvl w:val="0"/>
          <w:numId w:val="0"/>
        </w:numPr>
        <w:spacing w:before="120" w:after="120" w:line="360" w:lineRule="auto"/>
        <w:ind w:left="1440"/>
        <w:rPr>
          <w:sz w:val="22"/>
        </w:rPr>
      </w:pPr>
      <w:r w:rsidRPr="00681E96">
        <w:rPr>
          <w:sz w:val="22"/>
        </w:rPr>
        <w:t>3. That the First Respondent be ordered and directed to amend the municipal account with account number 550394278 pertaining to the property described as Erf 5252 Johannesburg Township, registration Division I.R., Gauteng (hereinafter referred to as "the property”) as follows:</w:t>
      </w:r>
    </w:p>
    <w:p w14:paraId="038617B2" w14:textId="399E628D" w:rsidR="00D9795C" w:rsidRPr="00681E96" w:rsidRDefault="001C5B8B" w:rsidP="00681E96">
      <w:pPr>
        <w:pStyle w:val="1"/>
        <w:numPr>
          <w:ilvl w:val="0"/>
          <w:numId w:val="0"/>
        </w:numPr>
        <w:spacing w:before="120" w:after="120" w:line="360" w:lineRule="auto"/>
        <w:ind w:left="2160"/>
        <w:rPr>
          <w:sz w:val="22"/>
        </w:rPr>
      </w:pPr>
      <w:r w:rsidRPr="00681E96">
        <w:rPr>
          <w:sz w:val="22"/>
        </w:rPr>
        <w:t xml:space="preserve">3.1. That for the 2012/2013 year the mixed-use tariff be applied to water consumption, the residential conventional resellers’ tariff be applied to electricity consumption for the residential units, the business tariff be </w:t>
      </w:r>
      <w:r w:rsidRPr="00681E96">
        <w:rPr>
          <w:sz w:val="22"/>
        </w:rPr>
        <w:lastRenderedPageBreak/>
        <w:t>applied to electricity consumption for the commercial units and the tariff for 'blocks of flats be applied to sewerage consumption;</w:t>
      </w:r>
    </w:p>
    <w:p w14:paraId="0C379FDB" w14:textId="7A5E1893" w:rsidR="00D9795C" w:rsidRPr="00681E96" w:rsidRDefault="00D9795C" w:rsidP="00681E96">
      <w:pPr>
        <w:pStyle w:val="1"/>
        <w:numPr>
          <w:ilvl w:val="0"/>
          <w:numId w:val="0"/>
        </w:numPr>
        <w:spacing w:before="120" w:after="120" w:line="360" w:lineRule="auto"/>
        <w:ind w:left="2160"/>
        <w:rPr>
          <w:sz w:val="22"/>
        </w:rPr>
      </w:pPr>
      <w:r w:rsidRPr="00681E96">
        <w:rPr>
          <w:sz w:val="22"/>
        </w:rPr>
        <w:t>…</w:t>
      </w:r>
    </w:p>
    <w:p w14:paraId="0A9BB2D2"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3.3. That for the 2014/2015 year the mixed-use tariff be applied to water consumption, the residential conventional resellers' tariff be applied to electricity consumption for the residential units, the conventional business tariff be applied to electricity consumption for the commercial units and the tariff for 'blocks of flats be applied to sewerage consumption; </w:t>
      </w:r>
    </w:p>
    <w:p w14:paraId="1227C97B"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3.4. That for the 2015/2016 year the mixed-use tariff be applied to water consumption, the residential conventional resellers’ tariff be applied to electricity consumption for residential units, the conventional business tariff be applied to electricity consumption for the commercial units and the tariff for 'blocks of flats be applied to sewerage consumption; </w:t>
      </w:r>
    </w:p>
    <w:p w14:paraId="1B692716"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3.5. That for or the 2016/2017 year the mixed-use tariff be applied to water consumption, the domestic conventional resellers' tariff be applied to electricity consumption for the residential units, the conventional business tariff be applied to electricity consumption for the commercial units and the tariff for 'blocks of flats be applied to sewerage consumption; </w:t>
      </w:r>
    </w:p>
    <w:p w14:paraId="2C0D41B2"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3.6. That for the 2017/2018 year the mixed-use tariff be applied to water consumption, the residential conventional resellers tariff be applied to electricity consumption for the residential units, the conventional business tariff be applied to electricity consumption for the commercial units and the “other classes of property tariff” be applied to sewerage consumption;</w:t>
      </w:r>
    </w:p>
    <w:p w14:paraId="139E272D"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3.7. That for the 2018/2019 year the mixed-use tariff be applied to water consumption, the residential conventional resellers’ tariff be applied to electricity consumption for the residential units, the conventional business tariff be applied to electricity consumption for the commercial units and the tariff for 'blocks of flats be applied to sewerage consumption;</w:t>
      </w:r>
    </w:p>
    <w:p w14:paraId="3551B733"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3.8. That for the 2019/2020 year the mixed-use tariff be applied to water consumption, the conventional resellers’ tariff be applied to electricity </w:t>
      </w:r>
      <w:r w:rsidRPr="00681E96">
        <w:rPr>
          <w:sz w:val="22"/>
        </w:rPr>
        <w:lastRenderedPageBreak/>
        <w:t>consumption for the residential units, the conventional business tariff be applied to electricity consumption for the commercial units and the tariff for 'blocks of flats be applied to sewerage consumption;</w:t>
      </w:r>
    </w:p>
    <w:p w14:paraId="1AEDEECE"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3.9. That for the 2020/2021 year the mixed-use tariff be applied to water consumption, the residential conventional resellers tariff be applied to electricity consumption for the residential unit, the conventional business tariff to be applied to electricity consumption for the commercial units and the tariff for flats be applied to sewerage consumption.</w:t>
      </w:r>
    </w:p>
    <w:p w14:paraId="34EF0F0E" w14:textId="77777777" w:rsidR="001C5B8B" w:rsidRPr="00681E96" w:rsidRDefault="001C5B8B" w:rsidP="00681E96">
      <w:pPr>
        <w:pStyle w:val="1"/>
        <w:numPr>
          <w:ilvl w:val="0"/>
          <w:numId w:val="0"/>
        </w:numPr>
        <w:spacing w:before="120" w:after="120" w:line="360" w:lineRule="auto"/>
        <w:ind w:left="1440"/>
        <w:rPr>
          <w:sz w:val="22"/>
        </w:rPr>
      </w:pPr>
      <w:r w:rsidRPr="00681E96">
        <w:rPr>
          <w:sz w:val="22"/>
        </w:rPr>
        <w:t xml:space="preserve">4. That should the First Respondent have rational reasons as to why it is not required to recalculate the accounts as contemplated in paragraphs 3.1 to 3.9 above, it is to provide reasons therefore within a period of 14 days of any order of this Honourable Court. </w:t>
      </w:r>
    </w:p>
    <w:p w14:paraId="52216B18" w14:textId="77777777" w:rsidR="001C5B8B" w:rsidRPr="00681E96" w:rsidRDefault="001C5B8B" w:rsidP="00681E96">
      <w:pPr>
        <w:pStyle w:val="1"/>
        <w:numPr>
          <w:ilvl w:val="0"/>
          <w:numId w:val="0"/>
        </w:numPr>
        <w:spacing w:before="120" w:after="120" w:line="360" w:lineRule="auto"/>
        <w:ind w:left="1440"/>
        <w:rPr>
          <w:sz w:val="22"/>
        </w:rPr>
      </w:pPr>
      <w:r w:rsidRPr="00681E96">
        <w:rPr>
          <w:sz w:val="22"/>
        </w:rPr>
        <w:t>5. That the reasoning contemplated in paragraph 4 above must be on affidavit and supported by primary evidence used in support thereof, including but not limited to:</w:t>
      </w:r>
    </w:p>
    <w:p w14:paraId="67165DD8"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5.1. The tax invoices relating to the account with account number 550394278 for the period from 2013 to present; </w:t>
      </w:r>
    </w:p>
    <w:p w14:paraId="601B1769"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5.2. The job cards relating to the installation of the electricity meters at the property; </w:t>
      </w:r>
    </w:p>
    <w:p w14:paraId="0A5DFF39"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5.3. Any further job cards relating to the electricity meters at the property; </w:t>
      </w:r>
    </w:p>
    <w:p w14:paraId="5314ECA5"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5.4. The electricity meter reading records, including but not limited to ticket stubs by meter readers or downloads from an electronic meter system, for the period from 2013 to present;</w:t>
      </w:r>
    </w:p>
    <w:p w14:paraId="64C765F5" w14:textId="77777777" w:rsidR="001C5B8B" w:rsidRPr="00681E96" w:rsidRDefault="001C5B8B" w:rsidP="00681E96">
      <w:pPr>
        <w:pStyle w:val="1"/>
        <w:numPr>
          <w:ilvl w:val="0"/>
          <w:numId w:val="0"/>
        </w:numPr>
        <w:spacing w:before="120" w:after="120" w:line="360" w:lineRule="auto"/>
        <w:ind w:left="2160"/>
        <w:rPr>
          <w:sz w:val="22"/>
        </w:rPr>
      </w:pPr>
      <w:r w:rsidRPr="00681E96">
        <w:rPr>
          <w:sz w:val="22"/>
        </w:rPr>
        <w:t xml:space="preserve">5.5. The job card relating to the installation of the water meter with meter number 15752436 at the property; </w:t>
      </w:r>
    </w:p>
    <w:p w14:paraId="509F570C" w14:textId="38288544" w:rsidR="001C5B8B" w:rsidRPr="00681E96" w:rsidRDefault="001C5B8B" w:rsidP="00681E96">
      <w:pPr>
        <w:pStyle w:val="1"/>
        <w:numPr>
          <w:ilvl w:val="0"/>
          <w:numId w:val="0"/>
        </w:numPr>
        <w:spacing w:before="120" w:after="120" w:line="360" w:lineRule="auto"/>
        <w:ind w:left="2160"/>
        <w:rPr>
          <w:sz w:val="22"/>
        </w:rPr>
      </w:pPr>
      <w:r w:rsidRPr="00681E96">
        <w:rPr>
          <w:sz w:val="22"/>
        </w:rPr>
        <w:t>5.6. Any further job cards relating to the meter number recorded in paragraph</w:t>
      </w:r>
      <w:r w:rsidR="008D163C">
        <w:rPr>
          <w:sz w:val="22"/>
        </w:rPr>
        <w:t>;</w:t>
      </w:r>
      <w:r w:rsidRPr="00681E96">
        <w:rPr>
          <w:sz w:val="22"/>
        </w:rPr>
        <w:t xml:space="preserve"> </w:t>
      </w:r>
    </w:p>
    <w:p w14:paraId="6C280291" w14:textId="2FC60F02" w:rsidR="002035F0" w:rsidRDefault="001C5B8B" w:rsidP="00681E96">
      <w:pPr>
        <w:pStyle w:val="1"/>
        <w:numPr>
          <w:ilvl w:val="0"/>
          <w:numId w:val="0"/>
        </w:numPr>
        <w:spacing w:before="120" w:after="120" w:line="360" w:lineRule="auto"/>
        <w:ind w:left="2160"/>
      </w:pPr>
      <w:r w:rsidRPr="00681E96">
        <w:rPr>
          <w:sz w:val="22"/>
        </w:rPr>
        <w:t xml:space="preserve">5.7. The meter reading records relating to the water meter recorded in paragraph 5.5 above, including but not limited to any ticket stubs from meter reader or downloads from an electronic metering system, for the period from 2013 to present. That to the extent necessary, the Applicant </w:t>
      </w:r>
      <w:r w:rsidRPr="00681E96">
        <w:rPr>
          <w:sz w:val="22"/>
        </w:rPr>
        <w:lastRenderedPageBreak/>
        <w:t>be permitted to effect service of the Notice of Motion, Founding Affidavit and all further processes herein, including any Order of this Honourable on the Second Respondent by serving same on the legal advisor, alternatively the secretary to the legal advisor, at the Second Respondent's place of business</w:t>
      </w:r>
      <w:r>
        <w:t>”.</w:t>
      </w:r>
    </w:p>
    <w:p w14:paraId="554EF428" w14:textId="427FDCEC" w:rsidR="002035F0" w:rsidRDefault="00B3641D" w:rsidP="00B3641D">
      <w:pPr>
        <w:pStyle w:val="1"/>
        <w:numPr>
          <w:ilvl w:val="0"/>
          <w:numId w:val="0"/>
        </w:numPr>
        <w:tabs>
          <w:tab w:val="left" w:pos="567"/>
        </w:tabs>
        <w:spacing w:line="360" w:lineRule="auto"/>
        <w:ind w:left="567" w:hanging="567"/>
      </w:pPr>
      <w:r>
        <w:t>[18]</w:t>
      </w:r>
      <w:r>
        <w:tab/>
      </w:r>
      <w:r w:rsidR="001C5B8B" w:rsidRPr="001C5B8B">
        <w:t xml:space="preserve">Part B, which is not before me asks for the following relief: </w:t>
      </w:r>
      <w:r w:rsidR="001C5B8B" w:rsidRPr="001C5B8B">
        <w:rPr>
          <w:i/>
        </w:rPr>
        <w:t>“2.1 that the First Respondent be fined the amount of R200,000.00 (Two Hundred Thousand), alternatively such other amount as the Honourable Court may deem fit; and 2.2. that the Second Respondent be committed to prison for a period of 2 (Two) months, alternatively such other period as the Honourable Court may deem fit”</w:t>
      </w:r>
      <w:r w:rsidR="00BC13EF">
        <w:t xml:space="preserve">. </w:t>
      </w:r>
    </w:p>
    <w:p w14:paraId="5234FB84" w14:textId="3C1D1372" w:rsidR="00BC13EF" w:rsidRDefault="00B3641D" w:rsidP="00B3641D">
      <w:pPr>
        <w:pStyle w:val="1"/>
        <w:numPr>
          <w:ilvl w:val="0"/>
          <w:numId w:val="0"/>
        </w:numPr>
        <w:tabs>
          <w:tab w:val="left" w:pos="567"/>
        </w:tabs>
        <w:spacing w:line="360" w:lineRule="auto"/>
        <w:ind w:left="567" w:hanging="567"/>
      </w:pPr>
      <w:r>
        <w:t>[19]</w:t>
      </w:r>
      <w:r>
        <w:tab/>
      </w:r>
      <w:r w:rsidR="001C5B8B" w:rsidRPr="001C5B8B">
        <w:t xml:space="preserve">The relief in </w:t>
      </w:r>
      <w:r w:rsidR="00362E59">
        <w:t>P</w:t>
      </w:r>
      <w:r w:rsidR="001C5B8B" w:rsidRPr="001C5B8B">
        <w:t>art B as indicated above, has the potential to commit the second respondent to a prison term, and the added potential to violate his right to freedom and security of the person, which includes the right not to be deprived of freedom arbitrarily or without just cause and not to be detained without trial</w:t>
      </w:r>
      <w:r w:rsidR="002F7E43">
        <w:t xml:space="preserve">. This </w:t>
      </w:r>
      <w:r w:rsidR="00D71CE2">
        <w:t xml:space="preserve">implicates </w:t>
      </w:r>
      <w:r w:rsidR="009F33B8">
        <w:t xml:space="preserve">constitutional </w:t>
      </w:r>
      <w:r w:rsidR="002F7E43">
        <w:t>rights</w:t>
      </w:r>
      <w:r w:rsidR="00D71CE2">
        <w:t xml:space="preserve"> such as</w:t>
      </w:r>
      <w:r w:rsidR="008F7C6A">
        <w:t xml:space="preserve"> those </w:t>
      </w:r>
      <w:r w:rsidR="001C5B8B" w:rsidRPr="001C5B8B">
        <w:t xml:space="preserve"> in section 12(</w:t>
      </w:r>
      <w:r w:rsidR="008F7C6A">
        <w:t xml:space="preserve"> rights</w:t>
      </w:r>
      <w:r w:rsidR="001C5B8B" w:rsidRPr="001C5B8B">
        <w:t xml:space="preserve"> as well as the </w:t>
      </w:r>
      <w:r w:rsidR="008F7C6A">
        <w:t xml:space="preserve">right to </w:t>
      </w:r>
      <w:r w:rsidR="001C5B8B" w:rsidRPr="001C5B8B">
        <w:t xml:space="preserve">fair trial </w:t>
      </w:r>
      <w:r w:rsidR="000D094E">
        <w:t>in</w:t>
      </w:r>
      <w:r w:rsidR="001C5B8B" w:rsidRPr="001C5B8B">
        <w:t xml:space="preserve"> section 35(3) of the Constitution</w:t>
      </w:r>
      <w:r w:rsidR="00BC13EF">
        <w:t xml:space="preserve">. </w:t>
      </w:r>
    </w:p>
    <w:p w14:paraId="0AC015AD" w14:textId="3AED492D" w:rsidR="00BC13EF" w:rsidRDefault="00B3641D" w:rsidP="00B3641D">
      <w:pPr>
        <w:pStyle w:val="1"/>
        <w:numPr>
          <w:ilvl w:val="0"/>
          <w:numId w:val="0"/>
        </w:numPr>
        <w:tabs>
          <w:tab w:val="left" w:pos="567"/>
        </w:tabs>
        <w:spacing w:line="360" w:lineRule="auto"/>
        <w:ind w:left="567" w:hanging="567"/>
      </w:pPr>
      <w:r>
        <w:t>[20]</w:t>
      </w:r>
      <w:r>
        <w:tab/>
      </w:r>
      <w:r w:rsidR="001C5B8B" w:rsidRPr="001C5B8B">
        <w:t xml:space="preserve">Before this </w:t>
      </w:r>
      <w:r w:rsidR="00E02B56" w:rsidRPr="001C5B8B">
        <w:t>C</w:t>
      </w:r>
      <w:r w:rsidR="001C5B8B" w:rsidRPr="001C5B8B">
        <w:t xml:space="preserve">ourt, the question of urgency, correctly, was no longer pursued by the applicant. In any event the </w:t>
      </w:r>
      <w:r w:rsidR="00E02B56" w:rsidRPr="001C5B8B">
        <w:t>a</w:t>
      </w:r>
      <w:r w:rsidR="001C5B8B" w:rsidRPr="001C5B8B">
        <w:t>pplicant did not make out a case for the granting of the relief sought. The respondents sought leave which was granted to supplement the answering affidavit introducing new facts relating to the tariff</w:t>
      </w:r>
      <w:r w:rsidR="001C5B8B" w:rsidRPr="001C5B8B">
        <w:rPr>
          <w:u w:val="single"/>
        </w:rPr>
        <w:t xml:space="preserve"> </w:t>
      </w:r>
      <w:r w:rsidR="001C5B8B" w:rsidRPr="001C5B8B">
        <w:t>change applications (</w:t>
      </w:r>
      <w:r w:rsidR="00E02B56">
        <w:t xml:space="preserve">annexure </w:t>
      </w:r>
      <w:r w:rsidR="004A11B2">
        <w:t>“</w:t>
      </w:r>
      <w:r w:rsidR="001C5B8B" w:rsidRPr="001C5B8B">
        <w:t>G3</w:t>
      </w:r>
      <w:r w:rsidR="00E02B56">
        <w:t>”</w:t>
      </w:r>
      <w:r w:rsidR="001C5B8B" w:rsidRPr="001C5B8B">
        <w:t xml:space="preserve">) made by the applicant which fact was not disclosed by the applicant in their papers. The </w:t>
      </w:r>
      <w:r w:rsidR="00B86663" w:rsidRPr="001C5B8B">
        <w:t>m</w:t>
      </w:r>
      <w:r w:rsidR="001C5B8B" w:rsidRPr="001C5B8B">
        <w:t>unicipality asserts that</w:t>
      </w:r>
      <w:r w:rsidR="00FF4491">
        <w:t xml:space="preserve"> the</w:t>
      </w:r>
      <w:r w:rsidR="001C5B8B" w:rsidRPr="001C5B8B">
        <w:t xml:space="preserve"> change of tariff application after </w:t>
      </w:r>
      <w:r w:rsidR="00FF4491" w:rsidRPr="001C5B8B">
        <w:t xml:space="preserve">the court order </w:t>
      </w:r>
      <w:r w:rsidR="00FF4491">
        <w:t xml:space="preserve">was </w:t>
      </w:r>
      <w:r w:rsidR="001C5B8B" w:rsidRPr="001C5B8B">
        <w:t>obtain</w:t>
      </w:r>
      <w:r w:rsidR="00FF4491">
        <w:t>ed</w:t>
      </w:r>
      <w:r w:rsidR="001C5B8B" w:rsidRPr="001C5B8B">
        <w:t>, on both the water and electricity are the very same issues the applicant seeks to hold the respondents to be in contempt of court</w:t>
      </w:r>
      <w:r w:rsidR="00BC13EF">
        <w:t xml:space="preserve">. </w:t>
      </w:r>
    </w:p>
    <w:p w14:paraId="613627E5" w14:textId="78E316C4" w:rsidR="00BC13EF" w:rsidRDefault="00B3641D" w:rsidP="00B3641D">
      <w:pPr>
        <w:pStyle w:val="1"/>
        <w:numPr>
          <w:ilvl w:val="0"/>
          <w:numId w:val="0"/>
        </w:numPr>
        <w:tabs>
          <w:tab w:val="left" w:pos="567"/>
        </w:tabs>
        <w:spacing w:line="360" w:lineRule="auto"/>
        <w:ind w:left="567" w:hanging="567"/>
      </w:pPr>
      <w:r>
        <w:t>[21]</w:t>
      </w:r>
      <w:r>
        <w:tab/>
      </w:r>
      <w:r w:rsidR="008F2310" w:rsidRPr="001C5B8B">
        <w:t>With leave of this Court,</w:t>
      </w:r>
      <w:r w:rsidR="008F2310">
        <w:t xml:space="preserve"> t</w:t>
      </w:r>
      <w:r w:rsidR="001C5B8B" w:rsidRPr="001C5B8B">
        <w:t xml:space="preserve">he applicant also filed a supplementary replying affidavit. The </w:t>
      </w:r>
      <w:r w:rsidR="008F2310">
        <w:t>a</w:t>
      </w:r>
      <w:r w:rsidR="001C5B8B" w:rsidRPr="001C5B8B">
        <w:t xml:space="preserve">pplicant takes no issue with the </w:t>
      </w:r>
      <w:r w:rsidR="00CE5944">
        <w:t>r</w:t>
      </w:r>
      <w:r w:rsidR="001C5B8B" w:rsidRPr="001C5B8B">
        <w:t xml:space="preserve">espondents’ supplementary affidavit. The applicant contends that the documents tendered by the </w:t>
      </w:r>
      <w:r w:rsidR="002E0850">
        <w:t>r</w:t>
      </w:r>
      <w:r w:rsidR="001C5B8B" w:rsidRPr="001C5B8B">
        <w:t xml:space="preserve">espondents were not adduced by the </w:t>
      </w:r>
      <w:r w:rsidR="002E0850">
        <w:t>a</w:t>
      </w:r>
      <w:r w:rsidR="001C5B8B" w:rsidRPr="001C5B8B">
        <w:t xml:space="preserve">pplicant in the founding and replying affidavits as “an oversight” due to the fact that “they were not relevant” at the time the documents were filed. This is hardly convincing. Furthermore, that the papers </w:t>
      </w:r>
      <w:r w:rsidR="001C5B8B" w:rsidRPr="001C5B8B">
        <w:lastRenderedPageBreak/>
        <w:t>were “drafted on an urgent basis and accordingly a drafting error arose in applying the split meter over the entire recalculation period”</w:t>
      </w:r>
      <w:r w:rsidR="00305DC7">
        <w:t xml:space="preserve"> is not persuasi</w:t>
      </w:r>
      <w:r w:rsidR="00556859">
        <w:t>ve</w:t>
      </w:r>
      <w:r w:rsidR="00BC13EF">
        <w:t>.</w:t>
      </w:r>
      <w:r w:rsidR="00556859">
        <w:t xml:space="preserve"> </w:t>
      </w:r>
      <w:r w:rsidR="00BC13EF">
        <w:t xml:space="preserve"> </w:t>
      </w:r>
    </w:p>
    <w:p w14:paraId="7D6565B0" w14:textId="5A6F3F7A" w:rsidR="00BC13EF" w:rsidRDefault="00B3641D" w:rsidP="00B3641D">
      <w:pPr>
        <w:pStyle w:val="1"/>
        <w:numPr>
          <w:ilvl w:val="0"/>
          <w:numId w:val="0"/>
        </w:numPr>
        <w:tabs>
          <w:tab w:val="left" w:pos="567"/>
        </w:tabs>
        <w:spacing w:line="360" w:lineRule="auto"/>
        <w:ind w:left="567" w:hanging="567"/>
      </w:pPr>
      <w:r>
        <w:t>[22]</w:t>
      </w:r>
      <w:r>
        <w:tab/>
      </w:r>
      <w:r w:rsidR="00962FE8" w:rsidRPr="00962FE8">
        <w:t xml:space="preserve">The split meter was installed at the property on 22 February 2021 as requested. In oral submission, counsel for the applicant abandoned the first part of the structural relief sought in as far </w:t>
      </w:r>
      <w:r w:rsidR="00513483">
        <w:t xml:space="preserve">that </w:t>
      </w:r>
      <w:r w:rsidR="00962FE8" w:rsidRPr="00962FE8">
        <w:t>electrical service is concerned</w:t>
      </w:r>
      <w:r w:rsidR="00CF6C81">
        <w:t xml:space="preserve">. </w:t>
      </w:r>
    </w:p>
    <w:p w14:paraId="1EED0C17" w14:textId="0887BD21" w:rsidR="00CF6C81" w:rsidRDefault="00B3641D" w:rsidP="00B3641D">
      <w:pPr>
        <w:pStyle w:val="1"/>
        <w:numPr>
          <w:ilvl w:val="0"/>
          <w:numId w:val="0"/>
        </w:numPr>
        <w:tabs>
          <w:tab w:val="left" w:pos="567"/>
        </w:tabs>
        <w:spacing w:line="360" w:lineRule="auto"/>
        <w:ind w:left="567" w:hanging="567"/>
      </w:pPr>
      <w:r>
        <w:t>[23]</w:t>
      </w:r>
      <w:r>
        <w:tab/>
      </w:r>
      <w:r w:rsidR="00962FE8" w:rsidRPr="00962FE8">
        <w:t xml:space="preserve">The </w:t>
      </w:r>
      <w:r w:rsidR="000B4D98">
        <w:t>r</w:t>
      </w:r>
      <w:r w:rsidR="00962FE8" w:rsidRPr="00962FE8">
        <w:t xml:space="preserve">espondents, in their answering affidavit, dispute their non-compliance with the order. In sum, the </w:t>
      </w:r>
      <w:r w:rsidR="00C67C01">
        <w:t>r</w:t>
      </w:r>
      <w:r w:rsidR="00962FE8" w:rsidRPr="00962FE8">
        <w:t xml:space="preserve">espondents submit that the </w:t>
      </w:r>
      <w:r w:rsidR="00C67C01">
        <w:t>a</w:t>
      </w:r>
      <w:r w:rsidR="00962FE8" w:rsidRPr="00962FE8">
        <w:t>pplicant is aware that they had taken steps to comply with the order and refer to two tax invoices, dated 26 September 2019 and 20 March 2020, which the</w:t>
      </w:r>
      <w:r w:rsidR="005D2E12">
        <w:t>y</w:t>
      </w:r>
      <w:r w:rsidR="00962FE8" w:rsidRPr="00962FE8">
        <w:t xml:space="preserve"> allege, demonstrate their compliance</w:t>
      </w:r>
      <w:r w:rsidR="00CF6C81">
        <w:t>.</w:t>
      </w:r>
    </w:p>
    <w:p w14:paraId="75629367" w14:textId="4B11E4EA" w:rsidR="00CF6C81" w:rsidRDefault="00B3641D" w:rsidP="00B3641D">
      <w:pPr>
        <w:pStyle w:val="1"/>
        <w:numPr>
          <w:ilvl w:val="0"/>
          <w:numId w:val="0"/>
        </w:numPr>
        <w:tabs>
          <w:tab w:val="left" w:pos="567"/>
        </w:tabs>
        <w:spacing w:line="360" w:lineRule="auto"/>
        <w:ind w:left="567" w:hanging="567"/>
      </w:pPr>
      <w:r>
        <w:t>[24]</w:t>
      </w:r>
      <w:r>
        <w:tab/>
      </w:r>
      <w:r w:rsidR="00962FE8" w:rsidRPr="00962FE8">
        <w:t xml:space="preserve">The </w:t>
      </w:r>
      <w:r w:rsidR="003221BF">
        <w:t>r</w:t>
      </w:r>
      <w:r w:rsidR="00962FE8" w:rsidRPr="00962FE8">
        <w:t xml:space="preserve">espondents point out that annexure “FA6” attached to the founding affidavit shows that first respondent charges the applicant on a </w:t>
      </w:r>
      <w:r w:rsidR="00D52C7A" w:rsidRPr="00962FE8">
        <w:t>m</w:t>
      </w:r>
      <w:r w:rsidR="00962FE8" w:rsidRPr="00962FE8">
        <w:t xml:space="preserve">ultipurpose residential </w:t>
      </w:r>
      <w:r w:rsidR="00D52C7A">
        <w:t xml:space="preserve">tariff </w:t>
      </w:r>
      <w:r w:rsidR="00962FE8" w:rsidRPr="00962FE8">
        <w:t>and the services have been recalculated from 2016 to 2019 which amounts</w:t>
      </w:r>
      <w:r w:rsidR="00D52C7A">
        <w:t xml:space="preserve"> to</w:t>
      </w:r>
      <w:r w:rsidR="00962FE8" w:rsidRPr="00962FE8">
        <w:t xml:space="preserve"> 1136 days. Further</w:t>
      </w:r>
      <w:r w:rsidR="00463E88">
        <w:t>,</w:t>
      </w:r>
      <w:r w:rsidR="00962FE8" w:rsidRPr="00962FE8">
        <w:t xml:space="preserve"> that</w:t>
      </w:r>
      <w:r w:rsidR="00463E88">
        <w:t xml:space="preserve"> the</w:t>
      </w:r>
      <w:r w:rsidR="00962FE8" w:rsidRPr="00962FE8">
        <w:t xml:space="preserve"> tax invoice dated 26 September 2019</w:t>
      </w:r>
      <w:r w:rsidR="00463E88">
        <w:t>.</w:t>
      </w:r>
      <w:r w:rsidR="00962FE8" w:rsidRPr="00962FE8">
        <w:t>. billed</w:t>
      </w:r>
      <w:r w:rsidR="00962FE8" w:rsidRPr="00681E96">
        <w:t xml:space="preserve"> </w:t>
      </w:r>
      <w:r w:rsidR="00962FE8" w:rsidRPr="00962FE8">
        <w:t xml:space="preserve">on </w:t>
      </w:r>
      <w:r w:rsidR="006209D7">
        <w:t xml:space="preserve">the </w:t>
      </w:r>
      <w:r w:rsidR="009C651D">
        <w:t>m</w:t>
      </w:r>
      <w:r w:rsidR="00962FE8" w:rsidRPr="00962FE8">
        <w:t xml:space="preserve">ultipurpose </w:t>
      </w:r>
      <w:r w:rsidR="009C651D">
        <w:t>r</w:t>
      </w:r>
      <w:r w:rsidR="00962FE8" w:rsidRPr="00962FE8">
        <w:t xml:space="preserve">esidential </w:t>
      </w:r>
      <w:r w:rsidR="009C651D">
        <w:t xml:space="preserve">tariff </w:t>
      </w:r>
      <w:r w:rsidR="00962FE8" w:rsidRPr="00962FE8">
        <w:t>shows a recalculation commencing from July 2015. As for the structural remedy, they contend that it is only relevant in the event where the applicant succeeds in its case that the respondents are in contempt of court</w:t>
      </w:r>
      <w:r w:rsidR="00CF6C81">
        <w:t xml:space="preserve">. </w:t>
      </w:r>
    </w:p>
    <w:p w14:paraId="3D6C1870" w14:textId="78404CE8" w:rsidR="00962FE8" w:rsidRPr="00681E96" w:rsidRDefault="00962FE8" w:rsidP="00681E96">
      <w:pPr>
        <w:pStyle w:val="1"/>
        <w:numPr>
          <w:ilvl w:val="0"/>
          <w:numId w:val="0"/>
        </w:numPr>
        <w:spacing w:line="360" w:lineRule="auto"/>
        <w:rPr>
          <w:i/>
        </w:rPr>
      </w:pPr>
      <w:r w:rsidRPr="00681E96">
        <w:rPr>
          <w:i/>
        </w:rPr>
        <w:t>The contempt of court relief</w:t>
      </w:r>
    </w:p>
    <w:p w14:paraId="4150E672" w14:textId="042CF078" w:rsidR="00CF6C81" w:rsidRDefault="00B3641D" w:rsidP="00B3641D">
      <w:pPr>
        <w:pStyle w:val="1"/>
        <w:numPr>
          <w:ilvl w:val="0"/>
          <w:numId w:val="0"/>
        </w:numPr>
        <w:tabs>
          <w:tab w:val="left" w:pos="567"/>
        </w:tabs>
        <w:spacing w:line="360" w:lineRule="auto"/>
        <w:ind w:left="567" w:hanging="567"/>
      </w:pPr>
      <w:r>
        <w:t>[25]</w:t>
      </w:r>
      <w:r>
        <w:tab/>
      </w:r>
      <w:r w:rsidR="00962FE8" w:rsidRPr="00962FE8">
        <w:t>It is trite that an applicant for contempt must prove (a) the existence of a court order; (b) service or notice thereof; (c) non-compliance with the terms of the order; and (d) wilfulness and mala fides beyond reasonable doubt.  But the respondent bears an evidentiary burden in relation to (d) to adduce evidence to rebut the inference that his non-compliance was not wilful and mala fide</w:t>
      </w:r>
      <w:r w:rsidR="00BA67AC">
        <w:t>.</w:t>
      </w:r>
      <w:r w:rsidR="004A05CE">
        <w:t xml:space="preserve"> </w:t>
      </w:r>
    </w:p>
    <w:p w14:paraId="46A9899E" w14:textId="3D6FC6DD" w:rsidR="00FE5E9C" w:rsidRDefault="00B3641D" w:rsidP="00B3641D">
      <w:pPr>
        <w:pStyle w:val="1"/>
        <w:numPr>
          <w:ilvl w:val="0"/>
          <w:numId w:val="0"/>
        </w:numPr>
        <w:tabs>
          <w:tab w:val="left" w:pos="567"/>
        </w:tabs>
        <w:spacing w:line="360" w:lineRule="auto"/>
        <w:ind w:left="567" w:hanging="567"/>
      </w:pPr>
      <w:r>
        <w:t>[26]</w:t>
      </w:r>
      <w:r>
        <w:tab/>
      </w:r>
      <w:r w:rsidR="00962FE8" w:rsidRPr="00962FE8">
        <w:t xml:space="preserve">It is well established that non-compliance with court orders imperils judicial authority. Contempt of court is a criminal offence and the elements making up contempt must be proven beyond reasonable doubt. After all, personal liberty </w:t>
      </w:r>
      <w:r w:rsidR="00962FE8" w:rsidRPr="00962FE8">
        <w:lastRenderedPageBreak/>
        <w:t>cannot be taken away randomly. To convict anyone for contempt of court, it must thus be proved that he or she was personally aware of the court order</w:t>
      </w:r>
      <w:r w:rsidR="00EB6740">
        <w:t>.</w:t>
      </w:r>
      <w:r w:rsidR="00962FE8" w:rsidRPr="00962FE8">
        <w:rPr>
          <w:vertAlign w:val="superscript"/>
        </w:rPr>
        <w:footnoteReference w:id="6"/>
      </w:r>
    </w:p>
    <w:p w14:paraId="7414E37F" w14:textId="01087B53" w:rsidR="0016654B" w:rsidRDefault="00B3641D" w:rsidP="00B3641D">
      <w:pPr>
        <w:pStyle w:val="1"/>
        <w:numPr>
          <w:ilvl w:val="0"/>
          <w:numId w:val="0"/>
        </w:numPr>
        <w:tabs>
          <w:tab w:val="left" w:pos="567"/>
        </w:tabs>
        <w:spacing w:line="360" w:lineRule="auto"/>
        <w:ind w:left="567" w:hanging="567"/>
      </w:pPr>
      <w:r>
        <w:t>[27]</w:t>
      </w:r>
      <w:r>
        <w:tab/>
      </w:r>
      <w:r w:rsidR="00962FE8" w:rsidRPr="00962FE8">
        <w:t xml:space="preserve">The SCA in </w:t>
      </w:r>
      <w:r w:rsidR="00962FE8" w:rsidRPr="00681E96">
        <w:rPr>
          <w:i/>
        </w:rPr>
        <w:t>Fakie NO v CCII Systems (Pty) Ltd</w:t>
      </w:r>
      <w:r w:rsidR="00962FE8" w:rsidRPr="00962FE8">
        <w:rPr>
          <w:vertAlign w:val="superscript"/>
        </w:rPr>
        <w:footnoteReference w:id="7"/>
      </w:r>
      <w:r w:rsidR="00962FE8" w:rsidRPr="00962FE8">
        <w:t xml:space="preserve"> set out the requirements necessary to hold a party in contempt of court. </w:t>
      </w:r>
      <w:r w:rsidR="00962FE8" w:rsidRPr="00681E96">
        <w:rPr>
          <w:i/>
        </w:rPr>
        <w:t>Fakie</w:t>
      </w:r>
      <w:r w:rsidR="00962FE8" w:rsidRPr="00962FE8">
        <w:t xml:space="preserve"> was cited with approval in in numerous decisions. Cameron JA held that it is a crime to intentionally and unlawfully disobey a court order. It amounts to violation of the dignity, repute or authority of a court or judicial officer</w:t>
      </w:r>
      <w:r w:rsidR="003B2B55">
        <w:t xml:space="preserve">. </w:t>
      </w:r>
    </w:p>
    <w:p w14:paraId="3D9172E7" w14:textId="0A768CE9" w:rsidR="003B2B55" w:rsidRDefault="00B3641D" w:rsidP="00B3641D">
      <w:pPr>
        <w:pStyle w:val="1"/>
        <w:numPr>
          <w:ilvl w:val="0"/>
          <w:numId w:val="0"/>
        </w:numPr>
        <w:tabs>
          <w:tab w:val="left" w:pos="567"/>
        </w:tabs>
        <w:spacing w:line="360" w:lineRule="auto"/>
        <w:ind w:left="567" w:hanging="567"/>
      </w:pPr>
      <w:r>
        <w:t>[28]</w:t>
      </w:r>
      <w:r>
        <w:tab/>
      </w:r>
      <w:r w:rsidR="00962FE8" w:rsidRPr="00962FE8">
        <w:t xml:space="preserve">Cameron JA dealt with the standard of proof to be applied where committal was sought solely to enforce compliance with </w:t>
      </w:r>
      <w:r w:rsidR="00DB42FD">
        <w:t>a</w:t>
      </w:r>
      <w:r w:rsidR="00962FE8" w:rsidRPr="00962FE8">
        <w:t xml:space="preserve"> court order. He held that the civil standard (on a preponderance of probabilities) for a finding of contempt</w:t>
      </w:r>
      <w:r w:rsidR="00962FE8" w:rsidRPr="00681E96">
        <w:t xml:space="preserve"> </w:t>
      </w:r>
      <w:r w:rsidR="00962FE8" w:rsidRPr="00962FE8">
        <w:t>where committal is the sanction is not in keeping with constitutional values and that the standard should rather be beyond a reasonable doubt</w:t>
      </w:r>
      <w:r w:rsidR="003B2B55">
        <w:t>.</w:t>
      </w:r>
    </w:p>
    <w:p w14:paraId="2B2FF618" w14:textId="7029B0F5" w:rsidR="00962FE8" w:rsidRDefault="00B3641D" w:rsidP="00B3641D">
      <w:pPr>
        <w:pStyle w:val="1"/>
        <w:numPr>
          <w:ilvl w:val="0"/>
          <w:numId w:val="0"/>
        </w:numPr>
        <w:tabs>
          <w:tab w:val="left" w:pos="567"/>
        </w:tabs>
        <w:spacing w:line="360" w:lineRule="auto"/>
        <w:ind w:left="567" w:hanging="567"/>
      </w:pPr>
      <w:r>
        <w:t>[29]</w:t>
      </w:r>
      <w:r>
        <w:tab/>
      </w:r>
      <w:r w:rsidR="00962FE8" w:rsidRPr="00962FE8">
        <w:t xml:space="preserve">Recently in </w:t>
      </w:r>
      <w:r w:rsidR="00962FE8" w:rsidRPr="00681E96">
        <w:rPr>
          <w:i/>
        </w:rPr>
        <w:t>Secretary, Judicial Commission of Inquiry into Allegations of State Capture v Zuma</w:t>
      </w:r>
      <w:r w:rsidR="00962FE8" w:rsidRPr="00962FE8">
        <w:rPr>
          <w:vertAlign w:val="superscript"/>
        </w:rPr>
        <w:footnoteReference w:id="8"/>
      </w:r>
      <w:r w:rsidR="00962FE8" w:rsidRPr="00962FE8">
        <w:t>, the Constitutional Court held at para 37 that</w:t>
      </w:r>
      <w:r w:rsidR="00962FE8">
        <w:t>:</w:t>
      </w:r>
    </w:p>
    <w:p w14:paraId="291956A9" w14:textId="71D79B01" w:rsidR="00426DF3" w:rsidRDefault="0053615C" w:rsidP="00681E96">
      <w:pPr>
        <w:pStyle w:val="1"/>
        <w:numPr>
          <w:ilvl w:val="0"/>
          <w:numId w:val="0"/>
        </w:numPr>
        <w:spacing w:line="360" w:lineRule="auto"/>
        <w:ind w:left="1440"/>
      </w:pPr>
      <w:r>
        <w:rPr>
          <w:i/>
        </w:rPr>
        <w:t>“</w:t>
      </w:r>
      <w:r w:rsidR="00962FE8" w:rsidRPr="00681E96">
        <w:rPr>
          <w:sz w:val="22"/>
        </w:rPr>
        <w:t xml:space="preserve">As set out by the Supreme Court of Appeal in </w:t>
      </w:r>
      <w:r w:rsidR="00962FE8" w:rsidRPr="00681E96">
        <w:rPr>
          <w:i/>
          <w:sz w:val="22"/>
        </w:rPr>
        <w:t>Fakie</w:t>
      </w:r>
      <w:r w:rsidR="00962FE8" w:rsidRPr="00681E96">
        <w:rPr>
          <w:sz w:val="22"/>
        </w:rPr>
        <w:t xml:space="preserve">, and approved by this court in </w:t>
      </w:r>
      <w:r w:rsidR="00962FE8" w:rsidRPr="00681E96">
        <w:rPr>
          <w:i/>
          <w:sz w:val="22"/>
        </w:rPr>
        <w:t>Pheko II</w:t>
      </w:r>
      <w:r w:rsidR="00962FE8" w:rsidRPr="00681E96">
        <w:rPr>
          <w:sz w:val="22"/>
        </w:rPr>
        <w:t>, it is trite that an applicant who alleges contempt of court must establish that (a) an order was granted against the alleged contemnor; (b) the alleged contemnor was served with the order or had knowledge of it; and (c)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w:t>
      </w:r>
      <w:r w:rsidR="00962FE8" w:rsidRPr="00681E96">
        <w:t>”</w:t>
      </w:r>
      <w:r w:rsidR="00FA5697">
        <w:rPr>
          <w:i/>
        </w:rPr>
        <w:t>.</w:t>
      </w:r>
      <w:r w:rsidR="00426DF3">
        <w:t xml:space="preserve"> </w:t>
      </w:r>
    </w:p>
    <w:p w14:paraId="5421B2C9" w14:textId="3BE8E1C2" w:rsidR="00783EF5" w:rsidRDefault="00B3641D" w:rsidP="00B3641D">
      <w:pPr>
        <w:pStyle w:val="1"/>
        <w:numPr>
          <w:ilvl w:val="0"/>
          <w:numId w:val="0"/>
        </w:numPr>
        <w:tabs>
          <w:tab w:val="left" w:pos="567"/>
        </w:tabs>
        <w:spacing w:line="360" w:lineRule="auto"/>
        <w:ind w:left="567" w:hanging="567"/>
      </w:pPr>
      <w:r>
        <w:t>[30]</w:t>
      </w:r>
      <w:r>
        <w:tab/>
      </w:r>
      <w:r w:rsidR="00962FE8" w:rsidRPr="00962FE8">
        <w:t xml:space="preserve">From the supplementary papers, it is apparent that during February 2021, after the order of 9 May 2019 was granted, a split meter (i.e. one meter to measure residential electricity consumption and one meter to measure business electricity consumption) was installed at the </w:t>
      </w:r>
      <w:r w:rsidR="007B14AE">
        <w:t>a</w:t>
      </w:r>
      <w:r w:rsidR="00962FE8" w:rsidRPr="00962FE8">
        <w:t>pplicant's property. The split meter was installed pursuant to an earlier application made by the applicant for a split meter. As indicated</w:t>
      </w:r>
      <w:r w:rsidR="00C134A1">
        <w:t>,</w:t>
      </w:r>
      <w:r w:rsidR="00962FE8" w:rsidRPr="00962FE8">
        <w:t xml:space="preserve"> this was not disclosed by the applicant in its founding papers. In </w:t>
      </w:r>
      <w:r w:rsidR="00962FE8" w:rsidRPr="00962FE8">
        <w:lastRenderedPageBreak/>
        <w:t>the light of this fact which is now common cause</w:t>
      </w:r>
      <w:r w:rsidR="00C134A1">
        <w:t>,</w:t>
      </w:r>
      <w:r w:rsidR="00962FE8" w:rsidRPr="00962FE8">
        <w:t xml:space="preserve"> there is no basis to conclude that the conduct by the first respondent was mala fide under the circumstances</w:t>
      </w:r>
      <w:r w:rsidR="00426DF3">
        <w:t xml:space="preserve">. </w:t>
      </w:r>
    </w:p>
    <w:p w14:paraId="4B83F902" w14:textId="078607E0" w:rsidR="000565CD" w:rsidRDefault="00B3641D" w:rsidP="00B3641D">
      <w:pPr>
        <w:pStyle w:val="1"/>
        <w:numPr>
          <w:ilvl w:val="0"/>
          <w:numId w:val="0"/>
        </w:numPr>
        <w:tabs>
          <w:tab w:val="left" w:pos="567"/>
        </w:tabs>
        <w:spacing w:line="360" w:lineRule="auto"/>
        <w:ind w:left="567" w:hanging="567"/>
      </w:pPr>
      <w:r>
        <w:t>[31]</w:t>
      </w:r>
      <w:r>
        <w:tab/>
      </w:r>
      <w:r w:rsidR="00962FE8" w:rsidRPr="00962FE8">
        <w:t>The applicant asserts that the fact that there were two meters at the time that the application was brought instead of one</w:t>
      </w:r>
      <w:r w:rsidR="00B647F7">
        <w:t>,</w:t>
      </w:r>
      <w:r w:rsidR="00962FE8" w:rsidRPr="00962FE8">
        <w:t xml:space="preserve"> simply means that the structural relief sought by </w:t>
      </w:r>
      <w:r w:rsidR="001A4394">
        <w:t>i</w:t>
      </w:r>
      <w:r w:rsidR="00962FE8" w:rsidRPr="00962FE8">
        <w:t xml:space="preserve">t in regard to electricity is no longer necessary and does not change the fact that the </w:t>
      </w:r>
      <w:r w:rsidR="00B86663">
        <w:t>m</w:t>
      </w:r>
      <w:r w:rsidR="00962FE8" w:rsidRPr="00962FE8">
        <w:t>unicipality has not otherwise complied with</w:t>
      </w:r>
      <w:r w:rsidR="00962FE8" w:rsidRPr="00681E96">
        <w:t xml:space="preserve"> </w:t>
      </w:r>
      <w:r w:rsidR="00962FE8" w:rsidRPr="00962FE8">
        <w:t>the 9 May 2019 order, in that, the recalculation is still not to 28 February 2013; there are still incorrect tariffs for water and sewerage</w:t>
      </w:r>
      <w:r w:rsidR="0016654B">
        <w:t>.</w:t>
      </w:r>
    </w:p>
    <w:p w14:paraId="432A9F52" w14:textId="2F07069E" w:rsidR="00962FE8" w:rsidRPr="00681E96" w:rsidRDefault="00962FE8" w:rsidP="00681E96">
      <w:pPr>
        <w:pStyle w:val="1"/>
        <w:numPr>
          <w:ilvl w:val="0"/>
          <w:numId w:val="0"/>
        </w:numPr>
        <w:spacing w:line="360" w:lineRule="auto"/>
        <w:rPr>
          <w:i/>
        </w:rPr>
      </w:pPr>
      <w:r w:rsidRPr="00681E96">
        <w:rPr>
          <w:i/>
        </w:rPr>
        <w:t>The structural relief</w:t>
      </w:r>
    </w:p>
    <w:p w14:paraId="057D86AE" w14:textId="46C17A85" w:rsidR="00242907" w:rsidRDefault="00B3641D" w:rsidP="00B3641D">
      <w:pPr>
        <w:pStyle w:val="1"/>
        <w:numPr>
          <w:ilvl w:val="0"/>
          <w:numId w:val="0"/>
        </w:numPr>
        <w:tabs>
          <w:tab w:val="left" w:pos="567"/>
        </w:tabs>
        <w:spacing w:line="360" w:lineRule="auto"/>
        <w:ind w:left="567" w:hanging="567"/>
      </w:pPr>
      <w:r>
        <w:t>[32]</w:t>
      </w:r>
      <w:r>
        <w:tab/>
      </w:r>
      <w:r w:rsidR="00962FE8" w:rsidRPr="00962FE8">
        <w:t xml:space="preserve">As for the structural relief sought, the applicant alleges this is based on its letter of 6 April 2021, “FA17” addressed to the respondents. The thrust of the allegation being that these tariffs have been assigned to the particular years based on the definitions as contained in the annual electricity, water and sewerage tariff. The </w:t>
      </w:r>
      <w:r w:rsidR="006A0911">
        <w:t>a</w:t>
      </w:r>
      <w:r w:rsidR="00962FE8" w:rsidRPr="00962FE8">
        <w:t>pplicant submit</w:t>
      </w:r>
      <w:r w:rsidR="00C07E8B">
        <w:t>s</w:t>
      </w:r>
      <w:r w:rsidR="00962FE8" w:rsidRPr="00962FE8">
        <w:t xml:space="preserve"> in this regard that applying this simple recalculation to each of the ledger entries from 28 February 2013 to present without more, will bring an end to the dispute. The basis for the proposed recalculations remains obscure</w:t>
      </w:r>
      <w:r w:rsidR="00D87FBD">
        <w:t>.</w:t>
      </w:r>
    </w:p>
    <w:p w14:paraId="6EBCDAB8" w14:textId="5A63EE80" w:rsidR="00962FE8" w:rsidRDefault="00B3641D" w:rsidP="00B3641D">
      <w:pPr>
        <w:pStyle w:val="1"/>
        <w:numPr>
          <w:ilvl w:val="0"/>
          <w:numId w:val="0"/>
        </w:numPr>
        <w:tabs>
          <w:tab w:val="left" w:pos="567"/>
        </w:tabs>
        <w:spacing w:line="360" w:lineRule="auto"/>
        <w:ind w:left="567" w:hanging="567"/>
      </w:pPr>
      <w:r>
        <w:t>[33]</w:t>
      </w:r>
      <w:r>
        <w:tab/>
      </w:r>
      <w:r w:rsidR="00962FE8" w:rsidRPr="00962FE8">
        <w:t xml:space="preserve">It is often said with regard to </w:t>
      </w:r>
      <w:r w:rsidR="00962FE8" w:rsidRPr="00681E96">
        <w:rPr>
          <w:i/>
        </w:rPr>
        <w:t>National Director of Public Prosecutions v Zuma</w:t>
      </w:r>
      <w:r w:rsidR="00962FE8" w:rsidRPr="00962FE8">
        <w:rPr>
          <w:vertAlign w:val="superscript"/>
        </w:rPr>
        <w:footnoteReference w:id="9"/>
      </w:r>
      <w:r w:rsidR="00962FE8" w:rsidRPr="00962FE8">
        <w:t xml:space="preserve">, that onus plays no role in opposed motion proceedings for final relief in the context of conflicting factual versions. Hence as was summarised in </w:t>
      </w:r>
      <w:r w:rsidR="00962FE8" w:rsidRPr="00681E96">
        <w:rPr>
          <w:i/>
        </w:rPr>
        <w:t>Zuma</w:t>
      </w:r>
      <w:r w:rsidR="00666244">
        <w:t>:</w:t>
      </w:r>
    </w:p>
    <w:p w14:paraId="5B24E5B8" w14:textId="46890B3F" w:rsidR="008530FE" w:rsidRDefault="000A7AA5" w:rsidP="00681E96">
      <w:pPr>
        <w:pStyle w:val="1"/>
        <w:numPr>
          <w:ilvl w:val="0"/>
          <w:numId w:val="0"/>
        </w:numPr>
        <w:spacing w:line="360" w:lineRule="auto"/>
        <w:ind w:left="1440"/>
      </w:pPr>
      <w:r>
        <w:rPr>
          <w:i/>
          <w:sz w:val="22"/>
        </w:rPr>
        <w:t>“</w:t>
      </w:r>
      <w:r w:rsidR="00962FE8" w:rsidRPr="00681E96">
        <w:rPr>
          <w:i/>
          <w:sz w:val="22"/>
        </w:rPr>
        <w:t>... It is well established under the Plascon-Evans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uncreditworthy denials, raises fictitious disputes of fact, is palpably implausible, far-fetched or so clearly untenable that the court is justified in rejecting them merely on the papers</w:t>
      </w:r>
      <w:r w:rsidR="00962FE8" w:rsidRPr="00962FE8">
        <w:t>”</w:t>
      </w:r>
      <w:r w:rsidR="00962FE8">
        <w:t>.</w:t>
      </w:r>
      <w:r w:rsidR="00666244">
        <w:rPr>
          <w:rStyle w:val="FootnoteReference"/>
        </w:rPr>
        <w:footnoteReference w:id="10"/>
      </w:r>
      <w:r w:rsidR="00423D05">
        <w:t xml:space="preserve"> </w:t>
      </w:r>
    </w:p>
    <w:p w14:paraId="47CCCA5C" w14:textId="363640E2" w:rsidR="00242907" w:rsidRDefault="00B3641D" w:rsidP="00B3641D">
      <w:pPr>
        <w:pStyle w:val="1"/>
        <w:numPr>
          <w:ilvl w:val="0"/>
          <w:numId w:val="0"/>
        </w:numPr>
        <w:tabs>
          <w:tab w:val="left" w:pos="567"/>
        </w:tabs>
        <w:spacing w:line="360" w:lineRule="auto"/>
        <w:ind w:left="567" w:hanging="567"/>
      </w:pPr>
      <w:r>
        <w:lastRenderedPageBreak/>
        <w:t>[34]</w:t>
      </w:r>
      <w:r>
        <w:tab/>
      </w:r>
      <w:r w:rsidR="00962FE8" w:rsidRPr="00962FE8">
        <w:t xml:space="preserve">The structural relief sought therefore cannot be resolved on the papers as </w:t>
      </w:r>
      <w:r w:rsidR="00B8400B">
        <w:t>i</w:t>
      </w:r>
      <w:r w:rsidR="00962FE8" w:rsidRPr="00962FE8">
        <w:t xml:space="preserve">t </w:t>
      </w:r>
      <w:r w:rsidR="00B8400B">
        <w:t>is</w:t>
      </w:r>
      <w:r w:rsidR="00962FE8" w:rsidRPr="00962FE8">
        <w:t xml:space="preserve"> in the absence of relevant supporting evidence to substantiate the tariff claims</w:t>
      </w:r>
      <w:r w:rsidR="00962FE8">
        <w:t>.</w:t>
      </w:r>
    </w:p>
    <w:p w14:paraId="794ECF1D" w14:textId="08761CA9" w:rsidR="008C3FDE" w:rsidRPr="008C3FDE" w:rsidRDefault="00B3641D" w:rsidP="00B3641D">
      <w:pPr>
        <w:pStyle w:val="1"/>
        <w:numPr>
          <w:ilvl w:val="0"/>
          <w:numId w:val="0"/>
        </w:numPr>
        <w:tabs>
          <w:tab w:val="left" w:pos="567"/>
        </w:tabs>
        <w:spacing w:line="360" w:lineRule="auto"/>
        <w:ind w:left="567" w:hanging="567"/>
        <w:rPr>
          <w:i/>
        </w:rPr>
      </w:pPr>
      <w:r w:rsidRPr="008C3FDE">
        <w:t>[35]</w:t>
      </w:r>
      <w:r w:rsidRPr="008C3FDE">
        <w:tab/>
      </w:r>
      <w:r w:rsidR="00962FE8" w:rsidRPr="00962FE8">
        <w:t>In terms of section 95 (e) of the of the Local Government: Municipal Systems</w:t>
      </w:r>
      <w:r w:rsidR="00962FE8" w:rsidRPr="00962FE8">
        <w:rPr>
          <w:vertAlign w:val="superscript"/>
        </w:rPr>
        <w:footnoteReference w:id="11"/>
      </w:r>
      <w:r w:rsidR="00962FE8" w:rsidRPr="00962FE8">
        <w:t xml:space="preserve"> (</w:t>
      </w:r>
      <w:r w:rsidR="000E0E80">
        <w:t>“</w:t>
      </w:r>
      <w:r w:rsidR="00962FE8" w:rsidRPr="00962FE8">
        <w:t>the Systems Act</w:t>
      </w:r>
      <w:r w:rsidR="000E0E80">
        <w:t>”</w:t>
      </w:r>
      <w:r w:rsidR="00962FE8" w:rsidRPr="00962FE8">
        <w:t xml:space="preserve">), the </w:t>
      </w:r>
      <w:r w:rsidR="00B86663">
        <w:t>m</w:t>
      </w:r>
      <w:r w:rsidR="00962FE8" w:rsidRPr="00962FE8">
        <w:t>unicipality has a legal obligation “to ensure that persons liable for payments</w:t>
      </w:r>
      <w:r w:rsidR="000E0E80">
        <w:t>,</w:t>
      </w:r>
      <w:r w:rsidR="00962FE8" w:rsidRPr="00962FE8">
        <w:t xml:space="preserve"> receive regular and accurate accounts that indicate the basis for calculating the amounts due”. On an overall conspectus, the </w:t>
      </w:r>
      <w:r w:rsidR="00B86663">
        <w:t>m</w:t>
      </w:r>
      <w:r w:rsidR="00962FE8" w:rsidRPr="00962FE8">
        <w:t xml:space="preserve">unicipality has been dilatory in its dealings with the applicant. There is no denying that the </w:t>
      </w:r>
      <w:r w:rsidR="000E0E80">
        <w:t>a</w:t>
      </w:r>
      <w:r w:rsidR="00962FE8" w:rsidRPr="00962FE8">
        <w:t xml:space="preserve">pplicant has been met with unduly delayed and laconic responses </w:t>
      </w:r>
      <w:r w:rsidR="00455E78">
        <w:t>from</w:t>
      </w:r>
      <w:r w:rsidR="00962FE8" w:rsidRPr="00962FE8">
        <w:t xml:space="preserve"> the </w:t>
      </w:r>
      <w:r w:rsidR="00B86663" w:rsidRPr="00962FE8">
        <w:t>m</w:t>
      </w:r>
      <w:r w:rsidR="00962FE8" w:rsidRPr="00962FE8">
        <w:t>unicipality with regard to the billing dispute relating to the property</w:t>
      </w:r>
      <w:r w:rsidR="00A62C25">
        <w:t xml:space="preserve">. </w:t>
      </w:r>
      <w:r w:rsidR="008C3FDE">
        <w:t xml:space="preserve"> </w:t>
      </w:r>
    </w:p>
    <w:p w14:paraId="419B7A04" w14:textId="399AF357" w:rsidR="00AF4F10" w:rsidRDefault="00B3641D" w:rsidP="00B3641D">
      <w:pPr>
        <w:pStyle w:val="1"/>
        <w:numPr>
          <w:ilvl w:val="0"/>
          <w:numId w:val="0"/>
        </w:numPr>
        <w:tabs>
          <w:tab w:val="left" w:pos="567"/>
        </w:tabs>
        <w:spacing w:line="360" w:lineRule="auto"/>
        <w:ind w:left="567" w:hanging="567"/>
      </w:pPr>
      <w:r>
        <w:t>[36]</w:t>
      </w:r>
      <w:r>
        <w:tab/>
      </w:r>
      <w:r w:rsidR="00962FE8" w:rsidRPr="00962FE8">
        <w:t xml:space="preserve">In </w:t>
      </w:r>
      <w:r w:rsidR="00962FE8" w:rsidRPr="00681E96">
        <w:rPr>
          <w:i/>
        </w:rPr>
        <w:t>Buffalo City Metropolitan Municipality v As</w:t>
      </w:r>
      <w:r w:rsidR="005727A1">
        <w:rPr>
          <w:i/>
        </w:rPr>
        <w:t>l</w:t>
      </w:r>
      <w:r w:rsidR="00962FE8" w:rsidRPr="00681E96">
        <w:rPr>
          <w:i/>
        </w:rPr>
        <w:t>a Construction (Pty) Ltd</w:t>
      </w:r>
      <w:r w:rsidR="00962FE8" w:rsidRPr="00962FE8">
        <w:rPr>
          <w:vertAlign w:val="superscript"/>
        </w:rPr>
        <w:footnoteReference w:id="12"/>
      </w:r>
      <w:r w:rsidR="00962FE8" w:rsidRPr="00962FE8">
        <w:t xml:space="preserve"> the Constitutional Court held: </w:t>
      </w:r>
    </w:p>
    <w:p w14:paraId="0598CF58" w14:textId="6E7C088F" w:rsidR="00C90DAE" w:rsidRDefault="00962FE8" w:rsidP="00681E96">
      <w:pPr>
        <w:pStyle w:val="1"/>
        <w:numPr>
          <w:ilvl w:val="0"/>
          <w:numId w:val="0"/>
        </w:numPr>
        <w:spacing w:line="360" w:lineRule="auto"/>
        <w:ind w:left="1440"/>
      </w:pPr>
      <w:r w:rsidRPr="00962FE8">
        <w:t xml:space="preserve">“This </w:t>
      </w:r>
      <w:r w:rsidR="00AF4F10" w:rsidRPr="00962FE8">
        <w:t>c</w:t>
      </w:r>
      <w:r w:rsidRPr="00962FE8">
        <w:t xml:space="preserve">ourt has repeatedly stated that the state or an organ of state is subject to a higher duty to respect the law. As Cameron J put it in </w:t>
      </w:r>
      <w:r w:rsidRPr="00681E96">
        <w:rPr>
          <w:i/>
        </w:rPr>
        <w:t>Kirland</w:t>
      </w:r>
      <w:r w:rsidRPr="00962FE8">
        <w:t xml:space="preserve">: </w:t>
      </w:r>
    </w:p>
    <w:p w14:paraId="13A90ECD" w14:textId="5FA7144A" w:rsidR="00BE6CC7" w:rsidRDefault="00C90DAE" w:rsidP="00681E96">
      <w:pPr>
        <w:pStyle w:val="1"/>
        <w:numPr>
          <w:ilvl w:val="0"/>
          <w:numId w:val="0"/>
        </w:numPr>
        <w:spacing w:line="360" w:lineRule="auto"/>
        <w:ind w:left="2160"/>
      </w:pPr>
      <w:r w:rsidRPr="00681E96">
        <w:rPr>
          <w:sz w:val="20"/>
          <w:szCs w:val="20"/>
        </w:rPr>
        <w:t>‘(</w:t>
      </w:r>
      <w:r w:rsidR="00962FE8" w:rsidRPr="00681E96">
        <w:rPr>
          <w:i/>
          <w:sz w:val="20"/>
          <w:szCs w:val="20"/>
        </w:rPr>
        <w:t>T</w:t>
      </w:r>
      <w:r w:rsidRPr="00681E96">
        <w:rPr>
          <w:i/>
          <w:sz w:val="20"/>
          <w:szCs w:val="20"/>
        </w:rPr>
        <w:t>)</w:t>
      </w:r>
      <w:r w:rsidR="00962FE8" w:rsidRPr="00681E96">
        <w:rPr>
          <w:i/>
          <w:sz w:val="20"/>
          <w:szCs w:val="20"/>
        </w:rPr>
        <w: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It is the Constitution's prima</w:t>
      </w:r>
      <w:r w:rsidRPr="00681E96">
        <w:rPr>
          <w:i/>
          <w:sz w:val="20"/>
          <w:szCs w:val="20"/>
        </w:rPr>
        <w:t>ry</w:t>
      </w:r>
      <w:r w:rsidR="00962FE8" w:rsidRPr="00681E96">
        <w:rPr>
          <w:i/>
          <w:sz w:val="20"/>
          <w:szCs w:val="20"/>
        </w:rPr>
        <w:t xml:space="preserve"> agent. It must do right and it must do it properly</w:t>
      </w:r>
      <w:r w:rsidR="00DD1429" w:rsidRPr="00681E96">
        <w:rPr>
          <w:i/>
          <w:sz w:val="20"/>
          <w:szCs w:val="20"/>
        </w:rPr>
        <w:t>’</w:t>
      </w:r>
      <w:r w:rsidR="00962FE8" w:rsidRPr="00962FE8">
        <w:rPr>
          <w:i/>
        </w:rPr>
        <w:t>.</w:t>
      </w:r>
      <w:r w:rsidR="00962FE8" w:rsidRPr="00962FE8">
        <w:t>”</w:t>
      </w:r>
      <w:r w:rsidR="005E02DC">
        <w:rPr>
          <w:rStyle w:val="FootnoteReference"/>
        </w:rPr>
        <w:footnoteReference w:id="13"/>
      </w:r>
    </w:p>
    <w:p w14:paraId="1DF6BD44" w14:textId="27C2510C" w:rsidR="00423D05" w:rsidRDefault="00962FE8" w:rsidP="00BE6CC7">
      <w:pPr>
        <w:pStyle w:val="1"/>
        <w:numPr>
          <w:ilvl w:val="0"/>
          <w:numId w:val="0"/>
        </w:numPr>
        <w:spacing w:line="360" w:lineRule="auto"/>
        <w:ind w:left="567"/>
      </w:pPr>
      <w:r w:rsidRPr="00962FE8">
        <w:t xml:space="preserve">In this case, the state is represented by the </w:t>
      </w:r>
      <w:r w:rsidR="00B86663">
        <w:t>m</w:t>
      </w:r>
      <w:r w:rsidRPr="00962FE8">
        <w:t>unicipality at a service</w:t>
      </w:r>
      <w:r w:rsidR="00B86663">
        <w:t xml:space="preserve"> delivery</w:t>
      </w:r>
      <w:r w:rsidRPr="00962FE8">
        <w:t xml:space="preserve"> level. This apt for purposes of costs, which ordinarily follow the result</w:t>
      </w:r>
      <w:r w:rsidR="00423D05">
        <w:t xml:space="preserve">. </w:t>
      </w:r>
    </w:p>
    <w:p w14:paraId="5C779F6B" w14:textId="77526F4D" w:rsidR="00F96F2B" w:rsidRPr="00681E96" w:rsidRDefault="00F96F2B" w:rsidP="00681E96">
      <w:pPr>
        <w:pStyle w:val="1"/>
        <w:numPr>
          <w:ilvl w:val="0"/>
          <w:numId w:val="0"/>
        </w:numPr>
        <w:spacing w:line="360" w:lineRule="auto"/>
        <w:ind w:left="567" w:hanging="567"/>
        <w:rPr>
          <w:i/>
        </w:rPr>
      </w:pPr>
      <w:r w:rsidRPr="00681E96">
        <w:rPr>
          <w:i/>
        </w:rPr>
        <w:t>Order</w:t>
      </w:r>
    </w:p>
    <w:p w14:paraId="0CFABD72" w14:textId="084B5DF6" w:rsidR="00B86663" w:rsidRDefault="00B3641D" w:rsidP="00B3641D">
      <w:pPr>
        <w:pStyle w:val="1"/>
        <w:numPr>
          <w:ilvl w:val="0"/>
          <w:numId w:val="0"/>
        </w:numPr>
        <w:tabs>
          <w:tab w:val="left" w:pos="567"/>
        </w:tabs>
        <w:spacing w:line="360" w:lineRule="auto"/>
        <w:ind w:left="567" w:hanging="567"/>
      </w:pPr>
      <w:r>
        <w:t>[37]</w:t>
      </w:r>
      <w:r>
        <w:tab/>
      </w:r>
      <w:r w:rsidR="00B86663">
        <w:t>I therefore make the following order:</w:t>
      </w:r>
    </w:p>
    <w:p w14:paraId="62E63760" w14:textId="591890B5" w:rsidR="00423D05" w:rsidRDefault="00B86663" w:rsidP="00B86663">
      <w:pPr>
        <w:pStyle w:val="1"/>
        <w:numPr>
          <w:ilvl w:val="0"/>
          <w:numId w:val="0"/>
        </w:numPr>
        <w:spacing w:before="120" w:after="120" w:line="360" w:lineRule="auto"/>
        <w:ind w:left="567"/>
      </w:pPr>
      <w:r w:rsidRPr="00681E96">
        <w:t>[1]</w:t>
      </w:r>
      <w:r>
        <w:tab/>
      </w:r>
      <w:r w:rsidR="00F96F2B" w:rsidRPr="00F96F2B">
        <w:t>The application is dismissed</w:t>
      </w:r>
      <w:r w:rsidR="00423D05">
        <w:t>.</w:t>
      </w:r>
    </w:p>
    <w:p w14:paraId="2FED9475" w14:textId="77777777" w:rsidR="00D80CD6" w:rsidRDefault="00D80CD6" w:rsidP="00D80CD6">
      <w:pPr>
        <w:spacing w:line="360" w:lineRule="auto"/>
        <w:rPr>
          <w:b/>
        </w:rPr>
      </w:pPr>
      <w:r>
        <w:t xml:space="preserve">        </w:t>
      </w:r>
      <w:r w:rsidR="00B86663" w:rsidRPr="00B86663">
        <w:t>[2]</w:t>
      </w:r>
      <w:r w:rsidR="00B86663">
        <w:tab/>
      </w:r>
      <w:r w:rsidR="00F96F2B" w:rsidRPr="00F96F2B">
        <w:t>Each party to pay its own costs</w:t>
      </w:r>
      <w:r w:rsidR="00196C3D">
        <w:t>.</w:t>
      </w:r>
      <w:r w:rsidRPr="00D80CD6">
        <w:rPr>
          <w:b/>
        </w:rPr>
        <w:t xml:space="preserve"> </w:t>
      </w:r>
    </w:p>
    <w:p w14:paraId="3972EF03" w14:textId="3B9BF3E8" w:rsidR="00D80CD6" w:rsidRDefault="00D80CD6" w:rsidP="00D80CD6">
      <w:pPr>
        <w:spacing w:line="360" w:lineRule="auto"/>
        <w:ind w:left="6480"/>
        <w:rPr>
          <w:b/>
        </w:rPr>
      </w:pPr>
      <w:r>
        <w:rPr>
          <w:b/>
        </w:rPr>
        <w:t xml:space="preserve">     ________________</w:t>
      </w:r>
    </w:p>
    <w:p w14:paraId="09481777" w14:textId="77777777" w:rsidR="00D80CD6" w:rsidRDefault="00D80CD6" w:rsidP="00D80CD6">
      <w:pPr>
        <w:spacing w:line="360" w:lineRule="auto"/>
        <w:jc w:val="right"/>
        <w:rPr>
          <w:b/>
        </w:rPr>
      </w:pPr>
      <w:r>
        <w:rPr>
          <w:b/>
        </w:rPr>
        <w:t xml:space="preserve"> MUDAU J</w:t>
      </w:r>
    </w:p>
    <w:p w14:paraId="2DB8EDBF" w14:textId="77777777" w:rsidR="00D80CD6" w:rsidRPr="003C7CF5" w:rsidRDefault="00D80CD6" w:rsidP="00D80CD6">
      <w:pPr>
        <w:spacing w:line="360" w:lineRule="auto"/>
        <w:jc w:val="right"/>
        <w:rPr>
          <w:b/>
        </w:rPr>
      </w:pPr>
      <w:r>
        <w:rPr>
          <w:b/>
        </w:rPr>
        <w:lastRenderedPageBreak/>
        <w:t>[Judge o</w:t>
      </w:r>
      <w:r w:rsidRPr="003C7CF5">
        <w:rPr>
          <w:b/>
        </w:rPr>
        <w:t>f the High Co</w:t>
      </w:r>
      <w:r>
        <w:rPr>
          <w:b/>
        </w:rPr>
        <w:t>urt]</w:t>
      </w:r>
    </w:p>
    <w:p w14:paraId="2A859719" w14:textId="77777777" w:rsidR="00D80CD6" w:rsidRDefault="00D80CD6" w:rsidP="00D80CD6">
      <w:pPr>
        <w:spacing w:line="360" w:lineRule="auto"/>
        <w:jc w:val="right"/>
        <w:rPr>
          <w:b/>
        </w:rPr>
      </w:pPr>
    </w:p>
    <w:p w14:paraId="62026456" w14:textId="77777777" w:rsidR="00D80CD6" w:rsidRDefault="00D80CD6" w:rsidP="00D80CD6">
      <w:pPr>
        <w:spacing w:line="360" w:lineRule="auto"/>
        <w:jc w:val="right"/>
        <w:rPr>
          <w:b/>
        </w:rPr>
      </w:pPr>
    </w:p>
    <w:p w14:paraId="10D0114F" w14:textId="77777777" w:rsidR="00D80CD6" w:rsidRDefault="00D80CD6" w:rsidP="00D80CD6">
      <w:pPr>
        <w:spacing w:line="360" w:lineRule="auto"/>
        <w:jc w:val="right"/>
        <w:rPr>
          <w:b/>
        </w:rPr>
      </w:pPr>
    </w:p>
    <w:p w14:paraId="1934C3EA" w14:textId="77777777" w:rsidR="00D80CD6" w:rsidRDefault="00D80CD6" w:rsidP="00D80CD6">
      <w:pPr>
        <w:spacing w:line="480" w:lineRule="auto"/>
      </w:pPr>
    </w:p>
    <w:p w14:paraId="184CB509" w14:textId="77777777" w:rsidR="00D80CD6" w:rsidRDefault="00D80CD6" w:rsidP="00D80CD6">
      <w:pPr>
        <w:spacing w:line="480" w:lineRule="auto"/>
      </w:pPr>
      <w:r>
        <w:t>APPEARANCES</w:t>
      </w:r>
    </w:p>
    <w:p w14:paraId="51C9E99E" w14:textId="7E80EB13" w:rsidR="00D80CD6" w:rsidRDefault="00D80CD6" w:rsidP="00D80CD6">
      <w:pPr>
        <w:spacing w:line="480" w:lineRule="auto"/>
      </w:pPr>
      <w:r>
        <w:t>For the A</w:t>
      </w:r>
      <w:r w:rsidR="00FC1DD9">
        <w:t>pplicant</w:t>
      </w:r>
      <w:r>
        <w:t>:</w:t>
      </w:r>
      <w:r w:rsidRPr="007169FE">
        <w:tab/>
      </w:r>
      <w:r w:rsidRPr="007169FE">
        <w:tab/>
      </w:r>
      <w:r w:rsidRPr="007169FE">
        <w:tab/>
      </w:r>
      <w:r w:rsidRPr="007F2CD8">
        <w:t>Adv</w:t>
      </w:r>
      <w:r>
        <w:t>.</w:t>
      </w:r>
      <w:r w:rsidRPr="007F2CD8">
        <w:t xml:space="preserve"> </w:t>
      </w:r>
      <w:r w:rsidRPr="00E26809">
        <w:rPr>
          <w:bCs/>
        </w:rPr>
        <w:t>L Hollander</w:t>
      </w:r>
    </w:p>
    <w:p w14:paraId="4A1439F3" w14:textId="77777777" w:rsidR="00D80CD6" w:rsidRDefault="00D80CD6" w:rsidP="00D80CD6">
      <w:pPr>
        <w:spacing w:line="480" w:lineRule="auto"/>
      </w:pPr>
      <w:r w:rsidRPr="007169FE">
        <w:t>Instructed by:</w:t>
      </w:r>
      <w:r w:rsidRPr="007169FE">
        <w:tab/>
      </w:r>
      <w:r>
        <w:tab/>
      </w:r>
      <w:r>
        <w:tab/>
        <w:t>VMW Inc.</w:t>
      </w:r>
      <w:r w:rsidRPr="007169FE">
        <w:tab/>
      </w:r>
      <w:r w:rsidRPr="007169FE">
        <w:tab/>
      </w:r>
    </w:p>
    <w:p w14:paraId="04FFFA2B" w14:textId="77777777" w:rsidR="00D80CD6" w:rsidRDefault="00D80CD6" w:rsidP="00D80CD6">
      <w:pPr>
        <w:spacing w:line="480" w:lineRule="auto"/>
      </w:pPr>
      <w:r>
        <w:tab/>
      </w:r>
      <w:r>
        <w:tab/>
      </w:r>
      <w:r>
        <w:tab/>
      </w:r>
      <w:r>
        <w:tab/>
      </w:r>
      <w:r>
        <w:tab/>
      </w:r>
      <w:r w:rsidRPr="007169FE">
        <w:tab/>
      </w:r>
      <w:r>
        <w:tab/>
      </w:r>
    </w:p>
    <w:p w14:paraId="6B2D03C2" w14:textId="77777777" w:rsidR="00D80CD6" w:rsidRPr="00051F91" w:rsidRDefault="00D80CD6" w:rsidP="00D80CD6">
      <w:pPr>
        <w:widowControl w:val="0"/>
        <w:adjustRightInd w:val="0"/>
        <w:spacing w:line="360" w:lineRule="auto"/>
        <w:rPr>
          <w:rFonts w:eastAsia="Calibri"/>
          <w:b/>
        </w:rPr>
      </w:pPr>
      <w:r>
        <w:t xml:space="preserve">For the </w:t>
      </w:r>
      <w:r w:rsidRPr="007169FE">
        <w:t>Respondent:</w:t>
      </w:r>
      <w:r>
        <w:tab/>
      </w:r>
      <w:r>
        <w:tab/>
      </w:r>
      <w:r w:rsidRPr="004068BB">
        <w:t>Adv</w:t>
      </w:r>
      <w:r w:rsidRPr="00E26809">
        <w:t xml:space="preserve"> </w:t>
      </w:r>
      <w:r w:rsidRPr="00E26809">
        <w:rPr>
          <w:bCs/>
        </w:rPr>
        <w:t>E Sithole</w:t>
      </w:r>
    </w:p>
    <w:p w14:paraId="38F615E6" w14:textId="77777777" w:rsidR="00D80CD6" w:rsidRDefault="00D80CD6" w:rsidP="00D80CD6">
      <w:pPr>
        <w:spacing w:line="480" w:lineRule="auto"/>
      </w:pPr>
    </w:p>
    <w:p w14:paraId="53B2EC19" w14:textId="77777777" w:rsidR="00D80CD6" w:rsidRDefault="00D80CD6" w:rsidP="00D80CD6">
      <w:pPr>
        <w:rPr>
          <w:rFonts w:ascii="Calibri" w:hAnsi="Calibri" w:cs="Calibri"/>
          <w:sz w:val="22"/>
          <w:szCs w:val="22"/>
          <w:lang w:val="en-ZA" w:eastAsia="en-ZA"/>
        </w:rPr>
      </w:pPr>
      <w:r>
        <w:t>Instructed by:</w:t>
      </w:r>
      <w:r>
        <w:tab/>
      </w:r>
      <w:r>
        <w:tab/>
      </w:r>
      <w:r>
        <w:tab/>
      </w:r>
      <w:r w:rsidRPr="00E26809">
        <w:rPr>
          <w:lang w:eastAsia="en-ZA"/>
        </w:rPr>
        <w:t>Madhlopa &amp; Thenga Inc.</w:t>
      </w:r>
    </w:p>
    <w:p w14:paraId="1218693B" w14:textId="77777777" w:rsidR="00D80CD6" w:rsidRDefault="00D80CD6" w:rsidP="00D80CD6">
      <w:pPr>
        <w:spacing w:line="480" w:lineRule="auto"/>
      </w:pPr>
      <w:r>
        <w:tab/>
      </w:r>
    </w:p>
    <w:p w14:paraId="4D89B05C" w14:textId="77777777" w:rsidR="00D80CD6" w:rsidRPr="007169FE" w:rsidRDefault="00D80CD6" w:rsidP="00D80CD6">
      <w:pPr>
        <w:spacing w:line="480" w:lineRule="auto"/>
      </w:pPr>
      <w:r>
        <w:t>Date</w:t>
      </w:r>
      <w:r w:rsidRPr="007169FE">
        <w:t xml:space="preserve"> of Hearing: </w:t>
      </w:r>
      <w:r w:rsidRPr="007169FE">
        <w:tab/>
      </w:r>
      <w:r>
        <w:tab/>
      </w:r>
      <w:r>
        <w:tab/>
        <w:t>26 July 2022</w:t>
      </w:r>
      <w:r>
        <w:tab/>
      </w:r>
      <w:r>
        <w:tab/>
      </w:r>
    </w:p>
    <w:p w14:paraId="363F8E8B" w14:textId="29611F0D" w:rsidR="00D80CD6" w:rsidRDefault="00D80CD6" w:rsidP="00D80CD6">
      <w:pPr>
        <w:spacing w:line="480" w:lineRule="auto"/>
      </w:pPr>
      <w:r w:rsidRPr="007169FE">
        <w:t>Date of Judgment:</w:t>
      </w:r>
      <w:r w:rsidRPr="007169FE">
        <w:tab/>
      </w:r>
      <w:r w:rsidR="00FC1DD9">
        <w:tab/>
      </w:r>
      <w:r w:rsidR="00FC1DD9">
        <w:tab/>
        <w:t>18</w:t>
      </w:r>
      <w:r>
        <w:t xml:space="preserve"> October 2022</w:t>
      </w:r>
    </w:p>
    <w:p w14:paraId="3F4C2B29" w14:textId="77777777" w:rsidR="00D80CD6" w:rsidRDefault="00D80CD6" w:rsidP="00D80CD6">
      <w:pPr>
        <w:spacing w:line="480" w:lineRule="auto"/>
      </w:pPr>
      <w:r w:rsidRPr="007169FE">
        <w:tab/>
      </w:r>
      <w:r w:rsidRPr="007169FE">
        <w:tab/>
      </w:r>
      <w:r w:rsidRPr="007169FE">
        <w:tab/>
      </w:r>
    </w:p>
    <w:p w14:paraId="52EAB568" w14:textId="475533BD" w:rsidR="00896C9B" w:rsidRDefault="00896C9B" w:rsidP="00B86663">
      <w:pPr>
        <w:pStyle w:val="1"/>
        <w:numPr>
          <w:ilvl w:val="0"/>
          <w:numId w:val="0"/>
        </w:numPr>
        <w:spacing w:before="120" w:after="120" w:line="360" w:lineRule="auto"/>
        <w:ind w:left="567"/>
      </w:pPr>
    </w:p>
    <w:sectPr w:rsidR="00896C9B"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2206" w14:textId="77777777" w:rsidR="00450301" w:rsidRDefault="00450301" w:rsidP="00115245">
      <w:r>
        <w:separator/>
      </w:r>
    </w:p>
  </w:endnote>
  <w:endnote w:type="continuationSeparator" w:id="0">
    <w:p w14:paraId="48FC2DDA" w14:textId="77777777" w:rsidR="00450301" w:rsidRDefault="00450301"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84073" w14:textId="77777777" w:rsidR="00450301" w:rsidRDefault="00450301" w:rsidP="00115245">
      <w:r>
        <w:separator/>
      </w:r>
    </w:p>
  </w:footnote>
  <w:footnote w:type="continuationSeparator" w:id="0">
    <w:p w14:paraId="185070FB" w14:textId="77777777" w:rsidR="00450301" w:rsidRDefault="00450301" w:rsidP="00115245">
      <w:r>
        <w:continuationSeparator/>
      </w:r>
    </w:p>
  </w:footnote>
  <w:footnote w:id="1">
    <w:p w14:paraId="2F4D2FA5" w14:textId="4E35CA36" w:rsidR="00CD0608" w:rsidRPr="00A22A2F" w:rsidRDefault="00CD0608" w:rsidP="00681E96">
      <w:pPr>
        <w:pStyle w:val="FootnoteText"/>
        <w:spacing w:after="0"/>
        <w:rPr>
          <w:sz w:val="20"/>
          <w:szCs w:val="20"/>
        </w:rPr>
      </w:pPr>
      <w:r w:rsidRPr="00A22A2F">
        <w:rPr>
          <w:rStyle w:val="FootnoteReference"/>
          <w:sz w:val="20"/>
          <w:szCs w:val="20"/>
        </w:rPr>
        <w:footnoteRef/>
      </w:r>
      <w:r w:rsidRPr="00A22A2F">
        <w:rPr>
          <w:sz w:val="20"/>
          <w:szCs w:val="20"/>
        </w:rPr>
        <w:t xml:space="preserve"> See </w:t>
      </w:r>
      <w:r w:rsidRPr="00681E96">
        <w:rPr>
          <w:i/>
          <w:sz w:val="20"/>
          <w:szCs w:val="20"/>
        </w:rPr>
        <w:t>Occupiers of ERF 101, 102, 104 and 112 Shorts Retreat, Pietermaritzburg v Daisy Dear Investments (Pty) Ltd </w:t>
      </w:r>
      <w:hyperlink r:id="rId1" w:tooltip="View LawCiteRecord" w:history="1">
        <w:r w:rsidRPr="00A22A2F">
          <w:rPr>
            <w:sz w:val="20"/>
            <w:szCs w:val="20"/>
          </w:rPr>
          <w:t>2010 (4) BCLR 354</w:t>
        </w:r>
      </w:hyperlink>
      <w:r w:rsidRPr="00A22A2F">
        <w:rPr>
          <w:sz w:val="20"/>
          <w:szCs w:val="20"/>
        </w:rPr>
        <w:t> (SCA) paras 11-</w:t>
      </w:r>
      <w:r w:rsidR="00DE371B">
        <w:rPr>
          <w:sz w:val="20"/>
          <w:szCs w:val="20"/>
        </w:rPr>
        <w:t>1</w:t>
      </w:r>
      <w:r w:rsidRPr="00A22A2F">
        <w:rPr>
          <w:sz w:val="20"/>
          <w:szCs w:val="20"/>
        </w:rPr>
        <w:t>2</w:t>
      </w:r>
      <w:r w:rsidR="00DE371B">
        <w:rPr>
          <w:sz w:val="20"/>
          <w:szCs w:val="20"/>
        </w:rPr>
        <w:t>.</w:t>
      </w:r>
    </w:p>
  </w:footnote>
  <w:footnote w:id="2">
    <w:p w14:paraId="48D6C8C6" w14:textId="009B6AEA" w:rsidR="00CD0608" w:rsidRPr="00E03C2C" w:rsidRDefault="00CD0608" w:rsidP="00681E96">
      <w:pPr>
        <w:pStyle w:val="FootnoteText"/>
        <w:spacing w:after="0"/>
      </w:pPr>
      <w:r w:rsidRPr="00A22A2F">
        <w:rPr>
          <w:rStyle w:val="FootnoteReference"/>
          <w:sz w:val="20"/>
          <w:szCs w:val="20"/>
        </w:rPr>
        <w:footnoteRef/>
      </w:r>
      <w:r w:rsidRPr="00A22A2F">
        <w:rPr>
          <w:sz w:val="20"/>
          <w:szCs w:val="20"/>
        </w:rPr>
        <w:t xml:space="preserve"> (2022) 43 ILJ 1307 (LAC) (22 March 2022)</w:t>
      </w:r>
      <w:r w:rsidR="009E6000">
        <w:rPr>
          <w:sz w:val="20"/>
          <w:szCs w:val="20"/>
        </w:rPr>
        <w:t>.</w:t>
      </w:r>
    </w:p>
  </w:footnote>
  <w:footnote w:id="3">
    <w:p w14:paraId="0CFE3F6F" w14:textId="7B912C6C" w:rsidR="00A22A2F" w:rsidRPr="00EB387B" w:rsidRDefault="00A22A2F" w:rsidP="00681E96">
      <w:pPr>
        <w:pStyle w:val="FootnoteText"/>
        <w:spacing w:after="0"/>
        <w:rPr>
          <w:sz w:val="20"/>
          <w:szCs w:val="20"/>
        </w:rPr>
      </w:pPr>
      <w:r w:rsidRPr="00EB387B">
        <w:rPr>
          <w:rStyle w:val="FootnoteReference"/>
          <w:sz w:val="20"/>
          <w:szCs w:val="20"/>
        </w:rPr>
        <w:footnoteRef/>
      </w:r>
      <w:r w:rsidRPr="00EB387B">
        <w:rPr>
          <w:sz w:val="20"/>
          <w:szCs w:val="20"/>
        </w:rPr>
        <w:t xml:space="preserve"> </w:t>
      </w:r>
      <w:hyperlink r:id="rId2" w:tooltip="View LawCiteRecord" w:history="1">
        <w:r w:rsidRPr="00EB387B">
          <w:rPr>
            <w:sz w:val="20"/>
            <w:szCs w:val="20"/>
          </w:rPr>
          <w:t>2000 (4) SA 446</w:t>
        </w:r>
      </w:hyperlink>
      <w:r w:rsidRPr="00EB387B">
        <w:rPr>
          <w:sz w:val="20"/>
          <w:szCs w:val="20"/>
        </w:rPr>
        <w:t> (TkH)</w:t>
      </w:r>
      <w:r w:rsidR="007940FF">
        <w:rPr>
          <w:sz w:val="20"/>
          <w:szCs w:val="20"/>
        </w:rPr>
        <w:t>.</w:t>
      </w:r>
    </w:p>
  </w:footnote>
  <w:footnote w:id="4">
    <w:p w14:paraId="799AF154" w14:textId="08A34F62" w:rsidR="00705983" w:rsidRDefault="00705983" w:rsidP="00681E96">
      <w:pPr>
        <w:pStyle w:val="FootnoteText"/>
        <w:spacing w:after="0"/>
      </w:pPr>
      <w:r>
        <w:rPr>
          <w:rStyle w:val="FootnoteReference"/>
        </w:rPr>
        <w:footnoteRef/>
      </w:r>
      <w:r>
        <w:t xml:space="preserve"> At </w:t>
      </w:r>
      <w:r w:rsidRPr="00EB387B">
        <w:rPr>
          <w:sz w:val="20"/>
          <w:szCs w:val="20"/>
        </w:rPr>
        <w:t>454G-H</w:t>
      </w:r>
      <w:r w:rsidR="000112E9">
        <w:rPr>
          <w:sz w:val="20"/>
          <w:szCs w:val="20"/>
        </w:rPr>
        <w:t>.</w:t>
      </w:r>
    </w:p>
  </w:footnote>
  <w:footnote w:id="5">
    <w:p w14:paraId="2209A3F7" w14:textId="4EB04BE9" w:rsidR="00A22A2F" w:rsidRPr="00E03C2C" w:rsidRDefault="00A22A2F" w:rsidP="00681E96">
      <w:pPr>
        <w:pStyle w:val="FootnoteText"/>
        <w:spacing w:after="0"/>
      </w:pPr>
      <w:r w:rsidRPr="00EB387B">
        <w:rPr>
          <w:rStyle w:val="FootnoteReference"/>
          <w:sz w:val="20"/>
          <w:szCs w:val="20"/>
        </w:rPr>
        <w:footnoteRef/>
      </w:r>
      <w:r w:rsidRPr="00EB387B">
        <w:rPr>
          <w:sz w:val="20"/>
          <w:szCs w:val="20"/>
        </w:rPr>
        <w:t xml:space="preserve"> </w:t>
      </w:r>
      <w:r w:rsidRPr="00EB387B">
        <w:rPr>
          <w:rFonts w:eastAsiaTheme="minorHAnsi"/>
          <w:color w:val="242121"/>
          <w:sz w:val="20"/>
          <w:szCs w:val="20"/>
          <w:shd w:val="clear" w:color="auto" w:fill="FFFFFF"/>
        </w:rPr>
        <w:t>2018 (1) SA 1 (CC)</w:t>
      </w:r>
      <w:r w:rsidR="007940FF">
        <w:rPr>
          <w:color w:val="242121"/>
          <w:sz w:val="20"/>
          <w:szCs w:val="20"/>
          <w:shd w:val="clear" w:color="auto" w:fill="FFFFFF"/>
        </w:rPr>
        <w:t>.</w:t>
      </w:r>
    </w:p>
  </w:footnote>
  <w:footnote w:id="6">
    <w:p w14:paraId="3C7D4F38" w14:textId="64BC4458" w:rsidR="00962FE8" w:rsidRPr="00EB387B" w:rsidRDefault="00962FE8" w:rsidP="00681E96">
      <w:pPr>
        <w:pStyle w:val="FootnoteText"/>
        <w:tabs>
          <w:tab w:val="left" w:pos="6010"/>
        </w:tabs>
        <w:spacing w:after="0"/>
        <w:rPr>
          <w:sz w:val="20"/>
          <w:szCs w:val="20"/>
        </w:rPr>
      </w:pPr>
      <w:r w:rsidRPr="00EB387B">
        <w:rPr>
          <w:rStyle w:val="FootnoteReference"/>
          <w:sz w:val="20"/>
          <w:szCs w:val="20"/>
        </w:rPr>
        <w:footnoteRef/>
      </w:r>
      <w:r w:rsidRPr="00EB387B">
        <w:rPr>
          <w:sz w:val="20"/>
          <w:szCs w:val="20"/>
        </w:rPr>
        <w:t xml:space="preserve"> See </w:t>
      </w:r>
      <w:r w:rsidRPr="00681E96">
        <w:rPr>
          <w:i/>
          <w:sz w:val="20"/>
          <w:szCs w:val="20"/>
        </w:rPr>
        <w:t xml:space="preserve">Setshedi v Ndebele and another </w:t>
      </w:r>
      <w:r w:rsidRPr="00EB387B">
        <w:rPr>
          <w:sz w:val="20"/>
          <w:szCs w:val="20"/>
        </w:rPr>
        <w:t>[2015] JOL 33120 (LC</w:t>
      </w:r>
      <w:r w:rsidR="00EB6740">
        <w:rPr>
          <w:sz w:val="20"/>
          <w:szCs w:val="20"/>
        </w:rPr>
        <w:t>).</w:t>
      </w:r>
      <w:r w:rsidRPr="00EB387B">
        <w:rPr>
          <w:sz w:val="20"/>
          <w:szCs w:val="20"/>
        </w:rPr>
        <w:tab/>
      </w:r>
    </w:p>
  </w:footnote>
  <w:footnote w:id="7">
    <w:p w14:paraId="13AED319" w14:textId="40840607" w:rsidR="00962FE8" w:rsidRPr="00EB387B" w:rsidRDefault="00962FE8" w:rsidP="00681E96">
      <w:pPr>
        <w:pStyle w:val="FootnoteText"/>
        <w:spacing w:after="0"/>
        <w:rPr>
          <w:i/>
          <w:sz w:val="20"/>
          <w:szCs w:val="20"/>
        </w:rPr>
      </w:pPr>
      <w:r w:rsidRPr="00EB387B">
        <w:rPr>
          <w:rStyle w:val="FootnoteReference"/>
          <w:i/>
          <w:sz w:val="20"/>
          <w:szCs w:val="20"/>
        </w:rPr>
        <w:footnoteRef/>
      </w:r>
      <w:r w:rsidRPr="00EB387B">
        <w:rPr>
          <w:i/>
          <w:sz w:val="20"/>
          <w:szCs w:val="20"/>
        </w:rPr>
        <w:t xml:space="preserve"> </w:t>
      </w:r>
      <w:r w:rsidRPr="00681E96">
        <w:rPr>
          <w:color w:val="242121"/>
          <w:sz w:val="20"/>
          <w:szCs w:val="20"/>
          <w:shd w:val="clear" w:color="auto" w:fill="FFFFFF"/>
        </w:rPr>
        <w:t>2006 (4) SA 326 (SCA).</w:t>
      </w:r>
    </w:p>
  </w:footnote>
  <w:footnote w:id="8">
    <w:p w14:paraId="2B6B5649" w14:textId="30E1E3E4" w:rsidR="00962FE8" w:rsidRPr="00D2679C" w:rsidRDefault="00962FE8" w:rsidP="00681E96">
      <w:pPr>
        <w:pStyle w:val="FootnoteText"/>
        <w:spacing w:after="0"/>
      </w:pPr>
      <w:r w:rsidRPr="00EB387B">
        <w:rPr>
          <w:rStyle w:val="FootnoteReference"/>
          <w:sz w:val="20"/>
          <w:szCs w:val="20"/>
        </w:rPr>
        <w:footnoteRef/>
      </w:r>
      <w:r w:rsidRPr="00EB387B">
        <w:rPr>
          <w:sz w:val="20"/>
          <w:szCs w:val="20"/>
        </w:rPr>
        <w:t xml:space="preserve">  2021 (5) SA 327 (CC)</w:t>
      </w:r>
      <w:r w:rsidR="005A2A9C">
        <w:rPr>
          <w:sz w:val="20"/>
          <w:szCs w:val="20"/>
        </w:rPr>
        <w:t>.</w:t>
      </w:r>
      <w:r>
        <w:t xml:space="preserve"> </w:t>
      </w:r>
    </w:p>
  </w:footnote>
  <w:footnote w:id="9">
    <w:p w14:paraId="7DB83A95" w14:textId="23E80E64" w:rsidR="00962FE8" w:rsidRPr="00EB387B" w:rsidRDefault="00962FE8" w:rsidP="00681E96">
      <w:pPr>
        <w:pStyle w:val="FootnoteText"/>
        <w:spacing w:after="0"/>
        <w:rPr>
          <w:sz w:val="20"/>
          <w:szCs w:val="20"/>
        </w:rPr>
      </w:pPr>
      <w:r w:rsidRPr="00EB387B">
        <w:rPr>
          <w:rStyle w:val="FootnoteReference"/>
          <w:sz w:val="20"/>
          <w:szCs w:val="20"/>
        </w:rPr>
        <w:footnoteRef/>
      </w:r>
      <w:r w:rsidRPr="00EB387B">
        <w:rPr>
          <w:sz w:val="20"/>
          <w:szCs w:val="20"/>
        </w:rPr>
        <w:t xml:space="preserve"> 2009 (2) SA 277 (SCA) paras 26-27</w:t>
      </w:r>
      <w:r w:rsidR="00E1116B">
        <w:rPr>
          <w:sz w:val="20"/>
          <w:szCs w:val="20"/>
        </w:rPr>
        <w:t>.</w:t>
      </w:r>
    </w:p>
  </w:footnote>
  <w:footnote w:id="10">
    <w:p w14:paraId="65091D4D" w14:textId="740AF68B" w:rsidR="00666244" w:rsidRPr="00681E96" w:rsidRDefault="00666244" w:rsidP="00681E96">
      <w:pPr>
        <w:pStyle w:val="FootnoteText"/>
        <w:spacing w:after="0"/>
        <w:rPr>
          <w:sz w:val="20"/>
          <w:szCs w:val="20"/>
        </w:rPr>
      </w:pPr>
      <w:r w:rsidRPr="00681E96">
        <w:rPr>
          <w:rStyle w:val="FootnoteReference"/>
          <w:sz w:val="20"/>
          <w:szCs w:val="20"/>
        </w:rPr>
        <w:footnoteRef/>
      </w:r>
      <w:r w:rsidRPr="00681E96">
        <w:rPr>
          <w:sz w:val="20"/>
          <w:szCs w:val="20"/>
        </w:rPr>
        <w:t xml:space="preserve"> Para 26.</w:t>
      </w:r>
    </w:p>
  </w:footnote>
  <w:footnote w:id="11">
    <w:p w14:paraId="5C64A93D" w14:textId="1F02599A" w:rsidR="00962FE8" w:rsidRPr="00666244" w:rsidRDefault="00962FE8" w:rsidP="00681E96">
      <w:pPr>
        <w:pStyle w:val="FootnoteText"/>
        <w:spacing w:after="0"/>
        <w:rPr>
          <w:sz w:val="20"/>
          <w:szCs w:val="20"/>
        </w:rPr>
      </w:pPr>
      <w:r w:rsidRPr="00666244">
        <w:rPr>
          <w:rStyle w:val="FootnoteReference"/>
          <w:sz w:val="20"/>
          <w:szCs w:val="20"/>
        </w:rPr>
        <w:footnoteRef/>
      </w:r>
      <w:r w:rsidRPr="00666244">
        <w:rPr>
          <w:sz w:val="20"/>
          <w:szCs w:val="20"/>
        </w:rPr>
        <w:t xml:space="preserve"> Act 32 of 2000</w:t>
      </w:r>
      <w:r w:rsidR="000E0E80">
        <w:rPr>
          <w:sz w:val="20"/>
          <w:szCs w:val="20"/>
        </w:rPr>
        <w:t>.</w:t>
      </w:r>
    </w:p>
  </w:footnote>
  <w:footnote w:id="12">
    <w:p w14:paraId="63E8C039" w14:textId="187CCF9F" w:rsidR="00962FE8" w:rsidRPr="00666244" w:rsidRDefault="00962FE8" w:rsidP="00681E96">
      <w:pPr>
        <w:pStyle w:val="FootnoteText"/>
        <w:spacing w:after="0"/>
        <w:rPr>
          <w:sz w:val="20"/>
          <w:szCs w:val="20"/>
        </w:rPr>
      </w:pPr>
      <w:r w:rsidRPr="00666244">
        <w:rPr>
          <w:rStyle w:val="FootnoteReference"/>
          <w:sz w:val="20"/>
          <w:szCs w:val="20"/>
        </w:rPr>
        <w:footnoteRef/>
      </w:r>
      <w:r w:rsidRPr="00666244">
        <w:rPr>
          <w:sz w:val="20"/>
          <w:szCs w:val="20"/>
        </w:rPr>
        <w:t xml:space="preserve"> 2019 (4) SA 331 (CC)</w:t>
      </w:r>
      <w:r w:rsidR="000E0E80">
        <w:rPr>
          <w:sz w:val="20"/>
          <w:szCs w:val="20"/>
        </w:rPr>
        <w:t>.</w:t>
      </w:r>
    </w:p>
  </w:footnote>
  <w:footnote w:id="13">
    <w:p w14:paraId="151A324B" w14:textId="613F5243" w:rsidR="005E02DC" w:rsidRPr="00681E96" w:rsidRDefault="005E02DC" w:rsidP="00681E96">
      <w:pPr>
        <w:pStyle w:val="FootnoteText"/>
        <w:spacing w:after="0"/>
        <w:rPr>
          <w:sz w:val="20"/>
          <w:szCs w:val="20"/>
        </w:rPr>
      </w:pPr>
      <w:r w:rsidRPr="00681E96">
        <w:rPr>
          <w:rStyle w:val="FootnoteReference"/>
          <w:sz w:val="20"/>
          <w:szCs w:val="20"/>
        </w:rPr>
        <w:footnoteRef/>
      </w:r>
      <w:r w:rsidRPr="00681E96">
        <w:rPr>
          <w:sz w:val="20"/>
          <w:szCs w:val="20"/>
        </w:rPr>
        <w:t xml:space="preserve"> Para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61810CB8" w:rsidR="00DC2BD5" w:rsidRDefault="00DC2BD5">
    <w:pPr>
      <w:pStyle w:val="Header"/>
      <w:jc w:val="right"/>
    </w:pPr>
    <w:r>
      <w:fldChar w:fldCharType="begin"/>
    </w:r>
    <w:r>
      <w:instrText xml:space="preserve"> PAGE   \* MERGEFORMAT </w:instrText>
    </w:r>
    <w:r>
      <w:fldChar w:fldCharType="separate"/>
    </w:r>
    <w:r w:rsidR="00B3641D">
      <w:rPr>
        <w:noProof/>
      </w:rPr>
      <w:t>2</w:t>
    </w:r>
    <w:r>
      <w:rPr>
        <w:noProof/>
      </w:rPr>
      <w:fldChar w:fldCharType="end"/>
    </w:r>
  </w:p>
  <w:p w14:paraId="7C19FFE2" w14:textId="77777777" w:rsidR="00DC2BD5" w:rsidRDefault="00DC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9"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6C660CB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2268"/>
        </w:tabs>
        <w:ind w:left="2268"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1"/>
  </w:num>
  <w:num w:numId="12">
    <w:abstractNumId w:val="10"/>
  </w:num>
  <w:num w:numId="13">
    <w:abstractNumId w:val="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0C9"/>
    <w:rsid w:val="00001F2D"/>
    <w:rsid w:val="000025D3"/>
    <w:rsid w:val="000026D9"/>
    <w:rsid w:val="00002E04"/>
    <w:rsid w:val="00003D4F"/>
    <w:rsid w:val="000043C3"/>
    <w:rsid w:val="0000489E"/>
    <w:rsid w:val="00004C50"/>
    <w:rsid w:val="00004FF5"/>
    <w:rsid w:val="00005393"/>
    <w:rsid w:val="00005635"/>
    <w:rsid w:val="00006089"/>
    <w:rsid w:val="0000671C"/>
    <w:rsid w:val="00006D89"/>
    <w:rsid w:val="00006FFA"/>
    <w:rsid w:val="0000721E"/>
    <w:rsid w:val="000075D6"/>
    <w:rsid w:val="0000771D"/>
    <w:rsid w:val="00007941"/>
    <w:rsid w:val="00007A1E"/>
    <w:rsid w:val="00007BEB"/>
    <w:rsid w:val="000112E9"/>
    <w:rsid w:val="00011A47"/>
    <w:rsid w:val="00011D5E"/>
    <w:rsid w:val="00011D7E"/>
    <w:rsid w:val="00011F6D"/>
    <w:rsid w:val="000128DD"/>
    <w:rsid w:val="00012BC9"/>
    <w:rsid w:val="00013956"/>
    <w:rsid w:val="0001479D"/>
    <w:rsid w:val="00014A75"/>
    <w:rsid w:val="00015055"/>
    <w:rsid w:val="00016B15"/>
    <w:rsid w:val="00016D7D"/>
    <w:rsid w:val="000174AF"/>
    <w:rsid w:val="00017FE3"/>
    <w:rsid w:val="000205BB"/>
    <w:rsid w:val="00020C06"/>
    <w:rsid w:val="00021839"/>
    <w:rsid w:val="000223BA"/>
    <w:rsid w:val="00023E07"/>
    <w:rsid w:val="00024B45"/>
    <w:rsid w:val="00024DFF"/>
    <w:rsid w:val="0002513B"/>
    <w:rsid w:val="00025AB9"/>
    <w:rsid w:val="00026013"/>
    <w:rsid w:val="00026703"/>
    <w:rsid w:val="000267B0"/>
    <w:rsid w:val="00026EF4"/>
    <w:rsid w:val="00027523"/>
    <w:rsid w:val="000278DA"/>
    <w:rsid w:val="00027E31"/>
    <w:rsid w:val="00027E97"/>
    <w:rsid w:val="00032191"/>
    <w:rsid w:val="000327C4"/>
    <w:rsid w:val="00033914"/>
    <w:rsid w:val="00033A8B"/>
    <w:rsid w:val="0003552D"/>
    <w:rsid w:val="00035C54"/>
    <w:rsid w:val="00035CA2"/>
    <w:rsid w:val="00036839"/>
    <w:rsid w:val="00036B3C"/>
    <w:rsid w:val="00036CBB"/>
    <w:rsid w:val="00036E35"/>
    <w:rsid w:val="0003761F"/>
    <w:rsid w:val="00037B4A"/>
    <w:rsid w:val="00037E9A"/>
    <w:rsid w:val="00040CFF"/>
    <w:rsid w:val="0004166E"/>
    <w:rsid w:val="0004179B"/>
    <w:rsid w:val="00041A35"/>
    <w:rsid w:val="000420EB"/>
    <w:rsid w:val="00042120"/>
    <w:rsid w:val="00042144"/>
    <w:rsid w:val="0004225B"/>
    <w:rsid w:val="00042883"/>
    <w:rsid w:val="00042910"/>
    <w:rsid w:val="00042E5D"/>
    <w:rsid w:val="00043330"/>
    <w:rsid w:val="00043B8D"/>
    <w:rsid w:val="00044B89"/>
    <w:rsid w:val="00044CB9"/>
    <w:rsid w:val="00046726"/>
    <w:rsid w:val="0004700B"/>
    <w:rsid w:val="000471C4"/>
    <w:rsid w:val="00047380"/>
    <w:rsid w:val="0004746C"/>
    <w:rsid w:val="00047496"/>
    <w:rsid w:val="00047864"/>
    <w:rsid w:val="00047964"/>
    <w:rsid w:val="00050348"/>
    <w:rsid w:val="0005047F"/>
    <w:rsid w:val="00051139"/>
    <w:rsid w:val="00051E4F"/>
    <w:rsid w:val="00051FA6"/>
    <w:rsid w:val="000526FC"/>
    <w:rsid w:val="00053DD2"/>
    <w:rsid w:val="000541F4"/>
    <w:rsid w:val="00054540"/>
    <w:rsid w:val="000549B6"/>
    <w:rsid w:val="00054B84"/>
    <w:rsid w:val="000552C4"/>
    <w:rsid w:val="000554AC"/>
    <w:rsid w:val="000557F5"/>
    <w:rsid w:val="000565CD"/>
    <w:rsid w:val="000569B1"/>
    <w:rsid w:val="0005747E"/>
    <w:rsid w:val="00057FE1"/>
    <w:rsid w:val="000603D2"/>
    <w:rsid w:val="00060CD0"/>
    <w:rsid w:val="00060EE0"/>
    <w:rsid w:val="00061062"/>
    <w:rsid w:val="0006122D"/>
    <w:rsid w:val="000614DC"/>
    <w:rsid w:val="00061632"/>
    <w:rsid w:val="0006281D"/>
    <w:rsid w:val="00062AC4"/>
    <w:rsid w:val="000630C0"/>
    <w:rsid w:val="00063347"/>
    <w:rsid w:val="00063586"/>
    <w:rsid w:val="00064037"/>
    <w:rsid w:val="000643EE"/>
    <w:rsid w:val="00064417"/>
    <w:rsid w:val="00064846"/>
    <w:rsid w:val="000648C6"/>
    <w:rsid w:val="00065D25"/>
    <w:rsid w:val="00065DBA"/>
    <w:rsid w:val="00067403"/>
    <w:rsid w:val="0007054D"/>
    <w:rsid w:val="000713C6"/>
    <w:rsid w:val="000715B5"/>
    <w:rsid w:val="00071881"/>
    <w:rsid w:val="00071C04"/>
    <w:rsid w:val="0007238B"/>
    <w:rsid w:val="00073213"/>
    <w:rsid w:val="00073DAA"/>
    <w:rsid w:val="00073DF8"/>
    <w:rsid w:val="000743C1"/>
    <w:rsid w:val="00074490"/>
    <w:rsid w:val="00075A7B"/>
    <w:rsid w:val="000768B7"/>
    <w:rsid w:val="000768E9"/>
    <w:rsid w:val="00076AEB"/>
    <w:rsid w:val="00076C32"/>
    <w:rsid w:val="00077A72"/>
    <w:rsid w:val="00077DA0"/>
    <w:rsid w:val="00081B44"/>
    <w:rsid w:val="000821DD"/>
    <w:rsid w:val="00082624"/>
    <w:rsid w:val="00082997"/>
    <w:rsid w:val="00083DA8"/>
    <w:rsid w:val="00084A85"/>
    <w:rsid w:val="00085710"/>
    <w:rsid w:val="00086956"/>
    <w:rsid w:val="00087F0F"/>
    <w:rsid w:val="00090D1E"/>
    <w:rsid w:val="00090E6B"/>
    <w:rsid w:val="000912C7"/>
    <w:rsid w:val="00091EF1"/>
    <w:rsid w:val="00092FE0"/>
    <w:rsid w:val="00094423"/>
    <w:rsid w:val="00094488"/>
    <w:rsid w:val="00095CA6"/>
    <w:rsid w:val="00095F1C"/>
    <w:rsid w:val="0009617B"/>
    <w:rsid w:val="000968A2"/>
    <w:rsid w:val="00096B1B"/>
    <w:rsid w:val="000975B2"/>
    <w:rsid w:val="000979B6"/>
    <w:rsid w:val="00097C41"/>
    <w:rsid w:val="00097E1D"/>
    <w:rsid w:val="00097F5E"/>
    <w:rsid w:val="000A0398"/>
    <w:rsid w:val="000A1B6E"/>
    <w:rsid w:val="000A1C84"/>
    <w:rsid w:val="000A1CF7"/>
    <w:rsid w:val="000A2515"/>
    <w:rsid w:val="000A29C9"/>
    <w:rsid w:val="000A3154"/>
    <w:rsid w:val="000A3D31"/>
    <w:rsid w:val="000A5992"/>
    <w:rsid w:val="000A6549"/>
    <w:rsid w:val="000A7AA5"/>
    <w:rsid w:val="000A7F92"/>
    <w:rsid w:val="000B0497"/>
    <w:rsid w:val="000B1B70"/>
    <w:rsid w:val="000B2B54"/>
    <w:rsid w:val="000B2C72"/>
    <w:rsid w:val="000B2E1A"/>
    <w:rsid w:val="000B3A8F"/>
    <w:rsid w:val="000B4A7E"/>
    <w:rsid w:val="000B4D98"/>
    <w:rsid w:val="000B4E9C"/>
    <w:rsid w:val="000B5890"/>
    <w:rsid w:val="000B5BB8"/>
    <w:rsid w:val="000B66A1"/>
    <w:rsid w:val="000B77A3"/>
    <w:rsid w:val="000B7F3F"/>
    <w:rsid w:val="000C07AB"/>
    <w:rsid w:val="000C0C9A"/>
    <w:rsid w:val="000C0E29"/>
    <w:rsid w:val="000C12AC"/>
    <w:rsid w:val="000C15AC"/>
    <w:rsid w:val="000C2A6D"/>
    <w:rsid w:val="000C2D83"/>
    <w:rsid w:val="000C2E2C"/>
    <w:rsid w:val="000C3186"/>
    <w:rsid w:val="000C4EA2"/>
    <w:rsid w:val="000C5E4D"/>
    <w:rsid w:val="000C6BA2"/>
    <w:rsid w:val="000C726A"/>
    <w:rsid w:val="000C792B"/>
    <w:rsid w:val="000C7D3C"/>
    <w:rsid w:val="000D094E"/>
    <w:rsid w:val="000D0A14"/>
    <w:rsid w:val="000D1047"/>
    <w:rsid w:val="000D1A9F"/>
    <w:rsid w:val="000D1DE1"/>
    <w:rsid w:val="000D22FD"/>
    <w:rsid w:val="000D26DF"/>
    <w:rsid w:val="000D3692"/>
    <w:rsid w:val="000D3864"/>
    <w:rsid w:val="000D4A71"/>
    <w:rsid w:val="000D531E"/>
    <w:rsid w:val="000D5E07"/>
    <w:rsid w:val="000D7CFD"/>
    <w:rsid w:val="000E0006"/>
    <w:rsid w:val="000E0E80"/>
    <w:rsid w:val="000E0F39"/>
    <w:rsid w:val="000E128A"/>
    <w:rsid w:val="000E14B4"/>
    <w:rsid w:val="000E1C17"/>
    <w:rsid w:val="000E1D43"/>
    <w:rsid w:val="000E3218"/>
    <w:rsid w:val="000E330B"/>
    <w:rsid w:val="000E3453"/>
    <w:rsid w:val="000E3A32"/>
    <w:rsid w:val="000E3A64"/>
    <w:rsid w:val="000E3F6A"/>
    <w:rsid w:val="000E43C6"/>
    <w:rsid w:val="000E4996"/>
    <w:rsid w:val="000E4B30"/>
    <w:rsid w:val="000E576B"/>
    <w:rsid w:val="000E5A5D"/>
    <w:rsid w:val="000E5EE7"/>
    <w:rsid w:val="000E6EA6"/>
    <w:rsid w:val="000E7114"/>
    <w:rsid w:val="000E7904"/>
    <w:rsid w:val="000E7913"/>
    <w:rsid w:val="000F0069"/>
    <w:rsid w:val="000F04AB"/>
    <w:rsid w:val="000F0FDF"/>
    <w:rsid w:val="000F12F3"/>
    <w:rsid w:val="000F1B1D"/>
    <w:rsid w:val="000F1B35"/>
    <w:rsid w:val="000F1FCB"/>
    <w:rsid w:val="000F201C"/>
    <w:rsid w:val="000F2614"/>
    <w:rsid w:val="000F2C76"/>
    <w:rsid w:val="000F390B"/>
    <w:rsid w:val="000F4FE4"/>
    <w:rsid w:val="000F58DB"/>
    <w:rsid w:val="000F58E7"/>
    <w:rsid w:val="000F6E19"/>
    <w:rsid w:val="000F71BA"/>
    <w:rsid w:val="000F7F01"/>
    <w:rsid w:val="00100355"/>
    <w:rsid w:val="001004AB"/>
    <w:rsid w:val="00101A4E"/>
    <w:rsid w:val="00103F18"/>
    <w:rsid w:val="00104A24"/>
    <w:rsid w:val="001050B4"/>
    <w:rsid w:val="001055A9"/>
    <w:rsid w:val="001055C2"/>
    <w:rsid w:val="001060C1"/>
    <w:rsid w:val="00106268"/>
    <w:rsid w:val="0010633E"/>
    <w:rsid w:val="00107844"/>
    <w:rsid w:val="001078C0"/>
    <w:rsid w:val="00107E6D"/>
    <w:rsid w:val="0011017F"/>
    <w:rsid w:val="00110900"/>
    <w:rsid w:val="00110BAA"/>
    <w:rsid w:val="00111AB2"/>
    <w:rsid w:val="00111BE6"/>
    <w:rsid w:val="00112F44"/>
    <w:rsid w:val="00112F70"/>
    <w:rsid w:val="00113C2C"/>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A75"/>
    <w:rsid w:val="00123DC2"/>
    <w:rsid w:val="0012426D"/>
    <w:rsid w:val="00124662"/>
    <w:rsid w:val="00124D74"/>
    <w:rsid w:val="00125BDA"/>
    <w:rsid w:val="0012605F"/>
    <w:rsid w:val="00126A19"/>
    <w:rsid w:val="00126ABB"/>
    <w:rsid w:val="00127ADA"/>
    <w:rsid w:val="00130F92"/>
    <w:rsid w:val="00131007"/>
    <w:rsid w:val="00131CCD"/>
    <w:rsid w:val="00132013"/>
    <w:rsid w:val="00133466"/>
    <w:rsid w:val="00133A23"/>
    <w:rsid w:val="00134036"/>
    <w:rsid w:val="00134B79"/>
    <w:rsid w:val="00136E40"/>
    <w:rsid w:val="00137B70"/>
    <w:rsid w:val="00140AE0"/>
    <w:rsid w:val="00140B02"/>
    <w:rsid w:val="00141AF1"/>
    <w:rsid w:val="0014208E"/>
    <w:rsid w:val="00143E0F"/>
    <w:rsid w:val="00143F69"/>
    <w:rsid w:val="001441DA"/>
    <w:rsid w:val="0014537F"/>
    <w:rsid w:val="00145B6A"/>
    <w:rsid w:val="00146269"/>
    <w:rsid w:val="001468BA"/>
    <w:rsid w:val="00146DDD"/>
    <w:rsid w:val="00146F78"/>
    <w:rsid w:val="0015010C"/>
    <w:rsid w:val="00150C6C"/>
    <w:rsid w:val="0015121B"/>
    <w:rsid w:val="00151489"/>
    <w:rsid w:val="00153A81"/>
    <w:rsid w:val="00153BCD"/>
    <w:rsid w:val="00153C24"/>
    <w:rsid w:val="00154728"/>
    <w:rsid w:val="00154F81"/>
    <w:rsid w:val="0015650B"/>
    <w:rsid w:val="0015676D"/>
    <w:rsid w:val="001567D0"/>
    <w:rsid w:val="00157759"/>
    <w:rsid w:val="0015786A"/>
    <w:rsid w:val="00157C3E"/>
    <w:rsid w:val="00160EE9"/>
    <w:rsid w:val="00160F54"/>
    <w:rsid w:val="00161B42"/>
    <w:rsid w:val="0016348C"/>
    <w:rsid w:val="001639D9"/>
    <w:rsid w:val="00163CE2"/>
    <w:rsid w:val="0016480E"/>
    <w:rsid w:val="00164BE7"/>
    <w:rsid w:val="001650A8"/>
    <w:rsid w:val="00165283"/>
    <w:rsid w:val="001652B4"/>
    <w:rsid w:val="0016546B"/>
    <w:rsid w:val="00165F11"/>
    <w:rsid w:val="00165F2C"/>
    <w:rsid w:val="0016654B"/>
    <w:rsid w:val="00167B5A"/>
    <w:rsid w:val="00167BB4"/>
    <w:rsid w:val="00167F61"/>
    <w:rsid w:val="0017016C"/>
    <w:rsid w:val="00170D47"/>
    <w:rsid w:val="0017129E"/>
    <w:rsid w:val="00171543"/>
    <w:rsid w:val="00171553"/>
    <w:rsid w:val="00172E31"/>
    <w:rsid w:val="00172F5D"/>
    <w:rsid w:val="001735C5"/>
    <w:rsid w:val="001739CC"/>
    <w:rsid w:val="00173B17"/>
    <w:rsid w:val="00173C62"/>
    <w:rsid w:val="00173DFC"/>
    <w:rsid w:val="001742A0"/>
    <w:rsid w:val="0017472F"/>
    <w:rsid w:val="00174FAE"/>
    <w:rsid w:val="001750DB"/>
    <w:rsid w:val="0017518A"/>
    <w:rsid w:val="00175E7C"/>
    <w:rsid w:val="001779BC"/>
    <w:rsid w:val="00180CD7"/>
    <w:rsid w:val="001812DE"/>
    <w:rsid w:val="001822E1"/>
    <w:rsid w:val="00183192"/>
    <w:rsid w:val="00183E73"/>
    <w:rsid w:val="00186127"/>
    <w:rsid w:val="001879BC"/>
    <w:rsid w:val="00190A65"/>
    <w:rsid w:val="00192693"/>
    <w:rsid w:val="00193169"/>
    <w:rsid w:val="0019325C"/>
    <w:rsid w:val="00193712"/>
    <w:rsid w:val="00193F31"/>
    <w:rsid w:val="00194234"/>
    <w:rsid w:val="0019451B"/>
    <w:rsid w:val="00195605"/>
    <w:rsid w:val="0019568E"/>
    <w:rsid w:val="00196871"/>
    <w:rsid w:val="00196AFF"/>
    <w:rsid w:val="00196C3D"/>
    <w:rsid w:val="00197791"/>
    <w:rsid w:val="00197C67"/>
    <w:rsid w:val="001A00C1"/>
    <w:rsid w:val="001A0391"/>
    <w:rsid w:val="001A20AA"/>
    <w:rsid w:val="001A2212"/>
    <w:rsid w:val="001A2FD7"/>
    <w:rsid w:val="001A4394"/>
    <w:rsid w:val="001A5798"/>
    <w:rsid w:val="001A62F5"/>
    <w:rsid w:val="001A6457"/>
    <w:rsid w:val="001A6C5D"/>
    <w:rsid w:val="001A7558"/>
    <w:rsid w:val="001A7D24"/>
    <w:rsid w:val="001B053D"/>
    <w:rsid w:val="001B0765"/>
    <w:rsid w:val="001B091A"/>
    <w:rsid w:val="001B09A6"/>
    <w:rsid w:val="001B09DA"/>
    <w:rsid w:val="001B0E3A"/>
    <w:rsid w:val="001B1309"/>
    <w:rsid w:val="001B2D50"/>
    <w:rsid w:val="001B2DB2"/>
    <w:rsid w:val="001B65A6"/>
    <w:rsid w:val="001C039B"/>
    <w:rsid w:val="001C057A"/>
    <w:rsid w:val="001C07C0"/>
    <w:rsid w:val="001C0BDD"/>
    <w:rsid w:val="001C2405"/>
    <w:rsid w:val="001C318A"/>
    <w:rsid w:val="001C3706"/>
    <w:rsid w:val="001C38A1"/>
    <w:rsid w:val="001C58CC"/>
    <w:rsid w:val="001C5B8B"/>
    <w:rsid w:val="001C5BE4"/>
    <w:rsid w:val="001C5EF4"/>
    <w:rsid w:val="001C5FF8"/>
    <w:rsid w:val="001C61FF"/>
    <w:rsid w:val="001C77DD"/>
    <w:rsid w:val="001C7B3F"/>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0E3F"/>
    <w:rsid w:val="001E1114"/>
    <w:rsid w:val="001E142F"/>
    <w:rsid w:val="001E1F7D"/>
    <w:rsid w:val="001E23CC"/>
    <w:rsid w:val="001E2974"/>
    <w:rsid w:val="001E2A7C"/>
    <w:rsid w:val="001E3931"/>
    <w:rsid w:val="001E3CFE"/>
    <w:rsid w:val="001E447A"/>
    <w:rsid w:val="001E5131"/>
    <w:rsid w:val="001E5788"/>
    <w:rsid w:val="001E6D36"/>
    <w:rsid w:val="001E71F5"/>
    <w:rsid w:val="001E77C7"/>
    <w:rsid w:val="001E7DA7"/>
    <w:rsid w:val="001F0581"/>
    <w:rsid w:val="001F05C0"/>
    <w:rsid w:val="001F0F38"/>
    <w:rsid w:val="001F141F"/>
    <w:rsid w:val="001F1468"/>
    <w:rsid w:val="001F1531"/>
    <w:rsid w:val="001F19D3"/>
    <w:rsid w:val="001F1D54"/>
    <w:rsid w:val="001F1E2B"/>
    <w:rsid w:val="001F2977"/>
    <w:rsid w:val="001F2E35"/>
    <w:rsid w:val="001F36A0"/>
    <w:rsid w:val="001F3CAE"/>
    <w:rsid w:val="001F4CAA"/>
    <w:rsid w:val="001F7976"/>
    <w:rsid w:val="001F7FC2"/>
    <w:rsid w:val="0020009B"/>
    <w:rsid w:val="002001C1"/>
    <w:rsid w:val="0020161E"/>
    <w:rsid w:val="00201FE1"/>
    <w:rsid w:val="0020229A"/>
    <w:rsid w:val="00202F97"/>
    <w:rsid w:val="00203048"/>
    <w:rsid w:val="002035F0"/>
    <w:rsid w:val="00203FBE"/>
    <w:rsid w:val="0020481F"/>
    <w:rsid w:val="00204ADD"/>
    <w:rsid w:val="002053DD"/>
    <w:rsid w:val="00207AFE"/>
    <w:rsid w:val="00207F92"/>
    <w:rsid w:val="002101BB"/>
    <w:rsid w:val="00210A60"/>
    <w:rsid w:val="00211100"/>
    <w:rsid w:val="00211E3E"/>
    <w:rsid w:val="00212195"/>
    <w:rsid w:val="002127C9"/>
    <w:rsid w:val="00212B52"/>
    <w:rsid w:val="002130C1"/>
    <w:rsid w:val="00213264"/>
    <w:rsid w:val="00213914"/>
    <w:rsid w:val="00213BDE"/>
    <w:rsid w:val="00214970"/>
    <w:rsid w:val="00214D52"/>
    <w:rsid w:val="00215B90"/>
    <w:rsid w:val="002169E8"/>
    <w:rsid w:val="00216E31"/>
    <w:rsid w:val="002172D6"/>
    <w:rsid w:val="00217A1B"/>
    <w:rsid w:val="002204A3"/>
    <w:rsid w:val="00220EEB"/>
    <w:rsid w:val="002214DC"/>
    <w:rsid w:val="00221808"/>
    <w:rsid w:val="0022241E"/>
    <w:rsid w:val="002235CA"/>
    <w:rsid w:val="00223928"/>
    <w:rsid w:val="00223968"/>
    <w:rsid w:val="00223AC3"/>
    <w:rsid w:val="0022426E"/>
    <w:rsid w:val="00225660"/>
    <w:rsid w:val="00226130"/>
    <w:rsid w:val="002272C4"/>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0DB4"/>
    <w:rsid w:val="00241917"/>
    <w:rsid w:val="00242380"/>
    <w:rsid w:val="002423C2"/>
    <w:rsid w:val="00242907"/>
    <w:rsid w:val="00242CFB"/>
    <w:rsid w:val="00243294"/>
    <w:rsid w:val="00243730"/>
    <w:rsid w:val="002437F9"/>
    <w:rsid w:val="0024456B"/>
    <w:rsid w:val="00245436"/>
    <w:rsid w:val="00245933"/>
    <w:rsid w:val="00246473"/>
    <w:rsid w:val="0024690C"/>
    <w:rsid w:val="00246FA7"/>
    <w:rsid w:val="00247A69"/>
    <w:rsid w:val="00250982"/>
    <w:rsid w:val="00250BF8"/>
    <w:rsid w:val="00251183"/>
    <w:rsid w:val="00251D3D"/>
    <w:rsid w:val="00253B4E"/>
    <w:rsid w:val="002543D0"/>
    <w:rsid w:val="00254988"/>
    <w:rsid w:val="00254E57"/>
    <w:rsid w:val="00254EFF"/>
    <w:rsid w:val="0025579B"/>
    <w:rsid w:val="0025707E"/>
    <w:rsid w:val="00257764"/>
    <w:rsid w:val="00257C75"/>
    <w:rsid w:val="00257DE9"/>
    <w:rsid w:val="0026073B"/>
    <w:rsid w:val="0026229C"/>
    <w:rsid w:val="00262335"/>
    <w:rsid w:val="00262464"/>
    <w:rsid w:val="00263E02"/>
    <w:rsid w:val="00264136"/>
    <w:rsid w:val="0026449D"/>
    <w:rsid w:val="00264DCB"/>
    <w:rsid w:val="002665ED"/>
    <w:rsid w:val="00266C60"/>
    <w:rsid w:val="00266D99"/>
    <w:rsid w:val="0026703D"/>
    <w:rsid w:val="0027060D"/>
    <w:rsid w:val="00270F2A"/>
    <w:rsid w:val="00272701"/>
    <w:rsid w:val="00273173"/>
    <w:rsid w:val="002738C6"/>
    <w:rsid w:val="00273E45"/>
    <w:rsid w:val="00273FB9"/>
    <w:rsid w:val="00274293"/>
    <w:rsid w:val="00274568"/>
    <w:rsid w:val="002749DA"/>
    <w:rsid w:val="00275010"/>
    <w:rsid w:val="0027593C"/>
    <w:rsid w:val="00275C46"/>
    <w:rsid w:val="002760B4"/>
    <w:rsid w:val="00276A99"/>
    <w:rsid w:val="00276AA7"/>
    <w:rsid w:val="00276B9A"/>
    <w:rsid w:val="0027781A"/>
    <w:rsid w:val="0027791B"/>
    <w:rsid w:val="00277E90"/>
    <w:rsid w:val="00282000"/>
    <w:rsid w:val="0028385F"/>
    <w:rsid w:val="00283DF8"/>
    <w:rsid w:val="0028471A"/>
    <w:rsid w:val="00285E30"/>
    <w:rsid w:val="00285F9F"/>
    <w:rsid w:val="00286941"/>
    <w:rsid w:val="00286E0F"/>
    <w:rsid w:val="00287E8B"/>
    <w:rsid w:val="00290AB5"/>
    <w:rsid w:val="00290D42"/>
    <w:rsid w:val="00290D86"/>
    <w:rsid w:val="002919F1"/>
    <w:rsid w:val="00291B9B"/>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5EE1"/>
    <w:rsid w:val="002A6480"/>
    <w:rsid w:val="002A72E7"/>
    <w:rsid w:val="002B04FF"/>
    <w:rsid w:val="002B1041"/>
    <w:rsid w:val="002B1084"/>
    <w:rsid w:val="002B1672"/>
    <w:rsid w:val="002B2EA8"/>
    <w:rsid w:val="002B2F9E"/>
    <w:rsid w:val="002B3426"/>
    <w:rsid w:val="002B4223"/>
    <w:rsid w:val="002B4B3D"/>
    <w:rsid w:val="002B5F50"/>
    <w:rsid w:val="002B6034"/>
    <w:rsid w:val="002B6EBA"/>
    <w:rsid w:val="002C0251"/>
    <w:rsid w:val="002C0292"/>
    <w:rsid w:val="002C2FC7"/>
    <w:rsid w:val="002C3495"/>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2836"/>
    <w:rsid w:val="002D307B"/>
    <w:rsid w:val="002D34C0"/>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0850"/>
    <w:rsid w:val="002E1E8E"/>
    <w:rsid w:val="002E30D6"/>
    <w:rsid w:val="002E3223"/>
    <w:rsid w:val="002E3F05"/>
    <w:rsid w:val="002E48E8"/>
    <w:rsid w:val="002E4B25"/>
    <w:rsid w:val="002E59C3"/>
    <w:rsid w:val="002E68D9"/>
    <w:rsid w:val="002E6C8A"/>
    <w:rsid w:val="002F0315"/>
    <w:rsid w:val="002F03B7"/>
    <w:rsid w:val="002F12CF"/>
    <w:rsid w:val="002F179E"/>
    <w:rsid w:val="002F1E3D"/>
    <w:rsid w:val="002F23AD"/>
    <w:rsid w:val="002F269D"/>
    <w:rsid w:val="002F2DA9"/>
    <w:rsid w:val="002F3120"/>
    <w:rsid w:val="002F38B6"/>
    <w:rsid w:val="002F3D9A"/>
    <w:rsid w:val="002F3F6E"/>
    <w:rsid w:val="002F4438"/>
    <w:rsid w:val="002F44A8"/>
    <w:rsid w:val="002F450F"/>
    <w:rsid w:val="002F5701"/>
    <w:rsid w:val="002F5E51"/>
    <w:rsid w:val="002F6A67"/>
    <w:rsid w:val="002F7953"/>
    <w:rsid w:val="002F7E43"/>
    <w:rsid w:val="002F7E5A"/>
    <w:rsid w:val="00300D09"/>
    <w:rsid w:val="00301246"/>
    <w:rsid w:val="003015A2"/>
    <w:rsid w:val="00301FB4"/>
    <w:rsid w:val="003027FB"/>
    <w:rsid w:val="00302F6F"/>
    <w:rsid w:val="00303BF2"/>
    <w:rsid w:val="0030423E"/>
    <w:rsid w:val="003049C0"/>
    <w:rsid w:val="00305B8B"/>
    <w:rsid w:val="00305DC7"/>
    <w:rsid w:val="00306A46"/>
    <w:rsid w:val="00306F13"/>
    <w:rsid w:val="0030786B"/>
    <w:rsid w:val="0030786F"/>
    <w:rsid w:val="0031001C"/>
    <w:rsid w:val="003100A0"/>
    <w:rsid w:val="0031072D"/>
    <w:rsid w:val="00310E3A"/>
    <w:rsid w:val="00311540"/>
    <w:rsid w:val="00311905"/>
    <w:rsid w:val="003142CB"/>
    <w:rsid w:val="00314652"/>
    <w:rsid w:val="00314713"/>
    <w:rsid w:val="00315C08"/>
    <w:rsid w:val="00315C55"/>
    <w:rsid w:val="003161D6"/>
    <w:rsid w:val="0031674B"/>
    <w:rsid w:val="00320434"/>
    <w:rsid w:val="003207FC"/>
    <w:rsid w:val="0032085D"/>
    <w:rsid w:val="00320976"/>
    <w:rsid w:val="003210CC"/>
    <w:rsid w:val="00321382"/>
    <w:rsid w:val="00321949"/>
    <w:rsid w:val="00321AF2"/>
    <w:rsid w:val="003221BF"/>
    <w:rsid w:val="00322320"/>
    <w:rsid w:val="0032281E"/>
    <w:rsid w:val="003229C1"/>
    <w:rsid w:val="003233E5"/>
    <w:rsid w:val="003237DC"/>
    <w:rsid w:val="003237DD"/>
    <w:rsid w:val="00323B14"/>
    <w:rsid w:val="003243A3"/>
    <w:rsid w:val="00324CE5"/>
    <w:rsid w:val="00324E51"/>
    <w:rsid w:val="00325DA4"/>
    <w:rsid w:val="00326267"/>
    <w:rsid w:val="00327290"/>
    <w:rsid w:val="003277DB"/>
    <w:rsid w:val="003311D2"/>
    <w:rsid w:val="00331423"/>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0F7A"/>
    <w:rsid w:val="00351867"/>
    <w:rsid w:val="00351EB9"/>
    <w:rsid w:val="0035298A"/>
    <w:rsid w:val="00353582"/>
    <w:rsid w:val="00353C59"/>
    <w:rsid w:val="0035448E"/>
    <w:rsid w:val="00354EE0"/>
    <w:rsid w:val="00355250"/>
    <w:rsid w:val="0035551B"/>
    <w:rsid w:val="00355B81"/>
    <w:rsid w:val="0035666A"/>
    <w:rsid w:val="00356F7F"/>
    <w:rsid w:val="003574FA"/>
    <w:rsid w:val="00361A46"/>
    <w:rsid w:val="00361B40"/>
    <w:rsid w:val="0036200C"/>
    <w:rsid w:val="00362780"/>
    <w:rsid w:val="00362E58"/>
    <w:rsid w:val="00362E59"/>
    <w:rsid w:val="003631D1"/>
    <w:rsid w:val="00363775"/>
    <w:rsid w:val="00363A10"/>
    <w:rsid w:val="00364101"/>
    <w:rsid w:val="003642B2"/>
    <w:rsid w:val="00365830"/>
    <w:rsid w:val="00365917"/>
    <w:rsid w:val="00365A12"/>
    <w:rsid w:val="00365BE3"/>
    <w:rsid w:val="003660F2"/>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40A0"/>
    <w:rsid w:val="00375BE7"/>
    <w:rsid w:val="00376B0F"/>
    <w:rsid w:val="00377B92"/>
    <w:rsid w:val="00377B94"/>
    <w:rsid w:val="003804B1"/>
    <w:rsid w:val="00381242"/>
    <w:rsid w:val="0038157E"/>
    <w:rsid w:val="00381DE5"/>
    <w:rsid w:val="00383C98"/>
    <w:rsid w:val="003848B1"/>
    <w:rsid w:val="00384ED6"/>
    <w:rsid w:val="00385FC2"/>
    <w:rsid w:val="00386437"/>
    <w:rsid w:val="00386BC7"/>
    <w:rsid w:val="00387DE2"/>
    <w:rsid w:val="0039031B"/>
    <w:rsid w:val="00390810"/>
    <w:rsid w:val="00390B8B"/>
    <w:rsid w:val="00391307"/>
    <w:rsid w:val="00392844"/>
    <w:rsid w:val="00394779"/>
    <w:rsid w:val="003947BF"/>
    <w:rsid w:val="00394B7F"/>
    <w:rsid w:val="00395DFD"/>
    <w:rsid w:val="0039615F"/>
    <w:rsid w:val="00396313"/>
    <w:rsid w:val="00396697"/>
    <w:rsid w:val="0039673B"/>
    <w:rsid w:val="00396FE4"/>
    <w:rsid w:val="00397D1B"/>
    <w:rsid w:val="003A0085"/>
    <w:rsid w:val="003A0313"/>
    <w:rsid w:val="003A0790"/>
    <w:rsid w:val="003A0835"/>
    <w:rsid w:val="003A0E19"/>
    <w:rsid w:val="003A0F42"/>
    <w:rsid w:val="003A1665"/>
    <w:rsid w:val="003A2561"/>
    <w:rsid w:val="003A269B"/>
    <w:rsid w:val="003A295B"/>
    <w:rsid w:val="003A367D"/>
    <w:rsid w:val="003A3A10"/>
    <w:rsid w:val="003A463D"/>
    <w:rsid w:val="003A477A"/>
    <w:rsid w:val="003A5026"/>
    <w:rsid w:val="003A54CA"/>
    <w:rsid w:val="003A54EC"/>
    <w:rsid w:val="003A56C5"/>
    <w:rsid w:val="003A60E8"/>
    <w:rsid w:val="003A64C9"/>
    <w:rsid w:val="003A7DD6"/>
    <w:rsid w:val="003B0110"/>
    <w:rsid w:val="003B0573"/>
    <w:rsid w:val="003B0D7B"/>
    <w:rsid w:val="003B0EC3"/>
    <w:rsid w:val="003B1034"/>
    <w:rsid w:val="003B11FE"/>
    <w:rsid w:val="003B1DD8"/>
    <w:rsid w:val="003B1EFC"/>
    <w:rsid w:val="003B2B55"/>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4F82"/>
    <w:rsid w:val="003C6F44"/>
    <w:rsid w:val="003C7290"/>
    <w:rsid w:val="003C74B4"/>
    <w:rsid w:val="003C76B2"/>
    <w:rsid w:val="003C785A"/>
    <w:rsid w:val="003C7EF1"/>
    <w:rsid w:val="003D105E"/>
    <w:rsid w:val="003D130B"/>
    <w:rsid w:val="003D139F"/>
    <w:rsid w:val="003D2EBE"/>
    <w:rsid w:val="003D3D28"/>
    <w:rsid w:val="003D3D85"/>
    <w:rsid w:val="003D4381"/>
    <w:rsid w:val="003D4EFC"/>
    <w:rsid w:val="003D5332"/>
    <w:rsid w:val="003D6C2F"/>
    <w:rsid w:val="003D6D58"/>
    <w:rsid w:val="003D7FD0"/>
    <w:rsid w:val="003E0545"/>
    <w:rsid w:val="003E0F70"/>
    <w:rsid w:val="003E24EA"/>
    <w:rsid w:val="003E2957"/>
    <w:rsid w:val="003E2BBB"/>
    <w:rsid w:val="003E36B6"/>
    <w:rsid w:val="003E3ADD"/>
    <w:rsid w:val="003E4764"/>
    <w:rsid w:val="003E4A0B"/>
    <w:rsid w:val="003E5F73"/>
    <w:rsid w:val="003E63AC"/>
    <w:rsid w:val="003E63C2"/>
    <w:rsid w:val="003E64CD"/>
    <w:rsid w:val="003E6788"/>
    <w:rsid w:val="003E754A"/>
    <w:rsid w:val="003E7624"/>
    <w:rsid w:val="003F09BA"/>
    <w:rsid w:val="003F0E59"/>
    <w:rsid w:val="003F12B2"/>
    <w:rsid w:val="003F31EA"/>
    <w:rsid w:val="003F3DF9"/>
    <w:rsid w:val="003F462F"/>
    <w:rsid w:val="003F5B4E"/>
    <w:rsid w:val="003F679C"/>
    <w:rsid w:val="003F6BE7"/>
    <w:rsid w:val="003F7447"/>
    <w:rsid w:val="003F7D15"/>
    <w:rsid w:val="003F7FBE"/>
    <w:rsid w:val="004008D2"/>
    <w:rsid w:val="00400A31"/>
    <w:rsid w:val="00400EE3"/>
    <w:rsid w:val="0040188D"/>
    <w:rsid w:val="00402DEF"/>
    <w:rsid w:val="00403234"/>
    <w:rsid w:val="00404F05"/>
    <w:rsid w:val="00404F42"/>
    <w:rsid w:val="00405E30"/>
    <w:rsid w:val="0040616D"/>
    <w:rsid w:val="0040676E"/>
    <w:rsid w:val="00406923"/>
    <w:rsid w:val="00407776"/>
    <w:rsid w:val="0041008C"/>
    <w:rsid w:val="004102F8"/>
    <w:rsid w:val="0041032D"/>
    <w:rsid w:val="00410AB6"/>
    <w:rsid w:val="0041117E"/>
    <w:rsid w:val="00411184"/>
    <w:rsid w:val="004112E3"/>
    <w:rsid w:val="00411D3A"/>
    <w:rsid w:val="00411ECB"/>
    <w:rsid w:val="00412D3E"/>
    <w:rsid w:val="004138A7"/>
    <w:rsid w:val="00413A73"/>
    <w:rsid w:val="00414491"/>
    <w:rsid w:val="00414F15"/>
    <w:rsid w:val="004158AA"/>
    <w:rsid w:val="004159A7"/>
    <w:rsid w:val="00420462"/>
    <w:rsid w:val="0042067C"/>
    <w:rsid w:val="004219C8"/>
    <w:rsid w:val="004225C0"/>
    <w:rsid w:val="0042348C"/>
    <w:rsid w:val="004236B7"/>
    <w:rsid w:val="0042399B"/>
    <w:rsid w:val="00423D05"/>
    <w:rsid w:val="0042517A"/>
    <w:rsid w:val="004263DD"/>
    <w:rsid w:val="00426DF3"/>
    <w:rsid w:val="00427140"/>
    <w:rsid w:val="0042741E"/>
    <w:rsid w:val="00427A9D"/>
    <w:rsid w:val="00430E10"/>
    <w:rsid w:val="00431021"/>
    <w:rsid w:val="0043126A"/>
    <w:rsid w:val="004315A6"/>
    <w:rsid w:val="00432602"/>
    <w:rsid w:val="00432B1E"/>
    <w:rsid w:val="00433693"/>
    <w:rsid w:val="00434260"/>
    <w:rsid w:val="004343C6"/>
    <w:rsid w:val="00434441"/>
    <w:rsid w:val="0043494A"/>
    <w:rsid w:val="0043552E"/>
    <w:rsid w:val="00435DF2"/>
    <w:rsid w:val="00435E04"/>
    <w:rsid w:val="00436996"/>
    <w:rsid w:val="004370E8"/>
    <w:rsid w:val="00437849"/>
    <w:rsid w:val="00437CC8"/>
    <w:rsid w:val="00440B4D"/>
    <w:rsid w:val="00440D55"/>
    <w:rsid w:val="00440D84"/>
    <w:rsid w:val="00441696"/>
    <w:rsid w:val="0044236C"/>
    <w:rsid w:val="00442C23"/>
    <w:rsid w:val="004444FE"/>
    <w:rsid w:val="004462A3"/>
    <w:rsid w:val="004469AE"/>
    <w:rsid w:val="00446DAF"/>
    <w:rsid w:val="004472C4"/>
    <w:rsid w:val="004475C5"/>
    <w:rsid w:val="0044775E"/>
    <w:rsid w:val="00450301"/>
    <w:rsid w:val="0045091A"/>
    <w:rsid w:val="00450988"/>
    <w:rsid w:val="00450A43"/>
    <w:rsid w:val="00451B01"/>
    <w:rsid w:val="004527C8"/>
    <w:rsid w:val="00452EDC"/>
    <w:rsid w:val="00452F24"/>
    <w:rsid w:val="00454018"/>
    <w:rsid w:val="004548FA"/>
    <w:rsid w:val="00455CF9"/>
    <w:rsid w:val="00455E78"/>
    <w:rsid w:val="00456FFD"/>
    <w:rsid w:val="00457466"/>
    <w:rsid w:val="004574B7"/>
    <w:rsid w:val="00457AE7"/>
    <w:rsid w:val="00457DD8"/>
    <w:rsid w:val="004609DA"/>
    <w:rsid w:val="0046101D"/>
    <w:rsid w:val="00461403"/>
    <w:rsid w:val="00461699"/>
    <w:rsid w:val="00461849"/>
    <w:rsid w:val="00461C68"/>
    <w:rsid w:val="00462590"/>
    <w:rsid w:val="00463E88"/>
    <w:rsid w:val="004643C0"/>
    <w:rsid w:val="00464948"/>
    <w:rsid w:val="00464F1E"/>
    <w:rsid w:val="004651B8"/>
    <w:rsid w:val="00465206"/>
    <w:rsid w:val="004661F8"/>
    <w:rsid w:val="00466EED"/>
    <w:rsid w:val="00467E72"/>
    <w:rsid w:val="0047035C"/>
    <w:rsid w:val="00470636"/>
    <w:rsid w:val="00470E35"/>
    <w:rsid w:val="00470FEB"/>
    <w:rsid w:val="004711BE"/>
    <w:rsid w:val="004712CC"/>
    <w:rsid w:val="00471CD6"/>
    <w:rsid w:val="00471DAE"/>
    <w:rsid w:val="004724C4"/>
    <w:rsid w:val="00473818"/>
    <w:rsid w:val="00473B6A"/>
    <w:rsid w:val="00474025"/>
    <w:rsid w:val="004742B6"/>
    <w:rsid w:val="0047447E"/>
    <w:rsid w:val="004744FB"/>
    <w:rsid w:val="004750BD"/>
    <w:rsid w:val="00475159"/>
    <w:rsid w:val="004751E6"/>
    <w:rsid w:val="0047571E"/>
    <w:rsid w:val="00475AB2"/>
    <w:rsid w:val="00475B92"/>
    <w:rsid w:val="004763AB"/>
    <w:rsid w:val="00476EC1"/>
    <w:rsid w:val="004776BE"/>
    <w:rsid w:val="00480AAB"/>
    <w:rsid w:val="004818C0"/>
    <w:rsid w:val="0048276D"/>
    <w:rsid w:val="00482EB0"/>
    <w:rsid w:val="004839D6"/>
    <w:rsid w:val="00483C42"/>
    <w:rsid w:val="00484575"/>
    <w:rsid w:val="0048472E"/>
    <w:rsid w:val="00485D93"/>
    <w:rsid w:val="00485F07"/>
    <w:rsid w:val="004868D6"/>
    <w:rsid w:val="00486E27"/>
    <w:rsid w:val="0048727C"/>
    <w:rsid w:val="00487843"/>
    <w:rsid w:val="004907DD"/>
    <w:rsid w:val="0049096C"/>
    <w:rsid w:val="00490C63"/>
    <w:rsid w:val="0049143A"/>
    <w:rsid w:val="0049176E"/>
    <w:rsid w:val="00491EE2"/>
    <w:rsid w:val="004922F0"/>
    <w:rsid w:val="004927FF"/>
    <w:rsid w:val="004928D9"/>
    <w:rsid w:val="00492DA9"/>
    <w:rsid w:val="00493426"/>
    <w:rsid w:val="004937E8"/>
    <w:rsid w:val="004951C3"/>
    <w:rsid w:val="004956AD"/>
    <w:rsid w:val="004962E9"/>
    <w:rsid w:val="00496B71"/>
    <w:rsid w:val="004A02B0"/>
    <w:rsid w:val="004A05CE"/>
    <w:rsid w:val="004A0B09"/>
    <w:rsid w:val="004A11B2"/>
    <w:rsid w:val="004A1968"/>
    <w:rsid w:val="004A1EA1"/>
    <w:rsid w:val="004A383D"/>
    <w:rsid w:val="004A38AD"/>
    <w:rsid w:val="004A468E"/>
    <w:rsid w:val="004A5A06"/>
    <w:rsid w:val="004A5F6E"/>
    <w:rsid w:val="004A63CC"/>
    <w:rsid w:val="004A6508"/>
    <w:rsid w:val="004A6893"/>
    <w:rsid w:val="004A6A0C"/>
    <w:rsid w:val="004A6E26"/>
    <w:rsid w:val="004B08C4"/>
    <w:rsid w:val="004B0E80"/>
    <w:rsid w:val="004B117F"/>
    <w:rsid w:val="004B1421"/>
    <w:rsid w:val="004B2BDB"/>
    <w:rsid w:val="004B3290"/>
    <w:rsid w:val="004B39C4"/>
    <w:rsid w:val="004B4530"/>
    <w:rsid w:val="004B45BF"/>
    <w:rsid w:val="004B5C5F"/>
    <w:rsid w:val="004B5EE2"/>
    <w:rsid w:val="004B6E2D"/>
    <w:rsid w:val="004B715F"/>
    <w:rsid w:val="004C0BEF"/>
    <w:rsid w:val="004C0D52"/>
    <w:rsid w:val="004C2128"/>
    <w:rsid w:val="004C2313"/>
    <w:rsid w:val="004C24F9"/>
    <w:rsid w:val="004C2560"/>
    <w:rsid w:val="004C371C"/>
    <w:rsid w:val="004C39F9"/>
    <w:rsid w:val="004C3C81"/>
    <w:rsid w:val="004C3EAD"/>
    <w:rsid w:val="004C3F04"/>
    <w:rsid w:val="004C45CA"/>
    <w:rsid w:val="004C4AC2"/>
    <w:rsid w:val="004C5160"/>
    <w:rsid w:val="004C5CB4"/>
    <w:rsid w:val="004C5CD9"/>
    <w:rsid w:val="004C62F8"/>
    <w:rsid w:val="004C69D8"/>
    <w:rsid w:val="004C75A4"/>
    <w:rsid w:val="004C79F3"/>
    <w:rsid w:val="004D0AF6"/>
    <w:rsid w:val="004D0B10"/>
    <w:rsid w:val="004D10BA"/>
    <w:rsid w:val="004D10E8"/>
    <w:rsid w:val="004D1892"/>
    <w:rsid w:val="004D1B97"/>
    <w:rsid w:val="004D1C16"/>
    <w:rsid w:val="004D27EB"/>
    <w:rsid w:val="004D2A60"/>
    <w:rsid w:val="004D37A4"/>
    <w:rsid w:val="004D3988"/>
    <w:rsid w:val="004D3B5E"/>
    <w:rsid w:val="004D4143"/>
    <w:rsid w:val="004D41CE"/>
    <w:rsid w:val="004D452A"/>
    <w:rsid w:val="004D457C"/>
    <w:rsid w:val="004D551D"/>
    <w:rsid w:val="004D6199"/>
    <w:rsid w:val="004D70F5"/>
    <w:rsid w:val="004D757C"/>
    <w:rsid w:val="004D7A0D"/>
    <w:rsid w:val="004D7A4A"/>
    <w:rsid w:val="004D7BD2"/>
    <w:rsid w:val="004E0260"/>
    <w:rsid w:val="004E040E"/>
    <w:rsid w:val="004E0498"/>
    <w:rsid w:val="004E06EC"/>
    <w:rsid w:val="004E06FF"/>
    <w:rsid w:val="004E17AF"/>
    <w:rsid w:val="004E1D23"/>
    <w:rsid w:val="004E2560"/>
    <w:rsid w:val="004E269A"/>
    <w:rsid w:val="004E445A"/>
    <w:rsid w:val="004E4B03"/>
    <w:rsid w:val="004E4FE3"/>
    <w:rsid w:val="004E596A"/>
    <w:rsid w:val="004E5EEE"/>
    <w:rsid w:val="004E6AFE"/>
    <w:rsid w:val="004E7445"/>
    <w:rsid w:val="004E7CA6"/>
    <w:rsid w:val="004F0181"/>
    <w:rsid w:val="004F054E"/>
    <w:rsid w:val="004F0EBF"/>
    <w:rsid w:val="004F1B26"/>
    <w:rsid w:val="004F1EAF"/>
    <w:rsid w:val="004F2CEC"/>
    <w:rsid w:val="004F31FC"/>
    <w:rsid w:val="004F42BF"/>
    <w:rsid w:val="004F4393"/>
    <w:rsid w:val="004F4A02"/>
    <w:rsid w:val="004F4F72"/>
    <w:rsid w:val="004F530C"/>
    <w:rsid w:val="004F55E2"/>
    <w:rsid w:val="004F6227"/>
    <w:rsid w:val="004F68B9"/>
    <w:rsid w:val="004F6A3A"/>
    <w:rsid w:val="004F731B"/>
    <w:rsid w:val="004F7339"/>
    <w:rsid w:val="004F7DAF"/>
    <w:rsid w:val="00500A53"/>
    <w:rsid w:val="005017C8"/>
    <w:rsid w:val="005024B0"/>
    <w:rsid w:val="00502C53"/>
    <w:rsid w:val="0050338C"/>
    <w:rsid w:val="00503410"/>
    <w:rsid w:val="005035D5"/>
    <w:rsid w:val="00503CDE"/>
    <w:rsid w:val="005044F3"/>
    <w:rsid w:val="00504CC9"/>
    <w:rsid w:val="005052C4"/>
    <w:rsid w:val="00505D97"/>
    <w:rsid w:val="00506ECD"/>
    <w:rsid w:val="005075D6"/>
    <w:rsid w:val="00507919"/>
    <w:rsid w:val="00507D25"/>
    <w:rsid w:val="00510489"/>
    <w:rsid w:val="0051064B"/>
    <w:rsid w:val="005109B3"/>
    <w:rsid w:val="005114A5"/>
    <w:rsid w:val="00511B85"/>
    <w:rsid w:val="00511F0F"/>
    <w:rsid w:val="00512915"/>
    <w:rsid w:val="00513291"/>
    <w:rsid w:val="00513483"/>
    <w:rsid w:val="0051369A"/>
    <w:rsid w:val="005136CD"/>
    <w:rsid w:val="00513836"/>
    <w:rsid w:val="0051406F"/>
    <w:rsid w:val="00514229"/>
    <w:rsid w:val="00514CC8"/>
    <w:rsid w:val="0051516F"/>
    <w:rsid w:val="005154BB"/>
    <w:rsid w:val="00515552"/>
    <w:rsid w:val="005156AA"/>
    <w:rsid w:val="00515EAB"/>
    <w:rsid w:val="00516CCB"/>
    <w:rsid w:val="00517ABC"/>
    <w:rsid w:val="00520199"/>
    <w:rsid w:val="005203C2"/>
    <w:rsid w:val="00520868"/>
    <w:rsid w:val="005209FD"/>
    <w:rsid w:val="00520E50"/>
    <w:rsid w:val="00522162"/>
    <w:rsid w:val="005222C1"/>
    <w:rsid w:val="005223A3"/>
    <w:rsid w:val="00524B28"/>
    <w:rsid w:val="005252B6"/>
    <w:rsid w:val="00525938"/>
    <w:rsid w:val="00525D24"/>
    <w:rsid w:val="00525F2A"/>
    <w:rsid w:val="005273D4"/>
    <w:rsid w:val="00530D60"/>
    <w:rsid w:val="00530E68"/>
    <w:rsid w:val="0053146C"/>
    <w:rsid w:val="005314DD"/>
    <w:rsid w:val="00531925"/>
    <w:rsid w:val="00532C5E"/>
    <w:rsid w:val="00532D77"/>
    <w:rsid w:val="005332D4"/>
    <w:rsid w:val="00533423"/>
    <w:rsid w:val="00533C77"/>
    <w:rsid w:val="005344E4"/>
    <w:rsid w:val="00534716"/>
    <w:rsid w:val="00535963"/>
    <w:rsid w:val="0053615C"/>
    <w:rsid w:val="005373A1"/>
    <w:rsid w:val="00542280"/>
    <w:rsid w:val="0054290D"/>
    <w:rsid w:val="00543D3A"/>
    <w:rsid w:val="005445F1"/>
    <w:rsid w:val="00545B27"/>
    <w:rsid w:val="00546262"/>
    <w:rsid w:val="00546717"/>
    <w:rsid w:val="0054707B"/>
    <w:rsid w:val="0054767E"/>
    <w:rsid w:val="00547C89"/>
    <w:rsid w:val="00547FD4"/>
    <w:rsid w:val="005507D0"/>
    <w:rsid w:val="00550EAC"/>
    <w:rsid w:val="00551A73"/>
    <w:rsid w:val="00552147"/>
    <w:rsid w:val="005524A2"/>
    <w:rsid w:val="0055359A"/>
    <w:rsid w:val="00554224"/>
    <w:rsid w:val="00554CD7"/>
    <w:rsid w:val="00555F21"/>
    <w:rsid w:val="00556859"/>
    <w:rsid w:val="00556A8A"/>
    <w:rsid w:val="00560DD0"/>
    <w:rsid w:val="00561227"/>
    <w:rsid w:val="00561C6F"/>
    <w:rsid w:val="005637A2"/>
    <w:rsid w:val="00563923"/>
    <w:rsid w:val="00563A85"/>
    <w:rsid w:val="0056423D"/>
    <w:rsid w:val="00564495"/>
    <w:rsid w:val="00565060"/>
    <w:rsid w:val="0056552B"/>
    <w:rsid w:val="00565D72"/>
    <w:rsid w:val="005660AE"/>
    <w:rsid w:val="00567620"/>
    <w:rsid w:val="00567967"/>
    <w:rsid w:val="00570225"/>
    <w:rsid w:val="00570362"/>
    <w:rsid w:val="00570F1E"/>
    <w:rsid w:val="005716B7"/>
    <w:rsid w:val="005718E1"/>
    <w:rsid w:val="00571BC4"/>
    <w:rsid w:val="00571C4F"/>
    <w:rsid w:val="00571F3E"/>
    <w:rsid w:val="00572310"/>
    <w:rsid w:val="0057274A"/>
    <w:rsid w:val="005727A1"/>
    <w:rsid w:val="00573270"/>
    <w:rsid w:val="00573692"/>
    <w:rsid w:val="005741C7"/>
    <w:rsid w:val="0057450D"/>
    <w:rsid w:val="00574DBE"/>
    <w:rsid w:val="00575F5B"/>
    <w:rsid w:val="00576BEF"/>
    <w:rsid w:val="00577105"/>
    <w:rsid w:val="0057755A"/>
    <w:rsid w:val="00577A0F"/>
    <w:rsid w:val="00580751"/>
    <w:rsid w:val="00580B55"/>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3A5"/>
    <w:rsid w:val="00595453"/>
    <w:rsid w:val="00595AAE"/>
    <w:rsid w:val="005960DB"/>
    <w:rsid w:val="005A147A"/>
    <w:rsid w:val="005A2A9C"/>
    <w:rsid w:val="005A32FD"/>
    <w:rsid w:val="005A33A3"/>
    <w:rsid w:val="005A3500"/>
    <w:rsid w:val="005A3D8D"/>
    <w:rsid w:val="005A4303"/>
    <w:rsid w:val="005A486A"/>
    <w:rsid w:val="005A4E6B"/>
    <w:rsid w:val="005A4F6A"/>
    <w:rsid w:val="005A5949"/>
    <w:rsid w:val="005A5D07"/>
    <w:rsid w:val="005A69D9"/>
    <w:rsid w:val="005A6AC1"/>
    <w:rsid w:val="005B0196"/>
    <w:rsid w:val="005B10DF"/>
    <w:rsid w:val="005B1165"/>
    <w:rsid w:val="005B16DB"/>
    <w:rsid w:val="005B1C40"/>
    <w:rsid w:val="005B1E71"/>
    <w:rsid w:val="005B2585"/>
    <w:rsid w:val="005B2DB9"/>
    <w:rsid w:val="005B376C"/>
    <w:rsid w:val="005B413D"/>
    <w:rsid w:val="005B4687"/>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C2C"/>
    <w:rsid w:val="005D1ECB"/>
    <w:rsid w:val="005D2E12"/>
    <w:rsid w:val="005D3D10"/>
    <w:rsid w:val="005D598A"/>
    <w:rsid w:val="005D70AA"/>
    <w:rsid w:val="005D713F"/>
    <w:rsid w:val="005E02A8"/>
    <w:rsid w:val="005E02DC"/>
    <w:rsid w:val="005E04CB"/>
    <w:rsid w:val="005E07B1"/>
    <w:rsid w:val="005E2689"/>
    <w:rsid w:val="005E26D9"/>
    <w:rsid w:val="005E2D0C"/>
    <w:rsid w:val="005E352B"/>
    <w:rsid w:val="005E380E"/>
    <w:rsid w:val="005E3E93"/>
    <w:rsid w:val="005E4870"/>
    <w:rsid w:val="005E490F"/>
    <w:rsid w:val="005E4ACF"/>
    <w:rsid w:val="005E5C08"/>
    <w:rsid w:val="005E6E48"/>
    <w:rsid w:val="005E6F4B"/>
    <w:rsid w:val="005E6F74"/>
    <w:rsid w:val="005E7E0E"/>
    <w:rsid w:val="005E7E2F"/>
    <w:rsid w:val="005E7F90"/>
    <w:rsid w:val="005F0487"/>
    <w:rsid w:val="005F08F9"/>
    <w:rsid w:val="005F0A5B"/>
    <w:rsid w:val="005F0D5D"/>
    <w:rsid w:val="005F11AB"/>
    <w:rsid w:val="005F137A"/>
    <w:rsid w:val="005F15F6"/>
    <w:rsid w:val="005F3F0C"/>
    <w:rsid w:val="005F430A"/>
    <w:rsid w:val="005F445F"/>
    <w:rsid w:val="005F44AE"/>
    <w:rsid w:val="005F5011"/>
    <w:rsid w:val="005F530F"/>
    <w:rsid w:val="005F53A4"/>
    <w:rsid w:val="005F6FC0"/>
    <w:rsid w:val="005F778B"/>
    <w:rsid w:val="00600B0A"/>
    <w:rsid w:val="006011F7"/>
    <w:rsid w:val="00601661"/>
    <w:rsid w:val="00601A0A"/>
    <w:rsid w:val="00602831"/>
    <w:rsid w:val="00602A19"/>
    <w:rsid w:val="00603007"/>
    <w:rsid w:val="00603A0A"/>
    <w:rsid w:val="00603B35"/>
    <w:rsid w:val="006049FD"/>
    <w:rsid w:val="006056DC"/>
    <w:rsid w:val="006061A5"/>
    <w:rsid w:val="00606C62"/>
    <w:rsid w:val="00606DD4"/>
    <w:rsid w:val="00607840"/>
    <w:rsid w:val="0061204F"/>
    <w:rsid w:val="006134D3"/>
    <w:rsid w:val="006134FA"/>
    <w:rsid w:val="00613F4B"/>
    <w:rsid w:val="00613F81"/>
    <w:rsid w:val="0061444D"/>
    <w:rsid w:val="006144EF"/>
    <w:rsid w:val="00614802"/>
    <w:rsid w:val="00614AD0"/>
    <w:rsid w:val="00614BC6"/>
    <w:rsid w:val="00614D83"/>
    <w:rsid w:val="006150A9"/>
    <w:rsid w:val="00615E79"/>
    <w:rsid w:val="006164F1"/>
    <w:rsid w:val="0061657B"/>
    <w:rsid w:val="006168FB"/>
    <w:rsid w:val="00617BE1"/>
    <w:rsid w:val="006201EB"/>
    <w:rsid w:val="00620825"/>
    <w:rsid w:val="006209D7"/>
    <w:rsid w:val="00620BC4"/>
    <w:rsid w:val="006225D4"/>
    <w:rsid w:val="006231E7"/>
    <w:rsid w:val="00623739"/>
    <w:rsid w:val="00623974"/>
    <w:rsid w:val="006243CA"/>
    <w:rsid w:val="00624549"/>
    <w:rsid w:val="00625859"/>
    <w:rsid w:val="00626111"/>
    <w:rsid w:val="00626420"/>
    <w:rsid w:val="0062729C"/>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620"/>
    <w:rsid w:val="00640825"/>
    <w:rsid w:val="0064115D"/>
    <w:rsid w:val="00641344"/>
    <w:rsid w:val="00641993"/>
    <w:rsid w:val="006425B9"/>
    <w:rsid w:val="00643734"/>
    <w:rsid w:val="006437E7"/>
    <w:rsid w:val="006437EC"/>
    <w:rsid w:val="00643CC5"/>
    <w:rsid w:val="00644D02"/>
    <w:rsid w:val="00644E64"/>
    <w:rsid w:val="0064511D"/>
    <w:rsid w:val="00645244"/>
    <w:rsid w:val="00645CAF"/>
    <w:rsid w:val="00646B84"/>
    <w:rsid w:val="00646F59"/>
    <w:rsid w:val="00647518"/>
    <w:rsid w:val="0064769E"/>
    <w:rsid w:val="00647762"/>
    <w:rsid w:val="00647F50"/>
    <w:rsid w:val="006511D9"/>
    <w:rsid w:val="00652AC7"/>
    <w:rsid w:val="00652D48"/>
    <w:rsid w:val="00653292"/>
    <w:rsid w:val="00653FAD"/>
    <w:rsid w:val="0065480C"/>
    <w:rsid w:val="00654C02"/>
    <w:rsid w:val="00654E38"/>
    <w:rsid w:val="00655A7B"/>
    <w:rsid w:val="0065617A"/>
    <w:rsid w:val="00656481"/>
    <w:rsid w:val="0065693F"/>
    <w:rsid w:val="00656E37"/>
    <w:rsid w:val="00657E4C"/>
    <w:rsid w:val="00660326"/>
    <w:rsid w:val="00660BBF"/>
    <w:rsid w:val="00660DF9"/>
    <w:rsid w:val="0066112A"/>
    <w:rsid w:val="0066240C"/>
    <w:rsid w:val="0066294A"/>
    <w:rsid w:val="00662B17"/>
    <w:rsid w:val="00663523"/>
    <w:rsid w:val="006635B3"/>
    <w:rsid w:val="0066468B"/>
    <w:rsid w:val="00664C6F"/>
    <w:rsid w:val="00664D3A"/>
    <w:rsid w:val="00665CAD"/>
    <w:rsid w:val="00666244"/>
    <w:rsid w:val="00666279"/>
    <w:rsid w:val="00666A0C"/>
    <w:rsid w:val="00666DEE"/>
    <w:rsid w:val="006677DA"/>
    <w:rsid w:val="00670E31"/>
    <w:rsid w:val="006712EB"/>
    <w:rsid w:val="00671882"/>
    <w:rsid w:val="00673695"/>
    <w:rsid w:val="00673703"/>
    <w:rsid w:val="00673D00"/>
    <w:rsid w:val="00673F0D"/>
    <w:rsid w:val="00675363"/>
    <w:rsid w:val="00676B91"/>
    <w:rsid w:val="00677A92"/>
    <w:rsid w:val="00677B1F"/>
    <w:rsid w:val="00677D95"/>
    <w:rsid w:val="006808B8"/>
    <w:rsid w:val="00680F4C"/>
    <w:rsid w:val="00681875"/>
    <w:rsid w:val="0068188D"/>
    <w:rsid w:val="00681E96"/>
    <w:rsid w:val="0068236E"/>
    <w:rsid w:val="0068254C"/>
    <w:rsid w:val="006825DC"/>
    <w:rsid w:val="006829E9"/>
    <w:rsid w:val="00682D2A"/>
    <w:rsid w:val="006831D1"/>
    <w:rsid w:val="00683827"/>
    <w:rsid w:val="00683D4E"/>
    <w:rsid w:val="006848ED"/>
    <w:rsid w:val="00687CF1"/>
    <w:rsid w:val="006905D4"/>
    <w:rsid w:val="00690E83"/>
    <w:rsid w:val="00690E99"/>
    <w:rsid w:val="00692E50"/>
    <w:rsid w:val="00694A20"/>
    <w:rsid w:val="00694BF1"/>
    <w:rsid w:val="00694F2E"/>
    <w:rsid w:val="0069614B"/>
    <w:rsid w:val="00696904"/>
    <w:rsid w:val="00696913"/>
    <w:rsid w:val="00696963"/>
    <w:rsid w:val="006975D3"/>
    <w:rsid w:val="00697DB8"/>
    <w:rsid w:val="006A0705"/>
    <w:rsid w:val="006A07EA"/>
    <w:rsid w:val="006A0911"/>
    <w:rsid w:val="006A1EC8"/>
    <w:rsid w:val="006A2951"/>
    <w:rsid w:val="006A3476"/>
    <w:rsid w:val="006A51B7"/>
    <w:rsid w:val="006A5ADF"/>
    <w:rsid w:val="006A5B0B"/>
    <w:rsid w:val="006A62CC"/>
    <w:rsid w:val="006A661B"/>
    <w:rsid w:val="006A6960"/>
    <w:rsid w:val="006A6C14"/>
    <w:rsid w:val="006A79E4"/>
    <w:rsid w:val="006B05C9"/>
    <w:rsid w:val="006B11CF"/>
    <w:rsid w:val="006B14A8"/>
    <w:rsid w:val="006B29AA"/>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8D5"/>
    <w:rsid w:val="006C1D50"/>
    <w:rsid w:val="006C1E95"/>
    <w:rsid w:val="006C27B0"/>
    <w:rsid w:val="006C32E4"/>
    <w:rsid w:val="006C38B5"/>
    <w:rsid w:val="006C3F33"/>
    <w:rsid w:val="006C400A"/>
    <w:rsid w:val="006C40BD"/>
    <w:rsid w:val="006C4B20"/>
    <w:rsid w:val="006C4C0A"/>
    <w:rsid w:val="006C54B0"/>
    <w:rsid w:val="006C5B02"/>
    <w:rsid w:val="006C5EB5"/>
    <w:rsid w:val="006C6176"/>
    <w:rsid w:val="006C67B4"/>
    <w:rsid w:val="006C74DC"/>
    <w:rsid w:val="006C7E80"/>
    <w:rsid w:val="006D0617"/>
    <w:rsid w:val="006D06C8"/>
    <w:rsid w:val="006D0932"/>
    <w:rsid w:val="006D2119"/>
    <w:rsid w:val="006D2C75"/>
    <w:rsid w:val="006D3023"/>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0E46"/>
    <w:rsid w:val="006E1413"/>
    <w:rsid w:val="006E1923"/>
    <w:rsid w:val="006E1F8A"/>
    <w:rsid w:val="006E2DEB"/>
    <w:rsid w:val="006E2EE5"/>
    <w:rsid w:val="006E3828"/>
    <w:rsid w:val="006E45F7"/>
    <w:rsid w:val="006E46A0"/>
    <w:rsid w:val="006E510B"/>
    <w:rsid w:val="006E5254"/>
    <w:rsid w:val="006E548B"/>
    <w:rsid w:val="006E66C6"/>
    <w:rsid w:val="006E67BF"/>
    <w:rsid w:val="006E69D3"/>
    <w:rsid w:val="006E6DBD"/>
    <w:rsid w:val="006E7E20"/>
    <w:rsid w:val="006F06A4"/>
    <w:rsid w:val="006F0BC0"/>
    <w:rsid w:val="006F19D7"/>
    <w:rsid w:val="006F22AE"/>
    <w:rsid w:val="006F372C"/>
    <w:rsid w:val="006F5080"/>
    <w:rsid w:val="006F5732"/>
    <w:rsid w:val="006F58A2"/>
    <w:rsid w:val="006F60E8"/>
    <w:rsid w:val="006F72FF"/>
    <w:rsid w:val="006F734E"/>
    <w:rsid w:val="006F7949"/>
    <w:rsid w:val="006F7B56"/>
    <w:rsid w:val="0070055A"/>
    <w:rsid w:val="00700857"/>
    <w:rsid w:val="00700A55"/>
    <w:rsid w:val="00700D83"/>
    <w:rsid w:val="00701423"/>
    <w:rsid w:val="007014D6"/>
    <w:rsid w:val="00701632"/>
    <w:rsid w:val="00701889"/>
    <w:rsid w:val="00701E1F"/>
    <w:rsid w:val="00702242"/>
    <w:rsid w:val="007037FE"/>
    <w:rsid w:val="00703D7C"/>
    <w:rsid w:val="007040AC"/>
    <w:rsid w:val="0070488C"/>
    <w:rsid w:val="00704D22"/>
    <w:rsid w:val="00705983"/>
    <w:rsid w:val="00705C94"/>
    <w:rsid w:val="00706140"/>
    <w:rsid w:val="00707995"/>
    <w:rsid w:val="00707DB5"/>
    <w:rsid w:val="007105AB"/>
    <w:rsid w:val="0071125E"/>
    <w:rsid w:val="00713150"/>
    <w:rsid w:val="00713272"/>
    <w:rsid w:val="007136A2"/>
    <w:rsid w:val="00713BD4"/>
    <w:rsid w:val="007143F8"/>
    <w:rsid w:val="00714501"/>
    <w:rsid w:val="007156CE"/>
    <w:rsid w:val="00716002"/>
    <w:rsid w:val="00717D57"/>
    <w:rsid w:val="007202B6"/>
    <w:rsid w:val="00721116"/>
    <w:rsid w:val="0072136B"/>
    <w:rsid w:val="007220C0"/>
    <w:rsid w:val="00722897"/>
    <w:rsid w:val="0072431A"/>
    <w:rsid w:val="007262BD"/>
    <w:rsid w:val="00726980"/>
    <w:rsid w:val="007272A2"/>
    <w:rsid w:val="0072758D"/>
    <w:rsid w:val="007276CC"/>
    <w:rsid w:val="007277E3"/>
    <w:rsid w:val="00727D45"/>
    <w:rsid w:val="00730586"/>
    <w:rsid w:val="00730D43"/>
    <w:rsid w:val="007319C3"/>
    <w:rsid w:val="00732DA4"/>
    <w:rsid w:val="00733185"/>
    <w:rsid w:val="00734401"/>
    <w:rsid w:val="007347D2"/>
    <w:rsid w:val="00734865"/>
    <w:rsid w:val="007353B2"/>
    <w:rsid w:val="00735525"/>
    <w:rsid w:val="007358AF"/>
    <w:rsid w:val="00735C5A"/>
    <w:rsid w:val="00735D57"/>
    <w:rsid w:val="0073666E"/>
    <w:rsid w:val="007367D8"/>
    <w:rsid w:val="00737D83"/>
    <w:rsid w:val="00740030"/>
    <w:rsid w:val="007401C9"/>
    <w:rsid w:val="0074035A"/>
    <w:rsid w:val="007406EC"/>
    <w:rsid w:val="00742A64"/>
    <w:rsid w:val="00742FA2"/>
    <w:rsid w:val="007433CC"/>
    <w:rsid w:val="00744098"/>
    <w:rsid w:val="007443F6"/>
    <w:rsid w:val="00744F0D"/>
    <w:rsid w:val="00745768"/>
    <w:rsid w:val="00745B9F"/>
    <w:rsid w:val="0074679E"/>
    <w:rsid w:val="00750099"/>
    <w:rsid w:val="007503A3"/>
    <w:rsid w:val="00750B5E"/>
    <w:rsid w:val="00751C88"/>
    <w:rsid w:val="007522A3"/>
    <w:rsid w:val="00752481"/>
    <w:rsid w:val="0075271B"/>
    <w:rsid w:val="00752873"/>
    <w:rsid w:val="00752A47"/>
    <w:rsid w:val="00752FE8"/>
    <w:rsid w:val="0075329F"/>
    <w:rsid w:val="00753438"/>
    <w:rsid w:val="00754344"/>
    <w:rsid w:val="007543BD"/>
    <w:rsid w:val="007545DE"/>
    <w:rsid w:val="00756F9A"/>
    <w:rsid w:val="00757FCD"/>
    <w:rsid w:val="0076049F"/>
    <w:rsid w:val="00762368"/>
    <w:rsid w:val="007624B7"/>
    <w:rsid w:val="00762563"/>
    <w:rsid w:val="00762B49"/>
    <w:rsid w:val="00762BDD"/>
    <w:rsid w:val="0076305B"/>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C96"/>
    <w:rsid w:val="00775E63"/>
    <w:rsid w:val="00776643"/>
    <w:rsid w:val="00776F85"/>
    <w:rsid w:val="00777B30"/>
    <w:rsid w:val="00777FEE"/>
    <w:rsid w:val="0078013D"/>
    <w:rsid w:val="0078019A"/>
    <w:rsid w:val="00780F93"/>
    <w:rsid w:val="00781041"/>
    <w:rsid w:val="00781059"/>
    <w:rsid w:val="00781091"/>
    <w:rsid w:val="0078122A"/>
    <w:rsid w:val="0078333C"/>
    <w:rsid w:val="00783EF5"/>
    <w:rsid w:val="00785920"/>
    <w:rsid w:val="00785A50"/>
    <w:rsid w:val="00786F58"/>
    <w:rsid w:val="0079015D"/>
    <w:rsid w:val="007906AA"/>
    <w:rsid w:val="00790FC5"/>
    <w:rsid w:val="007911A4"/>
    <w:rsid w:val="007920D3"/>
    <w:rsid w:val="007929DC"/>
    <w:rsid w:val="00792CC9"/>
    <w:rsid w:val="0079309E"/>
    <w:rsid w:val="00793C30"/>
    <w:rsid w:val="007940FF"/>
    <w:rsid w:val="00794BBA"/>
    <w:rsid w:val="00794CC2"/>
    <w:rsid w:val="00795C4E"/>
    <w:rsid w:val="00795CBA"/>
    <w:rsid w:val="0079646F"/>
    <w:rsid w:val="007965AD"/>
    <w:rsid w:val="007977DE"/>
    <w:rsid w:val="007A014D"/>
    <w:rsid w:val="007A174B"/>
    <w:rsid w:val="007A1ECE"/>
    <w:rsid w:val="007A2891"/>
    <w:rsid w:val="007A55A8"/>
    <w:rsid w:val="007A568E"/>
    <w:rsid w:val="007A6675"/>
    <w:rsid w:val="007A689E"/>
    <w:rsid w:val="007A6D00"/>
    <w:rsid w:val="007A7B28"/>
    <w:rsid w:val="007B0DE6"/>
    <w:rsid w:val="007B0F52"/>
    <w:rsid w:val="007B14AE"/>
    <w:rsid w:val="007B2965"/>
    <w:rsid w:val="007B2D43"/>
    <w:rsid w:val="007B32E6"/>
    <w:rsid w:val="007B450F"/>
    <w:rsid w:val="007B4514"/>
    <w:rsid w:val="007B4A34"/>
    <w:rsid w:val="007B4E80"/>
    <w:rsid w:val="007B50BF"/>
    <w:rsid w:val="007B59ED"/>
    <w:rsid w:val="007B5BB2"/>
    <w:rsid w:val="007B6C1D"/>
    <w:rsid w:val="007B75B7"/>
    <w:rsid w:val="007B7606"/>
    <w:rsid w:val="007B7F2D"/>
    <w:rsid w:val="007C02D9"/>
    <w:rsid w:val="007C196E"/>
    <w:rsid w:val="007C21A0"/>
    <w:rsid w:val="007C2CE8"/>
    <w:rsid w:val="007C2FB6"/>
    <w:rsid w:val="007C3A70"/>
    <w:rsid w:val="007C4370"/>
    <w:rsid w:val="007C56D1"/>
    <w:rsid w:val="007C5B4E"/>
    <w:rsid w:val="007C5CE6"/>
    <w:rsid w:val="007C5DC8"/>
    <w:rsid w:val="007C5E58"/>
    <w:rsid w:val="007C6854"/>
    <w:rsid w:val="007D1519"/>
    <w:rsid w:val="007D1F48"/>
    <w:rsid w:val="007D226A"/>
    <w:rsid w:val="007D243A"/>
    <w:rsid w:val="007D32D0"/>
    <w:rsid w:val="007D3E38"/>
    <w:rsid w:val="007D4BBB"/>
    <w:rsid w:val="007D4DCB"/>
    <w:rsid w:val="007D5FE2"/>
    <w:rsid w:val="007D653E"/>
    <w:rsid w:val="007D66A8"/>
    <w:rsid w:val="007D67F3"/>
    <w:rsid w:val="007D6E06"/>
    <w:rsid w:val="007D6FDF"/>
    <w:rsid w:val="007D79CB"/>
    <w:rsid w:val="007E01AE"/>
    <w:rsid w:val="007E0FA8"/>
    <w:rsid w:val="007E1F1F"/>
    <w:rsid w:val="007E21FE"/>
    <w:rsid w:val="007E2713"/>
    <w:rsid w:val="007E3A9B"/>
    <w:rsid w:val="007E3B9D"/>
    <w:rsid w:val="007E48FF"/>
    <w:rsid w:val="007E4AF2"/>
    <w:rsid w:val="007E4D42"/>
    <w:rsid w:val="007E5101"/>
    <w:rsid w:val="007E5C89"/>
    <w:rsid w:val="007E6C31"/>
    <w:rsid w:val="007E71AC"/>
    <w:rsid w:val="007E793C"/>
    <w:rsid w:val="007F00FA"/>
    <w:rsid w:val="007F1245"/>
    <w:rsid w:val="007F1A45"/>
    <w:rsid w:val="007F1CA7"/>
    <w:rsid w:val="007F2A01"/>
    <w:rsid w:val="007F37D9"/>
    <w:rsid w:val="007F4619"/>
    <w:rsid w:val="007F499D"/>
    <w:rsid w:val="007F5315"/>
    <w:rsid w:val="007F5683"/>
    <w:rsid w:val="007F572C"/>
    <w:rsid w:val="007F5AE5"/>
    <w:rsid w:val="007F5CCA"/>
    <w:rsid w:val="007F5F51"/>
    <w:rsid w:val="007F5F88"/>
    <w:rsid w:val="007F60B8"/>
    <w:rsid w:val="007F60FE"/>
    <w:rsid w:val="007F7E8B"/>
    <w:rsid w:val="00800525"/>
    <w:rsid w:val="008009B8"/>
    <w:rsid w:val="00800C33"/>
    <w:rsid w:val="00800F34"/>
    <w:rsid w:val="0080214C"/>
    <w:rsid w:val="008027CE"/>
    <w:rsid w:val="00803A24"/>
    <w:rsid w:val="00803C5E"/>
    <w:rsid w:val="00804017"/>
    <w:rsid w:val="008044CD"/>
    <w:rsid w:val="008045FB"/>
    <w:rsid w:val="00804E77"/>
    <w:rsid w:val="008061A4"/>
    <w:rsid w:val="008064BE"/>
    <w:rsid w:val="00810E43"/>
    <w:rsid w:val="00810EA8"/>
    <w:rsid w:val="008119F1"/>
    <w:rsid w:val="00812C54"/>
    <w:rsid w:val="00812ED0"/>
    <w:rsid w:val="00812FB2"/>
    <w:rsid w:val="00814625"/>
    <w:rsid w:val="0081504C"/>
    <w:rsid w:val="00815488"/>
    <w:rsid w:val="0081573F"/>
    <w:rsid w:val="008159FC"/>
    <w:rsid w:val="00816560"/>
    <w:rsid w:val="0081678C"/>
    <w:rsid w:val="00817040"/>
    <w:rsid w:val="00820579"/>
    <w:rsid w:val="008209B0"/>
    <w:rsid w:val="00821003"/>
    <w:rsid w:val="008210C1"/>
    <w:rsid w:val="00821B93"/>
    <w:rsid w:val="00822054"/>
    <w:rsid w:val="00822BBA"/>
    <w:rsid w:val="008238F3"/>
    <w:rsid w:val="00824B3C"/>
    <w:rsid w:val="00825145"/>
    <w:rsid w:val="008253AC"/>
    <w:rsid w:val="00825566"/>
    <w:rsid w:val="008255A7"/>
    <w:rsid w:val="00825AC0"/>
    <w:rsid w:val="00825FE0"/>
    <w:rsid w:val="0082636B"/>
    <w:rsid w:val="00827368"/>
    <w:rsid w:val="00827999"/>
    <w:rsid w:val="00830B4C"/>
    <w:rsid w:val="008335C8"/>
    <w:rsid w:val="008338AF"/>
    <w:rsid w:val="00833C0B"/>
    <w:rsid w:val="00833D39"/>
    <w:rsid w:val="00834171"/>
    <w:rsid w:val="008357F0"/>
    <w:rsid w:val="008362A6"/>
    <w:rsid w:val="008363C8"/>
    <w:rsid w:val="00836DBB"/>
    <w:rsid w:val="00836F39"/>
    <w:rsid w:val="00840BE7"/>
    <w:rsid w:val="00841067"/>
    <w:rsid w:val="008419B3"/>
    <w:rsid w:val="008424C5"/>
    <w:rsid w:val="0084263C"/>
    <w:rsid w:val="00842AAE"/>
    <w:rsid w:val="00843037"/>
    <w:rsid w:val="00843A42"/>
    <w:rsid w:val="00843A71"/>
    <w:rsid w:val="00844108"/>
    <w:rsid w:val="008445F5"/>
    <w:rsid w:val="00844D37"/>
    <w:rsid w:val="00844F2D"/>
    <w:rsid w:val="008468AE"/>
    <w:rsid w:val="00846B69"/>
    <w:rsid w:val="0084742B"/>
    <w:rsid w:val="00847780"/>
    <w:rsid w:val="008477D4"/>
    <w:rsid w:val="00847BD5"/>
    <w:rsid w:val="00847C74"/>
    <w:rsid w:val="00851D1F"/>
    <w:rsid w:val="008530FE"/>
    <w:rsid w:val="00853DAC"/>
    <w:rsid w:val="00855E69"/>
    <w:rsid w:val="008563B9"/>
    <w:rsid w:val="00856A9E"/>
    <w:rsid w:val="00856D5E"/>
    <w:rsid w:val="00856DAB"/>
    <w:rsid w:val="00857A49"/>
    <w:rsid w:val="00857F38"/>
    <w:rsid w:val="00861F11"/>
    <w:rsid w:val="00862109"/>
    <w:rsid w:val="008624F9"/>
    <w:rsid w:val="00862519"/>
    <w:rsid w:val="00862F60"/>
    <w:rsid w:val="008638BB"/>
    <w:rsid w:val="00863980"/>
    <w:rsid w:val="00863B86"/>
    <w:rsid w:val="008651CC"/>
    <w:rsid w:val="008654FC"/>
    <w:rsid w:val="00865B22"/>
    <w:rsid w:val="0086727D"/>
    <w:rsid w:val="00867B98"/>
    <w:rsid w:val="00867CF3"/>
    <w:rsid w:val="00867E33"/>
    <w:rsid w:val="00871C17"/>
    <w:rsid w:val="00873332"/>
    <w:rsid w:val="00873E3F"/>
    <w:rsid w:val="0087478D"/>
    <w:rsid w:val="00874B70"/>
    <w:rsid w:val="008750D3"/>
    <w:rsid w:val="00876DD7"/>
    <w:rsid w:val="00877A07"/>
    <w:rsid w:val="008821AD"/>
    <w:rsid w:val="00882F5C"/>
    <w:rsid w:val="00882FB4"/>
    <w:rsid w:val="00883827"/>
    <w:rsid w:val="00884004"/>
    <w:rsid w:val="008842C8"/>
    <w:rsid w:val="008842FC"/>
    <w:rsid w:val="008850FF"/>
    <w:rsid w:val="0088586C"/>
    <w:rsid w:val="00885A5C"/>
    <w:rsid w:val="00885B6E"/>
    <w:rsid w:val="00886B20"/>
    <w:rsid w:val="00890FB1"/>
    <w:rsid w:val="00891EA3"/>
    <w:rsid w:val="008926CC"/>
    <w:rsid w:val="00892BE1"/>
    <w:rsid w:val="00892CA4"/>
    <w:rsid w:val="00893049"/>
    <w:rsid w:val="0089310B"/>
    <w:rsid w:val="00893168"/>
    <w:rsid w:val="00894507"/>
    <w:rsid w:val="00894547"/>
    <w:rsid w:val="008959C6"/>
    <w:rsid w:val="00895B8D"/>
    <w:rsid w:val="00895B9F"/>
    <w:rsid w:val="008960A8"/>
    <w:rsid w:val="00896C9B"/>
    <w:rsid w:val="00896CAB"/>
    <w:rsid w:val="00896D9E"/>
    <w:rsid w:val="008974CF"/>
    <w:rsid w:val="0089764C"/>
    <w:rsid w:val="00897F04"/>
    <w:rsid w:val="008A159E"/>
    <w:rsid w:val="008A1627"/>
    <w:rsid w:val="008A19A5"/>
    <w:rsid w:val="008A32BD"/>
    <w:rsid w:val="008A3F8C"/>
    <w:rsid w:val="008A4065"/>
    <w:rsid w:val="008A49ED"/>
    <w:rsid w:val="008A4B81"/>
    <w:rsid w:val="008A55C4"/>
    <w:rsid w:val="008A7498"/>
    <w:rsid w:val="008A77E4"/>
    <w:rsid w:val="008A7F86"/>
    <w:rsid w:val="008B19D2"/>
    <w:rsid w:val="008B1AA3"/>
    <w:rsid w:val="008B234F"/>
    <w:rsid w:val="008B2EAF"/>
    <w:rsid w:val="008B390D"/>
    <w:rsid w:val="008B3E3C"/>
    <w:rsid w:val="008B483D"/>
    <w:rsid w:val="008B5955"/>
    <w:rsid w:val="008B6B8D"/>
    <w:rsid w:val="008B6D68"/>
    <w:rsid w:val="008B725B"/>
    <w:rsid w:val="008B757A"/>
    <w:rsid w:val="008B772F"/>
    <w:rsid w:val="008B7969"/>
    <w:rsid w:val="008B7C46"/>
    <w:rsid w:val="008B7F1A"/>
    <w:rsid w:val="008C16F9"/>
    <w:rsid w:val="008C304F"/>
    <w:rsid w:val="008C3899"/>
    <w:rsid w:val="008C3BEE"/>
    <w:rsid w:val="008C3FDE"/>
    <w:rsid w:val="008C7383"/>
    <w:rsid w:val="008C74CE"/>
    <w:rsid w:val="008D0049"/>
    <w:rsid w:val="008D02AC"/>
    <w:rsid w:val="008D0F44"/>
    <w:rsid w:val="008D163C"/>
    <w:rsid w:val="008D1A80"/>
    <w:rsid w:val="008D2338"/>
    <w:rsid w:val="008D24C1"/>
    <w:rsid w:val="008D24E7"/>
    <w:rsid w:val="008D2B99"/>
    <w:rsid w:val="008D2C10"/>
    <w:rsid w:val="008D4069"/>
    <w:rsid w:val="008D469C"/>
    <w:rsid w:val="008D4BE8"/>
    <w:rsid w:val="008D4DED"/>
    <w:rsid w:val="008D5E87"/>
    <w:rsid w:val="008D732C"/>
    <w:rsid w:val="008D7367"/>
    <w:rsid w:val="008E0664"/>
    <w:rsid w:val="008E069C"/>
    <w:rsid w:val="008E0CEC"/>
    <w:rsid w:val="008E0E6C"/>
    <w:rsid w:val="008E1986"/>
    <w:rsid w:val="008E234D"/>
    <w:rsid w:val="008E26B2"/>
    <w:rsid w:val="008E31B0"/>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2310"/>
    <w:rsid w:val="008F2CB0"/>
    <w:rsid w:val="008F32D2"/>
    <w:rsid w:val="008F3A0B"/>
    <w:rsid w:val="008F3BDF"/>
    <w:rsid w:val="008F487F"/>
    <w:rsid w:val="008F572D"/>
    <w:rsid w:val="008F615F"/>
    <w:rsid w:val="008F6B7A"/>
    <w:rsid w:val="008F7C6A"/>
    <w:rsid w:val="008F7CAD"/>
    <w:rsid w:val="00900624"/>
    <w:rsid w:val="009009A9"/>
    <w:rsid w:val="009013F0"/>
    <w:rsid w:val="0090145E"/>
    <w:rsid w:val="009021F1"/>
    <w:rsid w:val="0090244B"/>
    <w:rsid w:val="00902884"/>
    <w:rsid w:val="009032E4"/>
    <w:rsid w:val="009033EB"/>
    <w:rsid w:val="00906D64"/>
    <w:rsid w:val="00906EF4"/>
    <w:rsid w:val="00907883"/>
    <w:rsid w:val="00911842"/>
    <w:rsid w:val="00912ED8"/>
    <w:rsid w:val="00912F9A"/>
    <w:rsid w:val="00913273"/>
    <w:rsid w:val="009160CF"/>
    <w:rsid w:val="00917287"/>
    <w:rsid w:val="009205B0"/>
    <w:rsid w:val="0092080C"/>
    <w:rsid w:val="0092134B"/>
    <w:rsid w:val="009221AC"/>
    <w:rsid w:val="0092234C"/>
    <w:rsid w:val="009224F2"/>
    <w:rsid w:val="009225B3"/>
    <w:rsid w:val="00922A15"/>
    <w:rsid w:val="0092456D"/>
    <w:rsid w:val="00924C9C"/>
    <w:rsid w:val="00925590"/>
    <w:rsid w:val="00925C68"/>
    <w:rsid w:val="00925EBC"/>
    <w:rsid w:val="0092657F"/>
    <w:rsid w:val="00926967"/>
    <w:rsid w:val="0092728C"/>
    <w:rsid w:val="00927518"/>
    <w:rsid w:val="0092766A"/>
    <w:rsid w:val="009278B4"/>
    <w:rsid w:val="00927953"/>
    <w:rsid w:val="00927BD5"/>
    <w:rsid w:val="00927C79"/>
    <w:rsid w:val="00927FC3"/>
    <w:rsid w:val="00930557"/>
    <w:rsid w:val="009312C7"/>
    <w:rsid w:val="0093170E"/>
    <w:rsid w:val="00931CED"/>
    <w:rsid w:val="009324D5"/>
    <w:rsid w:val="009332BA"/>
    <w:rsid w:val="00933397"/>
    <w:rsid w:val="00933706"/>
    <w:rsid w:val="00933823"/>
    <w:rsid w:val="00934150"/>
    <w:rsid w:val="0093465C"/>
    <w:rsid w:val="009346C4"/>
    <w:rsid w:val="00934A8F"/>
    <w:rsid w:val="009350BF"/>
    <w:rsid w:val="009359A1"/>
    <w:rsid w:val="009367D9"/>
    <w:rsid w:val="009401A8"/>
    <w:rsid w:val="009411E0"/>
    <w:rsid w:val="00941909"/>
    <w:rsid w:val="009424A2"/>
    <w:rsid w:val="009435CD"/>
    <w:rsid w:val="0094396D"/>
    <w:rsid w:val="0094420F"/>
    <w:rsid w:val="00944846"/>
    <w:rsid w:val="00945EA1"/>
    <w:rsid w:val="009469B5"/>
    <w:rsid w:val="00946C68"/>
    <w:rsid w:val="009473CE"/>
    <w:rsid w:val="00947563"/>
    <w:rsid w:val="00947A5C"/>
    <w:rsid w:val="00950196"/>
    <w:rsid w:val="009508D4"/>
    <w:rsid w:val="00950D10"/>
    <w:rsid w:val="00950F84"/>
    <w:rsid w:val="00951A80"/>
    <w:rsid w:val="00952B7A"/>
    <w:rsid w:val="00952E53"/>
    <w:rsid w:val="0095425C"/>
    <w:rsid w:val="00954DC0"/>
    <w:rsid w:val="00955978"/>
    <w:rsid w:val="009560F0"/>
    <w:rsid w:val="009566EF"/>
    <w:rsid w:val="00957B1D"/>
    <w:rsid w:val="00957BF9"/>
    <w:rsid w:val="00960E1F"/>
    <w:rsid w:val="00960EC8"/>
    <w:rsid w:val="00962FE8"/>
    <w:rsid w:val="009637F9"/>
    <w:rsid w:val="00963AA1"/>
    <w:rsid w:val="009646D8"/>
    <w:rsid w:val="00964EFC"/>
    <w:rsid w:val="009653D4"/>
    <w:rsid w:val="009658B2"/>
    <w:rsid w:val="009659E0"/>
    <w:rsid w:val="00966710"/>
    <w:rsid w:val="009674A0"/>
    <w:rsid w:val="00967527"/>
    <w:rsid w:val="00967B54"/>
    <w:rsid w:val="00970968"/>
    <w:rsid w:val="00970AD2"/>
    <w:rsid w:val="0097113C"/>
    <w:rsid w:val="00971C7B"/>
    <w:rsid w:val="00971DA8"/>
    <w:rsid w:val="00971DDD"/>
    <w:rsid w:val="0097213C"/>
    <w:rsid w:val="00972753"/>
    <w:rsid w:val="00973026"/>
    <w:rsid w:val="00973E92"/>
    <w:rsid w:val="00974119"/>
    <w:rsid w:val="009741CB"/>
    <w:rsid w:val="00974E3E"/>
    <w:rsid w:val="00976A8C"/>
    <w:rsid w:val="0097721C"/>
    <w:rsid w:val="00980DA5"/>
    <w:rsid w:val="00982912"/>
    <w:rsid w:val="00982918"/>
    <w:rsid w:val="00982AEF"/>
    <w:rsid w:val="00982E37"/>
    <w:rsid w:val="00983AAA"/>
    <w:rsid w:val="00983F4B"/>
    <w:rsid w:val="0098418F"/>
    <w:rsid w:val="00984A6F"/>
    <w:rsid w:val="009859D1"/>
    <w:rsid w:val="009875D2"/>
    <w:rsid w:val="00990DA1"/>
    <w:rsid w:val="00990FFB"/>
    <w:rsid w:val="00991758"/>
    <w:rsid w:val="00992534"/>
    <w:rsid w:val="00992A8A"/>
    <w:rsid w:val="00992BC2"/>
    <w:rsid w:val="00992EA9"/>
    <w:rsid w:val="00992F5E"/>
    <w:rsid w:val="00993083"/>
    <w:rsid w:val="00993E78"/>
    <w:rsid w:val="009942A8"/>
    <w:rsid w:val="00995141"/>
    <w:rsid w:val="009964E9"/>
    <w:rsid w:val="00996AAB"/>
    <w:rsid w:val="00996DF6"/>
    <w:rsid w:val="009972CA"/>
    <w:rsid w:val="009A0846"/>
    <w:rsid w:val="009A0F21"/>
    <w:rsid w:val="009A1561"/>
    <w:rsid w:val="009A1BFB"/>
    <w:rsid w:val="009A299E"/>
    <w:rsid w:val="009A32DF"/>
    <w:rsid w:val="009A42CF"/>
    <w:rsid w:val="009A4886"/>
    <w:rsid w:val="009A48FD"/>
    <w:rsid w:val="009A4A88"/>
    <w:rsid w:val="009A5204"/>
    <w:rsid w:val="009A5A3F"/>
    <w:rsid w:val="009A6F33"/>
    <w:rsid w:val="009B07A9"/>
    <w:rsid w:val="009B08D9"/>
    <w:rsid w:val="009B08DD"/>
    <w:rsid w:val="009B140A"/>
    <w:rsid w:val="009B1678"/>
    <w:rsid w:val="009B16A0"/>
    <w:rsid w:val="009B16B2"/>
    <w:rsid w:val="009B179E"/>
    <w:rsid w:val="009B1CF9"/>
    <w:rsid w:val="009B34C8"/>
    <w:rsid w:val="009B4B43"/>
    <w:rsid w:val="009B4D01"/>
    <w:rsid w:val="009B546B"/>
    <w:rsid w:val="009B5D2F"/>
    <w:rsid w:val="009B60C4"/>
    <w:rsid w:val="009B752F"/>
    <w:rsid w:val="009B7AFD"/>
    <w:rsid w:val="009C0730"/>
    <w:rsid w:val="009C08DC"/>
    <w:rsid w:val="009C0B76"/>
    <w:rsid w:val="009C1126"/>
    <w:rsid w:val="009C1F07"/>
    <w:rsid w:val="009C201E"/>
    <w:rsid w:val="009C3845"/>
    <w:rsid w:val="009C651D"/>
    <w:rsid w:val="009C711A"/>
    <w:rsid w:val="009C79AD"/>
    <w:rsid w:val="009C7A03"/>
    <w:rsid w:val="009D0335"/>
    <w:rsid w:val="009D132E"/>
    <w:rsid w:val="009D2508"/>
    <w:rsid w:val="009D2D96"/>
    <w:rsid w:val="009D363A"/>
    <w:rsid w:val="009D37D2"/>
    <w:rsid w:val="009D3DA2"/>
    <w:rsid w:val="009D46D1"/>
    <w:rsid w:val="009D4E2D"/>
    <w:rsid w:val="009D51E8"/>
    <w:rsid w:val="009D5C39"/>
    <w:rsid w:val="009D626D"/>
    <w:rsid w:val="009D6C16"/>
    <w:rsid w:val="009D7263"/>
    <w:rsid w:val="009D7321"/>
    <w:rsid w:val="009D745C"/>
    <w:rsid w:val="009E0074"/>
    <w:rsid w:val="009E013A"/>
    <w:rsid w:val="009E0ACD"/>
    <w:rsid w:val="009E1F33"/>
    <w:rsid w:val="009E51C0"/>
    <w:rsid w:val="009E6000"/>
    <w:rsid w:val="009E6205"/>
    <w:rsid w:val="009E66F7"/>
    <w:rsid w:val="009E69EF"/>
    <w:rsid w:val="009E6B90"/>
    <w:rsid w:val="009E72F0"/>
    <w:rsid w:val="009E762B"/>
    <w:rsid w:val="009F138A"/>
    <w:rsid w:val="009F1D33"/>
    <w:rsid w:val="009F24F8"/>
    <w:rsid w:val="009F262A"/>
    <w:rsid w:val="009F2D01"/>
    <w:rsid w:val="009F301C"/>
    <w:rsid w:val="009F33B8"/>
    <w:rsid w:val="009F39A9"/>
    <w:rsid w:val="009F438A"/>
    <w:rsid w:val="009F4566"/>
    <w:rsid w:val="009F4DDE"/>
    <w:rsid w:val="009F50E2"/>
    <w:rsid w:val="009F56F2"/>
    <w:rsid w:val="009F6121"/>
    <w:rsid w:val="009F64CA"/>
    <w:rsid w:val="009F65CA"/>
    <w:rsid w:val="009F687A"/>
    <w:rsid w:val="009F7160"/>
    <w:rsid w:val="009F7BB8"/>
    <w:rsid w:val="00A007F4"/>
    <w:rsid w:val="00A01EB1"/>
    <w:rsid w:val="00A02412"/>
    <w:rsid w:val="00A025B8"/>
    <w:rsid w:val="00A0278E"/>
    <w:rsid w:val="00A02857"/>
    <w:rsid w:val="00A02C66"/>
    <w:rsid w:val="00A02E79"/>
    <w:rsid w:val="00A033BB"/>
    <w:rsid w:val="00A03D1A"/>
    <w:rsid w:val="00A03E8F"/>
    <w:rsid w:val="00A0428E"/>
    <w:rsid w:val="00A046F1"/>
    <w:rsid w:val="00A04956"/>
    <w:rsid w:val="00A04FCE"/>
    <w:rsid w:val="00A0549E"/>
    <w:rsid w:val="00A05AA7"/>
    <w:rsid w:val="00A06472"/>
    <w:rsid w:val="00A06780"/>
    <w:rsid w:val="00A07010"/>
    <w:rsid w:val="00A10862"/>
    <w:rsid w:val="00A10E25"/>
    <w:rsid w:val="00A11567"/>
    <w:rsid w:val="00A115D7"/>
    <w:rsid w:val="00A119CF"/>
    <w:rsid w:val="00A12853"/>
    <w:rsid w:val="00A12CC4"/>
    <w:rsid w:val="00A13732"/>
    <w:rsid w:val="00A13DFB"/>
    <w:rsid w:val="00A13FE8"/>
    <w:rsid w:val="00A140DE"/>
    <w:rsid w:val="00A14634"/>
    <w:rsid w:val="00A15343"/>
    <w:rsid w:val="00A15716"/>
    <w:rsid w:val="00A15EA2"/>
    <w:rsid w:val="00A16A32"/>
    <w:rsid w:val="00A16D1F"/>
    <w:rsid w:val="00A173FC"/>
    <w:rsid w:val="00A1749E"/>
    <w:rsid w:val="00A17F10"/>
    <w:rsid w:val="00A205F6"/>
    <w:rsid w:val="00A207E2"/>
    <w:rsid w:val="00A20856"/>
    <w:rsid w:val="00A20CD2"/>
    <w:rsid w:val="00A21616"/>
    <w:rsid w:val="00A21C40"/>
    <w:rsid w:val="00A21D69"/>
    <w:rsid w:val="00A21DA5"/>
    <w:rsid w:val="00A22328"/>
    <w:rsid w:val="00A228C0"/>
    <w:rsid w:val="00A22A2F"/>
    <w:rsid w:val="00A22E58"/>
    <w:rsid w:val="00A22F56"/>
    <w:rsid w:val="00A2426D"/>
    <w:rsid w:val="00A24FB8"/>
    <w:rsid w:val="00A260ED"/>
    <w:rsid w:val="00A26D47"/>
    <w:rsid w:val="00A271D6"/>
    <w:rsid w:val="00A27B43"/>
    <w:rsid w:val="00A30051"/>
    <w:rsid w:val="00A30B60"/>
    <w:rsid w:val="00A319FD"/>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761"/>
    <w:rsid w:val="00A43F39"/>
    <w:rsid w:val="00A44477"/>
    <w:rsid w:val="00A451F7"/>
    <w:rsid w:val="00A4563A"/>
    <w:rsid w:val="00A45AEC"/>
    <w:rsid w:val="00A4777D"/>
    <w:rsid w:val="00A47A26"/>
    <w:rsid w:val="00A47D88"/>
    <w:rsid w:val="00A50383"/>
    <w:rsid w:val="00A50CFE"/>
    <w:rsid w:val="00A51446"/>
    <w:rsid w:val="00A51C05"/>
    <w:rsid w:val="00A51D06"/>
    <w:rsid w:val="00A52252"/>
    <w:rsid w:val="00A524D1"/>
    <w:rsid w:val="00A5267E"/>
    <w:rsid w:val="00A5370E"/>
    <w:rsid w:val="00A543C9"/>
    <w:rsid w:val="00A54851"/>
    <w:rsid w:val="00A54B30"/>
    <w:rsid w:val="00A54C58"/>
    <w:rsid w:val="00A56A25"/>
    <w:rsid w:val="00A570FA"/>
    <w:rsid w:val="00A57955"/>
    <w:rsid w:val="00A60E51"/>
    <w:rsid w:val="00A6129B"/>
    <w:rsid w:val="00A61B38"/>
    <w:rsid w:val="00A61DF7"/>
    <w:rsid w:val="00A62C25"/>
    <w:rsid w:val="00A63A59"/>
    <w:rsid w:val="00A64AB2"/>
    <w:rsid w:val="00A65FDE"/>
    <w:rsid w:val="00A667D0"/>
    <w:rsid w:val="00A67CAA"/>
    <w:rsid w:val="00A72319"/>
    <w:rsid w:val="00A7270E"/>
    <w:rsid w:val="00A73822"/>
    <w:rsid w:val="00A73EDC"/>
    <w:rsid w:val="00A74C7E"/>
    <w:rsid w:val="00A74F5C"/>
    <w:rsid w:val="00A766F3"/>
    <w:rsid w:val="00A77A21"/>
    <w:rsid w:val="00A77D81"/>
    <w:rsid w:val="00A77E1A"/>
    <w:rsid w:val="00A8043B"/>
    <w:rsid w:val="00A80682"/>
    <w:rsid w:val="00A8077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39EE"/>
    <w:rsid w:val="00A948E2"/>
    <w:rsid w:val="00A9511A"/>
    <w:rsid w:val="00A9519E"/>
    <w:rsid w:val="00A95501"/>
    <w:rsid w:val="00A959DD"/>
    <w:rsid w:val="00A95DDE"/>
    <w:rsid w:val="00A95E8E"/>
    <w:rsid w:val="00A96857"/>
    <w:rsid w:val="00A9685E"/>
    <w:rsid w:val="00A97660"/>
    <w:rsid w:val="00A97746"/>
    <w:rsid w:val="00A97D68"/>
    <w:rsid w:val="00AA00FD"/>
    <w:rsid w:val="00AA01EC"/>
    <w:rsid w:val="00AA1012"/>
    <w:rsid w:val="00AA114C"/>
    <w:rsid w:val="00AA2B8C"/>
    <w:rsid w:val="00AA2D83"/>
    <w:rsid w:val="00AA38F5"/>
    <w:rsid w:val="00AA3C94"/>
    <w:rsid w:val="00AA420D"/>
    <w:rsid w:val="00AA480F"/>
    <w:rsid w:val="00AA5121"/>
    <w:rsid w:val="00AA5956"/>
    <w:rsid w:val="00AA5994"/>
    <w:rsid w:val="00AA5B6C"/>
    <w:rsid w:val="00AA5EC2"/>
    <w:rsid w:val="00AA692B"/>
    <w:rsid w:val="00AA70D2"/>
    <w:rsid w:val="00AA7232"/>
    <w:rsid w:val="00AB03AC"/>
    <w:rsid w:val="00AB0892"/>
    <w:rsid w:val="00AB0B4A"/>
    <w:rsid w:val="00AB0DFF"/>
    <w:rsid w:val="00AB3506"/>
    <w:rsid w:val="00AB3D82"/>
    <w:rsid w:val="00AB3FB3"/>
    <w:rsid w:val="00AB4AA7"/>
    <w:rsid w:val="00AB4EF7"/>
    <w:rsid w:val="00AB60AF"/>
    <w:rsid w:val="00AB612D"/>
    <w:rsid w:val="00AB6863"/>
    <w:rsid w:val="00AB6EEA"/>
    <w:rsid w:val="00AC0D99"/>
    <w:rsid w:val="00AC0F80"/>
    <w:rsid w:val="00AC118A"/>
    <w:rsid w:val="00AC1EA2"/>
    <w:rsid w:val="00AC24B0"/>
    <w:rsid w:val="00AC2AEA"/>
    <w:rsid w:val="00AC2D2F"/>
    <w:rsid w:val="00AC47DD"/>
    <w:rsid w:val="00AC4D76"/>
    <w:rsid w:val="00AC6021"/>
    <w:rsid w:val="00AC60A1"/>
    <w:rsid w:val="00AC614B"/>
    <w:rsid w:val="00AC79F2"/>
    <w:rsid w:val="00AC7B02"/>
    <w:rsid w:val="00AC7E87"/>
    <w:rsid w:val="00AD01AC"/>
    <w:rsid w:val="00AD1821"/>
    <w:rsid w:val="00AD2776"/>
    <w:rsid w:val="00AD3BE5"/>
    <w:rsid w:val="00AD4AF6"/>
    <w:rsid w:val="00AD6705"/>
    <w:rsid w:val="00AD6FCE"/>
    <w:rsid w:val="00AD7476"/>
    <w:rsid w:val="00AD7CF0"/>
    <w:rsid w:val="00AD7F4C"/>
    <w:rsid w:val="00AE06BD"/>
    <w:rsid w:val="00AE06EC"/>
    <w:rsid w:val="00AE38AB"/>
    <w:rsid w:val="00AE53D5"/>
    <w:rsid w:val="00AE5D03"/>
    <w:rsid w:val="00AE62EA"/>
    <w:rsid w:val="00AE75EF"/>
    <w:rsid w:val="00AE78F3"/>
    <w:rsid w:val="00AF113D"/>
    <w:rsid w:val="00AF1A00"/>
    <w:rsid w:val="00AF1EF3"/>
    <w:rsid w:val="00AF321B"/>
    <w:rsid w:val="00AF3CEB"/>
    <w:rsid w:val="00AF3EB7"/>
    <w:rsid w:val="00AF4849"/>
    <w:rsid w:val="00AF4B9E"/>
    <w:rsid w:val="00AF4D70"/>
    <w:rsid w:val="00AF4F10"/>
    <w:rsid w:val="00AF5521"/>
    <w:rsid w:val="00AF6C04"/>
    <w:rsid w:val="00B00C9E"/>
    <w:rsid w:val="00B00ED7"/>
    <w:rsid w:val="00B0111C"/>
    <w:rsid w:val="00B0264A"/>
    <w:rsid w:val="00B0291F"/>
    <w:rsid w:val="00B02C04"/>
    <w:rsid w:val="00B02C2F"/>
    <w:rsid w:val="00B034D6"/>
    <w:rsid w:val="00B03B24"/>
    <w:rsid w:val="00B03DDF"/>
    <w:rsid w:val="00B041CB"/>
    <w:rsid w:val="00B04817"/>
    <w:rsid w:val="00B05234"/>
    <w:rsid w:val="00B05306"/>
    <w:rsid w:val="00B056E4"/>
    <w:rsid w:val="00B05B94"/>
    <w:rsid w:val="00B06003"/>
    <w:rsid w:val="00B076ED"/>
    <w:rsid w:val="00B10494"/>
    <w:rsid w:val="00B10B00"/>
    <w:rsid w:val="00B10B4E"/>
    <w:rsid w:val="00B11B4C"/>
    <w:rsid w:val="00B14837"/>
    <w:rsid w:val="00B149AA"/>
    <w:rsid w:val="00B14A98"/>
    <w:rsid w:val="00B14B3C"/>
    <w:rsid w:val="00B14EF8"/>
    <w:rsid w:val="00B15609"/>
    <w:rsid w:val="00B16527"/>
    <w:rsid w:val="00B16B0B"/>
    <w:rsid w:val="00B17562"/>
    <w:rsid w:val="00B17B9C"/>
    <w:rsid w:val="00B17E71"/>
    <w:rsid w:val="00B17FCE"/>
    <w:rsid w:val="00B200F3"/>
    <w:rsid w:val="00B20781"/>
    <w:rsid w:val="00B20AFE"/>
    <w:rsid w:val="00B20F0D"/>
    <w:rsid w:val="00B211D4"/>
    <w:rsid w:val="00B2132A"/>
    <w:rsid w:val="00B22017"/>
    <w:rsid w:val="00B22FCF"/>
    <w:rsid w:val="00B235A8"/>
    <w:rsid w:val="00B23873"/>
    <w:rsid w:val="00B2420A"/>
    <w:rsid w:val="00B2664A"/>
    <w:rsid w:val="00B26929"/>
    <w:rsid w:val="00B26C1C"/>
    <w:rsid w:val="00B26E73"/>
    <w:rsid w:val="00B27154"/>
    <w:rsid w:val="00B27628"/>
    <w:rsid w:val="00B30283"/>
    <w:rsid w:val="00B3047B"/>
    <w:rsid w:val="00B31E4B"/>
    <w:rsid w:val="00B31FB6"/>
    <w:rsid w:val="00B328F5"/>
    <w:rsid w:val="00B33055"/>
    <w:rsid w:val="00B33297"/>
    <w:rsid w:val="00B341F9"/>
    <w:rsid w:val="00B34F3E"/>
    <w:rsid w:val="00B35619"/>
    <w:rsid w:val="00B36038"/>
    <w:rsid w:val="00B3641D"/>
    <w:rsid w:val="00B36A1A"/>
    <w:rsid w:val="00B375B2"/>
    <w:rsid w:val="00B37DD9"/>
    <w:rsid w:val="00B413CC"/>
    <w:rsid w:val="00B4160D"/>
    <w:rsid w:val="00B422AF"/>
    <w:rsid w:val="00B42339"/>
    <w:rsid w:val="00B424C7"/>
    <w:rsid w:val="00B4275E"/>
    <w:rsid w:val="00B42C26"/>
    <w:rsid w:val="00B43656"/>
    <w:rsid w:val="00B43CD0"/>
    <w:rsid w:val="00B43DFF"/>
    <w:rsid w:val="00B43EBB"/>
    <w:rsid w:val="00B44267"/>
    <w:rsid w:val="00B459F2"/>
    <w:rsid w:val="00B45A37"/>
    <w:rsid w:val="00B46537"/>
    <w:rsid w:val="00B5029A"/>
    <w:rsid w:val="00B507B2"/>
    <w:rsid w:val="00B509C8"/>
    <w:rsid w:val="00B51B9D"/>
    <w:rsid w:val="00B51E2D"/>
    <w:rsid w:val="00B52485"/>
    <w:rsid w:val="00B53B29"/>
    <w:rsid w:val="00B53BDD"/>
    <w:rsid w:val="00B545A8"/>
    <w:rsid w:val="00B55BA1"/>
    <w:rsid w:val="00B55C52"/>
    <w:rsid w:val="00B5601E"/>
    <w:rsid w:val="00B56360"/>
    <w:rsid w:val="00B564D4"/>
    <w:rsid w:val="00B56EFE"/>
    <w:rsid w:val="00B57C35"/>
    <w:rsid w:val="00B60150"/>
    <w:rsid w:val="00B60F2B"/>
    <w:rsid w:val="00B60FB6"/>
    <w:rsid w:val="00B61DBC"/>
    <w:rsid w:val="00B61DC2"/>
    <w:rsid w:val="00B622EE"/>
    <w:rsid w:val="00B62A91"/>
    <w:rsid w:val="00B62D98"/>
    <w:rsid w:val="00B62F87"/>
    <w:rsid w:val="00B63AF6"/>
    <w:rsid w:val="00B647F7"/>
    <w:rsid w:val="00B64CDB"/>
    <w:rsid w:val="00B64EFC"/>
    <w:rsid w:val="00B65848"/>
    <w:rsid w:val="00B66974"/>
    <w:rsid w:val="00B67790"/>
    <w:rsid w:val="00B67C37"/>
    <w:rsid w:val="00B705FE"/>
    <w:rsid w:val="00B7094C"/>
    <w:rsid w:val="00B72166"/>
    <w:rsid w:val="00B7225A"/>
    <w:rsid w:val="00B73EEB"/>
    <w:rsid w:val="00B7408F"/>
    <w:rsid w:val="00B74321"/>
    <w:rsid w:val="00B75209"/>
    <w:rsid w:val="00B755FE"/>
    <w:rsid w:val="00B75A6A"/>
    <w:rsid w:val="00B75B7C"/>
    <w:rsid w:val="00B75E01"/>
    <w:rsid w:val="00B7606E"/>
    <w:rsid w:val="00B76565"/>
    <w:rsid w:val="00B810A6"/>
    <w:rsid w:val="00B81AB1"/>
    <w:rsid w:val="00B82876"/>
    <w:rsid w:val="00B82EB4"/>
    <w:rsid w:val="00B8400B"/>
    <w:rsid w:val="00B84055"/>
    <w:rsid w:val="00B8429E"/>
    <w:rsid w:val="00B8496B"/>
    <w:rsid w:val="00B860AD"/>
    <w:rsid w:val="00B86663"/>
    <w:rsid w:val="00B879C0"/>
    <w:rsid w:val="00B903E3"/>
    <w:rsid w:val="00B90439"/>
    <w:rsid w:val="00B904C2"/>
    <w:rsid w:val="00B92E14"/>
    <w:rsid w:val="00B92E2E"/>
    <w:rsid w:val="00B93A29"/>
    <w:rsid w:val="00B944EC"/>
    <w:rsid w:val="00B949F0"/>
    <w:rsid w:val="00B94BB4"/>
    <w:rsid w:val="00B96E7C"/>
    <w:rsid w:val="00BA0588"/>
    <w:rsid w:val="00BA0903"/>
    <w:rsid w:val="00BA1483"/>
    <w:rsid w:val="00BA184E"/>
    <w:rsid w:val="00BA1F92"/>
    <w:rsid w:val="00BA221F"/>
    <w:rsid w:val="00BA273D"/>
    <w:rsid w:val="00BA2F49"/>
    <w:rsid w:val="00BA327F"/>
    <w:rsid w:val="00BA38F2"/>
    <w:rsid w:val="00BA401C"/>
    <w:rsid w:val="00BA574E"/>
    <w:rsid w:val="00BA5FBC"/>
    <w:rsid w:val="00BA607B"/>
    <w:rsid w:val="00BA6266"/>
    <w:rsid w:val="00BA64B2"/>
    <w:rsid w:val="00BA67AC"/>
    <w:rsid w:val="00BA7927"/>
    <w:rsid w:val="00BA7AE5"/>
    <w:rsid w:val="00BB0495"/>
    <w:rsid w:val="00BB0D99"/>
    <w:rsid w:val="00BB1344"/>
    <w:rsid w:val="00BB1D4A"/>
    <w:rsid w:val="00BB2F5A"/>
    <w:rsid w:val="00BB35C6"/>
    <w:rsid w:val="00BB3724"/>
    <w:rsid w:val="00BB56FA"/>
    <w:rsid w:val="00BB5EF5"/>
    <w:rsid w:val="00BB69C8"/>
    <w:rsid w:val="00BC1041"/>
    <w:rsid w:val="00BC13EF"/>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9A6"/>
    <w:rsid w:val="00BD6B8C"/>
    <w:rsid w:val="00BE08A5"/>
    <w:rsid w:val="00BE2B70"/>
    <w:rsid w:val="00BE3C7F"/>
    <w:rsid w:val="00BE6CC7"/>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01F1"/>
    <w:rsid w:val="00C00FD4"/>
    <w:rsid w:val="00C010AE"/>
    <w:rsid w:val="00C018A8"/>
    <w:rsid w:val="00C024AC"/>
    <w:rsid w:val="00C02A93"/>
    <w:rsid w:val="00C05755"/>
    <w:rsid w:val="00C06845"/>
    <w:rsid w:val="00C06B36"/>
    <w:rsid w:val="00C06E5D"/>
    <w:rsid w:val="00C071A7"/>
    <w:rsid w:val="00C074E8"/>
    <w:rsid w:val="00C07E8B"/>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34A1"/>
    <w:rsid w:val="00C141AF"/>
    <w:rsid w:val="00C14262"/>
    <w:rsid w:val="00C142C3"/>
    <w:rsid w:val="00C14926"/>
    <w:rsid w:val="00C16C0F"/>
    <w:rsid w:val="00C16CAD"/>
    <w:rsid w:val="00C20FE8"/>
    <w:rsid w:val="00C22453"/>
    <w:rsid w:val="00C2463A"/>
    <w:rsid w:val="00C252D9"/>
    <w:rsid w:val="00C2593E"/>
    <w:rsid w:val="00C2596A"/>
    <w:rsid w:val="00C263D3"/>
    <w:rsid w:val="00C26569"/>
    <w:rsid w:val="00C26AB4"/>
    <w:rsid w:val="00C26B41"/>
    <w:rsid w:val="00C27053"/>
    <w:rsid w:val="00C27D9E"/>
    <w:rsid w:val="00C30B78"/>
    <w:rsid w:val="00C31095"/>
    <w:rsid w:val="00C32799"/>
    <w:rsid w:val="00C32C42"/>
    <w:rsid w:val="00C32E15"/>
    <w:rsid w:val="00C33017"/>
    <w:rsid w:val="00C3330B"/>
    <w:rsid w:val="00C34566"/>
    <w:rsid w:val="00C349D9"/>
    <w:rsid w:val="00C357F0"/>
    <w:rsid w:val="00C37011"/>
    <w:rsid w:val="00C40C52"/>
    <w:rsid w:val="00C414D4"/>
    <w:rsid w:val="00C41593"/>
    <w:rsid w:val="00C42746"/>
    <w:rsid w:val="00C42A4B"/>
    <w:rsid w:val="00C43046"/>
    <w:rsid w:val="00C43D09"/>
    <w:rsid w:val="00C43E31"/>
    <w:rsid w:val="00C4514C"/>
    <w:rsid w:val="00C45374"/>
    <w:rsid w:val="00C453BE"/>
    <w:rsid w:val="00C45936"/>
    <w:rsid w:val="00C4675B"/>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0B26"/>
    <w:rsid w:val="00C61326"/>
    <w:rsid w:val="00C616CF"/>
    <w:rsid w:val="00C62853"/>
    <w:rsid w:val="00C63AFE"/>
    <w:rsid w:val="00C64264"/>
    <w:rsid w:val="00C64350"/>
    <w:rsid w:val="00C651C1"/>
    <w:rsid w:val="00C652BD"/>
    <w:rsid w:val="00C65FE0"/>
    <w:rsid w:val="00C6651C"/>
    <w:rsid w:val="00C66D9C"/>
    <w:rsid w:val="00C678BA"/>
    <w:rsid w:val="00C67C01"/>
    <w:rsid w:val="00C714B0"/>
    <w:rsid w:val="00C71FC2"/>
    <w:rsid w:val="00C71FF5"/>
    <w:rsid w:val="00C72161"/>
    <w:rsid w:val="00C72AC2"/>
    <w:rsid w:val="00C73F80"/>
    <w:rsid w:val="00C7426C"/>
    <w:rsid w:val="00C743C7"/>
    <w:rsid w:val="00C74A38"/>
    <w:rsid w:val="00C74CFA"/>
    <w:rsid w:val="00C75627"/>
    <w:rsid w:val="00C75736"/>
    <w:rsid w:val="00C76864"/>
    <w:rsid w:val="00C7696D"/>
    <w:rsid w:val="00C775F9"/>
    <w:rsid w:val="00C77E56"/>
    <w:rsid w:val="00C803D9"/>
    <w:rsid w:val="00C80B1A"/>
    <w:rsid w:val="00C81152"/>
    <w:rsid w:val="00C81894"/>
    <w:rsid w:val="00C81AC4"/>
    <w:rsid w:val="00C827D8"/>
    <w:rsid w:val="00C8286E"/>
    <w:rsid w:val="00C8409A"/>
    <w:rsid w:val="00C842F0"/>
    <w:rsid w:val="00C84486"/>
    <w:rsid w:val="00C85194"/>
    <w:rsid w:val="00C85249"/>
    <w:rsid w:val="00C85D5A"/>
    <w:rsid w:val="00C865A8"/>
    <w:rsid w:val="00C86959"/>
    <w:rsid w:val="00C873F4"/>
    <w:rsid w:val="00C87F3D"/>
    <w:rsid w:val="00C902DE"/>
    <w:rsid w:val="00C9058F"/>
    <w:rsid w:val="00C90DAE"/>
    <w:rsid w:val="00C92912"/>
    <w:rsid w:val="00C92DC4"/>
    <w:rsid w:val="00C93095"/>
    <w:rsid w:val="00C938CF"/>
    <w:rsid w:val="00C93915"/>
    <w:rsid w:val="00C95A13"/>
    <w:rsid w:val="00C95B24"/>
    <w:rsid w:val="00C96627"/>
    <w:rsid w:val="00C96BCE"/>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AEE"/>
    <w:rsid w:val="00CA7C91"/>
    <w:rsid w:val="00CB0974"/>
    <w:rsid w:val="00CB0CA1"/>
    <w:rsid w:val="00CB2501"/>
    <w:rsid w:val="00CB2CC4"/>
    <w:rsid w:val="00CB39E0"/>
    <w:rsid w:val="00CB3BA5"/>
    <w:rsid w:val="00CB3E90"/>
    <w:rsid w:val="00CB3F60"/>
    <w:rsid w:val="00CB410E"/>
    <w:rsid w:val="00CB4D0E"/>
    <w:rsid w:val="00CB5F33"/>
    <w:rsid w:val="00CB68A7"/>
    <w:rsid w:val="00CB6C62"/>
    <w:rsid w:val="00CB7462"/>
    <w:rsid w:val="00CB7492"/>
    <w:rsid w:val="00CB7710"/>
    <w:rsid w:val="00CB7765"/>
    <w:rsid w:val="00CC0B78"/>
    <w:rsid w:val="00CC2172"/>
    <w:rsid w:val="00CC22D8"/>
    <w:rsid w:val="00CC414D"/>
    <w:rsid w:val="00CC4311"/>
    <w:rsid w:val="00CC45F3"/>
    <w:rsid w:val="00CC4676"/>
    <w:rsid w:val="00CC4E00"/>
    <w:rsid w:val="00CC5CC3"/>
    <w:rsid w:val="00CC78F3"/>
    <w:rsid w:val="00CD0608"/>
    <w:rsid w:val="00CD0EB6"/>
    <w:rsid w:val="00CD173B"/>
    <w:rsid w:val="00CD24F1"/>
    <w:rsid w:val="00CD2554"/>
    <w:rsid w:val="00CD2F77"/>
    <w:rsid w:val="00CD3399"/>
    <w:rsid w:val="00CD35DE"/>
    <w:rsid w:val="00CD3673"/>
    <w:rsid w:val="00CD446B"/>
    <w:rsid w:val="00CD57B4"/>
    <w:rsid w:val="00CD714D"/>
    <w:rsid w:val="00CE000B"/>
    <w:rsid w:val="00CE0174"/>
    <w:rsid w:val="00CE025E"/>
    <w:rsid w:val="00CE0287"/>
    <w:rsid w:val="00CE0B6C"/>
    <w:rsid w:val="00CE1961"/>
    <w:rsid w:val="00CE1C99"/>
    <w:rsid w:val="00CE2859"/>
    <w:rsid w:val="00CE2CBD"/>
    <w:rsid w:val="00CE3DF0"/>
    <w:rsid w:val="00CE3ED3"/>
    <w:rsid w:val="00CE5298"/>
    <w:rsid w:val="00CE5944"/>
    <w:rsid w:val="00CE5995"/>
    <w:rsid w:val="00CE701B"/>
    <w:rsid w:val="00CE71D7"/>
    <w:rsid w:val="00CE7AA0"/>
    <w:rsid w:val="00CF258E"/>
    <w:rsid w:val="00CF2B39"/>
    <w:rsid w:val="00CF4F71"/>
    <w:rsid w:val="00CF5366"/>
    <w:rsid w:val="00CF6C81"/>
    <w:rsid w:val="00CF6FC2"/>
    <w:rsid w:val="00CF73FA"/>
    <w:rsid w:val="00D002C5"/>
    <w:rsid w:val="00D00748"/>
    <w:rsid w:val="00D009A7"/>
    <w:rsid w:val="00D00CFF"/>
    <w:rsid w:val="00D00D65"/>
    <w:rsid w:val="00D00FEA"/>
    <w:rsid w:val="00D01967"/>
    <w:rsid w:val="00D01DD5"/>
    <w:rsid w:val="00D02211"/>
    <w:rsid w:val="00D02BBC"/>
    <w:rsid w:val="00D02C1F"/>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3C8F"/>
    <w:rsid w:val="00D1440D"/>
    <w:rsid w:val="00D159C4"/>
    <w:rsid w:val="00D17E00"/>
    <w:rsid w:val="00D207D4"/>
    <w:rsid w:val="00D21C3F"/>
    <w:rsid w:val="00D22FD5"/>
    <w:rsid w:val="00D2369D"/>
    <w:rsid w:val="00D23769"/>
    <w:rsid w:val="00D23EE7"/>
    <w:rsid w:val="00D24DCF"/>
    <w:rsid w:val="00D254F3"/>
    <w:rsid w:val="00D265F2"/>
    <w:rsid w:val="00D26948"/>
    <w:rsid w:val="00D26F58"/>
    <w:rsid w:val="00D31438"/>
    <w:rsid w:val="00D32E03"/>
    <w:rsid w:val="00D3382F"/>
    <w:rsid w:val="00D338BB"/>
    <w:rsid w:val="00D33EE7"/>
    <w:rsid w:val="00D33F62"/>
    <w:rsid w:val="00D341DC"/>
    <w:rsid w:val="00D35312"/>
    <w:rsid w:val="00D35DF4"/>
    <w:rsid w:val="00D3649E"/>
    <w:rsid w:val="00D367D7"/>
    <w:rsid w:val="00D37305"/>
    <w:rsid w:val="00D376C0"/>
    <w:rsid w:val="00D37993"/>
    <w:rsid w:val="00D37B73"/>
    <w:rsid w:val="00D410E2"/>
    <w:rsid w:val="00D41362"/>
    <w:rsid w:val="00D4196F"/>
    <w:rsid w:val="00D42C25"/>
    <w:rsid w:val="00D433E3"/>
    <w:rsid w:val="00D43F8F"/>
    <w:rsid w:val="00D44CDB"/>
    <w:rsid w:val="00D45D66"/>
    <w:rsid w:val="00D46150"/>
    <w:rsid w:val="00D46968"/>
    <w:rsid w:val="00D46C96"/>
    <w:rsid w:val="00D47308"/>
    <w:rsid w:val="00D51393"/>
    <w:rsid w:val="00D51672"/>
    <w:rsid w:val="00D51824"/>
    <w:rsid w:val="00D51A92"/>
    <w:rsid w:val="00D52C7A"/>
    <w:rsid w:val="00D52E5E"/>
    <w:rsid w:val="00D52EF1"/>
    <w:rsid w:val="00D5322E"/>
    <w:rsid w:val="00D5324B"/>
    <w:rsid w:val="00D5395D"/>
    <w:rsid w:val="00D53CD8"/>
    <w:rsid w:val="00D553B3"/>
    <w:rsid w:val="00D55E23"/>
    <w:rsid w:val="00D56109"/>
    <w:rsid w:val="00D561ED"/>
    <w:rsid w:val="00D568DC"/>
    <w:rsid w:val="00D57375"/>
    <w:rsid w:val="00D57693"/>
    <w:rsid w:val="00D576AA"/>
    <w:rsid w:val="00D5777B"/>
    <w:rsid w:val="00D57E34"/>
    <w:rsid w:val="00D608B5"/>
    <w:rsid w:val="00D60AD5"/>
    <w:rsid w:val="00D60B1C"/>
    <w:rsid w:val="00D6148A"/>
    <w:rsid w:val="00D61911"/>
    <w:rsid w:val="00D625A2"/>
    <w:rsid w:val="00D655DB"/>
    <w:rsid w:val="00D6608B"/>
    <w:rsid w:val="00D6627E"/>
    <w:rsid w:val="00D663C7"/>
    <w:rsid w:val="00D667E0"/>
    <w:rsid w:val="00D66825"/>
    <w:rsid w:val="00D66FFB"/>
    <w:rsid w:val="00D67994"/>
    <w:rsid w:val="00D67A70"/>
    <w:rsid w:val="00D7074C"/>
    <w:rsid w:val="00D70F76"/>
    <w:rsid w:val="00D716D2"/>
    <w:rsid w:val="00D71C18"/>
    <w:rsid w:val="00D71CE2"/>
    <w:rsid w:val="00D73398"/>
    <w:rsid w:val="00D738B5"/>
    <w:rsid w:val="00D74158"/>
    <w:rsid w:val="00D74DD5"/>
    <w:rsid w:val="00D77576"/>
    <w:rsid w:val="00D80209"/>
    <w:rsid w:val="00D80430"/>
    <w:rsid w:val="00D8088B"/>
    <w:rsid w:val="00D80BCF"/>
    <w:rsid w:val="00D80CD6"/>
    <w:rsid w:val="00D80F11"/>
    <w:rsid w:val="00D81D75"/>
    <w:rsid w:val="00D81F8C"/>
    <w:rsid w:val="00D82485"/>
    <w:rsid w:val="00D82750"/>
    <w:rsid w:val="00D82A5E"/>
    <w:rsid w:val="00D834CD"/>
    <w:rsid w:val="00D83B83"/>
    <w:rsid w:val="00D845F9"/>
    <w:rsid w:val="00D84BBF"/>
    <w:rsid w:val="00D85E91"/>
    <w:rsid w:val="00D861A9"/>
    <w:rsid w:val="00D86F52"/>
    <w:rsid w:val="00D87FBD"/>
    <w:rsid w:val="00D90116"/>
    <w:rsid w:val="00D90404"/>
    <w:rsid w:val="00D90C81"/>
    <w:rsid w:val="00D91726"/>
    <w:rsid w:val="00D922C4"/>
    <w:rsid w:val="00D9238D"/>
    <w:rsid w:val="00D924BD"/>
    <w:rsid w:val="00D92A6C"/>
    <w:rsid w:val="00D93976"/>
    <w:rsid w:val="00D942E4"/>
    <w:rsid w:val="00D9528F"/>
    <w:rsid w:val="00D95662"/>
    <w:rsid w:val="00D957F8"/>
    <w:rsid w:val="00D96BE5"/>
    <w:rsid w:val="00D96C8D"/>
    <w:rsid w:val="00D9718A"/>
    <w:rsid w:val="00D9795C"/>
    <w:rsid w:val="00DA11B6"/>
    <w:rsid w:val="00DA18AA"/>
    <w:rsid w:val="00DA1B54"/>
    <w:rsid w:val="00DA1BE2"/>
    <w:rsid w:val="00DA1F0E"/>
    <w:rsid w:val="00DA2946"/>
    <w:rsid w:val="00DA32FC"/>
    <w:rsid w:val="00DA495B"/>
    <w:rsid w:val="00DA556F"/>
    <w:rsid w:val="00DA6E21"/>
    <w:rsid w:val="00DA74E7"/>
    <w:rsid w:val="00DA7CF8"/>
    <w:rsid w:val="00DA7FE2"/>
    <w:rsid w:val="00DB078C"/>
    <w:rsid w:val="00DB0F71"/>
    <w:rsid w:val="00DB16A2"/>
    <w:rsid w:val="00DB17B4"/>
    <w:rsid w:val="00DB2646"/>
    <w:rsid w:val="00DB26C5"/>
    <w:rsid w:val="00DB307C"/>
    <w:rsid w:val="00DB3894"/>
    <w:rsid w:val="00DB3A0B"/>
    <w:rsid w:val="00DB3F1C"/>
    <w:rsid w:val="00DB42FD"/>
    <w:rsid w:val="00DB48CD"/>
    <w:rsid w:val="00DB4C26"/>
    <w:rsid w:val="00DB6FBB"/>
    <w:rsid w:val="00DB7AD3"/>
    <w:rsid w:val="00DB7E20"/>
    <w:rsid w:val="00DC0BFF"/>
    <w:rsid w:val="00DC1372"/>
    <w:rsid w:val="00DC1560"/>
    <w:rsid w:val="00DC186D"/>
    <w:rsid w:val="00DC1C08"/>
    <w:rsid w:val="00DC1E0D"/>
    <w:rsid w:val="00DC2BD5"/>
    <w:rsid w:val="00DC321B"/>
    <w:rsid w:val="00DC34D0"/>
    <w:rsid w:val="00DC3E3C"/>
    <w:rsid w:val="00DC41FC"/>
    <w:rsid w:val="00DC45AD"/>
    <w:rsid w:val="00DC486C"/>
    <w:rsid w:val="00DC55DE"/>
    <w:rsid w:val="00DC5D66"/>
    <w:rsid w:val="00DC688C"/>
    <w:rsid w:val="00DC6C2C"/>
    <w:rsid w:val="00DC7052"/>
    <w:rsid w:val="00DC7CDF"/>
    <w:rsid w:val="00DC7E32"/>
    <w:rsid w:val="00DD04B7"/>
    <w:rsid w:val="00DD0ACD"/>
    <w:rsid w:val="00DD1169"/>
    <w:rsid w:val="00DD1429"/>
    <w:rsid w:val="00DD2A50"/>
    <w:rsid w:val="00DD3319"/>
    <w:rsid w:val="00DD3B1D"/>
    <w:rsid w:val="00DD430A"/>
    <w:rsid w:val="00DD43B1"/>
    <w:rsid w:val="00DD5083"/>
    <w:rsid w:val="00DD5278"/>
    <w:rsid w:val="00DD5881"/>
    <w:rsid w:val="00DD5B48"/>
    <w:rsid w:val="00DD65B0"/>
    <w:rsid w:val="00DD7529"/>
    <w:rsid w:val="00DE0B30"/>
    <w:rsid w:val="00DE13C9"/>
    <w:rsid w:val="00DE14D5"/>
    <w:rsid w:val="00DE19BA"/>
    <w:rsid w:val="00DE1BAF"/>
    <w:rsid w:val="00DE1DE6"/>
    <w:rsid w:val="00DE1F37"/>
    <w:rsid w:val="00DE3288"/>
    <w:rsid w:val="00DE34E4"/>
    <w:rsid w:val="00DE371B"/>
    <w:rsid w:val="00DE38B6"/>
    <w:rsid w:val="00DE3D30"/>
    <w:rsid w:val="00DE3F78"/>
    <w:rsid w:val="00DE4A8B"/>
    <w:rsid w:val="00DE5238"/>
    <w:rsid w:val="00DE5293"/>
    <w:rsid w:val="00DE6453"/>
    <w:rsid w:val="00DE6C2D"/>
    <w:rsid w:val="00DE7019"/>
    <w:rsid w:val="00DE7BDF"/>
    <w:rsid w:val="00DF0769"/>
    <w:rsid w:val="00DF10A4"/>
    <w:rsid w:val="00DF1343"/>
    <w:rsid w:val="00DF2474"/>
    <w:rsid w:val="00DF2C5C"/>
    <w:rsid w:val="00DF36F1"/>
    <w:rsid w:val="00DF4572"/>
    <w:rsid w:val="00DF614A"/>
    <w:rsid w:val="00DF7B85"/>
    <w:rsid w:val="00DF7D60"/>
    <w:rsid w:val="00E01F65"/>
    <w:rsid w:val="00E0204C"/>
    <w:rsid w:val="00E02B56"/>
    <w:rsid w:val="00E03A22"/>
    <w:rsid w:val="00E03C2B"/>
    <w:rsid w:val="00E04926"/>
    <w:rsid w:val="00E04A3E"/>
    <w:rsid w:val="00E0519B"/>
    <w:rsid w:val="00E053AE"/>
    <w:rsid w:val="00E074F0"/>
    <w:rsid w:val="00E07FFD"/>
    <w:rsid w:val="00E10D7F"/>
    <w:rsid w:val="00E1115A"/>
    <w:rsid w:val="00E1116B"/>
    <w:rsid w:val="00E11A02"/>
    <w:rsid w:val="00E12C19"/>
    <w:rsid w:val="00E12FB6"/>
    <w:rsid w:val="00E138DB"/>
    <w:rsid w:val="00E13C60"/>
    <w:rsid w:val="00E14205"/>
    <w:rsid w:val="00E14CF1"/>
    <w:rsid w:val="00E15148"/>
    <w:rsid w:val="00E16401"/>
    <w:rsid w:val="00E177A0"/>
    <w:rsid w:val="00E17C64"/>
    <w:rsid w:val="00E20852"/>
    <w:rsid w:val="00E21533"/>
    <w:rsid w:val="00E21675"/>
    <w:rsid w:val="00E216AD"/>
    <w:rsid w:val="00E217F5"/>
    <w:rsid w:val="00E21F6A"/>
    <w:rsid w:val="00E22A68"/>
    <w:rsid w:val="00E23955"/>
    <w:rsid w:val="00E249F3"/>
    <w:rsid w:val="00E24E2B"/>
    <w:rsid w:val="00E25339"/>
    <w:rsid w:val="00E257EF"/>
    <w:rsid w:val="00E25833"/>
    <w:rsid w:val="00E25964"/>
    <w:rsid w:val="00E25CA1"/>
    <w:rsid w:val="00E260FB"/>
    <w:rsid w:val="00E267CE"/>
    <w:rsid w:val="00E26817"/>
    <w:rsid w:val="00E27BE9"/>
    <w:rsid w:val="00E3087F"/>
    <w:rsid w:val="00E309D6"/>
    <w:rsid w:val="00E30AA8"/>
    <w:rsid w:val="00E31247"/>
    <w:rsid w:val="00E32342"/>
    <w:rsid w:val="00E338F5"/>
    <w:rsid w:val="00E3397C"/>
    <w:rsid w:val="00E33F98"/>
    <w:rsid w:val="00E33FAF"/>
    <w:rsid w:val="00E3547F"/>
    <w:rsid w:val="00E366D2"/>
    <w:rsid w:val="00E36956"/>
    <w:rsid w:val="00E37146"/>
    <w:rsid w:val="00E40C0C"/>
    <w:rsid w:val="00E4144C"/>
    <w:rsid w:val="00E41665"/>
    <w:rsid w:val="00E416B1"/>
    <w:rsid w:val="00E42227"/>
    <w:rsid w:val="00E424C9"/>
    <w:rsid w:val="00E42A97"/>
    <w:rsid w:val="00E42E43"/>
    <w:rsid w:val="00E4370E"/>
    <w:rsid w:val="00E438B0"/>
    <w:rsid w:val="00E43E50"/>
    <w:rsid w:val="00E4440E"/>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56CF"/>
    <w:rsid w:val="00E66EA9"/>
    <w:rsid w:val="00E677BE"/>
    <w:rsid w:val="00E67E88"/>
    <w:rsid w:val="00E71784"/>
    <w:rsid w:val="00E71FAB"/>
    <w:rsid w:val="00E72056"/>
    <w:rsid w:val="00E7242C"/>
    <w:rsid w:val="00E729BB"/>
    <w:rsid w:val="00E72AAE"/>
    <w:rsid w:val="00E72B09"/>
    <w:rsid w:val="00E72F07"/>
    <w:rsid w:val="00E7311B"/>
    <w:rsid w:val="00E73FD7"/>
    <w:rsid w:val="00E75135"/>
    <w:rsid w:val="00E758CA"/>
    <w:rsid w:val="00E7641E"/>
    <w:rsid w:val="00E76712"/>
    <w:rsid w:val="00E76CA3"/>
    <w:rsid w:val="00E7702B"/>
    <w:rsid w:val="00E77B84"/>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E1B"/>
    <w:rsid w:val="00E962BC"/>
    <w:rsid w:val="00E9661F"/>
    <w:rsid w:val="00E96872"/>
    <w:rsid w:val="00E972E4"/>
    <w:rsid w:val="00E973EE"/>
    <w:rsid w:val="00EA06E1"/>
    <w:rsid w:val="00EA088F"/>
    <w:rsid w:val="00EA09E7"/>
    <w:rsid w:val="00EA0D78"/>
    <w:rsid w:val="00EA1161"/>
    <w:rsid w:val="00EA1537"/>
    <w:rsid w:val="00EA1879"/>
    <w:rsid w:val="00EA19DF"/>
    <w:rsid w:val="00EA1D45"/>
    <w:rsid w:val="00EA2B5B"/>
    <w:rsid w:val="00EA5083"/>
    <w:rsid w:val="00EA556B"/>
    <w:rsid w:val="00EA563F"/>
    <w:rsid w:val="00EA5833"/>
    <w:rsid w:val="00EA589C"/>
    <w:rsid w:val="00EA5900"/>
    <w:rsid w:val="00EA5B72"/>
    <w:rsid w:val="00EA5F06"/>
    <w:rsid w:val="00EA6992"/>
    <w:rsid w:val="00EA7A20"/>
    <w:rsid w:val="00EA7CFD"/>
    <w:rsid w:val="00EA7F8B"/>
    <w:rsid w:val="00EB2C18"/>
    <w:rsid w:val="00EB2C92"/>
    <w:rsid w:val="00EB2E3F"/>
    <w:rsid w:val="00EB387B"/>
    <w:rsid w:val="00EB441F"/>
    <w:rsid w:val="00EB484C"/>
    <w:rsid w:val="00EB4C30"/>
    <w:rsid w:val="00EB6036"/>
    <w:rsid w:val="00EB66BC"/>
    <w:rsid w:val="00EB6740"/>
    <w:rsid w:val="00EB6F5F"/>
    <w:rsid w:val="00EB70CC"/>
    <w:rsid w:val="00EC000E"/>
    <w:rsid w:val="00EC07B6"/>
    <w:rsid w:val="00EC0D88"/>
    <w:rsid w:val="00EC12A8"/>
    <w:rsid w:val="00EC1905"/>
    <w:rsid w:val="00EC2110"/>
    <w:rsid w:val="00EC2BF7"/>
    <w:rsid w:val="00EC2C46"/>
    <w:rsid w:val="00EC307B"/>
    <w:rsid w:val="00EC381B"/>
    <w:rsid w:val="00EC5E26"/>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427"/>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0CE7"/>
    <w:rsid w:val="00EF1B56"/>
    <w:rsid w:val="00EF1EB3"/>
    <w:rsid w:val="00EF311A"/>
    <w:rsid w:val="00EF3FB5"/>
    <w:rsid w:val="00EF4193"/>
    <w:rsid w:val="00EF4CAC"/>
    <w:rsid w:val="00EF4DB0"/>
    <w:rsid w:val="00EF4F44"/>
    <w:rsid w:val="00EF6A39"/>
    <w:rsid w:val="00EF6B09"/>
    <w:rsid w:val="00EF6E5A"/>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07EF7"/>
    <w:rsid w:val="00F10565"/>
    <w:rsid w:val="00F10C6B"/>
    <w:rsid w:val="00F10DB3"/>
    <w:rsid w:val="00F1101C"/>
    <w:rsid w:val="00F12307"/>
    <w:rsid w:val="00F1262F"/>
    <w:rsid w:val="00F1268C"/>
    <w:rsid w:val="00F12E20"/>
    <w:rsid w:val="00F13C84"/>
    <w:rsid w:val="00F14830"/>
    <w:rsid w:val="00F14B7E"/>
    <w:rsid w:val="00F14E21"/>
    <w:rsid w:val="00F15522"/>
    <w:rsid w:val="00F15789"/>
    <w:rsid w:val="00F15C36"/>
    <w:rsid w:val="00F165B2"/>
    <w:rsid w:val="00F168F6"/>
    <w:rsid w:val="00F16D33"/>
    <w:rsid w:val="00F16E3A"/>
    <w:rsid w:val="00F17416"/>
    <w:rsid w:val="00F17A06"/>
    <w:rsid w:val="00F17BAE"/>
    <w:rsid w:val="00F20063"/>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44"/>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A4E"/>
    <w:rsid w:val="00F40E13"/>
    <w:rsid w:val="00F40E83"/>
    <w:rsid w:val="00F41688"/>
    <w:rsid w:val="00F42033"/>
    <w:rsid w:val="00F42F68"/>
    <w:rsid w:val="00F4372E"/>
    <w:rsid w:val="00F4529B"/>
    <w:rsid w:val="00F46513"/>
    <w:rsid w:val="00F46586"/>
    <w:rsid w:val="00F46A07"/>
    <w:rsid w:val="00F474A8"/>
    <w:rsid w:val="00F47562"/>
    <w:rsid w:val="00F509A4"/>
    <w:rsid w:val="00F51491"/>
    <w:rsid w:val="00F5220C"/>
    <w:rsid w:val="00F52266"/>
    <w:rsid w:val="00F52BE6"/>
    <w:rsid w:val="00F53995"/>
    <w:rsid w:val="00F53A2C"/>
    <w:rsid w:val="00F54658"/>
    <w:rsid w:val="00F546AE"/>
    <w:rsid w:val="00F567F4"/>
    <w:rsid w:val="00F574BB"/>
    <w:rsid w:val="00F60C31"/>
    <w:rsid w:val="00F60F89"/>
    <w:rsid w:val="00F61531"/>
    <w:rsid w:val="00F6161E"/>
    <w:rsid w:val="00F6174D"/>
    <w:rsid w:val="00F644C2"/>
    <w:rsid w:val="00F648D6"/>
    <w:rsid w:val="00F64B26"/>
    <w:rsid w:val="00F650CD"/>
    <w:rsid w:val="00F651D1"/>
    <w:rsid w:val="00F66EF3"/>
    <w:rsid w:val="00F66F44"/>
    <w:rsid w:val="00F679B5"/>
    <w:rsid w:val="00F70954"/>
    <w:rsid w:val="00F72258"/>
    <w:rsid w:val="00F72516"/>
    <w:rsid w:val="00F72A90"/>
    <w:rsid w:val="00F73644"/>
    <w:rsid w:val="00F74A5D"/>
    <w:rsid w:val="00F75882"/>
    <w:rsid w:val="00F765E3"/>
    <w:rsid w:val="00F7665C"/>
    <w:rsid w:val="00F766F0"/>
    <w:rsid w:val="00F76A03"/>
    <w:rsid w:val="00F76C5B"/>
    <w:rsid w:val="00F76EB5"/>
    <w:rsid w:val="00F777FB"/>
    <w:rsid w:val="00F8053A"/>
    <w:rsid w:val="00F80B0D"/>
    <w:rsid w:val="00F80E32"/>
    <w:rsid w:val="00F824CA"/>
    <w:rsid w:val="00F82F0A"/>
    <w:rsid w:val="00F83AF7"/>
    <w:rsid w:val="00F846B8"/>
    <w:rsid w:val="00F84882"/>
    <w:rsid w:val="00F84F60"/>
    <w:rsid w:val="00F8532C"/>
    <w:rsid w:val="00F8649E"/>
    <w:rsid w:val="00F86E24"/>
    <w:rsid w:val="00F87CF3"/>
    <w:rsid w:val="00F903EB"/>
    <w:rsid w:val="00F90464"/>
    <w:rsid w:val="00F90ED0"/>
    <w:rsid w:val="00F91A03"/>
    <w:rsid w:val="00F91A66"/>
    <w:rsid w:val="00F92818"/>
    <w:rsid w:val="00F92A92"/>
    <w:rsid w:val="00F92AF5"/>
    <w:rsid w:val="00F92CE8"/>
    <w:rsid w:val="00F93CF7"/>
    <w:rsid w:val="00F93EA8"/>
    <w:rsid w:val="00F94907"/>
    <w:rsid w:val="00F967B0"/>
    <w:rsid w:val="00F96A33"/>
    <w:rsid w:val="00F96F2B"/>
    <w:rsid w:val="00FA055D"/>
    <w:rsid w:val="00FA089C"/>
    <w:rsid w:val="00FA1820"/>
    <w:rsid w:val="00FA198B"/>
    <w:rsid w:val="00FA35D2"/>
    <w:rsid w:val="00FA3BF1"/>
    <w:rsid w:val="00FA5697"/>
    <w:rsid w:val="00FA69B4"/>
    <w:rsid w:val="00FA7360"/>
    <w:rsid w:val="00FA738F"/>
    <w:rsid w:val="00FA7605"/>
    <w:rsid w:val="00FA7C42"/>
    <w:rsid w:val="00FB2364"/>
    <w:rsid w:val="00FB2D63"/>
    <w:rsid w:val="00FB3053"/>
    <w:rsid w:val="00FB3BA3"/>
    <w:rsid w:val="00FB4099"/>
    <w:rsid w:val="00FB4520"/>
    <w:rsid w:val="00FB4CAC"/>
    <w:rsid w:val="00FB4CCC"/>
    <w:rsid w:val="00FB539D"/>
    <w:rsid w:val="00FB551A"/>
    <w:rsid w:val="00FB6031"/>
    <w:rsid w:val="00FB6F32"/>
    <w:rsid w:val="00FB71F5"/>
    <w:rsid w:val="00FB736C"/>
    <w:rsid w:val="00FB7376"/>
    <w:rsid w:val="00FB784A"/>
    <w:rsid w:val="00FC0E69"/>
    <w:rsid w:val="00FC1DD9"/>
    <w:rsid w:val="00FC1E0D"/>
    <w:rsid w:val="00FC24BB"/>
    <w:rsid w:val="00FC313F"/>
    <w:rsid w:val="00FC47FA"/>
    <w:rsid w:val="00FC5508"/>
    <w:rsid w:val="00FC570E"/>
    <w:rsid w:val="00FC5BF0"/>
    <w:rsid w:val="00FC5DD8"/>
    <w:rsid w:val="00FC61FF"/>
    <w:rsid w:val="00FC6260"/>
    <w:rsid w:val="00FC67A2"/>
    <w:rsid w:val="00FC6997"/>
    <w:rsid w:val="00FC6E32"/>
    <w:rsid w:val="00FC7AFA"/>
    <w:rsid w:val="00FC7C1E"/>
    <w:rsid w:val="00FD00EC"/>
    <w:rsid w:val="00FD049B"/>
    <w:rsid w:val="00FD0B2A"/>
    <w:rsid w:val="00FD0D11"/>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554"/>
    <w:rsid w:val="00FE2820"/>
    <w:rsid w:val="00FE33CF"/>
    <w:rsid w:val="00FE358D"/>
    <w:rsid w:val="00FE37B9"/>
    <w:rsid w:val="00FE41E3"/>
    <w:rsid w:val="00FE4447"/>
    <w:rsid w:val="00FE4F1A"/>
    <w:rsid w:val="00FE51D1"/>
    <w:rsid w:val="00FE5640"/>
    <w:rsid w:val="00FE5BA4"/>
    <w:rsid w:val="00FE5E9C"/>
    <w:rsid w:val="00FE71B4"/>
    <w:rsid w:val="00FE76C5"/>
    <w:rsid w:val="00FE7B1A"/>
    <w:rsid w:val="00FE7FA1"/>
    <w:rsid w:val="00FF034B"/>
    <w:rsid w:val="00FF06C9"/>
    <w:rsid w:val="00FF0804"/>
    <w:rsid w:val="00FF0A45"/>
    <w:rsid w:val="00FF18DE"/>
    <w:rsid w:val="00FF1B37"/>
    <w:rsid w:val="00FF278C"/>
    <w:rsid w:val="00FF3215"/>
    <w:rsid w:val="00FF3466"/>
    <w:rsid w:val="00FF3EDE"/>
    <w:rsid w:val="00FF4491"/>
    <w:rsid w:val="00FF6849"/>
    <w:rsid w:val="00FF71C1"/>
    <w:rsid w:val="00FF73DA"/>
    <w:rsid w:val="00FF743D"/>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7A306E67-103F-4948-9AF1-CFF0ED2D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DE371B"/>
    <w:rPr>
      <w:sz w:val="16"/>
      <w:szCs w:val="16"/>
    </w:rPr>
  </w:style>
  <w:style w:type="paragraph" w:styleId="CommentText">
    <w:name w:val="annotation text"/>
    <w:basedOn w:val="Normal"/>
    <w:link w:val="CommentTextChar"/>
    <w:uiPriority w:val="99"/>
    <w:semiHidden/>
    <w:unhideWhenUsed/>
    <w:rsid w:val="00DE371B"/>
    <w:rPr>
      <w:sz w:val="20"/>
      <w:szCs w:val="20"/>
    </w:rPr>
  </w:style>
  <w:style w:type="character" w:customStyle="1" w:styleId="CommentTextChar">
    <w:name w:val="Comment Text Char"/>
    <w:basedOn w:val="DefaultParagraphFont"/>
    <w:link w:val="CommentText"/>
    <w:uiPriority w:val="99"/>
    <w:semiHidden/>
    <w:rsid w:val="00DE371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371B"/>
    <w:rPr>
      <w:b/>
      <w:bCs/>
    </w:rPr>
  </w:style>
  <w:style w:type="character" w:customStyle="1" w:styleId="CommentSubjectChar">
    <w:name w:val="Comment Subject Char"/>
    <w:basedOn w:val="CommentTextChar"/>
    <w:link w:val="CommentSubject"/>
    <w:uiPriority w:val="99"/>
    <w:semiHidden/>
    <w:rsid w:val="00DE371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00%20%284%29%20SA%20446" TargetMode="External"/><Relationship Id="rId1" Type="http://schemas.openxmlformats.org/officeDocument/2006/relationships/hyperlink" Target="http://www.saflii.org/cgi-bin/LawCite?cit=2010%20%284%29%20BCLR%203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0B42-FCF1-4ABB-B872-BF583C41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6</TotalTime>
  <Pages>14</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3</cp:revision>
  <cp:lastPrinted>2019-03-18T05:48:00Z</cp:lastPrinted>
  <dcterms:created xsi:type="dcterms:W3CDTF">2022-11-11T09:00:00Z</dcterms:created>
  <dcterms:modified xsi:type="dcterms:W3CDTF">2022-11-11T09:06:00Z</dcterms:modified>
</cp:coreProperties>
</file>