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09" w:rsidRPr="00E52518" w:rsidRDefault="00300D09" w:rsidP="00300D09">
      <w:pPr>
        <w:jc w:val="center"/>
        <w:rPr>
          <w:rFonts w:cs="Arial"/>
          <w:b/>
          <w:bCs/>
          <w:lang w:eastAsia="en-GB"/>
        </w:rPr>
      </w:pPr>
      <w:r w:rsidRPr="00E52518">
        <w:rPr>
          <w:rFonts w:cs="Arial"/>
          <w:b/>
          <w:bCs/>
          <w:lang w:eastAsia="en-GB"/>
        </w:rPr>
        <w:t>REPUBLIC OF SOUTH AFRICA</w:t>
      </w:r>
    </w:p>
    <w:p w:rsidR="006E45F7" w:rsidRPr="00E52518" w:rsidRDefault="006E45F7" w:rsidP="00300D09">
      <w:pPr>
        <w:jc w:val="center"/>
        <w:rPr>
          <w:rFonts w:cs="Arial"/>
          <w:lang w:eastAsia="en-GB"/>
        </w:rPr>
      </w:pPr>
    </w:p>
    <w:p w:rsidR="00300D09" w:rsidRPr="00E52518" w:rsidRDefault="00033914" w:rsidP="00300D09">
      <w:pPr>
        <w:jc w:val="center"/>
        <w:rPr>
          <w:rFonts w:cs="Arial"/>
          <w:lang w:eastAsia="en-GB"/>
        </w:rPr>
      </w:pPr>
      <w:r w:rsidRPr="00E52518">
        <w:rPr>
          <w:rFonts w:cs="Arial"/>
          <w:noProof/>
          <w:lang w:val="en-US"/>
        </w:rPr>
        <w:drawing>
          <wp:inline distT="0" distB="0" distL="0" distR="0" wp14:anchorId="629E663E" wp14:editId="71C550A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6E45F7" w:rsidRPr="00E52518" w:rsidRDefault="006E45F7" w:rsidP="00300D09">
      <w:pPr>
        <w:jc w:val="center"/>
        <w:rPr>
          <w:rFonts w:cs="Arial"/>
          <w:lang w:eastAsia="en-GB"/>
        </w:rPr>
      </w:pPr>
    </w:p>
    <w:p w:rsidR="00300D09" w:rsidRPr="00E52518" w:rsidRDefault="00300D09" w:rsidP="00300D09">
      <w:pPr>
        <w:jc w:val="center"/>
        <w:rPr>
          <w:rFonts w:cs="Arial"/>
          <w:b/>
          <w:bCs/>
          <w:lang w:eastAsia="en-GB"/>
        </w:rPr>
      </w:pPr>
      <w:r w:rsidRPr="00E52518">
        <w:rPr>
          <w:rFonts w:cs="Arial"/>
          <w:b/>
          <w:bCs/>
          <w:lang w:eastAsia="en-GB"/>
        </w:rPr>
        <w:t>IN THE HIGH COURT OF SOUTH AFRICA</w:t>
      </w:r>
    </w:p>
    <w:p w:rsidR="00300D09" w:rsidRPr="00E52518" w:rsidRDefault="00300D09" w:rsidP="00300D09">
      <w:pPr>
        <w:jc w:val="center"/>
        <w:rPr>
          <w:rFonts w:cs="Arial"/>
          <w:b/>
          <w:bCs/>
          <w:lang w:eastAsia="en-GB"/>
        </w:rPr>
      </w:pPr>
      <w:r w:rsidRPr="00E52518">
        <w:rPr>
          <w:rFonts w:cs="Arial"/>
          <w:b/>
          <w:bCs/>
          <w:lang w:eastAsia="en-GB"/>
        </w:rPr>
        <w:t xml:space="preserve">GAUTENG DIVISION, </w:t>
      </w:r>
      <w:r w:rsidR="00682D2A" w:rsidRPr="00E52518">
        <w:rPr>
          <w:rFonts w:cs="Arial"/>
          <w:b/>
          <w:bCs/>
          <w:lang w:eastAsia="en-GB"/>
        </w:rPr>
        <w:t xml:space="preserve">JOHANNESBURG </w:t>
      </w:r>
    </w:p>
    <w:p w:rsidR="00300D09" w:rsidRPr="008E306E" w:rsidRDefault="00300D09" w:rsidP="00300D09">
      <w:pPr>
        <w:tabs>
          <w:tab w:val="left" w:pos="4917"/>
        </w:tabs>
        <w:jc w:val="right"/>
        <w:rPr>
          <w:rFonts w:cs="Arial"/>
          <w:b/>
          <w:sz w:val="28"/>
          <w:szCs w:val="28"/>
          <w:u w:val="single"/>
        </w:rPr>
      </w:pPr>
    </w:p>
    <w:p w:rsidR="00300D09" w:rsidRPr="008E306E" w:rsidRDefault="00300D09" w:rsidP="00300D09">
      <w:pPr>
        <w:tabs>
          <w:tab w:val="left" w:pos="4917"/>
        </w:tabs>
        <w:jc w:val="right"/>
        <w:rPr>
          <w:rFonts w:cs="Arial"/>
          <w:b/>
          <w:sz w:val="28"/>
          <w:szCs w:val="28"/>
          <w:u w:val="single"/>
        </w:rPr>
      </w:pPr>
    </w:p>
    <w:p w:rsidR="00300D09" w:rsidRDefault="00300D09" w:rsidP="00E52518">
      <w:pPr>
        <w:jc w:val="right"/>
      </w:pPr>
    </w:p>
    <w:p w:rsidR="00E52518" w:rsidRDefault="00033914" w:rsidP="00E52518">
      <w:pPr>
        <w:jc w:val="right"/>
      </w:pPr>
      <w:r>
        <w:rPr>
          <w:noProof/>
          <w:lang w:val="en-US"/>
        </w:rPr>
        <mc:AlternateContent>
          <mc:Choice Requires="wps">
            <w:drawing>
              <wp:anchor distT="0" distB="0" distL="114300" distR="114300" simplePos="0" relativeHeight="251659264" behindDoc="0" locked="0" layoutInCell="1" allowOverlap="1" wp14:anchorId="7968602A" wp14:editId="343E304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rsidR="008646AA" w:rsidRPr="004120A8" w:rsidRDefault="008646AA" w:rsidP="00E52518">
                            <w:pPr>
                              <w:jc w:val="center"/>
                              <w:rPr>
                                <w:rFonts w:ascii="Century Gothic" w:hAnsi="Century Gothic"/>
                                <w:b/>
                                <w:sz w:val="2"/>
                                <w:szCs w:val="18"/>
                              </w:rPr>
                            </w:pPr>
                          </w:p>
                          <w:p w:rsidR="008646AA" w:rsidRPr="00EE6CBE" w:rsidRDefault="008518D6" w:rsidP="008518D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8646AA">
                              <w:rPr>
                                <w:rFonts w:cs="Arial"/>
                                <w:sz w:val="18"/>
                                <w:szCs w:val="18"/>
                              </w:rPr>
                              <w:t>REPORTABLE: NO</w:t>
                            </w:r>
                          </w:p>
                          <w:p w:rsidR="008646AA" w:rsidRPr="00EE6CBE" w:rsidRDefault="008518D6" w:rsidP="008518D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8646AA">
                              <w:rPr>
                                <w:rFonts w:cs="Arial"/>
                                <w:sz w:val="18"/>
                                <w:szCs w:val="18"/>
                              </w:rPr>
                              <w:t>OF INTEREST TO OTHER JUDGES: NO</w:t>
                            </w:r>
                          </w:p>
                          <w:p w:rsidR="008646AA" w:rsidRPr="00EE6CBE" w:rsidRDefault="008518D6" w:rsidP="008518D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8646AA" w:rsidRPr="00EE6CBE">
                              <w:rPr>
                                <w:rFonts w:cs="Arial"/>
                                <w:sz w:val="18"/>
                                <w:szCs w:val="18"/>
                              </w:rPr>
                              <w:t>REVISED</w:t>
                            </w:r>
                            <w:r w:rsidR="008646AA">
                              <w:rPr>
                                <w:rFonts w:cs="Arial"/>
                                <w:sz w:val="18"/>
                                <w:szCs w:val="18"/>
                              </w:rPr>
                              <w:t xml:space="preserve"> YES/NO</w:t>
                            </w:r>
                          </w:p>
                          <w:p w:rsidR="008646AA" w:rsidRPr="00EE6CBE" w:rsidRDefault="008646AA" w:rsidP="00E52518">
                            <w:pPr>
                              <w:rPr>
                                <w:rFonts w:cs="Arial"/>
                                <w:b/>
                                <w:sz w:val="18"/>
                                <w:szCs w:val="18"/>
                              </w:rPr>
                            </w:pPr>
                          </w:p>
                          <w:p w:rsidR="008646AA" w:rsidRDefault="008646A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rsidR="008646AA" w:rsidRPr="00EE6CBE" w:rsidRDefault="008646A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rsidR="008646AA" w:rsidRPr="004120A8" w:rsidRDefault="008646A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8602A"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rsidR="008646AA" w:rsidRPr="004120A8" w:rsidRDefault="008646AA" w:rsidP="00E52518">
                      <w:pPr>
                        <w:jc w:val="center"/>
                        <w:rPr>
                          <w:rFonts w:ascii="Century Gothic" w:hAnsi="Century Gothic"/>
                          <w:b/>
                          <w:sz w:val="2"/>
                          <w:szCs w:val="18"/>
                        </w:rPr>
                      </w:pPr>
                    </w:p>
                    <w:p w:rsidR="008646AA" w:rsidRPr="00EE6CBE" w:rsidRDefault="008518D6" w:rsidP="008518D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8646AA">
                        <w:rPr>
                          <w:rFonts w:cs="Arial"/>
                          <w:sz w:val="18"/>
                          <w:szCs w:val="18"/>
                        </w:rPr>
                        <w:t>REPORTABLE: NO</w:t>
                      </w:r>
                    </w:p>
                    <w:p w:rsidR="008646AA" w:rsidRPr="00EE6CBE" w:rsidRDefault="008518D6" w:rsidP="008518D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8646AA">
                        <w:rPr>
                          <w:rFonts w:cs="Arial"/>
                          <w:sz w:val="18"/>
                          <w:szCs w:val="18"/>
                        </w:rPr>
                        <w:t>OF INTEREST TO OTHER JUDGES: NO</w:t>
                      </w:r>
                    </w:p>
                    <w:p w:rsidR="008646AA" w:rsidRPr="00EE6CBE" w:rsidRDefault="008518D6" w:rsidP="008518D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8646AA" w:rsidRPr="00EE6CBE">
                        <w:rPr>
                          <w:rFonts w:cs="Arial"/>
                          <w:sz w:val="18"/>
                          <w:szCs w:val="18"/>
                        </w:rPr>
                        <w:t>REVISED</w:t>
                      </w:r>
                      <w:r w:rsidR="008646AA">
                        <w:rPr>
                          <w:rFonts w:cs="Arial"/>
                          <w:sz w:val="18"/>
                          <w:szCs w:val="18"/>
                        </w:rPr>
                        <w:t xml:space="preserve"> YES/NO</w:t>
                      </w:r>
                    </w:p>
                    <w:p w:rsidR="008646AA" w:rsidRPr="00EE6CBE" w:rsidRDefault="008646AA" w:rsidP="00E52518">
                      <w:pPr>
                        <w:rPr>
                          <w:rFonts w:cs="Arial"/>
                          <w:b/>
                          <w:sz w:val="18"/>
                          <w:szCs w:val="18"/>
                        </w:rPr>
                      </w:pPr>
                    </w:p>
                    <w:p w:rsidR="008646AA" w:rsidRDefault="008646A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rsidR="008646AA" w:rsidRPr="00EE6CBE" w:rsidRDefault="008646A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rsidR="008646AA" w:rsidRPr="004120A8" w:rsidRDefault="008646AA" w:rsidP="00E52518">
                      <w:pPr>
                        <w:rPr>
                          <w:rFonts w:ascii="Century Gothic" w:hAnsi="Century Gothic"/>
                          <w:b/>
                          <w:sz w:val="2"/>
                          <w:szCs w:val="18"/>
                        </w:rPr>
                      </w:pPr>
                    </w:p>
                  </w:txbxContent>
                </v:textbox>
              </v:shape>
            </w:pict>
          </mc:Fallback>
        </mc:AlternateContent>
      </w:r>
    </w:p>
    <w:p w:rsidR="00E52518" w:rsidRPr="00D036DB" w:rsidRDefault="00E52518" w:rsidP="00E52518">
      <w:pPr>
        <w:jc w:val="center"/>
        <w:rPr>
          <w:rFonts w:cs="Arial"/>
          <w:b/>
          <w:lang w:val="en-ZA"/>
        </w:rPr>
      </w:pPr>
    </w:p>
    <w:p w:rsidR="00E52518" w:rsidRPr="00D036DB" w:rsidRDefault="00E52518" w:rsidP="00E52518">
      <w:pPr>
        <w:jc w:val="right"/>
        <w:rPr>
          <w:rFonts w:cs="Arial"/>
          <w:b/>
        </w:rPr>
      </w:pPr>
      <w:bookmarkStart w:id="0" w:name="_Hlk88546104"/>
    </w:p>
    <w:p w:rsidR="00E52518" w:rsidRPr="00D036DB" w:rsidRDefault="00E52518" w:rsidP="00E52518">
      <w:pPr>
        <w:jc w:val="left"/>
        <w:rPr>
          <w:rFonts w:cs="Arial"/>
          <w:u w:val="single"/>
          <w:lang w:val="en-ZA"/>
        </w:rPr>
      </w:pPr>
    </w:p>
    <w:p w:rsidR="00E52518" w:rsidRPr="00D036DB" w:rsidRDefault="00E52518" w:rsidP="00E52518">
      <w:pPr>
        <w:jc w:val="left"/>
        <w:rPr>
          <w:rFonts w:cs="Arial"/>
          <w:u w:val="single"/>
          <w:lang w:val="en-ZA"/>
        </w:rPr>
      </w:pPr>
    </w:p>
    <w:p w:rsidR="00E52518" w:rsidRPr="00D036DB" w:rsidRDefault="00E52518" w:rsidP="00E52518">
      <w:pPr>
        <w:jc w:val="left"/>
        <w:rPr>
          <w:rFonts w:cs="Arial"/>
          <w:u w:val="single"/>
          <w:lang w:val="en-ZA"/>
        </w:rPr>
      </w:pPr>
    </w:p>
    <w:p w:rsidR="00E52518" w:rsidRDefault="00E52518" w:rsidP="00E52518">
      <w:pPr>
        <w:jc w:val="left"/>
        <w:rPr>
          <w:rFonts w:cs="Arial"/>
          <w:u w:val="single"/>
          <w:lang w:val="en-ZA"/>
        </w:rPr>
      </w:pPr>
    </w:p>
    <w:bookmarkEnd w:id="0"/>
    <w:p w:rsidR="00E52518" w:rsidRPr="008E306E" w:rsidRDefault="00E52518" w:rsidP="00E52518"/>
    <w:p w:rsidR="00300D09" w:rsidRPr="008E306E" w:rsidRDefault="00300D09" w:rsidP="00300D09">
      <w:pPr>
        <w:tabs>
          <w:tab w:val="left" w:pos="4917"/>
        </w:tabs>
        <w:jc w:val="right"/>
        <w:rPr>
          <w:rFonts w:cs="Arial"/>
          <w:b/>
          <w:sz w:val="28"/>
          <w:szCs w:val="28"/>
          <w:u w:val="single"/>
        </w:rPr>
      </w:pPr>
    </w:p>
    <w:p w:rsidR="005C5222" w:rsidRDefault="005C5222" w:rsidP="005C5222">
      <w:pPr>
        <w:jc w:val="right"/>
        <w:rPr>
          <w:rFonts w:cs="Arial"/>
          <w:b/>
          <w:bCs/>
        </w:rPr>
      </w:pPr>
    </w:p>
    <w:p w:rsidR="005C5222" w:rsidRPr="003F66F3" w:rsidRDefault="005C5222" w:rsidP="005C5222">
      <w:pPr>
        <w:jc w:val="right"/>
        <w:rPr>
          <w:rFonts w:cs="Arial"/>
          <w:b/>
          <w:bCs/>
        </w:rPr>
      </w:pPr>
      <w:r w:rsidRPr="003F66F3">
        <w:rPr>
          <w:rFonts w:cs="Arial"/>
          <w:b/>
          <w:bCs/>
        </w:rPr>
        <w:t>Case number: 21</w:t>
      </w:r>
      <w:r w:rsidR="0054123B">
        <w:rPr>
          <w:rFonts w:cs="Arial"/>
          <w:b/>
          <w:bCs/>
        </w:rPr>
        <w:t>746/2019</w:t>
      </w:r>
    </w:p>
    <w:p w:rsidR="005C5222" w:rsidRDefault="005C5222" w:rsidP="005C5222">
      <w:pPr>
        <w:rPr>
          <w:rFonts w:cs="Arial"/>
        </w:rPr>
      </w:pPr>
    </w:p>
    <w:p w:rsidR="005C5222" w:rsidRDefault="005C5222" w:rsidP="005C5222">
      <w:pPr>
        <w:rPr>
          <w:rFonts w:cs="Arial"/>
        </w:rPr>
      </w:pPr>
      <w:r w:rsidRPr="003F66F3">
        <w:rPr>
          <w:rFonts w:cs="Arial"/>
        </w:rPr>
        <w:t>In the matter between:</w:t>
      </w:r>
    </w:p>
    <w:p w:rsidR="005C5222" w:rsidRDefault="005C5222" w:rsidP="005C5222">
      <w:pPr>
        <w:rPr>
          <w:rFonts w:cs="Arial"/>
        </w:rPr>
      </w:pPr>
    </w:p>
    <w:p w:rsidR="0054123B" w:rsidRDefault="004A6CBC" w:rsidP="0054123B">
      <w:pPr>
        <w:pStyle w:val="Parties"/>
      </w:pPr>
      <w:r>
        <w:rPr>
          <w:b/>
          <w:bCs/>
        </w:rPr>
        <w:t>VAN DEN HEEVER : THEODOR</w:t>
      </w:r>
      <w:r w:rsidR="0054123B">
        <w:rPr>
          <w:b/>
          <w:bCs/>
        </w:rPr>
        <w:t xml:space="preserve"> WILHELM N.O.</w:t>
      </w:r>
      <w:r w:rsidR="0054123B">
        <w:rPr>
          <w:b/>
          <w:bCs/>
        </w:rPr>
        <w:tab/>
      </w:r>
      <w:r w:rsidR="0054123B">
        <w:t>First Plaintiff</w:t>
      </w:r>
    </w:p>
    <w:p w:rsidR="0054123B" w:rsidRDefault="0054123B" w:rsidP="0054123B">
      <w:pPr>
        <w:pStyle w:val="Parties"/>
      </w:pPr>
    </w:p>
    <w:p w:rsidR="0054123B" w:rsidRDefault="0054123B" w:rsidP="0054123B">
      <w:pPr>
        <w:pStyle w:val="Parties"/>
      </w:pPr>
      <w:r>
        <w:rPr>
          <w:b/>
          <w:bCs/>
        </w:rPr>
        <w:t>JANANT</w:t>
      </w:r>
      <w:r w:rsidR="004A6CBC">
        <w:rPr>
          <w:b/>
          <w:bCs/>
        </w:rPr>
        <w:t xml:space="preserve"> :</w:t>
      </w:r>
      <w:r>
        <w:rPr>
          <w:b/>
          <w:bCs/>
        </w:rPr>
        <w:t xml:space="preserve"> DAJI PIMANO N.O. </w:t>
      </w:r>
      <w:r>
        <w:rPr>
          <w:b/>
          <w:bCs/>
        </w:rPr>
        <w:tab/>
      </w:r>
      <w:r>
        <w:t>Second Plaintiff</w:t>
      </w:r>
    </w:p>
    <w:p w:rsidR="0054123B" w:rsidRDefault="0054123B" w:rsidP="0054123B">
      <w:pPr>
        <w:pStyle w:val="Parties"/>
      </w:pPr>
    </w:p>
    <w:p w:rsidR="0054123B" w:rsidRDefault="0054123B" w:rsidP="0054123B">
      <w:pPr>
        <w:pStyle w:val="Parties"/>
      </w:pPr>
      <w:r>
        <w:rPr>
          <w:b/>
          <w:bCs/>
        </w:rPr>
        <w:t>STANDER</w:t>
      </w:r>
      <w:r w:rsidR="004A6CBC">
        <w:rPr>
          <w:b/>
          <w:bCs/>
        </w:rPr>
        <w:t xml:space="preserve"> : MONIQUE</w:t>
      </w:r>
      <w:r>
        <w:rPr>
          <w:b/>
          <w:bCs/>
        </w:rPr>
        <w:t xml:space="preserve"> N.O. </w:t>
      </w:r>
      <w:r>
        <w:rPr>
          <w:b/>
          <w:bCs/>
        </w:rPr>
        <w:tab/>
      </w:r>
      <w:r>
        <w:t>Third Plaintiff</w:t>
      </w:r>
    </w:p>
    <w:p w:rsidR="0054123B" w:rsidRDefault="0054123B" w:rsidP="0054123B">
      <w:pPr>
        <w:pStyle w:val="Parties"/>
      </w:pPr>
    </w:p>
    <w:p w:rsidR="0054123B" w:rsidRDefault="0054123B" w:rsidP="0054123B">
      <w:pPr>
        <w:pStyle w:val="Parties"/>
      </w:pPr>
    </w:p>
    <w:p w:rsidR="0054123B" w:rsidRDefault="0054123B" w:rsidP="0054123B">
      <w:pPr>
        <w:pStyle w:val="Parties"/>
      </w:pPr>
      <w:r>
        <w:t>and</w:t>
      </w:r>
    </w:p>
    <w:p w:rsidR="0054123B" w:rsidRDefault="0054123B" w:rsidP="0054123B">
      <w:pPr>
        <w:pStyle w:val="Parties"/>
      </w:pPr>
    </w:p>
    <w:p w:rsidR="0054123B" w:rsidRDefault="0054123B" w:rsidP="0054123B">
      <w:pPr>
        <w:pStyle w:val="Parties"/>
      </w:pPr>
    </w:p>
    <w:p w:rsidR="0054123B" w:rsidRDefault="0054123B" w:rsidP="0054123B">
      <w:pPr>
        <w:pStyle w:val="Parties"/>
      </w:pPr>
      <w:r>
        <w:rPr>
          <w:b/>
          <w:bCs/>
        </w:rPr>
        <w:t>RC CHRISTIE INCORPORATED</w:t>
      </w:r>
      <w:r>
        <w:rPr>
          <w:b/>
          <w:bCs/>
        </w:rPr>
        <w:tab/>
      </w:r>
      <w:r>
        <w:t xml:space="preserve">First Defendant </w:t>
      </w:r>
    </w:p>
    <w:p w:rsidR="0054123B" w:rsidRDefault="0054123B" w:rsidP="0054123B">
      <w:pPr>
        <w:pStyle w:val="Parties"/>
      </w:pPr>
    </w:p>
    <w:p w:rsidR="0054123B" w:rsidRDefault="0054123B" w:rsidP="0054123B">
      <w:pPr>
        <w:pStyle w:val="Parties"/>
      </w:pPr>
      <w:r>
        <w:rPr>
          <w:b/>
          <w:bCs/>
        </w:rPr>
        <w:t>GRACE : WAYNE ALAN</w:t>
      </w:r>
      <w:r>
        <w:rPr>
          <w:b/>
          <w:bCs/>
        </w:rPr>
        <w:tab/>
      </w:r>
      <w:r>
        <w:t>Second Defendant</w:t>
      </w:r>
    </w:p>
    <w:p w:rsidR="0054123B" w:rsidRDefault="0054123B" w:rsidP="0054123B">
      <w:pPr>
        <w:pStyle w:val="Parties"/>
      </w:pPr>
    </w:p>
    <w:p w:rsidR="0054123B" w:rsidRDefault="0054123B" w:rsidP="0054123B">
      <w:pPr>
        <w:pStyle w:val="Parties"/>
      </w:pPr>
      <w:r>
        <w:rPr>
          <w:b/>
          <w:bCs/>
        </w:rPr>
        <w:t xml:space="preserve">DENNISON : RONNIE </w:t>
      </w:r>
      <w:r>
        <w:rPr>
          <w:b/>
          <w:bCs/>
        </w:rPr>
        <w:tab/>
      </w:r>
      <w:r>
        <w:t>Third Defendant</w:t>
      </w:r>
    </w:p>
    <w:p w:rsidR="0054123B" w:rsidRDefault="0054123B" w:rsidP="0054123B">
      <w:pPr>
        <w:pStyle w:val="Parties"/>
      </w:pPr>
    </w:p>
    <w:p w:rsidR="0054123B" w:rsidRDefault="0054123B" w:rsidP="0054123B">
      <w:pPr>
        <w:pStyle w:val="Parties"/>
      </w:pPr>
    </w:p>
    <w:p w:rsidR="00E52518" w:rsidRPr="00E52518" w:rsidRDefault="00E52518" w:rsidP="00E52518">
      <w:pPr>
        <w:rPr>
          <w:rFonts w:ascii="Times" w:hAnsi="Times"/>
          <w:color w:val="000000"/>
          <w:lang w:val="en-ZA"/>
        </w:rPr>
      </w:pPr>
      <w:r w:rsidRPr="00EE6CBE">
        <w:rPr>
          <w:shd w:val="clear" w:color="auto" w:fill="FFFFFF"/>
          <w:lang w:val="en-ZA"/>
        </w:rPr>
        <w:t xml:space="preserve">This judgment was handed down electronically by circulation to the parties’ legal representatives by email. The date and time for hand-down is deemed to be </w:t>
      </w:r>
      <w:r w:rsidR="007A737D">
        <w:rPr>
          <w:shd w:val="clear" w:color="auto" w:fill="FFFFFF"/>
          <w:lang w:val="en-ZA"/>
        </w:rPr>
        <w:t>16 November</w:t>
      </w:r>
      <w:r>
        <w:rPr>
          <w:shd w:val="clear" w:color="auto" w:fill="FFFFFF"/>
          <w:lang w:val="en-ZA"/>
        </w:rPr>
        <w:t xml:space="preserve"> </w:t>
      </w:r>
      <w:r>
        <w:rPr>
          <w:color w:val="000000"/>
          <w:shd w:val="clear" w:color="auto" w:fill="FFFFFF"/>
          <w:lang w:val="en-ZA"/>
        </w:rPr>
        <w:t>2022</w:t>
      </w:r>
    </w:p>
    <w:p w:rsidR="00820579" w:rsidRDefault="00820579" w:rsidP="00820579">
      <w:pPr>
        <w:pStyle w:val="Parties"/>
      </w:pPr>
    </w:p>
    <w:p w:rsidR="00300D09" w:rsidRDefault="00300D09" w:rsidP="00300D09">
      <w:pPr>
        <w:pStyle w:val="Parties"/>
      </w:pPr>
    </w:p>
    <w:p w:rsidR="006D7F36" w:rsidRPr="00A92CAD" w:rsidRDefault="00CC22D8" w:rsidP="00573270">
      <w:pPr>
        <w:pStyle w:val="Parties"/>
        <w:tabs>
          <w:tab w:val="center" w:pos="4111"/>
        </w:tabs>
      </w:pPr>
      <w:r w:rsidRPr="00A92CAD">
        <w:lastRenderedPageBreak/>
        <w:tab/>
      </w:r>
    </w:p>
    <w:p w:rsidR="002A4D60" w:rsidRPr="00A92CAD" w:rsidRDefault="002A4D60" w:rsidP="002A4D60">
      <w:pPr>
        <w:pStyle w:val="TramLines"/>
      </w:pPr>
      <w:r w:rsidRPr="00A92CAD">
        <w:t>JUDGMENT</w:t>
      </w:r>
    </w:p>
    <w:p w:rsidR="00CC22D8" w:rsidRPr="00A92CAD" w:rsidRDefault="00CC22D8" w:rsidP="00CC22D8"/>
    <w:p w:rsidR="004A6CBC" w:rsidRPr="00E52518" w:rsidRDefault="004A6CBC" w:rsidP="004A6CBC">
      <w:pPr>
        <w:rPr>
          <w:b/>
          <w:bCs/>
          <w:lang w:val="en-ZA"/>
        </w:rPr>
      </w:pPr>
      <w:r w:rsidRPr="00E52518">
        <w:rPr>
          <w:b/>
          <w:bCs/>
          <w:lang w:val="en-ZA"/>
        </w:rPr>
        <w:t>INGRID OPPERMAN J</w:t>
      </w:r>
    </w:p>
    <w:p w:rsidR="004A6CBC" w:rsidRDefault="004A6CBC" w:rsidP="004A6CBC">
      <w:pPr>
        <w:rPr>
          <w:b/>
        </w:rPr>
      </w:pPr>
    </w:p>
    <w:p w:rsidR="004A6CBC" w:rsidRDefault="004A6CBC" w:rsidP="004A6CBC">
      <w:pPr>
        <w:pStyle w:val="Heading1"/>
      </w:pPr>
      <w:r>
        <w:t xml:space="preserve">Introduction </w:t>
      </w:r>
    </w:p>
    <w:p w:rsidR="004A6CBC" w:rsidRDefault="008518D6" w:rsidP="008518D6">
      <w:pPr>
        <w:pStyle w:val="10"/>
        <w:numPr>
          <w:ilvl w:val="0"/>
          <w:numId w:val="0"/>
        </w:numPr>
        <w:tabs>
          <w:tab w:val="left" w:pos="567"/>
        </w:tabs>
        <w:rPr>
          <w:lang w:val="en-ZA"/>
        </w:rPr>
      </w:pPr>
      <w:r>
        <w:rPr>
          <w:lang w:val="en-ZA"/>
        </w:rPr>
        <w:t>[1]</w:t>
      </w:r>
      <w:r>
        <w:rPr>
          <w:lang w:val="en-ZA"/>
        </w:rPr>
        <w:tab/>
      </w:r>
      <w:r w:rsidR="004A6CBC">
        <w:rPr>
          <w:lang w:val="en-ZA"/>
        </w:rPr>
        <w:t>The plaintiffs are the liquidators of a company (‘</w:t>
      </w:r>
      <w:r w:rsidR="004A6CBC" w:rsidRPr="0054123B">
        <w:rPr>
          <w:i/>
          <w:lang w:val="en-ZA"/>
        </w:rPr>
        <w:t>Water Africa</w:t>
      </w:r>
      <w:r w:rsidR="004A6CBC">
        <w:rPr>
          <w:lang w:val="en-ZA"/>
        </w:rPr>
        <w:t>’</w:t>
      </w:r>
      <w:r w:rsidR="004A6CBC">
        <w:rPr>
          <w:rStyle w:val="FootnoteReference"/>
        </w:rPr>
        <w:footnoteReference w:id="1"/>
      </w:r>
      <w:r w:rsidR="004A6CBC">
        <w:rPr>
          <w:lang w:val="en-ZA"/>
        </w:rPr>
        <w:t>). On 7 February 2014 a creditor (‘</w:t>
      </w:r>
      <w:r w:rsidR="004A6CBC" w:rsidRPr="0056635A">
        <w:rPr>
          <w:i/>
          <w:lang w:val="en-ZA"/>
        </w:rPr>
        <w:t>DPI Plastics</w:t>
      </w:r>
      <w:r w:rsidR="004A6CBC">
        <w:rPr>
          <w:lang w:val="en-ZA"/>
        </w:rPr>
        <w:t>’) issued an application for a final winding-up order of Water Africa (‘</w:t>
      </w:r>
      <w:r w:rsidR="004A6CBC" w:rsidRPr="0056635A">
        <w:rPr>
          <w:i/>
          <w:lang w:val="en-ZA"/>
        </w:rPr>
        <w:t>the winding-up application</w:t>
      </w:r>
      <w:r w:rsidR="004A6CBC">
        <w:rPr>
          <w:lang w:val="en-ZA"/>
        </w:rPr>
        <w:t xml:space="preserve">’). </w:t>
      </w:r>
    </w:p>
    <w:p w:rsidR="004A6CBC" w:rsidRDefault="008518D6" w:rsidP="008518D6">
      <w:pPr>
        <w:pStyle w:val="10"/>
        <w:numPr>
          <w:ilvl w:val="0"/>
          <w:numId w:val="0"/>
        </w:numPr>
        <w:tabs>
          <w:tab w:val="left" w:pos="567"/>
        </w:tabs>
        <w:rPr>
          <w:lang w:val="en-ZA"/>
        </w:rPr>
      </w:pPr>
      <w:r>
        <w:rPr>
          <w:lang w:val="en-ZA"/>
        </w:rPr>
        <w:t>[2]</w:t>
      </w:r>
      <w:r>
        <w:rPr>
          <w:lang w:val="en-ZA"/>
        </w:rPr>
        <w:tab/>
      </w:r>
      <w:r w:rsidR="004A6CBC">
        <w:rPr>
          <w:lang w:val="en-ZA"/>
        </w:rPr>
        <w:t xml:space="preserve">On 28 October 2015, Judge Hughes granted a final winding-up order. Water Africa was thereafter placed under business rescue by Judge Tuchten and on 12 April 2016, the final winding-up of Water Africa was reinstated by Judge Potterill. The plaintiffs were appointed as liquidators on 30 June 2016. </w:t>
      </w:r>
    </w:p>
    <w:p w:rsidR="004A6CBC" w:rsidRDefault="008518D6" w:rsidP="008518D6">
      <w:pPr>
        <w:pStyle w:val="10"/>
        <w:numPr>
          <w:ilvl w:val="0"/>
          <w:numId w:val="0"/>
        </w:numPr>
        <w:tabs>
          <w:tab w:val="left" w:pos="567"/>
        </w:tabs>
        <w:rPr>
          <w:lang w:val="en-ZA"/>
        </w:rPr>
      </w:pPr>
      <w:r>
        <w:rPr>
          <w:lang w:val="en-ZA"/>
        </w:rPr>
        <w:t>[3]</w:t>
      </w:r>
      <w:r>
        <w:rPr>
          <w:lang w:val="en-ZA"/>
        </w:rPr>
        <w:tab/>
      </w:r>
      <w:r w:rsidR="004A6CBC">
        <w:rPr>
          <w:lang w:val="en-ZA"/>
        </w:rPr>
        <w:t>The first defendant is a practising firm of attorneys who represented Water Africa during the winding-up application</w:t>
      </w:r>
      <w:r w:rsidR="004F0A7A">
        <w:rPr>
          <w:lang w:val="en-ZA"/>
        </w:rPr>
        <w:t xml:space="preserve"> (‘</w:t>
      </w:r>
      <w:r w:rsidR="004F0A7A" w:rsidRPr="004F0A7A">
        <w:rPr>
          <w:i/>
          <w:lang w:val="en-ZA"/>
        </w:rPr>
        <w:t>Water Africa’</w:t>
      </w:r>
      <w:r w:rsidR="004F0A7A">
        <w:rPr>
          <w:i/>
          <w:lang w:val="en-ZA"/>
        </w:rPr>
        <w:t>s attor</w:t>
      </w:r>
      <w:r w:rsidR="004F0A7A" w:rsidRPr="004F0A7A">
        <w:rPr>
          <w:i/>
          <w:lang w:val="en-ZA"/>
        </w:rPr>
        <w:t>neys’</w:t>
      </w:r>
      <w:r w:rsidR="004F0A7A">
        <w:rPr>
          <w:lang w:val="en-ZA"/>
        </w:rPr>
        <w:t>)</w:t>
      </w:r>
      <w:r w:rsidR="004A6CBC">
        <w:rPr>
          <w:lang w:val="en-ZA"/>
        </w:rPr>
        <w:t>. The second and third defendants were directors of Water Africa.</w:t>
      </w:r>
    </w:p>
    <w:p w:rsidR="004A6CBC" w:rsidRDefault="008518D6" w:rsidP="008518D6">
      <w:pPr>
        <w:pStyle w:val="10"/>
        <w:numPr>
          <w:ilvl w:val="0"/>
          <w:numId w:val="0"/>
        </w:numPr>
        <w:tabs>
          <w:tab w:val="left" w:pos="567"/>
        </w:tabs>
        <w:rPr>
          <w:lang w:val="en-ZA"/>
        </w:rPr>
      </w:pPr>
      <w:r>
        <w:rPr>
          <w:lang w:val="en-ZA"/>
        </w:rPr>
        <w:t>[4</w:t>
      </w:r>
      <w:bookmarkStart w:id="1" w:name="_GoBack"/>
      <w:bookmarkEnd w:id="1"/>
      <w:r>
        <w:rPr>
          <w:lang w:val="en-ZA"/>
        </w:rPr>
        <w:t>]</w:t>
      </w:r>
      <w:r>
        <w:rPr>
          <w:lang w:val="en-ZA"/>
        </w:rPr>
        <w:tab/>
      </w:r>
      <w:r w:rsidR="004F0A7A">
        <w:rPr>
          <w:lang w:val="en-ZA"/>
        </w:rPr>
        <w:t>On 20 May 2015, Water Africa’s attorneys</w:t>
      </w:r>
      <w:r w:rsidR="004A6CBC">
        <w:rPr>
          <w:lang w:val="en-ZA"/>
        </w:rPr>
        <w:t xml:space="preserve"> made a tender (‘</w:t>
      </w:r>
      <w:r w:rsidR="004A6CBC" w:rsidRPr="0056635A">
        <w:rPr>
          <w:i/>
          <w:lang w:val="en-ZA"/>
        </w:rPr>
        <w:t>the tender</w:t>
      </w:r>
      <w:r w:rsidR="004A6CBC">
        <w:rPr>
          <w:lang w:val="en-ZA"/>
        </w:rPr>
        <w:t>’) to DPI Plastics in terms of which an amount of R1,664,207 was tendered on certain conditions. Such amount</w:t>
      </w:r>
      <w:r w:rsidR="004F0A7A">
        <w:rPr>
          <w:lang w:val="en-ZA"/>
        </w:rPr>
        <w:t xml:space="preserve"> was held by Water Africa’s attorneys</w:t>
      </w:r>
      <w:r w:rsidR="004A6CBC">
        <w:rPr>
          <w:lang w:val="en-ZA"/>
        </w:rPr>
        <w:t xml:space="preserve"> in trust. DPI Plastics rejected the tender. After the final winding-up order was granted, and on 24</w:t>
      </w:r>
      <w:r w:rsidR="004F0A7A">
        <w:rPr>
          <w:lang w:val="en-ZA"/>
        </w:rPr>
        <w:t xml:space="preserve"> March 2016, Water Africa’s attorneys</w:t>
      </w:r>
      <w:r w:rsidR="004A6CBC">
        <w:rPr>
          <w:lang w:val="en-ZA"/>
        </w:rPr>
        <w:t xml:space="preserve"> paid out of t</w:t>
      </w:r>
      <w:r w:rsidR="007A737D">
        <w:rPr>
          <w:lang w:val="en-ZA"/>
        </w:rPr>
        <w:t>he trust account an amount of R4</w:t>
      </w:r>
      <w:r w:rsidR="004A6CBC">
        <w:rPr>
          <w:lang w:val="en-ZA"/>
        </w:rPr>
        <w:t xml:space="preserve">00,000 to the second defendant and an </w:t>
      </w:r>
      <w:r w:rsidR="007A737D">
        <w:rPr>
          <w:lang w:val="en-ZA"/>
        </w:rPr>
        <w:t>amount of R4</w:t>
      </w:r>
      <w:r w:rsidR="004A6CBC">
        <w:rPr>
          <w:lang w:val="en-ZA"/>
        </w:rPr>
        <w:t>00,000 to the third defendant.  On the 5</w:t>
      </w:r>
      <w:r w:rsidR="004A6CBC" w:rsidRPr="00692FAF">
        <w:rPr>
          <w:vertAlign w:val="superscript"/>
          <w:lang w:val="en-ZA"/>
        </w:rPr>
        <w:t>th</w:t>
      </w:r>
      <w:r w:rsidR="004A6CBC">
        <w:rPr>
          <w:lang w:val="en-ZA"/>
        </w:rPr>
        <w:t xml:space="preserve"> of April of 2016 a further sum o</w:t>
      </w:r>
      <w:r w:rsidR="007A737D">
        <w:rPr>
          <w:lang w:val="en-ZA"/>
        </w:rPr>
        <w:t>f R200 000 was paid to the second</w:t>
      </w:r>
      <w:r w:rsidR="004A6CBC">
        <w:rPr>
          <w:lang w:val="en-ZA"/>
        </w:rPr>
        <w:t xml:space="preserve"> defendant.</w:t>
      </w:r>
    </w:p>
    <w:p w:rsidR="004A6CBC" w:rsidRDefault="008518D6" w:rsidP="008518D6">
      <w:pPr>
        <w:pStyle w:val="10"/>
        <w:numPr>
          <w:ilvl w:val="0"/>
          <w:numId w:val="0"/>
        </w:numPr>
        <w:tabs>
          <w:tab w:val="left" w:pos="567"/>
        </w:tabs>
        <w:rPr>
          <w:lang w:val="en-ZA"/>
        </w:rPr>
      </w:pPr>
      <w:r>
        <w:rPr>
          <w:lang w:val="en-ZA"/>
        </w:rPr>
        <w:lastRenderedPageBreak/>
        <w:t>[5]</w:t>
      </w:r>
      <w:r>
        <w:rPr>
          <w:lang w:val="en-ZA"/>
        </w:rPr>
        <w:tab/>
      </w:r>
      <w:r w:rsidR="004A6CBC">
        <w:rPr>
          <w:lang w:val="en-ZA"/>
        </w:rPr>
        <w:t>The plaintiffs’ case is esse</w:t>
      </w:r>
      <w:r w:rsidR="004F0A7A">
        <w:rPr>
          <w:lang w:val="en-ZA"/>
        </w:rPr>
        <w:t>ntially that Water Africa’s attorneys</w:t>
      </w:r>
      <w:r w:rsidR="004A6CBC">
        <w:rPr>
          <w:lang w:val="en-ZA"/>
        </w:rPr>
        <w:t xml:space="preserve"> held the amount of R1,664,207 in trust on behalf of Water Africa, that it was an asset or property of Water Africa, and that on liquidation the liquidators became entitled to this amount. They contend that the payments to the second and third defendants stand to be reversed or repaid. After the payments to the second and third defendants, a balance of R664,207 remained unaccounted for and they </w:t>
      </w:r>
      <w:r w:rsidR="004F0A7A">
        <w:rPr>
          <w:lang w:val="en-ZA"/>
        </w:rPr>
        <w:t>contend that Water Africa’s attorneys</w:t>
      </w:r>
      <w:r w:rsidR="004A6CBC">
        <w:rPr>
          <w:lang w:val="en-ZA"/>
        </w:rPr>
        <w:t xml:space="preserve"> should also repay such amount. The plaintiffs rely on the provisions of the Companies Act 61 of 1973 (‘</w:t>
      </w:r>
      <w:r w:rsidR="004A6CBC" w:rsidRPr="0056635A">
        <w:rPr>
          <w:i/>
          <w:lang w:val="en-ZA"/>
        </w:rPr>
        <w:t>the old Companies Act</w:t>
      </w:r>
      <w:r w:rsidR="004A6CBC">
        <w:rPr>
          <w:lang w:val="en-ZA"/>
        </w:rPr>
        <w:t>’) and the Insolvency Act, 24 of 1936</w:t>
      </w:r>
      <w:r w:rsidR="007A737D">
        <w:rPr>
          <w:lang w:val="en-ZA"/>
        </w:rPr>
        <w:t xml:space="preserve"> (‘</w:t>
      </w:r>
      <w:r w:rsidR="007A737D" w:rsidRPr="007A737D">
        <w:rPr>
          <w:i/>
          <w:lang w:val="en-ZA"/>
        </w:rPr>
        <w:t>the Insolvency Act’</w:t>
      </w:r>
      <w:r w:rsidR="007A737D">
        <w:rPr>
          <w:lang w:val="en-ZA"/>
        </w:rPr>
        <w:t>)</w:t>
      </w:r>
      <w:r w:rsidR="004A6CBC">
        <w:rPr>
          <w:lang w:val="en-ZA"/>
        </w:rPr>
        <w:t xml:space="preserve">. </w:t>
      </w:r>
    </w:p>
    <w:p w:rsidR="00D5285C" w:rsidRDefault="008518D6" w:rsidP="008518D6">
      <w:pPr>
        <w:pStyle w:val="10"/>
        <w:numPr>
          <w:ilvl w:val="0"/>
          <w:numId w:val="0"/>
        </w:numPr>
        <w:tabs>
          <w:tab w:val="left" w:pos="567"/>
        </w:tabs>
        <w:rPr>
          <w:lang w:val="en-ZA"/>
        </w:rPr>
      </w:pPr>
      <w:r>
        <w:rPr>
          <w:lang w:val="en-ZA"/>
        </w:rPr>
        <w:t>[6]</w:t>
      </w:r>
      <w:r>
        <w:rPr>
          <w:lang w:val="en-ZA"/>
        </w:rPr>
        <w:tab/>
      </w:r>
      <w:r w:rsidR="004A6CBC">
        <w:rPr>
          <w:lang w:val="en-ZA"/>
        </w:rPr>
        <w:t>The defendants’ main case is that the second and third defendants were the s</w:t>
      </w:r>
      <w:r w:rsidR="004F0A7A">
        <w:rPr>
          <w:lang w:val="en-ZA"/>
        </w:rPr>
        <w:t>ource of th</w:t>
      </w:r>
      <w:r w:rsidR="00684450">
        <w:rPr>
          <w:lang w:val="en-ZA"/>
        </w:rPr>
        <w:t>e money in Water Africa’s attor</w:t>
      </w:r>
      <w:r w:rsidR="004F0A7A">
        <w:rPr>
          <w:lang w:val="en-ZA"/>
        </w:rPr>
        <w:t>ney’s</w:t>
      </w:r>
      <w:r w:rsidR="004A6CBC">
        <w:rPr>
          <w:lang w:val="en-ZA"/>
        </w:rPr>
        <w:t xml:space="preserve"> trust account and that the money in the t</w:t>
      </w:r>
      <w:r w:rsidR="007A737D">
        <w:rPr>
          <w:lang w:val="en-ZA"/>
        </w:rPr>
        <w:t xml:space="preserve">rust account was not the </w:t>
      </w:r>
      <w:r w:rsidR="004A6CBC">
        <w:rPr>
          <w:lang w:val="en-ZA"/>
        </w:rPr>
        <w:t>property of Water Africa.</w:t>
      </w:r>
    </w:p>
    <w:p w:rsidR="008747E0" w:rsidRDefault="008747E0" w:rsidP="008747E0">
      <w:pPr>
        <w:pStyle w:val="10"/>
        <w:numPr>
          <w:ilvl w:val="0"/>
          <w:numId w:val="0"/>
        </w:numPr>
        <w:rPr>
          <w:lang w:val="en-ZA"/>
        </w:rPr>
      </w:pPr>
    </w:p>
    <w:p w:rsidR="00D5285C" w:rsidRDefault="00D5285C" w:rsidP="00D5285C">
      <w:pPr>
        <w:pStyle w:val="Heading1"/>
        <w:rPr>
          <w:lang w:val="en-ZA"/>
        </w:rPr>
      </w:pPr>
      <w:r>
        <w:rPr>
          <w:lang w:val="en-ZA"/>
        </w:rPr>
        <w:t xml:space="preserve">Evidence </w:t>
      </w:r>
    </w:p>
    <w:p w:rsidR="008747E0" w:rsidRDefault="008518D6" w:rsidP="008518D6">
      <w:pPr>
        <w:pStyle w:val="10"/>
        <w:numPr>
          <w:ilvl w:val="0"/>
          <w:numId w:val="0"/>
        </w:numPr>
        <w:tabs>
          <w:tab w:val="left" w:pos="567"/>
        </w:tabs>
        <w:rPr>
          <w:lang w:val="en-ZA"/>
        </w:rPr>
      </w:pPr>
      <w:r>
        <w:rPr>
          <w:lang w:val="en-ZA"/>
        </w:rPr>
        <w:t>[7]</w:t>
      </w:r>
      <w:r>
        <w:rPr>
          <w:lang w:val="en-ZA"/>
        </w:rPr>
        <w:tab/>
      </w:r>
      <w:r w:rsidR="00D5285C">
        <w:rPr>
          <w:lang w:val="en-ZA"/>
        </w:rPr>
        <w:t>Mr van den Heever testified on behalf of the plaintiffs and Mr Christie a director of Water Africa’</w:t>
      </w:r>
      <w:r w:rsidR="007A737D">
        <w:rPr>
          <w:lang w:val="en-ZA"/>
        </w:rPr>
        <w:t>s attorneys, testified on behalf</w:t>
      </w:r>
      <w:r w:rsidR="00D5285C">
        <w:rPr>
          <w:lang w:val="en-ZA"/>
        </w:rPr>
        <w:t xml:space="preserve"> of the first defendant</w:t>
      </w:r>
      <w:r w:rsidR="007A737D">
        <w:rPr>
          <w:lang w:val="en-ZA"/>
        </w:rPr>
        <w:t>. T</w:t>
      </w:r>
      <w:r w:rsidR="00D5285C">
        <w:rPr>
          <w:lang w:val="en-ZA"/>
        </w:rPr>
        <w:t xml:space="preserve">he second </w:t>
      </w:r>
      <w:r w:rsidR="007A737D">
        <w:rPr>
          <w:lang w:val="en-ZA"/>
        </w:rPr>
        <w:t>and third defendants also testified. The thrust of the defendants’</w:t>
      </w:r>
      <w:r w:rsidR="00D5285C">
        <w:rPr>
          <w:lang w:val="en-ZA"/>
        </w:rPr>
        <w:t xml:space="preserve"> evidence was that the second and third defendants were the source of the money that was paid into Water Africa’s attorneys trust account and that the money was therefore not the property of Water Africa. </w:t>
      </w:r>
    </w:p>
    <w:p w:rsidR="004A6CBC" w:rsidRPr="00D5285C" w:rsidRDefault="004A6CBC" w:rsidP="008747E0">
      <w:pPr>
        <w:pStyle w:val="10"/>
        <w:numPr>
          <w:ilvl w:val="0"/>
          <w:numId w:val="0"/>
        </w:numPr>
        <w:rPr>
          <w:lang w:val="en-ZA"/>
        </w:rPr>
      </w:pPr>
      <w:r w:rsidRPr="00D5285C">
        <w:rPr>
          <w:lang w:val="en-ZA"/>
        </w:rPr>
        <w:t xml:space="preserve"> </w:t>
      </w:r>
    </w:p>
    <w:p w:rsidR="004A6CBC" w:rsidRDefault="00E231F3" w:rsidP="004A6CBC">
      <w:pPr>
        <w:pStyle w:val="Heading1"/>
        <w:rPr>
          <w:lang w:val="en-ZA"/>
        </w:rPr>
      </w:pPr>
      <w:r>
        <w:rPr>
          <w:lang w:val="en-ZA"/>
        </w:rPr>
        <w:t>Undisputed facts or facts which became common cause</w:t>
      </w:r>
      <w:r w:rsidR="004A6CBC">
        <w:rPr>
          <w:lang w:val="en-ZA"/>
        </w:rPr>
        <w:t xml:space="preserve"> </w:t>
      </w:r>
    </w:p>
    <w:p w:rsidR="004A6CBC" w:rsidRDefault="008518D6" w:rsidP="008518D6">
      <w:pPr>
        <w:pStyle w:val="10"/>
        <w:numPr>
          <w:ilvl w:val="0"/>
          <w:numId w:val="0"/>
        </w:numPr>
        <w:tabs>
          <w:tab w:val="left" w:pos="567"/>
        </w:tabs>
        <w:rPr>
          <w:lang w:val="en-ZA"/>
        </w:rPr>
      </w:pPr>
      <w:r>
        <w:rPr>
          <w:lang w:val="en-ZA"/>
        </w:rPr>
        <w:t>[8]</w:t>
      </w:r>
      <w:r>
        <w:rPr>
          <w:lang w:val="en-ZA"/>
        </w:rPr>
        <w:tab/>
      </w:r>
      <w:r w:rsidR="004A6CBC">
        <w:rPr>
          <w:lang w:val="en-ZA"/>
        </w:rPr>
        <w:t xml:space="preserve">As is so often the case, much of what was in dispute at the commencement of the trial, is no longer at the conclusion of the trial. I summarise such facts hereinafter. </w:t>
      </w:r>
    </w:p>
    <w:p w:rsidR="00CE1D8F" w:rsidRDefault="008518D6" w:rsidP="008518D6">
      <w:pPr>
        <w:pStyle w:val="10"/>
        <w:numPr>
          <w:ilvl w:val="0"/>
          <w:numId w:val="0"/>
        </w:numPr>
        <w:tabs>
          <w:tab w:val="left" w:pos="567"/>
        </w:tabs>
        <w:rPr>
          <w:lang w:val="en-ZA"/>
        </w:rPr>
      </w:pPr>
      <w:r>
        <w:rPr>
          <w:lang w:val="en-ZA"/>
        </w:rPr>
        <w:lastRenderedPageBreak/>
        <w:t>[9]</w:t>
      </w:r>
      <w:r>
        <w:rPr>
          <w:lang w:val="en-ZA"/>
        </w:rPr>
        <w:tab/>
      </w:r>
      <w:r w:rsidR="004A6CBC" w:rsidRPr="00CE1D8F">
        <w:rPr>
          <w:lang w:val="en-ZA"/>
        </w:rPr>
        <w:t>On 7 February 2014, DPI Plastics issue</w:t>
      </w:r>
      <w:r w:rsidR="000F6EB9" w:rsidRPr="00CE1D8F">
        <w:rPr>
          <w:lang w:val="en-ZA"/>
        </w:rPr>
        <w:t>d a</w:t>
      </w:r>
      <w:r w:rsidR="004A6CBC" w:rsidRPr="00CE1D8F">
        <w:rPr>
          <w:lang w:val="en-ZA"/>
        </w:rPr>
        <w:t xml:space="preserve"> winding-up application against Water Africa. </w:t>
      </w:r>
    </w:p>
    <w:p w:rsidR="00D5285C" w:rsidRDefault="008518D6" w:rsidP="008518D6">
      <w:pPr>
        <w:pStyle w:val="10"/>
        <w:numPr>
          <w:ilvl w:val="0"/>
          <w:numId w:val="0"/>
        </w:numPr>
        <w:tabs>
          <w:tab w:val="left" w:pos="567"/>
        </w:tabs>
        <w:rPr>
          <w:lang w:val="en-ZA"/>
        </w:rPr>
      </w:pPr>
      <w:r>
        <w:rPr>
          <w:lang w:val="en-ZA"/>
        </w:rPr>
        <w:t>[10]</w:t>
      </w:r>
      <w:r>
        <w:rPr>
          <w:lang w:val="en-ZA"/>
        </w:rPr>
        <w:tab/>
      </w:r>
      <w:r w:rsidR="004A6CBC" w:rsidRPr="00CE1D8F">
        <w:rPr>
          <w:lang w:val="en-ZA"/>
        </w:rPr>
        <w:t xml:space="preserve">On </w:t>
      </w:r>
      <w:r w:rsidR="004F0A7A" w:rsidRPr="00CE1D8F">
        <w:rPr>
          <w:lang w:val="en-ZA"/>
        </w:rPr>
        <w:t>20 May 2015, Water Africa’s attorneys</w:t>
      </w:r>
      <w:r w:rsidR="004A6CBC" w:rsidRPr="00CE1D8F">
        <w:rPr>
          <w:lang w:val="en-ZA"/>
        </w:rPr>
        <w:t xml:space="preserve"> wrote a letter to DPI Plastics in which it co</w:t>
      </w:r>
      <w:r w:rsidR="004F0A7A" w:rsidRPr="00CE1D8F">
        <w:rPr>
          <w:lang w:val="en-ZA"/>
        </w:rPr>
        <w:t>nfirmed that it</w:t>
      </w:r>
      <w:r w:rsidR="004A6CBC" w:rsidRPr="00CE1D8F">
        <w:rPr>
          <w:lang w:val="en-ZA"/>
        </w:rPr>
        <w:t xml:space="preserve"> represented Water Africa in the winding-up application, that </w:t>
      </w:r>
      <w:r w:rsidR="00CE1D8F">
        <w:rPr>
          <w:lang w:val="en-ZA"/>
        </w:rPr>
        <w:t>it had received an amount of R1,664,</w:t>
      </w:r>
      <w:r w:rsidR="004A6CBC" w:rsidRPr="00CE1D8F">
        <w:rPr>
          <w:lang w:val="en-ZA"/>
        </w:rPr>
        <w:t xml:space="preserve">207 from Water Africa and made an unconditional tender on behalf of Water Africa to pay such amount to DPI Plastics in the winding-up application. </w:t>
      </w:r>
      <w:r w:rsidR="00CE1D8F">
        <w:rPr>
          <w:lang w:val="en-ZA"/>
        </w:rPr>
        <w:t xml:space="preserve"> </w:t>
      </w:r>
    </w:p>
    <w:p w:rsidR="004A6CBC" w:rsidRPr="00CE1D8F" w:rsidRDefault="008518D6" w:rsidP="008518D6">
      <w:pPr>
        <w:pStyle w:val="10"/>
        <w:numPr>
          <w:ilvl w:val="0"/>
          <w:numId w:val="0"/>
        </w:numPr>
        <w:tabs>
          <w:tab w:val="left" w:pos="567"/>
        </w:tabs>
        <w:rPr>
          <w:lang w:val="en-ZA"/>
        </w:rPr>
      </w:pPr>
      <w:r w:rsidRPr="00CE1D8F">
        <w:rPr>
          <w:lang w:val="en-ZA"/>
        </w:rPr>
        <w:t>[11]</w:t>
      </w:r>
      <w:r w:rsidRPr="00CE1D8F">
        <w:rPr>
          <w:lang w:val="en-ZA"/>
        </w:rPr>
        <w:tab/>
      </w:r>
      <w:r w:rsidR="00D5285C">
        <w:rPr>
          <w:lang w:val="en-ZA"/>
        </w:rPr>
        <w:t>The amount of R1,664,207 had been</w:t>
      </w:r>
      <w:r w:rsidR="00CE1D8F">
        <w:rPr>
          <w:lang w:val="en-ZA"/>
        </w:rPr>
        <w:t xml:space="preserve"> paid </w:t>
      </w:r>
      <w:r w:rsidR="008646AA">
        <w:rPr>
          <w:lang w:val="en-ZA"/>
        </w:rPr>
        <w:t>into Water Africa’s attorneys’ trust account via various routes and sources, on behalf of or by</w:t>
      </w:r>
      <w:r w:rsidR="00CE1D8F">
        <w:rPr>
          <w:lang w:val="en-ZA"/>
        </w:rPr>
        <w:t xml:space="preserve"> the second and third defendants (</w:t>
      </w:r>
      <w:r w:rsidR="00D5285C">
        <w:rPr>
          <w:lang w:val="en-ZA"/>
        </w:rPr>
        <w:t>the intention was that</w:t>
      </w:r>
      <w:r w:rsidR="00CE1D8F">
        <w:rPr>
          <w:lang w:val="en-ZA"/>
        </w:rPr>
        <w:t xml:space="preserve"> each contribute 50% of such amount but the second defendant was short and the third defendant paid the shortfall).</w:t>
      </w:r>
    </w:p>
    <w:p w:rsidR="004A6CBC" w:rsidRDefault="008518D6" w:rsidP="008518D6">
      <w:pPr>
        <w:pStyle w:val="10"/>
        <w:numPr>
          <w:ilvl w:val="0"/>
          <w:numId w:val="0"/>
        </w:numPr>
        <w:tabs>
          <w:tab w:val="left" w:pos="567"/>
        </w:tabs>
        <w:rPr>
          <w:lang w:val="en-ZA"/>
        </w:rPr>
      </w:pPr>
      <w:r>
        <w:rPr>
          <w:lang w:val="en-ZA"/>
        </w:rPr>
        <w:t>[12]</w:t>
      </w:r>
      <w:r>
        <w:rPr>
          <w:lang w:val="en-ZA"/>
        </w:rPr>
        <w:tab/>
      </w:r>
      <w:r w:rsidR="004A6CBC">
        <w:rPr>
          <w:lang w:val="en-ZA"/>
        </w:rPr>
        <w:t xml:space="preserve">On </w:t>
      </w:r>
      <w:r w:rsidR="004F0A7A">
        <w:rPr>
          <w:lang w:val="en-ZA"/>
        </w:rPr>
        <w:t>1 June 2015, Mr Christ</w:t>
      </w:r>
      <w:r w:rsidR="00684450">
        <w:rPr>
          <w:lang w:val="en-ZA"/>
        </w:rPr>
        <w:t>ie of Water Africa’s attor</w:t>
      </w:r>
      <w:r w:rsidR="004F0A7A">
        <w:rPr>
          <w:lang w:val="en-ZA"/>
        </w:rPr>
        <w:t>n</w:t>
      </w:r>
      <w:r w:rsidR="00684450">
        <w:rPr>
          <w:lang w:val="en-ZA"/>
        </w:rPr>
        <w:t>e</w:t>
      </w:r>
      <w:r w:rsidR="004F0A7A">
        <w:rPr>
          <w:lang w:val="en-ZA"/>
        </w:rPr>
        <w:t xml:space="preserve">ys, </w:t>
      </w:r>
      <w:r w:rsidR="004A6CBC">
        <w:rPr>
          <w:lang w:val="en-ZA"/>
        </w:rPr>
        <w:t>deposed to a supplementary af</w:t>
      </w:r>
      <w:r w:rsidR="004F0A7A">
        <w:rPr>
          <w:lang w:val="en-ZA"/>
        </w:rPr>
        <w:t>fidavit to which was attached the</w:t>
      </w:r>
      <w:r w:rsidR="004A6CBC">
        <w:rPr>
          <w:lang w:val="en-ZA"/>
        </w:rPr>
        <w:t xml:space="preserve"> unconditional tender on behalf of Water Africa and caused this affidavit to be filed and served in the winding-up application. </w:t>
      </w:r>
    </w:p>
    <w:p w:rsidR="004A6CBC" w:rsidRPr="00706C9A" w:rsidRDefault="008518D6" w:rsidP="008518D6">
      <w:pPr>
        <w:pStyle w:val="10"/>
        <w:numPr>
          <w:ilvl w:val="0"/>
          <w:numId w:val="0"/>
        </w:numPr>
        <w:tabs>
          <w:tab w:val="left" w:pos="567"/>
        </w:tabs>
        <w:rPr>
          <w:lang w:val="en-ZA"/>
        </w:rPr>
      </w:pPr>
      <w:r w:rsidRPr="00706C9A">
        <w:rPr>
          <w:lang w:val="en-ZA"/>
        </w:rPr>
        <w:t>[13]</w:t>
      </w:r>
      <w:r w:rsidRPr="00706C9A">
        <w:rPr>
          <w:lang w:val="en-ZA"/>
        </w:rPr>
        <w:tab/>
      </w:r>
      <w:r w:rsidR="004A6CBC">
        <w:rPr>
          <w:lang w:val="en-ZA"/>
        </w:rPr>
        <w:t>On 28 October 2015, Judge Hughes gra</w:t>
      </w:r>
      <w:r w:rsidR="00706C9A">
        <w:rPr>
          <w:lang w:val="en-ZA"/>
        </w:rPr>
        <w:t xml:space="preserve">nted a final winding-up order, </w:t>
      </w:r>
      <w:r w:rsidR="004A6CBC">
        <w:rPr>
          <w:lang w:val="en-ZA"/>
        </w:rPr>
        <w:t>leave to appeal was granted on 20 November 2015</w:t>
      </w:r>
      <w:r w:rsidR="00706C9A">
        <w:rPr>
          <w:lang w:val="en-ZA"/>
        </w:rPr>
        <w:t xml:space="preserve"> and on 15 December 2015 a notice of appeal was filed. </w:t>
      </w:r>
    </w:p>
    <w:p w:rsidR="00CE1D8F" w:rsidRDefault="008518D6" w:rsidP="008518D6">
      <w:pPr>
        <w:pStyle w:val="10"/>
        <w:numPr>
          <w:ilvl w:val="0"/>
          <w:numId w:val="0"/>
        </w:numPr>
        <w:tabs>
          <w:tab w:val="left" w:pos="567"/>
        </w:tabs>
        <w:rPr>
          <w:lang w:val="en-ZA"/>
        </w:rPr>
      </w:pPr>
      <w:r>
        <w:rPr>
          <w:lang w:val="en-ZA"/>
        </w:rPr>
        <w:t>[14]</w:t>
      </w:r>
      <w:r>
        <w:rPr>
          <w:lang w:val="en-ZA"/>
        </w:rPr>
        <w:tab/>
      </w:r>
      <w:r w:rsidR="004A6CBC" w:rsidRPr="00706C9A">
        <w:rPr>
          <w:lang w:val="en-ZA"/>
        </w:rPr>
        <w:t>On 9 December 2015, Water Africa was placed under business rescue in terms of a court ord</w:t>
      </w:r>
      <w:r w:rsidR="00684450" w:rsidRPr="00706C9A">
        <w:rPr>
          <w:lang w:val="en-ZA"/>
        </w:rPr>
        <w:t>er granted by Judge Tuchten</w:t>
      </w:r>
      <w:r w:rsidR="00706C9A">
        <w:rPr>
          <w:lang w:val="en-ZA"/>
        </w:rPr>
        <w:t>.</w:t>
      </w:r>
      <w:r w:rsidR="00684450" w:rsidRPr="00706C9A">
        <w:rPr>
          <w:lang w:val="en-ZA"/>
        </w:rPr>
        <w:t xml:space="preserve"> </w:t>
      </w:r>
      <w:r w:rsidR="004A6CBC" w:rsidRPr="00706C9A">
        <w:rPr>
          <w:lang w:val="en-ZA"/>
        </w:rPr>
        <w:t>On 24</w:t>
      </w:r>
      <w:r w:rsidR="004F0A7A" w:rsidRPr="00706C9A">
        <w:rPr>
          <w:lang w:val="en-ZA"/>
        </w:rPr>
        <w:t xml:space="preserve"> March 2016, Water Africa’s attorneys made </w:t>
      </w:r>
      <w:r w:rsidR="004A6CBC" w:rsidRPr="00706C9A">
        <w:rPr>
          <w:lang w:val="en-ZA"/>
        </w:rPr>
        <w:t>payment</w:t>
      </w:r>
      <w:r w:rsidR="004F0A7A" w:rsidRPr="00706C9A">
        <w:rPr>
          <w:lang w:val="en-ZA"/>
        </w:rPr>
        <w:t>s</w:t>
      </w:r>
      <w:r w:rsidR="004A6CBC" w:rsidRPr="00706C9A">
        <w:rPr>
          <w:lang w:val="en-ZA"/>
        </w:rPr>
        <w:t xml:space="preserve"> to </w:t>
      </w:r>
      <w:r w:rsidR="004F0A7A" w:rsidRPr="00706C9A">
        <w:rPr>
          <w:lang w:val="en-ZA"/>
        </w:rPr>
        <w:t xml:space="preserve">both </w:t>
      </w:r>
      <w:r w:rsidR="004A6CBC" w:rsidRPr="00706C9A">
        <w:rPr>
          <w:lang w:val="en-ZA"/>
        </w:rPr>
        <w:t xml:space="preserve">the </w:t>
      </w:r>
      <w:r w:rsidR="004F0A7A" w:rsidRPr="00706C9A">
        <w:rPr>
          <w:lang w:val="en-ZA"/>
        </w:rPr>
        <w:t xml:space="preserve">first and </w:t>
      </w:r>
      <w:r w:rsidR="004A6CBC" w:rsidRPr="00706C9A">
        <w:rPr>
          <w:lang w:val="en-ZA"/>
        </w:rPr>
        <w:t>second defendant</w:t>
      </w:r>
      <w:r w:rsidR="004F0A7A" w:rsidRPr="00706C9A">
        <w:rPr>
          <w:lang w:val="en-ZA"/>
        </w:rPr>
        <w:t>s</w:t>
      </w:r>
      <w:r w:rsidR="004A6CBC" w:rsidRPr="00706C9A">
        <w:rPr>
          <w:lang w:val="en-ZA"/>
        </w:rPr>
        <w:t xml:space="preserve"> of R400,000</w:t>
      </w:r>
      <w:r w:rsidR="004F0A7A" w:rsidRPr="00706C9A">
        <w:rPr>
          <w:lang w:val="en-ZA"/>
        </w:rPr>
        <w:t xml:space="preserve"> each</w:t>
      </w:r>
      <w:r w:rsidR="004A6CBC" w:rsidRPr="00706C9A">
        <w:rPr>
          <w:lang w:val="en-ZA"/>
        </w:rPr>
        <w:t xml:space="preserve">. On 5 </w:t>
      </w:r>
      <w:r w:rsidR="004F0A7A" w:rsidRPr="00706C9A">
        <w:rPr>
          <w:lang w:val="en-ZA"/>
        </w:rPr>
        <w:t xml:space="preserve">April 2016, it </w:t>
      </w:r>
      <w:r w:rsidR="004A6CBC" w:rsidRPr="00706C9A">
        <w:rPr>
          <w:lang w:val="en-ZA"/>
        </w:rPr>
        <w:t>made a</w:t>
      </w:r>
      <w:r w:rsidR="004F0A7A" w:rsidRPr="00706C9A">
        <w:rPr>
          <w:lang w:val="en-ZA"/>
        </w:rPr>
        <w:t>nother</w:t>
      </w:r>
      <w:r w:rsidR="004A6CBC" w:rsidRPr="00706C9A">
        <w:rPr>
          <w:lang w:val="en-ZA"/>
        </w:rPr>
        <w:t xml:space="preserve"> payment to the second defendant of R200,000. </w:t>
      </w:r>
    </w:p>
    <w:p w:rsidR="004A6CBC" w:rsidRPr="00706C9A" w:rsidRDefault="008518D6" w:rsidP="008518D6">
      <w:pPr>
        <w:pStyle w:val="10"/>
        <w:numPr>
          <w:ilvl w:val="0"/>
          <w:numId w:val="0"/>
        </w:numPr>
        <w:tabs>
          <w:tab w:val="left" w:pos="567"/>
        </w:tabs>
        <w:rPr>
          <w:lang w:val="en-ZA"/>
        </w:rPr>
      </w:pPr>
      <w:r w:rsidRPr="00706C9A">
        <w:rPr>
          <w:lang w:val="en-ZA"/>
        </w:rPr>
        <w:t>[15]</w:t>
      </w:r>
      <w:r w:rsidRPr="00706C9A">
        <w:rPr>
          <w:lang w:val="en-ZA"/>
        </w:rPr>
        <w:tab/>
      </w:r>
      <w:r w:rsidR="004A6CBC" w:rsidRPr="00706C9A">
        <w:rPr>
          <w:lang w:val="en-ZA"/>
        </w:rPr>
        <w:t xml:space="preserve">On 12 April 2016, the final winding-up of Water Africa was reinstated in terms of a court order granted by Judge Potterill. </w:t>
      </w:r>
    </w:p>
    <w:p w:rsidR="004A6CBC" w:rsidRDefault="008518D6" w:rsidP="008518D6">
      <w:pPr>
        <w:pStyle w:val="10"/>
        <w:numPr>
          <w:ilvl w:val="0"/>
          <w:numId w:val="0"/>
        </w:numPr>
        <w:tabs>
          <w:tab w:val="left" w:pos="567"/>
        </w:tabs>
        <w:rPr>
          <w:lang w:val="en-ZA"/>
        </w:rPr>
      </w:pPr>
      <w:r>
        <w:rPr>
          <w:lang w:val="en-ZA"/>
        </w:rPr>
        <w:lastRenderedPageBreak/>
        <w:t>[16]</w:t>
      </w:r>
      <w:r>
        <w:rPr>
          <w:lang w:val="en-ZA"/>
        </w:rPr>
        <w:tab/>
      </w:r>
      <w:r w:rsidR="004A6CBC">
        <w:rPr>
          <w:lang w:val="en-ZA"/>
        </w:rPr>
        <w:t xml:space="preserve">On 30 June 2016, the plaintiffs were appointed as final joint </w:t>
      </w:r>
      <w:r w:rsidR="00CE1D8F">
        <w:rPr>
          <w:lang w:val="en-ZA"/>
        </w:rPr>
        <w:t>liquidators of Water Africa by t</w:t>
      </w:r>
      <w:r w:rsidR="004A6CBC">
        <w:rPr>
          <w:lang w:val="en-ZA"/>
        </w:rPr>
        <w:t xml:space="preserve">he Master. </w:t>
      </w:r>
    </w:p>
    <w:p w:rsidR="004A6CBC" w:rsidRDefault="008518D6" w:rsidP="008518D6">
      <w:pPr>
        <w:pStyle w:val="10"/>
        <w:numPr>
          <w:ilvl w:val="0"/>
          <w:numId w:val="0"/>
        </w:numPr>
        <w:tabs>
          <w:tab w:val="left" w:pos="567"/>
        </w:tabs>
        <w:rPr>
          <w:lang w:val="en-ZA"/>
        </w:rPr>
      </w:pPr>
      <w:r>
        <w:rPr>
          <w:lang w:val="en-ZA"/>
        </w:rPr>
        <w:t>[17]</w:t>
      </w:r>
      <w:r>
        <w:rPr>
          <w:lang w:val="en-ZA"/>
        </w:rPr>
        <w:tab/>
      </w:r>
      <w:r w:rsidR="004A6CBC">
        <w:rPr>
          <w:lang w:val="en-ZA"/>
        </w:rPr>
        <w:t xml:space="preserve">On 20 September 2018, the application launched by the directors of Water Africa to reinstate the appeal lodged against the granting of the final winding-up order on 28 October 2015 was dismissed. </w:t>
      </w:r>
    </w:p>
    <w:p w:rsidR="008747E0" w:rsidRDefault="008747E0" w:rsidP="008747E0">
      <w:pPr>
        <w:pStyle w:val="10"/>
        <w:numPr>
          <w:ilvl w:val="0"/>
          <w:numId w:val="0"/>
        </w:numPr>
        <w:rPr>
          <w:lang w:val="en-ZA"/>
        </w:rPr>
      </w:pPr>
    </w:p>
    <w:p w:rsidR="001469EA" w:rsidRDefault="001469EA" w:rsidP="00035BB3">
      <w:pPr>
        <w:pStyle w:val="Heading1"/>
        <w:rPr>
          <w:lang w:val="en-ZA"/>
        </w:rPr>
      </w:pPr>
      <w:r>
        <w:rPr>
          <w:lang w:val="en-ZA"/>
        </w:rPr>
        <w:t xml:space="preserve">The causes of action </w:t>
      </w:r>
    </w:p>
    <w:p w:rsidR="00850D8F" w:rsidRDefault="008518D6" w:rsidP="008518D6">
      <w:pPr>
        <w:pStyle w:val="10"/>
        <w:numPr>
          <w:ilvl w:val="0"/>
          <w:numId w:val="0"/>
        </w:numPr>
        <w:tabs>
          <w:tab w:val="left" w:pos="567"/>
        </w:tabs>
        <w:rPr>
          <w:lang w:val="en-ZA"/>
        </w:rPr>
      </w:pPr>
      <w:r>
        <w:rPr>
          <w:lang w:val="en-ZA"/>
        </w:rPr>
        <w:t>[18]</w:t>
      </w:r>
      <w:r>
        <w:rPr>
          <w:lang w:val="en-ZA"/>
        </w:rPr>
        <w:tab/>
      </w:r>
      <w:r w:rsidR="00E231F3">
        <w:rPr>
          <w:lang w:val="en-ZA"/>
        </w:rPr>
        <w:t xml:space="preserve">There are two claims. Claim A is based on </w:t>
      </w:r>
      <w:r w:rsidR="001469EA">
        <w:rPr>
          <w:lang w:val="en-ZA"/>
        </w:rPr>
        <w:t>section 341(2) r</w:t>
      </w:r>
      <w:r w:rsidR="00E231F3">
        <w:rPr>
          <w:lang w:val="en-ZA"/>
        </w:rPr>
        <w:t xml:space="preserve">ead with section 348 of the </w:t>
      </w:r>
      <w:r w:rsidR="001469EA">
        <w:rPr>
          <w:lang w:val="en-ZA"/>
        </w:rPr>
        <w:t>Companies Act</w:t>
      </w:r>
      <w:r w:rsidR="00E231F3">
        <w:rPr>
          <w:lang w:val="en-ZA"/>
        </w:rPr>
        <w:t xml:space="preserve"> 61 of 1973 (‘</w:t>
      </w:r>
      <w:r w:rsidR="00E231F3" w:rsidRPr="00E231F3">
        <w:rPr>
          <w:i/>
          <w:lang w:val="en-ZA"/>
        </w:rPr>
        <w:t>the old Companies Act’</w:t>
      </w:r>
      <w:r w:rsidR="00E231F3">
        <w:rPr>
          <w:lang w:val="en-ZA"/>
        </w:rPr>
        <w:t>). Claim A</w:t>
      </w:r>
      <w:r w:rsidR="001469EA">
        <w:rPr>
          <w:lang w:val="en-ZA"/>
        </w:rPr>
        <w:t xml:space="preserve"> became an alternative claim to claim B</w:t>
      </w:r>
      <w:r w:rsidR="00E231F3">
        <w:rPr>
          <w:rStyle w:val="FootnoteReference"/>
        </w:rPr>
        <w:footnoteReference w:id="2"/>
      </w:r>
      <w:r w:rsidR="008646AA">
        <w:rPr>
          <w:lang w:val="en-ZA"/>
        </w:rPr>
        <w:t xml:space="preserve"> as </w:t>
      </w:r>
      <w:r w:rsidR="00850D8F">
        <w:rPr>
          <w:lang w:val="en-ZA"/>
        </w:rPr>
        <w:t>claim A can only apply if claim B is unsuccessful.</w:t>
      </w:r>
    </w:p>
    <w:p w:rsidR="00850D8F" w:rsidRDefault="008518D6" w:rsidP="008518D6">
      <w:pPr>
        <w:pStyle w:val="10"/>
        <w:numPr>
          <w:ilvl w:val="0"/>
          <w:numId w:val="0"/>
        </w:numPr>
        <w:tabs>
          <w:tab w:val="left" w:pos="567"/>
        </w:tabs>
        <w:rPr>
          <w:lang w:val="en-ZA"/>
        </w:rPr>
      </w:pPr>
      <w:r>
        <w:rPr>
          <w:lang w:val="en-ZA"/>
        </w:rPr>
        <w:t>[19]</w:t>
      </w:r>
      <w:r>
        <w:rPr>
          <w:lang w:val="en-ZA"/>
        </w:rPr>
        <w:tab/>
      </w:r>
      <w:r w:rsidR="00850D8F">
        <w:rPr>
          <w:lang w:val="en-ZA"/>
        </w:rPr>
        <w:t xml:space="preserve">In respect of claim B </w:t>
      </w:r>
      <w:r w:rsidR="00E231F3">
        <w:rPr>
          <w:lang w:val="en-ZA"/>
        </w:rPr>
        <w:t>the issues and disputes are</w:t>
      </w:r>
      <w:r w:rsidR="00850D8F">
        <w:rPr>
          <w:lang w:val="en-ZA"/>
        </w:rPr>
        <w:t xml:space="preserve">: </w:t>
      </w:r>
      <w:r w:rsidR="00E231F3">
        <w:rPr>
          <w:lang w:val="en-ZA"/>
        </w:rPr>
        <w:t>(a) w</w:t>
      </w:r>
      <w:r w:rsidR="00850D8F" w:rsidRPr="00E231F3">
        <w:rPr>
          <w:lang w:val="en-ZA"/>
        </w:rPr>
        <w:t xml:space="preserve">hether the plaintiffs have in law </w:t>
      </w:r>
      <w:r w:rsidR="00E231F3">
        <w:rPr>
          <w:lang w:val="en-ZA"/>
        </w:rPr>
        <w:t xml:space="preserve">a </w:t>
      </w:r>
      <w:r w:rsidR="00850D8F" w:rsidRPr="00E231F3">
        <w:rPr>
          <w:lang w:val="en-ZA"/>
        </w:rPr>
        <w:t>claim for repaym</w:t>
      </w:r>
      <w:r w:rsidR="00E231F3">
        <w:rPr>
          <w:lang w:val="en-ZA"/>
        </w:rPr>
        <w:t>ents made by Water Africa’s attorneys</w:t>
      </w:r>
      <w:r w:rsidR="00850D8F" w:rsidRPr="00E231F3">
        <w:rPr>
          <w:lang w:val="en-ZA"/>
        </w:rPr>
        <w:t xml:space="preserve"> to the second and third defendants in terms of the Law of Insolvency (statutory or common law); and</w:t>
      </w:r>
      <w:r w:rsidR="00E231F3">
        <w:rPr>
          <w:lang w:val="en-ZA"/>
        </w:rPr>
        <w:t xml:space="preserve"> (b) w</w:t>
      </w:r>
      <w:r w:rsidR="00850D8F" w:rsidRPr="00E231F3">
        <w:rPr>
          <w:lang w:val="en-ZA"/>
        </w:rPr>
        <w:t>hether the</w:t>
      </w:r>
      <w:r w:rsidR="00E231F3">
        <w:rPr>
          <w:lang w:val="en-ZA"/>
        </w:rPr>
        <w:t xml:space="preserve"> money which Water Africa’s attorneys</w:t>
      </w:r>
      <w:r w:rsidR="00850D8F" w:rsidRPr="00E231F3">
        <w:rPr>
          <w:lang w:val="en-ZA"/>
        </w:rPr>
        <w:t xml:space="preserve"> kept in its trust account is the property or an asset of Water Africa as it is understood in Insolvency Law, i.e. whether it forms part of the </w:t>
      </w:r>
      <w:r w:rsidR="00850D8F" w:rsidRPr="00E231F3">
        <w:rPr>
          <w:i/>
          <w:iCs w:val="0"/>
          <w:lang w:val="en-ZA"/>
        </w:rPr>
        <w:t>concursus creditorum</w:t>
      </w:r>
      <w:r w:rsidR="00850D8F" w:rsidRPr="00E231F3">
        <w:rPr>
          <w:lang w:val="en-ZA"/>
        </w:rPr>
        <w:t>.</w:t>
      </w:r>
    </w:p>
    <w:p w:rsidR="008747E0" w:rsidRPr="00E231F3" w:rsidRDefault="008747E0" w:rsidP="008747E0">
      <w:pPr>
        <w:pStyle w:val="10"/>
        <w:numPr>
          <w:ilvl w:val="0"/>
          <w:numId w:val="0"/>
        </w:numPr>
        <w:rPr>
          <w:lang w:val="en-ZA"/>
        </w:rPr>
      </w:pPr>
    </w:p>
    <w:p w:rsidR="00803D40" w:rsidRDefault="00E231F3" w:rsidP="00035BB3">
      <w:pPr>
        <w:pStyle w:val="Heading1"/>
        <w:rPr>
          <w:lang w:val="en-ZA"/>
        </w:rPr>
      </w:pPr>
      <w:r>
        <w:rPr>
          <w:lang w:val="en-ZA"/>
        </w:rPr>
        <w:t>C</w:t>
      </w:r>
      <w:r w:rsidR="00803D40">
        <w:rPr>
          <w:lang w:val="en-ZA"/>
        </w:rPr>
        <w:t>laim B</w:t>
      </w:r>
    </w:p>
    <w:p w:rsidR="00803D40" w:rsidRPr="00A07800" w:rsidRDefault="008518D6" w:rsidP="008518D6">
      <w:pPr>
        <w:pStyle w:val="10"/>
        <w:numPr>
          <w:ilvl w:val="0"/>
          <w:numId w:val="0"/>
        </w:numPr>
        <w:tabs>
          <w:tab w:val="left" w:pos="567"/>
        </w:tabs>
        <w:rPr>
          <w:lang w:val="en-ZA"/>
        </w:rPr>
      </w:pPr>
      <w:r w:rsidRPr="00A07800">
        <w:rPr>
          <w:lang w:val="en-ZA"/>
        </w:rPr>
        <w:t>[20]</w:t>
      </w:r>
      <w:r w:rsidRPr="00A07800">
        <w:rPr>
          <w:lang w:val="en-ZA"/>
        </w:rPr>
        <w:tab/>
      </w:r>
      <w:r w:rsidR="00803D40">
        <w:rPr>
          <w:lang w:val="en-ZA"/>
        </w:rPr>
        <w:t xml:space="preserve">The grounds on which a liquidator seeks repayment of an amount that has been paid by or on behalf of a company which has been placed under winding-up depends on the stage when the payment was made. Claim B is based on alleged payments made by Water Africa after the granting of the final winding-up order in which event </w:t>
      </w:r>
      <w:r w:rsidR="00803D40">
        <w:rPr>
          <w:lang w:val="en-ZA"/>
        </w:rPr>
        <w:lastRenderedPageBreak/>
        <w:t xml:space="preserve">the court would have no discretion to </w:t>
      </w:r>
      <w:r w:rsidR="00035BB3">
        <w:rPr>
          <w:lang w:val="en-ZA"/>
        </w:rPr>
        <w:t>validate</w:t>
      </w:r>
      <w:r w:rsidR="00803D40">
        <w:rPr>
          <w:lang w:val="en-ZA"/>
        </w:rPr>
        <w:t xml:space="preserve"> such a disposition and the order would be </w:t>
      </w:r>
      <w:r w:rsidR="00803D40">
        <w:rPr>
          <w:i/>
          <w:iCs w:val="0"/>
          <w:lang w:val="en-ZA"/>
        </w:rPr>
        <w:t>void ab initio.</w:t>
      </w:r>
      <w:r w:rsidR="00803D40">
        <w:rPr>
          <w:rStyle w:val="FootnoteReference"/>
          <w:i/>
          <w:iCs w:val="0"/>
        </w:rPr>
        <w:footnoteReference w:id="3"/>
      </w:r>
    </w:p>
    <w:p w:rsidR="008747E0" w:rsidRDefault="008518D6" w:rsidP="008518D6">
      <w:pPr>
        <w:pStyle w:val="10"/>
        <w:numPr>
          <w:ilvl w:val="0"/>
          <w:numId w:val="0"/>
        </w:numPr>
        <w:tabs>
          <w:tab w:val="left" w:pos="567"/>
        </w:tabs>
        <w:rPr>
          <w:lang w:val="en-ZA"/>
        </w:rPr>
      </w:pPr>
      <w:r>
        <w:rPr>
          <w:lang w:val="en-ZA"/>
        </w:rPr>
        <w:t>[21]</w:t>
      </w:r>
      <w:r>
        <w:rPr>
          <w:lang w:val="en-ZA"/>
        </w:rPr>
        <w:tab/>
      </w:r>
      <w:r w:rsidR="00D5285C">
        <w:rPr>
          <w:lang w:val="en-ZA"/>
        </w:rPr>
        <w:t xml:space="preserve">At the time when the </w:t>
      </w:r>
      <w:r w:rsidR="00B909A9">
        <w:rPr>
          <w:lang w:val="en-ZA"/>
        </w:rPr>
        <w:t>payments were made</w:t>
      </w:r>
      <w:r w:rsidR="00BB4E96">
        <w:rPr>
          <w:lang w:val="en-ZA"/>
        </w:rPr>
        <w:t xml:space="preserve"> to the second and third defendants, </w:t>
      </w:r>
      <w:r w:rsidR="00B909A9">
        <w:rPr>
          <w:lang w:val="en-ZA"/>
        </w:rPr>
        <w:t>Water Africa</w:t>
      </w:r>
      <w:r w:rsidR="00A07800">
        <w:rPr>
          <w:lang w:val="en-ZA"/>
        </w:rPr>
        <w:t xml:space="preserve"> had already been placed under winding-up by the court. The payments were therefore </w:t>
      </w:r>
      <w:r w:rsidR="00A07800">
        <w:rPr>
          <w:i/>
          <w:iCs w:val="0"/>
          <w:lang w:val="en-ZA"/>
        </w:rPr>
        <w:t>per se</w:t>
      </w:r>
      <w:r w:rsidR="00A07800">
        <w:rPr>
          <w:lang w:val="en-ZA"/>
        </w:rPr>
        <w:t xml:space="preserve"> void. </w:t>
      </w:r>
    </w:p>
    <w:p w:rsidR="00A07800" w:rsidRDefault="00A07800" w:rsidP="008747E0">
      <w:pPr>
        <w:pStyle w:val="10"/>
        <w:numPr>
          <w:ilvl w:val="0"/>
          <w:numId w:val="0"/>
        </w:numPr>
        <w:rPr>
          <w:lang w:val="en-ZA"/>
        </w:rPr>
      </w:pPr>
      <w:r>
        <w:rPr>
          <w:lang w:val="en-ZA"/>
        </w:rPr>
        <w:t xml:space="preserve"> </w:t>
      </w:r>
    </w:p>
    <w:p w:rsidR="00A07800" w:rsidRDefault="008646AA" w:rsidP="00035BB3">
      <w:pPr>
        <w:pStyle w:val="Heading1"/>
        <w:rPr>
          <w:lang w:val="en-ZA"/>
        </w:rPr>
      </w:pPr>
      <w:r>
        <w:rPr>
          <w:lang w:val="en-ZA"/>
        </w:rPr>
        <w:t>Can the business rescue undo the fact that the payments were void</w:t>
      </w:r>
      <w:r w:rsidR="00A07800">
        <w:rPr>
          <w:lang w:val="en-ZA"/>
        </w:rPr>
        <w:t>?</w:t>
      </w:r>
    </w:p>
    <w:p w:rsidR="008646AA" w:rsidRPr="008646AA" w:rsidRDefault="008518D6" w:rsidP="008518D6">
      <w:pPr>
        <w:pStyle w:val="10"/>
        <w:numPr>
          <w:ilvl w:val="0"/>
          <w:numId w:val="0"/>
        </w:numPr>
        <w:tabs>
          <w:tab w:val="left" w:pos="567"/>
        </w:tabs>
        <w:rPr>
          <w:lang w:val="en-ZA"/>
        </w:rPr>
      </w:pPr>
      <w:r w:rsidRPr="008646AA">
        <w:rPr>
          <w:lang w:val="en-ZA"/>
        </w:rPr>
        <w:t>[22]</w:t>
      </w:r>
      <w:r w:rsidRPr="008646AA">
        <w:rPr>
          <w:lang w:val="en-ZA"/>
        </w:rPr>
        <w:tab/>
      </w:r>
      <w:r w:rsidR="008646AA">
        <w:rPr>
          <w:lang w:val="en-ZA"/>
        </w:rPr>
        <w:t xml:space="preserve">Subsequent to the liquidation of Water Africa, it was placed in business rescue by an order made by Judge Tuchten. In terms of a court order made by Judge Potterill, Judge Tuchten’s order was set aside and it was ordered that the winding-up order be reinstated. </w:t>
      </w:r>
    </w:p>
    <w:p w:rsidR="008646AA" w:rsidRDefault="008518D6" w:rsidP="008518D6">
      <w:pPr>
        <w:pStyle w:val="10"/>
        <w:numPr>
          <w:ilvl w:val="0"/>
          <w:numId w:val="0"/>
        </w:numPr>
        <w:tabs>
          <w:tab w:val="left" w:pos="567"/>
        </w:tabs>
        <w:rPr>
          <w:lang w:val="en-ZA"/>
        </w:rPr>
      </w:pPr>
      <w:r>
        <w:rPr>
          <w:lang w:val="en-ZA"/>
        </w:rPr>
        <w:t>[23]</w:t>
      </w:r>
      <w:r>
        <w:rPr>
          <w:lang w:val="en-ZA"/>
        </w:rPr>
        <w:tab/>
      </w:r>
      <w:r w:rsidR="00A07800">
        <w:rPr>
          <w:lang w:val="en-ZA"/>
        </w:rPr>
        <w:t>The defendants did not plead a defence based on the business rescue order. It is trite that defendants cannot raise a defence that has not been pleaded. Be that as it may, as a matter of law</w:t>
      </w:r>
      <w:r w:rsidR="008646AA">
        <w:rPr>
          <w:lang w:val="en-ZA"/>
        </w:rPr>
        <w:t>, the business rescue order did</w:t>
      </w:r>
      <w:r w:rsidR="00A07800">
        <w:rPr>
          <w:lang w:val="en-ZA"/>
        </w:rPr>
        <w:t xml:space="preserve"> not change the legal position relating to </w:t>
      </w:r>
      <w:r w:rsidR="008646AA">
        <w:rPr>
          <w:lang w:val="en-ZA"/>
        </w:rPr>
        <w:t xml:space="preserve">the </w:t>
      </w:r>
      <w:r w:rsidR="00A07800">
        <w:rPr>
          <w:lang w:val="en-ZA"/>
        </w:rPr>
        <w:t xml:space="preserve">payments made after the winding-up. </w:t>
      </w:r>
    </w:p>
    <w:p w:rsidR="00A07800" w:rsidRDefault="008518D6" w:rsidP="008518D6">
      <w:pPr>
        <w:pStyle w:val="10"/>
        <w:numPr>
          <w:ilvl w:val="0"/>
          <w:numId w:val="0"/>
        </w:numPr>
        <w:tabs>
          <w:tab w:val="left" w:pos="567"/>
        </w:tabs>
        <w:rPr>
          <w:lang w:val="en-ZA"/>
        </w:rPr>
      </w:pPr>
      <w:r>
        <w:rPr>
          <w:lang w:val="en-ZA"/>
        </w:rPr>
        <w:t>[24]</w:t>
      </w:r>
      <w:r>
        <w:rPr>
          <w:lang w:val="en-ZA"/>
        </w:rPr>
        <w:tab/>
      </w:r>
      <w:r w:rsidR="00B909A9">
        <w:rPr>
          <w:lang w:val="en-ZA"/>
        </w:rPr>
        <w:t>The principle is settled:</w:t>
      </w:r>
      <w:r w:rsidR="00A07800">
        <w:rPr>
          <w:lang w:val="en-ZA"/>
        </w:rPr>
        <w:t xml:space="preserve"> in ter</w:t>
      </w:r>
      <w:r w:rsidR="00B909A9">
        <w:rPr>
          <w:lang w:val="en-ZA"/>
        </w:rPr>
        <w:t>ms of section 131(6) of the Companies Act 71 of 2008 (‘</w:t>
      </w:r>
      <w:r w:rsidR="00B909A9" w:rsidRPr="00B909A9">
        <w:rPr>
          <w:i/>
          <w:lang w:val="en-ZA"/>
        </w:rPr>
        <w:t>the new Companies Act’</w:t>
      </w:r>
      <w:r w:rsidR="00B909A9">
        <w:rPr>
          <w:lang w:val="en-ZA"/>
        </w:rPr>
        <w:t>)</w:t>
      </w:r>
      <w:r w:rsidR="00A07800">
        <w:rPr>
          <w:lang w:val="en-ZA"/>
        </w:rPr>
        <w:t xml:space="preserve"> it is the liquidation proceedings and not the winding-up order that is suspended</w:t>
      </w:r>
      <w:r w:rsidR="00D361ED">
        <w:rPr>
          <w:lang w:val="en-ZA"/>
        </w:rPr>
        <w:t>. The winding-up order remains in place.</w:t>
      </w:r>
      <w:r w:rsidR="00D361ED">
        <w:rPr>
          <w:rStyle w:val="FootnoteReference"/>
        </w:rPr>
        <w:footnoteReference w:id="4"/>
      </w:r>
    </w:p>
    <w:p w:rsidR="00D361ED" w:rsidRDefault="008518D6" w:rsidP="008518D6">
      <w:pPr>
        <w:pStyle w:val="10"/>
        <w:numPr>
          <w:ilvl w:val="0"/>
          <w:numId w:val="0"/>
        </w:numPr>
        <w:tabs>
          <w:tab w:val="left" w:pos="567"/>
        </w:tabs>
        <w:rPr>
          <w:lang w:val="en-ZA"/>
        </w:rPr>
      </w:pPr>
      <w:r>
        <w:rPr>
          <w:lang w:val="en-ZA"/>
        </w:rPr>
        <w:t>[25]</w:t>
      </w:r>
      <w:r>
        <w:rPr>
          <w:lang w:val="en-ZA"/>
        </w:rPr>
        <w:tab/>
      </w:r>
      <w:r w:rsidR="00D361ED">
        <w:rPr>
          <w:lang w:val="en-ZA"/>
        </w:rPr>
        <w:t xml:space="preserve">At the time payments to the second and third defendants were made, they were void as having been effected after the winding-up of Water Africa. In terms of </w:t>
      </w:r>
      <w:r w:rsidR="00D361ED">
        <w:rPr>
          <w:i/>
          <w:iCs w:val="0"/>
          <w:lang w:val="en-ZA"/>
        </w:rPr>
        <w:t>Maroos</w:t>
      </w:r>
      <w:r w:rsidR="003E0DD0">
        <w:rPr>
          <w:lang w:val="en-ZA"/>
        </w:rPr>
        <w:t xml:space="preserve"> (</w:t>
      </w:r>
      <w:r w:rsidR="003E0DD0" w:rsidRPr="003E0DD0">
        <w:rPr>
          <w:i/>
          <w:lang w:val="en-ZA"/>
        </w:rPr>
        <w:t>infra</w:t>
      </w:r>
      <w:r w:rsidR="00D361ED">
        <w:rPr>
          <w:lang w:val="en-ZA"/>
        </w:rPr>
        <w:t>), a subsequent placing of a company in business rescue cannot undo the void</w:t>
      </w:r>
      <w:r w:rsidR="003E0DD0">
        <w:rPr>
          <w:lang w:val="en-ZA"/>
        </w:rPr>
        <w:t xml:space="preserve">ness of the dispositions. </w:t>
      </w:r>
      <w:r w:rsidR="00D361ED">
        <w:rPr>
          <w:lang w:val="en-ZA"/>
        </w:rPr>
        <w:t xml:space="preserve">Water Africa was finally wound up in terms of the order made by </w:t>
      </w:r>
      <w:r w:rsidR="00B909A9">
        <w:rPr>
          <w:lang w:val="en-ZA"/>
        </w:rPr>
        <w:t xml:space="preserve">Judge Hughes </w:t>
      </w:r>
      <w:r w:rsidR="00D361ED">
        <w:rPr>
          <w:lang w:val="en-ZA"/>
        </w:rPr>
        <w:t>on 28 October 2015 and not on</w:t>
      </w:r>
      <w:r w:rsidR="00B909A9">
        <w:rPr>
          <w:lang w:val="en-ZA"/>
        </w:rPr>
        <w:t xml:space="preserve"> 12 April 2016 when Judge </w:t>
      </w:r>
      <w:r w:rsidR="00B909A9">
        <w:rPr>
          <w:lang w:val="en-ZA"/>
        </w:rPr>
        <w:lastRenderedPageBreak/>
        <w:t xml:space="preserve">Potterill </w:t>
      </w:r>
      <w:r w:rsidR="00D361ED">
        <w:rPr>
          <w:lang w:val="en-ZA"/>
        </w:rPr>
        <w:t xml:space="preserve">reinstated the court order and </w:t>
      </w:r>
      <w:r w:rsidR="00B909A9">
        <w:rPr>
          <w:lang w:val="en-ZA"/>
        </w:rPr>
        <w:t xml:space="preserve">when she </w:t>
      </w:r>
      <w:r w:rsidR="00D361ED">
        <w:rPr>
          <w:lang w:val="en-ZA"/>
        </w:rPr>
        <w:t xml:space="preserve">made the declarator that the business rescue proceedings had ended. </w:t>
      </w:r>
    </w:p>
    <w:p w:rsidR="001701B4" w:rsidRDefault="008518D6" w:rsidP="008518D6">
      <w:pPr>
        <w:pStyle w:val="10"/>
        <w:numPr>
          <w:ilvl w:val="0"/>
          <w:numId w:val="0"/>
        </w:numPr>
        <w:tabs>
          <w:tab w:val="left" w:pos="567"/>
        </w:tabs>
        <w:rPr>
          <w:lang w:val="en-ZA"/>
        </w:rPr>
      </w:pPr>
      <w:r>
        <w:rPr>
          <w:lang w:val="en-ZA"/>
        </w:rPr>
        <w:t>[26]</w:t>
      </w:r>
      <w:r>
        <w:rPr>
          <w:lang w:val="en-ZA"/>
        </w:rPr>
        <w:tab/>
      </w:r>
      <w:r w:rsidR="00D361ED">
        <w:rPr>
          <w:lang w:val="en-ZA"/>
        </w:rPr>
        <w:t xml:space="preserve">In addition, both Judges Tuchten and Potterill made it clear in the wording of their orders that the </w:t>
      </w:r>
      <w:r w:rsidR="001701B4">
        <w:rPr>
          <w:lang w:val="en-ZA"/>
        </w:rPr>
        <w:t>winding-up</w:t>
      </w:r>
      <w:r w:rsidR="00B909A9">
        <w:rPr>
          <w:lang w:val="en-ZA"/>
        </w:rPr>
        <w:t xml:space="preserve"> of Water Africa</w:t>
      </w:r>
      <w:r w:rsidR="001701B4">
        <w:rPr>
          <w:lang w:val="en-ZA"/>
        </w:rPr>
        <w:t xml:space="preserve"> was reinstated.</w:t>
      </w:r>
      <w:r w:rsidR="00B909A9">
        <w:rPr>
          <w:lang w:val="en-ZA"/>
        </w:rPr>
        <w:t xml:space="preserve"> </w:t>
      </w:r>
      <w:r w:rsidR="001701B4" w:rsidRPr="00B909A9">
        <w:rPr>
          <w:lang w:val="en-ZA"/>
        </w:rPr>
        <w:t>Reinstatement means “the restoration of the status quo ante”.</w:t>
      </w:r>
      <w:r w:rsidR="001701B4">
        <w:rPr>
          <w:rStyle w:val="FootnoteReference"/>
        </w:rPr>
        <w:footnoteReference w:id="5"/>
      </w:r>
    </w:p>
    <w:p w:rsidR="008747E0" w:rsidRPr="00B909A9" w:rsidRDefault="008747E0" w:rsidP="008747E0">
      <w:pPr>
        <w:pStyle w:val="10"/>
        <w:numPr>
          <w:ilvl w:val="0"/>
          <w:numId w:val="0"/>
        </w:numPr>
        <w:rPr>
          <w:lang w:val="en-ZA"/>
        </w:rPr>
      </w:pPr>
    </w:p>
    <w:p w:rsidR="00A3492C" w:rsidRDefault="00A3492C" w:rsidP="00035BB3">
      <w:pPr>
        <w:pStyle w:val="Heading1"/>
        <w:rPr>
          <w:lang w:val="en-ZA"/>
        </w:rPr>
      </w:pPr>
      <w:r>
        <w:rPr>
          <w:lang w:val="en-ZA"/>
        </w:rPr>
        <w:t>Meaning of property</w:t>
      </w:r>
    </w:p>
    <w:p w:rsidR="00A3492C" w:rsidRDefault="008518D6" w:rsidP="008518D6">
      <w:pPr>
        <w:pStyle w:val="10"/>
        <w:numPr>
          <w:ilvl w:val="0"/>
          <w:numId w:val="0"/>
        </w:numPr>
        <w:tabs>
          <w:tab w:val="left" w:pos="567"/>
        </w:tabs>
        <w:rPr>
          <w:lang w:val="en-ZA"/>
        </w:rPr>
      </w:pPr>
      <w:r>
        <w:rPr>
          <w:lang w:val="en-ZA"/>
        </w:rPr>
        <w:t>[27]</w:t>
      </w:r>
      <w:r>
        <w:rPr>
          <w:lang w:val="en-ZA"/>
        </w:rPr>
        <w:tab/>
      </w:r>
      <w:r w:rsidR="007858B0">
        <w:rPr>
          <w:lang w:val="en-ZA"/>
        </w:rPr>
        <w:t xml:space="preserve">The property of a company being wound up is in the custody and under the control </w:t>
      </w:r>
      <w:r w:rsidR="00A3492C">
        <w:rPr>
          <w:lang w:val="en-ZA"/>
        </w:rPr>
        <w:t xml:space="preserve">of the liquidator. </w:t>
      </w:r>
    </w:p>
    <w:p w:rsidR="00A3492C" w:rsidRDefault="008518D6" w:rsidP="008518D6">
      <w:pPr>
        <w:pStyle w:val="10"/>
        <w:numPr>
          <w:ilvl w:val="0"/>
          <w:numId w:val="0"/>
        </w:numPr>
        <w:tabs>
          <w:tab w:val="left" w:pos="567"/>
        </w:tabs>
        <w:rPr>
          <w:lang w:val="en-ZA"/>
        </w:rPr>
      </w:pPr>
      <w:r>
        <w:rPr>
          <w:lang w:val="en-ZA"/>
        </w:rPr>
        <w:t>[28]</w:t>
      </w:r>
      <w:r>
        <w:rPr>
          <w:lang w:val="en-ZA"/>
        </w:rPr>
        <w:tab/>
      </w:r>
      <w:r w:rsidR="00A3492C">
        <w:rPr>
          <w:lang w:val="en-ZA"/>
        </w:rPr>
        <w:t>Section 2</w:t>
      </w:r>
      <w:r w:rsidR="003E0DD0">
        <w:rPr>
          <w:lang w:val="en-ZA"/>
        </w:rPr>
        <w:t xml:space="preserve"> of the Insolvency Act</w:t>
      </w:r>
      <w:r w:rsidR="00121291">
        <w:rPr>
          <w:rStyle w:val="FootnoteReference"/>
        </w:rPr>
        <w:footnoteReference w:id="6"/>
      </w:r>
      <w:r w:rsidR="00121291">
        <w:rPr>
          <w:lang w:val="en-ZA"/>
        </w:rPr>
        <w:t xml:space="preserve"> defines property as follows:</w:t>
      </w:r>
    </w:p>
    <w:p w:rsidR="00121291" w:rsidRDefault="00121291" w:rsidP="005747FA">
      <w:pPr>
        <w:pStyle w:val="Quote"/>
        <w:spacing w:after="240"/>
        <w:rPr>
          <w:lang w:val="en-ZA"/>
        </w:rPr>
      </w:pPr>
      <w:r>
        <w:rPr>
          <w:lang w:val="en-ZA"/>
        </w:rPr>
        <w:t xml:space="preserve">“ ‘property’ means movable or immovable </w:t>
      </w:r>
      <w:r w:rsidR="00035BB3">
        <w:rPr>
          <w:lang w:val="en-ZA"/>
        </w:rPr>
        <w:t>property</w:t>
      </w:r>
      <w:r w:rsidR="00B909A9">
        <w:rPr>
          <w:lang w:val="en-ZA"/>
        </w:rPr>
        <w:t xml:space="preserve"> wherever situate</w:t>
      </w:r>
      <w:r>
        <w:rPr>
          <w:lang w:val="en-ZA"/>
        </w:rPr>
        <w:t xml:space="preserve"> in the Republic, and includes contingent interest</w:t>
      </w:r>
      <w:r w:rsidR="00B909A9">
        <w:rPr>
          <w:lang w:val="en-ZA"/>
        </w:rPr>
        <w:t>s</w:t>
      </w:r>
      <w:r>
        <w:rPr>
          <w:lang w:val="en-ZA"/>
        </w:rPr>
        <w:t xml:space="preserve"> in property other than the contingent interests of a </w:t>
      </w:r>
      <w:r w:rsidR="00B909A9">
        <w:rPr>
          <w:i/>
          <w:iCs w:val="0"/>
          <w:lang w:val="en-ZA"/>
        </w:rPr>
        <w:t>fidei</w:t>
      </w:r>
      <w:r w:rsidRPr="005747FA">
        <w:rPr>
          <w:i/>
          <w:iCs w:val="0"/>
          <w:lang w:val="en-ZA"/>
        </w:rPr>
        <w:t>commiss</w:t>
      </w:r>
      <w:r w:rsidR="005747FA" w:rsidRPr="005747FA">
        <w:rPr>
          <w:i/>
          <w:iCs w:val="0"/>
          <w:lang w:val="en-ZA"/>
        </w:rPr>
        <w:t>ary</w:t>
      </w:r>
      <w:r w:rsidR="00B909A9">
        <w:rPr>
          <w:i/>
          <w:iCs w:val="0"/>
          <w:lang w:val="en-ZA"/>
        </w:rPr>
        <w:t>,</w:t>
      </w:r>
      <w:r w:rsidR="005747FA">
        <w:rPr>
          <w:lang w:val="en-ZA"/>
        </w:rPr>
        <w:t xml:space="preserve"> heir or </w:t>
      </w:r>
      <w:r w:rsidR="00B550EF">
        <w:rPr>
          <w:lang w:val="en-ZA"/>
        </w:rPr>
        <w:t>legatee”.</w:t>
      </w:r>
    </w:p>
    <w:p w:rsidR="005747FA" w:rsidRPr="00B909A9" w:rsidRDefault="008518D6" w:rsidP="008518D6">
      <w:pPr>
        <w:pStyle w:val="10"/>
        <w:numPr>
          <w:ilvl w:val="0"/>
          <w:numId w:val="0"/>
        </w:numPr>
        <w:tabs>
          <w:tab w:val="left" w:pos="567"/>
        </w:tabs>
        <w:rPr>
          <w:lang w:val="en-ZA"/>
        </w:rPr>
      </w:pPr>
      <w:r w:rsidRPr="00B909A9">
        <w:rPr>
          <w:lang w:val="en-ZA"/>
        </w:rPr>
        <w:t>[29]</w:t>
      </w:r>
      <w:r w:rsidRPr="00B909A9">
        <w:rPr>
          <w:lang w:val="en-ZA"/>
        </w:rPr>
        <w:tab/>
      </w:r>
      <w:r w:rsidR="005747FA">
        <w:rPr>
          <w:lang w:val="en-ZA"/>
        </w:rPr>
        <w:t xml:space="preserve">The section defines movable property as meaning every kind of property which is not immovable property. </w:t>
      </w:r>
      <w:r w:rsidR="005747FA" w:rsidRPr="00B909A9">
        <w:rPr>
          <w:lang w:val="en-ZA"/>
        </w:rPr>
        <w:t>It is clear that the definition of “property” is much wider than the common law meaning of property.</w:t>
      </w:r>
      <w:r w:rsidR="005747FA">
        <w:rPr>
          <w:rStyle w:val="FootnoteReference"/>
        </w:rPr>
        <w:footnoteReference w:id="7"/>
      </w:r>
    </w:p>
    <w:p w:rsidR="00886A9D" w:rsidRPr="00E206EE" w:rsidRDefault="008518D6" w:rsidP="008518D6">
      <w:pPr>
        <w:pStyle w:val="10"/>
        <w:numPr>
          <w:ilvl w:val="0"/>
          <w:numId w:val="0"/>
        </w:numPr>
        <w:tabs>
          <w:tab w:val="left" w:pos="567"/>
        </w:tabs>
        <w:rPr>
          <w:lang w:val="en-ZA"/>
        </w:rPr>
      </w:pPr>
      <w:r w:rsidRPr="00E206EE">
        <w:rPr>
          <w:lang w:val="en-ZA"/>
        </w:rPr>
        <w:t>[30]</w:t>
      </w:r>
      <w:r w:rsidRPr="00E206EE">
        <w:rPr>
          <w:lang w:val="en-ZA"/>
        </w:rPr>
        <w:tab/>
      </w:r>
      <w:r w:rsidR="005747FA">
        <w:rPr>
          <w:lang w:val="en-ZA"/>
        </w:rPr>
        <w:t>Accordingly, a right of action which someone has against his or her ba</w:t>
      </w:r>
      <w:r w:rsidR="00726BB7">
        <w:rPr>
          <w:lang w:val="en-ZA"/>
        </w:rPr>
        <w:t xml:space="preserve">nker to claim payments of the amount standing to the credit of his or her account </w:t>
      </w:r>
      <w:r w:rsidR="00035BB3">
        <w:rPr>
          <w:lang w:val="en-ZA"/>
        </w:rPr>
        <w:t>constitutes</w:t>
      </w:r>
      <w:r w:rsidR="00726BB7">
        <w:rPr>
          <w:lang w:val="en-ZA"/>
        </w:rPr>
        <w:t xml:space="preserve"> movable property as defined in the Insolvency Act</w:t>
      </w:r>
      <w:r w:rsidR="00886A9D">
        <w:rPr>
          <w:lang w:val="en-ZA"/>
        </w:rPr>
        <w:t>.</w:t>
      </w:r>
      <w:r w:rsidR="00726BB7">
        <w:rPr>
          <w:rStyle w:val="FootnoteReference"/>
        </w:rPr>
        <w:footnoteReference w:id="8"/>
      </w:r>
      <w:r w:rsidR="00E206EE">
        <w:rPr>
          <w:lang w:val="en-ZA"/>
        </w:rPr>
        <w:t xml:space="preserve"> C</w:t>
      </w:r>
      <w:r w:rsidR="00886A9D" w:rsidRPr="00E206EE">
        <w:rPr>
          <w:lang w:val="en-ZA"/>
        </w:rPr>
        <w:t xml:space="preserve">onceptually one should distinguish between “property” on the one hand which is much wider and </w:t>
      </w:r>
      <w:r w:rsidR="00025FD2" w:rsidRPr="00E206EE">
        <w:rPr>
          <w:lang w:val="en-ZA"/>
        </w:rPr>
        <w:t>e</w:t>
      </w:r>
      <w:r w:rsidR="00886A9D" w:rsidRPr="00E206EE">
        <w:rPr>
          <w:lang w:val="en-ZA"/>
        </w:rPr>
        <w:t>ncompasses</w:t>
      </w:r>
      <w:r w:rsidR="00025FD2" w:rsidRPr="00E206EE">
        <w:rPr>
          <w:lang w:val="en-ZA"/>
        </w:rPr>
        <w:t xml:space="preserve"> much more and ownership on the other hand which is narrower. </w:t>
      </w:r>
    </w:p>
    <w:p w:rsidR="00CE461E" w:rsidRDefault="008518D6" w:rsidP="008518D6">
      <w:pPr>
        <w:pStyle w:val="10"/>
        <w:numPr>
          <w:ilvl w:val="0"/>
          <w:numId w:val="0"/>
        </w:numPr>
        <w:tabs>
          <w:tab w:val="left" w:pos="567"/>
        </w:tabs>
        <w:rPr>
          <w:lang w:val="en-ZA"/>
        </w:rPr>
      </w:pPr>
      <w:r>
        <w:rPr>
          <w:lang w:val="en-ZA"/>
        </w:rPr>
        <w:lastRenderedPageBreak/>
        <w:t>[31]</w:t>
      </w:r>
      <w:r>
        <w:rPr>
          <w:lang w:val="en-ZA"/>
        </w:rPr>
        <w:tab/>
      </w:r>
      <w:r w:rsidR="00025FD2">
        <w:rPr>
          <w:lang w:val="en-ZA"/>
        </w:rPr>
        <w:t xml:space="preserve">In </w:t>
      </w:r>
      <w:r w:rsidR="00025FD2">
        <w:rPr>
          <w:i/>
          <w:iCs w:val="0"/>
          <w:lang w:val="en-ZA"/>
        </w:rPr>
        <w:t>Nationwide</w:t>
      </w:r>
      <w:r w:rsidR="00025FD2">
        <w:rPr>
          <w:rStyle w:val="FootnoteReference"/>
          <w:i/>
          <w:iCs w:val="0"/>
        </w:rPr>
        <w:footnoteReference w:id="9"/>
      </w:r>
      <w:r w:rsidR="00E206EE">
        <w:rPr>
          <w:lang w:val="en-ZA"/>
        </w:rPr>
        <w:t xml:space="preserve"> the company </w:t>
      </w:r>
      <w:r w:rsidR="00BB39F6">
        <w:rPr>
          <w:lang w:val="en-ZA"/>
        </w:rPr>
        <w:t>paid money into its attorneys’ trust account for purposes of settlement and was thereafter</w:t>
      </w:r>
      <w:r w:rsidR="00E206EE">
        <w:rPr>
          <w:lang w:val="en-ZA"/>
        </w:rPr>
        <w:t xml:space="preserve"> liquidated. The High Court </w:t>
      </w:r>
      <w:r w:rsidR="00BB39F6">
        <w:rPr>
          <w:lang w:val="en-ZA"/>
        </w:rPr>
        <w:t>held on the facts that the matter had not become settled and upheld the claim of the provi</w:t>
      </w:r>
      <w:r w:rsidR="00CE461E">
        <w:rPr>
          <w:lang w:val="en-ZA"/>
        </w:rPr>
        <w:t xml:space="preserve">sional </w:t>
      </w:r>
      <w:r w:rsidR="00BB39F6">
        <w:rPr>
          <w:lang w:val="en-ZA"/>
        </w:rPr>
        <w:t xml:space="preserve">liquidators to the </w:t>
      </w:r>
      <w:r w:rsidR="00CE461E">
        <w:rPr>
          <w:lang w:val="en-ZA"/>
        </w:rPr>
        <w:t xml:space="preserve">amount in the attorneys’ trust account. The decision was confirmed on appeal. The SCA held that on the evidence the attorneys held the funds as agent of the company which was eventually liquidated. </w:t>
      </w:r>
    </w:p>
    <w:p w:rsidR="008747E0" w:rsidRDefault="008747E0" w:rsidP="008747E0">
      <w:pPr>
        <w:pStyle w:val="10"/>
        <w:numPr>
          <w:ilvl w:val="0"/>
          <w:numId w:val="0"/>
        </w:numPr>
        <w:rPr>
          <w:lang w:val="en-ZA"/>
        </w:rPr>
      </w:pPr>
    </w:p>
    <w:p w:rsidR="00025FD2" w:rsidRDefault="00CE461E" w:rsidP="00035BB3">
      <w:pPr>
        <w:pStyle w:val="Heading1"/>
        <w:rPr>
          <w:lang w:val="en-ZA"/>
        </w:rPr>
      </w:pPr>
      <w:r>
        <w:rPr>
          <w:lang w:val="en-ZA"/>
        </w:rPr>
        <w:t>The defendants’ assertion that the money was always the “property” of the second and third defendants analysed</w:t>
      </w:r>
    </w:p>
    <w:p w:rsidR="00CE461E" w:rsidRDefault="008518D6" w:rsidP="008518D6">
      <w:pPr>
        <w:pStyle w:val="10"/>
        <w:numPr>
          <w:ilvl w:val="0"/>
          <w:numId w:val="0"/>
        </w:numPr>
        <w:tabs>
          <w:tab w:val="left" w:pos="567"/>
        </w:tabs>
        <w:rPr>
          <w:lang w:val="en-ZA"/>
        </w:rPr>
      </w:pPr>
      <w:r>
        <w:rPr>
          <w:lang w:val="en-ZA"/>
        </w:rPr>
        <w:t>[32]</w:t>
      </w:r>
      <w:r>
        <w:rPr>
          <w:lang w:val="en-ZA"/>
        </w:rPr>
        <w:tab/>
      </w:r>
      <w:r w:rsidR="00CE461E">
        <w:rPr>
          <w:lang w:val="en-ZA"/>
        </w:rPr>
        <w:t xml:space="preserve">The tender was made to demonstrate an ability to pay and it also contained an offer. The purpose of the unconditional tender was to avert the winding-up of Water Africa. Water Africa had to show that it was able </w:t>
      </w:r>
      <w:r w:rsidR="003E0DD0">
        <w:rPr>
          <w:lang w:val="en-ZA"/>
        </w:rPr>
        <w:t xml:space="preserve">to pay DPI Plastics </w:t>
      </w:r>
      <w:r w:rsidR="00CE461E">
        <w:rPr>
          <w:lang w:val="en-ZA"/>
        </w:rPr>
        <w:t xml:space="preserve">whatever was due to it. If the court seized with the winding-up application accepted that the amount of the indebtedness was </w:t>
      </w:r>
      <w:r w:rsidR="007D345E">
        <w:rPr>
          <w:lang w:val="en-ZA"/>
        </w:rPr>
        <w:t>as alleged by Water Africa and that Water Africa (as opposed to its directors or shareholders or any other person) was able to pay the amount of such admitted indebtedness, then the tender might well have had the desired result of staving off the winding-up. If the court were aware that the money being tendered was not the money of Water Africa then the tender would n</w:t>
      </w:r>
      <w:r w:rsidR="00E206EE">
        <w:rPr>
          <w:lang w:val="en-ZA"/>
        </w:rPr>
        <w:t>ot have achieved its objectives or as Mr van den Berg argued, would have been stillborn.</w:t>
      </w:r>
    </w:p>
    <w:p w:rsidR="007D345E" w:rsidRDefault="008518D6" w:rsidP="008518D6">
      <w:pPr>
        <w:pStyle w:val="10"/>
        <w:numPr>
          <w:ilvl w:val="0"/>
          <w:numId w:val="0"/>
        </w:numPr>
        <w:tabs>
          <w:tab w:val="left" w:pos="567"/>
        </w:tabs>
        <w:rPr>
          <w:lang w:val="en-ZA"/>
        </w:rPr>
      </w:pPr>
      <w:r>
        <w:rPr>
          <w:lang w:val="en-ZA"/>
        </w:rPr>
        <w:t>[33]</w:t>
      </w:r>
      <w:r>
        <w:rPr>
          <w:lang w:val="en-ZA"/>
        </w:rPr>
        <w:tab/>
      </w:r>
      <w:r w:rsidR="007D345E">
        <w:rPr>
          <w:lang w:val="en-ZA"/>
        </w:rPr>
        <w:t xml:space="preserve">The second and third defendants were shareholders and directors of Water Africa at the time when the tender was made. It is common for shareholders to advance money to the company on loan account (often without repayment terms and with the loans being subordinated). There is nothing unbusinesslike in an interpretation </w:t>
      </w:r>
      <w:r w:rsidR="007D345E">
        <w:rPr>
          <w:lang w:val="en-ZA"/>
        </w:rPr>
        <w:lastRenderedPageBreak/>
        <w:t>that the pay</w:t>
      </w:r>
      <w:r w:rsidR="00E206EE">
        <w:rPr>
          <w:lang w:val="en-ZA"/>
        </w:rPr>
        <w:t>ments into Water Africa’s attorneys</w:t>
      </w:r>
      <w:r w:rsidR="007D345E">
        <w:rPr>
          <w:lang w:val="en-ZA"/>
        </w:rPr>
        <w:t xml:space="preserve"> trust account by the second and third defendants constituted loans or investments. </w:t>
      </w:r>
    </w:p>
    <w:p w:rsidR="00C90B85" w:rsidRPr="00ED6F57" w:rsidRDefault="008518D6" w:rsidP="008518D6">
      <w:pPr>
        <w:pStyle w:val="10"/>
        <w:numPr>
          <w:ilvl w:val="0"/>
          <w:numId w:val="0"/>
        </w:numPr>
        <w:tabs>
          <w:tab w:val="left" w:pos="567"/>
        </w:tabs>
      </w:pPr>
      <w:r w:rsidRPr="00ED6F57">
        <w:t>[34]</w:t>
      </w:r>
      <w:r w:rsidRPr="00ED6F57">
        <w:tab/>
      </w:r>
      <w:r w:rsidR="007D345E" w:rsidRPr="00035BB3">
        <w:rPr>
          <w:lang w:val="en-ZA"/>
        </w:rPr>
        <w:t>It is against this backgr</w:t>
      </w:r>
      <w:r w:rsidR="00BB4E96">
        <w:rPr>
          <w:lang w:val="en-ZA"/>
        </w:rPr>
        <w:t>ound that the surrounding facts and circumstances</w:t>
      </w:r>
      <w:r w:rsidR="007D345E" w:rsidRPr="00035BB3">
        <w:rPr>
          <w:lang w:val="en-ZA"/>
        </w:rPr>
        <w:t xml:space="preserve"> are to be </w:t>
      </w:r>
      <w:r w:rsidR="00035BB3" w:rsidRPr="00035BB3">
        <w:rPr>
          <w:lang w:val="en-ZA"/>
        </w:rPr>
        <w:t>analysed.</w:t>
      </w:r>
    </w:p>
    <w:p w:rsidR="00ED6F57" w:rsidRPr="00ED6F57" w:rsidRDefault="00ED6F57" w:rsidP="00ED6F57">
      <w:pPr>
        <w:pStyle w:val="10"/>
        <w:numPr>
          <w:ilvl w:val="0"/>
          <w:numId w:val="0"/>
        </w:numPr>
      </w:pPr>
      <w:r>
        <w:rPr>
          <w:u w:val="single"/>
        </w:rPr>
        <w:t>Water Africa’s attorneys</w:t>
      </w:r>
      <w:r w:rsidRPr="00ED6F57">
        <w:rPr>
          <w:u w:val="single"/>
        </w:rPr>
        <w:t xml:space="preserve"> </w:t>
      </w:r>
      <w:r>
        <w:rPr>
          <w:u w:val="single"/>
        </w:rPr>
        <w:t>letter dated</w:t>
      </w:r>
      <w:r w:rsidRPr="00ED6F57">
        <w:rPr>
          <w:u w:val="single"/>
        </w:rPr>
        <w:t xml:space="preserve"> 20 May 2015</w:t>
      </w:r>
    </w:p>
    <w:p w:rsidR="00ED6F57" w:rsidRDefault="008518D6" w:rsidP="008518D6">
      <w:pPr>
        <w:pStyle w:val="10"/>
        <w:numPr>
          <w:ilvl w:val="0"/>
          <w:numId w:val="0"/>
        </w:numPr>
        <w:tabs>
          <w:tab w:val="left" w:pos="567"/>
        </w:tabs>
      </w:pPr>
      <w:r>
        <w:t>[35]</w:t>
      </w:r>
      <w:r>
        <w:tab/>
      </w:r>
      <w:r w:rsidR="00ED6F57">
        <w:t xml:space="preserve">The tender was first made in a letter addressed by </w:t>
      </w:r>
      <w:r w:rsidR="00BB4E96">
        <w:t xml:space="preserve">Water Africa’s attorneys to </w:t>
      </w:r>
      <w:r w:rsidR="005A3C39">
        <w:t>DPI Plastic’s</w:t>
      </w:r>
      <w:r w:rsidR="00ED6F57">
        <w:t xml:space="preserve"> attorneys on 20 May 2015. In the heading of</w:t>
      </w:r>
      <w:r w:rsidR="005A3C39">
        <w:t xml:space="preserve"> the letter W</w:t>
      </w:r>
      <w:r w:rsidR="00BB4E96">
        <w:t>ater Africa’s a</w:t>
      </w:r>
      <w:r w:rsidR="005A3C39">
        <w:t xml:space="preserve">ttorneys </w:t>
      </w:r>
      <w:r w:rsidR="00ED6F57">
        <w:t xml:space="preserve">expressly defined </w:t>
      </w:r>
      <w:r w:rsidR="005A3C39">
        <w:t xml:space="preserve">their client </w:t>
      </w:r>
      <w:r w:rsidR="00ED6F57">
        <w:t xml:space="preserve">as </w:t>
      </w:r>
      <w:r w:rsidR="00ED6F57" w:rsidRPr="00ED6F57">
        <w:rPr>
          <w:i/>
        </w:rPr>
        <w:t xml:space="preserve">“Water Africa Systems SA </w:t>
      </w:r>
      <w:r w:rsidR="00ED6F57" w:rsidRPr="00ED6F57">
        <w:rPr>
          <w:i/>
          <w:lang w:val="en-US"/>
        </w:rPr>
        <w:t>(Pty) Ltd</w:t>
      </w:r>
      <w:r w:rsidR="00ED6F57" w:rsidRPr="00ED6F57">
        <w:rPr>
          <w:i/>
        </w:rPr>
        <w:t xml:space="preserve"> trading as Water Africa SA (formerly Ronnie Dennison Agencies (Pty) Ltd)”</w:t>
      </w:r>
      <w:r w:rsidR="00ED6F57">
        <w:t>.</w:t>
      </w:r>
      <w:r w:rsidR="00BB4E96">
        <w:t xml:space="preserve">  Paragraph 1 of the letter </w:t>
      </w:r>
      <w:r w:rsidR="005A3C39">
        <w:t>reads as follows</w:t>
      </w:r>
      <w:r w:rsidR="00ED6F57">
        <w:t>:</w:t>
      </w:r>
    </w:p>
    <w:p w:rsidR="005A3C39" w:rsidRPr="005A3C39" w:rsidRDefault="005A3C39" w:rsidP="005A3C39">
      <w:pPr>
        <w:pStyle w:val="quotation"/>
        <w:spacing w:before="360" w:after="360"/>
        <w:ind w:left="1134"/>
        <w:rPr>
          <w:rFonts w:ascii="Arial" w:hAnsi="Arial" w:cs="Arial"/>
          <w:i w:val="0"/>
          <w:sz w:val="22"/>
          <w:szCs w:val="22"/>
        </w:rPr>
      </w:pPr>
      <w:r>
        <w:rPr>
          <w:rFonts w:ascii="Arial" w:hAnsi="Arial" w:cs="Arial"/>
          <w:i w:val="0"/>
          <w:sz w:val="22"/>
          <w:szCs w:val="22"/>
        </w:rPr>
        <w:t>‘</w:t>
      </w:r>
      <w:r w:rsidRPr="005A3C39">
        <w:rPr>
          <w:rFonts w:ascii="Arial" w:hAnsi="Arial" w:cs="Arial"/>
          <w:i w:val="0"/>
          <w:sz w:val="22"/>
          <w:szCs w:val="22"/>
        </w:rPr>
        <w:t xml:space="preserve">The sum of R1 664 207,00 (one million six hundred sixty four thousand two hundred and seven rand) has been received from </w:t>
      </w:r>
      <w:r w:rsidRPr="00BB4E96">
        <w:rPr>
          <w:rFonts w:ascii="Arial" w:hAnsi="Arial" w:cs="Arial"/>
          <w:b/>
          <w:i w:val="0"/>
          <w:sz w:val="22"/>
          <w:szCs w:val="22"/>
        </w:rPr>
        <w:t>o</w:t>
      </w:r>
      <w:r w:rsidR="00BB4E96" w:rsidRPr="00BB4E96">
        <w:rPr>
          <w:rFonts w:ascii="Arial" w:hAnsi="Arial" w:cs="Arial"/>
          <w:b/>
          <w:i w:val="0"/>
          <w:sz w:val="22"/>
          <w:szCs w:val="22"/>
        </w:rPr>
        <w:t>ur client</w:t>
      </w:r>
      <w:r w:rsidR="00BB4E96">
        <w:rPr>
          <w:rFonts w:ascii="Arial" w:hAnsi="Arial" w:cs="Arial"/>
          <w:i w:val="0"/>
          <w:sz w:val="22"/>
          <w:szCs w:val="22"/>
        </w:rPr>
        <w:t>, and constitutes proof</w:t>
      </w:r>
      <w:r w:rsidRPr="005A3C39">
        <w:rPr>
          <w:rFonts w:ascii="Arial" w:hAnsi="Arial" w:cs="Arial"/>
          <w:i w:val="0"/>
          <w:sz w:val="22"/>
          <w:szCs w:val="22"/>
        </w:rPr>
        <w:t xml:space="preserve"> that </w:t>
      </w:r>
      <w:r w:rsidRPr="00BB4E96">
        <w:rPr>
          <w:rFonts w:ascii="Arial" w:hAnsi="Arial" w:cs="Arial"/>
          <w:b/>
          <w:i w:val="0"/>
          <w:sz w:val="22"/>
          <w:szCs w:val="22"/>
        </w:rPr>
        <w:t>our client</w:t>
      </w:r>
      <w:r w:rsidRPr="005A3C39">
        <w:rPr>
          <w:rFonts w:ascii="Arial" w:hAnsi="Arial" w:cs="Arial"/>
          <w:i w:val="0"/>
          <w:sz w:val="22"/>
          <w:szCs w:val="22"/>
        </w:rPr>
        <w:t xml:space="preserve"> is able to pay any outstanding debts after deducting various challenges and </w:t>
      </w:r>
      <w:r>
        <w:rPr>
          <w:rFonts w:ascii="Arial" w:hAnsi="Arial" w:cs="Arial"/>
          <w:i w:val="0"/>
          <w:sz w:val="22"/>
          <w:szCs w:val="22"/>
        </w:rPr>
        <w:t>counterclaims mentioned below …’</w:t>
      </w:r>
      <w:r w:rsidR="00BB4E96">
        <w:rPr>
          <w:rFonts w:ascii="Arial" w:hAnsi="Arial" w:cs="Arial"/>
          <w:i w:val="0"/>
          <w:sz w:val="22"/>
          <w:szCs w:val="22"/>
        </w:rPr>
        <w:t xml:space="preserve"> (emphasis provided).</w:t>
      </w:r>
    </w:p>
    <w:p w:rsidR="00ED6F57" w:rsidRDefault="008518D6" w:rsidP="008518D6">
      <w:pPr>
        <w:pStyle w:val="10"/>
        <w:numPr>
          <w:ilvl w:val="0"/>
          <w:numId w:val="0"/>
        </w:numPr>
        <w:tabs>
          <w:tab w:val="left" w:pos="567"/>
        </w:tabs>
      </w:pPr>
      <w:r>
        <w:t>[36]</w:t>
      </w:r>
      <w:r>
        <w:tab/>
      </w:r>
      <w:r w:rsidR="005A3C39">
        <w:t>This letter states in its terms</w:t>
      </w:r>
      <w:r w:rsidR="00ED6F57">
        <w:t xml:space="preserve"> </w:t>
      </w:r>
      <w:r w:rsidR="005A3C39">
        <w:t>that the amount of R1 664 207</w:t>
      </w:r>
      <w:r w:rsidR="00ED6F57">
        <w:t xml:space="preserve"> was received from </w:t>
      </w:r>
      <w:r w:rsidR="005A3C39">
        <w:t xml:space="preserve">Water Africa. Mr </w:t>
      </w:r>
      <w:r w:rsidR="00ED6F57">
        <w:t xml:space="preserve">Christie’s explanation during cross-examination was that the phrase </w:t>
      </w:r>
      <w:r w:rsidR="00ED6F57">
        <w:rPr>
          <w:i/>
          <w:iCs w:val="0"/>
        </w:rPr>
        <w:t>“</w:t>
      </w:r>
      <w:r w:rsidR="00ED6F57" w:rsidRPr="005A3C39">
        <w:rPr>
          <w:iCs w:val="0"/>
        </w:rPr>
        <w:t>our client</w:t>
      </w:r>
      <w:r w:rsidR="00ED6F57">
        <w:rPr>
          <w:i/>
          <w:iCs w:val="0"/>
        </w:rPr>
        <w:t>”</w:t>
      </w:r>
      <w:r w:rsidR="00ED6F57">
        <w:t xml:space="preserve"> which appears twice in line</w:t>
      </w:r>
      <w:r w:rsidR="00BB4E96">
        <w:t>s 2 and</w:t>
      </w:r>
      <w:r w:rsidR="00ED6F57">
        <w:t xml:space="preserve"> 3 of the letter bears two different meanings: the first use of </w:t>
      </w:r>
      <w:r w:rsidR="00ED6F57">
        <w:rPr>
          <w:i/>
          <w:iCs w:val="0"/>
        </w:rPr>
        <w:t>“</w:t>
      </w:r>
      <w:r w:rsidR="00ED6F57" w:rsidRPr="005A3C39">
        <w:rPr>
          <w:iCs w:val="0"/>
        </w:rPr>
        <w:t>our client</w:t>
      </w:r>
      <w:r w:rsidR="00ED6F57">
        <w:rPr>
          <w:i/>
          <w:iCs w:val="0"/>
        </w:rPr>
        <w:t>”</w:t>
      </w:r>
      <w:r w:rsidR="00ED6F57">
        <w:t xml:space="preserve"> was meant to be “our clients” in the plural and is a reference to the second and third defendants, whereas the second use of the phrase </w:t>
      </w:r>
      <w:r w:rsidR="005A3C39">
        <w:t xml:space="preserve">“our client” </w:t>
      </w:r>
      <w:r w:rsidR="00ED6F57">
        <w:t xml:space="preserve">was meant to be in the singular </w:t>
      </w:r>
      <w:r w:rsidR="00ED6F57" w:rsidRPr="00903B6C">
        <w:t>(being</w:t>
      </w:r>
      <w:r w:rsidR="00ED6F57">
        <w:rPr>
          <w:i/>
          <w:iCs w:val="0"/>
        </w:rPr>
        <w:t xml:space="preserve"> </w:t>
      </w:r>
      <w:r w:rsidR="00ED6F57">
        <w:t xml:space="preserve">a reference to Water Africa). </w:t>
      </w:r>
      <w:r w:rsidR="00426994">
        <w:t xml:space="preserve">This explanation </w:t>
      </w:r>
      <w:r w:rsidR="005A3C39">
        <w:t>is</w:t>
      </w:r>
      <w:r w:rsidR="00ED6F57">
        <w:t xml:space="preserve"> rejected</w:t>
      </w:r>
      <w:r w:rsidR="005A3C39">
        <w:rPr>
          <w:rStyle w:val="FootnoteReference"/>
        </w:rPr>
        <w:footnoteReference w:id="10"/>
      </w:r>
      <w:r w:rsidR="00426994">
        <w:t xml:space="preserve"> as it contradicts the express wording of the letter and the purpose for which it was tendered.</w:t>
      </w:r>
      <w:r w:rsidR="00ED6F57">
        <w:t xml:space="preserve"> Apart from the clear references to “our client” in the singular, the phrase has been expressly and specif</w:t>
      </w:r>
      <w:r w:rsidR="005A3C39">
        <w:t>ically defined in the heading of</w:t>
      </w:r>
      <w:r w:rsidR="00ED6F57">
        <w:t xml:space="preserve"> the </w:t>
      </w:r>
      <w:r w:rsidR="00ED6F57">
        <w:lastRenderedPageBreak/>
        <w:t>letter. There is no mention of the second or third defendant</w:t>
      </w:r>
      <w:r w:rsidR="005A3C39">
        <w:t>s</w:t>
      </w:r>
      <w:r w:rsidR="00ED6F57">
        <w:t>.</w:t>
      </w:r>
      <w:r w:rsidR="00426994">
        <w:t xml:space="preserve"> The letter in</w:t>
      </w:r>
      <w:r w:rsidR="00ED6F57">
        <w:t xml:space="preserve">tends to convey that the receipt of the money </w:t>
      </w:r>
      <w:r w:rsidR="00426994">
        <w:t>constitutes proof</w:t>
      </w:r>
      <w:r w:rsidR="00ED6F57">
        <w:t xml:space="preserve"> that Water Africa is able to pay its debts (and hence is solvent). </w:t>
      </w:r>
      <w:r w:rsidR="00BB4E96">
        <w:t>Any other interpreta</w:t>
      </w:r>
      <w:r w:rsidR="00F65FEE">
        <w:t xml:space="preserve">tion would not constitute </w:t>
      </w:r>
      <w:r w:rsidR="00ED6F57">
        <w:t xml:space="preserve">proof </w:t>
      </w:r>
      <w:r w:rsidR="00BB4E96">
        <w:t xml:space="preserve">of solvency </w:t>
      </w:r>
      <w:r w:rsidR="00ED6F57">
        <w:t>at all.</w:t>
      </w:r>
    </w:p>
    <w:p w:rsidR="00ED6F57" w:rsidRPr="00426994" w:rsidRDefault="00426994" w:rsidP="00426994">
      <w:pPr>
        <w:pStyle w:val="10"/>
        <w:numPr>
          <w:ilvl w:val="0"/>
          <w:numId w:val="0"/>
        </w:numPr>
      </w:pPr>
      <w:r>
        <w:rPr>
          <w:u w:val="single"/>
        </w:rPr>
        <w:t>DPI Plastics’ attorneys letter dated</w:t>
      </w:r>
      <w:r w:rsidR="00ED6F57" w:rsidRPr="00426994">
        <w:rPr>
          <w:u w:val="single"/>
        </w:rPr>
        <w:t xml:space="preserve"> 26 May 2015</w:t>
      </w:r>
    </w:p>
    <w:p w:rsidR="00ED6F57" w:rsidRDefault="008518D6" w:rsidP="008518D6">
      <w:pPr>
        <w:pStyle w:val="10"/>
        <w:numPr>
          <w:ilvl w:val="0"/>
          <w:numId w:val="0"/>
        </w:numPr>
        <w:tabs>
          <w:tab w:val="left" w:pos="567"/>
        </w:tabs>
      </w:pPr>
      <w:r>
        <w:t>[37]</w:t>
      </w:r>
      <w:r>
        <w:tab/>
      </w:r>
      <w:r w:rsidR="00426994">
        <w:t xml:space="preserve">DPI Plastics’ </w:t>
      </w:r>
      <w:r w:rsidR="00F65FEE">
        <w:t>attorneys responded to the</w:t>
      </w:r>
      <w:r w:rsidR="00ED6F57">
        <w:t xml:space="preserve"> letter</w:t>
      </w:r>
      <w:r w:rsidR="00F65FEE">
        <w:t xml:space="preserve"> of 20 May 2015</w:t>
      </w:r>
      <w:r w:rsidR="00ED6F57">
        <w:t xml:space="preserve"> on 26 May 2015. After disputing the amount tendered, the letter continued as follows:</w:t>
      </w:r>
    </w:p>
    <w:p w:rsidR="00426994" w:rsidRPr="00426994" w:rsidRDefault="00F65FEE" w:rsidP="00426994">
      <w:pPr>
        <w:pStyle w:val="quotation"/>
        <w:tabs>
          <w:tab w:val="left" w:pos="1134"/>
        </w:tabs>
        <w:spacing w:before="360" w:after="360"/>
        <w:ind w:left="1843" w:hanging="709"/>
        <w:rPr>
          <w:rFonts w:ascii="Arial" w:hAnsi="Arial" w:cs="Arial"/>
          <w:i w:val="0"/>
          <w:sz w:val="22"/>
          <w:szCs w:val="22"/>
        </w:rPr>
      </w:pPr>
      <w:r>
        <w:rPr>
          <w:rFonts w:ascii="Arial" w:hAnsi="Arial" w:cs="Arial"/>
          <w:i w:val="0"/>
          <w:sz w:val="22"/>
          <w:szCs w:val="22"/>
        </w:rPr>
        <w:t>‘</w:t>
      </w:r>
      <w:r w:rsidR="00426994" w:rsidRPr="00426994">
        <w:rPr>
          <w:rFonts w:ascii="Arial" w:hAnsi="Arial" w:cs="Arial"/>
          <w:i w:val="0"/>
          <w:sz w:val="22"/>
          <w:szCs w:val="22"/>
        </w:rPr>
        <w:t>5.</w:t>
      </w:r>
      <w:r w:rsidR="00426994" w:rsidRPr="00426994">
        <w:rPr>
          <w:rFonts w:ascii="Arial" w:hAnsi="Arial" w:cs="Arial"/>
          <w:i w:val="0"/>
          <w:sz w:val="22"/>
          <w:szCs w:val="22"/>
        </w:rPr>
        <w:tab/>
        <w:t>In any event, payment into an attorney’s trust account under these circumstances does not constitute payment.  It also gives no comfort to our client.</w:t>
      </w:r>
    </w:p>
    <w:p w:rsidR="00426994" w:rsidRPr="00426994" w:rsidRDefault="00426994" w:rsidP="00426994">
      <w:pPr>
        <w:pStyle w:val="quotation"/>
        <w:spacing w:before="360" w:after="360"/>
        <w:ind w:left="1843" w:hanging="709"/>
        <w:rPr>
          <w:rFonts w:ascii="Arial" w:hAnsi="Arial" w:cs="Arial"/>
          <w:i w:val="0"/>
          <w:sz w:val="22"/>
          <w:szCs w:val="22"/>
        </w:rPr>
      </w:pPr>
      <w:r w:rsidRPr="00426994">
        <w:rPr>
          <w:rFonts w:ascii="Arial" w:hAnsi="Arial" w:cs="Arial"/>
          <w:i w:val="0"/>
          <w:sz w:val="22"/>
          <w:szCs w:val="22"/>
        </w:rPr>
        <w:t>6.</w:t>
      </w:r>
      <w:r w:rsidRPr="00426994">
        <w:rPr>
          <w:rFonts w:ascii="Arial" w:hAnsi="Arial" w:cs="Arial"/>
          <w:i w:val="0"/>
          <w:sz w:val="22"/>
          <w:szCs w:val="22"/>
        </w:rPr>
        <w:tab/>
        <w:t xml:space="preserve">Should the Respondent </w:t>
      </w:r>
      <w:r w:rsidRPr="00426994">
        <w:rPr>
          <w:rFonts w:ascii="Arial" w:hAnsi="Arial" w:cs="Arial"/>
          <w:i w:val="0"/>
          <w:iCs/>
          <w:sz w:val="22"/>
          <w:szCs w:val="22"/>
        </w:rPr>
        <w:t>[Water Africa]</w:t>
      </w:r>
      <w:r w:rsidRPr="00426994">
        <w:rPr>
          <w:rFonts w:ascii="Arial" w:hAnsi="Arial" w:cs="Arial"/>
          <w:i w:val="0"/>
          <w:sz w:val="22"/>
          <w:szCs w:val="22"/>
        </w:rPr>
        <w:t xml:space="preserve"> be placed under liquidation by another creditor, the amount held in trust will not be secured and will fall within the (insolvent) estate of the company in liquidation.”</w:t>
      </w:r>
    </w:p>
    <w:p w:rsidR="00ED6F57" w:rsidRDefault="008518D6" w:rsidP="008518D6">
      <w:pPr>
        <w:pStyle w:val="10"/>
        <w:numPr>
          <w:ilvl w:val="0"/>
          <w:numId w:val="0"/>
        </w:numPr>
        <w:tabs>
          <w:tab w:val="left" w:pos="567"/>
        </w:tabs>
      </w:pPr>
      <w:r>
        <w:t>[38]</w:t>
      </w:r>
      <w:r>
        <w:tab/>
      </w:r>
      <w:r w:rsidR="00ED6F57">
        <w:t>The letter clearly conveyed that the view was held that the m</w:t>
      </w:r>
      <w:r w:rsidR="00324723">
        <w:t>oney held in trust fell</w:t>
      </w:r>
      <w:r w:rsidR="00ED6F57">
        <w:t xml:space="preserve"> into the insolvent estate should Water Africa be placed in</w:t>
      </w:r>
      <w:r w:rsidR="00324723">
        <w:t xml:space="preserve"> liquidation. If Water Africa</w:t>
      </w:r>
      <w:r w:rsidR="00ED6F57">
        <w:t xml:space="preserve"> held a different view</w:t>
      </w:r>
      <w:r w:rsidR="00324723">
        <w:t>, it should</w:t>
      </w:r>
      <w:r w:rsidR="00ED6F57">
        <w:t xml:space="preserve"> have resp</w:t>
      </w:r>
      <w:r w:rsidR="00324723">
        <w:t xml:space="preserve">onded to it.  There was </w:t>
      </w:r>
      <w:r w:rsidR="00ED6F57">
        <w:t xml:space="preserve">no response </w:t>
      </w:r>
      <w:r w:rsidR="00324723">
        <w:t>to this letter. I find that Water Africa</w:t>
      </w:r>
      <w:r w:rsidR="00ED6F57">
        <w:t xml:space="preserve"> accepted that the amount held in trust would fall into the insolvent estate in the event of a future liquidation.</w:t>
      </w:r>
    </w:p>
    <w:p w:rsidR="00ED6F57" w:rsidRDefault="008518D6" w:rsidP="008518D6">
      <w:pPr>
        <w:pStyle w:val="10"/>
        <w:numPr>
          <w:ilvl w:val="0"/>
          <w:numId w:val="0"/>
        </w:numPr>
        <w:tabs>
          <w:tab w:val="left" w:pos="567"/>
        </w:tabs>
      </w:pPr>
      <w:r>
        <w:t>[39]</w:t>
      </w:r>
      <w:r>
        <w:tab/>
      </w:r>
      <w:r w:rsidR="00897871">
        <w:t xml:space="preserve">Mr </w:t>
      </w:r>
      <w:r w:rsidR="00ED6F57">
        <w:t>Christie’s explanation is that he never received this letter</w:t>
      </w:r>
      <w:r w:rsidR="00F65FEE">
        <w:t xml:space="preserve"> and saw it for the first time when it was discovered</w:t>
      </w:r>
      <w:r w:rsidR="00ED6F57">
        <w:t xml:space="preserve">. </w:t>
      </w:r>
      <w:r w:rsidR="00897871">
        <w:t>I can not accept this explanation having regard to what the parties agree</w:t>
      </w:r>
      <w:r w:rsidR="00F65FEE">
        <w:t>d</w:t>
      </w:r>
      <w:r w:rsidR="00897871">
        <w:t xml:space="preserve"> to at the pre-trial conference: </w:t>
      </w:r>
    </w:p>
    <w:p w:rsidR="00897871" w:rsidRPr="00897871" w:rsidRDefault="00897871" w:rsidP="00897871">
      <w:pPr>
        <w:pStyle w:val="quotation"/>
        <w:spacing w:before="360" w:after="360"/>
        <w:ind w:left="2705" w:hanging="545"/>
        <w:rPr>
          <w:rFonts w:ascii="Arial" w:hAnsi="Arial" w:cs="Arial"/>
          <w:i w:val="0"/>
          <w:sz w:val="22"/>
          <w:szCs w:val="22"/>
        </w:rPr>
      </w:pPr>
      <w:r w:rsidRPr="00897871">
        <w:rPr>
          <w:rFonts w:ascii="Arial" w:hAnsi="Arial" w:cs="Arial"/>
          <w:i w:val="0"/>
          <w:sz w:val="22"/>
          <w:szCs w:val="22"/>
        </w:rPr>
        <w:t>‘9.1</w:t>
      </w:r>
      <w:r w:rsidRPr="00897871">
        <w:rPr>
          <w:rFonts w:ascii="Arial" w:hAnsi="Arial" w:cs="Arial"/>
          <w:i w:val="0"/>
          <w:sz w:val="22"/>
          <w:szCs w:val="22"/>
        </w:rPr>
        <w:tab/>
        <w:t>that copies of all documents may be used and accepted as true copies of the original thereof.</w:t>
      </w:r>
    </w:p>
    <w:p w:rsidR="00897871" w:rsidRPr="00897871" w:rsidRDefault="00897871" w:rsidP="00897871">
      <w:pPr>
        <w:pStyle w:val="quotation"/>
        <w:spacing w:before="360" w:after="360"/>
        <w:ind w:left="2705" w:hanging="545"/>
        <w:rPr>
          <w:rFonts w:ascii="Arial" w:hAnsi="Arial" w:cs="Arial"/>
          <w:i w:val="0"/>
          <w:sz w:val="22"/>
          <w:szCs w:val="22"/>
        </w:rPr>
      </w:pPr>
      <w:r w:rsidRPr="00897871">
        <w:rPr>
          <w:rFonts w:ascii="Arial" w:hAnsi="Arial" w:cs="Arial"/>
          <w:i w:val="0"/>
          <w:sz w:val="22"/>
          <w:szCs w:val="22"/>
        </w:rPr>
        <w:t>9.2</w:t>
      </w:r>
      <w:r w:rsidRPr="00897871">
        <w:rPr>
          <w:rFonts w:ascii="Arial" w:hAnsi="Arial" w:cs="Arial"/>
          <w:i w:val="0"/>
          <w:sz w:val="22"/>
          <w:szCs w:val="22"/>
        </w:rPr>
        <w:tab/>
        <w:t>that documents are what they purport to be, but do not prove the truth of their contents.</w:t>
      </w:r>
    </w:p>
    <w:p w:rsidR="00897871" w:rsidRPr="00897871" w:rsidRDefault="00897871" w:rsidP="00897871">
      <w:pPr>
        <w:pStyle w:val="quotation"/>
        <w:spacing w:before="360" w:after="360"/>
        <w:ind w:left="2705" w:hanging="545"/>
        <w:rPr>
          <w:rFonts w:ascii="Arial" w:hAnsi="Arial" w:cs="Arial"/>
          <w:i w:val="0"/>
          <w:sz w:val="22"/>
          <w:szCs w:val="22"/>
        </w:rPr>
      </w:pPr>
      <w:r w:rsidRPr="00897871">
        <w:rPr>
          <w:rFonts w:ascii="Arial" w:hAnsi="Arial" w:cs="Arial"/>
          <w:i w:val="0"/>
          <w:sz w:val="22"/>
          <w:szCs w:val="22"/>
        </w:rPr>
        <w:lastRenderedPageBreak/>
        <w:t>9.3</w:t>
      </w:r>
      <w:r w:rsidRPr="00897871">
        <w:rPr>
          <w:rFonts w:ascii="Arial" w:hAnsi="Arial" w:cs="Arial"/>
          <w:i w:val="0"/>
          <w:sz w:val="22"/>
          <w:szCs w:val="22"/>
        </w:rPr>
        <w:tab/>
        <w:t>that letters and emails will be considered to have been sent and received as set out therein.</w:t>
      </w:r>
    </w:p>
    <w:p w:rsidR="00897871" w:rsidRPr="00897871" w:rsidRDefault="00897871" w:rsidP="00897871">
      <w:pPr>
        <w:pStyle w:val="quotation"/>
        <w:spacing w:before="360" w:after="360"/>
        <w:ind w:left="2705" w:hanging="545"/>
        <w:rPr>
          <w:rFonts w:ascii="Arial" w:hAnsi="Arial" w:cs="Arial"/>
          <w:i w:val="0"/>
          <w:sz w:val="22"/>
          <w:szCs w:val="22"/>
        </w:rPr>
      </w:pPr>
      <w:r w:rsidRPr="00897871">
        <w:rPr>
          <w:rFonts w:ascii="Arial" w:hAnsi="Arial" w:cs="Arial"/>
          <w:i w:val="0"/>
          <w:sz w:val="22"/>
          <w:szCs w:val="22"/>
        </w:rPr>
        <w:t>9.4</w:t>
      </w:r>
      <w:r w:rsidRPr="00897871">
        <w:rPr>
          <w:rFonts w:ascii="Arial" w:hAnsi="Arial" w:cs="Arial"/>
          <w:i w:val="0"/>
          <w:sz w:val="22"/>
          <w:szCs w:val="22"/>
        </w:rPr>
        <w:tab/>
        <w:t>that the arrangement in respect of 9.1, 9.2 and 9.3 supra is subject to the fact that any part may on reasonable notice dispute a</w:t>
      </w:r>
      <w:r>
        <w:rPr>
          <w:rFonts w:ascii="Arial" w:hAnsi="Arial" w:cs="Arial"/>
          <w:i w:val="0"/>
          <w:sz w:val="22"/>
          <w:szCs w:val="22"/>
        </w:rPr>
        <w:t>ny document on any legal basis.’</w:t>
      </w:r>
    </w:p>
    <w:p w:rsidR="00F65FEE" w:rsidRDefault="008518D6" w:rsidP="008518D6">
      <w:pPr>
        <w:pStyle w:val="10"/>
        <w:numPr>
          <w:ilvl w:val="0"/>
          <w:numId w:val="0"/>
        </w:numPr>
        <w:tabs>
          <w:tab w:val="left" w:pos="567"/>
        </w:tabs>
      </w:pPr>
      <w:r>
        <w:t>[40]</w:t>
      </w:r>
      <w:r>
        <w:tab/>
      </w:r>
      <w:r w:rsidR="00ED6F57">
        <w:t>No document was disputed.</w:t>
      </w:r>
      <w:r w:rsidR="00F65FEE">
        <w:t xml:space="preserve"> Mr Christie signed the pre-trial minute.</w:t>
      </w:r>
    </w:p>
    <w:p w:rsidR="00F65FEE" w:rsidRDefault="008518D6" w:rsidP="008518D6">
      <w:pPr>
        <w:pStyle w:val="10"/>
        <w:numPr>
          <w:ilvl w:val="0"/>
          <w:numId w:val="0"/>
        </w:numPr>
        <w:tabs>
          <w:tab w:val="left" w:pos="567"/>
        </w:tabs>
      </w:pPr>
      <w:r>
        <w:t>[41]</w:t>
      </w:r>
      <w:r>
        <w:tab/>
      </w:r>
      <w:r w:rsidR="00897871">
        <w:t xml:space="preserve">Mr </w:t>
      </w:r>
      <w:r w:rsidR="00F65FEE">
        <w:t>v</w:t>
      </w:r>
      <w:r w:rsidR="00ED6F57">
        <w:t>an</w:t>
      </w:r>
      <w:r w:rsidR="00897871">
        <w:t xml:space="preserve"> den Heever testified about this letter</w:t>
      </w:r>
      <w:r w:rsidR="00F65FEE">
        <w:t xml:space="preserve"> of 26 May 2015 and quoted from it</w:t>
      </w:r>
      <w:r w:rsidR="00897871">
        <w:t xml:space="preserve"> during</w:t>
      </w:r>
      <w:r w:rsidR="00ED6F57">
        <w:t xml:space="preserve"> his evide</w:t>
      </w:r>
      <w:r w:rsidR="00897871">
        <w:t xml:space="preserve">nce in chief.  It was never suggested </w:t>
      </w:r>
      <w:r w:rsidR="00ED6F57">
        <w:t>to him that this letter was not sent</w:t>
      </w:r>
      <w:r w:rsidR="00897871">
        <w:t xml:space="preserve"> or received</w:t>
      </w:r>
      <w:r w:rsidR="00ED6F57">
        <w:t>.</w:t>
      </w:r>
      <w:r w:rsidR="00897871">
        <w:t xml:space="preserve"> Mr </w:t>
      </w:r>
      <w:r w:rsidR="00251AC9">
        <w:t>Christie did not testify during</w:t>
      </w:r>
      <w:r w:rsidR="00ED6F57">
        <w:t xml:space="preserve"> his evidence in chief that he had not received the letter</w:t>
      </w:r>
      <w:r w:rsidR="00F65FEE">
        <w:t xml:space="preserve"> at the time</w:t>
      </w:r>
      <w:r w:rsidR="00ED6F57">
        <w:t>. He did so for the fir</w:t>
      </w:r>
      <w:r w:rsidR="00251AC9">
        <w:t xml:space="preserve">st time under cross-examination. </w:t>
      </w:r>
    </w:p>
    <w:p w:rsidR="00ED6F57" w:rsidRPr="00251AC9" w:rsidRDefault="00F65FEE" w:rsidP="00251AC9">
      <w:pPr>
        <w:pStyle w:val="10"/>
        <w:numPr>
          <w:ilvl w:val="0"/>
          <w:numId w:val="0"/>
        </w:numPr>
      </w:pPr>
      <w:r>
        <w:rPr>
          <w:u w:val="single"/>
        </w:rPr>
        <w:t>Water Africa’s a</w:t>
      </w:r>
      <w:r w:rsidR="00251AC9" w:rsidRPr="00F65FEE">
        <w:rPr>
          <w:u w:val="single"/>
        </w:rPr>
        <w:t>ttorneys letter dated</w:t>
      </w:r>
      <w:r w:rsidR="00ED6F57" w:rsidRPr="00F65FEE">
        <w:rPr>
          <w:u w:val="single"/>
        </w:rPr>
        <w:t xml:space="preserve"> 29 May 2015</w:t>
      </w:r>
    </w:p>
    <w:p w:rsidR="00ED6F57" w:rsidRDefault="008518D6" w:rsidP="008518D6">
      <w:pPr>
        <w:pStyle w:val="10"/>
        <w:numPr>
          <w:ilvl w:val="0"/>
          <w:numId w:val="0"/>
        </w:numPr>
        <w:tabs>
          <w:tab w:val="left" w:pos="567"/>
        </w:tabs>
      </w:pPr>
      <w:r>
        <w:t>[42]</w:t>
      </w:r>
      <w:r>
        <w:tab/>
      </w:r>
      <w:r w:rsidR="00ED6F57">
        <w:t>On</w:t>
      </w:r>
      <w:r w:rsidR="00251AC9">
        <w:t xml:space="preserve"> 29 May 2015 Water Africa’s attorneys</w:t>
      </w:r>
      <w:r w:rsidR="00ED6F57">
        <w:t xml:space="preserve"> addressed another letter to DPI Plastic’s attorneys, to which was attached the notice of unconditional tender. In the letter </w:t>
      </w:r>
      <w:r w:rsidR="00ED6F57" w:rsidRPr="00251AC9">
        <w:rPr>
          <w:i/>
        </w:rPr>
        <w:t xml:space="preserve">“our client” </w:t>
      </w:r>
      <w:r w:rsidR="00ED6F57">
        <w:t xml:space="preserve">is again defined as Water Africa (and again the full description of Water Africa is set </w:t>
      </w:r>
      <w:r w:rsidR="00F65FEE">
        <w:t>out).  The letter reads</w:t>
      </w:r>
      <w:r w:rsidR="00ED6F57">
        <w:t>:</w:t>
      </w:r>
    </w:p>
    <w:p w:rsidR="00F65FEE" w:rsidRDefault="00251AC9" w:rsidP="00F65FEE">
      <w:pPr>
        <w:pStyle w:val="quotation"/>
        <w:spacing w:before="360" w:after="360"/>
        <w:rPr>
          <w:rFonts w:ascii="Arial" w:hAnsi="Arial" w:cs="Arial"/>
          <w:i w:val="0"/>
          <w:sz w:val="22"/>
          <w:szCs w:val="22"/>
        </w:rPr>
      </w:pPr>
      <w:r>
        <w:rPr>
          <w:rFonts w:ascii="Arial" w:hAnsi="Arial" w:cs="Arial"/>
          <w:i w:val="0"/>
          <w:sz w:val="22"/>
          <w:szCs w:val="22"/>
        </w:rPr>
        <w:t>‘</w:t>
      </w:r>
      <w:r w:rsidRPr="00251AC9">
        <w:rPr>
          <w:rFonts w:ascii="Arial" w:hAnsi="Arial" w:cs="Arial"/>
          <w:i w:val="0"/>
          <w:sz w:val="22"/>
          <w:szCs w:val="22"/>
        </w:rPr>
        <w:t>We attach our client’s notice of unconditional tender, which will be filed shortly.</w:t>
      </w:r>
    </w:p>
    <w:p w:rsidR="00251AC9" w:rsidRPr="00251AC9" w:rsidRDefault="00251AC9" w:rsidP="00F65FEE">
      <w:pPr>
        <w:pStyle w:val="quotation"/>
        <w:spacing w:before="360" w:after="360"/>
        <w:rPr>
          <w:rFonts w:ascii="Arial" w:hAnsi="Arial" w:cs="Arial"/>
          <w:i w:val="0"/>
          <w:sz w:val="22"/>
          <w:szCs w:val="22"/>
        </w:rPr>
      </w:pPr>
      <w:r w:rsidRPr="00251AC9">
        <w:rPr>
          <w:rFonts w:ascii="Arial" w:hAnsi="Arial" w:cs="Arial"/>
          <w:i w:val="0"/>
          <w:sz w:val="22"/>
          <w:szCs w:val="22"/>
        </w:rPr>
        <w:t xml:space="preserve">In the premises, our client </w:t>
      </w:r>
      <w:r>
        <w:rPr>
          <w:rFonts w:ascii="Arial" w:hAnsi="Arial" w:cs="Arial"/>
          <w:i w:val="0"/>
          <w:sz w:val="22"/>
          <w:szCs w:val="22"/>
        </w:rPr>
        <w:t>is not insolvent as is alleged.’</w:t>
      </w:r>
    </w:p>
    <w:p w:rsidR="00ED6F57" w:rsidRDefault="008518D6" w:rsidP="008518D6">
      <w:pPr>
        <w:pStyle w:val="10"/>
        <w:numPr>
          <w:ilvl w:val="0"/>
          <w:numId w:val="0"/>
        </w:numPr>
        <w:tabs>
          <w:tab w:val="left" w:pos="567"/>
        </w:tabs>
      </w:pPr>
      <w:r>
        <w:t>[43]</w:t>
      </w:r>
      <w:r>
        <w:tab/>
      </w:r>
      <w:r w:rsidR="00251AC9">
        <w:t>T</w:t>
      </w:r>
      <w:r w:rsidR="00F65FEE">
        <w:t xml:space="preserve">he </w:t>
      </w:r>
      <w:r w:rsidR="00ED6F57">
        <w:t>conclusion sought to be drawn that Water Africa is not insolvent would only hold water if the money tendered was Water Africa’s money.</w:t>
      </w:r>
    </w:p>
    <w:p w:rsidR="00ED6F57" w:rsidRPr="00251AC9" w:rsidRDefault="00ED6F57" w:rsidP="00251AC9">
      <w:pPr>
        <w:pStyle w:val="10"/>
        <w:numPr>
          <w:ilvl w:val="0"/>
          <w:numId w:val="0"/>
        </w:numPr>
      </w:pPr>
      <w:r w:rsidRPr="00251AC9">
        <w:rPr>
          <w:u w:val="single"/>
        </w:rPr>
        <w:t>Notice of Unconditional Tender</w:t>
      </w:r>
    </w:p>
    <w:p w:rsidR="00ED6F57" w:rsidRDefault="008518D6" w:rsidP="008518D6">
      <w:pPr>
        <w:pStyle w:val="10"/>
        <w:numPr>
          <w:ilvl w:val="0"/>
          <w:numId w:val="0"/>
        </w:numPr>
        <w:tabs>
          <w:tab w:val="left" w:pos="567"/>
        </w:tabs>
      </w:pPr>
      <w:r>
        <w:t>[44]</w:t>
      </w:r>
      <w:r>
        <w:tab/>
      </w:r>
      <w:r w:rsidR="00ED6F57">
        <w:t>The actual notice of unconditional tender also does not support the defendants’ version.</w:t>
      </w:r>
    </w:p>
    <w:p w:rsidR="00ED6F57" w:rsidRDefault="008518D6" w:rsidP="008518D6">
      <w:pPr>
        <w:pStyle w:val="10"/>
        <w:numPr>
          <w:ilvl w:val="0"/>
          <w:numId w:val="0"/>
        </w:numPr>
        <w:tabs>
          <w:tab w:val="left" w:pos="567"/>
        </w:tabs>
      </w:pPr>
      <w:r>
        <w:lastRenderedPageBreak/>
        <w:t>[45]</w:t>
      </w:r>
      <w:r>
        <w:tab/>
      </w:r>
      <w:r w:rsidR="00ED6F57">
        <w:t>In the tender the parties to the liquidation application (DPI Plastics as applicant  and Water Africa as respondent) are listed in the heading.  The tender then commences as follows:</w:t>
      </w:r>
    </w:p>
    <w:p w:rsidR="00251AC9" w:rsidRPr="00251AC9" w:rsidRDefault="00251AC9" w:rsidP="00251AC9">
      <w:pPr>
        <w:pStyle w:val="quotation"/>
        <w:spacing w:before="360" w:after="360"/>
        <w:rPr>
          <w:rFonts w:ascii="Arial" w:hAnsi="Arial" w:cs="Arial"/>
          <w:i w:val="0"/>
          <w:sz w:val="22"/>
          <w:szCs w:val="22"/>
        </w:rPr>
      </w:pPr>
      <w:r w:rsidRPr="00251AC9">
        <w:rPr>
          <w:rFonts w:ascii="Arial" w:hAnsi="Arial" w:cs="Arial"/>
          <w:i w:val="0"/>
          <w:sz w:val="22"/>
          <w:szCs w:val="22"/>
        </w:rPr>
        <w:t xml:space="preserve">“BE PLEASED TO TAKE NOTICE that the Respondent </w:t>
      </w:r>
      <w:r w:rsidRPr="00251AC9">
        <w:rPr>
          <w:rFonts w:ascii="Arial" w:hAnsi="Arial" w:cs="Arial"/>
          <w:i w:val="0"/>
          <w:iCs/>
          <w:sz w:val="22"/>
          <w:szCs w:val="22"/>
        </w:rPr>
        <w:t>[i.e. Water Africa]</w:t>
      </w:r>
      <w:r w:rsidRPr="00251AC9">
        <w:rPr>
          <w:rFonts w:ascii="Arial" w:hAnsi="Arial" w:cs="Arial"/>
          <w:i w:val="0"/>
          <w:sz w:val="22"/>
          <w:szCs w:val="22"/>
        </w:rPr>
        <w:t xml:space="preserve"> tenders, unconditionally, to payment to the Applicant </w:t>
      </w:r>
      <w:r w:rsidRPr="00251AC9">
        <w:rPr>
          <w:rFonts w:ascii="Arial" w:hAnsi="Arial" w:cs="Arial"/>
          <w:i w:val="0"/>
          <w:iCs/>
          <w:sz w:val="22"/>
          <w:szCs w:val="22"/>
        </w:rPr>
        <w:t>[DPI Plastics]</w:t>
      </w:r>
      <w:r w:rsidRPr="00251AC9">
        <w:rPr>
          <w:rFonts w:ascii="Arial" w:hAnsi="Arial" w:cs="Arial"/>
          <w:i w:val="0"/>
          <w:sz w:val="22"/>
          <w:szCs w:val="22"/>
        </w:rPr>
        <w:t xml:space="preserve"> of the sum below, subject to the provisions stated herein, namely:</w:t>
      </w:r>
    </w:p>
    <w:p w:rsidR="00251AC9" w:rsidRPr="00251AC9" w:rsidRDefault="008518D6" w:rsidP="008518D6">
      <w:pPr>
        <w:pStyle w:val="quotation"/>
        <w:spacing w:before="360" w:after="360"/>
        <w:ind w:left="1980" w:hanging="540"/>
        <w:rPr>
          <w:rFonts w:ascii="Arial" w:hAnsi="Arial" w:cs="Arial"/>
          <w:i w:val="0"/>
          <w:sz w:val="22"/>
          <w:szCs w:val="22"/>
        </w:rPr>
      </w:pPr>
      <w:r w:rsidRPr="00251AC9">
        <w:rPr>
          <w:rFonts w:ascii="Arial" w:hAnsi="Arial" w:cs="Arial"/>
          <w:i w:val="0"/>
          <w:sz w:val="22"/>
          <w:szCs w:val="22"/>
          <w:shd w:val="clear" w:color="auto" w:fill="auto"/>
        </w:rPr>
        <w:t>1.</w:t>
      </w:r>
      <w:r w:rsidRPr="00251AC9">
        <w:rPr>
          <w:rFonts w:ascii="Arial" w:hAnsi="Arial" w:cs="Arial"/>
          <w:i w:val="0"/>
          <w:sz w:val="22"/>
          <w:szCs w:val="22"/>
          <w:shd w:val="clear" w:color="auto" w:fill="auto"/>
        </w:rPr>
        <w:tab/>
      </w:r>
      <w:r w:rsidR="00251AC9" w:rsidRPr="00251AC9">
        <w:rPr>
          <w:rFonts w:ascii="Arial" w:hAnsi="Arial" w:cs="Arial"/>
          <w:i w:val="0"/>
          <w:sz w:val="22"/>
          <w:szCs w:val="22"/>
        </w:rPr>
        <w:t>Payment in the sum of R1 664 207,00 …”</w:t>
      </w:r>
    </w:p>
    <w:p w:rsidR="00ED6F57" w:rsidRDefault="008518D6" w:rsidP="008518D6">
      <w:pPr>
        <w:pStyle w:val="10"/>
        <w:numPr>
          <w:ilvl w:val="0"/>
          <w:numId w:val="0"/>
        </w:numPr>
        <w:tabs>
          <w:tab w:val="left" w:pos="567"/>
        </w:tabs>
      </w:pPr>
      <w:r>
        <w:t>[46]</w:t>
      </w:r>
      <w:r>
        <w:tab/>
      </w:r>
      <w:r w:rsidR="00ED6F57">
        <w:t>The tender is clearly made by th</w:t>
      </w:r>
      <w:r w:rsidR="00F65FEE">
        <w:t xml:space="preserve">e respondent (Water Africa).  </w:t>
      </w:r>
      <w:r w:rsidR="00ED6F57">
        <w:t>If th</w:t>
      </w:r>
      <w:r w:rsidR="00251AC9">
        <w:t>e tender were</w:t>
      </w:r>
      <w:r w:rsidR="00ED6F57">
        <w:t xml:space="preserve"> made on behalf of the second and/or t</w:t>
      </w:r>
      <w:r w:rsidR="00251AC9">
        <w:t>hird defendants, the tender would</w:t>
      </w:r>
      <w:r w:rsidR="00ED6F57">
        <w:t xml:space="preserve"> have to say so, as any acceptance of the tender would have to involve an agreement with the second and third defendants.</w:t>
      </w:r>
    </w:p>
    <w:p w:rsidR="00ED6F57" w:rsidRPr="00251AC9" w:rsidRDefault="00ED6F57" w:rsidP="00F77B71">
      <w:pPr>
        <w:pStyle w:val="10"/>
        <w:numPr>
          <w:ilvl w:val="0"/>
          <w:numId w:val="0"/>
        </w:numPr>
      </w:pPr>
      <w:r w:rsidRPr="00251AC9">
        <w:rPr>
          <w:u w:val="single"/>
        </w:rPr>
        <w:t>Supplementary Affidavit</w:t>
      </w:r>
    </w:p>
    <w:p w:rsidR="00ED6F57" w:rsidRDefault="008518D6" w:rsidP="008518D6">
      <w:pPr>
        <w:pStyle w:val="10"/>
        <w:numPr>
          <w:ilvl w:val="0"/>
          <w:numId w:val="0"/>
        </w:numPr>
        <w:tabs>
          <w:tab w:val="left" w:pos="567"/>
        </w:tabs>
      </w:pPr>
      <w:r>
        <w:t>[47]</w:t>
      </w:r>
      <w:r>
        <w:tab/>
      </w:r>
      <w:r w:rsidR="00251AC9">
        <w:t xml:space="preserve">Mr Christie </w:t>
      </w:r>
      <w:r w:rsidR="00ED6F57">
        <w:t xml:space="preserve">submitted a supplementary affidavit in the liquidation application to which was attached the unconditional tender. In paragraphs 4 and 5 it is expressly stated that the tender is </w:t>
      </w:r>
      <w:r w:rsidR="00ED6F57" w:rsidRPr="00251AC9">
        <w:rPr>
          <w:i/>
        </w:rPr>
        <w:t xml:space="preserve">“submitted by </w:t>
      </w:r>
      <w:r w:rsidR="00F77B71">
        <w:rPr>
          <w:i/>
        </w:rPr>
        <w:t xml:space="preserve">the Respondent </w:t>
      </w:r>
      <w:r w:rsidR="00ED6F57" w:rsidRPr="00251AC9">
        <w:rPr>
          <w:i/>
        </w:rPr>
        <w:t>[Water Africa]”</w:t>
      </w:r>
      <w:r w:rsidR="00ED6F57">
        <w:t xml:space="preserve"> and that the amount has been </w:t>
      </w:r>
      <w:r w:rsidR="00F65FEE">
        <w:rPr>
          <w:i/>
        </w:rPr>
        <w:t>“tendered by</w:t>
      </w:r>
      <w:r w:rsidR="00F77B71">
        <w:rPr>
          <w:i/>
        </w:rPr>
        <w:t xml:space="preserve"> the Respondent [</w:t>
      </w:r>
      <w:r w:rsidR="00ED6F57" w:rsidRPr="00251AC9">
        <w:rPr>
          <w:i/>
        </w:rPr>
        <w:t>Water Africa</w:t>
      </w:r>
      <w:r w:rsidR="00F77B71">
        <w:rPr>
          <w:i/>
        </w:rPr>
        <w:t>]</w:t>
      </w:r>
      <w:r w:rsidR="00ED6F57" w:rsidRPr="00251AC9">
        <w:rPr>
          <w:i/>
        </w:rPr>
        <w:t>”</w:t>
      </w:r>
      <w:r w:rsidR="00ED6F57">
        <w:t>.</w:t>
      </w:r>
    </w:p>
    <w:p w:rsidR="00ED6F57" w:rsidRPr="00F77B71" w:rsidRDefault="00ED6F57" w:rsidP="00F77B71">
      <w:pPr>
        <w:pStyle w:val="10"/>
        <w:numPr>
          <w:ilvl w:val="0"/>
          <w:numId w:val="0"/>
        </w:numPr>
      </w:pPr>
      <w:r w:rsidRPr="00F77B71">
        <w:rPr>
          <w:u w:val="single"/>
        </w:rPr>
        <w:t>The Trust Account</w:t>
      </w:r>
    </w:p>
    <w:p w:rsidR="00ED6F57" w:rsidRPr="00F77B71" w:rsidRDefault="008518D6" w:rsidP="008518D6">
      <w:pPr>
        <w:pStyle w:val="10"/>
        <w:numPr>
          <w:ilvl w:val="0"/>
          <w:numId w:val="0"/>
        </w:numPr>
        <w:tabs>
          <w:tab w:val="left" w:pos="567"/>
        </w:tabs>
      </w:pPr>
      <w:r w:rsidRPr="00F77B71">
        <w:t>[48]</w:t>
      </w:r>
      <w:r w:rsidRPr="00F77B71">
        <w:tab/>
      </w:r>
      <w:r w:rsidR="00F77B71">
        <w:t>Water Africa’s attorneys</w:t>
      </w:r>
      <w:r w:rsidR="00ED6F57">
        <w:t xml:space="preserve"> trust account in w</w:t>
      </w:r>
      <w:r w:rsidR="00F77B71">
        <w:t>hich the amount of R1 664 207</w:t>
      </w:r>
      <w:r w:rsidR="00ED6F57">
        <w:t xml:space="preserve"> was held refers to the client as Water Africa Systems </w:t>
      </w:r>
      <w:r w:rsidR="00ED6F57" w:rsidRPr="00F77B71">
        <w:rPr>
          <w:lang w:val="en-US"/>
        </w:rPr>
        <w:t>(Pty) Ltd. This is consistent with an interpretation that the money was the property of Water Africa, and not of the second or third defendants.</w:t>
      </w:r>
    </w:p>
    <w:p w:rsidR="00ED6F57" w:rsidRPr="00F77B71" w:rsidRDefault="00ED6F57" w:rsidP="00F77B71">
      <w:pPr>
        <w:pStyle w:val="10"/>
        <w:numPr>
          <w:ilvl w:val="0"/>
          <w:numId w:val="0"/>
        </w:numPr>
      </w:pPr>
      <w:r w:rsidRPr="00F77B71">
        <w:rPr>
          <w:u w:val="single"/>
        </w:rPr>
        <w:t>Evidence at Inquiry</w:t>
      </w:r>
    </w:p>
    <w:p w:rsidR="00ED6F57" w:rsidRDefault="008518D6" w:rsidP="008518D6">
      <w:pPr>
        <w:pStyle w:val="10"/>
        <w:numPr>
          <w:ilvl w:val="0"/>
          <w:numId w:val="0"/>
        </w:numPr>
        <w:tabs>
          <w:tab w:val="left" w:pos="567"/>
        </w:tabs>
      </w:pPr>
      <w:r>
        <w:t>[49]</w:t>
      </w:r>
      <w:r>
        <w:tab/>
      </w:r>
      <w:r w:rsidR="00F77B71">
        <w:rPr>
          <w:lang w:val="en-US"/>
        </w:rPr>
        <w:t xml:space="preserve">Mr </w:t>
      </w:r>
      <w:r w:rsidR="00ED6F57" w:rsidRPr="00F77B71">
        <w:rPr>
          <w:lang w:val="en-US"/>
        </w:rPr>
        <w:t xml:space="preserve">Christie was a witness at an insolvency inquiry where he was questioned by </w:t>
      </w:r>
      <w:r w:rsidR="00F77B71">
        <w:rPr>
          <w:lang w:val="en-US"/>
        </w:rPr>
        <w:t xml:space="preserve">Mr </w:t>
      </w:r>
      <w:r w:rsidR="00DD02F7">
        <w:rPr>
          <w:lang w:val="en-US"/>
        </w:rPr>
        <w:t>v</w:t>
      </w:r>
      <w:r w:rsidR="00ED6F57" w:rsidRPr="00F77B71">
        <w:rPr>
          <w:lang w:val="en-US"/>
        </w:rPr>
        <w:t xml:space="preserve">an den Heever. </w:t>
      </w:r>
      <w:r w:rsidR="00F77B71">
        <w:rPr>
          <w:lang w:val="en-US"/>
        </w:rPr>
        <w:t>Mr</w:t>
      </w:r>
      <w:r w:rsidR="00DD02F7">
        <w:rPr>
          <w:lang w:val="en-US"/>
        </w:rPr>
        <w:t xml:space="preserve"> v</w:t>
      </w:r>
      <w:r w:rsidR="00ED6F57" w:rsidRPr="00F77B71">
        <w:rPr>
          <w:lang w:val="en-US"/>
        </w:rPr>
        <w:t xml:space="preserve">an den Heever questioned him about the letter addressed to </w:t>
      </w:r>
      <w:r w:rsidR="00ED6F57" w:rsidRPr="00205AF1">
        <w:t>DPI Plastics</w:t>
      </w:r>
      <w:r w:rsidR="00ED6F57">
        <w:t xml:space="preserve"> on 20 May 2015</w:t>
      </w:r>
      <w:r w:rsidR="00F77B71">
        <w:t xml:space="preserve"> </w:t>
      </w:r>
      <w:r w:rsidR="00ED6F57">
        <w:t xml:space="preserve">and after confirming that the amount was held in a </w:t>
      </w:r>
      <w:r w:rsidR="00ED6F57">
        <w:lastRenderedPageBreak/>
        <w:t xml:space="preserve">section 78(2)(a) account, </w:t>
      </w:r>
      <w:r w:rsidR="00F77B71">
        <w:t xml:space="preserve">Mr </w:t>
      </w:r>
      <w:r w:rsidR="00DD02F7">
        <w:t>v</w:t>
      </w:r>
      <w:r w:rsidR="00ED6F57">
        <w:t xml:space="preserve">an den Heever asked him whether the amount was held on behalf of Water Africa to which </w:t>
      </w:r>
      <w:r w:rsidR="00F77B71">
        <w:t xml:space="preserve">Mr </w:t>
      </w:r>
      <w:r w:rsidR="00ED6F57">
        <w:t xml:space="preserve">Christie answered:  </w:t>
      </w:r>
      <w:r w:rsidR="00ED6F57" w:rsidRPr="00F77B71">
        <w:rPr>
          <w:i/>
        </w:rPr>
        <w:t>“Yes, on behalf of Water Africa”</w:t>
      </w:r>
      <w:r w:rsidR="00ED6F57">
        <w:t>.</w:t>
      </w:r>
    </w:p>
    <w:p w:rsidR="00ED6F57" w:rsidRDefault="008518D6" w:rsidP="008518D6">
      <w:pPr>
        <w:pStyle w:val="10"/>
        <w:numPr>
          <w:ilvl w:val="0"/>
          <w:numId w:val="0"/>
        </w:numPr>
        <w:tabs>
          <w:tab w:val="left" w:pos="567"/>
        </w:tabs>
      </w:pPr>
      <w:r>
        <w:t>[50]</w:t>
      </w:r>
      <w:r>
        <w:tab/>
      </w:r>
      <w:r w:rsidR="00ED6F57">
        <w:t>Later on in the questioning</w:t>
      </w:r>
      <w:r w:rsidR="00F77B71">
        <w:t>, Mr</w:t>
      </w:r>
      <w:r w:rsidR="00ED6F57">
        <w:t xml:space="preserve"> Christie explained the tender as follows:</w:t>
      </w:r>
    </w:p>
    <w:p w:rsidR="00C461DD" w:rsidRPr="00DD02F7" w:rsidRDefault="00C461DD" w:rsidP="00C461DD">
      <w:pPr>
        <w:pStyle w:val="quotation"/>
        <w:spacing w:before="360" w:after="360"/>
        <w:ind w:left="1134"/>
        <w:rPr>
          <w:rFonts w:ascii="Arial" w:hAnsi="Arial" w:cs="Arial"/>
          <w:i w:val="0"/>
          <w:iCs/>
          <w:sz w:val="22"/>
          <w:szCs w:val="22"/>
        </w:rPr>
      </w:pPr>
      <w:r w:rsidRPr="00DD02F7">
        <w:rPr>
          <w:rFonts w:ascii="Arial" w:hAnsi="Arial" w:cs="Arial"/>
          <w:i w:val="0"/>
          <w:sz w:val="22"/>
          <w:szCs w:val="22"/>
        </w:rPr>
        <w:t>‘We said to our clients: Th</w:t>
      </w:r>
      <w:r w:rsidR="00DD02F7">
        <w:rPr>
          <w:rFonts w:ascii="Arial" w:hAnsi="Arial" w:cs="Arial"/>
          <w:i w:val="0"/>
          <w:sz w:val="22"/>
          <w:szCs w:val="22"/>
        </w:rPr>
        <w:t xml:space="preserve">e way to prove, you can continua (sic) </w:t>
      </w:r>
      <w:r w:rsidRPr="00DD02F7">
        <w:rPr>
          <w:rFonts w:ascii="Arial" w:hAnsi="Arial" w:cs="Arial"/>
          <w:i w:val="0"/>
          <w:sz w:val="22"/>
          <w:szCs w:val="22"/>
        </w:rPr>
        <w:t xml:space="preserve">business in order to show solvency.  But they had already been in provisional liquidation, so those … </w:t>
      </w:r>
      <w:r w:rsidRPr="00DD02F7">
        <w:rPr>
          <w:rFonts w:ascii="Arial" w:hAnsi="Arial" w:cs="Arial"/>
          <w:i w:val="0"/>
          <w:iCs/>
          <w:sz w:val="22"/>
          <w:szCs w:val="22"/>
        </w:rPr>
        <w:t>[intervenes].</w:t>
      </w:r>
      <w:r w:rsidRPr="00DD02F7">
        <w:rPr>
          <w:rFonts w:ascii="Arial" w:hAnsi="Arial" w:cs="Arial"/>
          <w:i w:val="0"/>
          <w:sz w:val="22"/>
          <w:szCs w:val="22"/>
        </w:rPr>
        <w:t>’</w:t>
      </w:r>
    </w:p>
    <w:p w:rsidR="00ED6F57" w:rsidRDefault="008518D6" w:rsidP="008518D6">
      <w:pPr>
        <w:pStyle w:val="10"/>
        <w:numPr>
          <w:ilvl w:val="0"/>
          <w:numId w:val="0"/>
        </w:numPr>
        <w:tabs>
          <w:tab w:val="left" w:pos="567"/>
        </w:tabs>
      </w:pPr>
      <w:r>
        <w:t>[51]</w:t>
      </w:r>
      <w:r>
        <w:tab/>
      </w:r>
      <w:r w:rsidR="00C461DD">
        <w:t xml:space="preserve">This extract </w:t>
      </w:r>
      <w:r w:rsidR="00ED6F57">
        <w:t>confirm</w:t>
      </w:r>
      <w:r w:rsidR="00C461DD">
        <w:t>s</w:t>
      </w:r>
      <w:r w:rsidR="00ED6F57">
        <w:t xml:space="preserve"> that the purpose of the tender was to show the solvency of Water Africa, and that the tender was</w:t>
      </w:r>
      <w:r w:rsidR="00C461DD">
        <w:t xml:space="preserve"> made on behalf of Water Africa</w:t>
      </w:r>
      <w:r w:rsidR="00ED6F57">
        <w:t>.</w:t>
      </w:r>
      <w:r w:rsidR="00C461DD">
        <w:t xml:space="preserve"> T</w:t>
      </w:r>
      <w:r w:rsidR="00ED6F57">
        <w:t xml:space="preserve">he evidence given at the enquiry is in line with the interpretation that the money was held on behalf of Water Africa, that it was its property, and </w:t>
      </w:r>
      <w:r w:rsidR="00C461DD">
        <w:t xml:space="preserve">that </w:t>
      </w:r>
      <w:r w:rsidR="00ED6F57">
        <w:t>the tender was made in order to prove the solvency of Water Africa.</w:t>
      </w:r>
    </w:p>
    <w:p w:rsidR="00C267DD" w:rsidRPr="00C267DD" w:rsidRDefault="00C267DD" w:rsidP="00C267DD">
      <w:pPr>
        <w:pStyle w:val="10"/>
        <w:numPr>
          <w:ilvl w:val="0"/>
          <w:numId w:val="0"/>
        </w:numPr>
      </w:pPr>
      <w:r>
        <w:rPr>
          <w:u w:val="single"/>
        </w:rPr>
        <w:t>Water Africa</w:t>
      </w:r>
      <w:r w:rsidR="00ED6F57" w:rsidRPr="00C267DD">
        <w:rPr>
          <w:u w:val="single"/>
        </w:rPr>
        <w:t xml:space="preserve">’s </w:t>
      </w:r>
      <w:r>
        <w:rPr>
          <w:u w:val="single"/>
        </w:rPr>
        <w:t>attorneys letter dated 19 October 2018</w:t>
      </w:r>
    </w:p>
    <w:p w:rsidR="00ED6F57" w:rsidRDefault="008518D6" w:rsidP="008518D6">
      <w:pPr>
        <w:pStyle w:val="10"/>
        <w:numPr>
          <w:ilvl w:val="0"/>
          <w:numId w:val="0"/>
        </w:numPr>
        <w:tabs>
          <w:tab w:val="left" w:pos="567"/>
        </w:tabs>
      </w:pPr>
      <w:r>
        <w:t>[52]</w:t>
      </w:r>
      <w:r>
        <w:tab/>
      </w:r>
      <w:r w:rsidR="00ED6F57">
        <w:t>O</w:t>
      </w:r>
      <w:r w:rsidR="00C267DD">
        <w:t xml:space="preserve">n 19 October 2018 Water Africa’s attorneys </w:t>
      </w:r>
      <w:r w:rsidR="00ED6F57">
        <w:t>addressed</w:t>
      </w:r>
      <w:r w:rsidR="00DD02F7">
        <w:t xml:space="preserve"> a letter to Mr v</w:t>
      </w:r>
      <w:r w:rsidR="00C267DD">
        <w:t>an den Heever</w:t>
      </w:r>
      <w:r w:rsidR="00ED6F57">
        <w:t>.</w:t>
      </w:r>
    </w:p>
    <w:p w:rsidR="00ED6F57" w:rsidRDefault="008518D6" w:rsidP="008518D6">
      <w:pPr>
        <w:pStyle w:val="10"/>
        <w:numPr>
          <w:ilvl w:val="0"/>
          <w:numId w:val="0"/>
        </w:numPr>
        <w:tabs>
          <w:tab w:val="left" w:pos="567"/>
        </w:tabs>
      </w:pPr>
      <w:r>
        <w:t>[53]</w:t>
      </w:r>
      <w:r>
        <w:tab/>
      </w:r>
      <w:r w:rsidR="00ED6F57">
        <w:t>After explaining that some of the money was disbursed to the second and third defendants, the letter continued:</w:t>
      </w:r>
    </w:p>
    <w:p w:rsidR="00C267DD" w:rsidRPr="00C267DD" w:rsidRDefault="00C267DD" w:rsidP="00C267DD">
      <w:pPr>
        <w:pStyle w:val="quotation"/>
        <w:spacing w:before="360" w:after="360"/>
        <w:ind w:left="1985" w:hanging="545"/>
        <w:rPr>
          <w:rFonts w:ascii="Arial" w:hAnsi="Arial" w:cs="Arial"/>
          <w:i w:val="0"/>
          <w:sz w:val="22"/>
          <w:szCs w:val="22"/>
        </w:rPr>
      </w:pPr>
      <w:r w:rsidRPr="00C267DD">
        <w:rPr>
          <w:rFonts w:ascii="Arial" w:hAnsi="Arial" w:cs="Arial"/>
          <w:i w:val="0"/>
          <w:sz w:val="22"/>
          <w:szCs w:val="22"/>
        </w:rPr>
        <w:t>‘4.</w:t>
      </w:r>
      <w:r w:rsidRPr="00C267DD">
        <w:rPr>
          <w:rFonts w:ascii="Arial" w:hAnsi="Arial" w:cs="Arial"/>
          <w:i w:val="0"/>
          <w:sz w:val="22"/>
          <w:szCs w:val="22"/>
        </w:rPr>
        <w:tab/>
        <w:t>You will note that the monies were made available to the company for the purpose of settlement of the creditor’s claim.  Had the tender been accepted, the transaction would have been reflected as a loan from the directors in the company’s books and their respective loan accounts adjusted.’</w:t>
      </w:r>
    </w:p>
    <w:p w:rsidR="00C267DD" w:rsidRPr="00C267DD" w:rsidRDefault="008518D6" w:rsidP="008518D6">
      <w:pPr>
        <w:pStyle w:val="10"/>
        <w:numPr>
          <w:ilvl w:val="0"/>
          <w:numId w:val="0"/>
        </w:numPr>
        <w:tabs>
          <w:tab w:val="left" w:pos="567"/>
        </w:tabs>
        <w:rPr>
          <w:u w:val="single"/>
        </w:rPr>
      </w:pPr>
      <w:r w:rsidRPr="00C267DD">
        <w:t>[54]</w:t>
      </w:r>
      <w:r w:rsidRPr="00C267DD">
        <w:tab/>
      </w:r>
      <w:r w:rsidR="00ED6F57" w:rsidRPr="00A7364B">
        <w:t>The payment by the second and third defendants to Water Africa</w:t>
      </w:r>
      <w:r w:rsidR="00ED6F57">
        <w:t xml:space="preserve"> </w:t>
      </w:r>
      <w:r w:rsidR="00C267DD">
        <w:t xml:space="preserve">could not be both </w:t>
      </w:r>
      <w:r w:rsidR="00ED6F57" w:rsidRPr="00A7364B">
        <w:t xml:space="preserve">a loan </w:t>
      </w:r>
      <w:r w:rsidR="00C267DD">
        <w:t xml:space="preserve">to Water Africa and </w:t>
      </w:r>
      <w:r w:rsidR="00ED6F57" w:rsidRPr="00A7364B">
        <w:t xml:space="preserve">remain </w:t>
      </w:r>
      <w:r w:rsidR="00ED6F57">
        <w:t xml:space="preserve">their </w:t>
      </w:r>
      <w:r w:rsidR="00ED6F57" w:rsidRPr="00A7364B">
        <w:t xml:space="preserve">property. </w:t>
      </w:r>
    </w:p>
    <w:p w:rsidR="003E0DD0" w:rsidRDefault="003E0DD0" w:rsidP="00C267DD">
      <w:pPr>
        <w:pStyle w:val="10"/>
        <w:numPr>
          <w:ilvl w:val="0"/>
          <w:numId w:val="0"/>
        </w:numPr>
        <w:rPr>
          <w:u w:val="single"/>
        </w:rPr>
      </w:pPr>
    </w:p>
    <w:p w:rsidR="00ED6F57" w:rsidRDefault="00C267DD" w:rsidP="00C267DD">
      <w:pPr>
        <w:pStyle w:val="10"/>
        <w:numPr>
          <w:ilvl w:val="0"/>
          <w:numId w:val="0"/>
        </w:numPr>
        <w:rPr>
          <w:u w:val="single"/>
        </w:rPr>
      </w:pPr>
      <w:r>
        <w:rPr>
          <w:u w:val="single"/>
        </w:rPr>
        <w:lastRenderedPageBreak/>
        <w:t xml:space="preserve">The </w:t>
      </w:r>
      <w:r w:rsidR="00ED6F57">
        <w:rPr>
          <w:u w:val="single"/>
        </w:rPr>
        <w:t>Mandate</w:t>
      </w:r>
    </w:p>
    <w:p w:rsidR="00ED6F57" w:rsidRPr="00513E22" w:rsidRDefault="008518D6" w:rsidP="008518D6">
      <w:pPr>
        <w:pStyle w:val="10"/>
        <w:numPr>
          <w:ilvl w:val="0"/>
          <w:numId w:val="0"/>
        </w:numPr>
        <w:tabs>
          <w:tab w:val="left" w:pos="567"/>
        </w:tabs>
        <w:rPr>
          <w:u w:val="single"/>
        </w:rPr>
      </w:pPr>
      <w:r w:rsidRPr="00513E22">
        <w:t>[55]</w:t>
      </w:r>
      <w:r w:rsidRPr="00513E22">
        <w:tab/>
      </w:r>
      <w:r w:rsidR="00C267DD">
        <w:t>The defendants testified</w:t>
      </w:r>
      <w:r w:rsidR="00ED6F57">
        <w:t xml:space="preserve"> that the second and third defendants signed a m</w:t>
      </w:r>
      <w:r w:rsidR="00C267DD">
        <w:t>andate.</w:t>
      </w:r>
      <w:r w:rsidR="00ED6F57">
        <w:t xml:space="preserve">  The evidence is that the document got lost and that a duplicate was then later again signed by them and backdated.  It is significant that the second and third </w:t>
      </w:r>
      <w:r w:rsidR="00C267DD">
        <w:t>defendants could not give a</w:t>
      </w:r>
      <w:r w:rsidR="00ED6F57">
        <w:t xml:space="preserve"> meaningful explanation as to why the monies </w:t>
      </w:r>
      <w:r w:rsidR="00C267DD">
        <w:t>were paid into Water Africa’s attorneys trust account</w:t>
      </w:r>
      <w:r w:rsidR="00ED6F57">
        <w:t xml:space="preserve">.  </w:t>
      </w:r>
    </w:p>
    <w:p w:rsidR="00ED6F57" w:rsidRPr="00513E22" w:rsidRDefault="008518D6" w:rsidP="008518D6">
      <w:pPr>
        <w:pStyle w:val="10"/>
        <w:numPr>
          <w:ilvl w:val="0"/>
          <w:numId w:val="0"/>
        </w:numPr>
        <w:tabs>
          <w:tab w:val="left" w:pos="567"/>
        </w:tabs>
        <w:rPr>
          <w:u w:val="single"/>
        </w:rPr>
      </w:pPr>
      <w:r w:rsidRPr="00513E22">
        <w:t>[56]</w:t>
      </w:r>
      <w:r w:rsidRPr="00513E22">
        <w:tab/>
      </w:r>
      <w:r w:rsidR="00513E22">
        <w:t>T</w:t>
      </w:r>
      <w:r w:rsidR="00ED6F57">
        <w:t xml:space="preserve">he wording of the </w:t>
      </w:r>
      <w:r w:rsidR="00513E22">
        <w:t xml:space="preserve">mandate is </w:t>
      </w:r>
      <w:r w:rsidR="00ED6F57">
        <w:t>destructive of the defendants’ version.</w:t>
      </w:r>
    </w:p>
    <w:p w:rsidR="00ED6F57" w:rsidRPr="00513E22" w:rsidRDefault="008518D6" w:rsidP="008518D6">
      <w:pPr>
        <w:pStyle w:val="10"/>
        <w:numPr>
          <w:ilvl w:val="0"/>
          <w:numId w:val="0"/>
        </w:numPr>
        <w:tabs>
          <w:tab w:val="left" w:pos="567"/>
        </w:tabs>
        <w:rPr>
          <w:u w:val="single"/>
        </w:rPr>
      </w:pPr>
      <w:r w:rsidRPr="00513E22">
        <w:t>[57]</w:t>
      </w:r>
      <w:r w:rsidRPr="00513E22">
        <w:tab/>
      </w:r>
      <w:r w:rsidR="00ED6F57">
        <w:t>Paragraph 2 of the mandate reads:</w:t>
      </w:r>
    </w:p>
    <w:p w:rsidR="00513E22" w:rsidRPr="00513E22" w:rsidRDefault="00513E22" w:rsidP="00513E22">
      <w:pPr>
        <w:pStyle w:val="quotation"/>
        <w:spacing w:before="360" w:after="360"/>
        <w:ind w:left="1134"/>
        <w:rPr>
          <w:rFonts w:ascii="Arial" w:hAnsi="Arial" w:cs="Arial"/>
          <w:i w:val="0"/>
          <w:iCs/>
          <w:sz w:val="22"/>
          <w:szCs w:val="22"/>
        </w:rPr>
      </w:pPr>
      <w:r w:rsidRPr="00513E22">
        <w:rPr>
          <w:rFonts w:ascii="Arial" w:hAnsi="Arial" w:cs="Arial"/>
          <w:i w:val="0"/>
          <w:sz w:val="22"/>
          <w:szCs w:val="22"/>
        </w:rPr>
        <w:t xml:space="preserve">“The Tender constitutes monies from Clients </w:t>
      </w:r>
      <w:r w:rsidRPr="00513E22">
        <w:rPr>
          <w:rFonts w:ascii="Arial" w:hAnsi="Arial" w:cs="Arial"/>
          <w:i w:val="0"/>
          <w:iCs/>
          <w:sz w:val="22"/>
          <w:szCs w:val="22"/>
        </w:rPr>
        <w:t>[defined as second and third defendants]</w:t>
      </w:r>
      <w:r w:rsidRPr="00513E22">
        <w:rPr>
          <w:rFonts w:ascii="Arial" w:hAnsi="Arial" w:cs="Arial"/>
          <w:i w:val="0"/>
          <w:sz w:val="22"/>
          <w:szCs w:val="22"/>
        </w:rPr>
        <w:t xml:space="preserve"> which is placed </w:t>
      </w:r>
      <w:r w:rsidRPr="00513E22">
        <w:rPr>
          <w:rFonts w:ascii="Arial" w:hAnsi="Arial" w:cs="Arial"/>
          <w:i w:val="0"/>
          <w:sz w:val="22"/>
          <w:szCs w:val="22"/>
          <w:u w:val="single"/>
        </w:rPr>
        <w:t>at the disposal of</w:t>
      </w:r>
      <w:r w:rsidRPr="00513E22">
        <w:rPr>
          <w:rFonts w:ascii="Arial" w:hAnsi="Arial" w:cs="Arial"/>
          <w:i w:val="0"/>
          <w:sz w:val="22"/>
          <w:szCs w:val="22"/>
        </w:rPr>
        <w:t xml:space="preserve"> Water Africa Systems (Pty) Ltd for the purpose of settling the dispute with DPI Plastics (Pty) Ltd and subject to the following: …” </w:t>
      </w:r>
      <w:r w:rsidRPr="00513E22">
        <w:rPr>
          <w:rFonts w:ascii="Arial" w:hAnsi="Arial" w:cs="Arial"/>
          <w:i w:val="0"/>
          <w:iCs/>
          <w:sz w:val="22"/>
          <w:szCs w:val="22"/>
        </w:rPr>
        <w:t>[Own emphasis]</w:t>
      </w:r>
    </w:p>
    <w:p w:rsidR="00ED6F57" w:rsidRPr="00513E22" w:rsidRDefault="008518D6" w:rsidP="008518D6">
      <w:pPr>
        <w:pStyle w:val="10"/>
        <w:numPr>
          <w:ilvl w:val="0"/>
          <w:numId w:val="0"/>
        </w:numPr>
        <w:tabs>
          <w:tab w:val="left" w:pos="567"/>
        </w:tabs>
        <w:rPr>
          <w:u w:val="single"/>
        </w:rPr>
      </w:pPr>
      <w:r w:rsidRPr="00513E22">
        <w:t>[58]</w:t>
      </w:r>
      <w:r w:rsidRPr="00513E22">
        <w:tab/>
      </w:r>
      <w:r w:rsidR="00ED6F57">
        <w:t xml:space="preserve">The Appellate Division, in an exception, had to interpret the words </w:t>
      </w:r>
      <w:r w:rsidR="00ED6F57" w:rsidRPr="00513E22">
        <w:rPr>
          <w:i/>
        </w:rPr>
        <w:t xml:space="preserve">“we hold at the </w:t>
      </w:r>
      <w:r w:rsidR="00ED6F57" w:rsidRPr="00234282">
        <w:t>disposal</w:t>
      </w:r>
      <w:r w:rsidR="00ED6F57">
        <w:rPr>
          <w:rStyle w:val="FootnoteReference"/>
        </w:rPr>
        <w:footnoteReference w:id="11"/>
      </w:r>
      <w:r w:rsidR="00ED6F57" w:rsidRPr="00513E22">
        <w:rPr>
          <w:i/>
        </w:rPr>
        <w:t xml:space="preserve"> of your Board the sum of R20 000.00”</w:t>
      </w:r>
      <w:r w:rsidR="00ED6F57">
        <w:t xml:space="preserve"> </w:t>
      </w:r>
      <w:r w:rsidR="00DD02F7">
        <w:t xml:space="preserve"> </w:t>
      </w:r>
      <w:r w:rsidR="00ED6F57">
        <w:t xml:space="preserve">in a letter.  </w:t>
      </w:r>
      <w:r w:rsidR="00ED6F57" w:rsidRPr="000A5C24">
        <w:t>Diemont AJA said:</w:t>
      </w:r>
    </w:p>
    <w:p w:rsidR="00513E22" w:rsidRPr="00513E22" w:rsidRDefault="00513E22" w:rsidP="00513E22">
      <w:pPr>
        <w:pStyle w:val="quotation"/>
        <w:spacing w:before="360" w:after="360"/>
        <w:ind w:left="1134"/>
        <w:rPr>
          <w:rFonts w:ascii="Arial" w:hAnsi="Arial" w:cs="Arial"/>
          <w:i w:val="0"/>
          <w:sz w:val="22"/>
          <w:szCs w:val="22"/>
        </w:rPr>
      </w:pPr>
      <w:r w:rsidRPr="00513E22">
        <w:rPr>
          <w:rFonts w:ascii="Arial" w:hAnsi="Arial" w:cs="Arial"/>
          <w:i w:val="0"/>
          <w:sz w:val="22"/>
          <w:szCs w:val="22"/>
        </w:rPr>
        <w:t xml:space="preserve">‘The use of the word ‘disposal’ is significant.  In its ordinary connotation one of the meanings of the words is ‘the power or right to make use of or deal with as one pleases’. </w:t>
      </w:r>
      <w:r w:rsidRPr="00513E22">
        <w:rPr>
          <w:rFonts w:ascii="Arial" w:hAnsi="Arial" w:cs="Arial"/>
          <w:i w:val="0"/>
          <w:iCs/>
          <w:sz w:val="22"/>
          <w:szCs w:val="22"/>
        </w:rPr>
        <w:t xml:space="preserve">(Oxford Dictionary, Vol 3, p 219). </w:t>
      </w:r>
      <w:r w:rsidRPr="00513E22">
        <w:rPr>
          <w:rFonts w:ascii="Arial" w:hAnsi="Arial" w:cs="Arial"/>
          <w:i w:val="0"/>
          <w:sz w:val="22"/>
          <w:szCs w:val="22"/>
        </w:rPr>
        <w:t>It is within the power of the board to make use of or deal with the R20 000.00 at any time when it is pleased to …’</w:t>
      </w:r>
      <w:r w:rsidRPr="00513E22">
        <w:rPr>
          <w:rStyle w:val="FootnoteReference"/>
          <w:rFonts w:ascii="Arial" w:hAnsi="Arial" w:cs="Arial"/>
          <w:i w:val="0"/>
          <w:sz w:val="22"/>
          <w:szCs w:val="22"/>
        </w:rPr>
        <w:footnoteReference w:id="12"/>
      </w:r>
    </w:p>
    <w:p w:rsidR="00513E22" w:rsidRPr="00513E22" w:rsidRDefault="00453112" w:rsidP="00453112">
      <w:pPr>
        <w:pStyle w:val="10"/>
        <w:numPr>
          <w:ilvl w:val="0"/>
          <w:numId w:val="0"/>
        </w:numPr>
        <w:rPr>
          <w:u w:val="single"/>
        </w:rPr>
      </w:pPr>
      <w:r>
        <w:rPr>
          <w:u w:val="single"/>
        </w:rPr>
        <w:t>What do second and third defendants say?</w:t>
      </w:r>
    </w:p>
    <w:p w:rsidR="00ED6F57" w:rsidRPr="00453112" w:rsidRDefault="008518D6" w:rsidP="008518D6">
      <w:pPr>
        <w:pStyle w:val="10"/>
        <w:numPr>
          <w:ilvl w:val="0"/>
          <w:numId w:val="0"/>
        </w:numPr>
        <w:tabs>
          <w:tab w:val="left" w:pos="567"/>
        </w:tabs>
        <w:rPr>
          <w:u w:val="single"/>
        </w:rPr>
      </w:pPr>
      <w:r w:rsidRPr="00453112">
        <w:t>[59]</w:t>
      </w:r>
      <w:r w:rsidRPr="00453112">
        <w:tab/>
      </w:r>
      <w:r w:rsidR="00ED6F57">
        <w:t>The defendants exp</w:t>
      </w:r>
      <w:r w:rsidR="004168ED">
        <w:t xml:space="preserve">lained how the second and </w:t>
      </w:r>
      <w:r w:rsidR="00ED6F57">
        <w:t>third defendant</w:t>
      </w:r>
      <w:r w:rsidR="004168ED">
        <w:t>s</w:t>
      </w:r>
      <w:r w:rsidR="00ED6F57">
        <w:t xml:space="preserve"> acquired the money, and that they pa</w:t>
      </w:r>
      <w:r w:rsidR="00453112">
        <w:t>id it into Water Africa’s attorneys</w:t>
      </w:r>
      <w:r w:rsidR="00ED6F57">
        <w:t xml:space="preserve"> trus</w:t>
      </w:r>
      <w:r w:rsidR="00453112">
        <w:t>t account. This do</w:t>
      </w:r>
      <w:r w:rsidR="004168ED">
        <w:t>es not shed light on the issues</w:t>
      </w:r>
      <w:r w:rsidR="00453112">
        <w:t xml:space="preserve"> which fall for determination. The objective evidence contradicts Mr Christie’s</w:t>
      </w:r>
      <w:r w:rsidR="00ED6F57">
        <w:t xml:space="preserve"> evidence. </w:t>
      </w:r>
      <w:r w:rsidR="00453112">
        <w:t xml:space="preserve">Mr </w:t>
      </w:r>
      <w:r w:rsidR="00ED6F57">
        <w:t xml:space="preserve">Christie could not explain how his letters or the </w:t>
      </w:r>
      <w:r w:rsidR="00ED6F57">
        <w:lastRenderedPageBreak/>
        <w:t>tender could have “proved” solvency if the money was the property of t</w:t>
      </w:r>
      <w:r w:rsidR="00DD02F7">
        <w:t xml:space="preserve">he second </w:t>
      </w:r>
      <w:r w:rsidR="004168ED">
        <w:t xml:space="preserve">or </w:t>
      </w:r>
      <w:r w:rsidR="00ED6F57">
        <w:t>third defendant</w:t>
      </w:r>
      <w:r w:rsidR="004168ED">
        <w:t>s</w:t>
      </w:r>
      <w:r w:rsidR="00ED6F57">
        <w:t xml:space="preserve">. </w:t>
      </w:r>
    </w:p>
    <w:p w:rsidR="00ED6F57" w:rsidRPr="00453112" w:rsidRDefault="008518D6" w:rsidP="008518D6">
      <w:pPr>
        <w:pStyle w:val="10"/>
        <w:numPr>
          <w:ilvl w:val="0"/>
          <w:numId w:val="0"/>
        </w:numPr>
        <w:tabs>
          <w:tab w:val="left" w:pos="567"/>
        </w:tabs>
        <w:rPr>
          <w:u w:val="single"/>
        </w:rPr>
      </w:pPr>
      <w:r w:rsidRPr="00453112">
        <w:t>[60]</w:t>
      </w:r>
      <w:r w:rsidRPr="00453112">
        <w:tab/>
      </w:r>
      <w:r w:rsidR="00453112">
        <w:t>T</w:t>
      </w:r>
      <w:r w:rsidR="00ED6F57">
        <w:t>he second</w:t>
      </w:r>
      <w:r w:rsidR="00453112">
        <w:t xml:space="preserve"> and third</w:t>
      </w:r>
      <w:r w:rsidR="00ED6F57">
        <w:t xml:space="preserve"> defendant</w:t>
      </w:r>
      <w:r w:rsidR="00453112">
        <w:t>s</w:t>
      </w:r>
      <w:r w:rsidR="00ED6F57">
        <w:t xml:space="preserve"> did not know how or under what circumstances they would recover the mone</w:t>
      </w:r>
      <w:r w:rsidR="00DD02F7">
        <w:t>y paid to Water Africa’s attorenys</w:t>
      </w:r>
      <w:r w:rsidR="00453112">
        <w:t xml:space="preserve">. </w:t>
      </w:r>
      <w:r w:rsidR="00ED6F57">
        <w:t xml:space="preserve">The second defendant testified that no decision or agreement had been made at the time as to how the money would be recovered. </w:t>
      </w:r>
    </w:p>
    <w:p w:rsidR="00453112" w:rsidRPr="00453112" w:rsidRDefault="008518D6" w:rsidP="008518D6">
      <w:pPr>
        <w:pStyle w:val="10"/>
        <w:numPr>
          <w:ilvl w:val="0"/>
          <w:numId w:val="0"/>
        </w:numPr>
        <w:tabs>
          <w:tab w:val="left" w:pos="567"/>
        </w:tabs>
        <w:rPr>
          <w:u w:val="single"/>
        </w:rPr>
      </w:pPr>
      <w:r w:rsidRPr="00453112">
        <w:t>[61]</w:t>
      </w:r>
      <w:r w:rsidRPr="00453112">
        <w:tab/>
      </w:r>
      <w:r w:rsidR="00ED6F57">
        <w:t>In the absence of any meaningful evi</w:t>
      </w:r>
      <w:r w:rsidR="004168ED">
        <w:t xml:space="preserve">dence from the second or </w:t>
      </w:r>
      <w:r w:rsidR="00ED6F57">
        <w:t>third defendant</w:t>
      </w:r>
      <w:r w:rsidR="004168ED">
        <w:t>s</w:t>
      </w:r>
      <w:r w:rsidR="00ED6F57">
        <w:t xml:space="preserve"> that the money r</w:t>
      </w:r>
      <w:r w:rsidR="00DD02F7">
        <w:t>emained their property, there are</w:t>
      </w:r>
      <w:r w:rsidR="00ED6F57">
        <w:t xml:space="preserve"> simply no grounds on which the defendants’ version and defence can be accepted. There is no evidence that </w:t>
      </w:r>
      <w:r w:rsidR="00453112">
        <w:t xml:space="preserve">Mr </w:t>
      </w:r>
      <w:r w:rsidR="00ED6F57">
        <w:t>Christie would have had personal knowledge of the relationship and arrangements between Water Africa and its shareholders</w:t>
      </w:r>
      <w:r w:rsidR="00DD02F7">
        <w:t>/directors</w:t>
      </w:r>
      <w:r w:rsidR="00ED6F57">
        <w:t>.</w:t>
      </w:r>
    </w:p>
    <w:p w:rsidR="00453112" w:rsidRPr="00453112" w:rsidRDefault="008518D6" w:rsidP="008518D6">
      <w:pPr>
        <w:pStyle w:val="10"/>
        <w:numPr>
          <w:ilvl w:val="0"/>
          <w:numId w:val="0"/>
        </w:numPr>
        <w:tabs>
          <w:tab w:val="left" w:pos="567"/>
        </w:tabs>
        <w:rPr>
          <w:u w:val="single"/>
        </w:rPr>
      </w:pPr>
      <w:r w:rsidRPr="00453112">
        <w:t>[62]</w:t>
      </w:r>
      <w:r w:rsidRPr="00453112">
        <w:tab/>
      </w:r>
      <w:r w:rsidR="00ED6F57">
        <w:t xml:space="preserve"> </w:t>
      </w:r>
      <w:r w:rsidR="00ED6F57" w:rsidRPr="00BF077E">
        <w:t xml:space="preserve">The only clear understanding evident from </w:t>
      </w:r>
      <w:r w:rsidR="00ED6F57">
        <w:t xml:space="preserve">the defendants’ evidence </w:t>
      </w:r>
      <w:r w:rsidR="00ED6F57" w:rsidRPr="00BF077E">
        <w:t>about the money was that it would stave off liquidation, which it could only do if it were the property of Water Africa</w:t>
      </w:r>
      <w:r w:rsidR="00ED6F57">
        <w:t>.</w:t>
      </w:r>
    </w:p>
    <w:p w:rsidR="00ED6F57" w:rsidRPr="008747E0" w:rsidRDefault="008518D6" w:rsidP="008518D6">
      <w:pPr>
        <w:pStyle w:val="10"/>
        <w:numPr>
          <w:ilvl w:val="0"/>
          <w:numId w:val="0"/>
        </w:numPr>
        <w:tabs>
          <w:tab w:val="left" w:pos="567"/>
        </w:tabs>
        <w:rPr>
          <w:u w:val="single"/>
        </w:rPr>
      </w:pPr>
      <w:r w:rsidRPr="008747E0">
        <w:t>[63]</w:t>
      </w:r>
      <w:r w:rsidRPr="008747E0">
        <w:tab/>
      </w:r>
      <w:r w:rsidR="00453112">
        <w:t xml:space="preserve">The suggestion </w:t>
      </w:r>
      <w:r w:rsidR="00ED6F57">
        <w:t>that the money in the trust account was not W</w:t>
      </w:r>
      <w:r w:rsidR="00453112">
        <w:t xml:space="preserve">ater Africa’s </w:t>
      </w:r>
      <w:r w:rsidR="00DD02F7">
        <w:t>property</w:t>
      </w:r>
      <w:r w:rsidR="00453112">
        <w:t xml:space="preserve"> is</w:t>
      </w:r>
      <w:r w:rsidR="00ED6F57">
        <w:t xml:space="preserve"> rejected.</w:t>
      </w:r>
    </w:p>
    <w:p w:rsidR="008747E0" w:rsidRPr="00453112" w:rsidRDefault="008747E0" w:rsidP="008747E0">
      <w:pPr>
        <w:pStyle w:val="10"/>
        <w:numPr>
          <w:ilvl w:val="0"/>
          <w:numId w:val="0"/>
        </w:numPr>
        <w:rPr>
          <w:u w:val="single"/>
        </w:rPr>
      </w:pPr>
    </w:p>
    <w:p w:rsidR="00453112" w:rsidRPr="00453112" w:rsidRDefault="00453112" w:rsidP="00453112">
      <w:pPr>
        <w:pStyle w:val="10"/>
        <w:numPr>
          <w:ilvl w:val="0"/>
          <w:numId w:val="0"/>
        </w:numPr>
        <w:rPr>
          <w:b/>
          <w:u w:val="single"/>
        </w:rPr>
      </w:pPr>
      <w:r w:rsidRPr="00453112">
        <w:rPr>
          <w:b/>
        </w:rPr>
        <w:t>Conclusion</w:t>
      </w:r>
    </w:p>
    <w:p w:rsidR="00453112" w:rsidRDefault="008518D6" w:rsidP="008518D6">
      <w:pPr>
        <w:pStyle w:val="10"/>
        <w:numPr>
          <w:ilvl w:val="0"/>
          <w:numId w:val="0"/>
        </w:numPr>
        <w:tabs>
          <w:tab w:val="left" w:pos="567"/>
        </w:tabs>
      </w:pPr>
      <w:r>
        <w:t>[64]</w:t>
      </w:r>
      <w:r>
        <w:tab/>
      </w:r>
      <w:r w:rsidR="00453112">
        <w:t>T</w:t>
      </w:r>
      <w:r w:rsidR="00ED6F57">
        <w:t xml:space="preserve">he money advanced by </w:t>
      </w:r>
      <w:r w:rsidR="00453112">
        <w:t xml:space="preserve">the </w:t>
      </w:r>
      <w:r w:rsidR="00ED6F57">
        <w:t>second and third defe</w:t>
      </w:r>
      <w:r w:rsidR="009873BE">
        <w:t xml:space="preserve">ndants </w:t>
      </w:r>
      <w:r w:rsidR="00ED6F57">
        <w:t>to Water Africa became Water Africa’s property (as defined in the Insolvency Act).  The fact that the money would be repayable at some point in the</w:t>
      </w:r>
      <w:r w:rsidR="00453112">
        <w:t xml:space="preserve"> future (either when a tender were</w:t>
      </w:r>
      <w:r w:rsidR="00ED6F57">
        <w:t xml:space="preserve"> rejected or a</w:t>
      </w:r>
      <w:r w:rsidR="00453112">
        <w:t>t a later stage if the tender were</w:t>
      </w:r>
      <w:r w:rsidR="00ED6F57">
        <w:t xml:space="preserve"> accepted) does not detract from (and </w:t>
      </w:r>
      <w:r w:rsidR="00453112">
        <w:t xml:space="preserve">in fact supports) the following conclusions: (a) </w:t>
      </w:r>
      <w:r w:rsidR="00ED6F57">
        <w:t>at the very lea</w:t>
      </w:r>
      <w:r w:rsidR="00453112">
        <w:t xml:space="preserve">st it was a loan to Water </w:t>
      </w:r>
      <w:r w:rsidR="00453112">
        <w:lastRenderedPageBreak/>
        <w:t>Africa</w:t>
      </w:r>
      <w:r w:rsidR="00ED6F57">
        <w:t xml:space="preserve"> </w:t>
      </w:r>
      <w:r w:rsidR="00453112">
        <w:t xml:space="preserve">and (b) it is Water Africa’s property as contemplated in </w:t>
      </w:r>
      <w:r w:rsidR="006F146D">
        <w:t>section 2 of the Insolvency Act. The la</w:t>
      </w:r>
      <w:r w:rsidR="009873BE">
        <w:t>t</w:t>
      </w:r>
      <w:r w:rsidR="006F146D">
        <w:t>ter conclusion entitles the plaintiffs to such amount.</w:t>
      </w:r>
      <w:r w:rsidR="006F146D">
        <w:rPr>
          <w:rStyle w:val="FootnoteReference"/>
        </w:rPr>
        <w:footnoteReference w:id="13"/>
      </w:r>
    </w:p>
    <w:p w:rsidR="00ED6F57" w:rsidRDefault="008518D6" w:rsidP="008518D6">
      <w:pPr>
        <w:pStyle w:val="10"/>
        <w:numPr>
          <w:ilvl w:val="0"/>
          <w:numId w:val="0"/>
        </w:numPr>
        <w:tabs>
          <w:tab w:val="left" w:pos="567"/>
        </w:tabs>
      </w:pPr>
      <w:r>
        <w:t>[65]</w:t>
      </w:r>
      <w:r>
        <w:tab/>
      </w:r>
      <w:r w:rsidR="00ED6F57">
        <w:t xml:space="preserve">Based on </w:t>
      </w:r>
      <w:r w:rsidR="00ED6F57" w:rsidRPr="009C6117">
        <w:rPr>
          <w:bCs/>
          <w:i/>
        </w:rPr>
        <w:t>Engen</w:t>
      </w:r>
      <w:r w:rsidR="009C6117">
        <w:rPr>
          <w:rStyle w:val="FootnoteReference"/>
          <w:bCs/>
          <w:i/>
        </w:rPr>
        <w:footnoteReference w:id="14"/>
      </w:r>
      <w:r w:rsidR="00ED6F57" w:rsidRPr="009C6117">
        <w:rPr>
          <w:b/>
          <w:bCs/>
          <w:i/>
        </w:rPr>
        <w:t xml:space="preserve"> </w:t>
      </w:r>
      <w:r w:rsidR="00ED6F57">
        <w:t>and the fact that the money was the property of Water Africa, the plaintiffs are entitled to an order that the monies received by the second defendant</w:t>
      </w:r>
      <w:r w:rsidR="009C6117">
        <w:t xml:space="preserve"> (R600 000)</w:t>
      </w:r>
      <w:r w:rsidR="00ED6F57">
        <w:t xml:space="preserve"> and the third defendant</w:t>
      </w:r>
      <w:r w:rsidR="009C6117">
        <w:t xml:space="preserve"> (R400 000)</w:t>
      </w:r>
      <w:r w:rsidR="00ED6F57">
        <w:t xml:space="preserve"> respectively be repaid by them.</w:t>
      </w:r>
    </w:p>
    <w:p w:rsidR="00ED6F57" w:rsidRDefault="008518D6" w:rsidP="008518D6">
      <w:pPr>
        <w:pStyle w:val="10"/>
        <w:numPr>
          <w:ilvl w:val="0"/>
          <w:numId w:val="0"/>
        </w:numPr>
        <w:tabs>
          <w:tab w:val="left" w:pos="567"/>
        </w:tabs>
      </w:pPr>
      <w:r>
        <w:t>[66]</w:t>
      </w:r>
      <w:r>
        <w:tab/>
      </w:r>
      <w:r w:rsidR="009C6117">
        <w:t xml:space="preserve">Water Africa’s attorneys </w:t>
      </w:r>
      <w:r w:rsidR="00ED6F57">
        <w:t>had a</w:t>
      </w:r>
      <w:r w:rsidR="009C6117">
        <w:t xml:space="preserve"> duty to account to Water Africa</w:t>
      </w:r>
      <w:r w:rsidR="00ED6F57">
        <w:t xml:space="preserve"> for the funds in the trust account.</w:t>
      </w:r>
      <w:r w:rsidR="00ED6F57">
        <w:rPr>
          <w:rStyle w:val="FootnoteReference"/>
        </w:rPr>
        <w:footnoteReference w:id="15"/>
      </w:r>
      <w:r w:rsidR="00ED6F57">
        <w:t xml:space="preserve"> </w:t>
      </w:r>
      <w:r w:rsidR="009C6117">
        <w:t>A</w:t>
      </w:r>
      <w:r w:rsidR="00ED6F57">
        <w:t>fter Water Africa was placed under winding-up</w:t>
      </w:r>
      <w:r w:rsidR="009C6117">
        <w:t xml:space="preserve">, Water Africa’s attorneys </w:t>
      </w:r>
      <w:r w:rsidR="00ED6F57">
        <w:t>could only deal with the money on the instructions of the liquidators.</w:t>
      </w:r>
    </w:p>
    <w:p w:rsidR="00ED6F57" w:rsidRDefault="008518D6" w:rsidP="008518D6">
      <w:pPr>
        <w:pStyle w:val="10"/>
        <w:numPr>
          <w:ilvl w:val="0"/>
          <w:numId w:val="0"/>
        </w:numPr>
        <w:tabs>
          <w:tab w:val="left" w:pos="567"/>
        </w:tabs>
      </w:pPr>
      <w:r>
        <w:t>[67]</w:t>
      </w:r>
      <w:r>
        <w:tab/>
      </w:r>
      <w:r w:rsidR="009C6117">
        <w:t xml:space="preserve">Water Africa’s attorneys are </w:t>
      </w:r>
      <w:r w:rsidR="00ED6F57">
        <w:t>liable for an</w:t>
      </w:r>
      <w:r w:rsidR="009C6117">
        <w:t>y unauthorised payments from their</w:t>
      </w:r>
      <w:r w:rsidR="00ED6F57">
        <w:t xml:space="preserve"> trust account.</w:t>
      </w:r>
      <w:r w:rsidR="00ED6F57">
        <w:rPr>
          <w:rStyle w:val="FootnoteReference"/>
        </w:rPr>
        <w:footnoteReference w:id="16"/>
      </w:r>
      <w:r w:rsidR="009C6117">
        <w:t xml:space="preserve"> In</w:t>
      </w:r>
      <w:r w:rsidR="00ED6F57">
        <w:t xml:space="preserve"> making payme</w:t>
      </w:r>
      <w:r w:rsidR="009C6117">
        <w:t xml:space="preserve">nts to the second and third </w:t>
      </w:r>
      <w:r w:rsidR="00ED6F57">
        <w:t xml:space="preserve">defendants, </w:t>
      </w:r>
      <w:r w:rsidR="009C6117">
        <w:t xml:space="preserve">they </w:t>
      </w:r>
      <w:r w:rsidR="00ED6F57">
        <w:t>dealt</w:t>
      </w:r>
      <w:r w:rsidR="009C6117">
        <w:t xml:space="preserve"> with property which was not their</w:t>
      </w:r>
      <w:r w:rsidR="00ED6F57">
        <w:t xml:space="preserve"> property, and without the instructions of the persons who had the required authority, i.e., the liquidator</w:t>
      </w:r>
      <w:r w:rsidR="009C6117">
        <w:t xml:space="preserve">s (the plaintiffs). Instead, they </w:t>
      </w:r>
      <w:r w:rsidR="00ED6F57">
        <w:t xml:space="preserve">made unauthorised payments to persons who had no right to the payments. </w:t>
      </w:r>
    </w:p>
    <w:p w:rsidR="00ED6F57" w:rsidRDefault="008518D6" w:rsidP="008518D6">
      <w:pPr>
        <w:pStyle w:val="10"/>
        <w:numPr>
          <w:ilvl w:val="0"/>
          <w:numId w:val="0"/>
        </w:numPr>
        <w:tabs>
          <w:tab w:val="left" w:pos="567"/>
        </w:tabs>
      </w:pPr>
      <w:r>
        <w:t>[68]</w:t>
      </w:r>
      <w:r>
        <w:tab/>
      </w:r>
      <w:r w:rsidR="009C6117">
        <w:t>T</w:t>
      </w:r>
      <w:r w:rsidR="00ED6F57">
        <w:t xml:space="preserve">he first defendant is </w:t>
      </w:r>
      <w:r w:rsidR="009C6117">
        <w:t xml:space="preserve">accordingly </w:t>
      </w:r>
      <w:r w:rsidR="00ED6F57">
        <w:t>liable</w:t>
      </w:r>
      <w:r w:rsidR="00DD02F7">
        <w:t>,</w:t>
      </w:r>
      <w:r w:rsidR="00ED6F57">
        <w:t xml:space="preserve"> jointly and severally</w:t>
      </w:r>
      <w:r w:rsidR="00DD02F7">
        <w:t>,</w:t>
      </w:r>
      <w:r w:rsidR="00ED6F57">
        <w:t xml:space="preserve"> wi</w:t>
      </w:r>
      <w:r w:rsidR="009C6117">
        <w:t xml:space="preserve">th the second and </w:t>
      </w:r>
      <w:r w:rsidR="00ED6F57">
        <w:t>third defendant</w:t>
      </w:r>
      <w:r w:rsidR="009C6117">
        <w:t xml:space="preserve">s respectively </w:t>
      </w:r>
      <w:r w:rsidR="00ED6F57">
        <w:t>for the amount</w:t>
      </w:r>
      <w:r w:rsidR="009C6117">
        <w:t>s paid to them</w:t>
      </w:r>
      <w:r w:rsidR="00ED6F57">
        <w:t>. After payments totalling R1</w:t>
      </w:r>
      <w:r w:rsidR="004168ED">
        <w:t xml:space="preserve"> </w:t>
      </w:r>
      <w:r w:rsidR="00ED6F57">
        <w:t>m</w:t>
      </w:r>
      <w:r w:rsidR="009C6117">
        <w:t>illion to the second and</w:t>
      </w:r>
      <w:r w:rsidR="00ED6F57">
        <w:t xml:space="preserve"> third defendant</w:t>
      </w:r>
      <w:r w:rsidR="009C6117">
        <w:t>s had been made, there was</w:t>
      </w:r>
      <w:r w:rsidR="00ED6F57">
        <w:t xml:space="preserve"> still an amount of R664 207 which had been in the trust account (and formed part of the tender) which has not yet been repaid to the plaintiffs. Any payment which the first defendant may have made in respect of other litigation in which the second defendant or the third defendant may have been involved, was equally unauthorised.</w:t>
      </w:r>
    </w:p>
    <w:p w:rsidR="00247428" w:rsidRDefault="008518D6" w:rsidP="008518D6">
      <w:pPr>
        <w:pStyle w:val="10"/>
        <w:numPr>
          <w:ilvl w:val="0"/>
          <w:numId w:val="0"/>
        </w:numPr>
        <w:tabs>
          <w:tab w:val="left" w:pos="567"/>
        </w:tabs>
      </w:pPr>
      <w:r>
        <w:t>[69]</w:t>
      </w:r>
      <w:r>
        <w:tab/>
      </w:r>
      <w:r w:rsidR="004168ED">
        <w:t xml:space="preserve">I have </w:t>
      </w:r>
      <w:r w:rsidR="00247428">
        <w:t xml:space="preserve">found in favour of the plaintiffs in respect of claim B and Claim A has </w:t>
      </w:r>
      <w:r w:rsidR="004168ED">
        <w:t xml:space="preserve">thus </w:t>
      </w:r>
      <w:r w:rsidR="00247428">
        <w:t>fallen away.</w:t>
      </w:r>
    </w:p>
    <w:p w:rsidR="008747E0" w:rsidRDefault="008747E0" w:rsidP="008747E0">
      <w:pPr>
        <w:pStyle w:val="10"/>
        <w:numPr>
          <w:ilvl w:val="0"/>
          <w:numId w:val="0"/>
        </w:numPr>
      </w:pPr>
    </w:p>
    <w:p w:rsidR="00321949" w:rsidRPr="00247428" w:rsidRDefault="00321949" w:rsidP="00247428">
      <w:pPr>
        <w:pStyle w:val="10"/>
        <w:numPr>
          <w:ilvl w:val="0"/>
          <w:numId w:val="0"/>
        </w:numPr>
        <w:rPr>
          <w:b/>
        </w:rPr>
      </w:pPr>
      <w:r w:rsidRPr="00247428">
        <w:rPr>
          <w:b/>
          <w:lang w:val="en-ZA"/>
        </w:rPr>
        <w:t>Order</w:t>
      </w:r>
    </w:p>
    <w:p w:rsidR="00F46513" w:rsidRPr="00247428" w:rsidRDefault="008518D6" w:rsidP="008518D6">
      <w:pPr>
        <w:pStyle w:val="10"/>
        <w:numPr>
          <w:ilvl w:val="0"/>
          <w:numId w:val="0"/>
        </w:numPr>
        <w:tabs>
          <w:tab w:val="left" w:pos="567"/>
        </w:tabs>
      </w:pPr>
      <w:r w:rsidRPr="00247428">
        <w:t>[70]</w:t>
      </w:r>
      <w:r w:rsidRPr="00247428">
        <w:tab/>
      </w:r>
      <w:r w:rsidR="00321949" w:rsidRPr="00247428">
        <w:rPr>
          <w:lang w:val="en-ZA"/>
        </w:rPr>
        <w:t xml:space="preserve">I accordingly </w:t>
      </w:r>
      <w:r w:rsidR="00C90B85" w:rsidRPr="00247428">
        <w:rPr>
          <w:lang w:val="en-ZA"/>
        </w:rPr>
        <w:t xml:space="preserve">grant </w:t>
      </w:r>
      <w:r w:rsidR="00247428">
        <w:rPr>
          <w:lang w:val="en-ZA"/>
        </w:rPr>
        <w:t>the following order in favour of the first, second and third plaintiffs, in their capacities as joint final liquidators of Water Africa Systems (Pty) Ltd (in liquidation):</w:t>
      </w:r>
      <w:r w:rsidR="00F46513" w:rsidRPr="00247428">
        <w:rPr>
          <w:lang w:val="en-ZA"/>
        </w:rPr>
        <w:t xml:space="preserve"> </w:t>
      </w:r>
    </w:p>
    <w:p w:rsidR="00247428" w:rsidRPr="004168ED" w:rsidRDefault="008518D6" w:rsidP="008518D6">
      <w:pPr>
        <w:pStyle w:val="2"/>
        <w:numPr>
          <w:ilvl w:val="0"/>
          <w:numId w:val="0"/>
        </w:numPr>
        <w:tabs>
          <w:tab w:val="left" w:pos="2268"/>
        </w:tabs>
        <w:ind w:left="851" w:hanging="851"/>
      </w:pPr>
      <w:r w:rsidRPr="004168ED">
        <w:t>(1)</w:t>
      </w:r>
      <w:r w:rsidRPr="004168ED">
        <w:tab/>
      </w:r>
      <w:r w:rsidR="00247428">
        <w:rPr>
          <w:lang w:val="en-ZA"/>
        </w:rPr>
        <w:t>As against the first and second defendants, jointly and severally, the one paying the other to be absolved:</w:t>
      </w:r>
    </w:p>
    <w:p w:rsidR="00247428" w:rsidRPr="004168ED" w:rsidRDefault="008518D6" w:rsidP="008518D6">
      <w:pPr>
        <w:pStyle w:val="3"/>
        <w:numPr>
          <w:ilvl w:val="0"/>
          <w:numId w:val="0"/>
        </w:numPr>
        <w:tabs>
          <w:tab w:val="left" w:pos="3402"/>
        </w:tabs>
        <w:ind w:left="3402" w:hanging="1134"/>
      </w:pPr>
      <w:r w:rsidRPr="004168ED">
        <w:t>70.1.1</w:t>
      </w:r>
      <w:r w:rsidRPr="004168ED">
        <w:tab/>
      </w:r>
      <w:r w:rsidR="00247428" w:rsidRPr="004168ED">
        <w:rPr>
          <w:lang w:val="en-ZA"/>
        </w:rPr>
        <w:t>The amount of R600 000; and</w:t>
      </w:r>
    </w:p>
    <w:p w:rsidR="00247428" w:rsidRPr="004168ED" w:rsidRDefault="008518D6" w:rsidP="008518D6">
      <w:pPr>
        <w:pStyle w:val="3"/>
        <w:numPr>
          <w:ilvl w:val="0"/>
          <w:numId w:val="0"/>
        </w:numPr>
        <w:tabs>
          <w:tab w:val="left" w:pos="3402"/>
        </w:tabs>
        <w:ind w:left="3402" w:hanging="1134"/>
      </w:pPr>
      <w:r w:rsidRPr="004168ED">
        <w:t>70.1.2</w:t>
      </w:r>
      <w:r w:rsidRPr="004168ED">
        <w:tab/>
      </w:r>
      <w:r w:rsidR="00EE2652" w:rsidRPr="004168ED">
        <w:rPr>
          <w:lang w:val="en-ZA"/>
        </w:rPr>
        <w:t>Interest on the amount of R400 000 at the ra</w:t>
      </w:r>
      <w:r w:rsidR="004168ED">
        <w:rPr>
          <w:lang w:val="en-ZA"/>
        </w:rPr>
        <w:t>te of 10,25% per annum from 24 M</w:t>
      </w:r>
      <w:r w:rsidR="00EE2652" w:rsidRPr="004168ED">
        <w:rPr>
          <w:lang w:val="en-ZA"/>
        </w:rPr>
        <w:t>arch 2016 to date of payment; and</w:t>
      </w:r>
    </w:p>
    <w:p w:rsidR="00EE2652" w:rsidRPr="00EE2652" w:rsidRDefault="008518D6" w:rsidP="008518D6">
      <w:pPr>
        <w:pStyle w:val="3"/>
        <w:numPr>
          <w:ilvl w:val="0"/>
          <w:numId w:val="0"/>
        </w:numPr>
        <w:tabs>
          <w:tab w:val="left" w:pos="3402"/>
        </w:tabs>
        <w:ind w:left="3402" w:hanging="1134"/>
      </w:pPr>
      <w:r w:rsidRPr="00EE2652">
        <w:t>70.1.3</w:t>
      </w:r>
      <w:r w:rsidRPr="00EE2652">
        <w:tab/>
      </w:r>
      <w:r w:rsidR="00EE2652" w:rsidRPr="004168ED">
        <w:rPr>
          <w:lang w:val="en-ZA"/>
        </w:rPr>
        <w:t>Interest on the amount of R200 000 at the rate of 10,25% per annum from 5 April 2016 to date of payment.</w:t>
      </w:r>
    </w:p>
    <w:p w:rsidR="00EE2652" w:rsidRPr="004168ED" w:rsidRDefault="008518D6" w:rsidP="008518D6">
      <w:pPr>
        <w:pStyle w:val="2"/>
        <w:numPr>
          <w:ilvl w:val="0"/>
          <w:numId w:val="0"/>
        </w:numPr>
        <w:tabs>
          <w:tab w:val="left" w:pos="2268"/>
        </w:tabs>
        <w:ind w:left="851" w:hanging="851"/>
      </w:pPr>
      <w:r w:rsidRPr="004168ED">
        <w:t>(2)</w:t>
      </w:r>
      <w:r w:rsidRPr="004168ED">
        <w:tab/>
      </w:r>
      <w:r w:rsidR="00EE2652">
        <w:rPr>
          <w:lang w:val="en-ZA"/>
        </w:rPr>
        <w:t>As against the first and third defendants, jointly and severally, the one paying the other to be absolved:</w:t>
      </w:r>
    </w:p>
    <w:p w:rsidR="00EE2652" w:rsidRPr="004168ED" w:rsidRDefault="008518D6" w:rsidP="008518D6">
      <w:pPr>
        <w:pStyle w:val="3"/>
        <w:numPr>
          <w:ilvl w:val="0"/>
          <w:numId w:val="0"/>
        </w:numPr>
        <w:tabs>
          <w:tab w:val="left" w:pos="3402"/>
        </w:tabs>
        <w:ind w:left="3402" w:hanging="1134"/>
      </w:pPr>
      <w:r w:rsidRPr="004168ED">
        <w:t>70.2.1</w:t>
      </w:r>
      <w:r w:rsidRPr="004168ED">
        <w:tab/>
      </w:r>
      <w:r w:rsidR="00EE2652" w:rsidRPr="004168ED">
        <w:rPr>
          <w:lang w:val="en-ZA"/>
        </w:rPr>
        <w:t>The amount of R400 000; and</w:t>
      </w:r>
    </w:p>
    <w:p w:rsidR="00EE2652" w:rsidRPr="004168ED" w:rsidRDefault="008518D6" w:rsidP="008518D6">
      <w:pPr>
        <w:pStyle w:val="3"/>
        <w:numPr>
          <w:ilvl w:val="0"/>
          <w:numId w:val="0"/>
        </w:numPr>
        <w:tabs>
          <w:tab w:val="left" w:pos="3402"/>
        </w:tabs>
        <w:ind w:left="3402" w:hanging="1134"/>
      </w:pPr>
      <w:r w:rsidRPr="004168ED">
        <w:t>70.2.2</w:t>
      </w:r>
      <w:r w:rsidRPr="004168ED">
        <w:tab/>
      </w:r>
      <w:r w:rsidR="004168ED" w:rsidRPr="004168ED">
        <w:rPr>
          <w:lang w:val="en-ZA"/>
        </w:rPr>
        <w:t>I</w:t>
      </w:r>
      <w:r w:rsidR="00EE2652" w:rsidRPr="004168ED">
        <w:rPr>
          <w:lang w:val="en-ZA"/>
        </w:rPr>
        <w:t>nterest on the aforesaid amount of R400 000 at the rate of 10,25% per annum from 2</w:t>
      </w:r>
      <w:r w:rsidR="004168ED">
        <w:rPr>
          <w:lang w:val="en-ZA"/>
        </w:rPr>
        <w:t>4 March 2016 to date of payment.</w:t>
      </w:r>
    </w:p>
    <w:p w:rsidR="00EE2652" w:rsidRPr="004168ED" w:rsidRDefault="008518D6" w:rsidP="008518D6">
      <w:pPr>
        <w:pStyle w:val="2"/>
        <w:numPr>
          <w:ilvl w:val="0"/>
          <w:numId w:val="0"/>
        </w:numPr>
        <w:tabs>
          <w:tab w:val="left" w:pos="2268"/>
        </w:tabs>
        <w:ind w:left="851" w:hanging="851"/>
      </w:pPr>
      <w:r w:rsidRPr="004168ED">
        <w:t>(3)</w:t>
      </w:r>
      <w:r w:rsidRPr="004168ED">
        <w:tab/>
      </w:r>
      <w:r w:rsidR="004168ED">
        <w:rPr>
          <w:lang w:val="en-ZA"/>
        </w:rPr>
        <w:t>As against the first defendant</w:t>
      </w:r>
      <w:r w:rsidR="00EE2652">
        <w:rPr>
          <w:lang w:val="en-ZA"/>
        </w:rPr>
        <w:t>:</w:t>
      </w:r>
    </w:p>
    <w:p w:rsidR="00EE2652" w:rsidRPr="004168ED" w:rsidRDefault="008518D6" w:rsidP="008518D6">
      <w:pPr>
        <w:pStyle w:val="3"/>
        <w:numPr>
          <w:ilvl w:val="0"/>
          <w:numId w:val="0"/>
        </w:numPr>
        <w:tabs>
          <w:tab w:val="left" w:pos="3402"/>
        </w:tabs>
        <w:ind w:left="3402" w:hanging="1134"/>
      </w:pPr>
      <w:r w:rsidRPr="004168ED">
        <w:t>70.3.1</w:t>
      </w:r>
      <w:r w:rsidRPr="004168ED">
        <w:tab/>
      </w:r>
      <w:r w:rsidR="00EE2652" w:rsidRPr="004168ED">
        <w:rPr>
          <w:lang w:val="en-ZA"/>
        </w:rPr>
        <w:t>The amount of R664 207; and</w:t>
      </w:r>
    </w:p>
    <w:p w:rsidR="00EE2652" w:rsidRPr="00EE2652" w:rsidRDefault="008518D6" w:rsidP="008518D6">
      <w:pPr>
        <w:pStyle w:val="3"/>
        <w:numPr>
          <w:ilvl w:val="0"/>
          <w:numId w:val="0"/>
        </w:numPr>
        <w:tabs>
          <w:tab w:val="left" w:pos="3402"/>
        </w:tabs>
        <w:ind w:left="3402" w:hanging="1134"/>
      </w:pPr>
      <w:r w:rsidRPr="00EE2652">
        <w:t>70.3.2</w:t>
      </w:r>
      <w:r w:rsidRPr="00EE2652">
        <w:tab/>
      </w:r>
      <w:r w:rsidR="00EE2652" w:rsidRPr="004168ED">
        <w:rPr>
          <w:lang w:val="en-ZA"/>
        </w:rPr>
        <w:t xml:space="preserve">Interest on the aforesaid amount of R664 207 at the rate of 10,25% per annum from 28 </w:t>
      </w:r>
      <w:r w:rsidR="004168ED">
        <w:rPr>
          <w:lang w:val="en-ZA"/>
        </w:rPr>
        <w:t>October 2015 to date of payment.</w:t>
      </w:r>
    </w:p>
    <w:p w:rsidR="00EE2652" w:rsidRPr="00247428" w:rsidRDefault="008518D6" w:rsidP="008518D6">
      <w:pPr>
        <w:pStyle w:val="2"/>
        <w:numPr>
          <w:ilvl w:val="0"/>
          <w:numId w:val="0"/>
        </w:numPr>
        <w:tabs>
          <w:tab w:val="left" w:pos="2268"/>
        </w:tabs>
        <w:ind w:left="851" w:hanging="851"/>
      </w:pPr>
      <w:r w:rsidRPr="00247428">
        <w:lastRenderedPageBreak/>
        <w:t>(4)</w:t>
      </w:r>
      <w:r w:rsidRPr="00247428">
        <w:tab/>
      </w:r>
      <w:r w:rsidR="00EE2652">
        <w:t>Costs of this action to be paid by the first, second and third defendants, jointly and severally, the one paying the other to be absolved.</w:t>
      </w:r>
    </w:p>
    <w:p w:rsidR="00321949" w:rsidRPr="00C90B85" w:rsidRDefault="00C90B85" w:rsidP="00C90B85">
      <w:pPr>
        <w:pStyle w:val="Quote"/>
        <w:rPr>
          <w:sz w:val="24"/>
          <w:szCs w:val="24"/>
          <w:lang w:val="en-ZA"/>
        </w:rPr>
      </w:pPr>
      <w:r w:rsidRPr="00C90B85">
        <w:rPr>
          <w:sz w:val="24"/>
          <w:szCs w:val="24"/>
          <w:lang w:val="en-ZA"/>
        </w:rPr>
        <w:t xml:space="preserve">. </w:t>
      </w:r>
    </w:p>
    <w:p w:rsidR="00321949" w:rsidRDefault="00321949" w:rsidP="00321949">
      <w:pPr>
        <w:spacing w:line="480" w:lineRule="auto"/>
        <w:rPr>
          <w:lang w:val="en-ZA"/>
        </w:rPr>
      </w:pPr>
    </w:p>
    <w:p w:rsidR="00321949" w:rsidRDefault="00321949" w:rsidP="00321949">
      <w:pPr>
        <w:spacing w:line="480" w:lineRule="auto"/>
        <w:rPr>
          <w:lang w:val="en-ZA"/>
        </w:rPr>
      </w:pPr>
    </w:p>
    <w:p w:rsidR="00321949" w:rsidRDefault="00321949" w:rsidP="00321949">
      <w:pPr>
        <w:tabs>
          <w:tab w:val="left" w:pos="851"/>
          <w:tab w:val="left" w:pos="1701"/>
          <w:tab w:val="left" w:pos="2835"/>
          <w:tab w:val="left" w:pos="3969"/>
          <w:tab w:val="right" w:pos="8222"/>
        </w:tabs>
        <w:ind w:left="691"/>
        <w:contextualSpacing/>
        <w:jc w:val="right"/>
        <w:rPr>
          <w:rFonts w:cs="Arial"/>
        </w:rPr>
      </w:pPr>
      <w:r>
        <w:rPr>
          <w:rFonts w:cs="Arial"/>
        </w:rPr>
        <w:t>___________________________</w:t>
      </w:r>
    </w:p>
    <w:p w:rsidR="00321949" w:rsidRDefault="00321949" w:rsidP="00321949">
      <w:pPr>
        <w:ind w:left="691"/>
        <w:jc w:val="right"/>
        <w:outlineLvl w:val="0"/>
        <w:rPr>
          <w:rFonts w:cs="Arial"/>
        </w:rPr>
      </w:pPr>
      <w:r>
        <w:rPr>
          <w:rFonts w:cs="Arial"/>
        </w:rPr>
        <w:t>I OPPERMAN</w:t>
      </w:r>
    </w:p>
    <w:p w:rsidR="00321949" w:rsidRDefault="00321949" w:rsidP="00321949">
      <w:pPr>
        <w:ind w:left="691"/>
        <w:jc w:val="right"/>
        <w:rPr>
          <w:rFonts w:cs="Arial"/>
        </w:rPr>
      </w:pPr>
      <w:r>
        <w:rPr>
          <w:rFonts w:cs="Arial"/>
        </w:rPr>
        <w:t>Judge of the High Court</w:t>
      </w:r>
    </w:p>
    <w:p w:rsidR="00321949" w:rsidRDefault="00321949" w:rsidP="00321949">
      <w:pPr>
        <w:ind w:left="691"/>
        <w:jc w:val="right"/>
        <w:rPr>
          <w:rFonts w:cs="Arial"/>
        </w:rPr>
      </w:pPr>
      <w:r>
        <w:rPr>
          <w:rFonts w:cs="Arial"/>
        </w:rPr>
        <w:t>Gauteng Division, Johannesburg</w:t>
      </w:r>
    </w:p>
    <w:p w:rsidR="00321949" w:rsidRDefault="00321949" w:rsidP="00321949">
      <w:pPr>
        <w:ind w:left="691"/>
        <w:jc w:val="right"/>
        <w:rPr>
          <w:rFonts w:cs="Arial"/>
        </w:rPr>
      </w:pPr>
    </w:p>
    <w:p w:rsidR="00321949" w:rsidRDefault="00321949" w:rsidP="00321949">
      <w:pPr>
        <w:ind w:left="691"/>
        <w:rPr>
          <w:rFonts w:cs="Arial"/>
        </w:rPr>
      </w:pPr>
    </w:p>
    <w:p w:rsidR="008747E0" w:rsidRDefault="008747E0" w:rsidP="00321949">
      <w:pPr>
        <w:pStyle w:val="BodyText"/>
        <w:tabs>
          <w:tab w:val="left" w:pos="567"/>
        </w:tabs>
        <w:spacing w:before="120"/>
        <w:outlineLvl w:val="0"/>
        <w:rPr>
          <w:rFonts w:cs="Arial"/>
          <w:sz w:val="22"/>
          <w:szCs w:val="22"/>
          <w:lang w:val="en-ZA"/>
        </w:rPr>
      </w:pPr>
    </w:p>
    <w:p w:rsidR="008747E0" w:rsidRDefault="008747E0" w:rsidP="00321949">
      <w:pPr>
        <w:pStyle w:val="BodyText"/>
        <w:tabs>
          <w:tab w:val="left" w:pos="567"/>
        </w:tabs>
        <w:spacing w:before="120"/>
        <w:outlineLvl w:val="0"/>
        <w:rPr>
          <w:rFonts w:cs="Arial"/>
          <w:sz w:val="22"/>
          <w:szCs w:val="22"/>
          <w:lang w:val="en-ZA"/>
        </w:rPr>
      </w:pPr>
    </w:p>
    <w:p w:rsidR="008747E0" w:rsidRDefault="008747E0" w:rsidP="00321949">
      <w:pPr>
        <w:pStyle w:val="BodyText"/>
        <w:tabs>
          <w:tab w:val="left" w:pos="567"/>
        </w:tabs>
        <w:spacing w:before="120"/>
        <w:outlineLvl w:val="0"/>
        <w:rPr>
          <w:rFonts w:cs="Arial"/>
          <w:sz w:val="22"/>
          <w:szCs w:val="22"/>
          <w:lang w:val="en-ZA"/>
        </w:rPr>
      </w:pPr>
    </w:p>
    <w:p w:rsidR="00321949" w:rsidRDefault="00EE2652" w:rsidP="00321949">
      <w:pPr>
        <w:pStyle w:val="BodyText"/>
        <w:tabs>
          <w:tab w:val="left" w:pos="567"/>
        </w:tabs>
        <w:spacing w:before="120"/>
        <w:outlineLvl w:val="0"/>
        <w:rPr>
          <w:rFonts w:cs="Arial"/>
          <w:sz w:val="22"/>
          <w:szCs w:val="22"/>
          <w:lang w:val="en-ZA"/>
        </w:rPr>
      </w:pPr>
      <w:r>
        <w:rPr>
          <w:rFonts w:cs="Arial"/>
          <w:sz w:val="22"/>
          <w:szCs w:val="22"/>
          <w:lang w:val="en-ZA"/>
        </w:rPr>
        <w:t>Counsel for the plaintiffs</w:t>
      </w:r>
      <w:r w:rsidR="00321949">
        <w:rPr>
          <w:rFonts w:cs="Arial"/>
          <w:sz w:val="22"/>
          <w:szCs w:val="22"/>
          <w:lang w:val="en-ZA"/>
        </w:rPr>
        <w:t xml:space="preserve">: </w:t>
      </w:r>
      <w:r>
        <w:rPr>
          <w:rFonts w:cs="Arial"/>
          <w:sz w:val="22"/>
          <w:szCs w:val="22"/>
          <w:lang w:val="en-ZA"/>
        </w:rPr>
        <w:t xml:space="preserve"> Adv P van der Berg SC </w:t>
      </w:r>
    </w:p>
    <w:p w:rsidR="00321949" w:rsidRDefault="00321949" w:rsidP="00321949">
      <w:pPr>
        <w:pStyle w:val="BodyText"/>
        <w:tabs>
          <w:tab w:val="left" w:pos="567"/>
        </w:tabs>
        <w:spacing w:before="120"/>
        <w:rPr>
          <w:rFonts w:cs="Arial"/>
          <w:sz w:val="22"/>
          <w:szCs w:val="22"/>
          <w:lang w:val="en-ZA"/>
        </w:rPr>
      </w:pPr>
      <w:r>
        <w:rPr>
          <w:rFonts w:cs="Arial"/>
          <w:sz w:val="22"/>
          <w:szCs w:val="22"/>
          <w:lang w:val="en-ZA"/>
        </w:rPr>
        <w:t xml:space="preserve">Instructed by: </w:t>
      </w:r>
      <w:r w:rsidR="00EE2652">
        <w:rPr>
          <w:rFonts w:cs="Arial"/>
          <w:sz w:val="22"/>
          <w:szCs w:val="22"/>
          <w:lang w:val="en-ZA"/>
        </w:rPr>
        <w:t>Van Veijeren Inc</w:t>
      </w:r>
    </w:p>
    <w:p w:rsidR="00321949" w:rsidRDefault="00EE2652" w:rsidP="00321949">
      <w:pPr>
        <w:pStyle w:val="BodyText"/>
        <w:tabs>
          <w:tab w:val="left" w:pos="567"/>
        </w:tabs>
        <w:spacing w:before="120"/>
        <w:rPr>
          <w:rFonts w:cs="Arial"/>
          <w:sz w:val="22"/>
          <w:szCs w:val="22"/>
          <w:lang w:val="en-ZA"/>
        </w:rPr>
      </w:pPr>
      <w:r>
        <w:rPr>
          <w:rFonts w:cs="Arial"/>
          <w:sz w:val="22"/>
          <w:szCs w:val="22"/>
          <w:lang w:val="en-ZA"/>
        </w:rPr>
        <w:t>Counsel for the defendants</w:t>
      </w:r>
      <w:r w:rsidR="00321949">
        <w:rPr>
          <w:rFonts w:cs="Arial"/>
          <w:sz w:val="22"/>
          <w:szCs w:val="22"/>
          <w:lang w:val="en-ZA"/>
        </w:rPr>
        <w:t xml:space="preserve">: </w:t>
      </w:r>
      <w:r>
        <w:rPr>
          <w:rFonts w:cs="Arial"/>
          <w:sz w:val="22"/>
          <w:szCs w:val="22"/>
          <w:lang w:val="en-ZA"/>
        </w:rPr>
        <w:t>Adv CD Roux</w:t>
      </w:r>
    </w:p>
    <w:p w:rsidR="00321949" w:rsidRDefault="00321949" w:rsidP="00321949">
      <w:pPr>
        <w:pStyle w:val="BodyText"/>
        <w:tabs>
          <w:tab w:val="left" w:pos="567"/>
        </w:tabs>
        <w:spacing w:before="120"/>
        <w:rPr>
          <w:rFonts w:cs="Arial"/>
          <w:sz w:val="22"/>
          <w:szCs w:val="22"/>
          <w:lang w:val="en-ZA"/>
        </w:rPr>
      </w:pPr>
      <w:r>
        <w:rPr>
          <w:rFonts w:cs="Arial"/>
          <w:sz w:val="22"/>
          <w:szCs w:val="22"/>
          <w:lang w:val="en-ZA"/>
        </w:rPr>
        <w:t xml:space="preserve">Instructed by: </w:t>
      </w:r>
      <w:r w:rsidR="00EE2652">
        <w:rPr>
          <w:rFonts w:cs="Arial"/>
          <w:sz w:val="22"/>
          <w:szCs w:val="22"/>
          <w:lang w:val="en-ZA"/>
        </w:rPr>
        <w:t>RC Christie Inc</w:t>
      </w:r>
    </w:p>
    <w:p w:rsidR="00321949" w:rsidRDefault="00321949" w:rsidP="00321949">
      <w:pPr>
        <w:pStyle w:val="BodyText"/>
        <w:tabs>
          <w:tab w:val="left" w:pos="567"/>
        </w:tabs>
        <w:spacing w:before="120"/>
        <w:rPr>
          <w:rFonts w:cs="Arial"/>
          <w:sz w:val="22"/>
          <w:szCs w:val="22"/>
          <w:lang w:val="en-ZA"/>
        </w:rPr>
      </w:pPr>
      <w:r>
        <w:rPr>
          <w:rFonts w:cs="Arial"/>
          <w:sz w:val="22"/>
          <w:szCs w:val="22"/>
          <w:lang w:val="en-ZA"/>
        </w:rPr>
        <w:t xml:space="preserve">Date of hearing: </w:t>
      </w:r>
      <w:r w:rsidR="00EE2652">
        <w:rPr>
          <w:rFonts w:cs="Arial"/>
          <w:sz w:val="22"/>
          <w:szCs w:val="22"/>
          <w:lang w:val="en-ZA"/>
        </w:rPr>
        <w:t xml:space="preserve">11 and 12 May 2022, </w:t>
      </w:r>
      <w:r w:rsidR="004168ED">
        <w:rPr>
          <w:rFonts w:cs="Arial"/>
          <w:sz w:val="22"/>
          <w:szCs w:val="22"/>
          <w:lang w:val="en-ZA"/>
        </w:rPr>
        <w:t>13 June 2022.</w:t>
      </w:r>
    </w:p>
    <w:p w:rsidR="00321949" w:rsidRPr="00321949" w:rsidRDefault="00321949" w:rsidP="00321949">
      <w:pPr>
        <w:pStyle w:val="BodyText"/>
        <w:rPr>
          <w:rFonts w:cs="Arial"/>
          <w:sz w:val="24"/>
          <w:szCs w:val="24"/>
        </w:rPr>
      </w:pPr>
      <w:r>
        <w:rPr>
          <w:rFonts w:cs="Arial"/>
          <w:sz w:val="22"/>
          <w:szCs w:val="22"/>
          <w:lang w:val="en-ZA"/>
        </w:rPr>
        <w:t xml:space="preserve">Date of Judgment: </w:t>
      </w:r>
      <w:r w:rsidR="004168ED">
        <w:rPr>
          <w:rFonts w:cs="Arial"/>
          <w:sz w:val="22"/>
          <w:szCs w:val="22"/>
          <w:lang w:val="en-ZA"/>
        </w:rPr>
        <w:t>16 November 2022</w:t>
      </w:r>
    </w:p>
    <w:sectPr w:rsidR="00321949" w:rsidRPr="003219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A5" w:rsidRDefault="00C36AA5" w:rsidP="00115245">
      <w:r>
        <w:separator/>
      </w:r>
    </w:p>
  </w:endnote>
  <w:endnote w:type="continuationSeparator" w:id="0">
    <w:p w:rsidR="00C36AA5" w:rsidRDefault="00C36AA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A5" w:rsidRDefault="00C36AA5" w:rsidP="00115245">
      <w:r>
        <w:separator/>
      </w:r>
    </w:p>
  </w:footnote>
  <w:footnote w:type="continuationSeparator" w:id="0">
    <w:p w:rsidR="00C36AA5" w:rsidRDefault="00C36AA5" w:rsidP="00115245">
      <w:r>
        <w:continuationSeparator/>
      </w:r>
    </w:p>
  </w:footnote>
  <w:footnote w:id="1">
    <w:p w:rsidR="008646AA" w:rsidRDefault="008646AA" w:rsidP="004A6CBC">
      <w:pPr>
        <w:pStyle w:val="FootnoteText"/>
      </w:pPr>
      <w:r>
        <w:rPr>
          <w:rStyle w:val="FootnoteReference"/>
        </w:rPr>
        <w:footnoteRef/>
      </w:r>
      <w:r>
        <w:t xml:space="preserve"> </w:t>
      </w:r>
      <w:r>
        <w:tab/>
        <w:t>The company was Ronnie Dennison Agencies (Pty) Ltd which traded as “Water Africa” and changed its name to Water Africa Systems (Pty) Ltd.</w:t>
      </w:r>
    </w:p>
  </w:footnote>
  <w:footnote w:id="2">
    <w:p w:rsidR="008646AA" w:rsidRPr="00E231F3" w:rsidRDefault="008646AA">
      <w:pPr>
        <w:pStyle w:val="FootnoteText"/>
        <w:rPr>
          <w:lang w:val="en-US"/>
        </w:rPr>
      </w:pPr>
      <w:r>
        <w:rPr>
          <w:rStyle w:val="FootnoteReference"/>
        </w:rPr>
        <w:footnoteRef/>
      </w:r>
      <w:r>
        <w:t xml:space="preserve">   </w:t>
      </w:r>
      <w:r>
        <w:rPr>
          <w:lang w:val="en-ZA"/>
        </w:rPr>
        <w:t>Section 348 of the old Companies Act only has application if Water Africa is and was at all stages unable to pay its debts. Judge Hughes never relied on the deeming provision contained in section 345 of the old Companies Act. She found as a fact that Water Africa was unable to pay its debts and perhaps more significantly, when Mr van den Heever testified he gave detailed evidence based on the liquidation and distribution accounts and stated that these accounts reflected that Water Africa was clearly unable to pay its debts. It was never suggested during cross examination of him that Water Africa was able to pay its debts.</w:t>
      </w:r>
    </w:p>
  </w:footnote>
  <w:footnote w:id="3">
    <w:p w:rsidR="008646AA" w:rsidRPr="00A07800" w:rsidRDefault="008646AA">
      <w:pPr>
        <w:pStyle w:val="FootnoteText"/>
        <w:rPr>
          <w:i/>
          <w:iCs/>
        </w:rPr>
      </w:pPr>
      <w:r>
        <w:rPr>
          <w:rStyle w:val="FootnoteReference"/>
        </w:rPr>
        <w:footnoteRef/>
      </w:r>
      <w:r>
        <w:t xml:space="preserve"> </w:t>
      </w:r>
      <w:r>
        <w:tab/>
      </w:r>
      <w:r w:rsidRPr="00A07800">
        <w:rPr>
          <w:i/>
          <w:iCs/>
        </w:rPr>
        <w:t>Engen Petroleum Ltd v Goudis Carriers (Pty) Ltd (in liquidation)</w:t>
      </w:r>
      <w:r>
        <w:t xml:space="preserve"> 2015 (6) SA 21 (GJ) at para [16] pp 27 – 28; paras [25.2] to [25.4] p 31.</w:t>
      </w:r>
    </w:p>
  </w:footnote>
  <w:footnote w:id="4">
    <w:p w:rsidR="008646AA" w:rsidRPr="00D361ED" w:rsidRDefault="008646AA">
      <w:pPr>
        <w:pStyle w:val="FootnoteText"/>
      </w:pPr>
      <w:r>
        <w:rPr>
          <w:rStyle w:val="FootnoteReference"/>
        </w:rPr>
        <w:footnoteRef/>
      </w:r>
      <w:r>
        <w:t xml:space="preserve"> </w:t>
      </w:r>
      <w:r>
        <w:tab/>
      </w:r>
      <w:r>
        <w:rPr>
          <w:i/>
          <w:iCs/>
        </w:rPr>
        <w:t xml:space="preserve">GCC Engineering (Pty) Ltd and others v Maroos and others </w:t>
      </w:r>
      <w:r>
        <w:t>2019 (2) SA 379 (SCA).</w:t>
      </w:r>
    </w:p>
  </w:footnote>
  <w:footnote w:id="5">
    <w:p w:rsidR="008646AA" w:rsidRPr="001701B4" w:rsidRDefault="008646AA">
      <w:pPr>
        <w:pStyle w:val="FootnoteText"/>
      </w:pPr>
      <w:r>
        <w:rPr>
          <w:rStyle w:val="FootnoteReference"/>
        </w:rPr>
        <w:footnoteRef/>
      </w:r>
      <w:r>
        <w:t xml:space="preserve"> </w:t>
      </w:r>
      <w:r>
        <w:tab/>
      </w:r>
      <w:r>
        <w:rPr>
          <w:i/>
          <w:iCs/>
        </w:rPr>
        <w:t xml:space="preserve">Themba v Mintroad Sawmills (Pty) Ltd </w:t>
      </w:r>
      <w:r>
        <w:t xml:space="preserve">[2015] 2 BLLR 174 (LC) at p 179 para [22]; see too </w:t>
      </w:r>
      <w:r>
        <w:rPr>
          <w:i/>
          <w:iCs/>
        </w:rPr>
        <w:t xml:space="preserve">Equity Aviation Services (Pty) Ltd v CCMA and others </w:t>
      </w:r>
      <w:r>
        <w:t xml:space="preserve">2009 (1) SA 390 (CC) at para [36]. </w:t>
      </w:r>
    </w:p>
  </w:footnote>
  <w:footnote w:id="6">
    <w:p w:rsidR="008646AA" w:rsidRDefault="008646AA">
      <w:pPr>
        <w:pStyle w:val="FootnoteText"/>
      </w:pPr>
      <w:r>
        <w:rPr>
          <w:rStyle w:val="FootnoteReference"/>
        </w:rPr>
        <w:footnoteRef/>
      </w:r>
      <w:r>
        <w:t xml:space="preserve"> </w:t>
      </w:r>
      <w:r>
        <w:tab/>
        <w:t>Which applies by virtue of the provisions of section 339 of the old Companies Act.</w:t>
      </w:r>
    </w:p>
  </w:footnote>
  <w:footnote w:id="7">
    <w:p w:rsidR="008646AA" w:rsidRPr="005747FA" w:rsidRDefault="008646AA">
      <w:pPr>
        <w:pStyle w:val="FootnoteText"/>
      </w:pPr>
      <w:r>
        <w:rPr>
          <w:rStyle w:val="FootnoteReference"/>
        </w:rPr>
        <w:footnoteRef/>
      </w:r>
      <w:r>
        <w:t xml:space="preserve"> </w:t>
      </w:r>
      <w:r>
        <w:tab/>
      </w:r>
      <w:r>
        <w:rPr>
          <w:i/>
          <w:iCs/>
        </w:rPr>
        <w:t>Van Zyl and others NNO v Turner and Another NNO</w:t>
      </w:r>
      <w:r>
        <w:t xml:space="preserve"> 1998 (2) SA 236 (C) at 242.</w:t>
      </w:r>
    </w:p>
  </w:footnote>
  <w:footnote w:id="8">
    <w:p w:rsidR="008646AA" w:rsidRDefault="008646AA">
      <w:pPr>
        <w:pStyle w:val="FootnoteText"/>
      </w:pPr>
      <w:r>
        <w:rPr>
          <w:rStyle w:val="FootnoteReference"/>
        </w:rPr>
        <w:footnoteRef/>
      </w:r>
      <w:r>
        <w:t xml:space="preserve"> </w:t>
      </w:r>
      <w:r>
        <w:tab/>
      </w:r>
      <w:r w:rsidRPr="00726BB7">
        <w:rPr>
          <w:i/>
          <w:iCs/>
        </w:rPr>
        <w:t>De Hart NO v Kleynhans and others</w:t>
      </w:r>
      <w:r>
        <w:t xml:space="preserve"> 1970 (4) SA 303 (O) at 387</w:t>
      </w:r>
    </w:p>
  </w:footnote>
  <w:footnote w:id="9">
    <w:p w:rsidR="008646AA" w:rsidRPr="00BB39F6" w:rsidRDefault="008646AA">
      <w:pPr>
        <w:pStyle w:val="FootnoteText"/>
      </w:pPr>
      <w:r>
        <w:rPr>
          <w:rStyle w:val="FootnoteReference"/>
        </w:rPr>
        <w:footnoteRef/>
      </w:r>
      <w:r>
        <w:t xml:space="preserve"> </w:t>
      </w:r>
      <w:r>
        <w:tab/>
      </w:r>
      <w:r>
        <w:rPr>
          <w:i/>
          <w:iCs/>
        </w:rPr>
        <w:t xml:space="preserve">EDS South Africa (Pty) Ltd v Nationwide Airlines (Pty) Ltd </w:t>
      </w:r>
      <w:r>
        <w:t>2011 (5) SA 158 (SCA).</w:t>
      </w:r>
    </w:p>
  </w:footnote>
  <w:footnote w:id="10">
    <w:p w:rsidR="008646AA" w:rsidRPr="00426994" w:rsidRDefault="008646AA" w:rsidP="00426994">
      <w:pPr>
        <w:pStyle w:val="FootnoteText"/>
        <w:rPr>
          <w:rFonts w:cs="Arial"/>
          <w:lang w:val="en-US"/>
        </w:rPr>
      </w:pPr>
      <w:r>
        <w:rPr>
          <w:rStyle w:val="FootnoteReference"/>
        </w:rPr>
        <w:footnoteRef/>
      </w:r>
      <w:r>
        <w:t xml:space="preserve"> </w:t>
      </w:r>
      <w:r>
        <w:rPr>
          <w:lang w:val="en-US"/>
        </w:rPr>
        <w:t xml:space="preserve"> </w:t>
      </w:r>
      <w:r w:rsidRPr="00B207C3">
        <w:rPr>
          <w:rFonts w:cs="Arial"/>
          <w:i/>
        </w:rPr>
        <w:t>Stellenbosch Farmers’ Winery Group Ltd and Another v Martell et Cie and Others</w:t>
      </w:r>
      <w:r w:rsidRPr="00B207C3">
        <w:rPr>
          <w:rFonts w:cs="Arial"/>
        </w:rPr>
        <w:t xml:space="preserve"> 2013 (1) SA 11 (SCA)</w:t>
      </w:r>
      <w:r w:rsidRPr="00B207C3">
        <w:rPr>
          <w:rFonts w:cs="Arial"/>
          <w:lang w:val="en-US"/>
        </w:rPr>
        <w:t>, par 5 on p14 and further.</w:t>
      </w:r>
    </w:p>
  </w:footnote>
  <w:footnote w:id="11">
    <w:p w:rsidR="008646AA" w:rsidRPr="000E4406" w:rsidRDefault="008646AA" w:rsidP="00ED6F57">
      <w:pPr>
        <w:pStyle w:val="FootnoteText"/>
      </w:pPr>
      <w:r w:rsidRPr="000E4406">
        <w:rPr>
          <w:rStyle w:val="FootnoteReference"/>
        </w:rPr>
        <w:footnoteRef/>
      </w:r>
      <w:r w:rsidRPr="000E4406">
        <w:t xml:space="preserve"> </w:t>
      </w:r>
      <w:r w:rsidRPr="000E4406">
        <w:tab/>
        <w:t>The word is emphasised in the judgment.</w:t>
      </w:r>
    </w:p>
  </w:footnote>
  <w:footnote w:id="12">
    <w:p w:rsidR="008646AA" w:rsidRPr="000E4406" w:rsidRDefault="008646AA" w:rsidP="00513E22">
      <w:pPr>
        <w:pStyle w:val="FootnoteText"/>
        <w:rPr>
          <w:lang w:val="en-US"/>
        </w:rPr>
      </w:pPr>
      <w:r w:rsidRPr="000E4406">
        <w:rPr>
          <w:rStyle w:val="FootnoteReference"/>
        </w:rPr>
        <w:footnoteRef/>
      </w:r>
      <w:r w:rsidRPr="000E4406">
        <w:t xml:space="preserve"> </w:t>
      </w:r>
      <w:r w:rsidRPr="000E4406">
        <w:rPr>
          <w:lang w:val="en-US"/>
        </w:rPr>
        <w:tab/>
      </w:r>
      <w:r w:rsidRPr="00513E22">
        <w:rPr>
          <w:bCs/>
          <w:i/>
          <w:iCs/>
          <w:lang w:val="en-US"/>
        </w:rPr>
        <w:t>SA Warehousing Services (Pty) Ltd &amp; Others v South British Insurance Co Ltd</w:t>
      </w:r>
      <w:r w:rsidRPr="000E4406">
        <w:rPr>
          <w:lang w:val="en-US"/>
        </w:rPr>
        <w:t xml:space="preserve"> 1971 (3) SA 10 (A) at 18A-C</w:t>
      </w:r>
      <w:r>
        <w:rPr>
          <w:lang w:val="en-US"/>
        </w:rPr>
        <w:t xml:space="preserve">, see too </w:t>
      </w:r>
      <w:r w:rsidRPr="00513E22">
        <w:rPr>
          <w:bCs/>
          <w:i/>
          <w:iCs/>
          <w:lang w:val="en-US"/>
        </w:rPr>
        <w:t>Finger &amp; Others v Secretary of England Revenue</w:t>
      </w:r>
      <w:r w:rsidRPr="000E4406">
        <w:rPr>
          <w:b/>
          <w:bCs/>
          <w:i/>
          <w:iCs/>
          <w:lang w:val="en-US"/>
        </w:rPr>
        <w:t xml:space="preserve"> </w:t>
      </w:r>
      <w:r w:rsidRPr="000E4406">
        <w:rPr>
          <w:lang w:val="en-US"/>
        </w:rPr>
        <w:t>1971 (2) SA 411 (W) at 418fin-419A</w:t>
      </w:r>
    </w:p>
  </w:footnote>
  <w:footnote w:id="13">
    <w:p w:rsidR="008646AA" w:rsidRPr="006F146D" w:rsidRDefault="008646AA">
      <w:pPr>
        <w:pStyle w:val="FootnoteText"/>
        <w:rPr>
          <w:lang w:val="en-US"/>
        </w:rPr>
      </w:pPr>
      <w:r>
        <w:rPr>
          <w:rStyle w:val="FootnoteReference"/>
        </w:rPr>
        <w:footnoteRef/>
      </w:r>
      <w:r>
        <w:t xml:space="preserve">  Section 391 of the old Companies Act.</w:t>
      </w:r>
    </w:p>
  </w:footnote>
  <w:footnote w:id="14">
    <w:p w:rsidR="008646AA" w:rsidRPr="009C6117" w:rsidRDefault="008646AA">
      <w:pPr>
        <w:pStyle w:val="FootnoteText"/>
        <w:rPr>
          <w:lang w:val="en-US"/>
        </w:rPr>
      </w:pPr>
      <w:r>
        <w:rPr>
          <w:rStyle w:val="FootnoteReference"/>
        </w:rPr>
        <w:footnoteRef/>
      </w:r>
      <w:r>
        <w:t xml:space="preserve">  </w:t>
      </w:r>
      <w:r>
        <w:rPr>
          <w:lang w:val="en-US"/>
        </w:rPr>
        <w:t xml:space="preserve">Footnote 3 </w:t>
      </w:r>
      <w:r w:rsidRPr="009C6117">
        <w:rPr>
          <w:i/>
          <w:lang w:val="en-US"/>
        </w:rPr>
        <w:t xml:space="preserve">supra </w:t>
      </w:r>
    </w:p>
  </w:footnote>
  <w:footnote w:id="15">
    <w:p w:rsidR="008646AA" w:rsidRDefault="008646AA" w:rsidP="00ED6F57">
      <w:pPr>
        <w:pStyle w:val="FootnoteText"/>
      </w:pPr>
      <w:r>
        <w:rPr>
          <w:rStyle w:val="FootnoteReference"/>
        </w:rPr>
        <w:footnoteRef/>
      </w:r>
      <w:r>
        <w:t xml:space="preserve"> </w:t>
      </w:r>
      <w:r>
        <w:tab/>
      </w:r>
      <w:r w:rsidRPr="004168ED">
        <w:rPr>
          <w:bCs/>
          <w:i/>
          <w:iCs/>
        </w:rPr>
        <w:t>Fourie v Van der Spuy &amp; De Jongh Inc and Others</w:t>
      </w:r>
      <w:r>
        <w:t xml:space="preserve"> 2020 (1) SA 560 (GP) at para’s 13-17</w:t>
      </w:r>
    </w:p>
  </w:footnote>
  <w:footnote w:id="16">
    <w:p w:rsidR="008646AA" w:rsidRDefault="008646AA" w:rsidP="00ED6F57">
      <w:pPr>
        <w:pStyle w:val="FootnoteText"/>
      </w:pPr>
      <w:r>
        <w:rPr>
          <w:rStyle w:val="FootnoteReference"/>
        </w:rPr>
        <w:footnoteRef/>
      </w:r>
      <w:r>
        <w:t xml:space="preserve"> </w:t>
      </w:r>
      <w:r>
        <w:tab/>
        <w:t xml:space="preserve">See </w:t>
      </w:r>
      <w:r>
        <w:rPr>
          <w:i/>
          <w:iCs/>
        </w:rPr>
        <w:t xml:space="preserve">Fourie </w:t>
      </w:r>
      <w:r w:rsidRPr="004168ED">
        <w:rPr>
          <w:i/>
          <w:iCs/>
        </w:rPr>
        <w:t>supra</w:t>
      </w:r>
      <w:r w:rsidRPr="004168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AA" w:rsidRDefault="008646AA">
    <w:pPr>
      <w:pStyle w:val="Header"/>
      <w:jc w:val="right"/>
    </w:pPr>
    <w:r>
      <w:fldChar w:fldCharType="begin"/>
    </w:r>
    <w:r>
      <w:instrText xml:space="preserve"> PAGE   \* MERGEFORMAT </w:instrText>
    </w:r>
    <w:r>
      <w:fldChar w:fldCharType="separate"/>
    </w:r>
    <w:r w:rsidR="008518D6">
      <w:rPr>
        <w:noProof/>
      </w:rPr>
      <w:t>3</w:t>
    </w:r>
    <w:r>
      <w:rPr>
        <w:noProof/>
      </w:rPr>
      <w:fldChar w:fldCharType="end"/>
    </w:r>
  </w:p>
  <w:p w:rsidR="008646AA" w:rsidRDefault="00864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1"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1914117"/>
    <w:multiLevelType w:val="multilevel"/>
    <w:tmpl w:val="29702F70"/>
    <w:lvl w:ilvl="0">
      <w:start w:val="1"/>
      <w:numFmt w:val="decimal"/>
      <w:lvlText w:val="%1"/>
      <w:lvlJc w:val="left"/>
      <w:pPr>
        <w:tabs>
          <w:tab w:val="num" w:pos="851"/>
        </w:tabs>
        <w:ind w:left="851" w:hanging="851"/>
      </w:pPr>
      <w:rPr>
        <w:b w:val="0"/>
      </w:rPr>
    </w:lvl>
    <w:lvl w:ilvl="1">
      <w:start w:val="1"/>
      <w:numFmt w:val="decimal"/>
      <w:lvlText w:val="%1.%2"/>
      <w:lvlJc w:val="left"/>
      <w:pPr>
        <w:tabs>
          <w:tab w:val="num" w:pos="1985"/>
        </w:tabs>
        <w:ind w:left="1985" w:hanging="1134"/>
      </w:pPr>
    </w:lvl>
    <w:lvl w:ilvl="2">
      <w:start w:val="1"/>
      <w:numFmt w:val="decimal"/>
      <w:lvlText w:val="%1.%2.%3"/>
      <w:lvlJc w:val="left"/>
      <w:pPr>
        <w:tabs>
          <w:tab w:val="num" w:pos="2835"/>
        </w:tabs>
        <w:ind w:left="2835" w:hanging="1417"/>
      </w:pPr>
    </w:lvl>
    <w:lvl w:ilvl="3">
      <w:start w:val="1"/>
      <w:numFmt w:val="decimal"/>
      <w:lvlText w:val="%1.%2.%3.%4"/>
      <w:lvlJc w:val="left"/>
      <w:pPr>
        <w:tabs>
          <w:tab w:val="num" w:pos="3629"/>
        </w:tabs>
        <w:ind w:left="3629" w:hanging="1418"/>
      </w:pPr>
    </w:lvl>
    <w:lvl w:ilvl="4">
      <w:start w:val="1"/>
      <w:numFmt w:val="decimal"/>
      <w:lvlText w:val="%1.%2.%3.%4.%5"/>
      <w:lvlJc w:val="left"/>
      <w:pPr>
        <w:tabs>
          <w:tab w:val="num" w:pos="4028"/>
        </w:tabs>
        <w:ind w:left="4028" w:hanging="1080"/>
      </w:pPr>
    </w:lvl>
    <w:lvl w:ilvl="5">
      <w:start w:val="1"/>
      <w:numFmt w:val="decimal"/>
      <w:lvlText w:val="%1.%2.%3.%4.%5.%6"/>
      <w:lvlJc w:val="left"/>
      <w:pPr>
        <w:tabs>
          <w:tab w:val="num" w:pos="5125"/>
        </w:tabs>
        <w:ind w:left="5125" w:hanging="1440"/>
      </w:pPr>
    </w:lvl>
    <w:lvl w:ilvl="6">
      <w:start w:val="1"/>
      <w:numFmt w:val="decimal"/>
      <w:lvlText w:val="%1.%2.%3.%4.%5.%6.%7"/>
      <w:lvlJc w:val="left"/>
      <w:pPr>
        <w:tabs>
          <w:tab w:val="num" w:pos="5862"/>
        </w:tabs>
        <w:ind w:left="5862" w:hanging="1440"/>
      </w:pPr>
    </w:lvl>
    <w:lvl w:ilvl="7">
      <w:start w:val="1"/>
      <w:numFmt w:val="decimal"/>
      <w:lvlText w:val="%1.%2.%3.%4.%5.%6.%7.%8"/>
      <w:lvlJc w:val="left"/>
      <w:pPr>
        <w:tabs>
          <w:tab w:val="num" w:pos="6959"/>
        </w:tabs>
        <w:ind w:left="6959" w:hanging="1800"/>
      </w:pPr>
    </w:lvl>
    <w:lvl w:ilvl="8">
      <w:start w:val="1"/>
      <w:numFmt w:val="decimal"/>
      <w:lvlText w:val="%1.%2.%3.%4.%5.%6.%7.%8.%9"/>
      <w:lvlJc w:val="left"/>
      <w:pPr>
        <w:tabs>
          <w:tab w:val="num" w:pos="7696"/>
        </w:tabs>
        <w:ind w:left="7696" w:hanging="1800"/>
      </w:pPr>
    </w:lvl>
  </w:abstractNum>
  <w:abstractNum w:abstractNumId="4">
    <w:nsid w:val="02E52E4B"/>
    <w:multiLevelType w:val="multilevel"/>
    <w:tmpl w:val="89F05FCA"/>
    <w:lvl w:ilvl="0">
      <w:start w:val="1"/>
      <w:numFmt w:val="decimal"/>
      <w:pStyle w:val="1"/>
      <w:lvlText w:val="%1."/>
      <w:lvlJc w:val="left"/>
      <w:pPr>
        <w:ind w:left="360" w:hanging="360"/>
      </w:pPr>
      <w:rPr>
        <w:rFonts w:ascii="Arial" w:hAnsi="Arial" w:cs="Arial" w:hint="default"/>
        <w:b w:val="0"/>
        <w:i w:val="0"/>
        <w:iCs w:val="0"/>
        <w:color w:val="auto"/>
        <w:sz w:val="24"/>
        <w:szCs w:val="24"/>
      </w:rPr>
    </w:lvl>
    <w:lvl w:ilvl="1">
      <w:start w:val="1"/>
      <w:numFmt w:val="decimal"/>
      <w:pStyle w:val="11"/>
      <w:lvlText w:val="%1.%2"/>
      <w:lvlJc w:val="left"/>
      <w:pPr>
        <w:ind w:left="716"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F47462B"/>
    <w:multiLevelType w:val="hybridMultilevel"/>
    <w:tmpl w:val="F7700894"/>
    <w:lvl w:ilvl="0" w:tplc="36803762">
      <w:start w:val="1"/>
      <w:numFmt w:val="decimal"/>
      <w:lvlText w:val="%1."/>
      <w:lvlJc w:val="left"/>
      <w:pPr>
        <w:ind w:left="1980" w:hanging="54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C32EAB"/>
    <w:multiLevelType w:val="multilevel"/>
    <w:tmpl w:val="74ECF384"/>
    <w:lvl w:ilvl="0">
      <w:start w:val="1"/>
      <w:numFmt w:val="decimal"/>
      <w:pStyle w:val="10"/>
      <w:lvlText w:val="[%1]"/>
      <w:lvlJc w:val="left"/>
      <w:pPr>
        <w:tabs>
          <w:tab w:val="num" w:pos="567"/>
        </w:tabs>
        <w:ind w:left="567" w:hanging="567"/>
      </w:pPr>
      <w:rPr>
        <w:rFonts w:hint="default"/>
        <w:b w:val="0"/>
        <w:i w:val="0"/>
      </w:rPr>
    </w:lvl>
    <w:lvl w:ilvl="1">
      <w:start w:val="1"/>
      <w:numFmt w:val="decimal"/>
      <w:pStyle w:val="2"/>
      <w:lvlText w:val="(%2)"/>
      <w:lvlJc w:val="left"/>
      <w:pPr>
        <w:tabs>
          <w:tab w:val="num" w:pos="2268"/>
        </w:tabs>
        <w:ind w:left="2268" w:hanging="1134"/>
      </w:pPr>
      <w:rPr>
        <w:rFonts w:ascii="Arial" w:eastAsia="Times New Roman" w:hAnsi="Arial" w:cs="Times New Roman"/>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0">
    <w:nsid w:val="3C443352"/>
    <w:multiLevelType w:val="multilevel"/>
    <w:tmpl w:val="C8842B28"/>
    <w:lvl w:ilvl="0">
      <w:start w:val="1"/>
      <w:numFmt w:val="decimal"/>
      <w:lvlText w:val="%1"/>
      <w:lvlJc w:val="center"/>
      <w:pPr>
        <w:tabs>
          <w:tab w:val="num" w:pos="851"/>
        </w:tabs>
        <w:ind w:left="851" w:hanging="851"/>
      </w:pPr>
      <w:rPr>
        <w:rFonts w:hint="default"/>
      </w:rPr>
    </w:lvl>
    <w:lvl w:ilvl="1">
      <w:start w:val="1"/>
      <w:numFmt w:val="decimal"/>
      <w:lvlText w:val="%1.%2"/>
      <w:lvlJc w:val="left"/>
      <w:pPr>
        <w:tabs>
          <w:tab w:val="num" w:pos="1559"/>
        </w:tabs>
        <w:ind w:left="1559" w:hanging="708"/>
      </w:pPr>
      <w:rPr>
        <w:rFonts w:hint="default"/>
      </w:rPr>
    </w:lvl>
    <w:lvl w:ilvl="2">
      <w:start w:val="1"/>
      <w:numFmt w:val="decimal"/>
      <w:lvlText w:val="%1.%2.%3"/>
      <w:lvlJc w:val="left"/>
      <w:pPr>
        <w:tabs>
          <w:tab w:val="num" w:pos="2552"/>
        </w:tabs>
        <w:ind w:left="2552" w:hanging="993"/>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11">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9153A8"/>
    <w:multiLevelType w:val="hybridMultilevel"/>
    <w:tmpl w:val="E7148F24"/>
    <w:lvl w:ilvl="0" w:tplc="8AFA2544">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4">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5">
    <w:nsid w:val="4E037EEF"/>
    <w:multiLevelType w:val="multilevel"/>
    <w:tmpl w:val="D88C0C34"/>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418"/>
        </w:tabs>
        <w:ind w:left="1701" w:hanging="981"/>
      </w:pPr>
      <w:rPr>
        <w:rFonts w:hint="default"/>
        <w:b w:val="0"/>
        <w:i w:val="0"/>
      </w:rPr>
    </w:lvl>
    <w:lvl w:ilvl="2">
      <w:start w:val="1"/>
      <w:numFmt w:val="decimal"/>
      <w:pStyle w:val="TAB3"/>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7">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8">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9">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0"/>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4"/>
  </w:num>
  <w:num w:numId="12">
    <w:abstractNumId w:val="13"/>
  </w:num>
  <w:num w:numId="13">
    <w:abstractNumId w:val="11"/>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17"/>
  </w:num>
  <w:num w:numId="20">
    <w:abstractNumId w:val="15"/>
  </w:num>
  <w:num w:numId="21">
    <w:abstractNumId w:val="10"/>
  </w:num>
  <w:num w:numId="22">
    <w:abstractNumId w:val="4"/>
  </w:num>
  <w:num w:numId="23">
    <w:abstractNumId w:val="3"/>
  </w:num>
  <w:num w:numId="24">
    <w:abstractNumId w:val="12"/>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2"/>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5FD2"/>
    <w:rsid w:val="00026013"/>
    <w:rsid w:val="000267B0"/>
    <w:rsid w:val="00026EF4"/>
    <w:rsid w:val="00027523"/>
    <w:rsid w:val="000278DA"/>
    <w:rsid w:val="00027E31"/>
    <w:rsid w:val="00027E97"/>
    <w:rsid w:val="00032191"/>
    <w:rsid w:val="000327C4"/>
    <w:rsid w:val="00033914"/>
    <w:rsid w:val="00033A8B"/>
    <w:rsid w:val="00035BB3"/>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287A"/>
    <w:rsid w:val="00053DD2"/>
    <w:rsid w:val="000541F4"/>
    <w:rsid w:val="00054540"/>
    <w:rsid w:val="00054B84"/>
    <w:rsid w:val="000552C4"/>
    <w:rsid w:val="000554AC"/>
    <w:rsid w:val="000569B1"/>
    <w:rsid w:val="0005747E"/>
    <w:rsid w:val="00057FE1"/>
    <w:rsid w:val="000603D2"/>
    <w:rsid w:val="00061062"/>
    <w:rsid w:val="0006122D"/>
    <w:rsid w:val="000614DC"/>
    <w:rsid w:val="00061632"/>
    <w:rsid w:val="0006281D"/>
    <w:rsid w:val="00062AC4"/>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FE4"/>
    <w:rsid w:val="000F58E7"/>
    <w:rsid w:val="000F6E19"/>
    <w:rsid w:val="000F6EB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3C1"/>
    <w:rsid w:val="0011763B"/>
    <w:rsid w:val="0011783C"/>
    <w:rsid w:val="0012061B"/>
    <w:rsid w:val="00120DB7"/>
    <w:rsid w:val="001210C6"/>
    <w:rsid w:val="00121291"/>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9EA"/>
    <w:rsid w:val="00146DDD"/>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1B4"/>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5A23"/>
    <w:rsid w:val="001879BC"/>
    <w:rsid w:val="00192693"/>
    <w:rsid w:val="00193169"/>
    <w:rsid w:val="0019325C"/>
    <w:rsid w:val="00193F31"/>
    <w:rsid w:val="00194234"/>
    <w:rsid w:val="0019451B"/>
    <w:rsid w:val="00195605"/>
    <w:rsid w:val="0019568E"/>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447A"/>
    <w:rsid w:val="001E5131"/>
    <w:rsid w:val="001E77C7"/>
    <w:rsid w:val="001E7DA7"/>
    <w:rsid w:val="001F0581"/>
    <w:rsid w:val="001F05C0"/>
    <w:rsid w:val="001F1468"/>
    <w:rsid w:val="001F1531"/>
    <w:rsid w:val="001F1D54"/>
    <w:rsid w:val="001F2977"/>
    <w:rsid w:val="001F2E35"/>
    <w:rsid w:val="001F36A0"/>
    <w:rsid w:val="001F3CAE"/>
    <w:rsid w:val="001F7976"/>
    <w:rsid w:val="001F7FC2"/>
    <w:rsid w:val="0020161E"/>
    <w:rsid w:val="00201FE1"/>
    <w:rsid w:val="0020229A"/>
    <w:rsid w:val="00202F97"/>
    <w:rsid w:val="00203048"/>
    <w:rsid w:val="00203FBE"/>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428"/>
    <w:rsid w:val="00247A69"/>
    <w:rsid w:val="00250982"/>
    <w:rsid w:val="00251183"/>
    <w:rsid w:val="00251AC9"/>
    <w:rsid w:val="00251D3D"/>
    <w:rsid w:val="00253B4E"/>
    <w:rsid w:val="002543D0"/>
    <w:rsid w:val="00254988"/>
    <w:rsid w:val="00254E57"/>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54B"/>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D54"/>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72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7C"/>
    <w:rsid w:val="00387DE2"/>
    <w:rsid w:val="0039031B"/>
    <w:rsid w:val="00390810"/>
    <w:rsid w:val="00390B8B"/>
    <w:rsid w:val="00391307"/>
    <w:rsid w:val="00392844"/>
    <w:rsid w:val="00394779"/>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7FD0"/>
    <w:rsid w:val="003E0545"/>
    <w:rsid w:val="003E0DD0"/>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168ED"/>
    <w:rsid w:val="00420462"/>
    <w:rsid w:val="0042067C"/>
    <w:rsid w:val="004225C0"/>
    <w:rsid w:val="0042348C"/>
    <w:rsid w:val="004236B7"/>
    <w:rsid w:val="0042399B"/>
    <w:rsid w:val="0042517A"/>
    <w:rsid w:val="004263DD"/>
    <w:rsid w:val="00426994"/>
    <w:rsid w:val="00427140"/>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3112"/>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CBC"/>
    <w:rsid w:val="004B08C4"/>
    <w:rsid w:val="004B0E80"/>
    <w:rsid w:val="004B1421"/>
    <w:rsid w:val="004B2BDB"/>
    <w:rsid w:val="004B3290"/>
    <w:rsid w:val="004B4530"/>
    <w:rsid w:val="004B45BF"/>
    <w:rsid w:val="004B5C5F"/>
    <w:rsid w:val="004B5EE2"/>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55CB"/>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0A7A"/>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17C8"/>
    <w:rsid w:val="00502C53"/>
    <w:rsid w:val="0050338C"/>
    <w:rsid w:val="00503410"/>
    <w:rsid w:val="005035D5"/>
    <w:rsid w:val="00503CDE"/>
    <w:rsid w:val="005044F3"/>
    <w:rsid w:val="00504A82"/>
    <w:rsid w:val="00504CC9"/>
    <w:rsid w:val="005052C4"/>
    <w:rsid w:val="00505D97"/>
    <w:rsid w:val="00507D25"/>
    <w:rsid w:val="00510489"/>
    <w:rsid w:val="0051064B"/>
    <w:rsid w:val="005109B3"/>
    <w:rsid w:val="005114A5"/>
    <w:rsid w:val="00511B85"/>
    <w:rsid w:val="00513291"/>
    <w:rsid w:val="0051369A"/>
    <w:rsid w:val="005136CD"/>
    <w:rsid w:val="00513836"/>
    <w:rsid w:val="00513E22"/>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30D60"/>
    <w:rsid w:val="00530E68"/>
    <w:rsid w:val="0053146C"/>
    <w:rsid w:val="005314DD"/>
    <w:rsid w:val="00531925"/>
    <w:rsid w:val="00532D77"/>
    <w:rsid w:val="005332D4"/>
    <w:rsid w:val="005344E4"/>
    <w:rsid w:val="00534716"/>
    <w:rsid w:val="005373A1"/>
    <w:rsid w:val="0054123B"/>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635A"/>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7FA"/>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4751"/>
    <w:rsid w:val="00595AAE"/>
    <w:rsid w:val="005960DB"/>
    <w:rsid w:val="005A147A"/>
    <w:rsid w:val="005A32FD"/>
    <w:rsid w:val="005A33A3"/>
    <w:rsid w:val="005A3500"/>
    <w:rsid w:val="005A3C39"/>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5222"/>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5B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450"/>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46D"/>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6C9A"/>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6BB7"/>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6EC"/>
    <w:rsid w:val="00742FA2"/>
    <w:rsid w:val="007433CC"/>
    <w:rsid w:val="007435FB"/>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8B0"/>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77DE"/>
    <w:rsid w:val="007A014D"/>
    <w:rsid w:val="007A1ECE"/>
    <w:rsid w:val="007A2891"/>
    <w:rsid w:val="007A55A8"/>
    <w:rsid w:val="007A568E"/>
    <w:rsid w:val="007A6675"/>
    <w:rsid w:val="007A689E"/>
    <w:rsid w:val="007A737D"/>
    <w:rsid w:val="007A7B28"/>
    <w:rsid w:val="007B0DE6"/>
    <w:rsid w:val="007B2965"/>
    <w:rsid w:val="007B2D43"/>
    <w:rsid w:val="007B450F"/>
    <w:rsid w:val="007B4E80"/>
    <w:rsid w:val="007B50BF"/>
    <w:rsid w:val="007B59ED"/>
    <w:rsid w:val="007B5BB2"/>
    <w:rsid w:val="007B6C1D"/>
    <w:rsid w:val="007B75B7"/>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45E"/>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3D40"/>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0D8F"/>
    <w:rsid w:val="008518D6"/>
    <w:rsid w:val="00851D1F"/>
    <w:rsid w:val="00855E69"/>
    <w:rsid w:val="00856A9E"/>
    <w:rsid w:val="00856D5E"/>
    <w:rsid w:val="00856DAB"/>
    <w:rsid w:val="00857A49"/>
    <w:rsid w:val="00861F11"/>
    <w:rsid w:val="00862109"/>
    <w:rsid w:val="00862519"/>
    <w:rsid w:val="00862F60"/>
    <w:rsid w:val="008638BB"/>
    <w:rsid w:val="00863980"/>
    <w:rsid w:val="00863B86"/>
    <w:rsid w:val="008646AA"/>
    <w:rsid w:val="008651CC"/>
    <w:rsid w:val="008654FC"/>
    <w:rsid w:val="00865B22"/>
    <w:rsid w:val="0086727D"/>
    <w:rsid w:val="00867CF3"/>
    <w:rsid w:val="00867E33"/>
    <w:rsid w:val="00873332"/>
    <w:rsid w:val="0087478D"/>
    <w:rsid w:val="008747E0"/>
    <w:rsid w:val="00874B70"/>
    <w:rsid w:val="008750D3"/>
    <w:rsid w:val="00876DD7"/>
    <w:rsid w:val="00877A07"/>
    <w:rsid w:val="008821AD"/>
    <w:rsid w:val="00882FB4"/>
    <w:rsid w:val="00884004"/>
    <w:rsid w:val="008842FC"/>
    <w:rsid w:val="008850FF"/>
    <w:rsid w:val="0088586C"/>
    <w:rsid w:val="00885A5C"/>
    <w:rsid w:val="00886A9D"/>
    <w:rsid w:val="00886B20"/>
    <w:rsid w:val="00890FB1"/>
    <w:rsid w:val="00891EA3"/>
    <w:rsid w:val="008926CC"/>
    <w:rsid w:val="00892BE1"/>
    <w:rsid w:val="00893049"/>
    <w:rsid w:val="0089310B"/>
    <w:rsid w:val="00893168"/>
    <w:rsid w:val="00895682"/>
    <w:rsid w:val="008959C6"/>
    <w:rsid w:val="00895B8D"/>
    <w:rsid w:val="008960A8"/>
    <w:rsid w:val="00896CAB"/>
    <w:rsid w:val="00896D9E"/>
    <w:rsid w:val="00897871"/>
    <w:rsid w:val="00897F04"/>
    <w:rsid w:val="008A159E"/>
    <w:rsid w:val="008A1627"/>
    <w:rsid w:val="008A19A5"/>
    <w:rsid w:val="008A32BD"/>
    <w:rsid w:val="008A3F8C"/>
    <w:rsid w:val="008A4065"/>
    <w:rsid w:val="008A49ED"/>
    <w:rsid w:val="008A4B81"/>
    <w:rsid w:val="008A4D97"/>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519A"/>
    <w:rsid w:val="00976A8C"/>
    <w:rsid w:val="0097721C"/>
    <w:rsid w:val="00982912"/>
    <w:rsid w:val="00982918"/>
    <w:rsid w:val="00982AEF"/>
    <w:rsid w:val="00982E37"/>
    <w:rsid w:val="00983AAA"/>
    <w:rsid w:val="00983F4B"/>
    <w:rsid w:val="0098418F"/>
    <w:rsid w:val="00984A6F"/>
    <w:rsid w:val="009859D1"/>
    <w:rsid w:val="009873BE"/>
    <w:rsid w:val="009875D2"/>
    <w:rsid w:val="00990DA1"/>
    <w:rsid w:val="00990FFB"/>
    <w:rsid w:val="00992EA9"/>
    <w:rsid w:val="00992F5E"/>
    <w:rsid w:val="00993083"/>
    <w:rsid w:val="00993E78"/>
    <w:rsid w:val="00995141"/>
    <w:rsid w:val="00996DF6"/>
    <w:rsid w:val="009972CA"/>
    <w:rsid w:val="009A0846"/>
    <w:rsid w:val="009A0F21"/>
    <w:rsid w:val="009A1561"/>
    <w:rsid w:val="009A1BFB"/>
    <w:rsid w:val="009A32DF"/>
    <w:rsid w:val="009A42CF"/>
    <w:rsid w:val="009A4886"/>
    <w:rsid w:val="009A48FD"/>
    <w:rsid w:val="009A4A88"/>
    <w:rsid w:val="009A5A3F"/>
    <w:rsid w:val="009A6F33"/>
    <w:rsid w:val="009B07A9"/>
    <w:rsid w:val="009B08D9"/>
    <w:rsid w:val="009B08DD"/>
    <w:rsid w:val="009B140A"/>
    <w:rsid w:val="009B16A0"/>
    <w:rsid w:val="009B179E"/>
    <w:rsid w:val="009B1CF9"/>
    <w:rsid w:val="009B34C8"/>
    <w:rsid w:val="009B4D01"/>
    <w:rsid w:val="009B546B"/>
    <w:rsid w:val="009B60C4"/>
    <w:rsid w:val="009B752F"/>
    <w:rsid w:val="009B7AFD"/>
    <w:rsid w:val="009C08DC"/>
    <w:rsid w:val="009C0B76"/>
    <w:rsid w:val="009C1126"/>
    <w:rsid w:val="009C1F07"/>
    <w:rsid w:val="009C201E"/>
    <w:rsid w:val="009C6117"/>
    <w:rsid w:val="009C79AD"/>
    <w:rsid w:val="009C7A03"/>
    <w:rsid w:val="009D0335"/>
    <w:rsid w:val="009D2508"/>
    <w:rsid w:val="009D363A"/>
    <w:rsid w:val="009D37D2"/>
    <w:rsid w:val="009D3DA2"/>
    <w:rsid w:val="009D4E2D"/>
    <w:rsid w:val="009D51E8"/>
    <w:rsid w:val="009D5C39"/>
    <w:rsid w:val="009D6C16"/>
    <w:rsid w:val="009D7263"/>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07800"/>
    <w:rsid w:val="00A10862"/>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492C"/>
    <w:rsid w:val="00A35947"/>
    <w:rsid w:val="00A36150"/>
    <w:rsid w:val="00A36570"/>
    <w:rsid w:val="00A37B47"/>
    <w:rsid w:val="00A404AE"/>
    <w:rsid w:val="00A40A1A"/>
    <w:rsid w:val="00A4180C"/>
    <w:rsid w:val="00A4317E"/>
    <w:rsid w:val="00A43F39"/>
    <w:rsid w:val="00A44477"/>
    <w:rsid w:val="00A451F7"/>
    <w:rsid w:val="00A4563A"/>
    <w:rsid w:val="00A45D97"/>
    <w:rsid w:val="00A4777D"/>
    <w:rsid w:val="00A47A26"/>
    <w:rsid w:val="00A47D88"/>
    <w:rsid w:val="00A50383"/>
    <w:rsid w:val="00A51C05"/>
    <w:rsid w:val="00A51D06"/>
    <w:rsid w:val="00A52252"/>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B4A"/>
    <w:rsid w:val="00AB0DFF"/>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4837"/>
    <w:rsid w:val="00B149AA"/>
    <w:rsid w:val="00B14B3C"/>
    <w:rsid w:val="00B15609"/>
    <w:rsid w:val="00B16527"/>
    <w:rsid w:val="00B16B0B"/>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E2D"/>
    <w:rsid w:val="00B53BDD"/>
    <w:rsid w:val="00B550EF"/>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4055"/>
    <w:rsid w:val="00B8429E"/>
    <w:rsid w:val="00B8496B"/>
    <w:rsid w:val="00B860AD"/>
    <w:rsid w:val="00B903E3"/>
    <w:rsid w:val="00B90439"/>
    <w:rsid w:val="00B904C2"/>
    <w:rsid w:val="00B909A9"/>
    <w:rsid w:val="00B92E14"/>
    <w:rsid w:val="00B92E2E"/>
    <w:rsid w:val="00B93A29"/>
    <w:rsid w:val="00B949F0"/>
    <w:rsid w:val="00B94BB4"/>
    <w:rsid w:val="00B96E7C"/>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9F6"/>
    <w:rsid w:val="00BB4E96"/>
    <w:rsid w:val="00BB56FA"/>
    <w:rsid w:val="00BB5EF5"/>
    <w:rsid w:val="00BB69C8"/>
    <w:rsid w:val="00BC1041"/>
    <w:rsid w:val="00BC1995"/>
    <w:rsid w:val="00BC1ED0"/>
    <w:rsid w:val="00BC39D5"/>
    <w:rsid w:val="00BC73AB"/>
    <w:rsid w:val="00BD138A"/>
    <w:rsid w:val="00BD1F09"/>
    <w:rsid w:val="00BD1F42"/>
    <w:rsid w:val="00BD20DD"/>
    <w:rsid w:val="00BD27C2"/>
    <w:rsid w:val="00BD2907"/>
    <w:rsid w:val="00BD369D"/>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7DD"/>
    <w:rsid w:val="00C26AB4"/>
    <w:rsid w:val="00C27053"/>
    <w:rsid w:val="00C27D9E"/>
    <w:rsid w:val="00C30B78"/>
    <w:rsid w:val="00C32E15"/>
    <w:rsid w:val="00C33017"/>
    <w:rsid w:val="00C3330B"/>
    <w:rsid w:val="00C34566"/>
    <w:rsid w:val="00C349D9"/>
    <w:rsid w:val="00C357F0"/>
    <w:rsid w:val="00C36AA5"/>
    <w:rsid w:val="00C37011"/>
    <w:rsid w:val="00C40C52"/>
    <w:rsid w:val="00C414D4"/>
    <w:rsid w:val="00C42A4B"/>
    <w:rsid w:val="00C43046"/>
    <w:rsid w:val="00C43D09"/>
    <w:rsid w:val="00C43E31"/>
    <w:rsid w:val="00C4514C"/>
    <w:rsid w:val="00C45374"/>
    <w:rsid w:val="00C453BE"/>
    <w:rsid w:val="00C45936"/>
    <w:rsid w:val="00C461DD"/>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0B85"/>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8C7"/>
    <w:rsid w:val="00CD2F77"/>
    <w:rsid w:val="00CD3399"/>
    <w:rsid w:val="00CD3673"/>
    <w:rsid w:val="00CD446B"/>
    <w:rsid w:val="00CE0174"/>
    <w:rsid w:val="00CE025E"/>
    <w:rsid w:val="00CE0287"/>
    <w:rsid w:val="00CE0B6C"/>
    <w:rsid w:val="00CE1961"/>
    <w:rsid w:val="00CE1C99"/>
    <w:rsid w:val="00CE1D8F"/>
    <w:rsid w:val="00CE2859"/>
    <w:rsid w:val="00CE2CBD"/>
    <w:rsid w:val="00CE3DF0"/>
    <w:rsid w:val="00CE3ED3"/>
    <w:rsid w:val="00CE461E"/>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59C4"/>
    <w:rsid w:val="00D17E00"/>
    <w:rsid w:val="00D207D4"/>
    <w:rsid w:val="00D21C3F"/>
    <w:rsid w:val="00D22FD5"/>
    <w:rsid w:val="00D2369D"/>
    <w:rsid w:val="00D23769"/>
    <w:rsid w:val="00D23EE7"/>
    <w:rsid w:val="00D26F58"/>
    <w:rsid w:val="00D32E03"/>
    <w:rsid w:val="00D3382F"/>
    <w:rsid w:val="00D338BB"/>
    <w:rsid w:val="00D33EE7"/>
    <w:rsid w:val="00D33F62"/>
    <w:rsid w:val="00D341DC"/>
    <w:rsid w:val="00D35312"/>
    <w:rsid w:val="00D35DF4"/>
    <w:rsid w:val="00D361ED"/>
    <w:rsid w:val="00D3649E"/>
    <w:rsid w:val="00D37305"/>
    <w:rsid w:val="00D376C0"/>
    <w:rsid w:val="00D37993"/>
    <w:rsid w:val="00D4196F"/>
    <w:rsid w:val="00D42C25"/>
    <w:rsid w:val="00D44CDB"/>
    <w:rsid w:val="00D45D66"/>
    <w:rsid w:val="00D46150"/>
    <w:rsid w:val="00D46968"/>
    <w:rsid w:val="00D51393"/>
    <w:rsid w:val="00D51672"/>
    <w:rsid w:val="00D51A92"/>
    <w:rsid w:val="00D5285C"/>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6E77"/>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AD3"/>
    <w:rsid w:val="00DB7E20"/>
    <w:rsid w:val="00DC1372"/>
    <w:rsid w:val="00DC186D"/>
    <w:rsid w:val="00DC1C08"/>
    <w:rsid w:val="00DC1E0D"/>
    <w:rsid w:val="00DC321B"/>
    <w:rsid w:val="00DC34D0"/>
    <w:rsid w:val="00DC3E3C"/>
    <w:rsid w:val="00DC41FC"/>
    <w:rsid w:val="00DC45AD"/>
    <w:rsid w:val="00DC55DE"/>
    <w:rsid w:val="00DC5D66"/>
    <w:rsid w:val="00DC688C"/>
    <w:rsid w:val="00DC6C2C"/>
    <w:rsid w:val="00DC7052"/>
    <w:rsid w:val="00DC7CDF"/>
    <w:rsid w:val="00DC7E32"/>
    <w:rsid w:val="00DD02F7"/>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6EE"/>
    <w:rsid w:val="00E20852"/>
    <w:rsid w:val="00E21533"/>
    <w:rsid w:val="00E21675"/>
    <w:rsid w:val="00E217F5"/>
    <w:rsid w:val="00E21F6A"/>
    <w:rsid w:val="00E231F3"/>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E69"/>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6F57"/>
    <w:rsid w:val="00ED77F6"/>
    <w:rsid w:val="00ED7B55"/>
    <w:rsid w:val="00EE010B"/>
    <w:rsid w:val="00EE0952"/>
    <w:rsid w:val="00EE0DBA"/>
    <w:rsid w:val="00EE2537"/>
    <w:rsid w:val="00EE2652"/>
    <w:rsid w:val="00EE26AD"/>
    <w:rsid w:val="00EE26C3"/>
    <w:rsid w:val="00EE289E"/>
    <w:rsid w:val="00EE2E2D"/>
    <w:rsid w:val="00EE33D5"/>
    <w:rsid w:val="00EE3E5F"/>
    <w:rsid w:val="00EE4004"/>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AFA"/>
    <w:rsid w:val="00F01BE0"/>
    <w:rsid w:val="00F02014"/>
    <w:rsid w:val="00F023F4"/>
    <w:rsid w:val="00F025B9"/>
    <w:rsid w:val="00F02E4E"/>
    <w:rsid w:val="00F030B1"/>
    <w:rsid w:val="00F03F47"/>
    <w:rsid w:val="00F04595"/>
    <w:rsid w:val="00F05EE2"/>
    <w:rsid w:val="00F0643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47E93"/>
    <w:rsid w:val="00F509A4"/>
    <w:rsid w:val="00F51491"/>
    <w:rsid w:val="00F5220C"/>
    <w:rsid w:val="00F52BE6"/>
    <w:rsid w:val="00F53995"/>
    <w:rsid w:val="00F53A2C"/>
    <w:rsid w:val="00F546AE"/>
    <w:rsid w:val="00F567F4"/>
    <w:rsid w:val="00F574BB"/>
    <w:rsid w:val="00F60C31"/>
    <w:rsid w:val="00F60F89"/>
    <w:rsid w:val="00F61531"/>
    <w:rsid w:val="00F644C2"/>
    <w:rsid w:val="00F648D6"/>
    <w:rsid w:val="00F64B26"/>
    <w:rsid w:val="00F65FEE"/>
    <w:rsid w:val="00F66EF3"/>
    <w:rsid w:val="00F66F44"/>
    <w:rsid w:val="00F70954"/>
    <w:rsid w:val="00F72258"/>
    <w:rsid w:val="00F72A90"/>
    <w:rsid w:val="00F74A5D"/>
    <w:rsid w:val="00F75882"/>
    <w:rsid w:val="00F7665C"/>
    <w:rsid w:val="00F76A03"/>
    <w:rsid w:val="00F76C5B"/>
    <w:rsid w:val="00F77B71"/>
    <w:rsid w:val="00F8053A"/>
    <w:rsid w:val="00F80B0D"/>
    <w:rsid w:val="00F80E32"/>
    <w:rsid w:val="00F824CA"/>
    <w:rsid w:val="00F82F0A"/>
    <w:rsid w:val="00F83AF7"/>
    <w:rsid w:val="00F846B8"/>
    <w:rsid w:val="00F84882"/>
    <w:rsid w:val="00F84F60"/>
    <w:rsid w:val="00F8532C"/>
    <w:rsid w:val="00F8649E"/>
    <w:rsid w:val="00F87CF3"/>
    <w:rsid w:val="00F90464"/>
    <w:rsid w:val="00F90B9D"/>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B2364"/>
    <w:rsid w:val="00FB2D63"/>
    <w:rsid w:val="00FB3053"/>
    <w:rsid w:val="00FB3BA3"/>
    <w:rsid w:val="00FB4099"/>
    <w:rsid w:val="00FB4520"/>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1A533D-8A7F-4D8A-99AB-4709E8DC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0"/>
    <w:link w:val="Heading1Char"/>
    <w:qFormat/>
    <w:rsid w:val="00035BB3"/>
    <w:pPr>
      <w:keepNext/>
      <w:autoSpaceDE w:val="0"/>
      <w:autoSpaceDN w:val="0"/>
      <w:adjustRightInd w:val="0"/>
      <w:spacing w:line="480" w:lineRule="auto"/>
      <w:outlineLvl w:val="0"/>
    </w:pPr>
    <w:rPr>
      <w:b/>
      <w:bCs/>
      <w:szCs w:val="28"/>
    </w:rPr>
  </w:style>
  <w:style w:type="paragraph" w:styleId="Heading2">
    <w:name w:val="heading 2"/>
    <w:basedOn w:val="Normal"/>
    <w:next w:val="10"/>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0"/>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
    <w:basedOn w:val="Normal"/>
    <w:link w:val="1Char"/>
    <w:qFormat/>
    <w:rsid w:val="005C5222"/>
    <w:pPr>
      <w:numPr>
        <w:numId w:val="18"/>
      </w:numPr>
      <w:spacing w:line="480" w:lineRule="auto"/>
      <w:ind w:left="0" w:firstLine="0"/>
    </w:pPr>
    <w:rPr>
      <w:iCs/>
      <w:color w:val="000000"/>
      <w:szCs w:val="22"/>
    </w:rPr>
  </w:style>
  <w:style w:type="character" w:customStyle="1" w:styleId="Heading1Char">
    <w:name w:val="Heading 1 Char"/>
    <w:link w:val="Heading1"/>
    <w:rsid w:val="00035BB3"/>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0"/>
    <w:link w:val="2Char"/>
    <w:qFormat/>
    <w:rsid w:val="002F5D54"/>
    <w:pPr>
      <w:numPr>
        <w:ilvl w:val="1"/>
        <w:numId w:val="1"/>
      </w:numPr>
      <w:ind w:left="851" w:hanging="851"/>
    </w:pPr>
  </w:style>
  <w:style w:type="paragraph" w:customStyle="1" w:styleId="3">
    <w:name w:val="3"/>
    <w:basedOn w:val="2"/>
    <w:qFormat/>
    <w:rsid w:val="002F5D54"/>
    <w:pPr>
      <w:numPr>
        <w:ilvl w:val="2"/>
        <w:numId w:val="18"/>
      </w:numPr>
    </w:pPr>
  </w:style>
  <w:style w:type="paragraph" w:customStyle="1" w:styleId="4">
    <w:name w:val="4"/>
    <w:basedOn w:val="2"/>
    <w:qFormat/>
    <w:rsid w:val="002F5D54"/>
    <w:pPr>
      <w:numPr>
        <w:ilvl w:val="3"/>
        <w:numId w:val="18"/>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2F5D54"/>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2F5D54"/>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0"/>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0"/>
    <w:rsid w:val="005C5222"/>
    <w:rPr>
      <w:rFonts w:ascii="Arial" w:hAnsi="Arial"/>
      <w:iCs/>
      <w:color w:val="000000"/>
      <w:sz w:val="24"/>
      <w:szCs w:val="22"/>
      <w:lang w:eastAsia="en-US"/>
    </w:rPr>
  </w:style>
  <w:style w:type="character" w:customStyle="1" w:styleId="2Char">
    <w:name w:val="2 Char"/>
    <w:link w:val="2"/>
    <w:rsid w:val="002F5D54"/>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0"/>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paragraph" w:customStyle="1" w:styleId="NUM1">
    <w:name w:val="NUM1"/>
    <w:basedOn w:val="ListParagraph"/>
    <w:next w:val="Normal"/>
    <w:qFormat/>
    <w:rsid w:val="00BD369D"/>
    <w:pPr>
      <w:numPr>
        <w:numId w:val="20"/>
      </w:numPr>
      <w:spacing w:before="0" w:line="480" w:lineRule="auto"/>
    </w:pPr>
    <w:rPr>
      <w:rFonts w:cs="Arial"/>
      <w:sz w:val="24"/>
      <w:szCs w:val="24"/>
      <w:lang w:val="en-ZA" w:eastAsia="en-US"/>
    </w:rPr>
  </w:style>
  <w:style w:type="paragraph" w:customStyle="1" w:styleId="NUM2">
    <w:name w:val="NUM2"/>
    <w:basedOn w:val="ListParagraph"/>
    <w:next w:val="Normal"/>
    <w:qFormat/>
    <w:rsid w:val="00BD369D"/>
    <w:pPr>
      <w:numPr>
        <w:ilvl w:val="1"/>
        <w:numId w:val="20"/>
      </w:numPr>
      <w:tabs>
        <w:tab w:val="clear" w:pos="1418"/>
        <w:tab w:val="left" w:pos="1701"/>
      </w:tabs>
      <w:spacing w:before="0" w:line="480" w:lineRule="auto"/>
    </w:pPr>
    <w:rPr>
      <w:rFonts w:cs="Arial"/>
      <w:sz w:val="24"/>
      <w:szCs w:val="24"/>
      <w:lang w:val="en-ZA" w:eastAsia="en-US"/>
    </w:rPr>
  </w:style>
  <w:style w:type="paragraph" w:customStyle="1" w:styleId="TAB3">
    <w:name w:val="TAB 3"/>
    <w:basedOn w:val="NUM2"/>
    <w:next w:val="Normal"/>
    <w:qFormat/>
    <w:rsid w:val="00BD369D"/>
    <w:pPr>
      <w:numPr>
        <w:ilvl w:val="2"/>
      </w:numPr>
    </w:pPr>
  </w:style>
  <w:style w:type="paragraph" w:customStyle="1" w:styleId="1">
    <w:name w:val="1."/>
    <w:basedOn w:val="Normal"/>
    <w:link w:val="1Char0"/>
    <w:qFormat/>
    <w:rsid w:val="00ED6F57"/>
    <w:pPr>
      <w:numPr>
        <w:numId w:val="22"/>
      </w:numPr>
      <w:spacing w:before="360" w:after="360" w:line="480" w:lineRule="auto"/>
      <w:ind w:left="851" w:right="11" w:hanging="851"/>
    </w:pPr>
    <w:rPr>
      <w:rFonts w:cs="Arial"/>
      <w:lang w:val="en-ZA" w:eastAsia="en-GB"/>
    </w:rPr>
  </w:style>
  <w:style w:type="paragraph" w:customStyle="1" w:styleId="11">
    <w:name w:val="1.1"/>
    <w:basedOn w:val="1"/>
    <w:link w:val="11Char"/>
    <w:qFormat/>
    <w:rsid w:val="00ED6F57"/>
    <w:pPr>
      <w:numPr>
        <w:ilvl w:val="1"/>
      </w:numPr>
      <w:ind w:left="1701" w:hanging="850"/>
    </w:pPr>
  </w:style>
  <w:style w:type="character" w:customStyle="1" w:styleId="1Char0">
    <w:name w:val="1. Char"/>
    <w:link w:val="1"/>
    <w:rsid w:val="00ED6F57"/>
    <w:rPr>
      <w:rFonts w:ascii="Arial" w:hAnsi="Arial" w:cs="Arial"/>
      <w:sz w:val="24"/>
      <w:szCs w:val="24"/>
      <w:lang w:val="en-ZA"/>
    </w:rPr>
  </w:style>
  <w:style w:type="paragraph" w:customStyle="1" w:styleId="111">
    <w:name w:val="1.1.1"/>
    <w:basedOn w:val="1"/>
    <w:qFormat/>
    <w:rsid w:val="00ED6F57"/>
    <w:pPr>
      <w:numPr>
        <w:ilvl w:val="2"/>
      </w:numPr>
      <w:ind w:left="2835" w:hanging="1134"/>
    </w:pPr>
  </w:style>
  <w:style w:type="character" w:customStyle="1" w:styleId="11Char">
    <w:name w:val="1.1 Char"/>
    <w:link w:val="11"/>
    <w:rsid w:val="00ED6F57"/>
    <w:rPr>
      <w:rFonts w:ascii="Arial" w:hAnsi="Arial" w:cs="Arial"/>
      <w:sz w:val="24"/>
      <w:szCs w:val="24"/>
      <w:lang w:val="en-ZA"/>
    </w:rPr>
  </w:style>
  <w:style w:type="paragraph" w:customStyle="1" w:styleId="1111">
    <w:name w:val="1.1.1.1"/>
    <w:basedOn w:val="111"/>
    <w:qFormat/>
    <w:rsid w:val="00ED6F57"/>
    <w:pPr>
      <w:numPr>
        <w:ilvl w:val="3"/>
      </w:numPr>
      <w:ind w:left="3969" w:hanging="1134"/>
    </w:pPr>
  </w:style>
  <w:style w:type="paragraph" w:customStyle="1" w:styleId="quotation">
    <w:name w:val="quotation"/>
    <w:basedOn w:val="111"/>
    <w:link w:val="quotationChar"/>
    <w:qFormat/>
    <w:rsid w:val="00ED6F57"/>
    <w:pPr>
      <w:numPr>
        <w:ilvl w:val="0"/>
        <w:numId w:val="0"/>
      </w:numPr>
      <w:spacing w:before="0" w:after="240" w:line="360" w:lineRule="auto"/>
      <w:ind w:left="1440"/>
    </w:pPr>
    <w:rPr>
      <w:rFonts w:asciiTheme="minorHAnsi" w:eastAsia="Calibri" w:hAnsiTheme="minorHAnsi" w:cstheme="minorHAnsi"/>
      <w:i/>
      <w:shd w:val="clear" w:color="auto" w:fill="FFFFFF"/>
    </w:rPr>
  </w:style>
  <w:style w:type="character" w:customStyle="1" w:styleId="quotationChar">
    <w:name w:val="quotation Char"/>
    <w:basedOn w:val="DefaultParagraphFont"/>
    <w:link w:val="quotation"/>
    <w:rsid w:val="00ED6F57"/>
    <w:rPr>
      <w:rFonts w:asciiTheme="minorHAnsi" w:eastAsia="Calibri" w:hAnsiTheme="minorHAnsi" w:cstheme="minorHAnsi"/>
      <w:i/>
      <w:sz w:val="24"/>
      <w:szCs w:val="24"/>
      <w:lang w:val="en-ZA"/>
    </w:rPr>
  </w:style>
  <w:style w:type="paragraph" w:customStyle="1" w:styleId="11111">
    <w:name w:val="1.1.1.1.1"/>
    <w:basedOn w:val="1111"/>
    <w:rsid w:val="00ED6F57"/>
    <w:pPr>
      <w:numPr>
        <w:ilvl w:val="4"/>
      </w:numPr>
      <w:ind w:left="5387"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D0F2-1687-4A76-9589-78A5DDF7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18</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2019-03-18T05:48:00Z</cp:lastPrinted>
  <dcterms:created xsi:type="dcterms:W3CDTF">2022-11-23T09:30:00Z</dcterms:created>
  <dcterms:modified xsi:type="dcterms:W3CDTF">2022-11-23T09:30:00Z</dcterms:modified>
</cp:coreProperties>
</file>