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E" w:rsidRPr="0052567B" w:rsidRDefault="00D1108E" w:rsidP="00D1108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52567B">
        <w:rPr>
          <w:rFonts w:ascii="Arial" w:eastAsia="Times New Roman" w:hAnsi="Arial" w:cs="Arial"/>
          <w:b/>
          <w:sz w:val="24"/>
          <w:szCs w:val="24"/>
          <w:lang w:eastAsia="en-GB"/>
        </w:rPr>
        <w:t>REPUBLIC OF SOUTH AFRICA</w:t>
      </w:r>
    </w:p>
    <w:p w:rsidR="00D1108E" w:rsidRPr="0052567B" w:rsidRDefault="00D1108E" w:rsidP="00D1108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2567B">
        <w:rPr>
          <w:rFonts w:ascii="Arial" w:eastAsia="MS Mincho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C249DAD" wp14:editId="63C1C51F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8E" w:rsidRPr="0052567B" w:rsidRDefault="00D1108E" w:rsidP="00D1108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2567B">
        <w:rPr>
          <w:rFonts w:ascii="Arial" w:eastAsia="Times New Roman" w:hAnsi="Arial" w:cs="Arial"/>
          <w:b/>
          <w:sz w:val="24"/>
          <w:szCs w:val="24"/>
          <w:lang w:eastAsia="en-GB"/>
        </w:rPr>
        <w:t>IN THE HIGH COURT OF SOUTH AFRICA</w:t>
      </w:r>
    </w:p>
    <w:p w:rsidR="00D1108E" w:rsidRPr="0052567B" w:rsidRDefault="00D1108E" w:rsidP="00D1108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2567B">
        <w:rPr>
          <w:rFonts w:ascii="Arial" w:eastAsia="Times New Roman" w:hAnsi="Arial" w:cs="Arial"/>
          <w:b/>
          <w:sz w:val="24"/>
          <w:szCs w:val="24"/>
          <w:lang w:eastAsia="en-GB"/>
        </w:rPr>
        <w:t>GAUTENG LOCAL DIVISION, JOHANNESBURG</w:t>
      </w:r>
    </w:p>
    <w:p w:rsidR="00D1108E" w:rsidRPr="0052567B" w:rsidRDefault="00D1108E" w:rsidP="00D1108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08E" w:rsidRPr="0052567B" w:rsidRDefault="00D1108E" w:rsidP="00D1108E">
      <w:pPr>
        <w:spacing w:after="0" w:line="360" w:lineRule="auto"/>
        <w:ind w:left="306" w:hangingChars="127" w:hanging="30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2567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CASE NO: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02554/2014</w:t>
      </w:r>
    </w:p>
    <w:p w:rsidR="00D1108E" w:rsidRPr="0052567B" w:rsidRDefault="00D1108E" w:rsidP="00D1108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</w:pPr>
      <w:r w:rsidRPr="0052567B">
        <w:rPr>
          <w:rFonts w:ascii="Arial" w:eastAsia="MS Mincho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16D9" wp14:editId="66DD3B7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28950" cy="1428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8E" w:rsidRPr="004120A8" w:rsidRDefault="00D1108E" w:rsidP="00D110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:rsidR="00D1108E" w:rsidRPr="004120A8" w:rsidRDefault="00736602" w:rsidP="00D110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REPORTABLE: </w:t>
                            </w:r>
                            <w:r w:rsidR="00D1108E" w:rsidRPr="007366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1108E" w:rsidRPr="00CB014A" w:rsidRDefault="00D1108E" w:rsidP="00D110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 INTEREST TO OTHER </w:t>
                            </w:r>
                            <w:r w:rsidR="0073660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JUDGES: </w:t>
                            </w:r>
                            <w:r w:rsidRPr="007366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1108E" w:rsidRDefault="00736602" w:rsidP="00D110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D1108E" w:rsidRPr="007366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1108E" w:rsidRPr="00033577" w:rsidRDefault="00D1108E" w:rsidP="00D1108E">
                            <w:pPr>
                              <w:spacing w:after="0" w:line="240" w:lineRule="auto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108E" w:rsidRDefault="00D1108E" w:rsidP="00D1108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108E" w:rsidRPr="00DA3AC0" w:rsidRDefault="00D1108E" w:rsidP="00D1108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D1108E" w:rsidRPr="004120A8" w:rsidRDefault="00D1108E" w:rsidP="00D1108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="007366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  <w:r w:rsidR="006363C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 07</w:t>
                            </w:r>
                            <w:r w:rsidR="007366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.11.2022</w:t>
                            </w:r>
                          </w:p>
                          <w:p w:rsidR="00D1108E" w:rsidRPr="004120A8" w:rsidRDefault="00D1108E" w:rsidP="00D1108E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B416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85pt;width:238.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2gKQ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">
                <v:textbox>
                  <w:txbxContent>
                    <w:p w:rsidR="00D1108E" w:rsidRPr="004120A8" w:rsidRDefault="00D1108E" w:rsidP="00D1108E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:rsidR="00D1108E" w:rsidRPr="004120A8" w:rsidRDefault="00736602" w:rsidP="00D110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REPORTABLE: </w:t>
                      </w:r>
                      <w:r w:rsidR="00D1108E" w:rsidRPr="0073660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D1108E" w:rsidRPr="00CB014A" w:rsidRDefault="00D1108E" w:rsidP="00D110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 INTEREST TO OTHER </w:t>
                      </w:r>
                      <w:r w:rsidR="0073660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JUDGES: </w:t>
                      </w:r>
                      <w:r w:rsidRPr="0073660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D1108E" w:rsidRDefault="00736602" w:rsidP="00D110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REVISED: </w:t>
                      </w:r>
                      <w:r w:rsidR="00D1108E" w:rsidRPr="0073660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D1108E" w:rsidRPr="00033577" w:rsidRDefault="00D1108E" w:rsidP="00D1108E">
                      <w:pPr>
                        <w:spacing w:after="0" w:line="240" w:lineRule="auto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108E" w:rsidRDefault="00D1108E" w:rsidP="00D1108E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D1108E" w:rsidRPr="00DA3AC0" w:rsidRDefault="00D1108E" w:rsidP="00D1108E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D1108E" w:rsidRPr="004120A8" w:rsidRDefault="00D1108E" w:rsidP="00D1108E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="0073660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  <w:r w:rsidR="006363C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 07</w:t>
                      </w:r>
                      <w:r w:rsidR="0073660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.11.2022</w:t>
                      </w:r>
                    </w:p>
                    <w:p w:rsidR="00D1108E" w:rsidRPr="004120A8" w:rsidRDefault="00D1108E" w:rsidP="00D1108E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08E" w:rsidRPr="0052567B" w:rsidRDefault="00D1108E" w:rsidP="00D1108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</w:pPr>
    </w:p>
    <w:p w:rsidR="00D1108E" w:rsidRPr="0052567B" w:rsidRDefault="00D1108E" w:rsidP="00D1108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</w:pPr>
    </w:p>
    <w:p w:rsidR="00D1108E" w:rsidRPr="0052567B" w:rsidRDefault="00D1108E" w:rsidP="00D1108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en-GB"/>
        </w:rPr>
      </w:pPr>
    </w:p>
    <w:p w:rsidR="00D1108E" w:rsidRPr="0052567B" w:rsidRDefault="00D1108E" w:rsidP="00D1108E">
      <w:pPr>
        <w:spacing w:after="0" w:line="360" w:lineRule="auto"/>
        <w:ind w:left="305" w:hangingChars="127" w:hanging="305"/>
        <w:jc w:val="both"/>
        <w:rPr>
          <w:rFonts w:ascii="Arial" w:eastAsia="Calibri" w:hAnsi="Arial" w:cs="Arial"/>
          <w:sz w:val="24"/>
          <w:szCs w:val="24"/>
        </w:rPr>
      </w:pPr>
    </w:p>
    <w:p w:rsidR="00D1108E" w:rsidRPr="0052567B" w:rsidRDefault="00D1108E" w:rsidP="00D110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</w:pPr>
    </w:p>
    <w:p w:rsidR="00D1108E" w:rsidRPr="00736602" w:rsidRDefault="00D1108E" w:rsidP="00736602">
      <w:pPr>
        <w:widowControl w:val="0"/>
        <w:autoSpaceDE w:val="0"/>
        <w:autoSpaceDN w:val="0"/>
        <w:adjustRightInd w:val="0"/>
        <w:spacing w:after="0" w:line="60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</w:pPr>
      <w:r w:rsidRPr="0052567B"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  <w:t>In the matter between:</w:t>
      </w:r>
      <w:r w:rsidRPr="0052567B">
        <w:rPr>
          <w:rFonts w:ascii="Arial" w:eastAsia="MS Mincho" w:hAnsi="Arial" w:cs="Arial"/>
          <w:b/>
          <w:color w:val="1B1919"/>
          <w:sz w:val="24"/>
          <w:szCs w:val="24"/>
          <w:lang w:val="en-GB" w:eastAsia="ja-JP"/>
        </w:rPr>
        <w:t xml:space="preserve"> </w:t>
      </w:r>
    </w:p>
    <w:p w:rsidR="00D1108E" w:rsidRDefault="00D1108E" w:rsidP="00D1108E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MINISTER OF POLICE</w:t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5742EC">
        <w:rPr>
          <w:rFonts w:ascii="Arial" w:hAnsi="Arial" w:cs="Arial"/>
          <w:color w:val="000000"/>
          <w:sz w:val="23"/>
          <w:szCs w:val="23"/>
        </w:rPr>
        <w:t>Applicant</w:t>
      </w:r>
    </w:p>
    <w:p w:rsidR="00D1108E" w:rsidRDefault="00D1108E" w:rsidP="00D1108E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  <w:t>and</w:t>
      </w:r>
    </w:p>
    <w:p w:rsidR="00D1108E" w:rsidRPr="0052567B" w:rsidRDefault="00D1108E" w:rsidP="00D110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SIBEKO SIPHO SIMON</w:t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52567B"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Respondent</w:t>
      </w:r>
    </w:p>
    <w:p w:rsidR="00D1108E" w:rsidRPr="00736602" w:rsidRDefault="00D1108E" w:rsidP="00D1108E">
      <w:pPr>
        <w:autoSpaceDE w:val="0"/>
        <w:autoSpaceDN w:val="0"/>
        <w:adjustRightInd w:val="0"/>
        <w:spacing w:after="0" w:line="480" w:lineRule="auto"/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</w:pPr>
      <w:r w:rsidRPr="0052567B">
        <w:rPr>
          <w:rFonts w:ascii="Arial" w:eastAsia="MS Mincho" w:hAnsi="Arial" w:cs="Arial"/>
          <w:color w:val="1B1919"/>
          <w:sz w:val="24"/>
          <w:szCs w:val="24"/>
          <w:lang w:val="en-GB" w:eastAsia="ja-JP"/>
        </w:rPr>
        <w:t xml:space="preserve">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1108E" w:rsidRPr="0052567B" w:rsidTr="00170A0E">
        <w:trPr>
          <w:trHeight w:val="108"/>
        </w:trPr>
        <w:tc>
          <w:tcPr>
            <w:tcW w:w="8931" w:type="dxa"/>
          </w:tcPr>
          <w:p w:rsidR="00D1108E" w:rsidRDefault="00D1108E" w:rsidP="00D1108E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E101A"/>
                <w:sz w:val="24"/>
                <w:szCs w:val="24"/>
                <w:lang w:eastAsia="en-ZA"/>
              </w:rPr>
            </w:pPr>
            <w:r w:rsidRPr="0052567B">
              <w:rPr>
                <w:rFonts w:ascii="Arial" w:eastAsia="Times New Roman" w:hAnsi="Arial" w:cs="Arial"/>
                <w:b/>
                <w:color w:val="0E101A"/>
                <w:sz w:val="24"/>
                <w:szCs w:val="24"/>
                <w:lang w:eastAsia="en-ZA"/>
              </w:rPr>
              <w:t>JUDGMENT</w:t>
            </w:r>
          </w:p>
          <w:p w:rsidR="00D1108E" w:rsidRPr="0052567B" w:rsidRDefault="00D1108E" w:rsidP="00D1108E">
            <w:pPr>
              <w:tabs>
                <w:tab w:val="left" w:pos="0"/>
              </w:tabs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E101A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E101A"/>
                <w:sz w:val="24"/>
                <w:szCs w:val="24"/>
                <w:lang w:eastAsia="en-ZA"/>
              </w:rPr>
              <w:t>(Leave to Appeal Application)</w:t>
            </w:r>
          </w:p>
        </w:tc>
      </w:tr>
    </w:tbl>
    <w:p w:rsidR="00D1108E" w:rsidRPr="0052567B" w:rsidRDefault="00D1108E" w:rsidP="00D1108E">
      <w:pPr>
        <w:spacing w:after="200" w:line="240" w:lineRule="auto"/>
        <w:rPr>
          <w:rFonts w:ascii="Arial" w:eastAsia="Times New Roman" w:hAnsi="Arial" w:cs="Arial"/>
          <w:i/>
          <w:lang w:eastAsia="en-ZA"/>
        </w:rPr>
      </w:pPr>
    </w:p>
    <w:p w:rsidR="00D1108E" w:rsidRPr="00736602" w:rsidRDefault="00D1108E" w:rsidP="00D1108E">
      <w:pPr>
        <w:spacing w:after="200" w:line="276" w:lineRule="auto"/>
        <w:ind w:firstLine="720"/>
        <w:rPr>
          <w:rFonts w:ascii="Arial" w:eastAsia="Arial Unicode MS" w:hAnsi="Arial" w:cs="Arial"/>
          <w:bCs/>
          <w:i/>
          <w:lang w:val="en-GB" w:eastAsia="zh-CN"/>
        </w:rPr>
      </w:pPr>
      <w:r w:rsidRPr="00736602">
        <w:rPr>
          <w:rFonts w:ascii="Arial" w:eastAsia="Arial Unicode MS" w:hAnsi="Arial" w:cs="Arial"/>
          <w:b/>
          <w:bCs/>
          <w:i/>
          <w:u w:val="single"/>
          <w:lang w:val="en-GB" w:eastAsia="zh-CN"/>
        </w:rPr>
        <w:t>Delivered:</w:t>
      </w:r>
      <w:r w:rsidRPr="00736602">
        <w:rPr>
          <w:rFonts w:ascii="Arial" w:eastAsia="Arial Unicode MS" w:hAnsi="Arial" w:cs="Arial"/>
          <w:bCs/>
          <w:i/>
          <w:lang w:val="en-GB" w:eastAsia="zh-CN"/>
        </w:rPr>
        <w:t xml:space="preserve"> By transmission to the parties via email and uploading onto Case Lines</w:t>
      </w:r>
    </w:p>
    <w:p w:rsidR="00D1108E" w:rsidRPr="00736602" w:rsidRDefault="00D1108E" w:rsidP="00D1108E">
      <w:pPr>
        <w:spacing w:after="200" w:line="276" w:lineRule="auto"/>
        <w:ind w:left="720"/>
        <w:rPr>
          <w:rFonts w:ascii="Arial" w:eastAsia="Arial Unicode MS" w:hAnsi="Arial" w:cs="Arial"/>
          <w:bCs/>
          <w:i/>
          <w:lang w:val="en-GB" w:eastAsia="zh-CN"/>
        </w:rPr>
      </w:pPr>
      <w:r w:rsidRPr="00736602">
        <w:rPr>
          <w:rFonts w:ascii="Arial" w:eastAsia="Arial Unicode MS" w:hAnsi="Arial" w:cs="Arial"/>
          <w:bCs/>
          <w:i/>
          <w:lang w:val="en-GB" w:eastAsia="zh-CN"/>
        </w:rPr>
        <w:t xml:space="preserve">the Judgment is deemed to be delivered. The date for hand-down is deemed to be      </w:t>
      </w:r>
    </w:p>
    <w:p w:rsidR="00D1108E" w:rsidRPr="0052567B" w:rsidRDefault="00571064" w:rsidP="00736602">
      <w:pPr>
        <w:spacing w:after="200" w:line="276" w:lineRule="auto"/>
        <w:ind w:firstLine="720"/>
        <w:rPr>
          <w:rFonts w:ascii="Arial" w:eastAsia="Arial Unicode MS" w:hAnsi="Arial" w:cs="Arial"/>
          <w:bCs/>
          <w:i/>
          <w:lang w:val="en-GB" w:eastAsia="zh-CN"/>
        </w:rPr>
      </w:pPr>
      <w:r>
        <w:rPr>
          <w:rFonts w:ascii="Arial" w:eastAsia="Arial Unicode MS" w:hAnsi="Arial" w:cs="Arial"/>
          <w:bCs/>
          <w:i/>
          <w:lang w:val="en-GB" w:eastAsia="zh-CN"/>
        </w:rPr>
        <w:t>02</w:t>
      </w:r>
      <w:r w:rsidR="00D1108E" w:rsidRPr="00736602">
        <w:rPr>
          <w:rFonts w:ascii="Arial" w:eastAsia="Arial Unicode MS" w:hAnsi="Arial" w:cs="Arial"/>
          <w:bCs/>
          <w:i/>
          <w:lang w:val="en-GB" w:eastAsia="zh-CN"/>
        </w:rPr>
        <w:t xml:space="preserve"> November</w:t>
      </w:r>
      <w:r w:rsidR="00736602" w:rsidRPr="00736602">
        <w:rPr>
          <w:rFonts w:ascii="Arial" w:eastAsia="Arial Unicode MS" w:hAnsi="Arial" w:cs="Arial"/>
          <w:bCs/>
          <w:i/>
          <w:lang w:val="en-GB" w:eastAsia="zh-CN"/>
        </w:rPr>
        <w:t xml:space="preserve"> 2022</w:t>
      </w:r>
      <w:r w:rsidR="00D1108E" w:rsidRPr="00736602">
        <w:rPr>
          <w:rFonts w:ascii="Arial" w:eastAsia="Arial Unicode MS" w:hAnsi="Arial" w:cs="Arial"/>
          <w:bCs/>
          <w:i/>
          <w:lang w:val="en-GB" w:eastAsia="zh-CN"/>
        </w:rPr>
        <w:t>.</w:t>
      </w:r>
    </w:p>
    <w:p w:rsidR="00D1108E" w:rsidRPr="00571064" w:rsidRDefault="00D1108E" w:rsidP="00D1108E">
      <w:pPr>
        <w:spacing w:after="200" w:line="360" w:lineRule="auto"/>
        <w:ind w:left="720"/>
        <w:rPr>
          <w:rFonts w:ascii="Arial" w:eastAsia="MS Mincho" w:hAnsi="Arial" w:cs="Arial"/>
          <w:b/>
          <w:sz w:val="24"/>
          <w:szCs w:val="24"/>
          <w:u w:val="single"/>
          <w:lang w:val="en-GB" w:eastAsia="ja-JP"/>
        </w:rPr>
      </w:pPr>
      <w:r w:rsidRPr="00571064">
        <w:rPr>
          <w:rFonts w:ascii="Arial" w:eastAsia="MS Mincho" w:hAnsi="Arial" w:cs="Arial"/>
          <w:b/>
          <w:sz w:val="24"/>
          <w:szCs w:val="24"/>
          <w:u w:val="single"/>
          <w:lang w:val="en-GB" w:eastAsia="ja-JP"/>
        </w:rPr>
        <w:lastRenderedPageBreak/>
        <w:t xml:space="preserve">SENYATSI J: </w:t>
      </w:r>
    </w:p>
    <w:p w:rsidR="00D1108E" w:rsidRPr="00571064" w:rsidRDefault="00D1108E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[1]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  <w:t>On 19 November 2021 I handed down judgment in favour of the respondent, Mr S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ipho Simon Sibeko for wrongful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arrest and ordered the applica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nt, Minister of P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olice to pay Mr Sibeko R550 000 in damages.</w:t>
      </w:r>
    </w:p>
    <w:p w:rsidR="00D1108E" w:rsidRPr="00571064" w:rsidRDefault="00D1108E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[2]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The M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inister filed leave to appeal the 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quantum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of the award made.</w:t>
      </w:r>
    </w:p>
    <w:p w:rsidR="00D1108E" w:rsidRPr="00571064" w:rsidRDefault="00D16A5A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[3]     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="00D1108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The judgment has been and criticised by the applicant and leave to appeal has been noted 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based on the following grounds: -</w:t>
      </w:r>
    </w:p>
    <w:p w:rsidR="00D16A5A" w:rsidRPr="00571064" w:rsidRDefault="00D16A5A" w:rsidP="00CC4907">
      <w:pPr>
        <w:spacing w:after="200" w:line="480" w:lineRule="auto"/>
        <w:ind w:left="216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3.1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="00D1108E" w:rsidRPr="00571064">
        <w:rPr>
          <w:rFonts w:ascii="Arial" w:eastAsia="MS Mincho" w:hAnsi="Arial" w:cs="Arial"/>
          <w:sz w:val="24"/>
          <w:szCs w:val="24"/>
          <w:lang w:val="en-GB" w:eastAsia="ja-JP"/>
        </w:rPr>
        <w:t>The court erred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when it held that the detention of Mr Sibeko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at the hospital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was for three weeks without considering the circumstances that resulted in the three weeks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stay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in hospital;</w:t>
      </w:r>
    </w:p>
    <w:p w:rsidR="00D16A5A" w:rsidRPr="00571064" w:rsidRDefault="00D16A5A" w:rsidP="00CC4907">
      <w:pPr>
        <w:spacing w:after="200" w:line="480" w:lineRule="auto"/>
        <w:ind w:left="2160" w:hanging="66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3.2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The court erred by his exercising its discretion rationally and o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>bjectively when it ordered the M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inister to pay Mr Sibeko R550 000;</w:t>
      </w:r>
    </w:p>
    <w:p w:rsidR="00D16A5A" w:rsidRPr="00571064" w:rsidRDefault="00ED6C12" w:rsidP="00CC4907">
      <w:pPr>
        <w:spacing w:after="200" w:line="480" w:lineRule="auto"/>
        <w:ind w:left="2160" w:hanging="66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3.3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  <w:t xml:space="preserve">The 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court failed to consider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 recent judg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ment from the </w:t>
      </w:r>
      <w:r w:rsidR="00660AEB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C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onstitutional </w:t>
      </w:r>
      <w:r w:rsidR="00660AEB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Court in Mahlangu &amp; Another v. Minister of P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olice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2021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(2) SACR 595 (CC) which decision was handed down on 14 May 2021;</w:t>
      </w:r>
    </w:p>
    <w:p w:rsidR="00ED6C12" w:rsidRPr="00571064" w:rsidRDefault="00ED6C12" w:rsidP="00CC4907">
      <w:pPr>
        <w:spacing w:after="200" w:line="480" w:lineRule="auto"/>
        <w:ind w:left="216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3.4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The court erred in not 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>ass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essing the award using any 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>comparable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dec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>ision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as a guide which is 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>a well-established principle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>,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court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to </w:t>
      </w:r>
      <w:r w:rsidR="00660AEB" w:rsidRPr="00571064">
        <w:rPr>
          <w:rFonts w:ascii="Arial" w:eastAsia="MS Mincho" w:hAnsi="Arial" w:cs="Arial"/>
          <w:sz w:val="24"/>
          <w:szCs w:val="24"/>
          <w:lang w:val="en-GB" w:eastAsia="ja-JP"/>
        </w:rPr>
        <w:t>award a fair award since</w:t>
      </w:r>
      <w:r w:rsidR="00F4180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 Minister operates on public funds which should be accounted for at all reasonable times;</w:t>
      </w:r>
    </w:p>
    <w:p w:rsidR="00F41804" w:rsidRPr="00571064" w:rsidRDefault="00F41804" w:rsidP="00CC4907">
      <w:pPr>
        <w:spacing w:after="200" w:line="480" w:lineRule="auto"/>
        <w:ind w:left="2160" w:hanging="66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lastRenderedPageBreak/>
        <w:t>3.5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736602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The court erred when it did not consider relevant factors regard being had to the detention of Mr Sibeko. The applicant contends that the </w:t>
      </w:r>
      <w:r w:rsidR="00BC190B" w:rsidRPr="00571064">
        <w:rPr>
          <w:rFonts w:ascii="Arial" w:eastAsia="MS Mincho" w:hAnsi="Arial" w:cs="Arial"/>
          <w:sz w:val="24"/>
          <w:szCs w:val="24"/>
          <w:lang w:val="en-GB" w:eastAsia="ja-JP"/>
        </w:rPr>
        <w:t>respondent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was</w:t>
      </w:r>
      <w:r w:rsidR="00BC190B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coached right in front of court and that the judgment is silent of the respondent being coached;</w:t>
      </w:r>
    </w:p>
    <w:p w:rsidR="00BC190B" w:rsidRPr="00571064" w:rsidRDefault="00BC190B" w:rsidP="00CC4907">
      <w:pPr>
        <w:spacing w:after="200" w:line="480" w:lineRule="auto"/>
        <w:ind w:left="216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3.6 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The court erred when it considered that Mr Sibeko was psychologically affected when there was no evidence from any expert in this regard;</w:t>
      </w:r>
    </w:p>
    <w:p w:rsidR="00F334C8" w:rsidRPr="00571064" w:rsidRDefault="00BC190B" w:rsidP="00CC4907">
      <w:pPr>
        <w:spacing w:after="200" w:line="480" w:lineRule="auto"/>
        <w:ind w:left="2160" w:hanging="66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3.7 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The court erred when it did not objectively consider the evidence of Mr Sibeko to a single witness not collaborated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by any other</w:t>
      </w:r>
      <w:r w:rsidR="001D6A6D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witness or documentary evidence to support his case;</w:t>
      </w:r>
    </w:p>
    <w:p w:rsidR="00BC190B" w:rsidRPr="00571064" w:rsidRDefault="00BC190B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B255FD" w:rsidRPr="00571064" w:rsidRDefault="00B255FD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[4]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  <w:t>The issue to be determined is whether the applicant for leave to appeal has made out a case for the court to consider the application favourably.</w:t>
      </w:r>
    </w:p>
    <w:p w:rsidR="000A51A6" w:rsidRPr="00571064" w:rsidRDefault="001D6A6D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[5]     Leave to appeal 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>is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>evaluated in terms of section 17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(1)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of the 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uperior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C</w:t>
      </w:r>
      <w:r w:rsidR="000A51A6" w:rsidRPr="00571064">
        <w:rPr>
          <w:rFonts w:ascii="Arial" w:eastAsia="MS Mincho" w:hAnsi="Arial" w:cs="Arial"/>
          <w:sz w:val="24"/>
          <w:szCs w:val="24"/>
          <w:lang w:val="en-GB" w:eastAsia="ja-JP"/>
        </w:rPr>
        <w:t>ourts’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Act N</w:t>
      </w:r>
      <w:r w:rsidR="000A51A6" w:rsidRPr="00571064">
        <w:rPr>
          <w:rFonts w:ascii="Arial" w:eastAsia="MS Mincho" w:hAnsi="Arial" w:cs="Arial"/>
          <w:sz w:val="24"/>
          <w:szCs w:val="24"/>
          <w:lang w:val="en-GB" w:eastAsia="ja-JP"/>
        </w:rPr>
        <w:t>o10 of 2013</w:t>
      </w:r>
      <w:r w:rsidR="00F334C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which provides as follows:</w:t>
      </w:r>
    </w:p>
    <w:p w:rsidR="00F334C8" w:rsidRPr="00571064" w:rsidRDefault="000A51A6" w:rsidP="00CC4907">
      <w:pPr>
        <w:spacing w:after="200" w:line="480" w:lineRule="auto"/>
        <w:ind w:left="2160" w:hanging="720"/>
        <w:jc w:val="both"/>
        <w:rPr>
          <w:rFonts w:ascii="Arial" w:eastAsia="MS Mincho" w:hAnsi="Arial" w:cs="Arial"/>
          <w:i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“(1)</w:t>
      </w:r>
      <w:r w:rsidR="00F334C8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ab/>
        <w:t>Leave to appeal m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ay only be given where the judge or judges </w:t>
      </w:r>
      <w:r w:rsidR="00F334C8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concerned</w:t>
      </w:r>
      <w:r w:rsidR="008C425D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</w:t>
      </w:r>
      <w:r w:rsidR="004250A9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are of the </w:t>
      </w:r>
      <w:r w:rsidR="00F334C8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opinion that: -</w:t>
      </w:r>
    </w:p>
    <w:p w:rsidR="004250A9" w:rsidRPr="00571064" w:rsidRDefault="004250A9" w:rsidP="00CC4907">
      <w:pPr>
        <w:spacing w:after="200" w:line="480" w:lineRule="auto"/>
        <w:ind w:left="1440"/>
        <w:jc w:val="both"/>
        <w:rPr>
          <w:rFonts w:ascii="Arial" w:eastAsia="MS Mincho" w:hAnsi="Arial" w:cs="Arial"/>
          <w:i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(a)(i) </w:t>
      </w:r>
      <w:r w:rsidR="00F334C8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the appeal would have a reasonable prospect of success; or</w:t>
      </w:r>
    </w:p>
    <w:p w:rsidR="008C425D" w:rsidRPr="00571064" w:rsidRDefault="004250A9" w:rsidP="00CC4907">
      <w:pPr>
        <w:spacing w:after="200" w:line="480" w:lineRule="auto"/>
        <w:ind w:left="2160" w:hanging="450"/>
        <w:jc w:val="both"/>
        <w:rPr>
          <w:rFonts w:ascii="Arial" w:eastAsia="MS Mincho" w:hAnsi="Arial" w:cs="Arial"/>
          <w:i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(ii) </w:t>
      </w:r>
      <w:r w:rsidR="00F334C8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there is some other compelling reason why the appeal</w:t>
      </w:r>
      <w:r w:rsidR="008C425D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should be hea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rd, including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</w:t>
      </w:r>
      <w:r w:rsidR="008C425D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conflicting judgments on the matter under consideration;</w:t>
      </w:r>
    </w:p>
    <w:p w:rsidR="00B60F97" w:rsidRPr="00571064" w:rsidRDefault="008C425D" w:rsidP="00CC4907">
      <w:pPr>
        <w:spacing w:after="200" w:line="480" w:lineRule="auto"/>
        <w:ind w:left="2160" w:hanging="720"/>
        <w:jc w:val="both"/>
        <w:rPr>
          <w:rFonts w:ascii="Arial" w:eastAsia="MS Mincho" w:hAnsi="Arial" w:cs="Arial"/>
          <w:i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lastRenderedPageBreak/>
        <w:t xml:space="preserve">(b)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the decision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sough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t to appeal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does not fall within the amb</w:t>
      </w: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it of section 16(2)</w:t>
      </w:r>
      <w:r w:rsidR="00B60F97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(a); and (c) where the decision sought to be appealed does not dispose of all the issue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s in the cas</w:t>
      </w:r>
      <w:r w:rsidR="00B60F97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e, the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appeal would lead to a just and prompt</w:t>
      </w:r>
      <w:r w:rsidR="00B60F97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resolution of the real issues between the parties.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”</w:t>
      </w:r>
    </w:p>
    <w:p w:rsidR="00511D16" w:rsidRPr="00571064" w:rsidRDefault="00B60F97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[6]      Our courts have had the opportunity to 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>interpret</w:t>
      </w:r>
      <w:r w:rsidR="00511D16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 meaning of section 17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of the Act in so far as it relates to the t</w:t>
      </w:r>
      <w:r w:rsidR="00511D16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est to be applied when considering 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leave to appeal. In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MEC Health, Eastern Cape v Mkhita &amp; Another</w:t>
      </w:r>
      <w:r w:rsidR="0042710A" w:rsidRPr="00571064">
        <w:rPr>
          <w:rStyle w:val="FootnoteReference"/>
          <w:rFonts w:ascii="Arial" w:eastAsia="MS Mincho" w:hAnsi="Arial" w:cs="Arial"/>
          <w:sz w:val="24"/>
          <w:szCs w:val="24"/>
          <w:lang w:val="en-GB" w:eastAsia="ja-JP"/>
        </w:rPr>
        <w:footnoteReference w:id="1"/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 court held as follows:-</w:t>
      </w:r>
    </w:p>
    <w:p w:rsidR="00F82D05" w:rsidRPr="00571064" w:rsidRDefault="00511D16" w:rsidP="00CC4907">
      <w:pPr>
        <w:spacing w:after="200" w:line="480" w:lineRule="auto"/>
        <w:ind w:left="1440"/>
        <w:jc w:val="both"/>
        <w:rPr>
          <w:rFonts w:ascii="Arial" w:eastAsia="MS Mincho" w:hAnsi="Arial" w:cs="Arial"/>
          <w:i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“[17] An applicant for leave to appeal must convince the court on proper grounds that there is a reasonable prospect</w:t>
      </w:r>
      <w:r w:rsidR="00E56024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or realistic chanc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e o</w:t>
      </w:r>
      <w:r w:rsidR="00E56024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f success on appeal. A mere possibility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of success, an arguable cas</w:t>
      </w:r>
      <w:r w:rsidR="00F82D05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e or one that is not 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hopeless</w:t>
      </w:r>
      <w:r w:rsidR="00F82D05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, is not enough. There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 xml:space="preserve"> must be a sound, rational basis to conclude t</w:t>
      </w:r>
      <w:r w:rsidR="00F82D05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hat there is a reasonable prospect of success on appeal.</w:t>
      </w:r>
      <w:r w:rsidR="0042710A" w:rsidRPr="00571064">
        <w:rPr>
          <w:rFonts w:ascii="Arial" w:eastAsia="MS Mincho" w:hAnsi="Arial" w:cs="Arial"/>
          <w:i/>
          <w:sz w:val="24"/>
          <w:szCs w:val="24"/>
          <w:lang w:val="en-GB" w:eastAsia="ja-JP"/>
        </w:rPr>
        <w:t>”</w:t>
      </w:r>
    </w:p>
    <w:p w:rsidR="00E558BE" w:rsidRPr="00571064" w:rsidRDefault="00F82D05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[7]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In this case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>,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there has not been 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any challenge to the treatment </w:t>
      </w:r>
      <w:r w:rsidR="00CC7B51" w:rsidRPr="00571064">
        <w:rPr>
          <w:rFonts w:ascii="Arial" w:eastAsia="MS Mincho" w:hAnsi="Arial" w:cs="Arial"/>
          <w:sz w:val="24"/>
          <w:szCs w:val="24"/>
          <w:lang w:val="en-GB" w:eastAsia="ja-JP"/>
        </w:rPr>
        <w:t>meted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out by t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>he police to Mr Sibeko when he was chained to his hospital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>bed for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a period of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three weeks. It is irrelevant whether his hospitalisation had anything to do with</w:t>
      </w:r>
      <w:r w:rsidR="00CC7B51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the members of the </w:t>
      </w:r>
      <w:r w:rsidR="0042710A" w:rsidRPr="00571064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>outh African</w:t>
      </w:r>
      <w:r w:rsidR="00A618AF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Police S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ervices. </w:t>
      </w:r>
      <w:r w:rsidR="00CC7B51" w:rsidRPr="00571064">
        <w:rPr>
          <w:rFonts w:ascii="Arial" w:eastAsia="MS Mincho" w:hAnsi="Arial" w:cs="Arial"/>
          <w:sz w:val="24"/>
          <w:szCs w:val="24"/>
          <w:lang w:val="en-GB" w:eastAsia="ja-JP"/>
        </w:rPr>
        <w:t>The respondent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>’</w:t>
      </w:r>
      <w:r w:rsidR="00CC7B51" w:rsidRPr="00571064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="00E558BE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evidence on how his privacy was violated when he had to shower with his legs chain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ed </w:t>
      </w:r>
      <w:r w:rsidR="00BF01A7" w:rsidRPr="00571064">
        <w:rPr>
          <w:rFonts w:ascii="Arial" w:eastAsia="MS Mincho" w:hAnsi="Arial" w:cs="Arial"/>
          <w:sz w:val="24"/>
          <w:szCs w:val="24"/>
          <w:lang w:val="en-GB" w:eastAsia="ja-JP"/>
        </w:rPr>
        <w:t>was serious enoug</w:t>
      </w:r>
      <w:r w:rsidR="005742EC" w:rsidRPr="00571064">
        <w:rPr>
          <w:rFonts w:ascii="Arial" w:eastAsia="MS Mincho" w:hAnsi="Arial" w:cs="Arial"/>
          <w:sz w:val="24"/>
          <w:szCs w:val="24"/>
          <w:lang w:val="en-GB" w:eastAsia="ja-JP"/>
        </w:rPr>
        <w:t>h to warrant it being addressed</w:t>
      </w:r>
      <w:r w:rsidR="00BF01A7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however</w:t>
      </w:r>
      <w:r w:rsidR="00B255FD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it remained</w:t>
      </w:r>
      <w:r w:rsidR="005742EC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unchallenged by the applicant</w:t>
      </w:r>
    </w:p>
    <w:p w:rsidR="00983A70" w:rsidRPr="00571064" w:rsidRDefault="00983A70" w:rsidP="00CC4907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886BB4" w:rsidRPr="00571064" w:rsidRDefault="00265251" w:rsidP="00265251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lastRenderedPageBreak/>
        <w:t>[8]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ab/>
      </w:r>
      <w:r w:rsidR="00A618AF" w:rsidRPr="00571064">
        <w:rPr>
          <w:rFonts w:ascii="Arial" w:eastAsia="MS Mincho" w:hAnsi="Arial" w:cs="Arial"/>
          <w:sz w:val="24"/>
          <w:szCs w:val="24"/>
          <w:lang w:val="en-GB" w:eastAsia="ja-JP"/>
        </w:rPr>
        <w:t>In</w:t>
      </w:r>
      <w:r w:rsidR="00886BB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regards</w:t>
      </w:r>
      <w:r w:rsidR="00A618AF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to</w:t>
      </w:r>
      <w:r w:rsidR="00886BB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the discretion exercised to grant the award as the court did, I hold a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  </w:t>
      </w:r>
      <w:r w:rsidR="00886BB4" w:rsidRPr="00571064">
        <w:rPr>
          <w:rFonts w:ascii="Arial" w:eastAsia="MS Mincho" w:hAnsi="Arial" w:cs="Arial"/>
          <w:sz w:val="24"/>
          <w:szCs w:val="24"/>
          <w:lang w:val="en-GB" w:eastAsia="ja-JP"/>
        </w:rPr>
        <w:t>view that the discretion was judicially exercised.</w:t>
      </w:r>
      <w:r w:rsidR="00CC4907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571064" w:rsidRPr="00571064" w:rsidRDefault="00886BB4" w:rsidP="00CC4907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[9]      Consequently, I am of the view that the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grounds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raised in the 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application</w:t>
      </w:r>
      <w:r w:rsidR="0057106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do not</w:t>
      </w:r>
    </w:p>
    <w:p w:rsidR="00571064" w:rsidRPr="00571064" w:rsidRDefault="00571064" w:rsidP="00571064">
      <w:pPr>
        <w:spacing w:after="200" w:line="480" w:lineRule="auto"/>
        <w:ind w:firstLine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meet the requirements as prescribed in section 17 (1) and would not succeed in</w:t>
      </w:r>
    </w:p>
    <w:p w:rsidR="00571064" w:rsidRPr="00571064" w:rsidRDefault="00571064" w:rsidP="00571064">
      <w:pPr>
        <w:spacing w:after="200" w:line="480" w:lineRule="auto"/>
        <w:ind w:firstLine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appeal. Therefore, the application for leave to appeal must fail.</w:t>
      </w:r>
    </w:p>
    <w:p w:rsidR="00A618AF" w:rsidRPr="00571064" w:rsidRDefault="00886BB4" w:rsidP="00CC4907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886BB4" w:rsidRPr="00571064" w:rsidRDefault="00886BB4" w:rsidP="00CC4907">
      <w:pPr>
        <w:spacing w:after="200" w:line="480" w:lineRule="auto"/>
        <w:ind w:firstLine="720"/>
        <w:jc w:val="both"/>
        <w:rPr>
          <w:rFonts w:ascii="Arial" w:eastAsia="MS Mincho" w:hAnsi="Arial" w:cs="Arial"/>
          <w:b/>
          <w:sz w:val="24"/>
          <w:szCs w:val="24"/>
          <w:u w:val="single"/>
          <w:lang w:val="en-GB" w:eastAsia="ja-JP"/>
        </w:rPr>
      </w:pPr>
      <w:r w:rsidRPr="00571064">
        <w:rPr>
          <w:rFonts w:ascii="Arial" w:eastAsia="MS Mincho" w:hAnsi="Arial" w:cs="Arial"/>
          <w:b/>
          <w:sz w:val="24"/>
          <w:szCs w:val="24"/>
          <w:u w:val="single"/>
          <w:lang w:val="en-GB" w:eastAsia="ja-JP"/>
        </w:rPr>
        <w:t>ORDER</w:t>
      </w:r>
    </w:p>
    <w:p w:rsidR="00B719E8" w:rsidRPr="00571064" w:rsidRDefault="00886BB4" w:rsidP="00CC4907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[10]    </w:t>
      </w:r>
      <w:r w:rsidR="00A618AF" w:rsidRPr="00571064">
        <w:rPr>
          <w:rFonts w:ascii="Arial" w:eastAsia="MS Mincho" w:hAnsi="Arial" w:cs="Arial"/>
          <w:sz w:val="24"/>
          <w:szCs w:val="24"/>
          <w:lang w:val="en-GB" w:eastAsia="ja-JP"/>
        </w:rPr>
        <w:t>The following order is made:</w:t>
      </w:r>
      <w:r w:rsidR="00B719E8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886BB4" w:rsidRPr="00571064" w:rsidRDefault="00B719E8" w:rsidP="00CC4907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                 (a) Application for leave</w:t>
      </w:r>
      <w:r w:rsidR="00A618AF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to appeal is refused with cost</w:t>
      </w: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>s.</w:t>
      </w:r>
      <w:r w:rsidR="00886BB4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E56024" w:rsidRPr="00571064" w:rsidRDefault="00E558BE" w:rsidP="00CC4907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1D6A6D" w:rsidRPr="00571064" w:rsidRDefault="008C425D" w:rsidP="00CC4907">
      <w:pPr>
        <w:pStyle w:val="ListParagraph"/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 </w:t>
      </w:r>
      <w:r w:rsidR="004250A9"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</w:p>
    <w:p w:rsidR="00D1108E" w:rsidRPr="00571064" w:rsidRDefault="00D16A5A" w:rsidP="00571064">
      <w:pPr>
        <w:spacing w:after="200" w:line="48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571064">
        <w:rPr>
          <w:rFonts w:ascii="Arial" w:eastAsia="MS Mincho" w:hAnsi="Arial" w:cs="Arial"/>
          <w:sz w:val="24"/>
          <w:szCs w:val="24"/>
          <w:lang w:val="en-GB" w:eastAsia="ja-JP"/>
        </w:rPr>
        <w:t xml:space="preserve">              </w:t>
      </w:r>
    </w:p>
    <w:p w:rsidR="00D1108E" w:rsidRPr="00571064" w:rsidRDefault="00D1108E" w:rsidP="00D1108E">
      <w:pPr>
        <w:spacing w:after="200" w:line="360" w:lineRule="auto"/>
        <w:ind w:left="5040"/>
        <w:jc w:val="both"/>
        <w:rPr>
          <w:rFonts w:ascii="Verdana" w:eastAsia="MS Mincho" w:hAnsi="Verdana" w:cs="Times New Roman"/>
          <w:sz w:val="24"/>
          <w:szCs w:val="24"/>
        </w:rPr>
      </w:pPr>
      <w:r w:rsidRPr="00571064">
        <w:rPr>
          <w:rFonts w:ascii="Verdana" w:eastAsia="MS Mincho" w:hAnsi="Verdana" w:cs="Times New Roman"/>
          <w:sz w:val="24"/>
          <w:szCs w:val="24"/>
        </w:rPr>
        <w:t>__________________________</w:t>
      </w:r>
    </w:p>
    <w:p w:rsidR="00D1108E" w:rsidRPr="00571064" w:rsidRDefault="00D1108E" w:rsidP="00D1108E">
      <w:pPr>
        <w:spacing w:after="200" w:line="360" w:lineRule="auto"/>
        <w:ind w:left="5040"/>
        <w:jc w:val="both"/>
        <w:rPr>
          <w:rFonts w:ascii="Verdana" w:eastAsia="MS Mincho" w:hAnsi="Verdana" w:cs="Times New Roman"/>
          <w:sz w:val="20"/>
          <w:szCs w:val="20"/>
        </w:rPr>
      </w:pPr>
      <w:r w:rsidRPr="00571064">
        <w:rPr>
          <w:rFonts w:ascii="Verdana" w:eastAsia="MS Mincho" w:hAnsi="Verdana" w:cs="Times New Roman"/>
          <w:b/>
          <w:sz w:val="24"/>
          <w:szCs w:val="24"/>
        </w:rPr>
        <w:t xml:space="preserve">          </w:t>
      </w:r>
      <w:r w:rsidRPr="00571064">
        <w:rPr>
          <w:rFonts w:ascii="Verdana" w:eastAsia="MS Mincho" w:hAnsi="Verdana" w:cs="Times New Roman"/>
          <w:b/>
          <w:sz w:val="20"/>
          <w:szCs w:val="20"/>
        </w:rPr>
        <w:t xml:space="preserve">SENYATSI ML                                                                                         </w:t>
      </w:r>
    </w:p>
    <w:p w:rsidR="00D1108E" w:rsidRPr="00571064" w:rsidRDefault="00D1108E" w:rsidP="00D1108E">
      <w:pPr>
        <w:spacing w:after="200" w:line="240" w:lineRule="auto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571064">
        <w:rPr>
          <w:rFonts w:ascii="Verdana" w:eastAsia="MS Mincho" w:hAnsi="Verdana" w:cs="Times New Roman"/>
          <w:b/>
          <w:sz w:val="20"/>
          <w:szCs w:val="20"/>
        </w:rPr>
        <w:t xml:space="preserve">                                                          </w:t>
      </w:r>
      <w:r w:rsidRPr="00571064">
        <w:rPr>
          <w:rFonts w:ascii="Verdana" w:eastAsia="MS Mincho" w:hAnsi="Verdana" w:cs="Times New Roman"/>
          <w:b/>
          <w:i/>
          <w:sz w:val="20"/>
          <w:szCs w:val="20"/>
        </w:rPr>
        <w:t xml:space="preserve">          Judge of the High Court of South Africa</w:t>
      </w:r>
    </w:p>
    <w:p w:rsidR="00D1108E" w:rsidRPr="00571064" w:rsidRDefault="00D1108E" w:rsidP="00265251">
      <w:pPr>
        <w:spacing w:after="200" w:line="240" w:lineRule="auto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571064">
        <w:rPr>
          <w:rFonts w:ascii="Verdana" w:eastAsia="MS Mincho" w:hAnsi="Verdana" w:cs="Times New Roman"/>
          <w:b/>
          <w:i/>
          <w:sz w:val="20"/>
          <w:szCs w:val="20"/>
        </w:rPr>
        <w:t xml:space="preserve">                                                                     Gaut</w:t>
      </w:r>
      <w:r w:rsidR="00265251" w:rsidRPr="00571064">
        <w:rPr>
          <w:rFonts w:ascii="Verdana" w:eastAsia="MS Mincho" w:hAnsi="Verdana" w:cs="Times New Roman"/>
          <w:b/>
          <w:i/>
          <w:sz w:val="20"/>
          <w:szCs w:val="20"/>
        </w:rPr>
        <w:t>eng Local Division, Johannesburg</w:t>
      </w:r>
    </w:p>
    <w:p w:rsidR="003427E4" w:rsidRPr="00571064" w:rsidRDefault="003427E4" w:rsidP="00265251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571064" w:rsidRPr="00571064" w:rsidRDefault="00571064" w:rsidP="00265251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571064" w:rsidRPr="00571064" w:rsidRDefault="00571064" w:rsidP="00265251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D1108E" w:rsidRPr="00571064" w:rsidRDefault="00D1108E" w:rsidP="00265251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571064">
        <w:rPr>
          <w:rFonts w:ascii="Verdana" w:hAnsi="Verdana" w:cs="Times New Roman"/>
          <w:b/>
          <w:sz w:val="24"/>
          <w:szCs w:val="24"/>
          <w:u w:val="single"/>
        </w:rPr>
        <w:lastRenderedPageBreak/>
        <w:t>REPRESENTATION</w:t>
      </w:r>
    </w:p>
    <w:p w:rsidR="00D1108E" w:rsidRPr="00571064" w:rsidRDefault="00736602" w:rsidP="00265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>Judgment reserved</w:t>
      </w:r>
      <w:r w:rsidR="00D1108E" w:rsidRPr="00571064">
        <w:rPr>
          <w:rFonts w:ascii="Arial" w:hAnsi="Arial" w:cs="Arial"/>
          <w:sz w:val="24"/>
          <w:szCs w:val="24"/>
        </w:rPr>
        <w:t xml:space="preserve">: </w:t>
      </w:r>
      <w:r w:rsidRPr="00571064">
        <w:rPr>
          <w:rFonts w:ascii="Arial" w:hAnsi="Arial" w:cs="Arial"/>
          <w:sz w:val="24"/>
          <w:szCs w:val="24"/>
        </w:rPr>
        <w:t>22 August 2022</w:t>
      </w:r>
    </w:p>
    <w:p w:rsidR="00D1108E" w:rsidRPr="00571064" w:rsidRDefault="00D1108E" w:rsidP="00265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 xml:space="preserve">Date of Judgment: </w:t>
      </w:r>
      <w:r w:rsidR="00700DEA">
        <w:rPr>
          <w:rFonts w:ascii="Arial" w:hAnsi="Arial" w:cs="Arial"/>
          <w:sz w:val="24"/>
          <w:szCs w:val="24"/>
        </w:rPr>
        <w:t>7</w:t>
      </w:r>
      <w:r w:rsidR="00736602" w:rsidRPr="00571064">
        <w:rPr>
          <w:rFonts w:ascii="Arial" w:hAnsi="Arial" w:cs="Arial"/>
          <w:sz w:val="24"/>
          <w:szCs w:val="24"/>
        </w:rPr>
        <w:t xml:space="preserve"> November 2022</w:t>
      </w:r>
    </w:p>
    <w:p w:rsidR="00D1108E" w:rsidRPr="00571064" w:rsidRDefault="00736602" w:rsidP="00265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>Appellant’s</w:t>
      </w:r>
      <w:r w:rsidR="00D1108E" w:rsidRPr="00571064">
        <w:rPr>
          <w:rFonts w:ascii="Arial" w:hAnsi="Arial" w:cs="Arial"/>
          <w:sz w:val="24"/>
          <w:szCs w:val="24"/>
        </w:rPr>
        <w:t xml:space="preserve"> Counsel: </w:t>
      </w:r>
      <w:r w:rsidRPr="00571064">
        <w:rPr>
          <w:rFonts w:ascii="Arial" w:hAnsi="Arial" w:cs="Arial"/>
          <w:sz w:val="24"/>
          <w:szCs w:val="24"/>
        </w:rPr>
        <w:t>Adv.</w:t>
      </w:r>
      <w:r w:rsidR="00D1108E" w:rsidRPr="00571064">
        <w:rPr>
          <w:rFonts w:ascii="Arial" w:hAnsi="Arial" w:cs="Arial"/>
          <w:sz w:val="24"/>
          <w:szCs w:val="24"/>
        </w:rPr>
        <w:t xml:space="preserve"> N Nharmuravate</w:t>
      </w:r>
    </w:p>
    <w:p w:rsidR="00D1108E" w:rsidRPr="00571064" w:rsidRDefault="00D1108E" w:rsidP="00265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>Instructed by: The State Attorney</w:t>
      </w:r>
    </w:p>
    <w:p w:rsidR="00736602" w:rsidRPr="00571064" w:rsidRDefault="00736602" w:rsidP="00265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>Respondent’s Counsel: Adv. T Tshabalala</w:t>
      </w:r>
    </w:p>
    <w:p w:rsidR="00736602" w:rsidRPr="00571064" w:rsidRDefault="00736602" w:rsidP="00265251">
      <w:pPr>
        <w:tabs>
          <w:tab w:val="left" w:pos="27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064">
        <w:rPr>
          <w:rFonts w:ascii="Arial" w:hAnsi="Arial" w:cs="Arial"/>
          <w:sz w:val="24"/>
          <w:szCs w:val="24"/>
        </w:rPr>
        <w:t>Instructed by:  Houghton Harper Inc.</w:t>
      </w:r>
    </w:p>
    <w:p w:rsidR="00D1108E" w:rsidRPr="00571064" w:rsidRDefault="00D1108E" w:rsidP="00D1108E">
      <w:pPr>
        <w:spacing w:after="200" w:line="240" w:lineRule="auto"/>
        <w:rPr>
          <w:rFonts w:ascii="Verdana" w:eastAsia="MS Mincho" w:hAnsi="Verdana" w:cs="Times New Roman"/>
          <w:sz w:val="24"/>
          <w:szCs w:val="24"/>
          <w:lang w:val="en-GB" w:eastAsia="ja-JP"/>
        </w:rPr>
      </w:pPr>
    </w:p>
    <w:p w:rsidR="00D1108E" w:rsidRPr="00571064" w:rsidRDefault="00D1108E" w:rsidP="00D1108E"/>
    <w:p w:rsidR="00D23781" w:rsidRPr="00571064" w:rsidRDefault="002D08A3"/>
    <w:sectPr w:rsidR="00D23781" w:rsidRPr="005710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A3" w:rsidRDefault="002D08A3" w:rsidP="00D1108E">
      <w:pPr>
        <w:spacing w:after="0" w:line="240" w:lineRule="auto"/>
      </w:pPr>
      <w:r>
        <w:separator/>
      </w:r>
    </w:p>
  </w:endnote>
  <w:endnote w:type="continuationSeparator" w:id="0">
    <w:p w:rsidR="002D08A3" w:rsidRDefault="002D08A3" w:rsidP="00D1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A3" w:rsidRDefault="002D08A3" w:rsidP="00D1108E">
      <w:pPr>
        <w:spacing w:after="0" w:line="240" w:lineRule="auto"/>
      </w:pPr>
      <w:r>
        <w:separator/>
      </w:r>
    </w:p>
  </w:footnote>
  <w:footnote w:type="continuationSeparator" w:id="0">
    <w:p w:rsidR="002D08A3" w:rsidRDefault="002D08A3" w:rsidP="00D1108E">
      <w:pPr>
        <w:spacing w:after="0" w:line="240" w:lineRule="auto"/>
      </w:pPr>
      <w:r>
        <w:continuationSeparator/>
      </w:r>
    </w:p>
  </w:footnote>
  <w:footnote w:id="1">
    <w:p w:rsidR="0042710A" w:rsidRPr="0042710A" w:rsidRDefault="0042710A" w:rsidP="004271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710A">
        <w:rPr>
          <w:rFonts w:ascii="Arial" w:eastAsia="MS Mincho" w:hAnsi="Arial" w:cs="Arial"/>
          <w:color w:val="1B1919"/>
          <w:sz w:val="18"/>
          <w:szCs w:val="18"/>
          <w:lang w:val="en-GB" w:eastAsia="ja-JP"/>
        </w:rPr>
        <w:t>(1221/</w:t>
      </w:r>
      <w:r w:rsidR="003427E4" w:rsidRPr="0042710A">
        <w:rPr>
          <w:rFonts w:ascii="Arial" w:eastAsia="MS Mincho" w:hAnsi="Arial" w:cs="Arial"/>
          <w:color w:val="1B1919"/>
          <w:sz w:val="18"/>
          <w:szCs w:val="18"/>
          <w:lang w:val="en-GB" w:eastAsia="ja-JP"/>
        </w:rPr>
        <w:t>15) [2016] ZASCA</w:t>
      </w:r>
      <w:r w:rsidRPr="0042710A">
        <w:rPr>
          <w:rFonts w:ascii="Arial" w:eastAsia="MS Mincho" w:hAnsi="Arial" w:cs="Arial"/>
          <w:color w:val="1B1919"/>
          <w:sz w:val="18"/>
          <w:szCs w:val="18"/>
          <w:lang w:val="en-GB" w:eastAsia="ja-JP"/>
        </w:rPr>
        <w:t xml:space="preserve"> 176(25 November 2016</w:t>
      </w:r>
      <w:r>
        <w:rPr>
          <w:rFonts w:ascii="Arial" w:eastAsia="MS Mincho" w:hAnsi="Arial" w:cs="Arial"/>
          <w:color w:val="1B1919"/>
          <w:sz w:val="18"/>
          <w:szCs w:val="18"/>
          <w:lang w:val="en-GB" w:eastAsia="ja-JP"/>
        </w:rPr>
        <w:t>) at para 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431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064" w:rsidRDefault="005710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064" w:rsidRDefault="00571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788"/>
    <w:multiLevelType w:val="hybridMultilevel"/>
    <w:tmpl w:val="4184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429"/>
    <w:multiLevelType w:val="hybridMultilevel"/>
    <w:tmpl w:val="5DDAEADE"/>
    <w:lvl w:ilvl="0" w:tplc="D018AE9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0F488A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EAE66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6F2BD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BEEDE4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B43E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E8AC96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0DAFA8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ABCC22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E"/>
    <w:rsid w:val="000A51A6"/>
    <w:rsid w:val="001D6A6D"/>
    <w:rsid w:val="00265251"/>
    <w:rsid w:val="002D08A3"/>
    <w:rsid w:val="003427E4"/>
    <w:rsid w:val="004250A9"/>
    <w:rsid w:val="0042710A"/>
    <w:rsid w:val="00511D16"/>
    <w:rsid w:val="00571064"/>
    <w:rsid w:val="005742EC"/>
    <w:rsid w:val="005A5A97"/>
    <w:rsid w:val="006363CB"/>
    <w:rsid w:val="00660AEB"/>
    <w:rsid w:val="00700DEA"/>
    <w:rsid w:val="00736602"/>
    <w:rsid w:val="00886BB4"/>
    <w:rsid w:val="008C425D"/>
    <w:rsid w:val="00914231"/>
    <w:rsid w:val="00983A70"/>
    <w:rsid w:val="0099318F"/>
    <w:rsid w:val="00A618AF"/>
    <w:rsid w:val="00B255FD"/>
    <w:rsid w:val="00B60F97"/>
    <w:rsid w:val="00B719E8"/>
    <w:rsid w:val="00BB0CDE"/>
    <w:rsid w:val="00BC190B"/>
    <w:rsid w:val="00BF01A7"/>
    <w:rsid w:val="00CC4907"/>
    <w:rsid w:val="00CC7B51"/>
    <w:rsid w:val="00D1108E"/>
    <w:rsid w:val="00D16A5A"/>
    <w:rsid w:val="00E5373A"/>
    <w:rsid w:val="00E558BE"/>
    <w:rsid w:val="00E56024"/>
    <w:rsid w:val="00ED0CFA"/>
    <w:rsid w:val="00ED6C12"/>
    <w:rsid w:val="00F334C8"/>
    <w:rsid w:val="00F41804"/>
    <w:rsid w:val="00F80270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54984-78AF-493D-8775-F33BE325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8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1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08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110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64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7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6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7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6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80F2-F3FA-4FE4-9AE8-FF18013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Nomfundo Khulu</dc:creator>
  <cp:keywords/>
  <dc:description/>
  <cp:lastModifiedBy>Mokone</cp:lastModifiedBy>
  <cp:revision>2</cp:revision>
  <cp:lastPrinted>2022-11-07T12:36:00Z</cp:lastPrinted>
  <dcterms:created xsi:type="dcterms:W3CDTF">2022-11-23T10:37:00Z</dcterms:created>
  <dcterms:modified xsi:type="dcterms:W3CDTF">2022-11-23T10:37:00Z</dcterms:modified>
</cp:coreProperties>
</file>