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87E9A" w14:textId="65AFCDF4" w:rsidR="00AE39D3" w:rsidRPr="00C71BA3" w:rsidRDefault="00FC3AA5" w:rsidP="00BC3FB8">
      <w:pPr>
        <w:spacing w:line="360" w:lineRule="auto"/>
        <w:jc w:val="center"/>
        <w:rPr>
          <w:rFonts w:ascii="Arial" w:hAnsi="Arial" w:cs="Arial"/>
          <w:b/>
        </w:rPr>
      </w:pPr>
      <w:r w:rsidRPr="00C71BA3">
        <w:rPr>
          <w:rFonts w:ascii="Arial" w:hAnsi="Arial" w:cs="Arial"/>
          <w:b/>
          <w:noProof/>
          <w:lang w:val="en-ZA" w:eastAsia="en-ZA"/>
        </w:rPr>
        <w:drawing>
          <wp:inline distT="0" distB="0" distL="0" distR="0" wp14:anchorId="1ED67441" wp14:editId="3639E26A">
            <wp:extent cx="1360170" cy="1360170"/>
            <wp:effectExtent l="0" t="0" r="0" b="0"/>
            <wp:docPr id="1" name="Picture 2"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170" cy="1360170"/>
                    </a:xfrm>
                    <a:prstGeom prst="rect">
                      <a:avLst/>
                    </a:prstGeom>
                    <a:noFill/>
                    <a:ln>
                      <a:noFill/>
                    </a:ln>
                  </pic:spPr>
                </pic:pic>
              </a:graphicData>
            </a:graphic>
          </wp:inline>
        </w:drawing>
      </w:r>
    </w:p>
    <w:p w14:paraId="0EDDAFD1" w14:textId="77777777" w:rsidR="00BC3FB8" w:rsidRPr="00C71BA3" w:rsidRDefault="00BC3FB8" w:rsidP="00BC3FB8">
      <w:pPr>
        <w:spacing w:line="360" w:lineRule="auto"/>
        <w:jc w:val="center"/>
        <w:rPr>
          <w:rFonts w:ascii="Arial" w:hAnsi="Arial" w:cs="Arial"/>
          <w:b/>
        </w:rPr>
      </w:pPr>
    </w:p>
    <w:p w14:paraId="69AE9E8B" w14:textId="77777777" w:rsidR="00CE65A7" w:rsidRPr="00C71BA3" w:rsidRDefault="00812EBA" w:rsidP="00BC3FB8">
      <w:pPr>
        <w:spacing w:line="360" w:lineRule="auto"/>
        <w:jc w:val="center"/>
        <w:rPr>
          <w:rFonts w:ascii="Arial" w:hAnsi="Arial" w:cs="Arial"/>
          <w:b/>
        </w:rPr>
      </w:pPr>
      <w:r w:rsidRPr="00C71BA3">
        <w:rPr>
          <w:rFonts w:ascii="Arial" w:hAnsi="Arial" w:cs="Arial"/>
          <w:b/>
        </w:rPr>
        <w:t xml:space="preserve"> IN </w:t>
      </w:r>
      <w:r w:rsidR="00ED3298" w:rsidRPr="00C71BA3">
        <w:rPr>
          <w:rFonts w:ascii="Arial" w:hAnsi="Arial" w:cs="Arial"/>
          <w:b/>
        </w:rPr>
        <w:t xml:space="preserve">THE </w:t>
      </w:r>
      <w:r w:rsidRPr="00C71BA3">
        <w:rPr>
          <w:rFonts w:ascii="Arial" w:hAnsi="Arial" w:cs="Arial"/>
          <w:b/>
        </w:rPr>
        <w:t>HIGH COURT</w:t>
      </w:r>
      <w:r w:rsidR="00ED3298" w:rsidRPr="00C71BA3">
        <w:rPr>
          <w:rFonts w:ascii="Arial" w:hAnsi="Arial" w:cs="Arial"/>
          <w:b/>
        </w:rPr>
        <w:t xml:space="preserve"> OF SOUTH AFRICA</w:t>
      </w:r>
    </w:p>
    <w:p w14:paraId="6B052E7C" w14:textId="77777777" w:rsidR="003A6BF8" w:rsidRPr="00C71BA3" w:rsidRDefault="00812EBA" w:rsidP="00BC3FB8">
      <w:pPr>
        <w:spacing w:line="360" w:lineRule="auto"/>
        <w:jc w:val="center"/>
        <w:rPr>
          <w:rFonts w:ascii="Arial" w:hAnsi="Arial" w:cs="Arial"/>
          <w:b/>
        </w:rPr>
      </w:pPr>
      <w:r w:rsidRPr="00C71BA3">
        <w:rPr>
          <w:rFonts w:ascii="Arial" w:hAnsi="Arial" w:cs="Arial"/>
          <w:b/>
        </w:rPr>
        <w:t>GAUTENG</w:t>
      </w:r>
      <w:r w:rsidR="004726AF" w:rsidRPr="00C71BA3">
        <w:rPr>
          <w:rFonts w:ascii="Arial" w:hAnsi="Arial" w:cs="Arial"/>
          <w:b/>
        </w:rPr>
        <w:t xml:space="preserve"> </w:t>
      </w:r>
      <w:r w:rsidRPr="00C71BA3">
        <w:rPr>
          <w:rFonts w:ascii="Arial" w:hAnsi="Arial" w:cs="Arial"/>
          <w:b/>
        </w:rPr>
        <w:t>DIVISION</w:t>
      </w:r>
      <w:r w:rsidR="00051DC7" w:rsidRPr="00C71BA3">
        <w:rPr>
          <w:rFonts w:ascii="Arial" w:hAnsi="Arial" w:cs="Arial"/>
          <w:b/>
        </w:rPr>
        <w:t>,</w:t>
      </w:r>
      <w:r w:rsidRPr="00C71BA3">
        <w:rPr>
          <w:rFonts w:ascii="Arial" w:hAnsi="Arial" w:cs="Arial"/>
          <w:b/>
        </w:rPr>
        <w:t xml:space="preserve"> </w:t>
      </w:r>
      <w:r w:rsidR="004726AF" w:rsidRPr="00C71BA3">
        <w:rPr>
          <w:rFonts w:ascii="Arial" w:hAnsi="Arial" w:cs="Arial"/>
          <w:b/>
        </w:rPr>
        <w:t>JOHANNESBURG</w:t>
      </w:r>
    </w:p>
    <w:p w14:paraId="40D52BC8" w14:textId="77777777" w:rsidR="00BC3FB8" w:rsidRPr="00C71BA3" w:rsidRDefault="00BC3FB8" w:rsidP="00BC3FB8">
      <w:pPr>
        <w:spacing w:line="360" w:lineRule="auto"/>
        <w:jc w:val="right"/>
        <w:rPr>
          <w:rFonts w:ascii="Arial" w:hAnsi="Arial" w:cs="Arial"/>
          <w:b/>
          <w:i/>
        </w:rPr>
      </w:pPr>
    </w:p>
    <w:tbl>
      <w:tblPr>
        <w:tblW w:w="9039" w:type="dxa"/>
        <w:tblLook w:val="04A0" w:firstRow="1" w:lastRow="0" w:firstColumn="1" w:lastColumn="0" w:noHBand="0" w:noVBand="1"/>
      </w:tblPr>
      <w:tblGrid>
        <w:gridCol w:w="108"/>
        <w:gridCol w:w="5763"/>
        <w:gridCol w:w="441"/>
        <w:gridCol w:w="2606"/>
        <w:gridCol w:w="121"/>
      </w:tblGrid>
      <w:tr w:rsidR="00BC3FB8" w:rsidRPr="00C71BA3" w14:paraId="6793C182" w14:textId="77777777" w:rsidTr="00D22CE1">
        <w:tc>
          <w:tcPr>
            <w:tcW w:w="5871" w:type="dxa"/>
            <w:gridSpan w:val="2"/>
            <w:shd w:val="clear" w:color="auto" w:fill="auto"/>
          </w:tcPr>
          <w:p w14:paraId="4CFD5E50" w14:textId="3F4F7BE1" w:rsidR="00BC3FB8" w:rsidRPr="00C71BA3" w:rsidRDefault="00FC3AA5" w:rsidP="000F670B">
            <w:pPr>
              <w:spacing w:line="360" w:lineRule="auto"/>
              <w:jc w:val="both"/>
              <w:rPr>
                <w:rFonts w:ascii="Arial" w:hAnsi="Arial" w:cs="Arial"/>
                <w:b/>
              </w:rPr>
            </w:pPr>
            <w:r>
              <w:rPr>
                <w:noProof/>
                <w:lang w:val="en-ZA" w:eastAsia="en-ZA"/>
              </w:rPr>
              <mc:AlternateContent>
                <mc:Choice Requires="wps">
                  <w:drawing>
                    <wp:anchor distT="45720" distB="45720" distL="114300" distR="114300" simplePos="0" relativeHeight="251658240" behindDoc="0" locked="0" layoutInCell="1" allowOverlap="1" wp14:anchorId="2436B53C" wp14:editId="4D61E308">
                      <wp:simplePos x="0" y="0"/>
                      <wp:positionH relativeFrom="column">
                        <wp:posOffset>75565</wp:posOffset>
                      </wp:positionH>
                      <wp:positionV relativeFrom="paragraph">
                        <wp:posOffset>426085</wp:posOffset>
                      </wp:positionV>
                      <wp:extent cx="3574415" cy="1221105"/>
                      <wp:effectExtent l="0" t="0" r="6985"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415" cy="1221105"/>
                              </a:xfrm>
                              <a:prstGeom prst="rect">
                                <a:avLst/>
                              </a:prstGeom>
                              <a:solidFill>
                                <a:srgbClr val="FFFFFF"/>
                              </a:solidFill>
                              <a:ln w="9525">
                                <a:solidFill>
                                  <a:srgbClr val="000000"/>
                                </a:solidFill>
                                <a:miter lim="800000"/>
                                <a:headEnd/>
                                <a:tailEnd/>
                              </a:ln>
                            </wps:spPr>
                            <wps:txbx>
                              <w:txbxContent>
                                <w:p w14:paraId="7700D44E" w14:textId="2BB8237D"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(1) REPORTABLE: </w:t>
                                  </w:r>
                                  <w:r w:rsidR="0032304F">
                                    <w:rPr>
                                      <w:rFonts w:ascii="Arial" w:hAnsi="Arial" w:cs="Arial"/>
                                      <w:sz w:val="20"/>
                                      <w:szCs w:val="20"/>
                                    </w:rPr>
                                    <w:t>NO</w:t>
                                  </w:r>
                                </w:p>
                                <w:p w14:paraId="75DDB0CA" w14:textId="31F0AB31"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(2) OF INTEREST TO OTHER JUDGES: </w:t>
                                  </w:r>
                                  <w:r w:rsidR="0032304F">
                                    <w:rPr>
                                      <w:rFonts w:ascii="Arial" w:hAnsi="Arial" w:cs="Arial"/>
                                      <w:sz w:val="20"/>
                                      <w:szCs w:val="20"/>
                                    </w:rPr>
                                    <w:t>NO</w:t>
                                  </w:r>
                                </w:p>
                                <w:p w14:paraId="54D42A58" w14:textId="132EFBDC"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(3) REVISED: </w:t>
                                  </w:r>
                                  <w:r w:rsidR="0032304F">
                                    <w:rPr>
                                      <w:rFonts w:ascii="Arial" w:hAnsi="Arial" w:cs="Arial"/>
                                      <w:sz w:val="20"/>
                                      <w:szCs w:val="20"/>
                                    </w:rPr>
                                    <w:t>NO</w:t>
                                  </w:r>
                                </w:p>
                                <w:p w14:paraId="6A6960A3" w14:textId="77777777" w:rsidR="00BB2C54" w:rsidRDefault="00BB2C54" w:rsidP="00BB2C54">
                                  <w:pPr>
                                    <w:rPr>
                                      <w:rFonts w:ascii="Arial" w:hAnsi="Arial" w:cs="Arial"/>
                                      <w:sz w:val="20"/>
                                      <w:szCs w:val="20"/>
                                    </w:rPr>
                                  </w:pPr>
                                </w:p>
                                <w:p w14:paraId="67AD31EB" w14:textId="77777777" w:rsidR="00BB2C54" w:rsidRDefault="00BB2C54" w:rsidP="00BB2C54">
                                  <w:pPr>
                                    <w:rPr>
                                      <w:rFonts w:ascii="Arial" w:hAnsi="Arial" w:cs="Arial"/>
                                      <w:sz w:val="20"/>
                                      <w:szCs w:val="20"/>
                                    </w:rPr>
                                  </w:pPr>
                                </w:p>
                                <w:p w14:paraId="7A60E301" w14:textId="77777777" w:rsidR="00BB2C54" w:rsidRPr="00376474" w:rsidRDefault="00BB2C54" w:rsidP="00BB2C54">
                                  <w:pPr>
                                    <w:rPr>
                                      <w:rFonts w:ascii="Arial" w:hAnsi="Arial" w:cs="Arial"/>
                                      <w:sz w:val="20"/>
                                      <w:szCs w:val="20"/>
                                    </w:rPr>
                                  </w:pPr>
                                </w:p>
                                <w:p w14:paraId="71F18702" w14:textId="10DB4270" w:rsidR="00BB2C54" w:rsidRPr="00376474" w:rsidRDefault="00BB2C54" w:rsidP="00BB2C54">
                                  <w:pPr>
                                    <w:rPr>
                                      <w:rFonts w:ascii="Arial" w:hAnsi="Arial" w:cs="Arial"/>
                                      <w:sz w:val="20"/>
                                      <w:szCs w:val="20"/>
                                    </w:rPr>
                                  </w:pPr>
                                  <w:r w:rsidRPr="00376474">
                                    <w:rPr>
                                      <w:rFonts w:ascii="Arial" w:hAnsi="Arial" w:cs="Arial"/>
                                      <w:sz w:val="20"/>
                                      <w:szCs w:val="20"/>
                                    </w:rPr>
                                    <w:tab/>
                                    <w:t xml:space="preserve">    </w:t>
                                  </w:r>
                                  <w:r w:rsidRPr="00376474">
                                    <w:rPr>
                                      <w:rFonts w:ascii="Arial" w:hAnsi="Arial" w:cs="Arial"/>
                                      <w:sz w:val="20"/>
                                      <w:szCs w:val="20"/>
                                    </w:rPr>
                                    <w:tab/>
                                    <w:t xml:space="preserve">   </w:t>
                                  </w:r>
                                  <w:r>
                                    <w:rPr>
                                      <w:rFonts w:ascii="Arial" w:hAnsi="Arial" w:cs="Arial"/>
                                      <w:sz w:val="20"/>
                                      <w:szCs w:val="20"/>
                                    </w:rPr>
                                    <w:t xml:space="preserve">            </w:t>
                                  </w:r>
                                  <w:r w:rsidR="00FF0EE0">
                                    <w:rPr>
                                      <w:rFonts w:ascii="Arial" w:hAnsi="Arial" w:cs="Arial"/>
                                      <w:sz w:val="20"/>
                                      <w:szCs w:val="20"/>
                                    </w:rPr>
                                    <w:t xml:space="preserve">     </w:t>
                                  </w:r>
                                  <w:r w:rsidRPr="00376474">
                                    <w:rPr>
                                      <w:rFonts w:ascii="Arial" w:hAnsi="Arial" w:cs="Arial"/>
                                      <w:sz w:val="20"/>
                                      <w:szCs w:val="20"/>
                                    </w:rPr>
                                    <w:t>DATE:</w:t>
                                  </w:r>
                                  <w:r w:rsidR="0027544B">
                                    <w:rPr>
                                      <w:rFonts w:ascii="Arial" w:hAnsi="Arial" w:cs="Arial"/>
                                      <w:sz w:val="20"/>
                                      <w:szCs w:val="20"/>
                                    </w:rPr>
                                    <w:t xml:space="preserve">  </w:t>
                                  </w:r>
                                  <w:r w:rsidR="00064411">
                                    <w:rPr>
                                      <w:rFonts w:ascii="Arial" w:hAnsi="Arial" w:cs="Arial"/>
                                      <w:sz w:val="20"/>
                                      <w:szCs w:val="20"/>
                                    </w:rPr>
                                    <w:t xml:space="preserve">21 </w:t>
                                  </w:r>
                                  <w:r w:rsidR="0027544B">
                                    <w:rPr>
                                      <w:rFonts w:ascii="Arial" w:hAnsi="Arial" w:cs="Arial"/>
                                      <w:sz w:val="20"/>
                                      <w:szCs w:val="20"/>
                                    </w:rPr>
                                    <w:t>NOVEMBER</w:t>
                                  </w:r>
                                  <w:r>
                                    <w:rPr>
                                      <w:rFonts w:ascii="Arial" w:hAnsi="Arial" w:cs="Arial"/>
                                      <w:sz w:val="20"/>
                                      <w:szCs w:val="20"/>
                                    </w:rPr>
                                    <w:t xml:space="preserve"> 202</w:t>
                                  </w:r>
                                  <w:r w:rsidR="0032304F">
                                    <w:rPr>
                                      <w:rFonts w:ascii="Arial" w:hAnsi="Arial" w:cs="Arial"/>
                                      <w:sz w:val="20"/>
                                      <w:szCs w:val="2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36B53C" id="_x0000_t202" coordsize="21600,21600" o:spt="202" path="m,l,21600r21600,l21600,xe">
                      <v:stroke joinstyle="miter"/>
                      <v:path gradientshapeok="t" o:connecttype="rect"/>
                    </v:shapetype>
                    <v:shape id="Text Box 7" o:spid="_x0000_s1026" type="#_x0000_t202" style="position:absolute;left:0;text-align:left;margin-left:5.95pt;margin-top:33.55pt;width:281.45pt;height:96.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">
                      <v:textbox>
                        <w:txbxContent>
                          <w:p w14:paraId="7700D44E" w14:textId="2BB8237D"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(1) REPORTABLE: </w:t>
                            </w:r>
                            <w:r w:rsidR="0032304F">
                              <w:rPr>
                                <w:rFonts w:ascii="Arial" w:hAnsi="Arial" w:cs="Arial"/>
                                <w:sz w:val="20"/>
                                <w:szCs w:val="20"/>
                              </w:rPr>
                              <w:t>NO</w:t>
                            </w:r>
                          </w:p>
                          <w:p w14:paraId="75DDB0CA" w14:textId="31F0AB31"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(2) OF INTEREST TO OTHER JUDGES: </w:t>
                            </w:r>
                            <w:r w:rsidR="0032304F">
                              <w:rPr>
                                <w:rFonts w:ascii="Arial" w:hAnsi="Arial" w:cs="Arial"/>
                                <w:sz w:val="20"/>
                                <w:szCs w:val="20"/>
                              </w:rPr>
                              <w:t>NO</w:t>
                            </w:r>
                          </w:p>
                          <w:p w14:paraId="54D42A58" w14:textId="132EFBDC"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(3) REVISED: </w:t>
                            </w:r>
                            <w:r w:rsidR="0032304F">
                              <w:rPr>
                                <w:rFonts w:ascii="Arial" w:hAnsi="Arial" w:cs="Arial"/>
                                <w:sz w:val="20"/>
                                <w:szCs w:val="20"/>
                              </w:rPr>
                              <w:t>NO</w:t>
                            </w:r>
                          </w:p>
                          <w:p w14:paraId="6A6960A3" w14:textId="77777777" w:rsidR="00BB2C54" w:rsidRDefault="00BB2C54" w:rsidP="00BB2C54">
                            <w:pPr>
                              <w:rPr>
                                <w:rFonts w:ascii="Arial" w:hAnsi="Arial" w:cs="Arial"/>
                                <w:sz w:val="20"/>
                                <w:szCs w:val="20"/>
                              </w:rPr>
                            </w:pPr>
                          </w:p>
                          <w:p w14:paraId="67AD31EB" w14:textId="77777777" w:rsidR="00BB2C54" w:rsidRDefault="00BB2C54" w:rsidP="00BB2C54">
                            <w:pPr>
                              <w:rPr>
                                <w:rFonts w:ascii="Arial" w:hAnsi="Arial" w:cs="Arial"/>
                                <w:sz w:val="20"/>
                                <w:szCs w:val="20"/>
                              </w:rPr>
                            </w:pPr>
                          </w:p>
                          <w:p w14:paraId="7A60E301" w14:textId="77777777" w:rsidR="00BB2C54" w:rsidRPr="00376474" w:rsidRDefault="00BB2C54" w:rsidP="00BB2C54">
                            <w:pPr>
                              <w:rPr>
                                <w:rFonts w:ascii="Arial" w:hAnsi="Arial" w:cs="Arial"/>
                                <w:sz w:val="20"/>
                                <w:szCs w:val="20"/>
                              </w:rPr>
                            </w:pPr>
                          </w:p>
                          <w:p w14:paraId="71F18702" w14:textId="10DB4270" w:rsidR="00BB2C54" w:rsidRPr="00376474" w:rsidRDefault="00BB2C54" w:rsidP="00BB2C54">
                            <w:pPr>
                              <w:rPr>
                                <w:rFonts w:ascii="Arial" w:hAnsi="Arial" w:cs="Arial"/>
                                <w:sz w:val="20"/>
                                <w:szCs w:val="20"/>
                              </w:rPr>
                            </w:pPr>
                            <w:r w:rsidRPr="00376474">
                              <w:rPr>
                                <w:rFonts w:ascii="Arial" w:hAnsi="Arial" w:cs="Arial"/>
                                <w:sz w:val="20"/>
                                <w:szCs w:val="20"/>
                              </w:rPr>
                              <w:tab/>
                              <w:t xml:space="preserve">    </w:t>
                            </w:r>
                            <w:r w:rsidRPr="00376474">
                              <w:rPr>
                                <w:rFonts w:ascii="Arial" w:hAnsi="Arial" w:cs="Arial"/>
                                <w:sz w:val="20"/>
                                <w:szCs w:val="20"/>
                              </w:rPr>
                              <w:tab/>
                              <w:t xml:space="preserve">   </w:t>
                            </w:r>
                            <w:r>
                              <w:rPr>
                                <w:rFonts w:ascii="Arial" w:hAnsi="Arial" w:cs="Arial"/>
                                <w:sz w:val="20"/>
                                <w:szCs w:val="20"/>
                              </w:rPr>
                              <w:t xml:space="preserve">            </w:t>
                            </w:r>
                            <w:r w:rsidR="00FF0EE0">
                              <w:rPr>
                                <w:rFonts w:ascii="Arial" w:hAnsi="Arial" w:cs="Arial"/>
                                <w:sz w:val="20"/>
                                <w:szCs w:val="20"/>
                              </w:rPr>
                              <w:t xml:space="preserve">     </w:t>
                            </w:r>
                            <w:r w:rsidRPr="00376474">
                              <w:rPr>
                                <w:rFonts w:ascii="Arial" w:hAnsi="Arial" w:cs="Arial"/>
                                <w:sz w:val="20"/>
                                <w:szCs w:val="20"/>
                              </w:rPr>
                              <w:t>DATE:</w:t>
                            </w:r>
                            <w:r w:rsidR="0027544B">
                              <w:rPr>
                                <w:rFonts w:ascii="Arial" w:hAnsi="Arial" w:cs="Arial"/>
                                <w:sz w:val="20"/>
                                <w:szCs w:val="20"/>
                              </w:rPr>
                              <w:t xml:space="preserve">  </w:t>
                            </w:r>
                            <w:r w:rsidR="00064411">
                              <w:rPr>
                                <w:rFonts w:ascii="Arial" w:hAnsi="Arial" w:cs="Arial"/>
                                <w:sz w:val="20"/>
                                <w:szCs w:val="20"/>
                              </w:rPr>
                              <w:t xml:space="preserve">21 </w:t>
                            </w:r>
                            <w:r w:rsidR="0027544B">
                              <w:rPr>
                                <w:rFonts w:ascii="Arial" w:hAnsi="Arial" w:cs="Arial"/>
                                <w:sz w:val="20"/>
                                <w:szCs w:val="20"/>
                              </w:rPr>
                              <w:t>NOVEMBER</w:t>
                            </w:r>
                            <w:r>
                              <w:rPr>
                                <w:rFonts w:ascii="Arial" w:hAnsi="Arial" w:cs="Arial"/>
                                <w:sz w:val="20"/>
                                <w:szCs w:val="20"/>
                              </w:rPr>
                              <w:t xml:space="preserve"> 202</w:t>
                            </w:r>
                            <w:r w:rsidR="0032304F">
                              <w:rPr>
                                <w:rFonts w:ascii="Arial" w:hAnsi="Arial" w:cs="Arial"/>
                                <w:sz w:val="20"/>
                                <w:szCs w:val="20"/>
                              </w:rPr>
                              <w:t>2</w:t>
                            </w:r>
                          </w:p>
                        </w:txbxContent>
                      </v:textbox>
                      <w10:wrap type="square"/>
                    </v:shape>
                  </w:pict>
                </mc:Fallback>
              </mc:AlternateContent>
            </w:r>
          </w:p>
          <w:p w14:paraId="2F1807EB" w14:textId="77777777" w:rsidR="00BB2C54" w:rsidRPr="00C71BA3" w:rsidRDefault="00BB2C54" w:rsidP="00BB2C54">
            <w:pPr>
              <w:spacing w:line="360" w:lineRule="auto"/>
              <w:jc w:val="both"/>
              <w:rPr>
                <w:rFonts w:ascii="Arial" w:hAnsi="Arial" w:cs="Arial"/>
                <w:b/>
              </w:rPr>
            </w:pPr>
          </w:p>
        </w:tc>
        <w:tc>
          <w:tcPr>
            <w:tcW w:w="3168" w:type="dxa"/>
            <w:gridSpan w:val="3"/>
            <w:shd w:val="clear" w:color="auto" w:fill="auto"/>
          </w:tcPr>
          <w:p w14:paraId="47F48894" w14:textId="7B6ECB38" w:rsidR="00FF0EE0" w:rsidRPr="00C71BA3" w:rsidRDefault="00812EBA" w:rsidP="00FF0EE0">
            <w:pPr>
              <w:pStyle w:val="Title"/>
              <w:spacing w:after="240" w:line="360" w:lineRule="auto"/>
              <w:jc w:val="right"/>
              <w:rPr>
                <w:rFonts w:cs="Arial"/>
                <w:b/>
                <w:sz w:val="24"/>
                <w:szCs w:val="24"/>
              </w:rPr>
            </w:pPr>
            <w:r w:rsidRPr="00C71BA3">
              <w:rPr>
                <w:rFonts w:cs="Arial"/>
                <w:sz w:val="24"/>
                <w:szCs w:val="24"/>
              </w:rPr>
              <w:t xml:space="preserve">    </w:t>
            </w:r>
            <w:r w:rsidR="00FF0EE0" w:rsidRPr="00C71BA3">
              <w:rPr>
                <w:rFonts w:cs="Arial"/>
                <w:b/>
                <w:sz w:val="24"/>
                <w:szCs w:val="24"/>
              </w:rPr>
              <w:t xml:space="preserve">CASE NO: </w:t>
            </w:r>
            <w:r w:rsidR="002C74C2">
              <w:rPr>
                <w:rFonts w:cs="Arial"/>
                <w:b/>
                <w:sz w:val="24"/>
                <w:szCs w:val="24"/>
              </w:rPr>
              <w:t>20</w:t>
            </w:r>
            <w:r w:rsidR="00632188">
              <w:rPr>
                <w:rFonts w:cs="Arial"/>
                <w:b/>
                <w:sz w:val="24"/>
                <w:szCs w:val="24"/>
              </w:rPr>
              <w:t>21</w:t>
            </w:r>
            <w:r w:rsidR="002C74C2">
              <w:rPr>
                <w:rFonts w:cs="Arial"/>
                <w:b/>
                <w:sz w:val="24"/>
                <w:szCs w:val="24"/>
              </w:rPr>
              <w:t>/</w:t>
            </w:r>
            <w:r w:rsidR="00632188">
              <w:rPr>
                <w:rFonts w:cs="Arial"/>
                <w:b/>
                <w:sz w:val="24"/>
                <w:szCs w:val="24"/>
              </w:rPr>
              <w:t>1135</w:t>
            </w:r>
            <w:r w:rsidR="00FF0EE0" w:rsidRPr="00C71BA3">
              <w:rPr>
                <w:rFonts w:cs="Arial"/>
                <w:b/>
                <w:sz w:val="24"/>
                <w:szCs w:val="24"/>
              </w:rPr>
              <w:fldChar w:fldCharType="begin"/>
            </w:r>
            <w:r w:rsidR="00FF0EE0" w:rsidRPr="00C71BA3">
              <w:rPr>
                <w:rFonts w:cs="Arial"/>
                <w:b/>
                <w:sz w:val="24"/>
                <w:szCs w:val="24"/>
              </w:rPr>
              <w:instrText xml:space="preserve">  </w:instrText>
            </w:r>
            <w:r w:rsidR="00FF0EE0" w:rsidRPr="00C71BA3">
              <w:rPr>
                <w:rFonts w:cs="Arial"/>
                <w:b/>
                <w:sz w:val="24"/>
                <w:szCs w:val="24"/>
              </w:rPr>
              <w:fldChar w:fldCharType="end"/>
            </w:r>
          </w:p>
          <w:p w14:paraId="0B28772D" w14:textId="77777777" w:rsidR="00BC3FB8" w:rsidRPr="00C71BA3" w:rsidRDefault="00BC3FB8" w:rsidP="00812EBA">
            <w:pPr>
              <w:spacing w:line="360" w:lineRule="auto"/>
              <w:rPr>
                <w:rFonts w:ascii="Arial" w:hAnsi="Arial" w:cs="Arial"/>
              </w:rPr>
            </w:pPr>
          </w:p>
          <w:p w14:paraId="2A70B1EC" w14:textId="77777777" w:rsidR="00BB2C54" w:rsidRPr="00C71BA3" w:rsidRDefault="00BB2C54" w:rsidP="00812EBA">
            <w:pPr>
              <w:spacing w:line="360" w:lineRule="auto"/>
              <w:rPr>
                <w:rFonts w:ascii="Arial" w:hAnsi="Arial" w:cs="Arial"/>
              </w:rPr>
            </w:pPr>
          </w:p>
          <w:p w14:paraId="40666388" w14:textId="77777777" w:rsidR="00BB2C54" w:rsidRPr="00C71BA3" w:rsidRDefault="00BB2C54" w:rsidP="00812EBA">
            <w:pPr>
              <w:spacing w:line="360" w:lineRule="auto"/>
              <w:rPr>
                <w:rFonts w:ascii="Arial" w:hAnsi="Arial" w:cs="Arial"/>
              </w:rPr>
            </w:pPr>
          </w:p>
          <w:p w14:paraId="3305261C" w14:textId="77777777" w:rsidR="00812EBA" w:rsidRPr="00C71BA3" w:rsidRDefault="00812EBA" w:rsidP="00812EBA">
            <w:pPr>
              <w:spacing w:line="360" w:lineRule="auto"/>
              <w:rPr>
                <w:rFonts w:ascii="Arial" w:hAnsi="Arial" w:cs="Arial"/>
              </w:rPr>
            </w:pPr>
          </w:p>
        </w:tc>
      </w:tr>
      <w:tr w:rsidR="0014793F" w:rsidRPr="00C71BA3" w14:paraId="7C61635A" w14:textId="77777777" w:rsidTr="00D22CE1">
        <w:tc>
          <w:tcPr>
            <w:tcW w:w="5871" w:type="dxa"/>
            <w:gridSpan w:val="2"/>
            <w:shd w:val="clear" w:color="auto" w:fill="auto"/>
          </w:tcPr>
          <w:p w14:paraId="2A73810E" w14:textId="77777777" w:rsidR="0014793F" w:rsidRPr="00C71BA3" w:rsidRDefault="0014793F" w:rsidP="002C74C2">
            <w:pPr>
              <w:spacing w:line="360" w:lineRule="auto"/>
              <w:ind w:left="179"/>
              <w:rPr>
                <w:rFonts w:ascii="Arial" w:hAnsi="Arial" w:cs="Arial"/>
              </w:rPr>
            </w:pPr>
            <w:r w:rsidRPr="00C71BA3">
              <w:rPr>
                <w:rFonts w:ascii="Arial" w:hAnsi="Arial" w:cs="Arial"/>
              </w:rPr>
              <w:t>In the matter between:</w:t>
            </w:r>
          </w:p>
        </w:tc>
        <w:tc>
          <w:tcPr>
            <w:tcW w:w="3168" w:type="dxa"/>
            <w:gridSpan w:val="3"/>
            <w:shd w:val="clear" w:color="auto" w:fill="auto"/>
          </w:tcPr>
          <w:p w14:paraId="2C2AADFC" w14:textId="77777777" w:rsidR="0014793F" w:rsidRPr="00C71BA3" w:rsidRDefault="0014793F" w:rsidP="000F670B">
            <w:pPr>
              <w:spacing w:line="360" w:lineRule="auto"/>
              <w:jc w:val="right"/>
              <w:rPr>
                <w:rFonts w:ascii="Arial" w:hAnsi="Arial" w:cs="Arial"/>
                <w:b/>
              </w:rPr>
            </w:pPr>
          </w:p>
        </w:tc>
      </w:tr>
      <w:tr w:rsidR="00812EBA" w:rsidRPr="00C71BA3" w14:paraId="5A735008" w14:textId="77777777" w:rsidTr="00D22CE1">
        <w:tc>
          <w:tcPr>
            <w:tcW w:w="5871" w:type="dxa"/>
            <w:gridSpan w:val="2"/>
            <w:shd w:val="clear" w:color="auto" w:fill="auto"/>
          </w:tcPr>
          <w:p w14:paraId="3F2D667C" w14:textId="77777777" w:rsidR="00812EBA" w:rsidRPr="00C71BA3" w:rsidRDefault="00812EBA" w:rsidP="000F670B">
            <w:pPr>
              <w:spacing w:line="360" w:lineRule="auto"/>
              <w:rPr>
                <w:rFonts w:ascii="Arial" w:hAnsi="Arial" w:cs="Arial"/>
              </w:rPr>
            </w:pPr>
          </w:p>
        </w:tc>
        <w:tc>
          <w:tcPr>
            <w:tcW w:w="3168" w:type="dxa"/>
            <w:gridSpan w:val="3"/>
            <w:shd w:val="clear" w:color="auto" w:fill="auto"/>
          </w:tcPr>
          <w:p w14:paraId="4BC18760" w14:textId="77777777" w:rsidR="00812EBA" w:rsidRPr="00C71BA3" w:rsidRDefault="00812EBA" w:rsidP="000F670B">
            <w:pPr>
              <w:spacing w:line="360" w:lineRule="auto"/>
              <w:jc w:val="right"/>
              <w:rPr>
                <w:rFonts w:ascii="Arial" w:hAnsi="Arial" w:cs="Arial"/>
                <w:b/>
              </w:rPr>
            </w:pPr>
          </w:p>
        </w:tc>
      </w:tr>
      <w:tr w:rsidR="00FF0EE0" w:rsidRPr="00C71BA3" w14:paraId="486060AE" w14:textId="77777777" w:rsidTr="00D22CE1">
        <w:tblPrEx>
          <w:tblLook w:val="0000" w:firstRow="0" w:lastRow="0" w:firstColumn="0" w:lastColumn="0" w:noHBand="0" w:noVBand="0"/>
        </w:tblPrEx>
        <w:trPr>
          <w:gridBefore w:val="1"/>
          <w:gridAfter w:val="1"/>
          <w:wBefore w:w="108" w:type="dxa"/>
          <w:wAfter w:w="121" w:type="dxa"/>
        </w:trPr>
        <w:tc>
          <w:tcPr>
            <w:tcW w:w="6204" w:type="dxa"/>
            <w:gridSpan w:val="2"/>
          </w:tcPr>
          <w:p w14:paraId="14D21ACD" w14:textId="40350F94" w:rsidR="00FF0EE0" w:rsidRPr="00B87152" w:rsidRDefault="00506EC9" w:rsidP="005D324F">
            <w:pPr>
              <w:pStyle w:val="Title"/>
              <w:spacing w:after="120"/>
              <w:rPr>
                <w:rFonts w:cs="Arial"/>
                <w:b/>
                <w:bCs/>
                <w:sz w:val="24"/>
                <w:szCs w:val="24"/>
              </w:rPr>
            </w:pPr>
            <w:r>
              <w:rPr>
                <w:rFonts w:cs="Arial"/>
                <w:b/>
                <w:bCs/>
                <w:sz w:val="24"/>
                <w:szCs w:val="24"/>
              </w:rPr>
              <w:t>PRECIOUS TENJIWE SIBANDA</w:t>
            </w:r>
          </w:p>
        </w:tc>
        <w:tc>
          <w:tcPr>
            <w:tcW w:w="2606" w:type="dxa"/>
          </w:tcPr>
          <w:p w14:paraId="5B5AE06B" w14:textId="4EA3688C" w:rsidR="005E0CEF" w:rsidRPr="00C71BA3" w:rsidRDefault="00FF0EE0" w:rsidP="00E823C7">
            <w:pPr>
              <w:pStyle w:val="Title"/>
              <w:spacing w:line="360" w:lineRule="auto"/>
              <w:jc w:val="right"/>
              <w:rPr>
                <w:rFonts w:cs="Arial"/>
                <w:sz w:val="24"/>
                <w:szCs w:val="24"/>
              </w:rPr>
            </w:pPr>
            <w:r w:rsidRPr="00C71BA3">
              <w:rPr>
                <w:rFonts w:cs="Arial"/>
                <w:sz w:val="24"/>
                <w:szCs w:val="24"/>
              </w:rPr>
              <w:t>Applicant</w:t>
            </w:r>
          </w:p>
        </w:tc>
      </w:tr>
      <w:tr w:rsidR="00FF0EE0" w:rsidRPr="00C71BA3" w14:paraId="1F6C0A44" w14:textId="77777777" w:rsidTr="00D22CE1">
        <w:tblPrEx>
          <w:tblLook w:val="0000" w:firstRow="0" w:lastRow="0" w:firstColumn="0" w:lastColumn="0" w:noHBand="0" w:noVBand="0"/>
        </w:tblPrEx>
        <w:trPr>
          <w:gridBefore w:val="1"/>
          <w:gridAfter w:val="1"/>
          <w:wBefore w:w="108" w:type="dxa"/>
          <w:wAfter w:w="121" w:type="dxa"/>
        </w:trPr>
        <w:tc>
          <w:tcPr>
            <w:tcW w:w="6204" w:type="dxa"/>
            <w:gridSpan w:val="2"/>
          </w:tcPr>
          <w:p w14:paraId="3469DE0F" w14:textId="77777777" w:rsidR="00FF0EE0" w:rsidRPr="00C71BA3" w:rsidRDefault="00FF0EE0" w:rsidP="005D324F">
            <w:pPr>
              <w:pStyle w:val="Title"/>
              <w:spacing w:line="360" w:lineRule="auto"/>
              <w:rPr>
                <w:rFonts w:cs="Arial"/>
                <w:sz w:val="24"/>
                <w:szCs w:val="24"/>
              </w:rPr>
            </w:pPr>
          </w:p>
        </w:tc>
        <w:tc>
          <w:tcPr>
            <w:tcW w:w="2606" w:type="dxa"/>
          </w:tcPr>
          <w:p w14:paraId="5C78C009" w14:textId="77777777" w:rsidR="00FF0EE0" w:rsidRPr="00C71BA3" w:rsidRDefault="00FF0EE0" w:rsidP="005D324F">
            <w:pPr>
              <w:pStyle w:val="Title"/>
              <w:spacing w:line="360" w:lineRule="auto"/>
              <w:jc w:val="right"/>
              <w:rPr>
                <w:rFonts w:cs="Arial"/>
                <w:sz w:val="24"/>
                <w:szCs w:val="24"/>
              </w:rPr>
            </w:pPr>
          </w:p>
        </w:tc>
      </w:tr>
      <w:tr w:rsidR="00FF0EE0" w:rsidRPr="00C71BA3" w14:paraId="7467A9CD" w14:textId="77777777" w:rsidTr="00D22CE1">
        <w:tblPrEx>
          <w:tblLook w:val="0000" w:firstRow="0" w:lastRow="0" w:firstColumn="0" w:lastColumn="0" w:noHBand="0" w:noVBand="0"/>
        </w:tblPrEx>
        <w:trPr>
          <w:gridBefore w:val="1"/>
          <w:gridAfter w:val="1"/>
          <w:wBefore w:w="108" w:type="dxa"/>
          <w:wAfter w:w="121" w:type="dxa"/>
        </w:trPr>
        <w:tc>
          <w:tcPr>
            <w:tcW w:w="6204" w:type="dxa"/>
            <w:gridSpan w:val="2"/>
          </w:tcPr>
          <w:p w14:paraId="0ED282E3" w14:textId="77777777" w:rsidR="00FF0EE0" w:rsidRPr="00C71BA3" w:rsidRDefault="00FF0EE0" w:rsidP="005D324F">
            <w:pPr>
              <w:pStyle w:val="Title"/>
              <w:spacing w:line="360" w:lineRule="auto"/>
              <w:rPr>
                <w:rFonts w:cs="Arial"/>
                <w:sz w:val="24"/>
                <w:szCs w:val="24"/>
              </w:rPr>
            </w:pPr>
            <w:r w:rsidRPr="00C71BA3">
              <w:rPr>
                <w:rFonts w:cs="Arial"/>
                <w:sz w:val="24"/>
                <w:szCs w:val="24"/>
              </w:rPr>
              <w:t>And</w:t>
            </w:r>
          </w:p>
        </w:tc>
        <w:tc>
          <w:tcPr>
            <w:tcW w:w="2606" w:type="dxa"/>
          </w:tcPr>
          <w:p w14:paraId="3CF3EA13" w14:textId="77777777" w:rsidR="00FF0EE0" w:rsidRPr="00C71BA3" w:rsidRDefault="00FF0EE0" w:rsidP="005D324F">
            <w:pPr>
              <w:pStyle w:val="Title"/>
              <w:spacing w:line="360" w:lineRule="auto"/>
              <w:rPr>
                <w:rFonts w:cs="Arial"/>
                <w:sz w:val="24"/>
                <w:szCs w:val="24"/>
              </w:rPr>
            </w:pPr>
          </w:p>
        </w:tc>
      </w:tr>
      <w:tr w:rsidR="00FF0EE0" w:rsidRPr="00C71BA3" w14:paraId="207C75B6" w14:textId="77777777" w:rsidTr="00D22CE1">
        <w:tblPrEx>
          <w:tblLook w:val="0000" w:firstRow="0" w:lastRow="0" w:firstColumn="0" w:lastColumn="0" w:noHBand="0" w:noVBand="0"/>
        </w:tblPrEx>
        <w:trPr>
          <w:gridBefore w:val="1"/>
          <w:gridAfter w:val="1"/>
          <w:wBefore w:w="108" w:type="dxa"/>
          <w:wAfter w:w="121" w:type="dxa"/>
        </w:trPr>
        <w:tc>
          <w:tcPr>
            <w:tcW w:w="6204" w:type="dxa"/>
            <w:gridSpan w:val="2"/>
          </w:tcPr>
          <w:p w14:paraId="47EA0194" w14:textId="77777777" w:rsidR="00FF0EE0" w:rsidRPr="00C71BA3" w:rsidRDefault="00FF0EE0" w:rsidP="005D324F">
            <w:pPr>
              <w:pStyle w:val="Title"/>
              <w:spacing w:line="360" w:lineRule="auto"/>
              <w:rPr>
                <w:rFonts w:cs="Arial"/>
                <w:sz w:val="24"/>
                <w:szCs w:val="24"/>
              </w:rPr>
            </w:pPr>
          </w:p>
        </w:tc>
        <w:tc>
          <w:tcPr>
            <w:tcW w:w="2606" w:type="dxa"/>
          </w:tcPr>
          <w:p w14:paraId="774B5803" w14:textId="77777777" w:rsidR="00FF0EE0" w:rsidRPr="00C71BA3" w:rsidRDefault="00FF0EE0" w:rsidP="005D324F">
            <w:pPr>
              <w:pStyle w:val="Title"/>
              <w:spacing w:line="360" w:lineRule="auto"/>
              <w:rPr>
                <w:rFonts w:cs="Arial"/>
                <w:sz w:val="24"/>
                <w:szCs w:val="24"/>
              </w:rPr>
            </w:pPr>
          </w:p>
        </w:tc>
      </w:tr>
      <w:tr w:rsidR="00FF0EE0" w:rsidRPr="00C71BA3" w14:paraId="463B4C08" w14:textId="77777777" w:rsidTr="00D22CE1">
        <w:tblPrEx>
          <w:tblLook w:val="0000" w:firstRow="0" w:lastRow="0" w:firstColumn="0" w:lastColumn="0" w:noHBand="0" w:noVBand="0"/>
        </w:tblPrEx>
        <w:trPr>
          <w:gridBefore w:val="1"/>
          <w:gridAfter w:val="1"/>
          <w:wBefore w:w="108" w:type="dxa"/>
          <w:wAfter w:w="121" w:type="dxa"/>
        </w:trPr>
        <w:tc>
          <w:tcPr>
            <w:tcW w:w="6204" w:type="dxa"/>
            <w:gridSpan w:val="2"/>
          </w:tcPr>
          <w:p w14:paraId="61BC7C17" w14:textId="247F65AB" w:rsidR="00FF0EE0" w:rsidRPr="00C71BA3" w:rsidRDefault="00D40297" w:rsidP="005D324F">
            <w:pPr>
              <w:pStyle w:val="Title"/>
              <w:spacing w:after="120"/>
              <w:rPr>
                <w:rFonts w:cs="Arial"/>
                <w:b/>
                <w:sz w:val="24"/>
                <w:szCs w:val="24"/>
              </w:rPr>
            </w:pPr>
            <w:r>
              <w:rPr>
                <w:rFonts w:cs="Arial"/>
                <w:b/>
                <w:sz w:val="24"/>
                <w:szCs w:val="24"/>
              </w:rPr>
              <w:t>FIRSTRAND BANK LIMIT</w:t>
            </w:r>
            <w:r w:rsidR="00A350B9">
              <w:rPr>
                <w:rFonts w:cs="Arial"/>
                <w:b/>
                <w:sz w:val="24"/>
                <w:szCs w:val="24"/>
              </w:rPr>
              <w:t>ED</w:t>
            </w:r>
          </w:p>
        </w:tc>
        <w:tc>
          <w:tcPr>
            <w:tcW w:w="2606" w:type="dxa"/>
          </w:tcPr>
          <w:p w14:paraId="16F1684F" w14:textId="15157A5A" w:rsidR="00FF0EE0" w:rsidRPr="00C71BA3" w:rsidRDefault="00FF0EE0" w:rsidP="005D324F">
            <w:pPr>
              <w:pStyle w:val="Title"/>
              <w:spacing w:line="360" w:lineRule="auto"/>
              <w:jc w:val="right"/>
              <w:rPr>
                <w:rFonts w:cs="Arial"/>
                <w:sz w:val="24"/>
                <w:szCs w:val="24"/>
              </w:rPr>
            </w:pPr>
            <w:r w:rsidRPr="00C71BA3">
              <w:rPr>
                <w:rFonts w:cs="Arial"/>
                <w:sz w:val="24"/>
                <w:szCs w:val="24"/>
              </w:rPr>
              <w:t xml:space="preserve">Respondent </w:t>
            </w:r>
          </w:p>
        </w:tc>
      </w:tr>
    </w:tbl>
    <w:p w14:paraId="77BB1039" w14:textId="466C2950" w:rsidR="004B0905" w:rsidRPr="00A350B9" w:rsidRDefault="004B0905" w:rsidP="00A350B9">
      <w:pPr>
        <w:spacing w:after="200" w:line="480" w:lineRule="auto"/>
        <w:contextualSpacing/>
        <w:rPr>
          <w:rFonts w:ascii="Arial" w:hAnsi="Arial" w:cs="Arial"/>
          <w:b/>
        </w:rPr>
      </w:pPr>
    </w:p>
    <w:p w14:paraId="5E6A622D" w14:textId="77777777" w:rsidR="004B0905" w:rsidRPr="00C71BA3" w:rsidRDefault="004B0905" w:rsidP="004B0905">
      <w:pPr>
        <w:pStyle w:val="ListParagraph"/>
        <w:ind w:left="0"/>
        <w:contextualSpacing/>
        <w:rPr>
          <w:rFonts w:ascii="Arial" w:hAnsi="Arial" w:cs="Arial"/>
          <w:b/>
        </w:rPr>
      </w:pPr>
    </w:p>
    <w:p w14:paraId="503A91B6" w14:textId="77777777" w:rsidR="00C9283D" w:rsidRDefault="004B0905" w:rsidP="00C9283D">
      <w:pPr>
        <w:pStyle w:val="ListParagraph"/>
        <w:pBdr>
          <w:top w:val="single" w:sz="4" w:space="12" w:color="auto"/>
          <w:bottom w:val="single" w:sz="4" w:space="12" w:color="auto"/>
        </w:pBdr>
        <w:ind w:left="0"/>
        <w:contextualSpacing/>
        <w:jc w:val="center"/>
        <w:rPr>
          <w:rFonts w:ascii="Arial" w:hAnsi="Arial" w:cs="Arial"/>
          <w:b/>
        </w:rPr>
      </w:pPr>
      <w:r w:rsidRPr="00C71BA3">
        <w:rPr>
          <w:rFonts w:ascii="Arial" w:hAnsi="Arial" w:cs="Arial"/>
          <w:b/>
        </w:rPr>
        <w:t>JUDGMENT</w:t>
      </w:r>
      <w:r w:rsidR="00FF0EE0" w:rsidRPr="00C71BA3">
        <w:rPr>
          <w:rFonts w:ascii="Arial" w:hAnsi="Arial" w:cs="Arial"/>
          <w:b/>
        </w:rPr>
        <w:t xml:space="preserve"> </w:t>
      </w:r>
    </w:p>
    <w:p w14:paraId="18D69B5A" w14:textId="77777777" w:rsidR="00F86E29" w:rsidRDefault="00F86E29" w:rsidP="004B0905">
      <w:pPr>
        <w:pStyle w:val="ListParagraph"/>
        <w:spacing w:after="200" w:line="480" w:lineRule="auto"/>
        <w:ind w:left="0"/>
        <w:contextualSpacing/>
        <w:rPr>
          <w:rFonts w:ascii="Arial" w:hAnsi="Arial" w:cs="Arial"/>
          <w:b/>
        </w:rPr>
      </w:pPr>
    </w:p>
    <w:p w14:paraId="7B10960F" w14:textId="14602E49" w:rsidR="00C9283D" w:rsidRDefault="00C9283D" w:rsidP="004B0905">
      <w:pPr>
        <w:pStyle w:val="ListParagraph"/>
        <w:spacing w:after="200" w:line="480" w:lineRule="auto"/>
        <w:ind w:left="0"/>
        <w:contextualSpacing/>
        <w:rPr>
          <w:rFonts w:ascii="Arial" w:hAnsi="Arial" w:cs="Arial"/>
          <w:b/>
        </w:rPr>
      </w:pPr>
      <w:r>
        <w:rPr>
          <w:rFonts w:ascii="Arial" w:hAnsi="Arial" w:cs="Arial"/>
          <w:b/>
        </w:rPr>
        <w:t>VILJOEN AJ</w:t>
      </w:r>
    </w:p>
    <w:p w14:paraId="5B0F83EB" w14:textId="19C7E13A" w:rsidR="00DB18C1" w:rsidRDefault="00440BBB" w:rsidP="00440BBB">
      <w:pPr>
        <w:pStyle w:val="Main"/>
        <w:numPr>
          <w:ilvl w:val="0"/>
          <w:numId w:val="0"/>
        </w:numPr>
        <w:ind w:left="709" w:hanging="709"/>
      </w:pPr>
      <w:r>
        <w:t>[1]</w:t>
      </w:r>
      <w:r>
        <w:tab/>
      </w:r>
      <w:r w:rsidR="009632A7">
        <w:t>This is an application</w:t>
      </w:r>
      <w:r w:rsidR="00524F6C">
        <w:t>, apparently,</w:t>
      </w:r>
      <w:r w:rsidR="009632A7">
        <w:t xml:space="preserve"> for the </w:t>
      </w:r>
      <w:r w:rsidR="00320B66">
        <w:t xml:space="preserve">rescission of </w:t>
      </w:r>
      <w:r w:rsidR="00090E6D">
        <w:t xml:space="preserve">a judgment granted by default against the </w:t>
      </w:r>
      <w:r w:rsidR="001D398F">
        <w:t xml:space="preserve">applicant on </w:t>
      </w:r>
      <w:r w:rsidR="00F021A7">
        <w:t>9 February 2021</w:t>
      </w:r>
      <w:r w:rsidR="009632A7">
        <w:t>.</w:t>
      </w:r>
    </w:p>
    <w:p w14:paraId="798AD39C" w14:textId="37E9A767" w:rsidR="004D3A30" w:rsidRDefault="00440BBB" w:rsidP="00440BBB">
      <w:pPr>
        <w:pStyle w:val="Main"/>
        <w:numPr>
          <w:ilvl w:val="0"/>
          <w:numId w:val="0"/>
        </w:numPr>
        <w:ind w:left="709" w:hanging="709"/>
      </w:pPr>
      <w:r>
        <w:lastRenderedPageBreak/>
        <w:t>[2]</w:t>
      </w:r>
      <w:r>
        <w:tab/>
      </w:r>
      <w:r w:rsidR="004D3A30">
        <w:t xml:space="preserve">I was granted access to the </w:t>
      </w:r>
      <w:proofErr w:type="spellStart"/>
      <w:r w:rsidR="004D3A30">
        <w:t>CaseLines</w:t>
      </w:r>
      <w:proofErr w:type="spellEnd"/>
      <w:r w:rsidR="004D3A30">
        <w:t xml:space="preserve"> file on 28 September 2022</w:t>
      </w:r>
      <w:r w:rsidR="00D30996">
        <w:t xml:space="preserve">.  </w:t>
      </w:r>
      <w:r w:rsidR="00705B07">
        <w:t xml:space="preserve">I downloaded the entire content of the </w:t>
      </w:r>
      <w:proofErr w:type="spellStart"/>
      <w:r w:rsidR="00705B07">
        <w:t>CaseLines</w:t>
      </w:r>
      <w:proofErr w:type="spellEnd"/>
      <w:r w:rsidR="00705B07">
        <w:t xml:space="preserve"> bundle</w:t>
      </w:r>
      <w:r w:rsidR="00D30996">
        <w:t xml:space="preserve"> and </w:t>
      </w:r>
      <w:r w:rsidR="00D50B1D">
        <w:t>used</w:t>
      </w:r>
      <w:r w:rsidR="00D30996">
        <w:t xml:space="preserve"> </w:t>
      </w:r>
      <w:r w:rsidR="00D50B1D">
        <w:t xml:space="preserve">the </w:t>
      </w:r>
      <w:r w:rsidR="00D30996">
        <w:t xml:space="preserve">downloaded bundle </w:t>
      </w:r>
      <w:r w:rsidR="00D50B1D">
        <w:t xml:space="preserve">for my preparation.  </w:t>
      </w:r>
      <w:r w:rsidR="00932B11">
        <w:t xml:space="preserve">When the matter came before me on </w:t>
      </w:r>
      <w:r w:rsidR="00D30996">
        <w:t>10 October 2022</w:t>
      </w:r>
      <w:r w:rsidR="00D50B1D">
        <w:t xml:space="preserve">, Mr Govender, counsel for the respondent, pointed out to </w:t>
      </w:r>
      <w:r w:rsidR="00052BD5">
        <w:t>me</w:t>
      </w:r>
      <w:r w:rsidR="00D50B1D">
        <w:t xml:space="preserve"> that the </w:t>
      </w:r>
      <w:proofErr w:type="spellStart"/>
      <w:r w:rsidR="00D50B1D">
        <w:t>CaseLines</w:t>
      </w:r>
      <w:proofErr w:type="spellEnd"/>
      <w:r w:rsidR="00D50B1D">
        <w:t xml:space="preserve"> bundle</w:t>
      </w:r>
      <w:r w:rsidR="00A732ED">
        <w:t xml:space="preserve"> that I had downloaded</w:t>
      </w:r>
      <w:r w:rsidR="00D50B1D">
        <w:t xml:space="preserve"> underwent significant </w:t>
      </w:r>
      <w:r w:rsidR="00052BD5">
        <w:t>modification</w:t>
      </w:r>
      <w:r w:rsidR="00A732ED">
        <w:t>.</w:t>
      </w:r>
    </w:p>
    <w:p w14:paraId="1D2A8440" w14:textId="2D949374" w:rsidR="00F823EE" w:rsidRDefault="00440BBB" w:rsidP="00440BBB">
      <w:pPr>
        <w:pStyle w:val="Main"/>
        <w:numPr>
          <w:ilvl w:val="0"/>
          <w:numId w:val="0"/>
        </w:numPr>
        <w:ind w:left="709" w:hanging="709"/>
      </w:pPr>
      <w:r>
        <w:t>[3]</w:t>
      </w:r>
      <w:r>
        <w:tab/>
      </w:r>
      <w:r w:rsidR="00A732ED">
        <w:t xml:space="preserve">According to the </w:t>
      </w:r>
      <w:proofErr w:type="spellStart"/>
      <w:r w:rsidR="00A732ED">
        <w:t>CaseLines</w:t>
      </w:r>
      <w:proofErr w:type="spellEnd"/>
      <w:r w:rsidR="00863C60">
        <w:t xml:space="preserve"> audit trail, </w:t>
      </w:r>
      <w:r w:rsidR="00B868ED">
        <w:t xml:space="preserve">on 4 and 5 October 2022, </w:t>
      </w:r>
      <w:r w:rsidR="00863C60">
        <w:t xml:space="preserve">the applicant </w:t>
      </w:r>
      <w:r w:rsidR="00412106">
        <w:t xml:space="preserve">created, </w:t>
      </w:r>
      <w:r w:rsidR="00D02D95">
        <w:t>uploaded</w:t>
      </w:r>
      <w:r w:rsidR="00412106">
        <w:t xml:space="preserve"> and</w:t>
      </w:r>
      <w:r w:rsidR="00B928B3">
        <w:t>/or</w:t>
      </w:r>
      <w:r w:rsidR="00412106">
        <w:t xml:space="preserve"> deleted several of the component parts of the </w:t>
      </w:r>
      <w:proofErr w:type="spellStart"/>
      <w:r w:rsidR="00412106">
        <w:t>CaseLines</w:t>
      </w:r>
      <w:proofErr w:type="spellEnd"/>
      <w:r w:rsidR="00412106">
        <w:t xml:space="preserve"> bundle </w:t>
      </w:r>
      <w:r w:rsidR="00B868ED">
        <w:t>as it had existed when I first accessed it</w:t>
      </w:r>
      <w:r w:rsidR="00A800F8">
        <w:t>.</w:t>
      </w:r>
      <w:r w:rsidR="00C942E9">
        <w:t xml:space="preserve">  </w:t>
      </w:r>
      <w:r w:rsidR="00BE089C">
        <w:t>Most importantly</w:t>
      </w:r>
      <w:r w:rsidR="00C942E9">
        <w:t xml:space="preserve">, the </w:t>
      </w:r>
      <w:r w:rsidR="00BE089C">
        <w:t>applicant appears to have replaced her notice of motion and founding affidavit.</w:t>
      </w:r>
      <w:r w:rsidR="008C2E30">
        <w:t xml:space="preserve">  </w:t>
      </w:r>
      <w:r w:rsidR="00985BF1">
        <w:t>The notice of motion</w:t>
      </w:r>
      <w:r w:rsidR="008B7975">
        <w:t xml:space="preserve">, dated 31 August 2021, was replaced with a document dated </w:t>
      </w:r>
      <w:r w:rsidR="003218DD">
        <w:t>10 August 2021.  The “supporting affidavit</w:t>
      </w:r>
      <w:r w:rsidR="000D7A01">
        <w:t>”</w:t>
      </w:r>
      <w:r w:rsidR="003218DD">
        <w:t xml:space="preserve">, dated </w:t>
      </w:r>
      <w:r w:rsidR="0084201F">
        <w:t xml:space="preserve">3 September 2021, was replaced with </w:t>
      </w:r>
      <w:r w:rsidR="00884D03">
        <w:t xml:space="preserve">a “founding affidavit”, dated </w:t>
      </w:r>
      <w:r w:rsidR="003908F8">
        <w:t>10 August 2021.</w:t>
      </w:r>
      <w:r w:rsidR="00BF3F9E">
        <w:t xml:space="preserve">  </w:t>
      </w:r>
    </w:p>
    <w:p w14:paraId="121A7E2B" w14:textId="04A44916" w:rsidR="00BF3F9E" w:rsidRDefault="00440BBB" w:rsidP="00440BBB">
      <w:pPr>
        <w:pStyle w:val="Main"/>
        <w:numPr>
          <w:ilvl w:val="0"/>
          <w:numId w:val="0"/>
        </w:numPr>
        <w:ind w:left="709" w:hanging="709"/>
      </w:pPr>
      <w:r>
        <w:t>[4]</w:t>
      </w:r>
      <w:r>
        <w:tab/>
      </w:r>
      <w:r w:rsidR="00BF3F9E">
        <w:t>Mr Govender pointed out that the respondent's answering affidavit was drafted in answer to the “supporting affidavit”</w:t>
      </w:r>
      <w:r w:rsidR="000B251E">
        <w:t xml:space="preserve">.  The </w:t>
      </w:r>
      <w:r w:rsidR="006E6A2D">
        <w:t xml:space="preserve">respondent did not have the opportunity to deal with the </w:t>
      </w:r>
      <w:r w:rsidR="000B251E">
        <w:t>applicant’s amended papers</w:t>
      </w:r>
      <w:r w:rsidR="00793717">
        <w:t>.</w:t>
      </w:r>
    </w:p>
    <w:p w14:paraId="50D6CFA7" w14:textId="76E9DBDB" w:rsidR="006E6A2D" w:rsidRDefault="00440BBB" w:rsidP="00440BBB">
      <w:pPr>
        <w:pStyle w:val="Main"/>
        <w:numPr>
          <w:ilvl w:val="0"/>
          <w:numId w:val="0"/>
        </w:numPr>
        <w:ind w:left="709" w:hanging="709"/>
      </w:pPr>
      <w:r>
        <w:t>[5]</w:t>
      </w:r>
      <w:r>
        <w:tab/>
      </w:r>
      <w:r w:rsidR="006E6A2D">
        <w:t xml:space="preserve">When I questioned the applicant about the amendments to the papers, she disavowed knowledge of any </w:t>
      </w:r>
      <w:r w:rsidR="00087ABE" w:rsidRPr="00087ABE">
        <w:t>alteration</w:t>
      </w:r>
      <w:r w:rsidR="006E6A2D">
        <w:t xml:space="preserve"> to the </w:t>
      </w:r>
      <w:proofErr w:type="spellStart"/>
      <w:r w:rsidR="006E6A2D">
        <w:t>CaseLines</w:t>
      </w:r>
      <w:proofErr w:type="spellEnd"/>
      <w:r w:rsidR="006E6A2D">
        <w:t xml:space="preserve"> bundle</w:t>
      </w:r>
      <w:r w:rsidR="00917088">
        <w:t xml:space="preserve"> or to the documents </w:t>
      </w:r>
      <w:r w:rsidR="001E0907">
        <w:t xml:space="preserve">upon which </w:t>
      </w:r>
      <w:r w:rsidR="00917088">
        <w:t xml:space="preserve">her application was premised.  </w:t>
      </w:r>
      <w:r w:rsidR="006215FF">
        <w:t>N</w:t>
      </w:r>
      <w:r w:rsidR="00096D1C">
        <w:t xml:space="preserve">o amendment of the notice of motion had been </w:t>
      </w:r>
      <w:proofErr w:type="gramStart"/>
      <w:r w:rsidR="00096D1C">
        <w:t>effected</w:t>
      </w:r>
      <w:proofErr w:type="gramEnd"/>
      <w:r w:rsidR="00096D1C">
        <w:t xml:space="preserve"> in </w:t>
      </w:r>
      <w:r w:rsidR="007D528F">
        <w:t>accordance</w:t>
      </w:r>
      <w:r w:rsidR="00096D1C">
        <w:t xml:space="preserve"> with the Uniform Rules and no application had been made to allow the supplementation of the founding </w:t>
      </w:r>
      <w:r w:rsidR="006215FF">
        <w:t>affidavit</w:t>
      </w:r>
      <w:r w:rsidR="00096D1C">
        <w:t>.</w:t>
      </w:r>
    </w:p>
    <w:p w14:paraId="308C6BE4" w14:textId="2BBC6E8D" w:rsidR="00096D1C" w:rsidRDefault="00440BBB" w:rsidP="00440BBB">
      <w:pPr>
        <w:pStyle w:val="Main"/>
        <w:numPr>
          <w:ilvl w:val="0"/>
          <w:numId w:val="0"/>
        </w:numPr>
        <w:ind w:left="709" w:hanging="709"/>
      </w:pPr>
      <w:r>
        <w:lastRenderedPageBreak/>
        <w:t>[6]</w:t>
      </w:r>
      <w:r>
        <w:tab/>
      </w:r>
      <w:r w:rsidR="00096D1C">
        <w:t>In the circumstances</w:t>
      </w:r>
      <w:r w:rsidR="006215FF">
        <w:t xml:space="preserve"> and </w:t>
      </w:r>
      <w:r w:rsidR="009C7522">
        <w:t>considering</w:t>
      </w:r>
      <w:r w:rsidR="006215FF">
        <w:t xml:space="preserve"> the apparent absence of any intention to amend her papers on the part of the applicant</w:t>
      </w:r>
      <w:r w:rsidR="00096D1C">
        <w:t xml:space="preserve">, I ruled that the matter would proceed on the papers as they stood before the alteration to the </w:t>
      </w:r>
      <w:proofErr w:type="spellStart"/>
      <w:r w:rsidR="00096D1C">
        <w:t>CaseLines</w:t>
      </w:r>
      <w:proofErr w:type="spellEnd"/>
      <w:r w:rsidR="00096D1C">
        <w:t xml:space="preserve"> bundle on 4 and 5 October 2022.</w:t>
      </w:r>
    </w:p>
    <w:p w14:paraId="54BDF1CD" w14:textId="28E1726C" w:rsidR="00286C41" w:rsidRDefault="00286C41" w:rsidP="00286C41">
      <w:pPr>
        <w:pStyle w:val="Heading1"/>
      </w:pPr>
      <w:r>
        <w:t>The relief sought</w:t>
      </w:r>
    </w:p>
    <w:p w14:paraId="4137F698" w14:textId="5ADEADBF" w:rsidR="00E75F1E" w:rsidRDefault="00440BBB" w:rsidP="00440BBB">
      <w:pPr>
        <w:pStyle w:val="Main"/>
        <w:numPr>
          <w:ilvl w:val="0"/>
          <w:numId w:val="0"/>
        </w:numPr>
        <w:ind w:left="709" w:hanging="709"/>
      </w:pPr>
      <w:r>
        <w:t>[7]</w:t>
      </w:r>
      <w:r>
        <w:tab/>
      </w:r>
      <w:r w:rsidR="0003482A">
        <w:t>The default judgment in question</w:t>
      </w:r>
      <w:r w:rsidR="009C538D">
        <w:t xml:space="preserve"> </w:t>
      </w:r>
      <w:r w:rsidR="006B712C">
        <w:t xml:space="preserve">confirmed the cancellation </w:t>
      </w:r>
      <w:r w:rsidR="00353A89">
        <w:t xml:space="preserve">of an instalment sale agreement concluded between </w:t>
      </w:r>
      <w:r w:rsidR="00F021A7">
        <w:t>the applicant</w:t>
      </w:r>
      <w:r w:rsidR="00A559AF">
        <w:t xml:space="preserve"> and the respondent</w:t>
      </w:r>
      <w:r w:rsidR="00E81C6C">
        <w:t>.  The order</w:t>
      </w:r>
      <w:r w:rsidR="009C538D">
        <w:t xml:space="preserve"> </w:t>
      </w:r>
      <w:r w:rsidR="00F021A7">
        <w:t xml:space="preserve">declared the instalment sale agreement cancelled and </w:t>
      </w:r>
      <w:r w:rsidR="009C538D">
        <w:t>directed the applicant to return the vehicle</w:t>
      </w:r>
      <w:r w:rsidR="00C43241">
        <w:t>,</w:t>
      </w:r>
      <w:r w:rsidR="009C538D">
        <w:t xml:space="preserve"> </w:t>
      </w:r>
      <w:r w:rsidR="00C43241">
        <w:t>the subject of</w:t>
      </w:r>
      <w:r w:rsidR="006D6CA5">
        <w:t xml:space="preserve"> the instalment sale agreement</w:t>
      </w:r>
      <w:r w:rsidR="00C43241">
        <w:t>,</w:t>
      </w:r>
      <w:r w:rsidR="006D6CA5">
        <w:t xml:space="preserve"> to the respondent.</w:t>
      </w:r>
    </w:p>
    <w:p w14:paraId="7DCEB283" w14:textId="70467AB7" w:rsidR="00472587" w:rsidRDefault="00440BBB" w:rsidP="00440BBB">
      <w:pPr>
        <w:pStyle w:val="Main"/>
        <w:numPr>
          <w:ilvl w:val="0"/>
          <w:numId w:val="0"/>
        </w:numPr>
        <w:ind w:left="709" w:hanging="709"/>
      </w:pPr>
      <w:r>
        <w:t>[8]</w:t>
      </w:r>
      <w:r>
        <w:tab/>
      </w:r>
      <w:r w:rsidR="00085711">
        <w:t>The applicant’s notice of motion is not a model of clarity.</w:t>
      </w:r>
      <w:r w:rsidR="00C35D70">
        <w:t xml:space="preserve">  I quote the relief sought in full:</w:t>
      </w:r>
    </w:p>
    <w:p w14:paraId="6F2C040F" w14:textId="52E00CD4" w:rsidR="00C35D70" w:rsidRPr="00C35D70" w:rsidRDefault="00AF5005" w:rsidP="00C35D70">
      <w:pPr>
        <w:pStyle w:val="Quote"/>
        <w:spacing w:before="0" w:after="240" w:line="360" w:lineRule="auto"/>
        <w:ind w:left="862" w:right="862"/>
        <w:jc w:val="both"/>
        <w:rPr>
          <w:rFonts w:ascii="Arial" w:hAnsi="Arial" w:cs="Arial"/>
          <w:sz w:val="22"/>
          <w:szCs w:val="22"/>
        </w:rPr>
      </w:pPr>
      <w:r>
        <w:rPr>
          <w:rFonts w:ascii="Arial" w:hAnsi="Arial" w:cs="Arial"/>
          <w:sz w:val="22"/>
          <w:szCs w:val="22"/>
        </w:rPr>
        <w:t>“</w:t>
      </w:r>
      <w:r w:rsidR="00C35D70" w:rsidRPr="00C35D70">
        <w:rPr>
          <w:rFonts w:ascii="Arial" w:hAnsi="Arial" w:cs="Arial"/>
          <w:sz w:val="22"/>
          <w:szCs w:val="22"/>
        </w:rPr>
        <w:t>BE PLEASED TO TAKE NOTICE that, on a date to be arranged with the Registrar of this Honourabl</w:t>
      </w:r>
      <w:r w:rsidR="00A1661F">
        <w:rPr>
          <w:rFonts w:ascii="Arial" w:hAnsi="Arial" w:cs="Arial"/>
          <w:sz w:val="22"/>
          <w:szCs w:val="22"/>
        </w:rPr>
        <w:t>e</w:t>
      </w:r>
      <w:r w:rsidR="00C35D70" w:rsidRPr="00C35D70">
        <w:rPr>
          <w:rFonts w:ascii="Arial" w:hAnsi="Arial" w:cs="Arial"/>
          <w:sz w:val="22"/>
          <w:szCs w:val="22"/>
        </w:rPr>
        <w:t xml:space="preserve"> Court, the Applicant intends to make application to this Court for a rescission order in the following terms:</w:t>
      </w:r>
    </w:p>
    <w:p w14:paraId="36DF945D" w14:textId="7A971EAA" w:rsidR="00C35D70" w:rsidRPr="00C35D70" w:rsidRDefault="00C35D70" w:rsidP="00A1661F">
      <w:pPr>
        <w:pStyle w:val="Quote"/>
        <w:spacing w:before="0" w:after="240" w:line="360" w:lineRule="auto"/>
        <w:ind w:left="1440" w:right="862" w:hanging="578"/>
        <w:jc w:val="both"/>
        <w:rPr>
          <w:rFonts w:ascii="Arial" w:hAnsi="Arial" w:cs="Arial"/>
          <w:sz w:val="22"/>
          <w:szCs w:val="22"/>
        </w:rPr>
      </w:pPr>
      <w:r w:rsidRPr="00C35D70">
        <w:rPr>
          <w:rFonts w:ascii="Arial" w:hAnsi="Arial" w:cs="Arial"/>
          <w:sz w:val="22"/>
          <w:szCs w:val="22"/>
        </w:rPr>
        <w:t>1.</w:t>
      </w:r>
      <w:r w:rsidR="00A1661F">
        <w:rPr>
          <w:rFonts w:ascii="Arial" w:hAnsi="Arial" w:cs="Arial"/>
          <w:sz w:val="22"/>
          <w:szCs w:val="22"/>
        </w:rPr>
        <w:tab/>
      </w:r>
      <w:r w:rsidRPr="00C35D70">
        <w:rPr>
          <w:rFonts w:ascii="Arial" w:hAnsi="Arial" w:cs="Arial"/>
          <w:sz w:val="22"/>
          <w:szCs w:val="22"/>
        </w:rPr>
        <w:t>Reviewing and setting aside the DEFAULT JUDGMENT made by the Honourable Court in favour of the Respondent taken on 16 February 2021 and/or 19 February 2021 as filed in the case file of the founding affidavit of the Respondent (Annexure 014-3) and (Annexure 014-4) respectively.</w:t>
      </w:r>
    </w:p>
    <w:p w14:paraId="7B6BD3FF" w14:textId="280F1ECC" w:rsidR="00C35D70" w:rsidRPr="00C35D70" w:rsidRDefault="00C35D70" w:rsidP="00A1661F">
      <w:pPr>
        <w:pStyle w:val="Quote"/>
        <w:spacing w:before="0" w:after="240" w:line="360" w:lineRule="auto"/>
        <w:ind w:left="1440" w:right="862" w:hanging="578"/>
        <w:jc w:val="both"/>
        <w:rPr>
          <w:rFonts w:ascii="Arial" w:hAnsi="Arial" w:cs="Arial"/>
          <w:sz w:val="22"/>
          <w:szCs w:val="22"/>
        </w:rPr>
      </w:pPr>
      <w:r w:rsidRPr="00C35D70">
        <w:rPr>
          <w:rFonts w:ascii="Arial" w:hAnsi="Arial" w:cs="Arial"/>
          <w:sz w:val="22"/>
          <w:szCs w:val="22"/>
        </w:rPr>
        <w:t>2.</w:t>
      </w:r>
      <w:r w:rsidR="00A1661F">
        <w:rPr>
          <w:rFonts w:ascii="Arial" w:hAnsi="Arial" w:cs="Arial"/>
          <w:sz w:val="22"/>
          <w:szCs w:val="22"/>
        </w:rPr>
        <w:tab/>
      </w:r>
      <w:r w:rsidRPr="00C35D70">
        <w:rPr>
          <w:rFonts w:ascii="Arial" w:hAnsi="Arial" w:cs="Arial"/>
          <w:sz w:val="22"/>
          <w:szCs w:val="22"/>
        </w:rPr>
        <w:t>The Honourable Court to compel the respondent to fulfil its first decision and redirect the respondent to court</w:t>
      </w:r>
      <w:r w:rsidR="00052D67">
        <w:rPr>
          <w:rFonts w:ascii="Arial" w:hAnsi="Arial" w:cs="Arial"/>
          <w:sz w:val="22"/>
          <w:szCs w:val="22"/>
        </w:rPr>
        <w:t xml:space="preserve"> [sic]</w:t>
      </w:r>
      <w:r w:rsidRPr="00C35D70">
        <w:rPr>
          <w:rFonts w:ascii="Arial" w:hAnsi="Arial" w:cs="Arial"/>
          <w:sz w:val="22"/>
          <w:szCs w:val="22"/>
        </w:rPr>
        <w:t xml:space="preserve"> of first instance.</w:t>
      </w:r>
    </w:p>
    <w:p w14:paraId="05439F14" w14:textId="1B0ABA6B" w:rsidR="00C35D70" w:rsidRPr="00C35D70" w:rsidRDefault="00C35D70" w:rsidP="00A1661F">
      <w:pPr>
        <w:pStyle w:val="Quote"/>
        <w:spacing w:before="0" w:after="240" w:line="360" w:lineRule="auto"/>
        <w:ind w:left="1440" w:right="862" w:hanging="578"/>
        <w:jc w:val="both"/>
        <w:rPr>
          <w:rFonts w:ascii="Arial" w:hAnsi="Arial" w:cs="Arial"/>
          <w:sz w:val="22"/>
          <w:szCs w:val="22"/>
        </w:rPr>
      </w:pPr>
      <w:r w:rsidRPr="00C35D70">
        <w:rPr>
          <w:rFonts w:ascii="Arial" w:hAnsi="Arial" w:cs="Arial"/>
          <w:sz w:val="22"/>
          <w:szCs w:val="22"/>
        </w:rPr>
        <w:t>3.</w:t>
      </w:r>
      <w:r w:rsidR="00A1661F">
        <w:rPr>
          <w:rFonts w:ascii="Arial" w:hAnsi="Arial" w:cs="Arial"/>
          <w:sz w:val="22"/>
          <w:szCs w:val="22"/>
        </w:rPr>
        <w:tab/>
      </w:r>
      <w:r w:rsidRPr="00C35D70">
        <w:rPr>
          <w:rFonts w:ascii="Arial" w:hAnsi="Arial" w:cs="Arial"/>
          <w:sz w:val="22"/>
          <w:szCs w:val="22"/>
        </w:rPr>
        <w:t xml:space="preserve">Reviewing evidence presented and setting aside the warrant to deliver as well as the orders consequently granted as result of a Default Judgement. As it remedies the prejudice that might be occasioned by the outcome of the application to the applicant, and </w:t>
      </w:r>
      <w:r w:rsidRPr="00C35D70">
        <w:rPr>
          <w:rFonts w:ascii="Arial" w:hAnsi="Arial" w:cs="Arial"/>
          <w:sz w:val="22"/>
          <w:szCs w:val="22"/>
        </w:rPr>
        <w:lastRenderedPageBreak/>
        <w:t>that the applicant believes the respondent mislead this honourable court as shown on the affidavit by the applicant.</w:t>
      </w:r>
    </w:p>
    <w:p w14:paraId="72177EF6" w14:textId="24C0630D" w:rsidR="00C35D70" w:rsidRPr="00C35D70" w:rsidRDefault="00C35D70" w:rsidP="00A1661F">
      <w:pPr>
        <w:pStyle w:val="Quote"/>
        <w:spacing w:before="0" w:after="240" w:line="360" w:lineRule="auto"/>
        <w:ind w:left="1440" w:right="862" w:hanging="578"/>
        <w:jc w:val="both"/>
        <w:rPr>
          <w:rFonts w:ascii="Arial" w:hAnsi="Arial" w:cs="Arial"/>
          <w:sz w:val="22"/>
          <w:szCs w:val="22"/>
        </w:rPr>
      </w:pPr>
      <w:r w:rsidRPr="00C35D70">
        <w:rPr>
          <w:rFonts w:ascii="Arial" w:hAnsi="Arial" w:cs="Arial"/>
          <w:sz w:val="22"/>
          <w:szCs w:val="22"/>
        </w:rPr>
        <w:t>4.</w:t>
      </w:r>
      <w:r w:rsidR="00A1661F">
        <w:rPr>
          <w:rFonts w:ascii="Arial" w:hAnsi="Arial" w:cs="Arial"/>
          <w:sz w:val="22"/>
          <w:szCs w:val="22"/>
        </w:rPr>
        <w:tab/>
      </w:r>
      <w:r w:rsidRPr="00C35D70">
        <w:rPr>
          <w:rFonts w:ascii="Arial" w:hAnsi="Arial" w:cs="Arial"/>
          <w:sz w:val="22"/>
          <w:szCs w:val="22"/>
        </w:rPr>
        <w:t>That a suitable remedy or arbitration be instituted to resolve according to the contractual agreement:</w:t>
      </w:r>
    </w:p>
    <w:p w14:paraId="0A6EA359" w14:textId="5E35136E" w:rsidR="00C35D70" w:rsidRPr="00C35D70" w:rsidRDefault="00C35D70" w:rsidP="00A1661F">
      <w:pPr>
        <w:pStyle w:val="Quote"/>
        <w:spacing w:before="0" w:after="240" w:line="360" w:lineRule="auto"/>
        <w:ind w:left="1440" w:right="862"/>
        <w:jc w:val="both"/>
        <w:rPr>
          <w:rFonts w:ascii="Arial" w:hAnsi="Arial" w:cs="Arial"/>
          <w:sz w:val="22"/>
          <w:szCs w:val="22"/>
        </w:rPr>
      </w:pPr>
      <w:r w:rsidRPr="00C35D70">
        <w:rPr>
          <w:rFonts w:ascii="Arial" w:hAnsi="Arial" w:cs="Arial"/>
          <w:sz w:val="22"/>
          <w:szCs w:val="22"/>
        </w:rPr>
        <w:t>4.1</w:t>
      </w:r>
      <w:r w:rsidR="00A1661F">
        <w:rPr>
          <w:rFonts w:ascii="Arial" w:hAnsi="Arial" w:cs="Arial"/>
          <w:sz w:val="22"/>
          <w:szCs w:val="22"/>
        </w:rPr>
        <w:tab/>
      </w:r>
      <w:r w:rsidRPr="00C35D70">
        <w:rPr>
          <w:rFonts w:ascii="Arial" w:hAnsi="Arial" w:cs="Arial"/>
          <w:sz w:val="22"/>
          <w:szCs w:val="22"/>
        </w:rPr>
        <w:t>the Complaint resolution procedures; and</w:t>
      </w:r>
    </w:p>
    <w:p w14:paraId="517D4A19" w14:textId="245DA80D" w:rsidR="00C35D70" w:rsidRPr="00C35D70" w:rsidRDefault="00C35D70" w:rsidP="00A1661F">
      <w:pPr>
        <w:pStyle w:val="Quote"/>
        <w:spacing w:before="0" w:after="240" w:line="360" w:lineRule="auto"/>
        <w:ind w:left="1440" w:right="862"/>
        <w:jc w:val="both"/>
        <w:rPr>
          <w:rFonts w:ascii="Arial" w:hAnsi="Arial" w:cs="Arial"/>
          <w:sz w:val="22"/>
          <w:szCs w:val="22"/>
        </w:rPr>
      </w:pPr>
      <w:r w:rsidRPr="00C35D70">
        <w:rPr>
          <w:rFonts w:ascii="Arial" w:hAnsi="Arial" w:cs="Arial"/>
          <w:sz w:val="22"/>
          <w:szCs w:val="22"/>
        </w:rPr>
        <w:t>4.2</w:t>
      </w:r>
      <w:r w:rsidR="00A1661F">
        <w:rPr>
          <w:rFonts w:ascii="Arial" w:hAnsi="Arial" w:cs="Arial"/>
          <w:sz w:val="22"/>
          <w:szCs w:val="22"/>
        </w:rPr>
        <w:tab/>
      </w:r>
      <w:r w:rsidRPr="00C35D70">
        <w:rPr>
          <w:rFonts w:ascii="Arial" w:hAnsi="Arial" w:cs="Arial"/>
          <w:sz w:val="22"/>
          <w:szCs w:val="22"/>
        </w:rPr>
        <w:t>the court of first instance.</w:t>
      </w:r>
    </w:p>
    <w:p w14:paraId="7FD510C8" w14:textId="2836B9B5" w:rsidR="00C35D70" w:rsidRPr="00C35D70" w:rsidRDefault="00C35D70" w:rsidP="00A1661F">
      <w:pPr>
        <w:pStyle w:val="Quote"/>
        <w:spacing w:before="0" w:after="240" w:line="360" w:lineRule="auto"/>
        <w:ind w:left="1440" w:right="862" w:hanging="578"/>
        <w:jc w:val="both"/>
        <w:rPr>
          <w:rFonts w:ascii="Arial" w:hAnsi="Arial" w:cs="Arial"/>
          <w:sz w:val="22"/>
          <w:szCs w:val="22"/>
        </w:rPr>
      </w:pPr>
      <w:r w:rsidRPr="00C35D70">
        <w:rPr>
          <w:rFonts w:ascii="Arial" w:hAnsi="Arial" w:cs="Arial"/>
          <w:sz w:val="22"/>
          <w:szCs w:val="22"/>
        </w:rPr>
        <w:t>5.</w:t>
      </w:r>
      <w:r w:rsidR="00A1661F">
        <w:rPr>
          <w:rFonts w:ascii="Arial" w:hAnsi="Arial" w:cs="Arial"/>
          <w:sz w:val="22"/>
          <w:szCs w:val="22"/>
        </w:rPr>
        <w:tab/>
      </w:r>
      <w:r w:rsidRPr="00C35D70">
        <w:rPr>
          <w:rFonts w:ascii="Arial" w:hAnsi="Arial" w:cs="Arial"/>
          <w:sz w:val="22"/>
          <w:szCs w:val="22"/>
        </w:rPr>
        <w:t>Directing the Second Respondent to take such steps as are necessary to conform to the statutes of the vehicle finance agreement in question (Annexure C on the founding affidavit of the Respondent).</w:t>
      </w:r>
    </w:p>
    <w:p w14:paraId="7723611D" w14:textId="66064797" w:rsidR="00C35D70" w:rsidRPr="00C35D70" w:rsidRDefault="00C35D70" w:rsidP="00A1661F">
      <w:pPr>
        <w:pStyle w:val="Quote"/>
        <w:spacing w:before="0" w:after="240" w:line="360" w:lineRule="auto"/>
        <w:ind w:left="1440" w:right="862" w:hanging="578"/>
        <w:jc w:val="both"/>
        <w:rPr>
          <w:rFonts w:ascii="Arial" w:hAnsi="Arial" w:cs="Arial"/>
          <w:sz w:val="22"/>
          <w:szCs w:val="22"/>
        </w:rPr>
      </w:pPr>
      <w:r w:rsidRPr="00C35D70">
        <w:rPr>
          <w:rFonts w:ascii="Arial" w:hAnsi="Arial" w:cs="Arial"/>
          <w:sz w:val="22"/>
          <w:szCs w:val="22"/>
        </w:rPr>
        <w:t>6.</w:t>
      </w:r>
      <w:r w:rsidR="00A1661F">
        <w:rPr>
          <w:rFonts w:ascii="Arial" w:hAnsi="Arial" w:cs="Arial"/>
          <w:sz w:val="22"/>
          <w:szCs w:val="22"/>
        </w:rPr>
        <w:tab/>
      </w:r>
      <w:r w:rsidRPr="00C35D70">
        <w:rPr>
          <w:rFonts w:ascii="Arial" w:hAnsi="Arial" w:cs="Arial"/>
          <w:sz w:val="22"/>
          <w:szCs w:val="22"/>
        </w:rPr>
        <w:t>Condoning the late filing of this application in terms of section 9(2) of the Promotion of Administrative Justice Act No. 3 of 2000.</w:t>
      </w:r>
    </w:p>
    <w:p w14:paraId="45C78D7C" w14:textId="1647F4A3" w:rsidR="00C35D70" w:rsidRPr="00C35D70" w:rsidRDefault="00C35D70" w:rsidP="00A1661F">
      <w:pPr>
        <w:pStyle w:val="Quote"/>
        <w:spacing w:before="0" w:after="240" w:line="360" w:lineRule="auto"/>
        <w:ind w:left="1440" w:right="862" w:hanging="578"/>
        <w:jc w:val="both"/>
        <w:rPr>
          <w:rFonts w:ascii="Arial" w:hAnsi="Arial" w:cs="Arial"/>
          <w:sz w:val="22"/>
          <w:szCs w:val="22"/>
        </w:rPr>
      </w:pPr>
      <w:r w:rsidRPr="00C35D70">
        <w:rPr>
          <w:rFonts w:ascii="Arial" w:hAnsi="Arial" w:cs="Arial"/>
          <w:sz w:val="22"/>
          <w:szCs w:val="22"/>
        </w:rPr>
        <w:t>7.</w:t>
      </w:r>
      <w:r w:rsidR="00A1661F">
        <w:rPr>
          <w:rFonts w:ascii="Arial" w:hAnsi="Arial" w:cs="Arial"/>
          <w:sz w:val="22"/>
          <w:szCs w:val="22"/>
        </w:rPr>
        <w:tab/>
      </w:r>
      <w:r w:rsidRPr="00C35D70">
        <w:rPr>
          <w:rFonts w:ascii="Arial" w:hAnsi="Arial" w:cs="Arial"/>
          <w:sz w:val="22"/>
          <w:szCs w:val="22"/>
        </w:rPr>
        <w:t xml:space="preserve">Ordering the Respondent that oppose </w:t>
      </w:r>
      <w:r w:rsidR="00AF5005">
        <w:rPr>
          <w:rFonts w:ascii="Arial" w:hAnsi="Arial" w:cs="Arial"/>
          <w:sz w:val="22"/>
          <w:szCs w:val="22"/>
        </w:rPr>
        <w:t xml:space="preserve">[sic] </w:t>
      </w:r>
      <w:r w:rsidRPr="00C35D70">
        <w:rPr>
          <w:rFonts w:ascii="Arial" w:hAnsi="Arial" w:cs="Arial"/>
          <w:sz w:val="22"/>
          <w:szCs w:val="22"/>
        </w:rPr>
        <w:t>the relief sought by the Applicant, to pay the costs of this application jointly and severally</w:t>
      </w:r>
      <w:r w:rsidR="00AF5005">
        <w:rPr>
          <w:rFonts w:ascii="Arial" w:hAnsi="Arial" w:cs="Arial"/>
          <w:sz w:val="22"/>
          <w:szCs w:val="22"/>
        </w:rPr>
        <w:t>,</w:t>
      </w:r>
      <w:r w:rsidRPr="00C35D70">
        <w:rPr>
          <w:rFonts w:ascii="Arial" w:hAnsi="Arial" w:cs="Arial"/>
          <w:sz w:val="22"/>
          <w:szCs w:val="22"/>
        </w:rPr>
        <w:t xml:space="preserve"> the one paying the other to be absolved.</w:t>
      </w:r>
    </w:p>
    <w:p w14:paraId="238179AA" w14:textId="10DFDEB6" w:rsidR="00C35D70" w:rsidRPr="00C35D70" w:rsidRDefault="00C35D70" w:rsidP="002A2C23">
      <w:pPr>
        <w:pStyle w:val="Quote"/>
        <w:spacing w:before="0" w:after="480" w:line="360" w:lineRule="auto"/>
        <w:ind w:left="1440" w:right="862" w:hanging="578"/>
        <w:jc w:val="both"/>
        <w:rPr>
          <w:rFonts w:ascii="Arial" w:hAnsi="Arial" w:cs="Arial"/>
          <w:sz w:val="22"/>
          <w:szCs w:val="22"/>
        </w:rPr>
      </w:pPr>
      <w:r w:rsidRPr="00C35D70">
        <w:rPr>
          <w:rFonts w:ascii="Arial" w:hAnsi="Arial" w:cs="Arial"/>
          <w:sz w:val="22"/>
          <w:szCs w:val="22"/>
        </w:rPr>
        <w:t>8.</w:t>
      </w:r>
      <w:r w:rsidR="00A1661F">
        <w:rPr>
          <w:rFonts w:ascii="Arial" w:hAnsi="Arial" w:cs="Arial"/>
          <w:sz w:val="22"/>
          <w:szCs w:val="22"/>
        </w:rPr>
        <w:tab/>
      </w:r>
      <w:r w:rsidRPr="00C35D70">
        <w:rPr>
          <w:rFonts w:ascii="Arial" w:hAnsi="Arial" w:cs="Arial"/>
          <w:sz w:val="22"/>
          <w:szCs w:val="22"/>
        </w:rPr>
        <w:t>The Honourable Court re-</w:t>
      </w:r>
      <w:proofErr w:type="spellStart"/>
      <w:r w:rsidRPr="00C35D70">
        <w:rPr>
          <w:rFonts w:ascii="Arial" w:hAnsi="Arial" w:cs="Arial"/>
          <w:sz w:val="22"/>
          <w:szCs w:val="22"/>
        </w:rPr>
        <w:t>instate</w:t>
      </w:r>
      <w:proofErr w:type="spellEnd"/>
      <w:r w:rsidRPr="00C35D70">
        <w:rPr>
          <w:rFonts w:ascii="Arial" w:hAnsi="Arial" w:cs="Arial"/>
          <w:sz w:val="22"/>
          <w:szCs w:val="22"/>
        </w:rPr>
        <w:t xml:space="preserve"> and render the said contract valid and effective.</w:t>
      </w:r>
      <w:r w:rsidR="00A1661F">
        <w:rPr>
          <w:rFonts w:ascii="Arial" w:hAnsi="Arial" w:cs="Arial"/>
          <w:sz w:val="22"/>
          <w:szCs w:val="22"/>
        </w:rPr>
        <w:t>”</w:t>
      </w:r>
    </w:p>
    <w:p w14:paraId="28C6A9C3" w14:textId="7375262D" w:rsidR="00B56CF9" w:rsidRDefault="00440BBB" w:rsidP="00440BBB">
      <w:pPr>
        <w:pStyle w:val="Main"/>
        <w:numPr>
          <w:ilvl w:val="0"/>
          <w:numId w:val="0"/>
        </w:numPr>
        <w:ind w:left="709" w:hanging="709"/>
      </w:pPr>
      <w:r>
        <w:t>[9]</w:t>
      </w:r>
      <w:r>
        <w:tab/>
      </w:r>
      <w:r w:rsidR="002A2C23">
        <w:t xml:space="preserve">References in the notice of motion </w:t>
      </w:r>
      <w:r w:rsidR="00140808">
        <w:rPr>
          <w:i/>
          <w:iCs/>
        </w:rPr>
        <w:t xml:space="preserve">inter alia </w:t>
      </w:r>
      <w:r w:rsidR="002A2C23">
        <w:t xml:space="preserve">to review, the </w:t>
      </w:r>
      <w:r w:rsidR="002A2C23">
        <w:rPr>
          <w:i/>
          <w:iCs/>
        </w:rPr>
        <w:t xml:space="preserve">Promotion of Administrative Justice Act, </w:t>
      </w:r>
      <w:r w:rsidR="002A2C23" w:rsidRPr="002A2C23">
        <w:t>2000</w:t>
      </w:r>
      <w:r w:rsidR="002A2C23">
        <w:t xml:space="preserve">, </w:t>
      </w:r>
      <w:r w:rsidR="00140808">
        <w:t>and “</w:t>
      </w:r>
      <w:r w:rsidR="00140808" w:rsidRPr="00140808">
        <w:rPr>
          <w:i/>
          <w:iCs/>
        </w:rPr>
        <w:t>a suitable remedy</w:t>
      </w:r>
      <w:r w:rsidR="00140808">
        <w:t xml:space="preserve">” are </w:t>
      </w:r>
      <w:r w:rsidR="00B56CF9" w:rsidRPr="00B56CF9">
        <w:t>misplaced</w:t>
      </w:r>
      <w:r w:rsidR="00B56CF9">
        <w:t xml:space="preserve"> in the context of this matter.  I intend to proceed to consider whether the applicant has made a case for the rescission of the default judgment</w:t>
      </w:r>
      <w:r w:rsidR="008A7313">
        <w:t>.</w:t>
      </w:r>
    </w:p>
    <w:p w14:paraId="58B9B52B" w14:textId="6C96E251" w:rsidR="00AD69F4" w:rsidRDefault="00440BBB" w:rsidP="00440BBB">
      <w:pPr>
        <w:pStyle w:val="Main"/>
        <w:numPr>
          <w:ilvl w:val="0"/>
          <w:numId w:val="0"/>
        </w:numPr>
        <w:ind w:left="709" w:hanging="709"/>
      </w:pPr>
      <w:r>
        <w:t>[10]</w:t>
      </w:r>
      <w:r>
        <w:tab/>
      </w:r>
      <w:r w:rsidR="00771C7D">
        <w:t>R</w:t>
      </w:r>
      <w:r w:rsidR="00515E0D">
        <w:t>ule 31(2)(b)</w:t>
      </w:r>
      <w:r w:rsidR="00771C7D">
        <w:t xml:space="preserve"> </w:t>
      </w:r>
      <w:r w:rsidR="00E1599B">
        <w:t>permits</w:t>
      </w:r>
      <w:r w:rsidR="00C861AC">
        <w:t xml:space="preserve"> the rescission of a judgment granted by default “</w:t>
      </w:r>
      <w:r w:rsidR="00C861AC">
        <w:rPr>
          <w:i/>
          <w:iCs/>
        </w:rPr>
        <w:t>upon good cause shown</w:t>
      </w:r>
      <w:r w:rsidR="00C861AC">
        <w:t>”.</w:t>
      </w:r>
    </w:p>
    <w:p w14:paraId="25A439A9" w14:textId="021B4E48" w:rsidR="00C861AC" w:rsidRDefault="00440BBB" w:rsidP="00440BBB">
      <w:pPr>
        <w:pStyle w:val="Main"/>
        <w:numPr>
          <w:ilvl w:val="0"/>
          <w:numId w:val="0"/>
        </w:numPr>
        <w:ind w:left="709" w:hanging="709"/>
      </w:pPr>
      <w:r>
        <w:t>[11]</w:t>
      </w:r>
      <w:r>
        <w:tab/>
      </w:r>
      <w:r w:rsidR="00F41F79">
        <w:t>To show g</w:t>
      </w:r>
      <w:r w:rsidR="00C15A14">
        <w:t xml:space="preserve">ood cause, it is trite, </w:t>
      </w:r>
      <w:r w:rsidR="00F41F79">
        <w:t>an applicant must:</w:t>
      </w:r>
    </w:p>
    <w:p w14:paraId="24EFF9D2" w14:textId="26C22BE9" w:rsidR="00F41F79" w:rsidRDefault="00440BBB" w:rsidP="00440BBB">
      <w:pPr>
        <w:pStyle w:val="Indent"/>
        <w:numPr>
          <w:ilvl w:val="0"/>
          <w:numId w:val="0"/>
        </w:numPr>
        <w:ind w:left="1418" w:hanging="709"/>
      </w:pPr>
      <w:r>
        <w:t>11.1.</w:t>
      </w:r>
      <w:r>
        <w:tab/>
      </w:r>
      <w:r w:rsidR="00F41F79">
        <w:t xml:space="preserve">give a reasonable explanation of her </w:t>
      </w:r>
      <w:proofErr w:type="gramStart"/>
      <w:r w:rsidR="00F41F79">
        <w:t>default;</w:t>
      </w:r>
      <w:proofErr w:type="gramEnd"/>
    </w:p>
    <w:p w14:paraId="3971C29A" w14:textId="4DB152CC" w:rsidR="004C6939" w:rsidRDefault="00440BBB" w:rsidP="00440BBB">
      <w:pPr>
        <w:pStyle w:val="Indent"/>
        <w:numPr>
          <w:ilvl w:val="0"/>
          <w:numId w:val="0"/>
        </w:numPr>
        <w:ind w:left="1418" w:hanging="709"/>
      </w:pPr>
      <w:r>
        <w:lastRenderedPageBreak/>
        <w:t>11.2.</w:t>
      </w:r>
      <w:r>
        <w:tab/>
      </w:r>
      <w:r w:rsidR="004C6939">
        <w:t xml:space="preserve">show that she has a </w:t>
      </w:r>
      <w:r w:rsidR="004C6939">
        <w:rPr>
          <w:i/>
          <w:iCs/>
        </w:rPr>
        <w:t>bona fide</w:t>
      </w:r>
      <w:r w:rsidR="004C6939">
        <w:t xml:space="preserve"> defence to the claim;</w:t>
      </w:r>
      <w:r w:rsidR="007A26AE">
        <w:t xml:space="preserve"> and</w:t>
      </w:r>
    </w:p>
    <w:p w14:paraId="09740237" w14:textId="430FBC23" w:rsidR="004C6939" w:rsidRDefault="00440BBB" w:rsidP="00440BBB">
      <w:pPr>
        <w:pStyle w:val="Indent"/>
        <w:numPr>
          <w:ilvl w:val="0"/>
          <w:numId w:val="0"/>
        </w:numPr>
        <w:ind w:left="1418" w:hanging="709"/>
      </w:pPr>
      <w:r>
        <w:t>11.3.</w:t>
      </w:r>
      <w:r>
        <w:tab/>
      </w:r>
      <w:r w:rsidR="007A26AE">
        <w:t xml:space="preserve">show that the application is </w:t>
      </w:r>
      <w:r w:rsidR="007A26AE">
        <w:rPr>
          <w:i/>
          <w:iCs/>
        </w:rPr>
        <w:t>bona fide</w:t>
      </w:r>
      <w:r w:rsidR="007A26AE">
        <w:t xml:space="preserve"> and not made merely to delay the claim.</w:t>
      </w:r>
      <w:r w:rsidR="007A26AE">
        <w:rPr>
          <w:rStyle w:val="FootnoteReference"/>
        </w:rPr>
        <w:footnoteReference w:id="2"/>
      </w:r>
    </w:p>
    <w:p w14:paraId="46EC55AB" w14:textId="3BF1B73F" w:rsidR="00415BF6" w:rsidRDefault="00440BBB" w:rsidP="00440BBB">
      <w:pPr>
        <w:pStyle w:val="Main"/>
        <w:numPr>
          <w:ilvl w:val="0"/>
          <w:numId w:val="0"/>
        </w:numPr>
        <w:ind w:left="709" w:hanging="709"/>
      </w:pPr>
      <w:r>
        <w:t>[12]</w:t>
      </w:r>
      <w:r>
        <w:tab/>
      </w:r>
      <w:r w:rsidR="00415BF6">
        <w:t xml:space="preserve">It is equally trite </w:t>
      </w:r>
      <w:r w:rsidR="007A1872">
        <w:t xml:space="preserve">that </w:t>
      </w:r>
      <w:r w:rsidR="00DE16E5">
        <w:t>an applicant’s explanation for her default must be sufficiently full so that the Court is able to understand how it came about and to assess</w:t>
      </w:r>
      <w:r w:rsidR="003D2B95">
        <w:t xml:space="preserve"> the applicant’s </w:t>
      </w:r>
      <w:r w:rsidR="003D2B95">
        <w:rPr>
          <w:i/>
          <w:iCs/>
        </w:rPr>
        <w:t>bona fides</w:t>
      </w:r>
      <w:r w:rsidR="003D2B95">
        <w:t>.</w:t>
      </w:r>
      <w:r w:rsidR="003D2B95">
        <w:rPr>
          <w:rStyle w:val="FootnoteReference"/>
        </w:rPr>
        <w:footnoteReference w:id="3"/>
      </w:r>
    </w:p>
    <w:p w14:paraId="64201F00" w14:textId="7C21E8ED" w:rsidR="00A7303F" w:rsidRDefault="00440BBB" w:rsidP="00440BBB">
      <w:pPr>
        <w:pStyle w:val="Main"/>
        <w:numPr>
          <w:ilvl w:val="0"/>
          <w:numId w:val="0"/>
        </w:numPr>
        <w:ind w:left="709" w:hanging="709"/>
      </w:pPr>
      <w:r>
        <w:t>[13]</w:t>
      </w:r>
      <w:r>
        <w:tab/>
      </w:r>
      <w:r w:rsidR="00012E48">
        <w:t>Rule 42</w:t>
      </w:r>
      <w:r w:rsidR="00252E39">
        <w:t>(1)(a)</w:t>
      </w:r>
      <w:r w:rsidR="00860963">
        <w:t xml:space="preserve"> </w:t>
      </w:r>
      <w:r w:rsidR="00BD6701">
        <w:t xml:space="preserve">is an aid to a judgment debtor </w:t>
      </w:r>
      <w:r w:rsidR="000163A0">
        <w:t>to res</w:t>
      </w:r>
      <w:r w:rsidR="003C33EA">
        <w:t xml:space="preserve">cind a </w:t>
      </w:r>
      <w:r w:rsidR="00BD6701">
        <w:t>judgment</w:t>
      </w:r>
      <w:r w:rsidR="006653B2">
        <w:t xml:space="preserve"> granted in her absence</w:t>
      </w:r>
      <w:r w:rsidR="00BD6701">
        <w:t xml:space="preserve"> to which the judgment creditor was procedurally not entitled.</w:t>
      </w:r>
      <w:r w:rsidR="00A344F0">
        <w:rPr>
          <w:rStyle w:val="FootnoteReference"/>
        </w:rPr>
        <w:footnoteReference w:id="4"/>
      </w:r>
      <w:r w:rsidR="00DB7E11">
        <w:t xml:space="preserve">  </w:t>
      </w:r>
      <w:r w:rsidR="00A7303F">
        <w:t>The subsequent disclosure of a defence does not transform a judgment, which had been validly obtained, into an erroneous order.</w:t>
      </w:r>
      <w:r w:rsidR="00A7303F">
        <w:rPr>
          <w:rStyle w:val="FootnoteReference"/>
        </w:rPr>
        <w:footnoteReference w:id="5"/>
      </w:r>
    </w:p>
    <w:p w14:paraId="121914F5" w14:textId="02219519" w:rsidR="00991C8C" w:rsidRDefault="00286C41" w:rsidP="00286C41">
      <w:pPr>
        <w:pStyle w:val="Heading1"/>
      </w:pPr>
      <w:r>
        <w:t>The grounds for rescission</w:t>
      </w:r>
    </w:p>
    <w:p w14:paraId="034FA7A9" w14:textId="2F376B73" w:rsidR="00286C41" w:rsidRDefault="00440BBB" w:rsidP="00440BBB">
      <w:pPr>
        <w:pStyle w:val="Main"/>
        <w:numPr>
          <w:ilvl w:val="0"/>
          <w:numId w:val="0"/>
        </w:numPr>
        <w:ind w:left="709" w:hanging="709"/>
      </w:pPr>
      <w:r>
        <w:t>[14]</w:t>
      </w:r>
      <w:r>
        <w:tab/>
      </w:r>
      <w:r w:rsidR="00CB4A1A">
        <w:t xml:space="preserve">One can distil four </w:t>
      </w:r>
      <w:r w:rsidR="006215FF">
        <w:t xml:space="preserve">discernible </w:t>
      </w:r>
      <w:r w:rsidR="00286C41">
        <w:t>grounds for rescission</w:t>
      </w:r>
      <w:r w:rsidR="00CB4A1A">
        <w:t xml:space="preserve"> from the supporting affidavit</w:t>
      </w:r>
      <w:r w:rsidR="00286C41">
        <w:t>:</w:t>
      </w:r>
    </w:p>
    <w:p w14:paraId="35BFA838" w14:textId="7E9EDAA8" w:rsidR="00286C41" w:rsidRDefault="00440BBB" w:rsidP="00440BBB">
      <w:pPr>
        <w:pStyle w:val="Indent"/>
        <w:numPr>
          <w:ilvl w:val="0"/>
          <w:numId w:val="0"/>
        </w:numPr>
        <w:ind w:left="1418" w:hanging="709"/>
      </w:pPr>
      <w:r>
        <w:t>14.1.</w:t>
      </w:r>
      <w:r>
        <w:tab/>
      </w:r>
      <w:r w:rsidR="00CB4A1A">
        <w:t>the applicant</w:t>
      </w:r>
      <w:r w:rsidR="004918B6">
        <w:t xml:space="preserve"> did not receive service of the </w:t>
      </w:r>
      <w:proofErr w:type="gramStart"/>
      <w:r w:rsidR="004918B6">
        <w:t>summons;</w:t>
      </w:r>
      <w:proofErr w:type="gramEnd"/>
    </w:p>
    <w:p w14:paraId="049EB2DF" w14:textId="009210E5" w:rsidR="004918B6" w:rsidRDefault="00440BBB" w:rsidP="00440BBB">
      <w:pPr>
        <w:pStyle w:val="Indent"/>
        <w:numPr>
          <w:ilvl w:val="0"/>
          <w:numId w:val="0"/>
        </w:numPr>
        <w:ind w:left="1418" w:hanging="709"/>
      </w:pPr>
      <w:r>
        <w:t>14.2.</w:t>
      </w:r>
      <w:r>
        <w:tab/>
      </w:r>
      <w:r w:rsidR="00CB4A1A">
        <w:t xml:space="preserve">the applicant </w:t>
      </w:r>
      <w:r w:rsidR="00F03519">
        <w:t xml:space="preserve">was not invited to the </w:t>
      </w:r>
      <w:proofErr w:type="spellStart"/>
      <w:r w:rsidR="00F03519">
        <w:t>CaseLines</w:t>
      </w:r>
      <w:proofErr w:type="spellEnd"/>
      <w:r w:rsidR="00F03519">
        <w:t xml:space="preserve"> </w:t>
      </w:r>
      <w:proofErr w:type="gramStart"/>
      <w:r w:rsidR="00F03519">
        <w:t>file;</w:t>
      </w:r>
      <w:proofErr w:type="gramEnd"/>
    </w:p>
    <w:p w14:paraId="20513931" w14:textId="7213E701" w:rsidR="00F03519" w:rsidRDefault="00440BBB" w:rsidP="00440BBB">
      <w:pPr>
        <w:pStyle w:val="Indent"/>
        <w:numPr>
          <w:ilvl w:val="0"/>
          <w:numId w:val="0"/>
        </w:numPr>
        <w:ind w:left="1418" w:hanging="709"/>
      </w:pPr>
      <w:r>
        <w:t>14.3.</w:t>
      </w:r>
      <w:r>
        <w:tab/>
      </w:r>
      <w:r w:rsidR="008F4C31">
        <w:t>the respondent chose not to refer the matter to mediation;</w:t>
      </w:r>
      <w:r w:rsidR="00F40593">
        <w:t xml:space="preserve"> and</w:t>
      </w:r>
    </w:p>
    <w:p w14:paraId="2967F00F" w14:textId="204AD681" w:rsidR="008F4C31" w:rsidRDefault="00440BBB" w:rsidP="00440BBB">
      <w:pPr>
        <w:pStyle w:val="Indent"/>
        <w:numPr>
          <w:ilvl w:val="0"/>
          <w:numId w:val="0"/>
        </w:numPr>
        <w:ind w:left="1418" w:hanging="709"/>
      </w:pPr>
      <w:r>
        <w:t>14.4.</w:t>
      </w:r>
      <w:r>
        <w:tab/>
      </w:r>
      <w:r w:rsidR="006F331D">
        <w:t>the respondent’s statements of account are inaccurate</w:t>
      </w:r>
      <w:r w:rsidR="00F40593">
        <w:t>.</w:t>
      </w:r>
    </w:p>
    <w:p w14:paraId="41FD1D7F" w14:textId="42717FB7" w:rsidR="0030192A" w:rsidRDefault="00F40593" w:rsidP="00F40593">
      <w:pPr>
        <w:pStyle w:val="Heading1"/>
      </w:pPr>
      <w:r>
        <w:lastRenderedPageBreak/>
        <w:t>Receipt of the summons</w:t>
      </w:r>
    </w:p>
    <w:p w14:paraId="257CC52C" w14:textId="78EFBDA2" w:rsidR="00F40593" w:rsidRDefault="00440BBB" w:rsidP="00440BBB">
      <w:pPr>
        <w:pStyle w:val="Main"/>
        <w:numPr>
          <w:ilvl w:val="0"/>
          <w:numId w:val="0"/>
        </w:numPr>
        <w:ind w:left="709" w:hanging="709"/>
      </w:pPr>
      <w:r>
        <w:t>[15]</w:t>
      </w:r>
      <w:r>
        <w:tab/>
      </w:r>
      <w:r w:rsidR="00593AA4">
        <w:t>The sheriff’s return of service indicates that he served the summons at the applicant’s place of residence on a</w:t>
      </w:r>
      <w:r w:rsidR="00060717">
        <w:t xml:space="preserve"> Mr Colin Mncube on 20 January 2021.</w:t>
      </w:r>
    </w:p>
    <w:p w14:paraId="4C73C7D9" w14:textId="3514C5A9" w:rsidR="006215FF" w:rsidRDefault="00440BBB" w:rsidP="00440BBB">
      <w:pPr>
        <w:pStyle w:val="Main"/>
        <w:numPr>
          <w:ilvl w:val="0"/>
          <w:numId w:val="0"/>
        </w:numPr>
        <w:ind w:left="709" w:hanging="709"/>
      </w:pPr>
      <w:r>
        <w:t>[16]</w:t>
      </w:r>
      <w:r>
        <w:tab/>
      </w:r>
      <w:r w:rsidR="006215FF">
        <w:t xml:space="preserve">The return of service of a sheriff is </w:t>
      </w:r>
      <w:r w:rsidR="006215FF">
        <w:rPr>
          <w:i/>
          <w:iCs/>
        </w:rPr>
        <w:t>prima facie</w:t>
      </w:r>
      <w:r w:rsidR="006215FF">
        <w:t xml:space="preserve"> proof of the contents thereof.</w:t>
      </w:r>
      <w:r w:rsidR="006215FF">
        <w:rPr>
          <w:rStyle w:val="FootnoteReference"/>
        </w:rPr>
        <w:footnoteReference w:id="6"/>
      </w:r>
      <w:r w:rsidR="006215FF">
        <w:t xml:space="preserve">  A party may challenge the content of a return but to succeed, such a challenge needs to be supported by clear and convincing evidence of the </w:t>
      </w:r>
      <w:r w:rsidR="006215FF" w:rsidRPr="00AB2AC6">
        <w:t>incorrectness</w:t>
      </w:r>
      <w:r w:rsidR="006215FF">
        <w:t xml:space="preserve"> of the return.</w:t>
      </w:r>
      <w:r w:rsidR="006215FF">
        <w:rPr>
          <w:rStyle w:val="FootnoteReference"/>
        </w:rPr>
        <w:footnoteReference w:id="7"/>
      </w:r>
    </w:p>
    <w:p w14:paraId="4DDFE248" w14:textId="79470842" w:rsidR="00AC625E" w:rsidRDefault="00440BBB" w:rsidP="00440BBB">
      <w:pPr>
        <w:pStyle w:val="Main"/>
        <w:numPr>
          <w:ilvl w:val="0"/>
          <w:numId w:val="0"/>
        </w:numPr>
        <w:ind w:left="709" w:hanging="709"/>
      </w:pPr>
      <w:r>
        <w:t>[17]</w:t>
      </w:r>
      <w:r>
        <w:tab/>
      </w:r>
      <w:r w:rsidR="00060717">
        <w:t xml:space="preserve">In her founding affidavit, the applicant </w:t>
      </w:r>
      <w:r w:rsidR="00D710C7">
        <w:t xml:space="preserve">states that she </w:t>
      </w:r>
      <w:r w:rsidR="0057580E">
        <w:t>was</w:t>
      </w:r>
      <w:r w:rsidR="00D710C7">
        <w:t xml:space="preserve"> at home at the time the summons was served</w:t>
      </w:r>
      <w:r w:rsidR="00F142D8">
        <w:t xml:space="preserve"> and that she would according</w:t>
      </w:r>
      <w:r w:rsidR="006215FF">
        <w:t>ly</w:t>
      </w:r>
      <w:r w:rsidR="00F142D8">
        <w:t xml:space="preserve"> have received it personally</w:t>
      </w:r>
      <w:r w:rsidR="006215FF">
        <w:t xml:space="preserve"> had the sheriff in fact attempted service</w:t>
      </w:r>
      <w:r w:rsidR="00D710C7">
        <w:t>.</w:t>
      </w:r>
      <w:r w:rsidR="0057580E">
        <w:t xml:space="preserve">  Her allegation is </w:t>
      </w:r>
      <w:r w:rsidR="00C43DD4">
        <w:t xml:space="preserve">purportedly </w:t>
      </w:r>
      <w:r w:rsidR="0057580E">
        <w:t>supported by her E-Toll account and a detailed trip log obtained from her car tracking company.</w:t>
      </w:r>
    </w:p>
    <w:p w14:paraId="553C6245" w14:textId="3E485DE6" w:rsidR="0057580E" w:rsidRDefault="00440BBB" w:rsidP="00440BBB">
      <w:pPr>
        <w:pStyle w:val="Main"/>
        <w:numPr>
          <w:ilvl w:val="0"/>
          <w:numId w:val="0"/>
        </w:numPr>
        <w:ind w:left="709" w:hanging="709"/>
      </w:pPr>
      <w:r>
        <w:t>[18]</w:t>
      </w:r>
      <w:r>
        <w:tab/>
      </w:r>
      <w:r w:rsidR="006215FF">
        <w:t xml:space="preserve">The E-Toll account </w:t>
      </w:r>
      <w:r w:rsidR="0057580E">
        <w:t xml:space="preserve">does not, in my view, take the matter any further than to confirm </w:t>
      </w:r>
      <w:r w:rsidR="006215FF">
        <w:t>the registration number of the vehicle that is the subject of the instalment sale agreement.</w:t>
      </w:r>
      <w:r w:rsidR="003959C5">
        <w:t xml:space="preserve">  </w:t>
      </w:r>
      <w:r w:rsidR="00C43DD4">
        <w:t>Further, t</w:t>
      </w:r>
      <w:r w:rsidR="003959C5">
        <w:t xml:space="preserve">he </w:t>
      </w:r>
      <w:r w:rsidR="00C43DD4">
        <w:t xml:space="preserve">date of the car tracking data is problematic.  The report </w:t>
      </w:r>
      <w:r w:rsidR="0057580E">
        <w:t xml:space="preserve">indicates </w:t>
      </w:r>
      <w:r w:rsidR="00C43DD4">
        <w:t>that it sets out movements of the applicant’s vehicle on 3 September 2016.  The tracking data thus offers the applicant no assistance.</w:t>
      </w:r>
    </w:p>
    <w:p w14:paraId="4AC3E6EE" w14:textId="425B2933" w:rsidR="00060717" w:rsidRDefault="00440BBB" w:rsidP="00440BBB">
      <w:pPr>
        <w:pStyle w:val="Main"/>
        <w:numPr>
          <w:ilvl w:val="0"/>
          <w:numId w:val="0"/>
        </w:numPr>
        <w:ind w:left="709" w:hanging="709"/>
      </w:pPr>
      <w:r>
        <w:t>[19]</w:t>
      </w:r>
      <w:r>
        <w:tab/>
      </w:r>
      <w:r w:rsidR="003959C5">
        <w:t>The applicant</w:t>
      </w:r>
      <w:r w:rsidR="00D710C7">
        <w:t xml:space="preserve"> </w:t>
      </w:r>
      <w:r w:rsidR="00060717">
        <w:t>denies knowing Mr Mncube</w:t>
      </w:r>
      <w:r w:rsidR="00C43DD4">
        <w:t>, upon whom the sheriff states that he served the summons.  The applicant suggests</w:t>
      </w:r>
      <w:r w:rsidR="007D321A">
        <w:t xml:space="preserve"> that </w:t>
      </w:r>
      <w:r w:rsidR="00D710C7">
        <w:t xml:space="preserve">none of the other three </w:t>
      </w:r>
      <w:r w:rsidR="007D321A">
        <w:t>residen</w:t>
      </w:r>
      <w:r w:rsidR="00D710C7">
        <w:t>ts</w:t>
      </w:r>
      <w:r w:rsidR="007D321A">
        <w:t xml:space="preserve"> at the premises knows Mr Mncube.</w:t>
      </w:r>
      <w:r w:rsidR="00D710C7">
        <w:t xml:space="preserve"> </w:t>
      </w:r>
      <w:r w:rsidR="003959C5">
        <w:t xml:space="preserve"> The applicant does not name </w:t>
      </w:r>
      <w:r w:rsidR="003959C5">
        <w:lastRenderedPageBreak/>
        <w:t xml:space="preserve">these </w:t>
      </w:r>
      <w:r w:rsidR="00C43DD4">
        <w:t>residents,</w:t>
      </w:r>
      <w:r w:rsidR="003959C5">
        <w:t xml:space="preserve"> nor </w:t>
      </w:r>
      <w:r w:rsidR="00C43DD4">
        <w:t xml:space="preserve">does she </w:t>
      </w:r>
      <w:r w:rsidR="003959C5">
        <w:t xml:space="preserve">provide affidavits from them confirming this hearsay evidence.  The </w:t>
      </w:r>
      <w:r w:rsidR="00C43DD4">
        <w:t xml:space="preserve">papers contain an </w:t>
      </w:r>
      <w:r w:rsidR="003959C5">
        <w:t xml:space="preserve">affidavit of a Mrs </w:t>
      </w:r>
      <w:proofErr w:type="spellStart"/>
      <w:r w:rsidR="003959C5">
        <w:t>Albertinah</w:t>
      </w:r>
      <w:proofErr w:type="spellEnd"/>
      <w:r w:rsidR="003959C5">
        <w:t xml:space="preserve"> </w:t>
      </w:r>
      <w:proofErr w:type="spellStart"/>
      <w:r w:rsidR="003959C5">
        <w:t>Nthabeleng</w:t>
      </w:r>
      <w:proofErr w:type="spellEnd"/>
      <w:r w:rsidR="003959C5">
        <w:t xml:space="preserve"> </w:t>
      </w:r>
      <w:proofErr w:type="spellStart"/>
      <w:r w:rsidR="003959C5">
        <w:t>Nenzinane</w:t>
      </w:r>
      <w:proofErr w:type="spellEnd"/>
      <w:r w:rsidR="00C43DD4">
        <w:t>, reportedly a neighbour of the applicant.  The affidavit, however, does not mention Mr Mncube</w:t>
      </w:r>
      <w:r w:rsidR="003959C5">
        <w:t>.</w:t>
      </w:r>
    </w:p>
    <w:p w14:paraId="4E812C9A" w14:textId="3E3640A7" w:rsidR="003959C5" w:rsidRDefault="00440BBB" w:rsidP="00440BBB">
      <w:pPr>
        <w:pStyle w:val="Main"/>
        <w:numPr>
          <w:ilvl w:val="0"/>
          <w:numId w:val="0"/>
        </w:numPr>
        <w:ind w:left="709" w:hanging="709"/>
      </w:pPr>
      <w:r>
        <w:t>[20]</w:t>
      </w:r>
      <w:r>
        <w:tab/>
      </w:r>
      <w:r w:rsidR="00855372">
        <w:t xml:space="preserve">If indeed the sheriff did not serve the </w:t>
      </w:r>
      <w:r w:rsidR="00216288">
        <w:t>summons</w:t>
      </w:r>
      <w:r w:rsidR="00855372">
        <w:t xml:space="preserve"> that would </w:t>
      </w:r>
      <w:r w:rsidR="00216288">
        <w:t xml:space="preserve">constitute a basis for the rescission of the summons.  However, </w:t>
      </w:r>
      <w:r w:rsidR="00C43DD4">
        <w:t xml:space="preserve">the applicant failed to adduce clear and convincing evidence indicating </w:t>
      </w:r>
      <w:r w:rsidR="003959C5">
        <w:t xml:space="preserve">the sheriff’s return of service </w:t>
      </w:r>
      <w:r w:rsidR="00C43DD4">
        <w:t>to be</w:t>
      </w:r>
      <w:r w:rsidR="003959C5">
        <w:t xml:space="preserve"> incorrect.</w:t>
      </w:r>
    </w:p>
    <w:p w14:paraId="4219C66A" w14:textId="63E430B4" w:rsidR="003959C5" w:rsidRDefault="003959C5" w:rsidP="003959C5">
      <w:pPr>
        <w:pStyle w:val="Heading1"/>
      </w:pPr>
      <w:r>
        <w:t xml:space="preserve">Invitation to </w:t>
      </w:r>
      <w:proofErr w:type="spellStart"/>
      <w:r>
        <w:t>CaseLines</w:t>
      </w:r>
      <w:proofErr w:type="spellEnd"/>
    </w:p>
    <w:p w14:paraId="1A4D5F85" w14:textId="75E3C62A" w:rsidR="003959C5" w:rsidRDefault="00440BBB" w:rsidP="00440BBB">
      <w:pPr>
        <w:pStyle w:val="Main"/>
        <w:numPr>
          <w:ilvl w:val="0"/>
          <w:numId w:val="0"/>
        </w:numPr>
        <w:ind w:left="709" w:hanging="709"/>
      </w:pPr>
      <w:r>
        <w:t>[21]</w:t>
      </w:r>
      <w:r>
        <w:tab/>
      </w:r>
      <w:r w:rsidR="00C43DD4">
        <w:t xml:space="preserve">I do not view the absence of an invitation to the </w:t>
      </w:r>
      <w:proofErr w:type="spellStart"/>
      <w:r w:rsidR="00C43DD4">
        <w:t>CaseLines</w:t>
      </w:r>
      <w:proofErr w:type="spellEnd"/>
      <w:r w:rsidR="00C43DD4">
        <w:t xml:space="preserve"> files as an irregularit</w:t>
      </w:r>
      <w:r w:rsidR="001F6DEA">
        <w:t xml:space="preserve">y under circumstances where a defendant has not entered an appearance to defend.  Be that as it may, the </w:t>
      </w:r>
      <w:proofErr w:type="spellStart"/>
      <w:r w:rsidR="001F6DEA">
        <w:t>CaseLines</w:t>
      </w:r>
      <w:proofErr w:type="spellEnd"/>
      <w:r w:rsidR="001F6DEA">
        <w:t xml:space="preserve"> audit trail shows the applicant to have been </w:t>
      </w:r>
      <w:r w:rsidR="0000633B">
        <w:t xml:space="preserve">invited to the </w:t>
      </w:r>
      <w:proofErr w:type="spellStart"/>
      <w:r w:rsidR="0000633B">
        <w:t>CaseLines</w:t>
      </w:r>
      <w:proofErr w:type="spellEnd"/>
      <w:r w:rsidR="0000633B">
        <w:t xml:space="preserve"> file on the same day</w:t>
      </w:r>
      <w:r w:rsidR="001F6DEA">
        <w:t xml:space="preserve"> that the application for default judgment was uploaded, 4 February 2021.  The applicant </w:t>
      </w:r>
      <w:r w:rsidR="0000633B">
        <w:t xml:space="preserve">does not appear to have accessed the </w:t>
      </w:r>
      <w:proofErr w:type="spellStart"/>
      <w:r w:rsidR="0000633B">
        <w:t>CaseLines</w:t>
      </w:r>
      <w:proofErr w:type="spellEnd"/>
      <w:r w:rsidR="0000633B">
        <w:t xml:space="preserve"> file until 2 June 2022</w:t>
      </w:r>
      <w:r w:rsidR="001F6DEA">
        <w:t>, a fact which can hardly be laid at the door of the respondent</w:t>
      </w:r>
      <w:r w:rsidR="0000633B">
        <w:t>.</w:t>
      </w:r>
    </w:p>
    <w:p w14:paraId="240C2614" w14:textId="7922A29C" w:rsidR="0000633B" w:rsidRDefault="001F6DEA" w:rsidP="001F6DEA">
      <w:pPr>
        <w:pStyle w:val="Heading1"/>
      </w:pPr>
      <w:r>
        <w:t>Mediation</w:t>
      </w:r>
    </w:p>
    <w:p w14:paraId="68652139" w14:textId="70F4AED3" w:rsidR="001F6DEA" w:rsidRDefault="00440BBB" w:rsidP="00440BBB">
      <w:pPr>
        <w:pStyle w:val="Main"/>
        <w:numPr>
          <w:ilvl w:val="0"/>
          <w:numId w:val="0"/>
        </w:numPr>
        <w:ind w:left="709" w:hanging="709"/>
      </w:pPr>
      <w:r>
        <w:t>[22]</w:t>
      </w:r>
      <w:r>
        <w:tab/>
      </w:r>
      <w:r w:rsidR="001F6DEA">
        <w:t>The mediation process set out in rule 41A is entirely voluntary.  The court is not empowered to direct the parties to subject the dispute between them to mediation.</w:t>
      </w:r>
      <w:r w:rsidR="001F6DEA">
        <w:rPr>
          <w:rStyle w:val="FootnoteReference"/>
        </w:rPr>
        <w:footnoteReference w:id="8"/>
      </w:r>
      <w:r w:rsidR="001F6DEA">
        <w:t xml:space="preserve">  It follows that a party’s election not to engage in mediation does not impact upon the validity and correctness of a judgment granted</w:t>
      </w:r>
      <w:r w:rsidR="00CB4A1A">
        <w:t>.</w:t>
      </w:r>
    </w:p>
    <w:p w14:paraId="25223AA1" w14:textId="1B274BF9" w:rsidR="00CB4A1A" w:rsidRDefault="00CB4A1A" w:rsidP="00CB4A1A">
      <w:pPr>
        <w:pStyle w:val="Heading1"/>
      </w:pPr>
      <w:r>
        <w:lastRenderedPageBreak/>
        <w:t>Inaccuracies in the statements of account</w:t>
      </w:r>
    </w:p>
    <w:p w14:paraId="594E5229" w14:textId="1DBDA539" w:rsidR="00CB4A1A" w:rsidRDefault="00440BBB" w:rsidP="00440BBB">
      <w:pPr>
        <w:pStyle w:val="Main"/>
        <w:numPr>
          <w:ilvl w:val="0"/>
          <w:numId w:val="0"/>
        </w:numPr>
        <w:ind w:left="709" w:hanging="709"/>
      </w:pPr>
      <w:r>
        <w:t>[23]</w:t>
      </w:r>
      <w:r>
        <w:tab/>
      </w:r>
      <w:r w:rsidR="00CB4A1A">
        <w:t>The sole defence the applicant puts up to the merits of the respondent’s claim is that the respondent levied impermissible charges.  The applicant specifically refers to an “NCA Service Fee”, “VAP Premium Cover” and various interest charges.  The applicant contends that she queried these charges with the respondent but received no feedback.  Crucially, the applicant admits that she “</w:t>
      </w:r>
      <w:r w:rsidR="00CB4A1A">
        <w:rPr>
          <w:i/>
          <w:iCs/>
        </w:rPr>
        <w:t>defaulted during this dispute, as the weight weighed heavily</w:t>
      </w:r>
      <w:r w:rsidR="00CB4A1A">
        <w:t>”.  The applicant does not suggest that she kept her payments but for the disputed charges up to date.</w:t>
      </w:r>
    </w:p>
    <w:p w14:paraId="3A12AA42" w14:textId="56052086" w:rsidR="00CB4A1A" w:rsidRDefault="00440BBB" w:rsidP="00440BBB">
      <w:pPr>
        <w:pStyle w:val="Main"/>
        <w:numPr>
          <w:ilvl w:val="0"/>
          <w:numId w:val="0"/>
        </w:numPr>
        <w:ind w:left="709" w:hanging="709"/>
      </w:pPr>
      <w:r>
        <w:t>[24]</w:t>
      </w:r>
      <w:r>
        <w:tab/>
      </w:r>
      <w:r w:rsidR="00CB4A1A">
        <w:t xml:space="preserve">The applicant’s admission of default places her within the ambit of clause 13 of the instalment sale agreement.  That clause empowers the respondent, upon breach by the applicant, </w:t>
      </w:r>
      <w:r w:rsidR="00CB4A1A">
        <w:rPr>
          <w:i/>
          <w:iCs/>
        </w:rPr>
        <w:t xml:space="preserve">inter alia </w:t>
      </w:r>
      <w:r w:rsidR="00CB4A1A">
        <w:t xml:space="preserve">to take possession of the vehicle in terms of an attachment order.  Defaulting on her payment obligations constitutes a breach of the agreement.  </w:t>
      </w:r>
      <w:r w:rsidR="009C7CBD">
        <w:t xml:space="preserve">The amount in which the applicant was in arrears is immaterial to the present process; the respondent sought and obtained only the cancellation of the agreement and the return of the vehicle.  </w:t>
      </w:r>
      <w:r w:rsidR="00CB4A1A">
        <w:t>The respondent acted within its rights</w:t>
      </w:r>
      <w:r w:rsidR="009C7CBD">
        <w:t xml:space="preserve"> in doing so</w:t>
      </w:r>
      <w:r w:rsidR="00CB4A1A">
        <w:t>.</w:t>
      </w:r>
    </w:p>
    <w:p w14:paraId="772FC8AB" w14:textId="0B330076" w:rsidR="00CB4A1A" w:rsidRDefault="009C7CBD" w:rsidP="009C7CBD">
      <w:pPr>
        <w:pStyle w:val="Heading1"/>
      </w:pPr>
      <w:r>
        <w:t>Conclusion</w:t>
      </w:r>
    </w:p>
    <w:p w14:paraId="6C277FB4" w14:textId="38EF7916" w:rsidR="009C7CBD" w:rsidRDefault="00440BBB" w:rsidP="00440BBB">
      <w:pPr>
        <w:pStyle w:val="Main"/>
        <w:numPr>
          <w:ilvl w:val="0"/>
          <w:numId w:val="0"/>
        </w:numPr>
        <w:ind w:left="709" w:hanging="709"/>
      </w:pPr>
      <w:r>
        <w:t>[25]</w:t>
      </w:r>
      <w:r>
        <w:tab/>
      </w:r>
      <w:r w:rsidR="009C7CBD">
        <w:t xml:space="preserve">It follows that the applicant has not shown good cause for the rescission of the default judgment against her.  She offers neither a satisfactory explanation for her default in entering an appearance to defence nor a </w:t>
      </w:r>
      <w:r w:rsidR="009C7CBD">
        <w:rPr>
          <w:i/>
          <w:iCs/>
        </w:rPr>
        <w:t xml:space="preserve">bona fide </w:t>
      </w:r>
      <w:r w:rsidR="009C7CBD">
        <w:t>defence.  Further, there is no basis to conclude that the default judgment was in any erroneous sought or granted.</w:t>
      </w:r>
    </w:p>
    <w:p w14:paraId="6971BAB1" w14:textId="0A09E6FF" w:rsidR="009C7CBD" w:rsidRDefault="00440BBB" w:rsidP="00440BBB">
      <w:pPr>
        <w:pStyle w:val="Main"/>
        <w:numPr>
          <w:ilvl w:val="0"/>
          <w:numId w:val="0"/>
        </w:numPr>
        <w:ind w:left="709" w:hanging="709"/>
      </w:pPr>
      <w:r>
        <w:lastRenderedPageBreak/>
        <w:t>[26]</w:t>
      </w:r>
      <w:r>
        <w:tab/>
      </w:r>
      <w:r w:rsidR="009C7CBD">
        <w:t>In these premises, I make the following order:</w:t>
      </w:r>
    </w:p>
    <w:p w14:paraId="0F639996" w14:textId="2596AFF5" w:rsidR="001D7CE3" w:rsidRDefault="001D7CE3" w:rsidP="009C7CBD">
      <w:pPr>
        <w:pStyle w:val="Main"/>
        <w:numPr>
          <w:ilvl w:val="0"/>
          <w:numId w:val="0"/>
        </w:numPr>
        <w:ind w:left="709"/>
      </w:pPr>
      <w:r>
        <w:t>The application is dismissed</w:t>
      </w:r>
      <w:r w:rsidR="009C7CBD">
        <w:t xml:space="preserve"> with costs</w:t>
      </w:r>
      <w:r w:rsidR="00840013">
        <w:t>.</w:t>
      </w:r>
    </w:p>
    <w:p w14:paraId="2CCB473E" w14:textId="77777777" w:rsidR="00675F8C" w:rsidRDefault="00675F8C" w:rsidP="004B0905">
      <w:pPr>
        <w:pStyle w:val="ListParagraph"/>
        <w:spacing w:after="200" w:line="480" w:lineRule="auto"/>
        <w:ind w:left="0"/>
        <w:contextualSpacing/>
        <w:rPr>
          <w:rFonts w:ascii="Arial" w:hAnsi="Arial" w:cs="Arial"/>
          <w:b/>
        </w:rPr>
      </w:pPr>
    </w:p>
    <w:p w14:paraId="6EA9CC53" w14:textId="77777777" w:rsidR="00675F8C" w:rsidRPr="00C71BA3" w:rsidRDefault="00675F8C" w:rsidP="004B0905">
      <w:pPr>
        <w:pStyle w:val="ListParagraph"/>
        <w:spacing w:after="200" w:line="480" w:lineRule="auto"/>
        <w:ind w:left="0"/>
        <w:contextualSpacing/>
        <w:rPr>
          <w:rFonts w:ascii="Arial" w:hAnsi="Arial" w:cs="Arial"/>
          <w:b/>
        </w:rPr>
      </w:pPr>
    </w:p>
    <w:p w14:paraId="494FD37B" w14:textId="553518A2" w:rsidR="00B316F3" w:rsidRDefault="00B316F3" w:rsidP="00AB16B4">
      <w:pPr>
        <w:pStyle w:val="ListParagraph"/>
        <w:spacing w:after="200" w:line="480" w:lineRule="auto"/>
        <w:ind w:left="0"/>
        <w:contextualSpacing/>
        <w:jc w:val="right"/>
        <w:rPr>
          <w:rFonts w:ascii="Arial" w:hAnsi="Arial" w:cs="Arial"/>
          <w:b/>
        </w:rPr>
      </w:pPr>
      <w:r>
        <w:rPr>
          <w:rFonts w:ascii="Arial" w:hAnsi="Arial" w:cs="Arial"/>
          <w:b/>
        </w:rPr>
        <w:t>H M VILJOEN</w:t>
      </w:r>
    </w:p>
    <w:p w14:paraId="6E5A78FF" w14:textId="5FE669A4" w:rsidR="00AB16B4" w:rsidRPr="00C71BA3" w:rsidRDefault="00B316F3" w:rsidP="00AB16B4">
      <w:pPr>
        <w:pStyle w:val="ListParagraph"/>
        <w:spacing w:after="200" w:line="480" w:lineRule="auto"/>
        <w:ind w:left="0"/>
        <w:contextualSpacing/>
        <w:jc w:val="right"/>
        <w:rPr>
          <w:rFonts w:ascii="Arial" w:hAnsi="Arial" w:cs="Arial"/>
          <w:b/>
        </w:rPr>
      </w:pPr>
      <w:r>
        <w:rPr>
          <w:rFonts w:ascii="Arial" w:hAnsi="Arial" w:cs="Arial"/>
          <w:b/>
        </w:rPr>
        <w:t xml:space="preserve">ACTING </w:t>
      </w:r>
      <w:r w:rsidR="00AB16B4" w:rsidRPr="00C71BA3">
        <w:rPr>
          <w:rFonts w:ascii="Arial" w:hAnsi="Arial" w:cs="Arial"/>
          <w:b/>
        </w:rPr>
        <w:t>JUDGE OF THE HIGH COURT</w:t>
      </w:r>
    </w:p>
    <w:p w14:paraId="1FE0C1F4" w14:textId="77777777" w:rsidR="00AB16B4" w:rsidRPr="00C71BA3" w:rsidRDefault="00AB16B4" w:rsidP="00AB16B4">
      <w:pPr>
        <w:pStyle w:val="ListParagraph"/>
        <w:spacing w:after="200" w:line="480" w:lineRule="auto"/>
        <w:ind w:left="0"/>
        <w:contextualSpacing/>
        <w:jc w:val="right"/>
        <w:rPr>
          <w:rFonts w:ascii="Arial" w:hAnsi="Arial" w:cs="Arial"/>
          <w:b/>
        </w:rPr>
      </w:pPr>
      <w:r w:rsidRPr="00C71BA3">
        <w:rPr>
          <w:rFonts w:ascii="Arial" w:hAnsi="Arial" w:cs="Arial"/>
          <w:b/>
        </w:rPr>
        <w:t>GAUTENG DIVISION OF THE HIGH COURT, JOHANNESBURG</w:t>
      </w:r>
    </w:p>
    <w:p w14:paraId="076F3983" w14:textId="77777777" w:rsidR="00F86E29" w:rsidRPr="00C71BA3" w:rsidRDefault="00F86E29" w:rsidP="00AB16B4">
      <w:pPr>
        <w:pStyle w:val="ListParagraph"/>
        <w:spacing w:after="200" w:line="480" w:lineRule="auto"/>
        <w:ind w:left="0"/>
        <w:contextualSpacing/>
        <w:jc w:val="right"/>
        <w:rPr>
          <w:rFonts w:ascii="Arial" w:hAnsi="Arial" w:cs="Arial"/>
          <w:b/>
          <w:i/>
          <w:iCs/>
        </w:rPr>
      </w:pPr>
    </w:p>
    <w:p w14:paraId="36C76E81" w14:textId="77777777" w:rsidR="00064411" w:rsidRPr="00C71BA3" w:rsidRDefault="00064411" w:rsidP="00064411">
      <w:pPr>
        <w:pStyle w:val="ListParagraph"/>
        <w:spacing w:after="200"/>
        <w:ind w:left="0"/>
        <w:contextualSpacing/>
        <w:rPr>
          <w:rFonts w:ascii="Arial" w:hAnsi="Arial" w:cs="Arial"/>
          <w:b/>
          <w:i/>
          <w:iCs/>
        </w:rPr>
      </w:pPr>
      <w:r w:rsidRPr="00C71BA3">
        <w:rPr>
          <w:rFonts w:ascii="Arial" w:eastAsia="Arial Unicode MS" w:hAnsi="Arial" w:cs="Arial"/>
          <w:bCs/>
        </w:rPr>
        <w:t xml:space="preserve">Delivered:  This judgement </w:t>
      </w:r>
      <w:r>
        <w:rPr>
          <w:rFonts w:ascii="Arial" w:eastAsia="Arial Unicode MS" w:hAnsi="Arial" w:cs="Arial"/>
          <w:bCs/>
        </w:rPr>
        <w:t xml:space="preserve">was prepared and authored by the Judge whose name is reflected and </w:t>
      </w:r>
      <w:r w:rsidRPr="00C71BA3">
        <w:rPr>
          <w:rFonts w:ascii="Arial" w:eastAsia="Arial Unicode MS" w:hAnsi="Arial" w:cs="Arial"/>
          <w:bCs/>
        </w:rPr>
        <w:t>is handed down electronically by circulation to the Parties/their legal representatives by email</w:t>
      </w:r>
      <w:r>
        <w:rPr>
          <w:rFonts w:ascii="Arial" w:eastAsia="Arial Unicode MS" w:hAnsi="Arial" w:cs="Arial"/>
          <w:bCs/>
        </w:rPr>
        <w:t xml:space="preserve"> and by uploading it to the electronic file of this matter on </w:t>
      </w:r>
      <w:proofErr w:type="spellStart"/>
      <w:r>
        <w:rPr>
          <w:rFonts w:ascii="Arial" w:eastAsia="Arial Unicode MS" w:hAnsi="Arial" w:cs="Arial"/>
          <w:bCs/>
        </w:rPr>
        <w:t>CaseLines</w:t>
      </w:r>
      <w:proofErr w:type="spellEnd"/>
      <w:r w:rsidRPr="00C71BA3">
        <w:rPr>
          <w:rFonts w:ascii="Arial" w:eastAsia="Arial Unicode MS" w:hAnsi="Arial" w:cs="Arial"/>
          <w:bCs/>
        </w:rPr>
        <w:t>.  The date for hand-down is deemed to be</w:t>
      </w:r>
      <w:r>
        <w:rPr>
          <w:rFonts w:ascii="Arial" w:eastAsia="Arial Unicode MS" w:hAnsi="Arial" w:cs="Arial"/>
          <w:bCs/>
        </w:rPr>
        <w:t xml:space="preserve"> 21</w:t>
      </w:r>
      <w:r w:rsidRPr="00C71BA3">
        <w:rPr>
          <w:rFonts w:ascii="Arial" w:eastAsia="Arial Unicode MS" w:hAnsi="Arial" w:cs="Arial"/>
          <w:bCs/>
        </w:rPr>
        <w:t xml:space="preserve"> </w:t>
      </w:r>
      <w:r>
        <w:rPr>
          <w:rFonts w:ascii="Arial" w:eastAsia="Arial Unicode MS" w:hAnsi="Arial" w:cs="Arial"/>
          <w:bCs/>
        </w:rPr>
        <w:t>November 2022</w:t>
      </w:r>
      <w:r w:rsidRPr="00C71BA3">
        <w:rPr>
          <w:rFonts w:ascii="Arial" w:eastAsia="Arial Unicode MS" w:hAnsi="Arial" w:cs="Arial"/>
          <w:bCs/>
        </w:rPr>
        <w:t>.</w:t>
      </w:r>
    </w:p>
    <w:p w14:paraId="06B51A54" w14:textId="77777777" w:rsidR="00064411" w:rsidRDefault="00064411" w:rsidP="004B0905">
      <w:pPr>
        <w:pStyle w:val="Default"/>
        <w:spacing w:line="480" w:lineRule="auto"/>
      </w:pPr>
    </w:p>
    <w:p w14:paraId="3E420F6C" w14:textId="25F6C375" w:rsidR="0014506E" w:rsidRPr="00C71BA3" w:rsidRDefault="0014506E" w:rsidP="004B0905">
      <w:pPr>
        <w:pStyle w:val="Default"/>
        <w:spacing w:line="480" w:lineRule="auto"/>
      </w:pPr>
      <w:r w:rsidRPr="00C71BA3">
        <w:t xml:space="preserve">Date of hearing: </w:t>
      </w:r>
      <w:r w:rsidR="00460767">
        <w:t>1</w:t>
      </w:r>
      <w:r w:rsidR="009C7CBD">
        <w:t>0</w:t>
      </w:r>
      <w:r w:rsidR="00460767">
        <w:t xml:space="preserve"> October </w:t>
      </w:r>
      <w:r w:rsidR="00FF0EE0" w:rsidRPr="00C71BA3">
        <w:t>202</w:t>
      </w:r>
      <w:r w:rsidR="007D065A">
        <w:t>2</w:t>
      </w:r>
    </w:p>
    <w:p w14:paraId="07568957" w14:textId="7BB3F2C0" w:rsidR="0014506E" w:rsidRDefault="0014506E" w:rsidP="004B0905">
      <w:pPr>
        <w:pStyle w:val="ListParagraph"/>
        <w:spacing w:after="200" w:line="480" w:lineRule="auto"/>
        <w:ind w:left="0"/>
        <w:contextualSpacing/>
        <w:rPr>
          <w:rFonts w:ascii="Arial" w:hAnsi="Arial" w:cs="Arial"/>
        </w:rPr>
      </w:pPr>
      <w:r w:rsidRPr="00C71BA3">
        <w:rPr>
          <w:rFonts w:ascii="Arial" w:hAnsi="Arial" w:cs="Arial"/>
        </w:rPr>
        <w:t xml:space="preserve">Date of judgment: </w:t>
      </w:r>
      <w:r w:rsidR="00064411">
        <w:rPr>
          <w:rFonts w:ascii="Arial" w:hAnsi="Arial" w:cs="Arial"/>
        </w:rPr>
        <w:t>21</w:t>
      </w:r>
      <w:r w:rsidR="00956DB1">
        <w:rPr>
          <w:rFonts w:ascii="Arial" w:hAnsi="Arial" w:cs="Arial"/>
        </w:rPr>
        <w:t xml:space="preserve"> November</w:t>
      </w:r>
      <w:r w:rsidR="00FF0EE0" w:rsidRPr="00C71BA3">
        <w:rPr>
          <w:rFonts w:ascii="Arial" w:hAnsi="Arial" w:cs="Arial"/>
        </w:rPr>
        <w:t xml:space="preserve"> 202</w:t>
      </w:r>
      <w:r w:rsidR="007D065A">
        <w:rPr>
          <w:rFonts w:ascii="Arial" w:hAnsi="Arial" w:cs="Arial"/>
        </w:rPr>
        <w:t>2</w:t>
      </w:r>
    </w:p>
    <w:p w14:paraId="1DDF7FB0" w14:textId="77777777" w:rsidR="00C71BA3" w:rsidRDefault="00C71BA3" w:rsidP="004B0905">
      <w:pPr>
        <w:pStyle w:val="Default"/>
        <w:spacing w:line="480" w:lineRule="auto"/>
        <w:rPr>
          <w:b/>
          <w:bCs/>
        </w:rPr>
      </w:pPr>
    </w:p>
    <w:p w14:paraId="22323571" w14:textId="77777777" w:rsidR="0080370D" w:rsidRPr="00C71BA3" w:rsidRDefault="0080370D" w:rsidP="004B0905">
      <w:pPr>
        <w:pStyle w:val="Default"/>
        <w:spacing w:line="480" w:lineRule="auto"/>
      </w:pPr>
      <w:r w:rsidRPr="00C71BA3">
        <w:rPr>
          <w:b/>
          <w:bCs/>
        </w:rPr>
        <w:t xml:space="preserve">Appearances: </w:t>
      </w:r>
    </w:p>
    <w:p w14:paraId="7B38F3DC" w14:textId="77777777" w:rsidR="00551231" w:rsidRPr="00C71BA3" w:rsidRDefault="00551231" w:rsidP="004B0905">
      <w:pPr>
        <w:pStyle w:val="Default"/>
        <w:spacing w:line="480" w:lineRule="auto"/>
      </w:pPr>
    </w:p>
    <w:p w14:paraId="62290908" w14:textId="7A2D9873" w:rsidR="00C71BA3" w:rsidRPr="00C71BA3" w:rsidRDefault="009C7CBD" w:rsidP="004B0905">
      <w:pPr>
        <w:pStyle w:val="Default"/>
        <w:spacing w:line="480" w:lineRule="auto"/>
      </w:pPr>
      <w:r>
        <w:t>The applicant in person</w:t>
      </w:r>
    </w:p>
    <w:p w14:paraId="5B4C7170" w14:textId="77777777" w:rsidR="008C369D" w:rsidRPr="00C71BA3" w:rsidRDefault="008C369D" w:rsidP="004B0905">
      <w:pPr>
        <w:pStyle w:val="Default"/>
        <w:spacing w:line="480" w:lineRule="auto"/>
      </w:pPr>
    </w:p>
    <w:p w14:paraId="2EA2A8C3" w14:textId="5B6BE947" w:rsidR="00250E56" w:rsidRDefault="00250E56" w:rsidP="00250E56">
      <w:pPr>
        <w:pStyle w:val="Default"/>
        <w:spacing w:line="480" w:lineRule="auto"/>
      </w:pPr>
      <w:r>
        <w:t xml:space="preserve">Attorneys for the respondent: </w:t>
      </w:r>
      <w:r w:rsidR="009C7CBD">
        <w:t>SMITH VAN DER WATT INC</w:t>
      </w:r>
    </w:p>
    <w:p w14:paraId="31310BEB" w14:textId="2E031D4E" w:rsidR="00250E56" w:rsidRPr="00C71BA3" w:rsidRDefault="00250E56" w:rsidP="00250E56">
      <w:pPr>
        <w:pStyle w:val="Default"/>
        <w:spacing w:line="480" w:lineRule="auto"/>
      </w:pPr>
      <w:r>
        <w:t xml:space="preserve">Counsel for the respondent:  </w:t>
      </w:r>
      <w:r w:rsidR="009C7CBD">
        <w:t>ADV J GOVENDER</w:t>
      </w:r>
    </w:p>
    <w:p w14:paraId="060D921B" w14:textId="77777777" w:rsidR="00AB16B4" w:rsidRPr="00C71BA3" w:rsidRDefault="00AB16B4" w:rsidP="004B0905">
      <w:pPr>
        <w:pStyle w:val="Default"/>
        <w:spacing w:line="480" w:lineRule="auto"/>
      </w:pPr>
    </w:p>
    <w:p w14:paraId="51AAC1B7" w14:textId="77777777" w:rsidR="00671F90" w:rsidRPr="00C71BA3" w:rsidRDefault="00671F90" w:rsidP="009E25C7">
      <w:pPr>
        <w:pStyle w:val="ListParagraph"/>
        <w:spacing w:after="200" w:line="480" w:lineRule="auto"/>
        <w:contextualSpacing/>
        <w:jc w:val="right"/>
        <w:rPr>
          <w:rFonts w:ascii="Arial" w:hAnsi="Arial" w:cs="Arial"/>
          <w:b/>
        </w:rPr>
      </w:pPr>
    </w:p>
    <w:sectPr w:rsidR="00671F90" w:rsidRPr="00C71BA3" w:rsidSect="002F56D1">
      <w:headerReference w:type="even" r:id="rId9"/>
      <w:headerReference w:type="default" r:id="rId10"/>
      <w:pgSz w:w="11906" w:h="16838"/>
      <w:pgMar w:top="1440" w:right="1416" w:bottom="1440"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FE0E3" w14:textId="77777777" w:rsidR="006D0591" w:rsidRDefault="006D0591">
      <w:r>
        <w:separator/>
      </w:r>
    </w:p>
  </w:endnote>
  <w:endnote w:type="continuationSeparator" w:id="0">
    <w:p w14:paraId="545BA294" w14:textId="77777777" w:rsidR="006D0591" w:rsidRDefault="006D0591">
      <w:r>
        <w:continuationSeparator/>
      </w:r>
    </w:p>
  </w:endnote>
  <w:endnote w:type="continuationNotice" w:id="1">
    <w:p w14:paraId="6A8DA7D0" w14:textId="77777777" w:rsidR="006D0591" w:rsidRDefault="006D05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AC717" w14:textId="77777777" w:rsidR="006D0591" w:rsidRDefault="006D0591">
      <w:r>
        <w:separator/>
      </w:r>
    </w:p>
  </w:footnote>
  <w:footnote w:type="continuationSeparator" w:id="0">
    <w:p w14:paraId="08D8BF04" w14:textId="77777777" w:rsidR="006D0591" w:rsidRDefault="006D0591">
      <w:r>
        <w:continuationSeparator/>
      </w:r>
    </w:p>
  </w:footnote>
  <w:footnote w:type="continuationNotice" w:id="1">
    <w:p w14:paraId="5F085FF2" w14:textId="77777777" w:rsidR="006D0591" w:rsidRDefault="006D0591"/>
  </w:footnote>
  <w:footnote w:id="2">
    <w:p w14:paraId="23AC7329" w14:textId="4F995B68" w:rsidR="007A26AE" w:rsidRPr="007A26AE" w:rsidRDefault="007A26AE" w:rsidP="0006757D">
      <w:pPr>
        <w:pStyle w:val="FootnoteText"/>
      </w:pPr>
      <w:r>
        <w:rPr>
          <w:rStyle w:val="FootnoteReference"/>
        </w:rPr>
        <w:footnoteRef/>
      </w:r>
      <w:r>
        <w:t xml:space="preserve"> </w:t>
      </w:r>
      <w:r>
        <w:tab/>
      </w:r>
      <w:r w:rsidRPr="0006757D">
        <w:rPr>
          <w:i/>
          <w:iCs/>
        </w:rPr>
        <w:t xml:space="preserve">Grant v Plumbers </w:t>
      </w:r>
      <w:r w:rsidRPr="0006757D">
        <w:t xml:space="preserve">1949 (2) SA 470 (O) at </w:t>
      </w:r>
      <w:r w:rsidR="00FE0612" w:rsidRPr="0006757D">
        <w:t>476</w:t>
      </w:r>
    </w:p>
  </w:footnote>
  <w:footnote w:id="3">
    <w:p w14:paraId="61857843" w14:textId="0796AABD" w:rsidR="003D2B95" w:rsidRPr="003D2B95" w:rsidRDefault="003D2B95">
      <w:pPr>
        <w:pStyle w:val="FootnoteText"/>
      </w:pPr>
      <w:r>
        <w:rPr>
          <w:rStyle w:val="FootnoteReference"/>
        </w:rPr>
        <w:footnoteRef/>
      </w:r>
      <w:r>
        <w:t xml:space="preserve"> </w:t>
      </w:r>
      <w:r>
        <w:tab/>
      </w:r>
      <w:r>
        <w:rPr>
          <w:i/>
          <w:iCs/>
        </w:rPr>
        <w:t xml:space="preserve">Silber v Ozen Wholesalers (Pty) Ltd </w:t>
      </w:r>
      <w:r>
        <w:t>1954</w:t>
      </w:r>
      <w:r w:rsidR="00052A51">
        <w:t xml:space="preserve"> (2) SA 345 (A) at 353A</w:t>
      </w:r>
    </w:p>
  </w:footnote>
  <w:footnote w:id="4">
    <w:p w14:paraId="7ABAB856" w14:textId="07FD6EAA" w:rsidR="00A344F0" w:rsidRPr="00A344F0" w:rsidRDefault="00A344F0" w:rsidP="00325D6A">
      <w:pPr>
        <w:pStyle w:val="FootnoteText"/>
        <w:ind w:left="709" w:hanging="709"/>
      </w:pPr>
      <w:r>
        <w:rPr>
          <w:rStyle w:val="FootnoteReference"/>
        </w:rPr>
        <w:footnoteRef/>
      </w:r>
      <w:r>
        <w:t xml:space="preserve"> </w:t>
      </w:r>
      <w:r>
        <w:tab/>
      </w:r>
      <w:r w:rsidR="004A016A" w:rsidRPr="00992199">
        <w:rPr>
          <w:i/>
          <w:iCs/>
        </w:rPr>
        <w:t>Freedom Stationery (Pty) Ltd and others v Hassam and others</w:t>
      </w:r>
      <w:r w:rsidR="004A016A">
        <w:t xml:space="preserve"> </w:t>
      </w:r>
      <w:r w:rsidR="00992199">
        <w:t>2019 (4) SA 459 (SCA) at [18]</w:t>
      </w:r>
    </w:p>
  </w:footnote>
  <w:footnote w:id="5">
    <w:p w14:paraId="3F5241C7" w14:textId="77777777" w:rsidR="00A7303F" w:rsidRPr="00325D6A" w:rsidRDefault="00A7303F" w:rsidP="00A7303F">
      <w:pPr>
        <w:pStyle w:val="FootnoteText"/>
        <w:ind w:left="709" w:hanging="709"/>
      </w:pPr>
      <w:r>
        <w:rPr>
          <w:rStyle w:val="FootnoteReference"/>
        </w:rPr>
        <w:footnoteRef/>
      </w:r>
      <w:r>
        <w:t xml:space="preserve"> </w:t>
      </w:r>
      <w:r>
        <w:tab/>
      </w:r>
      <w:r>
        <w:rPr>
          <w:i/>
          <w:iCs/>
        </w:rPr>
        <w:t xml:space="preserve">Lodhi 2 Properties Investments CC and another v Bondev Developments </w:t>
      </w:r>
      <w:r>
        <w:t>2007 (6) SA 87 (SCA) at [27]</w:t>
      </w:r>
    </w:p>
  </w:footnote>
  <w:footnote w:id="6">
    <w:p w14:paraId="10C69E96" w14:textId="77777777" w:rsidR="006215FF" w:rsidRPr="006215FF" w:rsidRDefault="006215FF" w:rsidP="006215FF">
      <w:pPr>
        <w:pStyle w:val="FootnoteText"/>
      </w:pPr>
      <w:r>
        <w:rPr>
          <w:rStyle w:val="FootnoteReference"/>
        </w:rPr>
        <w:footnoteRef/>
      </w:r>
      <w:r>
        <w:t xml:space="preserve"> </w:t>
      </w:r>
      <w:r>
        <w:tab/>
        <w:t xml:space="preserve">S 43(2) of the </w:t>
      </w:r>
      <w:r>
        <w:rPr>
          <w:i/>
          <w:iCs/>
        </w:rPr>
        <w:t xml:space="preserve">Superior Courts Act, </w:t>
      </w:r>
      <w:r>
        <w:t>2013</w:t>
      </w:r>
    </w:p>
  </w:footnote>
  <w:footnote w:id="7">
    <w:p w14:paraId="2EBE904C" w14:textId="77777777" w:rsidR="006215FF" w:rsidRPr="002C3AF1" w:rsidRDefault="006215FF" w:rsidP="006215FF">
      <w:pPr>
        <w:pStyle w:val="FootnoteText"/>
      </w:pPr>
      <w:r>
        <w:rPr>
          <w:rStyle w:val="FootnoteReference"/>
        </w:rPr>
        <w:footnoteRef/>
      </w:r>
      <w:r>
        <w:t xml:space="preserve"> </w:t>
      </w:r>
      <w:r>
        <w:tab/>
      </w:r>
      <w:r>
        <w:rPr>
          <w:i/>
          <w:iCs/>
        </w:rPr>
        <w:t xml:space="preserve">Radebe v Mokoena </w:t>
      </w:r>
      <w:r>
        <w:t>2014 JDR 0650 (GJ) at 20.3</w:t>
      </w:r>
    </w:p>
  </w:footnote>
  <w:footnote w:id="8">
    <w:p w14:paraId="6C83A900" w14:textId="087E7835" w:rsidR="001F6DEA" w:rsidRPr="001F6DEA" w:rsidRDefault="001F6DEA">
      <w:pPr>
        <w:pStyle w:val="FootnoteText"/>
      </w:pPr>
      <w:r>
        <w:rPr>
          <w:rStyle w:val="FootnoteReference"/>
        </w:rPr>
        <w:footnoteRef/>
      </w:r>
      <w:r>
        <w:t xml:space="preserve"> </w:t>
      </w:r>
      <w:r>
        <w:tab/>
      </w:r>
      <w:r>
        <w:rPr>
          <w:i/>
          <w:iCs/>
        </w:rPr>
        <w:t xml:space="preserve">Erasmus Superior Court Practice </w:t>
      </w:r>
      <w:r>
        <w:t>at D1-560C (RS18)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A44A4" w14:textId="77777777" w:rsidR="0009436A" w:rsidRDefault="0009436A" w:rsidP="00DF1E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D80E50" w14:textId="77777777" w:rsidR="0009436A" w:rsidRDefault="00094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4EC5" w14:textId="0BBC45A4" w:rsidR="0009436A" w:rsidRDefault="0009436A" w:rsidP="00DF1E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379D">
      <w:rPr>
        <w:rStyle w:val="PageNumber"/>
        <w:noProof/>
      </w:rPr>
      <w:t>2</w:t>
    </w:r>
    <w:r>
      <w:rPr>
        <w:rStyle w:val="PageNumber"/>
      </w:rPr>
      <w:fldChar w:fldCharType="end"/>
    </w:r>
  </w:p>
  <w:p w14:paraId="7EAE96FB" w14:textId="77777777" w:rsidR="0009436A" w:rsidRDefault="00094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06036"/>
    <w:multiLevelType w:val="multilevel"/>
    <w:tmpl w:val="B85E950C"/>
    <w:lvl w:ilvl="0">
      <w:start w:val="1"/>
      <w:numFmt w:val="decimal"/>
      <w:pStyle w:val="Main"/>
      <w:lvlText w:val="[%1]"/>
      <w:lvlJc w:val="left"/>
      <w:pPr>
        <w:ind w:left="644" w:hanging="360"/>
      </w:pPr>
      <w:rPr>
        <w:rFonts w:hint="default"/>
      </w:rPr>
    </w:lvl>
    <w:lvl w:ilvl="1">
      <w:start w:val="1"/>
      <w:numFmt w:val="decimal"/>
      <w:pStyle w:val="Indent"/>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16cid:durableId="156247624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298"/>
    <w:rsid w:val="0000002C"/>
    <w:rsid w:val="0000039C"/>
    <w:rsid w:val="00001278"/>
    <w:rsid w:val="00001C92"/>
    <w:rsid w:val="00002633"/>
    <w:rsid w:val="000030E1"/>
    <w:rsid w:val="00003997"/>
    <w:rsid w:val="0000633B"/>
    <w:rsid w:val="000074DE"/>
    <w:rsid w:val="000077EC"/>
    <w:rsid w:val="00012E48"/>
    <w:rsid w:val="00014037"/>
    <w:rsid w:val="00014183"/>
    <w:rsid w:val="000163A0"/>
    <w:rsid w:val="00017E63"/>
    <w:rsid w:val="000201AA"/>
    <w:rsid w:val="00022700"/>
    <w:rsid w:val="00022A39"/>
    <w:rsid w:val="00022D2F"/>
    <w:rsid w:val="0002395B"/>
    <w:rsid w:val="0002478B"/>
    <w:rsid w:val="000275BC"/>
    <w:rsid w:val="00030E34"/>
    <w:rsid w:val="00031E18"/>
    <w:rsid w:val="00032AFB"/>
    <w:rsid w:val="00032CEC"/>
    <w:rsid w:val="000339BD"/>
    <w:rsid w:val="00034224"/>
    <w:rsid w:val="000344C0"/>
    <w:rsid w:val="000344E1"/>
    <w:rsid w:val="0003482A"/>
    <w:rsid w:val="000355D7"/>
    <w:rsid w:val="00037B19"/>
    <w:rsid w:val="0004006C"/>
    <w:rsid w:val="0004050B"/>
    <w:rsid w:val="00040B72"/>
    <w:rsid w:val="0004101D"/>
    <w:rsid w:val="00041B0C"/>
    <w:rsid w:val="00042E75"/>
    <w:rsid w:val="00043BC7"/>
    <w:rsid w:val="00043C66"/>
    <w:rsid w:val="00044412"/>
    <w:rsid w:val="00045415"/>
    <w:rsid w:val="00046547"/>
    <w:rsid w:val="00047C36"/>
    <w:rsid w:val="00051DC7"/>
    <w:rsid w:val="00052108"/>
    <w:rsid w:val="000522EE"/>
    <w:rsid w:val="00052A51"/>
    <w:rsid w:val="00052BD5"/>
    <w:rsid w:val="00052D67"/>
    <w:rsid w:val="00052D92"/>
    <w:rsid w:val="00053BE4"/>
    <w:rsid w:val="00054862"/>
    <w:rsid w:val="00055313"/>
    <w:rsid w:val="000553CE"/>
    <w:rsid w:val="00055EF2"/>
    <w:rsid w:val="00056940"/>
    <w:rsid w:val="00057CA1"/>
    <w:rsid w:val="00060717"/>
    <w:rsid w:val="00063E38"/>
    <w:rsid w:val="00063E86"/>
    <w:rsid w:val="00064411"/>
    <w:rsid w:val="00065794"/>
    <w:rsid w:val="0006757D"/>
    <w:rsid w:val="00067DB0"/>
    <w:rsid w:val="000711C0"/>
    <w:rsid w:val="00073D5C"/>
    <w:rsid w:val="000746E0"/>
    <w:rsid w:val="0007485B"/>
    <w:rsid w:val="00074F96"/>
    <w:rsid w:val="00076B0D"/>
    <w:rsid w:val="000773E4"/>
    <w:rsid w:val="00077F28"/>
    <w:rsid w:val="0008125B"/>
    <w:rsid w:val="00081530"/>
    <w:rsid w:val="00081558"/>
    <w:rsid w:val="00081736"/>
    <w:rsid w:val="000836C1"/>
    <w:rsid w:val="00084292"/>
    <w:rsid w:val="000852BB"/>
    <w:rsid w:val="00085711"/>
    <w:rsid w:val="00087ABE"/>
    <w:rsid w:val="000900D4"/>
    <w:rsid w:val="00090ADC"/>
    <w:rsid w:val="00090DB5"/>
    <w:rsid w:val="00090E6D"/>
    <w:rsid w:val="00092544"/>
    <w:rsid w:val="00093E3F"/>
    <w:rsid w:val="0009436A"/>
    <w:rsid w:val="00094983"/>
    <w:rsid w:val="00094E87"/>
    <w:rsid w:val="00095C40"/>
    <w:rsid w:val="00096D1C"/>
    <w:rsid w:val="00096EC1"/>
    <w:rsid w:val="00097351"/>
    <w:rsid w:val="000A02EF"/>
    <w:rsid w:val="000A195E"/>
    <w:rsid w:val="000A2709"/>
    <w:rsid w:val="000A373D"/>
    <w:rsid w:val="000A3A5A"/>
    <w:rsid w:val="000A3E1E"/>
    <w:rsid w:val="000A4667"/>
    <w:rsid w:val="000A4C99"/>
    <w:rsid w:val="000A4DBC"/>
    <w:rsid w:val="000A50D2"/>
    <w:rsid w:val="000A5842"/>
    <w:rsid w:val="000A6033"/>
    <w:rsid w:val="000A6630"/>
    <w:rsid w:val="000B054E"/>
    <w:rsid w:val="000B0616"/>
    <w:rsid w:val="000B0B65"/>
    <w:rsid w:val="000B0F4B"/>
    <w:rsid w:val="000B1064"/>
    <w:rsid w:val="000B251E"/>
    <w:rsid w:val="000B4B8C"/>
    <w:rsid w:val="000B5619"/>
    <w:rsid w:val="000B576D"/>
    <w:rsid w:val="000B5E24"/>
    <w:rsid w:val="000B6970"/>
    <w:rsid w:val="000B6D32"/>
    <w:rsid w:val="000C011F"/>
    <w:rsid w:val="000C0C58"/>
    <w:rsid w:val="000C1490"/>
    <w:rsid w:val="000C1ACC"/>
    <w:rsid w:val="000C235F"/>
    <w:rsid w:val="000C5406"/>
    <w:rsid w:val="000C6056"/>
    <w:rsid w:val="000C6E60"/>
    <w:rsid w:val="000D01B0"/>
    <w:rsid w:val="000D1804"/>
    <w:rsid w:val="000D3F7A"/>
    <w:rsid w:val="000D4FC8"/>
    <w:rsid w:val="000D6A53"/>
    <w:rsid w:val="000D6AB2"/>
    <w:rsid w:val="000D7A01"/>
    <w:rsid w:val="000E0D52"/>
    <w:rsid w:val="000E180B"/>
    <w:rsid w:val="000E2014"/>
    <w:rsid w:val="000E2402"/>
    <w:rsid w:val="000E311B"/>
    <w:rsid w:val="000E4F7D"/>
    <w:rsid w:val="000E5B34"/>
    <w:rsid w:val="000E71BF"/>
    <w:rsid w:val="000F0FE9"/>
    <w:rsid w:val="000F20BD"/>
    <w:rsid w:val="000F5071"/>
    <w:rsid w:val="000F670B"/>
    <w:rsid w:val="000F75E6"/>
    <w:rsid w:val="000F77D5"/>
    <w:rsid w:val="000F7935"/>
    <w:rsid w:val="000F7A3F"/>
    <w:rsid w:val="00100BA1"/>
    <w:rsid w:val="00102231"/>
    <w:rsid w:val="00103176"/>
    <w:rsid w:val="00103465"/>
    <w:rsid w:val="00104F78"/>
    <w:rsid w:val="00105D09"/>
    <w:rsid w:val="001069A6"/>
    <w:rsid w:val="00106F33"/>
    <w:rsid w:val="0011236B"/>
    <w:rsid w:val="001137B1"/>
    <w:rsid w:val="00116005"/>
    <w:rsid w:val="00117959"/>
    <w:rsid w:val="00120C65"/>
    <w:rsid w:val="00122154"/>
    <w:rsid w:val="00123195"/>
    <w:rsid w:val="001242A4"/>
    <w:rsid w:val="001245A8"/>
    <w:rsid w:val="00124E64"/>
    <w:rsid w:val="00124ECB"/>
    <w:rsid w:val="00125ABA"/>
    <w:rsid w:val="00126AF1"/>
    <w:rsid w:val="00127459"/>
    <w:rsid w:val="00127890"/>
    <w:rsid w:val="001305EB"/>
    <w:rsid w:val="00130C0D"/>
    <w:rsid w:val="0013349B"/>
    <w:rsid w:val="00134545"/>
    <w:rsid w:val="001347BA"/>
    <w:rsid w:val="00137592"/>
    <w:rsid w:val="00137924"/>
    <w:rsid w:val="00140543"/>
    <w:rsid w:val="00140808"/>
    <w:rsid w:val="00142481"/>
    <w:rsid w:val="00143719"/>
    <w:rsid w:val="001439DB"/>
    <w:rsid w:val="0014425D"/>
    <w:rsid w:val="00144B80"/>
    <w:rsid w:val="0014506E"/>
    <w:rsid w:val="00146F88"/>
    <w:rsid w:val="001472EA"/>
    <w:rsid w:val="0014793F"/>
    <w:rsid w:val="00150C1D"/>
    <w:rsid w:val="00152F4C"/>
    <w:rsid w:val="001539FA"/>
    <w:rsid w:val="00153D97"/>
    <w:rsid w:val="001541B6"/>
    <w:rsid w:val="00154297"/>
    <w:rsid w:val="00155ECC"/>
    <w:rsid w:val="00156BCC"/>
    <w:rsid w:val="001619D3"/>
    <w:rsid w:val="00163C95"/>
    <w:rsid w:val="00163F09"/>
    <w:rsid w:val="001642C0"/>
    <w:rsid w:val="001663DF"/>
    <w:rsid w:val="001716EC"/>
    <w:rsid w:val="00171B36"/>
    <w:rsid w:val="00174F8B"/>
    <w:rsid w:val="0017661B"/>
    <w:rsid w:val="00177E0C"/>
    <w:rsid w:val="00180CEB"/>
    <w:rsid w:val="00181375"/>
    <w:rsid w:val="00182133"/>
    <w:rsid w:val="00183D18"/>
    <w:rsid w:val="00186AA0"/>
    <w:rsid w:val="00193457"/>
    <w:rsid w:val="001934B8"/>
    <w:rsid w:val="001943AC"/>
    <w:rsid w:val="00195AE8"/>
    <w:rsid w:val="001965FB"/>
    <w:rsid w:val="001970C0"/>
    <w:rsid w:val="001977D8"/>
    <w:rsid w:val="001977E7"/>
    <w:rsid w:val="001A18BF"/>
    <w:rsid w:val="001A393D"/>
    <w:rsid w:val="001A399B"/>
    <w:rsid w:val="001A3D9A"/>
    <w:rsid w:val="001A3F8A"/>
    <w:rsid w:val="001A424C"/>
    <w:rsid w:val="001A42CF"/>
    <w:rsid w:val="001A4DA8"/>
    <w:rsid w:val="001A50ED"/>
    <w:rsid w:val="001A5C7B"/>
    <w:rsid w:val="001A65CA"/>
    <w:rsid w:val="001A7D0D"/>
    <w:rsid w:val="001B14DE"/>
    <w:rsid w:val="001B170B"/>
    <w:rsid w:val="001B18BE"/>
    <w:rsid w:val="001B2B61"/>
    <w:rsid w:val="001B3808"/>
    <w:rsid w:val="001B4CF2"/>
    <w:rsid w:val="001B54D8"/>
    <w:rsid w:val="001B5F57"/>
    <w:rsid w:val="001B646A"/>
    <w:rsid w:val="001C05CC"/>
    <w:rsid w:val="001C10E7"/>
    <w:rsid w:val="001C2CE6"/>
    <w:rsid w:val="001C3667"/>
    <w:rsid w:val="001C3D53"/>
    <w:rsid w:val="001C40D7"/>
    <w:rsid w:val="001C4ECB"/>
    <w:rsid w:val="001D0CA7"/>
    <w:rsid w:val="001D2C57"/>
    <w:rsid w:val="001D2F1B"/>
    <w:rsid w:val="001D379D"/>
    <w:rsid w:val="001D398F"/>
    <w:rsid w:val="001D4F06"/>
    <w:rsid w:val="001D4FC9"/>
    <w:rsid w:val="001D6261"/>
    <w:rsid w:val="001D7CE3"/>
    <w:rsid w:val="001E0526"/>
    <w:rsid w:val="001E0907"/>
    <w:rsid w:val="001E0958"/>
    <w:rsid w:val="001E0D16"/>
    <w:rsid w:val="001E0ECB"/>
    <w:rsid w:val="001E1388"/>
    <w:rsid w:val="001E1798"/>
    <w:rsid w:val="001E23CD"/>
    <w:rsid w:val="001E2687"/>
    <w:rsid w:val="001E34F6"/>
    <w:rsid w:val="001E3EA2"/>
    <w:rsid w:val="001E4145"/>
    <w:rsid w:val="001E4A04"/>
    <w:rsid w:val="001E5219"/>
    <w:rsid w:val="001E7803"/>
    <w:rsid w:val="001F020F"/>
    <w:rsid w:val="001F0343"/>
    <w:rsid w:val="001F1439"/>
    <w:rsid w:val="001F1466"/>
    <w:rsid w:val="001F3038"/>
    <w:rsid w:val="001F3D48"/>
    <w:rsid w:val="001F43B9"/>
    <w:rsid w:val="001F6DEA"/>
    <w:rsid w:val="001F7547"/>
    <w:rsid w:val="00202467"/>
    <w:rsid w:val="00205490"/>
    <w:rsid w:val="00210212"/>
    <w:rsid w:val="00210C7B"/>
    <w:rsid w:val="00211D38"/>
    <w:rsid w:val="00211EBF"/>
    <w:rsid w:val="00212149"/>
    <w:rsid w:val="00213188"/>
    <w:rsid w:val="00213AEB"/>
    <w:rsid w:val="00215A91"/>
    <w:rsid w:val="00216288"/>
    <w:rsid w:val="00216D93"/>
    <w:rsid w:val="00217358"/>
    <w:rsid w:val="002174D6"/>
    <w:rsid w:val="00217816"/>
    <w:rsid w:val="00217A60"/>
    <w:rsid w:val="0022028F"/>
    <w:rsid w:val="0022151C"/>
    <w:rsid w:val="002218BC"/>
    <w:rsid w:val="00221FFC"/>
    <w:rsid w:val="00222E19"/>
    <w:rsid w:val="00222E99"/>
    <w:rsid w:val="002231EF"/>
    <w:rsid w:val="00227756"/>
    <w:rsid w:val="00230493"/>
    <w:rsid w:val="0023072B"/>
    <w:rsid w:val="0023257D"/>
    <w:rsid w:val="002338BB"/>
    <w:rsid w:val="00234758"/>
    <w:rsid w:val="00234879"/>
    <w:rsid w:val="002349F4"/>
    <w:rsid w:val="00235FE2"/>
    <w:rsid w:val="00236B83"/>
    <w:rsid w:val="00237744"/>
    <w:rsid w:val="0024178B"/>
    <w:rsid w:val="002421FE"/>
    <w:rsid w:val="00242AB9"/>
    <w:rsid w:val="002430E1"/>
    <w:rsid w:val="00245804"/>
    <w:rsid w:val="00245AF2"/>
    <w:rsid w:val="00246113"/>
    <w:rsid w:val="002509C8"/>
    <w:rsid w:val="00250C69"/>
    <w:rsid w:val="00250E56"/>
    <w:rsid w:val="00250EC9"/>
    <w:rsid w:val="00251566"/>
    <w:rsid w:val="0025197C"/>
    <w:rsid w:val="002519D4"/>
    <w:rsid w:val="002529DC"/>
    <w:rsid w:val="00252E39"/>
    <w:rsid w:val="00252E54"/>
    <w:rsid w:val="002532BC"/>
    <w:rsid w:val="002545C2"/>
    <w:rsid w:val="00254E94"/>
    <w:rsid w:val="00256F8B"/>
    <w:rsid w:val="00257FC0"/>
    <w:rsid w:val="00260BBD"/>
    <w:rsid w:val="00263180"/>
    <w:rsid w:val="00263BF2"/>
    <w:rsid w:val="0026572A"/>
    <w:rsid w:val="00265DB9"/>
    <w:rsid w:val="0026606C"/>
    <w:rsid w:val="002672C1"/>
    <w:rsid w:val="0027032B"/>
    <w:rsid w:val="00270B23"/>
    <w:rsid w:val="002714C3"/>
    <w:rsid w:val="00271BFE"/>
    <w:rsid w:val="002729A1"/>
    <w:rsid w:val="00272A1C"/>
    <w:rsid w:val="002734D3"/>
    <w:rsid w:val="002744BB"/>
    <w:rsid w:val="0027457B"/>
    <w:rsid w:val="00274E28"/>
    <w:rsid w:val="0027544B"/>
    <w:rsid w:val="002766FF"/>
    <w:rsid w:val="00277DE7"/>
    <w:rsid w:val="0028108B"/>
    <w:rsid w:val="00281DC4"/>
    <w:rsid w:val="002825AB"/>
    <w:rsid w:val="00282A1F"/>
    <w:rsid w:val="00282AA1"/>
    <w:rsid w:val="00284999"/>
    <w:rsid w:val="00284CDA"/>
    <w:rsid w:val="002868FA"/>
    <w:rsid w:val="00286C41"/>
    <w:rsid w:val="0029204E"/>
    <w:rsid w:val="002931B5"/>
    <w:rsid w:val="00293474"/>
    <w:rsid w:val="0029391D"/>
    <w:rsid w:val="00294E0D"/>
    <w:rsid w:val="00294F99"/>
    <w:rsid w:val="002960E0"/>
    <w:rsid w:val="002968A1"/>
    <w:rsid w:val="00297B38"/>
    <w:rsid w:val="002A0162"/>
    <w:rsid w:val="002A0C64"/>
    <w:rsid w:val="002A12E2"/>
    <w:rsid w:val="002A12EE"/>
    <w:rsid w:val="002A1816"/>
    <w:rsid w:val="002A1B92"/>
    <w:rsid w:val="002A2596"/>
    <w:rsid w:val="002A2C23"/>
    <w:rsid w:val="002A3B1A"/>
    <w:rsid w:val="002A4803"/>
    <w:rsid w:val="002A5BEB"/>
    <w:rsid w:val="002A6EED"/>
    <w:rsid w:val="002A72A3"/>
    <w:rsid w:val="002A7677"/>
    <w:rsid w:val="002B0483"/>
    <w:rsid w:val="002B0ACB"/>
    <w:rsid w:val="002B24DD"/>
    <w:rsid w:val="002B25C2"/>
    <w:rsid w:val="002B3059"/>
    <w:rsid w:val="002B407C"/>
    <w:rsid w:val="002B4B64"/>
    <w:rsid w:val="002B5965"/>
    <w:rsid w:val="002B667D"/>
    <w:rsid w:val="002C3AF1"/>
    <w:rsid w:val="002C4DDC"/>
    <w:rsid w:val="002C528E"/>
    <w:rsid w:val="002C597D"/>
    <w:rsid w:val="002C5A94"/>
    <w:rsid w:val="002C5E3C"/>
    <w:rsid w:val="002C69DD"/>
    <w:rsid w:val="002C7248"/>
    <w:rsid w:val="002C74C2"/>
    <w:rsid w:val="002C7887"/>
    <w:rsid w:val="002C7F31"/>
    <w:rsid w:val="002D0800"/>
    <w:rsid w:val="002D1B75"/>
    <w:rsid w:val="002D1BDF"/>
    <w:rsid w:val="002D233C"/>
    <w:rsid w:val="002D2CDB"/>
    <w:rsid w:val="002D3B81"/>
    <w:rsid w:val="002D480B"/>
    <w:rsid w:val="002D52EE"/>
    <w:rsid w:val="002E1369"/>
    <w:rsid w:val="002E1F40"/>
    <w:rsid w:val="002E2ED7"/>
    <w:rsid w:val="002E332B"/>
    <w:rsid w:val="002E6059"/>
    <w:rsid w:val="002E716E"/>
    <w:rsid w:val="002E719A"/>
    <w:rsid w:val="002E7894"/>
    <w:rsid w:val="002E7D55"/>
    <w:rsid w:val="002E7DC0"/>
    <w:rsid w:val="002F0A91"/>
    <w:rsid w:val="002F17BB"/>
    <w:rsid w:val="002F1EB6"/>
    <w:rsid w:val="002F2487"/>
    <w:rsid w:val="002F3D0D"/>
    <w:rsid w:val="002F4537"/>
    <w:rsid w:val="002F4BF4"/>
    <w:rsid w:val="002F5191"/>
    <w:rsid w:val="002F56D1"/>
    <w:rsid w:val="002F6C0C"/>
    <w:rsid w:val="00300E0A"/>
    <w:rsid w:val="00301354"/>
    <w:rsid w:val="003018FA"/>
    <w:rsid w:val="0030192A"/>
    <w:rsid w:val="00301C19"/>
    <w:rsid w:val="00301C77"/>
    <w:rsid w:val="00302413"/>
    <w:rsid w:val="003025A6"/>
    <w:rsid w:val="0030261B"/>
    <w:rsid w:val="00302BC4"/>
    <w:rsid w:val="003033FD"/>
    <w:rsid w:val="0030600C"/>
    <w:rsid w:val="00310885"/>
    <w:rsid w:val="00311C7B"/>
    <w:rsid w:val="00312015"/>
    <w:rsid w:val="00315C3F"/>
    <w:rsid w:val="003162EA"/>
    <w:rsid w:val="0031721F"/>
    <w:rsid w:val="0032073D"/>
    <w:rsid w:val="00320B66"/>
    <w:rsid w:val="003218DD"/>
    <w:rsid w:val="0032304F"/>
    <w:rsid w:val="00323EFB"/>
    <w:rsid w:val="00323FA7"/>
    <w:rsid w:val="003254AD"/>
    <w:rsid w:val="00325D6A"/>
    <w:rsid w:val="00326524"/>
    <w:rsid w:val="003266CE"/>
    <w:rsid w:val="00326D5B"/>
    <w:rsid w:val="0032704A"/>
    <w:rsid w:val="003303CB"/>
    <w:rsid w:val="00330CE8"/>
    <w:rsid w:val="00331B63"/>
    <w:rsid w:val="00332B8C"/>
    <w:rsid w:val="003336D4"/>
    <w:rsid w:val="00337C1F"/>
    <w:rsid w:val="003418B5"/>
    <w:rsid w:val="003440B7"/>
    <w:rsid w:val="00344470"/>
    <w:rsid w:val="0034483D"/>
    <w:rsid w:val="003460CE"/>
    <w:rsid w:val="003476B3"/>
    <w:rsid w:val="00350F08"/>
    <w:rsid w:val="00353A89"/>
    <w:rsid w:val="00354540"/>
    <w:rsid w:val="0035591B"/>
    <w:rsid w:val="0035716C"/>
    <w:rsid w:val="00360E31"/>
    <w:rsid w:val="00361A3D"/>
    <w:rsid w:val="00361D69"/>
    <w:rsid w:val="00363826"/>
    <w:rsid w:val="00363F18"/>
    <w:rsid w:val="00365760"/>
    <w:rsid w:val="00366132"/>
    <w:rsid w:val="00366343"/>
    <w:rsid w:val="00370429"/>
    <w:rsid w:val="0037088F"/>
    <w:rsid w:val="003709D5"/>
    <w:rsid w:val="00371530"/>
    <w:rsid w:val="003725C4"/>
    <w:rsid w:val="00372879"/>
    <w:rsid w:val="00373DCA"/>
    <w:rsid w:val="00373FC3"/>
    <w:rsid w:val="0037402E"/>
    <w:rsid w:val="00374B54"/>
    <w:rsid w:val="00375C02"/>
    <w:rsid w:val="0037614A"/>
    <w:rsid w:val="00376B03"/>
    <w:rsid w:val="0037743F"/>
    <w:rsid w:val="00377FB6"/>
    <w:rsid w:val="003805CB"/>
    <w:rsid w:val="00380E52"/>
    <w:rsid w:val="003824BC"/>
    <w:rsid w:val="00382B1C"/>
    <w:rsid w:val="00384306"/>
    <w:rsid w:val="003847F8"/>
    <w:rsid w:val="00386A27"/>
    <w:rsid w:val="003908F8"/>
    <w:rsid w:val="003910D1"/>
    <w:rsid w:val="0039304A"/>
    <w:rsid w:val="003949CC"/>
    <w:rsid w:val="00395602"/>
    <w:rsid w:val="003959C5"/>
    <w:rsid w:val="0039622E"/>
    <w:rsid w:val="00396BCF"/>
    <w:rsid w:val="00396DDA"/>
    <w:rsid w:val="003A09D9"/>
    <w:rsid w:val="003A1356"/>
    <w:rsid w:val="003A19B1"/>
    <w:rsid w:val="003A22F1"/>
    <w:rsid w:val="003A48D0"/>
    <w:rsid w:val="003A6677"/>
    <w:rsid w:val="003A6799"/>
    <w:rsid w:val="003A6BF8"/>
    <w:rsid w:val="003A6C33"/>
    <w:rsid w:val="003B0764"/>
    <w:rsid w:val="003B0FB6"/>
    <w:rsid w:val="003B3D03"/>
    <w:rsid w:val="003B40F8"/>
    <w:rsid w:val="003B64C9"/>
    <w:rsid w:val="003B67C6"/>
    <w:rsid w:val="003B6D76"/>
    <w:rsid w:val="003C0F75"/>
    <w:rsid w:val="003C12C6"/>
    <w:rsid w:val="003C1C8D"/>
    <w:rsid w:val="003C1DBC"/>
    <w:rsid w:val="003C248A"/>
    <w:rsid w:val="003C33EA"/>
    <w:rsid w:val="003C403B"/>
    <w:rsid w:val="003C574B"/>
    <w:rsid w:val="003C5796"/>
    <w:rsid w:val="003C6032"/>
    <w:rsid w:val="003C6D3D"/>
    <w:rsid w:val="003C7267"/>
    <w:rsid w:val="003C7645"/>
    <w:rsid w:val="003C7B1A"/>
    <w:rsid w:val="003D054F"/>
    <w:rsid w:val="003D2B95"/>
    <w:rsid w:val="003D39F8"/>
    <w:rsid w:val="003D3C6B"/>
    <w:rsid w:val="003D5FB9"/>
    <w:rsid w:val="003D708C"/>
    <w:rsid w:val="003D7A5E"/>
    <w:rsid w:val="003E3709"/>
    <w:rsid w:val="003E4B26"/>
    <w:rsid w:val="003E56B3"/>
    <w:rsid w:val="003E571E"/>
    <w:rsid w:val="003E6612"/>
    <w:rsid w:val="003E77AB"/>
    <w:rsid w:val="003F1BF8"/>
    <w:rsid w:val="003F2243"/>
    <w:rsid w:val="003F2C42"/>
    <w:rsid w:val="003F3334"/>
    <w:rsid w:val="003F3B65"/>
    <w:rsid w:val="003F54AC"/>
    <w:rsid w:val="003F5581"/>
    <w:rsid w:val="00400EE7"/>
    <w:rsid w:val="00401D2C"/>
    <w:rsid w:val="0040264C"/>
    <w:rsid w:val="00402E16"/>
    <w:rsid w:val="004036FE"/>
    <w:rsid w:val="00403F54"/>
    <w:rsid w:val="004044CD"/>
    <w:rsid w:val="00405195"/>
    <w:rsid w:val="00405823"/>
    <w:rsid w:val="00405B84"/>
    <w:rsid w:val="00405EE3"/>
    <w:rsid w:val="004065C5"/>
    <w:rsid w:val="00407051"/>
    <w:rsid w:val="00411998"/>
    <w:rsid w:val="00411ED8"/>
    <w:rsid w:val="00412106"/>
    <w:rsid w:val="004124AB"/>
    <w:rsid w:val="00412816"/>
    <w:rsid w:val="00412C47"/>
    <w:rsid w:val="0041410D"/>
    <w:rsid w:val="0041493F"/>
    <w:rsid w:val="00414A37"/>
    <w:rsid w:val="00415BF6"/>
    <w:rsid w:val="0041732B"/>
    <w:rsid w:val="00421242"/>
    <w:rsid w:val="00421307"/>
    <w:rsid w:val="0042283D"/>
    <w:rsid w:val="00422ACD"/>
    <w:rsid w:val="00422C10"/>
    <w:rsid w:val="004230F2"/>
    <w:rsid w:val="00423ED5"/>
    <w:rsid w:val="00423F70"/>
    <w:rsid w:val="00424AD4"/>
    <w:rsid w:val="004254F6"/>
    <w:rsid w:val="00425CDD"/>
    <w:rsid w:val="0043002F"/>
    <w:rsid w:val="00430132"/>
    <w:rsid w:val="0043020E"/>
    <w:rsid w:val="004302C5"/>
    <w:rsid w:val="00430F3D"/>
    <w:rsid w:val="00433038"/>
    <w:rsid w:val="004341F3"/>
    <w:rsid w:val="00434963"/>
    <w:rsid w:val="00434F15"/>
    <w:rsid w:val="00440BBB"/>
    <w:rsid w:val="00441476"/>
    <w:rsid w:val="004417F7"/>
    <w:rsid w:val="00442465"/>
    <w:rsid w:val="00442B8B"/>
    <w:rsid w:val="00443C4B"/>
    <w:rsid w:val="0044470B"/>
    <w:rsid w:val="00445A56"/>
    <w:rsid w:val="00447C5E"/>
    <w:rsid w:val="00447EF8"/>
    <w:rsid w:val="004511BA"/>
    <w:rsid w:val="00453FF8"/>
    <w:rsid w:val="004541FE"/>
    <w:rsid w:val="004548FD"/>
    <w:rsid w:val="0045604F"/>
    <w:rsid w:val="00460767"/>
    <w:rsid w:val="00460B8D"/>
    <w:rsid w:val="00461C80"/>
    <w:rsid w:val="00462F44"/>
    <w:rsid w:val="00465A9F"/>
    <w:rsid w:val="00466878"/>
    <w:rsid w:val="00466AE9"/>
    <w:rsid w:val="00466DCA"/>
    <w:rsid w:val="00467D06"/>
    <w:rsid w:val="004711BE"/>
    <w:rsid w:val="00471884"/>
    <w:rsid w:val="00471DD5"/>
    <w:rsid w:val="00472587"/>
    <w:rsid w:val="004726AF"/>
    <w:rsid w:val="004732B7"/>
    <w:rsid w:val="0047495D"/>
    <w:rsid w:val="00475DF9"/>
    <w:rsid w:val="0048142B"/>
    <w:rsid w:val="00482A48"/>
    <w:rsid w:val="00483582"/>
    <w:rsid w:val="00483A30"/>
    <w:rsid w:val="00483A6C"/>
    <w:rsid w:val="00484477"/>
    <w:rsid w:val="00484792"/>
    <w:rsid w:val="0049069C"/>
    <w:rsid w:val="0049145A"/>
    <w:rsid w:val="004918B6"/>
    <w:rsid w:val="00493F00"/>
    <w:rsid w:val="0049451C"/>
    <w:rsid w:val="00496E3C"/>
    <w:rsid w:val="00496F4B"/>
    <w:rsid w:val="00497749"/>
    <w:rsid w:val="00497BAA"/>
    <w:rsid w:val="00497C65"/>
    <w:rsid w:val="004A016A"/>
    <w:rsid w:val="004A08BF"/>
    <w:rsid w:val="004A0BE2"/>
    <w:rsid w:val="004A26B4"/>
    <w:rsid w:val="004A3025"/>
    <w:rsid w:val="004A49C6"/>
    <w:rsid w:val="004A510F"/>
    <w:rsid w:val="004A5FC2"/>
    <w:rsid w:val="004A7BF5"/>
    <w:rsid w:val="004A7FF4"/>
    <w:rsid w:val="004B00EB"/>
    <w:rsid w:val="004B0905"/>
    <w:rsid w:val="004B145F"/>
    <w:rsid w:val="004B1C8A"/>
    <w:rsid w:val="004B30D6"/>
    <w:rsid w:val="004B3433"/>
    <w:rsid w:val="004B4C4C"/>
    <w:rsid w:val="004B5145"/>
    <w:rsid w:val="004B53D5"/>
    <w:rsid w:val="004B63E8"/>
    <w:rsid w:val="004B7562"/>
    <w:rsid w:val="004B77CF"/>
    <w:rsid w:val="004B7BD8"/>
    <w:rsid w:val="004C016A"/>
    <w:rsid w:val="004C0F84"/>
    <w:rsid w:val="004C106F"/>
    <w:rsid w:val="004C14EB"/>
    <w:rsid w:val="004C1E79"/>
    <w:rsid w:val="004C21B8"/>
    <w:rsid w:val="004C2AB2"/>
    <w:rsid w:val="004C2E09"/>
    <w:rsid w:val="004C3A9D"/>
    <w:rsid w:val="004C4DF2"/>
    <w:rsid w:val="004C6761"/>
    <w:rsid w:val="004C6787"/>
    <w:rsid w:val="004C6939"/>
    <w:rsid w:val="004C7488"/>
    <w:rsid w:val="004D3A30"/>
    <w:rsid w:val="004D48FB"/>
    <w:rsid w:val="004D72FD"/>
    <w:rsid w:val="004E0186"/>
    <w:rsid w:val="004E0AC9"/>
    <w:rsid w:val="004E0F84"/>
    <w:rsid w:val="004E35F0"/>
    <w:rsid w:val="004E50DF"/>
    <w:rsid w:val="004E55D5"/>
    <w:rsid w:val="004E5E1A"/>
    <w:rsid w:val="004E5FCE"/>
    <w:rsid w:val="004E79D6"/>
    <w:rsid w:val="004E7EF7"/>
    <w:rsid w:val="004F110F"/>
    <w:rsid w:val="004F13CA"/>
    <w:rsid w:val="004F13DB"/>
    <w:rsid w:val="004F1EDB"/>
    <w:rsid w:val="004F54AA"/>
    <w:rsid w:val="004F7807"/>
    <w:rsid w:val="004F7D03"/>
    <w:rsid w:val="005002D7"/>
    <w:rsid w:val="00500CE8"/>
    <w:rsid w:val="0050129F"/>
    <w:rsid w:val="00501540"/>
    <w:rsid w:val="0050215E"/>
    <w:rsid w:val="00503ED9"/>
    <w:rsid w:val="005040E6"/>
    <w:rsid w:val="005049C3"/>
    <w:rsid w:val="00505F90"/>
    <w:rsid w:val="00506EC9"/>
    <w:rsid w:val="005073C4"/>
    <w:rsid w:val="005079EF"/>
    <w:rsid w:val="00511E9A"/>
    <w:rsid w:val="00514FE0"/>
    <w:rsid w:val="00515D6E"/>
    <w:rsid w:val="00515E0D"/>
    <w:rsid w:val="005162C4"/>
    <w:rsid w:val="0051716F"/>
    <w:rsid w:val="0051751B"/>
    <w:rsid w:val="00517C9F"/>
    <w:rsid w:val="0052105E"/>
    <w:rsid w:val="00521273"/>
    <w:rsid w:val="0052286F"/>
    <w:rsid w:val="00523245"/>
    <w:rsid w:val="005237F8"/>
    <w:rsid w:val="00524AA6"/>
    <w:rsid w:val="00524F6C"/>
    <w:rsid w:val="005252E1"/>
    <w:rsid w:val="005253F5"/>
    <w:rsid w:val="005273ED"/>
    <w:rsid w:val="00527C3D"/>
    <w:rsid w:val="00527EA0"/>
    <w:rsid w:val="005301B5"/>
    <w:rsid w:val="005312D5"/>
    <w:rsid w:val="005313FB"/>
    <w:rsid w:val="00532656"/>
    <w:rsid w:val="00536891"/>
    <w:rsid w:val="005409A2"/>
    <w:rsid w:val="00540A52"/>
    <w:rsid w:val="0054180A"/>
    <w:rsid w:val="00545EE6"/>
    <w:rsid w:val="00546085"/>
    <w:rsid w:val="00551231"/>
    <w:rsid w:val="00551DB2"/>
    <w:rsid w:val="00551F36"/>
    <w:rsid w:val="005525B3"/>
    <w:rsid w:val="0055544F"/>
    <w:rsid w:val="00555602"/>
    <w:rsid w:val="00555E94"/>
    <w:rsid w:val="005575C8"/>
    <w:rsid w:val="00561ED7"/>
    <w:rsid w:val="00561FE4"/>
    <w:rsid w:val="00563D95"/>
    <w:rsid w:val="005640D9"/>
    <w:rsid w:val="00565114"/>
    <w:rsid w:val="00566788"/>
    <w:rsid w:val="00570338"/>
    <w:rsid w:val="005703AE"/>
    <w:rsid w:val="005756A7"/>
    <w:rsid w:val="0057580E"/>
    <w:rsid w:val="005779A8"/>
    <w:rsid w:val="00581B35"/>
    <w:rsid w:val="0058298F"/>
    <w:rsid w:val="00582BB0"/>
    <w:rsid w:val="00582BB6"/>
    <w:rsid w:val="00583060"/>
    <w:rsid w:val="00584F6F"/>
    <w:rsid w:val="00585579"/>
    <w:rsid w:val="00586785"/>
    <w:rsid w:val="0059031F"/>
    <w:rsid w:val="00590AFF"/>
    <w:rsid w:val="00591785"/>
    <w:rsid w:val="00593AA4"/>
    <w:rsid w:val="00595C24"/>
    <w:rsid w:val="0059670E"/>
    <w:rsid w:val="00597016"/>
    <w:rsid w:val="005974A2"/>
    <w:rsid w:val="0059767B"/>
    <w:rsid w:val="005A0758"/>
    <w:rsid w:val="005A30EE"/>
    <w:rsid w:val="005A5805"/>
    <w:rsid w:val="005A6E6F"/>
    <w:rsid w:val="005A78F4"/>
    <w:rsid w:val="005B06C7"/>
    <w:rsid w:val="005B09D0"/>
    <w:rsid w:val="005B1354"/>
    <w:rsid w:val="005B233F"/>
    <w:rsid w:val="005B5751"/>
    <w:rsid w:val="005B6CFB"/>
    <w:rsid w:val="005B775D"/>
    <w:rsid w:val="005C2242"/>
    <w:rsid w:val="005C266F"/>
    <w:rsid w:val="005C2B2E"/>
    <w:rsid w:val="005C5CF1"/>
    <w:rsid w:val="005C6642"/>
    <w:rsid w:val="005C6721"/>
    <w:rsid w:val="005C7B8C"/>
    <w:rsid w:val="005C7C78"/>
    <w:rsid w:val="005D1AC6"/>
    <w:rsid w:val="005D2920"/>
    <w:rsid w:val="005D324F"/>
    <w:rsid w:val="005D36BE"/>
    <w:rsid w:val="005D370B"/>
    <w:rsid w:val="005D5BDB"/>
    <w:rsid w:val="005D5DE6"/>
    <w:rsid w:val="005D5FA9"/>
    <w:rsid w:val="005D6CC7"/>
    <w:rsid w:val="005E0005"/>
    <w:rsid w:val="005E0CEF"/>
    <w:rsid w:val="005E31F5"/>
    <w:rsid w:val="005E4F13"/>
    <w:rsid w:val="005E6443"/>
    <w:rsid w:val="005E64F0"/>
    <w:rsid w:val="005E6EE5"/>
    <w:rsid w:val="005E7777"/>
    <w:rsid w:val="005E7C39"/>
    <w:rsid w:val="005F1379"/>
    <w:rsid w:val="005F1CF1"/>
    <w:rsid w:val="005F2CD7"/>
    <w:rsid w:val="005F2D57"/>
    <w:rsid w:val="005F43BA"/>
    <w:rsid w:val="005F465D"/>
    <w:rsid w:val="005F4CD7"/>
    <w:rsid w:val="005F5CFA"/>
    <w:rsid w:val="005F668C"/>
    <w:rsid w:val="005F70F3"/>
    <w:rsid w:val="005F7365"/>
    <w:rsid w:val="00600337"/>
    <w:rsid w:val="006024C5"/>
    <w:rsid w:val="006046E1"/>
    <w:rsid w:val="00604A85"/>
    <w:rsid w:val="00604BE9"/>
    <w:rsid w:val="00605432"/>
    <w:rsid w:val="006058E0"/>
    <w:rsid w:val="006060CA"/>
    <w:rsid w:val="00606529"/>
    <w:rsid w:val="00606A2E"/>
    <w:rsid w:val="00610052"/>
    <w:rsid w:val="00610237"/>
    <w:rsid w:val="006110C1"/>
    <w:rsid w:val="00611860"/>
    <w:rsid w:val="00611DA3"/>
    <w:rsid w:val="0061203E"/>
    <w:rsid w:val="00613EEE"/>
    <w:rsid w:val="00613F98"/>
    <w:rsid w:val="00614940"/>
    <w:rsid w:val="00616842"/>
    <w:rsid w:val="00616D82"/>
    <w:rsid w:val="0061791A"/>
    <w:rsid w:val="00617BA4"/>
    <w:rsid w:val="00617BEC"/>
    <w:rsid w:val="006215FF"/>
    <w:rsid w:val="00621964"/>
    <w:rsid w:val="00626477"/>
    <w:rsid w:val="00627693"/>
    <w:rsid w:val="00627832"/>
    <w:rsid w:val="00630413"/>
    <w:rsid w:val="00630EA7"/>
    <w:rsid w:val="00630EE1"/>
    <w:rsid w:val="00631545"/>
    <w:rsid w:val="00632188"/>
    <w:rsid w:val="006328ED"/>
    <w:rsid w:val="0063451F"/>
    <w:rsid w:val="0063474C"/>
    <w:rsid w:val="006350CD"/>
    <w:rsid w:val="00636CC4"/>
    <w:rsid w:val="00636F6D"/>
    <w:rsid w:val="0064093B"/>
    <w:rsid w:val="006415B6"/>
    <w:rsid w:val="006422A4"/>
    <w:rsid w:val="00643694"/>
    <w:rsid w:val="00643825"/>
    <w:rsid w:val="00643A35"/>
    <w:rsid w:val="006459D4"/>
    <w:rsid w:val="0065008E"/>
    <w:rsid w:val="0065077B"/>
    <w:rsid w:val="00652566"/>
    <w:rsid w:val="006546FF"/>
    <w:rsid w:val="0065526A"/>
    <w:rsid w:val="0065573F"/>
    <w:rsid w:val="00655FFB"/>
    <w:rsid w:val="00657A6A"/>
    <w:rsid w:val="006605D6"/>
    <w:rsid w:val="006615C6"/>
    <w:rsid w:val="00665109"/>
    <w:rsid w:val="00665211"/>
    <w:rsid w:val="006653B2"/>
    <w:rsid w:val="00666A5E"/>
    <w:rsid w:val="00670AE9"/>
    <w:rsid w:val="00671F90"/>
    <w:rsid w:val="00672724"/>
    <w:rsid w:val="00675EA3"/>
    <w:rsid w:val="00675F8C"/>
    <w:rsid w:val="00676651"/>
    <w:rsid w:val="0067711E"/>
    <w:rsid w:val="006779A6"/>
    <w:rsid w:val="006805AA"/>
    <w:rsid w:val="0068081A"/>
    <w:rsid w:val="00680D6C"/>
    <w:rsid w:val="00680F77"/>
    <w:rsid w:val="0068490D"/>
    <w:rsid w:val="00685ABD"/>
    <w:rsid w:val="00690910"/>
    <w:rsid w:val="00690D25"/>
    <w:rsid w:val="0069160B"/>
    <w:rsid w:val="00693147"/>
    <w:rsid w:val="0069671E"/>
    <w:rsid w:val="00696859"/>
    <w:rsid w:val="00696CC1"/>
    <w:rsid w:val="006A0C61"/>
    <w:rsid w:val="006A3A32"/>
    <w:rsid w:val="006A44E4"/>
    <w:rsid w:val="006A52B7"/>
    <w:rsid w:val="006A76F9"/>
    <w:rsid w:val="006B0599"/>
    <w:rsid w:val="006B09DA"/>
    <w:rsid w:val="006B146B"/>
    <w:rsid w:val="006B217C"/>
    <w:rsid w:val="006B269D"/>
    <w:rsid w:val="006B4910"/>
    <w:rsid w:val="006B52A4"/>
    <w:rsid w:val="006B67A1"/>
    <w:rsid w:val="006B6CBE"/>
    <w:rsid w:val="006B712C"/>
    <w:rsid w:val="006B7ECA"/>
    <w:rsid w:val="006C0580"/>
    <w:rsid w:val="006C08CF"/>
    <w:rsid w:val="006C175E"/>
    <w:rsid w:val="006C2100"/>
    <w:rsid w:val="006C2987"/>
    <w:rsid w:val="006C51D5"/>
    <w:rsid w:val="006C584F"/>
    <w:rsid w:val="006C5E11"/>
    <w:rsid w:val="006C6A54"/>
    <w:rsid w:val="006D00D5"/>
    <w:rsid w:val="006D0591"/>
    <w:rsid w:val="006D10C9"/>
    <w:rsid w:val="006D2C3E"/>
    <w:rsid w:val="006D2F61"/>
    <w:rsid w:val="006D423E"/>
    <w:rsid w:val="006D6CA5"/>
    <w:rsid w:val="006D700F"/>
    <w:rsid w:val="006E0158"/>
    <w:rsid w:val="006E059F"/>
    <w:rsid w:val="006E0955"/>
    <w:rsid w:val="006E10F2"/>
    <w:rsid w:val="006E1A60"/>
    <w:rsid w:val="006E1CB0"/>
    <w:rsid w:val="006E1ED9"/>
    <w:rsid w:val="006E1EE7"/>
    <w:rsid w:val="006E2062"/>
    <w:rsid w:val="006E24AE"/>
    <w:rsid w:val="006E4EDF"/>
    <w:rsid w:val="006E5D35"/>
    <w:rsid w:val="006E6A2D"/>
    <w:rsid w:val="006E755D"/>
    <w:rsid w:val="006E7F7F"/>
    <w:rsid w:val="006F00E2"/>
    <w:rsid w:val="006F06B9"/>
    <w:rsid w:val="006F0D63"/>
    <w:rsid w:val="006F1173"/>
    <w:rsid w:val="006F1E24"/>
    <w:rsid w:val="006F331D"/>
    <w:rsid w:val="006F350E"/>
    <w:rsid w:val="006F3677"/>
    <w:rsid w:val="006F3E13"/>
    <w:rsid w:val="006F71D1"/>
    <w:rsid w:val="006F72B8"/>
    <w:rsid w:val="006F7B33"/>
    <w:rsid w:val="006F7FDC"/>
    <w:rsid w:val="0070063A"/>
    <w:rsid w:val="0070148C"/>
    <w:rsid w:val="00702A32"/>
    <w:rsid w:val="0070423B"/>
    <w:rsid w:val="0070424F"/>
    <w:rsid w:val="00705678"/>
    <w:rsid w:val="00705B07"/>
    <w:rsid w:val="00705B85"/>
    <w:rsid w:val="007069BA"/>
    <w:rsid w:val="00707330"/>
    <w:rsid w:val="00707E2C"/>
    <w:rsid w:val="007103E8"/>
    <w:rsid w:val="007111BD"/>
    <w:rsid w:val="007118FC"/>
    <w:rsid w:val="00712A4F"/>
    <w:rsid w:val="00712C12"/>
    <w:rsid w:val="00713E98"/>
    <w:rsid w:val="007177D4"/>
    <w:rsid w:val="00717E8E"/>
    <w:rsid w:val="00720094"/>
    <w:rsid w:val="007205E2"/>
    <w:rsid w:val="007210CB"/>
    <w:rsid w:val="007235B2"/>
    <w:rsid w:val="0072483F"/>
    <w:rsid w:val="00725BAC"/>
    <w:rsid w:val="0072707B"/>
    <w:rsid w:val="00727902"/>
    <w:rsid w:val="00727D20"/>
    <w:rsid w:val="00731AB1"/>
    <w:rsid w:val="00733195"/>
    <w:rsid w:val="007331EC"/>
    <w:rsid w:val="007335E7"/>
    <w:rsid w:val="00733AE3"/>
    <w:rsid w:val="00734406"/>
    <w:rsid w:val="00737076"/>
    <w:rsid w:val="007374A3"/>
    <w:rsid w:val="007412A4"/>
    <w:rsid w:val="0074357B"/>
    <w:rsid w:val="00744138"/>
    <w:rsid w:val="007443E8"/>
    <w:rsid w:val="00744BB6"/>
    <w:rsid w:val="00744C86"/>
    <w:rsid w:val="00744F1C"/>
    <w:rsid w:val="007451F6"/>
    <w:rsid w:val="00745674"/>
    <w:rsid w:val="00746194"/>
    <w:rsid w:val="00746B17"/>
    <w:rsid w:val="007501ED"/>
    <w:rsid w:val="00750459"/>
    <w:rsid w:val="00750954"/>
    <w:rsid w:val="00750BF7"/>
    <w:rsid w:val="0075234C"/>
    <w:rsid w:val="00752948"/>
    <w:rsid w:val="00753D92"/>
    <w:rsid w:val="007549B6"/>
    <w:rsid w:val="00755AD5"/>
    <w:rsid w:val="007569AE"/>
    <w:rsid w:val="00757ABB"/>
    <w:rsid w:val="00760C66"/>
    <w:rsid w:val="00761EB6"/>
    <w:rsid w:val="00762C4E"/>
    <w:rsid w:val="00762D09"/>
    <w:rsid w:val="007636DC"/>
    <w:rsid w:val="00763CA1"/>
    <w:rsid w:val="0076477B"/>
    <w:rsid w:val="00765F4D"/>
    <w:rsid w:val="0076676F"/>
    <w:rsid w:val="00766FBB"/>
    <w:rsid w:val="00770A5D"/>
    <w:rsid w:val="00770D8A"/>
    <w:rsid w:val="00771C7D"/>
    <w:rsid w:val="00772462"/>
    <w:rsid w:val="00772BEF"/>
    <w:rsid w:val="00774A2B"/>
    <w:rsid w:val="00774FC8"/>
    <w:rsid w:val="00775B67"/>
    <w:rsid w:val="0077641F"/>
    <w:rsid w:val="00777C07"/>
    <w:rsid w:val="007803FC"/>
    <w:rsid w:val="007817F3"/>
    <w:rsid w:val="00781C5A"/>
    <w:rsid w:val="00781D20"/>
    <w:rsid w:val="00782659"/>
    <w:rsid w:val="00782856"/>
    <w:rsid w:val="0078286D"/>
    <w:rsid w:val="00785D7F"/>
    <w:rsid w:val="00786D0E"/>
    <w:rsid w:val="00786D5C"/>
    <w:rsid w:val="00787AFC"/>
    <w:rsid w:val="007929B5"/>
    <w:rsid w:val="00792DB9"/>
    <w:rsid w:val="00792FE9"/>
    <w:rsid w:val="00793320"/>
    <w:rsid w:val="00793717"/>
    <w:rsid w:val="00793920"/>
    <w:rsid w:val="00794158"/>
    <w:rsid w:val="00794A36"/>
    <w:rsid w:val="007955DB"/>
    <w:rsid w:val="0079588A"/>
    <w:rsid w:val="00795B3B"/>
    <w:rsid w:val="007A0229"/>
    <w:rsid w:val="007A1491"/>
    <w:rsid w:val="007A1511"/>
    <w:rsid w:val="007A1872"/>
    <w:rsid w:val="007A26AE"/>
    <w:rsid w:val="007A2900"/>
    <w:rsid w:val="007A37F7"/>
    <w:rsid w:val="007A479E"/>
    <w:rsid w:val="007A4BCB"/>
    <w:rsid w:val="007A5149"/>
    <w:rsid w:val="007A5A22"/>
    <w:rsid w:val="007B2BEB"/>
    <w:rsid w:val="007B2EF8"/>
    <w:rsid w:val="007B3440"/>
    <w:rsid w:val="007B36C0"/>
    <w:rsid w:val="007B4A53"/>
    <w:rsid w:val="007B6586"/>
    <w:rsid w:val="007B6E7E"/>
    <w:rsid w:val="007B7152"/>
    <w:rsid w:val="007B75A1"/>
    <w:rsid w:val="007B76F7"/>
    <w:rsid w:val="007B79E4"/>
    <w:rsid w:val="007B7A99"/>
    <w:rsid w:val="007C0032"/>
    <w:rsid w:val="007C1B98"/>
    <w:rsid w:val="007C1EE6"/>
    <w:rsid w:val="007C2C1B"/>
    <w:rsid w:val="007C42D5"/>
    <w:rsid w:val="007C4415"/>
    <w:rsid w:val="007C4A4D"/>
    <w:rsid w:val="007C64A9"/>
    <w:rsid w:val="007D0011"/>
    <w:rsid w:val="007D065A"/>
    <w:rsid w:val="007D0D9A"/>
    <w:rsid w:val="007D0DB7"/>
    <w:rsid w:val="007D1C75"/>
    <w:rsid w:val="007D25A5"/>
    <w:rsid w:val="007D321A"/>
    <w:rsid w:val="007D37B5"/>
    <w:rsid w:val="007D4AD9"/>
    <w:rsid w:val="007D4C54"/>
    <w:rsid w:val="007D528F"/>
    <w:rsid w:val="007D66CB"/>
    <w:rsid w:val="007D7A5F"/>
    <w:rsid w:val="007E02F4"/>
    <w:rsid w:val="007E0A7F"/>
    <w:rsid w:val="007E2C2D"/>
    <w:rsid w:val="007E2ECA"/>
    <w:rsid w:val="007E4441"/>
    <w:rsid w:val="007E5536"/>
    <w:rsid w:val="007E5F08"/>
    <w:rsid w:val="007E6480"/>
    <w:rsid w:val="007E6C4A"/>
    <w:rsid w:val="007F4209"/>
    <w:rsid w:val="007F472C"/>
    <w:rsid w:val="007F6FCD"/>
    <w:rsid w:val="007F7921"/>
    <w:rsid w:val="007F7942"/>
    <w:rsid w:val="0080041C"/>
    <w:rsid w:val="008006BD"/>
    <w:rsid w:val="00801566"/>
    <w:rsid w:val="00802A16"/>
    <w:rsid w:val="0080370D"/>
    <w:rsid w:val="008048C0"/>
    <w:rsid w:val="00805987"/>
    <w:rsid w:val="00805A9C"/>
    <w:rsid w:val="00806617"/>
    <w:rsid w:val="0080733E"/>
    <w:rsid w:val="00807FFD"/>
    <w:rsid w:val="008117F5"/>
    <w:rsid w:val="00811856"/>
    <w:rsid w:val="00812E87"/>
    <w:rsid w:val="00812EBA"/>
    <w:rsid w:val="00814492"/>
    <w:rsid w:val="0081468E"/>
    <w:rsid w:val="00814959"/>
    <w:rsid w:val="00814F3C"/>
    <w:rsid w:val="00815022"/>
    <w:rsid w:val="008159B0"/>
    <w:rsid w:val="00816040"/>
    <w:rsid w:val="00817624"/>
    <w:rsid w:val="0082108A"/>
    <w:rsid w:val="0082569E"/>
    <w:rsid w:val="00826853"/>
    <w:rsid w:val="0082788D"/>
    <w:rsid w:val="00832288"/>
    <w:rsid w:val="0083332A"/>
    <w:rsid w:val="00833BBC"/>
    <w:rsid w:val="008357C6"/>
    <w:rsid w:val="00835BCA"/>
    <w:rsid w:val="00835C20"/>
    <w:rsid w:val="00835D8D"/>
    <w:rsid w:val="008365F4"/>
    <w:rsid w:val="0083673D"/>
    <w:rsid w:val="00837421"/>
    <w:rsid w:val="00837649"/>
    <w:rsid w:val="0083775C"/>
    <w:rsid w:val="0083775D"/>
    <w:rsid w:val="00837E89"/>
    <w:rsid w:val="00840013"/>
    <w:rsid w:val="0084198E"/>
    <w:rsid w:val="0084201F"/>
    <w:rsid w:val="00842715"/>
    <w:rsid w:val="00843C57"/>
    <w:rsid w:val="008440D6"/>
    <w:rsid w:val="00844147"/>
    <w:rsid w:val="00850E40"/>
    <w:rsid w:val="00851D6B"/>
    <w:rsid w:val="00853E1B"/>
    <w:rsid w:val="0085466C"/>
    <w:rsid w:val="008549D7"/>
    <w:rsid w:val="00854CD6"/>
    <w:rsid w:val="00855372"/>
    <w:rsid w:val="00855C4B"/>
    <w:rsid w:val="008568C2"/>
    <w:rsid w:val="00856BB2"/>
    <w:rsid w:val="008602BA"/>
    <w:rsid w:val="00860963"/>
    <w:rsid w:val="0086226E"/>
    <w:rsid w:val="008623B6"/>
    <w:rsid w:val="008623FB"/>
    <w:rsid w:val="00862E80"/>
    <w:rsid w:val="00863C60"/>
    <w:rsid w:val="00863E7B"/>
    <w:rsid w:val="008644E0"/>
    <w:rsid w:val="00865D93"/>
    <w:rsid w:val="00866933"/>
    <w:rsid w:val="008673EE"/>
    <w:rsid w:val="0086783F"/>
    <w:rsid w:val="0086794A"/>
    <w:rsid w:val="00870318"/>
    <w:rsid w:val="00871C22"/>
    <w:rsid w:val="00873AA9"/>
    <w:rsid w:val="00874285"/>
    <w:rsid w:val="00875960"/>
    <w:rsid w:val="00877C3F"/>
    <w:rsid w:val="00880922"/>
    <w:rsid w:val="008818C5"/>
    <w:rsid w:val="008823BD"/>
    <w:rsid w:val="008847CB"/>
    <w:rsid w:val="00884D03"/>
    <w:rsid w:val="00885534"/>
    <w:rsid w:val="0088584E"/>
    <w:rsid w:val="00885D78"/>
    <w:rsid w:val="00886007"/>
    <w:rsid w:val="00886294"/>
    <w:rsid w:val="008875E5"/>
    <w:rsid w:val="008877A6"/>
    <w:rsid w:val="00887A5D"/>
    <w:rsid w:val="00891161"/>
    <w:rsid w:val="00891BCF"/>
    <w:rsid w:val="008920B2"/>
    <w:rsid w:val="008937F1"/>
    <w:rsid w:val="0089442D"/>
    <w:rsid w:val="00895246"/>
    <w:rsid w:val="0089552B"/>
    <w:rsid w:val="00895764"/>
    <w:rsid w:val="00895847"/>
    <w:rsid w:val="0089637C"/>
    <w:rsid w:val="00897D09"/>
    <w:rsid w:val="008A02FB"/>
    <w:rsid w:val="008A0904"/>
    <w:rsid w:val="008A0BD0"/>
    <w:rsid w:val="008A1248"/>
    <w:rsid w:val="008A13B0"/>
    <w:rsid w:val="008A1A10"/>
    <w:rsid w:val="008A23AD"/>
    <w:rsid w:val="008A2A92"/>
    <w:rsid w:val="008A2B05"/>
    <w:rsid w:val="008A36B7"/>
    <w:rsid w:val="008A4F47"/>
    <w:rsid w:val="008A6953"/>
    <w:rsid w:val="008A7313"/>
    <w:rsid w:val="008B0DAA"/>
    <w:rsid w:val="008B0EAE"/>
    <w:rsid w:val="008B17CA"/>
    <w:rsid w:val="008B19B7"/>
    <w:rsid w:val="008B39DA"/>
    <w:rsid w:val="008B3A9F"/>
    <w:rsid w:val="008B7159"/>
    <w:rsid w:val="008B7975"/>
    <w:rsid w:val="008C180C"/>
    <w:rsid w:val="008C2E30"/>
    <w:rsid w:val="008C369D"/>
    <w:rsid w:val="008C3C1E"/>
    <w:rsid w:val="008C5361"/>
    <w:rsid w:val="008C6E1C"/>
    <w:rsid w:val="008C70C5"/>
    <w:rsid w:val="008C76FF"/>
    <w:rsid w:val="008D00D4"/>
    <w:rsid w:val="008D1AE7"/>
    <w:rsid w:val="008D215D"/>
    <w:rsid w:val="008D3ABF"/>
    <w:rsid w:val="008D49EC"/>
    <w:rsid w:val="008D5C8E"/>
    <w:rsid w:val="008D624D"/>
    <w:rsid w:val="008E0199"/>
    <w:rsid w:val="008E0B21"/>
    <w:rsid w:val="008E0C5A"/>
    <w:rsid w:val="008E24DF"/>
    <w:rsid w:val="008E3531"/>
    <w:rsid w:val="008E5114"/>
    <w:rsid w:val="008E796E"/>
    <w:rsid w:val="008F1E76"/>
    <w:rsid w:val="008F2C95"/>
    <w:rsid w:val="008F30C3"/>
    <w:rsid w:val="008F3813"/>
    <w:rsid w:val="008F450B"/>
    <w:rsid w:val="008F4C31"/>
    <w:rsid w:val="008F55A3"/>
    <w:rsid w:val="00900301"/>
    <w:rsid w:val="0090080B"/>
    <w:rsid w:val="00900839"/>
    <w:rsid w:val="0090125E"/>
    <w:rsid w:val="00901506"/>
    <w:rsid w:val="00902AF7"/>
    <w:rsid w:val="009036C3"/>
    <w:rsid w:val="009046D3"/>
    <w:rsid w:val="00904806"/>
    <w:rsid w:val="00904DBF"/>
    <w:rsid w:val="00906667"/>
    <w:rsid w:val="00907202"/>
    <w:rsid w:val="00910A34"/>
    <w:rsid w:val="0091107D"/>
    <w:rsid w:val="00911F42"/>
    <w:rsid w:val="009121A4"/>
    <w:rsid w:val="009138BE"/>
    <w:rsid w:val="0091449E"/>
    <w:rsid w:val="00914678"/>
    <w:rsid w:val="00917088"/>
    <w:rsid w:val="00917366"/>
    <w:rsid w:val="00917C22"/>
    <w:rsid w:val="00920B7E"/>
    <w:rsid w:val="00921935"/>
    <w:rsid w:val="009220B0"/>
    <w:rsid w:val="009220FE"/>
    <w:rsid w:val="00922B25"/>
    <w:rsid w:val="009232FB"/>
    <w:rsid w:val="00924358"/>
    <w:rsid w:val="009254CB"/>
    <w:rsid w:val="00927267"/>
    <w:rsid w:val="00931391"/>
    <w:rsid w:val="00932B11"/>
    <w:rsid w:val="00934A6B"/>
    <w:rsid w:val="00934C9C"/>
    <w:rsid w:val="00935A2C"/>
    <w:rsid w:val="009366BB"/>
    <w:rsid w:val="00936FF0"/>
    <w:rsid w:val="00937E2D"/>
    <w:rsid w:val="00940F95"/>
    <w:rsid w:val="00942989"/>
    <w:rsid w:val="009433EA"/>
    <w:rsid w:val="00944044"/>
    <w:rsid w:val="00945084"/>
    <w:rsid w:val="00945315"/>
    <w:rsid w:val="00945FA9"/>
    <w:rsid w:val="00946F73"/>
    <w:rsid w:val="0094779F"/>
    <w:rsid w:val="009500DA"/>
    <w:rsid w:val="009501C1"/>
    <w:rsid w:val="009503F8"/>
    <w:rsid w:val="00950F46"/>
    <w:rsid w:val="009532A1"/>
    <w:rsid w:val="009533D5"/>
    <w:rsid w:val="00953490"/>
    <w:rsid w:val="009547DF"/>
    <w:rsid w:val="00956D56"/>
    <w:rsid w:val="00956DB1"/>
    <w:rsid w:val="00957F8A"/>
    <w:rsid w:val="0096046F"/>
    <w:rsid w:val="0096063F"/>
    <w:rsid w:val="009632A7"/>
    <w:rsid w:val="00963E70"/>
    <w:rsid w:val="009653A3"/>
    <w:rsid w:val="009678FA"/>
    <w:rsid w:val="0097571E"/>
    <w:rsid w:val="00975BE4"/>
    <w:rsid w:val="00976632"/>
    <w:rsid w:val="00977303"/>
    <w:rsid w:val="009808FF"/>
    <w:rsid w:val="009813FA"/>
    <w:rsid w:val="00985BF1"/>
    <w:rsid w:val="00990A02"/>
    <w:rsid w:val="00990CF8"/>
    <w:rsid w:val="00990F8B"/>
    <w:rsid w:val="00991C8C"/>
    <w:rsid w:val="00991DB7"/>
    <w:rsid w:val="00991E11"/>
    <w:rsid w:val="0099205A"/>
    <w:rsid w:val="00992199"/>
    <w:rsid w:val="00993489"/>
    <w:rsid w:val="00995AC4"/>
    <w:rsid w:val="009960D3"/>
    <w:rsid w:val="0099643E"/>
    <w:rsid w:val="009A071D"/>
    <w:rsid w:val="009A11C0"/>
    <w:rsid w:val="009A11D9"/>
    <w:rsid w:val="009A133E"/>
    <w:rsid w:val="009A1723"/>
    <w:rsid w:val="009A23AE"/>
    <w:rsid w:val="009A2425"/>
    <w:rsid w:val="009A247F"/>
    <w:rsid w:val="009A24B7"/>
    <w:rsid w:val="009A2540"/>
    <w:rsid w:val="009A5239"/>
    <w:rsid w:val="009A562B"/>
    <w:rsid w:val="009A5947"/>
    <w:rsid w:val="009A623E"/>
    <w:rsid w:val="009A6D72"/>
    <w:rsid w:val="009A6E0D"/>
    <w:rsid w:val="009A76AC"/>
    <w:rsid w:val="009A7B9E"/>
    <w:rsid w:val="009B17D6"/>
    <w:rsid w:val="009B26D3"/>
    <w:rsid w:val="009B2AC4"/>
    <w:rsid w:val="009B33A1"/>
    <w:rsid w:val="009B5258"/>
    <w:rsid w:val="009B60F2"/>
    <w:rsid w:val="009C07B6"/>
    <w:rsid w:val="009C11B9"/>
    <w:rsid w:val="009C1E0F"/>
    <w:rsid w:val="009C3C3C"/>
    <w:rsid w:val="009C50E6"/>
    <w:rsid w:val="009C538D"/>
    <w:rsid w:val="009C6954"/>
    <w:rsid w:val="009C6A91"/>
    <w:rsid w:val="009C7522"/>
    <w:rsid w:val="009C7CBD"/>
    <w:rsid w:val="009D18BB"/>
    <w:rsid w:val="009D1A4D"/>
    <w:rsid w:val="009D2527"/>
    <w:rsid w:val="009D3460"/>
    <w:rsid w:val="009D3BB6"/>
    <w:rsid w:val="009D493B"/>
    <w:rsid w:val="009D5040"/>
    <w:rsid w:val="009D55F8"/>
    <w:rsid w:val="009D69EE"/>
    <w:rsid w:val="009D6BA0"/>
    <w:rsid w:val="009D735A"/>
    <w:rsid w:val="009D73CF"/>
    <w:rsid w:val="009E0A3F"/>
    <w:rsid w:val="009E0D9B"/>
    <w:rsid w:val="009E25C7"/>
    <w:rsid w:val="009E4A2B"/>
    <w:rsid w:val="009E4E77"/>
    <w:rsid w:val="009E5A3D"/>
    <w:rsid w:val="009E7896"/>
    <w:rsid w:val="009F28FE"/>
    <w:rsid w:val="009F32CE"/>
    <w:rsid w:val="009F44C0"/>
    <w:rsid w:val="009F67B3"/>
    <w:rsid w:val="009F680A"/>
    <w:rsid w:val="009F693B"/>
    <w:rsid w:val="009F69CA"/>
    <w:rsid w:val="009F6C47"/>
    <w:rsid w:val="009F7169"/>
    <w:rsid w:val="009F75B9"/>
    <w:rsid w:val="00A00576"/>
    <w:rsid w:val="00A006CC"/>
    <w:rsid w:val="00A00C23"/>
    <w:rsid w:val="00A02DEE"/>
    <w:rsid w:val="00A035D5"/>
    <w:rsid w:val="00A04039"/>
    <w:rsid w:val="00A060CC"/>
    <w:rsid w:val="00A0610B"/>
    <w:rsid w:val="00A103F9"/>
    <w:rsid w:val="00A10C40"/>
    <w:rsid w:val="00A10E8A"/>
    <w:rsid w:val="00A1148A"/>
    <w:rsid w:val="00A12036"/>
    <w:rsid w:val="00A12AA3"/>
    <w:rsid w:val="00A1328F"/>
    <w:rsid w:val="00A1346D"/>
    <w:rsid w:val="00A14976"/>
    <w:rsid w:val="00A14A32"/>
    <w:rsid w:val="00A160A4"/>
    <w:rsid w:val="00A1661F"/>
    <w:rsid w:val="00A169A8"/>
    <w:rsid w:val="00A173E4"/>
    <w:rsid w:val="00A20E63"/>
    <w:rsid w:val="00A2123D"/>
    <w:rsid w:val="00A21634"/>
    <w:rsid w:val="00A230F2"/>
    <w:rsid w:val="00A24C5C"/>
    <w:rsid w:val="00A26E9B"/>
    <w:rsid w:val="00A30D0B"/>
    <w:rsid w:val="00A31FA4"/>
    <w:rsid w:val="00A32282"/>
    <w:rsid w:val="00A34295"/>
    <w:rsid w:val="00A344F0"/>
    <w:rsid w:val="00A348ED"/>
    <w:rsid w:val="00A350B9"/>
    <w:rsid w:val="00A36972"/>
    <w:rsid w:val="00A36D70"/>
    <w:rsid w:val="00A409AA"/>
    <w:rsid w:val="00A44236"/>
    <w:rsid w:val="00A44C5B"/>
    <w:rsid w:val="00A44FBD"/>
    <w:rsid w:val="00A45935"/>
    <w:rsid w:val="00A47057"/>
    <w:rsid w:val="00A47737"/>
    <w:rsid w:val="00A47B15"/>
    <w:rsid w:val="00A51884"/>
    <w:rsid w:val="00A51A28"/>
    <w:rsid w:val="00A52A74"/>
    <w:rsid w:val="00A543F5"/>
    <w:rsid w:val="00A55064"/>
    <w:rsid w:val="00A559AF"/>
    <w:rsid w:val="00A56E82"/>
    <w:rsid w:val="00A64362"/>
    <w:rsid w:val="00A646D7"/>
    <w:rsid w:val="00A67B96"/>
    <w:rsid w:val="00A71067"/>
    <w:rsid w:val="00A7303F"/>
    <w:rsid w:val="00A73041"/>
    <w:rsid w:val="00A732ED"/>
    <w:rsid w:val="00A75125"/>
    <w:rsid w:val="00A775A2"/>
    <w:rsid w:val="00A77BCC"/>
    <w:rsid w:val="00A800F8"/>
    <w:rsid w:val="00A802A9"/>
    <w:rsid w:val="00A80BC0"/>
    <w:rsid w:val="00A810AE"/>
    <w:rsid w:val="00A816C5"/>
    <w:rsid w:val="00A8226F"/>
    <w:rsid w:val="00A8254D"/>
    <w:rsid w:val="00A82AAA"/>
    <w:rsid w:val="00A87845"/>
    <w:rsid w:val="00A9008B"/>
    <w:rsid w:val="00A9209D"/>
    <w:rsid w:val="00A92521"/>
    <w:rsid w:val="00A93060"/>
    <w:rsid w:val="00A93D35"/>
    <w:rsid w:val="00A9435E"/>
    <w:rsid w:val="00A949E0"/>
    <w:rsid w:val="00A96147"/>
    <w:rsid w:val="00A9691E"/>
    <w:rsid w:val="00A96A52"/>
    <w:rsid w:val="00A96AE0"/>
    <w:rsid w:val="00A9736D"/>
    <w:rsid w:val="00A97478"/>
    <w:rsid w:val="00AA049C"/>
    <w:rsid w:val="00AA0DC8"/>
    <w:rsid w:val="00AA329B"/>
    <w:rsid w:val="00AA355D"/>
    <w:rsid w:val="00AA3E63"/>
    <w:rsid w:val="00AA4003"/>
    <w:rsid w:val="00AA4121"/>
    <w:rsid w:val="00AA44EF"/>
    <w:rsid w:val="00AA46A6"/>
    <w:rsid w:val="00AA5594"/>
    <w:rsid w:val="00AB0D35"/>
    <w:rsid w:val="00AB16B4"/>
    <w:rsid w:val="00AB1762"/>
    <w:rsid w:val="00AB17CD"/>
    <w:rsid w:val="00AB27F2"/>
    <w:rsid w:val="00AB2A87"/>
    <w:rsid w:val="00AB2AC6"/>
    <w:rsid w:val="00AB30F2"/>
    <w:rsid w:val="00AB3CEA"/>
    <w:rsid w:val="00AB44AE"/>
    <w:rsid w:val="00AB51BA"/>
    <w:rsid w:val="00AB57EC"/>
    <w:rsid w:val="00AB6860"/>
    <w:rsid w:val="00AB755B"/>
    <w:rsid w:val="00AB7EB2"/>
    <w:rsid w:val="00AC0B40"/>
    <w:rsid w:val="00AC1440"/>
    <w:rsid w:val="00AC1C3F"/>
    <w:rsid w:val="00AC39AA"/>
    <w:rsid w:val="00AC5DBB"/>
    <w:rsid w:val="00AC61BC"/>
    <w:rsid w:val="00AC625E"/>
    <w:rsid w:val="00AC66FA"/>
    <w:rsid w:val="00AC6B41"/>
    <w:rsid w:val="00AC6BC5"/>
    <w:rsid w:val="00AC7DFB"/>
    <w:rsid w:val="00AD0F2B"/>
    <w:rsid w:val="00AD183B"/>
    <w:rsid w:val="00AD235E"/>
    <w:rsid w:val="00AD38A2"/>
    <w:rsid w:val="00AD5B2B"/>
    <w:rsid w:val="00AD69F4"/>
    <w:rsid w:val="00AD6FD9"/>
    <w:rsid w:val="00AD78CE"/>
    <w:rsid w:val="00AE0263"/>
    <w:rsid w:val="00AE0C36"/>
    <w:rsid w:val="00AE358E"/>
    <w:rsid w:val="00AE36C6"/>
    <w:rsid w:val="00AE39D3"/>
    <w:rsid w:val="00AE3D54"/>
    <w:rsid w:val="00AE4F0B"/>
    <w:rsid w:val="00AE4FCC"/>
    <w:rsid w:val="00AE5E1E"/>
    <w:rsid w:val="00AE60DF"/>
    <w:rsid w:val="00AE701B"/>
    <w:rsid w:val="00AE7219"/>
    <w:rsid w:val="00AF01C7"/>
    <w:rsid w:val="00AF110B"/>
    <w:rsid w:val="00AF22E8"/>
    <w:rsid w:val="00AF3E75"/>
    <w:rsid w:val="00AF5005"/>
    <w:rsid w:val="00AF76D2"/>
    <w:rsid w:val="00B00FE0"/>
    <w:rsid w:val="00B0247E"/>
    <w:rsid w:val="00B0407A"/>
    <w:rsid w:val="00B041BE"/>
    <w:rsid w:val="00B054F1"/>
    <w:rsid w:val="00B06C6A"/>
    <w:rsid w:val="00B10C5C"/>
    <w:rsid w:val="00B1181D"/>
    <w:rsid w:val="00B1292C"/>
    <w:rsid w:val="00B12DD0"/>
    <w:rsid w:val="00B14735"/>
    <w:rsid w:val="00B160E9"/>
    <w:rsid w:val="00B17D44"/>
    <w:rsid w:val="00B223EF"/>
    <w:rsid w:val="00B24F2F"/>
    <w:rsid w:val="00B252BA"/>
    <w:rsid w:val="00B25CA2"/>
    <w:rsid w:val="00B260A0"/>
    <w:rsid w:val="00B26470"/>
    <w:rsid w:val="00B2659C"/>
    <w:rsid w:val="00B30C31"/>
    <w:rsid w:val="00B30FF5"/>
    <w:rsid w:val="00B316F3"/>
    <w:rsid w:val="00B32154"/>
    <w:rsid w:val="00B321FB"/>
    <w:rsid w:val="00B32930"/>
    <w:rsid w:val="00B334C5"/>
    <w:rsid w:val="00B335B4"/>
    <w:rsid w:val="00B33DED"/>
    <w:rsid w:val="00B33E6E"/>
    <w:rsid w:val="00B35851"/>
    <w:rsid w:val="00B40A86"/>
    <w:rsid w:val="00B4137C"/>
    <w:rsid w:val="00B42C5E"/>
    <w:rsid w:val="00B4415B"/>
    <w:rsid w:val="00B4551B"/>
    <w:rsid w:val="00B4587B"/>
    <w:rsid w:val="00B47C94"/>
    <w:rsid w:val="00B50CF9"/>
    <w:rsid w:val="00B50DDF"/>
    <w:rsid w:val="00B55AB8"/>
    <w:rsid w:val="00B55ACC"/>
    <w:rsid w:val="00B56CF9"/>
    <w:rsid w:val="00B5713E"/>
    <w:rsid w:val="00B57FB4"/>
    <w:rsid w:val="00B6056B"/>
    <w:rsid w:val="00B60B49"/>
    <w:rsid w:val="00B61201"/>
    <w:rsid w:val="00B6145F"/>
    <w:rsid w:val="00B61F6B"/>
    <w:rsid w:val="00B63554"/>
    <w:rsid w:val="00B63896"/>
    <w:rsid w:val="00B64F9C"/>
    <w:rsid w:val="00B65053"/>
    <w:rsid w:val="00B706C9"/>
    <w:rsid w:val="00B70721"/>
    <w:rsid w:val="00B70AEE"/>
    <w:rsid w:val="00B71797"/>
    <w:rsid w:val="00B72ABC"/>
    <w:rsid w:val="00B73069"/>
    <w:rsid w:val="00B744A2"/>
    <w:rsid w:val="00B758DB"/>
    <w:rsid w:val="00B80510"/>
    <w:rsid w:val="00B827B6"/>
    <w:rsid w:val="00B856A1"/>
    <w:rsid w:val="00B862AB"/>
    <w:rsid w:val="00B868ED"/>
    <w:rsid w:val="00B87152"/>
    <w:rsid w:val="00B872DD"/>
    <w:rsid w:val="00B878D8"/>
    <w:rsid w:val="00B928B3"/>
    <w:rsid w:val="00B92961"/>
    <w:rsid w:val="00B932DE"/>
    <w:rsid w:val="00B933E6"/>
    <w:rsid w:val="00B9385E"/>
    <w:rsid w:val="00B94130"/>
    <w:rsid w:val="00B94552"/>
    <w:rsid w:val="00B945EE"/>
    <w:rsid w:val="00B94AB4"/>
    <w:rsid w:val="00B94C44"/>
    <w:rsid w:val="00B96446"/>
    <w:rsid w:val="00B971EA"/>
    <w:rsid w:val="00BA099E"/>
    <w:rsid w:val="00BA2E3D"/>
    <w:rsid w:val="00BA3132"/>
    <w:rsid w:val="00BA322F"/>
    <w:rsid w:val="00BA6F87"/>
    <w:rsid w:val="00BA7518"/>
    <w:rsid w:val="00BB2C54"/>
    <w:rsid w:val="00BB2E1D"/>
    <w:rsid w:val="00BB3844"/>
    <w:rsid w:val="00BB69A1"/>
    <w:rsid w:val="00BC00A0"/>
    <w:rsid w:val="00BC0B14"/>
    <w:rsid w:val="00BC13BB"/>
    <w:rsid w:val="00BC1BBA"/>
    <w:rsid w:val="00BC2E77"/>
    <w:rsid w:val="00BC3ADC"/>
    <w:rsid w:val="00BC3FB8"/>
    <w:rsid w:val="00BC4E81"/>
    <w:rsid w:val="00BC5248"/>
    <w:rsid w:val="00BC5A7A"/>
    <w:rsid w:val="00BD0978"/>
    <w:rsid w:val="00BD30AE"/>
    <w:rsid w:val="00BD3E35"/>
    <w:rsid w:val="00BD6180"/>
    <w:rsid w:val="00BD63A1"/>
    <w:rsid w:val="00BD6701"/>
    <w:rsid w:val="00BD73DB"/>
    <w:rsid w:val="00BE00F7"/>
    <w:rsid w:val="00BE089C"/>
    <w:rsid w:val="00BE09D6"/>
    <w:rsid w:val="00BE27B3"/>
    <w:rsid w:val="00BE2968"/>
    <w:rsid w:val="00BE2975"/>
    <w:rsid w:val="00BE3802"/>
    <w:rsid w:val="00BE4793"/>
    <w:rsid w:val="00BE5DF3"/>
    <w:rsid w:val="00BF192E"/>
    <w:rsid w:val="00BF21FD"/>
    <w:rsid w:val="00BF293F"/>
    <w:rsid w:val="00BF3DEA"/>
    <w:rsid w:val="00BF3F9E"/>
    <w:rsid w:val="00BF46DD"/>
    <w:rsid w:val="00BF4B7B"/>
    <w:rsid w:val="00BF5EE1"/>
    <w:rsid w:val="00C0091C"/>
    <w:rsid w:val="00C00E78"/>
    <w:rsid w:val="00C01E7B"/>
    <w:rsid w:val="00C036DE"/>
    <w:rsid w:val="00C03744"/>
    <w:rsid w:val="00C03E64"/>
    <w:rsid w:val="00C04060"/>
    <w:rsid w:val="00C04A15"/>
    <w:rsid w:val="00C06798"/>
    <w:rsid w:val="00C0679E"/>
    <w:rsid w:val="00C11670"/>
    <w:rsid w:val="00C13454"/>
    <w:rsid w:val="00C13846"/>
    <w:rsid w:val="00C13DB4"/>
    <w:rsid w:val="00C15A14"/>
    <w:rsid w:val="00C16BDF"/>
    <w:rsid w:val="00C2081E"/>
    <w:rsid w:val="00C20A91"/>
    <w:rsid w:val="00C21A1C"/>
    <w:rsid w:val="00C21AC6"/>
    <w:rsid w:val="00C2283F"/>
    <w:rsid w:val="00C22868"/>
    <w:rsid w:val="00C2386F"/>
    <w:rsid w:val="00C245D5"/>
    <w:rsid w:val="00C2577D"/>
    <w:rsid w:val="00C25888"/>
    <w:rsid w:val="00C25D0D"/>
    <w:rsid w:val="00C271EA"/>
    <w:rsid w:val="00C30FB4"/>
    <w:rsid w:val="00C31D75"/>
    <w:rsid w:val="00C31E8A"/>
    <w:rsid w:val="00C32279"/>
    <w:rsid w:val="00C32FCA"/>
    <w:rsid w:val="00C35D70"/>
    <w:rsid w:val="00C37D90"/>
    <w:rsid w:val="00C40E61"/>
    <w:rsid w:val="00C40F4A"/>
    <w:rsid w:val="00C416DC"/>
    <w:rsid w:val="00C41BED"/>
    <w:rsid w:val="00C41ECD"/>
    <w:rsid w:val="00C41EF5"/>
    <w:rsid w:val="00C42551"/>
    <w:rsid w:val="00C42ECE"/>
    <w:rsid w:val="00C43241"/>
    <w:rsid w:val="00C43DD4"/>
    <w:rsid w:val="00C44BA8"/>
    <w:rsid w:val="00C457EA"/>
    <w:rsid w:val="00C45E0E"/>
    <w:rsid w:val="00C50610"/>
    <w:rsid w:val="00C5132F"/>
    <w:rsid w:val="00C5172B"/>
    <w:rsid w:val="00C52F66"/>
    <w:rsid w:val="00C53459"/>
    <w:rsid w:val="00C53D07"/>
    <w:rsid w:val="00C54601"/>
    <w:rsid w:val="00C54A3B"/>
    <w:rsid w:val="00C56634"/>
    <w:rsid w:val="00C568A0"/>
    <w:rsid w:val="00C56909"/>
    <w:rsid w:val="00C56EA6"/>
    <w:rsid w:val="00C578E0"/>
    <w:rsid w:val="00C57CE8"/>
    <w:rsid w:val="00C60DDD"/>
    <w:rsid w:val="00C65206"/>
    <w:rsid w:val="00C65DA8"/>
    <w:rsid w:val="00C65F2A"/>
    <w:rsid w:val="00C66F74"/>
    <w:rsid w:val="00C66FC7"/>
    <w:rsid w:val="00C71BA3"/>
    <w:rsid w:val="00C72A6D"/>
    <w:rsid w:val="00C7518F"/>
    <w:rsid w:val="00C809EF"/>
    <w:rsid w:val="00C80DDB"/>
    <w:rsid w:val="00C8153C"/>
    <w:rsid w:val="00C81A62"/>
    <w:rsid w:val="00C82225"/>
    <w:rsid w:val="00C82B23"/>
    <w:rsid w:val="00C82FD1"/>
    <w:rsid w:val="00C84137"/>
    <w:rsid w:val="00C84B58"/>
    <w:rsid w:val="00C861AC"/>
    <w:rsid w:val="00C863DA"/>
    <w:rsid w:val="00C86560"/>
    <w:rsid w:val="00C9283D"/>
    <w:rsid w:val="00C92A5A"/>
    <w:rsid w:val="00C92F6F"/>
    <w:rsid w:val="00C9338F"/>
    <w:rsid w:val="00C942E9"/>
    <w:rsid w:val="00C946EC"/>
    <w:rsid w:val="00C950A7"/>
    <w:rsid w:val="00C96828"/>
    <w:rsid w:val="00C968F5"/>
    <w:rsid w:val="00C96D42"/>
    <w:rsid w:val="00C96E9C"/>
    <w:rsid w:val="00C978E0"/>
    <w:rsid w:val="00C97A89"/>
    <w:rsid w:val="00CA04EC"/>
    <w:rsid w:val="00CA3385"/>
    <w:rsid w:val="00CA409F"/>
    <w:rsid w:val="00CA6653"/>
    <w:rsid w:val="00CA735E"/>
    <w:rsid w:val="00CA7535"/>
    <w:rsid w:val="00CA789A"/>
    <w:rsid w:val="00CA7F9C"/>
    <w:rsid w:val="00CB183B"/>
    <w:rsid w:val="00CB4408"/>
    <w:rsid w:val="00CB4A1A"/>
    <w:rsid w:val="00CB5673"/>
    <w:rsid w:val="00CB5DBF"/>
    <w:rsid w:val="00CB620F"/>
    <w:rsid w:val="00CB671B"/>
    <w:rsid w:val="00CB6EA0"/>
    <w:rsid w:val="00CB7366"/>
    <w:rsid w:val="00CC0E73"/>
    <w:rsid w:val="00CC23B8"/>
    <w:rsid w:val="00CC41D0"/>
    <w:rsid w:val="00CC564A"/>
    <w:rsid w:val="00CC67C5"/>
    <w:rsid w:val="00CC6A37"/>
    <w:rsid w:val="00CC7718"/>
    <w:rsid w:val="00CD3991"/>
    <w:rsid w:val="00CD4F79"/>
    <w:rsid w:val="00CD5C06"/>
    <w:rsid w:val="00CD6419"/>
    <w:rsid w:val="00CD6E62"/>
    <w:rsid w:val="00CD71B7"/>
    <w:rsid w:val="00CD7620"/>
    <w:rsid w:val="00CE0BE7"/>
    <w:rsid w:val="00CE0E19"/>
    <w:rsid w:val="00CE1270"/>
    <w:rsid w:val="00CE2935"/>
    <w:rsid w:val="00CE2F26"/>
    <w:rsid w:val="00CE4F8D"/>
    <w:rsid w:val="00CE65A7"/>
    <w:rsid w:val="00CE677E"/>
    <w:rsid w:val="00CE6FA5"/>
    <w:rsid w:val="00CE7FC9"/>
    <w:rsid w:val="00CF1ACB"/>
    <w:rsid w:val="00CF1E60"/>
    <w:rsid w:val="00CF1F8E"/>
    <w:rsid w:val="00CF3475"/>
    <w:rsid w:val="00CF37DD"/>
    <w:rsid w:val="00D019BD"/>
    <w:rsid w:val="00D0249E"/>
    <w:rsid w:val="00D02D95"/>
    <w:rsid w:val="00D03E2F"/>
    <w:rsid w:val="00D05755"/>
    <w:rsid w:val="00D0664B"/>
    <w:rsid w:val="00D06E7A"/>
    <w:rsid w:val="00D07BCE"/>
    <w:rsid w:val="00D110E1"/>
    <w:rsid w:val="00D1186C"/>
    <w:rsid w:val="00D139B0"/>
    <w:rsid w:val="00D14888"/>
    <w:rsid w:val="00D14C42"/>
    <w:rsid w:val="00D15A14"/>
    <w:rsid w:val="00D16252"/>
    <w:rsid w:val="00D17480"/>
    <w:rsid w:val="00D209F8"/>
    <w:rsid w:val="00D22CE1"/>
    <w:rsid w:val="00D24CBE"/>
    <w:rsid w:val="00D25FD2"/>
    <w:rsid w:val="00D3078E"/>
    <w:rsid w:val="00D30996"/>
    <w:rsid w:val="00D31556"/>
    <w:rsid w:val="00D32CDB"/>
    <w:rsid w:val="00D32E06"/>
    <w:rsid w:val="00D350CB"/>
    <w:rsid w:val="00D36152"/>
    <w:rsid w:val="00D40297"/>
    <w:rsid w:val="00D40456"/>
    <w:rsid w:val="00D40D4F"/>
    <w:rsid w:val="00D429ED"/>
    <w:rsid w:val="00D43141"/>
    <w:rsid w:val="00D431C5"/>
    <w:rsid w:val="00D43409"/>
    <w:rsid w:val="00D445C9"/>
    <w:rsid w:val="00D45BF4"/>
    <w:rsid w:val="00D45F1D"/>
    <w:rsid w:val="00D50B1D"/>
    <w:rsid w:val="00D519DF"/>
    <w:rsid w:val="00D51CFE"/>
    <w:rsid w:val="00D51F29"/>
    <w:rsid w:val="00D53957"/>
    <w:rsid w:val="00D53B49"/>
    <w:rsid w:val="00D53E26"/>
    <w:rsid w:val="00D54B98"/>
    <w:rsid w:val="00D56525"/>
    <w:rsid w:val="00D60837"/>
    <w:rsid w:val="00D6154E"/>
    <w:rsid w:val="00D62209"/>
    <w:rsid w:val="00D628A0"/>
    <w:rsid w:val="00D63378"/>
    <w:rsid w:val="00D6391D"/>
    <w:rsid w:val="00D64421"/>
    <w:rsid w:val="00D65F65"/>
    <w:rsid w:val="00D66567"/>
    <w:rsid w:val="00D6667C"/>
    <w:rsid w:val="00D6678B"/>
    <w:rsid w:val="00D67C29"/>
    <w:rsid w:val="00D70507"/>
    <w:rsid w:val="00D70527"/>
    <w:rsid w:val="00D710C7"/>
    <w:rsid w:val="00D71CD9"/>
    <w:rsid w:val="00D72D53"/>
    <w:rsid w:val="00D73CC6"/>
    <w:rsid w:val="00D7502D"/>
    <w:rsid w:val="00D760CB"/>
    <w:rsid w:val="00D77022"/>
    <w:rsid w:val="00D8056C"/>
    <w:rsid w:val="00D80786"/>
    <w:rsid w:val="00D80DCF"/>
    <w:rsid w:val="00D815EF"/>
    <w:rsid w:val="00D81DC7"/>
    <w:rsid w:val="00D82EBA"/>
    <w:rsid w:val="00D8346E"/>
    <w:rsid w:val="00D835BD"/>
    <w:rsid w:val="00D85570"/>
    <w:rsid w:val="00D85C2F"/>
    <w:rsid w:val="00D8666E"/>
    <w:rsid w:val="00D86779"/>
    <w:rsid w:val="00D86B5B"/>
    <w:rsid w:val="00D87CF2"/>
    <w:rsid w:val="00D87E7D"/>
    <w:rsid w:val="00D91267"/>
    <w:rsid w:val="00D92B8C"/>
    <w:rsid w:val="00D9318B"/>
    <w:rsid w:val="00D938CD"/>
    <w:rsid w:val="00D94D27"/>
    <w:rsid w:val="00D97BD0"/>
    <w:rsid w:val="00DA2E89"/>
    <w:rsid w:val="00DA37E3"/>
    <w:rsid w:val="00DA3DA5"/>
    <w:rsid w:val="00DA5BF1"/>
    <w:rsid w:val="00DA6871"/>
    <w:rsid w:val="00DA6A03"/>
    <w:rsid w:val="00DA76DC"/>
    <w:rsid w:val="00DB0DD9"/>
    <w:rsid w:val="00DB18C1"/>
    <w:rsid w:val="00DB3E36"/>
    <w:rsid w:val="00DB5A39"/>
    <w:rsid w:val="00DB7E11"/>
    <w:rsid w:val="00DB7FCC"/>
    <w:rsid w:val="00DC01F2"/>
    <w:rsid w:val="00DC30EC"/>
    <w:rsid w:val="00DC3256"/>
    <w:rsid w:val="00DC4CAF"/>
    <w:rsid w:val="00DC6222"/>
    <w:rsid w:val="00DC66C2"/>
    <w:rsid w:val="00DC72F7"/>
    <w:rsid w:val="00DC7CCE"/>
    <w:rsid w:val="00DD0CA7"/>
    <w:rsid w:val="00DD1351"/>
    <w:rsid w:val="00DD196B"/>
    <w:rsid w:val="00DD2151"/>
    <w:rsid w:val="00DD31CA"/>
    <w:rsid w:val="00DD3568"/>
    <w:rsid w:val="00DD69EA"/>
    <w:rsid w:val="00DD6BEE"/>
    <w:rsid w:val="00DE0402"/>
    <w:rsid w:val="00DE0766"/>
    <w:rsid w:val="00DE12CE"/>
    <w:rsid w:val="00DE16E5"/>
    <w:rsid w:val="00DE1DC2"/>
    <w:rsid w:val="00DE3E84"/>
    <w:rsid w:val="00DE502A"/>
    <w:rsid w:val="00DE6398"/>
    <w:rsid w:val="00DE7D4F"/>
    <w:rsid w:val="00DE7E8D"/>
    <w:rsid w:val="00DF0660"/>
    <w:rsid w:val="00DF0726"/>
    <w:rsid w:val="00DF19D9"/>
    <w:rsid w:val="00DF1EEB"/>
    <w:rsid w:val="00DF2223"/>
    <w:rsid w:val="00DF41C8"/>
    <w:rsid w:val="00DF4FE9"/>
    <w:rsid w:val="00DF579E"/>
    <w:rsid w:val="00E000E1"/>
    <w:rsid w:val="00E0103B"/>
    <w:rsid w:val="00E025C6"/>
    <w:rsid w:val="00E029C3"/>
    <w:rsid w:val="00E02EA9"/>
    <w:rsid w:val="00E03341"/>
    <w:rsid w:val="00E03A3C"/>
    <w:rsid w:val="00E04274"/>
    <w:rsid w:val="00E044C5"/>
    <w:rsid w:val="00E046AB"/>
    <w:rsid w:val="00E05A7A"/>
    <w:rsid w:val="00E10498"/>
    <w:rsid w:val="00E10579"/>
    <w:rsid w:val="00E107DE"/>
    <w:rsid w:val="00E1267E"/>
    <w:rsid w:val="00E12D61"/>
    <w:rsid w:val="00E12D63"/>
    <w:rsid w:val="00E12DF8"/>
    <w:rsid w:val="00E13727"/>
    <w:rsid w:val="00E1599B"/>
    <w:rsid w:val="00E16CE2"/>
    <w:rsid w:val="00E177AB"/>
    <w:rsid w:val="00E17822"/>
    <w:rsid w:val="00E20571"/>
    <w:rsid w:val="00E20F04"/>
    <w:rsid w:val="00E21C3D"/>
    <w:rsid w:val="00E22D9E"/>
    <w:rsid w:val="00E25B1A"/>
    <w:rsid w:val="00E25C66"/>
    <w:rsid w:val="00E25FC7"/>
    <w:rsid w:val="00E26AB2"/>
    <w:rsid w:val="00E271DD"/>
    <w:rsid w:val="00E2779D"/>
    <w:rsid w:val="00E3060D"/>
    <w:rsid w:val="00E31572"/>
    <w:rsid w:val="00E31D04"/>
    <w:rsid w:val="00E344C7"/>
    <w:rsid w:val="00E34D84"/>
    <w:rsid w:val="00E36DF8"/>
    <w:rsid w:val="00E37D90"/>
    <w:rsid w:val="00E37E89"/>
    <w:rsid w:val="00E37E9F"/>
    <w:rsid w:val="00E40DC9"/>
    <w:rsid w:val="00E41077"/>
    <w:rsid w:val="00E41259"/>
    <w:rsid w:val="00E414FF"/>
    <w:rsid w:val="00E41CE2"/>
    <w:rsid w:val="00E428D6"/>
    <w:rsid w:val="00E42B0D"/>
    <w:rsid w:val="00E436CB"/>
    <w:rsid w:val="00E438E8"/>
    <w:rsid w:val="00E45E67"/>
    <w:rsid w:val="00E463D5"/>
    <w:rsid w:val="00E4706D"/>
    <w:rsid w:val="00E479E2"/>
    <w:rsid w:val="00E51E34"/>
    <w:rsid w:val="00E545BA"/>
    <w:rsid w:val="00E5493D"/>
    <w:rsid w:val="00E556B2"/>
    <w:rsid w:val="00E55D0A"/>
    <w:rsid w:val="00E564F2"/>
    <w:rsid w:val="00E56729"/>
    <w:rsid w:val="00E56A80"/>
    <w:rsid w:val="00E56C1C"/>
    <w:rsid w:val="00E572A9"/>
    <w:rsid w:val="00E578BC"/>
    <w:rsid w:val="00E57B02"/>
    <w:rsid w:val="00E60D8B"/>
    <w:rsid w:val="00E6115B"/>
    <w:rsid w:val="00E61728"/>
    <w:rsid w:val="00E64F0C"/>
    <w:rsid w:val="00E654A3"/>
    <w:rsid w:val="00E658CF"/>
    <w:rsid w:val="00E659F3"/>
    <w:rsid w:val="00E674CA"/>
    <w:rsid w:val="00E708C3"/>
    <w:rsid w:val="00E70D9D"/>
    <w:rsid w:val="00E713F3"/>
    <w:rsid w:val="00E7303A"/>
    <w:rsid w:val="00E7573E"/>
    <w:rsid w:val="00E7579E"/>
    <w:rsid w:val="00E75F1E"/>
    <w:rsid w:val="00E766CA"/>
    <w:rsid w:val="00E80341"/>
    <w:rsid w:val="00E81C6C"/>
    <w:rsid w:val="00E823C7"/>
    <w:rsid w:val="00E82610"/>
    <w:rsid w:val="00E835A2"/>
    <w:rsid w:val="00E8419D"/>
    <w:rsid w:val="00E84AC3"/>
    <w:rsid w:val="00E84DDD"/>
    <w:rsid w:val="00E8515B"/>
    <w:rsid w:val="00E86A66"/>
    <w:rsid w:val="00E86F20"/>
    <w:rsid w:val="00E87252"/>
    <w:rsid w:val="00E90216"/>
    <w:rsid w:val="00E930E1"/>
    <w:rsid w:val="00E9404A"/>
    <w:rsid w:val="00E94451"/>
    <w:rsid w:val="00E946E4"/>
    <w:rsid w:val="00E9574E"/>
    <w:rsid w:val="00E959B5"/>
    <w:rsid w:val="00E95ECE"/>
    <w:rsid w:val="00E96F66"/>
    <w:rsid w:val="00EA0264"/>
    <w:rsid w:val="00EA0D60"/>
    <w:rsid w:val="00EA1832"/>
    <w:rsid w:val="00EA1F60"/>
    <w:rsid w:val="00EA2125"/>
    <w:rsid w:val="00EA5952"/>
    <w:rsid w:val="00EA637C"/>
    <w:rsid w:val="00EA6EAF"/>
    <w:rsid w:val="00EA7529"/>
    <w:rsid w:val="00EB0EE4"/>
    <w:rsid w:val="00EB1192"/>
    <w:rsid w:val="00EB2ACE"/>
    <w:rsid w:val="00EB3D0B"/>
    <w:rsid w:val="00EB4EB2"/>
    <w:rsid w:val="00EB62BB"/>
    <w:rsid w:val="00EB6438"/>
    <w:rsid w:val="00EB73C7"/>
    <w:rsid w:val="00EC00AE"/>
    <w:rsid w:val="00EC0BDB"/>
    <w:rsid w:val="00EC101C"/>
    <w:rsid w:val="00EC1384"/>
    <w:rsid w:val="00EC1772"/>
    <w:rsid w:val="00EC2363"/>
    <w:rsid w:val="00EC2BD7"/>
    <w:rsid w:val="00EC4C8A"/>
    <w:rsid w:val="00EC6694"/>
    <w:rsid w:val="00EC683A"/>
    <w:rsid w:val="00EC6A71"/>
    <w:rsid w:val="00EC77F8"/>
    <w:rsid w:val="00ED1B29"/>
    <w:rsid w:val="00ED1B69"/>
    <w:rsid w:val="00ED1BC7"/>
    <w:rsid w:val="00ED2309"/>
    <w:rsid w:val="00ED2917"/>
    <w:rsid w:val="00ED3298"/>
    <w:rsid w:val="00ED4618"/>
    <w:rsid w:val="00ED4B52"/>
    <w:rsid w:val="00ED68E4"/>
    <w:rsid w:val="00ED7042"/>
    <w:rsid w:val="00EE0955"/>
    <w:rsid w:val="00EE140D"/>
    <w:rsid w:val="00EE14EE"/>
    <w:rsid w:val="00EE2B3F"/>
    <w:rsid w:val="00EE36BD"/>
    <w:rsid w:val="00EE4131"/>
    <w:rsid w:val="00EE4377"/>
    <w:rsid w:val="00EE468A"/>
    <w:rsid w:val="00EE4A8C"/>
    <w:rsid w:val="00EE4E23"/>
    <w:rsid w:val="00EE5265"/>
    <w:rsid w:val="00EE7463"/>
    <w:rsid w:val="00EE76F6"/>
    <w:rsid w:val="00EF0B4B"/>
    <w:rsid w:val="00EF0F01"/>
    <w:rsid w:val="00EF13C3"/>
    <w:rsid w:val="00EF40FF"/>
    <w:rsid w:val="00EF495E"/>
    <w:rsid w:val="00EF4AF4"/>
    <w:rsid w:val="00EF5FBF"/>
    <w:rsid w:val="00EF7214"/>
    <w:rsid w:val="00EF7D4A"/>
    <w:rsid w:val="00F01208"/>
    <w:rsid w:val="00F01434"/>
    <w:rsid w:val="00F02123"/>
    <w:rsid w:val="00F021A7"/>
    <w:rsid w:val="00F0266E"/>
    <w:rsid w:val="00F03519"/>
    <w:rsid w:val="00F03E2E"/>
    <w:rsid w:val="00F04063"/>
    <w:rsid w:val="00F060B9"/>
    <w:rsid w:val="00F07825"/>
    <w:rsid w:val="00F07D34"/>
    <w:rsid w:val="00F1020A"/>
    <w:rsid w:val="00F1331D"/>
    <w:rsid w:val="00F14105"/>
    <w:rsid w:val="00F142D8"/>
    <w:rsid w:val="00F15CF1"/>
    <w:rsid w:val="00F170F2"/>
    <w:rsid w:val="00F1793C"/>
    <w:rsid w:val="00F21884"/>
    <w:rsid w:val="00F25A44"/>
    <w:rsid w:val="00F2620A"/>
    <w:rsid w:val="00F26CC1"/>
    <w:rsid w:val="00F32595"/>
    <w:rsid w:val="00F326BB"/>
    <w:rsid w:val="00F350C6"/>
    <w:rsid w:val="00F350DB"/>
    <w:rsid w:val="00F36392"/>
    <w:rsid w:val="00F372FA"/>
    <w:rsid w:val="00F37755"/>
    <w:rsid w:val="00F402B2"/>
    <w:rsid w:val="00F40593"/>
    <w:rsid w:val="00F41F79"/>
    <w:rsid w:val="00F420F4"/>
    <w:rsid w:val="00F448AC"/>
    <w:rsid w:val="00F450F5"/>
    <w:rsid w:val="00F45406"/>
    <w:rsid w:val="00F45CA9"/>
    <w:rsid w:val="00F45DA4"/>
    <w:rsid w:val="00F47A01"/>
    <w:rsid w:val="00F501C9"/>
    <w:rsid w:val="00F50453"/>
    <w:rsid w:val="00F51A7E"/>
    <w:rsid w:val="00F5352F"/>
    <w:rsid w:val="00F53647"/>
    <w:rsid w:val="00F54D14"/>
    <w:rsid w:val="00F55C32"/>
    <w:rsid w:val="00F55E06"/>
    <w:rsid w:val="00F563E3"/>
    <w:rsid w:val="00F567ED"/>
    <w:rsid w:val="00F56EBA"/>
    <w:rsid w:val="00F5760C"/>
    <w:rsid w:val="00F60710"/>
    <w:rsid w:val="00F61EE0"/>
    <w:rsid w:val="00F63BFD"/>
    <w:rsid w:val="00F65D55"/>
    <w:rsid w:val="00F66069"/>
    <w:rsid w:val="00F67223"/>
    <w:rsid w:val="00F674D3"/>
    <w:rsid w:val="00F678D9"/>
    <w:rsid w:val="00F732C5"/>
    <w:rsid w:val="00F74C2A"/>
    <w:rsid w:val="00F767F8"/>
    <w:rsid w:val="00F76A5C"/>
    <w:rsid w:val="00F803FE"/>
    <w:rsid w:val="00F80E6D"/>
    <w:rsid w:val="00F823EE"/>
    <w:rsid w:val="00F84B10"/>
    <w:rsid w:val="00F86C4B"/>
    <w:rsid w:val="00F86E29"/>
    <w:rsid w:val="00F90212"/>
    <w:rsid w:val="00F918BE"/>
    <w:rsid w:val="00F9236D"/>
    <w:rsid w:val="00F92829"/>
    <w:rsid w:val="00F949F9"/>
    <w:rsid w:val="00F94CD6"/>
    <w:rsid w:val="00F95618"/>
    <w:rsid w:val="00F9596D"/>
    <w:rsid w:val="00F96358"/>
    <w:rsid w:val="00F96F7F"/>
    <w:rsid w:val="00F97117"/>
    <w:rsid w:val="00F97221"/>
    <w:rsid w:val="00FA0164"/>
    <w:rsid w:val="00FA02A9"/>
    <w:rsid w:val="00FA220A"/>
    <w:rsid w:val="00FA2292"/>
    <w:rsid w:val="00FA2DFB"/>
    <w:rsid w:val="00FA4BCF"/>
    <w:rsid w:val="00FA7294"/>
    <w:rsid w:val="00FB1396"/>
    <w:rsid w:val="00FB1F72"/>
    <w:rsid w:val="00FB3574"/>
    <w:rsid w:val="00FB3817"/>
    <w:rsid w:val="00FB4578"/>
    <w:rsid w:val="00FB4F54"/>
    <w:rsid w:val="00FB50D9"/>
    <w:rsid w:val="00FB6BB2"/>
    <w:rsid w:val="00FB755D"/>
    <w:rsid w:val="00FC1548"/>
    <w:rsid w:val="00FC1E67"/>
    <w:rsid w:val="00FC2384"/>
    <w:rsid w:val="00FC33A3"/>
    <w:rsid w:val="00FC369C"/>
    <w:rsid w:val="00FC3AA5"/>
    <w:rsid w:val="00FC3BEF"/>
    <w:rsid w:val="00FD0AE7"/>
    <w:rsid w:val="00FD1D92"/>
    <w:rsid w:val="00FD285A"/>
    <w:rsid w:val="00FD28C8"/>
    <w:rsid w:val="00FD367A"/>
    <w:rsid w:val="00FD7688"/>
    <w:rsid w:val="00FE0612"/>
    <w:rsid w:val="00FE08B7"/>
    <w:rsid w:val="00FE221B"/>
    <w:rsid w:val="00FE2A5F"/>
    <w:rsid w:val="00FE3479"/>
    <w:rsid w:val="00FE3B62"/>
    <w:rsid w:val="00FE3F2A"/>
    <w:rsid w:val="00FE7A39"/>
    <w:rsid w:val="00FE7B4F"/>
    <w:rsid w:val="00FF06E6"/>
    <w:rsid w:val="00FF0EE0"/>
    <w:rsid w:val="00FF1818"/>
    <w:rsid w:val="00FF1848"/>
    <w:rsid w:val="00FF2527"/>
    <w:rsid w:val="00FF2994"/>
    <w:rsid w:val="00FF2A61"/>
    <w:rsid w:val="00FF3338"/>
    <w:rsid w:val="00FF3968"/>
    <w:rsid w:val="00FF3E7A"/>
    <w:rsid w:val="00FF48A0"/>
    <w:rsid w:val="00FF5843"/>
    <w:rsid w:val="00FF6A13"/>
    <w:rsid w:val="00FF734E"/>
    <w:rsid w:val="00FF73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D194F"/>
  <w15:chartTrackingRefBased/>
  <w15:docId w15:val="{BC674560-B74D-4F17-95CA-8C8CCE14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990F8B"/>
    <w:pPr>
      <w:keepNext/>
      <w:spacing w:before="240" w:after="240" w:line="480" w:lineRule="auto"/>
      <w:outlineLvl w:val="0"/>
    </w:pPr>
    <w:rPr>
      <w:rFonts w:ascii="Arial" w:eastAsia="Times New Roman" w:hAnsi="Arial" w:cs="Arial"/>
      <w:i/>
      <w:iCs/>
      <w:kern w:val="32"/>
      <w:u w:val="single"/>
    </w:rPr>
  </w:style>
  <w:style w:type="paragraph" w:styleId="Heading2">
    <w:name w:val="heading 2"/>
    <w:basedOn w:val="Normal"/>
    <w:next w:val="Normal"/>
    <w:link w:val="Heading2Char"/>
    <w:semiHidden/>
    <w:unhideWhenUsed/>
    <w:qFormat/>
    <w:rsid w:val="00814F3C"/>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BF192E"/>
    <w:pPr>
      <w:outlineLvl w:val="2"/>
    </w:pPr>
    <w:rPr>
      <w:rFonts w:eastAsia="Times New Roman"/>
      <w:sz w:val="28"/>
      <w:szCs w:val="2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5618"/>
    <w:pPr>
      <w:tabs>
        <w:tab w:val="center" w:pos="4153"/>
        <w:tab w:val="right" w:pos="8306"/>
      </w:tabs>
    </w:pPr>
  </w:style>
  <w:style w:type="character" w:styleId="PageNumber">
    <w:name w:val="page number"/>
    <w:basedOn w:val="DefaultParagraphFont"/>
    <w:rsid w:val="00F95618"/>
  </w:style>
  <w:style w:type="paragraph" w:styleId="BalloonText">
    <w:name w:val="Balloon Text"/>
    <w:basedOn w:val="Normal"/>
    <w:semiHidden/>
    <w:rsid w:val="0082788D"/>
    <w:rPr>
      <w:rFonts w:ascii="Tahoma" w:hAnsi="Tahoma" w:cs="Tahoma"/>
      <w:sz w:val="16"/>
      <w:szCs w:val="16"/>
    </w:rPr>
  </w:style>
  <w:style w:type="table" w:styleId="TableGrid">
    <w:name w:val="Table Grid"/>
    <w:basedOn w:val="TableNormal"/>
    <w:rsid w:val="00EF0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40D6"/>
    <w:pPr>
      <w:ind w:left="720"/>
    </w:pPr>
  </w:style>
  <w:style w:type="paragraph" w:styleId="Footer">
    <w:name w:val="footer"/>
    <w:basedOn w:val="Normal"/>
    <w:link w:val="FooterChar"/>
    <w:uiPriority w:val="99"/>
    <w:rsid w:val="00E12D61"/>
    <w:pPr>
      <w:tabs>
        <w:tab w:val="center" w:pos="4513"/>
        <w:tab w:val="right" w:pos="9026"/>
      </w:tabs>
    </w:pPr>
  </w:style>
  <w:style w:type="character" w:customStyle="1" w:styleId="FooterChar">
    <w:name w:val="Footer Char"/>
    <w:link w:val="Footer"/>
    <w:uiPriority w:val="99"/>
    <w:rsid w:val="00E12D61"/>
    <w:rPr>
      <w:sz w:val="24"/>
      <w:szCs w:val="24"/>
      <w:lang w:val="en-GB" w:eastAsia="zh-CN"/>
    </w:rPr>
  </w:style>
  <w:style w:type="character" w:customStyle="1" w:styleId="Heading3Char">
    <w:name w:val="Heading 3 Char"/>
    <w:link w:val="Heading3"/>
    <w:uiPriority w:val="9"/>
    <w:rsid w:val="00BF192E"/>
    <w:rPr>
      <w:rFonts w:eastAsia="Times New Roman"/>
      <w:sz w:val="28"/>
      <w:szCs w:val="28"/>
    </w:rPr>
  </w:style>
  <w:style w:type="character" w:styleId="Emphasis">
    <w:name w:val="Emphasis"/>
    <w:uiPriority w:val="20"/>
    <w:qFormat/>
    <w:rsid w:val="00BF192E"/>
    <w:rPr>
      <w:i w:val="0"/>
      <w:iCs w:val="0"/>
    </w:rPr>
  </w:style>
  <w:style w:type="paragraph" w:styleId="FootnoteText">
    <w:name w:val="footnote text"/>
    <w:basedOn w:val="Normal"/>
    <w:link w:val="FootnoteTextChar"/>
    <w:uiPriority w:val="99"/>
    <w:rsid w:val="0006757D"/>
    <w:rPr>
      <w:rFonts w:ascii="Arial" w:hAnsi="Arial" w:cs="Arial"/>
      <w:sz w:val="20"/>
      <w:szCs w:val="20"/>
      <w:lang w:val="en-US"/>
    </w:rPr>
  </w:style>
  <w:style w:type="character" w:customStyle="1" w:styleId="FootnoteTextChar">
    <w:name w:val="Footnote Text Char"/>
    <w:link w:val="FootnoteText"/>
    <w:uiPriority w:val="99"/>
    <w:rsid w:val="0006757D"/>
    <w:rPr>
      <w:rFonts w:ascii="Arial" w:hAnsi="Arial" w:cs="Arial"/>
      <w:lang w:val="en-US" w:eastAsia="zh-CN"/>
    </w:rPr>
  </w:style>
  <w:style w:type="character" w:styleId="FootnoteReference">
    <w:name w:val="footnote reference"/>
    <w:uiPriority w:val="99"/>
    <w:rsid w:val="00C245D5"/>
    <w:rPr>
      <w:vertAlign w:val="superscript"/>
    </w:rPr>
  </w:style>
  <w:style w:type="paragraph" w:customStyle="1" w:styleId="Default">
    <w:name w:val="Default"/>
    <w:rsid w:val="0080370D"/>
    <w:pPr>
      <w:autoSpaceDE w:val="0"/>
      <w:autoSpaceDN w:val="0"/>
      <w:adjustRightInd w:val="0"/>
    </w:pPr>
    <w:rPr>
      <w:rFonts w:ascii="Arial" w:hAnsi="Arial" w:cs="Arial"/>
      <w:color w:val="000000"/>
      <w:sz w:val="24"/>
      <w:szCs w:val="24"/>
      <w:lang w:val="en-US" w:eastAsia="en-US"/>
    </w:rPr>
  </w:style>
  <w:style w:type="character" w:customStyle="1" w:styleId="Heading1Char">
    <w:name w:val="Heading 1 Char"/>
    <w:link w:val="Heading1"/>
    <w:rsid w:val="00990F8B"/>
    <w:rPr>
      <w:rFonts w:ascii="Arial" w:eastAsia="Times New Roman" w:hAnsi="Arial" w:cs="Arial"/>
      <w:i/>
      <w:iCs/>
      <w:kern w:val="32"/>
      <w:sz w:val="24"/>
      <w:szCs w:val="24"/>
      <w:u w:val="single"/>
      <w:lang w:val="en-GB" w:eastAsia="zh-CN"/>
    </w:rPr>
  </w:style>
  <w:style w:type="character" w:customStyle="1" w:styleId="Heading2Char">
    <w:name w:val="Heading 2 Char"/>
    <w:link w:val="Heading2"/>
    <w:semiHidden/>
    <w:rsid w:val="00814F3C"/>
    <w:rPr>
      <w:rFonts w:ascii="Calibri Light" w:eastAsia="Times New Roman" w:hAnsi="Calibri Light" w:cs="Times New Roman"/>
      <w:b/>
      <w:bCs/>
      <w:i/>
      <w:iCs/>
      <w:sz w:val="28"/>
      <w:szCs w:val="28"/>
      <w:lang w:val="en-GB" w:eastAsia="zh-CN"/>
    </w:rPr>
  </w:style>
  <w:style w:type="paragraph" w:styleId="Title">
    <w:name w:val="Title"/>
    <w:link w:val="TitleChar"/>
    <w:qFormat/>
    <w:rsid w:val="00FF0EE0"/>
    <w:pPr>
      <w:widowControl w:val="0"/>
    </w:pPr>
    <w:rPr>
      <w:rFonts w:ascii="Arial" w:eastAsia="Times New Roman" w:hAnsi="Arial"/>
      <w:sz w:val="25"/>
      <w:lang w:eastAsia="en-US"/>
    </w:rPr>
  </w:style>
  <w:style w:type="character" w:customStyle="1" w:styleId="TitleChar">
    <w:name w:val="Title Char"/>
    <w:link w:val="Title"/>
    <w:rsid w:val="00FF0EE0"/>
    <w:rPr>
      <w:rFonts w:ascii="Arial" w:eastAsia="Times New Roman" w:hAnsi="Arial"/>
      <w:sz w:val="25"/>
      <w:lang w:eastAsia="en-US"/>
    </w:rPr>
  </w:style>
  <w:style w:type="paragraph" w:customStyle="1" w:styleId="Indent">
    <w:name w:val="Indent"/>
    <w:basedOn w:val="Main"/>
    <w:rsid w:val="00FB4F54"/>
    <w:pPr>
      <w:numPr>
        <w:ilvl w:val="1"/>
      </w:numPr>
      <w:ind w:left="1418" w:hanging="709"/>
    </w:pPr>
  </w:style>
  <w:style w:type="paragraph" w:customStyle="1" w:styleId="Main">
    <w:name w:val="Main"/>
    <w:basedOn w:val="Normal"/>
    <w:qFormat/>
    <w:rsid w:val="005D1AC6"/>
    <w:pPr>
      <w:numPr>
        <w:numId w:val="1"/>
      </w:numPr>
      <w:spacing w:after="240" w:line="480" w:lineRule="auto"/>
      <w:ind w:left="709" w:hanging="709"/>
      <w:jc w:val="both"/>
    </w:pPr>
    <w:rPr>
      <w:rFonts w:ascii="Arial" w:eastAsia="Times New Roman" w:hAnsi="Arial" w:cs="Arial"/>
      <w:lang w:eastAsia="en-ZA"/>
    </w:rPr>
  </w:style>
  <w:style w:type="paragraph" w:styleId="Quote">
    <w:name w:val="Quote"/>
    <w:basedOn w:val="Normal"/>
    <w:next w:val="Normal"/>
    <w:link w:val="QuoteChar"/>
    <w:uiPriority w:val="29"/>
    <w:qFormat/>
    <w:rsid w:val="00C35D7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35D70"/>
    <w:rPr>
      <w:i/>
      <w:iCs/>
      <w:color w:val="404040" w:themeColor="text1" w:themeTint="BF"/>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97787">
      <w:bodyDiv w:val="1"/>
      <w:marLeft w:val="0"/>
      <w:marRight w:val="0"/>
      <w:marTop w:val="0"/>
      <w:marBottom w:val="0"/>
      <w:divBdr>
        <w:top w:val="none" w:sz="0" w:space="0" w:color="auto"/>
        <w:left w:val="none" w:sz="0" w:space="0" w:color="auto"/>
        <w:bottom w:val="none" w:sz="0" w:space="0" w:color="auto"/>
        <w:right w:val="none" w:sz="0" w:space="0" w:color="auto"/>
      </w:divBdr>
      <w:divsChild>
        <w:div w:id="1382942575">
          <w:marLeft w:val="0"/>
          <w:marRight w:val="0"/>
          <w:marTop w:val="0"/>
          <w:marBottom w:val="0"/>
          <w:divBdr>
            <w:top w:val="none" w:sz="0" w:space="0" w:color="auto"/>
            <w:left w:val="none" w:sz="0" w:space="0" w:color="auto"/>
            <w:bottom w:val="none" w:sz="0" w:space="0" w:color="auto"/>
            <w:right w:val="none" w:sz="0" w:space="0" w:color="auto"/>
          </w:divBdr>
          <w:divsChild>
            <w:div w:id="669601259">
              <w:marLeft w:val="0"/>
              <w:marRight w:val="0"/>
              <w:marTop w:val="0"/>
              <w:marBottom w:val="0"/>
              <w:divBdr>
                <w:top w:val="none" w:sz="0" w:space="0" w:color="auto"/>
                <w:left w:val="none" w:sz="0" w:space="0" w:color="auto"/>
                <w:bottom w:val="none" w:sz="0" w:space="0" w:color="auto"/>
                <w:right w:val="none" w:sz="0" w:space="0" w:color="auto"/>
              </w:divBdr>
              <w:divsChild>
                <w:div w:id="2147163135">
                  <w:marLeft w:val="0"/>
                  <w:marRight w:val="0"/>
                  <w:marTop w:val="0"/>
                  <w:marBottom w:val="0"/>
                  <w:divBdr>
                    <w:top w:val="none" w:sz="0" w:space="0" w:color="auto"/>
                    <w:left w:val="none" w:sz="0" w:space="0" w:color="auto"/>
                    <w:bottom w:val="none" w:sz="0" w:space="0" w:color="auto"/>
                    <w:right w:val="none" w:sz="0" w:space="0" w:color="auto"/>
                  </w:divBdr>
                  <w:divsChild>
                    <w:div w:id="833453185">
                      <w:marLeft w:val="0"/>
                      <w:marRight w:val="0"/>
                      <w:marTop w:val="0"/>
                      <w:marBottom w:val="1200"/>
                      <w:divBdr>
                        <w:top w:val="none" w:sz="0" w:space="0" w:color="auto"/>
                        <w:left w:val="none" w:sz="0" w:space="0" w:color="auto"/>
                        <w:bottom w:val="none" w:sz="0" w:space="0" w:color="auto"/>
                        <w:right w:val="none" w:sz="0" w:space="0" w:color="auto"/>
                      </w:divBdr>
                      <w:divsChild>
                        <w:div w:id="201950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2E3E4-924A-49D0-81B0-311B15616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Hewlett-Packard</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subject/>
  <dc:creator>motatum</dc:creator>
  <cp:keywords/>
  <cp:lastModifiedBy>Mariana Anguelov</cp:lastModifiedBy>
  <cp:revision>3</cp:revision>
  <cp:lastPrinted>2022-11-21T07:22:00Z</cp:lastPrinted>
  <dcterms:created xsi:type="dcterms:W3CDTF">2022-11-23T13:49:00Z</dcterms:created>
  <dcterms:modified xsi:type="dcterms:W3CDTF">2022-11-23T18:59:00Z</dcterms:modified>
</cp:coreProperties>
</file>