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C" w:rsidRPr="004F2C74" w:rsidRDefault="00AC601C" w:rsidP="00AC601C">
      <w:pPr>
        <w:spacing w:before="0" w:after="200" w:line="276" w:lineRule="auto"/>
        <w:jc w:val="center"/>
        <w:rPr>
          <w:rFonts w:eastAsiaTheme="minorEastAsia" w:cs="Arial"/>
          <w:b/>
          <w:szCs w:val="24"/>
          <w:lang w:eastAsia="en-ZA"/>
        </w:rPr>
      </w:pPr>
      <w:bookmarkStart w:id="0" w:name="_GoBack"/>
      <w:bookmarkEnd w:id="0"/>
      <w:r w:rsidRPr="004F2C74">
        <w:rPr>
          <w:rFonts w:eastAsiaTheme="minorEastAsia" w:cs="Arial"/>
          <w:b/>
          <w:szCs w:val="24"/>
          <w:lang w:eastAsia="en-ZA"/>
        </w:rPr>
        <w:t>IN THE HIGH COURT OF SOUTH AFRICA</w:t>
      </w:r>
      <w:r w:rsidRPr="004F2C74">
        <w:rPr>
          <w:rFonts w:ascii="Times New Roman" w:eastAsiaTheme="minorEastAsia" w:hAnsi="Times New Roman"/>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eastAsia="en-ZA"/>
        </w:rPr>
        <w:drawing>
          <wp:inline distT="0" distB="0" distL="0" distR="0" wp14:anchorId="2DF1224A" wp14:editId="16BD4DB9">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AC601C" w:rsidRPr="004F2C74" w:rsidRDefault="00EA1C18" w:rsidP="00AC601C">
      <w:pPr>
        <w:spacing w:before="0" w:after="200" w:line="276"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4C6362"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 A3015/2021</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eastAsia="en-ZA"/>
        </w:rPr>
        <mc:AlternateContent>
          <mc:Choice Requires="wps">
            <w:drawing>
              <wp:anchor distT="0" distB="0" distL="114300" distR="114300" simplePos="0" relativeHeight="251659264" behindDoc="0" locked="0" layoutInCell="1" allowOverlap="1" wp14:anchorId="775B67B4" wp14:editId="08A658C2">
                <wp:simplePos x="0" y="0"/>
                <wp:positionH relativeFrom="column">
                  <wp:posOffset>-447674</wp:posOffset>
                </wp:positionH>
                <wp:positionV relativeFrom="paragraph">
                  <wp:posOffset>179070</wp:posOffset>
                </wp:positionV>
                <wp:extent cx="3636010" cy="1219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9200"/>
                        </a:xfrm>
                        <a:prstGeom prst="rect">
                          <a:avLst/>
                        </a:prstGeom>
                        <a:solidFill>
                          <a:srgbClr val="FFFFFF"/>
                        </a:solidFill>
                        <a:ln w="9525">
                          <a:solidFill>
                            <a:srgbClr val="000000"/>
                          </a:solidFill>
                          <a:miter lim="800000"/>
                          <a:headEnd/>
                          <a:tailEnd/>
                        </a:ln>
                      </wps:spPr>
                      <wps:txb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145CA6">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67B4" id="_x0000_t202" coordsize="21600,21600" o:spt="202" path="m,l,21600r21600,l21600,xe">
                <v:stroke joinstyle="miter"/>
                <v:path gradientshapeok="t" o:connecttype="rect"/>
              </v:shapetype>
              <v:shape id="Text Box 2" o:spid="_x0000_s1026" type="#_x0000_t202" style="position:absolute;left:0;text-align:left;margin-left:-35.25pt;margin-top:14.1pt;width:286.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">
                <v:textbo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145CA6">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outlineLvl w:val="0"/>
        <w:rPr>
          <w:rFonts w:ascii="Times New Roman" w:eastAsiaTheme="minorEastAsia" w:hAnsi="Times New Roman"/>
          <w:b/>
          <w:szCs w:val="24"/>
          <w:lang w:eastAsia="en-ZA"/>
        </w:rPr>
      </w:pPr>
    </w:p>
    <w:p w:rsidR="00C7444A" w:rsidRDefault="00145CA6" w:rsidP="00AC601C">
      <w:pPr>
        <w:jc w:val="both"/>
        <w:rPr>
          <w:szCs w:val="24"/>
        </w:rPr>
      </w:pPr>
      <w:r>
        <w:rPr>
          <w:szCs w:val="24"/>
        </w:rPr>
        <w:t xml:space="preserve">In the </w:t>
      </w:r>
      <w:r w:rsidR="001A6A02">
        <w:rPr>
          <w:szCs w:val="24"/>
        </w:rPr>
        <w:t>appeal</w:t>
      </w:r>
      <w:r w:rsidR="007E6D2C">
        <w:rPr>
          <w:szCs w:val="24"/>
        </w:rPr>
        <w:t xml:space="preserve"> of</w:t>
      </w:r>
      <w:r w:rsidR="00AC601C" w:rsidRPr="004F2C74">
        <w:rPr>
          <w:szCs w:val="24"/>
        </w:rPr>
        <w:t>:</w:t>
      </w:r>
    </w:p>
    <w:p w:rsidR="00E53D4B" w:rsidRDefault="001A6A02" w:rsidP="00AC601C">
      <w:pPr>
        <w:jc w:val="both"/>
        <w:rPr>
          <w:szCs w:val="24"/>
        </w:rPr>
      </w:pPr>
      <w:r>
        <w:rPr>
          <w:b/>
          <w:szCs w:val="24"/>
        </w:rPr>
        <w:t xml:space="preserve">JAN JOHANNES BRITZ                 </w:t>
      </w:r>
      <w:r w:rsidR="00E53D4B" w:rsidRPr="00E53D4B">
        <w:rPr>
          <w:szCs w:val="24"/>
        </w:rPr>
        <w:t xml:space="preserve"> </w:t>
      </w:r>
      <w:r w:rsidR="00E53D4B">
        <w:rPr>
          <w:szCs w:val="24"/>
        </w:rPr>
        <w:t xml:space="preserve">                                              </w:t>
      </w:r>
      <w:r>
        <w:rPr>
          <w:szCs w:val="24"/>
        </w:rPr>
        <w:t xml:space="preserve">                       Appellant</w:t>
      </w:r>
    </w:p>
    <w:p w:rsidR="00E53D4B" w:rsidRDefault="00E53D4B" w:rsidP="00AC601C">
      <w:pPr>
        <w:jc w:val="both"/>
        <w:rPr>
          <w:szCs w:val="24"/>
        </w:rPr>
      </w:pPr>
    </w:p>
    <w:p w:rsidR="00E53D4B" w:rsidRDefault="00E53D4B" w:rsidP="00E53D4B">
      <w:pPr>
        <w:jc w:val="both"/>
        <w:rPr>
          <w:szCs w:val="24"/>
        </w:rPr>
      </w:pPr>
      <w:r>
        <w:rPr>
          <w:szCs w:val="24"/>
        </w:rPr>
        <w:t>versus</w:t>
      </w:r>
    </w:p>
    <w:p w:rsidR="00E53D4B" w:rsidRDefault="00E53D4B" w:rsidP="00AC601C">
      <w:pPr>
        <w:jc w:val="both"/>
        <w:rPr>
          <w:szCs w:val="24"/>
        </w:rPr>
      </w:pPr>
    </w:p>
    <w:p w:rsidR="00145CA6" w:rsidRDefault="001A6A02" w:rsidP="00AC601C">
      <w:pPr>
        <w:jc w:val="both"/>
        <w:rPr>
          <w:szCs w:val="24"/>
        </w:rPr>
      </w:pPr>
      <w:r>
        <w:rPr>
          <w:b/>
          <w:szCs w:val="24"/>
        </w:rPr>
        <w:t>SURARAH JOHANNA BRITZ</w:t>
      </w:r>
      <w:r w:rsidR="00145CA6">
        <w:rPr>
          <w:b/>
          <w:szCs w:val="24"/>
        </w:rPr>
        <w:t xml:space="preserve"> </w:t>
      </w:r>
      <w:r w:rsidR="007F2554">
        <w:rPr>
          <w:b/>
          <w:szCs w:val="24"/>
        </w:rPr>
        <w:t xml:space="preserve"> </w:t>
      </w:r>
      <w:r w:rsidR="00AC601C">
        <w:rPr>
          <w:szCs w:val="24"/>
        </w:rPr>
        <w:t xml:space="preserve">     </w:t>
      </w:r>
      <w:r w:rsidR="00145CA6">
        <w:rPr>
          <w:szCs w:val="24"/>
        </w:rPr>
        <w:t xml:space="preserve">    </w:t>
      </w:r>
      <w:r>
        <w:rPr>
          <w:szCs w:val="24"/>
        </w:rPr>
        <w:t xml:space="preserve">                           </w:t>
      </w:r>
      <w:r w:rsidR="003E525E">
        <w:rPr>
          <w:szCs w:val="24"/>
        </w:rPr>
        <w:t xml:space="preserve">                                    </w:t>
      </w:r>
      <w:r w:rsidR="00E53D4B">
        <w:rPr>
          <w:szCs w:val="24"/>
        </w:rPr>
        <w:t>Respondent</w:t>
      </w:r>
      <w:r w:rsidR="00145CA6">
        <w:rPr>
          <w:szCs w:val="24"/>
        </w:rPr>
        <w:t xml:space="preserve">                                 </w:t>
      </w:r>
    </w:p>
    <w:p w:rsidR="00AC601C" w:rsidRPr="00E53D4B" w:rsidRDefault="00AC601C" w:rsidP="00AC601C">
      <w:pPr>
        <w:jc w:val="both"/>
        <w:rPr>
          <w:szCs w:val="24"/>
        </w:rPr>
      </w:pPr>
      <w:r w:rsidRPr="00145CA6">
        <w:rPr>
          <w:szCs w:val="24"/>
        </w:rPr>
        <w:t xml:space="preserve"> </w:t>
      </w:r>
      <w:r w:rsidRPr="007E6D2C">
        <w:rPr>
          <w:b/>
          <w:szCs w:val="24"/>
        </w:rPr>
        <w:t xml:space="preserve">                                               </w:t>
      </w:r>
      <w:r w:rsidR="008573AD" w:rsidRPr="007E6D2C">
        <w:rPr>
          <w:b/>
          <w:szCs w:val="24"/>
        </w:rPr>
        <w:t xml:space="preserve">     </w:t>
      </w:r>
      <w:r w:rsidR="007E6D2C" w:rsidRPr="007E6D2C">
        <w:rPr>
          <w:b/>
          <w:szCs w:val="24"/>
        </w:rPr>
        <w:t xml:space="preserve">          </w:t>
      </w:r>
    </w:p>
    <w:p w:rsidR="00AC601C" w:rsidRDefault="00AC601C" w:rsidP="00AC601C">
      <w:pPr>
        <w:jc w:val="both"/>
        <w:rPr>
          <w:szCs w:val="24"/>
        </w:rPr>
      </w:pPr>
      <w:r w:rsidRPr="00AC601C">
        <w:rPr>
          <w:b/>
          <w:szCs w:val="24"/>
        </w:rPr>
        <w:t>Coram:</w:t>
      </w:r>
      <w:r>
        <w:rPr>
          <w:b/>
          <w:szCs w:val="24"/>
        </w:rPr>
        <w:t xml:space="preserve"> </w:t>
      </w:r>
      <w:r w:rsidR="00EA1C18">
        <w:rPr>
          <w:szCs w:val="24"/>
        </w:rPr>
        <w:t>Wepener J</w:t>
      </w:r>
      <w:r w:rsidR="001A6A02">
        <w:rPr>
          <w:szCs w:val="24"/>
        </w:rPr>
        <w:t xml:space="preserve"> et van Niewenhuizen AJ</w:t>
      </w:r>
    </w:p>
    <w:p w:rsidR="007E6D2C" w:rsidRDefault="00CE0024" w:rsidP="009D12E5">
      <w:pPr>
        <w:jc w:val="both"/>
        <w:rPr>
          <w:szCs w:val="24"/>
        </w:rPr>
      </w:pPr>
      <w:r>
        <w:rPr>
          <w:b/>
          <w:szCs w:val="24"/>
        </w:rPr>
        <w:t>Date of hearing</w:t>
      </w:r>
      <w:r w:rsidR="00EA1C18">
        <w:rPr>
          <w:szCs w:val="24"/>
        </w:rPr>
        <w:t xml:space="preserve">: </w:t>
      </w:r>
      <w:r w:rsidR="001A6A02">
        <w:rPr>
          <w:szCs w:val="24"/>
        </w:rPr>
        <w:t>10</w:t>
      </w:r>
      <w:r w:rsidR="001A6A02" w:rsidRPr="001A6A02">
        <w:rPr>
          <w:szCs w:val="24"/>
          <w:vertAlign w:val="superscript"/>
        </w:rPr>
        <w:t>th</w:t>
      </w:r>
      <w:r w:rsidR="001A6A02">
        <w:rPr>
          <w:szCs w:val="24"/>
        </w:rPr>
        <w:t xml:space="preserve"> November</w:t>
      </w:r>
      <w:r w:rsidR="00BC7714">
        <w:rPr>
          <w:szCs w:val="24"/>
        </w:rPr>
        <w:t xml:space="preserve"> 2022</w:t>
      </w:r>
    </w:p>
    <w:p w:rsidR="00CE0024" w:rsidRDefault="00CE0024" w:rsidP="009D12E5">
      <w:pPr>
        <w:jc w:val="both"/>
        <w:rPr>
          <w:szCs w:val="24"/>
        </w:rPr>
      </w:pPr>
      <w:r>
        <w:rPr>
          <w:b/>
          <w:szCs w:val="24"/>
        </w:rPr>
        <w:t xml:space="preserve">Date of Judgment: </w:t>
      </w:r>
      <w:r w:rsidR="001A6A02">
        <w:rPr>
          <w:szCs w:val="24"/>
        </w:rPr>
        <w:t>10</w:t>
      </w:r>
      <w:r w:rsidR="001A6A02" w:rsidRPr="001A6A02">
        <w:rPr>
          <w:szCs w:val="24"/>
          <w:vertAlign w:val="superscript"/>
        </w:rPr>
        <w:t>th</w:t>
      </w:r>
      <w:r w:rsidR="001A6A02">
        <w:rPr>
          <w:szCs w:val="24"/>
        </w:rPr>
        <w:t xml:space="preserve"> November</w:t>
      </w:r>
      <w:r w:rsidR="00BC7714">
        <w:rPr>
          <w:szCs w:val="24"/>
        </w:rPr>
        <w:t xml:space="preserve"> 2022</w:t>
      </w:r>
    </w:p>
    <w:p w:rsidR="00A83924" w:rsidRPr="00BC7714" w:rsidRDefault="00A83924" w:rsidP="009D12E5">
      <w:pPr>
        <w:jc w:val="both"/>
        <w:rPr>
          <w:szCs w:val="24"/>
        </w:rPr>
      </w:pPr>
    </w:p>
    <w:p w:rsidR="00213B75" w:rsidRPr="006048C7" w:rsidRDefault="00AA7DA7" w:rsidP="004F6B47">
      <w:pPr>
        <w:jc w:val="both"/>
        <w:rPr>
          <w:szCs w:val="24"/>
        </w:rPr>
      </w:pPr>
      <w:r w:rsidRPr="00AA7DA7">
        <w:rPr>
          <w:szCs w:val="24"/>
        </w:rPr>
        <w:lastRenderedPageBreak/>
        <w:t>This judgment is made an Order of Court by the Judge whose name is reflected herein, duly stamped by the Registrar of the Court and is submitted electronically to the Parties/their legal representatives by email.  The judgment is further uploaded to the electronic file of this matter on Caselin</w:t>
      </w:r>
      <w:r w:rsidR="004B24F8">
        <w:rPr>
          <w:szCs w:val="24"/>
        </w:rPr>
        <w:t xml:space="preserve">es by the Judge his secretary. </w:t>
      </w:r>
      <w:r w:rsidRPr="00AA7DA7">
        <w:rPr>
          <w:szCs w:val="24"/>
        </w:rPr>
        <w:t>The date of th</w:t>
      </w:r>
      <w:r w:rsidR="00A83924">
        <w:rPr>
          <w:szCs w:val="24"/>
        </w:rPr>
        <w:t>is Order is deemed to be 10 November</w:t>
      </w:r>
      <w:r w:rsidRPr="00AA7DA7">
        <w:rPr>
          <w:szCs w:val="24"/>
        </w:rPr>
        <w:t xml:space="preserve"> 2022</w:t>
      </w:r>
      <w:r>
        <w:rPr>
          <w:szCs w:val="24"/>
        </w:rPr>
        <w:t>.</w:t>
      </w:r>
    </w:p>
    <w:p w:rsidR="00AC601C" w:rsidRPr="00C44C2C" w:rsidRDefault="000B21D4" w:rsidP="00AC601C">
      <w:pPr>
        <w:pStyle w:val="Textinlines"/>
      </w:pPr>
      <w:r>
        <w:t xml:space="preserve">JUDGMENT </w:t>
      </w:r>
    </w:p>
    <w:p w:rsidR="00AC601C" w:rsidRDefault="00AC601C" w:rsidP="00AC601C">
      <w:pPr>
        <w:jc w:val="both"/>
        <w:rPr>
          <w:b/>
          <w:szCs w:val="24"/>
        </w:rPr>
      </w:pPr>
      <w:r w:rsidRPr="00AC601C">
        <w:rPr>
          <w:b/>
          <w:szCs w:val="24"/>
        </w:rPr>
        <w:t>Wepener, J</w:t>
      </w:r>
      <w:r>
        <w:rPr>
          <w:b/>
          <w:szCs w:val="24"/>
        </w:rPr>
        <w:t>:</w:t>
      </w:r>
    </w:p>
    <w:p w:rsidR="00000169" w:rsidRDefault="00AC601C" w:rsidP="005B27A4">
      <w:pPr>
        <w:jc w:val="both"/>
        <w:rPr>
          <w:szCs w:val="24"/>
        </w:rPr>
      </w:pPr>
      <w:r w:rsidRPr="00AC601C">
        <w:rPr>
          <w:szCs w:val="24"/>
        </w:rPr>
        <w:t>[1]</w:t>
      </w:r>
      <w:r>
        <w:rPr>
          <w:szCs w:val="24"/>
        </w:rPr>
        <w:tab/>
      </w:r>
      <w:r w:rsidR="004B24F8">
        <w:rPr>
          <w:szCs w:val="24"/>
        </w:rPr>
        <w:t xml:space="preserve">This is an appeal against the order of the magistrate of Vereeniging, dismissing a point in limine that the respondent was not entitled to launch a claim for maintenance against the appellant. </w:t>
      </w:r>
    </w:p>
    <w:p w:rsidR="004B24F8" w:rsidRDefault="004B24F8" w:rsidP="005B27A4">
      <w:pPr>
        <w:jc w:val="both"/>
        <w:rPr>
          <w:szCs w:val="24"/>
        </w:rPr>
      </w:pPr>
      <w:r>
        <w:rPr>
          <w:szCs w:val="24"/>
        </w:rPr>
        <w:t>[2]</w:t>
      </w:r>
      <w:r>
        <w:rPr>
          <w:szCs w:val="24"/>
        </w:rPr>
        <w:tab/>
        <w:t>When the parties were divorced on 13 May 2019 they concluded a settlement agreement in terms of which it was stipulated that:</w:t>
      </w:r>
    </w:p>
    <w:p w:rsidR="004B24F8" w:rsidRDefault="004B24F8" w:rsidP="004B24F8">
      <w:pPr>
        <w:ind w:left="709"/>
        <w:jc w:val="both"/>
        <w:rPr>
          <w:sz w:val="22"/>
          <w:szCs w:val="24"/>
        </w:rPr>
      </w:pPr>
      <w:r>
        <w:rPr>
          <w:szCs w:val="24"/>
        </w:rPr>
        <w:tab/>
      </w:r>
      <w:r>
        <w:rPr>
          <w:sz w:val="22"/>
          <w:szCs w:val="24"/>
        </w:rPr>
        <w:t>‘The aspect regarding spousal maintenance shall be referred to the relevant maintenance court, by either party within 12 months from the date of the granting of the final order of divorce. In the event that neither party approaches the maintenance court for such relief within the period stated in this paragraph, the parties accept that their respective entitlement to lodge a maintenance claim shall fall away.’</w:t>
      </w:r>
    </w:p>
    <w:p w:rsidR="00E016AE" w:rsidRDefault="00E016AE" w:rsidP="00E016AE">
      <w:pPr>
        <w:jc w:val="both"/>
        <w:rPr>
          <w:szCs w:val="24"/>
        </w:rPr>
      </w:pPr>
      <w:r>
        <w:rPr>
          <w:szCs w:val="24"/>
        </w:rPr>
        <w:t>[3]</w:t>
      </w:r>
      <w:r>
        <w:rPr>
          <w:szCs w:val="24"/>
        </w:rPr>
        <w:tab/>
        <w:t xml:space="preserve">The issue that looms large before us is the referral to the maintenance court. During argument before the learned magistrate, the respondent’s legal representative stated that the matter was indeed so referred to the maintenance court before 13 May 2020. He stated that it was referred </w:t>
      </w:r>
      <w:r w:rsidR="0026022F">
        <w:rPr>
          <w:szCs w:val="24"/>
        </w:rPr>
        <w:t xml:space="preserve">to court </w:t>
      </w:r>
      <w:r>
        <w:rPr>
          <w:szCs w:val="24"/>
        </w:rPr>
        <w:t>during April or e</w:t>
      </w:r>
      <w:r w:rsidR="0026022F">
        <w:rPr>
          <w:szCs w:val="24"/>
        </w:rPr>
        <w:t>a</w:t>
      </w:r>
      <w:r w:rsidR="00677BDC">
        <w:rPr>
          <w:szCs w:val="24"/>
        </w:rPr>
        <w:t>rly May 2020 and that there are</w:t>
      </w:r>
      <w:r>
        <w:rPr>
          <w:szCs w:val="24"/>
        </w:rPr>
        <w:t xml:space="preserve"> court personnel </w:t>
      </w:r>
      <w:r w:rsidR="003F1EBD">
        <w:rPr>
          <w:szCs w:val="24"/>
        </w:rPr>
        <w:t>who could confirm the date when the matter was first referred to the court. The reason why a court stamp was affixed</w:t>
      </w:r>
      <w:r w:rsidR="0026022F">
        <w:rPr>
          <w:szCs w:val="24"/>
        </w:rPr>
        <w:t xml:space="preserve"> later</w:t>
      </w:r>
      <w:r w:rsidR="003F1EBD">
        <w:rPr>
          <w:szCs w:val="24"/>
        </w:rPr>
        <w:t xml:space="preserve"> to the documents was due to the declaration of the </w:t>
      </w:r>
      <w:r w:rsidR="0026022F">
        <w:rPr>
          <w:szCs w:val="24"/>
        </w:rPr>
        <w:t>‘</w:t>
      </w:r>
      <w:r w:rsidR="003F1EBD">
        <w:rPr>
          <w:szCs w:val="24"/>
        </w:rPr>
        <w:t>covid-regulations</w:t>
      </w:r>
      <w:r w:rsidR="0026022F">
        <w:rPr>
          <w:szCs w:val="24"/>
        </w:rPr>
        <w:t>’</w:t>
      </w:r>
      <w:r w:rsidR="0026022F">
        <w:rPr>
          <w:rStyle w:val="FootnoteReference"/>
          <w:szCs w:val="24"/>
        </w:rPr>
        <w:footnoteReference w:id="1"/>
      </w:r>
      <w:r w:rsidR="003F1EBD">
        <w:rPr>
          <w:szCs w:val="24"/>
        </w:rPr>
        <w:t xml:space="preserve">, which hampered usual and general court access. </w:t>
      </w:r>
      <w:r w:rsidR="003F1EBD">
        <w:rPr>
          <w:szCs w:val="24"/>
        </w:rPr>
        <w:lastRenderedPageBreak/>
        <w:t>In heads of argument filed before us, it is said</w:t>
      </w:r>
      <w:r w:rsidR="00404020">
        <w:rPr>
          <w:szCs w:val="24"/>
        </w:rPr>
        <w:t xml:space="preserve"> by the respondent</w:t>
      </w:r>
      <w:r w:rsidR="003F1EBD">
        <w:rPr>
          <w:szCs w:val="24"/>
        </w:rPr>
        <w:t xml:space="preserve"> that it is denied that the application was ‘handed in’ after 13 May 2020. </w:t>
      </w:r>
    </w:p>
    <w:p w:rsidR="00F91168" w:rsidRDefault="003F1EBD" w:rsidP="00E016AE">
      <w:pPr>
        <w:jc w:val="both"/>
        <w:rPr>
          <w:szCs w:val="24"/>
        </w:rPr>
      </w:pPr>
      <w:r>
        <w:rPr>
          <w:szCs w:val="24"/>
        </w:rPr>
        <w:t>[4]</w:t>
      </w:r>
      <w:r>
        <w:rPr>
          <w:szCs w:val="24"/>
        </w:rPr>
        <w:tab/>
        <w:t>The issue of the date of the referral to the maintenance court was left undetermined by the magistrate and one</w:t>
      </w:r>
      <w:r w:rsidR="00404020">
        <w:rPr>
          <w:szCs w:val="24"/>
        </w:rPr>
        <w:t xml:space="preserve"> assumes that this is due to a</w:t>
      </w:r>
      <w:r>
        <w:rPr>
          <w:szCs w:val="24"/>
        </w:rPr>
        <w:t xml:space="preserve"> lack of evidence. </w:t>
      </w:r>
      <w:r w:rsidR="00F91168">
        <w:rPr>
          <w:szCs w:val="24"/>
        </w:rPr>
        <w:t>The appellant relied on the court stamp</w:t>
      </w:r>
      <w:r w:rsidR="00404020">
        <w:rPr>
          <w:szCs w:val="24"/>
        </w:rPr>
        <w:t>,</w:t>
      </w:r>
      <w:r w:rsidR="006D5A63">
        <w:rPr>
          <w:szCs w:val="24"/>
        </w:rPr>
        <w:t xml:space="preserve"> which was </w:t>
      </w:r>
      <w:r w:rsidR="00F91168">
        <w:rPr>
          <w:szCs w:val="24"/>
        </w:rPr>
        <w:t>27 May 2020</w:t>
      </w:r>
      <w:r w:rsidR="00404020">
        <w:rPr>
          <w:szCs w:val="24"/>
        </w:rPr>
        <w:t>,</w:t>
      </w:r>
      <w:r w:rsidR="00F91168">
        <w:rPr>
          <w:szCs w:val="24"/>
        </w:rPr>
        <w:t xml:space="preserve"> for the contention that the application was brought out of time. But the date on which the court stamp was affixed to the document may not coincide with the referral date as stipulated in the deed of settlement. I am of the view that this issue requires further evidence. </w:t>
      </w:r>
      <w:r w:rsidR="006B2418">
        <w:rPr>
          <w:szCs w:val="24"/>
        </w:rPr>
        <w:t>Both parties agreed that the matter should be remitted.</w:t>
      </w:r>
    </w:p>
    <w:p w:rsidR="003F1EBD" w:rsidRDefault="00F91168" w:rsidP="00E016AE">
      <w:pPr>
        <w:jc w:val="both"/>
        <w:rPr>
          <w:szCs w:val="24"/>
        </w:rPr>
      </w:pPr>
      <w:r>
        <w:rPr>
          <w:szCs w:val="24"/>
        </w:rPr>
        <w:t>[5]</w:t>
      </w:r>
      <w:r>
        <w:rPr>
          <w:szCs w:val="24"/>
        </w:rPr>
        <w:tab/>
        <w:t>In the circumstances, and in terms of s 19 of the Superior Courts Act 10 of 2013, I make the following order:</w:t>
      </w:r>
    </w:p>
    <w:p w:rsidR="00F91168" w:rsidRDefault="00F91168" w:rsidP="00E016AE">
      <w:pPr>
        <w:jc w:val="both"/>
        <w:rPr>
          <w:szCs w:val="24"/>
        </w:rPr>
      </w:pPr>
      <w:r>
        <w:rPr>
          <w:szCs w:val="24"/>
        </w:rPr>
        <w:tab/>
        <w:t>1.</w:t>
      </w:r>
      <w:r>
        <w:rPr>
          <w:szCs w:val="24"/>
        </w:rPr>
        <w:tab/>
        <w:t>The matter is remitted to the magistrate for further hearing.</w:t>
      </w:r>
    </w:p>
    <w:p w:rsidR="00F91168" w:rsidRDefault="00F91168" w:rsidP="00F91168">
      <w:pPr>
        <w:ind w:left="1418" w:hanging="709"/>
        <w:jc w:val="both"/>
        <w:rPr>
          <w:szCs w:val="24"/>
        </w:rPr>
      </w:pPr>
      <w:r>
        <w:rPr>
          <w:szCs w:val="24"/>
        </w:rPr>
        <w:t>2.</w:t>
      </w:r>
      <w:r>
        <w:rPr>
          <w:szCs w:val="24"/>
        </w:rPr>
        <w:tab/>
        <w:t xml:space="preserve">The magistrate must receive evidence, whether viva voce or by way of affidavit, regarding the date when the aspect of spousal maintenance was referred to that court by the respondent. </w:t>
      </w:r>
    </w:p>
    <w:p w:rsidR="00F91168" w:rsidRDefault="00F91168" w:rsidP="00F91168">
      <w:pPr>
        <w:ind w:left="1418" w:hanging="709"/>
        <w:jc w:val="both"/>
        <w:rPr>
          <w:szCs w:val="24"/>
        </w:rPr>
      </w:pPr>
      <w:r>
        <w:rPr>
          <w:szCs w:val="24"/>
        </w:rPr>
        <w:t>3.</w:t>
      </w:r>
      <w:r>
        <w:rPr>
          <w:szCs w:val="24"/>
        </w:rPr>
        <w:tab/>
        <w:t xml:space="preserve">After receiving this evidence the magistrate must consider whether the aspect of spousal maintenance was referred to that court before 13 May 2020. If so, the aspect of the respondent’s entitlement to maintenance should be considered on its merits. </w:t>
      </w:r>
    </w:p>
    <w:p w:rsidR="008B3168" w:rsidRPr="00E016AE" w:rsidRDefault="008B3168" w:rsidP="00F91168">
      <w:pPr>
        <w:ind w:left="1418" w:hanging="709"/>
        <w:jc w:val="both"/>
        <w:rPr>
          <w:szCs w:val="24"/>
        </w:rPr>
      </w:pPr>
      <w:r>
        <w:rPr>
          <w:szCs w:val="24"/>
        </w:rPr>
        <w:t>4.</w:t>
      </w:r>
      <w:r>
        <w:rPr>
          <w:szCs w:val="24"/>
        </w:rPr>
        <w:tab/>
        <w:t>The costs of this appeal are costs in the cause.</w:t>
      </w:r>
    </w:p>
    <w:p w:rsidR="004F38DC" w:rsidRDefault="00897D2B" w:rsidP="00092527">
      <w:pPr>
        <w:jc w:val="both"/>
        <w:rPr>
          <w:szCs w:val="24"/>
        </w:rPr>
      </w:pPr>
      <w:r>
        <w:rPr>
          <w:szCs w:val="24"/>
        </w:rPr>
        <w:t xml:space="preserve"> </w:t>
      </w:r>
    </w:p>
    <w:p w:rsidR="001D79F3" w:rsidRDefault="001D79F3" w:rsidP="00092527">
      <w:pPr>
        <w:jc w:val="both"/>
        <w:rPr>
          <w:szCs w:val="24"/>
        </w:rPr>
      </w:pPr>
    </w:p>
    <w:p w:rsidR="001D79F3" w:rsidRDefault="001D79F3" w:rsidP="00092527">
      <w:pPr>
        <w:jc w:val="both"/>
        <w:rPr>
          <w:szCs w:val="24"/>
        </w:rPr>
      </w:pPr>
    </w:p>
    <w:p w:rsidR="00822AD3" w:rsidRPr="00877B4E" w:rsidRDefault="005E1DBE" w:rsidP="00822AD3">
      <w:pPr>
        <w:pStyle w:val="Unnumberedtext"/>
        <w:jc w:val="left"/>
        <w:rPr>
          <w:b/>
        </w:rPr>
      </w:pPr>
      <w:r>
        <w:rPr>
          <w:b/>
        </w:rPr>
        <w:t>_________________</w:t>
      </w:r>
    </w:p>
    <w:p w:rsidR="00822AD3" w:rsidRDefault="003E548F" w:rsidP="00822AD3">
      <w:pPr>
        <w:pStyle w:val="Unnumberedtext"/>
        <w:spacing w:after="0"/>
        <w:jc w:val="left"/>
        <w:rPr>
          <w:b/>
        </w:rPr>
      </w:pPr>
      <w:r>
        <w:rPr>
          <w:b/>
        </w:rPr>
        <w:t>W.L. Wepener</w:t>
      </w:r>
    </w:p>
    <w:p w:rsidR="003E548F" w:rsidRDefault="003E548F" w:rsidP="00822AD3">
      <w:pPr>
        <w:pStyle w:val="Unnumberedtext"/>
        <w:spacing w:after="0"/>
        <w:jc w:val="left"/>
      </w:pPr>
      <w:r>
        <w:t>Judge of the High Court of South Africa</w:t>
      </w:r>
    </w:p>
    <w:p w:rsidR="00B45C1C" w:rsidRDefault="00B45C1C" w:rsidP="00822AD3">
      <w:pPr>
        <w:pStyle w:val="Unnumberedtext"/>
        <w:spacing w:after="0"/>
        <w:jc w:val="left"/>
      </w:pPr>
    </w:p>
    <w:p w:rsidR="001D79F3" w:rsidRDefault="001D79F3" w:rsidP="00822AD3">
      <w:pPr>
        <w:pStyle w:val="Unnumberedtext"/>
        <w:spacing w:after="0"/>
        <w:jc w:val="left"/>
      </w:pPr>
    </w:p>
    <w:p w:rsidR="00B45C1C" w:rsidRDefault="00B45C1C" w:rsidP="00822AD3">
      <w:pPr>
        <w:pStyle w:val="Unnumberedtext"/>
        <w:spacing w:after="0"/>
        <w:jc w:val="left"/>
      </w:pPr>
      <w:r>
        <w:t>I agree.</w:t>
      </w:r>
    </w:p>
    <w:p w:rsidR="00B45C1C" w:rsidRDefault="00B45C1C" w:rsidP="00822AD3">
      <w:pPr>
        <w:pStyle w:val="Unnumberedtext"/>
        <w:spacing w:after="0"/>
        <w:jc w:val="left"/>
      </w:pPr>
    </w:p>
    <w:p w:rsidR="001D79F3" w:rsidRDefault="001D79F3" w:rsidP="00822AD3">
      <w:pPr>
        <w:pStyle w:val="Unnumberedtext"/>
        <w:spacing w:after="0"/>
        <w:jc w:val="left"/>
      </w:pPr>
    </w:p>
    <w:p w:rsidR="00B45C1C" w:rsidRPr="00B45C1C" w:rsidRDefault="00B45C1C" w:rsidP="00822AD3">
      <w:pPr>
        <w:pStyle w:val="Unnumberedtext"/>
        <w:spacing w:after="0"/>
        <w:jc w:val="left"/>
        <w:rPr>
          <w:b/>
        </w:rPr>
      </w:pPr>
      <w:r w:rsidRPr="00B45C1C">
        <w:rPr>
          <w:b/>
        </w:rPr>
        <w:t>_________________</w:t>
      </w:r>
      <w:r>
        <w:rPr>
          <w:b/>
        </w:rPr>
        <w:t>_</w:t>
      </w:r>
    </w:p>
    <w:p w:rsidR="00B45C1C" w:rsidRPr="00B45C1C" w:rsidRDefault="00B45C1C" w:rsidP="00822AD3">
      <w:pPr>
        <w:pStyle w:val="Unnumberedtext"/>
        <w:spacing w:after="0"/>
        <w:jc w:val="left"/>
        <w:rPr>
          <w:b/>
        </w:rPr>
      </w:pPr>
      <w:r w:rsidRPr="00B45C1C">
        <w:rPr>
          <w:b/>
        </w:rPr>
        <w:t>S. Van Niewenhuizen</w:t>
      </w:r>
    </w:p>
    <w:p w:rsidR="00B45C1C" w:rsidRDefault="00B45C1C" w:rsidP="00822AD3">
      <w:pPr>
        <w:pStyle w:val="Unnumberedtext"/>
        <w:spacing w:after="0"/>
        <w:jc w:val="left"/>
      </w:pPr>
      <w:r>
        <w:t>Acting Judge of the High Court of South Africa</w:t>
      </w:r>
    </w:p>
    <w:p w:rsidR="0032562B" w:rsidRDefault="0032562B" w:rsidP="00822AD3">
      <w:pPr>
        <w:pStyle w:val="Unnumberedtext"/>
        <w:spacing w:after="0"/>
        <w:jc w:val="left"/>
      </w:pPr>
    </w:p>
    <w:p w:rsidR="00CE0024" w:rsidRDefault="0032562B" w:rsidP="00822AD3">
      <w:pPr>
        <w:pStyle w:val="Unnumberedtext"/>
        <w:spacing w:after="0"/>
        <w:jc w:val="left"/>
      </w:pPr>
      <w:r>
        <w:t>Counsel for the Appellant</w:t>
      </w:r>
      <w:r w:rsidR="00CE0024">
        <w:t>:</w:t>
      </w:r>
      <w:r w:rsidR="0053358D">
        <w:t xml:space="preserve"> </w:t>
      </w:r>
      <w:r w:rsidR="00924370">
        <w:t>G.H.</w:t>
      </w:r>
      <w:r w:rsidR="00377CDD">
        <w:t xml:space="preserve"> </w:t>
      </w:r>
      <w:r w:rsidR="00924370">
        <w:t>Ferrar</w:t>
      </w:r>
    </w:p>
    <w:p w:rsidR="0032562B" w:rsidRDefault="0032562B" w:rsidP="00822AD3">
      <w:pPr>
        <w:pStyle w:val="Unnumberedtext"/>
        <w:spacing w:after="0"/>
        <w:jc w:val="left"/>
      </w:pPr>
      <w:r>
        <w:t xml:space="preserve">Attorneys for the Appellant: </w:t>
      </w:r>
      <w:r w:rsidR="00924370">
        <w:t>JB Hugo &amp; Cronje Inc.</w:t>
      </w:r>
    </w:p>
    <w:p w:rsidR="0053358D" w:rsidRDefault="0032562B" w:rsidP="00822AD3">
      <w:pPr>
        <w:pStyle w:val="Unnumberedtext"/>
        <w:spacing w:after="0"/>
        <w:jc w:val="left"/>
      </w:pPr>
      <w:r>
        <w:t xml:space="preserve">Counsel for the Respondent: </w:t>
      </w:r>
      <w:r w:rsidR="00481060">
        <w:t>S. Kroep</w:t>
      </w:r>
    </w:p>
    <w:p w:rsidR="0032562B" w:rsidRDefault="0032562B" w:rsidP="00822AD3">
      <w:pPr>
        <w:pStyle w:val="Unnumberedtext"/>
        <w:spacing w:after="0"/>
        <w:jc w:val="left"/>
      </w:pPr>
      <w:r>
        <w:t>Attorneys for the Respondent:</w:t>
      </w:r>
      <w:r w:rsidR="00924370">
        <w:t xml:space="preserve"> Wessels &amp; Vorster Inc. </w:t>
      </w:r>
    </w:p>
    <w:p w:rsidR="00CE0024" w:rsidRDefault="00CE0024" w:rsidP="00822AD3">
      <w:pPr>
        <w:pStyle w:val="Unnumberedtext"/>
        <w:spacing w:after="0"/>
        <w:jc w:val="left"/>
      </w:pPr>
    </w:p>
    <w:p w:rsidR="003B6038" w:rsidRDefault="003B6038" w:rsidP="00822AD3">
      <w:pPr>
        <w:pStyle w:val="Unnumberedtext"/>
        <w:spacing w:after="0"/>
        <w:jc w:val="left"/>
      </w:pPr>
    </w:p>
    <w:p w:rsidR="003B6038" w:rsidRDefault="003B6038" w:rsidP="00822AD3">
      <w:pPr>
        <w:pStyle w:val="Unnumberedtext"/>
        <w:spacing w:after="0"/>
        <w:jc w:val="left"/>
      </w:pPr>
    </w:p>
    <w:p w:rsidR="003B6038" w:rsidRDefault="003B6038" w:rsidP="00822AD3">
      <w:pPr>
        <w:pStyle w:val="Unnumberedtext"/>
        <w:spacing w:after="0"/>
        <w:jc w:val="left"/>
      </w:pPr>
    </w:p>
    <w:p w:rsidR="003B6038" w:rsidRPr="003B6038" w:rsidRDefault="003B6038" w:rsidP="00822AD3">
      <w:pPr>
        <w:pStyle w:val="Unnumberedtext"/>
        <w:spacing w:after="0"/>
        <w:jc w:val="left"/>
        <w:rPr>
          <w:b/>
        </w:rPr>
      </w:pPr>
    </w:p>
    <w:p w:rsidR="00822AD3" w:rsidRDefault="00822AD3" w:rsidP="00822AD3">
      <w:pPr>
        <w:jc w:val="both"/>
        <w:rPr>
          <w:szCs w:val="24"/>
        </w:rPr>
      </w:pPr>
    </w:p>
    <w:p w:rsidR="00AC601C" w:rsidRPr="00AC601C" w:rsidRDefault="00AC601C" w:rsidP="00AC601C">
      <w:pPr>
        <w:jc w:val="both"/>
        <w:rPr>
          <w:szCs w:val="24"/>
        </w:rPr>
      </w:pPr>
      <w:r>
        <w:rPr>
          <w:szCs w:val="24"/>
        </w:rPr>
        <w:t xml:space="preserve">                          </w:t>
      </w:r>
    </w:p>
    <w:sectPr w:rsidR="00AC601C" w:rsidRPr="00AC6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98" w:rsidRDefault="00651998" w:rsidP="007C6F91">
      <w:pPr>
        <w:spacing w:before="0" w:after="0" w:line="240" w:lineRule="auto"/>
      </w:pPr>
      <w:r>
        <w:separator/>
      </w:r>
    </w:p>
  </w:endnote>
  <w:endnote w:type="continuationSeparator" w:id="0">
    <w:p w:rsidR="00651998" w:rsidRDefault="00651998" w:rsidP="007C6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98" w:rsidRDefault="00651998" w:rsidP="007C6F91">
      <w:pPr>
        <w:spacing w:before="0" w:after="0" w:line="240" w:lineRule="auto"/>
      </w:pPr>
      <w:r>
        <w:separator/>
      </w:r>
    </w:p>
  </w:footnote>
  <w:footnote w:type="continuationSeparator" w:id="0">
    <w:p w:rsidR="00651998" w:rsidRDefault="00651998" w:rsidP="007C6F91">
      <w:pPr>
        <w:spacing w:before="0" w:after="0" w:line="240" w:lineRule="auto"/>
      </w:pPr>
      <w:r>
        <w:continuationSeparator/>
      </w:r>
    </w:p>
  </w:footnote>
  <w:footnote w:id="1">
    <w:p w:rsidR="0026022F" w:rsidRDefault="0026022F">
      <w:pPr>
        <w:pStyle w:val="FootnoteText"/>
      </w:pPr>
      <w:r>
        <w:rPr>
          <w:rStyle w:val="FootnoteReference"/>
        </w:rPr>
        <w:footnoteRef/>
      </w:r>
      <w:r>
        <w:t xml:space="preserve"> Regulations promulgated under the Disaster Management Act 57 of 2002, which commenced on 27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0169"/>
    <w:rsid w:val="000131F4"/>
    <w:rsid w:val="00090B59"/>
    <w:rsid w:val="00092527"/>
    <w:rsid w:val="00095A7A"/>
    <w:rsid w:val="00095B0B"/>
    <w:rsid w:val="000B21D4"/>
    <w:rsid w:val="000B21E2"/>
    <w:rsid w:val="00140254"/>
    <w:rsid w:val="00145CA6"/>
    <w:rsid w:val="001A6A02"/>
    <w:rsid w:val="001D79F3"/>
    <w:rsid w:val="00213B75"/>
    <w:rsid w:val="00242272"/>
    <w:rsid w:val="0026022F"/>
    <w:rsid w:val="002A3BCB"/>
    <w:rsid w:val="002D6DDF"/>
    <w:rsid w:val="0032562B"/>
    <w:rsid w:val="00360DA5"/>
    <w:rsid w:val="00377CDD"/>
    <w:rsid w:val="003B4116"/>
    <w:rsid w:val="003B6038"/>
    <w:rsid w:val="003D69C2"/>
    <w:rsid w:val="003E525E"/>
    <w:rsid w:val="003E548F"/>
    <w:rsid w:val="003F1EBD"/>
    <w:rsid w:val="003F236F"/>
    <w:rsid w:val="00404020"/>
    <w:rsid w:val="004147AE"/>
    <w:rsid w:val="00481060"/>
    <w:rsid w:val="004B24F8"/>
    <w:rsid w:val="004C6362"/>
    <w:rsid w:val="004D7417"/>
    <w:rsid w:val="004F38DC"/>
    <w:rsid w:val="004F6B47"/>
    <w:rsid w:val="00525D5E"/>
    <w:rsid w:val="0053358D"/>
    <w:rsid w:val="00572A72"/>
    <w:rsid w:val="00581F30"/>
    <w:rsid w:val="005B27A4"/>
    <w:rsid w:val="005D3F3B"/>
    <w:rsid w:val="005E1DBE"/>
    <w:rsid w:val="005E6D14"/>
    <w:rsid w:val="005F53A4"/>
    <w:rsid w:val="0062568B"/>
    <w:rsid w:val="00634831"/>
    <w:rsid w:val="00651998"/>
    <w:rsid w:val="00677BDC"/>
    <w:rsid w:val="006B2418"/>
    <w:rsid w:val="006D5A63"/>
    <w:rsid w:val="00705B2C"/>
    <w:rsid w:val="00726CC3"/>
    <w:rsid w:val="00745EBF"/>
    <w:rsid w:val="007A10C1"/>
    <w:rsid w:val="007C3481"/>
    <w:rsid w:val="007C6F91"/>
    <w:rsid w:val="007E6D2C"/>
    <w:rsid w:val="007F2554"/>
    <w:rsid w:val="00807ECF"/>
    <w:rsid w:val="00822AD3"/>
    <w:rsid w:val="008573AD"/>
    <w:rsid w:val="00872E51"/>
    <w:rsid w:val="00890514"/>
    <w:rsid w:val="00897D2B"/>
    <w:rsid w:val="008B3168"/>
    <w:rsid w:val="00924370"/>
    <w:rsid w:val="009D12E5"/>
    <w:rsid w:val="009F2A4B"/>
    <w:rsid w:val="00A24858"/>
    <w:rsid w:val="00A83924"/>
    <w:rsid w:val="00AA7DA7"/>
    <w:rsid w:val="00AC601C"/>
    <w:rsid w:val="00B128DA"/>
    <w:rsid w:val="00B232A9"/>
    <w:rsid w:val="00B36AE5"/>
    <w:rsid w:val="00B449F8"/>
    <w:rsid w:val="00B45C1C"/>
    <w:rsid w:val="00B53DBF"/>
    <w:rsid w:val="00B778DA"/>
    <w:rsid w:val="00B80236"/>
    <w:rsid w:val="00B85929"/>
    <w:rsid w:val="00BA71F9"/>
    <w:rsid w:val="00BC7714"/>
    <w:rsid w:val="00BF62BB"/>
    <w:rsid w:val="00C5343A"/>
    <w:rsid w:val="00C7444A"/>
    <w:rsid w:val="00C96675"/>
    <w:rsid w:val="00CE0024"/>
    <w:rsid w:val="00D02E4E"/>
    <w:rsid w:val="00D34F99"/>
    <w:rsid w:val="00D52BC9"/>
    <w:rsid w:val="00D80778"/>
    <w:rsid w:val="00E016AE"/>
    <w:rsid w:val="00E31244"/>
    <w:rsid w:val="00E45A11"/>
    <w:rsid w:val="00E53D4B"/>
    <w:rsid w:val="00E97211"/>
    <w:rsid w:val="00EA1C18"/>
    <w:rsid w:val="00F23FF0"/>
    <w:rsid w:val="00F27B72"/>
    <w:rsid w:val="00F7726E"/>
    <w:rsid w:val="00F91168"/>
    <w:rsid w:val="00FD61D9"/>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7C6F91"/>
    <w:pPr>
      <w:spacing w:before="0" w:after="0" w:line="240" w:lineRule="auto"/>
    </w:pPr>
    <w:rPr>
      <w:sz w:val="20"/>
    </w:rPr>
  </w:style>
  <w:style w:type="character" w:customStyle="1" w:styleId="FootnoteTextChar">
    <w:name w:val="Footnote Text Char"/>
    <w:basedOn w:val="DefaultParagraphFont"/>
    <w:link w:val="FootnoteText"/>
    <w:uiPriority w:val="99"/>
    <w:semiHidden/>
    <w:rsid w:val="007C6F91"/>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7C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F2DF-79DB-4129-BE03-0BB97715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Lazarus Rakgwale</cp:lastModifiedBy>
  <cp:revision>2</cp:revision>
  <cp:lastPrinted>2022-11-10T08:16:00Z</cp:lastPrinted>
  <dcterms:created xsi:type="dcterms:W3CDTF">2022-11-21T06:57:00Z</dcterms:created>
  <dcterms:modified xsi:type="dcterms:W3CDTF">2022-11-21T06:57:00Z</dcterms:modified>
</cp:coreProperties>
</file>