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16E3" w14:textId="05721B35" w:rsidR="00B16DB4" w:rsidRDefault="00F86C8F" w:rsidP="00C82197">
      <w:pPr>
        <w:pStyle w:val="Title"/>
        <w:rPr>
          <w:sz w:val="24"/>
          <w:szCs w:val="24"/>
        </w:rPr>
      </w:pPr>
      <w:r>
        <w:rPr>
          <w:sz w:val="24"/>
          <w:szCs w:val="24"/>
        </w:rPr>
        <w:t xml:space="preserve"> </w:t>
      </w:r>
      <w:r w:rsidR="00B16DB4">
        <w:rPr>
          <w:noProof/>
          <w:sz w:val="24"/>
          <w:szCs w:val="24"/>
          <w:lang w:eastAsia="en-ZA"/>
        </w:rPr>
        <w:drawing>
          <wp:inline distT="0" distB="0" distL="0" distR="0" wp14:anchorId="7D8A5A3D" wp14:editId="3FB4DEC1">
            <wp:extent cx="1645920" cy="1572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572895"/>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77777777" w:rsidR="00C82197" w:rsidRDefault="00C82197" w:rsidP="00C82197">
      <w:pPr>
        <w:pStyle w:val="Title"/>
        <w:rPr>
          <w:sz w:val="24"/>
          <w:szCs w:val="24"/>
        </w:rPr>
      </w:pPr>
      <w:r>
        <w:rPr>
          <w:sz w:val="24"/>
          <w:szCs w:val="24"/>
        </w:rPr>
        <w:t>IN THE HIGH COURT OF SOUTH AFRICA</w:t>
      </w:r>
    </w:p>
    <w:p w14:paraId="1651ED9D" w14:textId="3B152053"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2EC878CE" w:rsidR="006D4C73" w:rsidRDefault="004415B7" w:rsidP="00054B4E">
      <w:pPr>
        <w:jc w:val="right"/>
        <w:rPr>
          <w:rFonts w:ascii="Arial" w:hAnsi="Arial"/>
          <w:b/>
        </w:rPr>
      </w:pPr>
      <w:r>
        <w:rPr>
          <w:rFonts w:ascii="Arial" w:hAnsi="Arial"/>
          <w:b/>
          <w:noProof/>
          <w:lang w:val="en-ZA" w:eastAsia="en-ZA"/>
        </w:rPr>
        <mc:AlternateContent>
          <mc:Choice Requires="wps">
            <w:drawing>
              <wp:anchor distT="0" distB="0" distL="114300" distR="114300" simplePos="0" relativeHeight="251658240" behindDoc="0" locked="0" layoutInCell="1" allowOverlap="1" wp14:anchorId="18D2710D" wp14:editId="1A2DA6A3">
                <wp:simplePos x="0" y="0"/>
                <wp:positionH relativeFrom="column">
                  <wp:posOffset>-105410</wp:posOffset>
                </wp:positionH>
                <wp:positionV relativeFrom="paragraph">
                  <wp:posOffset>179070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56D477FD" w14:textId="2D2E65CA"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790AC4D7"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0C5D797F"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48E4860"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7BD479A"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064DDF">
                              <w:rPr>
                                <w:rFonts w:ascii="Century Gothic" w:hAnsi="Century Gothic"/>
                                <w:sz w:val="18"/>
                                <w:szCs w:val="18"/>
                              </w:rPr>
                              <w:t>17</w:t>
                            </w:r>
                            <w:r w:rsidR="0094521E">
                              <w:rPr>
                                <w:rFonts w:ascii="Century Gothic" w:hAnsi="Century Gothic"/>
                                <w:sz w:val="18"/>
                                <w:szCs w:val="18"/>
                              </w:rPr>
                              <w:t xml:space="preserve"> </w:t>
                            </w:r>
                            <w:r w:rsidR="00064DDF">
                              <w:rPr>
                                <w:rFonts w:ascii="Century Gothic" w:hAnsi="Century Gothic"/>
                                <w:sz w:val="18"/>
                                <w:szCs w:val="18"/>
                              </w:rPr>
                              <w:t>November</w:t>
                            </w:r>
                            <w:r w:rsidR="0094521E">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8.3pt;margin-top:14.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">
                <v:textbox>
                  <w:txbxContent>
                    <w:p w14:paraId="56D477FD" w14:textId="2D2E65CA"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Pr>
                          <w:rFonts w:ascii="Century Gothic" w:hAnsi="Century Gothic"/>
                          <w:sz w:val="20"/>
                          <w:szCs w:val="20"/>
                        </w:rPr>
                        <w:t xml:space="preserve">REPORTABLE:  </w:t>
                      </w:r>
                      <w:r w:rsidR="0087282C">
                        <w:rPr>
                          <w:rFonts w:ascii="Century Gothic" w:hAnsi="Century Gothic"/>
                          <w:sz w:val="20"/>
                          <w:szCs w:val="20"/>
                        </w:rPr>
                        <w:t>NO</w:t>
                      </w:r>
                    </w:p>
                    <w:p w14:paraId="300C0173" w14:textId="790AC4D7"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6D4C73">
                        <w:rPr>
                          <w:rFonts w:ascii="Century Gothic" w:hAnsi="Century Gothic"/>
                          <w:sz w:val="20"/>
                          <w:szCs w:val="20"/>
                        </w:rPr>
                        <w:t xml:space="preserve">OF INTEREST TO OTHER JUDGES: </w:t>
                      </w:r>
                      <w:r w:rsidR="0087282C">
                        <w:rPr>
                          <w:rFonts w:ascii="Century Gothic" w:hAnsi="Century Gothic"/>
                          <w:sz w:val="20"/>
                          <w:szCs w:val="20"/>
                        </w:rPr>
                        <w:t>NO</w:t>
                      </w:r>
                    </w:p>
                    <w:p w14:paraId="57A058C4" w14:textId="0C5D797F" w:rsidR="006D4C73" w:rsidRDefault="006B2D0E" w:rsidP="006B2D0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048E4860" w:rsidR="007517F4" w:rsidRDefault="006D4C73" w:rsidP="006D4C73">
                      <w:pPr>
                        <w:rPr>
                          <w:rFonts w:ascii="Century Gothic" w:hAnsi="Century Gothic"/>
                          <w:b/>
                          <w:noProof/>
                          <w:sz w:val="18"/>
                          <w:szCs w:val="18"/>
                        </w:rPr>
                      </w:pPr>
                      <w:r>
                        <w:rPr>
                          <w:rFonts w:ascii="Century Gothic" w:hAnsi="Century Gothic"/>
                          <w:b/>
                          <w:sz w:val="18"/>
                          <w:szCs w:val="18"/>
                        </w:rPr>
                        <w:t xml:space="preserve"> </w:t>
                      </w: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37BD479A"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064DDF">
                        <w:rPr>
                          <w:rFonts w:ascii="Century Gothic" w:hAnsi="Century Gothic"/>
                          <w:sz w:val="18"/>
                          <w:szCs w:val="18"/>
                        </w:rPr>
                        <w:t>17</w:t>
                      </w:r>
                      <w:r w:rsidR="0094521E">
                        <w:rPr>
                          <w:rFonts w:ascii="Century Gothic" w:hAnsi="Century Gothic"/>
                          <w:sz w:val="18"/>
                          <w:szCs w:val="18"/>
                        </w:rPr>
                        <w:t xml:space="preserve"> </w:t>
                      </w:r>
                      <w:r w:rsidR="00064DDF">
                        <w:rPr>
                          <w:rFonts w:ascii="Century Gothic" w:hAnsi="Century Gothic"/>
                          <w:sz w:val="18"/>
                          <w:szCs w:val="18"/>
                        </w:rPr>
                        <w:t>November</w:t>
                      </w:r>
                      <w:r w:rsidR="0094521E">
                        <w:rPr>
                          <w:rFonts w:ascii="Century Gothic" w:hAnsi="Century Gothic"/>
                          <w:sz w:val="18"/>
                          <w:szCs w:val="18"/>
                        </w:rPr>
                        <w:t xml:space="preserve"> 2022</w:t>
                      </w:r>
                      <w:r w:rsidR="0046498E">
                        <w:rPr>
                          <w:rFonts w:ascii="Century Gothic" w:hAnsi="Century Gothic"/>
                          <w:b/>
                          <w:sz w:val="18"/>
                          <w:szCs w:val="18"/>
                        </w:rPr>
                        <w:tab/>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5BD2F459" w14:textId="3EF23B54" w:rsidR="00A746DF" w:rsidRPr="00A746DF" w:rsidRDefault="00C82197" w:rsidP="00A746DF">
      <w:pPr>
        <w:pStyle w:val="Heading4"/>
        <w:tabs>
          <w:tab w:val="right" w:pos="8646"/>
        </w:tabs>
        <w:jc w:val="left"/>
        <w:rPr>
          <w:b w:val="0"/>
          <w:sz w:val="24"/>
          <w:szCs w:val="24"/>
        </w:rPr>
      </w:pPr>
      <w:r>
        <w:rPr>
          <w:b w:val="0"/>
        </w:rPr>
        <w:t xml:space="preserve">                                                 </w:t>
      </w:r>
      <w:r>
        <w:rPr>
          <w:b w:val="0"/>
          <w:sz w:val="24"/>
          <w:szCs w:val="24"/>
        </w:rPr>
        <w:t xml:space="preserve">    </w:t>
      </w:r>
    </w:p>
    <w:p w14:paraId="46F4E15C" w14:textId="77777777" w:rsidR="00A746DF" w:rsidRDefault="00A746DF" w:rsidP="00A746DF">
      <w:pPr>
        <w:rPr>
          <w:lang w:val="en-ZA" w:eastAsia="ja-JP"/>
        </w:rPr>
      </w:pPr>
    </w:p>
    <w:p w14:paraId="2934C4C1" w14:textId="554A99BD" w:rsidR="00D261C3" w:rsidRPr="00D261C3" w:rsidRDefault="00D261C3" w:rsidP="00D261C3">
      <w:pPr>
        <w:keepNext/>
        <w:spacing w:line="360" w:lineRule="auto"/>
        <w:jc w:val="right"/>
        <w:outlineLvl w:val="0"/>
        <w:rPr>
          <w:rFonts w:ascii="Arial" w:hAnsi="Arial" w:cs="Arial"/>
          <w:b/>
          <w:bCs/>
          <w:lang w:val="en-US"/>
        </w:rPr>
      </w:pPr>
      <w:r w:rsidRPr="00D261C3">
        <w:rPr>
          <w:rFonts w:ascii="Arial" w:hAnsi="Arial" w:cs="Arial"/>
          <w:b/>
          <w:bCs/>
          <w:lang w:val="en-US"/>
        </w:rPr>
        <w:t xml:space="preserve">CASE NUMBER: </w:t>
      </w:r>
      <w:r w:rsidR="00064DDF">
        <w:rPr>
          <w:rFonts w:ascii="Arial" w:hAnsi="Arial" w:cs="Arial"/>
          <w:lang w:val="en-US"/>
        </w:rPr>
        <w:t>41845</w:t>
      </w:r>
      <w:r w:rsidR="000E6377">
        <w:rPr>
          <w:rFonts w:ascii="Arial" w:hAnsi="Arial" w:cs="Arial"/>
          <w:lang w:val="en-US"/>
        </w:rPr>
        <w:t>/20</w:t>
      </w:r>
      <w:r w:rsidR="00064DDF">
        <w:rPr>
          <w:rFonts w:ascii="Arial" w:hAnsi="Arial" w:cs="Arial"/>
          <w:lang w:val="en-US"/>
        </w:rPr>
        <w:t>21</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116F4D75" w14:textId="0580DFDB" w:rsidR="00D261C3" w:rsidRPr="00D261C3" w:rsidRDefault="00064DDF" w:rsidP="00D261C3">
      <w:pPr>
        <w:tabs>
          <w:tab w:val="right" w:pos="8646"/>
        </w:tabs>
        <w:rPr>
          <w:rFonts w:ascii="Arial" w:hAnsi="Arial"/>
        </w:rPr>
      </w:pPr>
      <w:r>
        <w:rPr>
          <w:rFonts w:ascii="Arial" w:hAnsi="Arial"/>
          <w:b/>
        </w:rPr>
        <w:t>MULBER</w:t>
      </w:r>
      <w:r w:rsidR="00DF7EC8">
        <w:rPr>
          <w:rFonts w:ascii="Arial" w:hAnsi="Arial"/>
          <w:b/>
        </w:rPr>
        <w:t>R</w:t>
      </w:r>
      <w:r>
        <w:rPr>
          <w:rFonts w:ascii="Arial" w:hAnsi="Arial"/>
          <w:b/>
        </w:rPr>
        <w:t>Y PROPERTIES (PTY) LTD</w:t>
      </w:r>
      <w:r w:rsidR="00D261C3" w:rsidRPr="00D261C3">
        <w:rPr>
          <w:rFonts w:ascii="Arial" w:hAnsi="Arial"/>
          <w:b/>
        </w:rPr>
        <w:tab/>
      </w:r>
      <w:r>
        <w:rPr>
          <w:rFonts w:ascii="Arial" w:hAnsi="Arial"/>
          <w:bCs/>
        </w:rPr>
        <w:t>Applicant</w:t>
      </w:r>
    </w:p>
    <w:p w14:paraId="75FB4E4D" w14:textId="77777777" w:rsidR="00D261C3" w:rsidRPr="00D261C3" w:rsidRDefault="00D261C3"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2F1C410A" w14:textId="72A3DDDF" w:rsidR="00D261C3" w:rsidRPr="00D261C3" w:rsidRDefault="00064DDF" w:rsidP="00D261C3">
      <w:pPr>
        <w:tabs>
          <w:tab w:val="right" w:pos="8646"/>
        </w:tabs>
        <w:rPr>
          <w:rFonts w:ascii="Arial" w:hAnsi="Arial"/>
          <w:bCs/>
        </w:rPr>
      </w:pPr>
      <w:r>
        <w:rPr>
          <w:rFonts w:ascii="Arial" w:hAnsi="Arial"/>
          <w:b/>
        </w:rPr>
        <w:t>CITY OF JOHANNESBURG METROPOLITAN MUNICIPALITY</w:t>
      </w:r>
      <w:r w:rsidR="00D261C3" w:rsidRPr="00D261C3">
        <w:rPr>
          <w:rFonts w:ascii="Arial" w:hAnsi="Arial"/>
          <w:b/>
        </w:rPr>
        <w:tab/>
      </w:r>
      <w:r>
        <w:rPr>
          <w:rFonts w:ascii="Arial" w:hAnsi="Arial"/>
          <w:bCs/>
        </w:rPr>
        <w:t>Respondent</w:t>
      </w:r>
    </w:p>
    <w:p w14:paraId="57BB962C" w14:textId="77777777" w:rsidR="00D261C3" w:rsidRPr="00D261C3" w:rsidRDefault="00D261C3"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4BA4B1DE" w:rsidR="00A746DF" w:rsidRDefault="000E6377"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2949F8DA" w14:textId="618D1117" w:rsidR="00B16DB4" w:rsidRPr="00B16DB4" w:rsidRDefault="00B16DB4" w:rsidP="00A746DF">
      <w:pPr>
        <w:spacing w:line="360" w:lineRule="auto"/>
        <w:contextualSpacing/>
        <w:jc w:val="both"/>
        <w:rPr>
          <w:rFonts w:ascii="Arial" w:eastAsia="Calibri" w:hAnsi="Arial" w:cs="Arial"/>
          <w:b/>
          <w:bCs/>
        </w:rPr>
      </w:pPr>
      <w:r w:rsidRPr="00925A62">
        <w:rPr>
          <w:rFonts w:ascii="Arial" w:eastAsia="Calibri" w:hAnsi="Arial" w:cs="Arial"/>
          <w:b/>
          <w:bCs/>
          <w:u w:val="single"/>
        </w:rPr>
        <w:t>WILSON AJ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5DDA0021" w14:textId="6EB0B6B0" w:rsidR="002C2B94" w:rsidRDefault="006B2D0E" w:rsidP="006B2D0E">
      <w:pPr>
        <w:pStyle w:val="Paragraph12pt"/>
        <w:tabs>
          <w:tab w:val="left" w:pos="851"/>
        </w:tabs>
        <w:ind w:left="851" w:hanging="851"/>
      </w:pPr>
      <w:r>
        <w:rPr>
          <w:rFonts w:cs="Arial"/>
          <w:color w:val="000000"/>
          <w:szCs w:val="24"/>
        </w:rPr>
        <w:t>1</w:t>
      </w:r>
      <w:r>
        <w:rPr>
          <w:rFonts w:cs="Arial"/>
          <w:color w:val="000000"/>
          <w:szCs w:val="24"/>
        </w:rPr>
        <w:tab/>
      </w:r>
      <w:r w:rsidR="00064DDF">
        <w:t>The applicant, Mulberry, owns</w:t>
      </w:r>
      <w:r w:rsidR="00DF7EC8">
        <w:t xml:space="preserve"> two properties in </w:t>
      </w:r>
      <w:proofErr w:type="spellStart"/>
      <w:r w:rsidR="00DF7EC8">
        <w:t>Boskruin</w:t>
      </w:r>
      <w:proofErr w:type="spellEnd"/>
      <w:r w:rsidR="00DF7EC8">
        <w:t xml:space="preserve">. </w:t>
      </w:r>
      <w:r w:rsidR="002C2B94">
        <w:t xml:space="preserve">The properties are adjacent and </w:t>
      </w:r>
      <w:proofErr w:type="spellStart"/>
      <w:r w:rsidR="002C2B94">
        <w:t>notorially</w:t>
      </w:r>
      <w:proofErr w:type="spellEnd"/>
      <w:r w:rsidR="002C2B94">
        <w:t xml:space="preserve"> tied to each other, such that they cannot be sold separately without the consent of the respondent, the City of Johannesburg. </w:t>
      </w:r>
      <w:r w:rsidR="00DF7EC8">
        <w:t xml:space="preserve">There is a shopping complex erected across both properties. </w:t>
      </w:r>
    </w:p>
    <w:p w14:paraId="710629E6" w14:textId="3FC7CA82" w:rsidR="00DF7EC8" w:rsidRDefault="006B2D0E" w:rsidP="006B2D0E">
      <w:pPr>
        <w:pStyle w:val="Paragraph12pt"/>
        <w:tabs>
          <w:tab w:val="left" w:pos="851"/>
        </w:tabs>
        <w:ind w:left="851" w:hanging="851"/>
      </w:pPr>
      <w:r>
        <w:rPr>
          <w:rFonts w:cs="Arial"/>
          <w:color w:val="000000"/>
          <w:szCs w:val="24"/>
        </w:rPr>
        <w:lastRenderedPageBreak/>
        <w:t>2</w:t>
      </w:r>
      <w:r>
        <w:rPr>
          <w:rFonts w:cs="Arial"/>
          <w:color w:val="000000"/>
          <w:szCs w:val="24"/>
        </w:rPr>
        <w:tab/>
      </w:r>
      <w:r w:rsidR="00DF7EC8">
        <w:t xml:space="preserve">The </w:t>
      </w:r>
      <w:r w:rsidR="002C2B94">
        <w:t>City</w:t>
      </w:r>
      <w:r w:rsidR="00DF7EC8">
        <w:t xml:space="preserve"> caused the Municipal Valuer to value the properties for rating purposes. In doing so, the Municipal Valuer adopted what is described in the papers as a “parent and child” methodology. That methodology involved designating one of the properties as the “parent” and the other as the “child”. The “parent” property was valued at R64 million. The “child” property was valued at R0. Although not expressly dealt with in these terms on the papers, the basis of the methodology appears to be that it is easier or perhaps better practice to treat the two linked properties as one property for the purposes of valuation, and this is achieved by assigning each of the properties a “parent” or “child” role.</w:t>
      </w:r>
    </w:p>
    <w:p w14:paraId="16530854" w14:textId="4851CBB9" w:rsidR="00A033DA" w:rsidRPr="00A033DA" w:rsidRDefault="00A033DA" w:rsidP="00A033DA">
      <w:pPr>
        <w:pStyle w:val="Paragraph12pt"/>
        <w:rPr>
          <w:b/>
          <w:bCs/>
        </w:rPr>
      </w:pPr>
      <w:r w:rsidRPr="00A033DA">
        <w:rPr>
          <w:b/>
          <w:bCs/>
        </w:rPr>
        <w:t>The dispute</w:t>
      </w:r>
    </w:p>
    <w:p w14:paraId="6C283D95" w14:textId="4900D3BD" w:rsidR="002D403A" w:rsidRDefault="006B2D0E" w:rsidP="006B2D0E">
      <w:pPr>
        <w:pStyle w:val="Paragraph12pt"/>
        <w:tabs>
          <w:tab w:val="left" w:pos="851"/>
        </w:tabs>
        <w:ind w:left="851" w:hanging="851"/>
      </w:pPr>
      <w:r>
        <w:rPr>
          <w:rFonts w:cs="Arial"/>
          <w:color w:val="000000"/>
          <w:szCs w:val="24"/>
        </w:rPr>
        <w:t>3</w:t>
      </w:r>
      <w:r>
        <w:rPr>
          <w:rFonts w:cs="Arial"/>
          <w:color w:val="000000"/>
          <w:szCs w:val="24"/>
        </w:rPr>
        <w:tab/>
      </w:r>
      <w:r w:rsidR="00DF7EC8">
        <w:t>Mulberry objects both to the valuation and the method by which it was reached.</w:t>
      </w:r>
      <w:r w:rsidR="002D403A">
        <w:t xml:space="preserve"> It argues that the Municipal Valuer’s work is governed by the City’s Rates Policy, adopted in terms of section 3 of the </w:t>
      </w:r>
      <w:r w:rsidR="002D403A" w:rsidRPr="002D403A">
        <w:rPr>
          <w:lang w:val="en-GB"/>
        </w:rPr>
        <w:t>Local Government: Municipal Property Rates Act 6 of 2004</w:t>
      </w:r>
      <w:r w:rsidR="002D403A">
        <w:rPr>
          <w:lang w:val="en-GB"/>
        </w:rPr>
        <w:t xml:space="preserve"> (“the Rates Act”). The Rates Policy that applied at the time of the valuation to which Mulberry objects made no mention of the parent and child methodology. For that reason, Mulberry argues, the Municipal Valuer was not entitled to rely on it in assigning values to Mulberry’s two properties. </w:t>
      </w:r>
    </w:p>
    <w:p w14:paraId="147128DC" w14:textId="4B925CD9" w:rsidR="002D403A" w:rsidRDefault="006B2D0E" w:rsidP="006B2D0E">
      <w:pPr>
        <w:pStyle w:val="Paragraph12pt"/>
        <w:tabs>
          <w:tab w:val="left" w:pos="851"/>
        </w:tabs>
        <w:ind w:left="851" w:hanging="851"/>
      </w:pPr>
      <w:r>
        <w:rPr>
          <w:rFonts w:cs="Arial"/>
          <w:color w:val="000000"/>
          <w:szCs w:val="24"/>
        </w:rPr>
        <w:t>4</w:t>
      </w:r>
      <w:r>
        <w:rPr>
          <w:rFonts w:cs="Arial"/>
          <w:color w:val="000000"/>
          <w:szCs w:val="24"/>
        </w:rPr>
        <w:tab/>
      </w:r>
      <w:r w:rsidR="002D403A">
        <w:t>Mulberry</w:t>
      </w:r>
      <w:r w:rsidR="00DF7EC8">
        <w:t xml:space="preserve"> now seeks relief from me setting aside the valuation and directing the City to cause the </w:t>
      </w:r>
      <w:r w:rsidR="00945D67">
        <w:t xml:space="preserve">Municipal </w:t>
      </w:r>
      <w:r w:rsidR="00DF7EC8">
        <w:t>Valuer to revalue the properties without regard to the “parent</w:t>
      </w:r>
      <w:r w:rsidR="00B23F4E">
        <w:t xml:space="preserve"> </w:t>
      </w:r>
      <w:r w:rsidR="00DF7EC8">
        <w:t xml:space="preserve">and child” methodology. The </w:t>
      </w:r>
      <w:proofErr w:type="gramStart"/>
      <w:r w:rsidR="00DF7EC8">
        <w:t>City</w:t>
      </w:r>
      <w:proofErr w:type="gramEnd"/>
      <w:r w:rsidR="00DF7EC8">
        <w:t xml:space="preserve"> opposes the application, principally on the basis that this relief is incompetent without the Municipal Valuer themselves being joined to the proceedings. The City argue</w:t>
      </w:r>
      <w:r w:rsidR="002D403A">
        <w:t>s</w:t>
      </w:r>
      <w:r w:rsidR="00DF7EC8">
        <w:t xml:space="preserve"> that the </w:t>
      </w:r>
      <w:r w:rsidR="00DF7EC8">
        <w:lastRenderedPageBreak/>
        <w:t xml:space="preserve">Municipal Valuer has </w:t>
      </w:r>
      <w:r w:rsidR="002D403A">
        <w:t xml:space="preserve">a separate and independent legal personality in terms of the Rates </w:t>
      </w:r>
      <w:proofErr w:type="gramStart"/>
      <w:r w:rsidR="002D403A">
        <w:t>Act, and</w:t>
      </w:r>
      <w:proofErr w:type="gramEnd"/>
      <w:r w:rsidR="002D403A">
        <w:t xml:space="preserve"> falls to be joined in their own right. The </w:t>
      </w:r>
      <w:proofErr w:type="gramStart"/>
      <w:r w:rsidR="002D403A">
        <w:t>City</w:t>
      </w:r>
      <w:proofErr w:type="gramEnd"/>
      <w:r w:rsidR="002D403A">
        <w:t xml:space="preserve"> also argues that it cannot cause the Municipal Valuer to do anything, precisely because of the statutory independence that the Municipal Valuer enjoys. In any event, the City argues, the Municipal Valuer was well within their rights to value Mulberry’s properties using the parent and child methodology, as that methodology is part of the generally accepted professional practice that the Municipal Valuer is expected, and required, to deploy in performing their statutory functions.</w:t>
      </w:r>
    </w:p>
    <w:p w14:paraId="627C6527" w14:textId="144F91A0" w:rsidR="00926854" w:rsidRDefault="006B2D0E" w:rsidP="006B2D0E">
      <w:pPr>
        <w:pStyle w:val="Paragraph12pt"/>
        <w:tabs>
          <w:tab w:val="left" w:pos="851"/>
        </w:tabs>
        <w:ind w:left="851" w:hanging="851"/>
      </w:pPr>
      <w:r>
        <w:rPr>
          <w:rFonts w:cs="Arial"/>
          <w:color w:val="000000"/>
          <w:szCs w:val="24"/>
        </w:rPr>
        <w:t>5</w:t>
      </w:r>
      <w:r>
        <w:rPr>
          <w:rFonts w:cs="Arial"/>
          <w:color w:val="000000"/>
          <w:szCs w:val="24"/>
        </w:rPr>
        <w:tab/>
      </w:r>
      <w:r w:rsidR="002D403A">
        <w:t>Ms. Englebrecht, who appeared for Mulberry</w:t>
      </w:r>
      <w:r w:rsidR="00945D67">
        <w:t>,</w:t>
      </w:r>
      <w:r w:rsidR="002D403A">
        <w:t xml:space="preserve"> and Mr. </w:t>
      </w:r>
      <w:proofErr w:type="spellStart"/>
      <w:r w:rsidR="002D403A" w:rsidRPr="002D403A">
        <w:t>Ogunronbi</w:t>
      </w:r>
      <w:proofErr w:type="spellEnd"/>
      <w:r w:rsidR="002D403A">
        <w:t xml:space="preserve">, who appeared for the </w:t>
      </w:r>
      <w:proofErr w:type="gramStart"/>
      <w:r w:rsidR="002D403A">
        <w:t>City</w:t>
      </w:r>
      <w:proofErr w:type="gramEnd"/>
      <w:r w:rsidR="002D403A">
        <w:t>, each offered detailed and diametrically opposed analyses of the Rates Act in order to support the merits of their clients’ competing claims. Were it necessary to reach the merits of this application</w:t>
      </w:r>
      <w:r w:rsidR="00926854">
        <w:t xml:space="preserve">, I would have to evaluate their submissions </w:t>
      </w:r>
      <w:proofErr w:type="gramStart"/>
      <w:r w:rsidR="00926854">
        <w:t>in light of</w:t>
      </w:r>
      <w:proofErr w:type="gramEnd"/>
      <w:r w:rsidR="00926854">
        <w:t xml:space="preserve"> a close analysis of the Rates Act.</w:t>
      </w:r>
    </w:p>
    <w:p w14:paraId="3C52D20D" w14:textId="5E58AF81" w:rsidR="00A033DA" w:rsidRPr="00A033DA" w:rsidRDefault="00A033DA" w:rsidP="00A033DA">
      <w:pPr>
        <w:pStyle w:val="Paragraph12pt"/>
        <w:rPr>
          <w:b/>
          <w:bCs/>
        </w:rPr>
      </w:pPr>
      <w:r w:rsidRPr="00A033DA">
        <w:rPr>
          <w:b/>
          <w:bCs/>
        </w:rPr>
        <w:t>Mulberry’s failure to exhaust its internal remedies</w:t>
      </w:r>
    </w:p>
    <w:p w14:paraId="77461D6B" w14:textId="1C0F5C2B" w:rsidR="00C471F3" w:rsidRDefault="006B2D0E" w:rsidP="006B2D0E">
      <w:pPr>
        <w:pStyle w:val="Paragraph12pt"/>
        <w:tabs>
          <w:tab w:val="left" w:pos="851"/>
        </w:tabs>
        <w:ind w:left="851" w:hanging="851"/>
      </w:pPr>
      <w:r>
        <w:rPr>
          <w:rFonts w:cs="Arial"/>
          <w:color w:val="000000"/>
          <w:szCs w:val="24"/>
        </w:rPr>
        <w:t>6</w:t>
      </w:r>
      <w:r>
        <w:rPr>
          <w:rFonts w:cs="Arial"/>
          <w:color w:val="000000"/>
          <w:szCs w:val="24"/>
        </w:rPr>
        <w:tab/>
      </w:r>
      <w:r w:rsidR="00926854">
        <w:t xml:space="preserve">Tempting as that is, I do not think </w:t>
      </w:r>
      <w:r w:rsidR="007B789A">
        <w:t xml:space="preserve">that </w:t>
      </w:r>
      <w:r w:rsidR="00926854">
        <w:t xml:space="preserve">I can entertain the merits of Mulberry’s application. As Ms. Englebrecht was constrained </w:t>
      </w:r>
      <w:r w:rsidR="00C471F3">
        <w:t>to accept, although the imposition of rates and levies in terms of a council resolution is not administrative action (</w:t>
      </w:r>
      <w:proofErr w:type="spellStart"/>
      <w:r w:rsidR="00C471F3" w:rsidRPr="00260190">
        <w:rPr>
          <w:i/>
          <w:iCs/>
        </w:rPr>
        <w:t>Fedsure</w:t>
      </w:r>
      <w:proofErr w:type="spellEnd"/>
      <w:r w:rsidR="00C471F3" w:rsidRPr="00260190">
        <w:rPr>
          <w:i/>
          <w:iCs/>
        </w:rPr>
        <w:t xml:space="preserve"> Life Assurance Ltd v Greater Johannesburg Transitional Metropolitan Council</w:t>
      </w:r>
      <w:r w:rsidR="00C471F3">
        <w:t xml:space="preserve"> 1999 (1) SA 374 (CC), paragraph 45), the decision to assign a particular value to a particular property is</w:t>
      </w:r>
      <w:r w:rsidR="00945D67">
        <w:t xml:space="preserve"> administrative action</w:t>
      </w:r>
      <w:r w:rsidR="00C471F3">
        <w:t xml:space="preserve"> (see, for example, </w:t>
      </w:r>
      <w:r w:rsidR="00C471F3" w:rsidRPr="00C471F3">
        <w:rPr>
          <w:i/>
          <w:iCs/>
        </w:rPr>
        <w:t>City of Johannesburg Metropolitan Municipality v Chairman of the Valuation Appeal Board for the City of Johannesburg</w:t>
      </w:r>
      <w:r w:rsidR="00C471F3">
        <w:t xml:space="preserve"> 2014 </w:t>
      </w:r>
      <w:r w:rsidR="00C471F3">
        <w:lastRenderedPageBreak/>
        <w:t xml:space="preserve">(4) SA 10 (SCA)). Mulberry’s application must accordingly be dealt with in terms of the Promotion of Administrative Justice Act 3 of 2000 (“PAJA”). </w:t>
      </w:r>
    </w:p>
    <w:p w14:paraId="1D43D7D1" w14:textId="04DC8CBA" w:rsidR="00C471F3" w:rsidRDefault="006B2D0E" w:rsidP="006B2D0E">
      <w:pPr>
        <w:pStyle w:val="Paragraph12pt"/>
        <w:tabs>
          <w:tab w:val="left" w:pos="851"/>
        </w:tabs>
        <w:ind w:left="851" w:hanging="851"/>
      </w:pPr>
      <w:r>
        <w:rPr>
          <w:rFonts w:cs="Arial"/>
          <w:color w:val="000000"/>
          <w:szCs w:val="24"/>
        </w:rPr>
        <w:t>7</w:t>
      </w:r>
      <w:r>
        <w:rPr>
          <w:rFonts w:cs="Arial"/>
          <w:color w:val="000000"/>
          <w:szCs w:val="24"/>
        </w:rPr>
        <w:tab/>
      </w:r>
      <w:r w:rsidR="00790267">
        <w:t>One of the strictures of PAJA is the duty on an applicant for judicial review to show that they have exhausted their internal remedies (section 7 (2) (a) of PAJA), or to</w:t>
      </w:r>
      <w:r w:rsidR="00A033DA">
        <w:t xml:space="preserve"> show that there are exceptional circumstances justifying </w:t>
      </w:r>
      <w:r w:rsidR="00790267">
        <w:t>an exemption from having to pursue such remed</w:t>
      </w:r>
      <w:r w:rsidR="00945D67">
        <w:t>ies</w:t>
      </w:r>
      <w:r w:rsidR="00790267">
        <w:t xml:space="preserve"> (section 7 (2) (c) of PAJA). Mulberry accepts that it had an internal remedy in the form of an objection to the valuation of its properties under section 51 of the Rates Act, after which, if necessary, it could have pursued an appeal to the Valuation Appeal Board under section 5</w:t>
      </w:r>
      <w:r w:rsidR="00D7696C">
        <w:t>4</w:t>
      </w:r>
      <w:r w:rsidR="00790267">
        <w:t xml:space="preserve"> of the Rates Act. </w:t>
      </w:r>
    </w:p>
    <w:p w14:paraId="7D638F45" w14:textId="6B67B6CB" w:rsidR="00790267" w:rsidRDefault="006B2D0E" w:rsidP="006B2D0E">
      <w:pPr>
        <w:pStyle w:val="Paragraph12pt"/>
        <w:tabs>
          <w:tab w:val="left" w:pos="851"/>
        </w:tabs>
        <w:ind w:left="851" w:hanging="851"/>
      </w:pPr>
      <w:r>
        <w:rPr>
          <w:rFonts w:cs="Arial"/>
          <w:color w:val="000000"/>
          <w:szCs w:val="24"/>
        </w:rPr>
        <w:t>8</w:t>
      </w:r>
      <w:r>
        <w:rPr>
          <w:rFonts w:cs="Arial"/>
          <w:color w:val="000000"/>
          <w:szCs w:val="24"/>
        </w:rPr>
        <w:tab/>
      </w:r>
      <w:r w:rsidR="00D7696C">
        <w:t xml:space="preserve">Mulberry made an objection under section </w:t>
      </w:r>
      <w:r w:rsidR="00E61A05">
        <w:t>51 of the Rates Act on 27 June 2019</w:t>
      </w:r>
      <w:r w:rsidR="00790267">
        <w:t>.</w:t>
      </w:r>
      <w:r w:rsidR="00E61A05">
        <w:t xml:space="preserve"> That objection was dismissed on 18 November 202</w:t>
      </w:r>
      <w:r w:rsidR="00945D67">
        <w:t>0</w:t>
      </w:r>
      <w:r w:rsidR="00E61A05">
        <w:t xml:space="preserve">. A right of appeal </w:t>
      </w:r>
      <w:r w:rsidR="00945D67">
        <w:t>was then available. The City invited Mulberry to exercise that right</w:t>
      </w:r>
      <w:r w:rsidR="00E61A05">
        <w:t xml:space="preserve"> by 22 January 2021. The Municipal Valuer could also have been pressed for their reasons </w:t>
      </w:r>
      <w:r w:rsidR="00B23F4E">
        <w:t>i</w:t>
      </w:r>
      <w:r w:rsidR="00E61A05">
        <w:t xml:space="preserve">n terms of section 53 (2) and (3) of the Rates Act. </w:t>
      </w:r>
      <w:r w:rsidR="00945D67">
        <w:t>Mulberry did not pursue an appeal</w:t>
      </w:r>
      <w:r w:rsidR="00E61A05">
        <w:t>.</w:t>
      </w:r>
      <w:r w:rsidR="00945D67">
        <w:t xml:space="preserve"> It did not press the Municipal Valuer for reasons.</w:t>
      </w:r>
      <w:r w:rsidR="00790267">
        <w:t xml:space="preserve"> Nor did Mulberry bring a </w:t>
      </w:r>
      <w:r w:rsidR="00945D67">
        <w:t>substantive</w:t>
      </w:r>
      <w:r w:rsidR="00790267">
        <w:t xml:space="preserve"> application </w:t>
      </w:r>
      <w:r w:rsidR="00E61A05">
        <w:t xml:space="preserve">before me </w:t>
      </w:r>
      <w:r w:rsidR="00790267">
        <w:t>to be exempted from having to pursue these avenues</w:t>
      </w:r>
      <w:r w:rsidR="00945D67">
        <w:t xml:space="preserve"> of redress</w:t>
      </w:r>
      <w:r w:rsidR="00790267">
        <w:t xml:space="preserve">. </w:t>
      </w:r>
      <w:r w:rsidR="00945D67">
        <w:t>The absence of a substantive application may</w:t>
      </w:r>
      <w:r w:rsidR="00790267">
        <w:t xml:space="preserve"> </w:t>
      </w:r>
      <w:proofErr w:type="gramStart"/>
      <w:r w:rsidR="00790267">
        <w:t xml:space="preserve">in itself </w:t>
      </w:r>
      <w:r w:rsidR="00945D67">
        <w:t>be</w:t>
      </w:r>
      <w:proofErr w:type="gramEnd"/>
      <w:r w:rsidR="00790267">
        <w:t xml:space="preserve"> enough to refuse to entertain the merits of the review application. But </w:t>
      </w:r>
      <w:r w:rsidR="00945D67">
        <w:t>I am in any event not</w:t>
      </w:r>
      <w:r w:rsidR="00790267">
        <w:t xml:space="preserve"> satisfied, on the material before me, that such an application </w:t>
      </w:r>
      <w:r w:rsidR="00B23F4E">
        <w:t>could</w:t>
      </w:r>
      <w:r w:rsidR="00790267">
        <w:t xml:space="preserve"> succeed. </w:t>
      </w:r>
    </w:p>
    <w:p w14:paraId="3B3F6D6B" w14:textId="07F55FC5" w:rsidR="00790267" w:rsidRDefault="006B2D0E" w:rsidP="006B2D0E">
      <w:pPr>
        <w:pStyle w:val="Paragraph12pt"/>
        <w:tabs>
          <w:tab w:val="left" w:pos="851"/>
        </w:tabs>
        <w:ind w:left="851" w:hanging="851"/>
      </w:pPr>
      <w:r>
        <w:rPr>
          <w:rFonts w:cs="Arial"/>
          <w:color w:val="000000"/>
          <w:szCs w:val="24"/>
        </w:rPr>
        <w:t>9</w:t>
      </w:r>
      <w:r>
        <w:rPr>
          <w:rFonts w:cs="Arial"/>
          <w:color w:val="000000"/>
          <w:szCs w:val="24"/>
        </w:rPr>
        <w:tab/>
      </w:r>
      <w:r w:rsidR="00790267">
        <w:t xml:space="preserve">In seeking, </w:t>
      </w:r>
      <w:proofErr w:type="gramStart"/>
      <w:r w:rsidR="00790267">
        <w:t>in the course of</w:t>
      </w:r>
      <w:proofErr w:type="gramEnd"/>
      <w:r w:rsidR="00790267">
        <w:t xml:space="preserve"> her written and oral argument, to persuade me</w:t>
      </w:r>
      <w:r w:rsidR="00390F5A">
        <w:t xml:space="preserve"> that there were the “exceptional circumstances” necessary</w:t>
      </w:r>
      <w:r w:rsidR="00790267">
        <w:t xml:space="preserve"> to relieve Mulberry </w:t>
      </w:r>
      <w:r w:rsidR="00C356AC">
        <w:t>of</w:t>
      </w:r>
      <w:r w:rsidR="00790267">
        <w:t xml:space="preserve"> the obligation is exhaust its internal remedies, Ms. Englebrecht relied on two </w:t>
      </w:r>
      <w:r w:rsidR="00790267">
        <w:lastRenderedPageBreak/>
        <w:t xml:space="preserve">central propositions. The first was that </w:t>
      </w:r>
      <w:r w:rsidR="00A033DA">
        <w:t>an</w:t>
      </w:r>
      <w:r w:rsidR="00790267">
        <w:t xml:space="preserve"> appeal to the Valuation Appeal Board would have been an exercise in futility. There was no real basis laid for this argument, which appeared to rest on the presumption that the Valuation Appeal Board </w:t>
      </w:r>
      <w:r w:rsidR="00A033DA">
        <w:t>is</w:t>
      </w:r>
      <w:r w:rsidR="00790267">
        <w:t xml:space="preserve"> inherently partial, or, at any rate, incapable of bringing independent judgement to bear on Mulberry’s objection. There are no facts before me to support that far-reaching contention. I reject it. </w:t>
      </w:r>
    </w:p>
    <w:p w14:paraId="13430490" w14:textId="5DD67939" w:rsidR="00C356AC" w:rsidRPr="00C356AC" w:rsidRDefault="006B2D0E" w:rsidP="006B2D0E">
      <w:pPr>
        <w:pStyle w:val="Paragraph12pt"/>
        <w:tabs>
          <w:tab w:val="left" w:pos="851"/>
        </w:tabs>
        <w:ind w:left="851" w:hanging="851"/>
      </w:pPr>
      <w:r w:rsidRPr="00C356AC">
        <w:rPr>
          <w:rFonts w:cs="Arial"/>
          <w:color w:val="000000"/>
          <w:szCs w:val="24"/>
        </w:rPr>
        <w:t>10</w:t>
      </w:r>
      <w:r w:rsidRPr="00C356AC">
        <w:rPr>
          <w:rFonts w:cs="Arial"/>
          <w:color w:val="000000"/>
          <w:szCs w:val="24"/>
        </w:rPr>
        <w:tab/>
      </w:r>
      <w:r w:rsidR="00790267">
        <w:t xml:space="preserve">It was also argued that </w:t>
      </w:r>
      <w:r w:rsidR="00C356AC">
        <w:t xml:space="preserve">Mulberry’s case on review involves only pure questions of law, </w:t>
      </w:r>
      <w:r w:rsidR="009A0338">
        <w:t>that</w:t>
      </w:r>
      <w:r w:rsidR="00C356AC">
        <w:t xml:space="preserve"> a domestic tribunal such as the Valuation Appeal Board would be no better placed than me to resolve. Ms. Englebrecht submitted that what is really before me is a legality review, rather than a PAJA review. Even assuming that I can permit a legality review in circumstances where PAJA plainly applies (see, in this regard, </w:t>
      </w:r>
      <w:r w:rsidR="00C356AC" w:rsidRPr="00C356AC">
        <w:rPr>
          <w:i/>
          <w:iCs/>
        </w:rPr>
        <w:t xml:space="preserve">State Information Technology Agency Soc Ltd v </w:t>
      </w:r>
      <w:proofErr w:type="spellStart"/>
      <w:r w:rsidR="00C356AC" w:rsidRPr="00C356AC">
        <w:rPr>
          <w:i/>
          <w:iCs/>
        </w:rPr>
        <w:t>Gijima</w:t>
      </w:r>
      <w:proofErr w:type="spellEnd"/>
      <w:r w:rsidR="00C356AC" w:rsidRPr="00C356AC">
        <w:rPr>
          <w:i/>
          <w:iCs/>
        </w:rPr>
        <w:t xml:space="preserve"> Holdings</w:t>
      </w:r>
      <w:r w:rsidR="00C356AC" w:rsidRPr="00C356AC">
        <w:t xml:space="preserve"> 2017 (2) SA 63 (SCA)</w:t>
      </w:r>
      <w:r w:rsidR="00C356AC">
        <w:t xml:space="preserve"> paragraph 44  and </w:t>
      </w:r>
      <w:proofErr w:type="spellStart"/>
      <w:r w:rsidR="00C356AC" w:rsidRPr="00C356AC">
        <w:rPr>
          <w:i/>
          <w:iCs/>
        </w:rPr>
        <w:t>Tawodzera</w:t>
      </w:r>
      <w:proofErr w:type="spellEnd"/>
      <w:r w:rsidR="00C356AC" w:rsidRPr="00C356AC">
        <w:rPr>
          <w:i/>
          <w:iCs/>
        </w:rPr>
        <w:t xml:space="preserve"> v Minister of Home Affairs</w:t>
      </w:r>
      <w:r w:rsidR="00C356AC" w:rsidRPr="00C356AC">
        <w:rPr>
          <w:rFonts w:cs="Arial"/>
          <w:b/>
          <w:bCs/>
          <w:i/>
          <w:iCs/>
          <w:color w:val="64473A"/>
          <w:sz w:val="36"/>
          <w:szCs w:val="36"/>
          <w:lang w:eastAsia="en-ZA"/>
        </w:rPr>
        <w:t xml:space="preserve"> </w:t>
      </w:r>
      <w:r w:rsidR="00C356AC" w:rsidRPr="00C356AC">
        <w:t>[2020] ZAGPPHC 717 (1 December 2020)</w:t>
      </w:r>
      <w:r w:rsidR="00C356AC">
        <w:t xml:space="preserve"> paragraphs 41 to 58), </w:t>
      </w:r>
      <w:r w:rsidR="00A033DA">
        <w:t>it seems to me that</w:t>
      </w:r>
      <w:r w:rsidR="00C356AC">
        <w:t xml:space="preserve"> Mulberry’s case raises question</w:t>
      </w:r>
      <w:r w:rsidR="00A033DA">
        <w:t>s</w:t>
      </w:r>
      <w:r w:rsidR="00C356AC">
        <w:t xml:space="preserve"> that a specialist body such as the Valuation Appeal Board</w:t>
      </w:r>
      <w:r w:rsidR="00A033DA">
        <w:t xml:space="preserve"> is particularly well-suited to consider and decide in the first instance. </w:t>
      </w:r>
    </w:p>
    <w:p w14:paraId="5526C198" w14:textId="3423D606" w:rsidR="00C356AC" w:rsidRDefault="006B2D0E" w:rsidP="006B2D0E">
      <w:pPr>
        <w:pStyle w:val="Paragraph12pt"/>
        <w:tabs>
          <w:tab w:val="left" w:pos="851"/>
        </w:tabs>
        <w:ind w:left="851" w:hanging="851"/>
      </w:pPr>
      <w:r>
        <w:rPr>
          <w:rFonts w:cs="Arial"/>
          <w:color w:val="000000"/>
          <w:szCs w:val="24"/>
        </w:rPr>
        <w:t>11</w:t>
      </w:r>
      <w:r>
        <w:rPr>
          <w:rFonts w:cs="Arial"/>
          <w:color w:val="000000"/>
          <w:szCs w:val="24"/>
        </w:rPr>
        <w:tab/>
      </w:r>
      <w:r w:rsidR="00C356AC">
        <w:t>Mulberry’s case involves potentially complex questions involving the nature of the City’s Rates Policy (a full copy of which was not placed before me)</w:t>
      </w:r>
      <w:r w:rsidR="000E61AE">
        <w:t xml:space="preserve">; </w:t>
      </w:r>
      <w:r w:rsidR="00C356AC">
        <w:t xml:space="preserve">its application to the Municipal Valuer’s work; the extent to which the Municipal Valuer may, in the exercise of their professional judgment, depart from, or act in the interstices of, that policy; and the professional and policy justifications for the action </w:t>
      </w:r>
      <w:r w:rsidR="000E61AE">
        <w:t>they may</w:t>
      </w:r>
      <w:r w:rsidR="00C356AC">
        <w:t xml:space="preserve"> take in deciding</w:t>
      </w:r>
      <w:r w:rsidR="00945D67">
        <w:t xml:space="preserve">, </w:t>
      </w:r>
      <w:r w:rsidR="00C356AC">
        <w:t>or refusing</w:t>
      </w:r>
      <w:r w:rsidR="00945D67">
        <w:t>,</w:t>
      </w:r>
      <w:r w:rsidR="00C356AC">
        <w:t xml:space="preserve"> to do either of these </w:t>
      </w:r>
      <w:r w:rsidR="00C356AC">
        <w:lastRenderedPageBreak/>
        <w:t>things. Th</w:t>
      </w:r>
      <w:r w:rsidR="002C2B94">
        <w:t>ese</w:t>
      </w:r>
      <w:r w:rsidR="00C356AC">
        <w:t xml:space="preserve">, it seems to me, </w:t>
      </w:r>
      <w:r w:rsidR="002C2B94">
        <w:t>are matters well within the purview of the</w:t>
      </w:r>
      <w:r w:rsidR="00C356AC">
        <w:t xml:space="preserve"> Valuation Appeal Board. </w:t>
      </w:r>
    </w:p>
    <w:p w14:paraId="51F45EF4" w14:textId="6B6245FC" w:rsidR="00D7696C" w:rsidRPr="00C356AC" w:rsidRDefault="006B2D0E" w:rsidP="006B2D0E">
      <w:pPr>
        <w:pStyle w:val="Paragraph12pt"/>
        <w:tabs>
          <w:tab w:val="left" w:pos="851"/>
        </w:tabs>
        <w:ind w:left="851" w:hanging="851"/>
      </w:pPr>
      <w:r w:rsidRPr="00C356AC">
        <w:rPr>
          <w:rFonts w:cs="Arial"/>
          <w:color w:val="000000"/>
          <w:szCs w:val="24"/>
        </w:rPr>
        <w:t>12</w:t>
      </w:r>
      <w:r w:rsidRPr="00C356AC">
        <w:rPr>
          <w:rFonts w:cs="Arial"/>
          <w:color w:val="000000"/>
          <w:szCs w:val="24"/>
        </w:rPr>
        <w:tab/>
      </w:r>
      <w:r w:rsidR="00D7696C">
        <w:t xml:space="preserve">There </w:t>
      </w:r>
      <w:r w:rsidR="00A033DA">
        <w:t xml:space="preserve">was, finally, </w:t>
      </w:r>
      <w:r w:rsidR="00D7696C">
        <w:t xml:space="preserve">a suggestion in Mulberry’s founding affidavit that </w:t>
      </w:r>
      <w:r w:rsidR="00A033DA">
        <w:t>the</w:t>
      </w:r>
      <w:r w:rsidR="00D7696C">
        <w:t xml:space="preserve"> seventeen</w:t>
      </w:r>
      <w:r w:rsidR="00A033DA">
        <w:t>-</w:t>
      </w:r>
      <w:r w:rsidR="00D7696C">
        <w:t xml:space="preserve">month delay between the lodging of </w:t>
      </w:r>
      <w:r w:rsidR="00945D67">
        <w:t>its</w:t>
      </w:r>
      <w:r w:rsidR="00D7696C">
        <w:t xml:space="preserve"> objection</w:t>
      </w:r>
      <w:r w:rsidR="00E61A05">
        <w:t xml:space="preserve"> and the rendering of a decision on that objection</w:t>
      </w:r>
      <w:r w:rsidR="00D7696C">
        <w:t xml:space="preserve"> in terms of section 53 (1) of the Rates Act </w:t>
      </w:r>
      <w:r w:rsidR="00A033DA">
        <w:t>meant that</w:t>
      </w:r>
      <w:r w:rsidR="00D7696C">
        <w:t xml:space="preserve"> any </w:t>
      </w:r>
      <w:r w:rsidR="00A033DA">
        <w:t xml:space="preserve">subsequent </w:t>
      </w:r>
      <w:r w:rsidR="00D7696C">
        <w:t xml:space="preserve">appeal against the </w:t>
      </w:r>
      <w:r w:rsidR="00E61A05">
        <w:t>Municipal Valuer’s decision on the objection</w:t>
      </w:r>
      <w:r w:rsidR="00A033DA">
        <w:t xml:space="preserve"> was</w:t>
      </w:r>
      <w:r w:rsidR="00E61A05">
        <w:t xml:space="preserve"> futile. I see no reason why this </w:t>
      </w:r>
      <w:r w:rsidR="00A033DA">
        <w:t>was</w:t>
      </w:r>
      <w:r w:rsidR="00E61A05">
        <w:t xml:space="preserve"> so, and Mulberry’s papers provide none. </w:t>
      </w:r>
    </w:p>
    <w:p w14:paraId="0C3D1688" w14:textId="4E27E3FD" w:rsidR="00790267" w:rsidRDefault="006B2D0E" w:rsidP="006B2D0E">
      <w:pPr>
        <w:pStyle w:val="Paragraph12pt"/>
        <w:tabs>
          <w:tab w:val="left" w:pos="851"/>
        </w:tabs>
        <w:ind w:left="851" w:hanging="851"/>
      </w:pPr>
      <w:r>
        <w:rPr>
          <w:rFonts w:cs="Arial"/>
          <w:color w:val="000000"/>
          <w:szCs w:val="24"/>
        </w:rPr>
        <w:t>13</w:t>
      </w:r>
      <w:r>
        <w:rPr>
          <w:rFonts w:cs="Arial"/>
          <w:color w:val="000000"/>
          <w:szCs w:val="24"/>
        </w:rPr>
        <w:tab/>
      </w:r>
      <w:r w:rsidR="000E61AE">
        <w:t xml:space="preserve">It follows from all this that Mulberry was required to exhaust its internal </w:t>
      </w:r>
      <w:r w:rsidR="00A033DA">
        <w:t>appeal</w:t>
      </w:r>
      <w:r w:rsidR="000E61AE">
        <w:t xml:space="preserve"> under the Rates Act, and that there is no basis on which I can exempt it from doing so. </w:t>
      </w:r>
      <w:r w:rsidR="002C2B94">
        <w:t xml:space="preserve"> In these circumstances, s</w:t>
      </w:r>
      <w:r w:rsidR="000E61AE">
        <w:t xml:space="preserve">ection 7 (2) (b) of PAJA requires me to order Mulberry to exhaust </w:t>
      </w:r>
      <w:r w:rsidR="00A033DA">
        <w:t>its appeal remedy</w:t>
      </w:r>
      <w:r w:rsidR="000E61AE">
        <w:t xml:space="preserve"> before pursuing a review of the valuation it seeks to impugn. That is the order I shall make. </w:t>
      </w:r>
    </w:p>
    <w:p w14:paraId="2C506B8C" w14:textId="633E460C" w:rsidR="00A033DA" w:rsidRPr="00A033DA" w:rsidRDefault="00A033DA" w:rsidP="00A033DA">
      <w:pPr>
        <w:pStyle w:val="Paragraph12pt"/>
        <w:rPr>
          <w:b/>
          <w:bCs/>
        </w:rPr>
      </w:pPr>
      <w:r w:rsidRPr="00A033DA">
        <w:rPr>
          <w:b/>
          <w:bCs/>
        </w:rPr>
        <w:t>Costs</w:t>
      </w:r>
    </w:p>
    <w:p w14:paraId="767665E0" w14:textId="11784626" w:rsidR="00A033DA" w:rsidRDefault="006B2D0E" w:rsidP="006B2D0E">
      <w:pPr>
        <w:pStyle w:val="Paragraph12pt"/>
        <w:tabs>
          <w:tab w:val="left" w:pos="851"/>
        </w:tabs>
        <w:ind w:left="851" w:hanging="851"/>
      </w:pPr>
      <w:r>
        <w:rPr>
          <w:rFonts w:cs="Arial"/>
          <w:color w:val="000000"/>
          <w:szCs w:val="24"/>
        </w:rPr>
        <w:t>14</w:t>
      </w:r>
      <w:r>
        <w:rPr>
          <w:rFonts w:cs="Arial"/>
          <w:color w:val="000000"/>
          <w:szCs w:val="24"/>
        </w:rPr>
        <w:tab/>
      </w:r>
      <w:r w:rsidR="000E61AE">
        <w:t>Although Mulberry has not obtained the relief it seeks, I am not inclined to mulct it in costs. The papers in this matter reveal a sorry tale of the City’s</w:t>
      </w:r>
      <w:r w:rsidR="00A033DA">
        <w:t xml:space="preserve"> delay,</w:t>
      </w:r>
      <w:r w:rsidR="000E61AE">
        <w:t xml:space="preserve"> non-</w:t>
      </w:r>
      <w:proofErr w:type="gramStart"/>
      <w:r w:rsidR="000E61AE">
        <w:t>responsiveness</w:t>
      </w:r>
      <w:proofErr w:type="gramEnd"/>
      <w:r w:rsidR="000E61AE">
        <w:t xml:space="preserve"> and failure to give proper notice of important decisions affecting Mulberry’s property rights. </w:t>
      </w:r>
    </w:p>
    <w:p w14:paraId="31D47B52" w14:textId="26407293" w:rsidR="00390F5A" w:rsidRDefault="006B2D0E" w:rsidP="006B2D0E">
      <w:pPr>
        <w:pStyle w:val="Paragraph12pt"/>
        <w:tabs>
          <w:tab w:val="left" w:pos="851"/>
        </w:tabs>
        <w:ind w:left="851" w:hanging="851"/>
      </w:pPr>
      <w:r>
        <w:rPr>
          <w:rFonts w:cs="Arial"/>
          <w:color w:val="000000"/>
          <w:szCs w:val="24"/>
        </w:rPr>
        <w:t>15</w:t>
      </w:r>
      <w:r>
        <w:rPr>
          <w:rFonts w:cs="Arial"/>
          <w:color w:val="000000"/>
          <w:szCs w:val="24"/>
        </w:rPr>
        <w:tab/>
      </w:r>
      <w:r w:rsidR="000E61AE">
        <w:t xml:space="preserve">In </w:t>
      </w:r>
      <w:r w:rsidR="00C74C63" w:rsidRPr="00C74C63">
        <w:rPr>
          <w:i/>
          <w:iCs/>
        </w:rPr>
        <w:t>Sandton Civic</w:t>
      </w:r>
      <w:r w:rsidR="000E61AE">
        <w:t xml:space="preserve">, the City </w:t>
      </w:r>
      <w:r w:rsidR="005D79F6">
        <w:t>was</w:t>
      </w:r>
      <w:r w:rsidR="000E61AE">
        <w:t xml:space="preserve"> deprived of its costs </w:t>
      </w:r>
      <w:r w:rsidR="00B23F4E">
        <w:t>despite being successful in</w:t>
      </w:r>
      <w:r w:rsidR="000E61AE">
        <w:t xml:space="preserve"> litigation </w:t>
      </w:r>
      <w:r w:rsidR="00390F5A">
        <w:t>animated by</w:t>
      </w:r>
      <w:r w:rsidR="000E61AE">
        <w:t xml:space="preserve"> frustration at its unaccountable conduct (see </w:t>
      </w:r>
      <w:r w:rsidR="000E61AE" w:rsidRPr="00390F5A">
        <w:rPr>
          <w:i/>
          <w:iCs/>
        </w:rPr>
        <w:t>Sandton Civic Precinct (Pty) Ltd v City of Johannesburg</w:t>
      </w:r>
      <w:r w:rsidR="000E61AE">
        <w:t xml:space="preserve"> 2009 (1) SA 317 (SCA) paragraphs 22 to 25).</w:t>
      </w:r>
      <w:r w:rsidR="00390F5A">
        <w:t xml:space="preserve"> The facts of this case justify a similar response.</w:t>
      </w:r>
    </w:p>
    <w:p w14:paraId="7B8AC7C4" w14:textId="77777777" w:rsidR="002C2B94" w:rsidRDefault="002C2B94" w:rsidP="00945D67">
      <w:pPr>
        <w:pStyle w:val="Paragraph12pt"/>
        <w:rPr>
          <w:b/>
          <w:bCs/>
        </w:rPr>
      </w:pPr>
    </w:p>
    <w:p w14:paraId="5681654D" w14:textId="63EFA49B" w:rsidR="00945D67" w:rsidRPr="00945D67" w:rsidRDefault="00945D67" w:rsidP="00945D67">
      <w:pPr>
        <w:pStyle w:val="Paragraph12pt"/>
        <w:rPr>
          <w:b/>
          <w:bCs/>
        </w:rPr>
      </w:pPr>
      <w:r w:rsidRPr="00945D67">
        <w:rPr>
          <w:b/>
          <w:bCs/>
        </w:rPr>
        <w:lastRenderedPageBreak/>
        <w:t>Order</w:t>
      </w:r>
    </w:p>
    <w:p w14:paraId="29BB6300" w14:textId="162F0E33" w:rsidR="00390F5A" w:rsidRDefault="006B2D0E" w:rsidP="006B2D0E">
      <w:pPr>
        <w:pStyle w:val="Paragraph12pt"/>
        <w:tabs>
          <w:tab w:val="left" w:pos="851"/>
        </w:tabs>
        <w:ind w:left="851" w:hanging="851"/>
      </w:pPr>
      <w:r>
        <w:rPr>
          <w:rFonts w:cs="Arial"/>
          <w:color w:val="000000"/>
          <w:szCs w:val="24"/>
        </w:rPr>
        <w:t>16</w:t>
      </w:r>
      <w:r>
        <w:rPr>
          <w:rFonts w:cs="Arial"/>
          <w:color w:val="000000"/>
          <w:szCs w:val="24"/>
        </w:rPr>
        <w:tab/>
      </w:r>
      <w:r w:rsidR="00390F5A">
        <w:t xml:space="preserve">For all these reasons – </w:t>
      </w:r>
    </w:p>
    <w:p w14:paraId="0F459417" w14:textId="3DC3A8C9" w:rsidR="00390F5A" w:rsidRDefault="006B2D0E" w:rsidP="006B2D0E">
      <w:pPr>
        <w:pStyle w:val="Paragraph12pt"/>
        <w:tabs>
          <w:tab w:val="left" w:pos="1814"/>
        </w:tabs>
        <w:ind w:left="1814" w:hanging="963"/>
      </w:pPr>
      <w:r>
        <w:t>16.1</w:t>
      </w:r>
      <w:r>
        <w:tab/>
      </w:r>
      <w:r w:rsidR="00390F5A">
        <w:t xml:space="preserve">The application is refused. </w:t>
      </w:r>
    </w:p>
    <w:p w14:paraId="19FE852F" w14:textId="4E521385" w:rsidR="00390F5A" w:rsidRPr="00390F5A" w:rsidRDefault="006B2D0E" w:rsidP="006B2D0E">
      <w:pPr>
        <w:pStyle w:val="Paragraph12pt"/>
        <w:tabs>
          <w:tab w:val="left" w:pos="1814"/>
        </w:tabs>
        <w:ind w:left="1814" w:hanging="963"/>
      </w:pPr>
      <w:r w:rsidRPr="00390F5A">
        <w:t>16.2</w:t>
      </w:r>
      <w:r w:rsidRPr="00390F5A">
        <w:tab/>
      </w:r>
      <w:r w:rsidR="00390F5A">
        <w:t xml:space="preserve">The applicant is directed to </w:t>
      </w:r>
      <w:r w:rsidR="00A033DA">
        <w:t>exhaust</w:t>
      </w:r>
      <w:r w:rsidR="00390F5A">
        <w:t xml:space="preserve"> the appeal process provided for in section</w:t>
      </w:r>
      <w:r w:rsidR="00E61A05">
        <w:t xml:space="preserve"> </w:t>
      </w:r>
      <w:r w:rsidR="00390F5A">
        <w:t>5</w:t>
      </w:r>
      <w:r w:rsidR="00D7696C">
        <w:t>4</w:t>
      </w:r>
      <w:r w:rsidR="00FA4A24">
        <w:t xml:space="preserve"> of the</w:t>
      </w:r>
      <w:r w:rsidR="00390F5A">
        <w:t xml:space="preserve"> </w:t>
      </w:r>
      <w:r w:rsidR="00390F5A" w:rsidRPr="002D403A">
        <w:rPr>
          <w:lang w:val="en-GB"/>
        </w:rPr>
        <w:t>Local Government: Municipal Property Rates Act 6 of 2004</w:t>
      </w:r>
      <w:r w:rsidR="00390F5A">
        <w:rPr>
          <w:lang w:val="en-GB"/>
        </w:rPr>
        <w:t xml:space="preserve"> before instituting further review proceedings. </w:t>
      </w:r>
    </w:p>
    <w:p w14:paraId="7BBF80E8" w14:textId="3BE7FFEE" w:rsidR="00390F5A" w:rsidRDefault="006B2D0E" w:rsidP="006B2D0E">
      <w:pPr>
        <w:pStyle w:val="Paragraph12pt"/>
        <w:tabs>
          <w:tab w:val="left" w:pos="1814"/>
        </w:tabs>
        <w:ind w:left="1814" w:hanging="963"/>
      </w:pPr>
      <w:r>
        <w:t>16.3</w:t>
      </w:r>
      <w:r>
        <w:tab/>
      </w:r>
      <w:r w:rsidR="00390F5A">
        <w:rPr>
          <w:lang w:val="en-GB"/>
        </w:rPr>
        <w:t xml:space="preserve">Each party will pay its own costs. </w:t>
      </w:r>
    </w:p>
    <w:p w14:paraId="238273DE" w14:textId="6A776A4F" w:rsidR="007F48CC" w:rsidRDefault="007F48CC" w:rsidP="00390F5A">
      <w:pPr>
        <w:pStyle w:val="Paragraph12pt"/>
        <w:spacing w:after="0"/>
        <w:ind w:left="851"/>
        <w:jc w:val="right"/>
        <w:rPr>
          <w:noProof/>
          <w:lang w:eastAsia="en-ZA"/>
        </w:rPr>
      </w:pPr>
    </w:p>
    <w:p w14:paraId="0236428A" w14:textId="77777777" w:rsidR="00990CE5" w:rsidRDefault="00990CE5" w:rsidP="00390F5A">
      <w:pPr>
        <w:pStyle w:val="Paragraph12pt"/>
        <w:spacing w:after="0"/>
        <w:ind w:left="851"/>
        <w:jc w:val="right"/>
      </w:pPr>
    </w:p>
    <w:p w14:paraId="5EA3D8AC" w14:textId="77777777" w:rsidR="007F48CC" w:rsidRPr="000315F7" w:rsidRDefault="007F48CC" w:rsidP="007F48CC">
      <w:pPr>
        <w:pStyle w:val="Paragraph12pt"/>
        <w:spacing w:after="0" w:line="240" w:lineRule="auto"/>
        <w:ind w:left="851"/>
        <w:jc w:val="right"/>
        <w:rPr>
          <w:b/>
          <w:bCs/>
        </w:rPr>
      </w:pPr>
      <w:r w:rsidRPr="000315F7">
        <w:rPr>
          <w:b/>
          <w:bCs/>
        </w:rPr>
        <w:t>S D J WILSON</w:t>
      </w:r>
    </w:p>
    <w:p w14:paraId="49115934" w14:textId="51CCADF0" w:rsidR="004F6A2D" w:rsidRDefault="007F48CC" w:rsidP="00394CE7">
      <w:pPr>
        <w:pStyle w:val="Paragraph12pt"/>
        <w:spacing w:after="0" w:line="240" w:lineRule="auto"/>
        <w:ind w:left="851" w:firstLine="589"/>
        <w:jc w:val="right"/>
      </w:pPr>
      <w:r>
        <w:t>Acting Judge of the High Court</w:t>
      </w:r>
    </w:p>
    <w:p w14:paraId="471838F4" w14:textId="77777777" w:rsidR="002A30D3" w:rsidRDefault="002A30D3" w:rsidP="004F6A2D">
      <w:pPr>
        <w:pStyle w:val="Paragraph12pt"/>
        <w:spacing w:after="0" w:line="240" w:lineRule="auto"/>
        <w:ind w:left="3600" w:hanging="3600"/>
        <w:jc w:val="left"/>
      </w:pPr>
    </w:p>
    <w:p w14:paraId="21605095" w14:textId="08F85ED2" w:rsidR="000315F7" w:rsidRDefault="0051403A" w:rsidP="004F6A2D">
      <w:pPr>
        <w:pStyle w:val="Paragraph12pt"/>
        <w:spacing w:after="0" w:line="240" w:lineRule="auto"/>
        <w:ind w:left="3600" w:hanging="3600"/>
        <w:jc w:val="left"/>
      </w:pPr>
      <w:r>
        <w:t>HEARD ON:</w:t>
      </w:r>
      <w:r>
        <w:tab/>
      </w:r>
      <w:r w:rsidR="000E6377">
        <w:tab/>
      </w:r>
      <w:r w:rsidR="000E6377">
        <w:tab/>
      </w:r>
      <w:r w:rsidR="00064DDF">
        <w:t>8 November 2022</w:t>
      </w:r>
    </w:p>
    <w:p w14:paraId="34815143" w14:textId="601759B9" w:rsidR="008979E4" w:rsidRDefault="008979E4" w:rsidP="00A31389">
      <w:pPr>
        <w:pStyle w:val="Paragraph12pt"/>
        <w:spacing w:after="0" w:line="240" w:lineRule="auto"/>
        <w:jc w:val="left"/>
      </w:pPr>
    </w:p>
    <w:p w14:paraId="2B767162" w14:textId="5AC1ACDA" w:rsidR="0051403A" w:rsidRDefault="0051403A" w:rsidP="00A31389">
      <w:pPr>
        <w:pStyle w:val="Paragraph12pt"/>
        <w:spacing w:after="0" w:line="240" w:lineRule="auto"/>
        <w:jc w:val="left"/>
      </w:pPr>
      <w:r>
        <w:t>DECIDED ON:</w:t>
      </w:r>
      <w:r>
        <w:tab/>
      </w:r>
      <w:r w:rsidR="00226B2D">
        <w:tab/>
      </w:r>
      <w:r w:rsidR="00226B2D">
        <w:tab/>
      </w:r>
      <w:r w:rsidR="000E6377">
        <w:tab/>
      </w:r>
      <w:r w:rsidR="000E6377">
        <w:tab/>
      </w:r>
      <w:r w:rsidR="00064DDF">
        <w:t>17 November 2022</w:t>
      </w:r>
    </w:p>
    <w:p w14:paraId="4D7570D5" w14:textId="2D768A59" w:rsidR="00A15B8D" w:rsidRDefault="00A15B8D" w:rsidP="00A31389">
      <w:pPr>
        <w:pStyle w:val="Paragraph12pt"/>
        <w:spacing w:after="0" w:line="240" w:lineRule="auto"/>
        <w:jc w:val="left"/>
      </w:pPr>
    </w:p>
    <w:p w14:paraId="05AFF686" w14:textId="2FE17E48" w:rsidR="007517F4" w:rsidRDefault="0051403A" w:rsidP="005539D4">
      <w:pPr>
        <w:pStyle w:val="Paragraph12pt"/>
        <w:spacing w:after="0" w:line="240" w:lineRule="auto"/>
        <w:jc w:val="left"/>
      </w:pPr>
      <w:r>
        <w:t>For the</w:t>
      </w:r>
      <w:r w:rsidR="00226B2D">
        <w:t xml:space="preserve"> </w:t>
      </w:r>
      <w:r w:rsidR="00064DDF">
        <w:t>Applicant</w:t>
      </w:r>
      <w:r>
        <w:t xml:space="preserve">: </w:t>
      </w:r>
      <w:r>
        <w:tab/>
      </w:r>
      <w:r>
        <w:tab/>
      </w:r>
      <w:r>
        <w:tab/>
      </w:r>
      <w:r w:rsidR="000E6377">
        <w:tab/>
      </w:r>
      <w:r w:rsidR="000E6377">
        <w:tab/>
      </w:r>
      <w:r w:rsidR="00064DDF">
        <w:t>G Englebrecht SC</w:t>
      </w:r>
    </w:p>
    <w:p w14:paraId="253BCC30" w14:textId="4EBEB1D7" w:rsidR="00A31389" w:rsidRDefault="0051403A" w:rsidP="000E6377">
      <w:pPr>
        <w:pStyle w:val="Paragraph12pt"/>
        <w:spacing w:after="0" w:line="240" w:lineRule="auto"/>
        <w:ind w:left="5040"/>
        <w:jc w:val="left"/>
        <w:rPr>
          <w:lang w:val="en-GB"/>
        </w:rPr>
      </w:pPr>
      <w:r>
        <w:t xml:space="preserve">Instructed by </w:t>
      </w:r>
      <w:r w:rsidR="00064DDF">
        <w:t>Hennie Kotze Attorneys</w:t>
      </w:r>
    </w:p>
    <w:p w14:paraId="41BD4642" w14:textId="77777777" w:rsidR="00335B03" w:rsidRDefault="00335B03" w:rsidP="00A31389">
      <w:pPr>
        <w:pStyle w:val="Paragraph12pt"/>
        <w:spacing w:after="0" w:line="240" w:lineRule="auto"/>
        <w:jc w:val="left"/>
      </w:pPr>
    </w:p>
    <w:p w14:paraId="22FA96F5" w14:textId="7FF4DAD9" w:rsidR="00754D03" w:rsidRDefault="0051403A" w:rsidP="00290C1B">
      <w:pPr>
        <w:pStyle w:val="Paragraph12pt"/>
        <w:spacing w:after="0" w:line="240" w:lineRule="auto"/>
        <w:ind w:left="3600" w:hanging="3600"/>
        <w:jc w:val="left"/>
      </w:pPr>
      <w:r>
        <w:t>For the</w:t>
      </w:r>
      <w:r w:rsidR="00754D03">
        <w:t xml:space="preserve"> </w:t>
      </w:r>
      <w:r w:rsidR="00064DDF">
        <w:t>Respondent</w:t>
      </w:r>
      <w:r>
        <w:t>:</w:t>
      </w:r>
      <w:r w:rsidR="00025BD3">
        <w:tab/>
      </w:r>
      <w:r w:rsidR="000E6377">
        <w:tab/>
      </w:r>
      <w:r w:rsidR="000E6377">
        <w:tab/>
      </w:r>
      <w:r w:rsidR="00064DDF">
        <w:t xml:space="preserve">S </w:t>
      </w:r>
      <w:proofErr w:type="spellStart"/>
      <w:r w:rsidR="00064DDF">
        <w:t>Ogunronbi</w:t>
      </w:r>
      <w:proofErr w:type="spellEnd"/>
    </w:p>
    <w:p w14:paraId="6229C15A" w14:textId="76EC9093" w:rsidR="00754D03" w:rsidRDefault="002C2B94" w:rsidP="000E6377">
      <w:pPr>
        <w:pStyle w:val="Paragraph12pt"/>
        <w:spacing w:after="0" w:line="240" w:lineRule="auto"/>
        <w:ind w:left="5040"/>
        <w:jc w:val="left"/>
      </w:pPr>
      <w:r>
        <w:t xml:space="preserve">Instructed by </w:t>
      </w:r>
      <w:r w:rsidR="00064DDF">
        <w:t xml:space="preserve">Prince </w:t>
      </w:r>
      <w:proofErr w:type="spellStart"/>
      <w:r w:rsidR="00064DDF">
        <w:t>Mudau</w:t>
      </w:r>
      <w:proofErr w:type="spellEnd"/>
      <w:r w:rsidR="00064DDF">
        <w:t xml:space="preserve"> and </w:t>
      </w:r>
      <w:r w:rsidR="000E6377">
        <w:t>Associates</w:t>
      </w:r>
    </w:p>
    <w:sectPr w:rsidR="00754D03"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CBBC4" w14:textId="77777777" w:rsidR="00DF7AD4" w:rsidRDefault="00DF7AD4" w:rsidP="00023136">
      <w:r>
        <w:separator/>
      </w:r>
    </w:p>
  </w:endnote>
  <w:endnote w:type="continuationSeparator" w:id="0">
    <w:p w14:paraId="55EEF9A6" w14:textId="77777777" w:rsidR="00DF7AD4" w:rsidRDefault="00DF7AD4"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57904"/>
      <w:docPartObj>
        <w:docPartGallery w:val="Page Numbers (Bottom of Page)"/>
        <w:docPartUnique/>
      </w:docPartObj>
    </w:sdtPr>
    <w:sdtEndPr>
      <w:rPr>
        <w:noProof/>
        <w:sz w:val="24"/>
        <w:szCs w:val="24"/>
      </w:rPr>
    </w:sdtEndPr>
    <w:sdtContent>
      <w:p w14:paraId="526B1D6E" w14:textId="415DD281"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990CE5">
          <w:rPr>
            <w:noProof/>
            <w:sz w:val="24"/>
            <w:szCs w:val="24"/>
          </w:rPr>
          <w:t>7</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5C1D" w14:textId="77777777" w:rsidR="00DF7AD4" w:rsidRDefault="00DF7AD4" w:rsidP="00023136">
      <w:r>
        <w:separator/>
      </w:r>
    </w:p>
  </w:footnote>
  <w:footnote w:type="continuationSeparator" w:id="0">
    <w:p w14:paraId="1FEC80AF" w14:textId="77777777" w:rsidR="00DF7AD4" w:rsidRDefault="00DF7AD4" w:rsidP="0002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numStyleLink w:val="111111"/>
  </w:abstractNum>
  <w:abstractNum w:abstractNumId="1" w15:restartNumberingAfterBreak="0">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15:restartNumberingAfterBreak="0">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15:restartNumberingAfterBreak="0">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15:restartNumberingAfterBreak="0">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15:restartNumberingAfterBreak="0">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15:restartNumberingAfterBreak="0">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15:restartNumberingAfterBreak="0">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15:restartNumberingAfterBreak="0">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15:restartNumberingAfterBreak="0">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15:restartNumberingAfterBreak="0">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15:restartNumberingAfterBreak="0">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15:restartNumberingAfterBreak="0">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15:restartNumberingAfterBreak="0">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15:restartNumberingAfterBreak="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15:restartNumberingAfterBreak="0">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96258100">
    <w:abstractNumId w:val="14"/>
  </w:num>
  <w:num w:numId="2" w16cid:durableId="2044793092">
    <w:abstractNumId w:val="7"/>
  </w:num>
  <w:num w:numId="3" w16cid:durableId="692923791">
    <w:abstractNumId w:val="13"/>
  </w:num>
  <w:num w:numId="4" w16cid:durableId="525019008">
    <w:abstractNumId w:val="9"/>
  </w:num>
  <w:num w:numId="5" w16cid:durableId="1540705432">
    <w:abstractNumId w:val="30"/>
  </w:num>
  <w:num w:numId="6" w16cid:durableId="987130978">
    <w:abstractNumId w:val="17"/>
  </w:num>
  <w:num w:numId="7" w16cid:durableId="769550089">
    <w:abstractNumId w:val="20"/>
  </w:num>
  <w:num w:numId="8" w16cid:durableId="1085959110">
    <w:abstractNumId w:val="3"/>
  </w:num>
  <w:num w:numId="9" w16cid:durableId="818425039">
    <w:abstractNumId w:val="18"/>
  </w:num>
  <w:num w:numId="10" w16cid:durableId="1101147192">
    <w:abstractNumId w:val="26"/>
  </w:num>
  <w:num w:numId="11" w16cid:durableId="98523677">
    <w:abstractNumId w:val="31"/>
  </w:num>
  <w:num w:numId="12" w16cid:durableId="2114667101">
    <w:abstractNumId w:val="22"/>
  </w:num>
  <w:num w:numId="13" w16cid:durableId="1550145047">
    <w:abstractNumId w:val="25"/>
  </w:num>
  <w:num w:numId="14" w16cid:durableId="22829736">
    <w:abstractNumId w:val="37"/>
  </w:num>
  <w:num w:numId="15" w16cid:durableId="7964615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238833659">
    <w:abstractNumId w:val="28"/>
  </w:num>
  <w:num w:numId="17" w16cid:durableId="192770824">
    <w:abstractNumId w:val="32"/>
  </w:num>
  <w:num w:numId="18" w16cid:durableId="1787655757">
    <w:abstractNumId w:val="16"/>
  </w:num>
  <w:num w:numId="19" w16cid:durableId="1850216526">
    <w:abstractNumId w:val="36"/>
  </w:num>
  <w:num w:numId="20" w16cid:durableId="1478496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65040957">
    <w:abstractNumId w:val="27"/>
  </w:num>
  <w:num w:numId="22" w16cid:durableId="829827802">
    <w:abstractNumId w:val="15"/>
  </w:num>
  <w:num w:numId="23" w16cid:durableId="1526360037">
    <w:abstractNumId w:val="10"/>
  </w:num>
  <w:num w:numId="24" w16cid:durableId="12446824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5264683">
    <w:abstractNumId w:val="4"/>
  </w:num>
  <w:num w:numId="26" w16cid:durableId="2111464282">
    <w:abstractNumId w:val="19"/>
  </w:num>
  <w:num w:numId="27" w16cid:durableId="624972141">
    <w:abstractNumId w:val="0"/>
  </w:num>
  <w:num w:numId="28" w16cid:durableId="688721644">
    <w:abstractNumId w:val="2"/>
  </w:num>
  <w:num w:numId="29" w16cid:durableId="888941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7932399">
    <w:abstractNumId w:val="24"/>
  </w:num>
  <w:num w:numId="31" w16cid:durableId="1926379099">
    <w:abstractNumId w:val="34"/>
  </w:num>
  <w:num w:numId="32" w16cid:durableId="1754812497">
    <w:abstractNumId w:val="33"/>
  </w:num>
  <w:num w:numId="33" w16cid:durableId="762578437">
    <w:abstractNumId w:val="23"/>
  </w:num>
  <w:num w:numId="34" w16cid:durableId="934631911">
    <w:abstractNumId w:val="5"/>
  </w:num>
  <w:num w:numId="35" w16cid:durableId="655002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9335993">
    <w:abstractNumId w:val="8"/>
  </w:num>
  <w:num w:numId="37" w16cid:durableId="555168165">
    <w:abstractNumId w:val="21"/>
  </w:num>
  <w:num w:numId="38" w16cid:durableId="1898661617">
    <w:abstractNumId w:val="11"/>
  </w:num>
  <w:num w:numId="39" w16cid:durableId="2855512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97"/>
    <w:rsid w:val="00003764"/>
    <w:rsid w:val="00003E89"/>
    <w:rsid w:val="00005573"/>
    <w:rsid w:val="00005831"/>
    <w:rsid w:val="00005987"/>
    <w:rsid w:val="00006BB5"/>
    <w:rsid w:val="0000741E"/>
    <w:rsid w:val="000078CF"/>
    <w:rsid w:val="00007909"/>
    <w:rsid w:val="0001207E"/>
    <w:rsid w:val="000142F6"/>
    <w:rsid w:val="000175D2"/>
    <w:rsid w:val="000227EB"/>
    <w:rsid w:val="00022A59"/>
    <w:rsid w:val="00023136"/>
    <w:rsid w:val="000242E6"/>
    <w:rsid w:val="00025BD3"/>
    <w:rsid w:val="00025CAF"/>
    <w:rsid w:val="00026AB9"/>
    <w:rsid w:val="000271F7"/>
    <w:rsid w:val="000315F7"/>
    <w:rsid w:val="00032CF6"/>
    <w:rsid w:val="00032FF8"/>
    <w:rsid w:val="00035D43"/>
    <w:rsid w:val="00037B84"/>
    <w:rsid w:val="000419C2"/>
    <w:rsid w:val="000420E9"/>
    <w:rsid w:val="000438D7"/>
    <w:rsid w:val="00044F81"/>
    <w:rsid w:val="000528BA"/>
    <w:rsid w:val="00053C2B"/>
    <w:rsid w:val="00054B4E"/>
    <w:rsid w:val="00055586"/>
    <w:rsid w:val="000559FB"/>
    <w:rsid w:val="00057B4E"/>
    <w:rsid w:val="000607DF"/>
    <w:rsid w:val="000610BF"/>
    <w:rsid w:val="00061450"/>
    <w:rsid w:val="000649FE"/>
    <w:rsid w:val="00064DDF"/>
    <w:rsid w:val="00070D0E"/>
    <w:rsid w:val="000739D3"/>
    <w:rsid w:val="00073EA4"/>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CCE"/>
    <w:rsid w:val="000A7A01"/>
    <w:rsid w:val="000A7E6C"/>
    <w:rsid w:val="000B0260"/>
    <w:rsid w:val="000B0F27"/>
    <w:rsid w:val="000B1A09"/>
    <w:rsid w:val="000B433A"/>
    <w:rsid w:val="000C111B"/>
    <w:rsid w:val="000C2F6A"/>
    <w:rsid w:val="000C7667"/>
    <w:rsid w:val="000D1822"/>
    <w:rsid w:val="000D4AB1"/>
    <w:rsid w:val="000D54BF"/>
    <w:rsid w:val="000D716E"/>
    <w:rsid w:val="000E0266"/>
    <w:rsid w:val="000E0FCE"/>
    <w:rsid w:val="000E118F"/>
    <w:rsid w:val="000E222D"/>
    <w:rsid w:val="000E2B7C"/>
    <w:rsid w:val="000E3412"/>
    <w:rsid w:val="000E5685"/>
    <w:rsid w:val="000E61AE"/>
    <w:rsid w:val="000E6377"/>
    <w:rsid w:val="000F0A27"/>
    <w:rsid w:val="000F1501"/>
    <w:rsid w:val="000F4D80"/>
    <w:rsid w:val="000F4FA4"/>
    <w:rsid w:val="000F7437"/>
    <w:rsid w:val="00102D51"/>
    <w:rsid w:val="001049AD"/>
    <w:rsid w:val="001052DD"/>
    <w:rsid w:val="00105EBE"/>
    <w:rsid w:val="00112426"/>
    <w:rsid w:val="0011340A"/>
    <w:rsid w:val="00115770"/>
    <w:rsid w:val="00117216"/>
    <w:rsid w:val="00123BF9"/>
    <w:rsid w:val="00127B1D"/>
    <w:rsid w:val="00130083"/>
    <w:rsid w:val="0013238A"/>
    <w:rsid w:val="00132BB9"/>
    <w:rsid w:val="00135544"/>
    <w:rsid w:val="00135E43"/>
    <w:rsid w:val="00136040"/>
    <w:rsid w:val="001446DD"/>
    <w:rsid w:val="00147CF8"/>
    <w:rsid w:val="001505EB"/>
    <w:rsid w:val="0015187C"/>
    <w:rsid w:val="00154598"/>
    <w:rsid w:val="00156C9A"/>
    <w:rsid w:val="00157307"/>
    <w:rsid w:val="00160B29"/>
    <w:rsid w:val="001625E9"/>
    <w:rsid w:val="00167FFD"/>
    <w:rsid w:val="0017083E"/>
    <w:rsid w:val="00170977"/>
    <w:rsid w:val="0017523E"/>
    <w:rsid w:val="00177EE4"/>
    <w:rsid w:val="00181A11"/>
    <w:rsid w:val="00183089"/>
    <w:rsid w:val="00183346"/>
    <w:rsid w:val="00185028"/>
    <w:rsid w:val="00186FF2"/>
    <w:rsid w:val="00187A67"/>
    <w:rsid w:val="0019057E"/>
    <w:rsid w:val="00193C5C"/>
    <w:rsid w:val="001953D5"/>
    <w:rsid w:val="001A143C"/>
    <w:rsid w:val="001A462C"/>
    <w:rsid w:val="001A532C"/>
    <w:rsid w:val="001A7A0F"/>
    <w:rsid w:val="001B011B"/>
    <w:rsid w:val="001B0CD4"/>
    <w:rsid w:val="001B270D"/>
    <w:rsid w:val="001B29BB"/>
    <w:rsid w:val="001B50EB"/>
    <w:rsid w:val="001C0737"/>
    <w:rsid w:val="001C4F4C"/>
    <w:rsid w:val="001C63A0"/>
    <w:rsid w:val="001D248E"/>
    <w:rsid w:val="001D2DAF"/>
    <w:rsid w:val="001D351D"/>
    <w:rsid w:val="001E0C36"/>
    <w:rsid w:val="001E3C28"/>
    <w:rsid w:val="001E4400"/>
    <w:rsid w:val="001E4F79"/>
    <w:rsid w:val="001E699D"/>
    <w:rsid w:val="001E7CC4"/>
    <w:rsid w:val="001F2896"/>
    <w:rsid w:val="001F3A43"/>
    <w:rsid w:val="001F6B3A"/>
    <w:rsid w:val="001F727F"/>
    <w:rsid w:val="001F799C"/>
    <w:rsid w:val="00204A99"/>
    <w:rsid w:val="002055DF"/>
    <w:rsid w:val="00207C68"/>
    <w:rsid w:val="002115E1"/>
    <w:rsid w:val="002115F6"/>
    <w:rsid w:val="00215B41"/>
    <w:rsid w:val="0021646F"/>
    <w:rsid w:val="00217A4E"/>
    <w:rsid w:val="00220D67"/>
    <w:rsid w:val="0022152D"/>
    <w:rsid w:val="00222BFD"/>
    <w:rsid w:val="00224200"/>
    <w:rsid w:val="00225614"/>
    <w:rsid w:val="00225EF9"/>
    <w:rsid w:val="00226B2D"/>
    <w:rsid w:val="002377F5"/>
    <w:rsid w:val="00237B58"/>
    <w:rsid w:val="002406F8"/>
    <w:rsid w:val="002420C3"/>
    <w:rsid w:val="00242C0C"/>
    <w:rsid w:val="00244DB2"/>
    <w:rsid w:val="002457FF"/>
    <w:rsid w:val="00251CBA"/>
    <w:rsid w:val="00251EA0"/>
    <w:rsid w:val="0025235A"/>
    <w:rsid w:val="002539AA"/>
    <w:rsid w:val="00254775"/>
    <w:rsid w:val="00255A2A"/>
    <w:rsid w:val="002564F7"/>
    <w:rsid w:val="00257ED1"/>
    <w:rsid w:val="00260190"/>
    <w:rsid w:val="002712C3"/>
    <w:rsid w:val="002739CC"/>
    <w:rsid w:val="0027676E"/>
    <w:rsid w:val="002769E1"/>
    <w:rsid w:val="00277325"/>
    <w:rsid w:val="00281207"/>
    <w:rsid w:val="0028361E"/>
    <w:rsid w:val="00283BF6"/>
    <w:rsid w:val="00290C1B"/>
    <w:rsid w:val="00291174"/>
    <w:rsid w:val="00291B14"/>
    <w:rsid w:val="00292C2F"/>
    <w:rsid w:val="00294B0B"/>
    <w:rsid w:val="00295341"/>
    <w:rsid w:val="00297A0D"/>
    <w:rsid w:val="002A30D3"/>
    <w:rsid w:val="002A33F4"/>
    <w:rsid w:val="002A6607"/>
    <w:rsid w:val="002B021B"/>
    <w:rsid w:val="002B0351"/>
    <w:rsid w:val="002B30C6"/>
    <w:rsid w:val="002B4772"/>
    <w:rsid w:val="002B485D"/>
    <w:rsid w:val="002B4A76"/>
    <w:rsid w:val="002B6083"/>
    <w:rsid w:val="002B6DE9"/>
    <w:rsid w:val="002C0728"/>
    <w:rsid w:val="002C14FA"/>
    <w:rsid w:val="002C1A93"/>
    <w:rsid w:val="002C2A8D"/>
    <w:rsid w:val="002C2B94"/>
    <w:rsid w:val="002C58DD"/>
    <w:rsid w:val="002C6C6E"/>
    <w:rsid w:val="002D0141"/>
    <w:rsid w:val="002D403A"/>
    <w:rsid w:val="002D4B37"/>
    <w:rsid w:val="002D5667"/>
    <w:rsid w:val="002D701F"/>
    <w:rsid w:val="002D7817"/>
    <w:rsid w:val="002E2969"/>
    <w:rsid w:val="002E3F5D"/>
    <w:rsid w:val="002E5C39"/>
    <w:rsid w:val="002E7E63"/>
    <w:rsid w:val="002F216B"/>
    <w:rsid w:val="002F229A"/>
    <w:rsid w:val="002F2C49"/>
    <w:rsid w:val="002F456D"/>
    <w:rsid w:val="002F529B"/>
    <w:rsid w:val="002F6526"/>
    <w:rsid w:val="00303B86"/>
    <w:rsid w:val="00303DB2"/>
    <w:rsid w:val="0030416C"/>
    <w:rsid w:val="0030418E"/>
    <w:rsid w:val="00305097"/>
    <w:rsid w:val="003052BE"/>
    <w:rsid w:val="00312F1C"/>
    <w:rsid w:val="0031632A"/>
    <w:rsid w:val="00321A27"/>
    <w:rsid w:val="003239E3"/>
    <w:rsid w:val="003257D4"/>
    <w:rsid w:val="00330567"/>
    <w:rsid w:val="00335B03"/>
    <w:rsid w:val="00336589"/>
    <w:rsid w:val="00336644"/>
    <w:rsid w:val="00336EBA"/>
    <w:rsid w:val="00341C5D"/>
    <w:rsid w:val="003441A3"/>
    <w:rsid w:val="0034660F"/>
    <w:rsid w:val="00351249"/>
    <w:rsid w:val="00354471"/>
    <w:rsid w:val="00355802"/>
    <w:rsid w:val="00355CE6"/>
    <w:rsid w:val="00355D85"/>
    <w:rsid w:val="0035693B"/>
    <w:rsid w:val="00360569"/>
    <w:rsid w:val="003610CA"/>
    <w:rsid w:val="00361B23"/>
    <w:rsid w:val="00364F74"/>
    <w:rsid w:val="00366969"/>
    <w:rsid w:val="00371284"/>
    <w:rsid w:val="00372C1E"/>
    <w:rsid w:val="00375125"/>
    <w:rsid w:val="0037538A"/>
    <w:rsid w:val="00376473"/>
    <w:rsid w:val="003770ED"/>
    <w:rsid w:val="00377ADF"/>
    <w:rsid w:val="00377BF0"/>
    <w:rsid w:val="00377C65"/>
    <w:rsid w:val="003834BD"/>
    <w:rsid w:val="0038751A"/>
    <w:rsid w:val="00387983"/>
    <w:rsid w:val="003900FB"/>
    <w:rsid w:val="003908EC"/>
    <w:rsid w:val="00390F5A"/>
    <w:rsid w:val="00392DB5"/>
    <w:rsid w:val="00393310"/>
    <w:rsid w:val="00393838"/>
    <w:rsid w:val="00394CE7"/>
    <w:rsid w:val="003966CC"/>
    <w:rsid w:val="00396EED"/>
    <w:rsid w:val="00397185"/>
    <w:rsid w:val="003A6A44"/>
    <w:rsid w:val="003A6D47"/>
    <w:rsid w:val="003B2A56"/>
    <w:rsid w:val="003C0ED3"/>
    <w:rsid w:val="003C499A"/>
    <w:rsid w:val="003C5B1A"/>
    <w:rsid w:val="003C5BCF"/>
    <w:rsid w:val="003C7F90"/>
    <w:rsid w:val="003D3CB5"/>
    <w:rsid w:val="003D413C"/>
    <w:rsid w:val="003D4D89"/>
    <w:rsid w:val="003E0BF9"/>
    <w:rsid w:val="003E3D71"/>
    <w:rsid w:val="003E4CA1"/>
    <w:rsid w:val="003E4F7C"/>
    <w:rsid w:val="003E6414"/>
    <w:rsid w:val="003E6E82"/>
    <w:rsid w:val="003F1DB2"/>
    <w:rsid w:val="003F2743"/>
    <w:rsid w:val="003F4D3A"/>
    <w:rsid w:val="003F73A7"/>
    <w:rsid w:val="0040019C"/>
    <w:rsid w:val="0040054A"/>
    <w:rsid w:val="00400CBD"/>
    <w:rsid w:val="004025B7"/>
    <w:rsid w:val="00403723"/>
    <w:rsid w:val="004042FF"/>
    <w:rsid w:val="00413484"/>
    <w:rsid w:val="00421357"/>
    <w:rsid w:val="0042272B"/>
    <w:rsid w:val="00423481"/>
    <w:rsid w:val="00424137"/>
    <w:rsid w:val="004244E1"/>
    <w:rsid w:val="004405D8"/>
    <w:rsid w:val="00440BFC"/>
    <w:rsid w:val="004415B7"/>
    <w:rsid w:val="00442E62"/>
    <w:rsid w:val="00444593"/>
    <w:rsid w:val="00444CE8"/>
    <w:rsid w:val="00445BDD"/>
    <w:rsid w:val="00451E8D"/>
    <w:rsid w:val="00453B1F"/>
    <w:rsid w:val="00453DDF"/>
    <w:rsid w:val="00456455"/>
    <w:rsid w:val="00462885"/>
    <w:rsid w:val="0046498E"/>
    <w:rsid w:val="004701EE"/>
    <w:rsid w:val="00470703"/>
    <w:rsid w:val="004728FC"/>
    <w:rsid w:val="00473C00"/>
    <w:rsid w:val="004740CD"/>
    <w:rsid w:val="00474D78"/>
    <w:rsid w:val="00475201"/>
    <w:rsid w:val="00476881"/>
    <w:rsid w:val="00476BC0"/>
    <w:rsid w:val="0048014C"/>
    <w:rsid w:val="00485754"/>
    <w:rsid w:val="00487B4A"/>
    <w:rsid w:val="0049144C"/>
    <w:rsid w:val="00493F3D"/>
    <w:rsid w:val="00494D5A"/>
    <w:rsid w:val="0049771D"/>
    <w:rsid w:val="00497AFE"/>
    <w:rsid w:val="004A105A"/>
    <w:rsid w:val="004A2C8C"/>
    <w:rsid w:val="004A3209"/>
    <w:rsid w:val="004A4575"/>
    <w:rsid w:val="004B0356"/>
    <w:rsid w:val="004B615F"/>
    <w:rsid w:val="004B631C"/>
    <w:rsid w:val="004B6C09"/>
    <w:rsid w:val="004B72E9"/>
    <w:rsid w:val="004C052C"/>
    <w:rsid w:val="004C0A7B"/>
    <w:rsid w:val="004C318D"/>
    <w:rsid w:val="004C7405"/>
    <w:rsid w:val="004D54E7"/>
    <w:rsid w:val="004D7372"/>
    <w:rsid w:val="004E02F6"/>
    <w:rsid w:val="004E435D"/>
    <w:rsid w:val="004E4AF7"/>
    <w:rsid w:val="004F17B7"/>
    <w:rsid w:val="004F1F85"/>
    <w:rsid w:val="004F2C17"/>
    <w:rsid w:val="004F351A"/>
    <w:rsid w:val="004F4F7E"/>
    <w:rsid w:val="004F5837"/>
    <w:rsid w:val="004F6614"/>
    <w:rsid w:val="004F6A2D"/>
    <w:rsid w:val="004F6B70"/>
    <w:rsid w:val="004F7B40"/>
    <w:rsid w:val="005000FC"/>
    <w:rsid w:val="0050027D"/>
    <w:rsid w:val="00503094"/>
    <w:rsid w:val="00505088"/>
    <w:rsid w:val="0051403A"/>
    <w:rsid w:val="005152CE"/>
    <w:rsid w:val="00515D76"/>
    <w:rsid w:val="00520C15"/>
    <w:rsid w:val="00523907"/>
    <w:rsid w:val="005240A6"/>
    <w:rsid w:val="00524A8D"/>
    <w:rsid w:val="005271E9"/>
    <w:rsid w:val="00531F76"/>
    <w:rsid w:val="00533AFF"/>
    <w:rsid w:val="00534EEF"/>
    <w:rsid w:val="00534FF1"/>
    <w:rsid w:val="005425DC"/>
    <w:rsid w:val="00542E2F"/>
    <w:rsid w:val="00544704"/>
    <w:rsid w:val="005461E8"/>
    <w:rsid w:val="005479A5"/>
    <w:rsid w:val="0055038F"/>
    <w:rsid w:val="00551283"/>
    <w:rsid w:val="00553141"/>
    <w:rsid w:val="00553322"/>
    <w:rsid w:val="005537EC"/>
    <w:rsid w:val="005539D4"/>
    <w:rsid w:val="0055516E"/>
    <w:rsid w:val="0055620E"/>
    <w:rsid w:val="00557A6D"/>
    <w:rsid w:val="00557C67"/>
    <w:rsid w:val="005607C0"/>
    <w:rsid w:val="00561119"/>
    <w:rsid w:val="00561816"/>
    <w:rsid w:val="00562C44"/>
    <w:rsid w:val="0056353E"/>
    <w:rsid w:val="0056532E"/>
    <w:rsid w:val="005672F3"/>
    <w:rsid w:val="0057137B"/>
    <w:rsid w:val="0057332F"/>
    <w:rsid w:val="0058158A"/>
    <w:rsid w:val="00581DDF"/>
    <w:rsid w:val="00586068"/>
    <w:rsid w:val="005861E0"/>
    <w:rsid w:val="005867B9"/>
    <w:rsid w:val="00587D3E"/>
    <w:rsid w:val="005901C0"/>
    <w:rsid w:val="00590BC1"/>
    <w:rsid w:val="00591864"/>
    <w:rsid w:val="00592870"/>
    <w:rsid w:val="00593432"/>
    <w:rsid w:val="005A032A"/>
    <w:rsid w:val="005A2316"/>
    <w:rsid w:val="005A6E16"/>
    <w:rsid w:val="005B577C"/>
    <w:rsid w:val="005B6074"/>
    <w:rsid w:val="005B7564"/>
    <w:rsid w:val="005B7EAC"/>
    <w:rsid w:val="005C07AE"/>
    <w:rsid w:val="005C36D6"/>
    <w:rsid w:val="005C429C"/>
    <w:rsid w:val="005C73B3"/>
    <w:rsid w:val="005D0973"/>
    <w:rsid w:val="005D2223"/>
    <w:rsid w:val="005D2E79"/>
    <w:rsid w:val="005D6B00"/>
    <w:rsid w:val="005D7499"/>
    <w:rsid w:val="005D758A"/>
    <w:rsid w:val="005D79F6"/>
    <w:rsid w:val="005E4E43"/>
    <w:rsid w:val="005E661B"/>
    <w:rsid w:val="005F0D75"/>
    <w:rsid w:val="005F33BD"/>
    <w:rsid w:val="005F383B"/>
    <w:rsid w:val="005F3907"/>
    <w:rsid w:val="005F5290"/>
    <w:rsid w:val="0060137B"/>
    <w:rsid w:val="006029D8"/>
    <w:rsid w:val="00606A42"/>
    <w:rsid w:val="0061057F"/>
    <w:rsid w:val="00611631"/>
    <w:rsid w:val="00612DD1"/>
    <w:rsid w:val="00614D8C"/>
    <w:rsid w:val="00616283"/>
    <w:rsid w:val="006170C0"/>
    <w:rsid w:val="00617EFF"/>
    <w:rsid w:val="00620788"/>
    <w:rsid w:val="00623177"/>
    <w:rsid w:val="00623E41"/>
    <w:rsid w:val="006243C2"/>
    <w:rsid w:val="00627EA9"/>
    <w:rsid w:val="0063031C"/>
    <w:rsid w:val="00636146"/>
    <w:rsid w:val="00636596"/>
    <w:rsid w:val="00640A3B"/>
    <w:rsid w:val="006414D1"/>
    <w:rsid w:val="006454F7"/>
    <w:rsid w:val="006478AB"/>
    <w:rsid w:val="0065107D"/>
    <w:rsid w:val="00655D46"/>
    <w:rsid w:val="00656231"/>
    <w:rsid w:val="00656306"/>
    <w:rsid w:val="0065650F"/>
    <w:rsid w:val="00657395"/>
    <w:rsid w:val="00657EEC"/>
    <w:rsid w:val="0066135C"/>
    <w:rsid w:val="00661C3C"/>
    <w:rsid w:val="006644DC"/>
    <w:rsid w:val="00666F66"/>
    <w:rsid w:val="00667036"/>
    <w:rsid w:val="00667FFB"/>
    <w:rsid w:val="006710E5"/>
    <w:rsid w:val="006761B3"/>
    <w:rsid w:val="00676666"/>
    <w:rsid w:val="006775AE"/>
    <w:rsid w:val="00680F44"/>
    <w:rsid w:val="0068746C"/>
    <w:rsid w:val="006918A4"/>
    <w:rsid w:val="00692473"/>
    <w:rsid w:val="00692F19"/>
    <w:rsid w:val="00693824"/>
    <w:rsid w:val="00693B36"/>
    <w:rsid w:val="006960BB"/>
    <w:rsid w:val="00696305"/>
    <w:rsid w:val="0069648D"/>
    <w:rsid w:val="00697231"/>
    <w:rsid w:val="006A0935"/>
    <w:rsid w:val="006A14D2"/>
    <w:rsid w:val="006A27F4"/>
    <w:rsid w:val="006A75D6"/>
    <w:rsid w:val="006B0C30"/>
    <w:rsid w:val="006B0ED5"/>
    <w:rsid w:val="006B1FFC"/>
    <w:rsid w:val="006B2D0E"/>
    <w:rsid w:val="006B3475"/>
    <w:rsid w:val="006B4B10"/>
    <w:rsid w:val="006B590D"/>
    <w:rsid w:val="006C54B6"/>
    <w:rsid w:val="006C5589"/>
    <w:rsid w:val="006C5F7B"/>
    <w:rsid w:val="006D08BA"/>
    <w:rsid w:val="006D3FDA"/>
    <w:rsid w:val="006D4C73"/>
    <w:rsid w:val="006D4EE0"/>
    <w:rsid w:val="006D5834"/>
    <w:rsid w:val="006D5AF1"/>
    <w:rsid w:val="006D6598"/>
    <w:rsid w:val="006D6652"/>
    <w:rsid w:val="006D7DF0"/>
    <w:rsid w:val="006E026B"/>
    <w:rsid w:val="006E6E99"/>
    <w:rsid w:val="006F0178"/>
    <w:rsid w:val="006F2EC1"/>
    <w:rsid w:val="006F3B9F"/>
    <w:rsid w:val="006F4F6A"/>
    <w:rsid w:val="007002E9"/>
    <w:rsid w:val="007017CC"/>
    <w:rsid w:val="00701B6F"/>
    <w:rsid w:val="00702F3D"/>
    <w:rsid w:val="007030F3"/>
    <w:rsid w:val="0070606A"/>
    <w:rsid w:val="00707B54"/>
    <w:rsid w:val="00711265"/>
    <w:rsid w:val="00711F5C"/>
    <w:rsid w:val="007206AD"/>
    <w:rsid w:val="0072092A"/>
    <w:rsid w:val="00720B37"/>
    <w:rsid w:val="00720F65"/>
    <w:rsid w:val="00724671"/>
    <w:rsid w:val="00724768"/>
    <w:rsid w:val="0073155E"/>
    <w:rsid w:val="007369BE"/>
    <w:rsid w:val="00736E02"/>
    <w:rsid w:val="007416C3"/>
    <w:rsid w:val="00743443"/>
    <w:rsid w:val="00746354"/>
    <w:rsid w:val="007466AB"/>
    <w:rsid w:val="0074692A"/>
    <w:rsid w:val="007470BA"/>
    <w:rsid w:val="007517F4"/>
    <w:rsid w:val="0075333F"/>
    <w:rsid w:val="007540F4"/>
    <w:rsid w:val="007543B2"/>
    <w:rsid w:val="00754D03"/>
    <w:rsid w:val="00755AE8"/>
    <w:rsid w:val="00760570"/>
    <w:rsid w:val="0076589A"/>
    <w:rsid w:val="00766BD7"/>
    <w:rsid w:val="0076756F"/>
    <w:rsid w:val="0077312E"/>
    <w:rsid w:val="007737DB"/>
    <w:rsid w:val="00780BBC"/>
    <w:rsid w:val="00782AA7"/>
    <w:rsid w:val="007846C9"/>
    <w:rsid w:val="0078645E"/>
    <w:rsid w:val="00786C3D"/>
    <w:rsid w:val="00790267"/>
    <w:rsid w:val="00790AFC"/>
    <w:rsid w:val="00790C6D"/>
    <w:rsid w:val="00791B77"/>
    <w:rsid w:val="00792A54"/>
    <w:rsid w:val="00793610"/>
    <w:rsid w:val="0079377C"/>
    <w:rsid w:val="0079395A"/>
    <w:rsid w:val="007958BB"/>
    <w:rsid w:val="0079693B"/>
    <w:rsid w:val="0079776C"/>
    <w:rsid w:val="00797A78"/>
    <w:rsid w:val="007A287F"/>
    <w:rsid w:val="007B1EBD"/>
    <w:rsid w:val="007B5277"/>
    <w:rsid w:val="007B5EE5"/>
    <w:rsid w:val="007B683A"/>
    <w:rsid w:val="007B6FE8"/>
    <w:rsid w:val="007B789A"/>
    <w:rsid w:val="007C0693"/>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80019C"/>
    <w:rsid w:val="00800694"/>
    <w:rsid w:val="00800F69"/>
    <w:rsid w:val="008023C4"/>
    <w:rsid w:val="00806946"/>
    <w:rsid w:val="00806985"/>
    <w:rsid w:val="0081435E"/>
    <w:rsid w:val="008162BC"/>
    <w:rsid w:val="00822C4A"/>
    <w:rsid w:val="008231D9"/>
    <w:rsid w:val="00825D2C"/>
    <w:rsid w:val="0083030A"/>
    <w:rsid w:val="00833258"/>
    <w:rsid w:val="00833771"/>
    <w:rsid w:val="00833C05"/>
    <w:rsid w:val="008361F6"/>
    <w:rsid w:val="00836320"/>
    <w:rsid w:val="00837070"/>
    <w:rsid w:val="0084094A"/>
    <w:rsid w:val="00841418"/>
    <w:rsid w:val="00844F54"/>
    <w:rsid w:val="00846425"/>
    <w:rsid w:val="00846EB8"/>
    <w:rsid w:val="00850768"/>
    <w:rsid w:val="0085245B"/>
    <w:rsid w:val="00854F39"/>
    <w:rsid w:val="00857DE5"/>
    <w:rsid w:val="008601DB"/>
    <w:rsid w:val="0086140B"/>
    <w:rsid w:val="0086193A"/>
    <w:rsid w:val="00862400"/>
    <w:rsid w:val="00862CD3"/>
    <w:rsid w:val="00865FF4"/>
    <w:rsid w:val="00866B56"/>
    <w:rsid w:val="00866C7F"/>
    <w:rsid w:val="0087282C"/>
    <w:rsid w:val="008735D2"/>
    <w:rsid w:val="008741FA"/>
    <w:rsid w:val="00874CAA"/>
    <w:rsid w:val="00875E25"/>
    <w:rsid w:val="00877096"/>
    <w:rsid w:val="008822F2"/>
    <w:rsid w:val="008849AB"/>
    <w:rsid w:val="008853F7"/>
    <w:rsid w:val="00890F54"/>
    <w:rsid w:val="00892484"/>
    <w:rsid w:val="008925E0"/>
    <w:rsid w:val="00892F89"/>
    <w:rsid w:val="008938A8"/>
    <w:rsid w:val="00894C54"/>
    <w:rsid w:val="00897915"/>
    <w:rsid w:val="008979E4"/>
    <w:rsid w:val="008A05DA"/>
    <w:rsid w:val="008A0FE1"/>
    <w:rsid w:val="008A142E"/>
    <w:rsid w:val="008A208A"/>
    <w:rsid w:val="008A2236"/>
    <w:rsid w:val="008B4C2B"/>
    <w:rsid w:val="008B7385"/>
    <w:rsid w:val="008B7929"/>
    <w:rsid w:val="008C0C5D"/>
    <w:rsid w:val="008C1260"/>
    <w:rsid w:val="008C32EC"/>
    <w:rsid w:val="008D35F4"/>
    <w:rsid w:val="008D3C4E"/>
    <w:rsid w:val="008D3D6B"/>
    <w:rsid w:val="008D46C8"/>
    <w:rsid w:val="008E3D27"/>
    <w:rsid w:val="008E6DA3"/>
    <w:rsid w:val="008E73E3"/>
    <w:rsid w:val="008E74D3"/>
    <w:rsid w:val="008E7A6A"/>
    <w:rsid w:val="008E7DEC"/>
    <w:rsid w:val="008E7F77"/>
    <w:rsid w:val="008F0CFB"/>
    <w:rsid w:val="008F14E6"/>
    <w:rsid w:val="00903C32"/>
    <w:rsid w:val="009105F0"/>
    <w:rsid w:val="00911535"/>
    <w:rsid w:val="0091274D"/>
    <w:rsid w:val="00912B3A"/>
    <w:rsid w:val="0091427A"/>
    <w:rsid w:val="00920540"/>
    <w:rsid w:val="00920778"/>
    <w:rsid w:val="00920DC1"/>
    <w:rsid w:val="00921FEB"/>
    <w:rsid w:val="00922321"/>
    <w:rsid w:val="009229D4"/>
    <w:rsid w:val="00925406"/>
    <w:rsid w:val="00925A62"/>
    <w:rsid w:val="00926854"/>
    <w:rsid w:val="00930618"/>
    <w:rsid w:val="00937D20"/>
    <w:rsid w:val="00941666"/>
    <w:rsid w:val="00942801"/>
    <w:rsid w:val="0094521E"/>
    <w:rsid w:val="00945D67"/>
    <w:rsid w:val="00946291"/>
    <w:rsid w:val="009507F5"/>
    <w:rsid w:val="00950F5D"/>
    <w:rsid w:val="00952D3C"/>
    <w:rsid w:val="00953D1F"/>
    <w:rsid w:val="00955A98"/>
    <w:rsid w:val="00955B3E"/>
    <w:rsid w:val="009563AF"/>
    <w:rsid w:val="00956CEB"/>
    <w:rsid w:val="009570AD"/>
    <w:rsid w:val="00957DC1"/>
    <w:rsid w:val="009626AA"/>
    <w:rsid w:val="00970C48"/>
    <w:rsid w:val="00970FB0"/>
    <w:rsid w:val="009710E6"/>
    <w:rsid w:val="00971E3F"/>
    <w:rsid w:val="009735FF"/>
    <w:rsid w:val="00983D90"/>
    <w:rsid w:val="00984F1D"/>
    <w:rsid w:val="00985C74"/>
    <w:rsid w:val="0098747C"/>
    <w:rsid w:val="00990090"/>
    <w:rsid w:val="00990143"/>
    <w:rsid w:val="00990CE5"/>
    <w:rsid w:val="009A0338"/>
    <w:rsid w:val="009A0487"/>
    <w:rsid w:val="009A194C"/>
    <w:rsid w:val="009A2626"/>
    <w:rsid w:val="009A2EF5"/>
    <w:rsid w:val="009A3D72"/>
    <w:rsid w:val="009A4C31"/>
    <w:rsid w:val="009B10C5"/>
    <w:rsid w:val="009B2916"/>
    <w:rsid w:val="009B3638"/>
    <w:rsid w:val="009B5239"/>
    <w:rsid w:val="009C01E8"/>
    <w:rsid w:val="009C359A"/>
    <w:rsid w:val="009C6A0C"/>
    <w:rsid w:val="009C6A7E"/>
    <w:rsid w:val="009C70E6"/>
    <w:rsid w:val="009D1BAD"/>
    <w:rsid w:val="009D1F6B"/>
    <w:rsid w:val="009D277B"/>
    <w:rsid w:val="009D314C"/>
    <w:rsid w:val="009D3680"/>
    <w:rsid w:val="009D3D53"/>
    <w:rsid w:val="009D4303"/>
    <w:rsid w:val="009D629D"/>
    <w:rsid w:val="009D7040"/>
    <w:rsid w:val="009E0560"/>
    <w:rsid w:val="009E08BF"/>
    <w:rsid w:val="009E1568"/>
    <w:rsid w:val="009E5EF1"/>
    <w:rsid w:val="009E65B8"/>
    <w:rsid w:val="009F1CE6"/>
    <w:rsid w:val="009F4872"/>
    <w:rsid w:val="009F6F21"/>
    <w:rsid w:val="00A004E2"/>
    <w:rsid w:val="00A01416"/>
    <w:rsid w:val="00A0142A"/>
    <w:rsid w:val="00A033DA"/>
    <w:rsid w:val="00A054F1"/>
    <w:rsid w:val="00A06037"/>
    <w:rsid w:val="00A139DC"/>
    <w:rsid w:val="00A15B8D"/>
    <w:rsid w:val="00A15D6A"/>
    <w:rsid w:val="00A1786A"/>
    <w:rsid w:val="00A2166C"/>
    <w:rsid w:val="00A2403C"/>
    <w:rsid w:val="00A24C2A"/>
    <w:rsid w:val="00A252E9"/>
    <w:rsid w:val="00A25DA4"/>
    <w:rsid w:val="00A26727"/>
    <w:rsid w:val="00A31389"/>
    <w:rsid w:val="00A32E29"/>
    <w:rsid w:val="00A40C93"/>
    <w:rsid w:val="00A4269B"/>
    <w:rsid w:val="00A42FCC"/>
    <w:rsid w:val="00A43B07"/>
    <w:rsid w:val="00A44BA6"/>
    <w:rsid w:val="00A4512F"/>
    <w:rsid w:val="00A455C0"/>
    <w:rsid w:val="00A45B89"/>
    <w:rsid w:val="00A517DE"/>
    <w:rsid w:val="00A5410E"/>
    <w:rsid w:val="00A56307"/>
    <w:rsid w:val="00A56920"/>
    <w:rsid w:val="00A578D2"/>
    <w:rsid w:val="00A64B7B"/>
    <w:rsid w:val="00A67A51"/>
    <w:rsid w:val="00A70D8F"/>
    <w:rsid w:val="00A70F50"/>
    <w:rsid w:val="00A746DF"/>
    <w:rsid w:val="00A74A02"/>
    <w:rsid w:val="00A74A8A"/>
    <w:rsid w:val="00A75587"/>
    <w:rsid w:val="00A81559"/>
    <w:rsid w:val="00A825C7"/>
    <w:rsid w:val="00A83DD8"/>
    <w:rsid w:val="00A850AC"/>
    <w:rsid w:val="00A92AC1"/>
    <w:rsid w:val="00A93498"/>
    <w:rsid w:val="00A93C9C"/>
    <w:rsid w:val="00A93CDE"/>
    <w:rsid w:val="00A948EC"/>
    <w:rsid w:val="00AA00C9"/>
    <w:rsid w:val="00AA1B11"/>
    <w:rsid w:val="00AA4035"/>
    <w:rsid w:val="00AA4B84"/>
    <w:rsid w:val="00AA68D5"/>
    <w:rsid w:val="00AA7F56"/>
    <w:rsid w:val="00AB0FD3"/>
    <w:rsid w:val="00AB31FE"/>
    <w:rsid w:val="00AB321F"/>
    <w:rsid w:val="00AB7D63"/>
    <w:rsid w:val="00AC1BE1"/>
    <w:rsid w:val="00AC1D1B"/>
    <w:rsid w:val="00AC64A8"/>
    <w:rsid w:val="00AD1A65"/>
    <w:rsid w:val="00AD2906"/>
    <w:rsid w:val="00AD3DE5"/>
    <w:rsid w:val="00AD4280"/>
    <w:rsid w:val="00AD435A"/>
    <w:rsid w:val="00AD4747"/>
    <w:rsid w:val="00AD6331"/>
    <w:rsid w:val="00AE060F"/>
    <w:rsid w:val="00AE21FF"/>
    <w:rsid w:val="00AE2AE0"/>
    <w:rsid w:val="00AE546D"/>
    <w:rsid w:val="00AE69F7"/>
    <w:rsid w:val="00AE7456"/>
    <w:rsid w:val="00AF0322"/>
    <w:rsid w:val="00AF0847"/>
    <w:rsid w:val="00AF537A"/>
    <w:rsid w:val="00AF739D"/>
    <w:rsid w:val="00B00409"/>
    <w:rsid w:val="00B02891"/>
    <w:rsid w:val="00B02F42"/>
    <w:rsid w:val="00B03855"/>
    <w:rsid w:val="00B0514D"/>
    <w:rsid w:val="00B0739C"/>
    <w:rsid w:val="00B110E1"/>
    <w:rsid w:val="00B1127F"/>
    <w:rsid w:val="00B11691"/>
    <w:rsid w:val="00B12559"/>
    <w:rsid w:val="00B16DB4"/>
    <w:rsid w:val="00B2021B"/>
    <w:rsid w:val="00B22C69"/>
    <w:rsid w:val="00B22EB2"/>
    <w:rsid w:val="00B23F4E"/>
    <w:rsid w:val="00B24855"/>
    <w:rsid w:val="00B25F31"/>
    <w:rsid w:val="00B35360"/>
    <w:rsid w:val="00B37175"/>
    <w:rsid w:val="00B40E4A"/>
    <w:rsid w:val="00B418D7"/>
    <w:rsid w:val="00B42C81"/>
    <w:rsid w:val="00B43589"/>
    <w:rsid w:val="00B43658"/>
    <w:rsid w:val="00B4433D"/>
    <w:rsid w:val="00B4511C"/>
    <w:rsid w:val="00B45982"/>
    <w:rsid w:val="00B45BC1"/>
    <w:rsid w:val="00B4651B"/>
    <w:rsid w:val="00B500B8"/>
    <w:rsid w:val="00B5091C"/>
    <w:rsid w:val="00B51390"/>
    <w:rsid w:val="00B56037"/>
    <w:rsid w:val="00B56188"/>
    <w:rsid w:val="00B577D1"/>
    <w:rsid w:val="00B62A9A"/>
    <w:rsid w:val="00B63217"/>
    <w:rsid w:val="00B63551"/>
    <w:rsid w:val="00B667C4"/>
    <w:rsid w:val="00B67971"/>
    <w:rsid w:val="00B70059"/>
    <w:rsid w:val="00B70EC8"/>
    <w:rsid w:val="00B80948"/>
    <w:rsid w:val="00B85517"/>
    <w:rsid w:val="00B9033C"/>
    <w:rsid w:val="00B93BD9"/>
    <w:rsid w:val="00B94BE4"/>
    <w:rsid w:val="00B94DA4"/>
    <w:rsid w:val="00B95BF2"/>
    <w:rsid w:val="00B95D9F"/>
    <w:rsid w:val="00B96F28"/>
    <w:rsid w:val="00BA00B7"/>
    <w:rsid w:val="00BA4860"/>
    <w:rsid w:val="00BA74A1"/>
    <w:rsid w:val="00BA7A07"/>
    <w:rsid w:val="00BA7B84"/>
    <w:rsid w:val="00BB0A10"/>
    <w:rsid w:val="00BB0AB1"/>
    <w:rsid w:val="00BB277F"/>
    <w:rsid w:val="00BB2997"/>
    <w:rsid w:val="00BB4D83"/>
    <w:rsid w:val="00BB5682"/>
    <w:rsid w:val="00BB572D"/>
    <w:rsid w:val="00BB5B8B"/>
    <w:rsid w:val="00BB6378"/>
    <w:rsid w:val="00BC2520"/>
    <w:rsid w:val="00BC35EB"/>
    <w:rsid w:val="00BC5867"/>
    <w:rsid w:val="00BC587B"/>
    <w:rsid w:val="00BC5A8D"/>
    <w:rsid w:val="00BC7FA5"/>
    <w:rsid w:val="00BD0FD8"/>
    <w:rsid w:val="00BD4DB0"/>
    <w:rsid w:val="00BD712F"/>
    <w:rsid w:val="00BE40B7"/>
    <w:rsid w:val="00BF14AB"/>
    <w:rsid w:val="00BF2D91"/>
    <w:rsid w:val="00BF37A0"/>
    <w:rsid w:val="00BF47C5"/>
    <w:rsid w:val="00BF666F"/>
    <w:rsid w:val="00C02878"/>
    <w:rsid w:val="00C02B96"/>
    <w:rsid w:val="00C0480B"/>
    <w:rsid w:val="00C04A6C"/>
    <w:rsid w:val="00C142AB"/>
    <w:rsid w:val="00C1467F"/>
    <w:rsid w:val="00C15596"/>
    <w:rsid w:val="00C15A80"/>
    <w:rsid w:val="00C173CA"/>
    <w:rsid w:val="00C20CC8"/>
    <w:rsid w:val="00C21428"/>
    <w:rsid w:val="00C2301E"/>
    <w:rsid w:val="00C24059"/>
    <w:rsid w:val="00C25F74"/>
    <w:rsid w:val="00C26B83"/>
    <w:rsid w:val="00C2709A"/>
    <w:rsid w:val="00C30C15"/>
    <w:rsid w:val="00C32013"/>
    <w:rsid w:val="00C3204F"/>
    <w:rsid w:val="00C34842"/>
    <w:rsid w:val="00C356AC"/>
    <w:rsid w:val="00C359DE"/>
    <w:rsid w:val="00C35E38"/>
    <w:rsid w:val="00C361B9"/>
    <w:rsid w:val="00C3796E"/>
    <w:rsid w:val="00C40F21"/>
    <w:rsid w:val="00C414CB"/>
    <w:rsid w:val="00C4560B"/>
    <w:rsid w:val="00C471C1"/>
    <w:rsid w:val="00C471F3"/>
    <w:rsid w:val="00C57C38"/>
    <w:rsid w:val="00C6570F"/>
    <w:rsid w:val="00C670E9"/>
    <w:rsid w:val="00C67440"/>
    <w:rsid w:val="00C7153F"/>
    <w:rsid w:val="00C73727"/>
    <w:rsid w:val="00C74C63"/>
    <w:rsid w:val="00C76221"/>
    <w:rsid w:val="00C80708"/>
    <w:rsid w:val="00C80FD9"/>
    <w:rsid w:val="00C81706"/>
    <w:rsid w:val="00C82197"/>
    <w:rsid w:val="00C85731"/>
    <w:rsid w:val="00C86E08"/>
    <w:rsid w:val="00C92DF1"/>
    <w:rsid w:val="00C92DFC"/>
    <w:rsid w:val="00C93224"/>
    <w:rsid w:val="00C96F60"/>
    <w:rsid w:val="00CA08EC"/>
    <w:rsid w:val="00CA15BD"/>
    <w:rsid w:val="00CA670F"/>
    <w:rsid w:val="00CA7E0F"/>
    <w:rsid w:val="00CB2319"/>
    <w:rsid w:val="00CB2917"/>
    <w:rsid w:val="00CB349A"/>
    <w:rsid w:val="00CB5B82"/>
    <w:rsid w:val="00CB5BB3"/>
    <w:rsid w:val="00CB7B58"/>
    <w:rsid w:val="00CC2AA7"/>
    <w:rsid w:val="00CC3546"/>
    <w:rsid w:val="00CC4B47"/>
    <w:rsid w:val="00CD1091"/>
    <w:rsid w:val="00CD16CE"/>
    <w:rsid w:val="00CD2D41"/>
    <w:rsid w:val="00CD73A3"/>
    <w:rsid w:val="00CE04DA"/>
    <w:rsid w:val="00CE2896"/>
    <w:rsid w:val="00CE57E8"/>
    <w:rsid w:val="00CF24F7"/>
    <w:rsid w:val="00CF2941"/>
    <w:rsid w:val="00CF362F"/>
    <w:rsid w:val="00CF3632"/>
    <w:rsid w:val="00CF66B7"/>
    <w:rsid w:val="00CF76B6"/>
    <w:rsid w:val="00CF7D82"/>
    <w:rsid w:val="00CF7E2E"/>
    <w:rsid w:val="00D0540A"/>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7AB6"/>
    <w:rsid w:val="00D402FC"/>
    <w:rsid w:val="00D4374D"/>
    <w:rsid w:val="00D5212B"/>
    <w:rsid w:val="00D53629"/>
    <w:rsid w:val="00D56BD2"/>
    <w:rsid w:val="00D62F55"/>
    <w:rsid w:val="00D65DDB"/>
    <w:rsid w:val="00D67153"/>
    <w:rsid w:val="00D67E23"/>
    <w:rsid w:val="00D70C62"/>
    <w:rsid w:val="00D71E5E"/>
    <w:rsid w:val="00D725E0"/>
    <w:rsid w:val="00D73039"/>
    <w:rsid w:val="00D736B3"/>
    <w:rsid w:val="00D747FF"/>
    <w:rsid w:val="00D76077"/>
    <w:rsid w:val="00D76220"/>
    <w:rsid w:val="00D762ED"/>
    <w:rsid w:val="00D76554"/>
    <w:rsid w:val="00D7696C"/>
    <w:rsid w:val="00D774F1"/>
    <w:rsid w:val="00D809A9"/>
    <w:rsid w:val="00D80C52"/>
    <w:rsid w:val="00D81A61"/>
    <w:rsid w:val="00D831DD"/>
    <w:rsid w:val="00D85110"/>
    <w:rsid w:val="00D87B09"/>
    <w:rsid w:val="00D87FE0"/>
    <w:rsid w:val="00D9115E"/>
    <w:rsid w:val="00D9316D"/>
    <w:rsid w:val="00D956E1"/>
    <w:rsid w:val="00D95F56"/>
    <w:rsid w:val="00D9606E"/>
    <w:rsid w:val="00D97B78"/>
    <w:rsid w:val="00D97FD0"/>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D2524"/>
    <w:rsid w:val="00DD2E23"/>
    <w:rsid w:val="00DD3864"/>
    <w:rsid w:val="00DD4A71"/>
    <w:rsid w:val="00DD70EA"/>
    <w:rsid w:val="00DD7321"/>
    <w:rsid w:val="00DE0275"/>
    <w:rsid w:val="00DE08A8"/>
    <w:rsid w:val="00DE55B4"/>
    <w:rsid w:val="00DE60BE"/>
    <w:rsid w:val="00DE7272"/>
    <w:rsid w:val="00DE7D66"/>
    <w:rsid w:val="00DF0563"/>
    <w:rsid w:val="00DF55AB"/>
    <w:rsid w:val="00DF61C7"/>
    <w:rsid w:val="00DF7AD4"/>
    <w:rsid w:val="00DF7EC8"/>
    <w:rsid w:val="00E00072"/>
    <w:rsid w:val="00E0123E"/>
    <w:rsid w:val="00E014A2"/>
    <w:rsid w:val="00E01B06"/>
    <w:rsid w:val="00E02C74"/>
    <w:rsid w:val="00E05DEB"/>
    <w:rsid w:val="00E0650B"/>
    <w:rsid w:val="00E06E9E"/>
    <w:rsid w:val="00E077AF"/>
    <w:rsid w:val="00E14983"/>
    <w:rsid w:val="00E15639"/>
    <w:rsid w:val="00E1626C"/>
    <w:rsid w:val="00E17181"/>
    <w:rsid w:val="00E20C71"/>
    <w:rsid w:val="00E2362C"/>
    <w:rsid w:val="00E2388C"/>
    <w:rsid w:val="00E26D8D"/>
    <w:rsid w:val="00E3043C"/>
    <w:rsid w:val="00E31181"/>
    <w:rsid w:val="00E31E70"/>
    <w:rsid w:val="00E34C05"/>
    <w:rsid w:val="00E362B0"/>
    <w:rsid w:val="00E36B48"/>
    <w:rsid w:val="00E42E9C"/>
    <w:rsid w:val="00E469B4"/>
    <w:rsid w:val="00E46DD6"/>
    <w:rsid w:val="00E47A33"/>
    <w:rsid w:val="00E50F24"/>
    <w:rsid w:val="00E52D10"/>
    <w:rsid w:val="00E55867"/>
    <w:rsid w:val="00E61A05"/>
    <w:rsid w:val="00E62B5B"/>
    <w:rsid w:val="00E66D95"/>
    <w:rsid w:val="00E67D87"/>
    <w:rsid w:val="00E70467"/>
    <w:rsid w:val="00E7367D"/>
    <w:rsid w:val="00E74645"/>
    <w:rsid w:val="00E756BB"/>
    <w:rsid w:val="00E76C98"/>
    <w:rsid w:val="00E831B2"/>
    <w:rsid w:val="00E83E1E"/>
    <w:rsid w:val="00E86DD7"/>
    <w:rsid w:val="00E9302A"/>
    <w:rsid w:val="00E95A89"/>
    <w:rsid w:val="00E96FC2"/>
    <w:rsid w:val="00E97A76"/>
    <w:rsid w:val="00E97B90"/>
    <w:rsid w:val="00EA131A"/>
    <w:rsid w:val="00EA36A7"/>
    <w:rsid w:val="00EA6D62"/>
    <w:rsid w:val="00EA7284"/>
    <w:rsid w:val="00EA74AF"/>
    <w:rsid w:val="00EA76F1"/>
    <w:rsid w:val="00EB3E67"/>
    <w:rsid w:val="00EB44CC"/>
    <w:rsid w:val="00EC1695"/>
    <w:rsid w:val="00EC21CF"/>
    <w:rsid w:val="00EC4DDE"/>
    <w:rsid w:val="00EC579E"/>
    <w:rsid w:val="00ED0136"/>
    <w:rsid w:val="00ED0DA9"/>
    <w:rsid w:val="00ED3275"/>
    <w:rsid w:val="00ED329F"/>
    <w:rsid w:val="00ED4C82"/>
    <w:rsid w:val="00ED7200"/>
    <w:rsid w:val="00EE19FE"/>
    <w:rsid w:val="00EE3087"/>
    <w:rsid w:val="00EE4245"/>
    <w:rsid w:val="00EE4A48"/>
    <w:rsid w:val="00EE6D64"/>
    <w:rsid w:val="00EF5E2A"/>
    <w:rsid w:val="00EF64B1"/>
    <w:rsid w:val="00EF6548"/>
    <w:rsid w:val="00F00D98"/>
    <w:rsid w:val="00F017D9"/>
    <w:rsid w:val="00F02574"/>
    <w:rsid w:val="00F05A90"/>
    <w:rsid w:val="00F05E3C"/>
    <w:rsid w:val="00F07248"/>
    <w:rsid w:val="00F07B0D"/>
    <w:rsid w:val="00F07C34"/>
    <w:rsid w:val="00F10664"/>
    <w:rsid w:val="00F146B3"/>
    <w:rsid w:val="00F14C98"/>
    <w:rsid w:val="00F24423"/>
    <w:rsid w:val="00F2730E"/>
    <w:rsid w:val="00F311C0"/>
    <w:rsid w:val="00F31375"/>
    <w:rsid w:val="00F31F4A"/>
    <w:rsid w:val="00F335BE"/>
    <w:rsid w:val="00F34E44"/>
    <w:rsid w:val="00F373D4"/>
    <w:rsid w:val="00F42672"/>
    <w:rsid w:val="00F44A9F"/>
    <w:rsid w:val="00F474A5"/>
    <w:rsid w:val="00F47DCF"/>
    <w:rsid w:val="00F528DD"/>
    <w:rsid w:val="00F57E0A"/>
    <w:rsid w:val="00F71FCD"/>
    <w:rsid w:val="00F73F8E"/>
    <w:rsid w:val="00F741FB"/>
    <w:rsid w:val="00F751B5"/>
    <w:rsid w:val="00F769AB"/>
    <w:rsid w:val="00F80D46"/>
    <w:rsid w:val="00F816DF"/>
    <w:rsid w:val="00F83C2B"/>
    <w:rsid w:val="00F83E07"/>
    <w:rsid w:val="00F8437D"/>
    <w:rsid w:val="00F84FD8"/>
    <w:rsid w:val="00F8617A"/>
    <w:rsid w:val="00F86C8F"/>
    <w:rsid w:val="00F86D9B"/>
    <w:rsid w:val="00F904BB"/>
    <w:rsid w:val="00F9173C"/>
    <w:rsid w:val="00F91C33"/>
    <w:rsid w:val="00F97379"/>
    <w:rsid w:val="00F97E5B"/>
    <w:rsid w:val="00FA3077"/>
    <w:rsid w:val="00FA3DB8"/>
    <w:rsid w:val="00FA4A24"/>
    <w:rsid w:val="00FB6614"/>
    <w:rsid w:val="00FB6BBA"/>
    <w:rsid w:val="00FB7F40"/>
    <w:rsid w:val="00FC0429"/>
    <w:rsid w:val="00FC4772"/>
    <w:rsid w:val="00FC6173"/>
    <w:rsid w:val="00FC6303"/>
    <w:rsid w:val="00FC6EE9"/>
    <w:rsid w:val="00FD2AD0"/>
    <w:rsid w:val="00FD42CD"/>
    <w:rsid w:val="00FD5DB5"/>
    <w:rsid w:val="00FE2146"/>
    <w:rsid w:val="00FE339D"/>
    <w:rsid w:val="00FE4935"/>
    <w:rsid w:val="00FE596A"/>
    <w:rsid w:val="00FE72B1"/>
    <w:rsid w:val="00FF1607"/>
    <w:rsid w:val="00FF267A"/>
    <w:rsid w:val="00FF3263"/>
    <w:rsid w:val="00FF333E"/>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22984899">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062049245">
      <w:bodyDiv w:val="1"/>
      <w:marLeft w:val="0"/>
      <w:marRight w:val="0"/>
      <w:marTop w:val="0"/>
      <w:marBottom w:val="0"/>
      <w:divBdr>
        <w:top w:val="none" w:sz="0" w:space="0" w:color="auto"/>
        <w:left w:val="none" w:sz="0" w:space="0" w:color="auto"/>
        <w:bottom w:val="none" w:sz="0" w:space="0" w:color="auto"/>
        <w:right w:val="none" w:sz="0" w:space="0" w:color="auto"/>
      </w:divBdr>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B4DA-5752-4916-930F-0324949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Mariana Anguelov</cp:lastModifiedBy>
  <cp:revision>3</cp:revision>
  <cp:lastPrinted>2022-11-15T19:27:00Z</cp:lastPrinted>
  <dcterms:created xsi:type="dcterms:W3CDTF">2022-11-22T06:59:00Z</dcterms:created>
  <dcterms:modified xsi:type="dcterms:W3CDTF">2022-11-27T07:49:00Z</dcterms:modified>
</cp:coreProperties>
</file>