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0C463920" w:rsidR="006C43D7" w:rsidRPr="00DB28D9" w:rsidRDefault="006C43D7" w:rsidP="006C43D7">
      <w:pPr>
        <w:spacing w:line="360" w:lineRule="auto"/>
        <w:jc w:val="right"/>
        <w:rPr>
          <w:b/>
          <w:bCs/>
        </w:rPr>
      </w:pPr>
      <w:r w:rsidRPr="006C43D7">
        <w:rPr>
          <w:b/>
        </w:rPr>
        <w:t xml:space="preserve">CASE NO: </w:t>
      </w:r>
      <w:r w:rsidR="00114773">
        <w:rPr>
          <w:rFonts w:eastAsia="Calibri" w:cs="Arial"/>
          <w:b/>
          <w:bCs/>
          <w:spacing w:val="-3"/>
          <w:lang w:val="en-GB" w:eastAsia="en-GB"/>
        </w:rPr>
        <w:t>A5017</w:t>
      </w:r>
      <w:r w:rsidR="001A0926">
        <w:rPr>
          <w:rFonts w:eastAsia="Calibri" w:cs="Arial"/>
          <w:b/>
          <w:bCs/>
          <w:spacing w:val="-3"/>
          <w:lang w:val="en-GB" w:eastAsia="en-GB"/>
        </w:rPr>
        <w:t>/</w:t>
      </w:r>
      <w:r w:rsidR="00114773">
        <w:rPr>
          <w:rFonts w:eastAsia="Calibri" w:cs="Arial"/>
          <w:b/>
          <w:bCs/>
          <w:spacing w:val="-3"/>
          <w:lang w:val="en-GB" w:eastAsia="en-GB"/>
        </w:rPr>
        <w:t>2022</w:t>
      </w:r>
    </w:p>
    <w:p w14:paraId="0AF8DD38" w14:textId="77777777" w:rsidR="006C43D7" w:rsidRPr="006C43D7" w:rsidRDefault="006C43D7" w:rsidP="006C43D7">
      <w:pPr>
        <w:spacing w:line="360" w:lineRule="auto"/>
        <w:jc w:val="right"/>
      </w:pPr>
      <w:r w:rsidRPr="006C43D7">
        <w:rPr>
          <w:noProof/>
          <w:lang w:eastAsia="en-ZA"/>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51CEBDFE" w:rsidR="00D645C6" w:rsidRDefault="008F0B49" w:rsidP="008F0B4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3E26B9">
                              <w:rPr>
                                <w:rFonts w:ascii="Century Gothic" w:hAnsi="Century Gothic"/>
                                <w:sz w:val="20"/>
                                <w:szCs w:val="20"/>
                              </w:rPr>
                              <w:t>No</w:t>
                            </w:r>
                          </w:p>
                          <w:p w14:paraId="3A4C7296" w14:textId="056D6BD7" w:rsidR="00D645C6" w:rsidRPr="001D3CC2" w:rsidRDefault="008F0B49" w:rsidP="008F0B4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51CEBDFE" w:rsidR="00D645C6" w:rsidRDefault="008F0B49" w:rsidP="008F0B49">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3E26B9">
                        <w:rPr>
                          <w:rFonts w:ascii="Century Gothic" w:hAnsi="Century Gothic"/>
                          <w:sz w:val="20"/>
                          <w:szCs w:val="20"/>
                        </w:rPr>
                        <w:t>No</w:t>
                      </w:r>
                    </w:p>
                    <w:p w14:paraId="3A4C7296" w14:textId="056D6BD7" w:rsidR="00D645C6" w:rsidRPr="001D3CC2" w:rsidRDefault="008F0B49" w:rsidP="008F0B49">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4A0761D" w:rsidR="00AA7A76" w:rsidRPr="007C3CD4" w:rsidRDefault="00AA7A76" w:rsidP="00AA7A76">
      <w:pPr>
        <w:spacing w:line="480" w:lineRule="auto"/>
        <w:jc w:val="both"/>
        <w:rPr>
          <w:rFonts w:cs="Arial"/>
          <w:szCs w:val="22"/>
        </w:rPr>
      </w:pPr>
      <w:r w:rsidRPr="007C3CD4">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2373"/>
      </w:tblGrid>
      <w:tr w:rsidR="002104BF" w:rsidRPr="007C3CD4" w14:paraId="4E86F7E7" w14:textId="77777777" w:rsidTr="0029327C">
        <w:tc>
          <w:tcPr>
            <w:tcW w:w="6178" w:type="dxa"/>
          </w:tcPr>
          <w:p w14:paraId="74EE3EDE" w14:textId="07D6DAB8" w:rsidR="002104BF" w:rsidRPr="007C3CD4" w:rsidRDefault="00114773" w:rsidP="0029327C">
            <w:pPr>
              <w:spacing w:before="120"/>
              <w:jc w:val="both"/>
              <w:rPr>
                <w:rFonts w:cs="Arial"/>
                <w:b/>
                <w:bCs/>
                <w:szCs w:val="22"/>
              </w:rPr>
            </w:pPr>
            <w:r w:rsidRPr="007C3CD4">
              <w:rPr>
                <w:rFonts w:cs="Arial"/>
                <w:b/>
                <w:bCs/>
              </w:rPr>
              <w:t>SHILANE, NYEPANE PETRUS</w:t>
            </w:r>
          </w:p>
        </w:tc>
        <w:tc>
          <w:tcPr>
            <w:tcW w:w="2373" w:type="dxa"/>
          </w:tcPr>
          <w:p w14:paraId="72EECEF8" w14:textId="1C82DB60" w:rsidR="002104BF" w:rsidRPr="007C3CD4" w:rsidRDefault="00114773" w:rsidP="0029327C">
            <w:pPr>
              <w:spacing w:before="120"/>
              <w:jc w:val="both"/>
              <w:rPr>
                <w:rFonts w:cs="Arial"/>
                <w:b/>
                <w:bCs/>
                <w:szCs w:val="22"/>
              </w:rPr>
            </w:pPr>
            <w:r w:rsidRPr="007C3CD4">
              <w:rPr>
                <w:rFonts w:cs="Arial"/>
                <w:b/>
                <w:bCs/>
                <w:szCs w:val="22"/>
              </w:rPr>
              <w:t>Appellant</w:t>
            </w:r>
          </w:p>
        </w:tc>
      </w:tr>
      <w:tr w:rsidR="002104BF" w:rsidRPr="007C3CD4" w14:paraId="64E42908" w14:textId="77777777" w:rsidTr="0029327C">
        <w:tc>
          <w:tcPr>
            <w:tcW w:w="6178" w:type="dxa"/>
          </w:tcPr>
          <w:p w14:paraId="6E1E5BEB" w14:textId="24690245" w:rsidR="002104BF" w:rsidRPr="007C3CD4" w:rsidRDefault="002104BF" w:rsidP="0029327C">
            <w:pPr>
              <w:spacing w:before="120"/>
              <w:jc w:val="both"/>
              <w:rPr>
                <w:rFonts w:cs="Arial"/>
                <w:b/>
                <w:bCs/>
                <w:szCs w:val="22"/>
              </w:rPr>
            </w:pPr>
            <w:r w:rsidRPr="007C3CD4">
              <w:rPr>
                <w:rFonts w:cs="Arial"/>
                <w:b/>
                <w:bCs/>
                <w:szCs w:val="22"/>
              </w:rPr>
              <w:t>and</w:t>
            </w:r>
          </w:p>
        </w:tc>
        <w:tc>
          <w:tcPr>
            <w:tcW w:w="2373" w:type="dxa"/>
          </w:tcPr>
          <w:p w14:paraId="1DB932F2" w14:textId="77777777" w:rsidR="002104BF" w:rsidRPr="007C3CD4" w:rsidRDefault="002104BF" w:rsidP="0029327C">
            <w:pPr>
              <w:spacing w:before="120"/>
              <w:jc w:val="both"/>
              <w:rPr>
                <w:rFonts w:cs="Arial"/>
                <w:b/>
                <w:bCs/>
                <w:szCs w:val="22"/>
              </w:rPr>
            </w:pPr>
          </w:p>
        </w:tc>
      </w:tr>
      <w:tr w:rsidR="002104BF" w:rsidRPr="007C3CD4" w14:paraId="3BCAF70A" w14:textId="77777777" w:rsidTr="0029327C">
        <w:tc>
          <w:tcPr>
            <w:tcW w:w="6178" w:type="dxa"/>
          </w:tcPr>
          <w:p w14:paraId="0E8BF73D" w14:textId="38A9E78D" w:rsidR="002104BF" w:rsidRPr="007C3CD4" w:rsidRDefault="00114773" w:rsidP="0029327C">
            <w:pPr>
              <w:tabs>
                <w:tab w:val="right" w:pos="8931"/>
              </w:tabs>
              <w:spacing w:before="120"/>
              <w:rPr>
                <w:rFonts w:cs="Arial"/>
                <w:b/>
                <w:bCs/>
                <w:szCs w:val="22"/>
              </w:rPr>
            </w:pPr>
            <w:r w:rsidRPr="007C3CD4">
              <w:rPr>
                <w:rFonts w:cs="Arial"/>
                <w:b/>
                <w:bCs/>
              </w:rPr>
              <w:t>TEN NAPEL, JAN LOURENS</w:t>
            </w:r>
          </w:p>
        </w:tc>
        <w:tc>
          <w:tcPr>
            <w:tcW w:w="2373" w:type="dxa"/>
          </w:tcPr>
          <w:p w14:paraId="2A989CFA" w14:textId="338FC19B" w:rsidR="002104BF" w:rsidRPr="007C3CD4" w:rsidRDefault="00114773" w:rsidP="0029327C">
            <w:pPr>
              <w:spacing w:before="120"/>
              <w:jc w:val="both"/>
              <w:rPr>
                <w:rFonts w:cs="Arial"/>
                <w:b/>
                <w:bCs/>
                <w:szCs w:val="22"/>
              </w:rPr>
            </w:pPr>
            <w:r w:rsidRPr="007C3CD4">
              <w:rPr>
                <w:rFonts w:cs="Arial"/>
                <w:b/>
                <w:bCs/>
                <w:szCs w:val="22"/>
              </w:rPr>
              <w:t xml:space="preserve">First </w:t>
            </w:r>
            <w:r w:rsidR="002104BF" w:rsidRPr="007C3CD4">
              <w:rPr>
                <w:rFonts w:cs="Arial"/>
                <w:b/>
                <w:bCs/>
                <w:szCs w:val="22"/>
              </w:rPr>
              <w:t>Respondent</w:t>
            </w:r>
          </w:p>
        </w:tc>
      </w:tr>
      <w:tr w:rsidR="00114773" w:rsidRPr="007C3CD4" w14:paraId="13F6C7F1" w14:textId="77777777" w:rsidTr="0029327C">
        <w:tc>
          <w:tcPr>
            <w:tcW w:w="6178" w:type="dxa"/>
          </w:tcPr>
          <w:p w14:paraId="4B1594AF" w14:textId="2F16F8FB" w:rsidR="00114773" w:rsidRPr="007C3CD4" w:rsidRDefault="00114773" w:rsidP="0029327C">
            <w:pPr>
              <w:tabs>
                <w:tab w:val="right" w:pos="8931"/>
              </w:tabs>
              <w:spacing w:before="120"/>
              <w:rPr>
                <w:rFonts w:cs="Arial"/>
                <w:b/>
                <w:bCs/>
              </w:rPr>
            </w:pPr>
            <w:r w:rsidRPr="007C3CD4">
              <w:rPr>
                <w:rFonts w:cs="Arial"/>
                <w:b/>
                <w:bCs/>
              </w:rPr>
              <w:t>DU RANDT, HUGO</w:t>
            </w:r>
          </w:p>
        </w:tc>
        <w:tc>
          <w:tcPr>
            <w:tcW w:w="2373" w:type="dxa"/>
          </w:tcPr>
          <w:p w14:paraId="15F5DB9D" w14:textId="6AECAE2F" w:rsidR="00114773" w:rsidRPr="007C3CD4" w:rsidRDefault="00114773" w:rsidP="0029327C">
            <w:pPr>
              <w:spacing w:before="120"/>
              <w:jc w:val="both"/>
              <w:rPr>
                <w:rFonts w:cs="Arial"/>
                <w:b/>
                <w:bCs/>
                <w:szCs w:val="22"/>
              </w:rPr>
            </w:pPr>
            <w:r w:rsidRPr="007C3CD4">
              <w:rPr>
                <w:rFonts w:cs="Arial"/>
                <w:b/>
                <w:bCs/>
                <w:szCs w:val="22"/>
              </w:rPr>
              <w:t>Second Respondent</w:t>
            </w:r>
          </w:p>
        </w:tc>
      </w:tr>
      <w:tr w:rsidR="00114773" w:rsidRPr="007C3CD4" w14:paraId="2019C428" w14:textId="77777777" w:rsidTr="0029327C">
        <w:tc>
          <w:tcPr>
            <w:tcW w:w="6178" w:type="dxa"/>
          </w:tcPr>
          <w:p w14:paraId="2D9AC0DE" w14:textId="0F75186B" w:rsidR="00114773" w:rsidRPr="007C3CD4" w:rsidRDefault="00114773" w:rsidP="0029327C">
            <w:pPr>
              <w:tabs>
                <w:tab w:val="right" w:pos="8931"/>
              </w:tabs>
              <w:spacing w:before="120"/>
              <w:rPr>
                <w:rFonts w:cs="Arial"/>
                <w:b/>
                <w:bCs/>
              </w:rPr>
            </w:pPr>
            <w:r w:rsidRPr="007C3CD4">
              <w:rPr>
                <w:rFonts w:cs="Arial"/>
                <w:b/>
                <w:bCs/>
              </w:rPr>
              <w:t>EKURHULENI METROPOLITAN MUNICIPALITY</w:t>
            </w:r>
          </w:p>
        </w:tc>
        <w:tc>
          <w:tcPr>
            <w:tcW w:w="2373" w:type="dxa"/>
          </w:tcPr>
          <w:p w14:paraId="24E5D499" w14:textId="027D0F37" w:rsidR="00114773" w:rsidRPr="007C3CD4" w:rsidRDefault="00114773" w:rsidP="0029327C">
            <w:pPr>
              <w:spacing w:before="120"/>
              <w:jc w:val="both"/>
              <w:rPr>
                <w:rFonts w:cs="Arial"/>
                <w:b/>
                <w:bCs/>
                <w:szCs w:val="22"/>
              </w:rPr>
            </w:pPr>
            <w:r w:rsidRPr="007C3CD4">
              <w:rPr>
                <w:rFonts w:cs="Arial"/>
                <w:b/>
                <w:bCs/>
                <w:szCs w:val="22"/>
              </w:rPr>
              <w:t>Third Respondent</w:t>
            </w:r>
          </w:p>
        </w:tc>
      </w:tr>
      <w:tr w:rsidR="00114773" w:rsidRPr="007C3CD4" w14:paraId="40049E3F" w14:textId="77777777" w:rsidTr="0029327C">
        <w:tc>
          <w:tcPr>
            <w:tcW w:w="6178" w:type="dxa"/>
          </w:tcPr>
          <w:p w14:paraId="3BDC349E" w14:textId="77777777" w:rsidR="001D468C" w:rsidRPr="007C3CD4" w:rsidRDefault="001D468C" w:rsidP="0029327C">
            <w:pPr>
              <w:tabs>
                <w:tab w:val="right" w:pos="8931"/>
              </w:tabs>
              <w:spacing w:before="120"/>
              <w:rPr>
                <w:rFonts w:cs="Arial"/>
                <w:szCs w:val="22"/>
              </w:rPr>
            </w:pPr>
          </w:p>
          <w:p w14:paraId="4099E13F" w14:textId="77777777" w:rsidR="00114773" w:rsidRPr="007C3CD4" w:rsidRDefault="00114773" w:rsidP="0029327C">
            <w:pPr>
              <w:tabs>
                <w:tab w:val="right" w:pos="8931"/>
              </w:tabs>
              <w:spacing w:before="120"/>
              <w:rPr>
                <w:rFonts w:cs="Arial"/>
                <w:szCs w:val="22"/>
              </w:rPr>
            </w:pPr>
            <w:r w:rsidRPr="007C3CD4">
              <w:rPr>
                <w:rFonts w:cs="Arial"/>
                <w:szCs w:val="22"/>
              </w:rPr>
              <w:t>In re the matter between</w:t>
            </w:r>
          </w:p>
          <w:p w14:paraId="75D4E795" w14:textId="09DB640C" w:rsidR="001D468C" w:rsidRPr="007C3CD4" w:rsidRDefault="001D468C" w:rsidP="0029327C">
            <w:pPr>
              <w:tabs>
                <w:tab w:val="right" w:pos="8931"/>
              </w:tabs>
              <w:spacing w:before="120"/>
              <w:rPr>
                <w:rFonts w:cs="Arial"/>
                <w:b/>
                <w:bCs/>
              </w:rPr>
            </w:pPr>
          </w:p>
        </w:tc>
        <w:tc>
          <w:tcPr>
            <w:tcW w:w="2373" w:type="dxa"/>
          </w:tcPr>
          <w:p w14:paraId="03C53811" w14:textId="77777777" w:rsidR="00114773" w:rsidRPr="007C3CD4" w:rsidRDefault="00114773" w:rsidP="0029327C">
            <w:pPr>
              <w:spacing w:before="120"/>
              <w:jc w:val="both"/>
              <w:rPr>
                <w:rFonts w:cs="Arial"/>
                <w:b/>
                <w:bCs/>
                <w:szCs w:val="22"/>
              </w:rPr>
            </w:pPr>
          </w:p>
        </w:tc>
      </w:tr>
      <w:tr w:rsidR="00114773" w:rsidRPr="007C3CD4" w14:paraId="5462954C" w14:textId="77777777" w:rsidTr="0029327C">
        <w:tc>
          <w:tcPr>
            <w:tcW w:w="6178" w:type="dxa"/>
          </w:tcPr>
          <w:p w14:paraId="74C25782" w14:textId="557CB0D7" w:rsidR="00114773" w:rsidRPr="007C3CD4" w:rsidRDefault="00114773" w:rsidP="0029327C">
            <w:pPr>
              <w:tabs>
                <w:tab w:val="right" w:pos="8931"/>
              </w:tabs>
              <w:spacing w:before="120"/>
              <w:rPr>
                <w:rFonts w:cs="Arial"/>
                <w:szCs w:val="22"/>
              </w:rPr>
            </w:pPr>
            <w:r w:rsidRPr="007C3CD4">
              <w:rPr>
                <w:rFonts w:cs="Arial"/>
                <w:b/>
                <w:bCs/>
              </w:rPr>
              <w:t>TEN NAPEL, JAN LOURENS</w:t>
            </w:r>
          </w:p>
        </w:tc>
        <w:tc>
          <w:tcPr>
            <w:tcW w:w="2373" w:type="dxa"/>
          </w:tcPr>
          <w:p w14:paraId="5EA3FE60" w14:textId="702735F5" w:rsidR="00114773" w:rsidRPr="007C3CD4" w:rsidRDefault="00114773" w:rsidP="0029327C">
            <w:pPr>
              <w:spacing w:before="120"/>
              <w:jc w:val="both"/>
              <w:rPr>
                <w:rFonts w:cs="Arial"/>
                <w:b/>
                <w:bCs/>
                <w:szCs w:val="22"/>
              </w:rPr>
            </w:pPr>
            <w:r w:rsidRPr="007C3CD4">
              <w:rPr>
                <w:rFonts w:cs="Arial"/>
                <w:b/>
                <w:bCs/>
                <w:szCs w:val="22"/>
              </w:rPr>
              <w:t>First Applicant</w:t>
            </w:r>
          </w:p>
        </w:tc>
      </w:tr>
      <w:tr w:rsidR="00114773" w:rsidRPr="007C3CD4" w14:paraId="66753803" w14:textId="77777777" w:rsidTr="0029327C">
        <w:tc>
          <w:tcPr>
            <w:tcW w:w="6178" w:type="dxa"/>
          </w:tcPr>
          <w:p w14:paraId="1F33E6CF" w14:textId="76CB4A5E" w:rsidR="00114773" w:rsidRPr="007C3CD4" w:rsidRDefault="00114773" w:rsidP="0029327C">
            <w:pPr>
              <w:tabs>
                <w:tab w:val="right" w:pos="8931"/>
              </w:tabs>
              <w:spacing w:before="120"/>
              <w:rPr>
                <w:rFonts w:cs="Arial"/>
                <w:b/>
                <w:bCs/>
              </w:rPr>
            </w:pPr>
            <w:r w:rsidRPr="007C3CD4">
              <w:rPr>
                <w:rFonts w:cs="Arial"/>
                <w:b/>
                <w:bCs/>
              </w:rPr>
              <w:t>DU RANDT, HUGO</w:t>
            </w:r>
          </w:p>
        </w:tc>
        <w:tc>
          <w:tcPr>
            <w:tcW w:w="2373" w:type="dxa"/>
          </w:tcPr>
          <w:p w14:paraId="252A6519" w14:textId="02DD8A19" w:rsidR="00114773" w:rsidRPr="007C3CD4" w:rsidRDefault="00114773" w:rsidP="0029327C">
            <w:pPr>
              <w:spacing w:before="120"/>
              <w:jc w:val="both"/>
              <w:rPr>
                <w:rFonts w:cs="Arial"/>
                <w:b/>
                <w:bCs/>
                <w:szCs w:val="22"/>
              </w:rPr>
            </w:pPr>
            <w:r w:rsidRPr="007C3CD4">
              <w:rPr>
                <w:rFonts w:cs="Arial"/>
                <w:b/>
                <w:bCs/>
                <w:szCs w:val="22"/>
              </w:rPr>
              <w:t>Second Applicant</w:t>
            </w:r>
          </w:p>
        </w:tc>
      </w:tr>
      <w:tr w:rsidR="00114773" w:rsidRPr="007C3CD4" w14:paraId="4BF6110B" w14:textId="77777777" w:rsidTr="0029327C">
        <w:tc>
          <w:tcPr>
            <w:tcW w:w="6178" w:type="dxa"/>
          </w:tcPr>
          <w:p w14:paraId="38CCCADD" w14:textId="30D47EAE" w:rsidR="00114773" w:rsidRPr="007C3CD4" w:rsidRDefault="00114773" w:rsidP="0029327C">
            <w:pPr>
              <w:tabs>
                <w:tab w:val="right" w:pos="8931"/>
              </w:tabs>
              <w:spacing w:before="120"/>
              <w:rPr>
                <w:rFonts w:cs="Arial"/>
                <w:b/>
                <w:bCs/>
              </w:rPr>
            </w:pPr>
            <w:r w:rsidRPr="007C3CD4">
              <w:rPr>
                <w:rFonts w:cs="Arial"/>
                <w:b/>
                <w:bCs/>
              </w:rPr>
              <w:t>And</w:t>
            </w:r>
          </w:p>
        </w:tc>
        <w:tc>
          <w:tcPr>
            <w:tcW w:w="2373" w:type="dxa"/>
          </w:tcPr>
          <w:p w14:paraId="238F4FD3" w14:textId="77777777" w:rsidR="00114773" w:rsidRPr="007C3CD4" w:rsidRDefault="00114773" w:rsidP="0029327C">
            <w:pPr>
              <w:spacing w:before="120"/>
              <w:jc w:val="both"/>
              <w:rPr>
                <w:rFonts w:cs="Arial"/>
                <w:b/>
                <w:bCs/>
                <w:szCs w:val="22"/>
              </w:rPr>
            </w:pPr>
          </w:p>
        </w:tc>
      </w:tr>
      <w:tr w:rsidR="00114773" w:rsidRPr="007C3CD4" w14:paraId="06EBC018" w14:textId="77777777" w:rsidTr="0029327C">
        <w:tc>
          <w:tcPr>
            <w:tcW w:w="6178" w:type="dxa"/>
          </w:tcPr>
          <w:p w14:paraId="31439009" w14:textId="0853AB88" w:rsidR="00114773" w:rsidRPr="007C3CD4" w:rsidRDefault="00114773" w:rsidP="0029327C">
            <w:pPr>
              <w:tabs>
                <w:tab w:val="right" w:pos="8931"/>
              </w:tabs>
              <w:spacing w:before="120"/>
              <w:rPr>
                <w:rFonts w:cs="Arial"/>
                <w:b/>
                <w:bCs/>
              </w:rPr>
            </w:pPr>
            <w:r w:rsidRPr="007C3CD4">
              <w:rPr>
                <w:rFonts w:cs="Arial"/>
                <w:b/>
                <w:bCs/>
              </w:rPr>
              <w:t>EKURHULENI METROPOLITAN MUNICIPALITY</w:t>
            </w:r>
          </w:p>
        </w:tc>
        <w:tc>
          <w:tcPr>
            <w:tcW w:w="2373" w:type="dxa"/>
          </w:tcPr>
          <w:p w14:paraId="07F96D88" w14:textId="27FD5ED7" w:rsidR="00114773" w:rsidRPr="007C3CD4" w:rsidRDefault="00114773" w:rsidP="0029327C">
            <w:pPr>
              <w:spacing w:before="120"/>
              <w:jc w:val="both"/>
              <w:rPr>
                <w:rFonts w:cs="Arial"/>
                <w:b/>
                <w:bCs/>
                <w:szCs w:val="22"/>
              </w:rPr>
            </w:pPr>
            <w:r w:rsidRPr="007C3CD4">
              <w:rPr>
                <w:rFonts w:cs="Arial"/>
                <w:b/>
                <w:bCs/>
                <w:szCs w:val="22"/>
              </w:rPr>
              <w:t>First Respondent</w:t>
            </w:r>
          </w:p>
        </w:tc>
      </w:tr>
      <w:tr w:rsidR="00114773" w:rsidRPr="007C3CD4" w14:paraId="7052EF54" w14:textId="77777777" w:rsidTr="0029327C">
        <w:tc>
          <w:tcPr>
            <w:tcW w:w="6178" w:type="dxa"/>
          </w:tcPr>
          <w:p w14:paraId="5153F1DD" w14:textId="5987BD74" w:rsidR="00114773" w:rsidRPr="007C3CD4" w:rsidRDefault="00114773" w:rsidP="0029327C">
            <w:pPr>
              <w:tabs>
                <w:tab w:val="right" w:pos="8931"/>
              </w:tabs>
              <w:spacing w:before="120"/>
              <w:rPr>
                <w:rFonts w:cs="Arial"/>
                <w:b/>
                <w:bCs/>
              </w:rPr>
            </w:pPr>
            <w:r w:rsidRPr="007C3CD4">
              <w:rPr>
                <w:rFonts w:cs="Arial"/>
                <w:b/>
                <w:bCs/>
              </w:rPr>
              <w:t>SHILANE, NYEPANE PETRUS</w:t>
            </w:r>
          </w:p>
        </w:tc>
        <w:tc>
          <w:tcPr>
            <w:tcW w:w="2373" w:type="dxa"/>
          </w:tcPr>
          <w:p w14:paraId="1C728487" w14:textId="10A95AD6" w:rsidR="00114773" w:rsidRPr="007C3CD4" w:rsidRDefault="00114773" w:rsidP="0029327C">
            <w:pPr>
              <w:spacing w:before="120"/>
              <w:jc w:val="both"/>
              <w:rPr>
                <w:rFonts w:cs="Arial"/>
                <w:b/>
                <w:bCs/>
                <w:szCs w:val="22"/>
              </w:rPr>
            </w:pPr>
            <w:r w:rsidRPr="007C3CD4">
              <w:rPr>
                <w:rFonts w:cs="Arial"/>
                <w:b/>
                <w:bCs/>
                <w:szCs w:val="22"/>
              </w:rPr>
              <w:t>Second Respondent</w:t>
            </w:r>
          </w:p>
        </w:tc>
      </w:tr>
      <w:tr w:rsidR="001D468C" w:rsidRPr="007C3CD4" w14:paraId="14FA16E1" w14:textId="77777777" w:rsidTr="0029327C">
        <w:tc>
          <w:tcPr>
            <w:tcW w:w="6178" w:type="dxa"/>
          </w:tcPr>
          <w:p w14:paraId="6974CF4E" w14:textId="612D6320" w:rsidR="001D468C" w:rsidRPr="007C3CD4" w:rsidRDefault="001D468C" w:rsidP="0029327C">
            <w:pPr>
              <w:tabs>
                <w:tab w:val="right" w:pos="8931"/>
              </w:tabs>
              <w:spacing w:before="120"/>
              <w:rPr>
                <w:rFonts w:cs="Arial"/>
                <w:b/>
                <w:bCs/>
              </w:rPr>
            </w:pPr>
          </w:p>
        </w:tc>
        <w:tc>
          <w:tcPr>
            <w:tcW w:w="2373" w:type="dxa"/>
          </w:tcPr>
          <w:p w14:paraId="4141D0F5" w14:textId="19E42A09" w:rsidR="001D468C" w:rsidRPr="007C3CD4" w:rsidRDefault="001D468C" w:rsidP="0029327C">
            <w:pPr>
              <w:spacing w:before="120"/>
              <w:jc w:val="both"/>
              <w:rPr>
                <w:rFonts w:cs="Arial"/>
                <w:b/>
                <w:bCs/>
                <w:szCs w:val="22"/>
              </w:rPr>
            </w:pPr>
          </w:p>
        </w:tc>
      </w:tr>
    </w:tbl>
    <w:p w14:paraId="39D66B97" w14:textId="6340EDBB" w:rsidR="00114773" w:rsidRDefault="00114773" w:rsidP="006C43D7">
      <w:pPr>
        <w:pBdr>
          <w:bottom w:val="single" w:sz="4" w:space="1" w:color="auto"/>
        </w:pBdr>
        <w:spacing w:line="360" w:lineRule="auto"/>
        <w:jc w:val="both"/>
        <w:rPr>
          <w:rFonts w:cs="Arial"/>
          <w:szCs w:val="22"/>
        </w:rPr>
      </w:pPr>
    </w:p>
    <w:p w14:paraId="4CED055D" w14:textId="3BF396E1" w:rsidR="003D0892" w:rsidRDefault="003D0892" w:rsidP="006C43D7">
      <w:pPr>
        <w:pBdr>
          <w:bottom w:val="single" w:sz="4" w:space="1" w:color="auto"/>
        </w:pBdr>
        <w:spacing w:line="360" w:lineRule="auto"/>
        <w:jc w:val="both"/>
        <w:rPr>
          <w:rFonts w:cs="Arial"/>
          <w:szCs w:val="22"/>
        </w:rPr>
      </w:pPr>
    </w:p>
    <w:p w14:paraId="0AF00444" w14:textId="34E065F7" w:rsidR="003D0892" w:rsidRDefault="003D0892" w:rsidP="006C43D7">
      <w:pPr>
        <w:pBdr>
          <w:bottom w:val="single" w:sz="4" w:space="1" w:color="auto"/>
        </w:pBdr>
        <w:spacing w:line="360" w:lineRule="auto"/>
        <w:jc w:val="both"/>
        <w:rPr>
          <w:rFonts w:cs="Arial"/>
          <w:szCs w:val="22"/>
        </w:rPr>
      </w:pPr>
    </w:p>
    <w:p w14:paraId="1FB49697" w14:textId="77777777" w:rsidR="003D0892" w:rsidRPr="007C3CD4" w:rsidRDefault="003D0892" w:rsidP="006C43D7">
      <w:pPr>
        <w:pBdr>
          <w:bottom w:val="single" w:sz="4" w:space="1" w:color="auto"/>
        </w:pBdr>
        <w:spacing w:line="360" w:lineRule="auto"/>
        <w:jc w:val="both"/>
        <w:rPr>
          <w:rFonts w:cs="Arial"/>
          <w:szCs w:val="22"/>
        </w:rPr>
      </w:pPr>
    </w:p>
    <w:p w14:paraId="44944973" w14:textId="77777777" w:rsidR="00114773" w:rsidRPr="007C3CD4" w:rsidRDefault="00114773" w:rsidP="006C43D7">
      <w:pPr>
        <w:pBdr>
          <w:bottom w:val="single" w:sz="4" w:space="1" w:color="auto"/>
        </w:pBdr>
        <w:spacing w:line="360" w:lineRule="auto"/>
        <w:jc w:val="both"/>
        <w:rPr>
          <w:rFonts w:cs="Arial"/>
          <w:szCs w:val="22"/>
        </w:rPr>
      </w:pPr>
    </w:p>
    <w:p w14:paraId="58DE5549" w14:textId="77777777" w:rsidR="006C43D7" w:rsidRPr="007C3CD4" w:rsidRDefault="006C43D7" w:rsidP="006C43D7">
      <w:pPr>
        <w:spacing w:line="276" w:lineRule="auto"/>
        <w:jc w:val="both"/>
        <w:rPr>
          <w:rFonts w:cs="Arial"/>
          <w:szCs w:val="22"/>
        </w:rPr>
      </w:pPr>
    </w:p>
    <w:p w14:paraId="647AB70C" w14:textId="77777777" w:rsidR="006C43D7" w:rsidRPr="007C3CD4" w:rsidRDefault="006C43D7" w:rsidP="006C43D7">
      <w:pPr>
        <w:keepNext/>
        <w:spacing w:line="276" w:lineRule="auto"/>
        <w:jc w:val="center"/>
        <w:outlineLvl w:val="1"/>
        <w:rPr>
          <w:rFonts w:cs="Arial"/>
          <w:b/>
          <w:bCs/>
          <w:szCs w:val="22"/>
        </w:rPr>
      </w:pPr>
      <w:r w:rsidRPr="007C3CD4">
        <w:rPr>
          <w:rFonts w:cs="Arial"/>
          <w:b/>
          <w:bCs/>
          <w:szCs w:val="22"/>
        </w:rPr>
        <w:t>JUDGMENT</w:t>
      </w:r>
    </w:p>
    <w:p w14:paraId="52CD25EB" w14:textId="77777777" w:rsidR="006C43D7" w:rsidRPr="007C3CD4" w:rsidRDefault="006C43D7" w:rsidP="006C43D7">
      <w:pPr>
        <w:pBdr>
          <w:bottom w:val="single" w:sz="4" w:space="1" w:color="auto"/>
        </w:pBdr>
        <w:jc w:val="both"/>
        <w:rPr>
          <w:rFonts w:cs="Arial"/>
          <w:szCs w:val="22"/>
        </w:rPr>
      </w:pPr>
    </w:p>
    <w:p w14:paraId="0CA76DA1" w14:textId="77777777" w:rsidR="00DC621D" w:rsidRPr="007C3CD4" w:rsidRDefault="00DC621D" w:rsidP="00DC621D">
      <w:pPr>
        <w:spacing w:line="480" w:lineRule="auto"/>
        <w:jc w:val="both"/>
        <w:rPr>
          <w:rFonts w:cs="Arial"/>
          <w:b/>
          <w:szCs w:val="22"/>
        </w:rPr>
      </w:pPr>
    </w:p>
    <w:p w14:paraId="1D994D57" w14:textId="55AF9DEA" w:rsidR="00B065B2" w:rsidRPr="007C3CD4" w:rsidRDefault="006F2CCE" w:rsidP="00B065B2">
      <w:pPr>
        <w:spacing w:after="480" w:line="480" w:lineRule="auto"/>
        <w:jc w:val="both"/>
        <w:rPr>
          <w:rFonts w:cs="Arial"/>
          <w:b/>
          <w:szCs w:val="22"/>
        </w:rPr>
      </w:pPr>
      <w:r>
        <w:rPr>
          <w:rFonts w:cs="Arial"/>
          <w:b/>
          <w:szCs w:val="22"/>
        </w:rPr>
        <w:t>MOORCROFT</w:t>
      </w:r>
      <w:r w:rsidR="006C43D7" w:rsidRPr="007C3CD4">
        <w:rPr>
          <w:rFonts w:cs="Arial"/>
          <w:b/>
          <w:szCs w:val="22"/>
        </w:rPr>
        <w:t xml:space="preserve"> AJ</w:t>
      </w:r>
      <w:r w:rsidR="00317F52" w:rsidRPr="007C3CD4">
        <w:rPr>
          <w:rFonts w:cs="Arial"/>
          <w:b/>
          <w:szCs w:val="22"/>
        </w:rPr>
        <w:t xml:space="preserve"> [</w:t>
      </w:r>
      <w:r>
        <w:rPr>
          <w:rFonts w:cs="Arial"/>
          <w:b/>
          <w:szCs w:val="22"/>
        </w:rPr>
        <w:t xml:space="preserve">SENYATSI J </w:t>
      </w:r>
      <w:r w:rsidR="004930DB" w:rsidRPr="007C3CD4">
        <w:rPr>
          <w:rFonts w:cs="Arial"/>
          <w:b/>
          <w:szCs w:val="22"/>
        </w:rPr>
        <w:t xml:space="preserve">ET </w:t>
      </w:r>
      <w:r>
        <w:rPr>
          <w:rFonts w:cs="Arial"/>
          <w:b/>
          <w:szCs w:val="22"/>
        </w:rPr>
        <w:t xml:space="preserve">VAN NIEUWENHUIZEN </w:t>
      </w:r>
      <w:r w:rsidR="004930DB" w:rsidRPr="007C3CD4">
        <w:rPr>
          <w:rFonts w:cs="Arial"/>
          <w:b/>
          <w:szCs w:val="22"/>
        </w:rPr>
        <w:t>AJ</w:t>
      </w:r>
      <w:r w:rsidR="00317F52" w:rsidRPr="007C3CD4">
        <w:rPr>
          <w:rFonts w:cs="Arial"/>
          <w:b/>
          <w:szCs w:val="22"/>
        </w:rPr>
        <w:t xml:space="preserve"> </w:t>
      </w:r>
      <w:r>
        <w:rPr>
          <w:rFonts w:cs="Arial"/>
          <w:b/>
          <w:szCs w:val="22"/>
        </w:rPr>
        <w:t>CONCURRING</w:t>
      </w:r>
      <w:r w:rsidR="00317F52" w:rsidRPr="007C3CD4">
        <w:rPr>
          <w:rFonts w:cs="Arial"/>
          <w:b/>
          <w:szCs w:val="22"/>
        </w:rPr>
        <w:t>]</w:t>
      </w:r>
    </w:p>
    <w:p w14:paraId="39A9ED60" w14:textId="486B9D50" w:rsidR="00DB28D9" w:rsidRPr="007C3CD4" w:rsidRDefault="00C460A0" w:rsidP="00B065B2">
      <w:pPr>
        <w:widowControl w:val="0"/>
        <w:spacing w:after="480" w:line="480" w:lineRule="auto"/>
        <w:jc w:val="both"/>
        <w:rPr>
          <w:rFonts w:cs="Arial"/>
          <w:bCs/>
          <w:i/>
          <w:iCs/>
          <w:szCs w:val="22"/>
          <w:u w:val="single"/>
        </w:rPr>
      </w:pPr>
      <w:r w:rsidRPr="007C3CD4">
        <w:rPr>
          <w:rFonts w:cs="Arial"/>
          <w:bCs/>
          <w:i/>
          <w:iCs/>
          <w:szCs w:val="22"/>
          <w:u w:val="single"/>
        </w:rPr>
        <w:t>Summary</w:t>
      </w:r>
    </w:p>
    <w:p w14:paraId="637EEB70" w14:textId="7F570A80" w:rsidR="00317F52" w:rsidRPr="007C3CD4" w:rsidRDefault="00552DE6" w:rsidP="00B065B2">
      <w:pPr>
        <w:widowControl w:val="0"/>
        <w:spacing w:after="480" w:line="480" w:lineRule="auto"/>
        <w:jc w:val="both"/>
        <w:rPr>
          <w:rFonts w:cs="Arial"/>
          <w:bCs/>
          <w:i/>
          <w:iCs/>
          <w:szCs w:val="22"/>
        </w:rPr>
      </w:pPr>
      <w:r>
        <w:rPr>
          <w:rFonts w:cs="Arial"/>
          <w:bCs/>
          <w:i/>
          <w:iCs/>
          <w:szCs w:val="22"/>
        </w:rPr>
        <w:t>The Court has a discretion at common law to order the demolition of structures illegally erected on land. The owners of neighbouring properties to the property on which the offending structure was erected, enjoy standing to approach the court for appropriate private law relief.</w:t>
      </w:r>
    </w:p>
    <w:p w14:paraId="06749769" w14:textId="769276C8" w:rsidR="00317F52" w:rsidRPr="007C3CD4" w:rsidRDefault="00317F52" w:rsidP="00B065B2">
      <w:pPr>
        <w:widowControl w:val="0"/>
        <w:spacing w:after="480" w:line="480" w:lineRule="auto"/>
        <w:jc w:val="both"/>
        <w:rPr>
          <w:rFonts w:cs="Arial"/>
          <w:bCs/>
          <w:i/>
          <w:iCs/>
          <w:szCs w:val="22"/>
        </w:rPr>
      </w:pPr>
    </w:p>
    <w:p w14:paraId="3658C913" w14:textId="595C580C" w:rsidR="00573FF9" w:rsidRPr="007C3CD4" w:rsidRDefault="00D25334" w:rsidP="00F33C7D">
      <w:pPr>
        <w:keepNext/>
        <w:widowControl w:val="0"/>
        <w:spacing w:before="480" w:after="480" w:line="480" w:lineRule="auto"/>
        <w:jc w:val="both"/>
        <w:rPr>
          <w:rFonts w:cs="Arial"/>
          <w:bCs/>
          <w:szCs w:val="22"/>
          <w:u w:val="single"/>
        </w:rPr>
      </w:pPr>
      <w:r w:rsidRPr="007C3CD4">
        <w:rPr>
          <w:rFonts w:cs="Arial"/>
          <w:bCs/>
          <w:szCs w:val="22"/>
          <w:u w:val="single"/>
        </w:rPr>
        <w:t>Introduction</w:t>
      </w:r>
    </w:p>
    <w:p w14:paraId="6D0DD198" w14:textId="6CBF6408" w:rsidR="007735BC"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w:t>
      </w:r>
      <w:r w:rsidRPr="007C3CD4">
        <w:rPr>
          <w:rFonts w:cs="Arial"/>
          <w:bCs/>
          <w:szCs w:val="22"/>
        </w:rPr>
        <w:tab/>
      </w:r>
      <w:r w:rsidR="0067335A" w:rsidRPr="007C3CD4">
        <w:rPr>
          <w:rFonts w:cs="Arial"/>
          <w:bCs/>
          <w:szCs w:val="22"/>
        </w:rPr>
        <w:t xml:space="preserve">This is an appeal with the leave of the presiding Judge to the full </w:t>
      </w:r>
      <w:r w:rsidR="00A57B47" w:rsidRPr="007C3CD4">
        <w:rPr>
          <w:rFonts w:cs="Arial"/>
          <w:bCs/>
          <w:szCs w:val="22"/>
        </w:rPr>
        <w:t>court</w:t>
      </w:r>
      <w:r w:rsidR="0067335A" w:rsidRPr="007C3CD4">
        <w:rPr>
          <w:rFonts w:cs="Arial"/>
          <w:bCs/>
          <w:szCs w:val="22"/>
        </w:rPr>
        <w:t xml:space="preserve"> of the Gauteng Division, Johannesburg, by the second respondent in the court </w:t>
      </w:r>
      <w:r w:rsidR="0067335A" w:rsidRPr="007C3CD4">
        <w:rPr>
          <w:rFonts w:cs="Arial"/>
          <w:bCs/>
          <w:i/>
          <w:iCs/>
          <w:szCs w:val="22"/>
        </w:rPr>
        <w:t>a quo.</w:t>
      </w:r>
      <w:r w:rsidR="007735BC" w:rsidRPr="007C3CD4">
        <w:rPr>
          <w:rFonts w:cs="Arial"/>
          <w:bCs/>
          <w:i/>
          <w:iCs/>
          <w:szCs w:val="22"/>
        </w:rPr>
        <w:t xml:space="preserve"> </w:t>
      </w:r>
      <w:r w:rsidR="00BA62F0" w:rsidRPr="007C3CD4">
        <w:rPr>
          <w:rFonts w:cs="Arial"/>
          <w:bCs/>
          <w:szCs w:val="22"/>
        </w:rPr>
        <w:t xml:space="preserve">The first and second applicants </w:t>
      </w:r>
      <w:r w:rsidR="00BA62F0" w:rsidRPr="007C3CD4">
        <w:rPr>
          <w:rFonts w:cs="Arial"/>
          <w:bCs/>
          <w:i/>
          <w:iCs/>
          <w:szCs w:val="22"/>
        </w:rPr>
        <w:t>a quo</w:t>
      </w:r>
      <w:r w:rsidR="00BA62F0" w:rsidRPr="007C3CD4">
        <w:rPr>
          <w:rFonts w:cs="Arial"/>
          <w:bCs/>
          <w:szCs w:val="22"/>
        </w:rPr>
        <w:t xml:space="preserve"> are the first and second respondents in the </w:t>
      </w:r>
      <w:proofErr w:type="gramStart"/>
      <w:r w:rsidR="00BA62F0" w:rsidRPr="007C3CD4">
        <w:rPr>
          <w:rFonts w:cs="Arial"/>
          <w:bCs/>
          <w:szCs w:val="22"/>
        </w:rPr>
        <w:t>appea</w:t>
      </w:r>
      <w:r w:rsidR="004930DB" w:rsidRPr="007C3CD4">
        <w:rPr>
          <w:rFonts w:cs="Arial"/>
          <w:bCs/>
          <w:szCs w:val="22"/>
        </w:rPr>
        <w:t xml:space="preserve">l, </w:t>
      </w:r>
      <w:r w:rsidR="00EA2EBB" w:rsidRPr="007C3CD4">
        <w:rPr>
          <w:rFonts w:cs="Arial"/>
          <w:bCs/>
          <w:szCs w:val="22"/>
        </w:rPr>
        <w:t>and</w:t>
      </w:r>
      <w:proofErr w:type="gramEnd"/>
      <w:r w:rsidR="00EA2EBB" w:rsidRPr="007C3CD4">
        <w:rPr>
          <w:rFonts w:cs="Arial"/>
          <w:bCs/>
          <w:szCs w:val="22"/>
        </w:rPr>
        <w:t xml:space="preserve"> are referred to as </w:t>
      </w:r>
      <w:r w:rsidR="00EA2EBB" w:rsidRPr="00EC7487">
        <w:rPr>
          <w:rFonts w:cs="Arial"/>
          <w:bCs/>
          <w:i/>
          <w:iCs/>
          <w:szCs w:val="22"/>
        </w:rPr>
        <w:t>‘the respondents.’</w:t>
      </w:r>
      <w:r w:rsidR="00EA2EBB" w:rsidRPr="007C3CD4">
        <w:rPr>
          <w:rFonts w:cs="Arial"/>
          <w:bCs/>
          <w:szCs w:val="22"/>
        </w:rPr>
        <w:t xml:space="preserve"> T</w:t>
      </w:r>
      <w:r w:rsidR="004930DB" w:rsidRPr="007C3CD4">
        <w:rPr>
          <w:rFonts w:cs="Arial"/>
          <w:bCs/>
          <w:szCs w:val="22"/>
        </w:rPr>
        <w:t xml:space="preserve">he first respondent </w:t>
      </w:r>
      <w:r w:rsidR="004930DB" w:rsidRPr="007C3CD4">
        <w:rPr>
          <w:rFonts w:cs="Arial"/>
          <w:bCs/>
          <w:i/>
          <w:iCs/>
          <w:szCs w:val="22"/>
        </w:rPr>
        <w:t>a quo</w:t>
      </w:r>
      <w:r w:rsidR="004930DB" w:rsidRPr="007C3CD4">
        <w:rPr>
          <w:rFonts w:cs="Arial"/>
          <w:bCs/>
          <w:szCs w:val="22"/>
        </w:rPr>
        <w:t xml:space="preserve"> </w:t>
      </w:r>
      <w:r w:rsidR="00EA2EBB" w:rsidRPr="007C3CD4">
        <w:rPr>
          <w:rFonts w:cs="Arial"/>
          <w:bCs/>
          <w:szCs w:val="22"/>
        </w:rPr>
        <w:t xml:space="preserve">did not participate in the </w:t>
      </w:r>
      <w:r w:rsidR="00EC7487">
        <w:rPr>
          <w:rFonts w:cs="Arial"/>
          <w:bCs/>
          <w:szCs w:val="22"/>
        </w:rPr>
        <w:t>appeal</w:t>
      </w:r>
      <w:r w:rsidR="00EA2EBB" w:rsidRPr="007C3CD4">
        <w:rPr>
          <w:rFonts w:cs="Arial"/>
          <w:bCs/>
          <w:szCs w:val="22"/>
        </w:rPr>
        <w:t xml:space="preserve"> and </w:t>
      </w:r>
      <w:r w:rsidR="004930DB" w:rsidRPr="007C3CD4">
        <w:rPr>
          <w:rFonts w:cs="Arial"/>
          <w:bCs/>
          <w:szCs w:val="22"/>
        </w:rPr>
        <w:t xml:space="preserve">is referred to as </w:t>
      </w:r>
      <w:r w:rsidR="007735BC" w:rsidRPr="007C3CD4">
        <w:rPr>
          <w:rFonts w:cs="Arial"/>
          <w:bCs/>
          <w:i/>
          <w:iCs/>
          <w:szCs w:val="22"/>
        </w:rPr>
        <w:t>‘the Council.’</w:t>
      </w:r>
    </w:p>
    <w:p w14:paraId="6B4D251B" w14:textId="77777777" w:rsidR="0029327C" w:rsidRDefault="0029327C" w:rsidP="00DD71E5">
      <w:pPr>
        <w:widowControl w:val="0"/>
        <w:spacing w:before="480" w:after="480" w:line="480" w:lineRule="auto"/>
        <w:jc w:val="both"/>
        <w:rPr>
          <w:rFonts w:cs="Arial"/>
          <w:bCs/>
          <w:szCs w:val="22"/>
          <w:u w:val="single"/>
        </w:rPr>
      </w:pPr>
    </w:p>
    <w:p w14:paraId="33178CB9" w14:textId="42FC7CD1" w:rsidR="00DD71E5" w:rsidRPr="007C3CD4" w:rsidRDefault="00DD71E5" w:rsidP="00DD71E5">
      <w:pPr>
        <w:widowControl w:val="0"/>
        <w:spacing w:before="480" w:after="480" w:line="480" w:lineRule="auto"/>
        <w:jc w:val="both"/>
        <w:rPr>
          <w:rFonts w:cs="Arial"/>
          <w:bCs/>
          <w:szCs w:val="22"/>
          <w:u w:val="single"/>
        </w:rPr>
      </w:pPr>
      <w:r w:rsidRPr="007C3CD4">
        <w:rPr>
          <w:rFonts w:cs="Arial"/>
          <w:bCs/>
          <w:szCs w:val="22"/>
          <w:u w:val="single"/>
        </w:rPr>
        <w:t>Background</w:t>
      </w:r>
    </w:p>
    <w:p w14:paraId="333CBAD2" w14:textId="76566DCE" w:rsidR="003C620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w:t>
      </w:r>
      <w:r w:rsidRPr="007C3CD4">
        <w:rPr>
          <w:rFonts w:cs="Arial"/>
          <w:bCs/>
          <w:szCs w:val="22"/>
        </w:rPr>
        <w:tab/>
      </w:r>
      <w:r w:rsidR="0067335A" w:rsidRPr="007C3CD4">
        <w:rPr>
          <w:rFonts w:cs="Arial"/>
          <w:bCs/>
          <w:i/>
          <w:iCs/>
          <w:szCs w:val="22"/>
        </w:rPr>
        <w:t xml:space="preserve"> </w:t>
      </w:r>
      <w:r w:rsidR="003C6204" w:rsidRPr="007C3CD4">
        <w:rPr>
          <w:rFonts w:cs="Arial"/>
          <w:bCs/>
          <w:szCs w:val="22"/>
        </w:rPr>
        <w:t xml:space="preserve">The </w:t>
      </w:r>
      <w:r w:rsidR="004930DB" w:rsidRPr="007C3CD4">
        <w:rPr>
          <w:rFonts w:cs="Arial"/>
          <w:bCs/>
          <w:szCs w:val="22"/>
        </w:rPr>
        <w:t>appellant</w:t>
      </w:r>
      <w:r w:rsidR="003C6204" w:rsidRPr="007C3CD4">
        <w:rPr>
          <w:rFonts w:cs="Arial"/>
          <w:bCs/>
          <w:szCs w:val="22"/>
        </w:rPr>
        <w:t xml:space="preserve"> </w:t>
      </w:r>
      <w:r w:rsidR="00625D54" w:rsidRPr="007C3CD4">
        <w:rPr>
          <w:rFonts w:cs="Arial"/>
          <w:bCs/>
          <w:szCs w:val="22"/>
        </w:rPr>
        <w:t xml:space="preserve">is </w:t>
      </w:r>
      <w:r w:rsidR="003C6204" w:rsidRPr="007C3CD4">
        <w:rPr>
          <w:rFonts w:cs="Arial"/>
          <w:bCs/>
          <w:szCs w:val="22"/>
        </w:rPr>
        <w:t xml:space="preserve">the owner of immovable property described as Portion 2 of Erf 57 </w:t>
      </w:r>
      <w:r w:rsidR="003C6204" w:rsidRPr="007C3CD4">
        <w:rPr>
          <w:rFonts w:cs="Arial"/>
          <w:bCs/>
          <w:szCs w:val="22"/>
        </w:rPr>
        <w:lastRenderedPageBreak/>
        <w:t>Parkhill Gardens Township.</w:t>
      </w:r>
      <w:r w:rsidR="00625D54" w:rsidRPr="007C3CD4">
        <w:rPr>
          <w:rStyle w:val="FootnoteReference"/>
          <w:rFonts w:cs="Arial"/>
          <w:bCs/>
          <w:szCs w:val="22"/>
        </w:rPr>
        <w:footnoteReference w:id="1"/>
      </w:r>
      <w:r w:rsidR="003C6204" w:rsidRPr="007C3CD4">
        <w:rPr>
          <w:rFonts w:cs="Arial"/>
          <w:bCs/>
          <w:szCs w:val="22"/>
        </w:rPr>
        <w:t xml:space="preserve"> </w:t>
      </w:r>
      <w:r w:rsidR="00625D54" w:rsidRPr="007C3CD4">
        <w:rPr>
          <w:rFonts w:cs="Arial"/>
          <w:bCs/>
          <w:szCs w:val="22"/>
        </w:rPr>
        <w:t>He</w:t>
      </w:r>
      <w:r w:rsidR="003C6204" w:rsidRPr="007C3CD4">
        <w:rPr>
          <w:rFonts w:cs="Arial"/>
          <w:bCs/>
          <w:szCs w:val="22"/>
        </w:rPr>
        <w:t xml:space="preserve"> erected a structure</w:t>
      </w:r>
      <w:r w:rsidR="007E6B94" w:rsidRPr="007C3CD4">
        <w:rPr>
          <w:rFonts w:cs="Arial"/>
          <w:bCs/>
          <w:szCs w:val="22"/>
        </w:rPr>
        <w:t xml:space="preserve"> (a multi-stor</w:t>
      </w:r>
      <w:r w:rsidR="00352C31">
        <w:rPr>
          <w:rFonts w:cs="Arial"/>
          <w:bCs/>
          <w:szCs w:val="22"/>
        </w:rPr>
        <w:t>e</w:t>
      </w:r>
      <w:r w:rsidR="007E6B94" w:rsidRPr="007C3CD4">
        <w:rPr>
          <w:rFonts w:cs="Arial"/>
          <w:bCs/>
          <w:szCs w:val="22"/>
        </w:rPr>
        <w:t>y block of eight apartments)</w:t>
      </w:r>
      <w:r w:rsidR="003C6204" w:rsidRPr="007C3CD4">
        <w:rPr>
          <w:rFonts w:cs="Arial"/>
          <w:bCs/>
          <w:szCs w:val="22"/>
        </w:rPr>
        <w:t xml:space="preserve"> on the property that was </w:t>
      </w:r>
      <w:r w:rsidR="009917C2" w:rsidRPr="007C3CD4">
        <w:rPr>
          <w:rFonts w:cs="Arial"/>
          <w:bCs/>
          <w:szCs w:val="22"/>
        </w:rPr>
        <w:t>illegal</w:t>
      </w:r>
      <w:r w:rsidR="003C6204" w:rsidRPr="007C3CD4">
        <w:rPr>
          <w:rFonts w:cs="Arial"/>
          <w:bCs/>
          <w:szCs w:val="22"/>
        </w:rPr>
        <w:t xml:space="preserve"> for </w:t>
      </w:r>
      <w:proofErr w:type="gramStart"/>
      <w:r w:rsidR="003C6204" w:rsidRPr="007C3CD4">
        <w:rPr>
          <w:rFonts w:cs="Arial"/>
          <w:bCs/>
          <w:szCs w:val="22"/>
        </w:rPr>
        <w:t>a number of</w:t>
      </w:r>
      <w:proofErr w:type="gramEnd"/>
      <w:r w:rsidR="003C6204" w:rsidRPr="007C3CD4">
        <w:rPr>
          <w:rFonts w:cs="Arial"/>
          <w:bCs/>
          <w:szCs w:val="22"/>
        </w:rPr>
        <w:t xml:space="preserve"> reasons: </w:t>
      </w:r>
    </w:p>
    <w:p w14:paraId="70288535" w14:textId="233D00DA" w:rsidR="00DD71E5"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2.1</w:t>
      </w:r>
      <w:r w:rsidRPr="007C3CD4">
        <w:rPr>
          <w:rFonts w:cs="Arial"/>
          <w:bCs/>
          <w:szCs w:val="22"/>
        </w:rPr>
        <w:tab/>
      </w:r>
      <w:r w:rsidR="003C6204" w:rsidRPr="007C3CD4">
        <w:rPr>
          <w:rFonts w:cs="Arial"/>
          <w:bCs/>
          <w:szCs w:val="22"/>
        </w:rPr>
        <w:t>Firstly, no building plans were approved by the Council as required by section 4(1) of the National Building Regulations and Building Standards Act, 103 of 1977;</w:t>
      </w:r>
      <w:r w:rsidR="009C6148" w:rsidRPr="007C3CD4">
        <w:rPr>
          <w:rStyle w:val="FootnoteReference"/>
          <w:rFonts w:cs="Arial"/>
          <w:bCs/>
          <w:szCs w:val="22"/>
        </w:rPr>
        <w:footnoteReference w:id="2"/>
      </w:r>
    </w:p>
    <w:p w14:paraId="4029E94F" w14:textId="6B4DD04D" w:rsidR="003C6204"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2.2</w:t>
      </w:r>
      <w:r w:rsidRPr="007C3CD4">
        <w:rPr>
          <w:rFonts w:cs="Arial"/>
          <w:bCs/>
          <w:szCs w:val="22"/>
        </w:rPr>
        <w:tab/>
      </w:r>
      <w:r w:rsidR="003C6204" w:rsidRPr="007C3CD4">
        <w:rPr>
          <w:rFonts w:cs="Arial"/>
          <w:bCs/>
          <w:szCs w:val="22"/>
        </w:rPr>
        <w:t xml:space="preserve">Secondly, the structure encroached on building line restrictions imposed by the </w:t>
      </w:r>
      <w:r w:rsidR="00317716" w:rsidRPr="007C3CD4">
        <w:rPr>
          <w:rFonts w:cs="Arial"/>
          <w:bCs/>
          <w:szCs w:val="22"/>
        </w:rPr>
        <w:t xml:space="preserve">Ekurhuleni </w:t>
      </w:r>
      <w:r w:rsidR="003C6204" w:rsidRPr="007C3CD4">
        <w:rPr>
          <w:rFonts w:cs="Arial"/>
          <w:bCs/>
          <w:szCs w:val="22"/>
        </w:rPr>
        <w:t>Town Planning Scheme</w:t>
      </w:r>
      <w:r w:rsidR="00317716" w:rsidRPr="007C3CD4">
        <w:rPr>
          <w:rFonts w:cs="Arial"/>
          <w:bCs/>
          <w:szCs w:val="22"/>
        </w:rPr>
        <w:t xml:space="preserve"> of 2014</w:t>
      </w:r>
      <w:r w:rsidR="009C6148" w:rsidRPr="007C3CD4">
        <w:rPr>
          <w:rFonts w:cs="Arial"/>
          <w:bCs/>
          <w:szCs w:val="22"/>
        </w:rPr>
        <w:t>;</w:t>
      </w:r>
      <w:r w:rsidR="009C6148" w:rsidRPr="007C3CD4">
        <w:rPr>
          <w:rStyle w:val="FootnoteReference"/>
          <w:rFonts w:cs="Arial"/>
          <w:bCs/>
          <w:szCs w:val="22"/>
        </w:rPr>
        <w:footnoteReference w:id="3"/>
      </w:r>
    </w:p>
    <w:p w14:paraId="3518572C" w14:textId="2203151D" w:rsidR="003C6204"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2.3</w:t>
      </w:r>
      <w:r w:rsidRPr="007C3CD4">
        <w:rPr>
          <w:rFonts w:cs="Arial"/>
          <w:bCs/>
          <w:szCs w:val="22"/>
        </w:rPr>
        <w:tab/>
      </w:r>
      <w:r w:rsidR="003C6204" w:rsidRPr="007C3CD4">
        <w:rPr>
          <w:rFonts w:cs="Arial"/>
          <w:bCs/>
          <w:szCs w:val="22"/>
        </w:rPr>
        <w:t xml:space="preserve">Thirdly, the structure did not comply with the Residential 1 zoning of the </w:t>
      </w:r>
      <w:proofErr w:type="gramStart"/>
      <w:r w:rsidR="003C6204" w:rsidRPr="007C3CD4">
        <w:rPr>
          <w:rFonts w:cs="Arial"/>
          <w:bCs/>
          <w:szCs w:val="22"/>
        </w:rPr>
        <w:t>property;</w:t>
      </w:r>
      <w:proofErr w:type="gramEnd"/>
      <w:r w:rsidR="00317716" w:rsidRPr="007C3CD4">
        <w:rPr>
          <w:rStyle w:val="FootnoteReference"/>
          <w:rFonts w:cs="Arial"/>
          <w:bCs/>
          <w:szCs w:val="22"/>
        </w:rPr>
        <w:footnoteReference w:id="4"/>
      </w:r>
    </w:p>
    <w:p w14:paraId="102934F0" w14:textId="5C7C2778" w:rsidR="003C6204"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2.4</w:t>
      </w:r>
      <w:r w:rsidRPr="007C3CD4">
        <w:rPr>
          <w:rFonts w:cs="Arial"/>
          <w:bCs/>
          <w:szCs w:val="22"/>
        </w:rPr>
        <w:tab/>
      </w:r>
      <w:r w:rsidR="003C6204" w:rsidRPr="007C3CD4">
        <w:rPr>
          <w:rFonts w:cs="Arial"/>
          <w:bCs/>
          <w:szCs w:val="22"/>
        </w:rPr>
        <w:t>Fourthly, a restrictive condition in the title deed was contravened.</w:t>
      </w:r>
      <w:r w:rsidR="007E6B94" w:rsidRPr="007C3CD4">
        <w:rPr>
          <w:rFonts w:cs="Arial"/>
          <w:bCs/>
          <w:szCs w:val="22"/>
        </w:rPr>
        <w:t xml:space="preserve"> The title deed permitted only one </w:t>
      </w:r>
      <w:r w:rsidR="00317716" w:rsidRPr="007C3CD4">
        <w:rPr>
          <w:rFonts w:cs="Arial"/>
          <w:bCs/>
          <w:szCs w:val="22"/>
        </w:rPr>
        <w:t xml:space="preserve">dwelling on the property and the </w:t>
      </w:r>
      <w:r w:rsidR="004930DB" w:rsidRPr="007C3CD4">
        <w:rPr>
          <w:rFonts w:cs="Arial"/>
          <w:bCs/>
          <w:szCs w:val="22"/>
        </w:rPr>
        <w:t>appellant</w:t>
      </w:r>
      <w:r w:rsidR="00317716" w:rsidRPr="007C3CD4">
        <w:rPr>
          <w:rFonts w:cs="Arial"/>
          <w:bCs/>
          <w:szCs w:val="22"/>
        </w:rPr>
        <w:t xml:space="preserve"> was erecting a second.</w:t>
      </w:r>
    </w:p>
    <w:p w14:paraId="60686E77" w14:textId="051D9F7D" w:rsidR="00BA263D"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w:t>
      </w:r>
      <w:r w:rsidRPr="007C3CD4">
        <w:rPr>
          <w:rFonts w:cs="Arial"/>
          <w:bCs/>
          <w:szCs w:val="22"/>
        </w:rPr>
        <w:tab/>
      </w:r>
      <w:r w:rsidR="00896FE3" w:rsidRPr="007C3CD4">
        <w:rPr>
          <w:rFonts w:cs="Arial"/>
          <w:bCs/>
          <w:szCs w:val="22"/>
        </w:rPr>
        <w:t xml:space="preserve">On dates prior to 3 November 2020, the first as early as March 2020, the Council issued two contravention notices to the </w:t>
      </w:r>
      <w:r w:rsidR="004930DB" w:rsidRPr="007C3CD4">
        <w:rPr>
          <w:rFonts w:cs="Arial"/>
          <w:bCs/>
          <w:szCs w:val="22"/>
        </w:rPr>
        <w:t>appellant</w:t>
      </w:r>
      <w:r w:rsidR="00896FE3" w:rsidRPr="007C3CD4">
        <w:rPr>
          <w:rFonts w:cs="Arial"/>
          <w:bCs/>
          <w:szCs w:val="22"/>
        </w:rPr>
        <w:t xml:space="preserve">. </w:t>
      </w:r>
      <w:r w:rsidR="00625D54" w:rsidRPr="007C3CD4">
        <w:rPr>
          <w:rFonts w:cs="Arial"/>
          <w:bCs/>
          <w:szCs w:val="22"/>
        </w:rPr>
        <w:t xml:space="preserve">The </w:t>
      </w:r>
      <w:r w:rsidR="004930DB" w:rsidRPr="007C3CD4">
        <w:rPr>
          <w:rFonts w:cs="Arial"/>
          <w:bCs/>
          <w:szCs w:val="22"/>
        </w:rPr>
        <w:t>appellant</w:t>
      </w:r>
      <w:r w:rsidR="00625D54" w:rsidRPr="007C3CD4">
        <w:rPr>
          <w:rFonts w:cs="Arial"/>
          <w:bCs/>
          <w:szCs w:val="22"/>
        </w:rPr>
        <w:t xml:space="preserve"> did not comply with the notices. </w:t>
      </w:r>
      <w:r w:rsidR="007E6B94" w:rsidRPr="007C3CD4">
        <w:rPr>
          <w:rFonts w:cs="Arial"/>
          <w:bCs/>
          <w:szCs w:val="22"/>
        </w:rPr>
        <w:t xml:space="preserve">On 25 November 2020 the </w:t>
      </w:r>
      <w:r w:rsidR="004930DB" w:rsidRPr="007C3CD4">
        <w:rPr>
          <w:rFonts w:cs="Arial"/>
          <w:bCs/>
          <w:szCs w:val="22"/>
        </w:rPr>
        <w:t>appellant</w:t>
      </w:r>
      <w:r w:rsidR="007E6B94" w:rsidRPr="007C3CD4">
        <w:rPr>
          <w:rFonts w:cs="Arial"/>
          <w:bCs/>
          <w:szCs w:val="22"/>
        </w:rPr>
        <w:t xml:space="preserve"> gave an undertaking to cease the works but instead the building process was accelerated.</w:t>
      </w:r>
    </w:p>
    <w:p w14:paraId="780BA3E6" w14:textId="12C75BE8" w:rsidR="007E6B9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[4]</w:t>
      </w:r>
      <w:r w:rsidRPr="007C3CD4">
        <w:rPr>
          <w:rFonts w:cs="Arial"/>
          <w:bCs/>
          <w:szCs w:val="22"/>
        </w:rPr>
        <w:tab/>
      </w:r>
      <w:r w:rsidR="00BA263D" w:rsidRPr="007C3CD4">
        <w:rPr>
          <w:rFonts w:cs="Arial"/>
          <w:bCs/>
          <w:szCs w:val="22"/>
        </w:rPr>
        <w:t>The appellant therefore persisted with his unlawful conduct even when he knew tha</w:t>
      </w:r>
      <w:r w:rsidR="0035634B" w:rsidRPr="007C3CD4">
        <w:rPr>
          <w:rFonts w:cs="Arial"/>
          <w:bCs/>
          <w:szCs w:val="22"/>
        </w:rPr>
        <w:t>t</w:t>
      </w:r>
      <w:r w:rsidR="00BA263D" w:rsidRPr="007C3CD4">
        <w:rPr>
          <w:rFonts w:cs="Arial"/>
          <w:bCs/>
          <w:szCs w:val="22"/>
        </w:rPr>
        <w:t xml:space="preserve"> the works were not compliant.</w:t>
      </w:r>
    </w:p>
    <w:p w14:paraId="0DA451DD" w14:textId="64C2731F" w:rsidR="007E6B9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lastRenderedPageBreak/>
        <w:t>[5]</w:t>
      </w:r>
      <w:r w:rsidRPr="007C3CD4">
        <w:rPr>
          <w:rFonts w:cs="Arial"/>
          <w:bCs/>
          <w:szCs w:val="22"/>
        </w:rPr>
        <w:tab/>
      </w:r>
      <w:r w:rsidR="007E6B94" w:rsidRPr="007C3CD4">
        <w:rPr>
          <w:rFonts w:cs="Arial"/>
          <w:bCs/>
          <w:szCs w:val="22"/>
        </w:rPr>
        <w:t xml:space="preserve">The </w:t>
      </w:r>
      <w:r w:rsidR="004930DB" w:rsidRPr="007C3CD4">
        <w:rPr>
          <w:rFonts w:cs="Arial"/>
          <w:bCs/>
          <w:szCs w:val="22"/>
        </w:rPr>
        <w:t>respondents</w:t>
      </w:r>
      <w:r w:rsidR="007E6B94" w:rsidRPr="007C3CD4">
        <w:rPr>
          <w:rFonts w:cs="Arial"/>
          <w:bCs/>
          <w:szCs w:val="22"/>
        </w:rPr>
        <w:t xml:space="preserve"> approached the Court for relief in the form of an urgent interdict application (Part A) and final interdictory relief (Part B) aimed at the eventual demolition of the structure. They derived their standing from the fact that they are the owners, respectively, of an adjoining residential property and one across the street.</w:t>
      </w:r>
      <w:r w:rsidR="004C095B" w:rsidRPr="007C3CD4">
        <w:rPr>
          <w:rStyle w:val="FootnoteReference"/>
          <w:rFonts w:cs="Arial"/>
          <w:bCs/>
          <w:szCs w:val="22"/>
        </w:rPr>
        <w:footnoteReference w:id="5"/>
      </w:r>
    </w:p>
    <w:p w14:paraId="4178E026" w14:textId="51EF4F4F" w:rsidR="00DD71E5"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[6]</w:t>
      </w:r>
      <w:r w:rsidRPr="007C3CD4">
        <w:rPr>
          <w:rFonts w:cs="Arial"/>
          <w:bCs/>
          <w:szCs w:val="22"/>
        </w:rPr>
        <w:tab/>
      </w:r>
      <w:r w:rsidR="007E6B94" w:rsidRPr="007C3CD4">
        <w:rPr>
          <w:rFonts w:cs="Arial"/>
          <w:bCs/>
          <w:szCs w:val="22"/>
        </w:rPr>
        <w:t xml:space="preserve">On 22 December 2020 </w:t>
      </w:r>
      <w:proofErr w:type="spellStart"/>
      <w:r w:rsidR="007E6B94" w:rsidRPr="007C3CD4">
        <w:rPr>
          <w:rFonts w:cs="Arial"/>
          <w:bCs/>
          <w:szCs w:val="22"/>
        </w:rPr>
        <w:t>Keightley</w:t>
      </w:r>
      <w:proofErr w:type="spellEnd"/>
      <w:r w:rsidR="007E6B94" w:rsidRPr="007C3CD4">
        <w:rPr>
          <w:rFonts w:cs="Arial"/>
          <w:bCs/>
          <w:szCs w:val="22"/>
        </w:rPr>
        <w:t xml:space="preserve"> J granted an interim order that pending finalisation of Part B of the application, the appellant be interdicted and restrained from continuing with building activities on the property</w:t>
      </w:r>
      <w:r w:rsidR="00F043F1" w:rsidRPr="007C3CD4">
        <w:rPr>
          <w:rFonts w:cs="Arial"/>
          <w:bCs/>
          <w:szCs w:val="22"/>
        </w:rPr>
        <w:t>.</w:t>
      </w:r>
    </w:p>
    <w:p w14:paraId="10B9FF8A" w14:textId="713679E6" w:rsidR="00625D5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[7]</w:t>
      </w:r>
      <w:r w:rsidRPr="007C3CD4">
        <w:rPr>
          <w:rFonts w:cs="Arial"/>
          <w:bCs/>
          <w:szCs w:val="22"/>
        </w:rPr>
        <w:tab/>
      </w:r>
      <w:r w:rsidR="00DC2E43" w:rsidRPr="007C3CD4">
        <w:rPr>
          <w:rFonts w:cs="Arial"/>
          <w:bCs/>
          <w:szCs w:val="22"/>
        </w:rPr>
        <w:t xml:space="preserve">Part B of the application came before Fisher J in August 2021. Shortly before the hearing in August 2021 the </w:t>
      </w:r>
      <w:r w:rsidR="004930DB" w:rsidRPr="007C3CD4">
        <w:rPr>
          <w:rFonts w:cs="Arial"/>
          <w:bCs/>
          <w:szCs w:val="22"/>
        </w:rPr>
        <w:t>appellant</w:t>
      </w:r>
      <w:r w:rsidR="00DC2E43" w:rsidRPr="007C3CD4">
        <w:rPr>
          <w:rFonts w:cs="Arial"/>
          <w:bCs/>
          <w:szCs w:val="22"/>
        </w:rPr>
        <w:t xml:space="preserve"> brought an application for a stay of the application pending the finalisation of a rezoning application to the Council. Atter h</w:t>
      </w:r>
      <w:r w:rsidR="00625D54" w:rsidRPr="007C3CD4">
        <w:rPr>
          <w:rFonts w:cs="Arial"/>
          <w:bCs/>
          <w:szCs w:val="22"/>
        </w:rPr>
        <w:t xml:space="preserve">earing argument </w:t>
      </w:r>
      <w:r w:rsidR="00DC2E43" w:rsidRPr="007C3CD4">
        <w:rPr>
          <w:rFonts w:cs="Arial"/>
          <w:bCs/>
          <w:szCs w:val="22"/>
        </w:rPr>
        <w:t xml:space="preserve">the </w:t>
      </w:r>
      <w:r w:rsidR="00352C31">
        <w:rPr>
          <w:rFonts w:cs="Arial"/>
          <w:bCs/>
          <w:szCs w:val="22"/>
        </w:rPr>
        <w:t xml:space="preserve">court </w:t>
      </w:r>
      <w:r w:rsidR="00352C31" w:rsidRPr="00352C31">
        <w:rPr>
          <w:rFonts w:cs="Arial"/>
          <w:bCs/>
          <w:i/>
          <w:iCs/>
          <w:szCs w:val="22"/>
        </w:rPr>
        <w:t>a quo</w:t>
      </w:r>
      <w:r w:rsidR="00DC2E43" w:rsidRPr="007C3CD4">
        <w:rPr>
          <w:rFonts w:cs="Arial"/>
          <w:bCs/>
          <w:szCs w:val="22"/>
        </w:rPr>
        <w:t xml:space="preserve"> refused the application for a stay and</w:t>
      </w:r>
      <w:r w:rsidR="00625D54" w:rsidRPr="007C3CD4">
        <w:rPr>
          <w:rFonts w:cs="Arial"/>
          <w:bCs/>
          <w:szCs w:val="22"/>
        </w:rPr>
        <w:t xml:space="preserve"> granted the order now appealed against. </w:t>
      </w:r>
    </w:p>
    <w:p w14:paraId="7C209A1C" w14:textId="408CB632" w:rsidR="00317F52"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[8]</w:t>
      </w:r>
      <w:r w:rsidRPr="007C3CD4">
        <w:rPr>
          <w:rFonts w:cs="Arial"/>
          <w:bCs/>
          <w:szCs w:val="22"/>
        </w:rPr>
        <w:tab/>
      </w:r>
      <w:r w:rsidR="0067335A" w:rsidRPr="007C3CD4">
        <w:rPr>
          <w:rFonts w:cs="Arial"/>
          <w:bCs/>
          <w:szCs w:val="22"/>
        </w:rPr>
        <w:t xml:space="preserve">In terms of the </w:t>
      </w:r>
      <w:r w:rsidR="0029327C">
        <w:rPr>
          <w:rFonts w:cs="Arial"/>
          <w:bCs/>
          <w:szCs w:val="22"/>
        </w:rPr>
        <w:t>judgment</w:t>
      </w:r>
      <w:r w:rsidR="00300408" w:rsidRPr="007C3CD4">
        <w:rPr>
          <w:rFonts w:cs="Arial"/>
          <w:bCs/>
          <w:szCs w:val="22"/>
        </w:rPr>
        <w:t xml:space="preserve">, </w:t>
      </w:r>
      <w:r w:rsidR="00300408" w:rsidRPr="007C3CD4">
        <w:rPr>
          <w:rFonts w:cs="Arial"/>
          <w:bCs/>
          <w:i/>
          <w:iCs/>
          <w:szCs w:val="22"/>
        </w:rPr>
        <w:t>inter alia</w:t>
      </w:r>
      <w:r w:rsidR="00300408" w:rsidRPr="007C3CD4">
        <w:rPr>
          <w:rFonts w:cs="Arial"/>
          <w:bCs/>
          <w:szCs w:val="22"/>
        </w:rPr>
        <w:t>,</w:t>
      </w:r>
    </w:p>
    <w:p w14:paraId="5FDE4A40" w14:textId="0EF3F863" w:rsidR="0029327C" w:rsidRDefault="008F0B49" w:rsidP="008F0B49">
      <w:pPr>
        <w:widowControl w:val="0"/>
        <w:tabs>
          <w:tab w:val="left" w:pos="1418"/>
        </w:tabs>
        <w:spacing w:before="480" w:after="480" w:line="480" w:lineRule="auto"/>
        <w:ind w:left="1418" w:hanging="851"/>
        <w:jc w:val="both"/>
        <w:rPr>
          <w:rFonts w:cs="Arial"/>
          <w:bCs/>
          <w:szCs w:val="22"/>
        </w:rPr>
      </w:pPr>
      <w:r>
        <w:rPr>
          <w:rFonts w:cs="Arial"/>
          <w:bCs/>
          <w:szCs w:val="22"/>
        </w:rPr>
        <w:t>8.1</w:t>
      </w:r>
      <w:r>
        <w:rPr>
          <w:rFonts w:cs="Arial"/>
          <w:bCs/>
          <w:szCs w:val="22"/>
        </w:rPr>
        <w:tab/>
      </w:r>
      <w:r w:rsidR="0029327C">
        <w:rPr>
          <w:rFonts w:cs="Arial"/>
          <w:bCs/>
          <w:szCs w:val="22"/>
        </w:rPr>
        <w:t xml:space="preserve">the application for a stay </w:t>
      </w:r>
      <w:r w:rsidR="00F650C0">
        <w:rPr>
          <w:rFonts w:cs="Arial"/>
          <w:bCs/>
          <w:szCs w:val="22"/>
        </w:rPr>
        <w:t xml:space="preserve">or postponement </w:t>
      </w:r>
      <w:r w:rsidR="0029327C">
        <w:rPr>
          <w:rFonts w:cs="Arial"/>
          <w:bCs/>
          <w:szCs w:val="22"/>
        </w:rPr>
        <w:t xml:space="preserve">was </w:t>
      </w:r>
      <w:proofErr w:type="gramStart"/>
      <w:r w:rsidR="0029327C">
        <w:rPr>
          <w:rFonts w:cs="Arial"/>
          <w:bCs/>
          <w:szCs w:val="22"/>
        </w:rPr>
        <w:t>refused;</w:t>
      </w:r>
      <w:proofErr w:type="gramEnd"/>
    </w:p>
    <w:p w14:paraId="1186C62F" w14:textId="5FF6825C" w:rsidR="0067335A"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8.2</w:t>
      </w:r>
      <w:r w:rsidRPr="007C3CD4">
        <w:rPr>
          <w:rFonts w:cs="Arial"/>
          <w:bCs/>
          <w:szCs w:val="22"/>
        </w:rPr>
        <w:tab/>
      </w:r>
      <w:r w:rsidR="00300408" w:rsidRPr="007C3CD4">
        <w:rPr>
          <w:rFonts w:cs="Arial"/>
          <w:bCs/>
          <w:szCs w:val="22"/>
        </w:rPr>
        <w:t>t</w:t>
      </w:r>
      <w:r w:rsidR="0067335A" w:rsidRPr="007C3CD4">
        <w:rPr>
          <w:rFonts w:cs="Arial"/>
          <w:bCs/>
          <w:szCs w:val="22"/>
        </w:rPr>
        <w:t xml:space="preserve">he structure erected by the </w:t>
      </w:r>
      <w:r w:rsidR="004930DB" w:rsidRPr="007C3CD4">
        <w:rPr>
          <w:rFonts w:cs="Arial"/>
          <w:bCs/>
          <w:szCs w:val="22"/>
        </w:rPr>
        <w:t>appellant</w:t>
      </w:r>
      <w:r w:rsidR="007735BC" w:rsidRPr="007C3CD4">
        <w:rPr>
          <w:rFonts w:cs="Arial"/>
          <w:bCs/>
          <w:szCs w:val="22"/>
        </w:rPr>
        <w:t xml:space="preserve"> on </w:t>
      </w:r>
      <w:r w:rsidR="00E81A36" w:rsidRPr="007C3CD4">
        <w:rPr>
          <w:rFonts w:cs="Arial"/>
          <w:bCs/>
          <w:szCs w:val="22"/>
        </w:rPr>
        <w:t>the property</w:t>
      </w:r>
      <w:r w:rsidR="007735BC" w:rsidRPr="007C3CD4">
        <w:rPr>
          <w:rFonts w:cs="Arial"/>
          <w:bCs/>
          <w:szCs w:val="22"/>
        </w:rPr>
        <w:t xml:space="preserve"> </w:t>
      </w:r>
      <w:r w:rsidR="0029327C">
        <w:rPr>
          <w:rFonts w:cs="Arial"/>
          <w:bCs/>
          <w:szCs w:val="22"/>
        </w:rPr>
        <w:t>was</w:t>
      </w:r>
      <w:r w:rsidR="007735BC" w:rsidRPr="007C3CD4">
        <w:rPr>
          <w:rFonts w:cs="Arial"/>
          <w:bCs/>
          <w:szCs w:val="22"/>
        </w:rPr>
        <w:t xml:space="preserve"> declared to be unlawful for being constructed in contravention of the Council’s Town Planning Scheme of 2014 and of restrictive condition no. 3 in Title Deed T26269/2001, </w:t>
      </w:r>
      <w:proofErr w:type="gramStart"/>
      <w:r w:rsidR="007735BC" w:rsidRPr="007C3CD4">
        <w:rPr>
          <w:rFonts w:cs="Arial"/>
          <w:bCs/>
          <w:szCs w:val="22"/>
        </w:rPr>
        <w:t>and also</w:t>
      </w:r>
      <w:proofErr w:type="gramEnd"/>
      <w:r w:rsidR="007735BC" w:rsidRPr="007C3CD4">
        <w:rPr>
          <w:rFonts w:cs="Arial"/>
          <w:bCs/>
          <w:szCs w:val="22"/>
        </w:rPr>
        <w:t xml:space="preserve"> without the prior approval of building plans by the Council as required in terms of sections 4 and 7 of the National Building Regulations and Building Standards Act, 103 of 1977</w:t>
      </w:r>
      <w:r w:rsidR="008270AA" w:rsidRPr="007C3CD4">
        <w:rPr>
          <w:rFonts w:cs="Arial"/>
          <w:bCs/>
          <w:szCs w:val="22"/>
        </w:rPr>
        <w:t xml:space="preserve"> (“the Act”)</w:t>
      </w:r>
      <w:r w:rsidR="00300408" w:rsidRPr="007C3CD4">
        <w:rPr>
          <w:rFonts w:cs="Arial"/>
          <w:bCs/>
          <w:szCs w:val="22"/>
        </w:rPr>
        <w:t>, and</w:t>
      </w:r>
    </w:p>
    <w:p w14:paraId="2C31807F" w14:textId="18285FF9" w:rsidR="00BE58E2"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lastRenderedPageBreak/>
        <w:t>8.3</w:t>
      </w:r>
      <w:r w:rsidRPr="007C3CD4">
        <w:rPr>
          <w:rFonts w:cs="Arial"/>
          <w:bCs/>
          <w:szCs w:val="22"/>
        </w:rPr>
        <w:tab/>
      </w:r>
      <w:r w:rsidR="00300408" w:rsidRPr="007C3CD4">
        <w:rPr>
          <w:rFonts w:cs="Arial"/>
          <w:bCs/>
          <w:szCs w:val="22"/>
        </w:rPr>
        <w:t>t</w:t>
      </w:r>
      <w:r w:rsidR="007735BC" w:rsidRPr="007C3CD4">
        <w:rPr>
          <w:rFonts w:cs="Arial"/>
          <w:bCs/>
          <w:szCs w:val="22"/>
        </w:rPr>
        <w:t xml:space="preserve">he </w:t>
      </w:r>
      <w:r w:rsidR="004930DB" w:rsidRPr="007C3CD4">
        <w:rPr>
          <w:rFonts w:cs="Arial"/>
          <w:bCs/>
          <w:szCs w:val="22"/>
        </w:rPr>
        <w:t>appellant</w:t>
      </w:r>
      <w:r w:rsidR="007735BC" w:rsidRPr="007C3CD4">
        <w:rPr>
          <w:rFonts w:cs="Arial"/>
          <w:bCs/>
          <w:szCs w:val="22"/>
        </w:rPr>
        <w:t xml:space="preserve"> was ordered to demolish the structure</w:t>
      </w:r>
      <w:r w:rsidR="00C648C8" w:rsidRPr="007C3CD4">
        <w:rPr>
          <w:rFonts w:cs="Arial"/>
          <w:bCs/>
          <w:szCs w:val="22"/>
        </w:rPr>
        <w:t>.</w:t>
      </w:r>
    </w:p>
    <w:p w14:paraId="38D2AA88" w14:textId="77777777" w:rsidR="00C17FE0" w:rsidRPr="007C3CD4" w:rsidRDefault="00C17FE0" w:rsidP="00625D54">
      <w:pPr>
        <w:widowControl w:val="0"/>
        <w:spacing w:before="480" w:after="480" w:line="480" w:lineRule="auto"/>
        <w:jc w:val="both"/>
        <w:rPr>
          <w:rFonts w:cs="Arial"/>
          <w:bCs/>
          <w:szCs w:val="22"/>
          <w:u w:val="single"/>
        </w:rPr>
      </w:pPr>
    </w:p>
    <w:p w14:paraId="607C7382" w14:textId="4BCDFF94" w:rsidR="00625D54" w:rsidRPr="007C3CD4" w:rsidRDefault="00625D54" w:rsidP="00625D54">
      <w:pPr>
        <w:widowControl w:val="0"/>
        <w:spacing w:before="480" w:after="480" w:line="480" w:lineRule="auto"/>
        <w:jc w:val="both"/>
        <w:rPr>
          <w:rFonts w:cs="Arial"/>
          <w:bCs/>
          <w:szCs w:val="22"/>
          <w:u w:val="single"/>
        </w:rPr>
      </w:pPr>
      <w:r w:rsidRPr="007C3CD4">
        <w:rPr>
          <w:rFonts w:cs="Arial"/>
          <w:bCs/>
          <w:szCs w:val="22"/>
          <w:u w:val="single"/>
        </w:rPr>
        <w:t>The appeal</w:t>
      </w:r>
      <w:r w:rsidR="008A485B" w:rsidRPr="007C3CD4">
        <w:rPr>
          <w:rFonts w:cs="Arial"/>
          <w:bCs/>
          <w:szCs w:val="22"/>
          <w:u w:val="single"/>
        </w:rPr>
        <w:t xml:space="preserve"> </w:t>
      </w:r>
      <w:proofErr w:type="gramStart"/>
      <w:r w:rsidR="008A485B" w:rsidRPr="007C3CD4">
        <w:rPr>
          <w:rFonts w:cs="Arial"/>
          <w:bCs/>
          <w:szCs w:val="22"/>
          <w:u w:val="single"/>
        </w:rPr>
        <w:t>process</w:t>
      </w:r>
      <w:proofErr w:type="gramEnd"/>
    </w:p>
    <w:p w14:paraId="727E4B2D" w14:textId="2C000764" w:rsidR="00DC2E43"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[9]</w:t>
      </w:r>
      <w:r w:rsidRPr="007C3CD4">
        <w:rPr>
          <w:rFonts w:cs="Arial"/>
          <w:bCs/>
          <w:szCs w:val="22"/>
        </w:rPr>
        <w:tab/>
      </w:r>
      <w:r w:rsidR="00DC2E43" w:rsidRPr="007C3CD4">
        <w:rPr>
          <w:rFonts w:cs="Arial"/>
          <w:bCs/>
          <w:szCs w:val="22"/>
        </w:rPr>
        <w:t xml:space="preserve">Fisher J granted leave to appeal on 10 November 2021. The </w:t>
      </w:r>
      <w:r w:rsidR="004930DB" w:rsidRPr="007C3CD4">
        <w:rPr>
          <w:rFonts w:cs="Arial"/>
          <w:bCs/>
          <w:szCs w:val="22"/>
        </w:rPr>
        <w:t>appellant</w:t>
      </w:r>
      <w:r w:rsidR="00DC2E43" w:rsidRPr="007C3CD4">
        <w:rPr>
          <w:rFonts w:cs="Arial"/>
          <w:bCs/>
          <w:szCs w:val="22"/>
        </w:rPr>
        <w:t xml:space="preserve"> failed to prosecute the appeal timeously </w:t>
      </w:r>
      <w:r w:rsidR="008A485B" w:rsidRPr="007C3CD4">
        <w:rPr>
          <w:rFonts w:cs="Arial"/>
          <w:bCs/>
          <w:szCs w:val="22"/>
        </w:rPr>
        <w:t>and brought an application for condonation</w:t>
      </w:r>
      <w:r w:rsidR="00EA2EBB" w:rsidRPr="007C3CD4">
        <w:rPr>
          <w:rFonts w:cs="Arial"/>
          <w:bCs/>
          <w:szCs w:val="22"/>
        </w:rPr>
        <w:t xml:space="preserve"> and for reinstatement of the lapsed appeal</w:t>
      </w:r>
      <w:r w:rsidR="008A485B" w:rsidRPr="007C3CD4">
        <w:rPr>
          <w:rFonts w:cs="Arial"/>
          <w:bCs/>
          <w:szCs w:val="22"/>
        </w:rPr>
        <w:t>.</w:t>
      </w:r>
    </w:p>
    <w:p w14:paraId="14594D21" w14:textId="77777777" w:rsidR="002B4BB2" w:rsidRPr="007C3CD4" w:rsidRDefault="002B4BB2" w:rsidP="008A485B">
      <w:pPr>
        <w:widowControl w:val="0"/>
        <w:spacing w:before="480" w:after="480" w:line="480" w:lineRule="auto"/>
        <w:jc w:val="both"/>
        <w:rPr>
          <w:rFonts w:cs="Arial"/>
          <w:bCs/>
          <w:szCs w:val="22"/>
          <w:u w:val="single"/>
        </w:rPr>
      </w:pPr>
    </w:p>
    <w:p w14:paraId="2A9056DA" w14:textId="6AE5FE4A" w:rsidR="008A485B" w:rsidRPr="007C3CD4" w:rsidRDefault="008A485B" w:rsidP="008A485B">
      <w:pPr>
        <w:widowControl w:val="0"/>
        <w:spacing w:before="480" w:after="480" w:line="480" w:lineRule="auto"/>
        <w:jc w:val="both"/>
        <w:rPr>
          <w:rFonts w:cs="Arial"/>
          <w:bCs/>
          <w:szCs w:val="22"/>
          <w:u w:val="single"/>
        </w:rPr>
      </w:pPr>
      <w:r w:rsidRPr="007C3CD4">
        <w:rPr>
          <w:rFonts w:cs="Arial"/>
          <w:bCs/>
          <w:szCs w:val="22"/>
          <w:u w:val="single"/>
        </w:rPr>
        <w:t>Condonation application</w:t>
      </w:r>
    </w:p>
    <w:p w14:paraId="5DE28793" w14:textId="2D36D7C2" w:rsidR="008A485B"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[10]</w:t>
      </w:r>
      <w:r w:rsidRPr="007C3CD4">
        <w:rPr>
          <w:rFonts w:cs="Arial"/>
          <w:bCs/>
          <w:szCs w:val="22"/>
        </w:rPr>
        <w:tab/>
      </w:r>
      <w:r w:rsidR="008A485B" w:rsidRPr="007C3CD4">
        <w:rPr>
          <w:rFonts w:cs="Arial"/>
          <w:bCs/>
          <w:szCs w:val="22"/>
        </w:rPr>
        <w:t xml:space="preserve">The appeal </w:t>
      </w:r>
      <w:proofErr w:type="gramStart"/>
      <w:r w:rsidR="008A485B" w:rsidRPr="007C3CD4">
        <w:rPr>
          <w:rFonts w:cs="Arial"/>
          <w:bCs/>
          <w:szCs w:val="22"/>
        </w:rPr>
        <w:t>lapsed</w:t>
      </w:r>
      <w:proofErr w:type="gramEnd"/>
      <w:r w:rsidR="008A485B" w:rsidRPr="007C3CD4">
        <w:rPr>
          <w:rFonts w:cs="Arial"/>
          <w:bCs/>
          <w:szCs w:val="22"/>
        </w:rPr>
        <w:t xml:space="preserve"> and the </w:t>
      </w:r>
      <w:r w:rsidR="004930DB" w:rsidRPr="007C3CD4">
        <w:rPr>
          <w:rFonts w:cs="Arial"/>
          <w:bCs/>
          <w:szCs w:val="22"/>
        </w:rPr>
        <w:t>appellant</w:t>
      </w:r>
      <w:r w:rsidR="008A485B" w:rsidRPr="007C3CD4">
        <w:rPr>
          <w:rFonts w:cs="Arial"/>
          <w:bCs/>
          <w:szCs w:val="22"/>
        </w:rPr>
        <w:t xml:space="preserve"> brought an application seeking reinstatement and condonation for the late lodging of a security bond, the late finalisation of the record, the late application for a date for the hearing of the appeal, and the late prosecution of the appeal.</w:t>
      </w:r>
    </w:p>
    <w:p w14:paraId="68CAA615" w14:textId="1AF46797" w:rsidR="006E28CF"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[11]</w:t>
      </w:r>
      <w:r w:rsidRPr="007C3CD4">
        <w:rPr>
          <w:rFonts w:cs="Arial"/>
          <w:bCs/>
          <w:szCs w:val="22"/>
        </w:rPr>
        <w:tab/>
      </w:r>
      <w:proofErr w:type="gramStart"/>
      <w:r w:rsidR="006E28CF" w:rsidRPr="007C3CD4">
        <w:rPr>
          <w:rFonts w:cs="Arial"/>
          <w:bCs/>
          <w:szCs w:val="22"/>
        </w:rPr>
        <w:t>It would appear that nothing</w:t>
      </w:r>
      <w:proofErr w:type="gramEnd"/>
      <w:r w:rsidR="006E28CF" w:rsidRPr="007C3CD4">
        <w:rPr>
          <w:rFonts w:cs="Arial"/>
          <w:bCs/>
          <w:szCs w:val="22"/>
        </w:rPr>
        <w:t xml:space="preserve"> was done to prosecute the appeal from 8 December 2021 when the appeal was noted until January 2022 when the </w:t>
      </w:r>
      <w:r w:rsidR="004930DB" w:rsidRPr="007C3CD4">
        <w:rPr>
          <w:rFonts w:cs="Arial"/>
          <w:bCs/>
          <w:szCs w:val="22"/>
        </w:rPr>
        <w:t>appellant</w:t>
      </w:r>
      <w:r w:rsidR="006E28CF" w:rsidRPr="007C3CD4">
        <w:rPr>
          <w:rFonts w:cs="Arial"/>
          <w:bCs/>
          <w:szCs w:val="22"/>
        </w:rPr>
        <w:t xml:space="preserve">’s attorneys requested a transcription of the record. As the matter was decided on application, it is not apparent why an expensive transcription was required, and the </w:t>
      </w:r>
      <w:r w:rsidR="004930DB" w:rsidRPr="007C3CD4">
        <w:rPr>
          <w:rFonts w:cs="Arial"/>
          <w:bCs/>
          <w:szCs w:val="22"/>
        </w:rPr>
        <w:t>appellant</w:t>
      </w:r>
      <w:r w:rsidR="006E28CF" w:rsidRPr="007C3CD4">
        <w:rPr>
          <w:rFonts w:cs="Arial"/>
          <w:bCs/>
          <w:szCs w:val="22"/>
        </w:rPr>
        <w:t xml:space="preserve"> baulked at paying this </w:t>
      </w:r>
      <w:r w:rsidR="00F650C0">
        <w:rPr>
          <w:rFonts w:cs="Arial"/>
          <w:bCs/>
          <w:szCs w:val="22"/>
        </w:rPr>
        <w:t xml:space="preserve">apparently </w:t>
      </w:r>
      <w:r w:rsidR="006E28CF" w:rsidRPr="007C3CD4">
        <w:rPr>
          <w:rFonts w:cs="Arial"/>
          <w:bCs/>
          <w:szCs w:val="22"/>
        </w:rPr>
        <w:t>unnecessary expense.</w:t>
      </w:r>
    </w:p>
    <w:p w14:paraId="1BD0AA18" w14:textId="101BF0DF" w:rsidR="00D04F3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[12]</w:t>
      </w:r>
      <w:r w:rsidRPr="007C3CD4">
        <w:rPr>
          <w:rFonts w:cs="Arial"/>
          <w:bCs/>
          <w:szCs w:val="22"/>
        </w:rPr>
        <w:tab/>
      </w:r>
      <w:r w:rsidR="00D04F34" w:rsidRPr="007C3CD4">
        <w:rPr>
          <w:rFonts w:cs="Arial"/>
          <w:bCs/>
          <w:szCs w:val="22"/>
        </w:rPr>
        <w:t xml:space="preserve">The </w:t>
      </w:r>
      <w:r w:rsidR="004930DB" w:rsidRPr="007C3CD4">
        <w:rPr>
          <w:rFonts w:cs="Arial"/>
          <w:bCs/>
          <w:szCs w:val="22"/>
        </w:rPr>
        <w:t>appellant</w:t>
      </w:r>
      <w:r w:rsidR="00D04F34" w:rsidRPr="007C3CD4">
        <w:rPr>
          <w:rFonts w:cs="Arial"/>
          <w:bCs/>
          <w:szCs w:val="22"/>
        </w:rPr>
        <w:t xml:space="preserve"> failed to </w:t>
      </w:r>
      <w:r w:rsidR="006E28CF" w:rsidRPr="007C3CD4">
        <w:rPr>
          <w:rFonts w:cs="Arial"/>
          <w:bCs/>
          <w:szCs w:val="22"/>
        </w:rPr>
        <w:t xml:space="preserve">timeously </w:t>
      </w:r>
      <w:r w:rsidR="00D04F34" w:rsidRPr="007C3CD4">
        <w:rPr>
          <w:rFonts w:cs="Arial"/>
          <w:bCs/>
          <w:szCs w:val="22"/>
        </w:rPr>
        <w:t>deliver a power of attorney</w:t>
      </w:r>
      <w:r w:rsidR="003B4C34" w:rsidRPr="007C3CD4">
        <w:rPr>
          <w:rFonts w:cs="Arial"/>
          <w:bCs/>
          <w:szCs w:val="22"/>
        </w:rPr>
        <w:t xml:space="preserve"> required in terms of </w:t>
      </w:r>
      <w:r w:rsidR="003B4C34" w:rsidRPr="007C3CD4">
        <w:rPr>
          <w:rFonts w:cs="Arial"/>
          <w:bCs/>
          <w:szCs w:val="22"/>
        </w:rPr>
        <w:lastRenderedPageBreak/>
        <w:t>Rule 7(2),</w:t>
      </w:r>
      <w:r w:rsidR="006E28CF" w:rsidRPr="007C3CD4">
        <w:rPr>
          <w:rStyle w:val="FootnoteReference"/>
          <w:rFonts w:cs="Arial"/>
          <w:bCs/>
          <w:szCs w:val="22"/>
        </w:rPr>
        <w:footnoteReference w:id="6"/>
      </w:r>
      <w:r w:rsidR="003B4C34" w:rsidRPr="007C3CD4">
        <w:rPr>
          <w:rFonts w:cs="Arial"/>
          <w:bCs/>
          <w:szCs w:val="22"/>
        </w:rPr>
        <w:t xml:space="preserve"> </w:t>
      </w:r>
      <w:r w:rsidR="005343D6" w:rsidRPr="007C3CD4">
        <w:rPr>
          <w:rFonts w:cs="Arial"/>
          <w:bCs/>
          <w:szCs w:val="22"/>
        </w:rPr>
        <w:t xml:space="preserve">failed to </w:t>
      </w:r>
      <w:r w:rsidR="00C93F25" w:rsidRPr="007C3CD4">
        <w:rPr>
          <w:rFonts w:cs="Arial"/>
          <w:bCs/>
          <w:szCs w:val="22"/>
        </w:rPr>
        <w:t xml:space="preserve">apply for a date as required by </w:t>
      </w:r>
      <w:r w:rsidR="005343D6" w:rsidRPr="007C3CD4">
        <w:rPr>
          <w:rFonts w:cs="Arial"/>
          <w:bCs/>
          <w:szCs w:val="22"/>
        </w:rPr>
        <w:t>Rule 49(6)(a),</w:t>
      </w:r>
      <w:r w:rsidR="005343D6" w:rsidRPr="007C3CD4">
        <w:rPr>
          <w:rStyle w:val="FootnoteReference"/>
          <w:rFonts w:cs="Arial"/>
          <w:bCs/>
          <w:szCs w:val="22"/>
        </w:rPr>
        <w:footnoteReference w:id="7"/>
      </w:r>
      <w:r w:rsidR="005343D6" w:rsidRPr="007C3CD4">
        <w:rPr>
          <w:rFonts w:cs="Arial"/>
          <w:bCs/>
          <w:szCs w:val="22"/>
        </w:rPr>
        <w:t xml:space="preserve"> failed to file and serve copies of the record as required by Rule 49(7)(a</w:t>
      </w:r>
      <w:proofErr w:type="gramStart"/>
      <w:r w:rsidR="005343D6" w:rsidRPr="007C3CD4">
        <w:rPr>
          <w:rFonts w:cs="Arial"/>
          <w:bCs/>
          <w:szCs w:val="22"/>
        </w:rPr>
        <w:t xml:space="preserve">), </w:t>
      </w:r>
      <w:r w:rsidR="00C93F25" w:rsidRPr="007C3CD4">
        <w:rPr>
          <w:rFonts w:cs="Arial"/>
          <w:bCs/>
          <w:szCs w:val="22"/>
        </w:rPr>
        <w:t>and</w:t>
      </w:r>
      <w:proofErr w:type="gramEnd"/>
      <w:r w:rsidR="00C93F25" w:rsidRPr="007C3CD4">
        <w:rPr>
          <w:rFonts w:cs="Arial"/>
          <w:bCs/>
          <w:szCs w:val="22"/>
        </w:rPr>
        <w:t xml:space="preserve"> </w:t>
      </w:r>
      <w:r w:rsidR="003B4C34" w:rsidRPr="007C3CD4">
        <w:rPr>
          <w:rFonts w:cs="Arial"/>
          <w:bCs/>
          <w:szCs w:val="22"/>
        </w:rPr>
        <w:t xml:space="preserve">failed to </w:t>
      </w:r>
      <w:r w:rsidR="005343D6" w:rsidRPr="007C3CD4">
        <w:rPr>
          <w:rFonts w:cs="Arial"/>
          <w:bCs/>
          <w:szCs w:val="22"/>
        </w:rPr>
        <w:t xml:space="preserve">timeously </w:t>
      </w:r>
      <w:r w:rsidR="003B4C34" w:rsidRPr="007C3CD4">
        <w:rPr>
          <w:rFonts w:cs="Arial"/>
          <w:bCs/>
          <w:szCs w:val="22"/>
        </w:rPr>
        <w:t>enter into the required security</w:t>
      </w:r>
      <w:r w:rsidR="00FE4D2E" w:rsidRPr="007C3CD4">
        <w:rPr>
          <w:rFonts w:cs="Arial"/>
          <w:bCs/>
          <w:szCs w:val="22"/>
        </w:rPr>
        <w:t xml:space="preserve"> as required by Rule 49(13)(a)</w:t>
      </w:r>
      <w:r w:rsidR="005343D6" w:rsidRPr="007C3CD4">
        <w:rPr>
          <w:rFonts w:cs="Arial"/>
          <w:bCs/>
          <w:szCs w:val="22"/>
        </w:rPr>
        <w:t>.</w:t>
      </w:r>
      <w:r w:rsidR="005343D6" w:rsidRPr="007C3CD4">
        <w:rPr>
          <w:rStyle w:val="FootnoteReference"/>
          <w:rFonts w:cs="Arial"/>
          <w:bCs/>
          <w:szCs w:val="22"/>
        </w:rPr>
        <w:footnoteReference w:id="8"/>
      </w:r>
      <w:r w:rsidR="006706ED" w:rsidRPr="007C3CD4">
        <w:rPr>
          <w:rFonts w:cs="Arial"/>
          <w:bCs/>
          <w:szCs w:val="22"/>
        </w:rPr>
        <w:t xml:space="preserve"> </w:t>
      </w:r>
    </w:p>
    <w:p w14:paraId="1C638E63" w14:textId="0D36F32E" w:rsidR="008A485B"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[13]</w:t>
      </w:r>
      <w:r w:rsidRPr="007C3CD4">
        <w:rPr>
          <w:rFonts w:cs="Arial"/>
          <w:bCs/>
          <w:szCs w:val="22"/>
        </w:rPr>
        <w:tab/>
      </w:r>
      <w:r w:rsidR="00D04F34" w:rsidRPr="007C3CD4">
        <w:rPr>
          <w:rFonts w:cs="Arial"/>
          <w:bCs/>
          <w:szCs w:val="22"/>
        </w:rPr>
        <w:t xml:space="preserve">The appeal should have been prosecuted by 4 March 2022 but the application for condonation </w:t>
      </w:r>
      <w:r w:rsidR="008D190D" w:rsidRPr="007C3CD4">
        <w:rPr>
          <w:rFonts w:cs="Arial"/>
          <w:bCs/>
          <w:szCs w:val="22"/>
        </w:rPr>
        <w:t xml:space="preserve">and reinstatement </w:t>
      </w:r>
      <w:r w:rsidR="00D04F34" w:rsidRPr="007C3CD4">
        <w:rPr>
          <w:rFonts w:cs="Arial"/>
          <w:bCs/>
          <w:szCs w:val="22"/>
        </w:rPr>
        <w:t>was only brought on 14 April 2022.</w:t>
      </w:r>
    </w:p>
    <w:p w14:paraId="722BA159" w14:textId="24452F5E" w:rsidR="00EA2EBB"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[14]</w:t>
      </w:r>
      <w:r w:rsidRPr="007C3CD4">
        <w:rPr>
          <w:rFonts w:cs="Arial"/>
          <w:bCs/>
          <w:szCs w:val="22"/>
        </w:rPr>
        <w:tab/>
      </w:r>
      <w:r w:rsidR="002B4BB2" w:rsidRPr="007C3CD4">
        <w:rPr>
          <w:rFonts w:cs="Arial"/>
          <w:bCs/>
          <w:szCs w:val="22"/>
        </w:rPr>
        <w:t xml:space="preserve">In argument Mr </w:t>
      </w:r>
      <w:proofErr w:type="spellStart"/>
      <w:r w:rsidR="002B4BB2" w:rsidRPr="007C3CD4">
        <w:rPr>
          <w:rFonts w:cs="Arial"/>
          <w:bCs/>
          <w:szCs w:val="22"/>
        </w:rPr>
        <w:t>Verster</w:t>
      </w:r>
      <w:proofErr w:type="spellEnd"/>
      <w:r w:rsidR="002B4BB2" w:rsidRPr="007C3CD4">
        <w:rPr>
          <w:rFonts w:cs="Arial"/>
          <w:bCs/>
          <w:szCs w:val="22"/>
        </w:rPr>
        <w:t xml:space="preserve"> who appeared for the respondents indicated that the respondents would no</w:t>
      </w:r>
      <w:r w:rsidR="008D190D" w:rsidRPr="007C3CD4">
        <w:rPr>
          <w:rFonts w:cs="Arial"/>
          <w:bCs/>
          <w:szCs w:val="22"/>
        </w:rPr>
        <w:t xml:space="preserve"> longer</w:t>
      </w:r>
      <w:r w:rsidR="002B4BB2" w:rsidRPr="007C3CD4">
        <w:rPr>
          <w:rFonts w:cs="Arial"/>
          <w:bCs/>
          <w:szCs w:val="22"/>
        </w:rPr>
        <w:t xml:space="preserve"> oppose the application for condonation and </w:t>
      </w:r>
      <w:proofErr w:type="gramStart"/>
      <w:r w:rsidR="002B4BB2" w:rsidRPr="007C3CD4">
        <w:rPr>
          <w:rFonts w:cs="Arial"/>
          <w:bCs/>
          <w:szCs w:val="22"/>
        </w:rPr>
        <w:t>reinstatement, but</w:t>
      </w:r>
      <w:proofErr w:type="gramEnd"/>
      <w:r w:rsidR="002B4BB2" w:rsidRPr="007C3CD4">
        <w:rPr>
          <w:rFonts w:cs="Arial"/>
          <w:bCs/>
          <w:szCs w:val="22"/>
        </w:rPr>
        <w:t xml:space="preserve"> </w:t>
      </w:r>
      <w:r w:rsidR="00361354" w:rsidRPr="007C3CD4">
        <w:rPr>
          <w:rFonts w:cs="Arial"/>
          <w:bCs/>
          <w:szCs w:val="22"/>
        </w:rPr>
        <w:t>would seek a</w:t>
      </w:r>
      <w:r w:rsidR="008D190D" w:rsidRPr="007C3CD4">
        <w:rPr>
          <w:rFonts w:cs="Arial"/>
          <w:bCs/>
          <w:szCs w:val="22"/>
        </w:rPr>
        <w:t>n appropriate</w:t>
      </w:r>
      <w:r w:rsidR="00361354" w:rsidRPr="007C3CD4">
        <w:rPr>
          <w:rFonts w:cs="Arial"/>
          <w:bCs/>
          <w:szCs w:val="22"/>
        </w:rPr>
        <w:t xml:space="preserve"> cost order.</w:t>
      </w:r>
    </w:p>
    <w:p w14:paraId="2EAFF966" w14:textId="62B065FB" w:rsidR="008A485B"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[15]</w:t>
      </w:r>
      <w:r w:rsidRPr="007C3CD4">
        <w:rPr>
          <w:rFonts w:cs="Arial"/>
          <w:bCs/>
          <w:szCs w:val="22"/>
        </w:rPr>
        <w:tab/>
      </w:r>
      <w:r w:rsidR="00361354" w:rsidRPr="007C3CD4">
        <w:rPr>
          <w:rFonts w:cs="Arial"/>
          <w:bCs/>
          <w:szCs w:val="22"/>
        </w:rPr>
        <w:t>The application</w:t>
      </w:r>
      <w:r w:rsidR="0035634B" w:rsidRPr="007C3CD4">
        <w:rPr>
          <w:rFonts w:cs="Arial"/>
          <w:bCs/>
          <w:szCs w:val="22"/>
        </w:rPr>
        <w:t xml:space="preserve"> for condonation and reinstatement</w:t>
      </w:r>
      <w:r w:rsidR="00361354" w:rsidRPr="007C3CD4">
        <w:rPr>
          <w:rFonts w:cs="Arial"/>
          <w:bCs/>
          <w:szCs w:val="22"/>
        </w:rPr>
        <w:t xml:space="preserve"> is granted in the interests of the proper ventilation of the issue</w:t>
      </w:r>
      <w:r w:rsidR="008D190D" w:rsidRPr="007C3CD4">
        <w:rPr>
          <w:rFonts w:cs="Arial"/>
          <w:bCs/>
          <w:szCs w:val="22"/>
        </w:rPr>
        <w:t>s.</w:t>
      </w:r>
    </w:p>
    <w:p w14:paraId="3CA0E3C6" w14:textId="77777777" w:rsidR="00361354" w:rsidRPr="007C3CD4" w:rsidRDefault="00361354" w:rsidP="00361354">
      <w:pPr>
        <w:widowControl w:val="0"/>
        <w:spacing w:before="480" w:after="480" w:line="480" w:lineRule="auto"/>
        <w:jc w:val="both"/>
        <w:rPr>
          <w:rFonts w:cs="Arial"/>
          <w:bCs/>
          <w:szCs w:val="22"/>
          <w:u w:val="single"/>
        </w:rPr>
      </w:pPr>
    </w:p>
    <w:p w14:paraId="308D42BC" w14:textId="1C1A6BA9" w:rsidR="00361354" w:rsidRPr="007C3CD4" w:rsidRDefault="00361354" w:rsidP="00361354">
      <w:pPr>
        <w:widowControl w:val="0"/>
        <w:spacing w:before="480" w:after="480" w:line="480" w:lineRule="auto"/>
        <w:jc w:val="both"/>
        <w:rPr>
          <w:rFonts w:cs="Arial"/>
          <w:bCs/>
          <w:szCs w:val="22"/>
          <w:u w:val="single"/>
        </w:rPr>
      </w:pPr>
      <w:r w:rsidRPr="007C3CD4">
        <w:rPr>
          <w:rFonts w:cs="Arial"/>
          <w:bCs/>
          <w:szCs w:val="22"/>
          <w:u w:val="single"/>
        </w:rPr>
        <w:t>The merits of the appeal</w:t>
      </w:r>
    </w:p>
    <w:p w14:paraId="2BA12A3A" w14:textId="060E03B2" w:rsidR="00C648C8"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[16]</w:t>
      </w:r>
      <w:r w:rsidRPr="007C3CD4">
        <w:rPr>
          <w:rFonts w:cs="Arial"/>
          <w:bCs/>
          <w:szCs w:val="22"/>
        </w:rPr>
        <w:tab/>
      </w:r>
      <w:r w:rsidR="00DC2E43" w:rsidRPr="007C3CD4">
        <w:rPr>
          <w:rFonts w:cs="Arial"/>
          <w:bCs/>
          <w:szCs w:val="22"/>
        </w:rPr>
        <w:t xml:space="preserve">In the notice of appeal the </w:t>
      </w:r>
      <w:r w:rsidR="004930DB" w:rsidRPr="007C3CD4">
        <w:rPr>
          <w:rFonts w:cs="Arial"/>
          <w:bCs/>
          <w:szCs w:val="22"/>
        </w:rPr>
        <w:t>appellant</w:t>
      </w:r>
      <w:r w:rsidR="00C648C8" w:rsidRPr="007C3CD4">
        <w:rPr>
          <w:rFonts w:cs="Arial"/>
          <w:bCs/>
          <w:szCs w:val="22"/>
        </w:rPr>
        <w:t xml:space="preserve"> prayed for an order setting aside the judgment and </w:t>
      </w:r>
      <w:proofErr w:type="gramStart"/>
      <w:r w:rsidR="00C648C8" w:rsidRPr="007C3CD4">
        <w:rPr>
          <w:rFonts w:cs="Arial"/>
          <w:bCs/>
          <w:szCs w:val="22"/>
        </w:rPr>
        <w:t>order, and</w:t>
      </w:r>
      <w:proofErr w:type="gramEnd"/>
      <w:r w:rsidR="00C648C8" w:rsidRPr="007C3CD4">
        <w:rPr>
          <w:rFonts w:cs="Arial"/>
          <w:bCs/>
          <w:szCs w:val="22"/>
        </w:rPr>
        <w:t xml:space="preserve"> substituting an order staying or postponing the application pending final resolution of the </w:t>
      </w:r>
      <w:r w:rsidR="004930DB" w:rsidRPr="007C3CD4">
        <w:rPr>
          <w:rFonts w:cs="Arial"/>
          <w:bCs/>
          <w:szCs w:val="22"/>
        </w:rPr>
        <w:t>appellant</w:t>
      </w:r>
      <w:r w:rsidR="00C648C8" w:rsidRPr="007C3CD4">
        <w:rPr>
          <w:rFonts w:cs="Arial"/>
          <w:bCs/>
          <w:szCs w:val="22"/>
        </w:rPr>
        <w:t>’s application for rezoning and the removal of restrictive conditions on the property.</w:t>
      </w:r>
    </w:p>
    <w:p w14:paraId="098835C0" w14:textId="642F4F9C" w:rsidR="00A57B47"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[17]</w:t>
      </w:r>
      <w:r w:rsidRPr="007C3CD4">
        <w:rPr>
          <w:rFonts w:cs="Arial"/>
          <w:bCs/>
          <w:szCs w:val="22"/>
        </w:rPr>
        <w:tab/>
      </w:r>
      <w:r w:rsidR="00A57B47" w:rsidRPr="007C3CD4">
        <w:rPr>
          <w:rFonts w:cs="Arial"/>
          <w:bCs/>
          <w:szCs w:val="22"/>
        </w:rPr>
        <w:t xml:space="preserve">The </w:t>
      </w:r>
      <w:r w:rsidR="004930DB" w:rsidRPr="007C3CD4">
        <w:rPr>
          <w:rFonts w:cs="Arial"/>
          <w:bCs/>
          <w:szCs w:val="22"/>
        </w:rPr>
        <w:t>appellant</w:t>
      </w:r>
      <w:r w:rsidR="00A57B47" w:rsidRPr="007C3CD4">
        <w:rPr>
          <w:rFonts w:cs="Arial"/>
          <w:bCs/>
          <w:szCs w:val="22"/>
        </w:rPr>
        <w:t xml:space="preserve"> relied on the following grounds of appeal.</w:t>
      </w:r>
    </w:p>
    <w:p w14:paraId="3B95C092" w14:textId="4024F09B" w:rsidR="00A57B47"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17.1</w:t>
      </w:r>
      <w:r w:rsidRPr="007C3CD4">
        <w:rPr>
          <w:rFonts w:cs="Arial"/>
          <w:bCs/>
          <w:szCs w:val="22"/>
        </w:rPr>
        <w:tab/>
      </w:r>
      <w:r w:rsidR="00A57B47" w:rsidRPr="007C3CD4">
        <w:rPr>
          <w:rFonts w:cs="Arial"/>
          <w:bCs/>
          <w:szCs w:val="22"/>
        </w:rPr>
        <w:t xml:space="preserve">The Judge </w:t>
      </w:r>
      <w:r w:rsidR="00A57B47" w:rsidRPr="007C3CD4">
        <w:rPr>
          <w:rFonts w:cs="Arial"/>
          <w:bCs/>
          <w:i/>
          <w:iCs/>
          <w:szCs w:val="22"/>
        </w:rPr>
        <w:t>a quo</w:t>
      </w:r>
      <w:r w:rsidR="00A57B47" w:rsidRPr="007C3CD4">
        <w:rPr>
          <w:rFonts w:cs="Arial"/>
          <w:bCs/>
          <w:szCs w:val="22"/>
        </w:rPr>
        <w:t xml:space="preserve"> </w:t>
      </w:r>
      <w:r w:rsidR="005425F8" w:rsidRPr="007C3CD4">
        <w:rPr>
          <w:rFonts w:cs="Arial"/>
          <w:bCs/>
          <w:szCs w:val="22"/>
        </w:rPr>
        <w:t xml:space="preserve">erred in </w:t>
      </w:r>
      <w:r w:rsidR="00A57B47" w:rsidRPr="007C3CD4">
        <w:rPr>
          <w:rFonts w:cs="Arial"/>
          <w:bCs/>
          <w:szCs w:val="22"/>
        </w:rPr>
        <w:t>refus</w:t>
      </w:r>
      <w:r w:rsidR="005425F8" w:rsidRPr="007C3CD4">
        <w:rPr>
          <w:rFonts w:cs="Arial"/>
          <w:bCs/>
          <w:szCs w:val="22"/>
        </w:rPr>
        <w:t>ing</w:t>
      </w:r>
      <w:r w:rsidR="00A57B47" w:rsidRPr="007C3CD4">
        <w:rPr>
          <w:rFonts w:cs="Arial"/>
          <w:bCs/>
          <w:szCs w:val="22"/>
        </w:rPr>
        <w:t xml:space="preserve"> </w:t>
      </w:r>
      <w:r w:rsidR="00B81E76" w:rsidRPr="007C3CD4">
        <w:rPr>
          <w:rFonts w:cs="Arial"/>
          <w:bCs/>
          <w:szCs w:val="22"/>
        </w:rPr>
        <w:t xml:space="preserve">the </w:t>
      </w:r>
      <w:r w:rsidR="00B81E76" w:rsidRPr="00AD002D">
        <w:rPr>
          <w:rFonts w:cs="Arial"/>
          <w:bCs/>
          <w:szCs w:val="22"/>
        </w:rPr>
        <w:t xml:space="preserve">application </w:t>
      </w:r>
      <w:r w:rsidR="00571532" w:rsidRPr="00AD002D">
        <w:rPr>
          <w:rFonts w:cs="Arial"/>
          <w:bCs/>
          <w:szCs w:val="22"/>
        </w:rPr>
        <w:t xml:space="preserve">for </w:t>
      </w:r>
      <w:r w:rsidR="00B81E76" w:rsidRPr="00AD002D">
        <w:rPr>
          <w:rFonts w:cs="Arial"/>
          <w:bCs/>
          <w:szCs w:val="22"/>
        </w:rPr>
        <w:t>a stay</w:t>
      </w:r>
      <w:r w:rsidR="00B81E76" w:rsidRPr="007C3CD4">
        <w:rPr>
          <w:rFonts w:cs="Arial"/>
          <w:bCs/>
          <w:szCs w:val="22"/>
        </w:rPr>
        <w:t xml:space="preserve"> of proceedings </w:t>
      </w:r>
      <w:r w:rsidR="00B81E76" w:rsidRPr="007C3CD4">
        <w:rPr>
          <w:rFonts w:cs="Arial"/>
          <w:bCs/>
          <w:szCs w:val="22"/>
        </w:rPr>
        <w:lastRenderedPageBreak/>
        <w:t>pending the outcome of the rezoning application</w:t>
      </w:r>
      <w:r w:rsidR="005425F8" w:rsidRPr="007C3CD4">
        <w:rPr>
          <w:rFonts w:cs="Arial"/>
          <w:bCs/>
          <w:szCs w:val="22"/>
        </w:rPr>
        <w:t xml:space="preserve"> and removal of restrictive </w:t>
      </w:r>
      <w:proofErr w:type="gramStart"/>
      <w:r w:rsidR="005425F8" w:rsidRPr="007C3CD4">
        <w:rPr>
          <w:rFonts w:cs="Arial"/>
          <w:bCs/>
          <w:szCs w:val="22"/>
        </w:rPr>
        <w:t>conditions</w:t>
      </w:r>
      <w:r w:rsidR="00B81E76" w:rsidRPr="007C3CD4">
        <w:rPr>
          <w:rFonts w:cs="Arial"/>
          <w:bCs/>
          <w:szCs w:val="22"/>
        </w:rPr>
        <w:t>;</w:t>
      </w:r>
      <w:proofErr w:type="gramEnd"/>
    </w:p>
    <w:p w14:paraId="6BCC5266" w14:textId="56E59228" w:rsidR="00A57B47"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17.2</w:t>
      </w:r>
      <w:r w:rsidRPr="007C3CD4">
        <w:rPr>
          <w:rFonts w:cs="Arial"/>
          <w:bCs/>
          <w:szCs w:val="22"/>
        </w:rPr>
        <w:tab/>
      </w:r>
      <w:r w:rsidR="00A57B47" w:rsidRPr="007C3CD4">
        <w:rPr>
          <w:rFonts w:cs="Arial"/>
          <w:bCs/>
          <w:szCs w:val="22"/>
        </w:rPr>
        <w:t xml:space="preserve">There was no compelling reason to order demolition of the </w:t>
      </w:r>
      <w:proofErr w:type="gramStart"/>
      <w:r w:rsidR="00A57B47" w:rsidRPr="007C3CD4">
        <w:rPr>
          <w:rFonts w:cs="Arial"/>
          <w:bCs/>
          <w:szCs w:val="22"/>
        </w:rPr>
        <w:t>building;</w:t>
      </w:r>
      <w:proofErr w:type="gramEnd"/>
    </w:p>
    <w:p w14:paraId="348545F0" w14:textId="7CF4D03C" w:rsidR="00A57B47"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17.3</w:t>
      </w:r>
      <w:r w:rsidRPr="007C3CD4">
        <w:rPr>
          <w:rFonts w:cs="Arial"/>
          <w:bCs/>
          <w:szCs w:val="22"/>
        </w:rPr>
        <w:tab/>
      </w:r>
      <w:r w:rsidR="00A57B47" w:rsidRPr="007C3CD4">
        <w:rPr>
          <w:rFonts w:cs="Arial"/>
          <w:bCs/>
          <w:szCs w:val="22"/>
        </w:rPr>
        <w:t xml:space="preserve">There were good prospects of success in the pending application for rezoning and removal of </w:t>
      </w:r>
      <w:proofErr w:type="gramStart"/>
      <w:r w:rsidR="00A57B47" w:rsidRPr="007C3CD4">
        <w:rPr>
          <w:rFonts w:cs="Arial"/>
          <w:bCs/>
          <w:szCs w:val="22"/>
        </w:rPr>
        <w:t>restrictions;</w:t>
      </w:r>
      <w:proofErr w:type="gramEnd"/>
    </w:p>
    <w:p w14:paraId="2A0EB695" w14:textId="2CCE2F2E" w:rsidR="00A57B47"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17.4</w:t>
      </w:r>
      <w:r w:rsidRPr="007C3CD4">
        <w:rPr>
          <w:rFonts w:cs="Arial"/>
          <w:bCs/>
          <w:szCs w:val="22"/>
        </w:rPr>
        <w:tab/>
      </w:r>
      <w:r w:rsidR="00A57B47" w:rsidRPr="007C3CD4">
        <w:rPr>
          <w:rFonts w:cs="Arial"/>
          <w:bCs/>
          <w:szCs w:val="22"/>
        </w:rPr>
        <w:t xml:space="preserve">There was no evidence that the </w:t>
      </w:r>
      <w:r w:rsidR="00B81E76" w:rsidRPr="007C3CD4">
        <w:rPr>
          <w:rFonts w:cs="Arial"/>
          <w:bCs/>
          <w:szCs w:val="22"/>
        </w:rPr>
        <w:t>amenity and value of surrounding properties would be affected by a temporary stay of the application;</w:t>
      </w:r>
      <w:r w:rsidR="0035634B" w:rsidRPr="007C3CD4">
        <w:rPr>
          <w:rStyle w:val="FootnoteReference"/>
          <w:rFonts w:cs="Arial"/>
          <w:bCs/>
          <w:szCs w:val="22"/>
        </w:rPr>
        <w:footnoteReference w:id="9"/>
      </w:r>
    </w:p>
    <w:p w14:paraId="77B6E10C" w14:textId="2CA764AE" w:rsidR="00B81E76" w:rsidRPr="007C3CD4" w:rsidRDefault="008F0B49" w:rsidP="008F0B49">
      <w:pPr>
        <w:widowControl w:val="0"/>
        <w:tabs>
          <w:tab w:val="left" w:pos="1418"/>
        </w:tabs>
        <w:spacing w:before="480" w:after="480" w:line="480" w:lineRule="auto"/>
        <w:ind w:left="1418" w:hanging="851"/>
        <w:jc w:val="both"/>
        <w:rPr>
          <w:rFonts w:cs="Arial"/>
          <w:bCs/>
          <w:szCs w:val="22"/>
        </w:rPr>
      </w:pPr>
      <w:r w:rsidRPr="007C3CD4">
        <w:rPr>
          <w:rFonts w:cs="Arial"/>
          <w:bCs/>
          <w:szCs w:val="22"/>
        </w:rPr>
        <w:t>17.5</w:t>
      </w:r>
      <w:r w:rsidRPr="007C3CD4">
        <w:rPr>
          <w:rFonts w:cs="Arial"/>
          <w:bCs/>
          <w:szCs w:val="22"/>
        </w:rPr>
        <w:tab/>
      </w:r>
      <w:r w:rsidR="00B81E76" w:rsidRPr="007C3CD4">
        <w:rPr>
          <w:rFonts w:cs="Arial"/>
          <w:bCs/>
          <w:szCs w:val="22"/>
        </w:rPr>
        <w:t xml:space="preserve">The presiding Judge failed to appreciate the evidence that the </w:t>
      </w:r>
      <w:r w:rsidR="004930DB" w:rsidRPr="007C3CD4">
        <w:rPr>
          <w:rFonts w:cs="Arial"/>
          <w:bCs/>
          <w:szCs w:val="22"/>
        </w:rPr>
        <w:t>appellant</w:t>
      </w:r>
      <w:r w:rsidR="00B81E76" w:rsidRPr="007C3CD4">
        <w:rPr>
          <w:rFonts w:cs="Arial"/>
          <w:bCs/>
          <w:szCs w:val="22"/>
        </w:rPr>
        <w:t xml:space="preserve"> would suffer irreversible damage in the event of the structure being demolished</w:t>
      </w:r>
      <w:r w:rsidR="005425F8" w:rsidRPr="007C3CD4">
        <w:rPr>
          <w:rFonts w:cs="Arial"/>
          <w:bCs/>
          <w:szCs w:val="22"/>
        </w:rPr>
        <w:t>.</w:t>
      </w:r>
    </w:p>
    <w:p w14:paraId="5A0DF481" w14:textId="350219E0" w:rsidR="00EE55EC"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[18]</w:t>
      </w:r>
      <w:r w:rsidRPr="007C3CD4">
        <w:rPr>
          <w:rFonts w:cs="Arial"/>
          <w:bCs/>
          <w:szCs w:val="22"/>
        </w:rPr>
        <w:tab/>
      </w:r>
      <w:r w:rsidR="00C648C8" w:rsidRPr="007C3CD4">
        <w:rPr>
          <w:rFonts w:cs="Arial"/>
          <w:bCs/>
          <w:noProof/>
          <w:szCs w:val="22"/>
        </w:rPr>
        <w:t>As will be shown below, it is common cause that the Ekurhuleni Municipal Planning Tribunal approved the rezoning of the property</w:t>
      </w:r>
      <w:r w:rsidR="00E81A36" w:rsidRPr="007C3CD4">
        <w:rPr>
          <w:rFonts w:cs="Arial"/>
          <w:bCs/>
          <w:noProof/>
          <w:szCs w:val="22"/>
        </w:rPr>
        <w:t xml:space="preserve"> from Residential 1 to Residential 3 with a density of 65 dwelling units, subject to a number of conditions not relevant for the purposes of this judgment. The rights will be incorporated into the City of Ekurhuleni Land Use Scheme of 2021.</w:t>
      </w:r>
      <w:r w:rsidR="00E81A36" w:rsidRPr="007C3CD4">
        <w:rPr>
          <w:rStyle w:val="FootnoteReference"/>
          <w:rFonts w:cs="Arial"/>
          <w:bCs/>
          <w:noProof/>
          <w:szCs w:val="22"/>
        </w:rPr>
        <w:footnoteReference w:id="10"/>
      </w:r>
      <w:r w:rsidR="00E81A36" w:rsidRPr="007C3CD4">
        <w:rPr>
          <w:rFonts w:cs="Arial"/>
          <w:bCs/>
          <w:noProof/>
          <w:szCs w:val="22"/>
        </w:rPr>
        <w:t xml:space="preserve"> It is specifically noted in the resolution approving the rezoning that the Tribunal did not condone the </w:t>
      </w:r>
      <w:r w:rsidR="00E81A36" w:rsidRPr="007C3CD4">
        <w:rPr>
          <w:rFonts w:cs="Arial"/>
          <w:bCs/>
          <w:i/>
          <w:iCs/>
          <w:noProof/>
          <w:szCs w:val="22"/>
        </w:rPr>
        <w:t>‘partly constructed building that encroaches into the building lines of the’</w:t>
      </w:r>
      <w:r w:rsidR="00E81A36" w:rsidRPr="007C3CD4">
        <w:rPr>
          <w:rFonts w:cs="Arial"/>
          <w:bCs/>
          <w:noProof/>
          <w:szCs w:val="22"/>
        </w:rPr>
        <w:t xml:space="preserve"> property. A site development plan including a landscaping plan as well as building plans had to be </w:t>
      </w:r>
      <w:r w:rsidR="00EE55EC" w:rsidRPr="007C3CD4">
        <w:rPr>
          <w:rFonts w:cs="Arial"/>
          <w:bCs/>
          <w:noProof/>
          <w:szCs w:val="22"/>
        </w:rPr>
        <w:t xml:space="preserve">submitted and the legislation must be complied with before the commencement of any </w:t>
      </w:r>
      <w:r w:rsidR="00D43644" w:rsidRPr="007C3CD4">
        <w:rPr>
          <w:rFonts w:cs="Arial"/>
          <w:bCs/>
          <w:noProof/>
          <w:szCs w:val="22"/>
        </w:rPr>
        <w:t>further</w:t>
      </w:r>
      <w:r w:rsidR="00EE55EC" w:rsidRPr="007C3CD4">
        <w:rPr>
          <w:rFonts w:cs="Arial"/>
          <w:bCs/>
          <w:noProof/>
          <w:szCs w:val="22"/>
        </w:rPr>
        <w:t xml:space="preserve"> building work.</w:t>
      </w:r>
    </w:p>
    <w:p w14:paraId="54D88D6F" w14:textId="77777777" w:rsidR="00524F59" w:rsidRPr="007C3CD4" w:rsidRDefault="00524F59" w:rsidP="00524F59">
      <w:pPr>
        <w:widowControl w:val="0"/>
        <w:spacing w:before="480" w:after="480" w:line="480" w:lineRule="auto"/>
        <w:jc w:val="both"/>
        <w:rPr>
          <w:rFonts w:cs="Arial"/>
          <w:bCs/>
          <w:szCs w:val="22"/>
          <w:u w:val="single"/>
        </w:rPr>
      </w:pPr>
    </w:p>
    <w:p w14:paraId="1F4E36CB" w14:textId="17814248" w:rsidR="00524F59" w:rsidRPr="007C3CD4" w:rsidRDefault="00524F59" w:rsidP="00524F59">
      <w:pPr>
        <w:widowControl w:val="0"/>
        <w:spacing w:before="480" w:after="480" w:line="480" w:lineRule="auto"/>
        <w:jc w:val="both"/>
        <w:rPr>
          <w:rFonts w:cs="Arial"/>
          <w:bCs/>
          <w:szCs w:val="22"/>
          <w:u w:val="single"/>
        </w:rPr>
      </w:pPr>
      <w:r w:rsidRPr="007C3CD4">
        <w:rPr>
          <w:rFonts w:cs="Arial"/>
          <w:bCs/>
          <w:szCs w:val="22"/>
          <w:u w:val="single"/>
        </w:rPr>
        <w:t>The application in terms of section 19(b)</w:t>
      </w:r>
    </w:p>
    <w:p w14:paraId="16E3BC5C" w14:textId="2D4B18C5" w:rsidR="00C648C8"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[19]</w:t>
      </w:r>
      <w:r w:rsidRPr="007C3CD4">
        <w:rPr>
          <w:rFonts w:cs="Arial"/>
          <w:bCs/>
          <w:szCs w:val="22"/>
        </w:rPr>
        <w:tab/>
      </w:r>
      <w:r w:rsidR="00EE55EC" w:rsidRPr="007C3CD4">
        <w:rPr>
          <w:rFonts w:cs="Arial"/>
          <w:bCs/>
          <w:noProof/>
          <w:szCs w:val="22"/>
        </w:rPr>
        <w:t>The parties jointly applied in terms of section 19(b) of the Superior Courts Act, 10 of 2013, for the leave of the court to receive the minutes of the Tribunal meeting referred to above.</w:t>
      </w:r>
      <w:r w:rsidR="00E81A36" w:rsidRPr="007C3CD4">
        <w:rPr>
          <w:rFonts w:cs="Arial"/>
          <w:bCs/>
          <w:noProof/>
          <w:szCs w:val="22"/>
        </w:rPr>
        <w:t xml:space="preserve"> </w:t>
      </w:r>
      <w:r w:rsidR="00A57B47" w:rsidRPr="007C3CD4">
        <w:rPr>
          <w:rFonts w:cs="Arial"/>
          <w:bCs/>
          <w:noProof/>
          <w:szCs w:val="22"/>
        </w:rPr>
        <w:t>Both parties relied on the minutes in argument.</w:t>
      </w:r>
    </w:p>
    <w:p w14:paraId="67C1D10C" w14:textId="010B65C0" w:rsidR="005425F8"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[20]</w:t>
      </w:r>
      <w:r w:rsidRPr="007C3CD4">
        <w:rPr>
          <w:rFonts w:cs="Arial"/>
          <w:bCs/>
          <w:szCs w:val="22"/>
        </w:rPr>
        <w:tab/>
      </w:r>
      <w:r w:rsidR="005425F8" w:rsidRPr="007C3CD4">
        <w:rPr>
          <w:rFonts w:cs="Arial"/>
          <w:bCs/>
          <w:szCs w:val="22"/>
        </w:rPr>
        <w:t xml:space="preserve">It is the case for the </w:t>
      </w:r>
      <w:r w:rsidR="007F1F01">
        <w:rPr>
          <w:rFonts w:cs="Arial"/>
          <w:bCs/>
          <w:szCs w:val="22"/>
        </w:rPr>
        <w:t>respondents</w:t>
      </w:r>
      <w:r w:rsidR="005425F8" w:rsidRPr="007C3CD4">
        <w:rPr>
          <w:rFonts w:cs="Arial"/>
          <w:bCs/>
          <w:szCs w:val="22"/>
        </w:rPr>
        <w:t xml:space="preserve"> that the resolution of the Tribunal renders the appeal moot. The application for a stay or postponement was sought </w:t>
      </w:r>
      <w:proofErr w:type="gramStart"/>
      <w:r w:rsidR="005425F8" w:rsidRPr="007C3CD4">
        <w:rPr>
          <w:rFonts w:cs="Arial"/>
          <w:bCs/>
          <w:szCs w:val="22"/>
        </w:rPr>
        <w:t>on the basis of</w:t>
      </w:r>
      <w:proofErr w:type="gramEnd"/>
      <w:r w:rsidR="005425F8" w:rsidRPr="007C3CD4">
        <w:rPr>
          <w:rFonts w:cs="Arial"/>
          <w:bCs/>
          <w:szCs w:val="22"/>
        </w:rPr>
        <w:t xml:space="preserve"> the </w:t>
      </w:r>
      <w:r w:rsidR="00E27992" w:rsidRPr="007C3CD4">
        <w:rPr>
          <w:rFonts w:cs="Arial"/>
          <w:bCs/>
          <w:szCs w:val="22"/>
        </w:rPr>
        <w:t xml:space="preserve">outcome of the application for the rezoning and removal of restrictions. The Tribunal has now granted both parts of the relief </w:t>
      </w:r>
      <w:proofErr w:type="gramStart"/>
      <w:r w:rsidR="00E27992" w:rsidRPr="007C3CD4">
        <w:rPr>
          <w:rFonts w:cs="Arial"/>
          <w:bCs/>
          <w:szCs w:val="22"/>
        </w:rPr>
        <w:t>sought</w:t>
      </w:r>
      <w:proofErr w:type="gramEnd"/>
      <w:r w:rsidR="00E27992" w:rsidRPr="007C3CD4">
        <w:rPr>
          <w:rFonts w:cs="Arial"/>
          <w:bCs/>
          <w:szCs w:val="22"/>
        </w:rPr>
        <w:t xml:space="preserve"> and the illegal structure is still illegal. The </w:t>
      </w:r>
      <w:r w:rsidR="008D190D" w:rsidRPr="007C3CD4">
        <w:rPr>
          <w:rFonts w:cs="Arial"/>
          <w:bCs/>
          <w:szCs w:val="22"/>
        </w:rPr>
        <w:t>stay</w:t>
      </w:r>
      <w:r w:rsidR="00E27992" w:rsidRPr="007C3CD4">
        <w:rPr>
          <w:rFonts w:cs="Arial"/>
          <w:bCs/>
          <w:szCs w:val="22"/>
        </w:rPr>
        <w:t xml:space="preserve"> sought would not have cured the illegality.</w:t>
      </w:r>
    </w:p>
    <w:p w14:paraId="1AF7AC85" w14:textId="01FA7948" w:rsidR="005425F8"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[21]</w:t>
      </w:r>
      <w:r w:rsidRPr="007C3CD4">
        <w:rPr>
          <w:rFonts w:cs="Arial"/>
          <w:bCs/>
          <w:szCs w:val="22"/>
        </w:rPr>
        <w:tab/>
      </w:r>
      <w:r w:rsidR="00524F59" w:rsidRPr="007C3CD4">
        <w:rPr>
          <w:rFonts w:cs="Arial"/>
          <w:bCs/>
          <w:szCs w:val="22"/>
        </w:rPr>
        <w:t>The Tribunal resolution indeed renders the appeal moot</w:t>
      </w:r>
      <w:r w:rsidR="007C3CD4">
        <w:rPr>
          <w:rFonts w:cs="Arial"/>
          <w:bCs/>
          <w:szCs w:val="22"/>
        </w:rPr>
        <w:t xml:space="preserve"> insofar as the appellant seeks an order that the </w:t>
      </w:r>
      <w:r w:rsidR="007C3CD4" w:rsidRPr="00AD002D">
        <w:rPr>
          <w:rFonts w:cs="Arial"/>
          <w:bCs/>
          <w:szCs w:val="22"/>
        </w:rPr>
        <w:t>application b</w:t>
      </w:r>
      <w:r w:rsidR="009621BD" w:rsidRPr="00AD002D">
        <w:rPr>
          <w:rFonts w:cs="Arial"/>
          <w:bCs/>
          <w:szCs w:val="22"/>
        </w:rPr>
        <w:t>e</w:t>
      </w:r>
      <w:r w:rsidR="007C3CD4" w:rsidRPr="00AD002D">
        <w:rPr>
          <w:rFonts w:cs="Arial"/>
          <w:bCs/>
          <w:szCs w:val="22"/>
        </w:rPr>
        <w:t xml:space="preserve"> stayed</w:t>
      </w:r>
      <w:r w:rsidR="00524F59" w:rsidRPr="00AD002D">
        <w:rPr>
          <w:rFonts w:cs="Arial"/>
          <w:bCs/>
          <w:szCs w:val="22"/>
        </w:rPr>
        <w:t>. The</w:t>
      </w:r>
      <w:r w:rsidR="00524F59" w:rsidRPr="007C3CD4">
        <w:rPr>
          <w:rFonts w:cs="Arial"/>
          <w:bCs/>
          <w:szCs w:val="22"/>
        </w:rPr>
        <w:t xml:space="preserve"> resolution addresses the rezoning of the property and the removal of the restrictive </w:t>
      </w:r>
      <w:proofErr w:type="gramStart"/>
      <w:r w:rsidR="00524F59" w:rsidRPr="007C3CD4">
        <w:rPr>
          <w:rFonts w:cs="Arial"/>
          <w:bCs/>
          <w:szCs w:val="22"/>
        </w:rPr>
        <w:t>condition, but</w:t>
      </w:r>
      <w:proofErr w:type="gramEnd"/>
      <w:r w:rsidR="00524F59" w:rsidRPr="007C3CD4">
        <w:rPr>
          <w:rFonts w:cs="Arial"/>
          <w:bCs/>
          <w:szCs w:val="22"/>
        </w:rPr>
        <w:t xml:space="preserve"> does not dispose of the illegality.</w:t>
      </w:r>
      <w:r w:rsidR="00D43644" w:rsidRPr="007C3CD4">
        <w:rPr>
          <w:rFonts w:cs="Arial"/>
          <w:bCs/>
          <w:szCs w:val="22"/>
        </w:rPr>
        <w:t xml:space="preserve"> No building plans had been approved and the building encroached on the building lines prescribed in the Scheme.</w:t>
      </w:r>
    </w:p>
    <w:p w14:paraId="6D896DD9" w14:textId="6E2AFB60" w:rsidR="00D4364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[22]</w:t>
      </w:r>
      <w:r w:rsidRPr="007C3CD4">
        <w:rPr>
          <w:rFonts w:cs="Arial"/>
          <w:bCs/>
          <w:szCs w:val="22"/>
        </w:rPr>
        <w:tab/>
      </w:r>
      <w:r w:rsidR="00D43644" w:rsidRPr="007C3CD4">
        <w:rPr>
          <w:rFonts w:cs="Arial"/>
          <w:bCs/>
          <w:szCs w:val="22"/>
        </w:rPr>
        <w:t>The appellant argues however that the notice of appeal must be interpreted in such way that a stay be granted also to permit the appellant to apply for the approval of building plans and relaxation of building lines.</w:t>
      </w:r>
      <w:r w:rsidR="007C3CD4">
        <w:rPr>
          <w:rFonts w:cs="Arial"/>
          <w:bCs/>
          <w:szCs w:val="22"/>
        </w:rPr>
        <w:t xml:space="preserve"> This in essence introduces a new ground of appeal raised on the day of the </w:t>
      </w:r>
      <w:proofErr w:type="gramStart"/>
      <w:r w:rsidR="007C3CD4">
        <w:rPr>
          <w:rFonts w:cs="Arial"/>
          <w:bCs/>
          <w:szCs w:val="22"/>
        </w:rPr>
        <w:t>appeal, and</w:t>
      </w:r>
      <w:proofErr w:type="gramEnd"/>
      <w:r w:rsidR="007C3CD4">
        <w:rPr>
          <w:rFonts w:cs="Arial"/>
          <w:bCs/>
          <w:szCs w:val="22"/>
        </w:rPr>
        <w:t xml:space="preserve"> is rejected.</w:t>
      </w:r>
    </w:p>
    <w:p w14:paraId="12A9944F" w14:textId="77777777" w:rsidR="008D190D" w:rsidRPr="007C3CD4" w:rsidRDefault="008D190D" w:rsidP="00D43644">
      <w:pPr>
        <w:widowControl w:val="0"/>
        <w:spacing w:before="480" w:after="480" w:line="480" w:lineRule="auto"/>
        <w:jc w:val="both"/>
        <w:rPr>
          <w:rFonts w:cs="Arial"/>
          <w:bCs/>
          <w:szCs w:val="22"/>
          <w:u w:val="single"/>
        </w:rPr>
      </w:pPr>
    </w:p>
    <w:p w14:paraId="05009CEF" w14:textId="132878A9" w:rsidR="00D43644" w:rsidRPr="007C3CD4" w:rsidRDefault="00D43644" w:rsidP="00D43644">
      <w:pPr>
        <w:widowControl w:val="0"/>
        <w:spacing w:before="480" w:after="480" w:line="480" w:lineRule="auto"/>
        <w:jc w:val="both"/>
        <w:rPr>
          <w:rFonts w:cs="Arial"/>
          <w:bCs/>
          <w:szCs w:val="22"/>
          <w:u w:val="single"/>
        </w:rPr>
      </w:pPr>
      <w:r w:rsidRPr="007C3CD4">
        <w:rPr>
          <w:rFonts w:cs="Arial"/>
          <w:bCs/>
          <w:szCs w:val="22"/>
          <w:u w:val="single"/>
        </w:rPr>
        <w:t>The discretion to order demolition</w:t>
      </w:r>
    </w:p>
    <w:p w14:paraId="4C2BEEB6" w14:textId="48B54BD5" w:rsidR="00D4364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lastRenderedPageBreak/>
        <w:t>[23]</w:t>
      </w:r>
      <w:r w:rsidRPr="007C3CD4">
        <w:rPr>
          <w:rFonts w:cs="Arial"/>
          <w:bCs/>
          <w:szCs w:val="22"/>
        </w:rPr>
        <w:tab/>
      </w:r>
      <w:r w:rsidR="00D43644" w:rsidRPr="007C3CD4">
        <w:rPr>
          <w:rFonts w:cs="Arial"/>
          <w:bCs/>
          <w:szCs w:val="22"/>
        </w:rPr>
        <w:t>A town-planning scheme serves the interests of the community.</w:t>
      </w:r>
      <w:r w:rsidR="00D43644" w:rsidRPr="007C3CD4">
        <w:rPr>
          <w:rStyle w:val="FootnoteReference"/>
          <w:rFonts w:cs="Arial"/>
          <w:bCs/>
          <w:szCs w:val="22"/>
        </w:rPr>
        <w:footnoteReference w:id="11"/>
      </w:r>
      <w:r w:rsidR="00D43644" w:rsidRPr="007C3CD4">
        <w:rPr>
          <w:rFonts w:cs="Arial"/>
          <w:bCs/>
          <w:szCs w:val="22"/>
        </w:rPr>
        <w:t xml:space="preserve"> Members of the community who are affected by non-compliance therefore enjoy standing to approach the court for relief</w:t>
      </w:r>
      <w:r w:rsidR="008B55CF" w:rsidRPr="007C3CD4">
        <w:rPr>
          <w:rFonts w:cs="Arial"/>
          <w:bCs/>
          <w:szCs w:val="22"/>
        </w:rPr>
        <w:t xml:space="preserve"> under the common law</w:t>
      </w:r>
      <w:r w:rsidR="00D43644" w:rsidRPr="007C3CD4">
        <w:rPr>
          <w:rFonts w:cs="Arial"/>
          <w:bCs/>
          <w:szCs w:val="22"/>
        </w:rPr>
        <w:t>,</w:t>
      </w:r>
      <w:r w:rsidR="008B55CF" w:rsidRPr="007C3CD4">
        <w:rPr>
          <w:rStyle w:val="FootnoteReference"/>
          <w:rFonts w:cs="Arial"/>
          <w:bCs/>
          <w:szCs w:val="22"/>
        </w:rPr>
        <w:footnoteReference w:id="12"/>
      </w:r>
      <w:r w:rsidR="00D43644" w:rsidRPr="007C3CD4">
        <w:rPr>
          <w:rFonts w:cs="Arial"/>
          <w:bCs/>
          <w:szCs w:val="22"/>
        </w:rPr>
        <w:t xml:space="preserve"> including a demolition order. The right to seek such an order most often arises when one landowner erects a structure that encroaches on</w:t>
      </w:r>
      <w:r w:rsidR="00D43644" w:rsidRPr="007C3CD4">
        <w:rPr>
          <w:rStyle w:val="FootnoteReference"/>
          <w:rFonts w:cs="Arial"/>
          <w:bCs/>
          <w:szCs w:val="22"/>
        </w:rPr>
        <w:footnoteReference w:id="13"/>
      </w:r>
      <w:r w:rsidR="00D43644" w:rsidRPr="007C3CD4">
        <w:rPr>
          <w:rFonts w:cs="Arial"/>
          <w:bCs/>
          <w:szCs w:val="22"/>
        </w:rPr>
        <w:t xml:space="preserve"> or over</w:t>
      </w:r>
      <w:r w:rsidR="00D43644" w:rsidRPr="007C3CD4">
        <w:rPr>
          <w:rStyle w:val="FootnoteReference"/>
          <w:rFonts w:cs="Arial"/>
          <w:bCs/>
          <w:szCs w:val="22"/>
        </w:rPr>
        <w:footnoteReference w:id="14"/>
      </w:r>
      <w:r w:rsidR="00D43644" w:rsidRPr="007C3CD4">
        <w:rPr>
          <w:rFonts w:cs="Arial"/>
          <w:bCs/>
          <w:szCs w:val="22"/>
        </w:rPr>
        <w:t xml:space="preserve"> the land of another but there is no difference in principle when the encroachment is not on a neighbour’s land, but on his rights. In </w:t>
      </w:r>
      <w:r w:rsidR="00D43644" w:rsidRPr="007C3CD4">
        <w:rPr>
          <w:rFonts w:cs="Arial"/>
          <w:i/>
          <w:iCs/>
          <w:szCs w:val="22"/>
        </w:rPr>
        <w:t>De Villiers v Kalson</w:t>
      </w:r>
      <w:r w:rsidR="00D43644" w:rsidRPr="007C3CD4">
        <w:rPr>
          <w:rStyle w:val="FootnoteReference"/>
          <w:rFonts w:cs="Arial"/>
          <w:i/>
          <w:iCs/>
          <w:szCs w:val="22"/>
        </w:rPr>
        <w:footnoteReference w:id="15"/>
      </w:r>
      <w:r w:rsidR="00D43644" w:rsidRPr="007C3CD4">
        <w:rPr>
          <w:rFonts w:cs="Arial"/>
          <w:szCs w:val="22"/>
        </w:rPr>
        <w:t>  Graham JP said:</w:t>
      </w:r>
    </w:p>
    <w:p w14:paraId="4C71950E" w14:textId="77777777" w:rsidR="00D43644" w:rsidRPr="007C3CD4" w:rsidRDefault="00D43644" w:rsidP="00D43644">
      <w:pPr>
        <w:pStyle w:val="Normal1"/>
        <w:shd w:val="clear" w:color="auto" w:fill="FFFFFF"/>
        <w:spacing w:before="240" w:beforeAutospacing="0" w:after="240" w:afterAutospacing="0" w:line="360" w:lineRule="auto"/>
        <w:ind w:left="1440"/>
        <w:jc w:val="both"/>
        <w:rPr>
          <w:rFonts w:ascii="Arial" w:hAnsi="Arial" w:cs="Arial"/>
          <w:i/>
          <w:iCs/>
          <w:color w:val="000000"/>
          <w:sz w:val="22"/>
          <w:szCs w:val="22"/>
        </w:rPr>
      </w:pPr>
      <w:r w:rsidRPr="007C3CD4">
        <w:rPr>
          <w:rFonts w:ascii="Arial" w:hAnsi="Arial" w:cs="Arial"/>
          <w:bCs/>
          <w:i/>
          <w:iCs/>
          <w:sz w:val="22"/>
          <w:szCs w:val="22"/>
        </w:rPr>
        <w:t xml:space="preserve">“… </w:t>
      </w:r>
      <w:r w:rsidRPr="007C3CD4">
        <w:rPr>
          <w:rFonts w:ascii="Arial" w:hAnsi="Arial" w:cs="Arial"/>
          <w:i/>
          <w:iCs/>
          <w:color w:val="000000"/>
          <w:sz w:val="22"/>
          <w:szCs w:val="22"/>
        </w:rPr>
        <w:t>in the present case there has been no encroachment upon the ground of another, but an encroachment upon his rights as defined … I am inclined to think that this difference makes little or no change in the plaintiff's rights for many of the same arguments used in favour of the view that the Court has no discretion but must grant an order for removal, apply equally well to encroachment on land and encroachment on rights, such as exist in this case.”</w:t>
      </w:r>
    </w:p>
    <w:p w14:paraId="796AF46A" w14:textId="6A61E5AF" w:rsidR="00D43644"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[24]</w:t>
      </w:r>
      <w:r w:rsidRPr="007C3CD4">
        <w:rPr>
          <w:rFonts w:cs="Arial"/>
          <w:bCs/>
          <w:szCs w:val="22"/>
        </w:rPr>
        <w:tab/>
      </w:r>
      <w:r w:rsidR="00D43644" w:rsidRPr="007C3CD4">
        <w:rPr>
          <w:rFonts w:cs="Arial"/>
          <w:bCs/>
          <w:szCs w:val="22"/>
        </w:rPr>
        <w:t>The fact that section 4 of the Act c</w:t>
      </w:r>
      <w:r w:rsidR="00D43644" w:rsidRPr="007C3CD4">
        <w:rPr>
          <w:rFonts w:cs="Arial"/>
          <w:szCs w:val="22"/>
        </w:rPr>
        <w:t>reates a criminal offence with a penal sanction militates against</w:t>
      </w:r>
      <w:r w:rsidR="002B5FEB" w:rsidRPr="007C3CD4">
        <w:rPr>
          <w:rFonts w:cs="Arial"/>
          <w:szCs w:val="22"/>
        </w:rPr>
        <w:t xml:space="preserve"> the exercise of</w:t>
      </w:r>
      <w:r w:rsidR="00D43644" w:rsidRPr="007C3CD4">
        <w:rPr>
          <w:rFonts w:cs="Arial"/>
          <w:szCs w:val="22"/>
        </w:rPr>
        <w:t xml:space="preserve"> a discretion not to order demolition.</w:t>
      </w:r>
      <w:r w:rsidR="00D43644" w:rsidRPr="007C3CD4">
        <w:rPr>
          <w:rStyle w:val="FootnoteReference"/>
          <w:rFonts w:cs="Arial"/>
          <w:szCs w:val="22"/>
        </w:rPr>
        <w:footnoteReference w:id="16"/>
      </w:r>
    </w:p>
    <w:p w14:paraId="42F899B9" w14:textId="5A898FE3" w:rsidR="002B5FEB"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[25]</w:t>
      </w:r>
      <w:r w:rsidRPr="007C3CD4">
        <w:rPr>
          <w:rFonts w:cs="Arial"/>
          <w:bCs/>
          <w:szCs w:val="22"/>
        </w:rPr>
        <w:tab/>
      </w:r>
      <w:r w:rsidR="006C3570" w:rsidRPr="007C3CD4">
        <w:rPr>
          <w:rFonts w:cs="Arial"/>
          <w:bCs/>
          <w:szCs w:val="22"/>
        </w:rPr>
        <w:t xml:space="preserve">In </w:t>
      </w:r>
      <w:r w:rsidR="006C3570" w:rsidRPr="007C3CD4">
        <w:rPr>
          <w:rFonts w:cs="Arial"/>
          <w:i/>
          <w:iCs/>
          <w:szCs w:val="22"/>
        </w:rPr>
        <w:t xml:space="preserve">Lester v </w:t>
      </w:r>
      <w:proofErr w:type="spellStart"/>
      <w:r w:rsidR="006C3570" w:rsidRPr="007C3CD4">
        <w:rPr>
          <w:rFonts w:cs="Arial"/>
          <w:i/>
          <w:iCs/>
          <w:szCs w:val="22"/>
        </w:rPr>
        <w:t>Ndlambe</w:t>
      </w:r>
      <w:proofErr w:type="spellEnd"/>
      <w:r w:rsidR="006C3570" w:rsidRPr="007C3CD4">
        <w:rPr>
          <w:rFonts w:cs="Arial"/>
          <w:i/>
          <w:iCs/>
          <w:szCs w:val="22"/>
        </w:rPr>
        <w:t xml:space="preserve"> Municipality and Another</w:t>
      </w:r>
      <w:r w:rsidR="006C3570" w:rsidRPr="007C3CD4">
        <w:rPr>
          <w:rStyle w:val="FootnoteReference"/>
          <w:rFonts w:cs="Arial"/>
          <w:szCs w:val="22"/>
        </w:rPr>
        <w:footnoteReference w:id="17"/>
      </w:r>
      <w:r w:rsidR="006C3570" w:rsidRPr="007C3CD4">
        <w:rPr>
          <w:rFonts w:cs="Arial"/>
          <w:i/>
          <w:iCs/>
          <w:szCs w:val="22"/>
        </w:rPr>
        <w:t xml:space="preserve"> </w:t>
      </w:r>
      <w:r w:rsidR="00EC4178" w:rsidRPr="007C3CD4">
        <w:rPr>
          <w:rFonts w:cs="Arial"/>
          <w:szCs w:val="22"/>
        </w:rPr>
        <w:t>the Supreme Court of Appeal was seized with a matter where a local authority had applied to court</w:t>
      </w:r>
      <w:r w:rsidR="00094BDD" w:rsidRPr="007C3CD4">
        <w:rPr>
          <w:rFonts w:cs="Arial"/>
          <w:szCs w:val="22"/>
        </w:rPr>
        <w:t xml:space="preserve"> in terms of section 21 of the Act</w:t>
      </w:r>
      <w:r w:rsidR="00EC4178" w:rsidRPr="007C3CD4">
        <w:rPr>
          <w:rFonts w:cs="Arial"/>
          <w:szCs w:val="22"/>
        </w:rPr>
        <w:t xml:space="preserve"> for an order that an illegal structure be demolished.</w:t>
      </w:r>
      <w:r w:rsidR="00094BDD" w:rsidRPr="007C3CD4">
        <w:rPr>
          <w:rStyle w:val="FootnoteReference"/>
          <w:rFonts w:cs="Arial"/>
          <w:szCs w:val="22"/>
        </w:rPr>
        <w:footnoteReference w:id="18"/>
      </w:r>
      <w:r w:rsidR="002B5FEB" w:rsidRPr="007C3CD4">
        <w:rPr>
          <w:rFonts w:cs="Arial"/>
          <w:szCs w:val="22"/>
        </w:rPr>
        <w:t xml:space="preserve"> The Court held that section 21 did not lend itself to the interpretation that the Court may grant relief other than a </w:t>
      </w:r>
      <w:r w:rsidR="002B5FEB" w:rsidRPr="007C3CD4">
        <w:rPr>
          <w:rFonts w:cs="Arial"/>
          <w:szCs w:val="22"/>
        </w:rPr>
        <w:lastRenderedPageBreak/>
        <w:t xml:space="preserve">demolition order. </w:t>
      </w:r>
    </w:p>
    <w:p w14:paraId="4F2BA283" w14:textId="257A2927" w:rsidR="00644F6C"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[26]</w:t>
      </w:r>
      <w:r w:rsidRPr="007C3CD4">
        <w:rPr>
          <w:rFonts w:cs="Arial"/>
          <w:bCs/>
          <w:szCs w:val="22"/>
        </w:rPr>
        <w:tab/>
      </w:r>
      <w:r w:rsidR="00644F6C" w:rsidRPr="007C3CD4">
        <w:rPr>
          <w:rFonts w:cs="Arial"/>
          <w:szCs w:val="22"/>
        </w:rPr>
        <w:t xml:space="preserve">The </w:t>
      </w:r>
      <w:r w:rsidR="002B5FEB" w:rsidRPr="007C3CD4">
        <w:rPr>
          <w:rFonts w:cs="Arial"/>
          <w:szCs w:val="22"/>
        </w:rPr>
        <w:t>judgment</w:t>
      </w:r>
      <w:r w:rsidR="00644F6C" w:rsidRPr="007C3CD4">
        <w:rPr>
          <w:rFonts w:cs="Arial"/>
          <w:szCs w:val="22"/>
        </w:rPr>
        <w:t xml:space="preserve"> must be distinguished from the present matter as the Supreme Court of Appeal was dealing with an application under section 21 of the Act. </w:t>
      </w:r>
      <w:r w:rsidR="000B4B3F" w:rsidRPr="007C3CD4">
        <w:rPr>
          <w:rFonts w:cs="Arial"/>
          <w:szCs w:val="22"/>
        </w:rPr>
        <w:t>Section 21 of the Act (not relevant in this case) provide</w:t>
      </w:r>
      <w:r w:rsidR="00911637" w:rsidRPr="007C3CD4">
        <w:rPr>
          <w:rFonts w:cs="Arial"/>
          <w:szCs w:val="22"/>
        </w:rPr>
        <w:t>s</w:t>
      </w:r>
      <w:r w:rsidR="000B4B3F" w:rsidRPr="007C3CD4">
        <w:rPr>
          <w:rFonts w:cs="Arial"/>
          <w:szCs w:val="22"/>
        </w:rPr>
        <w:t xml:space="preserve"> a public law remedy.</w:t>
      </w:r>
      <w:r w:rsidR="000B4B3F" w:rsidRPr="007C3CD4">
        <w:rPr>
          <w:rStyle w:val="FootnoteReference"/>
          <w:rFonts w:cs="Arial"/>
          <w:szCs w:val="22"/>
        </w:rPr>
        <w:footnoteReference w:id="19"/>
      </w:r>
      <w:r w:rsidR="000B4B3F" w:rsidRPr="007C3CD4">
        <w:rPr>
          <w:rFonts w:cs="Arial"/>
          <w:szCs w:val="22"/>
        </w:rPr>
        <w:t xml:space="preserve"> </w:t>
      </w:r>
      <w:r w:rsidR="004345F0" w:rsidRPr="007C3CD4">
        <w:rPr>
          <w:rFonts w:cs="Arial"/>
          <w:szCs w:val="22"/>
        </w:rPr>
        <w:t>Individuals do not have standing to pursue the remedies in section 21.</w:t>
      </w:r>
      <w:r w:rsidR="004345F0" w:rsidRPr="007C3CD4">
        <w:rPr>
          <w:rStyle w:val="FootnoteReference"/>
          <w:rFonts w:cs="Arial"/>
          <w:szCs w:val="22"/>
        </w:rPr>
        <w:footnoteReference w:id="20"/>
      </w:r>
    </w:p>
    <w:p w14:paraId="36588E63" w14:textId="69B024A1" w:rsidR="002B5755"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[27]</w:t>
      </w:r>
      <w:r w:rsidRPr="007C3CD4">
        <w:rPr>
          <w:rFonts w:cs="Arial"/>
          <w:bCs/>
          <w:szCs w:val="22"/>
        </w:rPr>
        <w:tab/>
      </w:r>
      <w:r w:rsidR="00644F6C" w:rsidRPr="007C3CD4">
        <w:rPr>
          <w:rFonts w:cs="Arial"/>
          <w:szCs w:val="22"/>
        </w:rPr>
        <w:t>In the present matter the</w:t>
      </w:r>
      <w:r w:rsidR="000B4B3F" w:rsidRPr="007C3CD4">
        <w:rPr>
          <w:rFonts w:cs="Arial"/>
          <w:szCs w:val="22"/>
        </w:rPr>
        <w:t xml:space="preserve"> respondents are seeking a private law remedy.</w:t>
      </w:r>
      <w:r w:rsidR="00054C8C" w:rsidRPr="007C3CD4">
        <w:rPr>
          <w:rStyle w:val="FootnoteReference"/>
          <w:rFonts w:cs="Arial"/>
          <w:szCs w:val="22"/>
        </w:rPr>
        <w:footnoteReference w:id="21"/>
      </w:r>
      <w:r w:rsidR="00644F6C" w:rsidRPr="007C3CD4">
        <w:rPr>
          <w:rFonts w:cs="Arial"/>
          <w:szCs w:val="22"/>
        </w:rPr>
        <w:t xml:space="preserve"> </w:t>
      </w:r>
    </w:p>
    <w:p w14:paraId="57676F46" w14:textId="18E37946" w:rsidR="00094BDD"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[28]</w:t>
      </w:r>
      <w:r w:rsidRPr="007C3CD4">
        <w:rPr>
          <w:rFonts w:cs="Arial"/>
          <w:bCs/>
          <w:szCs w:val="22"/>
        </w:rPr>
        <w:tab/>
      </w:r>
      <w:r w:rsidR="00644F6C" w:rsidRPr="007C3CD4">
        <w:rPr>
          <w:rFonts w:cs="Arial"/>
          <w:color w:val="000000" w:themeColor="text1"/>
          <w:szCs w:val="22"/>
          <w:shd w:val="clear" w:color="auto" w:fill="FFFFFF"/>
        </w:rPr>
        <w:t> </w:t>
      </w:r>
      <w:r w:rsidR="004B74F1" w:rsidRPr="007C3CD4">
        <w:rPr>
          <w:rFonts w:cs="Arial"/>
          <w:color w:val="000000" w:themeColor="text1"/>
          <w:szCs w:val="22"/>
          <w:shd w:val="clear" w:color="auto" w:fill="FFFFFF"/>
        </w:rPr>
        <w:t xml:space="preserve">In </w:t>
      </w:r>
      <w:r w:rsidR="004B74F1" w:rsidRPr="007C3CD4">
        <w:rPr>
          <w:rFonts w:cs="Arial"/>
          <w:i/>
          <w:iCs/>
          <w:color w:val="000000" w:themeColor="text1"/>
          <w:szCs w:val="22"/>
          <w:shd w:val="clear" w:color="auto" w:fill="FFFFFF"/>
        </w:rPr>
        <w:t>BSB</w:t>
      </w:r>
      <w:r w:rsidR="004B74F1" w:rsidRPr="007C3CD4">
        <w:rPr>
          <w:rFonts w:cs="Arial"/>
          <w:color w:val="000000" w:themeColor="text1"/>
          <w:szCs w:val="22"/>
          <w:shd w:val="clear" w:color="auto" w:fill="FFFFFF"/>
        </w:rPr>
        <w:t xml:space="preserve">, the </w:t>
      </w:r>
      <w:r w:rsidR="00644F6C" w:rsidRPr="007C3CD4">
        <w:rPr>
          <w:rFonts w:cs="Arial"/>
          <w:color w:val="000000" w:themeColor="text1"/>
          <w:szCs w:val="22"/>
          <w:shd w:val="clear" w:color="auto" w:fill="FFFFFF"/>
        </w:rPr>
        <w:t>Supreme Court of Appeal</w:t>
      </w:r>
      <w:r w:rsidR="004B74F1" w:rsidRPr="007C3CD4">
        <w:rPr>
          <w:rFonts w:cs="Arial"/>
          <w:color w:val="000000" w:themeColor="text1"/>
          <w:szCs w:val="22"/>
          <w:shd w:val="clear" w:color="auto" w:fill="FFFFFF"/>
        </w:rPr>
        <w:t xml:space="preserve"> </w:t>
      </w:r>
      <w:r w:rsidR="00644F6C" w:rsidRPr="007C3CD4">
        <w:rPr>
          <w:rFonts w:cs="Arial"/>
          <w:color w:val="000000" w:themeColor="text1"/>
          <w:szCs w:val="22"/>
          <w:shd w:val="clear" w:color="auto" w:fill="FFFFFF"/>
        </w:rPr>
        <w:t>confirm</w:t>
      </w:r>
      <w:r w:rsidR="004B74F1" w:rsidRPr="007C3CD4">
        <w:rPr>
          <w:rFonts w:cs="Arial"/>
          <w:color w:val="000000" w:themeColor="text1"/>
          <w:szCs w:val="22"/>
          <w:shd w:val="clear" w:color="auto" w:fill="FFFFFF"/>
        </w:rPr>
        <w:t>ed a</w:t>
      </w:r>
      <w:r w:rsidR="00644F6C" w:rsidRPr="007C3CD4">
        <w:rPr>
          <w:rFonts w:cs="Arial"/>
          <w:color w:val="000000" w:themeColor="text1"/>
          <w:szCs w:val="22"/>
          <w:shd w:val="clear" w:color="auto" w:fill="FFFFFF"/>
        </w:rPr>
        <w:t xml:space="preserve"> partial demolition order</w:t>
      </w:r>
      <w:r w:rsidR="004B74F1" w:rsidRPr="007C3CD4">
        <w:rPr>
          <w:rFonts w:cs="Arial"/>
          <w:color w:val="000000" w:themeColor="text1"/>
          <w:szCs w:val="22"/>
          <w:shd w:val="clear" w:color="auto" w:fill="FFFFFF"/>
        </w:rPr>
        <w:t xml:space="preserve"> and </w:t>
      </w:r>
      <w:r w:rsidR="00644F6C" w:rsidRPr="007C3CD4">
        <w:rPr>
          <w:rFonts w:cs="Arial"/>
          <w:color w:val="000000" w:themeColor="text1"/>
          <w:szCs w:val="22"/>
          <w:shd w:val="clear" w:color="auto" w:fill="FFFFFF"/>
        </w:rPr>
        <w:t>held</w:t>
      </w:r>
      <w:r w:rsidR="004B74F1" w:rsidRPr="007C3CD4">
        <w:rPr>
          <w:rStyle w:val="FootnoteReference"/>
          <w:rFonts w:cs="Arial"/>
          <w:color w:val="000000" w:themeColor="text1"/>
          <w:szCs w:val="22"/>
          <w:shd w:val="clear" w:color="auto" w:fill="FFFFFF"/>
        </w:rPr>
        <w:footnoteReference w:id="22"/>
      </w:r>
      <w:r w:rsidR="00644F6C" w:rsidRPr="007C3CD4">
        <w:rPr>
          <w:rFonts w:cs="Arial"/>
          <w:color w:val="000000" w:themeColor="text1"/>
          <w:szCs w:val="22"/>
          <w:shd w:val="clear" w:color="auto" w:fill="FFFFFF"/>
        </w:rPr>
        <w:t xml:space="preserve"> that the </w:t>
      </w:r>
      <w:r w:rsidR="004B74F1" w:rsidRPr="007C3CD4">
        <w:rPr>
          <w:rFonts w:cs="Arial"/>
          <w:color w:val="000000" w:themeColor="text1"/>
          <w:szCs w:val="22"/>
          <w:shd w:val="clear" w:color="auto" w:fill="FFFFFF"/>
        </w:rPr>
        <w:t xml:space="preserve">court had a broad general discretion to order demolition after considering all relevant circumstances. </w:t>
      </w:r>
      <w:r w:rsidR="00046D72" w:rsidRPr="007C3CD4">
        <w:rPr>
          <w:rFonts w:cs="Arial"/>
          <w:color w:val="000000" w:themeColor="text1"/>
          <w:szCs w:val="22"/>
          <w:shd w:val="clear" w:color="auto" w:fill="FFFFFF"/>
        </w:rPr>
        <w:t xml:space="preserve">As in the present matter, the application was one brought by a neighbour </w:t>
      </w:r>
      <w:r w:rsidR="008D190D" w:rsidRPr="007C3CD4">
        <w:rPr>
          <w:rFonts w:cs="Arial"/>
          <w:color w:val="000000" w:themeColor="text1"/>
          <w:szCs w:val="22"/>
          <w:shd w:val="clear" w:color="auto" w:fill="FFFFFF"/>
        </w:rPr>
        <w:t xml:space="preserve">seeking a private law remedy </w:t>
      </w:r>
      <w:r w:rsidR="00046D72" w:rsidRPr="007C3CD4">
        <w:rPr>
          <w:rFonts w:cs="Arial"/>
          <w:color w:val="000000" w:themeColor="text1"/>
          <w:szCs w:val="22"/>
          <w:shd w:val="clear" w:color="auto" w:fill="FFFFFF"/>
        </w:rPr>
        <w:t>and the municipality did not participate in the proceedings.</w:t>
      </w:r>
      <w:r w:rsidR="00046D72" w:rsidRPr="007C3CD4">
        <w:rPr>
          <w:rStyle w:val="FootnoteReference"/>
          <w:rFonts w:cs="Arial"/>
          <w:color w:val="000000" w:themeColor="text1"/>
          <w:szCs w:val="22"/>
          <w:shd w:val="clear" w:color="auto" w:fill="FFFFFF"/>
        </w:rPr>
        <w:footnoteReference w:id="23"/>
      </w:r>
    </w:p>
    <w:p w14:paraId="2925A92F" w14:textId="22C92029" w:rsidR="001C7475"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[29]</w:t>
      </w:r>
      <w:r w:rsidRPr="007C3CD4">
        <w:rPr>
          <w:rFonts w:cs="Arial"/>
          <w:bCs/>
          <w:szCs w:val="22"/>
        </w:rPr>
        <w:tab/>
      </w:r>
      <w:r w:rsidR="00BE58E2" w:rsidRPr="007C3CD4">
        <w:rPr>
          <w:rFonts w:cs="Arial"/>
          <w:bCs/>
          <w:szCs w:val="22"/>
        </w:rPr>
        <w:t>It is clear therefore</w:t>
      </w:r>
      <w:r w:rsidR="00BB5933" w:rsidRPr="007C3CD4">
        <w:rPr>
          <w:rFonts w:cs="Arial"/>
          <w:bCs/>
          <w:szCs w:val="22"/>
        </w:rPr>
        <w:t xml:space="preserve"> that Fisher J</w:t>
      </w:r>
      <w:r w:rsidR="00BE58E2" w:rsidRPr="007C3CD4">
        <w:rPr>
          <w:rFonts w:cs="Arial"/>
          <w:bCs/>
          <w:szCs w:val="22"/>
        </w:rPr>
        <w:t xml:space="preserve"> had a discretion to order the demolition of the offending structure. She analysed the facts in the light of the legal principles</w:t>
      </w:r>
      <w:r w:rsidR="00BA263D" w:rsidRPr="007C3CD4">
        <w:rPr>
          <w:rFonts w:cs="Arial"/>
          <w:bCs/>
          <w:szCs w:val="22"/>
        </w:rPr>
        <w:t xml:space="preserve"> and exercised her discretion properly and with great care.</w:t>
      </w:r>
      <w:r w:rsidR="00AE56EC" w:rsidRPr="007C3CD4">
        <w:rPr>
          <w:rFonts w:cs="Arial"/>
          <w:bCs/>
          <w:szCs w:val="22"/>
        </w:rPr>
        <w:t xml:space="preserve"> She was alive to the prejudice that demolition would have for the appellant</w:t>
      </w:r>
      <w:r w:rsidR="005B7427" w:rsidRPr="007C3CD4">
        <w:rPr>
          <w:rStyle w:val="FootnoteReference"/>
          <w:rFonts w:cs="Arial"/>
          <w:bCs/>
          <w:szCs w:val="22"/>
        </w:rPr>
        <w:footnoteReference w:id="24"/>
      </w:r>
      <w:r w:rsidR="00AE56EC" w:rsidRPr="007C3CD4">
        <w:rPr>
          <w:rFonts w:cs="Arial"/>
          <w:bCs/>
          <w:szCs w:val="22"/>
        </w:rPr>
        <w:t xml:space="preserve"> and weighed up</w:t>
      </w:r>
      <w:r w:rsidR="000F2527" w:rsidRPr="007C3CD4">
        <w:rPr>
          <w:rStyle w:val="FootnoteReference"/>
          <w:rFonts w:cs="Arial"/>
          <w:bCs/>
          <w:szCs w:val="22"/>
        </w:rPr>
        <w:footnoteReference w:id="25"/>
      </w:r>
      <w:r w:rsidR="00AE56EC" w:rsidRPr="007C3CD4">
        <w:rPr>
          <w:rFonts w:cs="Arial"/>
          <w:bCs/>
          <w:szCs w:val="22"/>
        </w:rPr>
        <w:t xml:space="preserve"> the competing interests in arriving at her order.</w:t>
      </w:r>
      <w:r w:rsidR="001E3D41" w:rsidRPr="007C3CD4">
        <w:rPr>
          <w:rFonts w:cs="Arial"/>
          <w:bCs/>
          <w:szCs w:val="22"/>
        </w:rPr>
        <w:t xml:space="preserve"> </w:t>
      </w:r>
    </w:p>
    <w:p w14:paraId="685758FD" w14:textId="7BBD288A" w:rsidR="008B55CF"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[30]</w:t>
      </w:r>
      <w:r w:rsidRPr="007C3CD4">
        <w:rPr>
          <w:rFonts w:cs="Arial"/>
          <w:bCs/>
          <w:szCs w:val="22"/>
        </w:rPr>
        <w:tab/>
      </w:r>
      <w:r w:rsidR="001E3D41" w:rsidRPr="007C3CD4">
        <w:rPr>
          <w:rFonts w:cs="Arial"/>
          <w:bCs/>
          <w:szCs w:val="22"/>
        </w:rPr>
        <w:t xml:space="preserve">The fact that the appellant persisted with the erection of the offending building even </w:t>
      </w:r>
      <w:r w:rsidR="001E3D41" w:rsidRPr="007C3CD4">
        <w:rPr>
          <w:rFonts w:cs="Arial"/>
          <w:bCs/>
          <w:szCs w:val="22"/>
        </w:rPr>
        <w:lastRenderedPageBreak/>
        <w:t xml:space="preserve">when he knew it was an illegal structure weighed heavily with the </w:t>
      </w:r>
      <w:r w:rsidR="007C3CD4">
        <w:rPr>
          <w:rFonts w:cs="Arial"/>
          <w:bCs/>
          <w:szCs w:val="22"/>
        </w:rPr>
        <w:t xml:space="preserve">learned </w:t>
      </w:r>
      <w:r w:rsidR="001E3D41" w:rsidRPr="007C3CD4">
        <w:rPr>
          <w:rFonts w:cs="Arial"/>
          <w:bCs/>
          <w:szCs w:val="22"/>
        </w:rPr>
        <w:t>Judge.</w:t>
      </w:r>
      <w:r w:rsidR="005B7427" w:rsidRPr="007C3CD4">
        <w:rPr>
          <w:rStyle w:val="FootnoteReference"/>
          <w:rFonts w:cs="Arial"/>
          <w:bCs/>
          <w:szCs w:val="22"/>
        </w:rPr>
        <w:footnoteReference w:id="26"/>
      </w:r>
      <w:r w:rsidR="008B55CF" w:rsidRPr="007C3CD4">
        <w:rPr>
          <w:rFonts w:cs="Arial"/>
          <w:bCs/>
          <w:szCs w:val="22"/>
        </w:rPr>
        <w:t xml:space="preserve"> </w:t>
      </w:r>
      <w:r w:rsidR="001C7475" w:rsidRPr="007C3CD4">
        <w:rPr>
          <w:rFonts w:cs="Arial"/>
          <w:color w:val="000000" w:themeColor="text1"/>
          <w:szCs w:val="22"/>
          <w:lang w:eastAsia="en-ZA"/>
        </w:rPr>
        <w:t>The courts should not permit</w:t>
      </w:r>
      <w:r w:rsidR="008B55CF" w:rsidRPr="007C3CD4">
        <w:rPr>
          <w:rFonts w:cs="Arial"/>
          <w:color w:val="000000" w:themeColor="text1"/>
          <w:szCs w:val="22"/>
          <w:lang w:eastAsia="en-ZA"/>
        </w:rPr>
        <w:t xml:space="preserve"> </w:t>
      </w:r>
      <w:r w:rsidR="001C7475" w:rsidRPr="007C3CD4">
        <w:rPr>
          <w:rFonts w:cs="Arial"/>
          <w:color w:val="000000" w:themeColor="text1"/>
          <w:szCs w:val="22"/>
          <w:lang w:eastAsia="en-ZA"/>
        </w:rPr>
        <w:t>landowner</w:t>
      </w:r>
      <w:r w:rsidR="008B55CF" w:rsidRPr="007C3CD4">
        <w:rPr>
          <w:rFonts w:cs="Arial"/>
          <w:color w:val="000000" w:themeColor="text1"/>
          <w:szCs w:val="22"/>
          <w:lang w:eastAsia="en-ZA"/>
        </w:rPr>
        <w:t>s</w:t>
      </w:r>
      <w:r w:rsidR="001C7475" w:rsidRPr="007C3CD4">
        <w:rPr>
          <w:rFonts w:cs="Arial"/>
          <w:color w:val="000000" w:themeColor="text1"/>
          <w:szCs w:val="22"/>
          <w:lang w:eastAsia="en-ZA"/>
        </w:rPr>
        <w:t xml:space="preserve"> to </w:t>
      </w:r>
      <w:r w:rsidR="008B55CF" w:rsidRPr="007C3CD4">
        <w:rPr>
          <w:rFonts w:cs="Arial"/>
          <w:color w:val="000000" w:themeColor="text1"/>
          <w:szCs w:val="22"/>
          <w:lang w:eastAsia="en-ZA"/>
        </w:rPr>
        <w:t>erect illegal structures on their land and then present the authorities with a</w:t>
      </w:r>
      <w:r w:rsidR="001C7475" w:rsidRPr="0083031B">
        <w:rPr>
          <w:rFonts w:cs="Arial"/>
          <w:color w:val="000000" w:themeColor="text1"/>
          <w:szCs w:val="22"/>
          <w:lang w:eastAsia="en-ZA"/>
        </w:rPr>
        <w:t> </w:t>
      </w:r>
      <w:r w:rsidR="001C7475" w:rsidRPr="0083031B">
        <w:rPr>
          <w:rFonts w:cs="Arial"/>
          <w:i/>
          <w:iCs/>
          <w:color w:val="000000" w:themeColor="text1"/>
          <w:szCs w:val="22"/>
          <w:lang w:eastAsia="en-ZA"/>
        </w:rPr>
        <w:t>fait accompli</w:t>
      </w:r>
      <w:r w:rsidR="001C7475" w:rsidRPr="0083031B">
        <w:rPr>
          <w:rFonts w:cs="Arial"/>
          <w:color w:val="000000" w:themeColor="text1"/>
          <w:szCs w:val="22"/>
          <w:lang w:eastAsia="en-ZA"/>
        </w:rPr>
        <w:t xml:space="preserve"> created by </w:t>
      </w:r>
      <w:r w:rsidR="008B55CF" w:rsidRPr="007C3CD4">
        <w:rPr>
          <w:rFonts w:cs="Arial"/>
          <w:color w:val="000000" w:themeColor="text1"/>
          <w:szCs w:val="22"/>
          <w:lang w:eastAsia="en-ZA"/>
        </w:rPr>
        <w:t>their</w:t>
      </w:r>
      <w:r w:rsidR="001C7475" w:rsidRPr="0083031B">
        <w:rPr>
          <w:rFonts w:cs="Arial"/>
          <w:color w:val="000000" w:themeColor="text1"/>
          <w:szCs w:val="22"/>
          <w:lang w:eastAsia="en-ZA"/>
        </w:rPr>
        <w:t xml:space="preserve"> illegal act</w:t>
      </w:r>
      <w:r w:rsidR="008B55CF" w:rsidRPr="007C3CD4">
        <w:rPr>
          <w:rFonts w:cs="Arial"/>
          <w:color w:val="000000" w:themeColor="text1"/>
          <w:szCs w:val="22"/>
          <w:lang w:eastAsia="en-ZA"/>
        </w:rPr>
        <w:t xml:space="preserve">ions. </w:t>
      </w:r>
      <w:r w:rsidR="008B55CF" w:rsidRPr="007C3CD4">
        <w:rPr>
          <w:rFonts w:cs="Arial"/>
          <w:bCs/>
          <w:szCs w:val="22"/>
        </w:rPr>
        <w:t xml:space="preserve">The </w:t>
      </w:r>
      <w:r w:rsidR="008B55CF" w:rsidRPr="007C3CD4">
        <w:rPr>
          <w:rFonts w:cs="Arial"/>
          <w:bCs/>
          <w:i/>
          <w:iCs/>
          <w:szCs w:val="22"/>
        </w:rPr>
        <w:t>dictum</w:t>
      </w:r>
      <w:r w:rsidR="008B55CF" w:rsidRPr="007C3CD4">
        <w:rPr>
          <w:rFonts w:cs="Arial"/>
          <w:bCs/>
          <w:szCs w:val="22"/>
        </w:rPr>
        <w:t xml:space="preserve"> by Harms J (as he then was) In </w:t>
      </w:r>
      <w:r w:rsidR="008B55CF" w:rsidRPr="007C3CD4">
        <w:rPr>
          <w:rFonts w:cs="Arial"/>
          <w:i/>
          <w:iCs/>
          <w:szCs w:val="22"/>
        </w:rPr>
        <w:t>United Technical Equipment Co (Pty) Ltd v Johannesburg City Council</w:t>
      </w:r>
      <w:r w:rsidR="008B55CF" w:rsidRPr="007C3CD4">
        <w:rPr>
          <w:rStyle w:val="FootnoteReference"/>
          <w:rFonts w:cs="Arial"/>
          <w:i/>
          <w:iCs/>
          <w:szCs w:val="22"/>
        </w:rPr>
        <w:footnoteReference w:id="27"/>
      </w:r>
      <w:r w:rsidR="008B55CF" w:rsidRPr="007C3CD4">
        <w:rPr>
          <w:rFonts w:cs="Arial"/>
          <w:color w:val="000000" w:themeColor="text1"/>
          <w:szCs w:val="22"/>
          <w:lang w:eastAsia="en-ZA"/>
        </w:rPr>
        <w:t xml:space="preserve"> </w:t>
      </w:r>
      <w:r w:rsidR="001C7475" w:rsidRPr="0083031B">
        <w:rPr>
          <w:rFonts w:cs="Arial"/>
          <w:color w:val="000000" w:themeColor="text1"/>
          <w:szCs w:val="22"/>
          <w:lang w:eastAsia="en-ZA"/>
        </w:rPr>
        <w:t xml:space="preserve"> </w:t>
      </w:r>
      <w:r w:rsidR="008B55CF" w:rsidRPr="007C3CD4">
        <w:rPr>
          <w:rFonts w:cs="Arial"/>
          <w:color w:val="000000" w:themeColor="text1"/>
          <w:szCs w:val="22"/>
          <w:lang w:eastAsia="en-ZA"/>
        </w:rPr>
        <w:t>is apposite:</w:t>
      </w:r>
    </w:p>
    <w:p w14:paraId="131D0628" w14:textId="3C837F23" w:rsidR="00745EC9" w:rsidRPr="007C3CD4" w:rsidRDefault="008B55CF" w:rsidP="008B55CF">
      <w:pPr>
        <w:widowControl w:val="0"/>
        <w:spacing w:before="240" w:after="240" w:line="360" w:lineRule="auto"/>
        <w:ind w:left="1440"/>
        <w:jc w:val="both"/>
        <w:rPr>
          <w:rFonts w:cs="Arial"/>
          <w:bCs/>
          <w:i/>
          <w:iCs/>
          <w:szCs w:val="22"/>
        </w:rPr>
      </w:pPr>
      <w:r w:rsidRPr="007C3CD4">
        <w:rPr>
          <w:rFonts w:cs="Arial"/>
          <w:i/>
          <w:iCs/>
          <w:color w:val="000000" w:themeColor="text1"/>
          <w:szCs w:val="22"/>
          <w:lang w:eastAsia="en-ZA"/>
        </w:rPr>
        <w:t>“…</w:t>
      </w:r>
      <w:r w:rsidR="001C7475" w:rsidRPr="0083031B">
        <w:rPr>
          <w:rFonts w:cs="Arial"/>
          <w:i/>
          <w:iCs/>
          <w:color w:val="000000" w:themeColor="text1"/>
          <w:szCs w:val="22"/>
          <w:lang w:eastAsia="en-ZA"/>
        </w:rPr>
        <w:t xml:space="preserve">a lenient approach could be an open invitation to members of the public to follow the course adopted by the appellant, </w:t>
      </w:r>
      <w:proofErr w:type="gramStart"/>
      <w:r w:rsidR="001C7475" w:rsidRPr="0083031B">
        <w:rPr>
          <w:rFonts w:cs="Arial"/>
          <w:i/>
          <w:iCs/>
          <w:color w:val="000000" w:themeColor="text1"/>
          <w:szCs w:val="22"/>
          <w:lang w:eastAsia="en-ZA"/>
        </w:rPr>
        <w:t>namely</w:t>
      </w:r>
      <w:proofErr w:type="gramEnd"/>
      <w:r w:rsidR="001C7475" w:rsidRPr="0083031B">
        <w:rPr>
          <w:rFonts w:cs="Arial"/>
          <w:i/>
          <w:iCs/>
          <w:color w:val="000000" w:themeColor="text1"/>
          <w:szCs w:val="22"/>
          <w:lang w:eastAsia="en-ZA"/>
        </w:rPr>
        <w:t xml:space="preserve"> to use land illegally with a hope that the use will be legalised in due course, and, pending finalisation, the illegal use would be protected</w:t>
      </w:r>
      <w:r w:rsidRPr="007C3CD4">
        <w:rPr>
          <w:rFonts w:cs="Arial"/>
          <w:i/>
          <w:iCs/>
          <w:color w:val="000000" w:themeColor="text1"/>
          <w:szCs w:val="22"/>
          <w:lang w:eastAsia="en-ZA"/>
        </w:rPr>
        <w:t>.”</w:t>
      </w:r>
    </w:p>
    <w:p w14:paraId="012C0117" w14:textId="153DB7B4" w:rsidR="005B7427"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[31]</w:t>
      </w:r>
      <w:r w:rsidRPr="007C3CD4">
        <w:rPr>
          <w:rFonts w:cs="Arial"/>
          <w:bCs/>
          <w:szCs w:val="22"/>
        </w:rPr>
        <w:tab/>
      </w:r>
      <w:r w:rsidR="005B7427" w:rsidRPr="007C3CD4">
        <w:rPr>
          <w:rFonts w:cs="Arial"/>
          <w:bCs/>
          <w:szCs w:val="22"/>
        </w:rPr>
        <w:t xml:space="preserve">The respondents on the other hand took steps to protect their rights immediately when </w:t>
      </w:r>
      <w:r w:rsidR="000F2527">
        <w:rPr>
          <w:rFonts w:cs="Arial"/>
          <w:bCs/>
          <w:szCs w:val="22"/>
        </w:rPr>
        <w:t>it became apparent that the appellant was not constructing a garden</w:t>
      </w:r>
      <w:r w:rsidR="00E511F4" w:rsidRPr="00E511F4">
        <w:rPr>
          <w:rFonts w:cs="Arial"/>
          <w:bCs/>
          <w:szCs w:val="22"/>
        </w:rPr>
        <w:t xml:space="preserve"> </w:t>
      </w:r>
      <w:r w:rsidR="00E511F4">
        <w:rPr>
          <w:rFonts w:cs="Arial"/>
          <w:bCs/>
          <w:szCs w:val="22"/>
        </w:rPr>
        <w:t>cottage</w:t>
      </w:r>
      <w:r w:rsidR="000F2527">
        <w:rPr>
          <w:rFonts w:cs="Arial"/>
          <w:bCs/>
          <w:szCs w:val="22"/>
        </w:rPr>
        <w:t xml:space="preserve"> </w:t>
      </w:r>
      <w:r w:rsidR="00E511F4">
        <w:rPr>
          <w:rFonts w:cs="Arial"/>
          <w:bCs/>
          <w:szCs w:val="22"/>
        </w:rPr>
        <w:t>as he had previously represented to them,</w:t>
      </w:r>
      <w:r w:rsidR="000F2527">
        <w:rPr>
          <w:rFonts w:cs="Arial"/>
          <w:bCs/>
          <w:szCs w:val="22"/>
        </w:rPr>
        <w:t xml:space="preserve"> but rather an apartment block. </w:t>
      </w:r>
      <w:r w:rsidR="007C55A0" w:rsidRPr="007C3CD4">
        <w:rPr>
          <w:rFonts w:cs="Arial"/>
          <w:bCs/>
          <w:szCs w:val="22"/>
        </w:rPr>
        <w:t xml:space="preserve">They reported the illegal structure to the </w:t>
      </w:r>
      <w:r w:rsidR="00BE664A" w:rsidRPr="007C3CD4">
        <w:rPr>
          <w:rFonts w:cs="Arial"/>
          <w:bCs/>
          <w:szCs w:val="22"/>
        </w:rPr>
        <w:t>Council</w:t>
      </w:r>
      <w:r w:rsidR="00BE664A">
        <w:rPr>
          <w:rFonts w:cs="Arial"/>
          <w:bCs/>
          <w:szCs w:val="22"/>
        </w:rPr>
        <w:t>. The</w:t>
      </w:r>
      <w:r w:rsidR="007C55A0">
        <w:rPr>
          <w:rFonts w:cs="Arial"/>
          <w:bCs/>
          <w:szCs w:val="22"/>
        </w:rPr>
        <w:t xml:space="preserve"> Council issued two stop building orders to the appellant which were both ignored </w:t>
      </w:r>
      <w:r w:rsidR="007C55A0" w:rsidRPr="007C3CD4">
        <w:rPr>
          <w:rFonts w:cs="Arial"/>
          <w:bCs/>
          <w:szCs w:val="22"/>
        </w:rPr>
        <w:t>and</w:t>
      </w:r>
      <w:r w:rsidR="007C55A0">
        <w:rPr>
          <w:rFonts w:cs="Arial"/>
          <w:bCs/>
          <w:szCs w:val="22"/>
        </w:rPr>
        <w:t xml:space="preserve"> that led </w:t>
      </w:r>
      <w:proofErr w:type="gramStart"/>
      <w:r w:rsidR="007C55A0">
        <w:rPr>
          <w:rFonts w:cs="Arial"/>
          <w:bCs/>
          <w:szCs w:val="22"/>
        </w:rPr>
        <w:t xml:space="preserve">to </w:t>
      </w:r>
      <w:r w:rsidR="007C55A0" w:rsidRPr="007C3CD4">
        <w:rPr>
          <w:rFonts w:cs="Arial"/>
          <w:bCs/>
          <w:szCs w:val="22"/>
        </w:rPr>
        <w:t xml:space="preserve"> an</w:t>
      </w:r>
      <w:proofErr w:type="gramEnd"/>
      <w:r w:rsidR="007C55A0" w:rsidRPr="007C3CD4">
        <w:rPr>
          <w:rFonts w:cs="Arial"/>
          <w:bCs/>
          <w:szCs w:val="22"/>
        </w:rPr>
        <w:t xml:space="preserve"> urgent application when the Council failed to act</w:t>
      </w:r>
      <w:r w:rsidR="007C55A0">
        <w:rPr>
          <w:rFonts w:cs="Arial"/>
          <w:bCs/>
          <w:szCs w:val="22"/>
        </w:rPr>
        <w:t xml:space="preserve"> after their stop-building orders were ignored</w:t>
      </w:r>
      <w:r w:rsidR="005B7427" w:rsidRPr="007C3CD4">
        <w:rPr>
          <w:rStyle w:val="FootnoteReference"/>
          <w:rFonts w:cs="Arial"/>
          <w:bCs/>
          <w:szCs w:val="22"/>
        </w:rPr>
        <w:footnoteReference w:id="28"/>
      </w:r>
    </w:p>
    <w:p w14:paraId="299BD698" w14:textId="27FC4DB4" w:rsidR="00056BEC"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[32]</w:t>
      </w:r>
      <w:r w:rsidRPr="007C3CD4">
        <w:rPr>
          <w:rFonts w:cs="Arial"/>
          <w:bCs/>
          <w:szCs w:val="22"/>
        </w:rPr>
        <w:tab/>
      </w:r>
      <w:r w:rsidR="00056BEC" w:rsidRPr="007C3CD4">
        <w:rPr>
          <w:rFonts w:cs="Arial"/>
          <w:bCs/>
          <w:noProof/>
          <w:szCs w:val="22"/>
        </w:rPr>
        <w:t>The approval of building plans is not a mere formality in town planning and compliance with building standards promote public safety. Local authorities are required to appoint building control officers</w:t>
      </w:r>
      <w:r w:rsidR="00056BEC" w:rsidRPr="007C3CD4">
        <w:rPr>
          <w:rStyle w:val="FootnoteReference"/>
          <w:rFonts w:cs="Arial"/>
          <w:bCs/>
          <w:noProof/>
          <w:szCs w:val="22"/>
        </w:rPr>
        <w:footnoteReference w:id="29"/>
      </w:r>
      <w:r w:rsidR="00056BEC" w:rsidRPr="007C3CD4">
        <w:rPr>
          <w:rFonts w:cs="Arial"/>
          <w:bCs/>
          <w:noProof/>
          <w:szCs w:val="22"/>
        </w:rPr>
        <w:t xml:space="preserve"> who have the duty, </w:t>
      </w:r>
      <w:r w:rsidR="00056BEC" w:rsidRPr="007C3CD4">
        <w:rPr>
          <w:rFonts w:cs="Arial"/>
          <w:bCs/>
          <w:i/>
          <w:iCs/>
          <w:noProof/>
          <w:szCs w:val="22"/>
        </w:rPr>
        <w:t>inter alia</w:t>
      </w:r>
      <w:r w:rsidR="00056BEC" w:rsidRPr="007C3CD4">
        <w:rPr>
          <w:rFonts w:cs="Arial"/>
          <w:bCs/>
          <w:noProof/>
          <w:szCs w:val="22"/>
        </w:rPr>
        <w:t>, to inspect buildings erected in compliance with approved building plans.</w:t>
      </w:r>
      <w:r w:rsidR="00056BEC" w:rsidRPr="007C3CD4">
        <w:rPr>
          <w:rStyle w:val="FootnoteReference"/>
          <w:rFonts w:cs="Arial"/>
          <w:bCs/>
          <w:noProof/>
          <w:szCs w:val="22"/>
        </w:rPr>
        <w:footnoteReference w:id="30"/>
      </w:r>
      <w:r w:rsidR="00056BEC" w:rsidRPr="007C3CD4">
        <w:rPr>
          <w:rFonts w:cs="Arial"/>
          <w:bCs/>
          <w:noProof/>
          <w:szCs w:val="22"/>
        </w:rPr>
        <w:t xml:space="preserve"> Buildings must comply with prescribed standards and building codes, and compliance </w:t>
      </w:r>
      <w:r w:rsidR="00F650C0">
        <w:rPr>
          <w:rFonts w:cs="Arial"/>
          <w:bCs/>
          <w:noProof/>
          <w:szCs w:val="22"/>
        </w:rPr>
        <w:t>is</w:t>
      </w:r>
      <w:r w:rsidR="00056BEC" w:rsidRPr="007C3CD4">
        <w:rPr>
          <w:rFonts w:cs="Arial"/>
          <w:bCs/>
          <w:noProof/>
          <w:szCs w:val="22"/>
        </w:rPr>
        <w:t xml:space="preserve"> directly related to the approval of compliant building plans. No evidence was placed before the Court </w:t>
      </w:r>
      <w:r w:rsidR="00056BEC" w:rsidRPr="007C3CD4">
        <w:rPr>
          <w:rFonts w:cs="Arial"/>
          <w:bCs/>
          <w:i/>
          <w:iCs/>
          <w:noProof/>
          <w:szCs w:val="22"/>
        </w:rPr>
        <w:t>a quo</w:t>
      </w:r>
      <w:r w:rsidR="00056BEC" w:rsidRPr="007C3CD4">
        <w:rPr>
          <w:rFonts w:cs="Arial"/>
          <w:bCs/>
          <w:noProof/>
          <w:szCs w:val="22"/>
        </w:rPr>
        <w:t xml:space="preserve"> </w:t>
      </w:r>
      <w:r w:rsidR="00056BEC" w:rsidRPr="007C3CD4">
        <w:rPr>
          <w:rFonts w:cs="Arial"/>
          <w:bCs/>
          <w:noProof/>
          <w:szCs w:val="22"/>
        </w:rPr>
        <w:lastRenderedPageBreak/>
        <w:t>regarding compliance by the appellant with building standard</w:t>
      </w:r>
      <w:r w:rsidR="007C3CD4">
        <w:rPr>
          <w:rFonts w:cs="Arial"/>
          <w:bCs/>
          <w:noProof/>
          <w:szCs w:val="22"/>
        </w:rPr>
        <w:t>s</w:t>
      </w:r>
      <w:r w:rsidR="00056BEC" w:rsidRPr="007C3CD4">
        <w:rPr>
          <w:rFonts w:cs="Arial"/>
          <w:bCs/>
          <w:noProof/>
          <w:szCs w:val="22"/>
        </w:rPr>
        <w:t>.</w:t>
      </w:r>
    </w:p>
    <w:p w14:paraId="6F159256" w14:textId="6A646179" w:rsidR="00056BEC"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[33]</w:t>
      </w:r>
      <w:r w:rsidRPr="007C3CD4">
        <w:rPr>
          <w:rFonts w:cs="Arial"/>
          <w:bCs/>
          <w:szCs w:val="22"/>
        </w:rPr>
        <w:tab/>
      </w:r>
      <w:r w:rsidR="00E7753D">
        <w:rPr>
          <w:rFonts w:cs="Arial"/>
          <w:bCs/>
          <w:szCs w:val="22"/>
        </w:rPr>
        <w:t>It follows that t</w:t>
      </w:r>
      <w:r w:rsidR="00E7753D" w:rsidRPr="007C3CD4">
        <w:rPr>
          <w:rFonts w:cs="Arial"/>
          <w:bCs/>
          <w:szCs w:val="22"/>
        </w:rPr>
        <w:t>he</w:t>
      </w:r>
      <w:r w:rsidR="00056BEC" w:rsidRPr="007C3CD4">
        <w:rPr>
          <w:rFonts w:cs="Arial"/>
          <w:bCs/>
          <w:szCs w:val="22"/>
        </w:rPr>
        <w:t xml:space="preserve"> decision to order demolition </w:t>
      </w:r>
      <w:proofErr w:type="spellStart"/>
      <w:r w:rsidR="00056BEC" w:rsidRPr="007C3CD4">
        <w:rPr>
          <w:rFonts w:cs="Arial"/>
          <w:bCs/>
          <w:szCs w:val="22"/>
        </w:rPr>
        <w:t>can not</w:t>
      </w:r>
      <w:proofErr w:type="spellEnd"/>
      <w:r w:rsidR="00056BEC" w:rsidRPr="007C3CD4">
        <w:rPr>
          <w:rFonts w:cs="Arial"/>
          <w:bCs/>
          <w:szCs w:val="22"/>
        </w:rPr>
        <w:t xml:space="preserve"> be faulted.</w:t>
      </w:r>
    </w:p>
    <w:p w14:paraId="63FA2CA5" w14:textId="77777777" w:rsidR="00056BEC" w:rsidRPr="007C3CD4" w:rsidRDefault="00056BEC" w:rsidP="005B7427">
      <w:pPr>
        <w:widowControl w:val="0"/>
        <w:spacing w:before="480" w:after="480" w:line="480" w:lineRule="auto"/>
        <w:jc w:val="both"/>
        <w:rPr>
          <w:rFonts w:cs="Arial"/>
          <w:bCs/>
          <w:szCs w:val="22"/>
          <w:u w:val="single"/>
        </w:rPr>
      </w:pPr>
    </w:p>
    <w:p w14:paraId="25F87A31" w14:textId="7B937B9D" w:rsidR="005B7427" w:rsidRPr="007C3CD4" w:rsidRDefault="005B7427" w:rsidP="005B7427">
      <w:pPr>
        <w:widowControl w:val="0"/>
        <w:spacing w:before="480" w:after="480" w:line="480" w:lineRule="auto"/>
        <w:jc w:val="both"/>
        <w:rPr>
          <w:rFonts w:cs="Arial"/>
          <w:bCs/>
          <w:szCs w:val="22"/>
          <w:u w:val="single"/>
        </w:rPr>
      </w:pPr>
      <w:r w:rsidRPr="007C3CD4">
        <w:rPr>
          <w:rFonts w:cs="Arial"/>
          <w:bCs/>
          <w:szCs w:val="22"/>
          <w:u w:val="single"/>
        </w:rPr>
        <w:t>The nature of the discretion exercised by the Judge a quo when dismissing the application for a stay</w:t>
      </w:r>
    </w:p>
    <w:p w14:paraId="3CF5C37F" w14:textId="05CED23F" w:rsidR="007C3CD4" w:rsidRDefault="008F0B49" w:rsidP="008F0B49">
      <w:pPr>
        <w:widowControl w:val="0"/>
        <w:tabs>
          <w:tab w:val="left" w:pos="567"/>
        </w:tabs>
        <w:spacing w:before="480" w:after="480" w:line="480" w:lineRule="auto"/>
        <w:jc w:val="both"/>
        <w:rPr>
          <w:rFonts w:cs="Arial"/>
          <w:bCs/>
          <w:szCs w:val="22"/>
        </w:rPr>
      </w:pPr>
      <w:r>
        <w:rPr>
          <w:rFonts w:cs="Arial"/>
          <w:bCs/>
          <w:szCs w:val="22"/>
        </w:rPr>
        <w:t>[34]</w:t>
      </w:r>
      <w:r>
        <w:rPr>
          <w:rFonts w:cs="Arial"/>
          <w:bCs/>
          <w:szCs w:val="22"/>
        </w:rPr>
        <w:tab/>
      </w:r>
      <w:r w:rsidR="00AE56EC" w:rsidRPr="007C3CD4">
        <w:rPr>
          <w:rFonts w:cs="Arial"/>
          <w:bCs/>
          <w:szCs w:val="22"/>
        </w:rPr>
        <w:t>The decision to grant a stay involves the exercise of a true and unfettered discretion. A court of appeal will only interfere when it is of the view that the Court vested with the discretion did not exercise the discretion judicially</w:t>
      </w:r>
      <w:r w:rsidR="00AE56EC" w:rsidRPr="007C3CD4">
        <w:rPr>
          <w:rStyle w:val="FootnoteReference"/>
          <w:rFonts w:cs="Arial"/>
          <w:bCs/>
          <w:szCs w:val="22"/>
        </w:rPr>
        <w:footnoteReference w:id="31"/>
      </w:r>
      <w:r w:rsidR="00AE56EC" w:rsidRPr="007C3CD4">
        <w:rPr>
          <w:rFonts w:cs="Arial"/>
          <w:bCs/>
          <w:szCs w:val="22"/>
        </w:rPr>
        <w:t xml:space="preserve"> </w:t>
      </w:r>
      <w:r w:rsidR="001E3D41" w:rsidRPr="007C3CD4">
        <w:rPr>
          <w:rFonts w:cs="Arial"/>
          <w:bCs/>
          <w:szCs w:val="22"/>
        </w:rPr>
        <w:t>or was influenced by wrong principles or a misdirection on the facts, or that the decision was not one that could be arrived at reasonably.</w:t>
      </w:r>
      <w:r w:rsidR="001E3D41" w:rsidRPr="007C3CD4">
        <w:rPr>
          <w:rStyle w:val="FootnoteReference"/>
          <w:rFonts w:cs="Arial"/>
          <w:bCs/>
          <w:szCs w:val="22"/>
        </w:rPr>
        <w:footnoteReference w:id="32"/>
      </w:r>
      <w:r w:rsidR="001E3D41" w:rsidRPr="007C3CD4">
        <w:rPr>
          <w:rFonts w:cs="Arial"/>
          <w:bCs/>
          <w:szCs w:val="22"/>
        </w:rPr>
        <w:t xml:space="preserve"> </w:t>
      </w:r>
    </w:p>
    <w:p w14:paraId="4140F087" w14:textId="085559CB" w:rsidR="00317F52"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[35]</w:t>
      </w:r>
      <w:r w:rsidRPr="007C3CD4">
        <w:rPr>
          <w:rFonts w:cs="Arial"/>
          <w:bCs/>
          <w:szCs w:val="22"/>
        </w:rPr>
        <w:tab/>
      </w:r>
      <w:r w:rsidR="00AE56EC" w:rsidRPr="007C3CD4">
        <w:rPr>
          <w:rFonts w:cs="Arial"/>
          <w:bCs/>
          <w:szCs w:val="22"/>
        </w:rPr>
        <w:t xml:space="preserve">The court of appeal will not substitute its own decision for that of the Judge </w:t>
      </w:r>
      <w:r w:rsidR="00AE56EC" w:rsidRPr="007C3CD4">
        <w:rPr>
          <w:rFonts w:cs="Arial"/>
          <w:bCs/>
          <w:i/>
          <w:iCs/>
          <w:szCs w:val="22"/>
        </w:rPr>
        <w:t>a quo</w:t>
      </w:r>
      <w:r w:rsidR="00AE56EC" w:rsidRPr="007C3CD4">
        <w:rPr>
          <w:rFonts w:cs="Arial"/>
          <w:bCs/>
          <w:szCs w:val="22"/>
        </w:rPr>
        <w:t xml:space="preserve"> merely because it believes it would have arrived at a different conclusion.</w:t>
      </w:r>
    </w:p>
    <w:p w14:paraId="1DF27148" w14:textId="31EA65EF" w:rsidR="00317F52" w:rsidRPr="007C3CD4" w:rsidRDefault="008F0B49" w:rsidP="008F0B49">
      <w:pPr>
        <w:widowControl w:val="0"/>
        <w:tabs>
          <w:tab w:val="left" w:pos="567"/>
        </w:tabs>
        <w:spacing w:before="480" w:after="480" w:line="480" w:lineRule="auto"/>
        <w:jc w:val="both"/>
        <w:rPr>
          <w:rFonts w:cs="Arial"/>
          <w:bCs/>
          <w:szCs w:val="22"/>
        </w:rPr>
      </w:pPr>
      <w:r w:rsidRPr="007C3CD4">
        <w:rPr>
          <w:rFonts w:cs="Arial"/>
          <w:bCs/>
          <w:szCs w:val="22"/>
        </w:rPr>
        <w:t>[36]</w:t>
      </w:r>
      <w:r w:rsidRPr="007C3CD4">
        <w:rPr>
          <w:rFonts w:cs="Arial"/>
          <w:bCs/>
          <w:szCs w:val="22"/>
        </w:rPr>
        <w:tab/>
      </w:r>
      <w:r w:rsidR="007C3CD4">
        <w:rPr>
          <w:rFonts w:cs="Arial"/>
          <w:bCs/>
          <w:szCs w:val="22"/>
        </w:rPr>
        <w:t xml:space="preserve">There is no indication that the learned Judge failed to exercise her discretion judicially, or that she </w:t>
      </w:r>
      <w:r w:rsidR="00C42781">
        <w:rPr>
          <w:rFonts w:cs="Arial"/>
          <w:bCs/>
          <w:szCs w:val="22"/>
        </w:rPr>
        <w:t>misdirected herself on the facts or applied the wrong principles. Her judgment is well-reasoned.</w:t>
      </w:r>
    </w:p>
    <w:p w14:paraId="76E33505" w14:textId="77777777" w:rsidR="00C42781" w:rsidRDefault="00C42781" w:rsidP="00F414E9">
      <w:pPr>
        <w:widowControl w:val="0"/>
        <w:spacing w:before="480" w:after="480" w:line="480" w:lineRule="auto"/>
        <w:jc w:val="both"/>
        <w:rPr>
          <w:rFonts w:cs="Arial"/>
          <w:bCs/>
          <w:szCs w:val="22"/>
          <w:u w:val="single"/>
        </w:rPr>
      </w:pPr>
    </w:p>
    <w:p w14:paraId="0EA7DF2A" w14:textId="77777777" w:rsidR="002D3329" w:rsidRDefault="002D3329" w:rsidP="00F414E9">
      <w:pPr>
        <w:widowControl w:val="0"/>
        <w:spacing w:before="480" w:after="480" w:line="480" w:lineRule="auto"/>
        <w:jc w:val="both"/>
        <w:rPr>
          <w:rFonts w:cs="Arial"/>
          <w:b/>
          <w:szCs w:val="22"/>
          <w:u w:val="single"/>
        </w:rPr>
      </w:pPr>
    </w:p>
    <w:p w14:paraId="15A475EE" w14:textId="77777777" w:rsidR="002D3329" w:rsidRDefault="002D3329" w:rsidP="00F414E9">
      <w:pPr>
        <w:widowControl w:val="0"/>
        <w:spacing w:before="480" w:after="480" w:line="480" w:lineRule="auto"/>
        <w:jc w:val="both"/>
        <w:rPr>
          <w:rFonts w:cs="Arial"/>
          <w:b/>
          <w:szCs w:val="22"/>
          <w:u w:val="single"/>
        </w:rPr>
      </w:pPr>
    </w:p>
    <w:p w14:paraId="5BE95C2E" w14:textId="77777777" w:rsidR="002D3329" w:rsidRDefault="002D3329" w:rsidP="00F414E9">
      <w:pPr>
        <w:widowControl w:val="0"/>
        <w:spacing w:before="480" w:after="480" w:line="480" w:lineRule="auto"/>
        <w:jc w:val="both"/>
        <w:rPr>
          <w:rFonts w:cs="Arial"/>
          <w:b/>
          <w:szCs w:val="22"/>
          <w:u w:val="single"/>
        </w:rPr>
      </w:pPr>
    </w:p>
    <w:p w14:paraId="7A36F288" w14:textId="22822C93" w:rsidR="00F414E9" w:rsidRDefault="003D0892" w:rsidP="00F414E9">
      <w:pPr>
        <w:widowControl w:val="0"/>
        <w:spacing w:before="480" w:after="480" w:line="480" w:lineRule="auto"/>
        <w:jc w:val="both"/>
        <w:rPr>
          <w:rFonts w:cs="Arial"/>
          <w:b/>
          <w:szCs w:val="22"/>
          <w:u w:val="single"/>
        </w:rPr>
      </w:pPr>
      <w:r w:rsidRPr="003D0892">
        <w:rPr>
          <w:rFonts w:cs="Arial"/>
          <w:b/>
          <w:szCs w:val="22"/>
          <w:u w:val="single"/>
        </w:rPr>
        <w:t>ORDER</w:t>
      </w:r>
    </w:p>
    <w:p w14:paraId="76F4D166" w14:textId="77777777" w:rsidR="002D3329" w:rsidRPr="003D0892" w:rsidRDefault="002D3329" w:rsidP="00F414E9">
      <w:pPr>
        <w:widowControl w:val="0"/>
        <w:spacing w:before="480" w:after="480" w:line="480" w:lineRule="auto"/>
        <w:jc w:val="both"/>
        <w:rPr>
          <w:rFonts w:cs="Arial"/>
          <w:b/>
          <w:szCs w:val="22"/>
          <w:u w:val="single"/>
        </w:rPr>
      </w:pPr>
    </w:p>
    <w:p w14:paraId="6242C54A" w14:textId="16D2D963" w:rsidR="00DB28D9" w:rsidRDefault="008F0B49" w:rsidP="008F0B49">
      <w:pPr>
        <w:widowControl w:val="0"/>
        <w:tabs>
          <w:tab w:val="left" w:pos="567"/>
        </w:tabs>
        <w:spacing w:before="480" w:after="480" w:line="480" w:lineRule="auto"/>
        <w:jc w:val="both"/>
        <w:rPr>
          <w:rFonts w:cs="Arial"/>
          <w:bCs/>
          <w:szCs w:val="22"/>
        </w:rPr>
      </w:pPr>
      <w:r>
        <w:rPr>
          <w:rFonts w:cs="Arial"/>
          <w:bCs/>
          <w:szCs w:val="22"/>
        </w:rPr>
        <w:t>[37]</w:t>
      </w:r>
      <w:r>
        <w:rPr>
          <w:rFonts w:cs="Arial"/>
          <w:bCs/>
          <w:szCs w:val="22"/>
        </w:rPr>
        <w:tab/>
      </w:r>
      <w:r w:rsidR="003D0892">
        <w:rPr>
          <w:rFonts w:cs="Arial"/>
          <w:bCs/>
          <w:szCs w:val="22"/>
        </w:rPr>
        <w:t>The following order is made:</w:t>
      </w:r>
    </w:p>
    <w:p w14:paraId="430DAB19" w14:textId="7B2D6043" w:rsidR="003D0892" w:rsidRPr="003D0892" w:rsidRDefault="008F0B49" w:rsidP="008F0B49">
      <w:pPr>
        <w:ind w:left="720" w:hanging="360"/>
      </w:pPr>
      <w:r w:rsidRPr="003D0892">
        <w:t>1.</w:t>
      </w:r>
      <w:r w:rsidRPr="003D0892">
        <w:tab/>
      </w:r>
      <w:r w:rsidR="003D0892" w:rsidRPr="003D0892">
        <w:t xml:space="preserve">The appellant’s application for condonation for the late prosecution of the appeal is </w:t>
      </w:r>
      <w:proofErr w:type="gramStart"/>
      <w:r w:rsidR="003D0892" w:rsidRPr="003D0892">
        <w:t>granted;</w:t>
      </w:r>
      <w:proofErr w:type="gramEnd"/>
    </w:p>
    <w:p w14:paraId="7E69BF56" w14:textId="178A788C" w:rsidR="003D0892" w:rsidRPr="003D0892" w:rsidRDefault="008F0B49" w:rsidP="008F0B49">
      <w:pPr>
        <w:ind w:left="720" w:hanging="360"/>
      </w:pPr>
      <w:r w:rsidRPr="003D0892">
        <w:t>2.</w:t>
      </w:r>
      <w:r w:rsidRPr="003D0892">
        <w:tab/>
      </w:r>
      <w:r w:rsidR="003D0892" w:rsidRPr="003D0892">
        <w:t xml:space="preserve">The appeal is </w:t>
      </w:r>
      <w:proofErr w:type="gramStart"/>
      <w:r w:rsidR="003D0892" w:rsidRPr="003D0892">
        <w:t>reinstated;</w:t>
      </w:r>
      <w:proofErr w:type="gramEnd"/>
    </w:p>
    <w:p w14:paraId="39DE3D9B" w14:textId="3B1FA547" w:rsidR="003D0892" w:rsidRPr="003D0892" w:rsidRDefault="008F0B49" w:rsidP="008F0B49">
      <w:pPr>
        <w:ind w:left="720" w:hanging="360"/>
      </w:pPr>
      <w:r w:rsidRPr="003D0892">
        <w:t>3.</w:t>
      </w:r>
      <w:r w:rsidRPr="003D0892">
        <w:tab/>
      </w:r>
      <w:r w:rsidR="003D0892" w:rsidRPr="003D0892">
        <w:t xml:space="preserve">The appellant is ordered to pay the costs of the application for </w:t>
      </w:r>
      <w:proofErr w:type="gramStart"/>
      <w:r w:rsidR="003D0892" w:rsidRPr="003D0892">
        <w:t>condonation;</w:t>
      </w:r>
      <w:proofErr w:type="gramEnd"/>
    </w:p>
    <w:p w14:paraId="1DEE246C" w14:textId="313DDEE3" w:rsidR="003D0892" w:rsidRPr="003D0892" w:rsidRDefault="008F0B49" w:rsidP="008F0B49">
      <w:pPr>
        <w:ind w:left="720" w:hanging="360"/>
      </w:pPr>
      <w:r w:rsidRPr="003D0892">
        <w:t>4.</w:t>
      </w:r>
      <w:r w:rsidRPr="003D0892">
        <w:tab/>
      </w:r>
      <w:r w:rsidR="003D0892" w:rsidRPr="003D0892">
        <w:t xml:space="preserve">The minutes of the meeting of the Ekurhuleni Municipal Planning Tribunal of 14 September 2022 is received in terms of section 19(b) of the Superior Courts Act, 10 of </w:t>
      </w:r>
      <w:proofErr w:type="gramStart"/>
      <w:r w:rsidR="003D0892" w:rsidRPr="003D0892">
        <w:t>2013;</w:t>
      </w:r>
      <w:proofErr w:type="gramEnd"/>
      <w:r w:rsidR="003D0892" w:rsidRPr="003D0892">
        <w:t xml:space="preserve"> </w:t>
      </w:r>
    </w:p>
    <w:p w14:paraId="53F81727" w14:textId="314963A1" w:rsidR="003D0892" w:rsidRPr="003D0892" w:rsidRDefault="008F0B49" w:rsidP="008F0B49">
      <w:pPr>
        <w:ind w:left="720" w:hanging="360"/>
      </w:pPr>
      <w:r w:rsidRPr="003D0892">
        <w:t>5.</w:t>
      </w:r>
      <w:r w:rsidRPr="003D0892">
        <w:tab/>
      </w:r>
      <w:r w:rsidR="003D0892" w:rsidRPr="003D0892">
        <w:t xml:space="preserve">The appeal is </w:t>
      </w:r>
      <w:proofErr w:type="gramStart"/>
      <w:r w:rsidR="003D0892" w:rsidRPr="003D0892">
        <w:t>dismissed;</w:t>
      </w:r>
      <w:proofErr w:type="gramEnd"/>
    </w:p>
    <w:p w14:paraId="6F9D1DCA" w14:textId="70380257" w:rsidR="003D0892" w:rsidRPr="003D0892" w:rsidRDefault="008F0B49" w:rsidP="008F0B49">
      <w:pPr>
        <w:ind w:left="720" w:hanging="360"/>
      </w:pPr>
      <w:r w:rsidRPr="003D0892">
        <w:t>6.</w:t>
      </w:r>
      <w:r w:rsidRPr="003D0892">
        <w:tab/>
      </w:r>
      <w:r w:rsidR="003D0892" w:rsidRPr="003D0892">
        <w:t>The appellant is ordered to pay the costs of the appeal.</w:t>
      </w:r>
    </w:p>
    <w:p w14:paraId="1115958A" w14:textId="77777777" w:rsidR="003D0892" w:rsidRPr="003D0892" w:rsidRDefault="003D0892" w:rsidP="003D0892"/>
    <w:p w14:paraId="3E6BA7DA" w14:textId="43133B0D" w:rsidR="00AE287F" w:rsidRPr="007C3CD4" w:rsidRDefault="00AE287F" w:rsidP="006C43D7">
      <w:pPr>
        <w:tabs>
          <w:tab w:val="right" w:pos="0"/>
        </w:tabs>
        <w:spacing w:line="360" w:lineRule="auto"/>
        <w:contextualSpacing/>
        <w:jc w:val="right"/>
        <w:rPr>
          <w:rFonts w:cs="Arial"/>
          <w:b/>
          <w:szCs w:val="22"/>
        </w:rPr>
      </w:pPr>
    </w:p>
    <w:p w14:paraId="353BC410" w14:textId="77777777" w:rsidR="003D0892" w:rsidRDefault="003D0892" w:rsidP="00680008">
      <w:pPr>
        <w:tabs>
          <w:tab w:val="right" w:pos="0"/>
        </w:tabs>
        <w:spacing w:line="360" w:lineRule="auto"/>
        <w:contextualSpacing/>
        <w:rPr>
          <w:rFonts w:cs="Arial"/>
          <w:b/>
          <w:szCs w:val="22"/>
        </w:rPr>
      </w:pPr>
    </w:p>
    <w:p w14:paraId="5AE9DC7E" w14:textId="77777777" w:rsidR="003D0892" w:rsidRDefault="003D0892" w:rsidP="00680008">
      <w:pPr>
        <w:tabs>
          <w:tab w:val="right" w:pos="0"/>
        </w:tabs>
        <w:spacing w:line="360" w:lineRule="auto"/>
        <w:contextualSpacing/>
        <w:rPr>
          <w:rFonts w:cs="Arial"/>
          <w:b/>
          <w:szCs w:val="22"/>
        </w:rPr>
      </w:pPr>
    </w:p>
    <w:p w14:paraId="5C0EDA52" w14:textId="77777777" w:rsidR="003D0892" w:rsidRDefault="003D0892" w:rsidP="00680008">
      <w:pPr>
        <w:tabs>
          <w:tab w:val="right" w:pos="0"/>
        </w:tabs>
        <w:spacing w:line="360" w:lineRule="auto"/>
        <w:contextualSpacing/>
        <w:rPr>
          <w:rFonts w:cs="Arial"/>
          <w:b/>
          <w:szCs w:val="22"/>
        </w:rPr>
      </w:pPr>
    </w:p>
    <w:p w14:paraId="0235BF51" w14:textId="77777777" w:rsidR="002D3329" w:rsidRDefault="002D3329">
      <w:pPr>
        <w:rPr>
          <w:rFonts w:cs="Arial"/>
          <w:b/>
          <w:szCs w:val="22"/>
        </w:rPr>
      </w:pPr>
      <w:r>
        <w:rPr>
          <w:rFonts w:cs="Arial"/>
          <w:b/>
          <w:szCs w:val="22"/>
        </w:rPr>
        <w:br w:type="page"/>
      </w:r>
    </w:p>
    <w:p w14:paraId="0CCB9BFE" w14:textId="30532EC3" w:rsidR="006C43D7" w:rsidRPr="007C3CD4" w:rsidRDefault="00C676F3" w:rsidP="00680008">
      <w:pPr>
        <w:tabs>
          <w:tab w:val="right" w:pos="0"/>
        </w:tabs>
        <w:spacing w:line="360" w:lineRule="auto"/>
        <w:contextualSpacing/>
        <w:rPr>
          <w:rFonts w:cs="Arial"/>
          <w:b/>
          <w:szCs w:val="22"/>
        </w:rPr>
      </w:pPr>
      <w:r w:rsidRPr="007C3CD4">
        <w:rPr>
          <w:rFonts w:cs="Arial"/>
          <w:b/>
          <w:szCs w:val="22"/>
        </w:rPr>
        <w:lastRenderedPageBreak/>
        <w:t>J MOORCROFT</w:t>
      </w:r>
    </w:p>
    <w:p w14:paraId="7A2C1059" w14:textId="77777777" w:rsidR="006C43D7" w:rsidRPr="007C3CD4" w:rsidRDefault="006C43D7" w:rsidP="00680008">
      <w:pPr>
        <w:tabs>
          <w:tab w:val="right" w:pos="0"/>
        </w:tabs>
        <w:spacing w:line="360" w:lineRule="auto"/>
        <w:contextualSpacing/>
        <w:rPr>
          <w:rFonts w:cs="Arial"/>
          <w:b/>
          <w:szCs w:val="22"/>
        </w:rPr>
      </w:pPr>
      <w:r w:rsidRPr="007C3CD4">
        <w:rPr>
          <w:rFonts w:cs="Arial"/>
          <w:b/>
          <w:szCs w:val="22"/>
        </w:rPr>
        <w:t>ACTING JUDGE OF THE HIGH COURT OF SOUTH AFRICA</w:t>
      </w:r>
    </w:p>
    <w:p w14:paraId="077C2590" w14:textId="7452355B" w:rsidR="006C43D7" w:rsidRPr="007C3CD4" w:rsidRDefault="006C43D7" w:rsidP="00680008">
      <w:pPr>
        <w:tabs>
          <w:tab w:val="right" w:pos="0"/>
          <w:tab w:val="left" w:pos="4253"/>
        </w:tabs>
        <w:spacing w:line="360" w:lineRule="auto"/>
        <w:contextualSpacing/>
        <w:rPr>
          <w:rFonts w:cs="Arial"/>
          <w:b/>
          <w:szCs w:val="22"/>
        </w:rPr>
      </w:pPr>
      <w:r w:rsidRPr="007C3CD4">
        <w:rPr>
          <w:rFonts w:cs="Arial"/>
          <w:b/>
          <w:szCs w:val="22"/>
        </w:rPr>
        <w:t>GAUTENG DIVISION</w:t>
      </w:r>
    </w:p>
    <w:p w14:paraId="40B9C946" w14:textId="13142155" w:rsidR="006C43D7" w:rsidRDefault="006C43D7" w:rsidP="00680008">
      <w:pPr>
        <w:tabs>
          <w:tab w:val="right" w:pos="0"/>
          <w:tab w:val="left" w:pos="4253"/>
        </w:tabs>
        <w:spacing w:line="360" w:lineRule="auto"/>
        <w:contextualSpacing/>
        <w:rPr>
          <w:rFonts w:cs="Arial"/>
          <w:b/>
          <w:szCs w:val="22"/>
        </w:rPr>
      </w:pPr>
      <w:r w:rsidRPr="007C3CD4">
        <w:rPr>
          <w:rFonts w:cs="Arial"/>
          <w:b/>
          <w:szCs w:val="22"/>
        </w:rPr>
        <w:t>JOHANNESBURG</w:t>
      </w:r>
    </w:p>
    <w:p w14:paraId="064F6CC2" w14:textId="30FF2446" w:rsidR="00D96316" w:rsidRDefault="00D96316" w:rsidP="00680008">
      <w:pPr>
        <w:tabs>
          <w:tab w:val="right" w:pos="0"/>
          <w:tab w:val="left" w:pos="4253"/>
        </w:tabs>
        <w:spacing w:line="360" w:lineRule="auto"/>
        <w:contextualSpacing/>
        <w:rPr>
          <w:rFonts w:cs="Arial"/>
          <w:b/>
          <w:szCs w:val="22"/>
        </w:rPr>
      </w:pPr>
    </w:p>
    <w:p w14:paraId="471F5E4E" w14:textId="47B51C2C" w:rsidR="00D96316" w:rsidRDefault="00D96316" w:rsidP="00680008">
      <w:pPr>
        <w:tabs>
          <w:tab w:val="right" w:pos="0"/>
          <w:tab w:val="left" w:pos="4253"/>
        </w:tabs>
        <w:spacing w:line="360" w:lineRule="auto"/>
        <w:contextualSpacing/>
        <w:rPr>
          <w:rFonts w:cs="Arial"/>
          <w:b/>
          <w:szCs w:val="22"/>
        </w:rPr>
      </w:pPr>
    </w:p>
    <w:p w14:paraId="01CF2C25" w14:textId="77777777" w:rsidR="00680008" w:rsidRDefault="00680008" w:rsidP="00680008">
      <w:pPr>
        <w:tabs>
          <w:tab w:val="right" w:pos="0"/>
          <w:tab w:val="left" w:pos="4253"/>
        </w:tabs>
        <w:spacing w:line="360" w:lineRule="auto"/>
        <w:contextualSpacing/>
        <w:rPr>
          <w:rFonts w:cs="Arial"/>
          <w:bCs/>
          <w:szCs w:val="22"/>
        </w:rPr>
      </w:pPr>
    </w:p>
    <w:p w14:paraId="0A069B94" w14:textId="049C78B3" w:rsidR="00680008" w:rsidRDefault="00680008" w:rsidP="00680008">
      <w:pPr>
        <w:tabs>
          <w:tab w:val="right" w:pos="0"/>
          <w:tab w:val="left" w:pos="4253"/>
        </w:tabs>
        <w:spacing w:line="360" w:lineRule="auto"/>
        <w:contextualSpacing/>
        <w:rPr>
          <w:rFonts w:cs="Arial"/>
          <w:bCs/>
          <w:szCs w:val="22"/>
        </w:rPr>
      </w:pPr>
      <w:r w:rsidRPr="00680008">
        <w:rPr>
          <w:rFonts w:cs="Arial"/>
          <w:bCs/>
          <w:szCs w:val="22"/>
        </w:rPr>
        <w:t>I agree and it is so ordered.</w:t>
      </w:r>
    </w:p>
    <w:p w14:paraId="76CF788C" w14:textId="10509982" w:rsidR="00680008" w:rsidRDefault="00680008" w:rsidP="00680008">
      <w:pPr>
        <w:tabs>
          <w:tab w:val="right" w:pos="0"/>
          <w:tab w:val="left" w:pos="4253"/>
        </w:tabs>
        <w:spacing w:line="360" w:lineRule="auto"/>
        <w:contextualSpacing/>
        <w:rPr>
          <w:rFonts w:cs="Arial"/>
          <w:bCs/>
          <w:szCs w:val="22"/>
        </w:rPr>
      </w:pPr>
    </w:p>
    <w:p w14:paraId="7F1DD36F" w14:textId="364546E8" w:rsidR="00680008" w:rsidRDefault="00680008" w:rsidP="00680008">
      <w:pPr>
        <w:tabs>
          <w:tab w:val="right" w:pos="0"/>
          <w:tab w:val="left" w:pos="4253"/>
        </w:tabs>
        <w:spacing w:line="360" w:lineRule="auto"/>
        <w:contextualSpacing/>
        <w:rPr>
          <w:rFonts w:cs="Arial"/>
          <w:bCs/>
          <w:szCs w:val="22"/>
        </w:rPr>
      </w:pPr>
    </w:p>
    <w:p w14:paraId="1ABDF63E" w14:textId="77777777" w:rsidR="00680008" w:rsidRPr="00680008" w:rsidRDefault="00680008" w:rsidP="00680008">
      <w:pPr>
        <w:tabs>
          <w:tab w:val="right" w:pos="0"/>
          <w:tab w:val="left" w:pos="4253"/>
        </w:tabs>
        <w:spacing w:line="360" w:lineRule="auto"/>
        <w:contextualSpacing/>
        <w:rPr>
          <w:rFonts w:cs="Arial"/>
          <w:bCs/>
          <w:szCs w:val="22"/>
        </w:rPr>
      </w:pPr>
    </w:p>
    <w:p w14:paraId="30E508DF" w14:textId="77683B9A" w:rsidR="00D96316" w:rsidRPr="007C3CD4" w:rsidRDefault="00D96316" w:rsidP="00680008">
      <w:pPr>
        <w:tabs>
          <w:tab w:val="right" w:pos="0"/>
        </w:tabs>
        <w:spacing w:line="360" w:lineRule="auto"/>
        <w:contextualSpacing/>
        <w:rPr>
          <w:rFonts w:cs="Arial"/>
          <w:b/>
          <w:szCs w:val="22"/>
        </w:rPr>
      </w:pPr>
      <w:r>
        <w:rPr>
          <w:rFonts w:cs="Arial"/>
          <w:b/>
          <w:szCs w:val="22"/>
        </w:rPr>
        <w:t>M SENYATSI</w:t>
      </w:r>
    </w:p>
    <w:p w14:paraId="5D921A31" w14:textId="5786695E" w:rsidR="00D96316" w:rsidRPr="007C3CD4" w:rsidRDefault="00D96316" w:rsidP="00680008">
      <w:pPr>
        <w:tabs>
          <w:tab w:val="right" w:pos="0"/>
        </w:tabs>
        <w:spacing w:line="360" w:lineRule="auto"/>
        <w:contextualSpacing/>
        <w:rPr>
          <w:rFonts w:cs="Arial"/>
          <w:b/>
          <w:szCs w:val="22"/>
        </w:rPr>
      </w:pPr>
      <w:r w:rsidRPr="007C3CD4">
        <w:rPr>
          <w:rFonts w:cs="Arial"/>
          <w:b/>
          <w:szCs w:val="22"/>
        </w:rPr>
        <w:t>JUDGE OF THE HIGH COURT OF SOUTH AFRICA</w:t>
      </w:r>
    </w:p>
    <w:p w14:paraId="4903B912" w14:textId="77777777" w:rsidR="00D96316" w:rsidRPr="007C3CD4" w:rsidRDefault="00D96316" w:rsidP="00680008">
      <w:pPr>
        <w:tabs>
          <w:tab w:val="right" w:pos="0"/>
          <w:tab w:val="left" w:pos="4253"/>
        </w:tabs>
        <w:spacing w:line="360" w:lineRule="auto"/>
        <w:contextualSpacing/>
        <w:rPr>
          <w:rFonts w:cs="Arial"/>
          <w:b/>
          <w:szCs w:val="22"/>
        </w:rPr>
      </w:pPr>
      <w:r w:rsidRPr="007C3CD4">
        <w:rPr>
          <w:rFonts w:cs="Arial"/>
          <w:b/>
          <w:szCs w:val="22"/>
        </w:rPr>
        <w:t>GAUTENG DIVISION</w:t>
      </w:r>
    </w:p>
    <w:p w14:paraId="3B9727F7" w14:textId="2EDFB744" w:rsidR="00D96316" w:rsidRDefault="00D96316" w:rsidP="00680008">
      <w:pPr>
        <w:tabs>
          <w:tab w:val="right" w:pos="0"/>
          <w:tab w:val="left" w:pos="4253"/>
        </w:tabs>
        <w:spacing w:line="360" w:lineRule="auto"/>
        <w:contextualSpacing/>
        <w:rPr>
          <w:rFonts w:cs="Arial"/>
          <w:b/>
          <w:szCs w:val="22"/>
        </w:rPr>
      </w:pPr>
      <w:r w:rsidRPr="007C3CD4">
        <w:rPr>
          <w:rFonts w:cs="Arial"/>
          <w:b/>
          <w:szCs w:val="22"/>
        </w:rPr>
        <w:t>JOHANNESBURG</w:t>
      </w:r>
    </w:p>
    <w:p w14:paraId="4C475ED2" w14:textId="37A1B805" w:rsidR="00D96316" w:rsidRDefault="00D96316" w:rsidP="00680008">
      <w:pPr>
        <w:tabs>
          <w:tab w:val="right" w:pos="0"/>
        </w:tabs>
        <w:spacing w:line="360" w:lineRule="auto"/>
        <w:contextualSpacing/>
        <w:rPr>
          <w:rFonts w:cs="Arial"/>
          <w:b/>
          <w:szCs w:val="22"/>
        </w:rPr>
      </w:pPr>
    </w:p>
    <w:p w14:paraId="521D5675" w14:textId="4A8A9AA6" w:rsidR="00680008" w:rsidRDefault="00680008" w:rsidP="00680008">
      <w:pPr>
        <w:tabs>
          <w:tab w:val="right" w:pos="0"/>
        </w:tabs>
        <w:spacing w:line="360" w:lineRule="auto"/>
        <w:contextualSpacing/>
        <w:rPr>
          <w:rFonts w:cs="Arial"/>
          <w:b/>
          <w:szCs w:val="22"/>
        </w:rPr>
      </w:pPr>
    </w:p>
    <w:p w14:paraId="425BAB78" w14:textId="51CDFA47" w:rsidR="00680008" w:rsidRDefault="00680008" w:rsidP="00680008">
      <w:pPr>
        <w:tabs>
          <w:tab w:val="right" w:pos="0"/>
        </w:tabs>
        <w:spacing w:line="360" w:lineRule="auto"/>
        <w:contextualSpacing/>
        <w:rPr>
          <w:rFonts w:cs="Arial"/>
          <w:b/>
          <w:szCs w:val="22"/>
        </w:rPr>
      </w:pPr>
    </w:p>
    <w:p w14:paraId="181F4C23" w14:textId="77777777" w:rsidR="003D0892" w:rsidRDefault="003D0892" w:rsidP="00680008">
      <w:pPr>
        <w:tabs>
          <w:tab w:val="right" w:pos="0"/>
          <w:tab w:val="left" w:pos="4253"/>
        </w:tabs>
        <w:spacing w:line="360" w:lineRule="auto"/>
        <w:contextualSpacing/>
        <w:rPr>
          <w:rFonts w:cs="Arial"/>
          <w:bCs/>
          <w:szCs w:val="22"/>
        </w:rPr>
      </w:pPr>
    </w:p>
    <w:p w14:paraId="5DA357E6" w14:textId="77777777" w:rsidR="003D0892" w:rsidRDefault="003D0892" w:rsidP="00680008">
      <w:pPr>
        <w:tabs>
          <w:tab w:val="right" w:pos="0"/>
          <w:tab w:val="left" w:pos="4253"/>
        </w:tabs>
        <w:spacing w:line="360" w:lineRule="auto"/>
        <w:contextualSpacing/>
        <w:rPr>
          <w:rFonts w:cs="Arial"/>
          <w:bCs/>
          <w:szCs w:val="22"/>
        </w:rPr>
      </w:pPr>
    </w:p>
    <w:p w14:paraId="169A6A8E" w14:textId="77777777" w:rsidR="003D0892" w:rsidRDefault="003D0892" w:rsidP="00680008">
      <w:pPr>
        <w:tabs>
          <w:tab w:val="right" w:pos="0"/>
          <w:tab w:val="left" w:pos="4253"/>
        </w:tabs>
        <w:spacing w:line="360" w:lineRule="auto"/>
        <w:contextualSpacing/>
        <w:rPr>
          <w:rFonts w:cs="Arial"/>
          <w:bCs/>
          <w:szCs w:val="22"/>
        </w:rPr>
      </w:pPr>
    </w:p>
    <w:p w14:paraId="58A40F6A" w14:textId="77777777" w:rsidR="003D0892" w:rsidRDefault="003D0892" w:rsidP="00680008">
      <w:pPr>
        <w:tabs>
          <w:tab w:val="right" w:pos="0"/>
          <w:tab w:val="left" w:pos="4253"/>
        </w:tabs>
        <w:spacing w:line="360" w:lineRule="auto"/>
        <w:contextualSpacing/>
        <w:rPr>
          <w:rFonts w:cs="Arial"/>
          <w:bCs/>
          <w:szCs w:val="22"/>
        </w:rPr>
      </w:pPr>
    </w:p>
    <w:p w14:paraId="203B87AE" w14:textId="77777777" w:rsidR="003D0892" w:rsidRDefault="003D0892" w:rsidP="00680008">
      <w:pPr>
        <w:tabs>
          <w:tab w:val="right" w:pos="0"/>
          <w:tab w:val="left" w:pos="4253"/>
        </w:tabs>
        <w:spacing w:line="360" w:lineRule="auto"/>
        <w:contextualSpacing/>
        <w:rPr>
          <w:rFonts w:cs="Arial"/>
          <w:bCs/>
          <w:szCs w:val="22"/>
        </w:rPr>
      </w:pPr>
    </w:p>
    <w:p w14:paraId="36FFFC78" w14:textId="77777777" w:rsidR="003D0892" w:rsidRDefault="003D0892" w:rsidP="00680008">
      <w:pPr>
        <w:tabs>
          <w:tab w:val="right" w:pos="0"/>
          <w:tab w:val="left" w:pos="4253"/>
        </w:tabs>
        <w:spacing w:line="360" w:lineRule="auto"/>
        <w:contextualSpacing/>
        <w:rPr>
          <w:rFonts w:cs="Arial"/>
          <w:bCs/>
          <w:szCs w:val="22"/>
        </w:rPr>
      </w:pPr>
    </w:p>
    <w:p w14:paraId="4144AE80" w14:textId="26D0E578" w:rsidR="00680008" w:rsidRDefault="00680008" w:rsidP="00680008">
      <w:pPr>
        <w:tabs>
          <w:tab w:val="right" w:pos="0"/>
          <w:tab w:val="left" w:pos="4253"/>
        </w:tabs>
        <w:spacing w:line="360" w:lineRule="auto"/>
        <w:contextualSpacing/>
        <w:rPr>
          <w:rFonts w:cs="Arial"/>
          <w:bCs/>
          <w:szCs w:val="22"/>
        </w:rPr>
      </w:pPr>
      <w:r w:rsidRPr="00680008">
        <w:rPr>
          <w:rFonts w:cs="Arial"/>
          <w:bCs/>
          <w:szCs w:val="22"/>
        </w:rPr>
        <w:t>I agree and it is so ordered.</w:t>
      </w:r>
    </w:p>
    <w:p w14:paraId="66074DE8" w14:textId="77777777" w:rsidR="00680008" w:rsidRDefault="00680008" w:rsidP="00680008">
      <w:pPr>
        <w:tabs>
          <w:tab w:val="right" w:pos="0"/>
        </w:tabs>
        <w:spacing w:line="360" w:lineRule="auto"/>
        <w:contextualSpacing/>
        <w:rPr>
          <w:rFonts w:cs="Arial"/>
          <w:b/>
          <w:szCs w:val="22"/>
        </w:rPr>
      </w:pPr>
    </w:p>
    <w:p w14:paraId="453396BF" w14:textId="77777777" w:rsidR="00D96316" w:rsidRDefault="00D96316" w:rsidP="00680008">
      <w:pPr>
        <w:tabs>
          <w:tab w:val="right" w:pos="0"/>
        </w:tabs>
        <w:spacing w:line="360" w:lineRule="auto"/>
        <w:contextualSpacing/>
        <w:rPr>
          <w:rFonts w:cs="Arial"/>
          <w:b/>
          <w:szCs w:val="22"/>
        </w:rPr>
      </w:pPr>
    </w:p>
    <w:p w14:paraId="32BD3B52" w14:textId="6D46D192" w:rsidR="00D96316" w:rsidRPr="007C3CD4" w:rsidRDefault="00D96316" w:rsidP="00680008">
      <w:pPr>
        <w:tabs>
          <w:tab w:val="right" w:pos="0"/>
        </w:tabs>
        <w:spacing w:line="360" w:lineRule="auto"/>
        <w:contextualSpacing/>
        <w:rPr>
          <w:rFonts w:cs="Arial"/>
          <w:b/>
          <w:szCs w:val="22"/>
        </w:rPr>
      </w:pPr>
      <w:r>
        <w:rPr>
          <w:rFonts w:cs="Arial"/>
          <w:b/>
          <w:szCs w:val="22"/>
        </w:rPr>
        <w:t>S VAN NIEUWENHUIZEN</w:t>
      </w:r>
    </w:p>
    <w:p w14:paraId="20998D9C" w14:textId="77777777" w:rsidR="00D96316" w:rsidRPr="007C3CD4" w:rsidRDefault="00D96316" w:rsidP="00680008">
      <w:pPr>
        <w:tabs>
          <w:tab w:val="right" w:pos="0"/>
        </w:tabs>
        <w:spacing w:line="360" w:lineRule="auto"/>
        <w:contextualSpacing/>
        <w:rPr>
          <w:rFonts w:cs="Arial"/>
          <w:b/>
          <w:szCs w:val="22"/>
        </w:rPr>
      </w:pPr>
      <w:r w:rsidRPr="007C3CD4">
        <w:rPr>
          <w:rFonts w:cs="Arial"/>
          <w:b/>
          <w:szCs w:val="22"/>
        </w:rPr>
        <w:t>ACTING JUDGE OF THE HIGH COURT OF SOUTH AFRICA</w:t>
      </w:r>
    </w:p>
    <w:p w14:paraId="3DDA64D3" w14:textId="77777777" w:rsidR="00D96316" w:rsidRPr="007C3CD4" w:rsidRDefault="00D96316" w:rsidP="00680008">
      <w:pPr>
        <w:tabs>
          <w:tab w:val="right" w:pos="0"/>
          <w:tab w:val="left" w:pos="4253"/>
        </w:tabs>
        <w:spacing w:line="360" w:lineRule="auto"/>
        <w:contextualSpacing/>
        <w:rPr>
          <w:rFonts w:cs="Arial"/>
          <w:b/>
          <w:szCs w:val="22"/>
        </w:rPr>
      </w:pPr>
      <w:r w:rsidRPr="007C3CD4">
        <w:rPr>
          <w:rFonts w:cs="Arial"/>
          <w:b/>
          <w:szCs w:val="22"/>
        </w:rPr>
        <w:t>GAUTENG DIVISION</w:t>
      </w:r>
    </w:p>
    <w:p w14:paraId="7E5AD39B" w14:textId="77777777" w:rsidR="00D96316" w:rsidRDefault="00D96316" w:rsidP="00680008">
      <w:pPr>
        <w:tabs>
          <w:tab w:val="right" w:pos="0"/>
          <w:tab w:val="left" w:pos="4253"/>
        </w:tabs>
        <w:spacing w:line="360" w:lineRule="auto"/>
        <w:contextualSpacing/>
        <w:rPr>
          <w:rFonts w:cs="Arial"/>
          <w:b/>
          <w:szCs w:val="22"/>
        </w:rPr>
      </w:pPr>
      <w:r w:rsidRPr="007C3CD4">
        <w:rPr>
          <w:rFonts w:cs="Arial"/>
          <w:b/>
          <w:szCs w:val="22"/>
        </w:rPr>
        <w:t>JOHANNESBURG</w:t>
      </w:r>
    </w:p>
    <w:p w14:paraId="599F4932" w14:textId="77777777" w:rsidR="00D96316" w:rsidRPr="007C3CD4" w:rsidRDefault="00D96316" w:rsidP="00680008">
      <w:pPr>
        <w:tabs>
          <w:tab w:val="right" w:pos="0"/>
          <w:tab w:val="left" w:pos="4253"/>
        </w:tabs>
        <w:spacing w:line="360" w:lineRule="auto"/>
        <w:contextualSpacing/>
        <w:rPr>
          <w:rFonts w:cs="Arial"/>
          <w:b/>
          <w:szCs w:val="22"/>
        </w:rPr>
      </w:pPr>
    </w:p>
    <w:p w14:paraId="326B529B" w14:textId="77777777" w:rsidR="006C43D7" w:rsidRPr="007C3CD4" w:rsidRDefault="006C43D7" w:rsidP="00680008">
      <w:pPr>
        <w:tabs>
          <w:tab w:val="right" w:pos="0"/>
          <w:tab w:val="left" w:pos="4253"/>
        </w:tabs>
        <w:spacing w:line="360" w:lineRule="auto"/>
        <w:contextualSpacing/>
        <w:rPr>
          <w:rFonts w:cs="Arial"/>
          <w:b/>
          <w:szCs w:val="22"/>
        </w:rPr>
      </w:pPr>
    </w:p>
    <w:p w14:paraId="5A4CC56C" w14:textId="051C4E22" w:rsidR="006C43D7" w:rsidRPr="007C3CD4" w:rsidRDefault="006C43D7" w:rsidP="00680008">
      <w:pPr>
        <w:spacing w:after="200" w:line="480" w:lineRule="auto"/>
        <w:contextualSpacing/>
        <w:rPr>
          <w:rFonts w:cs="Arial"/>
          <w:b/>
          <w:i/>
          <w:iCs/>
          <w:szCs w:val="22"/>
        </w:rPr>
      </w:pPr>
      <w:r w:rsidRPr="007C3CD4">
        <w:rPr>
          <w:rFonts w:cs="Arial"/>
          <w:b/>
          <w:i/>
          <w:iCs/>
          <w:szCs w:val="22"/>
        </w:rPr>
        <w:t>Electronically submitted</w:t>
      </w:r>
    </w:p>
    <w:p w14:paraId="4E3E9427" w14:textId="77777777" w:rsidR="006C43D7" w:rsidRPr="007C3CD4" w:rsidRDefault="006C43D7" w:rsidP="006C43D7">
      <w:pPr>
        <w:spacing w:after="200" w:line="360" w:lineRule="auto"/>
        <w:contextualSpacing/>
        <w:jc w:val="both"/>
        <w:rPr>
          <w:rFonts w:eastAsia="Arial Unicode MS" w:cs="Arial"/>
          <w:bCs/>
          <w:szCs w:val="22"/>
        </w:rPr>
      </w:pPr>
    </w:p>
    <w:p w14:paraId="51C686CA" w14:textId="639EFC1C" w:rsidR="006C43D7" w:rsidRPr="007C3CD4" w:rsidRDefault="006C43D7" w:rsidP="006C43D7">
      <w:pPr>
        <w:spacing w:after="200" w:line="360" w:lineRule="auto"/>
        <w:contextualSpacing/>
        <w:jc w:val="both"/>
        <w:rPr>
          <w:rFonts w:eastAsia="Arial Unicode MS" w:cs="Arial"/>
          <w:b/>
          <w:bCs/>
          <w:szCs w:val="22"/>
        </w:rPr>
      </w:pPr>
      <w:r w:rsidRPr="007C3CD4">
        <w:rPr>
          <w:rFonts w:eastAsia="Arial Unicode MS" w:cs="Arial"/>
          <w:bCs/>
          <w:szCs w:val="22"/>
        </w:rPr>
        <w:t>Delivered: This judgement was prepared and authored by the Judge</w:t>
      </w:r>
      <w:r w:rsidR="00D96316">
        <w:rPr>
          <w:rFonts w:eastAsia="Arial Unicode MS" w:cs="Arial"/>
          <w:bCs/>
          <w:szCs w:val="22"/>
        </w:rPr>
        <w:t>s</w:t>
      </w:r>
      <w:r w:rsidRPr="007C3CD4">
        <w:rPr>
          <w:rFonts w:eastAsia="Arial Unicode MS" w:cs="Arial"/>
          <w:bCs/>
          <w:szCs w:val="22"/>
        </w:rPr>
        <w:t xml:space="preserve"> whose name is reflected and is handed down electronically by circulation to the Parties / their legal </w:t>
      </w:r>
      <w:r w:rsidRPr="007C3CD4">
        <w:rPr>
          <w:rFonts w:eastAsia="Arial Unicode MS" w:cs="Arial"/>
          <w:bCs/>
          <w:szCs w:val="22"/>
        </w:rPr>
        <w:lastRenderedPageBreak/>
        <w:t xml:space="preserve">representatives by email and by uploading it to the electronic file of this matter on </w:t>
      </w:r>
      <w:proofErr w:type="spellStart"/>
      <w:r w:rsidRPr="007C3CD4">
        <w:rPr>
          <w:rFonts w:eastAsia="Arial Unicode MS" w:cs="Arial"/>
          <w:bCs/>
          <w:szCs w:val="22"/>
        </w:rPr>
        <w:t>CaseLines</w:t>
      </w:r>
      <w:proofErr w:type="spellEnd"/>
      <w:r w:rsidRPr="007C3CD4">
        <w:rPr>
          <w:rFonts w:eastAsia="Arial Unicode MS" w:cs="Arial"/>
          <w:bCs/>
          <w:szCs w:val="22"/>
        </w:rPr>
        <w:t>. The date of the judgment is deemed to be</w:t>
      </w:r>
      <w:r w:rsidR="00C460A0" w:rsidRPr="007C3CD4">
        <w:rPr>
          <w:rFonts w:eastAsia="Arial Unicode MS" w:cs="Arial"/>
          <w:bCs/>
          <w:szCs w:val="22"/>
        </w:rPr>
        <w:t xml:space="preserve"> </w:t>
      </w:r>
      <w:r w:rsidR="00E262A9">
        <w:rPr>
          <w:rFonts w:eastAsia="Arial Unicode MS" w:cs="Arial"/>
          <w:b/>
          <w:bCs/>
          <w:szCs w:val="22"/>
        </w:rPr>
        <w:t>1</w:t>
      </w:r>
      <w:r w:rsidR="003D0892">
        <w:rPr>
          <w:rFonts w:eastAsia="Arial Unicode MS" w:cs="Arial"/>
          <w:b/>
          <w:bCs/>
          <w:szCs w:val="22"/>
        </w:rPr>
        <w:t xml:space="preserve">7 </w:t>
      </w:r>
      <w:r w:rsidR="00E262A9">
        <w:rPr>
          <w:rFonts w:eastAsia="Arial Unicode MS" w:cs="Arial"/>
          <w:b/>
          <w:bCs/>
          <w:szCs w:val="22"/>
        </w:rPr>
        <w:t>November 2022</w:t>
      </w:r>
    </w:p>
    <w:p w14:paraId="482DDF6E" w14:textId="77777777" w:rsidR="006C43D7" w:rsidRPr="007C3CD4"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7C3CD4" w14:paraId="493AF0D7" w14:textId="77777777" w:rsidTr="00DC621D">
        <w:tc>
          <w:tcPr>
            <w:tcW w:w="3964" w:type="dxa"/>
          </w:tcPr>
          <w:p w14:paraId="6A05541A" w14:textId="40CFD5AA" w:rsidR="009D35B5" w:rsidRPr="007C3CD4" w:rsidRDefault="00B915B4" w:rsidP="00EC7487">
            <w:pPr>
              <w:tabs>
                <w:tab w:val="right" w:pos="0"/>
                <w:tab w:val="left" w:pos="4253"/>
              </w:tabs>
              <w:spacing w:before="120" w:after="120"/>
              <w:rPr>
                <w:rFonts w:cs="Arial"/>
                <w:szCs w:val="22"/>
              </w:rPr>
            </w:pPr>
            <w:r w:rsidRPr="007C3CD4">
              <w:rPr>
                <w:rFonts w:cs="Arial"/>
                <w:szCs w:val="22"/>
              </w:rPr>
              <w:t>COUNSEL</w:t>
            </w:r>
            <w:r w:rsidR="009D35B5" w:rsidRPr="007C3CD4">
              <w:rPr>
                <w:rFonts w:cs="Arial"/>
                <w:szCs w:val="22"/>
              </w:rPr>
              <w:t xml:space="preserve"> FOR THE </w:t>
            </w:r>
            <w:r w:rsidR="00EC7487">
              <w:rPr>
                <w:rFonts w:cs="Arial"/>
                <w:szCs w:val="22"/>
              </w:rPr>
              <w:t>APPELLANT</w:t>
            </w:r>
          </w:p>
        </w:tc>
        <w:tc>
          <w:tcPr>
            <w:tcW w:w="4649" w:type="dxa"/>
          </w:tcPr>
          <w:p w14:paraId="69785AA9" w14:textId="26B8C2FC" w:rsidR="009D35B5" w:rsidRPr="007C3CD4" w:rsidRDefault="00EC7487" w:rsidP="00EC7487">
            <w:pPr>
              <w:tabs>
                <w:tab w:val="right" w:pos="0"/>
                <w:tab w:val="left" w:pos="4253"/>
              </w:tabs>
              <w:spacing w:before="120" w:after="120"/>
              <w:jc w:val="right"/>
              <w:rPr>
                <w:rFonts w:cs="Arial"/>
                <w:szCs w:val="22"/>
              </w:rPr>
            </w:pPr>
            <w:r>
              <w:rPr>
                <w:rFonts w:cs="Arial"/>
                <w:szCs w:val="22"/>
              </w:rPr>
              <w:t>S MARITZ</w:t>
            </w:r>
          </w:p>
        </w:tc>
      </w:tr>
      <w:tr w:rsidR="009D35B5" w:rsidRPr="007C3CD4" w14:paraId="183C176D" w14:textId="77777777" w:rsidTr="00DC621D">
        <w:tc>
          <w:tcPr>
            <w:tcW w:w="3964" w:type="dxa"/>
          </w:tcPr>
          <w:p w14:paraId="75365413" w14:textId="4D497E49" w:rsidR="009D35B5" w:rsidRPr="007C3CD4" w:rsidRDefault="009D35B5" w:rsidP="00EC7487">
            <w:pPr>
              <w:tabs>
                <w:tab w:val="right" w:pos="0"/>
                <w:tab w:val="left" w:pos="4253"/>
              </w:tabs>
              <w:spacing w:before="120" w:after="120"/>
              <w:rPr>
                <w:rFonts w:cs="Arial"/>
                <w:szCs w:val="22"/>
              </w:rPr>
            </w:pPr>
            <w:r w:rsidRPr="007C3CD4">
              <w:rPr>
                <w:rFonts w:cs="Arial"/>
                <w:szCs w:val="22"/>
              </w:rPr>
              <w:t>INSTRUCTED BY:</w:t>
            </w:r>
          </w:p>
        </w:tc>
        <w:tc>
          <w:tcPr>
            <w:tcW w:w="4649" w:type="dxa"/>
          </w:tcPr>
          <w:p w14:paraId="4044534A" w14:textId="6AD040DF" w:rsidR="009D35B5" w:rsidRPr="007C3CD4" w:rsidRDefault="00EC7487" w:rsidP="00EC7487">
            <w:pPr>
              <w:tabs>
                <w:tab w:val="right" w:pos="0"/>
                <w:tab w:val="left" w:pos="4253"/>
              </w:tabs>
              <w:spacing w:before="120" w:after="120"/>
              <w:jc w:val="right"/>
              <w:rPr>
                <w:rFonts w:cs="Arial"/>
                <w:szCs w:val="22"/>
              </w:rPr>
            </w:pPr>
            <w:r>
              <w:rPr>
                <w:rFonts w:cs="Arial"/>
                <w:szCs w:val="22"/>
              </w:rPr>
              <w:t>MARK-ANTHONY BEYL ATTORNEYS</w:t>
            </w:r>
          </w:p>
        </w:tc>
      </w:tr>
      <w:tr w:rsidR="009D35B5" w:rsidRPr="007C3CD4" w14:paraId="6E2BF966" w14:textId="77777777" w:rsidTr="00DC621D">
        <w:tc>
          <w:tcPr>
            <w:tcW w:w="3964" w:type="dxa"/>
          </w:tcPr>
          <w:p w14:paraId="545B6665" w14:textId="70011797" w:rsidR="009D35B5" w:rsidRPr="007C3CD4" w:rsidRDefault="009D35B5" w:rsidP="00EC7487">
            <w:pPr>
              <w:tabs>
                <w:tab w:val="right" w:pos="0"/>
                <w:tab w:val="left" w:pos="4253"/>
              </w:tabs>
              <w:spacing w:before="120" w:after="120"/>
              <w:rPr>
                <w:rFonts w:cs="Arial"/>
                <w:szCs w:val="22"/>
              </w:rPr>
            </w:pPr>
            <w:r w:rsidRPr="007C3CD4">
              <w:rPr>
                <w:rFonts w:cs="Arial"/>
                <w:szCs w:val="22"/>
              </w:rPr>
              <w:t xml:space="preserve">COUNSEL FOR </w:t>
            </w:r>
            <w:r w:rsidR="00EC7487">
              <w:rPr>
                <w:rFonts w:cs="Arial"/>
                <w:szCs w:val="22"/>
              </w:rPr>
              <w:t>FIRST AND SECOND RESPONDENTS</w:t>
            </w:r>
            <w:r w:rsidRPr="007C3CD4">
              <w:rPr>
                <w:rFonts w:cs="Arial"/>
                <w:szCs w:val="22"/>
              </w:rPr>
              <w:t>:</w:t>
            </w:r>
          </w:p>
        </w:tc>
        <w:tc>
          <w:tcPr>
            <w:tcW w:w="4649" w:type="dxa"/>
          </w:tcPr>
          <w:p w14:paraId="51741A90" w14:textId="31569809" w:rsidR="009D35B5" w:rsidRPr="007C3CD4" w:rsidRDefault="00EC7487" w:rsidP="00EC7487">
            <w:pPr>
              <w:tabs>
                <w:tab w:val="right" w:pos="0"/>
                <w:tab w:val="left" w:pos="4253"/>
              </w:tabs>
              <w:spacing w:before="120" w:after="120"/>
              <w:jc w:val="right"/>
              <w:rPr>
                <w:rFonts w:cs="Arial"/>
                <w:szCs w:val="22"/>
              </w:rPr>
            </w:pPr>
            <w:r>
              <w:rPr>
                <w:rFonts w:cs="Arial"/>
                <w:szCs w:val="22"/>
              </w:rPr>
              <w:t>M VERSTER</w:t>
            </w:r>
          </w:p>
        </w:tc>
      </w:tr>
      <w:tr w:rsidR="009D35B5" w:rsidRPr="007C3CD4" w14:paraId="1EC4105A" w14:textId="77777777" w:rsidTr="00DC621D">
        <w:tc>
          <w:tcPr>
            <w:tcW w:w="3964" w:type="dxa"/>
          </w:tcPr>
          <w:p w14:paraId="184EC2ED" w14:textId="25D0E730" w:rsidR="009D35B5" w:rsidRPr="007C3CD4" w:rsidRDefault="009D35B5" w:rsidP="00EC7487">
            <w:pPr>
              <w:tabs>
                <w:tab w:val="right" w:pos="0"/>
                <w:tab w:val="left" w:pos="4253"/>
              </w:tabs>
              <w:spacing w:before="120" w:after="120"/>
              <w:rPr>
                <w:rFonts w:cs="Arial"/>
                <w:szCs w:val="22"/>
              </w:rPr>
            </w:pPr>
            <w:r w:rsidRPr="007C3CD4">
              <w:rPr>
                <w:rFonts w:cs="Arial"/>
                <w:szCs w:val="22"/>
              </w:rPr>
              <w:t>INSTRUCTED BY:</w:t>
            </w:r>
          </w:p>
        </w:tc>
        <w:tc>
          <w:tcPr>
            <w:tcW w:w="4649" w:type="dxa"/>
          </w:tcPr>
          <w:p w14:paraId="2098BE2A" w14:textId="554BA176" w:rsidR="009D35B5" w:rsidRPr="007C3CD4" w:rsidRDefault="00EC7487" w:rsidP="00EC7487">
            <w:pPr>
              <w:tabs>
                <w:tab w:val="right" w:pos="0"/>
                <w:tab w:val="left" w:pos="4253"/>
              </w:tabs>
              <w:spacing w:before="120" w:after="120"/>
              <w:jc w:val="right"/>
              <w:rPr>
                <w:rFonts w:cs="Arial"/>
                <w:szCs w:val="22"/>
              </w:rPr>
            </w:pPr>
            <w:r>
              <w:rPr>
                <w:rFonts w:cs="Arial"/>
                <w:szCs w:val="22"/>
              </w:rPr>
              <w:t>BMV ATTORNEYS</w:t>
            </w:r>
          </w:p>
        </w:tc>
      </w:tr>
      <w:tr w:rsidR="009D35B5" w:rsidRPr="007C3CD4" w14:paraId="2A3FE2B1" w14:textId="77777777" w:rsidTr="00DC621D">
        <w:tc>
          <w:tcPr>
            <w:tcW w:w="3964" w:type="dxa"/>
          </w:tcPr>
          <w:p w14:paraId="0767D0FE" w14:textId="6078230F" w:rsidR="009D35B5" w:rsidRPr="007C3CD4" w:rsidRDefault="009D35B5" w:rsidP="00EC7487">
            <w:pPr>
              <w:tabs>
                <w:tab w:val="right" w:pos="0"/>
                <w:tab w:val="left" w:pos="4253"/>
              </w:tabs>
              <w:spacing w:before="120" w:after="120"/>
              <w:rPr>
                <w:rFonts w:cs="Arial"/>
                <w:szCs w:val="22"/>
              </w:rPr>
            </w:pPr>
            <w:r w:rsidRPr="007C3CD4">
              <w:rPr>
                <w:rFonts w:cs="Arial"/>
                <w:szCs w:val="22"/>
              </w:rPr>
              <w:t>DATE OF THE HEARING:</w:t>
            </w:r>
          </w:p>
        </w:tc>
        <w:tc>
          <w:tcPr>
            <w:tcW w:w="4649" w:type="dxa"/>
          </w:tcPr>
          <w:p w14:paraId="34C95147" w14:textId="42CFBF97" w:rsidR="009D35B5" w:rsidRPr="007C3CD4" w:rsidRDefault="00066DEF" w:rsidP="00EC7487">
            <w:pPr>
              <w:tabs>
                <w:tab w:val="right" w:pos="0"/>
                <w:tab w:val="left" w:pos="4253"/>
              </w:tabs>
              <w:spacing w:before="120" w:after="120"/>
              <w:jc w:val="right"/>
              <w:rPr>
                <w:rFonts w:cs="Arial"/>
                <w:szCs w:val="22"/>
              </w:rPr>
            </w:pPr>
            <w:r w:rsidRPr="007C3CD4">
              <w:rPr>
                <w:rFonts w:cs="Arial"/>
                <w:szCs w:val="22"/>
              </w:rPr>
              <w:t>26</w:t>
            </w:r>
            <w:r w:rsidR="009D35B5" w:rsidRPr="007C3CD4">
              <w:rPr>
                <w:rFonts w:cs="Arial"/>
                <w:szCs w:val="22"/>
              </w:rPr>
              <w:t xml:space="preserve"> October 2022</w:t>
            </w:r>
          </w:p>
        </w:tc>
      </w:tr>
      <w:tr w:rsidR="009D35B5" w:rsidRPr="007C3CD4" w14:paraId="757AA656" w14:textId="77777777" w:rsidTr="00DC621D">
        <w:tc>
          <w:tcPr>
            <w:tcW w:w="3964" w:type="dxa"/>
          </w:tcPr>
          <w:p w14:paraId="05387251" w14:textId="5A778948" w:rsidR="009D35B5" w:rsidRPr="007C3CD4" w:rsidRDefault="009D35B5" w:rsidP="00EC7487">
            <w:pPr>
              <w:tabs>
                <w:tab w:val="right" w:pos="0"/>
                <w:tab w:val="left" w:pos="4253"/>
              </w:tabs>
              <w:spacing w:before="120" w:after="120"/>
              <w:rPr>
                <w:rFonts w:cs="Arial"/>
                <w:szCs w:val="22"/>
              </w:rPr>
            </w:pPr>
            <w:r w:rsidRPr="007C3CD4">
              <w:rPr>
                <w:rFonts w:cs="Arial"/>
                <w:szCs w:val="22"/>
              </w:rPr>
              <w:t>DATE OF JUDGMENT:</w:t>
            </w:r>
          </w:p>
        </w:tc>
        <w:tc>
          <w:tcPr>
            <w:tcW w:w="4649" w:type="dxa"/>
          </w:tcPr>
          <w:p w14:paraId="61863A62" w14:textId="39008C8F" w:rsidR="009D35B5" w:rsidRPr="007C3CD4" w:rsidRDefault="00E262A9" w:rsidP="00EC7487">
            <w:pPr>
              <w:tabs>
                <w:tab w:val="right" w:pos="0"/>
                <w:tab w:val="left" w:pos="4253"/>
              </w:tabs>
              <w:spacing w:before="120" w:after="120"/>
              <w:jc w:val="right"/>
              <w:rPr>
                <w:rFonts w:cs="Arial"/>
                <w:szCs w:val="22"/>
              </w:rPr>
            </w:pPr>
            <w:r>
              <w:rPr>
                <w:rFonts w:cs="Arial"/>
                <w:szCs w:val="22"/>
              </w:rPr>
              <w:t>1</w:t>
            </w:r>
            <w:r w:rsidR="003D0892">
              <w:rPr>
                <w:rFonts w:cs="Arial"/>
                <w:szCs w:val="22"/>
              </w:rPr>
              <w:t>7</w:t>
            </w:r>
            <w:r>
              <w:rPr>
                <w:rFonts w:cs="Arial"/>
                <w:szCs w:val="22"/>
              </w:rPr>
              <w:t xml:space="preserve"> November 2022</w:t>
            </w:r>
          </w:p>
        </w:tc>
      </w:tr>
    </w:tbl>
    <w:p w14:paraId="1BD8F4EB" w14:textId="24205645" w:rsidR="00A402F6" w:rsidRPr="007C3CD4" w:rsidRDefault="00A402F6" w:rsidP="00A402F6">
      <w:pPr>
        <w:tabs>
          <w:tab w:val="right" w:pos="8647"/>
        </w:tabs>
        <w:spacing w:line="360" w:lineRule="auto"/>
        <w:contextualSpacing/>
        <w:jc w:val="both"/>
        <w:rPr>
          <w:rFonts w:cs="Arial"/>
          <w:szCs w:val="22"/>
        </w:rPr>
      </w:pPr>
      <w:r w:rsidRPr="007C3CD4">
        <w:rPr>
          <w:rFonts w:cs="Arial"/>
          <w:szCs w:val="22"/>
        </w:rPr>
        <w:tab/>
      </w:r>
    </w:p>
    <w:sectPr w:rsidR="00A402F6" w:rsidRPr="007C3CD4"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EF9B" w14:textId="77777777" w:rsidR="00CF05BD" w:rsidRDefault="00CF05BD">
      <w:r>
        <w:separator/>
      </w:r>
    </w:p>
  </w:endnote>
  <w:endnote w:type="continuationSeparator" w:id="0">
    <w:p w14:paraId="1B9A9C00" w14:textId="77777777" w:rsidR="00CF05BD" w:rsidRDefault="00CF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9C1B" w14:textId="77777777" w:rsidR="00CF05BD" w:rsidRDefault="00CF05BD">
      <w:r>
        <w:separator/>
      </w:r>
    </w:p>
  </w:footnote>
  <w:footnote w:type="continuationSeparator" w:id="0">
    <w:p w14:paraId="08B4177B" w14:textId="77777777" w:rsidR="00CF05BD" w:rsidRDefault="00CF05BD">
      <w:r>
        <w:continuationSeparator/>
      </w:r>
    </w:p>
  </w:footnote>
  <w:footnote w:id="1">
    <w:p w14:paraId="43F1743A" w14:textId="22B32FC5" w:rsidR="00625D54" w:rsidRDefault="00625D54">
      <w:pPr>
        <w:pStyle w:val="FootnoteText"/>
      </w:pPr>
      <w:r>
        <w:rPr>
          <w:rStyle w:val="FootnoteReference"/>
        </w:rPr>
        <w:footnoteRef/>
      </w:r>
      <w:r>
        <w:t xml:space="preserve"> </w:t>
      </w:r>
      <w:r>
        <w:tab/>
        <w:t>The respondent’s late wife who died eight years ago was also cited in the application.</w:t>
      </w:r>
    </w:p>
  </w:footnote>
  <w:footnote w:id="2">
    <w:p w14:paraId="45F9CCAF" w14:textId="6270A1A4" w:rsidR="009C6148" w:rsidRDefault="009C6148">
      <w:pPr>
        <w:pStyle w:val="FootnoteText"/>
      </w:pPr>
      <w:r>
        <w:rPr>
          <w:rStyle w:val="FootnoteReference"/>
        </w:rPr>
        <w:footnoteRef/>
      </w:r>
      <w:r>
        <w:t xml:space="preserve"> </w:t>
      </w:r>
      <w:r w:rsidR="00317716">
        <w:tab/>
      </w:r>
      <w:r>
        <w:t>Non-compliance is a criminal offence: S 4(4).</w:t>
      </w:r>
    </w:p>
  </w:footnote>
  <w:footnote w:id="3">
    <w:p w14:paraId="55492C57" w14:textId="15F601B9" w:rsidR="009C6148" w:rsidRDefault="009C6148" w:rsidP="009C6148">
      <w:pPr>
        <w:pStyle w:val="FootnoteText"/>
      </w:pPr>
      <w:r>
        <w:rPr>
          <w:rStyle w:val="FootnoteReference"/>
        </w:rPr>
        <w:footnoteRef/>
      </w:r>
      <w:r>
        <w:t xml:space="preserve"> </w:t>
      </w:r>
      <w:r w:rsidR="00317716">
        <w:tab/>
      </w:r>
      <w:r>
        <w:t>Non-compliance with the Scheme is a criminal offence.</w:t>
      </w:r>
    </w:p>
  </w:footnote>
  <w:footnote w:id="4">
    <w:p w14:paraId="63CC774F" w14:textId="24665DEA" w:rsidR="00317716" w:rsidRDefault="00317716">
      <w:pPr>
        <w:pStyle w:val="FootnoteText"/>
      </w:pPr>
      <w:r>
        <w:rPr>
          <w:rStyle w:val="FootnoteReference"/>
        </w:rPr>
        <w:footnoteRef/>
      </w:r>
      <w:r>
        <w:t xml:space="preserve"> </w:t>
      </w:r>
      <w:r>
        <w:tab/>
        <w:t xml:space="preserve">Residential 1 zoning restricted occupation to one dwelling on the property, for one family unit. </w:t>
      </w:r>
    </w:p>
  </w:footnote>
  <w:footnote w:id="5">
    <w:p w14:paraId="18EF1DB8" w14:textId="15D8A75D" w:rsidR="004C095B" w:rsidRDefault="004C095B">
      <w:pPr>
        <w:pStyle w:val="FootnoteText"/>
      </w:pPr>
      <w:r>
        <w:rPr>
          <w:rStyle w:val="FootnoteReference"/>
        </w:rPr>
        <w:footnoteRef/>
      </w:r>
      <w:r>
        <w:t xml:space="preserve"> </w:t>
      </w:r>
      <w:r>
        <w:tab/>
      </w:r>
      <w:r w:rsidRPr="004C095B">
        <w:rPr>
          <w:rFonts w:cs="Arial"/>
          <w:color w:val="000000" w:themeColor="text1"/>
        </w:rPr>
        <w:t xml:space="preserve">See </w:t>
      </w:r>
      <w:r w:rsidR="007C3CD4" w:rsidRPr="007C3CD4">
        <w:rPr>
          <w:rFonts w:cs="Arial"/>
          <w:i/>
          <w:iCs/>
          <w:color w:val="000000" w:themeColor="text1"/>
        </w:rPr>
        <w:t>B</w:t>
      </w:r>
      <w:r w:rsidRPr="004C095B">
        <w:rPr>
          <w:rFonts w:cs="Arial"/>
          <w:i/>
          <w:iCs/>
          <w:color w:val="000000" w:themeColor="text1"/>
          <w:shd w:val="clear" w:color="auto" w:fill="FFFFFF"/>
        </w:rPr>
        <w:t>EF (Pty) Ltd v Cape Town Municipality and Others</w:t>
      </w:r>
      <w:r w:rsidRPr="004C095B">
        <w:rPr>
          <w:rFonts w:cs="Arial"/>
          <w:color w:val="000000" w:themeColor="text1"/>
          <w:shd w:val="clear" w:color="auto" w:fill="FFFFFF"/>
        </w:rPr>
        <w:t> </w:t>
      </w:r>
      <w:r w:rsidRPr="004C095B">
        <w:rPr>
          <w:rFonts w:cs="Arial"/>
          <w:color w:val="000000" w:themeColor="text1"/>
        </w:rPr>
        <w:t xml:space="preserve"> </w:t>
      </w:r>
      <w:hyperlink r:id="rId1" w:history="1">
        <w:r w:rsidRPr="004C095B">
          <w:rPr>
            <w:rFonts w:cs="Arial"/>
            <w:color w:val="000000" w:themeColor="text1"/>
            <w:shd w:val="clear" w:color="auto" w:fill="FFFFFF"/>
          </w:rPr>
          <w:t>1983 (2) SA 387 (C)</w:t>
        </w:r>
      </w:hyperlink>
      <w:r>
        <w:rPr>
          <w:rFonts w:cs="Arial"/>
          <w:color w:val="000000" w:themeColor="text1"/>
        </w:rPr>
        <w:t xml:space="preserve"> 401B</w:t>
      </w:r>
      <w:r w:rsidRPr="004C095B">
        <w:rPr>
          <w:rFonts w:cs="Arial"/>
          <w:color w:val="000000" w:themeColor="text1"/>
          <w:shd w:val="clear" w:color="auto" w:fill="FFFFFF"/>
        </w:rPr>
        <w:t>,</w:t>
      </w:r>
    </w:p>
  </w:footnote>
  <w:footnote w:id="6">
    <w:p w14:paraId="6415D471" w14:textId="06420616" w:rsidR="006E28CF" w:rsidRDefault="006E28CF">
      <w:pPr>
        <w:pStyle w:val="FootnoteText"/>
      </w:pPr>
      <w:r>
        <w:rPr>
          <w:rStyle w:val="FootnoteReference"/>
        </w:rPr>
        <w:footnoteRef/>
      </w:r>
      <w:r>
        <w:t xml:space="preserve"> </w:t>
      </w:r>
      <w:r>
        <w:tab/>
        <w:t>It was delivered on 23 March 2022.</w:t>
      </w:r>
    </w:p>
  </w:footnote>
  <w:footnote w:id="7">
    <w:p w14:paraId="43BF00A4" w14:textId="77777777" w:rsidR="005343D6" w:rsidRDefault="005343D6" w:rsidP="005343D6">
      <w:pPr>
        <w:pStyle w:val="FootnoteText"/>
      </w:pPr>
      <w:r>
        <w:rPr>
          <w:rStyle w:val="FootnoteReference"/>
        </w:rPr>
        <w:footnoteRef/>
      </w:r>
      <w:r>
        <w:t xml:space="preserve"> </w:t>
      </w:r>
      <w:r>
        <w:tab/>
        <w:t xml:space="preserve">See also </w:t>
      </w:r>
      <w:proofErr w:type="spellStart"/>
      <w:r w:rsidRPr="003B4C34">
        <w:rPr>
          <w:i/>
          <w:iCs/>
        </w:rPr>
        <w:t>Aymac</w:t>
      </w:r>
      <w:proofErr w:type="spellEnd"/>
      <w:r w:rsidRPr="003B4C34">
        <w:rPr>
          <w:i/>
          <w:iCs/>
        </w:rPr>
        <w:t xml:space="preserve"> CC and Another v </w:t>
      </w:r>
      <w:proofErr w:type="spellStart"/>
      <w:r w:rsidRPr="003B4C34">
        <w:rPr>
          <w:i/>
          <w:iCs/>
        </w:rPr>
        <w:t>Widgerow</w:t>
      </w:r>
      <w:proofErr w:type="spellEnd"/>
      <w:r>
        <w:t xml:space="preserve"> </w:t>
      </w:r>
      <w:r w:rsidRPr="009A5C7F">
        <w:t>2009 (6) SA 433 (W)</w:t>
      </w:r>
      <w:r>
        <w:t>.</w:t>
      </w:r>
    </w:p>
  </w:footnote>
  <w:footnote w:id="8">
    <w:p w14:paraId="2AFFDD71" w14:textId="77EEC557" w:rsidR="005343D6" w:rsidRDefault="005343D6">
      <w:pPr>
        <w:pStyle w:val="FootnoteText"/>
      </w:pPr>
      <w:r>
        <w:rPr>
          <w:rStyle w:val="FootnoteReference"/>
        </w:rPr>
        <w:footnoteRef/>
      </w:r>
      <w:r>
        <w:t xml:space="preserve"> </w:t>
      </w:r>
      <w:r>
        <w:tab/>
        <w:t xml:space="preserve">It was signed on 8 April 2022 and uploaded to </w:t>
      </w:r>
      <w:proofErr w:type="spellStart"/>
      <w:r>
        <w:t>Caselines</w:t>
      </w:r>
      <w:proofErr w:type="spellEnd"/>
      <w:r>
        <w:t xml:space="preserve"> on 14 April 2022.</w:t>
      </w:r>
    </w:p>
  </w:footnote>
  <w:footnote w:id="9">
    <w:p w14:paraId="272DBC8D" w14:textId="6F806865" w:rsidR="0035634B" w:rsidRPr="0035634B" w:rsidRDefault="0035634B">
      <w:pPr>
        <w:pStyle w:val="FootnoteText"/>
        <w:rPr>
          <w:rFonts w:cs="Arial"/>
          <w:color w:val="000000" w:themeColor="text1"/>
        </w:rPr>
      </w:pPr>
      <w:r>
        <w:rPr>
          <w:rStyle w:val="FootnoteReference"/>
        </w:rPr>
        <w:footnoteRef/>
      </w:r>
      <w:r>
        <w:t xml:space="preserve"> </w:t>
      </w:r>
      <w:r>
        <w:tab/>
        <w:t xml:space="preserve">It must be noted that diminution in value is not a requirement for an order compelling compliance with a town planning scheme. </w:t>
      </w:r>
      <w:proofErr w:type="gramStart"/>
      <w:r>
        <w:t>See</w:t>
      </w:r>
      <w:r w:rsidRPr="0035634B">
        <w:rPr>
          <w:rFonts w:cs="Arial"/>
          <w:color w:val="000000" w:themeColor="text1"/>
        </w:rPr>
        <w:t xml:space="preserve"> </w:t>
      </w:r>
      <w:r w:rsidRPr="0035634B">
        <w:rPr>
          <w:rFonts w:cs="Arial"/>
          <w:color w:val="000000" w:themeColor="text1"/>
          <w:shd w:val="clear" w:color="auto" w:fill="FFFFFF"/>
        </w:rPr>
        <w:t> </w:t>
      </w:r>
      <w:r w:rsidRPr="0035634B">
        <w:rPr>
          <w:rFonts w:cs="Arial"/>
          <w:i/>
          <w:iCs/>
          <w:color w:val="000000" w:themeColor="text1"/>
          <w:shd w:val="clear" w:color="auto" w:fill="FFFFFF"/>
        </w:rPr>
        <w:t>BEF</w:t>
      </w:r>
      <w:proofErr w:type="gramEnd"/>
      <w:r w:rsidRPr="0035634B">
        <w:rPr>
          <w:rFonts w:cs="Arial"/>
          <w:i/>
          <w:iCs/>
          <w:color w:val="000000" w:themeColor="text1"/>
          <w:shd w:val="clear" w:color="auto" w:fill="FFFFFF"/>
        </w:rPr>
        <w:t xml:space="preserve"> (Pty) Ltd v Cape Town Municipality and Others</w:t>
      </w:r>
      <w:r w:rsidRPr="0035634B">
        <w:rPr>
          <w:rFonts w:cs="Arial"/>
          <w:color w:val="000000" w:themeColor="text1"/>
          <w:shd w:val="clear" w:color="auto" w:fill="FFFFFF"/>
        </w:rPr>
        <w:t> </w:t>
      </w:r>
      <w:hyperlink r:id="rId2" w:history="1">
        <w:r w:rsidRPr="0035634B">
          <w:rPr>
            <w:rFonts w:cs="Arial"/>
            <w:color w:val="000000" w:themeColor="text1"/>
            <w:shd w:val="clear" w:color="auto" w:fill="FFFFFF"/>
          </w:rPr>
          <w:t>1983 (2) SA 387 (C)</w:t>
        </w:r>
      </w:hyperlink>
      <w:r>
        <w:rPr>
          <w:rFonts w:cs="Arial"/>
          <w:color w:val="000000" w:themeColor="text1"/>
        </w:rPr>
        <w:t xml:space="preserve"> 401B.</w:t>
      </w:r>
    </w:p>
  </w:footnote>
  <w:footnote w:id="10">
    <w:p w14:paraId="07B7AC87" w14:textId="4B19F744" w:rsidR="00E81A36" w:rsidRDefault="00E81A36">
      <w:pPr>
        <w:pStyle w:val="FootnoteText"/>
      </w:pPr>
      <w:r>
        <w:rPr>
          <w:rStyle w:val="FootnoteReference"/>
        </w:rPr>
        <w:footnoteRef/>
      </w:r>
      <w:r>
        <w:t xml:space="preserve"> </w:t>
      </w:r>
      <w:r>
        <w:tab/>
        <w:t>The 2021 Land Use Scheme superseded the Town Planning Scheme of 2014.</w:t>
      </w:r>
    </w:p>
  </w:footnote>
  <w:footnote w:id="11">
    <w:p w14:paraId="3C702B3A" w14:textId="77777777" w:rsidR="00D43644" w:rsidRDefault="00D43644" w:rsidP="00D43644">
      <w:pPr>
        <w:pStyle w:val="FootnoteText"/>
      </w:pPr>
      <w:r>
        <w:rPr>
          <w:rStyle w:val="FootnoteReference"/>
        </w:rPr>
        <w:footnoteRef/>
      </w:r>
      <w:r>
        <w:t xml:space="preserve"> </w:t>
      </w:r>
      <w:r>
        <w:tab/>
      </w:r>
      <w:r w:rsidRPr="00745EC9">
        <w:rPr>
          <w:i/>
          <w:iCs/>
          <w:color w:val="000000" w:themeColor="text1"/>
        </w:rPr>
        <w:t xml:space="preserve">The Administrator, </w:t>
      </w:r>
      <w:proofErr w:type="gramStart"/>
      <w:r w:rsidRPr="00745EC9">
        <w:rPr>
          <w:i/>
          <w:iCs/>
          <w:color w:val="000000" w:themeColor="text1"/>
        </w:rPr>
        <w:t>Transvaal</w:t>
      </w:r>
      <w:proofErr w:type="gramEnd"/>
      <w:r w:rsidRPr="00745EC9">
        <w:rPr>
          <w:i/>
          <w:iCs/>
          <w:color w:val="000000" w:themeColor="text1"/>
        </w:rPr>
        <w:t xml:space="preserve"> and The Firs Investments (Pty) Ltd v Johannesburg City Council</w:t>
      </w:r>
      <w:r w:rsidRPr="00745EC9">
        <w:rPr>
          <w:color w:val="000000" w:themeColor="text1"/>
        </w:rPr>
        <w:t> </w:t>
      </w:r>
      <w:hyperlink r:id="rId3" w:history="1">
        <w:r w:rsidRPr="00745EC9">
          <w:rPr>
            <w:rStyle w:val="Hyperlink"/>
            <w:color w:val="000000" w:themeColor="text1"/>
            <w:u w:val="none"/>
          </w:rPr>
          <w:t>1971 (1) SA 56 (A)</w:t>
        </w:r>
      </w:hyperlink>
      <w:r w:rsidRPr="00745EC9">
        <w:rPr>
          <w:color w:val="000000" w:themeColor="text1"/>
        </w:rPr>
        <w:t>  70D</w:t>
      </w:r>
    </w:p>
  </w:footnote>
  <w:footnote w:id="12">
    <w:p w14:paraId="79AE66BB" w14:textId="47E81CAF" w:rsidR="008B55CF" w:rsidRDefault="008B55CF">
      <w:pPr>
        <w:pStyle w:val="FootnoteText"/>
      </w:pPr>
      <w:r>
        <w:rPr>
          <w:rStyle w:val="FootnoteReference"/>
        </w:rPr>
        <w:footnoteRef/>
      </w:r>
      <w:r>
        <w:t xml:space="preserve"> </w:t>
      </w:r>
      <w:r>
        <w:tab/>
      </w:r>
      <w:proofErr w:type="spellStart"/>
      <w:r w:rsidRPr="00615552">
        <w:rPr>
          <w:i/>
          <w:iCs/>
          <w:color w:val="000000" w:themeColor="text1"/>
        </w:rPr>
        <w:t>Escherich</w:t>
      </w:r>
      <w:proofErr w:type="spellEnd"/>
      <w:r w:rsidRPr="00615552">
        <w:rPr>
          <w:i/>
          <w:iCs/>
          <w:color w:val="000000" w:themeColor="text1"/>
        </w:rPr>
        <w:t xml:space="preserve"> and Others v De Waal and Others</w:t>
      </w:r>
      <w:r w:rsidRPr="00615552">
        <w:rPr>
          <w:color w:val="000000" w:themeColor="text1"/>
        </w:rPr>
        <w:t> </w:t>
      </w:r>
      <w:hyperlink r:id="rId4" w:history="1">
        <w:r w:rsidRPr="00615552">
          <w:rPr>
            <w:rStyle w:val="Hyperlink"/>
            <w:color w:val="000000" w:themeColor="text1"/>
            <w:u w:val="none"/>
          </w:rPr>
          <w:t>2017 (6) SA 257 (WCC)</w:t>
        </w:r>
      </w:hyperlink>
    </w:p>
  </w:footnote>
  <w:footnote w:id="13">
    <w:p w14:paraId="3637348D" w14:textId="77777777" w:rsidR="00D43644" w:rsidRDefault="00D43644" w:rsidP="00D43644">
      <w:pPr>
        <w:pStyle w:val="FootnoteText"/>
      </w:pPr>
      <w:r>
        <w:rPr>
          <w:rStyle w:val="FootnoteReference"/>
        </w:rPr>
        <w:footnoteRef/>
      </w:r>
      <w:r>
        <w:t xml:space="preserve"> </w:t>
      </w:r>
      <w:r>
        <w:tab/>
      </w:r>
      <w:r w:rsidRPr="004F29FF">
        <w:rPr>
          <w:i/>
          <w:iCs/>
        </w:rPr>
        <w:t>Higher Mission School Trustees v Grahamstown Town Council</w:t>
      </w:r>
      <w:r>
        <w:t xml:space="preserve"> </w:t>
      </w:r>
      <w:r w:rsidRPr="004F29FF">
        <w:t>1924 EDL 354</w:t>
      </w:r>
      <w:r>
        <w:t>.</w:t>
      </w:r>
    </w:p>
  </w:footnote>
  <w:footnote w:id="14">
    <w:p w14:paraId="7EE7CEF3" w14:textId="77777777" w:rsidR="00D43644" w:rsidRPr="00EF6746" w:rsidRDefault="00D43644" w:rsidP="00D43644">
      <w:pPr>
        <w:pStyle w:val="FootnoteText"/>
        <w:rPr>
          <w:rFonts w:cs="Arial"/>
        </w:rPr>
      </w:pPr>
      <w:r>
        <w:rPr>
          <w:rStyle w:val="FootnoteReference"/>
        </w:rPr>
        <w:footnoteRef/>
      </w:r>
      <w:r>
        <w:t xml:space="preserve"> </w:t>
      </w:r>
      <w:r>
        <w:tab/>
      </w:r>
      <w:r w:rsidRPr="00EF6746">
        <w:rPr>
          <w:i/>
          <w:iCs/>
        </w:rPr>
        <w:t>Pike v Hamilton, Ross &amp; Co.</w:t>
      </w:r>
      <w:r>
        <w:t xml:space="preserve"> (1853-1856) 2 Searle 191</w:t>
      </w:r>
      <w:r>
        <w:rPr>
          <w:rFonts w:cs="Arial"/>
          <w:i/>
          <w:iCs/>
          <w:color w:val="000000"/>
          <w:shd w:val="clear" w:color="auto" w:fill="FFFFFF"/>
        </w:rPr>
        <w:t>.</w:t>
      </w:r>
    </w:p>
  </w:footnote>
  <w:footnote w:id="15">
    <w:p w14:paraId="1DFB364B" w14:textId="77777777" w:rsidR="00D43644" w:rsidRDefault="00D43644" w:rsidP="00D43644">
      <w:pPr>
        <w:pStyle w:val="FootnoteText"/>
      </w:pPr>
      <w:r>
        <w:rPr>
          <w:rStyle w:val="FootnoteReference"/>
        </w:rPr>
        <w:footnoteRef/>
      </w:r>
      <w:r>
        <w:t xml:space="preserve"> </w:t>
      </w:r>
      <w:r>
        <w:tab/>
      </w:r>
      <w:r w:rsidRPr="007C6E2F">
        <w:rPr>
          <w:i/>
          <w:iCs/>
        </w:rPr>
        <w:t>De Villiers v Kalson</w:t>
      </w:r>
      <w:r w:rsidRPr="006F5E45">
        <w:t> 1928 EDL 217</w:t>
      </w:r>
      <w:r>
        <w:t>.</w:t>
      </w:r>
    </w:p>
  </w:footnote>
  <w:footnote w:id="16">
    <w:p w14:paraId="7650CE9B" w14:textId="3349A926" w:rsidR="00D43644" w:rsidRDefault="00D43644" w:rsidP="00D43644">
      <w:pPr>
        <w:pStyle w:val="FootnoteText"/>
      </w:pPr>
      <w:r>
        <w:rPr>
          <w:rStyle w:val="FootnoteReference"/>
        </w:rPr>
        <w:footnoteRef/>
      </w:r>
      <w:r>
        <w:t xml:space="preserve"> </w:t>
      </w:r>
      <w:r>
        <w:tab/>
      </w:r>
      <w:r w:rsidRPr="006C3570">
        <w:rPr>
          <w:i/>
          <w:iCs/>
        </w:rPr>
        <w:t xml:space="preserve">Lester v </w:t>
      </w:r>
      <w:proofErr w:type="spellStart"/>
      <w:r w:rsidRPr="006C3570">
        <w:rPr>
          <w:i/>
          <w:iCs/>
        </w:rPr>
        <w:t>Ndlambe</w:t>
      </w:r>
      <w:proofErr w:type="spellEnd"/>
      <w:r w:rsidRPr="006C3570">
        <w:rPr>
          <w:i/>
          <w:iCs/>
        </w:rPr>
        <w:t xml:space="preserve"> Municipality and Another</w:t>
      </w:r>
      <w:r>
        <w:t xml:space="preserve"> </w:t>
      </w:r>
      <w:r w:rsidRPr="00485256">
        <w:t>2015 (6) SA 283 (SCA)</w:t>
      </w:r>
      <w:r>
        <w:t xml:space="preserve"> para 20.</w:t>
      </w:r>
    </w:p>
  </w:footnote>
  <w:footnote w:id="17">
    <w:p w14:paraId="05F947AD" w14:textId="58785D65" w:rsidR="006C3570" w:rsidRDefault="006C3570">
      <w:pPr>
        <w:pStyle w:val="FootnoteText"/>
      </w:pPr>
      <w:r>
        <w:rPr>
          <w:rStyle w:val="FootnoteReference"/>
        </w:rPr>
        <w:footnoteRef/>
      </w:r>
      <w:r>
        <w:t xml:space="preserve"> </w:t>
      </w:r>
      <w:r>
        <w:tab/>
      </w:r>
      <w:r w:rsidR="002B5FEB" w:rsidRPr="006C3570">
        <w:rPr>
          <w:i/>
          <w:iCs/>
        </w:rPr>
        <w:t xml:space="preserve">Lester v </w:t>
      </w:r>
      <w:proofErr w:type="spellStart"/>
      <w:r w:rsidR="002B5FEB" w:rsidRPr="006C3570">
        <w:rPr>
          <w:i/>
          <w:iCs/>
        </w:rPr>
        <w:t>Ndlambe</w:t>
      </w:r>
      <w:proofErr w:type="spellEnd"/>
      <w:r w:rsidR="002B5FEB" w:rsidRPr="006C3570">
        <w:rPr>
          <w:i/>
          <w:iCs/>
        </w:rPr>
        <w:t xml:space="preserve"> Municipality and Another</w:t>
      </w:r>
      <w:r w:rsidR="002B5FEB">
        <w:t xml:space="preserve"> </w:t>
      </w:r>
      <w:r w:rsidR="002B5FEB" w:rsidRPr="00485256">
        <w:t>2015 (6) SA 283 (SCA)</w:t>
      </w:r>
      <w:r w:rsidR="002B5FEB">
        <w:t>.</w:t>
      </w:r>
    </w:p>
  </w:footnote>
  <w:footnote w:id="18">
    <w:p w14:paraId="65E18990" w14:textId="625F99B8" w:rsidR="00094BDD" w:rsidRPr="00094BDD" w:rsidRDefault="00094BDD">
      <w:pPr>
        <w:pStyle w:val="FootnoteText"/>
        <w:rPr>
          <w:rFonts w:cs="Arial"/>
        </w:rPr>
      </w:pPr>
      <w:r>
        <w:rPr>
          <w:rStyle w:val="FootnoteReference"/>
        </w:rPr>
        <w:footnoteRef/>
      </w:r>
      <w:r>
        <w:t xml:space="preserve"> </w:t>
      </w:r>
      <w:r>
        <w:tab/>
      </w:r>
      <w:proofErr w:type="spellStart"/>
      <w:r>
        <w:t>Majiedt</w:t>
      </w:r>
      <w:proofErr w:type="spellEnd"/>
      <w:r>
        <w:t xml:space="preserve"> JA rejected the conclusions </w:t>
      </w:r>
      <w:r w:rsidRPr="00094BDD">
        <w:rPr>
          <w:rFonts w:cs="Arial"/>
        </w:rPr>
        <w:t xml:space="preserve">reached by the court </w:t>
      </w:r>
      <w:r w:rsidRPr="00094BDD">
        <w:rPr>
          <w:rFonts w:cs="Arial"/>
          <w:i/>
          <w:iCs/>
        </w:rPr>
        <w:t>a quo</w:t>
      </w:r>
      <w:r w:rsidRPr="00094BDD">
        <w:rPr>
          <w:rFonts w:cs="Arial"/>
        </w:rPr>
        <w:t xml:space="preserve"> that neighbour-law principles are applicable in this case and secondly that a court has a discretion in all demolitions sought under the Act.</w:t>
      </w:r>
    </w:p>
  </w:footnote>
  <w:footnote w:id="19">
    <w:p w14:paraId="68328AED" w14:textId="456BB7FB" w:rsidR="000B4B3F" w:rsidRDefault="000B4B3F">
      <w:pPr>
        <w:pStyle w:val="FootnoteText"/>
      </w:pPr>
      <w:r>
        <w:rPr>
          <w:rStyle w:val="FootnoteReference"/>
        </w:rPr>
        <w:footnoteRef/>
      </w:r>
      <w:r>
        <w:t xml:space="preserve"> </w:t>
      </w:r>
      <w:r>
        <w:tab/>
        <w:t xml:space="preserve">Para </w:t>
      </w:r>
      <w:r w:rsidR="00094BDD">
        <w:t>22.</w:t>
      </w:r>
      <w:r w:rsidR="00DF24EF">
        <w:t xml:space="preserve"> See also </w:t>
      </w:r>
      <w:r w:rsidR="00DF24EF" w:rsidRPr="001F08AB">
        <w:rPr>
          <w:i/>
          <w:iCs/>
        </w:rPr>
        <w:t xml:space="preserve">Standard Bank of South Africa Ltd v </w:t>
      </w:r>
      <w:proofErr w:type="spellStart"/>
      <w:r w:rsidR="00DF24EF" w:rsidRPr="001F08AB">
        <w:rPr>
          <w:i/>
          <w:iCs/>
        </w:rPr>
        <w:t>Swartland</w:t>
      </w:r>
      <w:proofErr w:type="spellEnd"/>
      <w:r w:rsidR="00DF24EF" w:rsidRPr="001F08AB">
        <w:rPr>
          <w:i/>
          <w:iCs/>
        </w:rPr>
        <w:t xml:space="preserve"> Municipality and Others</w:t>
      </w:r>
      <w:r w:rsidR="00DF24EF">
        <w:t xml:space="preserve"> </w:t>
      </w:r>
      <w:r w:rsidR="00DF24EF" w:rsidRPr="004E54AC">
        <w:t>2011 (5) SA 257 (SCA)</w:t>
      </w:r>
      <w:r w:rsidR="00DF24EF">
        <w:t>.</w:t>
      </w:r>
    </w:p>
  </w:footnote>
  <w:footnote w:id="20">
    <w:p w14:paraId="74F9D176" w14:textId="7B205479" w:rsidR="004345F0" w:rsidRDefault="004345F0" w:rsidP="004345F0">
      <w:pPr>
        <w:pStyle w:val="FootnoteText"/>
      </w:pPr>
      <w:r>
        <w:rPr>
          <w:rStyle w:val="FootnoteReference"/>
        </w:rPr>
        <w:footnoteRef/>
      </w:r>
      <w:r>
        <w:t xml:space="preserve"> </w:t>
      </w:r>
      <w:r>
        <w:tab/>
      </w:r>
      <w:r w:rsidRPr="00BA66AF">
        <w:rPr>
          <w:i/>
          <w:iCs/>
        </w:rPr>
        <w:t xml:space="preserve">BSB International Link CC v </w:t>
      </w:r>
      <w:proofErr w:type="spellStart"/>
      <w:r w:rsidRPr="00BA66AF">
        <w:rPr>
          <w:i/>
          <w:iCs/>
        </w:rPr>
        <w:t>Readam</w:t>
      </w:r>
      <w:proofErr w:type="spellEnd"/>
      <w:r w:rsidRPr="00BA66AF">
        <w:rPr>
          <w:i/>
          <w:iCs/>
        </w:rPr>
        <w:t xml:space="preserve"> South Africa (Pty) Ltd and Another</w:t>
      </w:r>
      <w:r>
        <w:t xml:space="preserve"> </w:t>
      </w:r>
      <w:r w:rsidRPr="00BA66AF">
        <w:t>2016 (4) SA 83 (SCA)</w:t>
      </w:r>
      <w:r>
        <w:t xml:space="preserve"> para 23.</w:t>
      </w:r>
    </w:p>
  </w:footnote>
  <w:footnote w:id="21">
    <w:p w14:paraId="37A8FC02" w14:textId="234A5D4B" w:rsidR="00054C8C" w:rsidRDefault="00054C8C" w:rsidP="00054C8C">
      <w:pPr>
        <w:pStyle w:val="FootnoteText"/>
      </w:pPr>
      <w:r>
        <w:rPr>
          <w:rStyle w:val="FootnoteReference"/>
        </w:rPr>
        <w:footnoteRef/>
      </w:r>
      <w:r>
        <w:t xml:space="preserve"> </w:t>
      </w:r>
      <w:r>
        <w:tab/>
      </w:r>
      <w:r w:rsidRPr="00644F6C">
        <w:rPr>
          <w:rFonts w:cs="Arial"/>
          <w:i/>
          <w:iCs/>
          <w:szCs w:val="22"/>
        </w:rPr>
        <w:t>Lester</w:t>
      </w:r>
      <w:r w:rsidRPr="00644F6C">
        <w:rPr>
          <w:rFonts w:cs="Arial"/>
          <w:szCs w:val="22"/>
        </w:rPr>
        <w:t xml:space="preserve"> is also perhaps not the last word </w:t>
      </w:r>
      <w:proofErr w:type="gramStart"/>
      <w:r w:rsidRPr="00644F6C">
        <w:rPr>
          <w:rFonts w:cs="Arial"/>
          <w:szCs w:val="22"/>
        </w:rPr>
        <w:t>on the subject of demolitions</w:t>
      </w:r>
      <w:proofErr w:type="gramEnd"/>
      <w:r w:rsidRPr="00644F6C">
        <w:rPr>
          <w:rFonts w:cs="Arial"/>
          <w:szCs w:val="22"/>
        </w:rPr>
        <w:t xml:space="preserve"> under section 21: In </w:t>
      </w:r>
      <w:r w:rsidRPr="00644F6C">
        <w:rPr>
          <w:i/>
          <w:iCs/>
        </w:rPr>
        <w:t xml:space="preserve">BSB International Link CC v </w:t>
      </w:r>
      <w:proofErr w:type="spellStart"/>
      <w:r w:rsidRPr="00644F6C">
        <w:rPr>
          <w:i/>
          <w:iCs/>
        </w:rPr>
        <w:t>Readam</w:t>
      </w:r>
      <w:proofErr w:type="spellEnd"/>
      <w:r w:rsidRPr="00644F6C">
        <w:rPr>
          <w:i/>
          <w:iCs/>
        </w:rPr>
        <w:t xml:space="preserve"> South Africa (Pty) Ltd and Another</w:t>
      </w:r>
      <w:r>
        <w:rPr>
          <w:i/>
          <w:iCs/>
        </w:rPr>
        <w:t xml:space="preserve"> </w:t>
      </w:r>
      <w:r w:rsidRPr="00BA66AF">
        <w:t>2016 (4) SA 83 (SCA)</w:t>
      </w:r>
      <w:r>
        <w:t xml:space="preserve"> paras 27 and 28 doubt was cast, albeit </w:t>
      </w:r>
      <w:r w:rsidRPr="00847C93">
        <w:rPr>
          <w:i/>
          <w:iCs/>
        </w:rPr>
        <w:t>obiter</w:t>
      </w:r>
      <w:r>
        <w:t xml:space="preserve">, on the interpretation of section 21 in the </w:t>
      </w:r>
      <w:r w:rsidRPr="00644F6C">
        <w:rPr>
          <w:i/>
          <w:iCs/>
        </w:rPr>
        <w:t>Lester</w:t>
      </w:r>
      <w:r>
        <w:t xml:space="preserve"> decision a year earlier.</w:t>
      </w:r>
    </w:p>
  </w:footnote>
  <w:footnote w:id="22">
    <w:p w14:paraId="655BD84F" w14:textId="5ECDE6D3" w:rsidR="004B74F1" w:rsidRDefault="004B74F1">
      <w:pPr>
        <w:pStyle w:val="FootnoteText"/>
      </w:pPr>
      <w:r>
        <w:rPr>
          <w:rStyle w:val="FootnoteReference"/>
        </w:rPr>
        <w:footnoteRef/>
      </w:r>
      <w:r>
        <w:t xml:space="preserve"> </w:t>
      </w:r>
      <w:r>
        <w:tab/>
        <w:t>Paras 25, 26 and 29.</w:t>
      </w:r>
    </w:p>
  </w:footnote>
  <w:footnote w:id="23">
    <w:p w14:paraId="6863398F" w14:textId="7BBF407C" w:rsidR="00046D72" w:rsidRDefault="00046D72">
      <w:pPr>
        <w:pStyle w:val="FootnoteText"/>
      </w:pPr>
      <w:r>
        <w:rPr>
          <w:rStyle w:val="FootnoteReference"/>
        </w:rPr>
        <w:footnoteRef/>
      </w:r>
      <w:r>
        <w:t xml:space="preserve"> </w:t>
      </w:r>
      <w:r>
        <w:tab/>
        <w:t>Para 2.</w:t>
      </w:r>
    </w:p>
  </w:footnote>
  <w:footnote w:id="24">
    <w:p w14:paraId="3B90FDBF" w14:textId="317496FF" w:rsidR="005B7427" w:rsidRDefault="005B7427" w:rsidP="005B7427">
      <w:pPr>
        <w:pStyle w:val="FootnoteText"/>
      </w:pPr>
      <w:r>
        <w:rPr>
          <w:rStyle w:val="FootnoteReference"/>
        </w:rPr>
        <w:footnoteRef/>
      </w:r>
      <w:r>
        <w:t xml:space="preserve"> </w:t>
      </w:r>
      <w:r>
        <w:tab/>
        <w:t>See para 46 of the judgment.</w:t>
      </w:r>
    </w:p>
  </w:footnote>
  <w:footnote w:id="25">
    <w:p w14:paraId="1776928B" w14:textId="5ACCA5F0" w:rsidR="000F2527" w:rsidRDefault="000F2527" w:rsidP="000F2527">
      <w:pPr>
        <w:pStyle w:val="FootnoteText"/>
      </w:pPr>
      <w:r>
        <w:rPr>
          <w:rStyle w:val="FootnoteReference"/>
        </w:rPr>
        <w:footnoteRef/>
      </w:r>
      <w:r>
        <w:t xml:space="preserve"> </w:t>
      </w:r>
      <w:r>
        <w:tab/>
        <w:t>See para 21 of the judgment.</w:t>
      </w:r>
    </w:p>
  </w:footnote>
  <w:footnote w:id="26">
    <w:p w14:paraId="13B04860" w14:textId="6AFD6543" w:rsidR="005B7427" w:rsidRDefault="005B7427">
      <w:pPr>
        <w:pStyle w:val="FootnoteText"/>
      </w:pPr>
      <w:r>
        <w:rPr>
          <w:rStyle w:val="FootnoteReference"/>
        </w:rPr>
        <w:footnoteRef/>
      </w:r>
      <w:r>
        <w:t xml:space="preserve"> </w:t>
      </w:r>
      <w:r>
        <w:tab/>
        <w:t>See paras 39 and 46 of the judgment.</w:t>
      </w:r>
    </w:p>
  </w:footnote>
  <w:footnote w:id="27">
    <w:p w14:paraId="2F48F76D" w14:textId="77777777" w:rsidR="008B55CF" w:rsidRDefault="008B55CF" w:rsidP="008B55CF">
      <w:pPr>
        <w:pStyle w:val="FootnoteText"/>
      </w:pPr>
      <w:r>
        <w:rPr>
          <w:rStyle w:val="FootnoteReference"/>
        </w:rPr>
        <w:footnoteRef/>
      </w:r>
      <w:r>
        <w:t xml:space="preserve"> </w:t>
      </w:r>
      <w:r>
        <w:tab/>
      </w:r>
      <w:r w:rsidRPr="001C7475">
        <w:rPr>
          <w:i/>
          <w:iCs/>
        </w:rPr>
        <w:t>United Technical Equipment Co (Pty) Ltd v Johannesburg City Council</w:t>
      </w:r>
      <w:r>
        <w:t xml:space="preserve"> </w:t>
      </w:r>
      <w:r w:rsidRPr="00615552">
        <w:t>1987 (4) SA 343 (T)</w:t>
      </w:r>
      <w:r>
        <w:t xml:space="preserve"> 348 I-J.</w:t>
      </w:r>
    </w:p>
  </w:footnote>
  <w:footnote w:id="28">
    <w:p w14:paraId="7B452ADD" w14:textId="50EC063F" w:rsidR="005B7427" w:rsidRDefault="005B7427">
      <w:pPr>
        <w:pStyle w:val="FootnoteText"/>
      </w:pPr>
      <w:r>
        <w:rPr>
          <w:rStyle w:val="FootnoteReference"/>
        </w:rPr>
        <w:footnoteRef/>
      </w:r>
      <w:r>
        <w:t xml:space="preserve"> </w:t>
      </w:r>
      <w:r>
        <w:tab/>
        <w:t>See para</w:t>
      </w:r>
      <w:r w:rsidR="000F2527">
        <w:t>s</w:t>
      </w:r>
      <w:r>
        <w:t xml:space="preserve"> </w:t>
      </w:r>
      <w:r w:rsidR="000F2527">
        <w:t xml:space="preserve">28 and </w:t>
      </w:r>
      <w:r>
        <w:t>47 of the judgment.</w:t>
      </w:r>
    </w:p>
  </w:footnote>
  <w:footnote w:id="29">
    <w:p w14:paraId="5A8447AE" w14:textId="77777777" w:rsidR="00056BEC" w:rsidRDefault="00056BEC" w:rsidP="00056BEC">
      <w:pPr>
        <w:pStyle w:val="FootnoteText"/>
      </w:pPr>
      <w:r>
        <w:rPr>
          <w:rStyle w:val="FootnoteReference"/>
        </w:rPr>
        <w:footnoteRef/>
      </w:r>
      <w:r>
        <w:t xml:space="preserve"> </w:t>
      </w:r>
      <w:r>
        <w:tab/>
        <w:t>S 5 of the Act.</w:t>
      </w:r>
    </w:p>
  </w:footnote>
  <w:footnote w:id="30">
    <w:p w14:paraId="1FBEBC79" w14:textId="77777777" w:rsidR="00056BEC" w:rsidRDefault="00056BEC" w:rsidP="00056BEC">
      <w:pPr>
        <w:pStyle w:val="FootnoteText"/>
      </w:pPr>
      <w:r>
        <w:rPr>
          <w:rStyle w:val="FootnoteReference"/>
        </w:rPr>
        <w:footnoteRef/>
      </w:r>
      <w:r>
        <w:t xml:space="preserve"> </w:t>
      </w:r>
      <w:r>
        <w:tab/>
        <w:t>S 6(1)(c) of the Act.</w:t>
      </w:r>
    </w:p>
  </w:footnote>
  <w:footnote w:id="31">
    <w:p w14:paraId="70945788" w14:textId="67312773" w:rsidR="00AE56EC" w:rsidRDefault="00AE56EC">
      <w:pPr>
        <w:pStyle w:val="FootnoteText"/>
      </w:pPr>
      <w:r>
        <w:rPr>
          <w:rStyle w:val="FootnoteReference"/>
        </w:rPr>
        <w:footnoteRef/>
      </w:r>
      <w:r>
        <w:t xml:space="preserve"> </w:t>
      </w:r>
      <w:r>
        <w:tab/>
      </w:r>
      <w:proofErr w:type="spellStart"/>
      <w:r w:rsidRPr="00AE56EC">
        <w:rPr>
          <w:i/>
          <w:iCs/>
        </w:rPr>
        <w:t>Hotz</w:t>
      </w:r>
      <w:proofErr w:type="spellEnd"/>
      <w:r w:rsidRPr="00AE56EC">
        <w:rPr>
          <w:i/>
          <w:iCs/>
        </w:rPr>
        <w:t xml:space="preserve"> and Others v University of Cape Town</w:t>
      </w:r>
      <w:r w:rsidRPr="00254B60">
        <w:t xml:space="preserve"> 2018 (1) SA 369 (CC)</w:t>
      </w:r>
      <w:r>
        <w:t xml:space="preserve"> para 25.</w:t>
      </w:r>
    </w:p>
  </w:footnote>
  <w:footnote w:id="32">
    <w:p w14:paraId="67BD296C" w14:textId="31934204" w:rsidR="001E3D41" w:rsidRDefault="001E3D41">
      <w:pPr>
        <w:pStyle w:val="FootnoteText"/>
      </w:pPr>
      <w:r>
        <w:rPr>
          <w:rStyle w:val="FootnoteReference"/>
        </w:rPr>
        <w:footnoteRef/>
      </w:r>
      <w:r>
        <w:t xml:space="preserve"> </w:t>
      </w:r>
      <w:r>
        <w:tab/>
      </w:r>
      <w:r w:rsidRPr="001E3D41">
        <w:rPr>
          <w:i/>
          <w:iCs/>
        </w:rPr>
        <w:t>Naylor and Another v Jansen</w:t>
      </w:r>
      <w:r w:rsidRPr="002F7FFE">
        <w:t xml:space="preserve"> 2007 (1) SA 16 (SCA)</w:t>
      </w:r>
      <w:r>
        <w:t xml:space="preserve">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43186BDD"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24942">
      <w:rPr>
        <w:rFonts w:cs="Arial"/>
        <w:noProof/>
        <w:sz w:val="20"/>
        <w:szCs w:val="20"/>
        <w:lang w:val="en-GB"/>
      </w:rPr>
      <w:t>15</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35B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237AF0"/>
    <w:multiLevelType w:val="hybridMultilevel"/>
    <w:tmpl w:val="538C9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15:restartNumberingAfterBreak="0">
    <w:nsid w:val="4448496D"/>
    <w:multiLevelType w:val="hybridMultilevel"/>
    <w:tmpl w:val="3CA263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A6250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4445864">
    <w:abstractNumId w:val="5"/>
  </w:num>
  <w:num w:numId="2" w16cid:durableId="1793086775">
    <w:abstractNumId w:val="1"/>
  </w:num>
  <w:num w:numId="3" w16cid:durableId="834999303">
    <w:abstractNumId w:val="12"/>
  </w:num>
  <w:num w:numId="4" w16cid:durableId="1769305594">
    <w:abstractNumId w:val="6"/>
  </w:num>
  <w:num w:numId="5" w16cid:durableId="1238244474">
    <w:abstractNumId w:val="11"/>
  </w:num>
  <w:num w:numId="6" w16cid:durableId="1962370538">
    <w:abstractNumId w:val="10"/>
  </w:num>
  <w:num w:numId="7" w16cid:durableId="998575344">
    <w:abstractNumId w:val="0"/>
  </w:num>
  <w:num w:numId="8" w16cid:durableId="151107023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8966649">
    <w:abstractNumId w:val="8"/>
  </w:num>
  <w:num w:numId="10" w16cid:durableId="128013454">
    <w:abstractNumId w:val="2"/>
  </w:num>
  <w:num w:numId="11" w16cid:durableId="1087112589">
    <w:abstractNumId w:val="9"/>
  </w:num>
  <w:num w:numId="12" w16cid:durableId="905846667">
    <w:abstractNumId w:val="3"/>
  </w:num>
  <w:num w:numId="13" w16cid:durableId="860317374">
    <w:abstractNumId w:val="13"/>
  </w:num>
  <w:num w:numId="14" w16cid:durableId="322583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1C65"/>
    <w:rsid w:val="0000363D"/>
    <w:rsid w:val="00006113"/>
    <w:rsid w:val="0001111B"/>
    <w:rsid w:val="0001140A"/>
    <w:rsid w:val="00011522"/>
    <w:rsid w:val="00011570"/>
    <w:rsid w:val="00012021"/>
    <w:rsid w:val="00013B7F"/>
    <w:rsid w:val="00015D74"/>
    <w:rsid w:val="000179FE"/>
    <w:rsid w:val="00024A29"/>
    <w:rsid w:val="00024F51"/>
    <w:rsid w:val="000262B3"/>
    <w:rsid w:val="000325E2"/>
    <w:rsid w:val="000369B7"/>
    <w:rsid w:val="00041975"/>
    <w:rsid w:val="00046D72"/>
    <w:rsid w:val="00047F26"/>
    <w:rsid w:val="00050086"/>
    <w:rsid w:val="000504F1"/>
    <w:rsid w:val="00053A32"/>
    <w:rsid w:val="000548F7"/>
    <w:rsid w:val="00054C8C"/>
    <w:rsid w:val="00056BEC"/>
    <w:rsid w:val="00057775"/>
    <w:rsid w:val="00057B83"/>
    <w:rsid w:val="00063F7B"/>
    <w:rsid w:val="0006504D"/>
    <w:rsid w:val="00066DEF"/>
    <w:rsid w:val="000737E1"/>
    <w:rsid w:val="00073E30"/>
    <w:rsid w:val="00075DBB"/>
    <w:rsid w:val="000773B9"/>
    <w:rsid w:val="000833BB"/>
    <w:rsid w:val="0009488C"/>
    <w:rsid w:val="00094BDD"/>
    <w:rsid w:val="00096067"/>
    <w:rsid w:val="00096EAD"/>
    <w:rsid w:val="00097968"/>
    <w:rsid w:val="00097CC2"/>
    <w:rsid w:val="000A516D"/>
    <w:rsid w:val="000A6AD8"/>
    <w:rsid w:val="000B21DA"/>
    <w:rsid w:val="000B4B3F"/>
    <w:rsid w:val="000D5760"/>
    <w:rsid w:val="000D7C9A"/>
    <w:rsid w:val="000D7D6A"/>
    <w:rsid w:val="000E5343"/>
    <w:rsid w:val="000E5BD9"/>
    <w:rsid w:val="000F2527"/>
    <w:rsid w:val="000F4B51"/>
    <w:rsid w:val="000F59F8"/>
    <w:rsid w:val="00104142"/>
    <w:rsid w:val="001059DB"/>
    <w:rsid w:val="001130FD"/>
    <w:rsid w:val="00113B92"/>
    <w:rsid w:val="001142D1"/>
    <w:rsid w:val="00114773"/>
    <w:rsid w:val="00114FD8"/>
    <w:rsid w:val="00120FB1"/>
    <w:rsid w:val="00121C3B"/>
    <w:rsid w:val="00130253"/>
    <w:rsid w:val="001330E0"/>
    <w:rsid w:val="00133E81"/>
    <w:rsid w:val="00140CED"/>
    <w:rsid w:val="00142746"/>
    <w:rsid w:val="001474B8"/>
    <w:rsid w:val="00147FF5"/>
    <w:rsid w:val="00152899"/>
    <w:rsid w:val="00155A21"/>
    <w:rsid w:val="00161829"/>
    <w:rsid w:val="00163904"/>
    <w:rsid w:val="001671C1"/>
    <w:rsid w:val="00172628"/>
    <w:rsid w:val="001809D0"/>
    <w:rsid w:val="00185ACF"/>
    <w:rsid w:val="00190579"/>
    <w:rsid w:val="00193C1D"/>
    <w:rsid w:val="00196E14"/>
    <w:rsid w:val="001A0926"/>
    <w:rsid w:val="001A522A"/>
    <w:rsid w:val="001B1D39"/>
    <w:rsid w:val="001B2A05"/>
    <w:rsid w:val="001B3EF2"/>
    <w:rsid w:val="001B4217"/>
    <w:rsid w:val="001B4713"/>
    <w:rsid w:val="001B5D3E"/>
    <w:rsid w:val="001B606B"/>
    <w:rsid w:val="001C2935"/>
    <w:rsid w:val="001C5F77"/>
    <w:rsid w:val="001C7475"/>
    <w:rsid w:val="001D3CC2"/>
    <w:rsid w:val="001D468C"/>
    <w:rsid w:val="001E2EED"/>
    <w:rsid w:val="001E3D41"/>
    <w:rsid w:val="001F08AB"/>
    <w:rsid w:val="001F0A29"/>
    <w:rsid w:val="001F0E46"/>
    <w:rsid w:val="001F1C0B"/>
    <w:rsid w:val="001F3DBD"/>
    <w:rsid w:val="001F648A"/>
    <w:rsid w:val="001F653E"/>
    <w:rsid w:val="001F6AED"/>
    <w:rsid w:val="001F72D5"/>
    <w:rsid w:val="00201620"/>
    <w:rsid w:val="00205392"/>
    <w:rsid w:val="002104BF"/>
    <w:rsid w:val="002120E9"/>
    <w:rsid w:val="00215824"/>
    <w:rsid w:val="00215862"/>
    <w:rsid w:val="00216BC8"/>
    <w:rsid w:val="0022218D"/>
    <w:rsid w:val="00224216"/>
    <w:rsid w:val="00224942"/>
    <w:rsid w:val="00226926"/>
    <w:rsid w:val="00232528"/>
    <w:rsid w:val="00237FF9"/>
    <w:rsid w:val="00244F23"/>
    <w:rsid w:val="002503D9"/>
    <w:rsid w:val="00253F38"/>
    <w:rsid w:val="00262819"/>
    <w:rsid w:val="00272AB0"/>
    <w:rsid w:val="00280459"/>
    <w:rsid w:val="002811B1"/>
    <w:rsid w:val="00281EB7"/>
    <w:rsid w:val="00285040"/>
    <w:rsid w:val="00285062"/>
    <w:rsid w:val="00285D08"/>
    <w:rsid w:val="0029327C"/>
    <w:rsid w:val="002A030C"/>
    <w:rsid w:val="002B23F7"/>
    <w:rsid w:val="002B4BB2"/>
    <w:rsid w:val="002B5755"/>
    <w:rsid w:val="002B5FEB"/>
    <w:rsid w:val="002C15AC"/>
    <w:rsid w:val="002C3045"/>
    <w:rsid w:val="002C39B3"/>
    <w:rsid w:val="002C4687"/>
    <w:rsid w:val="002C7670"/>
    <w:rsid w:val="002D23B9"/>
    <w:rsid w:val="002D3329"/>
    <w:rsid w:val="002D418D"/>
    <w:rsid w:val="002D47B3"/>
    <w:rsid w:val="002E5B57"/>
    <w:rsid w:val="002E6827"/>
    <w:rsid w:val="002E6CD7"/>
    <w:rsid w:val="002E7297"/>
    <w:rsid w:val="002E753F"/>
    <w:rsid w:val="002F1C4D"/>
    <w:rsid w:val="002F72D3"/>
    <w:rsid w:val="00300408"/>
    <w:rsid w:val="00302290"/>
    <w:rsid w:val="00302C31"/>
    <w:rsid w:val="003047C2"/>
    <w:rsid w:val="0030653F"/>
    <w:rsid w:val="00306697"/>
    <w:rsid w:val="003102C8"/>
    <w:rsid w:val="003108A1"/>
    <w:rsid w:val="0031117B"/>
    <w:rsid w:val="00311FBE"/>
    <w:rsid w:val="00312EBC"/>
    <w:rsid w:val="00313056"/>
    <w:rsid w:val="00313301"/>
    <w:rsid w:val="00315155"/>
    <w:rsid w:val="00317716"/>
    <w:rsid w:val="00317F52"/>
    <w:rsid w:val="0033385A"/>
    <w:rsid w:val="00337135"/>
    <w:rsid w:val="0034147B"/>
    <w:rsid w:val="00342E02"/>
    <w:rsid w:val="003463D6"/>
    <w:rsid w:val="00346D31"/>
    <w:rsid w:val="00346DE6"/>
    <w:rsid w:val="00352C31"/>
    <w:rsid w:val="003543C5"/>
    <w:rsid w:val="00354EF2"/>
    <w:rsid w:val="0035634B"/>
    <w:rsid w:val="00357081"/>
    <w:rsid w:val="00357D35"/>
    <w:rsid w:val="00361354"/>
    <w:rsid w:val="00363FCD"/>
    <w:rsid w:val="0036436B"/>
    <w:rsid w:val="00364C43"/>
    <w:rsid w:val="00367720"/>
    <w:rsid w:val="0037029D"/>
    <w:rsid w:val="00373181"/>
    <w:rsid w:val="00381213"/>
    <w:rsid w:val="003840EC"/>
    <w:rsid w:val="00386640"/>
    <w:rsid w:val="00390046"/>
    <w:rsid w:val="00390C3F"/>
    <w:rsid w:val="00393127"/>
    <w:rsid w:val="003A09D9"/>
    <w:rsid w:val="003A2D93"/>
    <w:rsid w:val="003A5077"/>
    <w:rsid w:val="003A7864"/>
    <w:rsid w:val="003B4100"/>
    <w:rsid w:val="003B4C34"/>
    <w:rsid w:val="003C1A16"/>
    <w:rsid w:val="003C1E91"/>
    <w:rsid w:val="003C6204"/>
    <w:rsid w:val="003C79F4"/>
    <w:rsid w:val="003D0892"/>
    <w:rsid w:val="003D19C3"/>
    <w:rsid w:val="003D36F9"/>
    <w:rsid w:val="003D77F1"/>
    <w:rsid w:val="003E0A89"/>
    <w:rsid w:val="003E26B9"/>
    <w:rsid w:val="003F1F49"/>
    <w:rsid w:val="003F3EE4"/>
    <w:rsid w:val="003F56A9"/>
    <w:rsid w:val="003F7448"/>
    <w:rsid w:val="00407F28"/>
    <w:rsid w:val="0041100A"/>
    <w:rsid w:val="004131C5"/>
    <w:rsid w:val="00416FFE"/>
    <w:rsid w:val="0042423E"/>
    <w:rsid w:val="004339E6"/>
    <w:rsid w:val="004345F0"/>
    <w:rsid w:val="00436135"/>
    <w:rsid w:val="0043683A"/>
    <w:rsid w:val="004372A9"/>
    <w:rsid w:val="00440564"/>
    <w:rsid w:val="00441422"/>
    <w:rsid w:val="00445DCB"/>
    <w:rsid w:val="0045044C"/>
    <w:rsid w:val="00455750"/>
    <w:rsid w:val="00460495"/>
    <w:rsid w:val="00462127"/>
    <w:rsid w:val="004630B6"/>
    <w:rsid w:val="00466D3E"/>
    <w:rsid w:val="00466F2C"/>
    <w:rsid w:val="00474607"/>
    <w:rsid w:val="00474910"/>
    <w:rsid w:val="004749AF"/>
    <w:rsid w:val="00474C9E"/>
    <w:rsid w:val="00475410"/>
    <w:rsid w:val="004802AA"/>
    <w:rsid w:val="00484116"/>
    <w:rsid w:val="0048424E"/>
    <w:rsid w:val="00486F42"/>
    <w:rsid w:val="00487D14"/>
    <w:rsid w:val="00490D65"/>
    <w:rsid w:val="00492C65"/>
    <w:rsid w:val="004930DB"/>
    <w:rsid w:val="004A2C7E"/>
    <w:rsid w:val="004A3A3A"/>
    <w:rsid w:val="004A4661"/>
    <w:rsid w:val="004A6625"/>
    <w:rsid w:val="004A7DFE"/>
    <w:rsid w:val="004B21D9"/>
    <w:rsid w:val="004B2444"/>
    <w:rsid w:val="004B74F1"/>
    <w:rsid w:val="004C095B"/>
    <w:rsid w:val="004C0CE3"/>
    <w:rsid w:val="004C368B"/>
    <w:rsid w:val="004C4BEA"/>
    <w:rsid w:val="004D1A31"/>
    <w:rsid w:val="004D262A"/>
    <w:rsid w:val="004D2C6F"/>
    <w:rsid w:val="004D2E01"/>
    <w:rsid w:val="004E232C"/>
    <w:rsid w:val="004E568C"/>
    <w:rsid w:val="004E589C"/>
    <w:rsid w:val="004E5AD8"/>
    <w:rsid w:val="004F12D8"/>
    <w:rsid w:val="004F13B7"/>
    <w:rsid w:val="004F22A6"/>
    <w:rsid w:val="004F3033"/>
    <w:rsid w:val="005029C3"/>
    <w:rsid w:val="00504B53"/>
    <w:rsid w:val="0051015D"/>
    <w:rsid w:val="00511960"/>
    <w:rsid w:val="0051292D"/>
    <w:rsid w:val="00512F1B"/>
    <w:rsid w:val="0051442D"/>
    <w:rsid w:val="00515BE7"/>
    <w:rsid w:val="0051622D"/>
    <w:rsid w:val="005219EB"/>
    <w:rsid w:val="005222CB"/>
    <w:rsid w:val="00524F59"/>
    <w:rsid w:val="005262C2"/>
    <w:rsid w:val="0052705A"/>
    <w:rsid w:val="005276DA"/>
    <w:rsid w:val="005343D6"/>
    <w:rsid w:val="005356E2"/>
    <w:rsid w:val="00537A72"/>
    <w:rsid w:val="005425F8"/>
    <w:rsid w:val="00543A74"/>
    <w:rsid w:val="00552DE6"/>
    <w:rsid w:val="00556608"/>
    <w:rsid w:val="00556E08"/>
    <w:rsid w:val="00571532"/>
    <w:rsid w:val="00571E81"/>
    <w:rsid w:val="005722EC"/>
    <w:rsid w:val="00572BC9"/>
    <w:rsid w:val="00573FF9"/>
    <w:rsid w:val="00576B16"/>
    <w:rsid w:val="005873A5"/>
    <w:rsid w:val="00590BEE"/>
    <w:rsid w:val="00595988"/>
    <w:rsid w:val="00595CDA"/>
    <w:rsid w:val="005A04AC"/>
    <w:rsid w:val="005A0947"/>
    <w:rsid w:val="005A313A"/>
    <w:rsid w:val="005A680F"/>
    <w:rsid w:val="005B07CB"/>
    <w:rsid w:val="005B2FF9"/>
    <w:rsid w:val="005B6D81"/>
    <w:rsid w:val="005B7427"/>
    <w:rsid w:val="005B7DD3"/>
    <w:rsid w:val="005C7FC2"/>
    <w:rsid w:val="005D2408"/>
    <w:rsid w:val="005D2776"/>
    <w:rsid w:val="005D2A8B"/>
    <w:rsid w:val="005D505C"/>
    <w:rsid w:val="005D6122"/>
    <w:rsid w:val="005D6E80"/>
    <w:rsid w:val="005E04C5"/>
    <w:rsid w:val="005E2F7B"/>
    <w:rsid w:val="005E3C94"/>
    <w:rsid w:val="005E5C01"/>
    <w:rsid w:val="005E7118"/>
    <w:rsid w:val="005F37A4"/>
    <w:rsid w:val="005F7AF9"/>
    <w:rsid w:val="006007DB"/>
    <w:rsid w:val="00602403"/>
    <w:rsid w:val="006041A4"/>
    <w:rsid w:val="006109EC"/>
    <w:rsid w:val="00611D8A"/>
    <w:rsid w:val="006150CE"/>
    <w:rsid w:val="006165F4"/>
    <w:rsid w:val="0062327C"/>
    <w:rsid w:val="00625D54"/>
    <w:rsid w:val="00627578"/>
    <w:rsid w:val="0062799F"/>
    <w:rsid w:val="00632C84"/>
    <w:rsid w:val="006330D9"/>
    <w:rsid w:val="006358D7"/>
    <w:rsid w:val="00635A69"/>
    <w:rsid w:val="00636520"/>
    <w:rsid w:val="00642664"/>
    <w:rsid w:val="00644BBE"/>
    <w:rsid w:val="00644F6C"/>
    <w:rsid w:val="0064589D"/>
    <w:rsid w:val="00647DDD"/>
    <w:rsid w:val="006515AE"/>
    <w:rsid w:val="00653BA4"/>
    <w:rsid w:val="00656F1E"/>
    <w:rsid w:val="00657EDA"/>
    <w:rsid w:val="006609A2"/>
    <w:rsid w:val="00660C84"/>
    <w:rsid w:val="0066194B"/>
    <w:rsid w:val="00666D4D"/>
    <w:rsid w:val="006706ED"/>
    <w:rsid w:val="0067335A"/>
    <w:rsid w:val="00675A19"/>
    <w:rsid w:val="00680008"/>
    <w:rsid w:val="006858DA"/>
    <w:rsid w:val="006902F1"/>
    <w:rsid w:val="006918E9"/>
    <w:rsid w:val="00693EF0"/>
    <w:rsid w:val="006951CE"/>
    <w:rsid w:val="006A438B"/>
    <w:rsid w:val="006A7320"/>
    <w:rsid w:val="006B1E87"/>
    <w:rsid w:val="006B437C"/>
    <w:rsid w:val="006B514A"/>
    <w:rsid w:val="006C3570"/>
    <w:rsid w:val="006C4213"/>
    <w:rsid w:val="006C43D7"/>
    <w:rsid w:val="006C5694"/>
    <w:rsid w:val="006D2280"/>
    <w:rsid w:val="006D4128"/>
    <w:rsid w:val="006E28CF"/>
    <w:rsid w:val="006E68E6"/>
    <w:rsid w:val="006E6FF1"/>
    <w:rsid w:val="006F1E98"/>
    <w:rsid w:val="006F25E5"/>
    <w:rsid w:val="006F2CCE"/>
    <w:rsid w:val="006F2FCE"/>
    <w:rsid w:val="006F3EC9"/>
    <w:rsid w:val="006F415C"/>
    <w:rsid w:val="006F6A4D"/>
    <w:rsid w:val="00704257"/>
    <w:rsid w:val="0071032C"/>
    <w:rsid w:val="0071351B"/>
    <w:rsid w:val="0071437E"/>
    <w:rsid w:val="0071441C"/>
    <w:rsid w:val="007205BF"/>
    <w:rsid w:val="007241D4"/>
    <w:rsid w:val="00724D82"/>
    <w:rsid w:val="00732A6F"/>
    <w:rsid w:val="007347D1"/>
    <w:rsid w:val="00736453"/>
    <w:rsid w:val="0074214D"/>
    <w:rsid w:val="00742764"/>
    <w:rsid w:val="00745EC9"/>
    <w:rsid w:val="0074682B"/>
    <w:rsid w:val="00751452"/>
    <w:rsid w:val="0075156A"/>
    <w:rsid w:val="00751F90"/>
    <w:rsid w:val="00753D0A"/>
    <w:rsid w:val="00754833"/>
    <w:rsid w:val="00761C35"/>
    <w:rsid w:val="00766026"/>
    <w:rsid w:val="00772025"/>
    <w:rsid w:val="007735BC"/>
    <w:rsid w:val="00781AA0"/>
    <w:rsid w:val="007852E2"/>
    <w:rsid w:val="007917C4"/>
    <w:rsid w:val="007A3A64"/>
    <w:rsid w:val="007A6E29"/>
    <w:rsid w:val="007B088D"/>
    <w:rsid w:val="007B165A"/>
    <w:rsid w:val="007B2DAD"/>
    <w:rsid w:val="007B7246"/>
    <w:rsid w:val="007B78C2"/>
    <w:rsid w:val="007C23FF"/>
    <w:rsid w:val="007C3CD4"/>
    <w:rsid w:val="007C5008"/>
    <w:rsid w:val="007C55A0"/>
    <w:rsid w:val="007C6E2F"/>
    <w:rsid w:val="007D1E79"/>
    <w:rsid w:val="007D27CF"/>
    <w:rsid w:val="007D36BE"/>
    <w:rsid w:val="007D4DAF"/>
    <w:rsid w:val="007E1F4F"/>
    <w:rsid w:val="007E468A"/>
    <w:rsid w:val="007E58FC"/>
    <w:rsid w:val="007E6B94"/>
    <w:rsid w:val="007F0771"/>
    <w:rsid w:val="007F1F01"/>
    <w:rsid w:val="007F207F"/>
    <w:rsid w:val="007F5B91"/>
    <w:rsid w:val="00803CEC"/>
    <w:rsid w:val="00803D40"/>
    <w:rsid w:val="00810CA3"/>
    <w:rsid w:val="00822050"/>
    <w:rsid w:val="008270AA"/>
    <w:rsid w:val="00830952"/>
    <w:rsid w:val="00830F84"/>
    <w:rsid w:val="00843AD1"/>
    <w:rsid w:val="008443A9"/>
    <w:rsid w:val="008469B3"/>
    <w:rsid w:val="00847C93"/>
    <w:rsid w:val="00852390"/>
    <w:rsid w:val="00860576"/>
    <w:rsid w:val="008674AA"/>
    <w:rsid w:val="008675CC"/>
    <w:rsid w:val="00870DDD"/>
    <w:rsid w:val="0088094C"/>
    <w:rsid w:val="00881004"/>
    <w:rsid w:val="00882C40"/>
    <w:rsid w:val="00884467"/>
    <w:rsid w:val="008932CA"/>
    <w:rsid w:val="008942FC"/>
    <w:rsid w:val="008944EC"/>
    <w:rsid w:val="0089586A"/>
    <w:rsid w:val="00896FE3"/>
    <w:rsid w:val="008A082A"/>
    <w:rsid w:val="008A485B"/>
    <w:rsid w:val="008A4DF4"/>
    <w:rsid w:val="008B1DA9"/>
    <w:rsid w:val="008B55CF"/>
    <w:rsid w:val="008B6162"/>
    <w:rsid w:val="008C0B63"/>
    <w:rsid w:val="008C20E7"/>
    <w:rsid w:val="008C3EBC"/>
    <w:rsid w:val="008C57F6"/>
    <w:rsid w:val="008C5DB7"/>
    <w:rsid w:val="008C69FC"/>
    <w:rsid w:val="008D190D"/>
    <w:rsid w:val="008D33A3"/>
    <w:rsid w:val="008D413C"/>
    <w:rsid w:val="008D4715"/>
    <w:rsid w:val="008D5785"/>
    <w:rsid w:val="008D624A"/>
    <w:rsid w:val="008E0756"/>
    <w:rsid w:val="008F0B49"/>
    <w:rsid w:val="008F189C"/>
    <w:rsid w:val="008F1FE1"/>
    <w:rsid w:val="008F23F8"/>
    <w:rsid w:val="008F25A7"/>
    <w:rsid w:val="008F4486"/>
    <w:rsid w:val="008F4FC6"/>
    <w:rsid w:val="00900F7B"/>
    <w:rsid w:val="00901A03"/>
    <w:rsid w:val="00902179"/>
    <w:rsid w:val="00911637"/>
    <w:rsid w:val="00911DD6"/>
    <w:rsid w:val="0091298C"/>
    <w:rsid w:val="0091544C"/>
    <w:rsid w:val="009164BE"/>
    <w:rsid w:val="00921524"/>
    <w:rsid w:val="00921D03"/>
    <w:rsid w:val="00925CD2"/>
    <w:rsid w:val="00933065"/>
    <w:rsid w:val="00933569"/>
    <w:rsid w:val="009365B1"/>
    <w:rsid w:val="0093799C"/>
    <w:rsid w:val="00937DF3"/>
    <w:rsid w:val="009416CD"/>
    <w:rsid w:val="00944804"/>
    <w:rsid w:val="009473D8"/>
    <w:rsid w:val="009606EC"/>
    <w:rsid w:val="00960ADF"/>
    <w:rsid w:val="009621BD"/>
    <w:rsid w:val="00963A0C"/>
    <w:rsid w:val="00974A92"/>
    <w:rsid w:val="00975270"/>
    <w:rsid w:val="00975BA1"/>
    <w:rsid w:val="009835E3"/>
    <w:rsid w:val="009869F2"/>
    <w:rsid w:val="00987CDB"/>
    <w:rsid w:val="009917C2"/>
    <w:rsid w:val="009A2726"/>
    <w:rsid w:val="009A30E0"/>
    <w:rsid w:val="009A3205"/>
    <w:rsid w:val="009A3619"/>
    <w:rsid w:val="009A38FB"/>
    <w:rsid w:val="009B08AF"/>
    <w:rsid w:val="009B226E"/>
    <w:rsid w:val="009B25EF"/>
    <w:rsid w:val="009B3DFC"/>
    <w:rsid w:val="009B793E"/>
    <w:rsid w:val="009C0CB4"/>
    <w:rsid w:val="009C1188"/>
    <w:rsid w:val="009C37B9"/>
    <w:rsid w:val="009C38E7"/>
    <w:rsid w:val="009C6148"/>
    <w:rsid w:val="009C7F95"/>
    <w:rsid w:val="009D0BFB"/>
    <w:rsid w:val="009D32BD"/>
    <w:rsid w:val="009D35B5"/>
    <w:rsid w:val="009D4486"/>
    <w:rsid w:val="009D7E9C"/>
    <w:rsid w:val="009E1434"/>
    <w:rsid w:val="009F211E"/>
    <w:rsid w:val="009F294E"/>
    <w:rsid w:val="009F30F1"/>
    <w:rsid w:val="009F37C7"/>
    <w:rsid w:val="009F50AB"/>
    <w:rsid w:val="009F5F9A"/>
    <w:rsid w:val="009F7077"/>
    <w:rsid w:val="00A005F6"/>
    <w:rsid w:val="00A0115D"/>
    <w:rsid w:val="00A0385F"/>
    <w:rsid w:val="00A0424F"/>
    <w:rsid w:val="00A04C97"/>
    <w:rsid w:val="00A06585"/>
    <w:rsid w:val="00A111A4"/>
    <w:rsid w:val="00A23E58"/>
    <w:rsid w:val="00A26214"/>
    <w:rsid w:val="00A37BA4"/>
    <w:rsid w:val="00A402F6"/>
    <w:rsid w:val="00A43739"/>
    <w:rsid w:val="00A44844"/>
    <w:rsid w:val="00A47A18"/>
    <w:rsid w:val="00A51092"/>
    <w:rsid w:val="00A51238"/>
    <w:rsid w:val="00A539CB"/>
    <w:rsid w:val="00A55163"/>
    <w:rsid w:val="00A56515"/>
    <w:rsid w:val="00A56531"/>
    <w:rsid w:val="00A57311"/>
    <w:rsid w:val="00A57B47"/>
    <w:rsid w:val="00A6069E"/>
    <w:rsid w:val="00A62B3B"/>
    <w:rsid w:val="00A649E6"/>
    <w:rsid w:val="00A65A5E"/>
    <w:rsid w:val="00A660AF"/>
    <w:rsid w:val="00A70A95"/>
    <w:rsid w:val="00A7621E"/>
    <w:rsid w:val="00A8325E"/>
    <w:rsid w:val="00A93351"/>
    <w:rsid w:val="00A9357B"/>
    <w:rsid w:val="00AA0013"/>
    <w:rsid w:val="00AA0A1F"/>
    <w:rsid w:val="00AA26FF"/>
    <w:rsid w:val="00AA343B"/>
    <w:rsid w:val="00AA4B3B"/>
    <w:rsid w:val="00AA6E8C"/>
    <w:rsid w:val="00AA6F19"/>
    <w:rsid w:val="00AA79A8"/>
    <w:rsid w:val="00AA7A76"/>
    <w:rsid w:val="00AB0286"/>
    <w:rsid w:val="00AB4C6D"/>
    <w:rsid w:val="00AB4CE3"/>
    <w:rsid w:val="00AB4DFE"/>
    <w:rsid w:val="00AC4165"/>
    <w:rsid w:val="00AC428A"/>
    <w:rsid w:val="00AC556A"/>
    <w:rsid w:val="00AD002D"/>
    <w:rsid w:val="00AD2631"/>
    <w:rsid w:val="00AD637F"/>
    <w:rsid w:val="00AE287F"/>
    <w:rsid w:val="00AE56EC"/>
    <w:rsid w:val="00AE63BD"/>
    <w:rsid w:val="00AF0B2B"/>
    <w:rsid w:val="00AF285E"/>
    <w:rsid w:val="00AF2914"/>
    <w:rsid w:val="00AF363F"/>
    <w:rsid w:val="00AF3E4F"/>
    <w:rsid w:val="00B064AF"/>
    <w:rsid w:val="00B065B2"/>
    <w:rsid w:val="00B071FF"/>
    <w:rsid w:val="00B1084B"/>
    <w:rsid w:val="00B11505"/>
    <w:rsid w:val="00B11DC2"/>
    <w:rsid w:val="00B139BF"/>
    <w:rsid w:val="00B15142"/>
    <w:rsid w:val="00B17D31"/>
    <w:rsid w:val="00B230F3"/>
    <w:rsid w:val="00B42807"/>
    <w:rsid w:val="00B428A6"/>
    <w:rsid w:val="00B479BE"/>
    <w:rsid w:val="00B5157D"/>
    <w:rsid w:val="00B52E9E"/>
    <w:rsid w:val="00B53913"/>
    <w:rsid w:val="00B54DD9"/>
    <w:rsid w:val="00B554D4"/>
    <w:rsid w:val="00B56906"/>
    <w:rsid w:val="00B61CD3"/>
    <w:rsid w:val="00B6221E"/>
    <w:rsid w:val="00B661BB"/>
    <w:rsid w:val="00B7178E"/>
    <w:rsid w:val="00B71CB5"/>
    <w:rsid w:val="00B71D2D"/>
    <w:rsid w:val="00B72922"/>
    <w:rsid w:val="00B72A13"/>
    <w:rsid w:val="00B72ADA"/>
    <w:rsid w:val="00B73D5D"/>
    <w:rsid w:val="00B76CDD"/>
    <w:rsid w:val="00B77BCC"/>
    <w:rsid w:val="00B81E76"/>
    <w:rsid w:val="00B84DD5"/>
    <w:rsid w:val="00B9026B"/>
    <w:rsid w:val="00B90E3C"/>
    <w:rsid w:val="00B915B4"/>
    <w:rsid w:val="00B9487E"/>
    <w:rsid w:val="00B95910"/>
    <w:rsid w:val="00BA04E5"/>
    <w:rsid w:val="00BA263D"/>
    <w:rsid w:val="00BA29E7"/>
    <w:rsid w:val="00BA3A4C"/>
    <w:rsid w:val="00BA62F0"/>
    <w:rsid w:val="00BB0F20"/>
    <w:rsid w:val="00BB1673"/>
    <w:rsid w:val="00BB3911"/>
    <w:rsid w:val="00BB4D8C"/>
    <w:rsid w:val="00BB5933"/>
    <w:rsid w:val="00BB7BF7"/>
    <w:rsid w:val="00BC415B"/>
    <w:rsid w:val="00BD2329"/>
    <w:rsid w:val="00BD2CDE"/>
    <w:rsid w:val="00BD41CF"/>
    <w:rsid w:val="00BE0164"/>
    <w:rsid w:val="00BE09F1"/>
    <w:rsid w:val="00BE12BD"/>
    <w:rsid w:val="00BE2ED7"/>
    <w:rsid w:val="00BE439B"/>
    <w:rsid w:val="00BE58E2"/>
    <w:rsid w:val="00BE5A6C"/>
    <w:rsid w:val="00BE664A"/>
    <w:rsid w:val="00BE6AB8"/>
    <w:rsid w:val="00BF086D"/>
    <w:rsid w:val="00BF2167"/>
    <w:rsid w:val="00C04139"/>
    <w:rsid w:val="00C05091"/>
    <w:rsid w:val="00C1121F"/>
    <w:rsid w:val="00C13353"/>
    <w:rsid w:val="00C17FE0"/>
    <w:rsid w:val="00C21B3D"/>
    <w:rsid w:val="00C2788D"/>
    <w:rsid w:val="00C361F6"/>
    <w:rsid w:val="00C3669A"/>
    <w:rsid w:val="00C36F8A"/>
    <w:rsid w:val="00C4098C"/>
    <w:rsid w:val="00C40EFA"/>
    <w:rsid w:val="00C423E3"/>
    <w:rsid w:val="00C42781"/>
    <w:rsid w:val="00C44BAC"/>
    <w:rsid w:val="00C45551"/>
    <w:rsid w:val="00C45626"/>
    <w:rsid w:val="00C458AF"/>
    <w:rsid w:val="00C460A0"/>
    <w:rsid w:val="00C470C4"/>
    <w:rsid w:val="00C50068"/>
    <w:rsid w:val="00C549F4"/>
    <w:rsid w:val="00C56068"/>
    <w:rsid w:val="00C648C8"/>
    <w:rsid w:val="00C6702E"/>
    <w:rsid w:val="00C676F3"/>
    <w:rsid w:val="00C7226B"/>
    <w:rsid w:val="00C75909"/>
    <w:rsid w:val="00C77EFD"/>
    <w:rsid w:val="00C819E2"/>
    <w:rsid w:val="00C81A10"/>
    <w:rsid w:val="00C821B3"/>
    <w:rsid w:val="00C8244D"/>
    <w:rsid w:val="00C829DF"/>
    <w:rsid w:val="00C833DC"/>
    <w:rsid w:val="00C84021"/>
    <w:rsid w:val="00C858D0"/>
    <w:rsid w:val="00C85A9A"/>
    <w:rsid w:val="00C875AE"/>
    <w:rsid w:val="00C930C5"/>
    <w:rsid w:val="00C9310B"/>
    <w:rsid w:val="00C93F25"/>
    <w:rsid w:val="00CB1536"/>
    <w:rsid w:val="00CB3907"/>
    <w:rsid w:val="00CC0C54"/>
    <w:rsid w:val="00CC1016"/>
    <w:rsid w:val="00CD15DB"/>
    <w:rsid w:val="00CD1721"/>
    <w:rsid w:val="00CD4DDC"/>
    <w:rsid w:val="00CD6963"/>
    <w:rsid w:val="00CD6984"/>
    <w:rsid w:val="00CF05BD"/>
    <w:rsid w:val="00CF0BE6"/>
    <w:rsid w:val="00CF2008"/>
    <w:rsid w:val="00CF33B3"/>
    <w:rsid w:val="00CF4188"/>
    <w:rsid w:val="00CF4E9E"/>
    <w:rsid w:val="00CF7446"/>
    <w:rsid w:val="00CF7848"/>
    <w:rsid w:val="00D04F34"/>
    <w:rsid w:val="00D0526F"/>
    <w:rsid w:val="00D06213"/>
    <w:rsid w:val="00D06AF1"/>
    <w:rsid w:val="00D077A9"/>
    <w:rsid w:val="00D10010"/>
    <w:rsid w:val="00D101D2"/>
    <w:rsid w:val="00D1109D"/>
    <w:rsid w:val="00D1208B"/>
    <w:rsid w:val="00D12BB7"/>
    <w:rsid w:val="00D13C56"/>
    <w:rsid w:val="00D24BA9"/>
    <w:rsid w:val="00D25334"/>
    <w:rsid w:val="00D31882"/>
    <w:rsid w:val="00D31BAB"/>
    <w:rsid w:val="00D34AFB"/>
    <w:rsid w:val="00D35A03"/>
    <w:rsid w:val="00D37377"/>
    <w:rsid w:val="00D43644"/>
    <w:rsid w:val="00D45B8C"/>
    <w:rsid w:val="00D567E0"/>
    <w:rsid w:val="00D56A09"/>
    <w:rsid w:val="00D630DE"/>
    <w:rsid w:val="00D645C6"/>
    <w:rsid w:val="00D65905"/>
    <w:rsid w:val="00D72C02"/>
    <w:rsid w:val="00D72F5B"/>
    <w:rsid w:val="00D7327A"/>
    <w:rsid w:val="00D8211B"/>
    <w:rsid w:val="00D828F9"/>
    <w:rsid w:val="00D84DE6"/>
    <w:rsid w:val="00D866B9"/>
    <w:rsid w:val="00D9086C"/>
    <w:rsid w:val="00D912E6"/>
    <w:rsid w:val="00D91D4D"/>
    <w:rsid w:val="00D92CDC"/>
    <w:rsid w:val="00D94745"/>
    <w:rsid w:val="00D96316"/>
    <w:rsid w:val="00D963D5"/>
    <w:rsid w:val="00DA05C5"/>
    <w:rsid w:val="00DA2ED1"/>
    <w:rsid w:val="00DA41B2"/>
    <w:rsid w:val="00DA5B89"/>
    <w:rsid w:val="00DA5D06"/>
    <w:rsid w:val="00DA7B20"/>
    <w:rsid w:val="00DB28D9"/>
    <w:rsid w:val="00DB2CE0"/>
    <w:rsid w:val="00DC2E43"/>
    <w:rsid w:val="00DC3BEA"/>
    <w:rsid w:val="00DC621D"/>
    <w:rsid w:val="00DC6A98"/>
    <w:rsid w:val="00DC7245"/>
    <w:rsid w:val="00DC730A"/>
    <w:rsid w:val="00DD12FC"/>
    <w:rsid w:val="00DD71E5"/>
    <w:rsid w:val="00DE080A"/>
    <w:rsid w:val="00DE130A"/>
    <w:rsid w:val="00DE1F21"/>
    <w:rsid w:val="00DE38B2"/>
    <w:rsid w:val="00DE3F82"/>
    <w:rsid w:val="00DF24EF"/>
    <w:rsid w:val="00DF48F4"/>
    <w:rsid w:val="00DF4926"/>
    <w:rsid w:val="00DF71D5"/>
    <w:rsid w:val="00E05572"/>
    <w:rsid w:val="00E110E5"/>
    <w:rsid w:val="00E166FD"/>
    <w:rsid w:val="00E21E66"/>
    <w:rsid w:val="00E22F10"/>
    <w:rsid w:val="00E25706"/>
    <w:rsid w:val="00E262A9"/>
    <w:rsid w:val="00E264BB"/>
    <w:rsid w:val="00E276DF"/>
    <w:rsid w:val="00E27992"/>
    <w:rsid w:val="00E30596"/>
    <w:rsid w:val="00E3297F"/>
    <w:rsid w:val="00E33434"/>
    <w:rsid w:val="00E37A5B"/>
    <w:rsid w:val="00E41A7C"/>
    <w:rsid w:val="00E43C23"/>
    <w:rsid w:val="00E45E6A"/>
    <w:rsid w:val="00E50A42"/>
    <w:rsid w:val="00E511F4"/>
    <w:rsid w:val="00E51E25"/>
    <w:rsid w:val="00E534A9"/>
    <w:rsid w:val="00E56D64"/>
    <w:rsid w:val="00E62075"/>
    <w:rsid w:val="00E65BC0"/>
    <w:rsid w:val="00E65FFF"/>
    <w:rsid w:val="00E71CE6"/>
    <w:rsid w:val="00E71E16"/>
    <w:rsid w:val="00E73772"/>
    <w:rsid w:val="00E76641"/>
    <w:rsid w:val="00E770FB"/>
    <w:rsid w:val="00E7753D"/>
    <w:rsid w:val="00E81A36"/>
    <w:rsid w:val="00E81B2D"/>
    <w:rsid w:val="00E84D18"/>
    <w:rsid w:val="00E851E8"/>
    <w:rsid w:val="00E86200"/>
    <w:rsid w:val="00E95703"/>
    <w:rsid w:val="00E97DFF"/>
    <w:rsid w:val="00EA0297"/>
    <w:rsid w:val="00EA2EBB"/>
    <w:rsid w:val="00EA3F05"/>
    <w:rsid w:val="00EA57DC"/>
    <w:rsid w:val="00EA5E85"/>
    <w:rsid w:val="00EB0B07"/>
    <w:rsid w:val="00EB1B82"/>
    <w:rsid w:val="00EB635D"/>
    <w:rsid w:val="00EB7758"/>
    <w:rsid w:val="00EC080A"/>
    <w:rsid w:val="00EC4178"/>
    <w:rsid w:val="00EC70BC"/>
    <w:rsid w:val="00EC7487"/>
    <w:rsid w:val="00ED018E"/>
    <w:rsid w:val="00ED5F4D"/>
    <w:rsid w:val="00EE23B6"/>
    <w:rsid w:val="00EE2EA9"/>
    <w:rsid w:val="00EE32EE"/>
    <w:rsid w:val="00EE4B1C"/>
    <w:rsid w:val="00EE55EC"/>
    <w:rsid w:val="00EE55F9"/>
    <w:rsid w:val="00EE62A5"/>
    <w:rsid w:val="00EF0980"/>
    <w:rsid w:val="00EF189B"/>
    <w:rsid w:val="00EF264D"/>
    <w:rsid w:val="00EF6022"/>
    <w:rsid w:val="00EF642D"/>
    <w:rsid w:val="00EF6746"/>
    <w:rsid w:val="00EF74A9"/>
    <w:rsid w:val="00F043F1"/>
    <w:rsid w:val="00F07D68"/>
    <w:rsid w:val="00F10F96"/>
    <w:rsid w:val="00F11454"/>
    <w:rsid w:val="00F221FC"/>
    <w:rsid w:val="00F228EE"/>
    <w:rsid w:val="00F33C7D"/>
    <w:rsid w:val="00F3521A"/>
    <w:rsid w:val="00F414E9"/>
    <w:rsid w:val="00F418BD"/>
    <w:rsid w:val="00F42383"/>
    <w:rsid w:val="00F57AFC"/>
    <w:rsid w:val="00F627E4"/>
    <w:rsid w:val="00F650C0"/>
    <w:rsid w:val="00F65DBD"/>
    <w:rsid w:val="00F669B9"/>
    <w:rsid w:val="00F70C47"/>
    <w:rsid w:val="00F73649"/>
    <w:rsid w:val="00F75CEC"/>
    <w:rsid w:val="00F76329"/>
    <w:rsid w:val="00F80BC4"/>
    <w:rsid w:val="00F80CEE"/>
    <w:rsid w:val="00F85F62"/>
    <w:rsid w:val="00F86BC7"/>
    <w:rsid w:val="00F91EC6"/>
    <w:rsid w:val="00F92AA4"/>
    <w:rsid w:val="00F952AE"/>
    <w:rsid w:val="00FA1DB2"/>
    <w:rsid w:val="00FB59A0"/>
    <w:rsid w:val="00FC032F"/>
    <w:rsid w:val="00FC42BD"/>
    <w:rsid w:val="00FC4AC5"/>
    <w:rsid w:val="00FD2E9B"/>
    <w:rsid w:val="00FD5AC0"/>
    <w:rsid w:val="00FE065B"/>
    <w:rsid w:val="00FE17D2"/>
    <w:rsid w:val="00FE3913"/>
    <w:rsid w:val="00FE4D2E"/>
    <w:rsid w:val="00FF2863"/>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 w:type="paragraph" w:customStyle="1" w:styleId="Default">
    <w:name w:val="Default"/>
    <w:rsid w:val="00317F52"/>
    <w:pPr>
      <w:autoSpaceDE w:val="0"/>
      <w:autoSpaceDN w:val="0"/>
      <w:adjustRightInd w:val="0"/>
    </w:pPr>
    <w:rPr>
      <w:rFonts w:eastAsiaTheme="minorHAnsi"/>
      <w:color w:val="000000"/>
      <w:sz w:val="24"/>
      <w:szCs w:val="24"/>
      <w:lang w:eastAsia="en-US"/>
    </w:rPr>
  </w:style>
  <w:style w:type="paragraph" w:customStyle="1" w:styleId="Normal1">
    <w:name w:val="Normal1"/>
    <w:basedOn w:val="Normal"/>
    <w:rsid w:val="005A04AC"/>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5A04AC"/>
    <w:pPr>
      <w:spacing w:before="100" w:beforeAutospacing="1" w:after="100" w:afterAutospacing="1"/>
    </w:pPr>
    <w:rPr>
      <w:rFonts w:ascii="Times New Roman" w:hAnsi="Times New Roman"/>
      <w:sz w:val="24"/>
      <w:lang w:eastAsia="en-ZA"/>
    </w:rPr>
  </w:style>
  <w:style w:type="character" w:customStyle="1" w:styleId="lphit">
    <w:name w:val="lphit"/>
    <w:basedOn w:val="DefaultParagraphFont"/>
    <w:rsid w:val="005A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96751358">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493790378">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71v1SApg56" TargetMode="External"/><Relationship Id="rId2" Type="http://schemas.openxmlformats.org/officeDocument/2006/relationships/hyperlink" Target="https://app.jutastatevolve.co.za/y1983v2SApg387" TargetMode="External"/><Relationship Id="rId1" Type="http://schemas.openxmlformats.org/officeDocument/2006/relationships/hyperlink" Target="https://app.jutastatevolve.co.za/y1983v2SApg387" TargetMode="External"/><Relationship Id="rId4" Type="http://schemas.openxmlformats.org/officeDocument/2006/relationships/hyperlink" Target="https://app.jutastatevolve.co.za/y2017v6SApg2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21D6-D0B0-4ADE-9756-20993E32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15</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Mariana Anguelov</cp:lastModifiedBy>
  <cp:revision>3</cp:revision>
  <cp:lastPrinted>2022-11-17T08:17:00Z</cp:lastPrinted>
  <dcterms:created xsi:type="dcterms:W3CDTF">2022-11-22T07:15:00Z</dcterms:created>
  <dcterms:modified xsi:type="dcterms:W3CDTF">2022-11-27T07:55:00Z</dcterms:modified>
</cp:coreProperties>
</file>