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14AE" w14:textId="77777777" w:rsidR="00BD5A11" w:rsidRPr="00980139" w:rsidRDefault="00BD5A11" w:rsidP="00BD5A11">
      <w:pPr>
        <w:pStyle w:val="LegalTitle"/>
        <w:spacing w:after="0" w:line="360" w:lineRule="auto"/>
        <w:rPr>
          <w:rFonts w:cs="Arial"/>
          <w:u w:val="single"/>
        </w:rPr>
      </w:pPr>
      <w:r w:rsidRPr="00980139">
        <w:rPr>
          <w:rFonts w:cs="Arial"/>
          <w:noProof/>
          <w:lang w:val="en-ZA" w:eastAsia="en-ZA"/>
        </w:rPr>
        <w:drawing>
          <wp:inline distT="0" distB="0" distL="0" distR="0" wp14:anchorId="700483C4" wp14:editId="783FF7C0">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58103E50" w14:textId="77777777" w:rsidR="00BD5A11" w:rsidRPr="00980139" w:rsidRDefault="00BD5A11" w:rsidP="00BD5A11">
      <w:pPr>
        <w:pStyle w:val="LegalTitle"/>
        <w:spacing w:after="120" w:line="360" w:lineRule="auto"/>
        <w:rPr>
          <w:rFonts w:cs="Arial"/>
          <w:u w:val="single"/>
        </w:rPr>
      </w:pPr>
      <w:r w:rsidRPr="00980139">
        <w:rPr>
          <w:rFonts w:cs="Arial"/>
          <w:u w:val="single"/>
        </w:rPr>
        <w:t>IN THE HIGH COURT OF SOUTH AFRICA</w:t>
      </w:r>
    </w:p>
    <w:p w14:paraId="02335A82" w14:textId="77777777" w:rsidR="007B3DB5" w:rsidRPr="00980139" w:rsidRDefault="001A122F" w:rsidP="007B3DB5">
      <w:pPr>
        <w:pStyle w:val="LegalTitle"/>
        <w:spacing w:line="360" w:lineRule="auto"/>
        <w:rPr>
          <w:rFonts w:cs="Arial"/>
          <w:u w:val="single"/>
        </w:rPr>
      </w:pPr>
      <w:r w:rsidRPr="00980139">
        <w:rPr>
          <w:rFonts w:cs="Arial"/>
          <w:noProof/>
          <w:lang w:val="en-ZA" w:eastAsia="en-ZA"/>
        </w:rPr>
        <mc:AlternateContent>
          <mc:Choice Requires="wps">
            <w:drawing>
              <wp:anchor distT="0" distB="0" distL="114300" distR="114300" simplePos="0" relativeHeight="251659264" behindDoc="0" locked="0" layoutInCell="1" allowOverlap="1" wp14:anchorId="49108333" wp14:editId="19861E83">
                <wp:simplePos x="0" y="0"/>
                <wp:positionH relativeFrom="column">
                  <wp:posOffset>-104775</wp:posOffset>
                </wp:positionH>
                <wp:positionV relativeFrom="paragraph">
                  <wp:posOffset>398145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64BD082A" w14:textId="62DD5385" w:rsidR="00BD5A11" w:rsidRPr="0038792A" w:rsidRDefault="002D0BE8" w:rsidP="002D0BE8">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42EF138A" w14:textId="59E28A37" w:rsidR="00BD5A11" w:rsidRPr="0038792A" w:rsidRDefault="002D0BE8" w:rsidP="002D0BE8">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8CD7EA1" w14:textId="563211D2" w:rsidR="00BD5A11" w:rsidRPr="0038792A" w:rsidRDefault="002D0BE8" w:rsidP="002D0BE8">
                            <w:pPr>
                              <w:tabs>
                                <w:tab w:val="left" w:pos="900"/>
                              </w:tabs>
                              <w:spacing w:after="120" w:line="240" w:lineRule="auto"/>
                              <w:ind w:left="901" w:hanging="720"/>
                              <w:jc w:val="left"/>
                            </w:pPr>
                            <w:r w:rsidRPr="0038792A">
                              <w:t>(3)</w:t>
                            </w:r>
                            <w:r w:rsidRPr="0038792A">
                              <w:tab/>
                            </w:r>
                            <w:r w:rsidR="00BD5A11" w:rsidRPr="0038792A">
                              <w:t xml:space="preserve">REVISED: </w:t>
                            </w:r>
                          </w:p>
                          <w:p w14:paraId="2E7FDD1A" w14:textId="77777777" w:rsidR="00BD5A11" w:rsidRDefault="00BD5A11" w:rsidP="00BD5A11">
                            <w:pPr>
                              <w:rPr>
                                <w:sz w:val="28"/>
                                <w:szCs w:val="28"/>
                              </w:rPr>
                            </w:pPr>
                            <w:r w:rsidRPr="00BD5A11">
                              <w:rPr>
                                <w:b/>
                                <w:sz w:val="22"/>
                                <w:szCs w:val="22"/>
                              </w:rPr>
                              <w:t>Date:</w:t>
                            </w:r>
                            <w:r>
                              <w:rPr>
                                <w:sz w:val="22"/>
                                <w:szCs w:val="22"/>
                              </w:rPr>
                              <w:t xml:space="preserve"> </w:t>
                            </w:r>
                            <w:r w:rsidR="00F81D77">
                              <w:rPr>
                                <w:sz w:val="22"/>
                                <w:szCs w:val="22"/>
                              </w:rPr>
                              <w:t>15</w:t>
                            </w:r>
                            <w:r w:rsidR="001A122F">
                              <w:rPr>
                                <w:sz w:val="22"/>
                                <w:szCs w:val="22"/>
                              </w:rPr>
                              <w:t>/1</w:t>
                            </w:r>
                            <w:r w:rsidR="00F81D77">
                              <w:rPr>
                                <w:sz w:val="22"/>
                                <w:szCs w:val="22"/>
                              </w:rPr>
                              <w:t>1</w:t>
                            </w:r>
                            <w:r>
                              <w:rPr>
                                <w:sz w:val="22"/>
                                <w:szCs w:val="22"/>
                              </w:rPr>
                              <w:t>/2022</w:t>
                            </w:r>
                            <w:r>
                              <w:rPr>
                                <w:b/>
                                <w:i/>
                                <w:sz w:val="22"/>
                                <w:szCs w:val="22"/>
                              </w:rPr>
                              <w:t xml:space="preserve">    </w:t>
                            </w:r>
                            <w:r w:rsidRPr="0070234A">
                              <w:rPr>
                                <w:b/>
                                <w:i/>
                                <w:sz w:val="22"/>
                                <w:szCs w:val="22"/>
                              </w:rPr>
                              <w:t>Signature</w:t>
                            </w:r>
                            <w:r>
                              <w:rPr>
                                <w:sz w:val="22"/>
                                <w:szCs w:val="22"/>
                              </w:rPr>
                              <w:t xml:space="preserve">: </w:t>
                            </w:r>
                          </w:p>
                          <w:p w14:paraId="7A51F686" w14:textId="77777777" w:rsidR="00BD5A11" w:rsidRDefault="00BD5A11" w:rsidP="00BD5A11">
                            <w:pPr>
                              <w:rPr>
                                <w:sz w:val="28"/>
                                <w:szCs w:val="28"/>
                              </w:rPr>
                            </w:pPr>
                            <w:r>
                              <w:rPr>
                                <w:sz w:val="28"/>
                                <w:szCs w:val="28"/>
                              </w:rPr>
                              <w:t>____________________        ____________________</w:t>
                            </w:r>
                          </w:p>
                          <w:p w14:paraId="356B68D8"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74A1EB2D" w14:textId="77777777" w:rsidR="00BD5A11" w:rsidRDefault="00BD5A11" w:rsidP="00BD5A11">
                            <w:pPr>
                              <w:rPr>
                                <w:sz w:val="28"/>
                                <w:szCs w:val="28"/>
                              </w:rPr>
                            </w:pPr>
                          </w:p>
                          <w:p w14:paraId="02C80CD8" w14:textId="77777777" w:rsidR="00BD5A11" w:rsidRDefault="00BD5A11" w:rsidP="00BD5A11">
                            <w:pPr>
                              <w:rPr>
                                <w:sz w:val="28"/>
                                <w:szCs w:val="28"/>
                              </w:rPr>
                            </w:pPr>
                          </w:p>
                          <w:p w14:paraId="4FA178BC" w14:textId="77777777" w:rsidR="00BD5A11" w:rsidRDefault="00BD5A11" w:rsidP="00BD5A11">
                            <w:pPr>
                              <w:rPr>
                                <w:sz w:val="28"/>
                                <w:szCs w:val="28"/>
                              </w:rPr>
                            </w:pPr>
                          </w:p>
                          <w:p w14:paraId="00A19BF8" w14:textId="77777777" w:rsidR="00BD5A11" w:rsidRPr="009533D5" w:rsidRDefault="00BD5A11" w:rsidP="00BD5A11">
                            <w:pPr>
                              <w:rPr>
                                <w:sz w:val="28"/>
                                <w:szCs w:val="28"/>
                              </w:rPr>
                            </w:pPr>
                          </w:p>
                          <w:p w14:paraId="52E93124" w14:textId="77777777" w:rsidR="00BD5A11" w:rsidRDefault="00BD5A11" w:rsidP="00BD5A11">
                            <w:pPr>
                              <w:rPr>
                                <w:b/>
                              </w:rPr>
                            </w:pPr>
                          </w:p>
                          <w:p w14:paraId="570F06D2" w14:textId="77777777" w:rsidR="00BD5A11" w:rsidRDefault="00BD5A11" w:rsidP="00BD5A11">
                            <w:pPr>
                              <w:rPr>
                                <w:b/>
                              </w:rPr>
                            </w:pPr>
                          </w:p>
                          <w:p w14:paraId="76859C4C" w14:textId="77777777" w:rsidR="00BD5A11" w:rsidRDefault="00BD5A11" w:rsidP="00BD5A11">
                            <w:pPr>
                              <w:rPr>
                                <w:b/>
                              </w:rPr>
                            </w:pPr>
                          </w:p>
                          <w:p w14:paraId="7ECA1308" w14:textId="77777777" w:rsidR="00BD5A11" w:rsidRPr="00B93709" w:rsidRDefault="00BD5A11" w:rsidP="00BD5A11">
                            <w:pPr>
                              <w:rPr>
                                <w:b/>
                              </w:rPr>
                            </w:pPr>
                          </w:p>
                          <w:p w14:paraId="29490AD3"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8333" id="_x0000_t202" coordsize="21600,21600" o:spt="202" path="m,l,21600r21600,l21600,xe">
                <v:stroke joinstyle="miter"/>
                <v:path gradientshapeok="t" o:connecttype="rect"/>
              </v:shapetype>
              <v:shape id="Text Box 4" o:spid="_x0000_s1026" type="#_x0000_t202" style="position:absolute;left:0;text-align:left;margin-left:-8.25pt;margin-top:31.3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">
                <v:textbox>
                  <w:txbxContent>
                    <w:p w14:paraId="64BD082A" w14:textId="62DD5385" w:rsidR="00BD5A11" w:rsidRPr="0038792A" w:rsidRDefault="002D0BE8" w:rsidP="002D0BE8">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42EF138A" w14:textId="59E28A37" w:rsidR="00BD5A11" w:rsidRPr="0038792A" w:rsidRDefault="002D0BE8" w:rsidP="002D0BE8">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8CD7EA1" w14:textId="563211D2" w:rsidR="00BD5A11" w:rsidRPr="0038792A" w:rsidRDefault="002D0BE8" w:rsidP="002D0BE8">
                      <w:pPr>
                        <w:tabs>
                          <w:tab w:val="left" w:pos="900"/>
                        </w:tabs>
                        <w:spacing w:after="120" w:line="240" w:lineRule="auto"/>
                        <w:ind w:left="901" w:hanging="720"/>
                        <w:jc w:val="left"/>
                      </w:pPr>
                      <w:r w:rsidRPr="0038792A">
                        <w:t>(3)</w:t>
                      </w:r>
                      <w:r w:rsidRPr="0038792A">
                        <w:tab/>
                      </w:r>
                      <w:r w:rsidR="00BD5A11" w:rsidRPr="0038792A">
                        <w:t xml:space="preserve">REVISED: </w:t>
                      </w:r>
                    </w:p>
                    <w:p w14:paraId="2E7FDD1A" w14:textId="77777777" w:rsidR="00BD5A11" w:rsidRDefault="00BD5A11" w:rsidP="00BD5A11">
                      <w:pPr>
                        <w:rPr>
                          <w:sz w:val="28"/>
                          <w:szCs w:val="28"/>
                        </w:rPr>
                      </w:pPr>
                      <w:r w:rsidRPr="00BD5A11">
                        <w:rPr>
                          <w:b/>
                          <w:sz w:val="22"/>
                          <w:szCs w:val="22"/>
                        </w:rPr>
                        <w:t>Date:</w:t>
                      </w:r>
                      <w:r>
                        <w:rPr>
                          <w:sz w:val="22"/>
                          <w:szCs w:val="22"/>
                        </w:rPr>
                        <w:t xml:space="preserve"> </w:t>
                      </w:r>
                      <w:r w:rsidR="00F81D77">
                        <w:rPr>
                          <w:sz w:val="22"/>
                          <w:szCs w:val="22"/>
                        </w:rPr>
                        <w:t>15</w:t>
                      </w:r>
                      <w:r w:rsidR="001A122F">
                        <w:rPr>
                          <w:sz w:val="22"/>
                          <w:szCs w:val="22"/>
                        </w:rPr>
                        <w:t>/1</w:t>
                      </w:r>
                      <w:r w:rsidR="00F81D77">
                        <w:rPr>
                          <w:sz w:val="22"/>
                          <w:szCs w:val="22"/>
                        </w:rPr>
                        <w:t>1</w:t>
                      </w:r>
                      <w:r>
                        <w:rPr>
                          <w:sz w:val="22"/>
                          <w:szCs w:val="22"/>
                        </w:rPr>
                        <w:t>/2022</w:t>
                      </w:r>
                      <w:r>
                        <w:rPr>
                          <w:b/>
                          <w:i/>
                          <w:sz w:val="22"/>
                          <w:szCs w:val="22"/>
                        </w:rPr>
                        <w:t xml:space="preserve">    </w:t>
                      </w:r>
                      <w:r w:rsidRPr="0070234A">
                        <w:rPr>
                          <w:b/>
                          <w:i/>
                          <w:sz w:val="22"/>
                          <w:szCs w:val="22"/>
                        </w:rPr>
                        <w:t>Signature</w:t>
                      </w:r>
                      <w:r>
                        <w:rPr>
                          <w:sz w:val="22"/>
                          <w:szCs w:val="22"/>
                        </w:rPr>
                        <w:t xml:space="preserve">: </w:t>
                      </w:r>
                    </w:p>
                    <w:p w14:paraId="7A51F686" w14:textId="77777777" w:rsidR="00BD5A11" w:rsidRDefault="00BD5A11" w:rsidP="00BD5A11">
                      <w:pPr>
                        <w:rPr>
                          <w:sz w:val="28"/>
                          <w:szCs w:val="28"/>
                        </w:rPr>
                      </w:pPr>
                      <w:r>
                        <w:rPr>
                          <w:sz w:val="28"/>
                          <w:szCs w:val="28"/>
                        </w:rPr>
                        <w:t>____________________        ____________________</w:t>
                      </w:r>
                    </w:p>
                    <w:p w14:paraId="356B68D8"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74A1EB2D" w14:textId="77777777" w:rsidR="00BD5A11" w:rsidRDefault="00BD5A11" w:rsidP="00BD5A11">
                      <w:pPr>
                        <w:rPr>
                          <w:sz w:val="28"/>
                          <w:szCs w:val="28"/>
                        </w:rPr>
                      </w:pPr>
                    </w:p>
                    <w:p w14:paraId="02C80CD8" w14:textId="77777777" w:rsidR="00BD5A11" w:rsidRDefault="00BD5A11" w:rsidP="00BD5A11">
                      <w:pPr>
                        <w:rPr>
                          <w:sz w:val="28"/>
                          <w:szCs w:val="28"/>
                        </w:rPr>
                      </w:pPr>
                    </w:p>
                    <w:p w14:paraId="4FA178BC" w14:textId="77777777" w:rsidR="00BD5A11" w:rsidRDefault="00BD5A11" w:rsidP="00BD5A11">
                      <w:pPr>
                        <w:rPr>
                          <w:sz w:val="28"/>
                          <w:szCs w:val="28"/>
                        </w:rPr>
                      </w:pPr>
                    </w:p>
                    <w:p w14:paraId="00A19BF8" w14:textId="77777777" w:rsidR="00BD5A11" w:rsidRPr="009533D5" w:rsidRDefault="00BD5A11" w:rsidP="00BD5A11">
                      <w:pPr>
                        <w:rPr>
                          <w:sz w:val="28"/>
                          <w:szCs w:val="28"/>
                        </w:rPr>
                      </w:pPr>
                    </w:p>
                    <w:p w14:paraId="52E93124" w14:textId="77777777" w:rsidR="00BD5A11" w:rsidRDefault="00BD5A11" w:rsidP="00BD5A11">
                      <w:pPr>
                        <w:rPr>
                          <w:b/>
                        </w:rPr>
                      </w:pPr>
                    </w:p>
                    <w:p w14:paraId="570F06D2" w14:textId="77777777" w:rsidR="00BD5A11" w:rsidRDefault="00BD5A11" w:rsidP="00BD5A11">
                      <w:pPr>
                        <w:rPr>
                          <w:b/>
                        </w:rPr>
                      </w:pPr>
                    </w:p>
                    <w:p w14:paraId="76859C4C" w14:textId="77777777" w:rsidR="00BD5A11" w:rsidRDefault="00BD5A11" w:rsidP="00BD5A11">
                      <w:pPr>
                        <w:rPr>
                          <w:b/>
                        </w:rPr>
                      </w:pPr>
                    </w:p>
                    <w:p w14:paraId="7ECA1308" w14:textId="77777777" w:rsidR="00BD5A11" w:rsidRPr="00B93709" w:rsidRDefault="00BD5A11" w:rsidP="00BD5A11">
                      <w:pPr>
                        <w:rPr>
                          <w:b/>
                        </w:rPr>
                      </w:pPr>
                    </w:p>
                    <w:p w14:paraId="29490AD3"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980139">
        <w:rPr>
          <w:rFonts w:cs="Arial"/>
          <w:u w:val="single"/>
        </w:rPr>
        <w:t>GAUTENG LOCAL DIVISION, JOHANNES</w:t>
      </w:r>
      <w:bookmarkStart w:id="2" w:name="_Hlk94081611"/>
      <w:bookmarkEnd w:id="2"/>
      <w:r w:rsidR="007B3DB5" w:rsidRPr="00980139">
        <w:rPr>
          <w:rFonts w:cs="Arial"/>
          <w:u w:val="single"/>
        </w:rPr>
        <w:t>burg</w:t>
      </w:r>
    </w:p>
    <w:p w14:paraId="0723DFBB" w14:textId="77777777" w:rsidR="007B3DB5" w:rsidRPr="00980139" w:rsidRDefault="007B3DB5" w:rsidP="007B3DB5">
      <w:pPr>
        <w:spacing w:after="0" w:line="240" w:lineRule="auto"/>
        <w:jc w:val="center"/>
        <w:rPr>
          <w:rFonts w:ascii="Arial" w:hAnsi="Arial" w:cs="Arial"/>
          <w:b/>
          <w:bCs/>
          <w:sz w:val="24"/>
          <w:szCs w:val="24"/>
        </w:rPr>
      </w:pPr>
    </w:p>
    <w:p w14:paraId="064ACCC0" w14:textId="307210E3" w:rsidR="007B3DB5" w:rsidRPr="00980139" w:rsidRDefault="007B3DB5" w:rsidP="007B3DB5">
      <w:pPr>
        <w:spacing w:after="0" w:line="240" w:lineRule="auto"/>
        <w:jc w:val="center"/>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7E9D949D" w14:textId="77777777" w:rsidR="00980139" w:rsidRPr="00980139" w:rsidRDefault="007B3DB5" w:rsidP="00980139">
      <w:pPr>
        <w:spacing w:after="0" w:line="240" w:lineRule="auto"/>
        <w:jc w:val="right"/>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7E5B48CA" w14:textId="77777777" w:rsidR="001A122F" w:rsidRDefault="001A122F" w:rsidP="001A122F">
      <w:pPr>
        <w:spacing w:line="480" w:lineRule="auto"/>
        <w:jc w:val="right"/>
        <w:rPr>
          <w:rFonts w:ascii="Arial" w:hAnsi="Arial" w:cs="Arial"/>
          <w:sz w:val="24"/>
          <w:szCs w:val="24"/>
        </w:rPr>
      </w:pPr>
      <w:r w:rsidRPr="001A122F">
        <w:rPr>
          <w:rFonts w:ascii="Arial" w:hAnsi="Arial" w:cs="Arial"/>
          <w:sz w:val="24"/>
          <w:szCs w:val="24"/>
        </w:rPr>
        <w:t>Case No. 27833/2021</w:t>
      </w:r>
    </w:p>
    <w:p w14:paraId="0F046D24" w14:textId="77777777" w:rsidR="001A122F" w:rsidRPr="006C2324" w:rsidRDefault="001A122F" w:rsidP="001A122F">
      <w:pPr>
        <w:spacing w:line="480" w:lineRule="auto"/>
        <w:jc w:val="left"/>
        <w:rPr>
          <w:rFonts w:ascii="Arial" w:hAnsi="Arial" w:cs="Arial"/>
          <w:sz w:val="24"/>
          <w:szCs w:val="24"/>
        </w:rPr>
      </w:pPr>
      <w:r w:rsidRPr="001A122F">
        <w:rPr>
          <w:rFonts w:ascii="Arial" w:hAnsi="Arial" w:cs="Arial"/>
          <w:sz w:val="24"/>
          <w:szCs w:val="24"/>
        </w:rPr>
        <w:t>In the matter between:</w:t>
      </w:r>
    </w:p>
    <w:p w14:paraId="37DBA604" w14:textId="77777777" w:rsidR="007F2822" w:rsidRPr="00F62295" w:rsidRDefault="007F2822" w:rsidP="001A122F">
      <w:pPr>
        <w:spacing w:line="480" w:lineRule="auto"/>
        <w:jc w:val="left"/>
        <w:rPr>
          <w:rFonts w:ascii="Arial" w:hAnsi="Arial" w:cs="Arial"/>
          <w:b/>
          <w:bCs/>
          <w:sz w:val="24"/>
          <w:szCs w:val="24"/>
        </w:rPr>
      </w:pPr>
      <w:r w:rsidRPr="006C2324">
        <w:rPr>
          <w:rFonts w:ascii="Arial" w:hAnsi="Arial" w:cs="Arial"/>
          <w:b/>
          <w:bCs/>
          <w:sz w:val="24"/>
          <w:szCs w:val="24"/>
        </w:rPr>
        <w:t>SIMELANE, DAVID NDABENHLE</w:t>
      </w:r>
      <w:r w:rsidRPr="006C2324">
        <w:rPr>
          <w:rFonts w:ascii="Arial" w:hAnsi="Arial" w:cs="Arial"/>
          <w:bCs/>
          <w:sz w:val="24"/>
          <w:szCs w:val="24"/>
        </w:rPr>
        <w:tab/>
      </w:r>
      <w:r w:rsidRPr="006C2324">
        <w:rPr>
          <w:rFonts w:ascii="Arial" w:hAnsi="Arial" w:cs="Arial"/>
          <w:bCs/>
          <w:sz w:val="24"/>
          <w:szCs w:val="24"/>
        </w:rPr>
        <w:tab/>
      </w:r>
      <w:r w:rsidRPr="006C2324">
        <w:rPr>
          <w:rFonts w:ascii="Arial" w:hAnsi="Arial" w:cs="Arial"/>
          <w:bCs/>
          <w:sz w:val="24"/>
          <w:szCs w:val="24"/>
        </w:rPr>
        <w:tab/>
      </w:r>
      <w:r w:rsidRPr="006C2324">
        <w:rPr>
          <w:rFonts w:ascii="Arial" w:hAnsi="Arial" w:cs="Arial"/>
          <w:bCs/>
          <w:sz w:val="24"/>
          <w:szCs w:val="24"/>
        </w:rPr>
        <w:tab/>
      </w:r>
      <w:r w:rsidRPr="006C2324">
        <w:rPr>
          <w:rFonts w:ascii="Arial" w:hAnsi="Arial" w:cs="Arial"/>
          <w:bCs/>
          <w:sz w:val="24"/>
          <w:szCs w:val="24"/>
        </w:rPr>
        <w:tab/>
      </w:r>
      <w:r w:rsidR="006C2324">
        <w:rPr>
          <w:rFonts w:ascii="Arial" w:hAnsi="Arial" w:cs="Arial"/>
          <w:bCs/>
          <w:sz w:val="24"/>
          <w:szCs w:val="24"/>
        </w:rPr>
        <w:t xml:space="preserve">       </w:t>
      </w:r>
      <w:r w:rsidRPr="006C2324">
        <w:rPr>
          <w:rFonts w:ascii="Arial" w:hAnsi="Arial" w:cs="Arial"/>
          <w:bCs/>
          <w:sz w:val="24"/>
          <w:szCs w:val="24"/>
        </w:rPr>
        <w:t>Applicant</w:t>
      </w:r>
    </w:p>
    <w:p w14:paraId="007CBA2E" w14:textId="77777777" w:rsidR="007F2822" w:rsidRPr="006C2324" w:rsidRDefault="006C2324" w:rsidP="001A122F">
      <w:pPr>
        <w:spacing w:line="480" w:lineRule="auto"/>
        <w:jc w:val="left"/>
        <w:rPr>
          <w:rFonts w:ascii="Arial" w:hAnsi="Arial" w:cs="Arial"/>
          <w:bCs/>
          <w:sz w:val="24"/>
          <w:szCs w:val="24"/>
        </w:rPr>
      </w:pPr>
      <w:r>
        <w:rPr>
          <w:rFonts w:ascii="Arial" w:hAnsi="Arial" w:cs="Arial"/>
          <w:bCs/>
          <w:sz w:val="24"/>
          <w:szCs w:val="24"/>
        </w:rPr>
        <w:t>a</w:t>
      </w:r>
      <w:r w:rsidR="007F2822" w:rsidRPr="006C2324">
        <w:rPr>
          <w:rFonts w:ascii="Arial" w:hAnsi="Arial" w:cs="Arial"/>
          <w:bCs/>
          <w:sz w:val="24"/>
          <w:szCs w:val="24"/>
        </w:rPr>
        <w:t xml:space="preserve">nd </w:t>
      </w:r>
    </w:p>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35"/>
      </w:tblGrid>
      <w:tr w:rsidR="001A122F" w:rsidRPr="001A122F" w14:paraId="6B1EE244" w14:textId="77777777" w:rsidTr="001A122F">
        <w:tc>
          <w:tcPr>
            <w:tcW w:w="5954" w:type="dxa"/>
          </w:tcPr>
          <w:p w14:paraId="4BFF1834"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ROSEVEARE, SHAUN </w:t>
            </w:r>
          </w:p>
        </w:tc>
        <w:tc>
          <w:tcPr>
            <w:tcW w:w="2835" w:type="dxa"/>
          </w:tcPr>
          <w:p w14:paraId="14506427"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1</w:t>
            </w:r>
            <w:r w:rsidRPr="001A122F">
              <w:rPr>
                <w:rFonts w:ascii="Arial" w:hAnsi="Arial" w:cs="Arial"/>
                <w:sz w:val="24"/>
                <w:szCs w:val="24"/>
                <w:vertAlign w:val="superscript"/>
              </w:rPr>
              <w:t>st</w:t>
            </w:r>
            <w:r>
              <w:rPr>
                <w:rFonts w:ascii="Arial" w:hAnsi="Arial" w:cs="Arial"/>
                <w:sz w:val="24"/>
                <w:szCs w:val="24"/>
              </w:rPr>
              <w:t xml:space="preserve"> </w:t>
            </w:r>
            <w:r w:rsidR="007F2822">
              <w:rPr>
                <w:rFonts w:ascii="Arial" w:hAnsi="Arial" w:cs="Arial"/>
                <w:sz w:val="24"/>
                <w:szCs w:val="24"/>
              </w:rPr>
              <w:t>Respondent</w:t>
            </w:r>
          </w:p>
        </w:tc>
      </w:tr>
      <w:tr w:rsidR="001A122F" w:rsidRPr="001A122F" w14:paraId="10F158CB" w14:textId="77777777" w:rsidTr="001A122F">
        <w:tc>
          <w:tcPr>
            <w:tcW w:w="5954" w:type="dxa"/>
          </w:tcPr>
          <w:p w14:paraId="1ADB2A17"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ROSEVEARE, SHAUN BRADLEY N.O. </w:t>
            </w:r>
          </w:p>
        </w:tc>
        <w:tc>
          <w:tcPr>
            <w:tcW w:w="2835" w:type="dxa"/>
          </w:tcPr>
          <w:p w14:paraId="64EA70AC"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2</w:t>
            </w:r>
            <w:r w:rsidRPr="001A122F">
              <w:rPr>
                <w:rFonts w:ascii="Arial" w:hAnsi="Arial" w:cs="Arial"/>
                <w:sz w:val="24"/>
                <w:szCs w:val="24"/>
                <w:vertAlign w:val="superscript"/>
              </w:rPr>
              <w:t>nd</w:t>
            </w:r>
            <w:r>
              <w:rPr>
                <w:rFonts w:ascii="Arial" w:hAnsi="Arial" w:cs="Arial"/>
                <w:sz w:val="24"/>
                <w:szCs w:val="24"/>
              </w:rPr>
              <w:t xml:space="preserve"> </w:t>
            </w:r>
            <w:r w:rsidR="007F2822">
              <w:rPr>
                <w:rFonts w:ascii="Arial" w:hAnsi="Arial" w:cs="Arial"/>
                <w:sz w:val="24"/>
                <w:szCs w:val="24"/>
              </w:rPr>
              <w:t>Respondent</w:t>
            </w:r>
          </w:p>
        </w:tc>
      </w:tr>
      <w:tr w:rsidR="001A122F" w:rsidRPr="001A122F" w14:paraId="3EBD0C22" w14:textId="77777777" w:rsidTr="001A122F">
        <w:tc>
          <w:tcPr>
            <w:tcW w:w="5954" w:type="dxa"/>
          </w:tcPr>
          <w:p w14:paraId="15E82337"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ROSEVEARE, RYAN EDGAR DENNIS N.O. </w:t>
            </w:r>
          </w:p>
        </w:tc>
        <w:tc>
          <w:tcPr>
            <w:tcW w:w="2835" w:type="dxa"/>
          </w:tcPr>
          <w:p w14:paraId="059BA2B1"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3</w:t>
            </w:r>
            <w:r w:rsidRPr="001A122F">
              <w:rPr>
                <w:rFonts w:ascii="Arial" w:hAnsi="Arial" w:cs="Arial"/>
                <w:sz w:val="24"/>
                <w:szCs w:val="24"/>
                <w:vertAlign w:val="superscript"/>
              </w:rPr>
              <w:t>rd</w:t>
            </w:r>
            <w:r>
              <w:rPr>
                <w:rFonts w:ascii="Arial" w:hAnsi="Arial" w:cs="Arial"/>
                <w:sz w:val="24"/>
                <w:szCs w:val="24"/>
              </w:rPr>
              <w:t xml:space="preserve"> </w:t>
            </w:r>
            <w:r w:rsidR="007F2822">
              <w:rPr>
                <w:rFonts w:ascii="Arial" w:hAnsi="Arial" w:cs="Arial"/>
                <w:sz w:val="24"/>
                <w:szCs w:val="24"/>
              </w:rPr>
              <w:t>Respondent</w:t>
            </w:r>
          </w:p>
        </w:tc>
      </w:tr>
      <w:tr w:rsidR="001A122F" w:rsidRPr="001A122F" w14:paraId="17EF21E2" w14:textId="77777777" w:rsidTr="001A122F">
        <w:tc>
          <w:tcPr>
            <w:tcW w:w="5954" w:type="dxa"/>
          </w:tcPr>
          <w:p w14:paraId="75875827"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WHITTAKER, CHRISTINE MARY N.O. </w:t>
            </w:r>
          </w:p>
        </w:tc>
        <w:tc>
          <w:tcPr>
            <w:tcW w:w="2835" w:type="dxa"/>
          </w:tcPr>
          <w:p w14:paraId="644DCE45"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4</w:t>
            </w:r>
            <w:r w:rsidRPr="001A122F">
              <w:rPr>
                <w:rFonts w:ascii="Arial" w:hAnsi="Arial" w:cs="Arial"/>
                <w:sz w:val="24"/>
                <w:szCs w:val="24"/>
                <w:vertAlign w:val="superscript"/>
              </w:rPr>
              <w:t>th</w:t>
            </w:r>
            <w:r>
              <w:rPr>
                <w:rFonts w:ascii="Arial" w:hAnsi="Arial" w:cs="Arial"/>
                <w:sz w:val="24"/>
                <w:szCs w:val="24"/>
              </w:rPr>
              <w:t xml:space="preserve"> </w:t>
            </w:r>
            <w:r w:rsidR="007F2822">
              <w:rPr>
                <w:rFonts w:ascii="Arial" w:hAnsi="Arial" w:cs="Arial"/>
                <w:sz w:val="24"/>
                <w:szCs w:val="24"/>
              </w:rPr>
              <w:t>Respondent</w:t>
            </w:r>
          </w:p>
        </w:tc>
      </w:tr>
      <w:tr w:rsidR="001A122F" w:rsidRPr="001A122F" w14:paraId="3FC66721" w14:textId="77777777" w:rsidTr="001A122F">
        <w:tc>
          <w:tcPr>
            <w:tcW w:w="5954" w:type="dxa"/>
          </w:tcPr>
          <w:p w14:paraId="4BF39565"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MUNRO, CRAIG </w:t>
            </w:r>
          </w:p>
        </w:tc>
        <w:tc>
          <w:tcPr>
            <w:tcW w:w="2835" w:type="dxa"/>
          </w:tcPr>
          <w:p w14:paraId="5AB729AB"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5</w:t>
            </w:r>
            <w:r w:rsidRPr="001A122F">
              <w:rPr>
                <w:rFonts w:ascii="Arial" w:hAnsi="Arial" w:cs="Arial"/>
                <w:sz w:val="24"/>
                <w:szCs w:val="24"/>
                <w:vertAlign w:val="superscript"/>
              </w:rPr>
              <w:t>th</w:t>
            </w:r>
            <w:r>
              <w:rPr>
                <w:rFonts w:ascii="Arial" w:hAnsi="Arial" w:cs="Arial"/>
                <w:sz w:val="24"/>
                <w:szCs w:val="24"/>
              </w:rPr>
              <w:t xml:space="preserve"> </w:t>
            </w:r>
            <w:r w:rsidR="007F2822">
              <w:rPr>
                <w:rFonts w:ascii="Arial" w:hAnsi="Arial" w:cs="Arial"/>
                <w:sz w:val="24"/>
                <w:szCs w:val="24"/>
              </w:rPr>
              <w:t>Respondent</w:t>
            </w:r>
          </w:p>
        </w:tc>
      </w:tr>
      <w:tr w:rsidR="001A122F" w:rsidRPr="001A122F" w14:paraId="437D6C82" w14:textId="77777777" w:rsidTr="001A122F">
        <w:tc>
          <w:tcPr>
            <w:tcW w:w="5954" w:type="dxa"/>
          </w:tcPr>
          <w:p w14:paraId="396F26F1"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SHAULIS, STEVEN PATRICK </w:t>
            </w:r>
          </w:p>
        </w:tc>
        <w:tc>
          <w:tcPr>
            <w:tcW w:w="2835" w:type="dxa"/>
          </w:tcPr>
          <w:p w14:paraId="7835D01A"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6</w:t>
            </w:r>
            <w:r w:rsidRPr="001A122F">
              <w:rPr>
                <w:rFonts w:ascii="Arial" w:hAnsi="Arial" w:cs="Arial"/>
                <w:sz w:val="24"/>
                <w:szCs w:val="24"/>
                <w:vertAlign w:val="superscript"/>
              </w:rPr>
              <w:t>th</w:t>
            </w:r>
            <w:r>
              <w:rPr>
                <w:rFonts w:ascii="Arial" w:hAnsi="Arial" w:cs="Arial"/>
                <w:sz w:val="24"/>
                <w:szCs w:val="24"/>
              </w:rPr>
              <w:t xml:space="preserve"> </w:t>
            </w:r>
            <w:r w:rsidR="007F2822">
              <w:rPr>
                <w:rFonts w:ascii="Arial" w:hAnsi="Arial" w:cs="Arial"/>
                <w:sz w:val="24"/>
                <w:szCs w:val="24"/>
              </w:rPr>
              <w:t>Respondent</w:t>
            </w:r>
          </w:p>
        </w:tc>
      </w:tr>
      <w:tr w:rsidR="001A122F" w:rsidRPr="001A122F" w14:paraId="474468FF" w14:textId="77777777" w:rsidTr="001A122F">
        <w:trPr>
          <w:trHeight w:val="386"/>
        </w:trPr>
        <w:tc>
          <w:tcPr>
            <w:tcW w:w="5954" w:type="dxa"/>
          </w:tcPr>
          <w:p w14:paraId="3DB882D4"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NATIONAL AIRWAYS CORPORATION (PTY) LTD </w:t>
            </w:r>
          </w:p>
        </w:tc>
        <w:tc>
          <w:tcPr>
            <w:tcW w:w="2835" w:type="dxa"/>
          </w:tcPr>
          <w:p w14:paraId="6A7FE36B" w14:textId="7777777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7</w:t>
            </w:r>
            <w:r w:rsidRPr="001A122F">
              <w:rPr>
                <w:rFonts w:ascii="Arial" w:hAnsi="Arial" w:cs="Arial"/>
                <w:sz w:val="24"/>
                <w:szCs w:val="24"/>
                <w:vertAlign w:val="superscript"/>
              </w:rPr>
              <w:t>th</w:t>
            </w:r>
            <w:r>
              <w:rPr>
                <w:rFonts w:ascii="Arial" w:hAnsi="Arial" w:cs="Arial"/>
                <w:sz w:val="24"/>
                <w:szCs w:val="24"/>
              </w:rPr>
              <w:t xml:space="preserve"> </w:t>
            </w:r>
            <w:r w:rsidR="007F2822">
              <w:rPr>
                <w:rFonts w:ascii="Arial" w:hAnsi="Arial" w:cs="Arial"/>
                <w:sz w:val="24"/>
                <w:szCs w:val="24"/>
              </w:rPr>
              <w:t>Respondent</w:t>
            </w:r>
          </w:p>
        </w:tc>
      </w:tr>
      <w:tr w:rsidR="001A122F" w:rsidRPr="001A122F" w14:paraId="3A6B1585" w14:textId="77777777" w:rsidTr="006C2324">
        <w:trPr>
          <w:trHeight w:val="597"/>
        </w:trPr>
        <w:tc>
          <w:tcPr>
            <w:tcW w:w="5954" w:type="dxa"/>
          </w:tcPr>
          <w:p w14:paraId="267CD269" w14:textId="77777777" w:rsidR="001A122F" w:rsidRPr="001A122F" w:rsidRDefault="007F2822" w:rsidP="001A122F">
            <w:pPr>
              <w:spacing w:after="0"/>
              <w:rPr>
                <w:rFonts w:ascii="Arial" w:hAnsi="Arial" w:cs="Arial"/>
                <w:sz w:val="24"/>
                <w:szCs w:val="24"/>
              </w:rPr>
            </w:pPr>
            <w:r>
              <w:rPr>
                <w:rFonts w:ascii="Arial" w:hAnsi="Arial" w:cs="Arial"/>
                <w:sz w:val="24"/>
                <w:szCs w:val="24"/>
              </w:rPr>
              <w:t>(First to Seventh applicants in the main application)</w:t>
            </w:r>
          </w:p>
        </w:tc>
        <w:tc>
          <w:tcPr>
            <w:tcW w:w="2835" w:type="dxa"/>
          </w:tcPr>
          <w:p w14:paraId="1DA0BC78" w14:textId="77777777" w:rsidR="001A122F" w:rsidRPr="001A122F" w:rsidRDefault="001A122F" w:rsidP="001A122F">
            <w:pPr>
              <w:spacing w:after="0"/>
              <w:jc w:val="right"/>
              <w:rPr>
                <w:rFonts w:ascii="Arial" w:hAnsi="Arial" w:cs="Arial"/>
                <w:sz w:val="24"/>
                <w:szCs w:val="24"/>
              </w:rPr>
            </w:pPr>
          </w:p>
        </w:tc>
      </w:tr>
      <w:tr w:rsidR="001A122F" w:rsidRPr="001A122F" w14:paraId="627ACA87" w14:textId="77777777" w:rsidTr="001A122F">
        <w:trPr>
          <w:trHeight w:val="701"/>
        </w:trPr>
        <w:tc>
          <w:tcPr>
            <w:tcW w:w="5954" w:type="dxa"/>
          </w:tcPr>
          <w:p w14:paraId="3925658F" w14:textId="77777777" w:rsidR="001A122F" w:rsidRPr="001A122F" w:rsidRDefault="001A122F" w:rsidP="001A122F">
            <w:pPr>
              <w:spacing w:after="0"/>
              <w:rPr>
                <w:rFonts w:ascii="Arial" w:hAnsi="Arial" w:cs="Arial"/>
                <w:sz w:val="24"/>
                <w:szCs w:val="24"/>
              </w:rPr>
            </w:pPr>
            <w:r w:rsidRPr="001A122F">
              <w:rPr>
                <w:rFonts w:ascii="Arial" w:hAnsi="Arial" w:cs="Arial"/>
                <w:sz w:val="24"/>
                <w:szCs w:val="24"/>
              </w:rPr>
              <w:t xml:space="preserve">and </w:t>
            </w:r>
          </w:p>
        </w:tc>
        <w:tc>
          <w:tcPr>
            <w:tcW w:w="2835" w:type="dxa"/>
          </w:tcPr>
          <w:p w14:paraId="6AB5FB69" w14:textId="77777777" w:rsidR="001A122F" w:rsidRPr="001A122F" w:rsidRDefault="001A122F" w:rsidP="001A122F">
            <w:pPr>
              <w:spacing w:after="0"/>
              <w:jc w:val="right"/>
              <w:rPr>
                <w:rFonts w:ascii="Arial" w:hAnsi="Arial" w:cs="Arial"/>
                <w:sz w:val="24"/>
                <w:szCs w:val="24"/>
              </w:rPr>
            </w:pPr>
          </w:p>
        </w:tc>
      </w:tr>
      <w:tr w:rsidR="001A122F" w:rsidRPr="001A122F" w14:paraId="4C3B2387" w14:textId="77777777" w:rsidTr="001A122F">
        <w:tc>
          <w:tcPr>
            <w:tcW w:w="5954" w:type="dxa"/>
          </w:tcPr>
          <w:p w14:paraId="1BB87FA7"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ULTIMATE HELI (PTY) LIMITED </w:t>
            </w:r>
          </w:p>
        </w:tc>
        <w:tc>
          <w:tcPr>
            <w:tcW w:w="2835" w:type="dxa"/>
          </w:tcPr>
          <w:p w14:paraId="1005DEA5" w14:textId="77777777" w:rsidR="001A122F" w:rsidRPr="001A122F" w:rsidRDefault="007F2822" w:rsidP="001A122F">
            <w:pPr>
              <w:spacing w:after="0"/>
              <w:jc w:val="right"/>
              <w:rPr>
                <w:rFonts w:ascii="Arial" w:hAnsi="Arial" w:cs="Arial"/>
                <w:sz w:val="24"/>
                <w:szCs w:val="24"/>
              </w:rPr>
            </w:pPr>
            <w:r>
              <w:rPr>
                <w:rFonts w:ascii="Arial" w:hAnsi="Arial" w:cs="Arial"/>
                <w:sz w:val="24"/>
                <w:szCs w:val="24"/>
              </w:rPr>
              <w:t>8</w:t>
            </w:r>
            <w:r w:rsidRPr="007F2822">
              <w:rPr>
                <w:rFonts w:ascii="Arial" w:hAnsi="Arial" w:cs="Arial"/>
                <w:sz w:val="24"/>
                <w:szCs w:val="24"/>
                <w:vertAlign w:val="superscript"/>
              </w:rPr>
              <w:t>th</w:t>
            </w:r>
            <w:r w:rsidR="001A122F" w:rsidRPr="001A122F">
              <w:rPr>
                <w:rFonts w:ascii="Arial" w:hAnsi="Arial" w:cs="Arial"/>
                <w:sz w:val="24"/>
                <w:szCs w:val="24"/>
              </w:rPr>
              <w:t xml:space="preserve"> Respondent</w:t>
            </w:r>
          </w:p>
        </w:tc>
      </w:tr>
      <w:tr w:rsidR="001A122F" w:rsidRPr="001A122F" w14:paraId="44C89049" w14:textId="77777777" w:rsidTr="001A122F">
        <w:tc>
          <w:tcPr>
            <w:tcW w:w="5954" w:type="dxa"/>
          </w:tcPr>
          <w:p w14:paraId="13CEC5BE"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ULTIMATE AIRWAYS (PTY) LIMITED </w:t>
            </w:r>
          </w:p>
        </w:tc>
        <w:tc>
          <w:tcPr>
            <w:tcW w:w="2835" w:type="dxa"/>
          </w:tcPr>
          <w:p w14:paraId="7E84B960" w14:textId="77777777" w:rsidR="001A122F" w:rsidRPr="001A122F" w:rsidRDefault="007F2822" w:rsidP="001A122F">
            <w:pPr>
              <w:spacing w:after="0"/>
              <w:jc w:val="right"/>
              <w:rPr>
                <w:rFonts w:ascii="Arial" w:hAnsi="Arial" w:cs="Arial"/>
                <w:sz w:val="24"/>
                <w:szCs w:val="24"/>
              </w:rPr>
            </w:pPr>
            <w:r>
              <w:rPr>
                <w:rFonts w:ascii="Arial" w:hAnsi="Arial" w:cs="Arial"/>
                <w:sz w:val="24"/>
                <w:szCs w:val="24"/>
              </w:rPr>
              <w:t>9</w:t>
            </w:r>
            <w:r w:rsidRPr="007F2822">
              <w:rPr>
                <w:rFonts w:ascii="Arial" w:hAnsi="Arial" w:cs="Arial"/>
                <w:sz w:val="24"/>
                <w:szCs w:val="24"/>
                <w:vertAlign w:val="superscript"/>
              </w:rPr>
              <w:t>th</w:t>
            </w:r>
            <w:r w:rsidR="001A122F">
              <w:rPr>
                <w:rFonts w:ascii="Arial" w:hAnsi="Arial" w:cs="Arial"/>
                <w:sz w:val="24"/>
                <w:szCs w:val="24"/>
              </w:rPr>
              <w:t xml:space="preserve"> </w:t>
            </w:r>
            <w:r w:rsidR="001A122F" w:rsidRPr="001A122F">
              <w:rPr>
                <w:rFonts w:ascii="Arial" w:hAnsi="Arial" w:cs="Arial"/>
                <w:sz w:val="24"/>
                <w:szCs w:val="24"/>
              </w:rPr>
              <w:t>Respondent</w:t>
            </w:r>
          </w:p>
        </w:tc>
      </w:tr>
      <w:tr w:rsidR="001A122F" w:rsidRPr="001A122F" w14:paraId="44A9A8CB" w14:textId="77777777" w:rsidTr="001A122F">
        <w:tc>
          <w:tcPr>
            <w:tcW w:w="5954" w:type="dxa"/>
          </w:tcPr>
          <w:p w14:paraId="5D541676"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ULTIMATE HELIPORT (PTY) LIMITED </w:t>
            </w:r>
          </w:p>
        </w:tc>
        <w:tc>
          <w:tcPr>
            <w:tcW w:w="2835" w:type="dxa"/>
          </w:tcPr>
          <w:p w14:paraId="7DEE93D1" w14:textId="77777777" w:rsidR="001A122F" w:rsidRPr="001A122F" w:rsidRDefault="007F2822" w:rsidP="001A122F">
            <w:pPr>
              <w:spacing w:after="0"/>
              <w:jc w:val="right"/>
              <w:rPr>
                <w:rFonts w:ascii="Arial" w:hAnsi="Arial" w:cs="Arial"/>
                <w:sz w:val="24"/>
                <w:szCs w:val="24"/>
              </w:rPr>
            </w:pPr>
            <w:r>
              <w:rPr>
                <w:rFonts w:ascii="Arial" w:hAnsi="Arial" w:cs="Arial"/>
                <w:sz w:val="24"/>
                <w:szCs w:val="24"/>
              </w:rPr>
              <w:t>10</w:t>
            </w:r>
            <w:r w:rsidRPr="007F2822">
              <w:rPr>
                <w:rFonts w:ascii="Arial" w:hAnsi="Arial" w:cs="Arial"/>
                <w:sz w:val="24"/>
                <w:szCs w:val="24"/>
                <w:vertAlign w:val="superscript"/>
              </w:rPr>
              <w:t>th</w:t>
            </w:r>
            <w:r w:rsidR="001A122F">
              <w:rPr>
                <w:rFonts w:ascii="Arial" w:hAnsi="Arial" w:cs="Arial"/>
                <w:sz w:val="24"/>
                <w:szCs w:val="24"/>
              </w:rPr>
              <w:t xml:space="preserve"> </w:t>
            </w:r>
            <w:r w:rsidR="001A122F" w:rsidRPr="001A122F">
              <w:rPr>
                <w:rFonts w:ascii="Arial" w:hAnsi="Arial" w:cs="Arial"/>
                <w:sz w:val="24"/>
                <w:szCs w:val="24"/>
              </w:rPr>
              <w:t>Respondent</w:t>
            </w:r>
          </w:p>
        </w:tc>
      </w:tr>
      <w:tr w:rsidR="007F2822" w:rsidRPr="001A122F" w14:paraId="079CBEF0" w14:textId="77777777" w:rsidTr="001A122F">
        <w:tc>
          <w:tcPr>
            <w:tcW w:w="5954" w:type="dxa"/>
          </w:tcPr>
          <w:p w14:paraId="3BBD54EE" w14:textId="6B63B023" w:rsidR="007F2822" w:rsidRPr="007F2822" w:rsidRDefault="007F2822" w:rsidP="001A122F">
            <w:pPr>
              <w:spacing w:after="0"/>
              <w:rPr>
                <w:rFonts w:ascii="Arial" w:hAnsi="Arial" w:cs="Arial"/>
                <w:bCs/>
                <w:sz w:val="24"/>
                <w:szCs w:val="24"/>
              </w:rPr>
            </w:pPr>
            <w:r>
              <w:rPr>
                <w:rFonts w:ascii="Arial" w:hAnsi="Arial" w:cs="Arial"/>
                <w:bCs/>
                <w:sz w:val="24"/>
                <w:szCs w:val="24"/>
              </w:rPr>
              <w:t>(</w:t>
            </w:r>
            <w:r w:rsidR="00FA07A9">
              <w:rPr>
                <w:rFonts w:ascii="Arial" w:hAnsi="Arial" w:cs="Arial"/>
                <w:bCs/>
                <w:sz w:val="24"/>
                <w:szCs w:val="24"/>
              </w:rPr>
              <w:t>Second</w:t>
            </w:r>
            <w:r>
              <w:rPr>
                <w:rFonts w:ascii="Arial" w:hAnsi="Arial" w:cs="Arial"/>
                <w:bCs/>
                <w:sz w:val="24"/>
                <w:szCs w:val="24"/>
              </w:rPr>
              <w:t xml:space="preserve"> to fourth respondents in the main application)</w:t>
            </w:r>
          </w:p>
        </w:tc>
        <w:tc>
          <w:tcPr>
            <w:tcW w:w="2835" w:type="dxa"/>
          </w:tcPr>
          <w:p w14:paraId="696FF87D" w14:textId="77777777" w:rsidR="007F2822" w:rsidRDefault="007F2822" w:rsidP="001A122F">
            <w:pPr>
              <w:spacing w:after="0"/>
              <w:jc w:val="right"/>
              <w:rPr>
                <w:rFonts w:ascii="Arial" w:hAnsi="Arial" w:cs="Arial"/>
                <w:sz w:val="24"/>
                <w:szCs w:val="24"/>
              </w:rPr>
            </w:pPr>
          </w:p>
        </w:tc>
      </w:tr>
    </w:tbl>
    <w:p w14:paraId="2355A367" w14:textId="77777777" w:rsidR="001A122F" w:rsidRPr="001A122F" w:rsidRDefault="001A122F" w:rsidP="001A122F">
      <w:pPr>
        <w:pBdr>
          <w:top w:val="single" w:sz="12" w:space="1" w:color="auto"/>
          <w:bottom w:val="single" w:sz="12" w:space="1" w:color="auto"/>
        </w:pBdr>
        <w:spacing w:after="0" w:line="240" w:lineRule="auto"/>
        <w:jc w:val="center"/>
        <w:rPr>
          <w:rFonts w:ascii="Arial" w:hAnsi="Arial" w:cs="Arial"/>
          <w:sz w:val="24"/>
          <w:szCs w:val="24"/>
        </w:rPr>
      </w:pPr>
    </w:p>
    <w:p w14:paraId="276A7252" w14:textId="77777777" w:rsidR="001A122F" w:rsidRPr="001A122F" w:rsidRDefault="00F81D77" w:rsidP="001A122F">
      <w:pPr>
        <w:pBdr>
          <w:top w:val="single" w:sz="12" w:space="1" w:color="auto"/>
          <w:bottom w:val="single" w:sz="12" w:space="1" w:color="auto"/>
        </w:pBdr>
        <w:spacing w:after="0" w:line="240" w:lineRule="auto"/>
        <w:jc w:val="center"/>
        <w:rPr>
          <w:rFonts w:ascii="Arial" w:hAnsi="Arial" w:cs="Arial"/>
          <w:b/>
          <w:bCs/>
          <w:sz w:val="24"/>
          <w:szCs w:val="24"/>
        </w:rPr>
      </w:pPr>
      <w:r>
        <w:rPr>
          <w:rFonts w:ascii="Arial" w:hAnsi="Arial" w:cs="Arial"/>
          <w:b/>
          <w:bCs/>
          <w:sz w:val="24"/>
          <w:szCs w:val="24"/>
        </w:rPr>
        <w:t>JUDGMENT LEAVE TO APPEAL</w:t>
      </w:r>
    </w:p>
    <w:p w14:paraId="39B08DB4" w14:textId="77777777" w:rsidR="001A122F" w:rsidRPr="008C71E2" w:rsidRDefault="001A122F" w:rsidP="001A122F">
      <w:pPr>
        <w:pBdr>
          <w:top w:val="single" w:sz="12" w:space="1" w:color="auto"/>
          <w:bottom w:val="single" w:sz="12" w:space="1" w:color="auto"/>
        </w:pBdr>
        <w:spacing w:after="0" w:line="240" w:lineRule="auto"/>
        <w:rPr>
          <w:rFonts w:ascii="Arial" w:hAnsi="Arial" w:cs="Arial"/>
          <w:b/>
          <w:bCs/>
        </w:rPr>
      </w:pPr>
    </w:p>
    <w:p w14:paraId="45390B08" w14:textId="77777777" w:rsidR="006C2324" w:rsidRPr="006C2324" w:rsidRDefault="006C2324" w:rsidP="006C2324">
      <w:pPr>
        <w:pStyle w:val="ListLevel1"/>
        <w:numPr>
          <w:ilvl w:val="0"/>
          <w:numId w:val="0"/>
        </w:numPr>
        <w:spacing w:after="0"/>
        <w:ind w:left="851" w:hanging="851"/>
        <w:rPr>
          <w:b/>
        </w:rPr>
      </w:pPr>
    </w:p>
    <w:p w14:paraId="3869072D" w14:textId="0CD4D534" w:rsidR="001A122F" w:rsidRDefault="001A122F" w:rsidP="006C2324">
      <w:pPr>
        <w:pStyle w:val="ListLevel1"/>
        <w:numPr>
          <w:ilvl w:val="0"/>
          <w:numId w:val="0"/>
        </w:numPr>
        <w:ind w:left="851" w:hanging="851"/>
        <w:rPr>
          <w:b/>
        </w:rPr>
      </w:pPr>
      <w:r w:rsidRPr="006C2324">
        <w:rPr>
          <w:b/>
        </w:rPr>
        <w:t>MAHOMED AJ</w:t>
      </w:r>
    </w:p>
    <w:p w14:paraId="5C03E67C" w14:textId="7A25A764" w:rsidR="00C2797D" w:rsidRPr="006C2324" w:rsidRDefault="00C2797D" w:rsidP="006C2324">
      <w:pPr>
        <w:pStyle w:val="ListLevel1"/>
        <w:numPr>
          <w:ilvl w:val="0"/>
          <w:numId w:val="0"/>
        </w:numPr>
        <w:ind w:left="851" w:hanging="851"/>
        <w:rPr>
          <w:b/>
        </w:rPr>
      </w:pPr>
      <w:r>
        <w:rPr>
          <w:b/>
        </w:rPr>
        <w:t>INTRODUCTION</w:t>
      </w:r>
    </w:p>
    <w:p w14:paraId="304517F3" w14:textId="1DA82221" w:rsidR="0067517D" w:rsidRDefault="002D0BE8" w:rsidP="002D0BE8">
      <w:pPr>
        <w:pStyle w:val="ListLevel1"/>
        <w:numPr>
          <w:ilvl w:val="0"/>
          <w:numId w:val="0"/>
        </w:numPr>
        <w:tabs>
          <w:tab w:val="left" w:pos="851"/>
        </w:tabs>
        <w:ind w:left="851" w:hanging="851"/>
      </w:pPr>
      <w:r>
        <w:t>1.</w:t>
      </w:r>
      <w:r>
        <w:tab/>
      </w:r>
      <w:r w:rsidR="007F2822">
        <w:t xml:space="preserve">The applicant applied for leave to appeal </w:t>
      </w:r>
      <w:r w:rsidR="00FA07A9">
        <w:t>a</w:t>
      </w:r>
      <w:r w:rsidR="00C2797D">
        <w:t xml:space="preserve"> dismissal of an application for a postponement, which I heard </w:t>
      </w:r>
      <w:r w:rsidR="00F0441D">
        <w:t xml:space="preserve">on </w:t>
      </w:r>
      <w:r w:rsidR="0067517D">
        <w:t>5</w:t>
      </w:r>
      <w:r w:rsidR="007F2822" w:rsidRPr="007F2822">
        <w:rPr>
          <w:vertAlign w:val="superscript"/>
        </w:rPr>
        <w:t>th</w:t>
      </w:r>
      <w:r w:rsidR="007F2822">
        <w:t xml:space="preserve"> September 2022</w:t>
      </w:r>
      <w:r w:rsidR="00F0441D">
        <w:t>.</w:t>
      </w:r>
      <w:r w:rsidR="00241F9F">
        <w:rPr>
          <w:rStyle w:val="FootnoteReference"/>
          <w:rFonts w:cs="Arial"/>
          <w:sz w:val="24"/>
          <w:szCs w:val="24"/>
        </w:rPr>
        <w:footnoteReference w:id="1"/>
      </w:r>
      <w:r w:rsidR="007F2822">
        <w:t xml:space="preserve">.  </w:t>
      </w:r>
      <w:r w:rsidR="00241F9F">
        <w:t xml:space="preserve">On </w:t>
      </w:r>
      <w:r w:rsidR="00FA07A9">
        <w:t>8 September 2022,</w:t>
      </w:r>
      <w:r w:rsidR="00241F9F">
        <w:t xml:space="preserve"> the applicant filed a notice for leave to appeal,</w:t>
      </w:r>
      <w:r w:rsidR="00BD3288">
        <w:rPr>
          <w:rStyle w:val="FootnoteReference"/>
          <w:rFonts w:cs="Arial"/>
          <w:sz w:val="24"/>
          <w:szCs w:val="24"/>
        </w:rPr>
        <w:footnoteReference w:id="2"/>
      </w:r>
      <w:r w:rsidR="00241F9F">
        <w:t xml:space="preserve"> wherein he reserved his right to supplement his grounds </w:t>
      </w:r>
      <w:r w:rsidR="0067517D">
        <w:t xml:space="preserve">of appeal </w:t>
      </w:r>
      <w:r w:rsidR="00241F9F">
        <w:t xml:space="preserve">upon receipt of my reasons.  </w:t>
      </w:r>
      <w:r w:rsidR="00F0441D">
        <w:t xml:space="preserve">The </w:t>
      </w:r>
      <w:r w:rsidR="0067517D">
        <w:t xml:space="preserve">respondents (the applicants in the main application) filed </w:t>
      </w:r>
      <w:r w:rsidR="00FA07A9">
        <w:t xml:space="preserve">their </w:t>
      </w:r>
      <w:r w:rsidR="00F0441D">
        <w:t>heads of argument.</w:t>
      </w:r>
      <w:r w:rsidR="00F0441D">
        <w:rPr>
          <w:rStyle w:val="FootnoteReference"/>
          <w:rFonts w:cs="Arial"/>
          <w:sz w:val="24"/>
          <w:szCs w:val="24"/>
        </w:rPr>
        <w:footnoteReference w:id="3"/>
      </w:r>
      <w:r w:rsidR="00F0441D">
        <w:t xml:space="preserve"> </w:t>
      </w:r>
    </w:p>
    <w:p w14:paraId="65B48D82" w14:textId="5F2B5D53" w:rsidR="00BD3288" w:rsidRPr="0067517D" w:rsidRDefault="002D0BE8" w:rsidP="002D0BE8">
      <w:pPr>
        <w:pStyle w:val="ListLevel1"/>
        <w:numPr>
          <w:ilvl w:val="0"/>
          <w:numId w:val="0"/>
        </w:numPr>
        <w:tabs>
          <w:tab w:val="left" w:pos="851"/>
        </w:tabs>
        <w:ind w:left="851" w:hanging="851"/>
      </w:pPr>
      <w:r w:rsidRPr="0067517D">
        <w:t>2.</w:t>
      </w:r>
      <w:r w:rsidRPr="0067517D">
        <w:tab/>
      </w:r>
      <w:r w:rsidR="00BD3288" w:rsidRPr="0067517D">
        <w:t xml:space="preserve">At the hearing of this application the applicant’s counsel Advocate F Saint, </w:t>
      </w:r>
      <w:r w:rsidR="00C2797D">
        <w:t xml:space="preserve">abandoned the </w:t>
      </w:r>
      <w:r w:rsidR="0067517D">
        <w:t>extensive</w:t>
      </w:r>
      <w:r w:rsidR="00BD3288" w:rsidRPr="0067517D">
        <w:t xml:space="preserve"> grounds of appeal </w:t>
      </w:r>
      <w:r w:rsidR="00C2797D">
        <w:t xml:space="preserve">in his notice </w:t>
      </w:r>
      <w:r w:rsidR="00BD3288" w:rsidRPr="0067517D">
        <w:t xml:space="preserve">and accepted the reasons for </w:t>
      </w:r>
      <w:r w:rsidR="00EB2549">
        <w:t xml:space="preserve">my </w:t>
      </w:r>
      <w:r w:rsidR="00BD3288" w:rsidRPr="0067517D">
        <w:t>judgment.</w:t>
      </w:r>
      <w:r w:rsidR="00B1712D">
        <w:rPr>
          <w:rStyle w:val="FootnoteReference"/>
          <w:rFonts w:cs="Arial"/>
          <w:sz w:val="24"/>
          <w:szCs w:val="24"/>
        </w:rPr>
        <w:footnoteReference w:id="4"/>
      </w:r>
    </w:p>
    <w:p w14:paraId="5AA591F6" w14:textId="04A593FF" w:rsidR="00BD3288" w:rsidRDefault="002D0BE8" w:rsidP="002D0BE8">
      <w:pPr>
        <w:pStyle w:val="ListLevel1"/>
        <w:numPr>
          <w:ilvl w:val="0"/>
          <w:numId w:val="0"/>
        </w:numPr>
        <w:tabs>
          <w:tab w:val="left" w:pos="851"/>
        </w:tabs>
        <w:ind w:left="851" w:hanging="851"/>
      </w:pPr>
      <w:r>
        <w:t>3.</w:t>
      </w:r>
      <w:r>
        <w:tab/>
      </w:r>
      <w:r w:rsidR="00BD3288">
        <w:t>Mr Saint</w:t>
      </w:r>
      <w:r w:rsidR="00EB2549">
        <w:t>, however,</w:t>
      </w:r>
      <w:r w:rsidR="00BD3288">
        <w:t xml:space="preserve"> raised the point that the order I </w:t>
      </w:r>
      <w:r w:rsidR="00F0441D">
        <w:t xml:space="preserve">granted </w:t>
      </w:r>
      <w:r w:rsidR="00BD3288">
        <w:t>is i</w:t>
      </w:r>
      <w:r w:rsidR="00C2797D">
        <w:t>rregular</w:t>
      </w:r>
      <w:r w:rsidR="00BD3288">
        <w:t xml:space="preserve"> in that it does not inform the applicant </w:t>
      </w:r>
      <w:r w:rsidR="00C52592">
        <w:t xml:space="preserve">of the values </w:t>
      </w:r>
      <w:r w:rsidR="00BD3288">
        <w:t xml:space="preserve">he would be paid </w:t>
      </w:r>
      <w:r w:rsidR="00BD3288">
        <w:lastRenderedPageBreak/>
        <w:t>for the shares in each of the entities.</w:t>
      </w:r>
      <w:r w:rsidR="00EB2549">
        <w:t xml:space="preserve">  He argued there must be some reciprocity.</w:t>
      </w:r>
    </w:p>
    <w:p w14:paraId="66D71203" w14:textId="68EC3F90" w:rsidR="00C2797D" w:rsidRPr="00C2797D" w:rsidRDefault="00C2797D" w:rsidP="00C2797D">
      <w:pPr>
        <w:pStyle w:val="ListLevel1"/>
        <w:numPr>
          <w:ilvl w:val="0"/>
          <w:numId w:val="0"/>
        </w:numPr>
        <w:rPr>
          <w:b/>
          <w:bCs/>
        </w:rPr>
      </w:pPr>
      <w:r w:rsidRPr="00C2797D">
        <w:rPr>
          <w:b/>
          <w:bCs/>
        </w:rPr>
        <w:t>BACKROUND</w:t>
      </w:r>
    </w:p>
    <w:p w14:paraId="1CDD6D20" w14:textId="05B4D03E" w:rsidR="00A413C7" w:rsidRDefault="002D0BE8" w:rsidP="002D0BE8">
      <w:pPr>
        <w:pStyle w:val="ListLevel1"/>
        <w:numPr>
          <w:ilvl w:val="0"/>
          <w:numId w:val="0"/>
        </w:numPr>
        <w:tabs>
          <w:tab w:val="left" w:pos="851"/>
        </w:tabs>
        <w:ind w:left="851" w:hanging="851"/>
      </w:pPr>
      <w:r>
        <w:t>4.</w:t>
      </w:r>
      <w:r>
        <w:tab/>
      </w:r>
      <w:r w:rsidR="00EB2549">
        <w:t>Following on my refusal of the</w:t>
      </w:r>
      <w:r w:rsidR="00B1712D">
        <w:t xml:space="preserve"> application for </w:t>
      </w:r>
      <w:r w:rsidR="00C2797D">
        <w:t xml:space="preserve">a </w:t>
      </w:r>
      <w:r w:rsidR="00BC50C3">
        <w:t xml:space="preserve">postponement, </w:t>
      </w:r>
      <w:proofErr w:type="spellStart"/>
      <w:r w:rsidR="00BC50C3">
        <w:t>Miltz</w:t>
      </w:r>
      <w:proofErr w:type="spellEnd"/>
      <w:r w:rsidR="00F0441D">
        <w:t xml:space="preserve"> SC applied for </w:t>
      </w:r>
      <w:r w:rsidR="00BD3288">
        <w:t xml:space="preserve">the striking </w:t>
      </w:r>
      <w:r w:rsidR="0067517D">
        <w:t>off</w:t>
      </w:r>
      <w:r w:rsidR="00BD3288">
        <w:t xml:space="preserve"> the </w:t>
      </w:r>
      <w:r w:rsidR="00C52592">
        <w:t>applicant’s</w:t>
      </w:r>
      <w:r w:rsidR="00F0441D">
        <w:t xml:space="preserve"> </w:t>
      </w:r>
      <w:r w:rsidR="00C52592">
        <w:t>(the first respondent in the main application)</w:t>
      </w:r>
      <w:r w:rsidR="00BD3288">
        <w:t xml:space="preserve"> </w:t>
      </w:r>
      <w:proofErr w:type="spellStart"/>
      <w:r w:rsidR="00F0441D">
        <w:t>defense</w:t>
      </w:r>
      <w:proofErr w:type="spellEnd"/>
      <w:r w:rsidR="00BD3288">
        <w:t xml:space="preserve"> in the main application.</w:t>
      </w:r>
    </w:p>
    <w:p w14:paraId="75B02788" w14:textId="2A11BE0D" w:rsidR="00BD3288" w:rsidRDefault="002D0BE8" w:rsidP="002D0BE8">
      <w:pPr>
        <w:pStyle w:val="ListLevel1"/>
        <w:numPr>
          <w:ilvl w:val="0"/>
          <w:numId w:val="0"/>
        </w:numPr>
        <w:tabs>
          <w:tab w:val="left" w:pos="851"/>
        </w:tabs>
        <w:ind w:left="851" w:hanging="851"/>
      </w:pPr>
      <w:r>
        <w:t>5.</w:t>
      </w:r>
      <w:r>
        <w:tab/>
      </w:r>
      <w:r w:rsidR="00BD3288">
        <w:t xml:space="preserve">I struck out the </w:t>
      </w:r>
      <w:proofErr w:type="spellStart"/>
      <w:r w:rsidR="00BD3288">
        <w:t>defense</w:t>
      </w:r>
      <w:proofErr w:type="spellEnd"/>
      <w:r w:rsidR="00BD3288">
        <w:t xml:space="preserve"> for the reasons set out in my </w:t>
      </w:r>
      <w:r w:rsidR="00F0441D">
        <w:t>judgment</w:t>
      </w:r>
      <w:r w:rsidR="00B1712D">
        <w:rPr>
          <w:rStyle w:val="FootnoteReference"/>
          <w:rFonts w:cs="Arial"/>
          <w:sz w:val="24"/>
          <w:szCs w:val="24"/>
        </w:rPr>
        <w:footnoteReference w:id="5"/>
      </w:r>
      <w:r w:rsidR="00F0441D">
        <w:t xml:space="preserve"> and</w:t>
      </w:r>
      <w:r w:rsidR="00BD3288">
        <w:t xml:space="preserve"> proceeded to hear the </w:t>
      </w:r>
      <w:r w:rsidR="00F0441D">
        <w:t>main application by default.</w:t>
      </w:r>
    </w:p>
    <w:p w14:paraId="01E9947B" w14:textId="64EE6E7E" w:rsidR="00BD3288" w:rsidRDefault="002D0BE8" w:rsidP="002D0BE8">
      <w:pPr>
        <w:pStyle w:val="ListLevel1"/>
        <w:numPr>
          <w:ilvl w:val="0"/>
          <w:numId w:val="0"/>
        </w:numPr>
        <w:tabs>
          <w:tab w:val="left" w:pos="851"/>
        </w:tabs>
        <w:ind w:left="851" w:hanging="851"/>
      </w:pPr>
      <w:r>
        <w:t>6.</w:t>
      </w:r>
      <w:r>
        <w:tab/>
      </w:r>
      <w:proofErr w:type="spellStart"/>
      <w:r w:rsidR="00FE6741">
        <w:t>Miltz</w:t>
      </w:r>
      <w:proofErr w:type="spellEnd"/>
      <w:r w:rsidR="00FE6741">
        <w:t xml:space="preserve"> SC made submi</w:t>
      </w:r>
      <w:r w:rsidR="00BC50C3">
        <w:t>s</w:t>
      </w:r>
      <w:r w:rsidR="00FE6741">
        <w:t xml:space="preserve">sions on </w:t>
      </w:r>
      <w:r w:rsidR="00FD3335">
        <w:t>a</w:t>
      </w:r>
      <w:r w:rsidR="00FE6741">
        <w:t xml:space="preserve"> </w:t>
      </w:r>
      <w:r w:rsidR="00C52592" w:rsidRPr="00FE6741">
        <w:t>breach of contract</w:t>
      </w:r>
      <w:r w:rsidR="00B1712D">
        <w:t>,</w:t>
      </w:r>
      <w:r w:rsidR="00C52592" w:rsidRPr="00FE6741">
        <w:t xml:space="preserve"> </w:t>
      </w:r>
      <w:r w:rsidR="00FD3335">
        <w:t xml:space="preserve">on </w:t>
      </w:r>
      <w:r w:rsidR="00C52592" w:rsidRPr="00FE6741">
        <w:t xml:space="preserve">the </w:t>
      </w:r>
      <w:r w:rsidR="00BC50C3">
        <w:t>evidence to prove</w:t>
      </w:r>
      <w:r w:rsidR="00C52592" w:rsidRPr="00FE6741">
        <w:t xml:space="preserve"> </w:t>
      </w:r>
      <w:r w:rsidR="00FE6741" w:rsidRPr="00FE6741">
        <w:t xml:space="preserve">prejudicial conduct in terms of </w:t>
      </w:r>
      <w:r w:rsidR="00C52592" w:rsidRPr="00FE6741">
        <w:t>s</w:t>
      </w:r>
      <w:r w:rsidR="00FE6741" w:rsidRPr="00FE6741">
        <w:t>163 o</w:t>
      </w:r>
      <w:r w:rsidR="00C52592" w:rsidRPr="00FE6741">
        <w:t xml:space="preserve">f the Companies Act </w:t>
      </w:r>
      <w:r w:rsidR="00FE6741" w:rsidRPr="00FE6741">
        <w:t xml:space="preserve">71 </w:t>
      </w:r>
      <w:r w:rsidR="00C52592" w:rsidRPr="00FE6741">
        <w:t xml:space="preserve">of </w:t>
      </w:r>
      <w:r w:rsidR="00FE6741" w:rsidRPr="00FE6741">
        <w:t>2008</w:t>
      </w:r>
      <w:r w:rsidR="0067517D">
        <w:t xml:space="preserve"> a</w:t>
      </w:r>
      <w:r w:rsidR="00B1712D">
        <w:t xml:space="preserve">nd </w:t>
      </w:r>
      <w:r w:rsidR="00FD3335">
        <w:t>he</w:t>
      </w:r>
      <w:r w:rsidR="00B1712D">
        <w:t xml:space="preserve"> </w:t>
      </w:r>
      <w:r w:rsidR="00BC50C3">
        <w:t xml:space="preserve">referenced </w:t>
      </w:r>
      <w:r w:rsidR="00B1712D">
        <w:t xml:space="preserve">the </w:t>
      </w:r>
      <w:r w:rsidR="006B5155">
        <w:t>“deemed offer</w:t>
      </w:r>
      <w:r w:rsidR="00B1712D">
        <w:t>”</w:t>
      </w:r>
      <w:r w:rsidR="006B5155">
        <w:t xml:space="preserve"> provision in the agreements</w:t>
      </w:r>
      <w:r w:rsidR="00BC50C3">
        <w:t xml:space="preserve"> concluded between the parties, for the order sought</w:t>
      </w:r>
      <w:r w:rsidR="00FD3335">
        <w:t>.</w:t>
      </w:r>
      <w:r w:rsidR="00BC50C3">
        <w:t xml:space="preserve"> </w:t>
      </w:r>
    </w:p>
    <w:p w14:paraId="78F1E0C3" w14:textId="040C3F8B" w:rsidR="00FE6741" w:rsidRDefault="002D0BE8" w:rsidP="002D0BE8">
      <w:pPr>
        <w:pStyle w:val="ListLevel1"/>
        <w:numPr>
          <w:ilvl w:val="0"/>
          <w:numId w:val="0"/>
        </w:numPr>
        <w:tabs>
          <w:tab w:val="left" w:pos="851"/>
        </w:tabs>
        <w:ind w:left="851" w:hanging="851"/>
      </w:pPr>
      <w:r>
        <w:t>7.</w:t>
      </w:r>
      <w:r>
        <w:tab/>
      </w:r>
      <w:r w:rsidR="00FE6741">
        <w:t xml:space="preserve">Having heard counsel on the formula applied for the assessment of the value of the shares in each of the three entities, and the </w:t>
      </w:r>
      <w:r w:rsidR="00B1712D">
        <w:t xml:space="preserve">values </w:t>
      </w:r>
      <w:r w:rsidR="00BC50C3">
        <w:t>as assessed</w:t>
      </w:r>
      <w:r w:rsidR="00FE6741">
        <w:t>, I granted the order</w:t>
      </w:r>
      <w:r w:rsidR="00F0441D">
        <w:t xml:space="preserve"> as appeared on file and </w:t>
      </w:r>
      <w:r w:rsidR="00B1712D">
        <w:t>i</w:t>
      </w:r>
      <w:r w:rsidR="00F0441D">
        <w:t>n the notice of motion.</w:t>
      </w:r>
    </w:p>
    <w:p w14:paraId="72488DE1" w14:textId="5019ACEF" w:rsidR="00FE6741" w:rsidRDefault="002D0BE8" w:rsidP="002D0BE8">
      <w:pPr>
        <w:pStyle w:val="ListLevel1"/>
        <w:numPr>
          <w:ilvl w:val="0"/>
          <w:numId w:val="0"/>
        </w:numPr>
        <w:tabs>
          <w:tab w:val="left" w:pos="851"/>
        </w:tabs>
        <w:ind w:left="851" w:hanging="851"/>
      </w:pPr>
      <w:r>
        <w:lastRenderedPageBreak/>
        <w:t>8.</w:t>
      </w:r>
      <w:r>
        <w:tab/>
      </w:r>
      <w:r w:rsidR="00FE6741">
        <w:t xml:space="preserve">During the hearing of the application for </w:t>
      </w:r>
      <w:r w:rsidR="00BC50C3">
        <w:t xml:space="preserve">a </w:t>
      </w:r>
      <w:r w:rsidR="00FE6741">
        <w:t xml:space="preserve">postponement, Mr Saint </w:t>
      </w:r>
      <w:r w:rsidR="00B1712D">
        <w:t xml:space="preserve">argued that the assessed values of </w:t>
      </w:r>
      <w:r w:rsidR="00FE6741">
        <w:t>the share</w:t>
      </w:r>
      <w:r w:rsidR="00B1712D">
        <w:t>s</w:t>
      </w:r>
      <w:r w:rsidR="00FE6741">
        <w:t xml:space="preserve"> in the entities were not fair value.</w:t>
      </w:r>
      <w:r w:rsidR="00B1712D">
        <w:t xml:space="preserve">  He submitted they were undervalued but failed to proffer any values which in </w:t>
      </w:r>
      <w:r w:rsidR="00BC50C3">
        <w:t xml:space="preserve">the applicant’s </w:t>
      </w:r>
      <w:r w:rsidR="00B1712D">
        <w:t>view would be fair.</w:t>
      </w:r>
    </w:p>
    <w:p w14:paraId="6477D703" w14:textId="3AD9C9A6" w:rsidR="00FE6741" w:rsidRDefault="002D0BE8" w:rsidP="002D0BE8">
      <w:pPr>
        <w:pStyle w:val="ListLevel1"/>
        <w:numPr>
          <w:ilvl w:val="0"/>
          <w:numId w:val="0"/>
        </w:numPr>
        <w:tabs>
          <w:tab w:val="left" w:pos="851"/>
        </w:tabs>
        <w:ind w:left="851" w:hanging="851"/>
      </w:pPr>
      <w:r>
        <w:t>9.</w:t>
      </w:r>
      <w:r>
        <w:tab/>
      </w:r>
      <w:r w:rsidR="00FE6741">
        <w:t>The applicant</w:t>
      </w:r>
      <w:r w:rsidR="00BC50C3">
        <w:t>’</w:t>
      </w:r>
      <w:r w:rsidR="00FE6741">
        <w:t xml:space="preserve">s only </w:t>
      </w:r>
      <w:proofErr w:type="spellStart"/>
      <w:r w:rsidR="00F0441D">
        <w:t>defense</w:t>
      </w:r>
      <w:proofErr w:type="spellEnd"/>
      <w:r w:rsidR="00FE6741">
        <w:t xml:space="preserve"> was th</w:t>
      </w:r>
      <w:r w:rsidR="00B1712D">
        <w:t>at the</w:t>
      </w:r>
      <w:r w:rsidR="00FE6741">
        <w:t xml:space="preserve"> shares were undervalued.  </w:t>
      </w:r>
      <w:r w:rsidR="00FA07A9">
        <w:t>Obviously,</w:t>
      </w:r>
      <w:r w:rsidR="00BC50C3">
        <w:t xml:space="preserve"> </w:t>
      </w:r>
      <w:r w:rsidR="00FE6741">
        <w:t xml:space="preserve">he </w:t>
      </w:r>
      <w:r w:rsidR="00FD3335">
        <w:t xml:space="preserve">knew what was tendered for him to dispute the </w:t>
      </w:r>
      <w:r w:rsidR="00F62295">
        <w:t xml:space="preserve">assessed </w:t>
      </w:r>
      <w:r w:rsidR="00FE6741">
        <w:t>values</w:t>
      </w:r>
      <w:r w:rsidR="00FD3335">
        <w:t xml:space="preserve"> and his counsel did indeed </w:t>
      </w:r>
      <w:r w:rsidR="00DA7AD3">
        <w:t>refer</w:t>
      </w:r>
      <w:r w:rsidR="00FD3335">
        <w:t xml:space="preserve"> to the values</w:t>
      </w:r>
      <w:r w:rsidR="00FE6741">
        <w:t>.</w:t>
      </w:r>
      <w:r w:rsidR="00F62295">
        <w:t xml:space="preserve">  To my mind there is no uncertainty as to the substance of the judgment.</w:t>
      </w:r>
    </w:p>
    <w:p w14:paraId="64808C0B" w14:textId="54221704" w:rsidR="00FE6741" w:rsidRDefault="002D0BE8" w:rsidP="002D0BE8">
      <w:pPr>
        <w:pStyle w:val="ListLevel1"/>
        <w:numPr>
          <w:ilvl w:val="0"/>
          <w:numId w:val="0"/>
        </w:numPr>
        <w:tabs>
          <w:tab w:val="left" w:pos="851"/>
        </w:tabs>
        <w:ind w:left="851" w:hanging="851"/>
      </w:pPr>
      <w:r>
        <w:t>10.</w:t>
      </w:r>
      <w:r>
        <w:tab/>
      </w:r>
      <w:r w:rsidR="006B5155">
        <w:t xml:space="preserve">Mr Saint referred the court to the judgment in </w:t>
      </w:r>
      <w:r w:rsidR="006B5155" w:rsidRPr="003D3C62">
        <w:rPr>
          <w:b/>
          <w:bCs/>
        </w:rPr>
        <w:t>ADMINSTRATOR OF CAPE OF GOOD HOPE AND ANOTHER v NTSHWAQELA AND OTHER</w:t>
      </w:r>
      <w:r w:rsidR="006B5155">
        <w:rPr>
          <w:rStyle w:val="FootnoteReference"/>
          <w:rFonts w:cs="Arial"/>
          <w:sz w:val="24"/>
          <w:szCs w:val="24"/>
        </w:rPr>
        <w:footnoteReference w:id="6"/>
      </w:r>
      <w:r w:rsidR="006B5155">
        <w:t>, whe</w:t>
      </w:r>
      <w:r w:rsidR="00F62295">
        <w:t>re</w:t>
      </w:r>
      <w:r w:rsidR="006B5155">
        <w:t xml:space="preserve"> the court</w:t>
      </w:r>
      <w:r w:rsidR="00F62295">
        <w:t xml:space="preserve"> stated,</w:t>
      </w:r>
    </w:p>
    <w:p w14:paraId="328968CD" w14:textId="77777777" w:rsidR="00F62295" w:rsidRDefault="00F62295" w:rsidP="006C2324">
      <w:pPr>
        <w:pStyle w:val="MSQuote"/>
      </w:pPr>
      <w:r>
        <w:t>“</w:t>
      </w:r>
      <w:r w:rsidR="003D3C62" w:rsidRPr="003D3C62">
        <w:t>It</w:t>
      </w:r>
      <w:r w:rsidRPr="003D3C62">
        <w:t xml:space="preserve"> may be said that the order must undoubtedly be read as party of the entire judgment and not as a separate document, but the court’s directions must be found in the order and not elsewhere.  If the meaning of an order is clear and unambiguous, it is decisive, and cannot be restricted or extended by anything else stated in the judgment.”</w:t>
      </w:r>
    </w:p>
    <w:p w14:paraId="5C863C0A" w14:textId="4763A0F1" w:rsidR="008C2100" w:rsidRDefault="002D0BE8" w:rsidP="002D0BE8">
      <w:pPr>
        <w:pStyle w:val="ListLevel1"/>
        <w:numPr>
          <w:ilvl w:val="0"/>
          <w:numId w:val="0"/>
        </w:numPr>
        <w:tabs>
          <w:tab w:val="left" w:pos="851"/>
        </w:tabs>
        <w:ind w:left="851" w:hanging="851"/>
      </w:pPr>
      <w:r>
        <w:t>11.</w:t>
      </w:r>
      <w:r>
        <w:tab/>
      </w:r>
      <w:r w:rsidR="008C2100">
        <w:t>Prayer 1 of the order provides for delivery of identified share certificates, “against a tender for payment of his shares”.</w:t>
      </w:r>
    </w:p>
    <w:p w14:paraId="24BA34FC" w14:textId="0DD1DEF9" w:rsidR="008C2100" w:rsidRDefault="002D0BE8" w:rsidP="002D0BE8">
      <w:pPr>
        <w:pStyle w:val="ListLevel1"/>
        <w:numPr>
          <w:ilvl w:val="0"/>
          <w:numId w:val="0"/>
        </w:numPr>
        <w:tabs>
          <w:tab w:val="left" w:pos="851"/>
        </w:tabs>
        <w:ind w:left="851" w:hanging="851"/>
      </w:pPr>
      <w:r>
        <w:lastRenderedPageBreak/>
        <w:t>12.</w:t>
      </w:r>
      <w:r>
        <w:tab/>
      </w:r>
      <w:r w:rsidR="008C2100">
        <w:t xml:space="preserve"> As I stated earlier the share price was the only dispute between the </w:t>
      </w:r>
      <w:r w:rsidR="00DA7AD3">
        <w:t>parties and</w:t>
      </w:r>
      <w:r w:rsidR="00BC50C3">
        <w:t xml:space="preserve"> </w:t>
      </w:r>
      <w:r w:rsidR="00FD3335">
        <w:t xml:space="preserve">could </w:t>
      </w:r>
      <w:r w:rsidR="00BC50C3">
        <w:t xml:space="preserve">only be disputed with knowledge of the assessed </w:t>
      </w:r>
      <w:r w:rsidR="008C2100">
        <w:t>values.</w:t>
      </w:r>
      <w:r w:rsidR="004F250E">
        <w:t xml:space="preserve"> </w:t>
      </w:r>
    </w:p>
    <w:p w14:paraId="168F69DC" w14:textId="7B051A60" w:rsidR="00B1712D" w:rsidRDefault="002D0BE8" w:rsidP="002D0BE8">
      <w:pPr>
        <w:pStyle w:val="ListLevel1"/>
        <w:widowControl w:val="0"/>
        <w:numPr>
          <w:ilvl w:val="0"/>
          <w:numId w:val="0"/>
        </w:numPr>
        <w:tabs>
          <w:tab w:val="left" w:pos="851"/>
        </w:tabs>
        <w:ind w:left="851" w:hanging="851"/>
      </w:pPr>
      <w:r>
        <w:t>13.</w:t>
      </w:r>
      <w:r>
        <w:tab/>
      </w:r>
      <w:r w:rsidR="008C2100">
        <w:t>The issue raised by Mr Saint is no</w:t>
      </w:r>
      <w:r w:rsidR="004F250E">
        <w:t>t</w:t>
      </w:r>
      <w:r w:rsidR="008C2100">
        <w:t xml:space="preserve"> </w:t>
      </w:r>
      <w:r w:rsidR="004F250E">
        <w:t xml:space="preserve">a </w:t>
      </w:r>
      <w:r w:rsidR="008C2100">
        <w:t>competent ground for an appeal</w:t>
      </w:r>
      <w:r w:rsidR="004F250E">
        <w:t xml:space="preserve"> as contemplated in s 17 (1) of the Superior Courts Act 10 of 2013. </w:t>
      </w:r>
      <w:r w:rsidR="008C2100">
        <w:t xml:space="preserve">If unclear, the applicant can resort to </w:t>
      </w:r>
      <w:r w:rsidR="00BC50C3">
        <w:t xml:space="preserve">the </w:t>
      </w:r>
      <w:r w:rsidR="008C2100">
        <w:t>use of the Uniform Rules</w:t>
      </w:r>
      <w:r w:rsidR="00BC50C3">
        <w:t>, if still necessary.</w:t>
      </w:r>
    </w:p>
    <w:p w14:paraId="16DCED3F" w14:textId="73BED52D" w:rsidR="008C2100" w:rsidRDefault="002D0BE8" w:rsidP="002D0BE8">
      <w:pPr>
        <w:pStyle w:val="ListLevel1"/>
        <w:numPr>
          <w:ilvl w:val="0"/>
          <w:numId w:val="0"/>
        </w:numPr>
        <w:tabs>
          <w:tab w:val="left" w:pos="851"/>
        </w:tabs>
        <w:ind w:left="851" w:hanging="851"/>
      </w:pPr>
      <w:r>
        <w:t>14.</w:t>
      </w:r>
      <w:r>
        <w:tab/>
      </w:r>
      <w:r w:rsidR="008C2100">
        <w:t xml:space="preserve"> </w:t>
      </w:r>
      <w:r w:rsidR="004F250E">
        <w:t>Accordingly, leave to appeal is refused</w:t>
      </w:r>
      <w:r w:rsidR="00F62B69">
        <w:t>.</w:t>
      </w:r>
    </w:p>
    <w:p w14:paraId="348658F0" w14:textId="77777777" w:rsidR="004F250E" w:rsidRDefault="004F250E" w:rsidP="006C2324">
      <w:pPr>
        <w:pStyle w:val="Heading1"/>
      </w:pPr>
      <w:r w:rsidRPr="004F250E">
        <w:t>COSTS</w:t>
      </w:r>
    </w:p>
    <w:p w14:paraId="210EBADE" w14:textId="23544A9B" w:rsidR="004F250E" w:rsidRDefault="002D0BE8" w:rsidP="002D0BE8">
      <w:pPr>
        <w:pStyle w:val="ListLevel1"/>
        <w:numPr>
          <w:ilvl w:val="0"/>
          <w:numId w:val="0"/>
        </w:numPr>
        <w:tabs>
          <w:tab w:val="left" w:pos="851"/>
        </w:tabs>
        <w:ind w:left="851" w:hanging="851"/>
      </w:pPr>
      <w:r>
        <w:t>15.</w:t>
      </w:r>
      <w:r>
        <w:tab/>
      </w:r>
      <w:r w:rsidR="0048687B">
        <w:t xml:space="preserve">The applicant raised </w:t>
      </w:r>
      <w:r w:rsidR="00DB23D2">
        <w:t xml:space="preserve">twenty separate grounds of appeal, </w:t>
      </w:r>
      <w:r w:rsidR="00F62B69">
        <w:t>albeit some were</w:t>
      </w:r>
      <w:r w:rsidR="00DB23D2">
        <w:t xml:space="preserve"> repeated.  </w:t>
      </w:r>
    </w:p>
    <w:p w14:paraId="4D239BA8" w14:textId="49C19A96" w:rsidR="00DB23D2" w:rsidRDefault="002D0BE8" w:rsidP="002D0BE8">
      <w:pPr>
        <w:pStyle w:val="ListLevel1"/>
        <w:numPr>
          <w:ilvl w:val="0"/>
          <w:numId w:val="0"/>
        </w:numPr>
        <w:tabs>
          <w:tab w:val="left" w:pos="851"/>
        </w:tabs>
        <w:ind w:left="851" w:hanging="851"/>
      </w:pPr>
      <w:r>
        <w:t>16.</w:t>
      </w:r>
      <w:r>
        <w:tab/>
      </w:r>
      <w:r w:rsidR="00DB23D2">
        <w:t>The notice and grounds were filed “together with” a request for reasons.  If follows that the applicant, did not have the court</w:t>
      </w:r>
      <w:r w:rsidR="00F62B69">
        <w:t>’</w:t>
      </w:r>
      <w:r w:rsidR="00DB23D2">
        <w:t>s reasons when he raised his grounds of appeal.</w:t>
      </w:r>
      <w:r w:rsidR="00780EF3">
        <w:t xml:space="preserve">  However, the applicant knew he had no prospects of success in the main application, that point was raised on </w:t>
      </w:r>
      <w:r w:rsidR="00DA7AD3">
        <w:t>several</w:t>
      </w:r>
      <w:r w:rsidR="00780EF3">
        <w:t xml:space="preserve"> </w:t>
      </w:r>
      <w:r w:rsidR="00DA7AD3">
        <w:t>occasions</w:t>
      </w:r>
      <w:r w:rsidR="00780EF3">
        <w:t xml:space="preserve"> throughout the hearing of the matter.</w:t>
      </w:r>
    </w:p>
    <w:p w14:paraId="6A176108" w14:textId="5F7294C1" w:rsidR="00DB23D2" w:rsidRDefault="002D0BE8" w:rsidP="002D0BE8">
      <w:pPr>
        <w:pStyle w:val="ListLevel1"/>
        <w:numPr>
          <w:ilvl w:val="0"/>
          <w:numId w:val="0"/>
        </w:numPr>
        <w:tabs>
          <w:tab w:val="left" w:pos="851"/>
        </w:tabs>
        <w:ind w:left="851" w:hanging="851"/>
      </w:pPr>
      <w:r>
        <w:lastRenderedPageBreak/>
        <w:t>17.</w:t>
      </w:r>
      <w:r>
        <w:tab/>
      </w:r>
      <w:r w:rsidR="00DB23D2">
        <w:t xml:space="preserve">The respondents </w:t>
      </w:r>
      <w:r w:rsidR="00780EF3">
        <w:t xml:space="preserve">in response to the notice of appeal, </w:t>
      </w:r>
      <w:r w:rsidR="00DB23D2">
        <w:t>filed their heads of argument.</w:t>
      </w:r>
      <w:r w:rsidR="00F62B69">
        <w:rPr>
          <w:rStyle w:val="FootnoteReference"/>
        </w:rPr>
        <w:footnoteReference w:id="7"/>
      </w:r>
    </w:p>
    <w:p w14:paraId="1DF26A6B" w14:textId="649C68EF" w:rsidR="002C6F4E" w:rsidRDefault="002D0BE8" w:rsidP="002D0BE8">
      <w:pPr>
        <w:pStyle w:val="ListLevel1"/>
        <w:numPr>
          <w:ilvl w:val="0"/>
          <w:numId w:val="0"/>
        </w:numPr>
        <w:tabs>
          <w:tab w:val="left" w:pos="851"/>
        </w:tabs>
        <w:ind w:left="851" w:hanging="851"/>
      </w:pPr>
      <w:r>
        <w:t>18.</w:t>
      </w:r>
      <w:r>
        <w:tab/>
      </w:r>
      <w:r w:rsidR="002C6F4E">
        <w:t xml:space="preserve">In </w:t>
      </w:r>
      <w:r w:rsidR="002C6F4E" w:rsidRPr="006C2324">
        <w:rPr>
          <w:b/>
        </w:rPr>
        <w:t>RABINOWITZ v VAN GRAAN</w:t>
      </w:r>
      <w:r w:rsidR="006C2324" w:rsidRPr="006C2324">
        <w:t>,</w:t>
      </w:r>
      <w:r w:rsidR="002C6F4E">
        <w:rPr>
          <w:rStyle w:val="FootnoteReference"/>
          <w:rFonts w:cs="Arial"/>
          <w:sz w:val="24"/>
          <w:szCs w:val="24"/>
        </w:rPr>
        <w:footnoteReference w:id="8"/>
      </w:r>
      <w:r w:rsidR="002C6F4E">
        <w:t xml:space="preserve"> the court on the issue of costs referenced the word</w:t>
      </w:r>
      <w:r w:rsidR="00F62B69">
        <w:t>s</w:t>
      </w:r>
      <w:r w:rsidR="002C6F4E">
        <w:t xml:space="preserve"> of </w:t>
      </w:r>
      <w:r w:rsidR="00FA07A9">
        <w:t>Fleming</w:t>
      </w:r>
      <w:r w:rsidR="002C6F4E">
        <w:t xml:space="preserve"> DJP, </w:t>
      </w:r>
    </w:p>
    <w:p w14:paraId="77E93DAB" w14:textId="77777777" w:rsidR="00901281" w:rsidRPr="00901281" w:rsidRDefault="002C6F4E" w:rsidP="006C2324">
      <w:pPr>
        <w:pStyle w:val="MSQuote"/>
      </w:pPr>
      <w:r>
        <w:t>“</w:t>
      </w:r>
      <w:proofErr w:type="gramStart"/>
      <w:r>
        <w:t>an</w:t>
      </w:r>
      <w:proofErr w:type="gramEnd"/>
      <w:r>
        <w:t xml:space="preserve"> award of costs is principally a discretion which must be judicially exercised in the sense that it may be guided by established and known considerations.  The award of costs rests upon the object of reimbursing a person for costs to which he was wrongfully put.”</w:t>
      </w:r>
    </w:p>
    <w:p w14:paraId="49EFCF2B" w14:textId="47D58000" w:rsidR="00901281" w:rsidRDefault="002D0BE8" w:rsidP="002D0BE8">
      <w:pPr>
        <w:pStyle w:val="ListLevel1"/>
        <w:numPr>
          <w:ilvl w:val="0"/>
          <w:numId w:val="0"/>
        </w:numPr>
        <w:tabs>
          <w:tab w:val="left" w:pos="851"/>
        </w:tabs>
        <w:ind w:left="851" w:hanging="851"/>
      </w:pPr>
      <w:r>
        <w:t>19.</w:t>
      </w:r>
      <w:r>
        <w:tab/>
      </w:r>
      <w:r w:rsidR="00901281">
        <w:t xml:space="preserve">The applicant abandoned all its grounds of </w:t>
      </w:r>
      <w:proofErr w:type="gramStart"/>
      <w:r w:rsidR="00901281">
        <w:t>appeal,</w:t>
      </w:r>
      <w:proofErr w:type="gramEnd"/>
      <w:r w:rsidR="00901281">
        <w:t xml:space="preserve"> it clearly had no basis </w:t>
      </w:r>
      <w:r w:rsidR="00F62B69">
        <w:t>to</w:t>
      </w:r>
      <w:r w:rsidR="00901281">
        <w:t xml:space="preserve"> appeal the judgment and forced the respondent into </w:t>
      </w:r>
      <w:r w:rsidR="00780EF3">
        <w:t xml:space="preserve">incurring </w:t>
      </w:r>
      <w:r w:rsidR="00901281">
        <w:t>further</w:t>
      </w:r>
      <w:r w:rsidR="00780EF3">
        <w:t xml:space="preserve"> legal</w:t>
      </w:r>
      <w:r w:rsidR="00901281">
        <w:t xml:space="preserve"> costs for their argument. </w:t>
      </w:r>
    </w:p>
    <w:p w14:paraId="6A822565" w14:textId="0EE02419" w:rsidR="00F62B69" w:rsidRDefault="002D0BE8" w:rsidP="002D0BE8">
      <w:pPr>
        <w:pStyle w:val="ListLevel1"/>
        <w:numPr>
          <w:ilvl w:val="0"/>
          <w:numId w:val="0"/>
        </w:numPr>
        <w:tabs>
          <w:tab w:val="left" w:pos="851"/>
        </w:tabs>
        <w:ind w:left="851" w:hanging="851"/>
        <w:rPr>
          <w:i/>
          <w:iCs/>
        </w:rPr>
      </w:pPr>
      <w:r>
        <w:t>20.</w:t>
      </w:r>
      <w:r>
        <w:tab/>
      </w:r>
      <w:r w:rsidR="002C6F4E">
        <w:t xml:space="preserve">In </w:t>
      </w:r>
      <w:r w:rsidR="002C6F4E" w:rsidRPr="00901281">
        <w:rPr>
          <w:b/>
          <w:bCs/>
        </w:rPr>
        <w:t>PUBLIC PROTECTOR V SOUTH AFRICAN RESERVE BANK</w:t>
      </w:r>
      <w:r w:rsidR="006C2324">
        <w:rPr>
          <w:bCs/>
        </w:rPr>
        <w:t>,</w:t>
      </w:r>
      <w:r w:rsidR="002C6F4E">
        <w:rPr>
          <w:rStyle w:val="FootnoteReference"/>
          <w:rFonts w:cs="Arial"/>
          <w:sz w:val="24"/>
          <w:szCs w:val="24"/>
        </w:rPr>
        <w:footnoteReference w:id="9"/>
      </w:r>
      <w:r w:rsidR="00901281">
        <w:t xml:space="preserve"> the court referred to the principles espoused by Innes CJ, </w:t>
      </w:r>
    </w:p>
    <w:p w14:paraId="0FEB7CD1" w14:textId="7ED90891" w:rsidR="002C6F4E" w:rsidRPr="00F62B69" w:rsidRDefault="00FA07A9" w:rsidP="00F62B69">
      <w:pPr>
        <w:pStyle w:val="ListLevel1"/>
        <w:numPr>
          <w:ilvl w:val="0"/>
          <w:numId w:val="0"/>
        </w:numPr>
        <w:ind w:left="851"/>
        <w:rPr>
          <w:i/>
          <w:iCs/>
        </w:rPr>
      </w:pPr>
      <w:r>
        <w:rPr>
          <w:i/>
          <w:iCs/>
        </w:rPr>
        <w:t>“</w:t>
      </w:r>
      <w:proofErr w:type="gramStart"/>
      <w:r w:rsidRPr="00F62B69">
        <w:rPr>
          <w:i/>
          <w:iCs/>
        </w:rPr>
        <w:t>costs</w:t>
      </w:r>
      <w:proofErr w:type="gramEnd"/>
      <w:r w:rsidR="00901281" w:rsidRPr="00F62B69">
        <w:rPr>
          <w:i/>
          <w:iCs/>
        </w:rPr>
        <w:t xml:space="preserve"> on an attorney client scale are awarded when a court wishes to mark its disapproval of the conduct of the litigant.  Attorney client costs have been awarded for fraudulent, dishonest or mala fides (bad faith) </w:t>
      </w:r>
      <w:r w:rsidR="00901281" w:rsidRPr="00F62B69">
        <w:rPr>
          <w:i/>
          <w:iCs/>
        </w:rPr>
        <w:lastRenderedPageBreak/>
        <w:t>conduct, vexatious conduct, and conduct that amounts to an abuse of the process of court.</w:t>
      </w:r>
      <w:r w:rsidR="00901281" w:rsidRPr="00F62B69">
        <w:rPr>
          <w:rStyle w:val="FootnoteReference"/>
          <w:rFonts w:cs="Arial"/>
          <w:i/>
          <w:iCs/>
          <w:sz w:val="24"/>
          <w:szCs w:val="24"/>
        </w:rPr>
        <w:footnoteReference w:id="10"/>
      </w:r>
    </w:p>
    <w:p w14:paraId="58200962" w14:textId="4EF3D0D8" w:rsidR="001C3C74" w:rsidRDefault="002D0BE8" w:rsidP="002D0BE8">
      <w:pPr>
        <w:pStyle w:val="ListLevel1"/>
        <w:numPr>
          <w:ilvl w:val="0"/>
          <w:numId w:val="0"/>
        </w:numPr>
        <w:tabs>
          <w:tab w:val="left" w:pos="851"/>
        </w:tabs>
        <w:ind w:left="851" w:hanging="851"/>
      </w:pPr>
      <w:r>
        <w:t>21.</w:t>
      </w:r>
      <w:r>
        <w:tab/>
      </w:r>
      <w:r w:rsidR="00901281">
        <w:t xml:space="preserve">The applicants conduct in filing a notice </w:t>
      </w:r>
      <w:r w:rsidR="001C3C74">
        <w:t xml:space="preserve">of appeal </w:t>
      </w:r>
      <w:r w:rsidR="00901281">
        <w:t>on extensive grounds without reasons having been procured</w:t>
      </w:r>
      <w:r w:rsidR="001C3C74">
        <w:t xml:space="preserve"> was a risk.  He obviously had no reasons for an application of this nature.  The point raised by Mr Saint is not a matter for </w:t>
      </w:r>
      <w:r w:rsidR="00F62B69">
        <w:t xml:space="preserve">an </w:t>
      </w:r>
      <w:r w:rsidR="001C3C74">
        <w:t>appeal court as I mentioned earlier.</w:t>
      </w:r>
    </w:p>
    <w:p w14:paraId="6014DBED" w14:textId="6643B7EC" w:rsidR="00901281" w:rsidRPr="002C6F4E" w:rsidRDefault="002D0BE8" w:rsidP="002D0BE8">
      <w:pPr>
        <w:pStyle w:val="ListLevel1"/>
        <w:numPr>
          <w:ilvl w:val="0"/>
          <w:numId w:val="0"/>
        </w:numPr>
        <w:tabs>
          <w:tab w:val="left" w:pos="851"/>
        </w:tabs>
        <w:ind w:left="851" w:hanging="851"/>
      </w:pPr>
      <w:r w:rsidRPr="002C6F4E">
        <w:t>22.</w:t>
      </w:r>
      <w:r w:rsidRPr="002C6F4E">
        <w:tab/>
      </w:r>
      <w:r w:rsidR="001C3C74">
        <w:t xml:space="preserve">I am of the view that punitive costs are appropriate. </w:t>
      </w:r>
    </w:p>
    <w:p w14:paraId="1B45FF72" w14:textId="77777777" w:rsidR="002703B6" w:rsidRDefault="002703B6" w:rsidP="002703B6">
      <w:pPr>
        <w:pStyle w:val="ListLevel1"/>
        <w:numPr>
          <w:ilvl w:val="0"/>
          <w:numId w:val="0"/>
        </w:numPr>
      </w:pPr>
    </w:p>
    <w:p w14:paraId="676584EA" w14:textId="77777777" w:rsidR="001A122F" w:rsidRPr="006C2324" w:rsidRDefault="001A122F" w:rsidP="002703B6">
      <w:pPr>
        <w:pStyle w:val="ListLevel1"/>
        <w:numPr>
          <w:ilvl w:val="0"/>
          <w:numId w:val="0"/>
        </w:numPr>
      </w:pPr>
      <w:r w:rsidRPr="006C2324">
        <w:t xml:space="preserve">I make the following order:  </w:t>
      </w:r>
    </w:p>
    <w:p w14:paraId="3CA8F04E" w14:textId="4FBB79FD" w:rsidR="001A122F" w:rsidRPr="006C2324" w:rsidRDefault="002D0BE8" w:rsidP="002D0BE8">
      <w:pPr>
        <w:pStyle w:val="ListLevel1"/>
        <w:numPr>
          <w:ilvl w:val="0"/>
          <w:numId w:val="0"/>
        </w:numPr>
        <w:tabs>
          <w:tab w:val="left" w:pos="851"/>
        </w:tabs>
        <w:ind w:left="851" w:hanging="851"/>
      </w:pPr>
      <w:r w:rsidRPr="006C2324">
        <w:t>1.</w:t>
      </w:r>
      <w:r w:rsidRPr="006C2324">
        <w:tab/>
      </w:r>
      <w:r w:rsidR="001A122F" w:rsidRPr="006C2324">
        <w:t xml:space="preserve">The </w:t>
      </w:r>
      <w:r w:rsidR="001C3C74" w:rsidRPr="006C2324">
        <w:t>application for leave is dismissed</w:t>
      </w:r>
      <w:r w:rsidR="001A122F" w:rsidRPr="006C2324">
        <w:t>.</w:t>
      </w:r>
    </w:p>
    <w:p w14:paraId="3817BE5F" w14:textId="34D44DDA" w:rsidR="001A122F" w:rsidRPr="006C2324" w:rsidRDefault="002D0BE8" w:rsidP="002D0BE8">
      <w:pPr>
        <w:pStyle w:val="ListLevel1"/>
        <w:numPr>
          <w:ilvl w:val="0"/>
          <w:numId w:val="0"/>
        </w:numPr>
        <w:tabs>
          <w:tab w:val="left" w:pos="851"/>
        </w:tabs>
        <w:ind w:left="851" w:hanging="851"/>
      </w:pPr>
      <w:r w:rsidRPr="006C2324">
        <w:t>2.</w:t>
      </w:r>
      <w:r w:rsidRPr="006C2324">
        <w:tab/>
      </w:r>
      <w:r w:rsidR="001A122F" w:rsidRPr="006C2324">
        <w:t>The</w:t>
      </w:r>
      <w:r w:rsidR="001C3C74" w:rsidRPr="006C2324">
        <w:t xml:space="preserve"> applicant </w:t>
      </w:r>
      <w:r w:rsidR="001A122F" w:rsidRPr="006C2324">
        <w:t>shall pay the costs</w:t>
      </w:r>
      <w:r w:rsidR="00F155CA">
        <w:t xml:space="preserve"> on</w:t>
      </w:r>
      <w:r w:rsidR="001A122F" w:rsidRPr="006C2324">
        <w:t xml:space="preserve"> an attorney client scale</w:t>
      </w:r>
      <w:r w:rsidR="00780EF3">
        <w:t>, including the costs of two counsel</w:t>
      </w:r>
      <w:r w:rsidR="001A122F" w:rsidRPr="006C2324">
        <w:t>.</w:t>
      </w:r>
    </w:p>
    <w:p w14:paraId="01EF1AC8" w14:textId="77777777" w:rsidR="0045222A" w:rsidRDefault="00046227" w:rsidP="0045222A">
      <w:pPr>
        <w:spacing w:line="480" w:lineRule="auto"/>
        <w:rPr>
          <w:rFonts w:ascii="Arial" w:hAnsi="Arial" w:cs="Arial"/>
          <w:sz w:val="24"/>
          <w:szCs w:val="24"/>
        </w:rPr>
      </w:pPr>
      <w:r w:rsidRPr="00980139">
        <w:rPr>
          <w:rFonts w:cs="Arial"/>
          <w:noProof/>
          <w:sz w:val="24"/>
          <w:szCs w:val="24"/>
          <w:lang w:eastAsia="en-ZA"/>
        </w:rPr>
        <w:drawing>
          <wp:anchor distT="0" distB="0" distL="114300" distR="114300" simplePos="0" relativeHeight="251664384" behindDoc="1" locked="0" layoutInCell="1" allowOverlap="1" wp14:anchorId="2D554F2D" wp14:editId="3CCB3575">
            <wp:simplePos x="0" y="0"/>
            <wp:positionH relativeFrom="column">
              <wp:posOffset>-123825</wp:posOffset>
            </wp:positionH>
            <wp:positionV relativeFrom="paragraph">
              <wp:posOffset>-142875</wp:posOffset>
            </wp:positionV>
            <wp:extent cx="1059180" cy="1041911"/>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 sign.png"/>
                    <pic:cNvPicPr/>
                  </pic:nvPicPr>
                  <pic:blipFill>
                    <a:blip r:embed="rId9">
                      <a:extLst>
                        <a:ext uri="{28A0092B-C50C-407E-A947-70E740481C1C}">
                          <a14:useLocalDpi xmlns:a14="http://schemas.microsoft.com/office/drawing/2010/main" val="0"/>
                        </a:ext>
                      </a:extLst>
                    </a:blip>
                    <a:stretch>
                      <a:fillRect/>
                    </a:stretch>
                  </pic:blipFill>
                  <pic:spPr>
                    <a:xfrm>
                      <a:off x="0" y="0"/>
                      <a:ext cx="1059180" cy="1041911"/>
                    </a:xfrm>
                    <a:prstGeom prst="rect">
                      <a:avLst/>
                    </a:prstGeom>
                  </pic:spPr>
                </pic:pic>
              </a:graphicData>
            </a:graphic>
            <wp14:sizeRelH relativeFrom="margin">
              <wp14:pctWidth>0</wp14:pctWidth>
            </wp14:sizeRelH>
            <wp14:sizeRelV relativeFrom="margin">
              <wp14:pctHeight>0</wp14:pctHeight>
            </wp14:sizeRelV>
          </wp:anchor>
        </w:drawing>
      </w:r>
    </w:p>
    <w:p w14:paraId="4CE31D15" w14:textId="77777777" w:rsidR="0045222A" w:rsidRDefault="0045222A" w:rsidP="00252D88">
      <w:pPr>
        <w:spacing w:after="0" w:line="240" w:lineRule="auto"/>
        <w:rPr>
          <w:rFonts w:ascii="Arial" w:hAnsi="Arial" w:cs="Arial"/>
          <w:sz w:val="24"/>
          <w:szCs w:val="24"/>
        </w:rPr>
      </w:pPr>
      <w:r>
        <w:rPr>
          <w:rFonts w:ascii="Arial" w:hAnsi="Arial" w:cs="Arial"/>
          <w:sz w:val="24"/>
          <w:szCs w:val="24"/>
        </w:rPr>
        <w:t>__________</w:t>
      </w:r>
    </w:p>
    <w:p w14:paraId="3FDF91D6" w14:textId="77777777" w:rsidR="0045222A" w:rsidRDefault="0045222A" w:rsidP="00252D88">
      <w:pPr>
        <w:spacing w:after="0" w:line="240" w:lineRule="auto"/>
        <w:rPr>
          <w:rFonts w:ascii="Arial" w:hAnsi="Arial" w:cs="Arial"/>
          <w:b/>
          <w:bCs/>
          <w:sz w:val="24"/>
          <w:szCs w:val="24"/>
        </w:rPr>
      </w:pPr>
      <w:r w:rsidRPr="008B3028">
        <w:rPr>
          <w:rFonts w:ascii="Arial" w:hAnsi="Arial" w:cs="Arial"/>
          <w:b/>
          <w:bCs/>
          <w:sz w:val="24"/>
          <w:szCs w:val="24"/>
        </w:rPr>
        <w:t>MAHOMED AJ</w:t>
      </w:r>
    </w:p>
    <w:p w14:paraId="7EEA9C19" w14:textId="77777777" w:rsidR="00252D88" w:rsidRPr="00980139" w:rsidRDefault="00252D88" w:rsidP="00252D88">
      <w:pPr>
        <w:pStyle w:val="ListLevel1"/>
        <w:numPr>
          <w:ilvl w:val="0"/>
          <w:numId w:val="0"/>
        </w:numPr>
        <w:spacing w:after="0" w:line="240" w:lineRule="auto"/>
        <w:rPr>
          <w:rFonts w:cs="Arial"/>
          <w:sz w:val="24"/>
          <w:szCs w:val="24"/>
        </w:rPr>
      </w:pPr>
      <w:r w:rsidRPr="00980139">
        <w:rPr>
          <w:rFonts w:cs="Arial"/>
          <w:sz w:val="24"/>
          <w:szCs w:val="24"/>
        </w:rPr>
        <w:t>Acting Judge of the High Court</w:t>
      </w:r>
    </w:p>
    <w:p w14:paraId="097377BA" w14:textId="77777777" w:rsidR="00252D88" w:rsidRPr="00980139" w:rsidRDefault="00252D88" w:rsidP="00252D88">
      <w:pPr>
        <w:pStyle w:val="ListLevel1"/>
        <w:numPr>
          <w:ilvl w:val="0"/>
          <w:numId w:val="0"/>
        </w:numPr>
        <w:spacing w:after="0" w:line="240" w:lineRule="auto"/>
        <w:rPr>
          <w:rFonts w:cs="Arial"/>
          <w:sz w:val="24"/>
          <w:szCs w:val="24"/>
        </w:rPr>
      </w:pPr>
    </w:p>
    <w:p w14:paraId="2DC4CBCD" w14:textId="77777777" w:rsidR="00252D88" w:rsidRPr="00980139" w:rsidRDefault="00252D88" w:rsidP="00252D88">
      <w:pPr>
        <w:pStyle w:val="ListLevel1"/>
        <w:numPr>
          <w:ilvl w:val="0"/>
          <w:numId w:val="0"/>
        </w:numPr>
        <w:spacing w:after="0" w:line="240" w:lineRule="auto"/>
        <w:rPr>
          <w:rFonts w:cs="Arial"/>
          <w:sz w:val="24"/>
          <w:szCs w:val="24"/>
        </w:rPr>
      </w:pPr>
    </w:p>
    <w:p w14:paraId="71CB37E9" w14:textId="77777777" w:rsidR="00252D88" w:rsidRDefault="00252D88" w:rsidP="00252D88">
      <w:pPr>
        <w:pStyle w:val="ListLevel1"/>
        <w:numPr>
          <w:ilvl w:val="0"/>
          <w:numId w:val="0"/>
        </w:numPr>
        <w:spacing w:after="0"/>
        <w:rPr>
          <w:rFonts w:cs="Arial"/>
          <w:sz w:val="24"/>
          <w:szCs w:val="24"/>
        </w:rPr>
      </w:pPr>
      <w:r w:rsidRPr="00980139">
        <w:rPr>
          <w:rFonts w:cs="Arial"/>
          <w:sz w:val="24"/>
          <w:szCs w:val="24"/>
        </w:rPr>
        <w:lastRenderedPageBreak/>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980139">
        <w:rPr>
          <w:rFonts w:cs="Arial"/>
          <w:sz w:val="24"/>
          <w:szCs w:val="24"/>
        </w:rPr>
        <w:t>Caselines</w:t>
      </w:r>
      <w:proofErr w:type="spellEnd"/>
      <w:r w:rsidRPr="00980139">
        <w:rPr>
          <w:rFonts w:cs="Arial"/>
          <w:sz w:val="24"/>
          <w:szCs w:val="24"/>
        </w:rPr>
        <w:t xml:space="preserve">.  The date for hand-down is deemed to be </w:t>
      </w:r>
      <w:r w:rsidR="006C2324">
        <w:rPr>
          <w:rFonts w:cs="Arial"/>
          <w:sz w:val="24"/>
          <w:szCs w:val="24"/>
        </w:rPr>
        <w:t>15 November</w:t>
      </w:r>
      <w:r w:rsidRPr="00980139">
        <w:rPr>
          <w:rFonts w:cs="Arial"/>
          <w:sz w:val="24"/>
          <w:szCs w:val="24"/>
        </w:rPr>
        <w:t xml:space="preserve"> 2022.</w:t>
      </w:r>
    </w:p>
    <w:p w14:paraId="1C2CC794" w14:textId="77777777" w:rsidR="00E0148D" w:rsidRDefault="00E0148D" w:rsidP="00252D88">
      <w:pPr>
        <w:pStyle w:val="ListLevel1"/>
        <w:numPr>
          <w:ilvl w:val="0"/>
          <w:numId w:val="0"/>
        </w:numPr>
        <w:spacing w:after="0"/>
        <w:rPr>
          <w:rFonts w:cs="Arial"/>
          <w:sz w:val="24"/>
          <w:szCs w:val="24"/>
        </w:rPr>
      </w:pPr>
    </w:p>
    <w:p w14:paraId="7CF13BD3" w14:textId="237E7B91" w:rsidR="00E0148D" w:rsidRDefault="00E0148D" w:rsidP="006C2324">
      <w:pPr>
        <w:pStyle w:val="ListLevel1"/>
        <w:numPr>
          <w:ilvl w:val="0"/>
          <w:numId w:val="0"/>
        </w:numPr>
        <w:spacing w:after="0"/>
        <w:rPr>
          <w:rFonts w:cs="Arial"/>
          <w:sz w:val="24"/>
          <w:szCs w:val="24"/>
        </w:rPr>
      </w:pPr>
      <w:r>
        <w:rPr>
          <w:rFonts w:cs="Arial"/>
          <w:sz w:val="24"/>
          <w:szCs w:val="24"/>
        </w:rPr>
        <w:t>Date of hearing:</w:t>
      </w:r>
      <w:r w:rsidR="00947B5C">
        <w:rPr>
          <w:rFonts w:cs="Arial"/>
          <w:sz w:val="24"/>
          <w:szCs w:val="24"/>
        </w:rPr>
        <w:tab/>
      </w:r>
      <w:r w:rsidR="00947B5C">
        <w:rPr>
          <w:rFonts w:cs="Arial"/>
          <w:sz w:val="24"/>
          <w:szCs w:val="24"/>
        </w:rPr>
        <w:tab/>
      </w:r>
      <w:r w:rsidR="00F155CA">
        <w:rPr>
          <w:rFonts w:cs="Arial"/>
          <w:sz w:val="24"/>
          <w:szCs w:val="24"/>
        </w:rPr>
        <w:t>27</w:t>
      </w:r>
      <w:r w:rsidR="00947B5C">
        <w:rPr>
          <w:rFonts w:cs="Arial"/>
          <w:sz w:val="24"/>
          <w:szCs w:val="24"/>
        </w:rPr>
        <w:t xml:space="preserve"> </w:t>
      </w:r>
      <w:r w:rsidR="00F155CA">
        <w:rPr>
          <w:rFonts w:cs="Arial"/>
          <w:sz w:val="24"/>
          <w:szCs w:val="24"/>
        </w:rPr>
        <w:t>October</w:t>
      </w:r>
      <w:r w:rsidR="00947B5C">
        <w:rPr>
          <w:rFonts w:cs="Arial"/>
          <w:sz w:val="24"/>
          <w:szCs w:val="24"/>
        </w:rPr>
        <w:t xml:space="preserve"> 2022</w:t>
      </w:r>
    </w:p>
    <w:p w14:paraId="4D90FD4C" w14:textId="77777777" w:rsidR="00E0148D" w:rsidRPr="00980139" w:rsidRDefault="00E0148D" w:rsidP="006C2324">
      <w:pPr>
        <w:pStyle w:val="ListLevel1"/>
        <w:numPr>
          <w:ilvl w:val="0"/>
          <w:numId w:val="0"/>
        </w:numPr>
        <w:spacing w:after="0"/>
        <w:rPr>
          <w:rFonts w:cs="Arial"/>
          <w:sz w:val="24"/>
          <w:szCs w:val="24"/>
        </w:rPr>
      </w:pPr>
      <w:r>
        <w:rPr>
          <w:rFonts w:cs="Arial"/>
          <w:sz w:val="24"/>
          <w:szCs w:val="24"/>
        </w:rPr>
        <w:t>Date of Judgment:</w:t>
      </w:r>
      <w:r>
        <w:rPr>
          <w:rFonts w:cs="Arial"/>
          <w:sz w:val="24"/>
          <w:szCs w:val="24"/>
        </w:rPr>
        <w:tab/>
      </w:r>
      <w:r>
        <w:rPr>
          <w:rFonts w:cs="Arial"/>
          <w:sz w:val="24"/>
          <w:szCs w:val="24"/>
        </w:rPr>
        <w:tab/>
      </w:r>
      <w:r w:rsidR="006C2324">
        <w:rPr>
          <w:rFonts w:cs="Arial"/>
          <w:sz w:val="24"/>
          <w:szCs w:val="24"/>
        </w:rPr>
        <w:t>15 November</w:t>
      </w:r>
      <w:r>
        <w:rPr>
          <w:rFonts w:cs="Arial"/>
          <w:sz w:val="24"/>
          <w:szCs w:val="24"/>
        </w:rPr>
        <w:t xml:space="preserve"> 2022</w:t>
      </w:r>
    </w:p>
    <w:p w14:paraId="4E5218F6" w14:textId="77777777" w:rsidR="00252D88" w:rsidRDefault="00252D88" w:rsidP="006C2324">
      <w:pPr>
        <w:spacing w:after="0" w:line="480" w:lineRule="auto"/>
        <w:rPr>
          <w:rFonts w:ascii="Arial" w:hAnsi="Arial" w:cs="Arial"/>
          <w:b/>
          <w:bCs/>
          <w:sz w:val="24"/>
          <w:szCs w:val="24"/>
        </w:rPr>
      </w:pPr>
    </w:p>
    <w:p w14:paraId="3E9472BA" w14:textId="77777777" w:rsidR="001A122F" w:rsidRPr="001A122F" w:rsidRDefault="001A122F" w:rsidP="006C2324">
      <w:pPr>
        <w:spacing w:after="0" w:line="480" w:lineRule="auto"/>
        <w:rPr>
          <w:rFonts w:ascii="Arial" w:hAnsi="Arial" w:cs="Arial"/>
          <w:b/>
          <w:sz w:val="24"/>
          <w:szCs w:val="24"/>
        </w:rPr>
      </w:pPr>
      <w:r w:rsidRPr="001A122F">
        <w:rPr>
          <w:rFonts w:ascii="Arial" w:hAnsi="Arial" w:cs="Arial"/>
          <w:b/>
          <w:sz w:val="24"/>
          <w:szCs w:val="24"/>
        </w:rPr>
        <w:t xml:space="preserve">Appearances </w:t>
      </w:r>
    </w:p>
    <w:p w14:paraId="60022FD9" w14:textId="77777777" w:rsidR="006C2324" w:rsidRDefault="006C2324" w:rsidP="006C2324">
      <w:pPr>
        <w:spacing w:after="0" w:line="480" w:lineRule="auto"/>
        <w:rPr>
          <w:rFonts w:ascii="Arial" w:hAnsi="Arial" w:cs="Arial"/>
          <w:sz w:val="24"/>
          <w:szCs w:val="24"/>
        </w:rPr>
      </w:pPr>
    </w:p>
    <w:p w14:paraId="4EF26F59" w14:textId="77777777" w:rsidR="002703B6" w:rsidRPr="001A122F" w:rsidRDefault="001A122F" w:rsidP="002703B6">
      <w:pPr>
        <w:spacing w:after="0" w:line="480" w:lineRule="auto"/>
        <w:rPr>
          <w:rFonts w:ascii="Arial" w:hAnsi="Arial" w:cs="Arial"/>
          <w:sz w:val="24"/>
          <w:szCs w:val="24"/>
        </w:rPr>
      </w:pPr>
      <w:r w:rsidRPr="001A122F">
        <w:rPr>
          <w:rFonts w:ascii="Arial" w:hAnsi="Arial" w:cs="Arial"/>
          <w:sz w:val="24"/>
          <w:szCs w:val="24"/>
        </w:rPr>
        <w:t>For applicants</w:t>
      </w:r>
      <w:r>
        <w:rPr>
          <w:rFonts w:ascii="Arial" w:hAnsi="Arial" w:cs="Arial"/>
          <w:sz w:val="24"/>
          <w:szCs w:val="24"/>
        </w:rPr>
        <w:t>:</w:t>
      </w:r>
      <w:r>
        <w:rPr>
          <w:rFonts w:ascii="Arial" w:hAnsi="Arial" w:cs="Arial"/>
          <w:sz w:val="24"/>
          <w:szCs w:val="24"/>
        </w:rPr>
        <w:tab/>
      </w:r>
      <w:r>
        <w:rPr>
          <w:rFonts w:ascii="Arial" w:hAnsi="Arial" w:cs="Arial"/>
          <w:sz w:val="24"/>
          <w:szCs w:val="24"/>
        </w:rPr>
        <w:tab/>
      </w:r>
      <w:r w:rsidR="002703B6" w:rsidRPr="001A122F">
        <w:rPr>
          <w:rFonts w:ascii="Arial" w:hAnsi="Arial" w:cs="Arial"/>
          <w:sz w:val="24"/>
          <w:szCs w:val="24"/>
        </w:rPr>
        <w:t>Advocate F Saint</w:t>
      </w:r>
    </w:p>
    <w:p w14:paraId="45A6892A" w14:textId="77777777" w:rsidR="002703B6" w:rsidRPr="001A122F" w:rsidRDefault="002703B6" w:rsidP="002703B6">
      <w:pPr>
        <w:spacing w:after="0" w:line="480" w:lineRule="auto"/>
        <w:rPr>
          <w:rFonts w:ascii="Arial" w:hAnsi="Arial" w:cs="Arial"/>
          <w:sz w:val="24"/>
          <w:szCs w:val="24"/>
        </w:rPr>
      </w:pPr>
      <w:r w:rsidRPr="001A122F">
        <w:rPr>
          <w:rFonts w:ascii="Arial" w:hAnsi="Arial" w:cs="Arial"/>
          <w:sz w:val="24"/>
          <w:szCs w:val="24"/>
        </w:rPr>
        <w:t>Instructed by</w:t>
      </w:r>
      <w:r>
        <w:rPr>
          <w:rFonts w:ascii="Arial" w:hAnsi="Arial" w:cs="Arial"/>
          <w:sz w:val="24"/>
          <w:szCs w:val="24"/>
        </w:rPr>
        <w:t>:</w:t>
      </w:r>
      <w:r>
        <w:rPr>
          <w:rFonts w:ascii="Arial" w:hAnsi="Arial" w:cs="Arial"/>
          <w:sz w:val="24"/>
          <w:szCs w:val="24"/>
        </w:rPr>
        <w:tab/>
      </w:r>
      <w:r>
        <w:rPr>
          <w:rFonts w:ascii="Arial" w:hAnsi="Arial" w:cs="Arial"/>
          <w:sz w:val="24"/>
          <w:szCs w:val="24"/>
        </w:rPr>
        <w:tab/>
      </w:r>
      <w:proofErr w:type="spellStart"/>
      <w:r w:rsidRPr="001A122F">
        <w:rPr>
          <w:rFonts w:ascii="Arial" w:hAnsi="Arial" w:cs="Arial"/>
          <w:sz w:val="24"/>
          <w:szCs w:val="24"/>
        </w:rPr>
        <w:t>Mayet</w:t>
      </w:r>
      <w:proofErr w:type="spellEnd"/>
      <w:r w:rsidRPr="001A122F">
        <w:rPr>
          <w:rFonts w:ascii="Arial" w:hAnsi="Arial" w:cs="Arial"/>
          <w:sz w:val="24"/>
          <w:szCs w:val="24"/>
        </w:rPr>
        <w:t xml:space="preserve"> </w:t>
      </w:r>
      <w:proofErr w:type="spellStart"/>
      <w:r w:rsidRPr="001A122F">
        <w:rPr>
          <w:rFonts w:ascii="Arial" w:hAnsi="Arial" w:cs="Arial"/>
          <w:sz w:val="24"/>
          <w:szCs w:val="24"/>
        </w:rPr>
        <w:t>Vittee</w:t>
      </w:r>
      <w:proofErr w:type="spellEnd"/>
      <w:r w:rsidRPr="001A122F">
        <w:rPr>
          <w:rFonts w:ascii="Arial" w:hAnsi="Arial" w:cs="Arial"/>
          <w:sz w:val="24"/>
          <w:szCs w:val="24"/>
        </w:rPr>
        <w:t xml:space="preserve"> Inc</w:t>
      </w:r>
    </w:p>
    <w:p w14:paraId="20E8F650" w14:textId="77777777" w:rsidR="002703B6" w:rsidRPr="001A122F" w:rsidRDefault="002703B6" w:rsidP="002703B6">
      <w:pPr>
        <w:spacing w:after="0" w:line="480" w:lineRule="auto"/>
        <w:rPr>
          <w:rFonts w:ascii="Arial" w:hAnsi="Arial" w:cs="Arial"/>
          <w:sz w:val="24"/>
          <w:szCs w:val="24"/>
        </w:rPr>
      </w:pPr>
      <w:r w:rsidRPr="001A122F">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5812DC">
          <w:rPr>
            <w:rStyle w:val="Hyperlink"/>
            <w:rFonts w:ascii="Arial" w:hAnsi="Arial" w:cs="Arial"/>
            <w:sz w:val="24"/>
            <w:szCs w:val="24"/>
          </w:rPr>
          <w:t>mmayet@mvattorneys.co,za</w:t>
        </w:r>
      </w:hyperlink>
      <w:r w:rsidRPr="001A122F">
        <w:rPr>
          <w:rFonts w:ascii="Arial" w:hAnsi="Arial" w:cs="Arial"/>
          <w:sz w:val="24"/>
          <w:szCs w:val="24"/>
        </w:rPr>
        <w:t xml:space="preserve"> </w:t>
      </w:r>
    </w:p>
    <w:p w14:paraId="243E1DAD" w14:textId="77777777" w:rsidR="002703B6" w:rsidRPr="001A122F" w:rsidRDefault="001A122F" w:rsidP="002703B6">
      <w:pPr>
        <w:spacing w:after="0" w:line="480" w:lineRule="auto"/>
        <w:rPr>
          <w:rFonts w:ascii="Arial" w:hAnsi="Arial" w:cs="Arial"/>
          <w:sz w:val="24"/>
          <w:szCs w:val="24"/>
        </w:rPr>
      </w:pPr>
      <w:r w:rsidRPr="001A122F">
        <w:rPr>
          <w:rFonts w:ascii="Arial" w:hAnsi="Arial" w:cs="Arial"/>
          <w:sz w:val="24"/>
          <w:szCs w:val="24"/>
        </w:rPr>
        <w:t>For First Respondent</w:t>
      </w:r>
      <w:r>
        <w:rPr>
          <w:rFonts w:ascii="Arial" w:hAnsi="Arial" w:cs="Arial"/>
          <w:sz w:val="24"/>
          <w:szCs w:val="24"/>
        </w:rPr>
        <w:t xml:space="preserve">: </w:t>
      </w:r>
      <w:r>
        <w:rPr>
          <w:rFonts w:ascii="Arial" w:hAnsi="Arial" w:cs="Arial"/>
          <w:sz w:val="24"/>
          <w:szCs w:val="24"/>
        </w:rPr>
        <w:tab/>
      </w:r>
      <w:proofErr w:type="spellStart"/>
      <w:r w:rsidR="002703B6" w:rsidRPr="001A122F">
        <w:rPr>
          <w:rFonts w:ascii="Arial" w:hAnsi="Arial" w:cs="Arial"/>
          <w:sz w:val="24"/>
          <w:szCs w:val="24"/>
        </w:rPr>
        <w:t>Miltz</w:t>
      </w:r>
      <w:proofErr w:type="spellEnd"/>
      <w:r w:rsidR="002703B6" w:rsidRPr="001A122F">
        <w:rPr>
          <w:rFonts w:ascii="Arial" w:hAnsi="Arial" w:cs="Arial"/>
          <w:sz w:val="24"/>
          <w:szCs w:val="24"/>
        </w:rPr>
        <w:t xml:space="preserve"> SC </w:t>
      </w:r>
    </w:p>
    <w:p w14:paraId="7E053BAD" w14:textId="77777777" w:rsidR="002703B6" w:rsidRPr="001A122F" w:rsidRDefault="002703B6" w:rsidP="002703B6">
      <w:pPr>
        <w:spacing w:after="0" w:line="480" w:lineRule="auto"/>
        <w:rPr>
          <w:rFonts w:ascii="Arial" w:hAnsi="Arial" w:cs="Arial"/>
          <w:sz w:val="24"/>
          <w:szCs w:val="24"/>
        </w:rPr>
      </w:pPr>
      <w:r w:rsidRPr="001A122F">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sidRPr="001A122F">
        <w:rPr>
          <w:rFonts w:ascii="Arial" w:hAnsi="Arial" w:cs="Arial"/>
          <w:sz w:val="24"/>
          <w:szCs w:val="24"/>
        </w:rPr>
        <w:t>G Cohen</w:t>
      </w:r>
    </w:p>
    <w:p w14:paraId="29CF6724" w14:textId="77777777" w:rsidR="002703B6" w:rsidRPr="001A122F" w:rsidRDefault="002703B6" w:rsidP="002703B6">
      <w:pPr>
        <w:spacing w:after="0" w:line="480" w:lineRule="auto"/>
        <w:rPr>
          <w:rFonts w:ascii="Arial" w:hAnsi="Arial" w:cs="Arial"/>
          <w:sz w:val="24"/>
          <w:szCs w:val="24"/>
        </w:rPr>
      </w:pPr>
      <w:r w:rsidRPr="001A122F">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5812DC">
          <w:rPr>
            <w:rStyle w:val="Hyperlink"/>
            <w:rFonts w:ascii="Arial" w:hAnsi="Arial" w:cs="Arial"/>
            <w:sz w:val="24"/>
            <w:szCs w:val="24"/>
          </w:rPr>
          <w:t>gcohenattorney@gmail.com</w:t>
        </w:r>
      </w:hyperlink>
      <w:r w:rsidRPr="001A122F">
        <w:rPr>
          <w:rFonts w:ascii="Arial" w:hAnsi="Arial" w:cs="Arial"/>
          <w:sz w:val="24"/>
          <w:szCs w:val="24"/>
        </w:rPr>
        <w:t xml:space="preserve"> </w:t>
      </w:r>
    </w:p>
    <w:p w14:paraId="14B49D55" w14:textId="77777777" w:rsidR="00046227" w:rsidRPr="001A122F" w:rsidRDefault="001A122F" w:rsidP="00252D88">
      <w:pPr>
        <w:pStyle w:val="ListLevel1"/>
        <w:numPr>
          <w:ilvl w:val="0"/>
          <w:numId w:val="0"/>
        </w:numPr>
        <w:spacing w:after="0" w:line="360" w:lineRule="auto"/>
        <w:ind w:left="851"/>
        <w:rPr>
          <w:rFonts w:cs="Arial"/>
          <w:sz w:val="24"/>
          <w:szCs w:val="24"/>
        </w:rPr>
      </w:pPr>
      <w:r>
        <w:rPr>
          <w:rFonts w:cs="Arial"/>
          <w:sz w:val="24"/>
          <w:szCs w:val="24"/>
        </w:rPr>
        <w:tab/>
      </w:r>
    </w:p>
    <w:sectPr w:rsidR="00046227" w:rsidRPr="001A122F" w:rsidSect="001F6793">
      <w:headerReference w:type="default" r:id="rId12"/>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A378" w14:textId="77777777" w:rsidR="0056425A" w:rsidRDefault="0056425A">
      <w:r>
        <w:separator/>
      </w:r>
    </w:p>
  </w:endnote>
  <w:endnote w:type="continuationSeparator" w:id="0">
    <w:p w14:paraId="12E05AC0" w14:textId="77777777" w:rsidR="0056425A" w:rsidRDefault="0056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82E3" w14:textId="77777777" w:rsidR="0056425A" w:rsidRDefault="0056425A" w:rsidP="00B42A2F">
      <w:pPr>
        <w:spacing w:after="0" w:line="240" w:lineRule="auto"/>
      </w:pPr>
      <w:r>
        <w:separator/>
      </w:r>
    </w:p>
  </w:footnote>
  <w:footnote w:type="continuationSeparator" w:id="0">
    <w:p w14:paraId="49B40F7A" w14:textId="77777777" w:rsidR="0056425A" w:rsidRDefault="0056425A">
      <w:r>
        <w:continuationSeparator/>
      </w:r>
    </w:p>
  </w:footnote>
  <w:footnote w:id="1">
    <w:p w14:paraId="51C8C0CD" w14:textId="77777777" w:rsidR="00241F9F" w:rsidRDefault="00241F9F" w:rsidP="006C2324">
      <w:pPr>
        <w:pStyle w:val="FootnoteText"/>
        <w:spacing w:after="0"/>
      </w:pPr>
      <w:r>
        <w:rPr>
          <w:rStyle w:val="FootnoteReference"/>
        </w:rPr>
        <w:footnoteRef/>
      </w:r>
      <w:r>
        <w:t xml:space="preserve"> </w:t>
      </w:r>
      <w:r w:rsidR="006C2324">
        <w:tab/>
      </w:r>
      <w:proofErr w:type="spellStart"/>
      <w:r>
        <w:t>Caselines</w:t>
      </w:r>
      <w:proofErr w:type="spellEnd"/>
      <w:r>
        <w:t xml:space="preserve"> 0001-9 to 11</w:t>
      </w:r>
    </w:p>
  </w:footnote>
  <w:footnote w:id="2">
    <w:p w14:paraId="1D996964" w14:textId="77777777" w:rsidR="00BD3288" w:rsidRDefault="00BD3288" w:rsidP="006C2324">
      <w:pPr>
        <w:pStyle w:val="FootnoteText"/>
        <w:spacing w:after="0"/>
      </w:pPr>
      <w:r>
        <w:rPr>
          <w:rStyle w:val="FootnoteReference"/>
        </w:rPr>
        <w:footnoteRef/>
      </w:r>
      <w:r>
        <w:t xml:space="preserve"> </w:t>
      </w:r>
      <w:r w:rsidR="006C2324">
        <w:tab/>
      </w:r>
      <w:proofErr w:type="spellStart"/>
      <w:r>
        <w:t>Caselines</w:t>
      </w:r>
      <w:proofErr w:type="spellEnd"/>
      <w:r>
        <w:t xml:space="preserve"> 24-1</w:t>
      </w:r>
    </w:p>
  </w:footnote>
  <w:footnote w:id="3">
    <w:p w14:paraId="216CF0E7" w14:textId="77777777" w:rsidR="00F0441D" w:rsidRDefault="00F0441D" w:rsidP="006C2324">
      <w:pPr>
        <w:pStyle w:val="FootnoteText"/>
        <w:spacing w:after="0"/>
      </w:pPr>
      <w:r>
        <w:rPr>
          <w:rStyle w:val="FootnoteReference"/>
        </w:rPr>
        <w:footnoteRef/>
      </w:r>
      <w:r>
        <w:t xml:space="preserve"> </w:t>
      </w:r>
      <w:r w:rsidR="006C2324">
        <w:tab/>
      </w:r>
      <w:proofErr w:type="spellStart"/>
      <w:r w:rsidR="0067517D">
        <w:t>Caselines</w:t>
      </w:r>
      <w:proofErr w:type="spellEnd"/>
      <w:r w:rsidR="0067517D">
        <w:t xml:space="preserve"> 14-58</w:t>
      </w:r>
    </w:p>
  </w:footnote>
  <w:footnote w:id="4">
    <w:p w14:paraId="6B62A402" w14:textId="77777777" w:rsidR="00B1712D" w:rsidRDefault="00B1712D" w:rsidP="006C2324">
      <w:pPr>
        <w:pStyle w:val="FootnoteText"/>
        <w:spacing w:after="0"/>
      </w:pPr>
      <w:r>
        <w:rPr>
          <w:rStyle w:val="FootnoteReference"/>
        </w:rPr>
        <w:footnoteRef/>
      </w:r>
      <w:r>
        <w:t xml:space="preserve"> </w:t>
      </w:r>
      <w:r w:rsidR="006C2324">
        <w:tab/>
      </w:r>
      <w:proofErr w:type="spellStart"/>
      <w:r>
        <w:t>Caselines</w:t>
      </w:r>
      <w:proofErr w:type="spellEnd"/>
      <w:r>
        <w:t xml:space="preserve"> 0001-12</w:t>
      </w:r>
    </w:p>
  </w:footnote>
  <w:footnote w:id="5">
    <w:p w14:paraId="423AD59D" w14:textId="77777777" w:rsidR="00B1712D" w:rsidRDefault="00B1712D" w:rsidP="006C2324">
      <w:pPr>
        <w:pStyle w:val="FootnoteText"/>
        <w:spacing w:after="0"/>
      </w:pPr>
      <w:r>
        <w:rPr>
          <w:rStyle w:val="FootnoteReference"/>
        </w:rPr>
        <w:footnoteRef/>
      </w:r>
      <w:r>
        <w:t xml:space="preserve"> </w:t>
      </w:r>
      <w:r w:rsidR="006C2324">
        <w:tab/>
      </w:r>
      <w:r>
        <w:t>See note 4 above</w:t>
      </w:r>
    </w:p>
  </w:footnote>
  <w:footnote w:id="6">
    <w:p w14:paraId="6621CFA9" w14:textId="77777777" w:rsidR="006B5155" w:rsidRDefault="006B5155" w:rsidP="006C2324">
      <w:pPr>
        <w:pStyle w:val="FootnoteText"/>
        <w:spacing w:after="0"/>
      </w:pPr>
      <w:r>
        <w:rPr>
          <w:rStyle w:val="FootnoteReference"/>
        </w:rPr>
        <w:footnoteRef/>
      </w:r>
      <w:r>
        <w:t xml:space="preserve"> </w:t>
      </w:r>
      <w:r w:rsidR="006C2324">
        <w:tab/>
      </w:r>
      <w:r>
        <w:t>(165/89) [1989] ZASCA 167 paragraph 29</w:t>
      </w:r>
    </w:p>
  </w:footnote>
  <w:footnote w:id="7">
    <w:p w14:paraId="195D9EA0" w14:textId="2EF2835D" w:rsidR="00F62B69" w:rsidRDefault="00F62B69">
      <w:pPr>
        <w:pStyle w:val="FootnoteText"/>
      </w:pPr>
      <w:r>
        <w:rPr>
          <w:rStyle w:val="FootnoteReference"/>
        </w:rPr>
        <w:footnoteRef/>
      </w:r>
      <w:r>
        <w:t xml:space="preserve"> See footnote 3 above.</w:t>
      </w:r>
    </w:p>
  </w:footnote>
  <w:footnote w:id="8">
    <w:p w14:paraId="3A286840" w14:textId="77777777" w:rsidR="002C6F4E" w:rsidRDefault="002C6F4E" w:rsidP="006C2324">
      <w:pPr>
        <w:pStyle w:val="FootnoteText"/>
        <w:spacing w:after="0"/>
      </w:pPr>
      <w:r>
        <w:rPr>
          <w:rStyle w:val="FootnoteReference"/>
        </w:rPr>
        <w:footnoteRef/>
      </w:r>
      <w:r>
        <w:t xml:space="preserve"> </w:t>
      </w:r>
      <w:r w:rsidR="006C2324">
        <w:tab/>
      </w:r>
      <w:r>
        <w:t>2013 (5) SA 315 (GSJ) par 44 in 1926 AD 467 at 488</w:t>
      </w:r>
    </w:p>
  </w:footnote>
  <w:footnote w:id="9">
    <w:p w14:paraId="3B3441A2" w14:textId="556E1A16" w:rsidR="002C6F4E" w:rsidRDefault="002C6F4E" w:rsidP="006C2324">
      <w:pPr>
        <w:pStyle w:val="FootnoteText"/>
        <w:spacing w:after="0"/>
      </w:pPr>
      <w:r>
        <w:rPr>
          <w:rStyle w:val="FootnoteReference"/>
        </w:rPr>
        <w:footnoteRef/>
      </w:r>
      <w:r>
        <w:t xml:space="preserve"> </w:t>
      </w:r>
      <w:r w:rsidR="006C2324">
        <w:tab/>
      </w:r>
      <w:r>
        <w:t>[2019] SACC 29 at</w:t>
      </w:r>
      <w:r w:rsidR="00F62B69">
        <w:t xml:space="preserve"> p 82</w:t>
      </w:r>
      <w:r>
        <w:t xml:space="preserve"> para</w:t>
      </w:r>
      <w:r w:rsidR="00901281">
        <w:t xml:space="preserve"> 223</w:t>
      </w:r>
    </w:p>
  </w:footnote>
  <w:footnote w:id="10">
    <w:p w14:paraId="5EC6AA48" w14:textId="3D700755" w:rsidR="00901281" w:rsidRDefault="00901281" w:rsidP="006C2324">
      <w:pPr>
        <w:pStyle w:val="FootnoteText"/>
        <w:spacing w:after="0"/>
      </w:pPr>
      <w:r>
        <w:rPr>
          <w:rStyle w:val="FootnoteReference"/>
        </w:rPr>
        <w:footnoteRef/>
      </w:r>
      <w:r>
        <w:t xml:space="preserve"> </w:t>
      </w:r>
      <w:r w:rsidR="006C2324">
        <w:tab/>
      </w:r>
      <w:r>
        <w:t>See above</w:t>
      </w:r>
      <w:r w:rsidR="00F62B69">
        <w:t xml:space="preserve"> footnote</w:t>
      </w:r>
      <w:r>
        <w:t xml:space="preserve"> and references at</w:t>
      </w:r>
      <w:r w:rsidR="00F62B69">
        <w:t xml:space="preserve"> p83</w:t>
      </w:r>
      <w:r>
        <w:t xml:space="preserve"> footnotes 175-177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93F"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50B8DDB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5F1FA34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5BC7D227" w14:textId="0E64FBA9"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233266">
      <w:rPr>
        <w:rStyle w:val="PageNumber"/>
        <w:rFonts w:ascii="Arial" w:hAnsi="Arial" w:cs="Arial"/>
        <w:noProof/>
        <w:sz w:val="25"/>
        <w:szCs w:val="25"/>
      </w:rPr>
      <w:t>2</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1BD60992"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7D39F2FD"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332BC2A8" w14:textId="77777777" w:rsidR="00C15506" w:rsidRDefault="00C15506" w:rsidP="00C15506">
    <w:pPr>
      <w:pStyle w:val="Header"/>
      <w:spacing w:after="0" w:line="240" w:lineRule="auto"/>
      <w:jc w:val="center"/>
      <w:rPr>
        <w:rStyle w:val="PageNumber"/>
        <w:rFonts w:ascii="Arial" w:hAnsi="Arial" w:cs="Arial"/>
        <w:sz w:val="16"/>
        <w:szCs w:val="16"/>
      </w:rPr>
    </w:pPr>
  </w:p>
  <w:p w14:paraId="30D76C7E"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16cid:durableId="1880429262">
    <w:abstractNumId w:val="0"/>
  </w:num>
  <w:num w:numId="2" w16cid:durableId="574048700">
    <w:abstractNumId w:val="3"/>
  </w:num>
  <w:num w:numId="3" w16cid:durableId="1245603134">
    <w:abstractNumId w:val="2"/>
  </w:num>
  <w:num w:numId="4" w16cid:durableId="46030522">
    <w:abstractNumId w:val="1"/>
  </w:num>
  <w:num w:numId="5" w16cid:durableId="1596746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01"/>
    <w:rsid w:val="00013B60"/>
    <w:rsid w:val="000441BE"/>
    <w:rsid w:val="00045243"/>
    <w:rsid w:val="00046227"/>
    <w:rsid w:val="00066255"/>
    <w:rsid w:val="00067824"/>
    <w:rsid w:val="00076BDF"/>
    <w:rsid w:val="00080FB7"/>
    <w:rsid w:val="00081BE5"/>
    <w:rsid w:val="00092FE9"/>
    <w:rsid w:val="000A5BCD"/>
    <w:rsid w:val="000C5FBC"/>
    <w:rsid w:val="000E1FD0"/>
    <w:rsid w:val="00103B17"/>
    <w:rsid w:val="00110C77"/>
    <w:rsid w:val="0011358F"/>
    <w:rsid w:val="00142537"/>
    <w:rsid w:val="0014765C"/>
    <w:rsid w:val="001522B0"/>
    <w:rsid w:val="00152716"/>
    <w:rsid w:val="00157C9E"/>
    <w:rsid w:val="001645A0"/>
    <w:rsid w:val="00171D00"/>
    <w:rsid w:val="00173D11"/>
    <w:rsid w:val="00176310"/>
    <w:rsid w:val="001803F7"/>
    <w:rsid w:val="001A122F"/>
    <w:rsid w:val="001A4B73"/>
    <w:rsid w:val="001B2387"/>
    <w:rsid w:val="001C327E"/>
    <w:rsid w:val="001C3C74"/>
    <w:rsid w:val="001C5E9C"/>
    <w:rsid w:val="001D1286"/>
    <w:rsid w:val="001E4A36"/>
    <w:rsid w:val="001F0D85"/>
    <w:rsid w:val="001F55DE"/>
    <w:rsid w:val="001F6793"/>
    <w:rsid w:val="00200B29"/>
    <w:rsid w:val="00203E3E"/>
    <w:rsid w:val="00204B1F"/>
    <w:rsid w:val="00210C59"/>
    <w:rsid w:val="00233266"/>
    <w:rsid w:val="00234CD3"/>
    <w:rsid w:val="00241F9F"/>
    <w:rsid w:val="00245352"/>
    <w:rsid w:val="00252D88"/>
    <w:rsid w:val="0025601B"/>
    <w:rsid w:val="00257E97"/>
    <w:rsid w:val="00262035"/>
    <w:rsid w:val="00267551"/>
    <w:rsid w:val="002703B6"/>
    <w:rsid w:val="00282046"/>
    <w:rsid w:val="002C52D0"/>
    <w:rsid w:val="002C6E15"/>
    <w:rsid w:val="002C6F4E"/>
    <w:rsid w:val="002D0BE8"/>
    <w:rsid w:val="002E4069"/>
    <w:rsid w:val="002E6D51"/>
    <w:rsid w:val="002E73BE"/>
    <w:rsid w:val="002F1EF0"/>
    <w:rsid w:val="00302280"/>
    <w:rsid w:val="00302F4C"/>
    <w:rsid w:val="00304027"/>
    <w:rsid w:val="00304323"/>
    <w:rsid w:val="00314802"/>
    <w:rsid w:val="0031744F"/>
    <w:rsid w:val="0036713E"/>
    <w:rsid w:val="00394560"/>
    <w:rsid w:val="003A5334"/>
    <w:rsid w:val="003B155F"/>
    <w:rsid w:val="003D231C"/>
    <w:rsid w:val="003D3C62"/>
    <w:rsid w:val="003E353F"/>
    <w:rsid w:val="003E7B53"/>
    <w:rsid w:val="003F078F"/>
    <w:rsid w:val="00405046"/>
    <w:rsid w:val="00405ECC"/>
    <w:rsid w:val="00423CB0"/>
    <w:rsid w:val="00436920"/>
    <w:rsid w:val="0045222A"/>
    <w:rsid w:val="0046132E"/>
    <w:rsid w:val="0048687B"/>
    <w:rsid w:val="00490977"/>
    <w:rsid w:val="00491997"/>
    <w:rsid w:val="004B5191"/>
    <w:rsid w:val="004B6D4A"/>
    <w:rsid w:val="004D0D37"/>
    <w:rsid w:val="004E07A7"/>
    <w:rsid w:val="004E37E5"/>
    <w:rsid w:val="004E6608"/>
    <w:rsid w:val="004F250E"/>
    <w:rsid w:val="004F5C32"/>
    <w:rsid w:val="00501616"/>
    <w:rsid w:val="00515839"/>
    <w:rsid w:val="00532293"/>
    <w:rsid w:val="00550532"/>
    <w:rsid w:val="005577D6"/>
    <w:rsid w:val="00560DAB"/>
    <w:rsid w:val="0056425A"/>
    <w:rsid w:val="00564C74"/>
    <w:rsid w:val="00581A25"/>
    <w:rsid w:val="00585E16"/>
    <w:rsid w:val="00587C8C"/>
    <w:rsid w:val="00593E3F"/>
    <w:rsid w:val="00594841"/>
    <w:rsid w:val="00596FA2"/>
    <w:rsid w:val="005B2B01"/>
    <w:rsid w:val="005B386A"/>
    <w:rsid w:val="005B40AF"/>
    <w:rsid w:val="005D6C4D"/>
    <w:rsid w:val="00610E09"/>
    <w:rsid w:val="00613714"/>
    <w:rsid w:val="006379FF"/>
    <w:rsid w:val="006451F6"/>
    <w:rsid w:val="00645B54"/>
    <w:rsid w:val="0065104A"/>
    <w:rsid w:val="006576AF"/>
    <w:rsid w:val="0067260F"/>
    <w:rsid w:val="006734F0"/>
    <w:rsid w:val="0067517D"/>
    <w:rsid w:val="00675EF8"/>
    <w:rsid w:val="006842D7"/>
    <w:rsid w:val="0068725F"/>
    <w:rsid w:val="0069151E"/>
    <w:rsid w:val="00692ED6"/>
    <w:rsid w:val="006940BA"/>
    <w:rsid w:val="006A0EDE"/>
    <w:rsid w:val="006A6DCE"/>
    <w:rsid w:val="006B5155"/>
    <w:rsid w:val="006C2324"/>
    <w:rsid w:val="006C2AE7"/>
    <w:rsid w:val="006C3E2C"/>
    <w:rsid w:val="006E25DB"/>
    <w:rsid w:val="006F061C"/>
    <w:rsid w:val="007032F1"/>
    <w:rsid w:val="007101BE"/>
    <w:rsid w:val="00712C5A"/>
    <w:rsid w:val="00713676"/>
    <w:rsid w:val="007168D6"/>
    <w:rsid w:val="00735B93"/>
    <w:rsid w:val="0075275C"/>
    <w:rsid w:val="00763F15"/>
    <w:rsid w:val="00780EF3"/>
    <w:rsid w:val="00792F12"/>
    <w:rsid w:val="007938FD"/>
    <w:rsid w:val="007A5039"/>
    <w:rsid w:val="007B3DB5"/>
    <w:rsid w:val="007E7FAE"/>
    <w:rsid w:val="007F2822"/>
    <w:rsid w:val="00807A2D"/>
    <w:rsid w:val="008208B5"/>
    <w:rsid w:val="0083545A"/>
    <w:rsid w:val="00850E70"/>
    <w:rsid w:val="008612FA"/>
    <w:rsid w:val="008832D7"/>
    <w:rsid w:val="008851CD"/>
    <w:rsid w:val="008A0446"/>
    <w:rsid w:val="008C2100"/>
    <w:rsid w:val="008F6698"/>
    <w:rsid w:val="00901281"/>
    <w:rsid w:val="0092610E"/>
    <w:rsid w:val="00947B5C"/>
    <w:rsid w:val="009551A2"/>
    <w:rsid w:val="009570B0"/>
    <w:rsid w:val="00964E64"/>
    <w:rsid w:val="009769F2"/>
    <w:rsid w:val="00980139"/>
    <w:rsid w:val="0098104B"/>
    <w:rsid w:val="00984EE7"/>
    <w:rsid w:val="009B0F23"/>
    <w:rsid w:val="009C7773"/>
    <w:rsid w:val="009D5250"/>
    <w:rsid w:val="009E70E2"/>
    <w:rsid w:val="009F640B"/>
    <w:rsid w:val="00A012C5"/>
    <w:rsid w:val="00A01A63"/>
    <w:rsid w:val="00A0233F"/>
    <w:rsid w:val="00A10ABE"/>
    <w:rsid w:val="00A1177B"/>
    <w:rsid w:val="00A239FE"/>
    <w:rsid w:val="00A413C7"/>
    <w:rsid w:val="00A44620"/>
    <w:rsid w:val="00A73C54"/>
    <w:rsid w:val="00AC666D"/>
    <w:rsid w:val="00B00086"/>
    <w:rsid w:val="00B03A6B"/>
    <w:rsid w:val="00B05014"/>
    <w:rsid w:val="00B1712D"/>
    <w:rsid w:val="00B20960"/>
    <w:rsid w:val="00B20BD4"/>
    <w:rsid w:val="00B234D9"/>
    <w:rsid w:val="00B263DE"/>
    <w:rsid w:val="00B42A2F"/>
    <w:rsid w:val="00B517B2"/>
    <w:rsid w:val="00B72E64"/>
    <w:rsid w:val="00B9752F"/>
    <w:rsid w:val="00BB2C99"/>
    <w:rsid w:val="00BC50C3"/>
    <w:rsid w:val="00BD3288"/>
    <w:rsid w:val="00BD460A"/>
    <w:rsid w:val="00BD5A11"/>
    <w:rsid w:val="00BD73EF"/>
    <w:rsid w:val="00BE0913"/>
    <w:rsid w:val="00BF5AB8"/>
    <w:rsid w:val="00C00F49"/>
    <w:rsid w:val="00C06DE6"/>
    <w:rsid w:val="00C10A6A"/>
    <w:rsid w:val="00C11D8A"/>
    <w:rsid w:val="00C15506"/>
    <w:rsid w:val="00C21404"/>
    <w:rsid w:val="00C216CD"/>
    <w:rsid w:val="00C2519C"/>
    <w:rsid w:val="00C2718F"/>
    <w:rsid w:val="00C2797D"/>
    <w:rsid w:val="00C307C7"/>
    <w:rsid w:val="00C46EF1"/>
    <w:rsid w:val="00C52592"/>
    <w:rsid w:val="00C61290"/>
    <w:rsid w:val="00C73C01"/>
    <w:rsid w:val="00C9115E"/>
    <w:rsid w:val="00CA04E3"/>
    <w:rsid w:val="00CA68B7"/>
    <w:rsid w:val="00CD7F45"/>
    <w:rsid w:val="00CF0140"/>
    <w:rsid w:val="00CF160E"/>
    <w:rsid w:val="00D53885"/>
    <w:rsid w:val="00D57C6B"/>
    <w:rsid w:val="00D82F93"/>
    <w:rsid w:val="00D91B37"/>
    <w:rsid w:val="00DA6DD6"/>
    <w:rsid w:val="00DA7AD3"/>
    <w:rsid w:val="00DB23D2"/>
    <w:rsid w:val="00DB4B82"/>
    <w:rsid w:val="00DD201B"/>
    <w:rsid w:val="00DD2572"/>
    <w:rsid w:val="00DD7EC8"/>
    <w:rsid w:val="00E00582"/>
    <w:rsid w:val="00E0148D"/>
    <w:rsid w:val="00E020BE"/>
    <w:rsid w:val="00E0596D"/>
    <w:rsid w:val="00E14600"/>
    <w:rsid w:val="00E168E2"/>
    <w:rsid w:val="00E20795"/>
    <w:rsid w:val="00E21B69"/>
    <w:rsid w:val="00E3094A"/>
    <w:rsid w:val="00E375BF"/>
    <w:rsid w:val="00E424E0"/>
    <w:rsid w:val="00E5085B"/>
    <w:rsid w:val="00E5219C"/>
    <w:rsid w:val="00E53970"/>
    <w:rsid w:val="00E55C3E"/>
    <w:rsid w:val="00E705EF"/>
    <w:rsid w:val="00E91717"/>
    <w:rsid w:val="00E9228C"/>
    <w:rsid w:val="00E972A8"/>
    <w:rsid w:val="00EB2549"/>
    <w:rsid w:val="00EE72DA"/>
    <w:rsid w:val="00F0441D"/>
    <w:rsid w:val="00F147F9"/>
    <w:rsid w:val="00F155CA"/>
    <w:rsid w:val="00F53D9C"/>
    <w:rsid w:val="00F62295"/>
    <w:rsid w:val="00F62B69"/>
    <w:rsid w:val="00F81D77"/>
    <w:rsid w:val="00F848AF"/>
    <w:rsid w:val="00F90D9E"/>
    <w:rsid w:val="00FA07A9"/>
    <w:rsid w:val="00FC7041"/>
    <w:rsid w:val="00FC7C90"/>
    <w:rsid w:val="00FD3335"/>
    <w:rsid w:val="00FE6741"/>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A5439"/>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3"/>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1"/>
      </w:numPr>
    </w:pPr>
  </w:style>
  <w:style w:type="paragraph" w:customStyle="1" w:styleId="onebracket">
    <w:name w:val="onebracket"/>
    <w:basedOn w:val="BodyTex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uiPriority w:val="39"/>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1">
    <w:name w:val="Unresolved Mention1"/>
    <w:basedOn w:val="DefaultParagraphFont"/>
    <w:uiPriority w:val="99"/>
    <w:semiHidden/>
    <w:unhideWhenUsed/>
    <w:rsid w:val="001A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ohenattorney@gmail.com" TargetMode="External"/><Relationship Id="rId5" Type="http://schemas.openxmlformats.org/officeDocument/2006/relationships/webSettings" Target="webSettings.xml"/><Relationship Id="rId10" Type="http://schemas.openxmlformats.org/officeDocument/2006/relationships/hyperlink" Target="mailto:mmayet@mvattorneys.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BC7D-AC65-4C02-8B14-BA79BAA8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6</TotalTime>
  <Pages>8</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Mariana Anguelov</cp:lastModifiedBy>
  <cp:revision>3</cp:revision>
  <cp:lastPrinted>2022-01-26T15:55:00Z</cp:lastPrinted>
  <dcterms:created xsi:type="dcterms:W3CDTF">2022-11-22T10:52:00Z</dcterms:created>
  <dcterms:modified xsi:type="dcterms:W3CDTF">2022-11-27T15:24:00Z</dcterms:modified>
</cp:coreProperties>
</file>