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0131" w14:textId="77777777"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p>
    <w:p w14:paraId="25F3B11C" w14:textId="77777777"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14:paraId="10DE3FD7" w14:textId="77777777"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5B748104" wp14:editId="1F866546">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3943C537" w14:textId="77777777"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14:paraId="77F1ABF7" w14:textId="77777777"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14:paraId="0D5F0C88" w14:textId="77777777"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14:paraId="1270832B" w14:textId="77777777"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14:paraId="0164C039" w14:textId="77777777" w:rsidR="003E4474" w:rsidRPr="003E4474" w:rsidRDefault="009F1512"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9F1512">
        <w:rPr>
          <w:rFonts w:ascii="Arial" w:eastAsia="Times New Roman" w:hAnsi="Arial" w:cs="Times New Roman"/>
          <w:b/>
          <w:kern w:val="28"/>
          <w:sz w:val="24"/>
          <w:szCs w:val="24"/>
          <w:lang w:val="en-GB" w:eastAsia="en-GB"/>
        </w:rPr>
        <w:t xml:space="preserve">CASE NO: </w:t>
      </w:r>
      <w:r w:rsidR="00575DDE" w:rsidRPr="00575DDE">
        <w:rPr>
          <w:rFonts w:ascii="Arial" w:eastAsia="Times New Roman" w:hAnsi="Arial" w:cs="Times New Roman"/>
          <w:b/>
          <w:kern w:val="28"/>
          <w:sz w:val="24"/>
          <w:szCs w:val="24"/>
          <w:lang w:val="en-GB" w:eastAsia="en-GB"/>
        </w:rPr>
        <w:t>2021/15789</w:t>
      </w:r>
    </w:p>
    <w:p w14:paraId="112EF5A5" w14:textId="77777777"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14:paraId="36D46F4C" w14:textId="77777777" w:rsidTr="006C1DDA">
        <w:trPr>
          <w:trHeight w:val="2528"/>
        </w:trPr>
        <w:tc>
          <w:tcPr>
            <w:tcW w:w="5812" w:type="dxa"/>
            <w:tcBorders>
              <w:top w:val="single" w:sz="4" w:space="0" w:color="auto"/>
              <w:left w:val="single" w:sz="4" w:space="0" w:color="auto"/>
              <w:bottom w:val="single" w:sz="4" w:space="0" w:color="auto"/>
              <w:right w:val="single" w:sz="4" w:space="0" w:color="auto"/>
            </w:tcBorders>
          </w:tcPr>
          <w:p w14:paraId="5192717D" w14:textId="77777777" w:rsidR="003E4474" w:rsidRPr="003E4474" w:rsidRDefault="003E4474" w:rsidP="003E4474">
            <w:pPr>
              <w:spacing w:after="0" w:line="240" w:lineRule="auto"/>
              <w:jc w:val="both"/>
              <w:rPr>
                <w:rFonts w:ascii="Arial" w:eastAsia="Times New Roman" w:hAnsi="Arial" w:cs="Arial"/>
                <w:kern w:val="28"/>
                <w:sz w:val="16"/>
                <w:szCs w:val="16"/>
                <w:lang w:eastAsia="en-GB"/>
              </w:rPr>
            </w:pPr>
          </w:p>
          <w:p w14:paraId="7A18B6BD" w14:textId="77777777"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14:paraId="21276F97" w14:textId="77777777"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14:paraId="00F0C24F" w14:textId="77777777"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 xml:space="preserve">1.REPORTABLE:                                                                   </w:t>
            </w:r>
            <w:r w:rsidR="00951AD8">
              <w:rPr>
                <w:rFonts w:ascii="Arial" w:eastAsia="Times New Roman" w:hAnsi="Arial" w:cs="Arial"/>
                <w:bCs/>
                <w:color w:val="FF0000"/>
                <w:kern w:val="28"/>
                <w:sz w:val="18"/>
                <w:szCs w:val="18"/>
                <w:lang w:eastAsia="en-GB"/>
              </w:rPr>
              <w:t>YES</w:t>
            </w:r>
          </w:p>
          <w:p w14:paraId="2F5B0AFF" w14:textId="77777777"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 xml:space="preserve">2.OF INTEREST TO OTHER JUDGES:                                </w:t>
            </w:r>
            <w:r w:rsidR="00951AD8">
              <w:rPr>
                <w:rFonts w:ascii="Arial" w:eastAsia="Times New Roman" w:hAnsi="Arial" w:cs="Arial"/>
                <w:bCs/>
                <w:color w:val="FF0000"/>
                <w:kern w:val="28"/>
                <w:sz w:val="18"/>
                <w:szCs w:val="18"/>
                <w:lang w:eastAsia="en-GB"/>
              </w:rPr>
              <w:t>YES</w:t>
            </w:r>
          </w:p>
          <w:p w14:paraId="52C19840" w14:textId="77777777"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 xml:space="preserve">3.REVISED                                                                            </w:t>
            </w:r>
            <w:r w:rsidR="00951AD8">
              <w:rPr>
                <w:rFonts w:ascii="Arial" w:eastAsia="Times New Roman" w:hAnsi="Arial" w:cs="Arial"/>
                <w:bCs/>
                <w:color w:val="FF0000"/>
                <w:kern w:val="28"/>
                <w:sz w:val="18"/>
                <w:szCs w:val="18"/>
                <w:lang w:eastAsia="en-GB"/>
              </w:rPr>
              <w:t>YES</w:t>
            </w:r>
          </w:p>
          <w:p w14:paraId="67FABCC1" w14:textId="77777777"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14:paraId="1928370B" w14:textId="77777777"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Judge Dippenaar</w:t>
            </w:r>
          </w:p>
        </w:tc>
      </w:tr>
    </w:tbl>
    <w:p w14:paraId="0EBE8955" w14:textId="77777777"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14:paraId="3EA749BC" w14:textId="77777777" w:rsidR="00BB4962" w:rsidRPr="00BB4962" w:rsidRDefault="00BB4962" w:rsidP="00BF3688">
      <w:pPr>
        <w:spacing w:after="0" w:line="240" w:lineRule="auto"/>
        <w:jc w:val="both"/>
        <w:rPr>
          <w:rFonts w:ascii="Arial" w:eastAsia="Calibri" w:hAnsi="Arial" w:cs="Arial"/>
          <w:b/>
          <w:bCs/>
          <w:sz w:val="24"/>
          <w:szCs w:val="24"/>
        </w:rPr>
      </w:pPr>
    </w:p>
    <w:p w14:paraId="32C4928E" w14:textId="77777777" w:rsidR="00BB4962" w:rsidRPr="00BB4962" w:rsidRDefault="00BB4962" w:rsidP="00BB4962">
      <w:pPr>
        <w:spacing w:after="0" w:line="240" w:lineRule="auto"/>
        <w:ind w:left="360" w:hanging="360"/>
        <w:jc w:val="both"/>
        <w:rPr>
          <w:rFonts w:ascii="Arial" w:eastAsia="Calibri" w:hAnsi="Arial" w:cs="Arial"/>
          <w:sz w:val="24"/>
          <w:szCs w:val="24"/>
        </w:rPr>
      </w:pPr>
      <w:r w:rsidRPr="00BB4962">
        <w:rPr>
          <w:rFonts w:ascii="Arial" w:eastAsia="Calibri" w:hAnsi="Arial" w:cs="Arial"/>
          <w:sz w:val="24"/>
          <w:szCs w:val="24"/>
        </w:rPr>
        <w:t>In the matter between:</w:t>
      </w:r>
    </w:p>
    <w:p w14:paraId="3A372296" w14:textId="77777777" w:rsidR="00C64358" w:rsidRPr="00C64358" w:rsidRDefault="00C64358" w:rsidP="00BB0648">
      <w:pPr>
        <w:widowControl w:val="0"/>
        <w:tabs>
          <w:tab w:val="right" w:pos="9356"/>
        </w:tabs>
        <w:spacing w:after="0" w:line="360" w:lineRule="auto"/>
        <w:jc w:val="both"/>
        <w:rPr>
          <w:rFonts w:ascii="Arial" w:eastAsia="Calibri" w:hAnsi="Arial" w:cs="Arial"/>
          <w:b/>
          <w:bCs/>
          <w:sz w:val="24"/>
          <w:szCs w:val="24"/>
        </w:rPr>
      </w:pPr>
    </w:p>
    <w:p w14:paraId="70369587" w14:textId="77777777" w:rsidR="00575DDE" w:rsidRPr="00575DDE" w:rsidRDefault="00575DDE" w:rsidP="00575DDE">
      <w:pPr>
        <w:widowControl w:val="0"/>
        <w:tabs>
          <w:tab w:val="right" w:pos="9356"/>
        </w:tabs>
        <w:spacing w:after="0" w:line="240" w:lineRule="auto"/>
        <w:jc w:val="both"/>
        <w:rPr>
          <w:rFonts w:ascii="Arial" w:eastAsia="Calibri" w:hAnsi="Arial" w:cs="Arial"/>
          <w:b/>
          <w:bCs/>
          <w:sz w:val="24"/>
          <w:szCs w:val="24"/>
        </w:rPr>
      </w:pPr>
      <w:r w:rsidRPr="00575DDE">
        <w:rPr>
          <w:rFonts w:ascii="Arial" w:eastAsia="Calibri" w:hAnsi="Arial" w:cs="Arial"/>
          <w:b/>
          <w:bCs/>
          <w:sz w:val="24"/>
          <w:szCs w:val="24"/>
        </w:rPr>
        <w:t xml:space="preserve">INDUSTRIAL DEVELOPMENT CORPORATION, SA LTD </w:t>
      </w:r>
      <w:r w:rsidR="009D0DAA">
        <w:rPr>
          <w:rFonts w:ascii="Arial" w:eastAsia="Calibri" w:hAnsi="Arial" w:cs="Arial"/>
          <w:b/>
          <w:bCs/>
          <w:sz w:val="24"/>
          <w:szCs w:val="24"/>
        </w:rPr>
        <w:tab/>
      </w:r>
      <w:r w:rsidRPr="00575DDE">
        <w:rPr>
          <w:rFonts w:ascii="Arial" w:eastAsia="Calibri" w:hAnsi="Arial" w:cs="Arial"/>
          <w:b/>
          <w:bCs/>
          <w:sz w:val="24"/>
          <w:szCs w:val="24"/>
        </w:rPr>
        <w:t>Applicant</w:t>
      </w:r>
    </w:p>
    <w:p w14:paraId="79134F5B" w14:textId="77777777" w:rsidR="009D0DAA" w:rsidRDefault="009D0DAA" w:rsidP="00575DDE">
      <w:pPr>
        <w:widowControl w:val="0"/>
        <w:tabs>
          <w:tab w:val="right" w:pos="9356"/>
        </w:tabs>
        <w:spacing w:after="0" w:line="240" w:lineRule="auto"/>
        <w:jc w:val="both"/>
        <w:rPr>
          <w:rFonts w:ascii="Arial" w:eastAsia="Calibri" w:hAnsi="Arial" w:cs="Arial"/>
          <w:b/>
          <w:bCs/>
          <w:sz w:val="24"/>
          <w:szCs w:val="24"/>
        </w:rPr>
      </w:pPr>
    </w:p>
    <w:p w14:paraId="74D844E0" w14:textId="77777777" w:rsidR="00575DDE" w:rsidRPr="00575DDE" w:rsidRDefault="00575DDE" w:rsidP="00575DDE">
      <w:pPr>
        <w:widowControl w:val="0"/>
        <w:tabs>
          <w:tab w:val="right" w:pos="9356"/>
        </w:tabs>
        <w:spacing w:after="0" w:line="240" w:lineRule="auto"/>
        <w:jc w:val="both"/>
        <w:rPr>
          <w:rFonts w:ascii="Arial" w:eastAsia="Calibri" w:hAnsi="Arial" w:cs="Arial"/>
          <w:b/>
          <w:bCs/>
          <w:sz w:val="24"/>
          <w:szCs w:val="24"/>
        </w:rPr>
      </w:pPr>
      <w:r w:rsidRPr="00575DDE">
        <w:rPr>
          <w:rFonts w:ascii="Arial" w:eastAsia="Calibri" w:hAnsi="Arial" w:cs="Arial"/>
          <w:b/>
          <w:bCs/>
          <w:sz w:val="24"/>
          <w:szCs w:val="24"/>
        </w:rPr>
        <w:t>and</w:t>
      </w:r>
    </w:p>
    <w:p w14:paraId="27D73818" w14:textId="77777777" w:rsidR="009D0DAA" w:rsidRDefault="009D0DAA" w:rsidP="00575DDE">
      <w:pPr>
        <w:widowControl w:val="0"/>
        <w:tabs>
          <w:tab w:val="right" w:pos="9356"/>
        </w:tabs>
        <w:spacing w:after="0" w:line="240" w:lineRule="auto"/>
        <w:jc w:val="both"/>
        <w:rPr>
          <w:rFonts w:ascii="Arial" w:eastAsia="Calibri" w:hAnsi="Arial" w:cs="Arial"/>
          <w:b/>
          <w:bCs/>
          <w:sz w:val="24"/>
          <w:szCs w:val="24"/>
        </w:rPr>
      </w:pPr>
    </w:p>
    <w:p w14:paraId="068FA7CB" w14:textId="77777777" w:rsidR="004335AA" w:rsidRPr="004335AA" w:rsidRDefault="00575DDE" w:rsidP="00575DDE">
      <w:pPr>
        <w:widowControl w:val="0"/>
        <w:tabs>
          <w:tab w:val="right" w:pos="9356"/>
        </w:tabs>
        <w:spacing w:after="0" w:line="240" w:lineRule="auto"/>
        <w:jc w:val="both"/>
        <w:rPr>
          <w:rFonts w:ascii="Arial" w:eastAsia="Calibri" w:hAnsi="Arial" w:cs="Arial"/>
          <w:b/>
          <w:bCs/>
          <w:sz w:val="24"/>
          <w:szCs w:val="24"/>
        </w:rPr>
      </w:pPr>
      <w:r w:rsidRPr="00575DDE">
        <w:rPr>
          <w:rFonts w:ascii="Arial" w:eastAsia="Calibri" w:hAnsi="Arial" w:cs="Arial"/>
          <w:b/>
          <w:bCs/>
          <w:sz w:val="24"/>
          <w:szCs w:val="24"/>
        </w:rPr>
        <w:t xml:space="preserve">MISHACK SIBIYA </w:t>
      </w:r>
      <w:r w:rsidR="009D0DAA">
        <w:rPr>
          <w:rFonts w:ascii="Arial" w:eastAsia="Calibri" w:hAnsi="Arial" w:cs="Arial"/>
          <w:b/>
          <w:bCs/>
          <w:sz w:val="24"/>
          <w:szCs w:val="24"/>
        </w:rPr>
        <w:tab/>
      </w:r>
      <w:r w:rsidRPr="00575DDE">
        <w:rPr>
          <w:rFonts w:ascii="Arial" w:eastAsia="Calibri" w:hAnsi="Arial" w:cs="Arial"/>
          <w:b/>
          <w:bCs/>
          <w:sz w:val="24"/>
          <w:szCs w:val="24"/>
        </w:rPr>
        <w:t>Respondent</w:t>
      </w:r>
    </w:p>
    <w:p w14:paraId="5024DDA1" w14:textId="77777777" w:rsidR="004335AA" w:rsidRPr="004335AA" w:rsidRDefault="004335AA" w:rsidP="004335AA">
      <w:pPr>
        <w:widowControl w:val="0"/>
        <w:tabs>
          <w:tab w:val="right" w:pos="9356"/>
        </w:tabs>
        <w:spacing w:after="0" w:line="240" w:lineRule="auto"/>
        <w:jc w:val="both"/>
        <w:rPr>
          <w:rFonts w:ascii="Arial" w:eastAsia="Calibri" w:hAnsi="Arial" w:cs="Arial"/>
          <w:b/>
          <w:bCs/>
          <w:sz w:val="24"/>
          <w:szCs w:val="24"/>
        </w:rPr>
      </w:pPr>
    </w:p>
    <w:p w14:paraId="31573CE2" w14:textId="77777777" w:rsidR="004335AA" w:rsidRDefault="008221FE" w:rsidP="004335AA">
      <w:pPr>
        <w:widowControl w:val="0"/>
        <w:tabs>
          <w:tab w:val="right" w:pos="9356"/>
        </w:tabs>
        <w:spacing w:after="0" w:line="240" w:lineRule="auto"/>
        <w:jc w:val="both"/>
        <w:rPr>
          <w:rFonts w:ascii="Arial" w:eastAsia="Calibri" w:hAnsi="Arial" w:cs="Arial"/>
          <w:bCs/>
          <w:sz w:val="24"/>
          <w:szCs w:val="24"/>
        </w:rPr>
      </w:pPr>
      <w:r w:rsidRPr="00716306">
        <w:rPr>
          <w:rFonts w:ascii="Arial" w:eastAsia="Calibri" w:hAnsi="Arial" w:cs="Arial"/>
          <w:b/>
          <w:bCs/>
          <w:i/>
          <w:sz w:val="24"/>
          <w:szCs w:val="24"/>
        </w:rPr>
        <w:t>Summary</w:t>
      </w:r>
      <w:r>
        <w:rPr>
          <w:rFonts w:ascii="Arial" w:eastAsia="Calibri" w:hAnsi="Arial" w:cs="Arial"/>
          <w:b/>
          <w:bCs/>
          <w:sz w:val="24"/>
          <w:szCs w:val="24"/>
        </w:rPr>
        <w:t xml:space="preserve">:   </w:t>
      </w:r>
      <w:r>
        <w:rPr>
          <w:rFonts w:ascii="Arial" w:eastAsia="Calibri" w:hAnsi="Arial" w:cs="Arial"/>
          <w:bCs/>
          <w:sz w:val="24"/>
          <w:szCs w:val="24"/>
        </w:rPr>
        <w:t>Monetary Judgment Application – Interlocutory Application</w:t>
      </w:r>
      <w:r w:rsidR="00FB26CD">
        <w:rPr>
          <w:rFonts w:ascii="Arial" w:eastAsia="Calibri" w:hAnsi="Arial" w:cs="Arial"/>
          <w:bCs/>
          <w:sz w:val="24"/>
          <w:szCs w:val="24"/>
        </w:rPr>
        <w:t xml:space="preserve"> - Condonation</w:t>
      </w:r>
      <w:r>
        <w:rPr>
          <w:rFonts w:ascii="Arial" w:eastAsia="Calibri" w:hAnsi="Arial" w:cs="Arial"/>
          <w:bCs/>
          <w:sz w:val="24"/>
          <w:szCs w:val="24"/>
        </w:rPr>
        <w:t xml:space="preserve"> </w:t>
      </w:r>
      <w:r w:rsidR="008C2F78">
        <w:rPr>
          <w:rFonts w:ascii="Arial" w:eastAsia="Calibri" w:hAnsi="Arial" w:cs="Arial"/>
          <w:bCs/>
          <w:sz w:val="24"/>
          <w:szCs w:val="24"/>
        </w:rPr>
        <w:t>–</w:t>
      </w:r>
      <w:r>
        <w:rPr>
          <w:rFonts w:ascii="Arial" w:eastAsia="Calibri" w:hAnsi="Arial" w:cs="Arial"/>
          <w:bCs/>
          <w:sz w:val="24"/>
          <w:szCs w:val="24"/>
        </w:rPr>
        <w:t xml:space="preserve"> </w:t>
      </w:r>
      <w:r w:rsidR="00FB26CD">
        <w:rPr>
          <w:rFonts w:ascii="Arial" w:eastAsia="Calibri" w:hAnsi="Arial" w:cs="Arial"/>
          <w:bCs/>
          <w:sz w:val="24"/>
          <w:szCs w:val="24"/>
        </w:rPr>
        <w:t>Interests of justice</w:t>
      </w:r>
      <w:r w:rsidR="008C2F78">
        <w:rPr>
          <w:rFonts w:ascii="Arial" w:eastAsia="Calibri" w:hAnsi="Arial" w:cs="Arial"/>
          <w:bCs/>
          <w:sz w:val="24"/>
          <w:szCs w:val="24"/>
        </w:rPr>
        <w:t xml:space="preserve"> – Loan Agreement</w:t>
      </w:r>
      <w:r w:rsidR="00FB26CD">
        <w:rPr>
          <w:rFonts w:ascii="Arial" w:eastAsia="Calibri" w:hAnsi="Arial" w:cs="Arial"/>
          <w:bCs/>
          <w:sz w:val="24"/>
          <w:szCs w:val="24"/>
        </w:rPr>
        <w:t>s</w:t>
      </w:r>
      <w:r w:rsidR="008C2F78">
        <w:rPr>
          <w:rFonts w:ascii="Arial" w:eastAsia="Calibri" w:hAnsi="Arial" w:cs="Arial"/>
          <w:bCs/>
          <w:sz w:val="24"/>
          <w:szCs w:val="24"/>
        </w:rPr>
        <w:t xml:space="preserve"> – Guar</w:t>
      </w:r>
      <w:r w:rsidR="00FB26CD">
        <w:rPr>
          <w:rFonts w:ascii="Arial" w:eastAsia="Calibri" w:hAnsi="Arial" w:cs="Arial"/>
          <w:bCs/>
          <w:sz w:val="24"/>
          <w:szCs w:val="24"/>
        </w:rPr>
        <w:t>a</w:t>
      </w:r>
      <w:r w:rsidR="008C2F78">
        <w:rPr>
          <w:rFonts w:ascii="Arial" w:eastAsia="Calibri" w:hAnsi="Arial" w:cs="Arial"/>
          <w:bCs/>
          <w:sz w:val="24"/>
          <w:szCs w:val="24"/>
        </w:rPr>
        <w:t>ntee Agreement</w:t>
      </w:r>
      <w:r w:rsidR="00FB26CD">
        <w:rPr>
          <w:rFonts w:ascii="Arial" w:eastAsia="Calibri" w:hAnsi="Arial" w:cs="Arial"/>
          <w:bCs/>
          <w:sz w:val="24"/>
          <w:szCs w:val="24"/>
        </w:rPr>
        <w:t xml:space="preserve"> – </w:t>
      </w:r>
      <w:r w:rsidR="009D59FE">
        <w:rPr>
          <w:rFonts w:ascii="Arial" w:eastAsia="Calibri" w:hAnsi="Arial" w:cs="Arial"/>
          <w:bCs/>
          <w:sz w:val="24"/>
          <w:szCs w:val="24"/>
        </w:rPr>
        <w:t>I</w:t>
      </w:r>
      <w:r w:rsidR="00FB26CD">
        <w:rPr>
          <w:rFonts w:ascii="Arial" w:eastAsia="Calibri" w:hAnsi="Arial" w:cs="Arial"/>
          <w:bCs/>
          <w:sz w:val="24"/>
          <w:szCs w:val="24"/>
        </w:rPr>
        <w:t xml:space="preserve">nterpretation - </w:t>
      </w:r>
      <w:r w:rsidR="009D59FE">
        <w:rPr>
          <w:rFonts w:ascii="Arial" w:eastAsia="Calibri" w:hAnsi="Arial" w:cs="Arial"/>
          <w:bCs/>
          <w:sz w:val="24"/>
          <w:szCs w:val="24"/>
        </w:rPr>
        <w:t>P</w:t>
      </w:r>
      <w:r w:rsidR="00FB26CD">
        <w:rPr>
          <w:rFonts w:ascii="Arial" w:eastAsia="Calibri" w:hAnsi="Arial" w:cs="Arial"/>
          <w:bCs/>
          <w:sz w:val="24"/>
          <w:szCs w:val="24"/>
        </w:rPr>
        <w:t xml:space="preserve">rimary obligation – Independent agreement – </w:t>
      </w:r>
      <w:r w:rsidR="009D59FE">
        <w:rPr>
          <w:rFonts w:ascii="Arial" w:eastAsia="Calibri" w:hAnsi="Arial" w:cs="Arial"/>
          <w:bCs/>
          <w:sz w:val="24"/>
          <w:szCs w:val="24"/>
        </w:rPr>
        <w:t>p</w:t>
      </w:r>
      <w:r w:rsidR="00FB26CD">
        <w:rPr>
          <w:rFonts w:ascii="Arial" w:eastAsia="Calibri" w:hAnsi="Arial" w:cs="Arial"/>
          <w:bCs/>
          <w:sz w:val="24"/>
          <w:szCs w:val="24"/>
        </w:rPr>
        <w:t xml:space="preserve">recludes defence on underlying agreement - </w:t>
      </w:r>
      <w:r w:rsidR="009D59FE">
        <w:rPr>
          <w:rFonts w:ascii="Arial" w:eastAsia="Calibri" w:hAnsi="Arial" w:cs="Arial"/>
          <w:bCs/>
          <w:sz w:val="24"/>
          <w:szCs w:val="24"/>
        </w:rPr>
        <w:t>P</w:t>
      </w:r>
      <w:r w:rsidR="00FB26CD">
        <w:rPr>
          <w:rFonts w:ascii="Arial" w:eastAsia="Calibri" w:hAnsi="Arial" w:cs="Arial"/>
          <w:bCs/>
          <w:sz w:val="24"/>
          <w:szCs w:val="24"/>
        </w:rPr>
        <w:t xml:space="preserve">rescription – commences from demand claim notice </w:t>
      </w:r>
      <w:r w:rsidR="007D3DD8">
        <w:rPr>
          <w:rFonts w:ascii="Arial" w:eastAsia="Calibri" w:hAnsi="Arial" w:cs="Arial"/>
          <w:bCs/>
          <w:sz w:val="24"/>
          <w:szCs w:val="24"/>
        </w:rPr>
        <w:t>–Issue arising after hearing- supplementary heads of argument - principles</w:t>
      </w:r>
      <w:r w:rsidR="009D59FE">
        <w:rPr>
          <w:rFonts w:ascii="Arial" w:eastAsia="Calibri" w:hAnsi="Arial" w:cs="Arial"/>
          <w:bCs/>
          <w:sz w:val="24"/>
          <w:szCs w:val="24"/>
        </w:rPr>
        <w:t xml:space="preserve"> </w:t>
      </w:r>
    </w:p>
    <w:p w14:paraId="7AC78A4E" w14:textId="77777777" w:rsidR="008C2F78" w:rsidRPr="008221FE" w:rsidRDefault="008C2F78" w:rsidP="004335AA">
      <w:pPr>
        <w:widowControl w:val="0"/>
        <w:tabs>
          <w:tab w:val="right" w:pos="9356"/>
        </w:tabs>
        <w:spacing w:after="0" w:line="240" w:lineRule="auto"/>
        <w:jc w:val="both"/>
        <w:rPr>
          <w:rFonts w:ascii="Arial" w:eastAsia="Calibri" w:hAnsi="Arial" w:cs="Arial"/>
          <w:bCs/>
          <w:sz w:val="24"/>
          <w:szCs w:val="24"/>
        </w:rPr>
      </w:pPr>
    </w:p>
    <w:p w14:paraId="5411DB3B" w14:textId="77777777"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lastRenderedPageBreak/>
        <w:t>JUDGMENT</w:t>
      </w:r>
    </w:p>
    <w:p w14:paraId="4C143AE1" w14:textId="77777777"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14:paraId="3F23986A" w14:textId="77777777"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 xml:space="preserve">This judgment was handed down electronically by circulation to the parties’ legal representatives by e-mail. The date and time </w:t>
      </w:r>
      <w:r w:rsidR="00C722E0">
        <w:rPr>
          <w:rFonts w:ascii="Arial" w:eastAsia="Times New Roman" w:hAnsi="Arial" w:cs="Arial"/>
          <w:kern w:val="28"/>
          <w:sz w:val="24"/>
          <w:szCs w:val="24"/>
          <w:lang w:eastAsia="en-GB"/>
        </w:rPr>
        <w:t>for hand-down is deemed to be 11h3</w:t>
      </w:r>
      <w:r w:rsidRPr="003E4474">
        <w:rPr>
          <w:rFonts w:ascii="Arial" w:eastAsia="Times New Roman" w:hAnsi="Arial" w:cs="Arial"/>
          <w:kern w:val="28"/>
          <w:sz w:val="24"/>
          <w:szCs w:val="24"/>
          <w:lang w:eastAsia="en-GB"/>
        </w:rPr>
        <w:t xml:space="preserve">0 on the </w:t>
      </w:r>
      <w:r w:rsidR="005630C7">
        <w:rPr>
          <w:rFonts w:ascii="Arial" w:eastAsia="Times New Roman" w:hAnsi="Arial" w:cs="Arial"/>
          <w:kern w:val="28"/>
          <w:sz w:val="24"/>
          <w:szCs w:val="24"/>
          <w:lang w:eastAsia="en-GB"/>
        </w:rPr>
        <w:t>2</w:t>
      </w:r>
      <w:r w:rsidR="009D59FE">
        <w:rPr>
          <w:rFonts w:ascii="Arial" w:eastAsia="Times New Roman" w:hAnsi="Arial" w:cs="Arial"/>
          <w:kern w:val="28"/>
          <w:sz w:val="24"/>
          <w:szCs w:val="24"/>
          <w:lang w:eastAsia="en-GB"/>
        </w:rPr>
        <w:t>4th</w:t>
      </w:r>
      <w:r w:rsidR="00610A43">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CB6E5C">
        <w:rPr>
          <w:rFonts w:ascii="Arial" w:eastAsia="Times New Roman" w:hAnsi="Arial" w:cs="Arial"/>
          <w:kern w:val="28"/>
          <w:sz w:val="24"/>
          <w:szCs w:val="24"/>
          <w:lang w:eastAsia="en-GB"/>
        </w:rPr>
        <w:t>November</w:t>
      </w:r>
      <w:r w:rsidRPr="003E4474">
        <w:rPr>
          <w:rFonts w:ascii="Arial" w:eastAsia="Times New Roman" w:hAnsi="Arial" w:cs="Arial"/>
          <w:kern w:val="28"/>
          <w:sz w:val="24"/>
          <w:szCs w:val="24"/>
          <w:lang w:eastAsia="en-GB"/>
        </w:rPr>
        <w:t xml:space="preserve"> 2022.</w:t>
      </w:r>
    </w:p>
    <w:p w14:paraId="539AE9B5" w14:textId="77777777"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14:paraId="79049E5D" w14:textId="77777777"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14:paraId="413C5F47" w14:textId="77777777"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14:paraId="44200C9F" w14:textId="6C9E07AF" w:rsidR="00C03A18" w:rsidRDefault="00880C3B" w:rsidP="00880C3B">
      <w:pPr>
        <w:pStyle w:val="level1"/>
        <w:numPr>
          <w:ilvl w:val="0"/>
          <w:numId w:val="0"/>
        </w:numPr>
        <w:spacing w:after="480" w:line="360" w:lineRule="auto"/>
        <w:jc w:val="both"/>
        <w:rPr>
          <w:lang w:val="en-US"/>
        </w:rPr>
      </w:pPr>
      <w:r>
        <w:rPr>
          <w:lang w:val="en-US"/>
        </w:rPr>
        <w:t>[1]</w:t>
      </w:r>
      <w:r>
        <w:rPr>
          <w:lang w:val="en-US"/>
        </w:rPr>
        <w:tab/>
      </w:r>
      <w:r w:rsidR="003E4474" w:rsidRPr="00C03A18">
        <w:rPr>
          <w:lang w:val="en-US"/>
        </w:rPr>
        <w:t>This application</w:t>
      </w:r>
      <w:r w:rsidR="000E7D67" w:rsidRPr="00C03A18">
        <w:rPr>
          <w:lang w:val="en-US"/>
        </w:rPr>
        <w:t xml:space="preserve"> concerns a monetary judgment sought by the </w:t>
      </w:r>
      <w:r w:rsidR="001F740C" w:rsidRPr="00C03A18">
        <w:rPr>
          <w:lang w:val="en-US"/>
        </w:rPr>
        <w:t xml:space="preserve">applicant against the respondent based on </w:t>
      </w:r>
      <w:r w:rsidR="00A13371" w:rsidRPr="00C03A18">
        <w:rPr>
          <w:lang w:val="en-US"/>
        </w:rPr>
        <w:t xml:space="preserve">a guarantee agreement concluded by the respondent in favour of the applicant for the debts of Keka Moedi Investments (Pty) Ltd </w:t>
      </w:r>
      <w:r w:rsidR="00C658F5">
        <w:rPr>
          <w:lang w:val="en-US"/>
        </w:rPr>
        <w:t>(“Keka”)</w:t>
      </w:r>
      <w:r w:rsidR="00844B5F" w:rsidRPr="00C03A18">
        <w:rPr>
          <w:lang w:val="en-US"/>
        </w:rPr>
        <w:t>. Various agreements were concluded between the applicant and Keka during the period November 2015 to September 2016.</w:t>
      </w:r>
      <w:r w:rsidR="00C03A18" w:rsidRPr="00C03A18">
        <w:rPr>
          <w:lang w:val="en-US"/>
        </w:rPr>
        <w:t xml:space="preserve"> These agreements were a </w:t>
      </w:r>
      <w:r w:rsidR="00A13371" w:rsidRPr="00C03A18">
        <w:rPr>
          <w:lang w:val="en-US"/>
        </w:rPr>
        <w:t>loan agreement</w:t>
      </w:r>
      <w:r w:rsidR="00C03A18">
        <w:rPr>
          <w:lang w:val="en-US"/>
        </w:rPr>
        <w:t xml:space="preserve"> dated</w:t>
      </w:r>
      <w:r w:rsidR="00A13371" w:rsidRPr="00C03A18">
        <w:rPr>
          <w:lang w:val="en-US"/>
        </w:rPr>
        <w:t xml:space="preserve"> 23 Nov</w:t>
      </w:r>
      <w:r w:rsidR="00C658F5">
        <w:rPr>
          <w:lang w:val="en-US"/>
        </w:rPr>
        <w:t>ember</w:t>
      </w:r>
      <w:r w:rsidR="00A13371" w:rsidRPr="00C03A18">
        <w:rPr>
          <w:lang w:val="en-US"/>
        </w:rPr>
        <w:t xml:space="preserve"> 2015, amended by </w:t>
      </w:r>
      <w:r w:rsidR="00C03A18">
        <w:rPr>
          <w:lang w:val="en-US"/>
        </w:rPr>
        <w:t>a l</w:t>
      </w:r>
      <w:r w:rsidR="00A13371" w:rsidRPr="00C03A18">
        <w:rPr>
          <w:lang w:val="en-US"/>
        </w:rPr>
        <w:t xml:space="preserve">etter of amendment </w:t>
      </w:r>
      <w:r w:rsidR="009D59FE">
        <w:rPr>
          <w:lang w:val="en-US"/>
        </w:rPr>
        <w:t xml:space="preserve">dated </w:t>
      </w:r>
      <w:r w:rsidR="00A13371" w:rsidRPr="00C03A18">
        <w:rPr>
          <w:lang w:val="en-US"/>
        </w:rPr>
        <w:t>24 Nov 2015;</w:t>
      </w:r>
      <w:r w:rsidR="00C03A18">
        <w:rPr>
          <w:lang w:val="en-US"/>
        </w:rPr>
        <w:t xml:space="preserve"> a </w:t>
      </w:r>
      <w:r w:rsidR="00A13371" w:rsidRPr="00C03A18">
        <w:rPr>
          <w:lang w:val="en-US"/>
        </w:rPr>
        <w:t>subordinated loan agreement</w:t>
      </w:r>
      <w:r w:rsidR="00C03A18">
        <w:rPr>
          <w:lang w:val="en-US"/>
        </w:rPr>
        <w:t xml:space="preserve"> </w:t>
      </w:r>
      <w:r w:rsidR="00C658F5">
        <w:rPr>
          <w:lang w:val="en-US"/>
        </w:rPr>
        <w:t xml:space="preserve">dated 23 November 2015 and a </w:t>
      </w:r>
      <w:r w:rsidR="00C658F5" w:rsidRPr="00C03A18">
        <w:rPr>
          <w:lang w:val="en-US"/>
        </w:rPr>
        <w:t>short form lo</w:t>
      </w:r>
      <w:r w:rsidR="00C658F5">
        <w:rPr>
          <w:lang w:val="en-US"/>
        </w:rPr>
        <w:t>a</w:t>
      </w:r>
      <w:r w:rsidR="00C658F5" w:rsidRPr="00C03A18">
        <w:rPr>
          <w:lang w:val="en-US"/>
        </w:rPr>
        <w:t>n revolving credit facility</w:t>
      </w:r>
      <w:r w:rsidR="00C658F5">
        <w:rPr>
          <w:lang w:val="en-US"/>
        </w:rPr>
        <w:t xml:space="preserve"> </w:t>
      </w:r>
      <w:r w:rsidR="00C658F5" w:rsidRPr="00C03A18">
        <w:rPr>
          <w:lang w:val="en-US"/>
        </w:rPr>
        <w:t xml:space="preserve">agreement </w:t>
      </w:r>
      <w:r w:rsidR="00C03A18">
        <w:rPr>
          <w:lang w:val="en-US"/>
        </w:rPr>
        <w:t>concluded on</w:t>
      </w:r>
      <w:r w:rsidR="00A13371" w:rsidRPr="00C03A18">
        <w:rPr>
          <w:lang w:val="en-US"/>
        </w:rPr>
        <w:t xml:space="preserve"> 16 May 2016</w:t>
      </w:r>
      <w:r w:rsidR="00C03A18">
        <w:rPr>
          <w:lang w:val="en-US"/>
        </w:rPr>
        <w:t>, as</w:t>
      </w:r>
      <w:r w:rsidR="00A13371" w:rsidRPr="00C03A18">
        <w:rPr>
          <w:lang w:val="en-US"/>
        </w:rPr>
        <w:t xml:space="preserve"> amended </w:t>
      </w:r>
      <w:r w:rsidR="00C03A18">
        <w:rPr>
          <w:lang w:val="en-US"/>
        </w:rPr>
        <w:t xml:space="preserve">by a letter of amendment on </w:t>
      </w:r>
      <w:r w:rsidR="00A13371" w:rsidRPr="00C03A18">
        <w:rPr>
          <w:lang w:val="en-US"/>
        </w:rPr>
        <w:t>1 September 2016</w:t>
      </w:r>
      <w:r w:rsidR="00C03A18">
        <w:rPr>
          <w:lang w:val="en-US"/>
        </w:rPr>
        <w:t>.</w:t>
      </w:r>
      <w:r w:rsidR="00A13371" w:rsidRPr="00C03A18">
        <w:rPr>
          <w:lang w:val="en-US"/>
        </w:rPr>
        <w:t xml:space="preserve">  </w:t>
      </w:r>
    </w:p>
    <w:p w14:paraId="1C9103D5" w14:textId="58CDDCD7" w:rsidR="001F740C" w:rsidRPr="001737B5" w:rsidRDefault="00880C3B" w:rsidP="00880C3B">
      <w:pPr>
        <w:pStyle w:val="level1"/>
        <w:numPr>
          <w:ilvl w:val="0"/>
          <w:numId w:val="0"/>
        </w:numPr>
        <w:spacing w:after="480" w:line="360" w:lineRule="auto"/>
        <w:jc w:val="both"/>
        <w:rPr>
          <w:lang w:val="en-US"/>
        </w:rPr>
      </w:pPr>
      <w:r w:rsidRPr="001737B5">
        <w:rPr>
          <w:lang w:val="en-US"/>
        </w:rPr>
        <w:t>[2]</w:t>
      </w:r>
      <w:r w:rsidRPr="001737B5">
        <w:rPr>
          <w:lang w:val="en-US"/>
        </w:rPr>
        <w:tab/>
      </w:r>
      <w:r w:rsidR="00C658F5">
        <w:rPr>
          <w:lang w:val="en-US"/>
        </w:rPr>
        <w:t>The applicant in its notice of motion sought p</w:t>
      </w:r>
      <w:r w:rsidR="00A13371" w:rsidRPr="001737B5">
        <w:rPr>
          <w:lang w:val="en-US"/>
        </w:rPr>
        <w:t>ayment of an aggregate amount of R</w:t>
      </w:r>
      <w:r w:rsidR="00A13E62" w:rsidRPr="001737B5">
        <w:rPr>
          <w:lang w:val="en-US"/>
        </w:rPr>
        <w:t>84 273 918.39</w:t>
      </w:r>
      <w:r w:rsidR="00A13371" w:rsidRPr="001737B5">
        <w:rPr>
          <w:lang w:val="en-US"/>
        </w:rPr>
        <w:t xml:space="preserve">, made up of the following </w:t>
      </w:r>
      <w:r w:rsidR="00C658F5">
        <w:rPr>
          <w:lang w:val="en-US"/>
        </w:rPr>
        <w:t xml:space="preserve">specified </w:t>
      </w:r>
      <w:r w:rsidR="00A13371" w:rsidRPr="001737B5">
        <w:rPr>
          <w:lang w:val="en-US"/>
        </w:rPr>
        <w:t>amounts:</w:t>
      </w:r>
      <w:r w:rsidR="00C03A18" w:rsidRPr="001737B5">
        <w:rPr>
          <w:lang w:val="en-US"/>
        </w:rPr>
        <w:t xml:space="preserve"> (1.1</w:t>
      </w:r>
      <w:r w:rsidR="00C658F5">
        <w:rPr>
          <w:lang w:val="en-US"/>
        </w:rPr>
        <w:t>)</w:t>
      </w:r>
      <w:r w:rsidR="00C03A18" w:rsidRPr="001737B5">
        <w:rPr>
          <w:lang w:val="en-US"/>
        </w:rPr>
        <w:t xml:space="preserve"> in respect of the </w:t>
      </w:r>
      <w:r w:rsidR="007D2473">
        <w:rPr>
          <w:lang w:val="en-US"/>
        </w:rPr>
        <w:t>w</w:t>
      </w:r>
      <w:r w:rsidR="00C03A18" w:rsidRPr="001737B5">
        <w:rPr>
          <w:lang w:val="en-US"/>
        </w:rPr>
        <w:t xml:space="preserve">orking capital </w:t>
      </w:r>
      <w:r w:rsidR="00A13371" w:rsidRPr="001737B5">
        <w:rPr>
          <w:lang w:val="en-US"/>
        </w:rPr>
        <w:t>loan R23 170 189.16</w:t>
      </w:r>
      <w:r w:rsidR="00C03A18" w:rsidRPr="001737B5">
        <w:rPr>
          <w:lang w:val="en-US"/>
        </w:rPr>
        <w:t xml:space="preserve"> with interest from 27 October 2020</w:t>
      </w:r>
      <w:r w:rsidR="00A13371" w:rsidRPr="001737B5">
        <w:rPr>
          <w:lang w:val="en-US"/>
        </w:rPr>
        <w:t xml:space="preserve">; </w:t>
      </w:r>
      <w:r w:rsidR="00C03A18" w:rsidRPr="001737B5">
        <w:rPr>
          <w:lang w:val="en-US"/>
        </w:rPr>
        <w:t xml:space="preserve">(1.2) in respect of a </w:t>
      </w:r>
      <w:r w:rsidR="00A13371" w:rsidRPr="001737B5">
        <w:rPr>
          <w:lang w:val="en-US"/>
        </w:rPr>
        <w:t>business support and workers trust loan R601 669.77</w:t>
      </w:r>
      <w:r w:rsidR="00C03A18" w:rsidRPr="001737B5">
        <w:rPr>
          <w:lang w:val="en-US"/>
        </w:rPr>
        <w:t xml:space="preserve"> with inter</w:t>
      </w:r>
      <w:r w:rsidR="00C658F5">
        <w:rPr>
          <w:lang w:val="en-US"/>
        </w:rPr>
        <w:t>e</w:t>
      </w:r>
      <w:r w:rsidR="00C03A18" w:rsidRPr="001737B5">
        <w:rPr>
          <w:lang w:val="en-US"/>
        </w:rPr>
        <w:t>st from 27 October 2020</w:t>
      </w:r>
      <w:r w:rsidR="00A13371" w:rsidRPr="001737B5">
        <w:rPr>
          <w:lang w:val="en-US"/>
        </w:rPr>
        <w:t>;</w:t>
      </w:r>
      <w:r w:rsidR="001737B5">
        <w:rPr>
          <w:lang w:val="en-US"/>
        </w:rPr>
        <w:t xml:space="preserve"> </w:t>
      </w:r>
      <w:r w:rsidR="00C03A18" w:rsidRPr="001737B5">
        <w:rPr>
          <w:lang w:val="en-US"/>
        </w:rPr>
        <w:t>(2</w:t>
      </w:r>
      <w:r w:rsidR="00C658F5">
        <w:rPr>
          <w:lang w:val="en-US"/>
        </w:rPr>
        <w:t>)</w:t>
      </w:r>
      <w:r w:rsidR="00C03A18" w:rsidRPr="001737B5">
        <w:rPr>
          <w:lang w:val="en-US"/>
        </w:rPr>
        <w:t xml:space="preserve"> in respect of the </w:t>
      </w:r>
      <w:r w:rsidR="00A13371" w:rsidRPr="001737B5">
        <w:rPr>
          <w:lang w:val="en-US"/>
        </w:rPr>
        <w:t>subordinated loan agreement dated 23 November 201</w:t>
      </w:r>
      <w:r w:rsidR="00C658F5">
        <w:rPr>
          <w:lang w:val="en-US"/>
        </w:rPr>
        <w:t>5</w:t>
      </w:r>
      <w:r w:rsidR="00A13371" w:rsidRPr="001737B5">
        <w:rPr>
          <w:lang w:val="en-US"/>
        </w:rPr>
        <w:t>;</w:t>
      </w:r>
      <w:r w:rsidR="00C03A18" w:rsidRPr="001737B5">
        <w:rPr>
          <w:lang w:val="en-US"/>
        </w:rPr>
        <w:t xml:space="preserve"> (2.1) </w:t>
      </w:r>
      <w:r w:rsidR="00A13371" w:rsidRPr="001737B5">
        <w:rPr>
          <w:lang w:val="en-US"/>
        </w:rPr>
        <w:t xml:space="preserve">portion A of the </w:t>
      </w:r>
      <w:r w:rsidR="00A13E62" w:rsidRPr="001737B5">
        <w:rPr>
          <w:lang w:val="en-US"/>
        </w:rPr>
        <w:t xml:space="preserve">subordinated </w:t>
      </w:r>
      <w:r w:rsidR="00A13371" w:rsidRPr="001737B5">
        <w:rPr>
          <w:lang w:val="en-US"/>
        </w:rPr>
        <w:t xml:space="preserve">loan R34 535 708.00 with interest from 30 June 2020; </w:t>
      </w:r>
      <w:r w:rsidR="00C03A18" w:rsidRPr="001737B5">
        <w:rPr>
          <w:lang w:val="en-US"/>
        </w:rPr>
        <w:t xml:space="preserve">(2.2) </w:t>
      </w:r>
      <w:r w:rsidR="00A13371" w:rsidRPr="001737B5">
        <w:rPr>
          <w:lang w:val="en-US"/>
        </w:rPr>
        <w:t>portion B</w:t>
      </w:r>
      <w:r w:rsidR="00C03A18" w:rsidRPr="001737B5">
        <w:rPr>
          <w:lang w:val="en-US"/>
        </w:rPr>
        <w:t xml:space="preserve"> </w:t>
      </w:r>
      <w:r w:rsidR="00A13E62" w:rsidRPr="001737B5">
        <w:rPr>
          <w:lang w:val="en-US"/>
        </w:rPr>
        <w:t>of the subordinated loan agreement</w:t>
      </w:r>
      <w:r w:rsidR="00A13371" w:rsidRPr="001737B5">
        <w:rPr>
          <w:lang w:val="en-US"/>
        </w:rPr>
        <w:t xml:space="preserve"> R25 944 658.55</w:t>
      </w:r>
      <w:r w:rsidR="00C03A18" w:rsidRPr="001737B5">
        <w:rPr>
          <w:lang w:val="en-US"/>
        </w:rPr>
        <w:t xml:space="preserve"> with interest from 30 June 2020</w:t>
      </w:r>
      <w:r w:rsidR="00A13371" w:rsidRPr="001737B5">
        <w:rPr>
          <w:lang w:val="en-US"/>
        </w:rPr>
        <w:t xml:space="preserve">. </w:t>
      </w:r>
      <w:r w:rsidR="00C03A18" w:rsidRPr="001737B5">
        <w:rPr>
          <w:lang w:val="en-US"/>
        </w:rPr>
        <w:t xml:space="preserve">(3) in respect of the </w:t>
      </w:r>
      <w:r w:rsidR="00A13E62" w:rsidRPr="001737B5">
        <w:rPr>
          <w:lang w:val="en-US"/>
        </w:rPr>
        <w:t xml:space="preserve">short form </w:t>
      </w:r>
      <w:r w:rsidR="003A718C" w:rsidRPr="001737B5">
        <w:rPr>
          <w:lang w:val="en-US"/>
        </w:rPr>
        <w:t>revolving credit facility</w:t>
      </w:r>
      <w:r w:rsidR="00A13E62" w:rsidRPr="001737B5">
        <w:rPr>
          <w:lang w:val="en-US"/>
        </w:rPr>
        <w:t xml:space="preserve"> agreement</w:t>
      </w:r>
      <w:r w:rsidR="00C03A18" w:rsidRPr="001737B5">
        <w:rPr>
          <w:lang w:val="en-US"/>
        </w:rPr>
        <w:t xml:space="preserve"> dated 16 May 2016</w:t>
      </w:r>
      <w:r w:rsidR="00A13E62" w:rsidRPr="001737B5">
        <w:rPr>
          <w:lang w:val="en-US"/>
        </w:rPr>
        <w:t xml:space="preserve"> R21 692.91 inter</w:t>
      </w:r>
      <w:r w:rsidR="00C03A18" w:rsidRPr="001737B5">
        <w:rPr>
          <w:lang w:val="en-US"/>
        </w:rPr>
        <w:t>e</w:t>
      </w:r>
      <w:r w:rsidR="00A13E62" w:rsidRPr="001737B5">
        <w:rPr>
          <w:lang w:val="en-US"/>
        </w:rPr>
        <w:t>st from 27 Oc</w:t>
      </w:r>
      <w:r w:rsidR="00C03A18" w:rsidRPr="001737B5">
        <w:rPr>
          <w:lang w:val="en-US"/>
        </w:rPr>
        <w:t>tober</w:t>
      </w:r>
      <w:r w:rsidR="00A13E62" w:rsidRPr="001737B5">
        <w:rPr>
          <w:lang w:val="en-US"/>
        </w:rPr>
        <w:t xml:space="preserve"> 2020; </w:t>
      </w:r>
      <w:r w:rsidR="00C03A18" w:rsidRPr="001737B5">
        <w:rPr>
          <w:lang w:val="en-US"/>
        </w:rPr>
        <w:t xml:space="preserve">(4) </w:t>
      </w:r>
      <w:r w:rsidR="00C658F5">
        <w:rPr>
          <w:lang w:val="en-US"/>
        </w:rPr>
        <w:t>C</w:t>
      </w:r>
      <w:r w:rsidR="00A13371" w:rsidRPr="001737B5">
        <w:rPr>
          <w:lang w:val="en-US"/>
        </w:rPr>
        <w:t>ost</w:t>
      </w:r>
      <w:r w:rsidR="00C03A18" w:rsidRPr="001737B5">
        <w:rPr>
          <w:lang w:val="en-US"/>
        </w:rPr>
        <w:t>s</w:t>
      </w:r>
      <w:r w:rsidR="00A13371" w:rsidRPr="001737B5">
        <w:rPr>
          <w:lang w:val="en-US"/>
        </w:rPr>
        <w:t xml:space="preserve"> </w:t>
      </w:r>
      <w:r w:rsidR="00C658F5">
        <w:rPr>
          <w:lang w:val="en-US"/>
        </w:rPr>
        <w:t>were</w:t>
      </w:r>
      <w:r w:rsidR="00A13371" w:rsidRPr="001737B5">
        <w:rPr>
          <w:lang w:val="en-US"/>
        </w:rPr>
        <w:t xml:space="preserve"> sought on an attorney and client scale.</w:t>
      </w:r>
    </w:p>
    <w:p w14:paraId="024CD494" w14:textId="3076CE1C" w:rsidR="007C6A50" w:rsidRDefault="00880C3B" w:rsidP="00880C3B">
      <w:pPr>
        <w:pStyle w:val="level1"/>
        <w:numPr>
          <w:ilvl w:val="0"/>
          <w:numId w:val="0"/>
        </w:numPr>
        <w:spacing w:after="480" w:line="360" w:lineRule="auto"/>
        <w:jc w:val="both"/>
        <w:rPr>
          <w:lang w:val="en-US"/>
        </w:rPr>
      </w:pPr>
      <w:r>
        <w:rPr>
          <w:lang w:val="en-US"/>
        </w:rPr>
        <w:t>[3]</w:t>
      </w:r>
      <w:r>
        <w:rPr>
          <w:lang w:val="en-US"/>
        </w:rPr>
        <w:tab/>
      </w:r>
      <w:r w:rsidR="007C6A50" w:rsidRPr="00994B64">
        <w:rPr>
          <w:lang w:val="en-US"/>
        </w:rPr>
        <w:t xml:space="preserve">The applicant’s case against the respondent is predicated on a guarantee loan agreement dated 23 November 2015. The applicant’s case is that Keka, of which the </w:t>
      </w:r>
      <w:r w:rsidR="007C6A50" w:rsidRPr="00994B64">
        <w:rPr>
          <w:lang w:val="en-US"/>
        </w:rPr>
        <w:lastRenderedPageBreak/>
        <w:t xml:space="preserve">respondent is the sole shareholder and director, breached the provisions of all the finance agreements and that the full amount owing by Keka became due and payable to the applicant. The applicant </w:t>
      </w:r>
      <w:r w:rsidR="00F82CB7">
        <w:rPr>
          <w:lang w:val="en-US"/>
        </w:rPr>
        <w:t>sent</w:t>
      </w:r>
      <w:r w:rsidR="007C6A50" w:rsidRPr="00994B64">
        <w:rPr>
          <w:lang w:val="en-US"/>
        </w:rPr>
        <w:t xml:space="preserve"> a guarantee </w:t>
      </w:r>
      <w:r w:rsidR="00F82CB7">
        <w:rPr>
          <w:lang w:val="en-US"/>
        </w:rPr>
        <w:t xml:space="preserve">claim </w:t>
      </w:r>
      <w:r w:rsidR="007C6A50" w:rsidRPr="00994B64">
        <w:rPr>
          <w:lang w:val="en-US"/>
        </w:rPr>
        <w:t xml:space="preserve">notice </w:t>
      </w:r>
      <w:r w:rsidR="00F82CB7">
        <w:rPr>
          <w:lang w:val="en-US"/>
        </w:rPr>
        <w:t xml:space="preserve">to the respondent </w:t>
      </w:r>
      <w:r w:rsidR="007C6A50" w:rsidRPr="00994B64">
        <w:rPr>
          <w:lang w:val="en-US"/>
        </w:rPr>
        <w:t xml:space="preserve">on 8 November 2020 in which it informed the respondent of the amounts that were required to be paid in terms of the guarantee agreement. Six certificates of balance dated 27 October 2020 were attached to the guarantee notice, certifying the amounts claimed by the applicant in the </w:t>
      </w:r>
      <w:r w:rsidR="00F82CB7">
        <w:rPr>
          <w:lang w:val="en-US"/>
        </w:rPr>
        <w:t>claim</w:t>
      </w:r>
      <w:r w:rsidR="007C6A50" w:rsidRPr="00994B64">
        <w:rPr>
          <w:lang w:val="en-US"/>
        </w:rPr>
        <w:t xml:space="preserve"> notice. Three certificates were provided in respect of the short form loan agreement: being (i) R 44 028 585.56 in respect of the land and building loan; (ii) R23 170 189.16 in respect of the working capital loan</w:t>
      </w:r>
      <w:r w:rsidR="007C6A50">
        <w:rPr>
          <w:rStyle w:val="FootnoteReference"/>
          <w:lang w:val="en-US"/>
        </w:rPr>
        <w:footnoteReference w:id="1"/>
      </w:r>
      <w:r w:rsidR="007C6A50" w:rsidRPr="00994B64">
        <w:rPr>
          <w:lang w:val="en-US"/>
        </w:rPr>
        <w:t xml:space="preserve"> and (iii) R601 669.77 in respect of the business support and workers trust loan</w:t>
      </w:r>
      <w:r w:rsidR="007C6A50">
        <w:rPr>
          <w:rStyle w:val="FootnoteReference"/>
          <w:lang w:val="en-US"/>
        </w:rPr>
        <w:footnoteReference w:id="2"/>
      </w:r>
      <w:r w:rsidR="007C6A50" w:rsidRPr="00994B64">
        <w:rPr>
          <w:lang w:val="en-US"/>
        </w:rPr>
        <w:t>. Two certificates were provided in respect of the subordinated loan agreement, being: (i) R35 535 708 in respect of portion A</w:t>
      </w:r>
      <w:r w:rsidR="007C6A50">
        <w:rPr>
          <w:rStyle w:val="FootnoteReference"/>
          <w:lang w:val="en-US"/>
        </w:rPr>
        <w:footnoteReference w:id="3"/>
      </w:r>
      <w:r w:rsidR="007C6A50">
        <w:rPr>
          <w:lang w:val="en-US"/>
        </w:rPr>
        <w:t xml:space="preserve"> </w:t>
      </w:r>
      <w:r w:rsidR="007C6A50" w:rsidRPr="00994B64">
        <w:rPr>
          <w:lang w:val="en-US"/>
        </w:rPr>
        <w:t>and (ii) R 25 955 658.55 in respect of portion B</w:t>
      </w:r>
      <w:r w:rsidR="007C6A50">
        <w:rPr>
          <w:rStyle w:val="FootnoteReference"/>
          <w:lang w:val="en-US"/>
        </w:rPr>
        <w:footnoteReference w:id="4"/>
      </w:r>
      <w:r w:rsidR="007C6A50" w:rsidRPr="00994B64">
        <w:rPr>
          <w:lang w:val="en-US"/>
        </w:rPr>
        <w:t>. One certificate was provided in respect of the revolving credit agreement in an amount of R21 692.91</w:t>
      </w:r>
      <w:r w:rsidR="007C6A50">
        <w:rPr>
          <w:rStyle w:val="FootnoteReference"/>
          <w:lang w:val="en-US"/>
        </w:rPr>
        <w:footnoteReference w:id="5"/>
      </w:r>
      <w:r w:rsidR="007C6A50" w:rsidRPr="00994B64">
        <w:rPr>
          <w:lang w:val="en-US"/>
        </w:rPr>
        <w:t xml:space="preserve">. </w:t>
      </w:r>
      <w:r w:rsidR="007C6A50">
        <w:rPr>
          <w:lang w:val="en-US"/>
        </w:rPr>
        <w:t>The certificates of balance correlate to the amounts claimed by the applicant.</w:t>
      </w:r>
      <w:r w:rsidR="00F82CB7">
        <w:rPr>
          <w:lang w:val="en-US"/>
        </w:rPr>
        <w:t xml:space="preserve"> The applicant did not claim the amount of R44 028 585.56 in respect of the land and building loan.</w:t>
      </w:r>
    </w:p>
    <w:p w14:paraId="5883EF35" w14:textId="0478FC61" w:rsidR="007C6A50" w:rsidRPr="0077523C" w:rsidRDefault="00880C3B" w:rsidP="00880C3B">
      <w:pPr>
        <w:pStyle w:val="level1"/>
        <w:numPr>
          <w:ilvl w:val="0"/>
          <w:numId w:val="0"/>
        </w:numPr>
        <w:spacing w:after="480" w:line="360" w:lineRule="auto"/>
        <w:jc w:val="both"/>
        <w:rPr>
          <w:lang w:val="en-US"/>
        </w:rPr>
      </w:pPr>
      <w:r w:rsidRPr="0077523C">
        <w:rPr>
          <w:lang w:val="en-US"/>
        </w:rPr>
        <w:t>[4]</w:t>
      </w:r>
      <w:r w:rsidRPr="0077523C">
        <w:rPr>
          <w:lang w:val="en-US"/>
        </w:rPr>
        <w:tab/>
      </w:r>
      <w:r w:rsidR="007C6A50" w:rsidRPr="0077523C">
        <w:rPr>
          <w:lang w:val="en-US"/>
        </w:rPr>
        <w:t xml:space="preserve">The </w:t>
      </w:r>
      <w:r w:rsidR="007C6A50">
        <w:rPr>
          <w:lang w:val="en-US"/>
        </w:rPr>
        <w:t xml:space="preserve">relevant </w:t>
      </w:r>
      <w:r w:rsidR="007C6A50" w:rsidRPr="0077523C">
        <w:rPr>
          <w:lang w:val="en-US"/>
        </w:rPr>
        <w:t>facts are not contentious and are by and large common cause.</w:t>
      </w:r>
      <w:r w:rsidR="007C6A50">
        <w:rPr>
          <w:lang w:val="en-US"/>
        </w:rPr>
        <w:t xml:space="preserve"> The conclusion of the various agreements and Keka’s breaches thereof are not disputed. </w:t>
      </w:r>
      <w:r w:rsidR="007C6A50" w:rsidRPr="0077523C">
        <w:rPr>
          <w:lang w:val="en-US"/>
        </w:rPr>
        <w:t xml:space="preserve">The applicant launched a winding up application </w:t>
      </w:r>
      <w:r w:rsidR="007C6A50">
        <w:rPr>
          <w:lang w:val="en-US"/>
        </w:rPr>
        <w:t>against</w:t>
      </w:r>
      <w:r w:rsidR="007C6A50" w:rsidRPr="0077523C">
        <w:rPr>
          <w:lang w:val="en-US"/>
        </w:rPr>
        <w:t xml:space="preserve"> Keka on 1 November 2017, premise</w:t>
      </w:r>
      <w:r w:rsidR="007C6A50">
        <w:rPr>
          <w:lang w:val="en-US"/>
        </w:rPr>
        <w:t>d</w:t>
      </w:r>
      <w:r w:rsidR="007C6A50" w:rsidRPr="0077523C">
        <w:rPr>
          <w:lang w:val="en-US"/>
        </w:rPr>
        <w:t xml:space="preserve"> on </w:t>
      </w:r>
      <w:r w:rsidR="007C6A50">
        <w:rPr>
          <w:lang w:val="en-US"/>
        </w:rPr>
        <w:t>K</w:t>
      </w:r>
      <w:r w:rsidR="007C6A50" w:rsidRPr="0077523C">
        <w:rPr>
          <w:lang w:val="en-US"/>
        </w:rPr>
        <w:t xml:space="preserve">eka’s failure to make payment of certain amounts due in terms of the short form </w:t>
      </w:r>
      <w:r w:rsidR="007C6A50">
        <w:rPr>
          <w:lang w:val="en-US"/>
        </w:rPr>
        <w:t xml:space="preserve">loan </w:t>
      </w:r>
      <w:r w:rsidR="007C6A50" w:rsidRPr="0077523C">
        <w:rPr>
          <w:lang w:val="en-US"/>
        </w:rPr>
        <w:t xml:space="preserve">agreement and the revolving credit </w:t>
      </w:r>
      <w:r w:rsidR="007C6A50">
        <w:rPr>
          <w:lang w:val="en-US"/>
        </w:rPr>
        <w:t xml:space="preserve">facility </w:t>
      </w:r>
      <w:r w:rsidR="007C6A50" w:rsidRPr="0077523C">
        <w:rPr>
          <w:lang w:val="en-US"/>
        </w:rPr>
        <w:t xml:space="preserve">agreement. </w:t>
      </w:r>
      <w:r w:rsidR="007C6A50">
        <w:rPr>
          <w:lang w:val="en-US"/>
        </w:rPr>
        <w:t xml:space="preserve">It relied on a claim of R44 817 773.68 supported by three certificates of balance dated 28 April 2017 and a written demand to Keka dated 29 May 2017 in which Keka was afforded a period of 14 days to pay the outstanding amount. That notice was given pursuant to the provisions of the breach clauses in the short form loan agreement and the revolving credit facility </w:t>
      </w:r>
      <w:r w:rsidR="007C6A50">
        <w:rPr>
          <w:lang w:val="en-US"/>
        </w:rPr>
        <w:lastRenderedPageBreak/>
        <w:t xml:space="preserve">agreement. Keka opposed the application. </w:t>
      </w:r>
      <w:r w:rsidR="007C6A50" w:rsidRPr="0077523C">
        <w:rPr>
          <w:lang w:val="en-US"/>
        </w:rPr>
        <w:t xml:space="preserve">A provisional winding up order was granted on </w:t>
      </w:r>
      <w:r w:rsidR="007D2473">
        <w:rPr>
          <w:lang w:val="en-US"/>
        </w:rPr>
        <w:t>11 September 201</w:t>
      </w:r>
      <w:r w:rsidR="007C6A50" w:rsidRPr="0077523C">
        <w:rPr>
          <w:lang w:val="en-US"/>
        </w:rPr>
        <w:t>8 and a final order on 10 January 2019.</w:t>
      </w:r>
    </w:p>
    <w:p w14:paraId="587C9BFF" w14:textId="605DAB14" w:rsidR="007C6A50" w:rsidRDefault="00880C3B" w:rsidP="00880C3B">
      <w:pPr>
        <w:pStyle w:val="level1"/>
        <w:numPr>
          <w:ilvl w:val="0"/>
          <w:numId w:val="0"/>
        </w:numPr>
        <w:spacing w:after="480" w:line="360" w:lineRule="auto"/>
        <w:jc w:val="both"/>
        <w:rPr>
          <w:lang w:val="en-US"/>
        </w:rPr>
      </w:pPr>
      <w:r>
        <w:rPr>
          <w:lang w:val="en-US"/>
        </w:rPr>
        <w:t>[5]</w:t>
      </w:r>
      <w:r>
        <w:rPr>
          <w:lang w:val="en-US"/>
        </w:rPr>
        <w:tab/>
      </w:r>
      <w:r w:rsidR="007C6A50" w:rsidRPr="000B30ED">
        <w:rPr>
          <w:lang w:val="en-US"/>
        </w:rPr>
        <w:t xml:space="preserve">The applicant further launched a provisional sequestration application of the respondent’s estate on 26 June 2018, relying on the guarantee agreement and </w:t>
      </w:r>
      <w:r w:rsidR="00C43621">
        <w:rPr>
          <w:lang w:val="en-US"/>
        </w:rPr>
        <w:t>its</w:t>
      </w:r>
      <w:r w:rsidR="007C6A50" w:rsidRPr="000B30ED">
        <w:rPr>
          <w:lang w:val="en-US"/>
        </w:rPr>
        <w:t xml:space="preserve"> claim of R44 817 773.68, supported by certificates of balance dated 28 April 2017, </w:t>
      </w:r>
      <w:r w:rsidR="00C13BD9">
        <w:rPr>
          <w:lang w:val="en-US"/>
        </w:rPr>
        <w:t>a claim</w:t>
      </w:r>
      <w:r w:rsidR="007C6A50" w:rsidRPr="000B30ED">
        <w:rPr>
          <w:lang w:val="en-US"/>
        </w:rPr>
        <w:t xml:space="preserve"> demand </w:t>
      </w:r>
      <w:r w:rsidR="00C13BD9">
        <w:rPr>
          <w:lang w:val="en-US"/>
        </w:rPr>
        <w:t xml:space="preserve">notice </w:t>
      </w:r>
      <w:r w:rsidR="007C6A50" w:rsidRPr="000B30ED">
        <w:rPr>
          <w:lang w:val="en-US"/>
        </w:rPr>
        <w:t xml:space="preserve">sent to Keka dated 29 May 2017 and a guarantee demand notice dated 9 November 2017, sent to the respondent. These are the same claims relied upon </w:t>
      </w:r>
      <w:r w:rsidR="00C13BD9">
        <w:rPr>
          <w:lang w:val="en-US"/>
        </w:rPr>
        <w:t xml:space="preserve">by the applicant </w:t>
      </w:r>
      <w:r w:rsidR="007C6A50" w:rsidRPr="000B30ED">
        <w:rPr>
          <w:lang w:val="en-US"/>
        </w:rPr>
        <w:t xml:space="preserve">in the winding up application. The respondent during August 2021 in a supplementary answering affidavit raised a defence of prescription against the applicant’s claims. That defence </w:t>
      </w:r>
      <w:r w:rsidR="007E32BA">
        <w:rPr>
          <w:lang w:val="en-US"/>
        </w:rPr>
        <w:t xml:space="preserve">of prescription </w:t>
      </w:r>
      <w:r w:rsidR="007C6A50" w:rsidRPr="000B30ED">
        <w:rPr>
          <w:lang w:val="en-US"/>
        </w:rPr>
        <w:t xml:space="preserve">was upheld and the sequestration application was dismissed on 10 August 2021. </w:t>
      </w:r>
      <w:r w:rsidR="007E32BA">
        <w:rPr>
          <w:lang w:val="en-US"/>
        </w:rPr>
        <w:t>That judgment was not appealed.</w:t>
      </w:r>
    </w:p>
    <w:p w14:paraId="3F796B04" w14:textId="15C92358" w:rsidR="007C6A50" w:rsidRPr="000B30ED" w:rsidRDefault="00880C3B" w:rsidP="00880C3B">
      <w:pPr>
        <w:pStyle w:val="level1"/>
        <w:numPr>
          <w:ilvl w:val="0"/>
          <w:numId w:val="0"/>
        </w:numPr>
        <w:spacing w:after="480" w:line="360" w:lineRule="auto"/>
        <w:jc w:val="both"/>
        <w:rPr>
          <w:lang w:val="en-US"/>
        </w:rPr>
      </w:pPr>
      <w:r w:rsidRPr="000B30ED">
        <w:rPr>
          <w:lang w:val="en-US"/>
        </w:rPr>
        <w:t>[6]</w:t>
      </w:r>
      <w:r w:rsidRPr="000B30ED">
        <w:rPr>
          <w:lang w:val="en-US"/>
        </w:rPr>
        <w:tab/>
      </w:r>
      <w:r w:rsidR="00D0513C">
        <w:rPr>
          <w:lang w:val="en-US"/>
        </w:rPr>
        <w:t xml:space="preserve">In the </w:t>
      </w:r>
      <w:r w:rsidR="007C6A50" w:rsidRPr="000B30ED">
        <w:rPr>
          <w:lang w:val="en-US"/>
        </w:rPr>
        <w:t>main application</w:t>
      </w:r>
      <w:r w:rsidR="00D0513C">
        <w:rPr>
          <w:lang w:val="en-US"/>
        </w:rPr>
        <w:t xml:space="preserve">, </w:t>
      </w:r>
      <w:r w:rsidR="007C6A50" w:rsidRPr="000B30ED">
        <w:rPr>
          <w:lang w:val="en-US"/>
        </w:rPr>
        <w:t>launched on 31 March 2021 and served on the respondent on 11 May 2021</w:t>
      </w:r>
      <w:r w:rsidR="00D0513C">
        <w:rPr>
          <w:lang w:val="en-US"/>
        </w:rPr>
        <w:t xml:space="preserve">, the applicant claimed payment of an aggregate amount of R84 273 918.40 pursuant to a guarantee claim notice dated 8 November 2020 </w:t>
      </w:r>
      <w:r w:rsidR="002F7B67">
        <w:rPr>
          <w:lang w:val="en-US"/>
        </w:rPr>
        <w:t xml:space="preserve">delivered to the respondent </w:t>
      </w:r>
      <w:r w:rsidR="00D0513C">
        <w:rPr>
          <w:lang w:val="en-US"/>
        </w:rPr>
        <w:t>in which an amount of R128 302 503.95 was claimed</w:t>
      </w:r>
      <w:r w:rsidR="007C6A50" w:rsidRPr="000B30ED">
        <w:rPr>
          <w:lang w:val="en-US"/>
        </w:rPr>
        <w:t>.</w:t>
      </w:r>
      <w:r w:rsidR="007C6A50">
        <w:rPr>
          <w:lang w:val="en-US"/>
        </w:rPr>
        <w:t xml:space="preserve"> T</w:t>
      </w:r>
      <w:r w:rsidR="007C6A50" w:rsidRPr="000B30ED">
        <w:rPr>
          <w:lang w:val="en-US"/>
        </w:rPr>
        <w:t xml:space="preserve">he </w:t>
      </w:r>
      <w:r w:rsidR="00D0513C">
        <w:rPr>
          <w:lang w:val="en-US"/>
        </w:rPr>
        <w:t xml:space="preserve">difference constitutes the amount of </w:t>
      </w:r>
      <w:r w:rsidR="00D0513C" w:rsidRPr="000B30ED">
        <w:rPr>
          <w:lang w:val="en-US"/>
        </w:rPr>
        <w:t>R44 028 585.56</w:t>
      </w:r>
      <w:r w:rsidR="00D0513C">
        <w:rPr>
          <w:lang w:val="en-US"/>
        </w:rPr>
        <w:t xml:space="preserve">, which the </w:t>
      </w:r>
      <w:r w:rsidR="007C6A50" w:rsidRPr="000B30ED">
        <w:rPr>
          <w:lang w:val="en-US"/>
        </w:rPr>
        <w:t>applicant conceded had become prescribed a</w:t>
      </w:r>
      <w:r w:rsidR="00D0513C">
        <w:rPr>
          <w:lang w:val="en-US"/>
        </w:rPr>
        <w:t xml:space="preserve">s found in the sequestration application. </w:t>
      </w:r>
    </w:p>
    <w:p w14:paraId="300B4914" w14:textId="12605C7F" w:rsidR="001737B5" w:rsidRPr="003A718C" w:rsidRDefault="00880C3B" w:rsidP="00880C3B">
      <w:pPr>
        <w:pStyle w:val="level1"/>
        <w:numPr>
          <w:ilvl w:val="0"/>
          <w:numId w:val="0"/>
        </w:numPr>
        <w:spacing w:after="480" w:line="360" w:lineRule="auto"/>
        <w:jc w:val="both"/>
        <w:rPr>
          <w:lang w:val="en-US"/>
        </w:rPr>
      </w:pPr>
      <w:r w:rsidRPr="003A718C">
        <w:rPr>
          <w:lang w:val="en-US"/>
        </w:rPr>
        <w:t>[7]</w:t>
      </w:r>
      <w:r w:rsidRPr="003A718C">
        <w:rPr>
          <w:lang w:val="en-US"/>
        </w:rPr>
        <w:tab/>
      </w:r>
      <w:r w:rsidR="001737B5">
        <w:rPr>
          <w:lang w:val="en-US"/>
        </w:rPr>
        <w:t>The</w:t>
      </w:r>
      <w:r w:rsidR="001737B5" w:rsidRPr="003A718C">
        <w:rPr>
          <w:lang w:val="en-US"/>
        </w:rPr>
        <w:t>re are three applications</w:t>
      </w:r>
      <w:r w:rsidR="001737B5">
        <w:rPr>
          <w:lang w:val="en-US"/>
        </w:rPr>
        <w:t xml:space="preserve"> which require determination</w:t>
      </w:r>
      <w:r w:rsidR="001737B5" w:rsidRPr="003A718C">
        <w:rPr>
          <w:lang w:val="en-US"/>
        </w:rPr>
        <w:t xml:space="preserve">: </w:t>
      </w:r>
      <w:r w:rsidR="001737B5">
        <w:rPr>
          <w:lang w:val="en-US"/>
        </w:rPr>
        <w:t xml:space="preserve">First, </w:t>
      </w:r>
      <w:r w:rsidR="001737B5" w:rsidRPr="003A718C">
        <w:rPr>
          <w:lang w:val="en-US"/>
        </w:rPr>
        <w:t xml:space="preserve">an application by the respondent for leave to supplement his answering affidavit; alternatively condoning his failure to timeously deliver an answering affidavit in the main application and his failure to comply with interlocutory court orders </w:t>
      </w:r>
      <w:r w:rsidR="00F82CB7">
        <w:rPr>
          <w:lang w:val="en-US"/>
        </w:rPr>
        <w:t>of</w:t>
      </w:r>
      <w:r w:rsidR="001737B5" w:rsidRPr="003A718C">
        <w:rPr>
          <w:lang w:val="en-US"/>
        </w:rPr>
        <w:t xml:space="preserve"> 15 November 2021 and 10 May 2022</w:t>
      </w:r>
      <w:r w:rsidR="00315208">
        <w:rPr>
          <w:lang w:val="en-US"/>
        </w:rPr>
        <w:t xml:space="preserve"> (“the condonation application”)</w:t>
      </w:r>
      <w:r w:rsidR="001737B5">
        <w:rPr>
          <w:lang w:val="en-US"/>
        </w:rPr>
        <w:t>.</w:t>
      </w:r>
      <w:r w:rsidR="001737B5" w:rsidRPr="003A718C">
        <w:rPr>
          <w:lang w:val="en-US"/>
        </w:rPr>
        <w:t xml:space="preserve"> </w:t>
      </w:r>
      <w:r w:rsidR="001737B5">
        <w:rPr>
          <w:lang w:val="en-US"/>
        </w:rPr>
        <w:t xml:space="preserve">Second, </w:t>
      </w:r>
      <w:r w:rsidR="001737B5" w:rsidRPr="003A718C">
        <w:rPr>
          <w:lang w:val="en-US"/>
        </w:rPr>
        <w:t xml:space="preserve">an application for </w:t>
      </w:r>
      <w:r w:rsidR="00315208">
        <w:rPr>
          <w:lang w:val="en-US"/>
        </w:rPr>
        <w:t xml:space="preserve">the </w:t>
      </w:r>
      <w:r w:rsidR="001737B5" w:rsidRPr="003A718C">
        <w:rPr>
          <w:lang w:val="en-US"/>
        </w:rPr>
        <w:t>striking out of certain paragraphs and annexures from the applicant’s replying affidavit</w:t>
      </w:r>
      <w:r w:rsidR="00315208">
        <w:rPr>
          <w:lang w:val="en-US"/>
        </w:rPr>
        <w:t xml:space="preserve"> (“the striking out application”)</w:t>
      </w:r>
      <w:r w:rsidR="001737B5">
        <w:rPr>
          <w:lang w:val="en-US"/>
        </w:rPr>
        <w:t xml:space="preserve">. Third, </w:t>
      </w:r>
      <w:r w:rsidR="001737B5" w:rsidRPr="003A718C">
        <w:rPr>
          <w:lang w:val="en-US"/>
        </w:rPr>
        <w:t>the main application.</w:t>
      </w:r>
    </w:p>
    <w:p w14:paraId="3BFF48D3" w14:textId="6902255D" w:rsidR="001737B5" w:rsidRDefault="00880C3B" w:rsidP="00880C3B">
      <w:pPr>
        <w:pStyle w:val="level1"/>
        <w:numPr>
          <w:ilvl w:val="0"/>
          <w:numId w:val="0"/>
        </w:numPr>
        <w:spacing w:after="480" w:line="360" w:lineRule="auto"/>
        <w:jc w:val="both"/>
        <w:rPr>
          <w:lang w:val="en-US"/>
        </w:rPr>
      </w:pPr>
      <w:r>
        <w:rPr>
          <w:lang w:val="en-US"/>
        </w:rPr>
        <w:t>[8]</w:t>
      </w:r>
      <w:r>
        <w:rPr>
          <w:lang w:val="en-US"/>
        </w:rPr>
        <w:tab/>
      </w:r>
      <w:r w:rsidR="001737B5">
        <w:rPr>
          <w:lang w:val="en-US"/>
        </w:rPr>
        <w:t>It is convenient to first deal with the condonation application</w:t>
      </w:r>
      <w:r w:rsidR="00F265E3">
        <w:rPr>
          <w:lang w:val="en-US"/>
        </w:rPr>
        <w:t>, as the question whether the respondent has a valid defence to the applica</w:t>
      </w:r>
      <w:r w:rsidR="00F82CB7">
        <w:rPr>
          <w:lang w:val="en-US"/>
        </w:rPr>
        <w:t>n</w:t>
      </w:r>
      <w:r w:rsidR="00F265E3">
        <w:rPr>
          <w:lang w:val="en-US"/>
        </w:rPr>
        <w:t>t</w:t>
      </w:r>
      <w:r w:rsidR="00F82CB7">
        <w:rPr>
          <w:lang w:val="en-US"/>
        </w:rPr>
        <w:t>’s claims</w:t>
      </w:r>
      <w:r w:rsidR="00F265E3">
        <w:rPr>
          <w:lang w:val="en-US"/>
        </w:rPr>
        <w:t xml:space="preserve"> is squarely </w:t>
      </w:r>
      <w:r w:rsidR="00F265E3">
        <w:rPr>
          <w:lang w:val="en-US"/>
        </w:rPr>
        <w:lastRenderedPageBreak/>
        <w:t>predicated on him obtaining leave to deliver the answering affidavit attached to that application</w:t>
      </w:r>
      <w:r w:rsidR="001737B5">
        <w:rPr>
          <w:lang w:val="en-US"/>
        </w:rPr>
        <w:t>.</w:t>
      </w:r>
    </w:p>
    <w:p w14:paraId="4B99A835" w14:textId="3FA2F0F1" w:rsidR="005613BC" w:rsidRDefault="00880C3B" w:rsidP="00880C3B">
      <w:pPr>
        <w:pStyle w:val="level1"/>
        <w:numPr>
          <w:ilvl w:val="0"/>
          <w:numId w:val="0"/>
        </w:numPr>
        <w:spacing w:after="480" w:line="360" w:lineRule="auto"/>
        <w:jc w:val="both"/>
        <w:rPr>
          <w:lang w:val="en-US"/>
        </w:rPr>
      </w:pPr>
      <w:r>
        <w:rPr>
          <w:lang w:val="en-US"/>
        </w:rPr>
        <w:t>[9]</w:t>
      </w:r>
      <w:r>
        <w:rPr>
          <w:lang w:val="en-US"/>
        </w:rPr>
        <w:tab/>
      </w:r>
      <w:r w:rsidR="005613BC">
        <w:rPr>
          <w:lang w:val="en-US"/>
        </w:rPr>
        <w:t>It was undisputed that the respondent</w:t>
      </w:r>
      <w:r w:rsidR="00315208">
        <w:rPr>
          <w:lang w:val="en-US"/>
        </w:rPr>
        <w:t>,</w:t>
      </w:r>
      <w:r w:rsidR="005613BC">
        <w:rPr>
          <w:lang w:val="en-US"/>
        </w:rPr>
        <w:t xml:space="preserve"> pursuant to the applicant obtaining a compelling order during November 2021, delivered a</w:t>
      </w:r>
      <w:r w:rsidR="00315208">
        <w:rPr>
          <w:lang w:val="en-US"/>
        </w:rPr>
        <w:t xml:space="preserve"> short</w:t>
      </w:r>
      <w:r w:rsidR="005613BC">
        <w:rPr>
          <w:lang w:val="en-US"/>
        </w:rPr>
        <w:t xml:space="preserve"> affidavit attaching his affidavit delivered in his opposition to the sequestration application</w:t>
      </w:r>
      <w:r w:rsidR="00315208" w:rsidRPr="00315208">
        <w:rPr>
          <w:lang w:val="en-US"/>
        </w:rPr>
        <w:t xml:space="preserve"> </w:t>
      </w:r>
      <w:r w:rsidR="00315208">
        <w:rPr>
          <w:lang w:val="en-US"/>
        </w:rPr>
        <w:t>under case number 23822/2018</w:t>
      </w:r>
      <w:r w:rsidR="005613BC">
        <w:rPr>
          <w:lang w:val="en-US"/>
        </w:rPr>
        <w:t xml:space="preserve">. That affidavit was entirely defective as it did not address the applicant’s averments in the main application. The applicant thus contended that the affidavit </w:t>
      </w:r>
      <w:r w:rsidR="00FA7EEA">
        <w:rPr>
          <w:lang w:val="en-US"/>
        </w:rPr>
        <w:t xml:space="preserve">is irrelevant and </w:t>
      </w:r>
      <w:r w:rsidR="00315208">
        <w:rPr>
          <w:lang w:val="en-US"/>
        </w:rPr>
        <w:t xml:space="preserve">that </w:t>
      </w:r>
      <w:r w:rsidR="00FA7EEA">
        <w:rPr>
          <w:lang w:val="en-US"/>
        </w:rPr>
        <w:t xml:space="preserve">the </w:t>
      </w:r>
      <w:r w:rsidR="005613BC">
        <w:rPr>
          <w:lang w:val="en-US"/>
        </w:rPr>
        <w:t>respondent’s failure to deal wit</w:t>
      </w:r>
      <w:r w:rsidR="00FA7EEA">
        <w:rPr>
          <w:lang w:val="en-US"/>
        </w:rPr>
        <w:t>h</w:t>
      </w:r>
      <w:r w:rsidR="005613BC">
        <w:rPr>
          <w:lang w:val="en-US"/>
        </w:rPr>
        <w:t xml:space="preserve"> </w:t>
      </w:r>
      <w:r w:rsidR="002F7B67">
        <w:rPr>
          <w:lang w:val="en-US"/>
        </w:rPr>
        <w:t xml:space="preserve">its averments </w:t>
      </w:r>
      <w:r w:rsidR="005613BC">
        <w:rPr>
          <w:lang w:val="en-US"/>
        </w:rPr>
        <w:t xml:space="preserve">constituted an admission </w:t>
      </w:r>
      <w:r w:rsidR="002F7B67">
        <w:rPr>
          <w:lang w:val="en-US"/>
        </w:rPr>
        <w:t>there</w:t>
      </w:r>
      <w:r w:rsidR="005613BC">
        <w:rPr>
          <w:lang w:val="en-US"/>
        </w:rPr>
        <w:t>of a</w:t>
      </w:r>
      <w:r w:rsidR="002F7B67">
        <w:rPr>
          <w:lang w:val="en-US"/>
        </w:rPr>
        <w:t>s</w:t>
      </w:r>
      <w:r w:rsidR="00315208">
        <w:rPr>
          <w:lang w:val="en-US"/>
        </w:rPr>
        <w:t xml:space="preserve"> </w:t>
      </w:r>
      <w:r w:rsidR="005613BC">
        <w:rPr>
          <w:lang w:val="en-US"/>
        </w:rPr>
        <w:t>there was no rebuttal of the evidence presented</w:t>
      </w:r>
      <w:r w:rsidR="00FA7EEA">
        <w:rPr>
          <w:lang w:val="en-US"/>
        </w:rPr>
        <w:t xml:space="preserve">. </w:t>
      </w:r>
    </w:p>
    <w:p w14:paraId="60D6E61F" w14:textId="14DEBA6F" w:rsidR="00FA7EEA" w:rsidRDefault="00880C3B" w:rsidP="00880C3B">
      <w:pPr>
        <w:pStyle w:val="level1"/>
        <w:numPr>
          <w:ilvl w:val="0"/>
          <w:numId w:val="0"/>
        </w:numPr>
        <w:spacing w:after="480" w:line="360" w:lineRule="auto"/>
        <w:jc w:val="both"/>
        <w:rPr>
          <w:lang w:val="en-US"/>
        </w:rPr>
      </w:pPr>
      <w:r>
        <w:rPr>
          <w:lang w:val="en-US"/>
        </w:rPr>
        <w:t>[10]</w:t>
      </w:r>
      <w:r>
        <w:rPr>
          <w:lang w:val="en-US"/>
        </w:rPr>
        <w:tab/>
      </w:r>
      <w:r w:rsidR="00FA7EEA">
        <w:rPr>
          <w:lang w:val="en-US"/>
        </w:rPr>
        <w:t xml:space="preserve">Pursuant to the appointment of the respondent’s present legal representatives, the </w:t>
      </w:r>
      <w:r w:rsidR="00315208">
        <w:rPr>
          <w:lang w:val="en-US"/>
        </w:rPr>
        <w:t>condonation</w:t>
      </w:r>
      <w:r w:rsidR="00FA7EEA">
        <w:rPr>
          <w:lang w:val="en-US"/>
        </w:rPr>
        <w:t xml:space="preserve"> application was launched. </w:t>
      </w:r>
      <w:r w:rsidR="00315208">
        <w:rPr>
          <w:lang w:val="en-US"/>
        </w:rPr>
        <w:t xml:space="preserve">A substantial answering affidavit was attached </w:t>
      </w:r>
      <w:r w:rsidR="002F7B67">
        <w:rPr>
          <w:lang w:val="en-US"/>
        </w:rPr>
        <w:t>there</w:t>
      </w:r>
      <w:r w:rsidR="00315208">
        <w:rPr>
          <w:lang w:val="en-US"/>
        </w:rPr>
        <w:t>to. The respondent</w:t>
      </w:r>
      <w:r w:rsidR="00FA7EEA">
        <w:rPr>
          <w:lang w:val="en-US"/>
        </w:rPr>
        <w:t xml:space="preserve"> argued that it was in the interests of justice to admit the affidavit, given that it raises a </w:t>
      </w:r>
      <w:r w:rsidR="00FA7EEA" w:rsidRPr="007D2473">
        <w:rPr>
          <w:i/>
          <w:lang w:val="en-US"/>
        </w:rPr>
        <w:t>bona fide</w:t>
      </w:r>
      <w:r w:rsidR="00FA7EEA">
        <w:rPr>
          <w:lang w:val="en-US"/>
        </w:rPr>
        <w:t xml:space="preserve"> defence to the applicant’s claim.</w:t>
      </w:r>
    </w:p>
    <w:p w14:paraId="2F47308B" w14:textId="553CB453" w:rsidR="00335A44" w:rsidRPr="00335A44" w:rsidRDefault="00880C3B" w:rsidP="00880C3B">
      <w:pPr>
        <w:pStyle w:val="level1"/>
        <w:numPr>
          <w:ilvl w:val="0"/>
          <w:numId w:val="0"/>
        </w:numPr>
        <w:spacing w:after="480" w:line="360" w:lineRule="auto"/>
        <w:jc w:val="both"/>
        <w:rPr>
          <w:lang w:val="en-US"/>
        </w:rPr>
      </w:pPr>
      <w:r w:rsidRPr="00335A44">
        <w:rPr>
          <w:lang w:val="en-US"/>
        </w:rPr>
        <w:t>[11]</w:t>
      </w:r>
      <w:r w:rsidRPr="00335A44">
        <w:rPr>
          <w:lang w:val="en-US"/>
        </w:rPr>
        <w:tab/>
      </w:r>
      <w:r w:rsidR="00FA7EEA" w:rsidRPr="00335A44">
        <w:rPr>
          <w:lang w:val="en-US"/>
        </w:rPr>
        <w:t xml:space="preserve">Whilst the respondent’s explanations for the delays and failures on his part are scant, what swings the pendulum is his favour is </w:t>
      </w:r>
      <w:r w:rsidR="00351D17" w:rsidRPr="00335A44">
        <w:rPr>
          <w:lang w:val="en-US"/>
        </w:rPr>
        <w:t>the need to consider good cause in context both of the respondent’s failures and defaults and</w:t>
      </w:r>
      <w:r w:rsidR="002F7B67">
        <w:rPr>
          <w:lang w:val="en-US"/>
        </w:rPr>
        <w:t xml:space="preserve"> of </w:t>
      </w:r>
      <w:r w:rsidR="00351D17" w:rsidRPr="00335A44">
        <w:rPr>
          <w:lang w:val="en-US"/>
        </w:rPr>
        <w:t>the defence</w:t>
      </w:r>
      <w:r w:rsidR="00315208" w:rsidRPr="00335A44">
        <w:rPr>
          <w:lang w:val="en-US"/>
        </w:rPr>
        <w:t>s</w:t>
      </w:r>
      <w:r w:rsidR="00351D17" w:rsidRPr="00335A44">
        <w:rPr>
          <w:lang w:val="en-US"/>
        </w:rPr>
        <w:t xml:space="preserve"> raised. </w:t>
      </w:r>
      <w:r w:rsidR="00335A44" w:rsidRPr="00335A44">
        <w:rPr>
          <w:lang w:val="en-US"/>
        </w:rPr>
        <w:t xml:space="preserve">The </w:t>
      </w:r>
      <w:r w:rsidR="00035BFD">
        <w:rPr>
          <w:lang w:val="en-US"/>
        </w:rPr>
        <w:t xml:space="preserve">respondent </w:t>
      </w:r>
      <w:r w:rsidR="00335A44" w:rsidRPr="00335A44">
        <w:rPr>
          <w:lang w:val="en-US"/>
        </w:rPr>
        <w:t>relie</w:t>
      </w:r>
      <w:r w:rsidR="00035BFD">
        <w:rPr>
          <w:lang w:val="en-US"/>
        </w:rPr>
        <w:t>d</w:t>
      </w:r>
      <w:r w:rsidR="00335A44" w:rsidRPr="00335A44">
        <w:rPr>
          <w:lang w:val="en-US"/>
        </w:rPr>
        <w:t xml:space="preserve"> on the </w:t>
      </w:r>
      <w:r w:rsidR="00335A44" w:rsidRPr="00335A44">
        <w:rPr>
          <w:i/>
          <w:lang w:val="en-US"/>
        </w:rPr>
        <w:t>res judicata</w:t>
      </w:r>
      <w:r w:rsidR="00335A44" w:rsidRPr="00335A44">
        <w:rPr>
          <w:lang w:val="en-US"/>
        </w:rPr>
        <w:t xml:space="preserve"> doctrine and the principles of issue estoppel</w:t>
      </w:r>
      <w:r w:rsidR="007D2473">
        <w:rPr>
          <w:lang w:val="en-US"/>
        </w:rPr>
        <w:t xml:space="preserve"> pursuant to the </w:t>
      </w:r>
      <w:r w:rsidR="00C43621">
        <w:rPr>
          <w:lang w:val="en-US"/>
        </w:rPr>
        <w:t xml:space="preserve">prescription </w:t>
      </w:r>
      <w:r w:rsidR="007D2473">
        <w:rPr>
          <w:lang w:val="en-US"/>
        </w:rPr>
        <w:t>findings of the court in the sequestration application</w:t>
      </w:r>
      <w:r w:rsidR="00335A44" w:rsidRPr="00335A44">
        <w:rPr>
          <w:lang w:val="en-US"/>
        </w:rPr>
        <w:t xml:space="preserve">. </w:t>
      </w:r>
      <w:r w:rsidR="00035BFD">
        <w:rPr>
          <w:lang w:val="en-US"/>
        </w:rPr>
        <w:t xml:space="preserve">He further raised prescription, which </w:t>
      </w:r>
      <w:r w:rsidR="00065916" w:rsidRPr="00335A44">
        <w:rPr>
          <w:lang w:val="en-US"/>
        </w:rPr>
        <w:t xml:space="preserve">requires an interpretation of various of the agreements, including the guarantee agreement which underpins the applicant’s claim. </w:t>
      </w:r>
    </w:p>
    <w:p w14:paraId="591E12F2" w14:textId="0072F564" w:rsidR="00335A44" w:rsidRDefault="00880C3B" w:rsidP="00880C3B">
      <w:pPr>
        <w:pStyle w:val="level1"/>
        <w:numPr>
          <w:ilvl w:val="0"/>
          <w:numId w:val="0"/>
        </w:numPr>
        <w:spacing w:after="480" w:line="360" w:lineRule="auto"/>
        <w:jc w:val="both"/>
        <w:rPr>
          <w:lang w:val="en-US"/>
        </w:rPr>
      </w:pPr>
      <w:r>
        <w:rPr>
          <w:lang w:val="en-US"/>
        </w:rPr>
        <w:t>[12]</w:t>
      </w:r>
      <w:r>
        <w:rPr>
          <w:lang w:val="en-US"/>
        </w:rPr>
        <w:tab/>
      </w:r>
      <w:r w:rsidR="00351D17" w:rsidRPr="00335A44">
        <w:rPr>
          <w:lang w:val="en-US"/>
        </w:rPr>
        <w:t>T</w:t>
      </w:r>
      <w:r w:rsidR="00FA7EEA" w:rsidRPr="00335A44">
        <w:rPr>
          <w:lang w:val="en-US"/>
        </w:rPr>
        <w:t xml:space="preserve">he </w:t>
      </w:r>
      <w:r w:rsidR="002D185C">
        <w:rPr>
          <w:lang w:val="en-US"/>
        </w:rPr>
        <w:t xml:space="preserve">respondent’s </w:t>
      </w:r>
      <w:r w:rsidR="00FA7EEA" w:rsidRPr="00335A44">
        <w:rPr>
          <w:lang w:val="en-US"/>
        </w:rPr>
        <w:t xml:space="preserve">affidavit does in my view illustrate </w:t>
      </w:r>
      <w:r w:rsidR="00335A44">
        <w:rPr>
          <w:lang w:val="en-US"/>
        </w:rPr>
        <w:t xml:space="preserve">the existence of </w:t>
      </w:r>
      <w:r w:rsidR="00FA7EEA" w:rsidRPr="00335A44">
        <w:rPr>
          <w:lang w:val="en-US"/>
        </w:rPr>
        <w:t xml:space="preserve">a </w:t>
      </w:r>
      <w:r w:rsidR="00FA7EEA" w:rsidRPr="007D2473">
        <w:rPr>
          <w:i/>
          <w:lang w:val="en-US"/>
        </w:rPr>
        <w:t>bona fide</w:t>
      </w:r>
      <w:r w:rsidR="00FA7EEA" w:rsidRPr="00335A44">
        <w:rPr>
          <w:lang w:val="en-US"/>
        </w:rPr>
        <w:t xml:space="preserve"> defence with </w:t>
      </w:r>
      <w:r w:rsidR="00351D17" w:rsidRPr="00335A44">
        <w:rPr>
          <w:lang w:val="en-US"/>
        </w:rPr>
        <w:t xml:space="preserve">some </w:t>
      </w:r>
      <w:r w:rsidR="00FA7EEA" w:rsidRPr="00335A44">
        <w:rPr>
          <w:lang w:val="en-US"/>
        </w:rPr>
        <w:t>prospects of success</w:t>
      </w:r>
      <w:r w:rsidR="00351D17" w:rsidRPr="00335A44">
        <w:rPr>
          <w:lang w:val="en-US"/>
        </w:rPr>
        <w:t xml:space="preserve"> </w:t>
      </w:r>
      <w:r w:rsidR="00335A44">
        <w:rPr>
          <w:lang w:val="en-US"/>
        </w:rPr>
        <w:t>constituting</w:t>
      </w:r>
      <w:r w:rsidR="00C658F5" w:rsidRPr="00335A44">
        <w:rPr>
          <w:lang w:val="en-US"/>
        </w:rPr>
        <w:t xml:space="preserve"> </w:t>
      </w:r>
      <w:r w:rsidR="00351D17" w:rsidRPr="00335A44">
        <w:rPr>
          <w:lang w:val="en-US"/>
        </w:rPr>
        <w:t>a triable issue</w:t>
      </w:r>
      <w:r w:rsidR="00351D17">
        <w:rPr>
          <w:rStyle w:val="FootnoteReference"/>
          <w:lang w:val="en-US"/>
        </w:rPr>
        <w:footnoteReference w:id="6"/>
      </w:r>
      <w:r w:rsidR="00C43621">
        <w:rPr>
          <w:lang w:val="en-US"/>
        </w:rPr>
        <w:t>, albeit that the respondent’s conduct is open to criticism</w:t>
      </w:r>
      <w:r w:rsidR="00FA7EEA" w:rsidRPr="00335A44">
        <w:rPr>
          <w:lang w:val="en-US"/>
        </w:rPr>
        <w:t xml:space="preserve">. It is in the interests of justice to determine the merits of the application on the full facts, specifically considering the large amounts of money involved and the importance </w:t>
      </w:r>
      <w:r w:rsidR="00BD48A8" w:rsidRPr="00335A44">
        <w:rPr>
          <w:lang w:val="en-US"/>
        </w:rPr>
        <w:t xml:space="preserve">of the matter </w:t>
      </w:r>
      <w:r w:rsidR="00FA7EEA" w:rsidRPr="00335A44">
        <w:rPr>
          <w:lang w:val="en-US"/>
        </w:rPr>
        <w:t>to the parties.</w:t>
      </w:r>
      <w:r w:rsidR="00722CC5" w:rsidRPr="00335A44">
        <w:rPr>
          <w:lang w:val="en-US"/>
        </w:rPr>
        <w:t xml:space="preserve"> I</w:t>
      </w:r>
      <w:r w:rsidR="002F7B67">
        <w:rPr>
          <w:lang w:val="en-US"/>
        </w:rPr>
        <w:t xml:space="preserve"> </w:t>
      </w:r>
      <w:r w:rsidR="00722CC5" w:rsidRPr="00335A44">
        <w:rPr>
          <w:lang w:val="en-US"/>
        </w:rPr>
        <w:t xml:space="preserve">am </w:t>
      </w:r>
      <w:r w:rsidR="002F7B67">
        <w:rPr>
          <w:lang w:val="en-US"/>
        </w:rPr>
        <w:t>no</w:t>
      </w:r>
      <w:r w:rsidR="00722CC5" w:rsidRPr="00335A44">
        <w:rPr>
          <w:lang w:val="en-US"/>
        </w:rPr>
        <w:t xml:space="preserve">t persuaded to </w:t>
      </w:r>
      <w:r w:rsidR="00722CC5" w:rsidRPr="00335A44">
        <w:rPr>
          <w:lang w:val="en-US"/>
        </w:rPr>
        <w:lastRenderedPageBreak/>
        <w:t>uphold the challenges raised by the applicant and to simply consider the case on the basis of the applicant’s founding affidavit.</w:t>
      </w:r>
    </w:p>
    <w:p w14:paraId="71C9AE92" w14:textId="381B0A9D" w:rsidR="00FA7EEA" w:rsidRPr="00335A44" w:rsidRDefault="00880C3B" w:rsidP="00880C3B">
      <w:pPr>
        <w:pStyle w:val="level1"/>
        <w:numPr>
          <w:ilvl w:val="0"/>
          <w:numId w:val="0"/>
        </w:numPr>
        <w:spacing w:after="480" w:line="360" w:lineRule="auto"/>
        <w:jc w:val="both"/>
        <w:rPr>
          <w:lang w:val="en-US"/>
        </w:rPr>
      </w:pPr>
      <w:r w:rsidRPr="00335A44">
        <w:rPr>
          <w:lang w:val="en-US"/>
        </w:rPr>
        <w:t>[13]</w:t>
      </w:r>
      <w:r w:rsidRPr="00335A44">
        <w:rPr>
          <w:lang w:val="en-US"/>
        </w:rPr>
        <w:tab/>
      </w:r>
      <w:r w:rsidR="00335A44">
        <w:rPr>
          <w:lang w:val="en-US"/>
        </w:rPr>
        <w:t xml:space="preserve"> </w:t>
      </w:r>
      <w:r w:rsidR="002F7B67">
        <w:rPr>
          <w:lang w:val="en-US"/>
        </w:rPr>
        <w:t xml:space="preserve">I </w:t>
      </w:r>
      <w:r w:rsidR="00335A44">
        <w:rPr>
          <w:lang w:val="en-US"/>
        </w:rPr>
        <w:t xml:space="preserve">conclude that the </w:t>
      </w:r>
      <w:r w:rsidR="002D185C">
        <w:rPr>
          <w:lang w:val="en-US"/>
        </w:rPr>
        <w:t>condonation relief sought by the respondent in the alternative</w:t>
      </w:r>
      <w:r w:rsidR="00335A44">
        <w:rPr>
          <w:lang w:val="en-US"/>
        </w:rPr>
        <w:t xml:space="preserve"> should be granted.</w:t>
      </w:r>
      <w:r w:rsidR="00FA7EEA" w:rsidRPr="00335A44">
        <w:rPr>
          <w:lang w:val="en-US"/>
        </w:rPr>
        <w:t xml:space="preserve"> </w:t>
      </w:r>
      <w:r w:rsidR="002D185C">
        <w:rPr>
          <w:lang w:val="en-US"/>
        </w:rPr>
        <w:t>Given the defective nature of the respondent’s original answering affidavit</w:t>
      </w:r>
      <w:r w:rsidR="00FA7EEA" w:rsidRPr="00335A44">
        <w:rPr>
          <w:lang w:val="en-US"/>
        </w:rPr>
        <w:t xml:space="preserve"> </w:t>
      </w:r>
      <w:r w:rsidR="002D185C">
        <w:rPr>
          <w:lang w:val="en-US"/>
        </w:rPr>
        <w:t>such relief is more appropriate than simply granting him leave to supplement.</w:t>
      </w:r>
    </w:p>
    <w:p w14:paraId="613AFD04" w14:textId="5E13C936" w:rsidR="005613BC" w:rsidRDefault="00880C3B" w:rsidP="00880C3B">
      <w:pPr>
        <w:pStyle w:val="level1"/>
        <w:numPr>
          <w:ilvl w:val="0"/>
          <w:numId w:val="0"/>
        </w:numPr>
        <w:spacing w:after="480" w:line="360" w:lineRule="auto"/>
        <w:jc w:val="both"/>
        <w:rPr>
          <w:lang w:val="en-US"/>
        </w:rPr>
      </w:pPr>
      <w:r>
        <w:rPr>
          <w:lang w:val="en-US"/>
        </w:rPr>
        <w:t>[14]</w:t>
      </w:r>
      <w:r>
        <w:rPr>
          <w:lang w:val="en-US"/>
        </w:rPr>
        <w:tab/>
      </w:r>
      <w:r w:rsidR="005613BC">
        <w:rPr>
          <w:lang w:val="en-US"/>
        </w:rPr>
        <w:t xml:space="preserve">The applicant was not in my view prejudiced as it delivered a </w:t>
      </w:r>
      <w:r w:rsidR="00FA7EEA">
        <w:rPr>
          <w:lang w:val="en-US"/>
        </w:rPr>
        <w:t xml:space="preserve">comprehensive </w:t>
      </w:r>
      <w:r w:rsidR="005613BC">
        <w:rPr>
          <w:lang w:val="en-US"/>
        </w:rPr>
        <w:t>replying affidavit to the respondent’s affidavit on 17 July 2022 and the matter could proceed on the allocated hearing date.</w:t>
      </w:r>
      <w:r w:rsidR="00FA7EEA">
        <w:rPr>
          <w:lang w:val="en-US"/>
        </w:rPr>
        <w:t xml:space="preserve"> It cannot </w:t>
      </w:r>
      <w:r w:rsidR="00BD48A8">
        <w:rPr>
          <w:lang w:val="en-US"/>
        </w:rPr>
        <w:t xml:space="preserve">however </w:t>
      </w:r>
      <w:r w:rsidR="00FA7EEA">
        <w:rPr>
          <w:lang w:val="en-US"/>
        </w:rPr>
        <w:t xml:space="preserve">be concluded that the applicant’s opposition to the application was unreasonable. </w:t>
      </w:r>
    </w:p>
    <w:p w14:paraId="2F096489" w14:textId="3DB4D9C9" w:rsidR="00C658F5" w:rsidRDefault="00880C3B" w:rsidP="00880C3B">
      <w:pPr>
        <w:pStyle w:val="level1"/>
        <w:numPr>
          <w:ilvl w:val="0"/>
          <w:numId w:val="0"/>
        </w:numPr>
        <w:spacing w:after="480" w:line="360" w:lineRule="auto"/>
        <w:jc w:val="both"/>
        <w:rPr>
          <w:lang w:val="en-US"/>
        </w:rPr>
      </w:pPr>
      <w:r>
        <w:rPr>
          <w:lang w:val="en-US"/>
        </w:rPr>
        <w:t>[15]</w:t>
      </w:r>
      <w:r>
        <w:rPr>
          <w:lang w:val="en-US"/>
        </w:rPr>
        <w:tab/>
      </w:r>
      <w:r w:rsidR="00EB7AB7">
        <w:rPr>
          <w:lang w:val="en-US"/>
        </w:rPr>
        <w:t>During argument the respondent conceded that as he is seeking an indulgence</w:t>
      </w:r>
      <w:r w:rsidR="00F82CB7">
        <w:rPr>
          <w:lang w:val="en-US"/>
        </w:rPr>
        <w:t>,</w:t>
      </w:r>
      <w:r w:rsidR="00951AD8">
        <w:rPr>
          <w:lang w:val="en-US"/>
        </w:rPr>
        <w:t xml:space="preserve"> </w:t>
      </w:r>
      <w:r w:rsidR="00F82CB7">
        <w:rPr>
          <w:lang w:val="en-US"/>
        </w:rPr>
        <w:t>i</w:t>
      </w:r>
      <w:r w:rsidR="00951AD8">
        <w:rPr>
          <w:lang w:val="en-US"/>
        </w:rPr>
        <w:t>t</w:t>
      </w:r>
      <w:r w:rsidR="00EB7AB7">
        <w:rPr>
          <w:lang w:val="en-US"/>
        </w:rPr>
        <w:t xml:space="preserve"> would be appropriate that he pay the costs of the condonation application.</w:t>
      </w:r>
      <w:r w:rsidR="00C658F5" w:rsidRPr="00C658F5">
        <w:rPr>
          <w:lang w:val="en-US"/>
        </w:rPr>
        <w:t xml:space="preserve"> </w:t>
      </w:r>
      <w:r w:rsidR="00C43621">
        <w:rPr>
          <w:lang w:val="en-US"/>
        </w:rPr>
        <w:t>I agree.</w:t>
      </w:r>
      <w:r w:rsidR="009C5166">
        <w:rPr>
          <w:lang w:val="en-US"/>
        </w:rPr>
        <w:t xml:space="preserve"> Considering the respondent’s conduct in relation to the </w:t>
      </w:r>
      <w:r w:rsidR="002F7B67">
        <w:rPr>
          <w:lang w:val="en-US"/>
        </w:rPr>
        <w:t>matter</w:t>
      </w:r>
      <w:r w:rsidR="009C5166">
        <w:rPr>
          <w:lang w:val="en-US"/>
        </w:rPr>
        <w:t>, i</w:t>
      </w:r>
      <w:r w:rsidR="002F7B67">
        <w:rPr>
          <w:lang w:val="en-US"/>
        </w:rPr>
        <w:t>ncluding non-compliance with a court order, i</w:t>
      </w:r>
      <w:r w:rsidR="009C5166">
        <w:rPr>
          <w:lang w:val="en-US"/>
        </w:rPr>
        <w:t>t would be appropriate to grant a punitive costs order.</w:t>
      </w:r>
    </w:p>
    <w:p w14:paraId="1662ACB2" w14:textId="1121187B" w:rsidR="00BD48A8" w:rsidRDefault="00880C3B" w:rsidP="00880C3B">
      <w:pPr>
        <w:pStyle w:val="level1"/>
        <w:numPr>
          <w:ilvl w:val="0"/>
          <w:numId w:val="0"/>
        </w:numPr>
        <w:spacing w:after="480" w:line="360" w:lineRule="auto"/>
        <w:jc w:val="both"/>
        <w:rPr>
          <w:lang w:val="en-US"/>
        </w:rPr>
      </w:pPr>
      <w:r>
        <w:rPr>
          <w:lang w:val="en-US"/>
        </w:rPr>
        <w:t>[16]</w:t>
      </w:r>
      <w:r>
        <w:rPr>
          <w:lang w:val="en-US"/>
        </w:rPr>
        <w:tab/>
      </w:r>
      <w:r w:rsidR="00BD48A8">
        <w:rPr>
          <w:lang w:val="en-US"/>
        </w:rPr>
        <w:t>I</w:t>
      </w:r>
      <w:r w:rsidR="00951AD8">
        <w:rPr>
          <w:lang w:val="en-US"/>
        </w:rPr>
        <w:t xml:space="preserve"> turn</w:t>
      </w:r>
      <w:r w:rsidR="00BD48A8">
        <w:rPr>
          <w:lang w:val="en-US"/>
        </w:rPr>
        <w:t xml:space="preserve"> </w:t>
      </w:r>
      <w:r w:rsidR="00951AD8">
        <w:rPr>
          <w:lang w:val="en-US"/>
        </w:rPr>
        <w:t xml:space="preserve">to the respondent’s </w:t>
      </w:r>
      <w:r w:rsidR="00BD48A8">
        <w:rPr>
          <w:lang w:val="en-US"/>
        </w:rPr>
        <w:t xml:space="preserve">striking out application. The respondent sought the striking out of </w:t>
      </w:r>
      <w:r w:rsidR="00D0513C">
        <w:rPr>
          <w:lang w:val="en-US"/>
        </w:rPr>
        <w:t xml:space="preserve">certain </w:t>
      </w:r>
      <w:r w:rsidR="00BD48A8">
        <w:rPr>
          <w:lang w:val="en-US"/>
        </w:rPr>
        <w:t>paragraphs of the applicant’s replying affidavit</w:t>
      </w:r>
      <w:r w:rsidR="00D0513C">
        <w:rPr>
          <w:rStyle w:val="FootnoteReference"/>
          <w:lang w:val="en-US"/>
        </w:rPr>
        <w:footnoteReference w:id="7"/>
      </w:r>
      <w:r w:rsidR="00BD48A8">
        <w:rPr>
          <w:lang w:val="en-US"/>
        </w:rPr>
        <w:t xml:space="preserve"> on the basis that it constituted inadmissible hearsay evidence; and the striking out of </w:t>
      </w:r>
      <w:r w:rsidR="00D0513C">
        <w:rPr>
          <w:lang w:val="en-US"/>
        </w:rPr>
        <w:t xml:space="preserve">certain other </w:t>
      </w:r>
      <w:r w:rsidR="00BD48A8">
        <w:rPr>
          <w:lang w:val="en-US"/>
        </w:rPr>
        <w:t>paragraphs</w:t>
      </w:r>
      <w:r w:rsidR="00D0513C">
        <w:rPr>
          <w:rStyle w:val="FootnoteReference"/>
          <w:lang w:val="en-US"/>
        </w:rPr>
        <w:footnoteReference w:id="8"/>
      </w:r>
      <w:r w:rsidR="00BD48A8">
        <w:rPr>
          <w:lang w:val="en-US"/>
        </w:rPr>
        <w:t xml:space="preserve"> and annexures</w:t>
      </w:r>
      <w:r w:rsidR="000178D3">
        <w:rPr>
          <w:lang w:val="en-US"/>
        </w:rPr>
        <w:t xml:space="preserve"> of the replying affidavit</w:t>
      </w:r>
      <w:r w:rsidR="00BD48A8">
        <w:rPr>
          <w:lang w:val="en-US"/>
        </w:rPr>
        <w:t xml:space="preserve"> on the basis that</w:t>
      </w:r>
      <w:r w:rsidR="00CB1064">
        <w:rPr>
          <w:lang w:val="en-US"/>
        </w:rPr>
        <w:t xml:space="preserve"> they were</w:t>
      </w:r>
      <w:r w:rsidR="00BD48A8">
        <w:rPr>
          <w:lang w:val="en-US"/>
        </w:rPr>
        <w:t xml:space="preserve"> scandalous</w:t>
      </w:r>
      <w:r w:rsidR="002F7B67">
        <w:rPr>
          <w:lang w:val="en-US"/>
        </w:rPr>
        <w:t>,</w:t>
      </w:r>
      <w:r w:rsidR="00BD48A8">
        <w:rPr>
          <w:lang w:val="en-US"/>
        </w:rPr>
        <w:t xml:space="preserve"> vexatious and or irrelevant to the determination of the issues in dispute. </w:t>
      </w:r>
    </w:p>
    <w:p w14:paraId="6287E2BB" w14:textId="2ABF8A15" w:rsidR="00D17E38" w:rsidRDefault="00880C3B" w:rsidP="00880C3B">
      <w:pPr>
        <w:pStyle w:val="level1"/>
        <w:numPr>
          <w:ilvl w:val="0"/>
          <w:numId w:val="0"/>
        </w:numPr>
        <w:spacing w:after="480" w:line="360" w:lineRule="auto"/>
        <w:jc w:val="both"/>
        <w:rPr>
          <w:lang w:val="en-US"/>
        </w:rPr>
      </w:pPr>
      <w:r>
        <w:rPr>
          <w:lang w:val="en-US"/>
        </w:rPr>
        <w:t>[17]</w:t>
      </w:r>
      <w:r>
        <w:rPr>
          <w:lang w:val="en-US"/>
        </w:rPr>
        <w:tab/>
      </w:r>
      <w:r w:rsidR="00CB1064" w:rsidRPr="00CB1064">
        <w:rPr>
          <w:lang w:val="en-US"/>
        </w:rPr>
        <w:t>The r</w:t>
      </w:r>
      <w:r w:rsidR="00BD48A8" w:rsidRPr="00CB1064">
        <w:rPr>
          <w:lang w:val="en-US"/>
        </w:rPr>
        <w:t xml:space="preserve">espondent </w:t>
      </w:r>
      <w:r w:rsidR="00EB7AB7">
        <w:rPr>
          <w:lang w:val="en-US"/>
        </w:rPr>
        <w:t xml:space="preserve">in argument </w:t>
      </w:r>
      <w:r w:rsidR="00BD48A8" w:rsidRPr="00CB1064">
        <w:rPr>
          <w:lang w:val="en-US"/>
        </w:rPr>
        <w:t xml:space="preserve">conceded that if those paragraphs </w:t>
      </w:r>
      <w:r w:rsidR="00CB1064" w:rsidRPr="00CB1064">
        <w:rPr>
          <w:lang w:val="en-US"/>
        </w:rPr>
        <w:t>were</w:t>
      </w:r>
      <w:r w:rsidR="00BD48A8" w:rsidRPr="00CB1064">
        <w:rPr>
          <w:lang w:val="en-US"/>
        </w:rPr>
        <w:t xml:space="preserve"> not evidence</w:t>
      </w:r>
      <w:r w:rsidR="002F7B67">
        <w:rPr>
          <w:lang w:val="en-US"/>
        </w:rPr>
        <w:t xml:space="preserve"> o</w:t>
      </w:r>
      <w:r w:rsidR="00BD48A8" w:rsidRPr="00CB1064">
        <w:rPr>
          <w:lang w:val="en-US"/>
        </w:rPr>
        <w:t xml:space="preserve">f the parties’ intention but rather an interpretational argument, the paragraphs </w:t>
      </w:r>
      <w:r w:rsidR="00CB1064" w:rsidRPr="00CB1064">
        <w:rPr>
          <w:lang w:val="en-US"/>
        </w:rPr>
        <w:t>were</w:t>
      </w:r>
      <w:r w:rsidR="00BD48A8" w:rsidRPr="00CB1064">
        <w:rPr>
          <w:lang w:val="en-US"/>
        </w:rPr>
        <w:t xml:space="preserve"> not objectionable. As </w:t>
      </w:r>
      <w:r w:rsidR="007C6A50">
        <w:rPr>
          <w:lang w:val="en-US"/>
        </w:rPr>
        <w:t xml:space="preserve">the </w:t>
      </w:r>
      <w:r w:rsidR="00BD48A8" w:rsidRPr="00CB1064">
        <w:rPr>
          <w:lang w:val="en-US"/>
        </w:rPr>
        <w:t>applicant argued they were interpretational, that disposes of th</w:t>
      </w:r>
      <w:r w:rsidR="000178D3">
        <w:rPr>
          <w:lang w:val="en-US"/>
        </w:rPr>
        <w:t>e first</w:t>
      </w:r>
      <w:r w:rsidR="00BD48A8" w:rsidRPr="00CB1064">
        <w:rPr>
          <w:lang w:val="en-US"/>
        </w:rPr>
        <w:t xml:space="preserve"> challenge. Regarding the respondent’s other challenge, I am not persuaded that the </w:t>
      </w:r>
      <w:r w:rsidR="00BD48A8" w:rsidRPr="00CB1064">
        <w:rPr>
          <w:lang w:val="en-US"/>
        </w:rPr>
        <w:lastRenderedPageBreak/>
        <w:t>respondent has met the necessary threshold</w:t>
      </w:r>
      <w:r w:rsidR="00CB1064" w:rsidRPr="00CB1064">
        <w:rPr>
          <w:lang w:val="en-US"/>
        </w:rPr>
        <w:t xml:space="preserve"> as enunciated by the Constitutional Court in </w:t>
      </w:r>
      <w:r w:rsidR="00CB1064" w:rsidRPr="00CB1064">
        <w:rPr>
          <w:i/>
          <w:lang w:val="en-US"/>
        </w:rPr>
        <w:t>Helen Suzman Foundation v President of the Republic of South Africa.</w:t>
      </w:r>
      <w:r w:rsidR="00CB1064" w:rsidRPr="00CB1064">
        <w:rPr>
          <w:vertAlign w:val="superscript"/>
          <w:lang w:val="en-US"/>
        </w:rPr>
        <w:footnoteReference w:id="9"/>
      </w:r>
      <w:r w:rsidR="00CB1064">
        <w:rPr>
          <w:i/>
          <w:lang w:val="en-US"/>
        </w:rPr>
        <w:t xml:space="preserve"> </w:t>
      </w:r>
      <w:r w:rsidR="00BD48A8" w:rsidRPr="00CB1064">
        <w:rPr>
          <w:lang w:val="en-US"/>
        </w:rPr>
        <w:t xml:space="preserve"> </w:t>
      </w:r>
    </w:p>
    <w:p w14:paraId="1212175F" w14:textId="7F84F532" w:rsidR="00BD48A8" w:rsidRPr="00CB1064" w:rsidRDefault="00880C3B" w:rsidP="00880C3B">
      <w:pPr>
        <w:pStyle w:val="level1"/>
        <w:numPr>
          <w:ilvl w:val="0"/>
          <w:numId w:val="0"/>
        </w:numPr>
        <w:spacing w:after="480" w:line="360" w:lineRule="auto"/>
        <w:jc w:val="both"/>
        <w:rPr>
          <w:lang w:val="en-US"/>
        </w:rPr>
      </w:pPr>
      <w:r w:rsidRPr="00CB1064">
        <w:rPr>
          <w:lang w:val="en-US"/>
        </w:rPr>
        <w:t>[18]</w:t>
      </w:r>
      <w:r w:rsidRPr="00CB1064">
        <w:rPr>
          <w:lang w:val="en-US"/>
        </w:rPr>
        <w:tab/>
      </w:r>
      <w:r w:rsidR="00BD48A8" w:rsidRPr="00CB1064">
        <w:rPr>
          <w:lang w:val="en-US"/>
        </w:rPr>
        <w:t>It follows that the striking out application falls to be dismissed</w:t>
      </w:r>
      <w:r w:rsidR="009C5166">
        <w:rPr>
          <w:lang w:val="en-US"/>
        </w:rPr>
        <w:t>. There is no reason to deviate from the normal principle that costs follow the result.</w:t>
      </w:r>
      <w:r w:rsidR="00BD48A8" w:rsidRPr="00CB1064">
        <w:rPr>
          <w:lang w:val="en-US"/>
        </w:rPr>
        <w:t xml:space="preserve">  </w:t>
      </w:r>
    </w:p>
    <w:p w14:paraId="5B175F84" w14:textId="53B5C64A" w:rsidR="0077523C" w:rsidRPr="00035BFD" w:rsidRDefault="00880C3B" w:rsidP="00880C3B">
      <w:pPr>
        <w:pStyle w:val="level1"/>
        <w:numPr>
          <w:ilvl w:val="0"/>
          <w:numId w:val="0"/>
        </w:numPr>
        <w:spacing w:after="480" w:line="360" w:lineRule="auto"/>
        <w:jc w:val="both"/>
        <w:rPr>
          <w:lang w:val="en-US"/>
        </w:rPr>
      </w:pPr>
      <w:r w:rsidRPr="00035BFD">
        <w:rPr>
          <w:lang w:val="en-US"/>
        </w:rPr>
        <w:t>[19]</w:t>
      </w:r>
      <w:r w:rsidRPr="00035BFD">
        <w:rPr>
          <w:lang w:val="en-US"/>
        </w:rPr>
        <w:tab/>
      </w:r>
      <w:r w:rsidR="00CB1064" w:rsidRPr="00035BFD">
        <w:rPr>
          <w:lang w:val="en-US"/>
        </w:rPr>
        <w:t>I turn to deal with the merits.</w:t>
      </w:r>
      <w:r w:rsidR="0060775A" w:rsidRPr="00035BFD">
        <w:rPr>
          <w:lang w:val="en-US"/>
        </w:rPr>
        <w:t xml:space="preserve"> </w:t>
      </w:r>
      <w:r w:rsidR="0077523C" w:rsidRPr="00035BFD">
        <w:rPr>
          <w:lang w:val="en-US"/>
        </w:rPr>
        <w:t>The prescri</w:t>
      </w:r>
      <w:r w:rsidR="000439CD" w:rsidRPr="00035BFD">
        <w:rPr>
          <w:lang w:val="en-US"/>
        </w:rPr>
        <w:t xml:space="preserve">ption </w:t>
      </w:r>
      <w:r w:rsidR="0077523C" w:rsidRPr="00035BFD">
        <w:rPr>
          <w:lang w:val="en-US"/>
        </w:rPr>
        <w:t>defence is at least partially predicated on the proper interpretation of the guarantee agreement</w:t>
      </w:r>
      <w:r w:rsidR="00035BFD">
        <w:rPr>
          <w:lang w:val="en-US"/>
        </w:rPr>
        <w:t>.</w:t>
      </w:r>
      <w:r w:rsidR="00EB7AB7" w:rsidRPr="00035BFD">
        <w:rPr>
          <w:lang w:val="en-US"/>
        </w:rPr>
        <w:t xml:space="preserve"> </w:t>
      </w:r>
    </w:p>
    <w:p w14:paraId="2AB83A26" w14:textId="55DE7EDD" w:rsidR="00C86DC1" w:rsidRDefault="00880C3B" w:rsidP="00880C3B">
      <w:pPr>
        <w:pStyle w:val="level1"/>
        <w:numPr>
          <w:ilvl w:val="0"/>
          <w:numId w:val="0"/>
        </w:numPr>
        <w:spacing w:after="480" w:line="360" w:lineRule="auto"/>
        <w:jc w:val="both"/>
        <w:rPr>
          <w:lang w:val="en-US"/>
        </w:rPr>
      </w:pPr>
      <w:r>
        <w:rPr>
          <w:lang w:val="en-US"/>
        </w:rPr>
        <w:t>[20]</w:t>
      </w:r>
      <w:r>
        <w:rPr>
          <w:lang w:val="en-US"/>
        </w:rPr>
        <w:tab/>
      </w:r>
      <w:r w:rsidR="00C86DC1">
        <w:rPr>
          <w:lang w:val="en-US"/>
        </w:rPr>
        <w:t xml:space="preserve">In sum, the applicant’s case was that on a proper interpretation of clauses 3 and 11 of the guarantee agreement, </w:t>
      </w:r>
      <w:r w:rsidR="00E9012E">
        <w:rPr>
          <w:lang w:val="en-US"/>
        </w:rPr>
        <w:t xml:space="preserve">demand was a condition precedent to </w:t>
      </w:r>
      <w:r w:rsidR="00C86DC1">
        <w:rPr>
          <w:lang w:val="en-US"/>
        </w:rPr>
        <w:t>the respondent’s indebtedness</w:t>
      </w:r>
      <w:r w:rsidR="009577E1">
        <w:rPr>
          <w:lang w:val="en-US"/>
        </w:rPr>
        <w:t>,</w:t>
      </w:r>
      <w:r w:rsidR="00C86DC1">
        <w:rPr>
          <w:lang w:val="en-US"/>
        </w:rPr>
        <w:t xml:space="preserve"> </w:t>
      </w:r>
      <w:r w:rsidR="00E9012E">
        <w:rPr>
          <w:lang w:val="en-US"/>
        </w:rPr>
        <w:t xml:space="preserve">which </w:t>
      </w:r>
      <w:r w:rsidR="00C86DC1">
        <w:rPr>
          <w:lang w:val="en-US"/>
        </w:rPr>
        <w:t>would only be deemed to be due and payable once a certificate of indebtedness ha</w:t>
      </w:r>
      <w:r w:rsidR="00E9012E">
        <w:rPr>
          <w:lang w:val="en-US"/>
        </w:rPr>
        <w:t>d</w:t>
      </w:r>
      <w:r w:rsidR="00C86DC1">
        <w:rPr>
          <w:lang w:val="en-US"/>
        </w:rPr>
        <w:t xml:space="preserve"> been delivered to the respondent evidencing his indebtedness and the fact that such amount(s) is due and payable. The applicant argued that it was the intention of the parties </w:t>
      </w:r>
      <w:r w:rsidR="00E9012E">
        <w:rPr>
          <w:lang w:val="en-US"/>
        </w:rPr>
        <w:t xml:space="preserve">that </w:t>
      </w:r>
      <w:r w:rsidR="00C86DC1">
        <w:rPr>
          <w:lang w:val="en-US"/>
        </w:rPr>
        <w:t xml:space="preserve">the due date for performance </w:t>
      </w:r>
      <w:r w:rsidR="007D2473">
        <w:rPr>
          <w:lang w:val="en-US"/>
        </w:rPr>
        <w:t xml:space="preserve">was </w:t>
      </w:r>
      <w:r w:rsidR="00C86DC1">
        <w:rPr>
          <w:lang w:val="en-US"/>
        </w:rPr>
        <w:t xml:space="preserve">to be determinable by the applicant and afforded it the right to postpone such determination and demand. </w:t>
      </w:r>
      <w:r w:rsidR="00E9012E">
        <w:rPr>
          <w:lang w:val="en-US"/>
        </w:rPr>
        <w:t>As</w:t>
      </w:r>
      <w:r w:rsidR="00C86DC1">
        <w:rPr>
          <w:lang w:val="en-US"/>
        </w:rPr>
        <w:t xml:space="preserve"> the date of demand is not recorded in the guarantee agreement, the </w:t>
      </w:r>
      <w:r w:rsidR="00E9012E">
        <w:rPr>
          <w:lang w:val="en-US"/>
        </w:rPr>
        <w:t>applicant would</w:t>
      </w:r>
      <w:r w:rsidR="00C86DC1">
        <w:rPr>
          <w:lang w:val="en-US"/>
        </w:rPr>
        <w:t xml:space="preserve"> be afforded an election as to the time of the demand, which ought to be within a reasonable time. </w:t>
      </w:r>
    </w:p>
    <w:p w14:paraId="789B8C8F" w14:textId="34164840" w:rsidR="00C86DC1" w:rsidRDefault="00880C3B" w:rsidP="00880C3B">
      <w:pPr>
        <w:pStyle w:val="level1"/>
        <w:numPr>
          <w:ilvl w:val="0"/>
          <w:numId w:val="0"/>
        </w:numPr>
        <w:spacing w:after="480" w:line="360" w:lineRule="auto"/>
        <w:jc w:val="both"/>
        <w:rPr>
          <w:lang w:val="en-US"/>
        </w:rPr>
      </w:pPr>
      <w:r>
        <w:rPr>
          <w:lang w:val="en-US"/>
        </w:rPr>
        <w:t>[21]</w:t>
      </w:r>
      <w:r>
        <w:rPr>
          <w:lang w:val="en-US"/>
        </w:rPr>
        <w:tab/>
      </w:r>
      <w:r w:rsidR="00C86DC1">
        <w:rPr>
          <w:lang w:val="en-US"/>
        </w:rPr>
        <w:t>The respondent</w:t>
      </w:r>
      <w:r w:rsidR="00E9012E">
        <w:rPr>
          <w:lang w:val="en-US"/>
        </w:rPr>
        <w:t>’s case in sum was</w:t>
      </w:r>
      <w:r w:rsidR="00C86DC1">
        <w:rPr>
          <w:lang w:val="en-US"/>
        </w:rPr>
        <w:t xml:space="preserve"> that upon a proper construction of the relevant clauses of the guarantee agreement, the respondent became obliged to make payment to the applicant when the amounts became due for payment by Keka to the applicant in terms of the short form agreement, the revolving credit agreement and the subordinated agreement. </w:t>
      </w:r>
      <w:r w:rsidR="00E9012E">
        <w:rPr>
          <w:lang w:val="en-US"/>
        </w:rPr>
        <w:t>The</w:t>
      </w:r>
      <w:r w:rsidR="00C86DC1">
        <w:rPr>
          <w:lang w:val="en-US"/>
        </w:rPr>
        <w:t xml:space="preserve"> amounts became payable by Keka to the applicant on 13 June 2017 pursuant to a letter of demand sent to Keka </w:t>
      </w:r>
      <w:r w:rsidR="00E1099C">
        <w:rPr>
          <w:lang w:val="en-US"/>
        </w:rPr>
        <w:t xml:space="preserve">fourteen days earlier </w:t>
      </w:r>
      <w:r w:rsidR="0074113E">
        <w:rPr>
          <w:lang w:val="en-US"/>
        </w:rPr>
        <w:t xml:space="preserve">on 29 May 2017 </w:t>
      </w:r>
      <w:r w:rsidR="00C86DC1">
        <w:rPr>
          <w:lang w:val="en-US"/>
        </w:rPr>
        <w:t>and became due and payable by the respondent to the applicant on the same date. On that basis it was argued that all the applicant’s claims have become prescribed</w:t>
      </w:r>
      <w:r w:rsidR="00C43621">
        <w:rPr>
          <w:lang w:val="en-US"/>
        </w:rPr>
        <w:t xml:space="preserve">, it being </w:t>
      </w:r>
      <w:r w:rsidR="00C43621">
        <w:rPr>
          <w:lang w:val="en-US"/>
        </w:rPr>
        <w:lastRenderedPageBreak/>
        <w:t>common cause that the present proceedings were instituted more than three years from that date</w:t>
      </w:r>
      <w:r w:rsidR="00C86DC1">
        <w:rPr>
          <w:lang w:val="en-US"/>
        </w:rPr>
        <w:t>.</w:t>
      </w:r>
    </w:p>
    <w:p w14:paraId="026C321B" w14:textId="15247E84" w:rsidR="002D49AE" w:rsidRDefault="00880C3B" w:rsidP="00880C3B">
      <w:pPr>
        <w:pStyle w:val="level1"/>
        <w:numPr>
          <w:ilvl w:val="0"/>
          <w:numId w:val="0"/>
        </w:numPr>
        <w:spacing w:after="480" w:line="360" w:lineRule="auto"/>
        <w:jc w:val="both"/>
        <w:rPr>
          <w:lang w:val="en-US"/>
        </w:rPr>
      </w:pPr>
      <w:r>
        <w:rPr>
          <w:lang w:val="en-US"/>
        </w:rPr>
        <w:t>[22]</w:t>
      </w:r>
      <w:r>
        <w:rPr>
          <w:lang w:val="en-US"/>
        </w:rPr>
        <w:tab/>
      </w:r>
      <w:r w:rsidR="002D49AE">
        <w:rPr>
          <w:lang w:val="en-US"/>
        </w:rPr>
        <w:t xml:space="preserve">The respondent further argued that the amounts claimed in </w:t>
      </w:r>
      <w:r w:rsidR="009577E1">
        <w:rPr>
          <w:lang w:val="en-US"/>
        </w:rPr>
        <w:t>claims</w:t>
      </w:r>
      <w:r w:rsidR="002D49AE">
        <w:rPr>
          <w:lang w:val="en-US"/>
        </w:rPr>
        <w:t xml:space="preserve"> 1.1 and 3 of the notice of motion were claimed in terms of a</w:t>
      </w:r>
      <w:r w:rsidR="0074113E">
        <w:rPr>
          <w:lang w:val="en-US"/>
        </w:rPr>
        <w:t>n earlier</w:t>
      </w:r>
      <w:r w:rsidR="002D49AE">
        <w:rPr>
          <w:lang w:val="en-US"/>
        </w:rPr>
        <w:t xml:space="preserve"> guarantee claims notice dated 9 November 2017, which formed part of the claim in the sequestration application which the court found had prescribed.</w:t>
      </w:r>
      <w:r w:rsidR="0074113E">
        <w:rPr>
          <w:lang w:val="en-US"/>
        </w:rPr>
        <w:t xml:space="preserve"> It was argued that the applicant was obliged to claim all amounts under the agreements forming the subject matter of the 9 November 2017 claims notice and that on this basis the applicant’s claim </w:t>
      </w:r>
      <w:r w:rsidR="00AC7B5A">
        <w:rPr>
          <w:lang w:val="en-US"/>
        </w:rPr>
        <w:t xml:space="preserve">in claim 1.2 </w:t>
      </w:r>
      <w:r w:rsidR="0074113E">
        <w:rPr>
          <w:lang w:val="en-US"/>
        </w:rPr>
        <w:t xml:space="preserve">had prescribed. Lastly, it </w:t>
      </w:r>
      <w:r w:rsidR="00AC7B5A">
        <w:rPr>
          <w:lang w:val="en-US"/>
        </w:rPr>
        <w:t>contended</w:t>
      </w:r>
      <w:r w:rsidR="0074113E">
        <w:rPr>
          <w:lang w:val="en-US"/>
        </w:rPr>
        <w:t xml:space="preserve"> that the capital amounts presently claimed by the applicant in claims 1.1 and 3, had similarly been claimed in the 9 November 2017 demand notice and, on the applicant’s own version, had prescribed. </w:t>
      </w:r>
    </w:p>
    <w:p w14:paraId="0BCAD582" w14:textId="39B94F50" w:rsidR="00A83368" w:rsidRPr="00E1099C" w:rsidRDefault="00880C3B" w:rsidP="00880C3B">
      <w:pPr>
        <w:pStyle w:val="level1"/>
        <w:numPr>
          <w:ilvl w:val="0"/>
          <w:numId w:val="0"/>
        </w:numPr>
        <w:spacing w:after="480" w:line="360" w:lineRule="auto"/>
        <w:jc w:val="both"/>
        <w:rPr>
          <w:lang w:val="en-US"/>
        </w:rPr>
      </w:pPr>
      <w:r w:rsidRPr="00E1099C">
        <w:rPr>
          <w:lang w:val="en-US"/>
        </w:rPr>
        <w:t>[23]</w:t>
      </w:r>
      <w:r w:rsidRPr="00E1099C">
        <w:rPr>
          <w:lang w:val="en-US"/>
        </w:rPr>
        <w:tab/>
      </w:r>
      <w:r w:rsidR="000439CD">
        <w:rPr>
          <w:lang w:val="en-US"/>
        </w:rPr>
        <w:t>T</w:t>
      </w:r>
      <w:r w:rsidR="00917A9D" w:rsidRPr="008B5F98">
        <w:rPr>
          <w:lang w:val="en-US"/>
        </w:rPr>
        <w:t xml:space="preserve">he </w:t>
      </w:r>
      <w:r w:rsidR="0060775A" w:rsidRPr="008B5F98">
        <w:rPr>
          <w:lang w:val="en-US"/>
        </w:rPr>
        <w:t xml:space="preserve">central point of departure between the parties </w:t>
      </w:r>
      <w:r w:rsidR="000439CD">
        <w:rPr>
          <w:lang w:val="en-US"/>
        </w:rPr>
        <w:t>is</w:t>
      </w:r>
      <w:r w:rsidR="00917A9D" w:rsidRPr="008B5F98">
        <w:rPr>
          <w:lang w:val="en-US"/>
        </w:rPr>
        <w:t xml:space="preserve"> whether</w:t>
      </w:r>
      <w:r w:rsidR="00885DF8" w:rsidRPr="008B5F98">
        <w:rPr>
          <w:lang w:val="en-US"/>
        </w:rPr>
        <w:t xml:space="preserve"> or not</w:t>
      </w:r>
      <w:r w:rsidR="00917A9D" w:rsidRPr="008B5F98">
        <w:rPr>
          <w:lang w:val="en-US"/>
        </w:rPr>
        <w:t xml:space="preserve"> </w:t>
      </w:r>
      <w:r w:rsidR="0060775A" w:rsidRPr="008B5F98">
        <w:rPr>
          <w:lang w:val="en-US"/>
        </w:rPr>
        <w:t>the guarantee agreement is subject to the</w:t>
      </w:r>
      <w:r w:rsidR="00C9185E">
        <w:rPr>
          <w:lang w:val="en-US"/>
        </w:rPr>
        <w:t xml:space="preserve"> suspensive condition </w:t>
      </w:r>
      <w:r w:rsidR="0060775A" w:rsidRPr="008B5F98">
        <w:rPr>
          <w:lang w:val="en-US"/>
        </w:rPr>
        <w:t xml:space="preserve">that </w:t>
      </w:r>
      <w:r w:rsidR="00C9185E">
        <w:rPr>
          <w:lang w:val="en-US"/>
        </w:rPr>
        <w:t xml:space="preserve">the </w:t>
      </w:r>
      <w:r w:rsidR="0060775A" w:rsidRPr="008B5F98">
        <w:rPr>
          <w:lang w:val="en-US"/>
        </w:rPr>
        <w:t xml:space="preserve">applicant would have to deliver a guarantee claims notice, </w:t>
      </w:r>
      <w:r w:rsidR="00EF082A" w:rsidRPr="008B5F98">
        <w:rPr>
          <w:lang w:val="en-US"/>
        </w:rPr>
        <w:t>put differently</w:t>
      </w:r>
      <w:r w:rsidR="006A30BA" w:rsidRPr="008B5F98">
        <w:rPr>
          <w:lang w:val="en-US"/>
        </w:rPr>
        <w:t>,</w:t>
      </w:r>
      <w:r w:rsidR="00EF082A" w:rsidRPr="008B5F98">
        <w:rPr>
          <w:lang w:val="en-US"/>
        </w:rPr>
        <w:t xml:space="preserve"> </w:t>
      </w:r>
      <w:r w:rsidR="00885DF8" w:rsidRPr="008B5F98">
        <w:rPr>
          <w:lang w:val="en-US"/>
        </w:rPr>
        <w:t>whether</w:t>
      </w:r>
      <w:r w:rsidR="00EF082A" w:rsidRPr="008B5F98">
        <w:rPr>
          <w:lang w:val="en-US"/>
        </w:rPr>
        <w:t xml:space="preserve"> </w:t>
      </w:r>
      <w:r w:rsidR="0060775A" w:rsidRPr="008B5F98">
        <w:rPr>
          <w:lang w:val="en-US"/>
        </w:rPr>
        <w:t xml:space="preserve">the </w:t>
      </w:r>
      <w:r w:rsidR="00EF082A" w:rsidRPr="008B5F98">
        <w:rPr>
          <w:lang w:val="en-US"/>
        </w:rPr>
        <w:t>claims notice</w:t>
      </w:r>
      <w:r w:rsidR="0060775A" w:rsidRPr="008B5F98">
        <w:rPr>
          <w:lang w:val="en-US"/>
        </w:rPr>
        <w:t xml:space="preserve"> was a condition precedent to respondent’s debt becom</w:t>
      </w:r>
      <w:r w:rsidR="00A83368" w:rsidRPr="008B5F98">
        <w:rPr>
          <w:lang w:val="en-US"/>
        </w:rPr>
        <w:t>ing</w:t>
      </w:r>
      <w:r w:rsidR="0060775A" w:rsidRPr="008B5F98">
        <w:rPr>
          <w:lang w:val="en-US"/>
        </w:rPr>
        <w:t xml:space="preserve"> due and payable</w:t>
      </w:r>
      <w:r w:rsidR="00885DF8" w:rsidRPr="008B5F98">
        <w:rPr>
          <w:lang w:val="en-US"/>
        </w:rPr>
        <w:t xml:space="preserve"> and that demand could be postponed at the will of the applicant</w:t>
      </w:r>
      <w:r w:rsidR="00303339" w:rsidRPr="008B5F98">
        <w:rPr>
          <w:lang w:val="en-US"/>
        </w:rPr>
        <w:t>, as it contends</w:t>
      </w:r>
      <w:r w:rsidR="00885DF8" w:rsidRPr="008B5F98">
        <w:rPr>
          <w:lang w:val="en-US"/>
        </w:rPr>
        <w:t>.</w:t>
      </w:r>
      <w:r w:rsidR="000439CD" w:rsidRPr="000439CD">
        <w:rPr>
          <w:lang w:val="en-US"/>
        </w:rPr>
        <w:t xml:space="preserve"> </w:t>
      </w:r>
      <w:r w:rsidR="000439CD">
        <w:rPr>
          <w:lang w:val="en-US"/>
        </w:rPr>
        <w:t xml:space="preserve">That requires an interpretation of the guarantee agreement upon which the applicant’s claim against the respondent is based. </w:t>
      </w:r>
      <w:r w:rsidR="000439CD" w:rsidRPr="000439CD">
        <w:rPr>
          <w:lang w:val="en-US"/>
        </w:rPr>
        <w:t>The golden rules of interpretation are well established</w:t>
      </w:r>
      <w:r w:rsidR="00E1099C">
        <w:rPr>
          <w:rStyle w:val="FootnoteReference"/>
          <w:lang w:val="en-US"/>
        </w:rPr>
        <w:footnoteReference w:id="10"/>
      </w:r>
      <w:r w:rsidR="000439CD" w:rsidRPr="000439CD">
        <w:rPr>
          <w:lang w:val="en-US"/>
        </w:rPr>
        <w:t xml:space="preserve"> and </w:t>
      </w:r>
      <w:r w:rsidR="00E1099C">
        <w:rPr>
          <w:lang w:val="en-US"/>
        </w:rPr>
        <w:t>require a contextual, purposive, linguistic approach.</w:t>
      </w:r>
    </w:p>
    <w:p w14:paraId="7F6D8955" w14:textId="4EC369A9" w:rsidR="001454F3" w:rsidRPr="00B06F8F" w:rsidRDefault="00880C3B" w:rsidP="00880C3B">
      <w:pPr>
        <w:pStyle w:val="level1"/>
        <w:numPr>
          <w:ilvl w:val="0"/>
          <w:numId w:val="0"/>
        </w:numPr>
        <w:spacing w:after="480" w:line="360" w:lineRule="auto"/>
        <w:jc w:val="both"/>
        <w:rPr>
          <w:lang w:val="en-US"/>
        </w:rPr>
      </w:pPr>
      <w:r w:rsidRPr="00B06F8F">
        <w:rPr>
          <w:lang w:val="en-US"/>
        </w:rPr>
        <w:t>[24]</w:t>
      </w:r>
      <w:r w:rsidRPr="00B06F8F">
        <w:rPr>
          <w:lang w:val="en-US"/>
        </w:rPr>
        <w:tab/>
      </w:r>
      <w:r w:rsidR="001454F3">
        <w:rPr>
          <w:lang w:val="en-US"/>
        </w:rPr>
        <w:t>The relevant clauses of the guarantee agreement</w:t>
      </w:r>
      <w:r w:rsidR="00E514D2">
        <w:rPr>
          <w:lang w:val="en-US"/>
        </w:rPr>
        <w:t xml:space="preserve"> </w:t>
      </w:r>
      <w:r w:rsidR="001454F3">
        <w:rPr>
          <w:lang w:val="en-US"/>
        </w:rPr>
        <w:t>provide:</w:t>
      </w:r>
      <w:r w:rsidR="001454F3" w:rsidRPr="001F2305">
        <w:rPr>
          <w:b/>
          <w:lang w:val="en-US"/>
        </w:rPr>
        <w:t xml:space="preserve"> </w:t>
      </w:r>
    </w:p>
    <w:p w14:paraId="283A800D" w14:textId="77777777" w:rsidR="00AC4B11" w:rsidRDefault="001454F3" w:rsidP="001454F3">
      <w:pPr>
        <w:pStyle w:val="level1"/>
        <w:numPr>
          <w:ilvl w:val="0"/>
          <w:numId w:val="0"/>
        </w:numPr>
        <w:ind w:left="1440" w:hanging="1080"/>
        <w:jc w:val="both"/>
        <w:rPr>
          <w:i/>
          <w:sz w:val="20"/>
          <w:lang w:val="en-US"/>
        </w:rPr>
      </w:pPr>
      <w:r w:rsidRPr="00B06F8F">
        <w:rPr>
          <w:i/>
          <w:sz w:val="20"/>
          <w:lang w:val="en-US"/>
        </w:rPr>
        <w:t>“</w:t>
      </w:r>
      <w:r w:rsidR="00AC4B11">
        <w:rPr>
          <w:i/>
          <w:sz w:val="20"/>
          <w:lang w:val="en-US"/>
        </w:rPr>
        <w:t>1.1.3</w:t>
      </w:r>
      <w:r w:rsidR="00AC4B11">
        <w:rPr>
          <w:i/>
          <w:sz w:val="20"/>
          <w:lang w:val="en-US"/>
        </w:rPr>
        <w:tab/>
        <w:t xml:space="preserve">“Effective Date” shall bear the meaning ascribed to that terms in the loan agreements; </w:t>
      </w:r>
    </w:p>
    <w:p w14:paraId="674F38EE" w14:textId="77777777" w:rsidR="00AC4B11" w:rsidRDefault="00AC4B11" w:rsidP="001454F3">
      <w:pPr>
        <w:pStyle w:val="level1"/>
        <w:numPr>
          <w:ilvl w:val="0"/>
          <w:numId w:val="0"/>
        </w:numPr>
        <w:ind w:left="1440" w:hanging="1080"/>
        <w:jc w:val="both"/>
        <w:rPr>
          <w:i/>
          <w:sz w:val="20"/>
          <w:lang w:val="en-US"/>
        </w:rPr>
      </w:pPr>
    </w:p>
    <w:p w14:paraId="6547E3DE" w14:textId="77777777" w:rsidR="001454F3" w:rsidRPr="00B06F8F" w:rsidRDefault="001454F3" w:rsidP="001454F3">
      <w:pPr>
        <w:pStyle w:val="level1"/>
        <w:numPr>
          <w:ilvl w:val="0"/>
          <w:numId w:val="0"/>
        </w:numPr>
        <w:ind w:left="1440" w:hanging="1080"/>
        <w:jc w:val="both"/>
        <w:rPr>
          <w:i/>
          <w:sz w:val="20"/>
          <w:lang w:val="en-US"/>
        </w:rPr>
      </w:pPr>
      <w:r w:rsidRPr="00B06F8F">
        <w:rPr>
          <w:i/>
          <w:sz w:val="20"/>
          <w:lang w:val="en-US"/>
        </w:rPr>
        <w:t>1.1.5</w:t>
      </w:r>
      <w:r w:rsidRPr="00B06F8F">
        <w:rPr>
          <w:i/>
          <w:sz w:val="20"/>
          <w:lang w:val="en-US"/>
        </w:rPr>
        <w:tab/>
      </w:r>
      <w:r w:rsidRPr="00703707">
        <w:rPr>
          <w:i/>
          <w:sz w:val="20"/>
          <w:lang w:val="en-US"/>
        </w:rPr>
        <w:t>“Finance Documents”</w:t>
      </w:r>
      <w:r w:rsidRPr="00B06F8F">
        <w:rPr>
          <w:i/>
          <w:sz w:val="20"/>
          <w:lang w:val="en-US"/>
        </w:rPr>
        <w:t xml:space="preserve"> shall bear the meaning ascribed to that term in the Loan </w:t>
      </w:r>
      <w:r w:rsidR="00703A94">
        <w:rPr>
          <w:i/>
          <w:sz w:val="20"/>
          <w:lang w:val="en-US"/>
        </w:rPr>
        <w:t>a</w:t>
      </w:r>
      <w:r w:rsidRPr="00B06F8F">
        <w:rPr>
          <w:i/>
          <w:sz w:val="20"/>
          <w:lang w:val="en-US"/>
        </w:rPr>
        <w:t>greements;</w:t>
      </w:r>
    </w:p>
    <w:p w14:paraId="11FD9A96" w14:textId="77777777" w:rsidR="001454F3" w:rsidRPr="00B06F8F" w:rsidRDefault="001454F3" w:rsidP="001454F3">
      <w:pPr>
        <w:pStyle w:val="level1"/>
        <w:numPr>
          <w:ilvl w:val="0"/>
          <w:numId w:val="0"/>
        </w:numPr>
        <w:spacing w:line="360" w:lineRule="auto"/>
        <w:ind w:left="360"/>
        <w:jc w:val="both"/>
        <w:rPr>
          <w:i/>
          <w:sz w:val="20"/>
          <w:lang w:val="en-US"/>
        </w:rPr>
      </w:pPr>
    </w:p>
    <w:p w14:paraId="4920254A" w14:textId="77777777" w:rsidR="001454F3" w:rsidRPr="00B06F8F" w:rsidRDefault="001454F3" w:rsidP="001454F3">
      <w:pPr>
        <w:pStyle w:val="level1"/>
        <w:numPr>
          <w:ilvl w:val="0"/>
          <w:numId w:val="0"/>
        </w:numPr>
        <w:ind w:left="1440" w:hanging="1080"/>
        <w:jc w:val="both"/>
        <w:rPr>
          <w:i/>
          <w:sz w:val="20"/>
          <w:lang w:val="en-US"/>
        </w:rPr>
      </w:pPr>
      <w:r w:rsidRPr="00B06F8F">
        <w:rPr>
          <w:i/>
          <w:sz w:val="20"/>
          <w:lang w:val="en-US"/>
        </w:rPr>
        <w:t>1.1.6</w:t>
      </w:r>
      <w:r w:rsidRPr="00B06F8F">
        <w:rPr>
          <w:i/>
          <w:sz w:val="20"/>
          <w:lang w:val="en-US"/>
        </w:rPr>
        <w:tab/>
      </w:r>
      <w:r w:rsidRPr="00703707">
        <w:rPr>
          <w:i/>
          <w:sz w:val="20"/>
          <w:lang w:val="en-US"/>
        </w:rPr>
        <w:t xml:space="preserve">“Guaranteed Amount” </w:t>
      </w:r>
      <w:r w:rsidRPr="00B06F8F">
        <w:rPr>
          <w:i/>
          <w:sz w:val="20"/>
          <w:lang w:val="en-US"/>
        </w:rPr>
        <w:t xml:space="preserve">means an amount calculated from time to time with reference to the Guaranteed Liabilities, and payable by the Guarantor pursuant to this Agreement; </w:t>
      </w:r>
    </w:p>
    <w:p w14:paraId="71435595" w14:textId="77777777" w:rsidR="001454F3" w:rsidRPr="00B06F8F" w:rsidRDefault="001454F3" w:rsidP="001454F3">
      <w:pPr>
        <w:pStyle w:val="level1"/>
        <w:numPr>
          <w:ilvl w:val="0"/>
          <w:numId w:val="0"/>
        </w:numPr>
        <w:spacing w:line="360" w:lineRule="auto"/>
        <w:ind w:left="360"/>
        <w:jc w:val="both"/>
        <w:rPr>
          <w:i/>
          <w:sz w:val="20"/>
          <w:lang w:val="en-US"/>
        </w:rPr>
      </w:pPr>
    </w:p>
    <w:p w14:paraId="3F371CD4" w14:textId="77777777" w:rsidR="001454F3" w:rsidRPr="00B06F8F" w:rsidRDefault="001454F3" w:rsidP="001454F3">
      <w:pPr>
        <w:pStyle w:val="level1"/>
        <w:numPr>
          <w:ilvl w:val="0"/>
          <w:numId w:val="0"/>
        </w:numPr>
        <w:ind w:left="1440" w:hanging="1080"/>
        <w:jc w:val="both"/>
        <w:rPr>
          <w:i/>
          <w:sz w:val="20"/>
          <w:lang w:val="en-US"/>
        </w:rPr>
      </w:pPr>
      <w:r w:rsidRPr="00B06F8F">
        <w:rPr>
          <w:i/>
          <w:sz w:val="20"/>
          <w:lang w:val="en-US"/>
        </w:rPr>
        <w:lastRenderedPageBreak/>
        <w:t>1.1.7</w:t>
      </w:r>
      <w:r w:rsidRPr="00B06F8F">
        <w:rPr>
          <w:i/>
          <w:sz w:val="20"/>
          <w:lang w:val="en-US"/>
        </w:rPr>
        <w:tab/>
      </w:r>
      <w:r w:rsidRPr="00703707">
        <w:rPr>
          <w:i/>
          <w:sz w:val="20"/>
          <w:lang w:val="en-US"/>
        </w:rPr>
        <w:t xml:space="preserve">“Guarantee Claim Notice” </w:t>
      </w:r>
      <w:r w:rsidRPr="00B06F8F">
        <w:rPr>
          <w:i/>
          <w:sz w:val="20"/>
          <w:lang w:val="en-US"/>
        </w:rPr>
        <w:t xml:space="preserve">means, from time to time, a written notice delivered by IDC or its nominee to the Guarantor setting out the aggregate amount of the Guaranteed Amount claimed by IDC at that time; </w:t>
      </w:r>
    </w:p>
    <w:p w14:paraId="4059D9D7" w14:textId="77777777" w:rsidR="001454F3" w:rsidRPr="00B06F8F" w:rsidRDefault="001454F3" w:rsidP="001454F3">
      <w:pPr>
        <w:pStyle w:val="level1"/>
        <w:numPr>
          <w:ilvl w:val="0"/>
          <w:numId w:val="0"/>
        </w:numPr>
        <w:spacing w:line="360" w:lineRule="auto"/>
        <w:ind w:left="360"/>
        <w:jc w:val="both"/>
        <w:rPr>
          <w:i/>
          <w:sz w:val="20"/>
          <w:lang w:val="en-US"/>
        </w:rPr>
      </w:pPr>
    </w:p>
    <w:p w14:paraId="5206EB5D" w14:textId="77777777" w:rsidR="001454F3" w:rsidRDefault="001454F3" w:rsidP="001454F3">
      <w:pPr>
        <w:pStyle w:val="level1"/>
        <w:numPr>
          <w:ilvl w:val="0"/>
          <w:numId w:val="0"/>
        </w:numPr>
        <w:ind w:left="1440" w:hanging="1080"/>
        <w:jc w:val="both"/>
        <w:rPr>
          <w:i/>
          <w:sz w:val="20"/>
          <w:lang w:val="en-US"/>
        </w:rPr>
      </w:pPr>
      <w:r w:rsidRPr="00B06F8F">
        <w:rPr>
          <w:i/>
          <w:sz w:val="20"/>
          <w:lang w:val="en-US"/>
        </w:rPr>
        <w:t>1.1.8</w:t>
      </w:r>
      <w:r w:rsidRPr="00B06F8F">
        <w:rPr>
          <w:i/>
          <w:sz w:val="20"/>
          <w:lang w:val="en-US"/>
        </w:rPr>
        <w:tab/>
      </w:r>
      <w:r w:rsidRPr="00703707">
        <w:rPr>
          <w:i/>
          <w:sz w:val="20"/>
          <w:lang w:val="en-US"/>
        </w:rPr>
        <w:t xml:space="preserve">“Guaranteed Liabilities” </w:t>
      </w:r>
      <w:r w:rsidRPr="00B06F8F">
        <w:rPr>
          <w:i/>
          <w:sz w:val="20"/>
          <w:lang w:val="en-US"/>
        </w:rPr>
        <w:t xml:space="preserve">means all present and future moneys and liabilities (whether actual or contingent and whether owed jointly or severally or in any other capacity whatsoever) which are now, or which may hereafter become, owing by the Borrower to IDC in terms of the Finance Documents together with all damages and all costs, charges and expenses incurred by IDC in connection with a breach by the Borrower of its obligations under the Finance Documents and which IDC is entitled to recover from the Borrower in terms of the Finance Documents, including all items which would be Guaranteed Liabilities but for the winding-up, absence of legal personality or incapacity of the Borrower or any statute of limitation and a reference to “Guaranteed Liability” shall be to any one or more of the “Guaranteed Liabilities” as the context requires; </w:t>
      </w:r>
    </w:p>
    <w:p w14:paraId="6E803BF4" w14:textId="77777777" w:rsidR="006D38BF" w:rsidRDefault="006D38BF" w:rsidP="001454F3">
      <w:pPr>
        <w:pStyle w:val="level1"/>
        <w:numPr>
          <w:ilvl w:val="0"/>
          <w:numId w:val="0"/>
        </w:numPr>
        <w:ind w:left="1440" w:hanging="1080"/>
        <w:jc w:val="both"/>
        <w:rPr>
          <w:i/>
          <w:sz w:val="20"/>
          <w:lang w:val="en-US"/>
        </w:rPr>
      </w:pPr>
    </w:p>
    <w:p w14:paraId="4888F26E" w14:textId="77777777" w:rsidR="00E33B56" w:rsidRDefault="00E33B56" w:rsidP="00E33B56">
      <w:pPr>
        <w:pStyle w:val="level1"/>
        <w:numPr>
          <w:ilvl w:val="0"/>
          <w:numId w:val="0"/>
        </w:numPr>
        <w:ind w:left="1440" w:hanging="1080"/>
        <w:jc w:val="both"/>
        <w:rPr>
          <w:i/>
          <w:sz w:val="20"/>
          <w:lang w:val="en-US"/>
        </w:rPr>
      </w:pPr>
      <w:r>
        <w:rPr>
          <w:i/>
          <w:sz w:val="20"/>
          <w:lang w:val="en-US"/>
        </w:rPr>
        <w:t>1.1.14</w:t>
      </w:r>
      <w:r>
        <w:rPr>
          <w:i/>
          <w:sz w:val="20"/>
          <w:lang w:val="en-US"/>
        </w:rPr>
        <w:tab/>
        <w:t>“Release Date” means the date upon which the IDC notifies the Guarantor in writing that the guarantor is released from its obligations under and in terms of th</w:t>
      </w:r>
      <w:r w:rsidR="0031449C">
        <w:rPr>
          <w:i/>
          <w:sz w:val="20"/>
          <w:lang w:val="en-US"/>
        </w:rPr>
        <w:t>is</w:t>
      </w:r>
      <w:r>
        <w:rPr>
          <w:i/>
          <w:sz w:val="20"/>
          <w:lang w:val="en-US"/>
        </w:rPr>
        <w:t xml:space="preserve"> Agreement;</w:t>
      </w:r>
    </w:p>
    <w:p w14:paraId="48C94A4A" w14:textId="77777777" w:rsidR="00AC4B11" w:rsidRDefault="00AC4B11" w:rsidP="001454F3">
      <w:pPr>
        <w:pStyle w:val="level1"/>
        <w:numPr>
          <w:ilvl w:val="0"/>
          <w:numId w:val="0"/>
        </w:numPr>
        <w:ind w:left="1440" w:hanging="1080"/>
        <w:jc w:val="both"/>
        <w:rPr>
          <w:i/>
          <w:sz w:val="20"/>
          <w:lang w:val="en-US"/>
        </w:rPr>
      </w:pPr>
    </w:p>
    <w:p w14:paraId="6D33DB09" w14:textId="77777777" w:rsidR="0031449C" w:rsidRDefault="0031449C" w:rsidP="001454F3">
      <w:pPr>
        <w:pStyle w:val="level1"/>
        <w:numPr>
          <w:ilvl w:val="0"/>
          <w:numId w:val="0"/>
        </w:numPr>
        <w:ind w:left="360"/>
        <w:jc w:val="both"/>
        <w:rPr>
          <w:i/>
          <w:sz w:val="20"/>
          <w:lang w:val="en-US"/>
        </w:rPr>
      </w:pPr>
      <w:r>
        <w:rPr>
          <w:i/>
          <w:sz w:val="20"/>
          <w:lang w:val="en-US"/>
        </w:rPr>
        <w:t>2</w:t>
      </w:r>
      <w:r>
        <w:rPr>
          <w:i/>
          <w:sz w:val="20"/>
          <w:lang w:val="en-US"/>
        </w:rPr>
        <w:tab/>
        <w:t>INTRODUCTION</w:t>
      </w:r>
    </w:p>
    <w:p w14:paraId="7966E685" w14:textId="77777777" w:rsidR="0031449C" w:rsidRDefault="0031449C" w:rsidP="001454F3">
      <w:pPr>
        <w:pStyle w:val="level1"/>
        <w:numPr>
          <w:ilvl w:val="0"/>
          <w:numId w:val="0"/>
        </w:numPr>
        <w:ind w:left="360"/>
        <w:jc w:val="both"/>
        <w:rPr>
          <w:i/>
          <w:sz w:val="20"/>
          <w:lang w:val="en-US"/>
        </w:rPr>
      </w:pPr>
    </w:p>
    <w:p w14:paraId="7BA67F10" w14:textId="77777777" w:rsidR="0031449C" w:rsidRDefault="0031449C" w:rsidP="001454F3">
      <w:pPr>
        <w:pStyle w:val="level1"/>
        <w:numPr>
          <w:ilvl w:val="0"/>
          <w:numId w:val="0"/>
        </w:numPr>
        <w:ind w:left="360"/>
        <w:jc w:val="both"/>
        <w:rPr>
          <w:i/>
          <w:sz w:val="20"/>
          <w:lang w:val="en-US"/>
        </w:rPr>
      </w:pPr>
      <w:r>
        <w:rPr>
          <w:i/>
          <w:sz w:val="20"/>
          <w:lang w:val="en-US"/>
        </w:rPr>
        <w:t xml:space="preserve">2.1 </w:t>
      </w:r>
      <w:r>
        <w:rPr>
          <w:i/>
          <w:sz w:val="20"/>
          <w:lang w:val="en-US"/>
        </w:rPr>
        <w:tab/>
      </w:r>
      <w:r>
        <w:rPr>
          <w:i/>
          <w:sz w:val="20"/>
          <w:lang w:val="en-US"/>
        </w:rPr>
        <w:tab/>
        <w:t>The Borrower is obligated to IDC in respect of the Guaranteed Liabilities.</w:t>
      </w:r>
    </w:p>
    <w:p w14:paraId="3D6587AB" w14:textId="77777777" w:rsidR="0031449C" w:rsidRDefault="0031449C" w:rsidP="001454F3">
      <w:pPr>
        <w:pStyle w:val="level1"/>
        <w:numPr>
          <w:ilvl w:val="0"/>
          <w:numId w:val="0"/>
        </w:numPr>
        <w:ind w:left="360"/>
        <w:jc w:val="both"/>
        <w:rPr>
          <w:i/>
          <w:sz w:val="20"/>
          <w:lang w:val="en-US"/>
        </w:rPr>
      </w:pPr>
    </w:p>
    <w:p w14:paraId="7B127286" w14:textId="77777777" w:rsidR="0031449C" w:rsidRDefault="0031449C" w:rsidP="0031449C">
      <w:pPr>
        <w:pStyle w:val="level1"/>
        <w:numPr>
          <w:ilvl w:val="0"/>
          <w:numId w:val="0"/>
        </w:numPr>
        <w:ind w:left="1440" w:hanging="1080"/>
        <w:jc w:val="both"/>
        <w:rPr>
          <w:i/>
          <w:sz w:val="20"/>
          <w:lang w:val="en-US"/>
        </w:rPr>
      </w:pPr>
      <w:r>
        <w:rPr>
          <w:i/>
          <w:sz w:val="20"/>
          <w:lang w:val="en-US"/>
        </w:rPr>
        <w:t xml:space="preserve">2.2 </w:t>
      </w:r>
      <w:r>
        <w:rPr>
          <w:i/>
          <w:sz w:val="20"/>
          <w:lang w:val="en-US"/>
        </w:rPr>
        <w:tab/>
        <w:t>The Guarantor knows and understands the full terms and conditions of the Guaranteed Liabilities.</w:t>
      </w:r>
    </w:p>
    <w:p w14:paraId="0DC082DB" w14:textId="77777777" w:rsidR="0031449C" w:rsidRDefault="0031449C" w:rsidP="0031449C">
      <w:pPr>
        <w:pStyle w:val="level1"/>
        <w:numPr>
          <w:ilvl w:val="0"/>
          <w:numId w:val="0"/>
        </w:numPr>
        <w:ind w:left="1440" w:hanging="1080"/>
        <w:jc w:val="both"/>
        <w:rPr>
          <w:i/>
          <w:sz w:val="20"/>
          <w:lang w:val="en-US"/>
        </w:rPr>
      </w:pPr>
    </w:p>
    <w:p w14:paraId="2D68CEEC" w14:textId="77777777" w:rsidR="0031449C" w:rsidRDefault="0031449C" w:rsidP="0031449C">
      <w:pPr>
        <w:pStyle w:val="level1"/>
        <w:numPr>
          <w:ilvl w:val="0"/>
          <w:numId w:val="0"/>
        </w:numPr>
        <w:ind w:left="1440" w:hanging="1080"/>
        <w:jc w:val="both"/>
        <w:rPr>
          <w:i/>
          <w:sz w:val="20"/>
          <w:lang w:val="en-US"/>
        </w:rPr>
      </w:pPr>
      <w:r>
        <w:rPr>
          <w:i/>
          <w:sz w:val="20"/>
          <w:lang w:val="en-US"/>
        </w:rPr>
        <w:t xml:space="preserve">2.3 </w:t>
      </w:r>
      <w:r>
        <w:rPr>
          <w:i/>
          <w:sz w:val="20"/>
          <w:lang w:val="en-US"/>
        </w:rPr>
        <w:tab/>
        <w:t>The Guarantor has agreed to guarantee the due, proper and punctual performance by the Borrower of the Guaranteed Liabilities and to pay the Guaranteed Amount, subject to the remaining terms of this Agreement.</w:t>
      </w:r>
    </w:p>
    <w:p w14:paraId="28D6F287" w14:textId="77777777" w:rsidR="0031449C" w:rsidRDefault="0031449C" w:rsidP="001454F3">
      <w:pPr>
        <w:pStyle w:val="level1"/>
        <w:numPr>
          <w:ilvl w:val="0"/>
          <w:numId w:val="0"/>
        </w:numPr>
        <w:ind w:left="360"/>
        <w:jc w:val="both"/>
        <w:rPr>
          <w:i/>
          <w:sz w:val="20"/>
          <w:lang w:val="en-US"/>
        </w:rPr>
      </w:pPr>
    </w:p>
    <w:p w14:paraId="5922E0C2" w14:textId="77777777" w:rsidR="001454F3" w:rsidRPr="00B06F8F" w:rsidRDefault="001454F3" w:rsidP="001454F3">
      <w:pPr>
        <w:pStyle w:val="level1"/>
        <w:numPr>
          <w:ilvl w:val="0"/>
          <w:numId w:val="0"/>
        </w:numPr>
        <w:ind w:left="360"/>
        <w:jc w:val="both"/>
        <w:rPr>
          <w:i/>
          <w:sz w:val="20"/>
          <w:lang w:val="en-US"/>
        </w:rPr>
      </w:pPr>
      <w:r w:rsidRPr="00B06F8F">
        <w:rPr>
          <w:i/>
          <w:sz w:val="20"/>
          <w:lang w:val="en-US"/>
        </w:rPr>
        <w:t>3.</w:t>
      </w:r>
      <w:r w:rsidRPr="00B06F8F">
        <w:rPr>
          <w:i/>
          <w:sz w:val="20"/>
          <w:lang w:val="en-US"/>
        </w:rPr>
        <w:tab/>
        <w:t>GUARANTEE</w:t>
      </w:r>
    </w:p>
    <w:p w14:paraId="2A1569C4" w14:textId="77777777" w:rsidR="001454F3" w:rsidRPr="00B06F8F" w:rsidRDefault="001454F3" w:rsidP="001454F3">
      <w:pPr>
        <w:pStyle w:val="level1"/>
        <w:numPr>
          <w:ilvl w:val="0"/>
          <w:numId w:val="0"/>
        </w:numPr>
        <w:spacing w:line="360" w:lineRule="auto"/>
        <w:ind w:left="360"/>
        <w:jc w:val="both"/>
        <w:rPr>
          <w:i/>
          <w:sz w:val="20"/>
          <w:lang w:val="en-US"/>
        </w:rPr>
      </w:pPr>
    </w:p>
    <w:p w14:paraId="12873E47" w14:textId="77777777" w:rsidR="001454F3" w:rsidRPr="00B06F8F" w:rsidRDefault="001454F3" w:rsidP="001454F3">
      <w:pPr>
        <w:pStyle w:val="level1"/>
        <w:numPr>
          <w:ilvl w:val="0"/>
          <w:numId w:val="0"/>
        </w:numPr>
        <w:ind w:left="360"/>
        <w:jc w:val="both"/>
        <w:rPr>
          <w:i/>
          <w:sz w:val="20"/>
          <w:lang w:val="en-US"/>
        </w:rPr>
      </w:pPr>
      <w:r w:rsidRPr="00B06F8F">
        <w:rPr>
          <w:i/>
          <w:sz w:val="20"/>
          <w:lang w:val="en-US"/>
        </w:rPr>
        <w:t>With effect from the Effective Date, the Guarantor hereby, irrevocably and unconditionally guarantees, as a primary obligation, in favour of IDC the due, proper and punctual performance by the Borrower of the Guaranteed Liabilities including the full, prompt and complete payment of all the Guaranteed Liabilities when and as the same shall become due whether or not any or all of the Guaranteed Liabilities are enforceable against the Borrower, and undertakes to IDC that each time a Guarantee Claim Notice is delivered to the Guarantor, the Guarantor shall within 3 (three) Business Days after receipt thereof pay all sums claimed in such Guarantee Claim Notice.</w:t>
      </w:r>
    </w:p>
    <w:p w14:paraId="696CD480" w14:textId="77777777" w:rsidR="001454F3" w:rsidRPr="00B06F8F" w:rsidRDefault="001454F3" w:rsidP="001454F3">
      <w:pPr>
        <w:pStyle w:val="level1"/>
        <w:numPr>
          <w:ilvl w:val="0"/>
          <w:numId w:val="0"/>
        </w:numPr>
        <w:ind w:left="360"/>
        <w:jc w:val="both"/>
        <w:rPr>
          <w:i/>
          <w:sz w:val="20"/>
          <w:lang w:val="en-US"/>
        </w:rPr>
      </w:pPr>
    </w:p>
    <w:p w14:paraId="0F2120DF" w14:textId="77777777" w:rsidR="0011628B" w:rsidRPr="00B06F8F" w:rsidRDefault="0011628B" w:rsidP="0011628B">
      <w:pPr>
        <w:pStyle w:val="level1"/>
        <w:numPr>
          <w:ilvl w:val="0"/>
          <w:numId w:val="0"/>
        </w:numPr>
        <w:ind w:left="360"/>
        <w:jc w:val="both"/>
        <w:rPr>
          <w:i/>
          <w:sz w:val="20"/>
          <w:lang w:val="en-US"/>
        </w:rPr>
      </w:pPr>
      <w:r w:rsidRPr="00B06F8F">
        <w:rPr>
          <w:i/>
          <w:sz w:val="20"/>
          <w:lang w:val="en-US"/>
        </w:rPr>
        <w:t>4.</w:t>
      </w:r>
      <w:r w:rsidRPr="00B06F8F">
        <w:rPr>
          <w:i/>
          <w:sz w:val="20"/>
          <w:lang w:val="en-US"/>
        </w:rPr>
        <w:tab/>
        <w:t>INDEMNITY</w:t>
      </w:r>
    </w:p>
    <w:p w14:paraId="04F6D3D9" w14:textId="77777777" w:rsidR="0011628B" w:rsidRPr="00B06F8F" w:rsidRDefault="0011628B" w:rsidP="0011628B">
      <w:pPr>
        <w:pStyle w:val="level1"/>
        <w:numPr>
          <w:ilvl w:val="0"/>
          <w:numId w:val="0"/>
        </w:numPr>
        <w:spacing w:line="360" w:lineRule="auto"/>
        <w:ind w:left="360"/>
        <w:jc w:val="both"/>
        <w:rPr>
          <w:i/>
          <w:sz w:val="20"/>
          <w:lang w:val="en-US"/>
        </w:rPr>
      </w:pPr>
    </w:p>
    <w:p w14:paraId="0C29CE3A" w14:textId="77777777" w:rsidR="0011628B" w:rsidRDefault="0011628B" w:rsidP="0011628B">
      <w:pPr>
        <w:pStyle w:val="level1"/>
        <w:numPr>
          <w:ilvl w:val="0"/>
          <w:numId w:val="0"/>
        </w:numPr>
        <w:ind w:left="360"/>
        <w:jc w:val="both"/>
        <w:rPr>
          <w:i/>
          <w:sz w:val="20"/>
          <w:lang w:val="en-US"/>
        </w:rPr>
      </w:pPr>
      <w:r w:rsidRPr="00B06F8F">
        <w:rPr>
          <w:i/>
          <w:sz w:val="20"/>
          <w:lang w:val="en-US"/>
        </w:rPr>
        <w:t xml:space="preserve">The Guarantor indemnifies IDC directly on demand against any cost, loss or liability suffered by it pursuant to any failure or inability to receive payment of the Guaranteed Liabilities. </w:t>
      </w:r>
    </w:p>
    <w:p w14:paraId="3AD948DC" w14:textId="77777777" w:rsidR="0011628B" w:rsidRDefault="0011628B" w:rsidP="0011628B">
      <w:pPr>
        <w:pStyle w:val="level1"/>
        <w:numPr>
          <w:ilvl w:val="0"/>
          <w:numId w:val="0"/>
        </w:numPr>
        <w:ind w:left="360"/>
        <w:jc w:val="both"/>
        <w:rPr>
          <w:i/>
          <w:sz w:val="20"/>
          <w:lang w:val="en-US"/>
        </w:rPr>
      </w:pPr>
    </w:p>
    <w:p w14:paraId="3CCCE5D5" w14:textId="77777777" w:rsidR="0011628B" w:rsidRDefault="0011628B" w:rsidP="0011628B">
      <w:pPr>
        <w:pStyle w:val="level1"/>
        <w:numPr>
          <w:ilvl w:val="0"/>
          <w:numId w:val="0"/>
        </w:numPr>
        <w:ind w:left="360"/>
        <w:jc w:val="both"/>
        <w:rPr>
          <w:i/>
          <w:sz w:val="20"/>
          <w:lang w:val="en-US"/>
        </w:rPr>
      </w:pPr>
      <w:r>
        <w:rPr>
          <w:i/>
          <w:sz w:val="20"/>
          <w:lang w:val="en-US"/>
        </w:rPr>
        <w:t>5.</w:t>
      </w:r>
      <w:r>
        <w:rPr>
          <w:i/>
          <w:sz w:val="20"/>
          <w:lang w:val="en-US"/>
        </w:rPr>
        <w:tab/>
        <w:t>DURATION</w:t>
      </w:r>
    </w:p>
    <w:p w14:paraId="1B99E1EA" w14:textId="77777777" w:rsidR="0011628B" w:rsidRDefault="0011628B" w:rsidP="0011628B">
      <w:pPr>
        <w:pStyle w:val="level1"/>
        <w:numPr>
          <w:ilvl w:val="0"/>
          <w:numId w:val="0"/>
        </w:numPr>
        <w:ind w:left="360"/>
        <w:jc w:val="both"/>
        <w:rPr>
          <w:i/>
          <w:sz w:val="20"/>
          <w:lang w:val="en-US"/>
        </w:rPr>
      </w:pPr>
    </w:p>
    <w:p w14:paraId="797C970F" w14:textId="77777777" w:rsidR="0011628B" w:rsidRDefault="0011628B" w:rsidP="00FB30EE">
      <w:pPr>
        <w:pStyle w:val="level1"/>
        <w:numPr>
          <w:ilvl w:val="0"/>
          <w:numId w:val="0"/>
        </w:numPr>
        <w:ind w:left="1440" w:hanging="1080"/>
        <w:jc w:val="both"/>
        <w:rPr>
          <w:i/>
          <w:sz w:val="20"/>
          <w:lang w:val="en-US"/>
        </w:rPr>
      </w:pPr>
      <w:r>
        <w:rPr>
          <w:i/>
          <w:sz w:val="20"/>
          <w:lang w:val="en-US"/>
        </w:rPr>
        <w:t xml:space="preserve">5.1 </w:t>
      </w:r>
      <w:r w:rsidR="00FB30EE">
        <w:rPr>
          <w:i/>
          <w:sz w:val="20"/>
          <w:lang w:val="en-US"/>
        </w:rPr>
        <w:tab/>
      </w:r>
      <w:r>
        <w:rPr>
          <w:i/>
          <w:sz w:val="20"/>
          <w:lang w:val="en-US"/>
        </w:rPr>
        <w:t>This Guarantee is a continuing covering security and will commence on the Effective Date and be and remain in force until the Release Date.</w:t>
      </w:r>
    </w:p>
    <w:p w14:paraId="3BBC1E79" w14:textId="77777777" w:rsidR="00FB30EE" w:rsidRDefault="00FB30EE" w:rsidP="00FB30EE">
      <w:pPr>
        <w:pStyle w:val="level1"/>
        <w:numPr>
          <w:ilvl w:val="0"/>
          <w:numId w:val="0"/>
        </w:numPr>
        <w:ind w:left="1440" w:hanging="1080"/>
        <w:jc w:val="both"/>
        <w:rPr>
          <w:i/>
          <w:sz w:val="20"/>
          <w:lang w:val="en-US"/>
        </w:rPr>
      </w:pPr>
    </w:p>
    <w:p w14:paraId="3AE9E3E5" w14:textId="77777777" w:rsidR="00FB30EE" w:rsidRPr="00B06F8F" w:rsidRDefault="00FB30EE" w:rsidP="00FB30EE">
      <w:pPr>
        <w:pStyle w:val="level1"/>
        <w:numPr>
          <w:ilvl w:val="0"/>
          <w:numId w:val="0"/>
        </w:numPr>
        <w:ind w:left="1440" w:hanging="1080"/>
        <w:jc w:val="both"/>
        <w:rPr>
          <w:i/>
          <w:sz w:val="20"/>
          <w:lang w:val="en-US"/>
        </w:rPr>
      </w:pPr>
      <w:r>
        <w:rPr>
          <w:i/>
          <w:sz w:val="20"/>
          <w:lang w:val="en-US"/>
        </w:rPr>
        <w:t xml:space="preserve">5.2 </w:t>
      </w:r>
      <w:r>
        <w:rPr>
          <w:i/>
          <w:sz w:val="20"/>
          <w:lang w:val="en-US"/>
        </w:rPr>
        <w:tab/>
        <w:t>The guarantor shall not be entitled to revoke or cancel this Agreement until the Release Date has occurred. …</w:t>
      </w:r>
    </w:p>
    <w:p w14:paraId="39D89D29" w14:textId="77777777" w:rsidR="0011628B" w:rsidRDefault="0011628B" w:rsidP="001454F3">
      <w:pPr>
        <w:pStyle w:val="level1"/>
        <w:numPr>
          <w:ilvl w:val="0"/>
          <w:numId w:val="0"/>
        </w:numPr>
        <w:ind w:left="360"/>
        <w:jc w:val="both"/>
        <w:rPr>
          <w:i/>
          <w:sz w:val="20"/>
          <w:lang w:val="en-US"/>
        </w:rPr>
      </w:pPr>
    </w:p>
    <w:p w14:paraId="461206FC" w14:textId="77777777" w:rsidR="0011628B" w:rsidRDefault="0011628B" w:rsidP="001454F3">
      <w:pPr>
        <w:pStyle w:val="level1"/>
        <w:numPr>
          <w:ilvl w:val="0"/>
          <w:numId w:val="0"/>
        </w:numPr>
        <w:ind w:left="360"/>
        <w:jc w:val="both"/>
        <w:rPr>
          <w:i/>
          <w:sz w:val="20"/>
          <w:lang w:val="en-US"/>
        </w:rPr>
      </w:pPr>
    </w:p>
    <w:p w14:paraId="3CA2CA43" w14:textId="77777777" w:rsidR="00146FB8" w:rsidRPr="00B06F8F" w:rsidRDefault="00146FB8" w:rsidP="00146FB8">
      <w:pPr>
        <w:pStyle w:val="level1"/>
        <w:numPr>
          <w:ilvl w:val="0"/>
          <w:numId w:val="0"/>
        </w:numPr>
        <w:spacing w:line="360" w:lineRule="auto"/>
        <w:ind w:left="360"/>
        <w:jc w:val="both"/>
        <w:rPr>
          <w:i/>
          <w:sz w:val="20"/>
          <w:lang w:val="en-US"/>
        </w:rPr>
      </w:pPr>
      <w:r>
        <w:rPr>
          <w:i/>
          <w:sz w:val="20"/>
          <w:lang w:val="en-US"/>
        </w:rPr>
        <w:t>6.</w:t>
      </w:r>
      <w:r>
        <w:rPr>
          <w:i/>
          <w:sz w:val="20"/>
          <w:lang w:val="en-US"/>
        </w:rPr>
        <w:tab/>
        <w:t xml:space="preserve"> ADMISSIONS AND WAIVERS</w:t>
      </w:r>
    </w:p>
    <w:p w14:paraId="4C364893" w14:textId="77777777" w:rsidR="00146FB8" w:rsidRDefault="00146FB8" w:rsidP="00146FB8">
      <w:pPr>
        <w:pStyle w:val="level1"/>
        <w:numPr>
          <w:ilvl w:val="0"/>
          <w:numId w:val="0"/>
        </w:numPr>
        <w:ind w:left="1440" w:hanging="1080"/>
        <w:jc w:val="both"/>
        <w:rPr>
          <w:i/>
          <w:sz w:val="20"/>
          <w:lang w:val="en-US"/>
        </w:rPr>
      </w:pPr>
      <w:r>
        <w:rPr>
          <w:i/>
          <w:sz w:val="20"/>
          <w:lang w:val="en-US"/>
        </w:rPr>
        <w:lastRenderedPageBreak/>
        <w:t>6.3</w:t>
      </w:r>
      <w:r>
        <w:rPr>
          <w:i/>
          <w:sz w:val="20"/>
          <w:lang w:val="en-US"/>
        </w:rPr>
        <w:tab/>
        <w:t>The obligations of the Guarantor hereunder in respect of the Guaranteed Liabilities will, subject to applicable law, not be affected or diminished by any act, omission circumstance, matter or thing which but for this clause would reduce, release or otherwise exonerate the guarantor from its obligations hereunder in whole or in part, including, without limitation and whether or not known to it or IDC;</w:t>
      </w:r>
    </w:p>
    <w:p w14:paraId="598B203E" w14:textId="77777777" w:rsidR="00146FB8" w:rsidRDefault="00146FB8" w:rsidP="00146FB8">
      <w:pPr>
        <w:pStyle w:val="level1"/>
        <w:numPr>
          <w:ilvl w:val="0"/>
          <w:numId w:val="0"/>
        </w:numPr>
        <w:ind w:left="1440" w:hanging="1080"/>
        <w:jc w:val="both"/>
        <w:rPr>
          <w:i/>
          <w:sz w:val="20"/>
          <w:lang w:val="en-US"/>
        </w:rPr>
      </w:pPr>
    </w:p>
    <w:p w14:paraId="4960D97E" w14:textId="77777777" w:rsidR="00146FB8" w:rsidRPr="00B06F8F" w:rsidRDefault="00146FB8" w:rsidP="00146FB8">
      <w:pPr>
        <w:pStyle w:val="level1"/>
        <w:numPr>
          <w:ilvl w:val="0"/>
          <w:numId w:val="0"/>
        </w:numPr>
        <w:ind w:left="1440" w:hanging="1080"/>
        <w:jc w:val="both"/>
        <w:rPr>
          <w:i/>
          <w:sz w:val="20"/>
          <w:lang w:val="en-US"/>
        </w:rPr>
      </w:pPr>
      <w:r w:rsidRPr="00B06F8F">
        <w:rPr>
          <w:i/>
          <w:sz w:val="20"/>
          <w:lang w:val="en-US"/>
        </w:rPr>
        <w:t>6.4</w:t>
      </w:r>
      <w:r w:rsidRPr="00B06F8F">
        <w:rPr>
          <w:i/>
          <w:sz w:val="20"/>
          <w:lang w:val="en-US"/>
        </w:rPr>
        <w:tab/>
        <w:t>The Guarantor hereby waives any and all rights to rely on the prescription of all or any portion of the Guaranteed Liabilities or any obligation created by this Agreement.</w:t>
      </w:r>
    </w:p>
    <w:p w14:paraId="238490FD" w14:textId="77777777" w:rsidR="00146FB8" w:rsidRPr="00B06F8F" w:rsidRDefault="00146FB8" w:rsidP="00146FB8">
      <w:pPr>
        <w:pStyle w:val="level1"/>
        <w:numPr>
          <w:ilvl w:val="0"/>
          <w:numId w:val="0"/>
        </w:numPr>
        <w:spacing w:line="360" w:lineRule="auto"/>
        <w:ind w:left="360"/>
        <w:jc w:val="both"/>
        <w:rPr>
          <w:i/>
          <w:sz w:val="20"/>
          <w:lang w:val="en-US"/>
        </w:rPr>
      </w:pPr>
    </w:p>
    <w:p w14:paraId="2FBB0810" w14:textId="77777777" w:rsidR="00146FB8" w:rsidRPr="00B06F8F" w:rsidRDefault="00146FB8" w:rsidP="00146FB8">
      <w:pPr>
        <w:pStyle w:val="level1"/>
        <w:numPr>
          <w:ilvl w:val="0"/>
          <w:numId w:val="0"/>
        </w:numPr>
        <w:ind w:left="1440" w:hanging="1080"/>
        <w:jc w:val="both"/>
        <w:rPr>
          <w:i/>
          <w:sz w:val="20"/>
          <w:lang w:val="en-US"/>
        </w:rPr>
      </w:pPr>
      <w:r w:rsidRPr="00B06F8F">
        <w:rPr>
          <w:i/>
          <w:sz w:val="20"/>
          <w:lang w:val="en-US"/>
        </w:rPr>
        <w:t>6.5</w:t>
      </w:r>
      <w:r w:rsidRPr="00B06F8F">
        <w:rPr>
          <w:i/>
          <w:sz w:val="20"/>
          <w:lang w:val="en-US"/>
        </w:rPr>
        <w:tab/>
        <w:t xml:space="preserve">Notwithstanding any indication to the contrary herein, this Guarantee does not constitute a suretyship and shall be construed as a primary undertaking giving rise to a principal obligation of the Guarantor. </w:t>
      </w:r>
    </w:p>
    <w:p w14:paraId="35311299" w14:textId="77777777" w:rsidR="00146FB8" w:rsidRDefault="00146FB8" w:rsidP="001454F3">
      <w:pPr>
        <w:pStyle w:val="level1"/>
        <w:numPr>
          <w:ilvl w:val="0"/>
          <w:numId w:val="0"/>
        </w:numPr>
        <w:ind w:left="360"/>
        <w:jc w:val="both"/>
        <w:rPr>
          <w:i/>
          <w:sz w:val="20"/>
          <w:lang w:val="en-US"/>
        </w:rPr>
      </w:pPr>
    </w:p>
    <w:p w14:paraId="36A347AE" w14:textId="77777777" w:rsidR="00146FB8" w:rsidRDefault="00146FB8" w:rsidP="001454F3">
      <w:pPr>
        <w:pStyle w:val="level1"/>
        <w:numPr>
          <w:ilvl w:val="0"/>
          <w:numId w:val="0"/>
        </w:numPr>
        <w:ind w:left="360"/>
        <w:jc w:val="both"/>
        <w:rPr>
          <w:i/>
          <w:sz w:val="20"/>
          <w:lang w:val="en-US"/>
        </w:rPr>
      </w:pPr>
    </w:p>
    <w:p w14:paraId="3101BEB8" w14:textId="77777777" w:rsidR="001454F3" w:rsidRPr="00B06F8F" w:rsidRDefault="001454F3" w:rsidP="001454F3">
      <w:pPr>
        <w:pStyle w:val="level1"/>
        <w:numPr>
          <w:ilvl w:val="0"/>
          <w:numId w:val="0"/>
        </w:numPr>
        <w:ind w:left="360"/>
        <w:jc w:val="both"/>
        <w:rPr>
          <w:i/>
          <w:sz w:val="20"/>
          <w:lang w:val="en-US"/>
        </w:rPr>
      </w:pPr>
      <w:r w:rsidRPr="00B06F8F">
        <w:rPr>
          <w:i/>
          <w:sz w:val="20"/>
          <w:lang w:val="en-US"/>
        </w:rPr>
        <w:t>11.</w:t>
      </w:r>
      <w:r w:rsidRPr="00B06F8F">
        <w:rPr>
          <w:i/>
          <w:sz w:val="20"/>
          <w:lang w:val="en-US"/>
        </w:rPr>
        <w:tab/>
        <w:t>CERTIFICATE</w:t>
      </w:r>
    </w:p>
    <w:p w14:paraId="2AFE70E3" w14:textId="77777777" w:rsidR="001454F3" w:rsidRPr="00B06F8F" w:rsidRDefault="001454F3" w:rsidP="001454F3">
      <w:pPr>
        <w:pStyle w:val="level1"/>
        <w:numPr>
          <w:ilvl w:val="0"/>
          <w:numId w:val="0"/>
        </w:numPr>
        <w:spacing w:line="360" w:lineRule="auto"/>
        <w:ind w:left="360"/>
        <w:jc w:val="both"/>
        <w:rPr>
          <w:i/>
          <w:sz w:val="20"/>
          <w:lang w:val="en-US"/>
        </w:rPr>
      </w:pPr>
    </w:p>
    <w:p w14:paraId="7E3D7859" w14:textId="77777777" w:rsidR="001454F3" w:rsidRPr="00B06F8F" w:rsidRDefault="001454F3" w:rsidP="001454F3">
      <w:pPr>
        <w:pStyle w:val="level1"/>
        <w:numPr>
          <w:ilvl w:val="0"/>
          <w:numId w:val="0"/>
        </w:numPr>
        <w:ind w:left="360"/>
        <w:jc w:val="both"/>
        <w:rPr>
          <w:i/>
          <w:sz w:val="20"/>
          <w:lang w:val="en-US"/>
        </w:rPr>
      </w:pPr>
      <w:r w:rsidRPr="00B06F8F">
        <w:rPr>
          <w:i/>
          <w:sz w:val="20"/>
          <w:lang w:val="en-US"/>
        </w:rPr>
        <w:t>The Guarantor agrees that the nature and amount of the Guarantor</w:t>
      </w:r>
      <w:r w:rsidR="00703A94">
        <w:rPr>
          <w:i/>
          <w:sz w:val="20"/>
          <w:lang w:val="en-US"/>
        </w:rPr>
        <w:t>’s</w:t>
      </w:r>
      <w:r w:rsidRPr="00B06F8F">
        <w:rPr>
          <w:i/>
          <w:sz w:val="20"/>
          <w:lang w:val="en-US"/>
        </w:rPr>
        <w:t xml:space="preserve"> indebtedness in terms of this Agreement will at any time be deemed to be adequately proved by a written certificate purporting to have been signed by or on behalf of IDC, which certificate will, in the absence of manifest error, be binding on the Guarantor and constitute prima facie proof in any legal proceedings against the Guarantor of the contents thereof and of the amount of the Guarantor indebtedness and the fact that such amount is due and payable.</w:t>
      </w:r>
    </w:p>
    <w:p w14:paraId="173EDDE7" w14:textId="77777777" w:rsidR="001454F3" w:rsidRPr="00B06F8F" w:rsidRDefault="001454F3" w:rsidP="001454F3">
      <w:pPr>
        <w:pStyle w:val="level1"/>
        <w:numPr>
          <w:ilvl w:val="0"/>
          <w:numId w:val="0"/>
        </w:numPr>
        <w:spacing w:line="360" w:lineRule="auto"/>
        <w:ind w:left="360"/>
        <w:jc w:val="both"/>
        <w:rPr>
          <w:i/>
          <w:sz w:val="20"/>
          <w:lang w:val="en-US"/>
        </w:rPr>
      </w:pPr>
    </w:p>
    <w:p w14:paraId="61D3AC3A" w14:textId="32E9CF53" w:rsidR="002B7A58" w:rsidRDefault="00880C3B" w:rsidP="00880C3B">
      <w:pPr>
        <w:pStyle w:val="level1"/>
        <w:numPr>
          <w:ilvl w:val="0"/>
          <w:numId w:val="0"/>
        </w:numPr>
        <w:spacing w:after="480" w:line="360" w:lineRule="auto"/>
        <w:jc w:val="both"/>
        <w:rPr>
          <w:lang w:val="en-US"/>
        </w:rPr>
      </w:pPr>
      <w:r>
        <w:rPr>
          <w:lang w:val="en-US"/>
        </w:rPr>
        <w:t>[25]</w:t>
      </w:r>
      <w:r>
        <w:rPr>
          <w:lang w:val="en-US"/>
        </w:rPr>
        <w:tab/>
      </w:r>
      <w:r w:rsidR="00C502AB" w:rsidRPr="00C502AB">
        <w:rPr>
          <w:lang w:val="en-US"/>
        </w:rPr>
        <w:t xml:space="preserve">On a contextual reading of the guarantee agreement as a whole </w:t>
      </w:r>
      <w:r w:rsidR="002B7A58">
        <w:rPr>
          <w:lang w:val="en-US"/>
        </w:rPr>
        <w:t xml:space="preserve">considering the normal grammatical meaning of the words used and the nature of the transaction, </w:t>
      </w:r>
      <w:r w:rsidR="00C502AB" w:rsidRPr="00C502AB">
        <w:rPr>
          <w:lang w:val="en-US"/>
        </w:rPr>
        <w:t xml:space="preserve">it is clear that the obligation undertaken by the respondent is a primary </w:t>
      </w:r>
      <w:r w:rsidR="00F949D4">
        <w:rPr>
          <w:lang w:val="en-US"/>
        </w:rPr>
        <w:t xml:space="preserve">rather than an accessory </w:t>
      </w:r>
      <w:r w:rsidR="00C502AB" w:rsidRPr="00C502AB">
        <w:rPr>
          <w:lang w:val="en-US"/>
        </w:rPr>
        <w:t xml:space="preserve">obligation and </w:t>
      </w:r>
      <w:r w:rsidR="00F949D4">
        <w:rPr>
          <w:lang w:val="en-US"/>
        </w:rPr>
        <w:t>that it is a performance guarantee.</w:t>
      </w:r>
      <w:r w:rsidR="00BA64BF">
        <w:rPr>
          <w:lang w:val="en-US"/>
        </w:rPr>
        <w:t xml:space="preserve"> </w:t>
      </w:r>
      <w:r w:rsidR="00F949D4">
        <w:rPr>
          <w:lang w:val="en-US"/>
        </w:rPr>
        <w:t>The agreement i</w:t>
      </w:r>
      <w:r w:rsidR="00C502AB" w:rsidRPr="00C502AB">
        <w:rPr>
          <w:lang w:val="en-US"/>
        </w:rPr>
        <w:t xml:space="preserve">n </w:t>
      </w:r>
      <w:r w:rsidR="0007435E">
        <w:rPr>
          <w:lang w:val="en-US"/>
        </w:rPr>
        <w:t xml:space="preserve">clause 6.5 </w:t>
      </w:r>
      <w:r w:rsidR="00C502AB" w:rsidRPr="00C502AB">
        <w:rPr>
          <w:lang w:val="en-US"/>
        </w:rPr>
        <w:t>express</w:t>
      </w:r>
      <w:r w:rsidR="0007435E">
        <w:rPr>
          <w:lang w:val="en-US"/>
        </w:rPr>
        <w:t>ly sta</w:t>
      </w:r>
      <w:r w:rsidR="00C502AB" w:rsidRPr="00C502AB">
        <w:rPr>
          <w:lang w:val="en-US"/>
        </w:rPr>
        <w:t>tes that it is not a suretyship agreement but a guarantee.</w:t>
      </w:r>
      <w:r w:rsidR="00E33B56" w:rsidRPr="00C502AB">
        <w:rPr>
          <w:lang w:val="en-US"/>
        </w:rPr>
        <w:t xml:space="preserve"> </w:t>
      </w:r>
      <w:r w:rsidR="002B7A58">
        <w:rPr>
          <w:lang w:val="en-US"/>
        </w:rPr>
        <w:t xml:space="preserve">Clause 3 further makes it clear that the </w:t>
      </w:r>
      <w:r w:rsidR="00C502AB">
        <w:rPr>
          <w:lang w:val="en-US"/>
        </w:rPr>
        <w:t xml:space="preserve">obligation </w:t>
      </w:r>
      <w:r w:rsidR="002B7A58">
        <w:rPr>
          <w:lang w:val="en-US"/>
        </w:rPr>
        <w:t xml:space="preserve">undertaken by the respondent </w:t>
      </w:r>
      <w:r w:rsidR="00C502AB">
        <w:rPr>
          <w:lang w:val="en-US"/>
        </w:rPr>
        <w:t>is a primary obligation</w:t>
      </w:r>
      <w:r w:rsidR="0007435E">
        <w:rPr>
          <w:lang w:val="en-US"/>
        </w:rPr>
        <w:t xml:space="preserve"> and that each time a demand claim notice is sent, payment would be made by the respondent, irrespective of whether the guaranteed liabilities of Keka are enforceable against it or not</w:t>
      </w:r>
      <w:r w:rsidR="002B7A58">
        <w:rPr>
          <w:lang w:val="en-US"/>
        </w:rPr>
        <w:t>. The fact that the agreement creates a primary obligation, makes it wholly independent of the liability of Keka</w:t>
      </w:r>
      <w:r w:rsidR="00F949D4">
        <w:rPr>
          <w:lang w:val="en-US"/>
        </w:rPr>
        <w:t xml:space="preserve"> and whatever disputes may arise from the underlying transactions are irrelevant to the liability of the respondent under the guarantee</w:t>
      </w:r>
      <w:r w:rsidR="002B7A58">
        <w:rPr>
          <w:lang w:val="en-US"/>
        </w:rPr>
        <w:t xml:space="preserve">. </w:t>
      </w:r>
    </w:p>
    <w:p w14:paraId="10830796" w14:textId="71CBCFA5" w:rsidR="001E16F5" w:rsidRDefault="00880C3B" w:rsidP="00880C3B">
      <w:pPr>
        <w:pStyle w:val="level1"/>
        <w:numPr>
          <w:ilvl w:val="0"/>
          <w:numId w:val="0"/>
        </w:numPr>
        <w:spacing w:after="480" w:line="360" w:lineRule="auto"/>
        <w:jc w:val="both"/>
        <w:rPr>
          <w:lang w:val="en-US"/>
        </w:rPr>
      </w:pPr>
      <w:r>
        <w:rPr>
          <w:lang w:val="en-US"/>
        </w:rPr>
        <w:t>[26]</w:t>
      </w:r>
      <w:r>
        <w:rPr>
          <w:lang w:val="en-US"/>
        </w:rPr>
        <w:tab/>
      </w:r>
      <w:r w:rsidR="00C502AB">
        <w:rPr>
          <w:lang w:val="en-US"/>
        </w:rPr>
        <w:t>The principles pertaining to performance bonds are trite.</w:t>
      </w:r>
      <w:r w:rsidR="0007435E">
        <w:rPr>
          <w:lang w:val="en-US"/>
        </w:rPr>
        <w:t xml:space="preserve"> The  </w:t>
      </w:r>
      <w:r w:rsidR="0007435E" w:rsidRPr="00C502AB">
        <w:rPr>
          <w:lang w:val="en-US"/>
        </w:rPr>
        <w:t>principles applicable to performance or payment bonds on the one hand and suretyships on the other</w:t>
      </w:r>
      <w:r w:rsidR="0007435E">
        <w:rPr>
          <w:lang w:val="en-US"/>
        </w:rPr>
        <w:t xml:space="preserve"> are usefully summarised by Swanepoel AJ in </w:t>
      </w:r>
      <w:r w:rsidR="0007435E" w:rsidRPr="00C502AB">
        <w:rPr>
          <w:i/>
          <w:lang w:val="en-US"/>
        </w:rPr>
        <w:t>Investec Bank Ltd v Lombard Insurance Company Limited</w:t>
      </w:r>
      <w:r w:rsidR="0007435E">
        <w:rPr>
          <w:rStyle w:val="FootnoteReference"/>
          <w:lang w:val="en-US"/>
        </w:rPr>
        <w:footnoteReference w:id="11"/>
      </w:r>
      <w:r w:rsidR="0007435E" w:rsidRPr="00C502AB">
        <w:rPr>
          <w:i/>
          <w:lang w:val="en-US"/>
        </w:rPr>
        <w:t xml:space="preserve"> (“Investec”)</w:t>
      </w:r>
      <w:r w:rsidR="0007435E">
        <w:rPr>
          <w:i/>
          <w:lang w:val="en-US"/>
        </w:rPr>
        <w:t>.</w:t>
      </w:r>
      <w:r w:rsidR="00C502AB" w:rsidRPr="00C502AB">
        <w:rPr>
          <w:lang w:val="en-US"/>
        </w:rPr>
        <w:t xml:space="preserve"> </w:t>
      </w:r>
      <w:r w:rsidR="00C502AB">
        <w:rPr>
          <w:lang w:val="en-US"/>
        </w:rPr>
        <w:t xml:space="preserve">The purpose of a guarantee is generally to protect a </w:t>
      </w:r>
      <w:r w:rsidR="00C502AB">
        <w:rPr>
          <w:lang w:val="en-US"/>
        </w:rPr>
        <w:lastRenderedPageBreak/>
        <w:t>lender in the event of a borrower not being able to perform its obligations. Where the terms of a performance guarantee are clear, they create an obligation on the part of the guarantor to pay the lender on the occurrence of a specified event.</w:t>
      </w:r>
      <w:r w:rsidR="00C502AB">
        <w:rPr>
          <w:rStyle w:val="FootnoteReference"/>
          <w:lang w:val="en-US"/>
        </w:rPr>
        <w:footnoteReference w:id="12"/>
      </w:r>
      <w:r w:rsidR="00C502AB" w:rsidRPr="00481C8F">
        <w:rPr>
          <w:lang w:val="en-US"/>
        </w:rPr>
        <w:t xml:space="preserve"> </w:t>
      </w:r>
      <w:r w:rsidR="001E16F5">
        <w:rPr>
          <w:lang w:val="en-US"/>
        </w:rPr>
        <w:t>The liability of the guarantor is to pay provided only that the conditions specified in the guarantee are met. The only basis on which the guarantor can escape liability is proof of fraud on the part of the beneficiary.</w:t>
      </w:r>
      <w:r w:rsidR="001E16F5">
        <w:rPr>
          <w:rStyle w:val="FootnoteReference"/>
          <w:lang w:val="en-US"/>
        </w:rPr>
        <w:footnoteReference w:id="13"/>
      </w:r>
    </w:p>
    <w:p w14:paraId="0DC6C928" w14:textId="548AF452" w:rsidR="00823118" w:rsidRDefault="00880C3B" w:rsidP="00880C3B">
      <w:pPr>
        <w:pStyle w:val="level1"/>
        <w:numPr>
          <w:ilvl w:val="0"/>
          <w:numId w:val="0"/>
        </w:numPr>
        <w:spacing w:after="480" w:line="360" w:lineRule="auto"/>
        <w:jc w:val="both"/>
        <w:rPr>
          <w:lang w:val="en-US"/>
        </w:rPr>
      </w:pPr>
      <w:r>
        <w:rPr>
          <w:lang w:val="en-US"/>
        </w:rPr>
        <w:t>[27]</w:t>
      </w:r>
      <w:r>
        <w:rPr>
          <w:lang w:val="en-US"/>
        </w:rPr>
        <w:tab/>
      </w:r>
      <w:r w:rsidR="00AC7D5C" w:rsidRPr="00EB41E8">
        <w:rPr>
          <w:lang w:val="en-US"/>
        </w:rPr>
        <w:t xml:space="preserve">The respondent sought to distinguish </w:t>
      </w:r>
      <w:r w:rsidR="00AC7D5C" w:rsidRPr="00EB41E8">
        <w:rPr>
          <w:i/>
          <w:lang w:val="en-US"/>
        </w:rPr>
        <w:t>Investec</w:t>
      </w:r>
      <w:r w:rsidR="00AC7D5C" w:rsidRPr="00EB41E8">
        <w:rPr>
          <w:lang w:val="en-US"/>
        </w:rPr>
        <w:t xml:space="preserve"> based on the </w:t>
      </w:r>
      <w:r w:rsidR="00DD137B">
        <w:rPr>
          <w:lang w:val="en-US"/>
        </w:rPr>
        <w:t>facts</w:t>
      </w:r>
      <w:r w:rsidR="007C389B">
        <w:rPr>
          <w:lang w:val="en-US"/>
        </w:rPr>
        <w:t>,</w:t>
      </w:r>
      <w:r w:rsidR="00DD137B">
        <w:rPr>
          <w:lang w:val="en-US"/>
        </w:rPr>
        <w:t xml:space="preserve"> a</w:t>
      </w:r>
      <w:r w:rsidR="007C389B">
        <w:rPr>
          <w:lang w:val="en-US"/>
        </w:rPr>
        <w:t>nd argued that</w:t>
      </w:r>
      <w:r w:rsidR="00DD137B">
        <w:rPr>
          <w:lang w:val="en-US"/>
        </w:rPr>
        <w:t xml:space="preserve"> on a proper interpretation</w:t>
      </w:r>
      <w:r w:rsidR="00823118">
        <w:rPr>
          <w:lang w:val="en-US"/>
        </w:rPr>
        <w:t xml:space="preserve"> of the guarantee</w:t>
      </w:r>
      <w:r w:rsidR="00DD137B">
        <w:rPr>
          <w:lang w:val="en-US"/>
        </w:rPr>
        <w:t xml:space="preserve">, demand was not a condition precedent and demand was not the trigger event when payment was to be made. It was argued that </w:t>
      </w:r>
      <w:r w:rsidR="00823118">
        <w:rPr>
          <w:lang w:val="en-US"/>
        </w:rPr>
        <w:t>on a proper interpretation of the guarantee,</w:t>
      </w:r>
      <w:r w:rsidR="00DD137B">
        <w:rPr>
          <w:lang w:val="en-US"/>
        </w:rPr>
        <w:t xml:space="preserve"> the debt became due by the respondent when the debt became due by Keka to the applicant. I do not agree that </w:t>
      </w:r>
      <w:r w:rsidR="00DD137B" w:rsidRPr="00DD137B">
        <w:rPr>
          <w:i/>
          <w:lang w:val="en-US"/>
        </w:rPr>
        <w:t xml:space="preserve">Investec </w:t>
      </w:r>
      <w:r w:rsidR="00DD137B">
        <w:rPr>
          <w:lang w:val="en-US"/>
        </w:rPr>
        <w:t xml:space="preserve">is distinguishable on the facts. </w:t>
      </w:r>
      <w:r w:rsidR="00823118">
        <w:rPr>
          <w:lang w:val="en-US"/>
        </w:rPr>
        <w:t xml:space="preserve">Clause 3 </w:t>
      </w:r>
      <w:r w:rsidR="00951AD8">
        <w:rPr>
          <w:lang w:val="en-US"/>
        </w:rPr>
        <w:t xml:space="preserve">read in context </w:t>
      </w:r>
      <w:r w:rsidR="00823118">
        <w:rPr>
          <w:lang w:val="en-US"/>
        </w:rPr>
        <w:t xml:space="preserve">is in similar terms to that of the undertaking in </w:t>
      </w:r>
      <w:r w:rsidR="00823118" w:rsidRPr="00951AD8">
        <w:rPr>
          <w:i/>
          <w:lang w:val="en-US"/>
        </w:rPr>
        <w:t>Investec.</w:t>
      </w:r>
      <w:r w:rsidR="00823118">
        <w:rPr>
          <w:lang w:val="en-US"/>
        </w:rPr>
        <w:t xml:space="preserve"> </w:t>
      </w:r>
    </w:p>
    <w:p w14:paraId="1E1FB7D5" w14:textId="3509D05B" w:rsidR="00C502AB" w:rsidRPr="003C3F2C" w:rsidRDefault="00880C3B" w:rsidP="00880C3B">
      <w:pPr>
        <w:pStyle w:val="level1"/>
        <w:numPr>
          <w:ilvl w:val="0"/>
          <w:numId w:val="0"/>
        </w:numPr>
        <w:spacing w:after="480" w:line="360" w:lineRule="auto"/>
        <w:jc w:val="both"/>
        <w:rPr>
          <w:lang w:val="en-US"/>
        </w:rPr>
      </w:pPr>
      <w:r w:rsidRPr="003C3F2C">
        <w:rPr>
          <w:lang w:val="en-US"/>
        </w:rPr>
        <w:t>[28]</w:t>
      </w:r>
      <w:r w:rsidRPr="003C3F2C">
        <w:rPr>
          <w:lang w:val="en-US"/>
        </w:rPr>
        <w:tab/>
      </w:r>
      <w:r w:rsidR="00DD137B" w:rsidRPr="003C3F2C">
        <w:rPr>
          <w:lang w:val="en-US"/>
        </w:rPr>
        <w:t xml:space="preserve">On a proper contextual, purposive and linguistic interpretation of </w:t>
      </w:r>
      <w:r w:rsidR="002561AB" w:rsidRPr="003C3F2C">
        <w:rPr>
          <w:lang w:val="en-US"/>
        </w:rPr>
        <w:t xml:space="preserve">the agreement in considering </w:t>
      </w:r>
      <w:r w:rsidR="00DD137B" w:rsidRPr="003C3F2C">
        <w:rPr>
          <w:lang w:val="en-US"/>
        </w:rPr>
        <w:t xml:space="preserve">clause 3, </w:t>
      </w:r>
      <w:r w:rsidR="002561AB" w:rsidRPr="003C3F2C">
        <w:rPr>
          <w:lang w:val="en-US"/>
        </w:rPr>
        <w:t xml:space="preserve">I conclude that </w:t>
      </w:r>
      <w:r w:rsidR="003C3F2C" w:rsidRPr="003C3F2C">
        <w:rPr>
          <w:lang w:val="en-US"/>
        </w:rPr>
        <w:t>the furnishing of a guarantee claims notice is indeed a condition precedent as argued by the applicant.  The context of the provisions does not envisage that the respondent forthwith becomes liable for the guaranteed liabilities of Keka. Rather the respondent’s express undertaking is to pay all sums claimed each time a guarantee claims notice is delivered to him, within a period of three days.</w:t>
      </w:r>
      <w:r w:rsidR="00DD137B" w:rsidRPr="003C3F2C">
        <w:rPr>
          <w:lang w:val="en-US"/>
        </w:rPr>
        <w:t xml:space="preserve"> The respondent’s interpretation of the clause is strained and ignores the </w:t>
      </w:r>
      <w:r w:rsidR="00FB30EE" w:rsidRPr="003C3F2C">
        <w:rPr>
          <w:lang w:val="en-US"/>
        </w:rPr>
        <w:t xml:space="preserve">full wording of the </w:t>
      </w:r>
      <w:r w:rsidR="00DD137B" w:rsidRPr="003C3F2C">
        <w:rPr>
          <w:lang w:val="en-US"/>
        </w:rPr>
        <w:t xml:space="preserve">express undertaking contained therein. </w:t>
      </w:r>
      <w:r w:rsidR="00823118" w:rsidRPr="003C3F2C">
        <w:rPr>
          <w:lang w:val="en-US"/>
        </w:rPr>
        <w:t xml:space="preserve"> </w:t>
      </w:r>
      <w:r w:rsidR="00EB41E8" w:rsidRPr="003C3F2C">
        <w:rPr>
          <w:lang w:val="en-US"/>
        </w:rPr>
        <w:t xml:space="preserve"> </w:t>
      </w:r>
    </w:p>
    <w:p w14:paraId="41DC37FA" w14:textId="210AC3E4" w:rsidR="00DD137B" w:rsidRDefault="00880C3B" w:rsidP="00880C3B">
      <w:pPr>
        <w:pStyle w:val="level1"/>
        <w:numPr>
          <w:ilvl w:val="0"/>
          <w:numId w:val="0"/>
        </w:numPr>
        <w:spacing w:after="480" w:line="360" w:lineRule="auto"/>
        <w:jc w:val="both"/>
        <w:rPr>
          <w:lang w:val="en-US"/>
        </w:rPr>
      </w:pPr>
      <w:r>
        <w:rPr>
          <w:lang w:val="en-US"/>
        </w:rPr>
        <w:t>[29]</w:t>
      </w:r>
      <w:r>
        <w:rPr>
          <w:lang w:val="en-US"/>
        </w:rPr>
        <w:tab/>
      </w:r>
      <w:r w:rsidR="00EB41E8" w:rsidRPr="000960C5">
        <w:rPr>
          <w:lang w:val="en-US"/>
        </w:rPr>
        <w:t>In</w:t>
      </w:r>
      <w:r w:rsidR="00EB41E8" w:rsidRPr="00C50DEA">
        <w:rPr>
          <w:i/>
          <w:lang w:val="en-US"/>
        </w:rPr>
        <w:t xml:space="preserve"> Investec</w:t>
      </w:r>
      <w:r w:rsidR="00EB41E8" w:rsidRPr="000960C5">
        <w:rPr>
          <w:lang w:val="en-US"/>
        </w:rPr>
        <w:t xml:space="preserve">, Swanepoel AJ, relying on the judgment of Swain AJA in </w:t>
      </w:r>
      <w:r w:rsidR="00EB41E8" w:rsidRPr="00C50DEA">
        <w:rPr>
          <w:i/>
          <w:lang w:val="en-US"/>
        </w:rPr>
        <w:t>Casey v Firstrand Bank Ltd</w:t>
      </w:r>
      <w:r w:rsidR="00EB41E8">
        <w:rPr>
          <w:rStyle w:val="FootnoteReference"/>
          <w:lang w:val="en-US"/>
        </w:rPr>
        <w:footnoteReference w:id="14"/>
      </w:r>
      <w:r w:rsidR="00EB41E8" w:rsidRPr="000960C5">
        <w:rPr>
          <w:lang w:val="en-US"/>
        </w:rPr>
        <w:t xml:space="preserve">, </w:t>
      </w:r>
      <w:r w:rsidR="00C742F0">
        <w:rPr>
          <w:lang w:val="en-US"/>
        </w:rPr>
        <w:t>conclud</w:t>
      </w:r>
      <w:r w:rsidR="00C50DEA">
        <w:rPr>
          <w:lang w:val="en-US"/>
        </w:rPr>
        <w:t>ed</w:t>
      </w:r>
      <w:r w:rsidR="00C742F0">
        <w:rPr>
          <w:lang w:val="en-US"/>
        </w:rPr>
        <w:t xml:space="preserve"> that the underlying agreement has no effect on the re</w:t>
      </w:r>
      <w:r w:rsidR="00C50DEA">
        <w:rPr>
          <w:lang w:val="en-US"/>
        </w:rPr>
        <w:t>s</w:t>
      </w:r>
      <w:r w:rsidR="00C742F0">
        <w:rPr>
          <w:lang w:val="en-US"/>
        </w:rPr>
        <w:t>pondent’s liability to the applicant, unless fraud can be shown</w:t>
      </w:r>
      <w:r w:rsidR="009F7CD6">
        <w:rPr>
          <w:lang w:val="en-US"/>
        </w:rPr>
        <w:t xml:space="preserve"> and that the guarantor </w:t>
      </w:r>
      <w:r w:rsidR="009F7CD6">
        <w:rPr>
          <w:lang w:val="en-US"/>
        </w:rPr>
        <w:lastRenderedPageBreak/>
        <w:t>cannot raise any defence that the party to the agreement may have had</w:t>
      </w:r>
      <w:r w:rsidR="009F7CD6">
        <w:rPr>
          <w:rStyle w:val="FootnoteReference"/>
          <w:lang w:val="en-US"/>
        </w:rPr>
        <w:footnoteReference w:id="15"/>
      </w:r>
      <w:r w:rsidR="00C742F0">
        <w:rPr>
          <w:lang w:val="en-US"/>
        </w:rPr>
        <w:t>.</w:t>
      </w:r>
      <w:r w:rsidR="009C0EB8">
        <w:rPr>
          <w:lang w:val="en-US"/>
        </w:rPr>
        <w:t xml:space="preserve"> Relying on </w:t>
      </w:r>
      <w:r w:rsidR="009C0EB8" w:rsidRPr="002A43FF">
        <w:rPr>
          <w:i/>
          <w:lang w:val="en-US"/>
        </w:rPr>
        <w:t>Barkhuizen v Napier</w:t>
      </w:r>
      <w:r w:rsidR="009C0EB8">
        <w:rPr>
          <w:rStyle w:val="FootnoteReference"/>
          <w:lang w:val="en-US"/>
        </w:rPr>
        <w:footnoteReference w:id="16"/>
      </w:r>
      <w:r w:rsidR="009C0EB8">
        <w:rPr>
          <w:lang w:val="en-US"/>
        </w:rPr>
        <w:t xml:space="preserve"> and </w:t>
      </w:r>
      <w:r w:rsidR="009C0EB8" w:rsidRPr="002A43FF">
        <w:rPr>
          <w:i/>
          <w:lang w:val="en-US"/>
        </w:rPr>
        <w:t>Trinity Asset Management (Pty) Ltd v Grindstone Investments 132 (Pty) Ltd</w:t>
      </w:r>
      <w:r w:rsidR="007C389B">
        <w:rPr>
          <w:i/>
          <w:lang w:val="en-US"/>
        </w:rPr>
        <w:t xml:space="preserve"> (“Trinity”)</w:t>
      </w:r>
      <w:r w:rsidR="009C0EB8">
        <w:rPr>
          <w:rStyle w:val="FootnoteReference"/>
          <w:lang w:val="en-US"/>
        </w:rPr>
        <w:footnoteReference w:id="17"/>
      </w:r>
      <w:r w:rsidR="002A43FF">
        <w:rPr>
          <w:i/>
          <w:lang w:val="en-US"/>
        </w:rPr>
        <w:t xml:space="preserve"> </w:t>
      </w:r>
      <w:r w:rsidR="007C389B" w:rsidRPr="007C389B">
        <w:rPr>
          <w:lang w:val="en-US"/>
        </w:rPr>
        <w:t>the court</w:t>
      </w:r>
      <w:r w:rsidR="00513D06">
        <w:rPr>
          <w:lang w:val="en-US"/>
        </w:rPr>
        <w:t xml:space="preserve"> </w:t>
      </w:r>
      <w:r w:rsidR="002A43FF">
        <w:rPr>
          <w:lang w:val="en-US"/>
        </w:rPr>
        <w:t xml:space="preserve">concluded that </w:t>
      </w:r>
      <w:r w:rsidR="009C0EB8">
        <w:rPr>
          <w:lang w:val="en-US"/>
        </w:rPr>
        <w:t xml:space="preserve">the parties could agree on when prescription </w:t>
      </w:r>
      <w:r w:rsidR="002A43FF">
        <w:rPr>
          <w:lang w:val="en-US"/>
        </w:rPr>
        <w:t xml:space="preserve">would commence and could delay the commencement of </w:t>
      </w:r>
      <w:r w:rsidR="009C0EB8">
        <w:rPr>
          <w:lang w:val="en-US"/>
        </w:rPr>
        <w:t>prescription</w:t>
      </w:r>
      <w:r w:rsidR="002A43FF">
        <w:rPr>
          <w:lang w:val="en-US"/>
        </w:rPr>
        <w:t>. It was concluded, based on the wording of the guarantee, when the guarantee would lapse</w:t>
      </w:r>
      <w:r w:rsidR="00FB30EE">
        <w:rPr>
          <w:lang w:val="en-US"/>
        </w:rPr>
        <w:t>. It was held</w:t>
      </w:r>
      <w:r w:rsidR="002A43FF">
        <w:rPr>
          <w:lang w:val="en-US"/>
        </w:rPr>
        <w:t xml:space="preserve"> that </w:t>
      </w:r>
      <w:r w:rsidR="00DD137B">
        <w:rPr>
          <w:lang w:val="en-US"/>
        </w:rPr>
        <w:t>prescription arose on receipt of the written notice by the guarantor.</w:t>
      </w:r>
      <w:r w:rsidR="00DD137B">
        <w:rPr>
          <w:rStyle w:val="FootnoteReference"/>
          <w:lang w:val="en-US"/>
        </w:rPr>
        <w:footnoteReference w:id="18"/>
      </w:r>
      <w:r w:rsidR="00823118">
        <w:rPr>
          <w:lang w:val="en-US"/>
        </w:rPr>
        <w:t xml:space="preserve"> </w:t>
      </w:r>
    </w:p>
    <w:p w14:paraId="385C443E" w14:textId="1699B03D" w:rsidR="009F7CD6" w:rsidRDefault="00880C3B" w:rsidP="00880C3B">
      <w:pPr>
        <w:pStyle w:val="level1"/>
        <w:numPr>
          <w:ilvl w:val="0"/>
          <w:numId w:val="0"/>
        </w:numPr>
        <w:spacing w:after="480" w:line="360" w:lineRule="auto"/>
        <w:jc w:val="both"/>
        <w:rPr>
          <w:lang w:val="en-US"/>
        </w:rPr>
      </w:pPr>
      <w:r>
        <w:rPr>
          <w:lang w:val="en-US"/>
        </w:rPr>
        <w:t>[30]</w:t>
      </w:r>
      <w:r>
        <w:rPr>
          <w:lang w:val="en-US"/>
        </w:rPr>
        <w:tab/>
      </w:r>
      <w:r w:rsidR="002A43FF">
        <w:rPr>
          <w:lang w:val="en-US"/>
        </w:rPr>
        <w:t xml:space="preserve">I respectfully agree with the reasoning and conclusions adopted by Swanepoel AJ. </w:t>
      </w:r>
      <w:r w:rsidR="00C50DEA">
        <w:rPr>
          <w:lang w:val="en-US"/>
        </w:rPr>
        <w:t>The same principle</w:t>
      </w:r>
      <w:r w:rsidR="002A43FF">
        <w:rPr>
          <w:lang w:val="en-US"/>
        </w:rPr>
        <w:t>s</w:t>
      </w:r>
      <w:r w:rsidR="00C50DEA">
        <w:rPr>
          <w:lang w:val="en-US"/>
        </w:rPr>
        <w:t xml:space="preserve"> appl</w:t>
      </w:r>
      <w:r w:rsidR="002A43FF">
        <w:rPr>
          <w:lang w:val="en-US"/>
        </w:rPr>
        <w:t>y</w:t>
      </w:r>
      <w:r w:rsidR="00C50DEA">
        <w:rPr>
          <w:lang w:val="en-US"/>
        </w:rPr>
        <w:t xml:space="preserve"> to the present case. </w:t>
      </w:r>
    </w:p>
    <w:p w14:paraId="46B2D0DF" w14:textId="7823F5CD" w:rsidR="00227A80" w:rsidRDefault="00880C3B" w:rsidP="00880C3B">
      <w:pPr>
        <w:pStyle w:val="level1"/>
        <w:numPr>
          <w:ilvl w:val="0"/>
          <w:numId w:val="0"/>
        </w:numPr>
        <w:spacing w:after="480" w:line="360" w:lineRule="auto"/>
        <w:jc w:val="both"/>
        <w:rPr>
          <w:lang w:val="en-US"/>
        </w:rPr>
      </w:pPr>
      <w:r>
        <w:rPr>
          <w:lang w:val="en-US"/>
        </w:rPr>
        <w:t>[31]</w:t>
      </w:r>
      <w:r>
        <w:rPr>
          <w:lang w:val="en-US"/>
        </w:rPr>
        <w:tab/>
      </w:r>
      <w:r w:rsidR="00C50DEA">
        <w:rPr>
          <w:lang w:val="en-US"/>
        </w:rPr>
        <w:t xml:space="preserve">In </w:t>
      </w:r>
      <w:r w:rsidR="00C50DEA" w:rsidRPr="00C50DEA">
        <w:rPr>
          <w:i/>
          <w:lang w:val="en-US"/>
        </w:rPr>
        <w:t>Casey</w:t>
      </w:r>
      <w:r w:rsidR="00C50DEA">
        <w:rPr>
          <w:rStyle w:val="FootnoteReference"/>
          <w:i/>
          <w:lang w:val="en-US"/>
        </w:rPr>
        <w:footnoteReference w:id="19"/>
      </w:r>
      <w:r w:rsidR="00C50DEA">
        <w:rPr>
          <w:lang w:val="en-US"/>
        </w:rPr>
        <w:t xml:space="preserve">, </w:t>
      </w:r>
      <w:r w:rsidR="00951AD8">
        <w:rPr>
          <w:lang w:val="en-US"/>
        </w:rPr>
        <w:t>declaratory relief was sought that the beneficiary’s claim had prescribed. The appeal against dismissal of that relief was unsuccessful. I</w:t>
      </w:r>
      <w:r w:rsidR="00C50DEA">
        <w:rPr>
          <w:lang w:val="en-US"/>
        </w:rPr>
        <w:t xml:space="preserve">t was held that </w:t>
      </w:r>
      <w:r w:rsidR="002A43FF">
        <w:rPr>
          <w:lang w:val="en-US"/>
        </w:rPr>
        <w:t>as</w:t>
      </w:r>
      <w:r w:rsidR="00C50DEA">
        <w:rPr>
          <w:lang w:val="en-US"/>
        </w:rPr>
        <w:t xml:space="preserve"> the letter of credit was valid</w:t>
      </w:r>
      <w:r w:rsidR="00951AD8">
        <w:rPr>
          <w:lang w:val="en-US"/>
        </w:rPr>
        <w:t xml:space="preserve"> and in force at the time demand was made by the beneficiary</w:t>
      </w:r>
      <w:r w:rsidR="0031449C">
        <w:rPr>
          <w:lang w:val="en-US"/>
        </w:rPr>
        <w:t>,</w:t>
      </w:r>
      <w:r w:rsidR="00C50DEA">
        <w:rPr>
          <w:lang w:val="en-US"/>
        </w:rPr>
        <w:t xml:space="preserve"> prescription of the beneficiary’</w:t>
      </w:r>
      <w:r w:rsidR="00951AD8">
        <w:rPr>
          <w:lang w:val="en-US"/>
        </w:rPr>
        <w:t xml:space="preserve">s </w:t>
      </w:r>
      <w:r w:rsidR="00C50DEA">
        <w:rPr>
          <w:lang w:val="en-US"/>
        </w:rPr>
        <w:t xml:space="preserve">claim </w:t>
      </w:r>
      <w:r w:rsidR="0031449C">
        <w:rPr>
          <w:lang w:val="en-US"/>
        </w:rPr>
        <w:t xml:space="preserve">based on the underlying agreement </w:t>
      </w:r>
      <w:r w:rsidR="00C50DEA">
        <w:rPr>
          <w:lang w:val="en-US"/>
        </w:rPr>
        <w:t>was irrelevant</w:t>
      </w:r>
      <w:r w:rsidR="00951AD8">
        <w:rPr>
          <w:lang w:val="en-US"/>
        </w:rPr>
        <w:t>. Prescription</w:t>
      </w:r>
      <w:r w:rsidR="00C50DEA">
        <w:rPr>
          <w:lang w:val="en-US"/>
        </w:rPr>
        <w:t xml:space="preserve"> would only be relevant if the beneficiary’s claim was fraudulent. </w:t>
      </w:r>
      <w:r w:rsidR="00227A80">
        <w:rPr>
          <w:lang w:val="en-US"/>
        </w:rPr>
        <w:t xml:space="preserve">As long as the letter of credit was valid, </w:t>
      </w:r>
      <w:r w:rsidR="009F7CD6">
        <w:rPr>
          <w:lang w:val="en-US"/>
        </w:rPr>
        <w:t xml:space="preserve">all the </w:t>
      </w:r>
      <w:r w:rsidR="007C389B">
        <w:rPr>
          <w:lang w:val="en-US"/>
        </w:rPr>
        <w:t>beneficiary</w:t>
      </w:r>
      <w:r w:rsidR="009F7CD6">
        <w:rPr>
          <w:lang w:val="en-US"/>
        </w:rPr>
        <w:t xml:space="preserve"> was obliged to do, </w:t>
      </w:r>
      <w:r w:rsidR="001252A0">
        <w:rPr>
          <w:lang w:val="en-US"/>
        </w:rPr>
        <w:t>wa</w:t>
      </w:r>
      <w:r w:rsidR="009F7CD6">
        <w:rPr>
          <w:lang w:val="en-US"/>
        </w:rPr>
        <w:t xml:space="preserve">s </w:t>
      </w:r>
      <w:r w:rsidR="001252A0">
        <w:rPr>
          <w:lang w:val="en-US"/>
        </w:rPr>
        <w:t xml:space="preserve">to </w:t>
      </w:r>
      <w:r w:rsidR="009F7CD6">
        <w:rPr>
          <w:lang w:val="en-US"/>
        </w:rPr>
        <w:t>demand payment in the terms stated in the guarantee.  It was further held that mere error, misunderstanding or oversight, on the part of the beneficiary, however unreasonable, would not amount to fraud.</w:t>
      </w:r>
      <w:r w:rsidR="00951AD8">
        <w:rPr>
          <w:lang w:val="en-US"/>
        </w:rPr>
        <w:t xml:space="preserve"> </w:t>
      </w:r>
    </w:p>
    <w:p w14:paraId="5503C663" w14:textId="5D8FFE84" w:rsidR="007C389B" w:rsidRDefault="00880C3B" w:rsidP="00880C3B">
      <w:pPr>
        <w:pStyle w:val="level1"/>
        <w:numPr>
          <w:ilvl w:val="0"/>
          <w:numId w:val="0"/>
        </w:numPr>
        <w:spacing w:after="480" w:line="360" w:lineRule="auto"/>
        <w:jc w:val="both"/>
        <w:rPr>
          <w:lang w:val="en-US"/>
        </w:rPr>
      </w:pPr>
      <w:r>
        <w:rPr>
          <w:lang w:val="en-US"/>
        </w:rPr>
        <w:t>[32]</w:t>
      </w:r>
      <w:r>
        <w:rPr>
          <w:lang w:val="en-US"/>
        </w:rPr>
        <w:tab/>
      </w:r>
      <w:r w:rsidR="009F7CD6" w:rsidRPr="005005B6">
        <w:rPr>
          <w:lang w:val="en-US"/>
        </w:rPr>
        <w:t xml:space="preserve">These </w:t>
      </w:r>
      <w:r w:rsidR="0074113E" w:rsidRPr="005005B6">
        <w:rPr>
          <w:lang w:val="en-US"/>
        </w:rPr>
        <w:t xml:space="preserve">aforesaid </w:t>
      </w:r>
      <w:r w:rsidR="009F7CD6" w:rsidRPr="005005B6">
        <w:rPr>
          <w:lang w:val="en-US"/>
        </w:rPr>
        <w:t xml:space="preserve">principles are in my view </w:t>
      </w:r>
      <w:r w:rsidR="00417A97" w:rsidRPr="005005B6">
        <w:rPr>
          <w:lang w:val="en-US"/>
        </w:rPr>
        <w:t>apposite to the present</w:t>
      </w:r>
      <w:r w:rsidR="009F7CD6" w:rsidRPr="005005B6">
        <w:rPr>
          <w:lang w:val="en-US"/>
        </w:rPr>
        <w:t xml:space="preserve"> application. </w:t>
      </w:r>
      <w:r w:rsidR="00227A80" w:rsidRPr="005005B6">
        <w:rPr>
          <w:lang w:val="en-US"/>
        </w:rPr>
        <w:t xml:space="preserve">Fraud does not arise and the respondent did not contend that the applicant’s </w:t>
      </w:r>
      <w:r w:rsidR="001252A0">
        <w:rPr>
          <w:lang w:val="en-US"/>
        </w:rPr>
        <w:t xml:space="preserve">demand </w:t>
      </w:r>
      <w:r w:rsidR="00227A80" w:rsidRPr="005005B6">
        <w:rPr>
          <w:lang w:val="en-US"/>
        </w:rPr>
        <w:t xml:space="preserve">claim </w:t>
      </w:r>
      <w:r w:rsidR="001252A0">
        <w:rPr>
          <w:lang w:val="en-US"/>
        </w:rPr>
        <w:t xml:space="preserve">notice </w:t>
      </w:r>
      <w:r w:rsidR="00227A80" w:rsidRPr="005005B6">
        <w:rPr>
          <w:lang w:val="en-US"/>
        </w:rPr>
        <w:t>was fraudulent.</w:t>
      </w:r>
      <w:r w:rsidR="00FB30EE" w:rsidRPr="005005B6">
        <w:rPr>
          <w:lang w:val="en-US"/>
        </w:rPr>
        <w:t xml:space="preserve"> The respondent’s argument principally relies on the contention that the respondent’s debt to the applicant became due when Keka’s debt became due and in substance relies on the argument that as Keka’s debt had prescribed, the respondent’s debt had similarly prescribed on the same date. </w:t>
      </w:r>
    </w:p>
    <w:p w14:paraId="0CDEB9D5" w14:textId="59B706E2" w:rsidR="00FB30EE" w:rsidRPr="005005B6" w:rsidRDefault="00880C3B" w:rsidP="00880C3B">
      <w:pPr>
        <w:pStyle w:val="level1"/>
        <w:numPr>
          <w:ilvl w:val="0"/>
          <w:numId w:val="0"/>
        </w:numPr>
        <w:spacing w:after="480" w:line="360" w:lineRule="auto"/>
        <w:jc w:val="both"/>
        <w:rPr>
          <w:lang w:val="en-US"/>
        </w:rPr>
      </w:pPr>
      <w:r w:rsidRPr="005005B6">
        <w:rPr>
          <w:lang w:val="en-US"/>
        </w:rPr>
        <w:lastRenderedPageBreak/>
        <w:t>[33]</w:t>
      </w:r>
      <w:r w:rsidRPr="005005B6">
        <w:rPr>
          <w:lang w:val="en-US"/>
        </w:rPr>
        <w:tab/>
      </w:r>
      <w:r w:rsidR="005005B6" w:rsidRPr="005005B6">
        <w:rPr>
          <w:lang w:val="en-US"/>
        </w:rPr>
        <w:t xml:space="preserve">The respondent’s </w:t>
      </w:r>
      <w:r w:rsidR="007C389B">
        <w:rPr>
          <w:lang w:val="en-US"/>
        </w:rPr>
        <w:t>argument</w:t>
      </w:r>
      <w:r w:rsidR="005005B6" w:rsidRPr="005005B6">
        <w:rPr>
          <w:lang w:val="en-US"/>
        </w:rPr>
        <w:t xml:space="preserve"> disregards that the obligation of the respondent under the guarantee agreement is a primary and not a secondary obligation</w:t>
      </w:r>
      <w:r w:rsidR="007C389B">
        <w:rPr>
          <w:lang w:val="en-US"/>
        </w:rPr>
        <w:t>,</w:t>
      </w:r>
      <w:r w:rsidR="005005B6" w:rsidRPr="005005B6">
        <w:rPr>
          <w:lang w:val="en-US"/>
        </w:rPr>
        <w:t xml:space="preserve"> which in terms of the guarantee agreement exists independently of whether or not the applicant has made demand from Keka. It further fails to distinguish the guarantee agreement from a suretyship agreement.</w:t>
      </w:r>
      <w:r w:rsidR="005005B6">
        <w:rPr>
          <w:lang w:val="en-US"/>
        </w:rPr>
        <w:t xml:space="preserve"> </w:t>
      </w:r>
      <w:r w:rsidR="00F71536" w:rsidRPr="005005B6">
        <w:rPr>
          <w:lang w:val="en-US"/>
        </w:rPr>
        <w:t>C</w:t>
      </w:r>
      <w:r w:rsidR="00FB30EE" w:rsidRPr="005005B6">
        <w:rPr>
          <w:lang w:val="en-US"/>
        </w:rPr>
        <w:t xml:space="preserve">onsidering the Supreme Court of Appeal’s findings in </w:t>
      </w:r>
      <w:r w:rsidR="00FB30EE" w:rsidRPr="005005B6">
        <w:rPr>
          <w:i/>
          <w:lang w:val="en-US"/>
        </w:rPr>
        <w:t>Casey</w:t>
      </w:r>
      <w:r w:rsidR="00F71536" w:rsidRPr="005005B6">
        <w:rPr>
          <w:i/>
          <w:lang w:val="en-US"/>
        </w:rPr>
        <w:t xml:space="preserve"> </w:t>
      </w:r>
      <w:r w:rsidR="00F71536" w:rsidRPr="005005B6">
        <w:rPr>
          <w:lang w:val="en-US"/>
        </w:rPr>
        <w:t>regarding prescription</w:t>
      </w:r>
      <w:r w:rsidR="00FB30EE" w:rsidRPr="005005B6">
        <w:rPr>
          <w:lang w:val="en-US"/>
        </w:rPr>
        <w:t>, th</w:t>
      </w:r>
      <w:r w:rsidR="007C389B">
        <w:rPr>
          <w:lang w:val="en-US"/>
        </w:rPr>
        <w:t>e respondent’s</w:t>
      </w:r>
      <w:r w:rsidR="00FB30EE" w:rsidRPr="005005B6">
        <w:rPr>
          <w:lang w:val="en-US"/>
        </w:rPr>
        <w:t xml:space="preserve"> argument does not bear scrutiny.  </w:t>
      </w:r>
    </w:p>
    <w:p w14:paraId="578BC924" w14:textId="6CD8F189" w:rsidR="00227A80" w:rsidRPr="009F7CD6" w:rsidRDefault="00880C3B" w:rsidP="00880C3B">
      <w:pPr>
        <w:pStyle w:val="level1"/>
        <w:numPr>
          <w:ilvl w:val="0"/>
          <w:numId w:val="0"/>
        </w:numPr>
        <w:spacing w:after="480" w:line="360" w:lineRule="auto"/>
        <w:jc w:val="both"/>
        <w:rPr>
          <w:lang w:val="en-US"/>
        </w:rPr>
      </w:pPr>
      <w:r w:rsidRPr="009F7CD6">
        <w:rPr>
          <w:lang w:val="en-US"/>
        </w:rPr>
        <w:t>[34]</w:t>
      </w:r>
      <w:r w:rsidRPr="009F7CD6">
        <w:rPr>
          <w:lang w:val="en-US"/>
        </w:rPr>
        <w:tab/>
      </w:r>
      <w:r w:rsidR="00FB30EE">
        <w:rPr>
          <w:lang w:val="en-US"/>
        </w:rPr>
        <w:t xml:space="preserve">Turning to the guarantee, </w:t>
      </w:r>
      <w:r w:rsidR="00F71536">
        <w:rPr>
          <w:lang w:val="en-US"/>
        </w:rPr>
        <w:t>in</w:t>
      </w:r>
      <w:r w:rsidR="009F7CD6">
        <w:rPr>
          <w:lang w:val="en-US"/>
        </w:rPr>
        <w:t xml:space="preserve"> terms of </w:t>
      </w:r>
      <w:r w:rsidR="007375DD">
        <w:rPr>
          <w:lang w:val="en-US"/>
        </w:rPr>
        <w:t>clause 5</w:t>
      </w:r>
      <w:r w:rsidR="009F7CD6">
        <w:rPr>
          <w:lang w:val="en-US"/>
        </w:rPr>
        <w:t xml:space="preserve">, the </w:t>
      </w:r>
      <w:r w:rsidR="007375DD">
        <w:rPr>
          <w:lang w:val="en-US"/>
        </w:rPr>
        <w:t xml:space="preserve">guarantee </w:t>
      </w:r>
      <w:r w:rsidR="00F71536">
        <w:rPr>
          <w:lang w:val="en-US"/>
        </w:rPr>
        <w:t>e</w:t>
      </w:r>
      <w:r w:rsidR="0031449C">
        <w:rPr>
          <w:lang w:val="en-US"/>
        </w:rPr>
        <w:t>ndure</w:t>
      </w:r>
      <w:r w:rsidR="00F71536">
        <w:rPr>
          <w:lang w:val="en-US"/>
        </w:rPr>
        <w:t>s</w:t>
      </w:r>
      <w:r w:rsidR="009F7CD6">
        <w:rPr>
          <w:lang w:val="en-US"/>
        </w:rPr>
        <w:t xml:space="preserve"> </w:t>
      </w:r>
      <w:r w:rsidR="007375DD">
        <w:rPr>
          <w:lang w:val="en-US"/>
        </w:rPr>
        <w:t xml:space="preserve">until the release date. Release would occur either when Keka paid the guaranteed liabilities as defined or the applicant </w:t>
      </w:r>
      <w:r w:rsidR="00F71536">
        <w:rPr>
          <w:lang w:val="en-US"/>
        </w:rPr>
        <w:t xml:space="preserve">in writing </w:t>
      </w:r>
      <w:r w:rsidR="007375DD">
        <w:rPr>
          <w:lang w:val="en-US"/>
        </w:rPr>
        <w:t xml:space="preserve">released the respondent. </w:t>
      </w:r>
      <w:r w:rsidR="00F71536">
        <w:rPr>
          <w:lang w:val="en-US"/>
        </w:rPr>
        <w:t xml:space="preserve">The parties thus agreed that </w:t>
      </w:r>
      <w:r w:rsidR="0074113E">
        <w:rPr>
          <w:lang w:val="en-US"/>
        </w:rPr>
        <w:t xml:space="preserve">prescription </w:t>
      </w:r>
      <w:r w:rsidR="00F71536">
        <w:rPr>
          <w:lang w:val="en-US"/>
        </w:rPr>
        <w:t>would be delayed</w:t>
      </w:r>
      <w:r w:rsidR="007C389B">
        <w:rPr>
          <w:rStyle w:val="FootnoteReference"/>
          <w:lang w:val="en-US"/>
        </w:rPr>
        <w:footnoteReference w:id="20"/>
      </w:r>
      <w:r w:rsidR="00F71536">
        <w:rPr>
          <w:lang w:val="en-US"/>
        </w:rPr>
        <w:t xml:space="preserve">. </w:t>
      </w:r>
      <w:r w:rsidR="007375DD">
        <w:rPr>
          <w:lang w:val="en-US"/>
        </w:rPr>
        <w:t xml:space="preserve">Neither occurred and the guarantee was valid </w:t>
      </w:r>
      <w:r w:rsidR="00F71536">
        <w:rPr>
          <w:lang w:val="en-US"/>
        </w:rPr>
        <w:t xml:space="preserve">and in force </w:t>
      </w:r>
      <w:r w:rsidR="007375DD">
        <w:rPr>
          <w:lang w:val="en-US"/>
        </w:rPr>
        <w:t>at the time the applicant made demand in terms of its demand claim notice dated 8 November 2020.</w:t>
      </w:r>
      <w:r w:rsidR="0074113E">
        <w:rPr>
          <w:lang w:val="en-US"/>
        </w:rPr>
        <w:t xml:space="preserve"> </w:t>
      </w:r>
    </w:p>
    <w:p w14:paraId="28B03CBA" w14:textId="7C29DB8F" w:rsidR="003C3F2C" w:rsidRPr="00E36738" w:rsidRDefault="00880C3B" w:rsidP="00880C3B">
      <w:pPr>
        <w:pStyle w:val="level1"/>
        <w:numPr>
          <w:ilvl w:val="0"/>
          <w:numId w:val="0"/>
        </w:numPr>
        <w:spacing w:after="480" w:line="360" w:lineRule="auto"/>
        <w:jc w:val="both"/>
        <w:rPr>
          <w:lang w:val="en-US"/>
        </w:rPr>
      </w:pPr>
      <w:r w:rsidRPr="00E36738">
        <w:rPr>
          <w:lang w:val="en-US"/>
        </w:rPr>
        <w:t>[35]</w:t>
      </w:r>
      <w:r w:rsidRPr="00E36738">
        <w:rPr>
          <w:lang w:val="en-US"/>
        </w:rPr>
        <w:tab/>
      </w:r>
      <w:r w:rsidR="00E36738" w:rsidRPr="00E36738">
        <w:rPr>
          <w:lang w:val="en-US"/>
        </w:rPr>
        <w:t>As stated, o</w:t>
      </w:r>
      <w:r w:rsidR="003C3F2C" w:rsidRPr="00E36738">
        <w:rPr>
          <w:lang w:val="en-US"/>
        </w:rPr>
        <w:t xml:space="preserve">n a proper interpretation of the guarantee agreement, </w:t>
      </w:r>
      <w:r w:rsidR="00E36738" w:rsidRPr="00E36738">
        <w:rPr>
          <w:lang w:val="en-US"/>
        </w:rPr>
        <w:t>the parties agreed that the provision of a demand claims notice was a condition precedent to payment being made.</w:t>
      </w:r>
      <w:r w:rsidR="00E36738">
        <w:rPr>
          <w:lang w:val="en-US"/>
        </w:rPr>
        <w:t xml:space="preserve">  I</w:t>
      </w:r>
      <w:r w:rsidR="003C3F2C" w:rsidRPr="00E36738">
        <w:rPr>
          <w:lang w:val="en-US"/>
        </w:rPr>
        <w:t xml:space="preserve">n terms of </w:t>
      </w:r>
      <w:r w:rsidR="00E36738">
        <w:rPr>
          <w:lang w:val="en-US"/>
        </w:rPr>
        <w:t xml:space="preserve">the guarantee, </w:t>
      </w:r>
      <w:r w:rsidR="003C3F2C" w:rsidRPr="00E36738">
        <w:rPr>
          <w:lang w:val="en-US"/>
        </w:rPr>
        <w:t xml:space="preserve">the respondent </w:t>
      </w:r>
      <w:r w:rsidR="00E36738">
        <w:rPr>
          <w:lang w:val="en-US"/>
        </w:rPr>
        <w:t xml:space="preserve">further </w:t>
      </w:r>
      <w:r w:rsidR="003C3F2C" w:rsidRPr="00E36738">
        <w:rPr>
          <w:lang w:val="en-US"/>
        </w:rPr>
        <w:t>expressly waived the right to rely on prescription of the guaranteed liabilities</w:t>
      </w:r>
      <w:r w:rsidR="00E36738">
        <w:rPr>
          <w:lang w:val="en-US"/>
        </w:rPr>
        <w:t>. That waiver accords with the principles applicable to guarantees</w:t>
      </w:r>
      <w:r w:rsidR="00EB2B9B">
        <w:rPr>
          <w:lang w:val="en-US"/>
        </w:rPr>
        <w:t xml:space="preserve"> and is not objectionable.</w:t>
      </w:r>
      <w:r w:rsidR="00E36738">
        <w:rPr>
          <w:lang w:val="en-US"/>
        </w:rPr>
        <w:t xml:space="preserve"> I</w:t>
      </w:r>
      <w:r w:rsidR="003C3F2C" w:rsidRPr="00E36738">
        <w:rPr>
          <w:lang w:val="en-US"/>
        </w:rPr>
        <w:t>t is not a case where a creditor is allowed to unilaterally delay the onset of prescription. Where the parties have a clear and unequivocal intention, demand will be a condition precedent to claimability and a necessary part of the applicant’s cause of action</w:t>
      </w:r>
      <w:r w:rsidR="003C3F2C">
        <w:rPr>
          <w:rStyle w:val="FootnoteReference"/>
          <w:lang w:val="en-US"/>
        </w:rPr>
        <w:footnoteReference w:id="21"/>
      </w:r>
      <w:r w:rsidR="003C3F2C" w:rsidRPr="00E36738">
        <w:rPr>
          <w:lang w:val="en-US"/>
        </w:rPr>
        <w:t xml:space="preserve">. The parties themselves agreed when and under what circumstances the debt </w:t>
      </w:r>
      <w:r w:rsidR="00E36738" w:rsidRPr="00E36738">
        <w:rPr>
          <w:lang w:val="en-US"/>
        </w:rPr>
        <w:t>would</w:t>
      </w:r>
      <w:r w:rsidR="003C3F2C" w:rsidRPr="00E36738">
        <w:rPr>
          <w:lang w:val="en-US"/>
        </w:rPr>
        <w:t xml:space="preserve"> become due. </w:t>
      </w:r>
    </w:p>
    <w:p w14:paraId="0C166C76" w14:textId="284F101C" w:rsidR="003C3F2C" w:rsidRDefault="00880C3B" w:rsidP="00880C3B">
      <w:pPr>
        <w:pStyle w:val="level1"/>
        <w:numPr>
          <w:ilvl w:val="0"/>
          <w:numId w:val="0"/>
        </w:numPr>
        <w:spacing w:after="480" w:line="360" w:lineRule="auto"/>
        <w:jc w:val="both"/>
        <w:rPr>
          <w:lang w:val="en-US"/>
        </w:rPr>
      </w:pPr>
      <w:r>
        <w:rPr>
          <w:lang w:val="en-US"/>
        </w:rPr>
        <w:t>[36]</w:t>
      </w:r>
      <w:r>
        <w:rPr>
          <w:lang w:val="en-US"/>
        </w:rPr>
        <w:tab/>
      </w:r>
      <w:r w:rsidR="003C3F2C" w:rsidRPr="004E31F7">
        <w:rPr>
          <w:lang w:val="en-US"/>
        </w:rPr>
        <w:t>I conclude that prescription will commence from the date of delivery of the demand</w:t>
      </w:r>
      <w:r w:rsidR="003C3F2C" w:rsidRPr="004E31F7">
        <w:rPr>
          <w:rStyle w:val="FootnoteReference"/>
          <w:lang w:val="en-US"/>
        </w:rPr>
        <w:footnoteReference w:id="22"/>
      </w:r>
      <w:r w:rsidR="003C3F2C" w:rsidRPr="004E31F7">
        <w:rPr>
          <w:lang w:val="en-US"/>
        </w:rPr>
        <w:t>. I do not agree with the applicant that it only commences three days after the demand.</w:t>
      </w:r>
    </w:p>
    <w:p w14:paraId="534BA9E2" w14:textId="10BC7131" w:rsidR="00417A97" w:rsidRDefault="00880C3B" w:rsidP="00880C3B">
      <w:pPr>
        <w:pStyle w:val="level1"/>
        <w:numPr>
          <w:ilvl w:val="0"/>
          <w:numId w:val="0"/>
        </w:numPr>
        <w:spacing w:after="480" w:line="360" w:lineRule="auto"/>
        <w:jc w:val="both"/>
        <w:rPr>
          <w:lang w:val="en-US"/>
        </w:rPr>
      </w:pPr>
      <w:r>
        <w:rPr>
          <w:lang w:val="en-US"/>
        </w:rPr>
        <w:lastRenderedPageBreak/>
        <w:t>[37]</w:t>
      </w:r>
      <w:r>
        <w:rPr>
          <w:lang w:val="en-US"/>
        </w:rPr>
        <w:tab/>
      </w:r>
      <w:r w:rsidR="007375DD">
        <w:rPr>
          <w:lang w:val="en-US"/>
        </w:rPr>
        <w:t>It follows that t</w:t>
      </w:r>
      <w:r w:rsidR="00C50DEA">
        <w:rPr>
          <w:lang w:val="en-US"/>
        </w:rPr>
        <w:t>he respondent’s argument</w:t>
      </w:r>
      <w:r w:rsidR="007375DD">
        <w:rPr>
          <w:lang w:val="en-US"/>
        </w:rPr>
        <w:t xml:space="preserve">s lack merit and it cannot be concluded </w:t>
      </w:r>
      <w:r w:rsidR="00C50DEA">
        <w:rPr>
          <w:lang w:val="en-US"/>
        </w:rPr>
        <w:t>that prescription commenced to run against the applicant when the debt of Keka became due</w:t>
      </w:r>
      <w:r w:rsidR="00417A97">
        <w:rPr>
          <w:lang w:val="en-US"/>
        </w:rPr>
        <w:t xml:space="preserve"> and thus prescribed. </w:t>
      </w:r>
      <w:r w:rsidR="002561AB">
        <w:rPr>
          <w:lang w:val="en-US"/>
        </w:rPr>
        <w:t xml:space="preserve">The respondent’s reliance on cases such as </w:t>
      </w:r>
      <w:r w:rsidR="002561AB" w:rsidRPr="002561AB">
        <w:rPr>
          <w:i/>
          <w:lang w:val="en-US"/>
        </w:rPr>
        <w:t>Frieslaar</w:t>
      </w:r>
      <w:r w:rsidR="002561AB">
        <w:rPr>
          <w:rStyle w:val="FootnoteReference"/>
          <w:lang w:val="en-US"/>
        </w:rPr>
        <w:footnoteReference w:id="23"/>
      </w:r>
      <w:r w:rsidR="002561AB">
        <w:rPr>
          <w:i/>
          <w:lang w:val="en-US"/>
        </w:rPr>
        <w:t xml:space="preserve"> </w:t>
      </w:r>
      <w:r w:rsidR="002561AB" w:rsidRPr="002561AB">
        <w:rPr>
          <w:lang w:val="en-US"/>
        </w:rPr>
        <w:t>does not assist his cause</w:t>
      </w:r>
      <w:r w:rsidR="002561AB">
        <w:rPr>
          <w:i/>
          <w:lang w:val="en-US"/>
        </w:rPr>
        <w:t xml:space="preserve">. </w:t>
      </w:r>
      <w:r w:rsidR="00417A97">
        <w:rPr>
          <w:lang w:val="en-US"/>
        </w:rPr>
        <w:t>T</w:t>
      </w:r>
      <w:r w:rsidR="00445639">
        <w:rPr>
          <w:lang w:val="en-US"/>
        </w:rPr>
        <w:t xml:space="preserve">he </w:t>
      </w:r>
      <w:r w:rsidR="002561AB">
        <w:rPr>
          <w:lang w:val="en-US"/>
        </w:rPr>
        <w:t xml:space="preserve">respondent’s </w:t>
      </w:r>
      <w:r w:rsidR="00445639">
        <w:rPr>
          <w:lang w:val="en-US"/>
        </w:rPr>
        <w:t xml:space="preserve">arguments perpetuate the failure pointed out in </w:t>
      </w:r>
      <w:r w:rsidR="00445639" w:rsidRPr="00417A97">
        <w:rPr>
          <w:i/>
          <w:lang w:val="en-US"/>
        </w:rPr>
        <w:t>Casey</w:t>
      </w:r>
      <w:r w:rsidR="00445639">
        <w:rPr>
          <w:rStyle w:val="FootnoteReference"/>
          <w:lang w:val="en-US"/>
        </w:rPr>
        <w:footnoteReference w:id="24"/>
      </w:r>
      <w:r w:rsidR="00445639">
        <w:rPr>
          <w:lang w:val="en-US"/>
        </w:rPr>
        <w:t xml:space="preserve"> to distinguish between a suretyship and the autonomous nature of a guarantee</w:t>
      </w:r>
      <w:r w:rsidR="0074113E">
        <w:rPr>
          <w:lang w:val="en-US"/>
        </w:rPr>
        <w:t>, a central feature to the arguments advanced on behalf of the respondent</w:t>
      </w:r>
      <w:r w:rsidR="00417A97">
        <w:rPr>
          <w:lang w:val="en-US"/>
        </w:rPr>
        <w:t xml:space="preserve">. </w:t>
      </w:r>
      <w:r w:rsidR="00EB2B9B">
        <w:rPr>
          <w:lang w:val="en-US"/>
        </w:rPr>
        <w:t>Considering the conclusion reached, i</w:t>
      </w:r>
      <w:r w:rsidR="002561AB">
        <w:rPr>
          <w:lang w:val="en-US"/>
        </w:rPr>
        <w:t xml:space="preserve">t is not necessary to deal with those arguments in </w:t>
      </w:r>
      <w:r w:rsidR="003C3F2C">
        <w:rPr>
          <w:lang w:val="en-US"/>
        </w:rPr>
        <w:t>great</w:t>
      </w:r>
      <w:r w:rsidR="002561AB">
        <w:rPr>
          <w:lang w:val="en-US"/>
        </w:rPr>
        <w:t xml:space="preserve"> detail. </w:t>
      </w:r>
    </w:p>
    <w:p w14:paraId="18C113BA" w14:textId="16ECAD2E" w:rsidR="00303339" w:rsidRDefault="00880C3B" w:rsidP="00880C3B">
      <w:pPr>
        <w:pStyle w:val="level1"/>
        <w:numPr>
          <w:ilvl w:val="0"/>
          <w:numId w:val="0"/>
        </w:numPr>
        <w:spacing w:after="480" w:line="360" w:lineRule="auto"/>
        <w:jc w:val="both"/>
        <w:rPr>
          <w:lang w:val="en-US"/>
        </w:rPr>
      </w:pPr>
      <w:r>
        <w:rPr>
          <w:lang w:val="en-US"/>
        </w:rPr>
        <w:t>[38]</w:t>
      </w:r>
      <w:r>
        <w:rPr>
          <w:lang w:val="en-US"/>
        </w:rPr>
        <w:tab/>
      </w:r>
      <w:r w:rsidR="00F71536">
        <w:rPr>
          <w:lang w:val="en-US"/>
        </w:rPr>
        <w:t>It can thus not be concluded that all the applicant’s claims have prescribed, as argued by the respondent.</w:t>
      </w:r>
      <w:r w:rsidR="003C3F2C">
        <w:rPr>
          <w:lang w:val="en-US"/>
        </w:rPr>
        <w:t xml:space="preserve"> It must however be considered whether any of the claims have prescribed.</w:t>
      </w:r>
    </w:p>
    <w:p w14:paraId="421E8B21" w14:textId="6018150E" w:rsidR="00E53628" w:rsidRDefault="00880C3B" w:rsidP="00880C3B">
      <w:pPr>
        <w:pStyle w:val="level1"/>
        <w:numPr>
          <w:ilvl w:val="0"/>
          <w:numId w:val="0"/>
        </w:numPr>
        <w:spacing w:after="480" w:line="360" w:lineRule="auto"/>
        <w:jc w:val="both"/>
        <w:rPr>
          <w:lang w:val="en-US"/>
        </w:rPr>
      </w:pPr>
      <w:r>
        <w:rPr>
          <w:lang w:val="en-US"/>
        </w:rPr>
        <w:t>[39]</w:t>
      </w:r>
      <w:r>
        <w:rPr>
          <w:lang w:val="en-US"/>
        </w:rPr>
        <w:tab/>
      </w:r>
      <w:r w:rsidR="003C3F2C">
        <w:rPr>
          <w:lang w:val="en-US"/>
        </w:rPr>
        <w:t xml:space="preserve">It was not disputed by the applicant that its present claims under </w:t>
      </w:r>
      <w:r w:rsidR="007A3423">
        <w:rPr>
          <w:lang w:val="en-US"/>
        </w:rPr>
        <w:t xml:space="preserve">the short form loan agreement in </w:t>
      </w:r>
      <w:r w:rsidR="003C3F2C">
        <w:rPr>
          <w:lang w:val="en-US"/>
        </w:rPr>
        <w:t>claim 1.1</w:t>
      </w:r>
      <w:r w:rsidR="00607390">
        <w:rPr>
          <w:rStyle w:val="FootnoteReference"/>
          <w:lang w:val="en-US"/>
        </w:rPr>
        <w:footnoteReference w:id="25"/>
      </w:r>
      <w:r w:rsidR="003C3F2C">
        <w:rPr>
          <w:lang w:val="en-US"/>
        </w:rPr>
        <w:t xml:space="preserve"> and </w:t>
      </w:r>
      <w:r w:rsidR="00E53628">
        <w:rPr>
          <w:lang w:val="en-US"/>
        </w:rPr>
        <w:t xml:space="preserve">the </w:t>
      </w:r>
      <w:r w:rsidR="007A3423">
        <w:rPr>
          <w:lang w:val="en-US"/>
        </w:rPr>
        <w:t xml:space="preserve">revolving credit facility in </w:t>
      </w:r>
      <w:r w:rsidR="003C3F2C">
        <w:rPr>
          <w:lang w:val="en-US"/>
        </w:rPr>
        <w:t xml:space="preserve">claim 3 constituted claims for the same capital amount and sundries first claimed by the applicant in the </w:t>
      </w:r>
      <w:r w:rsidR="00486A72">
        <w:rPr>
          <w:lang w:val="en-US"/>
        </w:rPr>
        <w:t xml:space="preserve">9 </w:t>
      </w:r>
      <w:r w:rsidR="003C3F2C">
        <w:rPr>
          <w:lang w:val="en-US"/>
        </w:rPr>
        <w:t>November 2017 guarantee claims notice</w:t>
      </w:r>
      <w:r w:rsidR="00E53628">
        <w:rPr>
          <w:lang w:val="en-US"/>
        </w:rPr>
        <w:t>. I</w:t>
      </w:r>
      <w:r w:rsidR="00486A72">
        <w:rPr>
          <w:lang w:val="en-US"/>
        </w:rPr>
        <w:t xml:space="preserve">n terms of </w:t>
      </w:r>
      <w:r w:rsidR="00E53628">
        <w:rPr>
          <w:lang w:val="en-US"/>
        </w:rPr>
        <w:t>that notice</w:t>
      </w:r>
      <w:r w:rsidR="008C2F78">
        <w:rPr>
          <w:lang w:val="en-US"/>
        </w:rPr>
        <w:t xml:space="preserve"> payment of R</w:t>
      </w:r>
      <w:r w:rsidR="00486A72" w:rsidRPr="00486A72">
        <w:rPr>
          <w:lang w:val="en-US"/>
        </w:rPr>
        <w:t>44 817 773.68</w:t>
      </w:r>
      <w:r w:rsidR="00EA0B4F">
        <w:rPr>
          <w:rStyle w:val="FootnoteReference"/>
          <w:lang w:val="en-US"/>
        </w:rPr>
        <w:footnoteReference w:id="26"/>
      </w:r>
      <w:r w:rsidR="00486A72">
        <w:rPr>
          <w:lang w:val="en-US"/>
        </w:rPr>
        <w:t xml:space="preserve"> was demanded and </w:t>
      </w:r>
      <w:r w:rsidR="00486A72" w:rsidRPr="00486A72">
        <w:rPr>
          <w:lang w:val="en-US"/>
        </w:rPr>
        <w:t>certificates of balance dated 29 May 2017</w:t>
      </w:r>
      <w:r w:rsidR="00486A72">
        <w:rPr>
          <w:lang w:val="en-US"/>
        </w:rPr>
        <w:t xml:space="preserve"> were attached.</w:t>
      </w:r>
      <w:r w:rsidR="00E53628">
        <w:rPr>
          <w:lang w:val="en-US"/>
        </w:rPr>
        <w:t xml:space="preserve"> </w:t>
      </w:r>
      <w:r w:rsidR="00486A72">
        <w:rPr>
          <w:lang w:val="en-US"/>
        </w:rPr>
        <w:t xml:space="preserve">These are the same claims presently pursued by the applicant, </w:t>
      </w:r>
      <w:r w:rsidR="003C3F2C">
        <w:rPr>
          <w:lang w:val="en-US"/>
        </w:rPr>
        <w:t xml:space="preserve">albeit that the total amounts of the certificates were different in relation to interest and other charges. </w:t>
      </w:r>
      <w:r w:rsidR="00486A72">
        <w:rPr>
          <w:lang w:val="en-US"/>
        </w:rPr>
        <w:t xml:space="preserve">More than three years expired between the demand notice and the institution of the present proceedings. </w:t>
      </w:r>
      <w:r w:rsidR="003C3F2C">
        <w:rPr>
          <w:lang w:val="en-US"/>
        </w:rPr>
        <w:t xml:space="preserve">The same claims were </w:t>
      </w:r>
      <w:r w:rsidR="00486A72">
        <w:rPr>
          <w:lang w:val="en-US"/>
        </w:rPr>
        <w:t xml:space="preserve">again </w:t>
      </w:r>
      <w:r w:rsidR="003C3F2C">
        <w:rPr>
          <w:lang w:val="en-US"/>
        </w:rPr>
        <w:t xml:space="preserve">included in the applicant’s demand claim notice dated 8 November 2020. </w:t>
      </w:r>
    </w:p>
    <w:p w14:paraId="28CC528C" w14:textId="6946E6FB" w:rsidR="007A3423" w:rsidRDefault="00880C3B" w:rsidP="00880C3B">
      <w:pPr>
        <w:pStyle w:val="level1"/>
        <w:numPr>
          <w:ilvl w:val="0"/>
          <w:numId w:val="0"/>
        </w:numPr>
        <w:spacing w:after="480" w:line="360" w:lineRule="auto"/>
        <w:jc w:val="both"/>
        <w:rPr>
          <w:lang w:val="en-US"/>
        </w:rPr>
      </w:pPr>
      <w:r>
        <w:rPr>
          <w:lang w:val="en-US"/>
        </w:rPr>
        <w:lastRenderedPageBreak/>
        <w:t>[40]</w:t>
      </w:r>
      <w:r>
        <w:rPr>
          <w:lang w:val="en-US"/>
        </w:rPr>
        <w:tab/>
      </w:r>
      <w:r w:rsidR="007A3423">
        <w:rPr>
          <w:lang w:val="en-US"/>
        </w:rPr>
        <w:t xml:space="preserve">These same claims were also included in the sequestration application, where a court already </w:t>
      </w:r>
      <w:r w:rsidR="00486A72">
        <w:rPr>
          <w:lang w:val="en-US"/>
        </w:rPr>
        <w:t>found</w:t>
      </w:r>
      <w:r w:rsidR="007A3423">
        <w:rPr>
          <w:lang w:val="en-US"/>
        </w:rPr>
        <w:t xml:space="preserve"> that those claims ha</w:t>
      </w:r>
      <w:r w:rsidR="00486A72">
        <w:rPr>
          <w:lang w:val="en-US"/>
        </w:rPr>
        <w:t>d</w:t>
      </w:r>
      <w:r w:rsidR="007A3423">
        <w:rPr>
          <w:lang w:val="en-US"/>
        </w:rPr>
        <w:t xml:space="preserve"> prescribed. </w:t>
      </w:r>
      <w:r w:rsidR="00EB2B9B">
        <w:rPr>
          <w:lang w:val="en-US"/>
        </w:rPr>
        <w:t>T</w:t>
      </w:r>
      <w:r w:rsidR="001252A0">
        <w:rPr>
          <w:lang w:val="en-US"/>
        </w:rPr>
        <w:t xml:space="preserve">hat judgment </w:t>
      </w:r>
      <w:r w:rsidR="00EB2B9B">
        <w:rPr>
          <w:lang w:val="en-US"/>
        </w:rPr>
        <w:t xml:space="preserve">was </w:t>
      </w:r>
      <w:r w:rsidR="001252A0">
        <w:rPr>
          <w:lang w:val="en-US"/>
        </w:rPr>
        <w:t>no</w:t>
      </w:r>
      <w:r w:rsidR="00EB2B9B">
        <w:rPr>
          <w:lang w:val="en-US"/>
        </w:rPr>
        <w:t>t</w:t>
      </w:r>
      <w:r w:rsidR="001252A0">
        <w:rPr>
          <w:lang w:val="en-US"/>
        </w:rPr>
        <w:t xml:space="preserve"> placed before me to explain the basis on which the court reached the conclusion that the claims had prescribed </w:t>
      </w:r>
      <w:r w:rsidR="00EB2B9B">
        <w:rPr>
          <w:lang w:val="en-US"/>
        </w:rPr>
        <w:t>a</w:t>
      </w:r>
      <w:r w:rsidR="001252A0">
        <w:rPr>
          <w:lang w:val="en-US"/>
        </w:rPr>
        <w:t xml:space="preserve">nd the basis of that finding is unclear. </w:t>
      </w:r>
      <w:r w:rsidR="007A3423">
        <w:rPr>
          <w:lang w:val="en-US"/>
        </w:rPr>
        <w:t xml:space="preserve">No appeal was </w:t>
      </w:r>
      <w:r w:rsidR="001252A0">
        <w:rPr>
          <w:lang w:val="en-US"/>
        </w:rPr>
        <w:t xml:space="preserve">however </w:t>
      </w:r>
      <w:r w:rsidR="007A3423">
        <w:rPr>
          <w:lang w:val="en-US"/>
        </w:rPr>
        <w:t xml:space="preserve">lodged </w:t>
      </w:r>
      <w:r w:rsidR="00486A72">
        <w:rPr>
          <w:lang w:val="en-US"/>
        </w:rPr>
        <w:t xml:space="preserve">by the applicant. </w:t>
      </w:r>
      <w:r w:rsidR="001252A0">
        <w:rPr>
          <w:lang w:val="en-US"/>
        </w:rPr>
        <w:t xml:space="preserve">The applicant conceded that in light of the findings by the court in the sequestration application, </w:t>
      </w:r>
      <w:r w:rsidR="00EB2B9B">
        <w:rPr>
          <w:lang w:val="en-US"/>
        </w:rPr>
        <w:t>its</w:t>
      </w:r>
      <w:r w:rsidR="001252A0">
        <w:rPr>
          <w:lang w:val="en-US"/>
        </w:rPr>
        <w:t xml:space="preserve"> claim</w:t>
      </w:r>
      <w:r w:rsidR="00EB2B9B">
        <w:rPr>
          <w:lang w:val="en-US"/>
        </w:rPr>
        <w:t xml:space="preserve"> in respect of the land and building loan</w:t>
      </w:r>
      <w:r w:rsidR="001252A0">
        <w:rPr>
          <w:lang w:val="en-US"/>
        </w:rPr>
        <w:t xml:space="preserve"> prescribed. </w:t>
      </w:r>
      <w:r w:rsidR="00486A72">
        <w:rPr>
          <w:lang w:val="en-US"/>
        </w:rPr>
        <w:t>That is dispositive of the issue.</w:t>
      </w:r>
      <w:r w:rsidR="007A3423">
        <w:rPr>
          <w:lang w:val="en-US"/>
        </w:rPr>
        <w:t xml:space="preserve"> </w:t>
      </w:r>
    </w:p>
    <w:p w14:paraId="41878B5E" w14:textId="6E4BB40A" w:rsidR="003C3F2C" w:rsidRDefault="00880C3B" w:rsidP="00880C3B">
      <w:pPr>
        <w:pStyle w:val="level1"/>
        <w:numPr>
          <w:ilvl w:val="0"/>
          <w:numId w:val="0"/>
        </w:numPr>
        <w:spacing w:after="480" w:line="360" w:lineRule="auto"/>
        <w:jc w:val="both"/>
        <w:rPr>
          <w:lang w:val="en-US"/>
        </w:rPr>
      </w:pPr>
      <w:r>
        <w:rPr>
          <w:lang w:val="en-US"/>
        </w:rPr>
        <w:t>[41]</w:t>
      </w:r>
      <w:r>
        <w:rPr>
          <w:lang w:val="en-US"/>
        </w:rPr>
        <w:tab/>
      </w:r>
      <w:r w:rsidR="007A3423">
        <w:rPr>
          <w:lang w:val="en-US"/>
        </w:rPr>
        <w:t>It follows that the applicant is not entitled to judgment in respect of claims</w:t>
      </w:r>
      <w:r w:rsidR="00486A72">
        <w:rPr>
          <w:lang w:val="en-US"/>
        </w:rPr>
        <w:t xml:space="preserve"> </w:t>
      </w:r>
      <w:r w:rsidR="00E53628">
        <w:rPr>
          <w:lang w:val="en-US"/>
        </w:rPr>
        <w:t>1.1 and 3, which</w:t>
      </w:r>
      <w:r w:rsidR="00486A72">
        <w:rPr>
          <w:lang w:val="en-US"/>
        </w:rPr>
        <w:t xml:space="preserve"> fall to be dismissed. </w:t>
      </w:r>
    </w:p>
    <w:p w14:paraId="07FA6C12" w14:textId="4AE5D5E6" w:rsidR="004E31F7" w:rsidRPr="00486A72" w:rsidRDefault="00880C3B" w:rsidP="00880C3B">
      <w:pPr>
        <w:pStyle w:val="level1"/>
        <w:numPr>
          <w:ilvl w:val="0"/>
          <w:numId w:val="0"/>
        </w:numPr>
        <w:spacing w:after="480" w:line="360" w:lineRule="auto"/>
        <w:jc w:val="both"/>
        <w:rPr>
          <w:lang w:val="en-US"/>
        </w:rPr>
      </w:pPr>
      <w:r w:rsidRPr="00486A72">
        <w:rPr>
          <w:lang w:val="en-US"/>
        </w:rPr>
        <w:t>[42]</w:t>
      </w:r>
      <w:r w:rsidRPr="00486A72">
        <w:rPr>
          <w:lang w:val="en-US"/>
        </w:rPr>
        <w:tab/>
      </w:r>
      <w:r w:rsidR="007B70A1" w:rsidRPr="00486A72">
        <w:rPr>
          <w:lang w:val="en-US"/>
        </w:rPr>
        <w:t xml:space="preserve"> </w:t>
      </w:r>
      <w:r w:rsidR="00815B36">
        <w:rPr>
          <w:lang w:val="en-US"/>
        </w:rPr>
        <w:t>Turning</w:t>
      </w:r>
      <w:r w:rsidR="00486A72">
        <w:rPr>
          <w:lang w:val="en-US"/>
        </w:rPr>
        <w:t xml:space="preserve"> to the </w:t>
      </w:r>
      <w:r w:rsidR="007B70A1" w:rsidRPr="00486A72">
        <w:rPr>
          <w:lang w:val="en-US"/>
        </w:rPr>
        <w:t xml:space="preserve">applicant’s </w:t>
      </w:r>
      <w:r w:rsidR="00EA0B4F">
        <w:rPr>
          <w:lang w:val="en-US"/>
        </w:rPr>
        <w:t xml:space="preserve">remaining </w:t>
      </w:r>
      <w:r w:rsidR="007B70A1" w:rsidRPr="00486A72">
        <w:rPr>
          <w:lang w:val="en-US"/>
        </w:rPr>
        <w:t>claim</w:t>
      </w:r>
      <w:r w:rsidR="00EA0B4F">
        <w:rPr>
          <w:lang w:val="en-US"/>
        </w:rPr>
        <w:t>s,</w:t>
      </w:r>
      <w:r w:rsidR="00486A72">
        <w:rPr>
          <w:lang w:val="en-US"/>
        </w:rPr>
        <w:t xml:space="preserve"> it was common cause that that</w:t>
      </w:r>
      <w:r w:rsidR="00266E48">
        <w:rPr>
          <w:lang w:val="en-US"/>
        </w:rPr>
        <w:t xml:space="preserve"> </w:t>
      </w:r>
      <w:r w:rsidR="00EA0B4F">
        <w:rPr>
          <w:lang w:val="en-US"/>
        </w:rPr>
        <w:t>i</w:t>
      </w:r>
      <w:r w:rsidR="00266E48">
        <w:rPr>
          <w:lang w:val="en-US"/>
        </w:rPr>
        <w:t>ts</w:t>
      </w:r>
      <w:r w:rsidR="00EA0B4F">
        <w:rPr>
          <w:lang w:val="en-US"/>
        </w:rPr>
        <w:t xml:space="preserve"> claim </w:t>
      </w:r>
      <w:r w:rsidR="00266E48">
        <w:rPr>
          <w:lang w:val="en-US"/>
        </w:rPr>
        <w:t xml:space="preserve">in claim </w:t>
      </w:r>
      <w:r w:rsidR="00EA0B4F">
        <w:rPr>
          <w:lang w:val="en-US"/>
        </w:rPr>
        <w:t>1.2 under the short form loan agreement</w:t>
      </w:r>
      <w:r w:rsidR="00266E48">
        <w:rPr>
          <w:lang w:val="en-US"/>
        </w:rPr>
        <w:t xml:space="preserve"> </w:t>
      </w:r>
      <w:r w:rsidR="00486A72">
        <w:rPr>
          <w:lang w:val="en-US"/>
        </w:rPr>
        <w:t xml:space="preserve">was not included in the applicant’s 9 November 2017 demand claim notice. Payment was first demanded from the respondent in the demand claim notice of 8 November 2020. </w:t>
      </w:r>
      <w:r w:rsidR="00815B36">
        <w:rPr>
          <w:lang w:val="en-US"/>
        </w:rPr>
        <w:t>Similarly, n</w:t>
      </w:r>
      <w:r w:rsidR="004E31F7" w:rsidRPr="00486A72">
        <w:rPr>
          <w:lang w:val="en-US"/>
        </w:rPr>
        <w:t xml:space="preserve">o demand was made </w:t>
      </w:r>
      <w:r w:rsidR="00815B36">
        <w:rPr>
          <w:lang w:val="en-US"/>
        </w:rPr>
        <w:t xml:space="preserve">from the respondent </w:t>
      </w:r>
      <w:r w:rsidR="004E31F7" w:rsidRPr="00486A72">
        <w:rPr>
          <w:lang w:val="en-US"/>
        </w:rPr>
        <w:t>under the subordinated loan agreement</w:t>
      </w:r>
      <w:r w:rsidR="00815B36">
        <w:rPr>
          <w:lang w:val="en-US"/>
        </w:rPr>
        <w:t xml:space="preserve"> in</w:t>
      </w:r>
      <w:r w:rsidR="00815B36" w:rsidRPr="00486A72">
        <w:rPr>
          <w:lang w:val="en-US"/>
        </w:rPr>
        <w:t xml:space="preserve"> the first claim demand notice</w:t>
      </w:r>
      <w:r w:rsidR="00815B36">
        <w:rPr>
          <w:lang w:val="en-US"/>
        </w:rPr>
        <w:t>,</w:t>
      </w:r>
      <w:r w:rsidR="004E31F7" w:rsidRPr="00486A72">
        <w:rPr>
          <w:lang w:val="en-US"/>
        </w:rPr>
        <w:t xml:space="preserve"> forming the subject matter of claim 2</w:t>
      </w:r>
      <w:r w:rsidR="00815B36">
        <w:rPr>
          <w:lang w:val="en-US"/>
        </w:rPr>
        <w:t>.</w:t>
      </w:r>
      <w:r w:rsidR="004E31F7" w:rsidRPr="00486A72">
        <w:rPr>
          <w:lang w:val="en-US"/>
        </w:rPr>
        <w:t xml:space="preserve"> </w:t>
      </w:r>
    </w:p>
    <w:p w14:paraId="2D1096A1" w14:textId="00E777A6" w:rsidR="00266E48" w:rsidRDefault="00880C3B" w:rsidP="00880C3B">
      <w:pPr>
        <w:pStyle w:val="level1"/>
        <w:numPr>
          <w:ilvl w:val="0"/>
          <w:numId w:val="0"/>
        </w:numPr>
        <w:spacing w:after="480" w:line="360" w:lineRule="auto"/>
        <w:jc w:val="both"/>
        <w:rPr>
          <w:lang w:val="en-US"/>
        </w:rPr>
      </w:pPr>
      <w:r>
        <w:rPr>
          <w:lang w:val="en-US"/>
        </w:rPr>
        <w:t>[43]</w:t>
      </w:r>
      <w:r>
        <w:rPr>
          <w:lang w:val="en-US"/>
        </w:rPr>
        <w:tab/>
      </w:r>
      <w:r w:rsidR="00E55CF4" w:rsidRPr="00E53628">
        <w:rPr>
          <w:lang w:val="en-US"/>
        </w:rPr>
        <w:t xml:space="preserve">The respondent argued that the applicant should have included all its claims under the </w:t>
      </w:r>
      <w:r w:rsidR="00815B36" w:rsidRPr="00E53628">
        <w:rPr>
          <w:lang w:val="en-US"/>
        </w:rPr>
        <w:t xml:space="preserve">short form loan agreement </w:t>
      </w:r>
      <w:r w:rsidR="00E55CF4" w:rsidRPr="00E53628">
        <w:rPr>
          <w:lang w:val="en-US"/>
        </w:rPr>
        <w:t>agreements to which the 9 November 2017 demand relate</w:t>
      </w:r>
      <w:r w:rsidR="00815B36" w:rsidRPr="00E53628">
        <w:rPr>
          <w:lang w:val="en-US"/>
        </w:rPr>
        <w:t>d</w:t>
      </w:r>
      <w:r w:rsidR="00E55CF4" w:rsidRPr="00E53628">
        <w:rPr>
          <w:lang w:val="en-US"/>
        </w:rPr>
        <w:t xml:space="preserve"> and </w:t>
      </w:r>
      <w:r w:rsidR="004E31F7" w:rsidRPr="00E53628">
        <w:rPr>
          <w:lang w:val="en-US"/>
        </w:rPr>
        <w:t xml:space="preserve">the applicant’s </w:t>
      </w:r>
      <w:r w:rsidR="00E55CF4" w:rsidRPr="00E53628">
        <w:rPr>
          <w:lang w:val="en-US"/>
        </w:rPr>
        <w:t xml:space="preserve">claim </w:t>
      </w:r>
      <w:r w:rsidR="00815B36" w:rsidRPr="00E53628">
        <w:rPr>
          <w:lang w:val="en-US"/>
        </w:rPr>
        <w:t xml:space="preserve">in claim 1.2 and in claim 2 </w:t>
      </w:r>
      <w:r w:rsidR="004E31F7" w:rsidRPr="00E53628">
        <w:rPr>
          <w:lang w:val="en-US"/>
        </w:rPr>
        <w:t>ha</w:t>
      </w:r>
      <w:r w:rsidR="00815B36" w:rsidRPr="00E53628">
        <w:rPr>
          <w:lang w:val="en-US"/>
        </w:rPr>
        <w:t>ve</w:t>
      </w:r>
      <w:r w:rsidR="004E31F7" w:rsidRPr="00E53628">
        <w:rPr>
          <w:lang w:val="en-US"/>
        </w:rPr>
        <w:t xml:space="preserve"> prescribed as no demand was made then. </w:t>
      </w:r>
      <w:r w:rsidR="00815B36" w:rsidRPr="00E53628">
        <w:rPr>
          <w:lang w:val="en-US"/>
        </w:rPr>
        <w:t>It was further argued that such all such claims were finally adjudicated upon in the sequestration application.</w:t>
      </w:r>
      <w:r w:rsidR="00607390" w:rsidRPr="00E53628">
        <w:rPr>
          <w:lang w:val="en-US"/>
        </w:rPr>
        <w:t xml:space="preserve"> </w:t>
      </w:r>
      <w:r w:rsidR="00E53628" w:rsidRPr="00E53628">
        <w:rPr>
          <w:lang w:val="en-US"/>
        </w:rPr>
        <w:t xml:space="preserve"> </w:t>
      </w:r>
    </w:p>
    <w:p w14:paraId="706F58C8" w14:textId="35EDDA96" w:rsidR="00EB2B9B" w:rsidRDefault="00880C3B" w:rsidP="00880C3B">
      <w:pPr>
        <w:pStyle w:val="level1"/>
        <w:numPr>
          <w:ilvl w:val="0"/>
          <w:numId w:val="0"/>
        </w:numPr>
        <w:spacing w:after="480" w:line="360" w:lineRule="auto"/>
        <w:jc w:val="both"/>
        <w:rPr>
          <w:lang w:val="en-US"/>
        </w:rPr>
      </w:pPr>
      <w:r>
        <w:rPr>
          <w:lang w:val="en-US"/>
        </w:rPr>
        <w:t>[44]</w:t>
      </w:r>
      <w:r>
        <w:rPr>
          <w:lang w:val="en-US"/>
        </w:rPr>
        <w:tab/>
      </w:r>
      <w:r w:rsidR="00EB2B9B" w:rsidRPr="00E53628">
        <w:rPr>
          <w:lang w:val="en-US"/>
        </w:rPr>
        <w:t xml:space="preserve">The respondent </w:t>
      </w:r>
      <w:r w:rsidR="00EB2B9B">
        <w:rPr>
          <w:lang w:val="en-US"/>
        </w:rPr>
        <w:t xml:space="preserve">further </w:t>
      </w:r>
      <w:r w:rsidR="00EB2B9B" w:rsidRPr="00E53628">
        <w:rPr>
          <w:lang w:val="en-US"/>
        </w:rPr>
        <w:t xml:space="preserve">argued that notwithstanding the fact that all amounts set out in agreements were referred to in a letter of demand to Keka on 5 June 2017 and became due by Keka on 13 June 2017, the applicant did not furnish a guarantee claim notice in respect of the amounts claimed in 1.2 and 2 of the notice of motion until they were demanded in the November 2020 guarantee claims notice from the respondent. </w:t>
      </w:r>
    </w:p>
    <w:p w14:paraId="7AADD6A1" w14:textId="756EC7A4" w:rsidR="00266E48" w:rsidRPr="00EA0B4F" w:rsidRDefault="00880C3B" w:rsidP="00880C3B">
      <w:pPr>
        <w:pStyle w:val="level1"/>
        <w:numPr>
          <w:ilvl w:val="0"/>
          <w:numId w:val="0"/>
        </w:numPr>
        <w:spacing w:after="480" w:line="360" w:lineRule="auto"/>
        <w:jc w:val="both"/>
        <w:rPr>
          <w:lang w:val="en-US"/>
        </w:rPr>
      </w:pPr>
      <w:r w:rsidRPr="00EA0B4F">
        <w:rPr>
          <w:lang w:val="en-US"/>
        </w:rPr>
        <w:lastRenderedPageBreak/>
        <w:t>[45]</w:t>
      </w:r>
      <w:r w:rsidRPr="00EA0B4F">
        <w:rPr>
          <w:lang w:val="en-US"/>
        </w:rPr>
        <w:tab/>
      </w:r>
      <w:r w:rsidR="00266E48">
        <w:rPr>
          <w:lang w:val="en-US"/>
        </w:rPr>
        <w:t xml:space="preserve">The respondent raised his reliance on the </w:t>
      </w:r>
      <w:r w:rsidR="00266E48" w:rsidRPr="001252A0">
        <w:rPr>
          <w:i/>
          <w:lang w:val="en-US"/>
        </w:rPr>
        <w:t>res judicata doctrine</w:t>
      </w:r>
      <w:r w:rsidR="00266E48">
        <w:rPr>
          <w:lang w:val="en-US"/>
        </w:rPr>
        <w:t xml:space="preserve"> and the principles of issue estoppel in this context and argued that </w:t>
      </w:r>
      <w:r w:rsidR="00266E48" w:rsidRPr="00EA0B4F">
        <w:rPr>
          <w:lang w:val="en-US"/>
        </w:rPr>
        <w:t>the amounts claims in prayers 1.1, 1.2 and 3 of the notice of motion</w:t>
      </w:r>
      <w:r w:rsidR="00266E48">
        <w:rPr>
          <w:rStyle w:val="FootnoteReference"/>
          <w:lang w:val="en-US"/>
        </w:rPr>
        <w:footnoteReference w:id="27"/>
      </w:r>
      <w:r w:rsidR="00266E48" w:rsidRPr="00EA0B4F">
        <w:rPr>
          <w:lang w:val="en-US"/>
        </w:rPr>
        <w:t xml:space="preserve"> were finally adjudicated upon by a court of competent jurisdiction in the sequestration application launched by the applicant against the respondent and that by virtue of the aforesaid principles, the applicant is precluded from claiming those amounts with interest from the respondent.</w:t>
      </w:r>
      <w:r w:rsidR="00266E48">
        <w:rPr>
          <w:lang w:val="en-US"/>
        </w:rPr>
        <w:t xml:space="preserve"> I have already dealt with the claims in prayers 1.1 and 1.3.</w:t>
      </w:r>
    </w:p>
    <w:p w14:paraId="7A0FE6EE" w14:textId="7A965CB0" w:rsidR="00532359" w:rsidRPr="00E53628" w:rsidRDefault="00880C3B" w:rsidP="00880C3B">
      <w:pPr>
        <w:pStyle w:val="level1"/>
        <w:numPr>
          <w:ilvl w:val="0"/>
          <w:numId w:val="0"/>
        </w:numPr>
        <w:spacing w:after="480" w:line="360" w:lineRule="auto"/>
        <w:jc w:val="both"/>
        <w:rPr>
          <w:lang w:val="en-US"/>
        </w:rPr>
      </w:pPr>
      <w:r w:rsidRPr="00E53628">
        <w:rPr>
          <w:lang w:val="en-US"/>
        </w:rPr>
        <w:t>[46]</w:t>
      </w:r>
      <w:r w:rsidRPr="00E53628">
        <w:rPr>
          <w:lang w:val="en-US"/>
        </w:rPr>
        <w:tab/>
      </w:r>
      <w:r w:rsidR="00E53628" w:rsidRPr="00E53628">
        <w:rPr>
          <w:lang w:val="en-US"/>
        </w:rPr>
        <w:t>I have already explained why the respondent’s reliance on demands made from Keka do not pass muster</w:t>
      </w:r>
      <w:r w:rsidR="00E53628">
        <w:rPr>
          <w:lang w:val="en-US"/>
        </w:rPr>
        <w:t>, considering the autonomous nature of the guarantee agreement</w:t>
      </w:r>
      <w:r w:rsidR="00E53628" w:rsidRPr="00E53628">
        <w:rPr>
          <w:lang w:val="en-US"/>
        </w:rPr>
        <w:t xml:space="preserve">. </w:t>
      </w:r>
    </w:p>
    <w:p w14:paraId="4F1B2FD2" w14:textId="6C079970" w:rsidR="00EA0B4F" w:rsidRDefault="00880C3B" w:rsidP="00880C3B">
      <w:pPr>
        <w:pStyle w:val="level1"/>
        <w:numPr>
          <w:ilvl w:val="0"/>
          <w:numId w:val="0"/>
        </w:numPr>
        <w:spacing w:after="480" w:line="360" w:lineRule="auto"/>
        <w:jc w:val="both"/>
        <w:rPr>
          <w:lang w:val="en-US"/>
        </w:rPr>
      </w:pPr>
      <w:r>
        <w:rPr>
          <w:lang w:val="en-US"/>
        </w:rPr>
        <w:t>[47]</w:t>
      </w:r>
      <w:r>
        <w:rPr>
          <w:lang w:val="en-US"/>
        </w:rPr>
        <w:tab/>
      </w:r>
      <w:r w:rsidR="00815B36">
        <w:rPr>
          <w:lang w:val="en-US"/>
        </w:rPr>
        <w:t xml:space="preserve">No previous </w:t>
      </w:r>
      <w:r w:rsidR="00607390">
        <w:rPr>
          <w:lang w:val="en-US"/>
        </w:rPr>
        <w:t xml:space="preserve">demand claims notice </w:t>
      </w:r>
      <w:r w:rsidR="00815B36">
        <w:rPr>
          <w:lang w:val="en-US"/>
        </w:rPr>
        <w:t xml:space="preserve">was </w:t>
      </w:r>
      <w:r w:rsidR="00607390">
        <w:rPr>
          <w:lang w:val="en-US"/>
        </w:rPr>
        <w:t>delivered by the applicant</w:t>
      </w:r>
      <w:r w:rsidR="00815B36">
        <w:rPr>
          <w:lang w:val="en-US"/>
        </w:rPr>
        <w:t xml:space="preserve"> under the subordinated loan agreement</w:t>
      </w:r>
      <w:r w:rsidR="00607390">
        <w:rPr>
          <w:lang w:val="en-US"/>
        </w:rPr>
        <w:t>, nor under the short form loan agreement in respect of the business and workers trust loan component</w:t>
      </w:r>
      <w:r w:rsidR="00815B36">
        <w:rPr>
          <w:lang w:val="en-US"/>
        </w:rPr>
        <w:t>.</w:t>
      </w:r>
      <w:r w:rsidR="00607390">
        <w:rPr>
          <w:lang w:val="en-US"/>
        </w:rPr>
        <w:t xml:space="preserve"> </w:t>
      </w:r>
      <w:r w:rsidR="00EA0B4F">
        <w:rPr>
          <w:lang w:val="en-US"/>
        </w:rPr>
        <w:t>These agreements are self-standing and independent. I have already concluded that p</w:t>
      </w:r>
      <w:r w:rsidR="00E53628">
        <w:rPr>
          <w:lang w:val="en-US"/>
        </w:rPr>
        <w:t xml:space="preserve">rescription only commences to run from the giving of the demand claim notice, thus from the date </w:t>
      </w:r>
      <w:r w:rsidR="00EA0B4F">
        <w:rPr>
          <w:lang w:val="en-US"/>
        </w:rPr>
        <w:t xml:space="preserve">demand was made under </w:t>
      </w:r>
      <w:r w:rsidR="00E53628">
        <w:rPr>
          <w:lang w:val="en-US"/>
        </w:rPr>
        <w:t xml:space="preserve">the </w:t>
      </w:r>
      <w:r w:rsidR="00607390" w:rsidRPr="0068104C">
        <w:rPr>
          <w:lang w:val="en-US"/>
        </w:rPr>
        <w:t>guarantee claim notice dated 8 Nov</w:t>
      </w:r>
      <w:r w:rsidR="00607390">
        <w:rPr>
          <w:lang w:val="en-US"/>
        </w:rPr>
        <w:t>ember</w:t>
      </w:r>
      <w:r w:rsidR="00607390" w:rsidRPr="0068104C">
        <w:rPr>
          <w:lang w:val="en-US"/>
        </w:rPr>
        <w:t xml:space="preserve"> 2020</w:t>
      </w:r>
      <w:r w:rsidR="00EA0B4F">
        <w:rPr>
          <w:lang w:val="en-US"/>
        </w:rPr>
        <w:t>.</w:t>
      </w:r>
      <w:r w:rsidR="00607390" w:rsidRPr="0068104C">
        <w:rPr>
          <w:lang w:val="en-US"/>
        </w:rPr>
        <w:t xml:space="preserve"> </w:t>
      </w:r>
      <w:r w:rsidR="00EB2B9B">
        <w:rPr>
          <w:lang w:val="en-US"/>
        </w:rPr>
        <w:t xml:space="preserve">I do not agree with the respondent that the applicant was obliged to demand payment of all its claims in the 2017 demand claim notice. </w:t>
      </w:r>
    </w:p>
    <w:p w14:paraId="610672C3" w14:textId="6ECDE643" w:rsidR="00D17E38" w:rsidRPr="00FB7824" w:rsidRDefault="00880C3B" w:rsidP="00880C3B">
      <w:pPr>
        <w:pStyle w:val="level1"/>
        <w:numPr>
          <w:ilvl w:val="0"/>
          <w:numId w:val="0"/>
        </w:numPr>
        <w:spacing w:after="480" w:line="360" w:lineRule="auto"/>
        <w:jc w:val="both"/>
        <w:rPr>
          <w:i/>
          <w:lang w:val="en-US"/>
        </w:rPr>
      </w:pPr>
      <w:r w:rsidRPr="00FB7824">
        <w:rPr>
          <w:lang w:val="en-US"/>
        </w:rPr>
        <w:t>[48]</w:t>
      </w:r>
      <w:r w:rsidRPr="00FB7824">
        <w:rPr>
          <w:lang w:val="en-US"/>
        </w:rPr>
        <w:tab/>
      </w:r>
      <w:r w:rsidR="00D17E38">
        <w:rPr>
          <w:lang w:val="en-US"/>
        </w:rPr>
        <w:t xml:space="preserve">The requirements </w:t>
      </w:r>
      <w:r w:rsidR="00EA0B4F">
        <w:rPr>
          <w:lang w:val="en-US"/>
        </w:rPr>
        <w:t xml:space="preserve">of reliance on the </w:t>
      </w:r>
      <w:r w:rsidR="00EA0B4F" w:rsidRPr="00EA0B4F">
        <w:rPr>
          <w:i/>
          <w:lang w:val="en-US"/>
        </w:rPr>
        <w:t>res iudicata</w:t>
      </w:r>
      <w:r w:rsidR="00EA0B4F">
        <w:rPr>
          <w:lang w:val="en-US"/>
        </w:rPr>
        <w:t xml:space="preserve"> doctrine </w:t>
      </w:r>
      <w:r w:rsidR="00D17E38">
        <w:rPr>
          <w:lang w:val="en-US"/>
        </w:rPr>
        <w:t>are to consider whether judgment was granted first, with respect to the same subject matter, second, based on the same grounds and third</w:t>
      </w:r>
      <w:r w:rsidR="00250038">
        <w:rPr>
          <w:lang w:val="en-US"/>
        </w:rPr>
        <w:t>,</w:t>
      </w:r>
      <w:r w:rsidR="00D17E38">
        <w:rPr>
          <w:lang w:val="en-US"/>
        </w:rPr>
        <w:t xml:space="preserve"> between the same parties</w:t>
      </w:r>
      <w:r w:rsidR="00D17E38" w:rsidRPr="00FB7824">
        <w:rPr>
          <w:rStyle w:val="FootnoteReference"/>
          <w:i/>
          <w:lang w:val="en-US"/>
        </w:rPr>
        <w:footnoteReference w:id="28"/>
      </w:r>
      <w:r w:rsidR="00D17E38">
        <w:rPr>
          <w:i/>
          <w:lang w:val="en-US"/>
        </w:rPr>
        <w:t>.</w:t>
      </w:r>
    </w:p>
    <w:p w14:paraId="4F6D9D1F" w14:textId="311ADE46" w:rsidR="00941FE5" w:rsidRDefault="00880C3B" w:rsidP="00880C3B">
      <w:pPr>
        <w:pStyle w:val="level1"/>
        <w:numPr>
          <w:ilvl w:val="0"/>
          <w:numId w:val="0"/>
        </w:numPr>
        <w:spacing w:after="480" w:line="360" w:lineRule="auto"/>
        <w:jc w:val="both"/>
        <w:rPr>
          <w:lang w:val="en-US"/>
        </w:rPr>
      </w:pPr>
      <w:r>
        <w:rPr>
          <w:lang w:val="en-US"/>
        </w:rPr>
        <w:t>[49]</w:t>
      </w:r>
      <w:r>
        <w:rPr>
          <w:lang w:val="en-US"/>
        </w:rPr>
        <w:tab/>
      </w:r>
      <w:r w:rsidR="00D17E38" w:rsidRPr="00B04476">
        <w:rPr>
          <w:lang w:val="en-US"/>
        </w:rPr>
        <w:t>The sequestration application, although between the same parties, was not aimed at obtaining payment from the respondent as is sought in the present application.</w:t>
      </w:r>
      <w:r w:rsidR="00B04476">
        <w:rPr>
          <w:rStyle w:val="FootnoteReference"/>
          <w:lang w:val="en-US"/>
        </w:rPr>
        <w:footnoteReference w:id="29"/>
      </w:r>
      <w:r w:rsidR="00D17E38" w:rsidRPr="00B04476">
        <w:rPr>
          <w:lang w:val="en-US"/>
        </w:rPr>
        <w:t xml:space="preserve"> The </w:t>
      </w:r>
      <w:r w:rsidR="00D17E38" w:rsidRPr="00B04476">
        <w:rPr>
          <w:lang w:val="en-US"/>
        </w:rPr>
        <w:lastRenderedPageBreak/>
        <w:t xml:space="preserve">relief sought in the present proceedings is different and the same question does not arise, nor does the same cause of action. In the sequestration proceedings, the applicant’s claim was raised in order to confer </w:t>
      </w:r>
      <w:r w:rsidR="00D17E38" w:rsidRPr="00526EC8">
        <w:rPr>
          <w:i/>
          <w:lang w:val="en-US"/>
        </w:rPr>
        <w:t>locus standi</w:t>
      </w:r>
      <w:r w:rsidR="00D17E38" w:rsidRPr="00B04476">
        <w:rPr>
          <w:lang w:val="en-US"/>
        </w:rPr>
        <w:t xml:space="preserve"> on it to seek the respondent’s sequestration. </w:t>
      </w:r>
    </w:p>
    <w:p w14:paraId="3B3198E3" w14:textId="655CB865" w:rsidR="00B04476" w:rsidRPr="00250038" w:rsidRDefault="00880C3B" w:rsidP="00880C3B">
      <w:pPr>
        <w:pStyle w:val="level1"/>
        <w:numPr>
          <w:ilvl w:val="0"/>
          <w:numId w:val="0"/>
        </w:numPr>
        <w:spacing w:after="480" w:line="360" w:lineRule="auto"/>
        <w:jc w:val="both"/>
        <w:rPr>
          <w:lang w:val="en-US"/>
        </w:rPr>
      </w:pPr>
      <w:r w:rsidRPr="00250038">
        <w:rPr>
          <w:lang w:val="en-US"/>
        </w:rPr>
        <w:t>[50]</w:t>
      </w:r>
      <w:r w:rsidRPr="00250038">
        <w:rPr>
          <w:lang w:val="en-US"/>
        </w:rPr>
        <w:tab/>
      </w:r>
      <w:r w:rsidR="00941FE5" w:rsidRPr="00250038">
        <w:rPr>
          <w:lang w:val="en-US"/>
        </w:rPr>
        <w:t xml:space="preserve">The respondent’s argument that the applicant should have claimed all the amounts due by Keka </w:t>
      </w:r>
      <w:r w:rsidR="00EA0B4F" w:rsidRPr="00250038">
        <w:rPr>
          <w:lang w:val="en-US"/>
        </w:rPr>
        <w:t xml:space="preserve">under the short form loan agreement </w:t>
      </w:r>
      <w:r w:rsidR="00941FE5" w:rsidRPr="00250038">
        <w:rPr>
          <w:lang w:val="en-US"/>
        </w:rPr>
        <w:t>in its demand claim notice to the respondent lacks merit</w:t>
      </w:r>
      <w:r w:rsidR="00EA0B4F" w:rsidRPr="00250038">
        <w:rPr>
          <w:lang w:val="en-US"/>
        </w:rPr>
        <w:t xml:space="preserve"> for reasons already advanced</w:t>
      </w:r>
      <w:r w:rsidR="00941FE5" w:rsidRPr="00250038">
        <w:rPr>
          <w:lang w:val="en-US"/>
        </w:rPr>
        <w:t xml:space="preserve">. I am </w:t>
      </w:r>
      <w:r w:rsidR="00EA0B4F" w:rsidRPr="00250038">
        <w:rPr>
          <w:lang w:val="en-US"/>
        </w:rPr>
        <w:t xml:space="preserve">further </w:t>
      </w:r>
      <w:r w:rsidR="00941FE5" w:rsidRPr="00250038">
        <w:rPr>
          <w:lang w:val="en-US"/>
        </w:rPr>
        <w:t xml:space="preserve">not persuaded that </w:t>
      </w:r>
      <w:r w:rsidR="00D17E38" w:rsidRPr="00250038">
        <w:rPr>
          <w:lang w:val="en-US"/>
        </w:rPr>
        <w:t xml:space="preserve">the respondent has </w:t>
      </w:r>
      <w:r w:rsidR="00941FE5" w:rsidRPr="00250038">
        <w:rPr>
          <w:lang w:val="en-US"/>
        </w:rPr>
        <w:t>established</w:t>
      </w:r>
      <w:r w:rsidR="00D17E38" w:rsidRPr="00250038">
        <w:rPr>
          <w:lang w:val="en-US"/>
        </w:rPr>
        <w:t xml:space="preserve"> </w:t>
      </w:r>
      <w:r w:rsidR="00EA0B4F" w:rsidRPr="00250038">
        <w:rPr>
          <w:lang w:val="en-US"/>
        </w:rPr>
        <w:t xml:space="preserve">proper reliance on the </w:t>
      </w:r>
      <w:r w:rsidR="00EA0B4F" w:rsidRPr="00250038">
        <w:rPr>
          <w:i/>
          <w:lang w:val="en-US"/>
        </w:rPr>
        <w:t>res iudicata</w:t>
      </w:r>
      <w:r w:rsidR="00EA0B4F" w:rsidRPr="00250038">
        <w:rPr>
          <w:lang w:val="en-US"/>
        </w:rPr>
        <w:t xml:space="preserve"> doctrine </w:t>
      </w:r>
      <w:r w:rsidR="00266E48" w:rsidRPr="00250038">
        <w:rPr>
          <w:lang w:val="en-US"/>
        </w:rPr>
        <w:t xml:space="preserve">or the principles of issue estoppel, given </w:t>
      </w:r>
      <w:r w:rsidR="00941FE5" w:rsidRPr="00250038">
        <w:rPr>
          <w:lang w:val="en-US"/>
        </w:rPr>
        <w:t>the requirement</w:t>
      </w:r>
      <w:r w:rsidR="00266E48" w:rsidRPr="00250038">
        <w:rPr>
          <w:lang w:val="en-US"/>
        </w:rPr>
        <w:t>s.</w:t>
      </w:r>
      <w:r w:rsidR="00D17E38" w:rsidRPr="00250038">
        <w:rPr>
          <w:lang w:val="en-US"/>
        </w:rPr>
        <w:t xml:space="preserve"> It cannot be concluded that the applicant’s claims</w:t>
      </w:r>
      <w:r w:rsidR="00954AB0" w:rsidRPr="00250038">
        <w:rPr>
          <w:lang w:val="en-US"/>
        </w:rPr>
        <w:t xml:space="preserve"> </w:t>
      </w:r>
      <w:r w:rsidR="00D17E38" w:rsidRPr="00250038">
        <w:rPr>
          <w:lang w:val="en-US"/>
        </w:rPr>
        <w:t>claimed in praye</w:t>
      </w:r>
      <w:r w:rsidR="00B04476" w:rsidRPr="00250038">
        <w:rPr>
          <w:lang w:val="en-US"/>
        </w:rPr>
        <w:t>r</w:t>
      </w:r>
      <w:r w:rsidR="00D17E38" w:rsidRPr="00250038">
        <w:rPr>
          <w:lang w:val="en-US"/>
        </w:rPr>
        <w:t>s 1.</w:t>
      </w:r>
      <w:r w:rsidR="00532359" w:rsidRPr="00250038">
        <w:rPr>
          <w:lang w:val="en-US"/>
        </w:rPr>
        <w:t>2</w:t>
      </w:r>
      <w:r w:rsidR="00D17E38" w:rsidRPr="00250038">
        <w:rPr>
          <w:lang w:val="en-US"/>
        </w:rPr>
        <w:t xml:space="preserve"> and 2 were included</w:t>
      </w:r>
      <w:r w:rsidR="00250038" w:rsidRPr="00250038">
        <w:rPr>
          <w:lang w:val="en-US"/>
        </w:rPr>
        <w:t xml:space="preserve"> in the sequestration application</w:t>
      </w:r>
      <w:r w:rsidR="00B04476" w:rsidRPr="00250038">
        <w:rPr>
          <w:lang w:val="en-US"/>
        </w:rPr>
        <w:t xml:space="preserve">, as </w:t>
      </w:r>
      <w:r w:rsidR="00250038" w:rsidRPr="00250038">
        <w:rPr>
          <w:lang w:val="en-US"/>
        </w:rPr>
        <w:t>argued</w:t>
      </w:r>
      <w:r w:rsidR="00B04476" w:rsidRPr="00250038">
        <w:rPr>
          <w:lang w:val="en-US"/>
        </w:rPr>
        <w:t xml:space="preserve"> by the respondent</w:t>
      </w:r>
      <w:r w:rsidR="00D17E38" w:rsidRPr="00250038">
        <w:rPr>
          <w:lang w:val="en-US"/>
        </w:rPr>
        <w:t xml:space="preserve">. </w:t>
      </w:r>
    </w:p>
    <w:p w14:paraId="78C30225" w14:textId="0A868303" w:rsidR="00D17E38" w:rsidRDefault="00880C3B" w:rsidP="00880C3B">
      <w:pPr>
        <w:pStyle w:val="level1"/>
        <w:numPr>
          <w:ilvl w:val="0"/>
          <w:numId w:val="0"/>
        </w:numPr>
        <w:spacing w:after="480" w:line="360" w:lineRule="auto"/>
        <w:jc w:val="both"/>
        <w:rPr>
          <w:lang w:val="en-US"/>
        </w:rPr>
      </w:pPr>
      <w:r>
        <w:rPr>
          <w:lang w:val="en-US"/>
        </w:rPr>
        <w:t>[51]</w:t>
      </w:r>
      <w:r>
        <w:rPr>
          <w:lang w:val="en-US"/>
        </w:rPr>
        <w:tab/>
      </w:r>
      <w:r w:rsidR="00D17E38">
        <w:rPr>
          <w:lang w:val="en-US"/>
        </w:rPr>
        <w:t>I</w:t>
      </w:r>
      <w:r w:rsidR="0072699F">
        <w:rPr>
          <w:lang w:val="en-US"/>
        </w:rPr>
        <w:t xml:space="preserve"> conclude that this</w:t>
      </w:r>
      <w:r w:rsidR="00D17E38">
        <w:rPr>
          <w:lang w:val="en-US"/>
        </w:rPr>
        <w:t xml:space="preserve"> defence lacks merit and must fail.</w:t>
      </w:r>
    </w:p>
    <w:p w14:paraId="6C3642CB" w14:textId="54D1AA7E" w:rsidR="00E40D72" w:rsidRDefault="00880C3B" w:rsidP="00880C3B">
      <w:pPr>
        <w:pStyle w:val="level1"/>
        <w:numPr>
          <w:ilvl w:val="0"/>
          <w:numId w:val="0"/>
        </w:numPr>
        <w:spacing w:after="480" w:line="360" w:lineRule="auto"/>
        <w:jc w:val="both"/>
        <w:rPr>
          <w:lang w:val="en-US"/>
        </w:rPr>
      </w:pPr>
      <w:r>
        <w:rPr>
          <w:lang w:val="en-US"/>
        </w:rPr>
        <w:t>[52]</w:t>
      </w:r>
      <w:r>
        <w:rPr>
          <w:lang w:val="en-US"/>
        </w:rPr>
        <w:tab/>
      </w:r>
      <w:r w:rsidR="009C5166" w:rsidRPr="00E40D72">
        <w:rPr>
          <w:lang w:val="en-US"/>
        </w:rPr>
        <w:t>It is necessary to address a</w:t>
      </w:r>
      <w:r w:rsidR="00E40D72" w:rsidRPr="00E40D72">
        <w:rPr>
          <w:lang w:val="en-US"/>
        </w:rPr>
        <w:t xml:space="preserve"> further</w:t>
      </w:r>
      <w:r w:rsidR="009C5166" w:rsidRPr="00E40D72">
        <w:rPr>
          <w:lang w:val="en-US"/>
        </w:rPr>
        <w:t xml:space="preserve"> issue which arose during the course of the proceedings</w:t>
      </w:r>
      <w:r w:rsidR="00520605" w:rsidRPr="00E40D72">
        <w:rPr>
          <w:lang w:val="en-US"/>
        </w:rPr>
        <w:t xml:space="preserve"> when, after the hearing I drew the attention of the parties to </w:t>
      </w:r>
      <w:r w:rsidR="00250038">
        <w:rPr>
          <w:lang w:val="en-US"/>
        </w:rPr>
        <w:t xml:space="preserve">the </w:t>
      </w:r>
      <w:r w:rsidR="00520605" w:rsidRPr="00E40D72">
        <w:rPr>
          <w:lang w:val="en-US"/>
        </w:rPr>
        <w:t>existence of clause 6.4 of the guarantee agreement, to which neither of the parties made reference during the hearing.</w:t>
      </w:r>
      <w:r w:rsidR="00E40D72" w:rsidRPr="00E40D72">
        <w:rPr>
          <w:lang w:val="en-US"/>
        </w:rPr>
        <w:t xml:space="preserve"> The existence of the clause was not drawn to the court’s attention, despite the respondent’s case primarily being based on prescription and the proper interpretation of the guarantee agreement being a central issue.</w:t>
      </w:r>
      <w:r w:rsidR="00E40D72">
        <w:rPr>
          <w:lang w:val="en-US"/>
        </w:rPr>
        <w:t xml:space="preserve"> </w:t>
      </w:r>
    </w:p>
    <w:p w14:paraId="78AD6199" w14:textId="72C042DA" w:rsidR="009C5166" w:rsidRPr="00E40D72" w:rsidRDefault="00880C3B" w:rsidP="00880C3B">
      <w:pPr>
        <w:pStyle w:val="level1"/>
        <w:numPr>
          <w:ilvl w:val="0"/>
          <w:numId w:val="0"/>
        </w:numPr>
        <w:spacing w:after="480" w:line="360" w:lineRule="auto"/>
        <w:jc w:val="both"/>
        <w:rPr>
          <w:lang w:val="en-US"/>
        </w:rPr>
      </w:pPr>
      <w:r w:rsidRPr="00E40D72">
        <w:rPr>
          <w:lang w:val="en-US"/>
        </w:rPr>
        <w:t>[53]</w:t>
      </w:r>
      <w:r w:rsidRPr="00E40D72">
        <w:rPr>
          <w:lang w:val="en-US"/>
        </w:rPr>
        <w:tab/>
      </w:r>
      <w:r w:rsidR="009C5166" w:rsidRPr="00E40D72">
        <w:rPr>
          <w:lang w:val="en-US"/>
        </w:rPr>
        <w:t>In the interests of justice the parties were afforded an opportunity to deliver further supplementary heads of argument pertaining to that clause and its impact on the application</w:t>
      </w:r>
      <w:r w:rsidR="009C5166">
        <w:rPr>
          <w:rStyle w:val="FootnoteReference"/>
          <w:lang w:val="en-US"/>
        </w:rPr>
        <w:footnoteReference w:id="30"/>
      </w:r>
      <w:r w:rsidR="009C5166" w:rsidRPr="00E40D72">
        <w:rPr>
          <w:lang w:val="en-US"/>
        </w:rPr>
        <w:t xml:space="preserve"> and such written argument was received from both parties. Neither of the parties sought an opportunity to deliver any further affidavits.</w:t>
      </w:r>
    </w:p>
    <w:p w14:paraId="2E863487" w14:textId="38DF8A0F" w:rsidR="009C5166" w:rsidRDefault="00880C3B" w:rsidP="00880C3B">
      <w:pPr>
        <w:pStyle w:val="level1"/>
        <w:numPr>
          <w:ilvl w:val="0"/>
          <w:numId w:val="0"/>
        </w:numPr>
        <w:spacing w:after="480" w:line="360" w:lineRule="auto"/>
        <w:jc w:val="both"/>
        <w:rPr>
          <w:lang w:val="en-US"/>
        </w:rPr>
      </w:pPr>
      <w:r>
        <w:rPr>
          <w:lang w:val="en-US"/>
        </w:rPr>
        <w:lastRenderedPageBreak/>
        <w:t>[54]</w:t>
      </w:r>
      <w:r>
        <w:rPr>
          <w:lang w:val="en-US"/>
        </w:rPr>
        <w:tab/>
      </w:r>
      <w:r w:rsidR="009C5166">
        <w:rPr>
          <w:lang w:val="en-US"/>
        </w:rPr>
        <w:t xml:space="preserve">The applicant relied on clause 6.4 and argued that such clause pertaining to an anticipatory waiver of prescription was valid and did not offend public policy as emphasis of the Prescription Act is on the private interests of the parties to an obligation and not on the public interest. It invited the court to apply </w:t>
      </w:r>
      <w:r w:rsidR="009C5166" w:rsidRPr="009D6D02">
        <w:rPr>
          <w:i/>
          <w:lang w:val="en-US"/>
        </w:rPr>
        <w:t>Nedfin Bank Ltd v Meisenheimer</w:t>
      </w:r>
      <w:r w:rsidR="009C5166">
        <w:rPr>
          <w:rStyle w:val="FootnoteReference"/>
          <w:lang w:val="en-US"/>
        </w:rPr>
        <w:footnoteReference w:id="31"/>
      </w:r>
      <w:r w:rsidR="00C95BB6">
        <w:rPr>
          <w:i/>
          <w:lang w:val="en-US"/>
        </w:rPr>
        <w:t>(“Meisenheimer”)</w:t>
      </w:r>
      <w:r w:rsidR="009C5166">
        <w:rPr>
          <w:lang w:val="en-US"/>
        </w:rPr>
        <w:t xml:space="preserve"> and consider foreign case law on the issue supporting the proposition that a party may waive a condition or provision in a contract which is solely for that party’s benefit and is severable.</w:t>
      </w:r>
      <w:r w:rsidR="009C5166">
        <w:rPr>
          <w:rStyle w:val="FootnoteReference"/>
          <w:lang w:val="en-US"/>
        </w:rPr>
        <w:footnoteReference w:id="32"/>
      </w:r>
      <w:r w:rsidR="009C5166">
        <w:rPr>
          <w:lang w:val="en-US"/>
        </w:rPr>
        <w:t xml:space="preserve">    </w:t>
      </w:r>
    </w:p>
    <w:p w14:paraId="6D99E1F4" w14:textId="4E62A1A1" w:rsidR="009C5166" w:rsidRDefault="00880C3B" w:rsidP="00880C3B">
      <w:pPr>
        <w:pStyle w:val="level1"/>
        <w:numPr>
          <w:ilvl w:val="0"/>
          <w:numId w:val="0"/>
        </w:numPr>
        <w:spacing w:after="480" w:line="360" w:lineRule="auto"/>
        <w:jc w:val="both"/>
        <w:rPr>
          <w:lang w:val="en-US"/>
        </w:rPr>
      </w:pPr>
      <w:r>
        <w:rPr>
          <w:lang w:val="en-US"/>
        </w:rPr>
        <w:t>[55]</w:t>
      </w:r>
      <w:r>
        <w:rPr>
          <w:lang w:val="en-US"/>
        </w:rPr>
        <w:tab/>
      </w:r>
      <w:r w:rsidR="009C5166">
        <w:rPr>
          <w:lang w:val="en-US"/>
        </w:rPr>
        <w:t xml:space="preserve">The respondent on the other hand </w:t>
      </w:r>
      <w:r w:rsidR="00C95BB6">
        <w:rPr>
          <w:lang w:val="en-US"/>
        </w:rPr>
        <w:t xml:space="preserve">contended </w:t>
      </w:r>
      <w:r w:rsidR="009C5166">
        <w:rPr>
          <w:lang w:val="en-US"/>
        </w:rPr>
        <w:t xml:space="preserve">that </w:t>
      </w:r>
      <w:r w:rsidR="00C95BB6">
        <w:rPr>
          <w:lang w:val="en-US"/>
        </w:rPr>
        <w:t xml:space="preserve">clause 6.4 was </w:t>
      </w:r>
      <w:r w:rsidR="00C95BB6" w:rsidRPr="00C95BB6">
        <w:rPr>
          <w:i/>
          <w:lang w:val="en-US"/>
        </w:rPr>
        <w:t>contra bonos mores</w:t>
      </w:r>
      <w:r w:rsidR="00C95BB6">
        <w:rPr>
          <w:lang w:val="en-US"/>
        </w:rPr>
        <w:t xml:space="preserve">. He argued that </w:t>
      </w:r>
      <w:r w:rsidR="009C5166">
        <w:rPr>
          <w:lang w:val="en-US"/>
        </w:rPr>
        <w:t xml:space="preserve">on the applicant’s own version an amount of R44 028 585.56 had prescribed and that </w:t>
      </w:r>
      <w:r w:rsidR="00C95BB6">
        <w:rPr>
          <w:lang w:val="en-US"/>
        </w:rPr>
        <w:t>the applicant</w:t>
      </w:r>
      <w:r w:rsidR="009C5166">
        <w:rPr>
          <w:lang w:val="en-US"/>
        </w:rPr>
        <w:t xml:space="preserve"> had thus waived reliance on prescription. It argued that the applicant did not in its heads of argument or replying affidavit rely on clause 6.4 and that the respondent was prejudiced because the raising of the question would have entitled him to deal with it in an affidavit, the preclusion of which is prejudicial. It was further argued that it was not open to the applicant to simply annex the guarantee agreement and thereafter argue that the court could have regard to clause 6.4 thereof</w:t>
      </w:r>
      <w:r w:rsidR="00250038">
        <w:rPr>
          <w:lang w:val="en-US"/>
        </w:rPr>
        <w:t>,</w:t>
      </w:r>
      <w:r w:rsidR="009C5166">
        <w:rPr>
          <w:lang w:val="en-US"/>
        </w:rPr>
        <w:t xml:space="preserve"> absent an indication in its papers that it so intended to rely on the clause. Lastly it was argued that in terms of s17(1) of the Prescription Act</w:t>
      </w:r>
      <w:r w:rsidR="009C5166">
        <w:rPr>
          <w:rStyle w:val="FootnoteReference"/>
          <w:lang w:val="en-US"/>
        </w:rPr>
        <w:footnoteReference w:id="33"/>
      </w:r>
      <w:r w:rsidR="009C5166">
        <w:rPr>
          <w:lang w:val="en-US"/>
        </w:rPr>
        <w:t xml:space="preserve">, a court should not of its own motion take notice of prescription. </w:t>
      </w:r>
    </w:p>
    <w:p w14:paraId="437E2F59" w14:textId="71C28484" w:rsidR="009C5166" w:rsidRPr="000B6ACD" w:rsidRDefault="00880C3B" w:rsidP="00880C3B">
      <w:pPr>
        <w:pStyle w:val="level1"/>
        <w:numPr>
          <w:ilvl w:val="0"/>
          <w:numId w:val="0"/>
        </w:numPr>
        <w:spacing w:after="480" w:line="360" w:lineRule="auto"/>
        <w:jc w:val="both"/>
        <w:rPr>
          <w:lang w:val="en-US"/>
        </w:rPr>
      </w:pPr>
      <w:r w:rsidRPr="000B6ACD">
        <w:rPr>
          <w:lang w:val="en-US"/>
        </w:rPr>
        <w:t>[56]</w:t>
      </w:r>
      <w:r w:rsidRPr="000B6ACD">
        <w:rPr>
          <w:lang w:val="en-US"/>
        </w:rPr>
        <w:tab/>
      </w:r>
      <w:r w:rsidR="009C5166" w:rsidRPr="000B6ACD">
        <w:rPr>
          <w:lang w:val="en-US"/>
        </w:rPr>
        <w:t>In my view, the respondent’s arguments are misconceived</w:t>
      </w:r>
      <w:r w:rsidR="009C5166">
        <w:rPr>
          <w:lang w:val="en-US"/>
        </w:rPr>
        <w:t xml:space="preserve"> for various reasons</w:t>
      </w:r>
      <w:r w:rsidR="009C5166" w:rsidRPr="000B6ACD">
        <w:rPr>
          <w:lang w:val="en-US"/>
        </w:rPr>
        <w:t xml:space="preserve">. </w:t>
      </w:r>
      <w:r w:rsidR="009C5166">
        <w:rPr>
          <w:lang w:val="en-US"/>
        </w:rPr>
        <w:t>I</w:t>
      </w:r>
      <w:r w:rsidR="009C5166" w:rsidRPr="000B6ACD">
        <w:rPr>
          <w:lang w:val="en-US"/>
        </w:rPr>
        <w:t xml:space="preserve">t was the respondent who raised the issue of prescription and advanced a particular interpretation of the guarantee agreement, and not the applicant. A proper interpretation of the guarantee agreement must by necessity involve a </w:t>
      </w:r>
      <w:r w:rsidR="009C5166">
        <w:rPr>
          <w:lang w:val="en-US"/>
        </w:rPr>
        <w:t xml:space="preserve">contextual </w:t>
      </w:r>
      <w:r w:rsidR="009C5166" w:rsidRPr="000B6ACD">
        <w:rPr>
          <w:lang w:val="en-US"/>
        </w:rPr>
        <w:t>consideration of the entire agreement as a whole and not a select</w:t>
      </w:r>
      <w:r w:rsidR="00250038">
        <w:rPr>
          <w:lang w:val="en-US"/>
        </w:rPr>
        <w:t>iv</w:t>
      </w:r>
      <w:r w:rsidR="009C5166" w:rsidRPr="000B6ACD">
        <w:rPr>
          <w:lang w:val="en-US"/>
        </w:rPr>
        <w:t xml:space="preserve">e consideration of only specific clauses. As such it was incumbent on the respondent and his counsel to have drawn the court’s attention to clause 6.4, even if it may be adverse to his case. Regrettably that was not </w:t>
      </w:r>
      <w:r w:rsidR="009C5166" w:rsidRPr="000B6ACD">
        <w:rPr>
          <w:lang w:val="en-US"/>
        </w:rPr>
        <w:lastRenderedPageBreak/>
        <w:t xml:space="preserve">done. The respondent had every opportunity to consider the guarantee agreement and advance all relevant arguments on the issue of prescription, both during the course of preparation of his papers and thereafter. The contention that the respondent is prejudiced, does not pass muster. </w:t>
      </w:r>
      <w:r w:rsidR="009C5166">
        <w:rPr>
          <w:lang w:val="en-US"/>
        </w:rPr>
        <w:t>Significantly, the respondent did not seek an opportunity to deliver any supplementary affidavits.</w:t>
      </w:r>
    </w:p>
    <w:p w14:paraId="5AEB3DC6" w14:textId="15FEF9D1" w:rsidR="009C5166" w:rsidRDefault="00880C3B" w:rsidP="00880C3B">
      <w:pPr>
        <w:pStyle w:val="level1"/>
        <w:numPr>
          <w:ilvl w:val="0"/>
          <w:numId w:val="0"/>
        </w:numPr>
        <w:spacing w:after="480" w:line="360" w:lineRule="auto"/>
        <w:jc w:val="both"/>
        <w:rPr>
          <w:lang w:val="en-US"/>
        </w:rPr>
      </w:pPr>
      <w:r>
        <w:rPr>
          <w:lang w:val="en-US"/>
        </w:rPr>
        <w:t>[57]</w:t>
      </w:r>
      <w:r>
        <w:rPr>
          <w:lang w:val="en-US"/>
        </w:rPr>
        <w:tab/>
      </w:r>
      <w:r w:rsidR="009C5166">
        <w:rPr>
          <w:lang w:val="en-US"/>
        </w:rPr>
        <w:t>The alleged concession and waiver argument similarly lacks merit. A court found in the sequestration application that the applicant’s claim of R44</w:t>
      </w:r>
      <w:r w:rsidR="004F091D">
        <w:rPr>
          <w:lang w:val="en-US"/>
        </w:rPr>
        <w:t> 817 773.68</w:t>
      </w:r>
      <w:r w:rsidR="009C5166">
        <w:rPr>
          <w:lang w:val="en-US"/>
        </w:rPr>
        <w:t xml:space="preserve"> had prescribed. That finding is final. It is difficult to conceive how the applicant’s acceptance thereafter that the amount had prescribed could be construed as a concession or a waiver.  </w:t>
      </w:r>
      <w:r w:rsidR="004F091D">
        <w:rPr>
          <w:lang w:val="en-US"/>
        </w:rPr>
        <w:t xml:space="preserve">The fact that the applicant did not claim the land and building loan cannot be considered as a waiver of reliance on prescription. </w:t>
      </w:r>
      <w:r w:rsidR="009C5166">
        <w:rPr>
          <w:lang w:val="en-US"/>
        </w:rPr>
        <w:t>Moreover the express terms of guarantee agreement militate against the waiver contended for by the respondent.</w:t>
      </w:r>
      <w:r w:rsidR="009C5166">
        <w:rPr>
          <w:rStyle w:val="FootnoteReference"/>
          <w:lang w:val="en-US"/>
        </w:rPr>
        <w:footnoteReference w:id="34"/>
      </w:r>
      <w:r w:rsidR="009C5166">
        <w:rPr>
          <w:lang w:val="en-US"/>
        </w:rPr>
        <w:t xml:space="preserve"> </w:t>
      </w:r>
    </w:p>
    <w:p w14:paraId="0DADC9F9" w14:textId="08253215" w:rsidR="004F091D" w:rsidRDefault="00880C3B" w:rsidP="00880C3B">
      <w:pPr>
        <w:pStyle w:val="level1"/>
        <w:numPr>
          <w:ilvl w:val="0"/>
          <w:numId w:val="0"/>
        </w:numPr>
        <w:spacing w:after="480" w:line="360" w:lineRule="auto"/>
        <w:jc w:val="both"/>
        <w:rPr>
          <w:lang w:val="en-US"/>
        </w:rPr>
      </w:pPr>
      <w:r>
        <w:rPr>
          <w:lang w:val="en-US"/>
        </w:rPr>
        <w:t>[58]</w:t>
      </w:r>
      <w:r>
        <w:rPr>
          <w:lang w:val="en-US"/>
        </w:rPr>
        <w:tab/>
      </w:r>
      <w:r w:rsidR="009C5166">
        <w:rPr>
          <w:lang w:val="en-US"/>
        </w:rPr>
        <w:t>Our courts have held that parties are entitled to make any legal contention open to them on the facts, even though that contention was not specifically raised or relied upon in the affidavits deposed to by the parties, subject to the proviso that it should not be unfair and should only be applied if all the relevant facts are before the court</w:t>
      </w:r>
      <w:r w:rsidR="009C5166">
        <w:rPr>
          <w:rStyle w:val="FootnoteReference"/>
          <w:lang w:val="en-US"/>
        </w:rPr>
        <w:footnoteReference w:id="35"/>
      </w:r>
      <w:r w:rsidR="009C5166">
        <w:rPr>
          <w:lang w:val="en-US"/>
        </w:rPr>
        <w:t>.</w:t>
      </w:r>
      <w:r w:rsidR="00716D36">
        <w:rPr>
          <w:lang w:val="en-US"/>
        </w:rPr>
        <w:t xml:space="preserve"> </w:t>
      </w:r>
    </w:p>
    <w:p w14:paraId="5F29FE4B" w14:textId="31A0FD61" w:rsidR="009C5166" w:rsidRDefault="00880C3B" w:rsidP="00880C3B">
      <w:pPr>
        <w:pStyle w:val="level1"/>
        <w:numPr>
          <w:ilvl w:val="0"/>
          <w:numId w:val="0"/>
        </w:numPr>
        <w:spacing w:after="480" w:line="360" w:lineRule="auto"/>
        <w:jc w:val="both"/>
        <w:rPr>
          <w:lang w:val="en-US"/>
        </w:rPr>
      </w:pPr>
      <w:r>
        <w:rPr>
          <w:lang w:val="en-US"/>
        </w:rPr>
        <w:t>[59]</w:t>
      </w:r>
      <w:r>
        <w:rPr>
          <w:lang w:val="en-US"/>
        </w:rPr>
        <w:tab/>
      </w:r>
      <w:r w:rsidR="00716D36">
        <w:rPr>
          <w:lang w:val="en-US"/>
        </w:rPr>
        <w:t xml:space="preserve">If a fundamental issue arises a court may raise an issue if it is necessary in the interests of justice and convenient to consider it, as long as a process is adopted which is fair to the parties and the principles of </w:t>
      </w:r>
      <w:r w:rsidR="00716D36" w:rsidRPr="00716D36">
        <w:rPr>
          <w:i/>
          <w:lang w:val="en-US"/>
        </w:rPr>
        <w:t>audi alteram partem</w:t>
      </w:r>
      <w:r w:rsidR="00716D36">
        <w:rPr>
          <w:lang w:val="en-US"/>
        </w:rPr>
        <w:t xml:space="preserve"> are observed</w:t>
      </w:r>
      <w:r w:rsidR="00716D36">
        <w:rPr>
          <w:rStyle w:val="FootnoteReference"/>
          <w:lang w:val="en-US"/>
        </w:rPr>
        <w:footnoteReference w:id="36"/>
      </w:r>
      <w:r w:rsidR="00716D36">
        <w:rPr>
          <w:lang w:val="en-US"/>
        </w:rPr>
        <w:t xml:space="preserve">. </w:t>
      </w:r>
      <w:r w:rsidR="004F091D">
        <w:rPr>
          <w:lang w:val="en-US"/>
        </w:rPr>
        <w:t>In the present instance, the parties were afforded an opportunity to deal with the issue</w:t>
      </w:r>
      <w:r w:rsidR="00976738">
        <w:rPr>
          <w:rStyle w:val="FootnoteReference"/>
          <w:lang w:val="en-US"/>
        </w:rPr>
        <w:footnoteReference w:id="37"/>
      </w:r>
      <w:r w:rsidR="004F091D">
        <w:rPr>
          <w:lang w:val="en-US"/>
        </w:rPr>
        <w:t xml:space="preserve"> and did so. </w:t>
      </w:r>
      <w:r w:rsidR="00716D36">
        <w:rPr>
          <w:lang w:val="en-US"/>
        </w:rPr>
        <w:t>I</w:t>
      </w:r>
      <w:r w:rsidR="004F091D">
        <w:rPr>
          <w:lang w:val="en-US"/>
        </w:rPr>
        <w:t xml:space="preserve">t was self- evidently necessary to </w:t>
      </w:r>
      <w:r w:rsidR="00716D36">
        <w:rPr>
          <w:lang w:val="en-US"/>
        </w:rPr>
        <w:t>consider the prescription issue</w:t>
      </w:r>
      <w:r w:rsidR="004F091D">
        <w:rPr>
          <w:lang w:val="en-US"/>
        </w:rPr>
        <w:t xml:space="preserve"> in </w:t>
      </w:r>
      <w:r w:rsidR="00976738">
        <w:rPr>
          <w:lang w:val="en-US"/>
        </w:rPr>
        <w:t xml:space="preserve">its </w:t>
      </w:r>
      <w:r w:rsidR="004F091D">
        <w:rPr>
          <w:lang w:val="en-US"/>
        </w:rPr>
        <w:t>tot</w:t>
      </w:r>
      <w:r w:rsidR="00976738">
        <w:rPr>
          <w:lang w:val="en-US"/>
        </w:rPr>
        <w:t>ality</w:t>
      </w:r>
      <w:r w:rsidR="00716D36">
        <w:rPr>
          <w:lang w:val="en-US"/>
        </w:rPr>
        <w:t>.</w:t>
      </w:r>
    </w:p>
    <w:p w14:paraId="690D5CDC" w14:textId="47C026E5" w:rsidR="009C5166" w:rsidRPr="00A55955" w:rsidRDefault="00880C3B" w:rsidP="00880C3B">
      <w:pPr>
        <w:pStyle w:val="level1"/>
        <w:numPr>
          <w:ilvl w:val="0"/>
          <w:numId w:val="0"/>
        </w:numPr>
        <w:spacing w:after="480" w:line="360" w:lineRule="auto"/>
        <w:jc w:val="both"/>
        <w:rPr>
          <w:lang w:val="en-US"/>
        </w:rPr>
      </w:pPr>
      <w:r w:rsidRPr="00A55955">
        <w:rPr>
          <w:lang w:val="en-US"/>
        </w:rPr>
        <w:t>[60]</w:t>
      </w:r>
      <w:r w:rsidRPr="00A55955">
        <w:rPr>
          <w:lang w:val="en-US"/>
        </w:rPr>
        <w:tab/>
      </w:r>
      <w:r w:rsidR="009C5166" w:rsidRPr="00A55955">
        <w:rPr>
          <w:lang w:val="en-US"/>
        </w:rPr>
        <w:t>I</w:t>
      </w:r>
      <w:r w:rsidR="009C5166">
        <w:rPr>
          <w:lang w:val="en-US"/>
        </w:rPr>
        <w:t>n</w:t>
      </w:r>
      <w:r w:rsidR="009C5166" w:rsidRPr="00A55955">
        <w:rPr>
          <w:lang w:val="en-US"/>
        </w:rPr>
        <w:t xml:space="preserve"> </w:t>
      </w:r>
      <w:r w:rsidR="00716D36" w:rsidRPr="00716D36">
        <w:rPr>
          <w:i/>
          <w:lang w:val="en-US"/>
        </w:rPr>
        <w:t>casu</w:t>
      </w:r>
      <w:r w:rsidR="00716D36">
        <w:rPr>
          <w:lang w:val="en-US"/>
        </w:rPr>
        <w:t>, t</w:t>
      </w:r>
      <w:r w:rsidR="009C5166" w:rsidRPr="00A55955">
        <w:rPr>
          <w:lang w:val="en-US"/>
        </w:rPr>
        <w:t xml:space="preserve">he defence of prescription was expressly raised by the respondent, and thus not by the court </w:t>
      </w:r>
      <w:r w:rsidR="009C5166" w:rsidRPr="00A55955">
        <w:rPr>
          <w:i/>
          <w:lang w:val="en-US"/>
        </w:rPr>
        <w:t>mero motu</w:t>
      </w:r>
      <w:r w:rsidR="009C5166" w:rsidRPr="00A55955">
        <w:rPr>
          <w:lang w:val="en-US"/>
        </w:rPr>
        <w:t xml:space="preserve">. Moreover, the case made by the respondent and as </w:t>
      </w:r>
      <w:r w:rsidR="009C5166" w:rsidRPr="00A55955">
        <w:rPr>
          <w:lang w:val="en-US"/>
        </w:rPr>
        <w:lastRenderedPageBreak/>
        <w:t xml:space="preserve">responded to by the applicant requires an interpretation of the guarantee agreements. In those circumstances it cannot be concluded that those issues are not issues formulated by the parties to the litigation. </w:t>
      </w:r>
    </w:p>
    <w:p w14:paraId="40B0470D" w14:textId="44C8004B" w:rsidR="00C95BB6" w:rsidRDefault="00880C3B" w:rsidP="00880C3B">
      <w:pPr>
        <w:pStyle w:val="level1"/>
        <w:numPr>
          <w:ilvl w:val="0"/>
          <w:numId w:val="0"/>
        </w:numPr>
        <w:spacing w:after="480" w:line="360" w:lineRule="auto"/>
        <w:jc w:val="both"/>
        <w:rPr>
          <w:lang w:val="en-US"/>
        </w:rPr>
      </w:pPr>
      <w:r>
        <w:rPr>
          <w:lang w:val="en-US"/>
        </w:rPr>
        <w:t>[61]</w:t>
      </w:r>
      <w:r>
        <w:rPr>
          <w:lang w:val="en-US"/>
        </w:rPr>
        <w:tab/>
      </w:r>
      <w:r w:rsidR="00976738">
        <w:rPr>
          <w:lang w:val="en-US"/>
        </w:rPr>
        <w:t xml:space="preserve">Returning to </w:t>
      </w:r>
      <w:r w:rsidR="00976738" w:rsidRPr="00976738">
        <w:rPr>
          <w:i/>
          <w:lang w:val="en-US"/>
        </w:rPr>
        <w:t>Meisenheimer</w:t>
      </w:r>
      <w:r w:rsidR="00976738">
        <w:rPr>
          <w:lang w:val="en-US"/>
        </w:rPr>
        <w:t xml:space="preserve"> and the argument advanced by the applicant, t</w:t>
      </w:r>
      <w:r w:rsidR="00C95BB6" w:rsidRPr="00C95BB6">
        <w:rPr>
          <w:lang w:val="en-US"/>
        </w:rPr>
        <w:t xml:space="preserve">he issue of whether an anticipatory waiver clause in an agreement is </w:t>
      </w:r>
      <w:r w:rsidR="00C95BB6" w:rsidRPr="00C95BB6">
        <w:rPr>
          <w:i/>
          <w:lang w:val="en-US"/>
        </w:rPr>
        <w:t>contra bonos mores</w:t>
      </w:r>
      <w:r w:rsidR="00C95BB6" w:rsidRPr="00C95BB6">
        <w:rPr>
          <w:lang w:val="en-US"/>
        </w:rPr>
        <w:t xml:space="preserve"> is contentious. </w:t>
      </w:r>
      <w:r w:rsidR="00716D36" w:rsidRPr="00C95BB6">
        <w:rPr>
          <w:lang w:val="en-US"/>
        </w:rPr>
        <w:t xml:space="preserve">In </w:t>
      </w:r>
      <w:r w:rsidR="00716D36" w:rsidRPr="00C95BB6">
        <w:rPr>
          <w:i/>
          <w:lang w:val="en-US"/>
        </w:rPr>
        <w:t>Griederich King GMBH v Continental Jewellery Manufacturers</w:t>
      </w:r>
      <w:r w:rsidR="00716D36">
        <w:rPr>
          <w:rStyle w:val="FootnoteReference"/>
          <w:lang w:val="en-US"/>
        </w:rPr>
        <w:footnoteReference w:id="38"/>
      </w:r>
      <w:r w:rsidR="00716D36" w:rsidRPr="00C95BB6">
        <w:rPr>
          <w:lang w:val="en-US"/>
        </w:rPr>
        <w:t xml:space="preserve"> the court followed </w:t>
      </w:r>
      <w:r w:rsidR="00716D36" w:rsidRPr="00C95BB6">
        <w:rPr>
          <w:i/>
          <w:lang w:val="en-US"/>
        </w:rPr>
        <w:t>Meisenheimer</w:t>
      </w:r>
      <w:r w:rsidR="00716D36" w:rsidRPr="00C95BB6">
        <w:rPr>
          <w:lang w:val="en-US"/>
        </w:rPr>
        <w:t>, albeit in context of the renunciation of the right after the debt had arisen and not an anticipatory waiver.</w:t>
      </w:r>
      <w:r w:rsidR="00C95BB6">
        <w:rPr>
          <w:lang w:val="en-US"/>
        </w:rPr>
        <w:t xml:space="preserve"> </w:t>
      </w:r>
      <w:r w:rsidR="00716D36" w:rsidRPr="00C95BB6">
        <w:rPr>
          <w:lang w:val="en-US"/>
        </w:rPr>
        <w:t xml:space="preserve">In </w:t>
      </w:r>
      <w:r w:rsidR="00716D36" w:rsidRPr="00C95BB6">
        <w:rPr>
          <w:i/>
          <w:lang w:val="en-US"/>
        </w:rPr>
        <w:t>Absa Bank Bph h/a Bankfin v Louw en Andere (“Louw”)</w:t>
      </w:r>
      <w:r w:rsidR="00716D36">
        <w:rPr>
          <w:rStyle w:val="FootnoteReference"/>
          <w:lang w:val="en-US"/>
        </w:rPr>
        <w:footnoteReference w:id="39"/>
      </w:r>
      <w:r w:rsidR="00716D36" w:rsidRPr="00C95BB6">
        <w:rPr>
          <w:lang w:val="en-US"/>
        </w:rPr>
        <w:t xml:space="preserve">, approving </w:t>
      </w:r>
      <w:r w:rsidR="00716D36" w:rsidRPr="00C95BB6">
        <w:rPr>
          <w:i/>
          <w:lang w:val="en-US"/>
        </w:rPr>
        <w:t>Ryland v Edros</w:t>
      </w:r>
      <w:r w:rsidR="00716D36">
        <w:rPr>
          <w:rStyle w:val="FootnoteReference"/>
          <w:lang w:val="en-US"/>
        </w:rPr>
        <w:footnoteReference w:id="40"/>
      </w:r>
      <w:r w:rsidR="001252A0">
        <w:rPr>
          <w:i/>
          <w:lang w:val="en-US"/>
        </w:rPr>
        <w:t>,</w:t>
      </w:r>
      <w:r w:rsidR="00716D36" w:rsidRPr="00C95BB6">
        <w:rPr>
          <w:lang w:val="en-US"/>
        </w:rPr>
        <w:t xml:space="preserve"> it was held that </w:t>
      </w:r>
      <w:r w:rsidR="00716D36" w:rsidRPr="001252A0">
        <w:rPr>
          <w:i/>
          <w:lang w:val="en-US"/>
        </w:rPr>
        <w:t>Meisenheimer</w:t>
      </w:r>
      <w:r w:rsidR="00716D36" w:rsidRPr="00C95BB6">
        <w:rPr>
          <w:lang w:val="en-US"/>
        </w:rPr>
        <w:t xml:space="preserve"> was clearly wrong and should not be followed. These conflicting judgments were referred to by the Supreme Court of Appeal in </w:t>
      </w:r>
      <w:r w:rsidR="00716D36" w:rsidRPr="00C95BB6">
        <w:rPr>
          <w:i/>
          <w:lang w:val="en-US"/>
        </w:rPr>
        <w:t>De Jager &amp; Andere v Absa Bank Bpk</w:t>
      </w:r>
      <w:r w:rsidR="00716D36">
        <w:rPr>
          <w:rStyle w:val="FootnoteReference"/>
          <w:lang w:val="en-US"/>
        </w:rPr>
        <w:footnoteReference w:id="41"/>
      </w:r>
      <w:r w:rsidR="00716D36" w:rsidRPr="00C95BB6">
        <w:rPr>
          <w:lang w:val="en-US"/>
        </w:rPr>
        <w:t xml:space="preserve"> (</w:t>
      </w:r>
      <w:r w:rsidR="00716D36" w:rsidRPr="00C95BB6">
        <w:rPr>
          <w:i/>
          <w:lang w:val="en-US"/>
        </w:rPr>
        <w:t>“De Jager</w:t>
      </w:r>
      <w:r w:rsidR="00716D36" w:rsidRPr="00C95BB6">
        <w:rPr>
          <w:lang w:val="en-US"/>
        </w:rPr>
        <w:t xml:space="preserve">”), but the issue of an anticipatory waiver of prescription was not decided. </w:t>
      </w:r>
      <w:r w:rsidR="00716D36" w:rsidRPr="00C95BB6">
        <w:rPr>
          <w:i/>
          <w:lang w:val="en-US"/>
        </w:rPr>
        <w:t>De Jager</w:t>
      </w:r>
      <w:r w:rsidR="00716D36" w:rsidRPr="00C95BB6">
        <w:rPr>
          <w:lang w:val="en-US"/>
        </w:rPr>
        <w:t xml:space="preserve"> however expressly held that prescription serves the public interest.</w:t>
      </w:r>
      <w:r w:rsidR="00716D36">
        <w:rPr>
          <w:rStyle w:val="FootnoteReference"/>
          <w:lang w:val="en-US"/>
        </w:rPr>
        <w:footnoteReference w:id="42"/>
      </w:r>
      <w:r w:rsidR="00716D36" w:rsidRPr="00C95BB6">
        <w:rPr>
          <w:lang w:val="en-US"/>
        </w:rPr>
        <w:t xml:space="preserve"> The judgment in </w:t>
      </w:r>
      <w:r w:rsidR="00716D36" w:rsidRPr="00C95BB6">
        <w:rPr>
          <w:i/>
          <w:lang w:val="en-US"/>
        </w:rPr>
        <w:t>Meisenheimer</w:t>
      </w:r>
      <w:r w:rsidR="00716D36" w:rsidRPr="00C95BB6">
        <w:rPr>
          <w:lang w:val="en-US"/>
        </w:rPr>
        <w:t xml:space="preserve">, is predicated on the opposite contention. </w:t>
      </w:r>
    </w:p>
    <w:p w14:paraId="45A2A37A" w14:textId="5CAF1BBD" w:rsidR="00716D36" w:rsidRPr="00C95BB6" w:rsidRDefault="00880C3B" w:rsidP="00880C3B">
      <w:pPr>
        <w:pStyle w:val="level1"/>
        <w:numPr>
          <w:ilvl w:val="0"/>
          <w:numId w:val="0"/>
        </w:numPr>
        <w:spacing w:after="480" w:line="360" w:lineRule="auto"/>
        <w:jc w:val="both"/>
        <w:rPr>
          <w:lang w:val="en-US"/>
        </w:rPr>
      </w:pPr>
      <w:r w:rsidRPr="00C95BB6">
        <w:rPr>
          <w:lang w:val="en-US"/>
        </w:rPr>
        <w:t>[62]</w:t>
      </w:r>
      <w:r w:rsidRPr="00C95BB6">
        <w:rPr>
          <w:lang w:val="en-US"/>
        </w:rPr>
        <w:tab/>
      </w:r>
      <w:r w:rsidR="00716D36" w:rsidRPr="00C95BB6">
        <w:rPr>
          <w:lang w:val="en-US"/>
        </w:rPr>
        <w:t>Ultimately, in light of the view I have taken of the matter, it is not necessary to enter into the debate or make any definitive finding on the issue</w:t>
      </w:r>
      <w:r w:rsidR="00A8204D">
        <w:rPr>
          <w:lang w:val="en-US"/>
        </w:rPr>
        <w:t xml:space="preserve">. </w:t>
      </w:r>
      <w:r w:rsidR="00A9287A">
        <w:rPr>
          <w:lang w:val="en-US"/>
        </w:rPr>
        <w:t xml:space="preserve"> </w:t>
      </w:r>
      <w:r w:rsidR="00A8204D">
        <w:rPr>
          <w:lang w:val="en-US"/>
        </w:rPr>
        <w:t>C</w:t>
      </w:r>
      <w:r w:rsidR="00A9287A">
        <w:rPr>
          <w:lang w:val="en-US"/>
        </w:rPr>
        <w:t xml:space="preserve">lause 6.4 </w:t>
      </w:r>
      <w:r w:rsidR="00A8204D">
        <w:rPr>
          <w:lang w:val="en-US"/>
        </w:rPr>
        <w:t xml:space="preserve">of the agreement must be read in context of the guarantee agreement as a whole and the respondent not being entitled to rely on the prescription of the underlying obligations of Keka. This accords with the applicable principles pertaining to the autonomy of </w:t>
      </w:r>
      <w:r w:rsidR="00A9287A">
        <w:rPr>
          <w:lang w:val="en-US"/>
        </w:rPr>
        <w:t>guarantee</w:t>
      </w:r>
      <w:r w:rsidR="00A8204D">
        <w:rPr>
          <w:lang w:val="en-US"/>
        </w:rPr>
        <w:t>s</w:t>
      </w:r>
      <w:r w:rsidR="00C95BB6">
        <w:rPr>
          <w:lang w:val="en-US"/>
        </w:rPr>
        <w:t>.</w:t>
      </w:r>
      <w:r w:rsidR="00976738" w:rsidRPr="00976738">
        <w:rPr>
          <w:lang w:val="en-US"/>
        </w:rPr>
        <w:t xml:space="preserve"> </w:t>
      </w:r>
      <w:r w:rsidR="00976738">
        <w:rPr>
          <w:lang w:val="en-US"/>
        </w:rPr>
        <w:t>It is thus not a case of a blanket anticipatory waiver clause.</w:t>
      </w:r>
    </w:p>
    <w:p w14:paraId="0B664C6D" w14:textId="23AA709E" w:rsidR="00A95B11" w:rsidRDefault="00880C3B" w:rsidP="00880C3B">
      <w:pPr>
        <w:pStyle w:val="level1"/>
        <w:numPr>
          <w:ilvl w:val="0"/>
          <w:numId w:val="0"/>
        </w:numPr>
        <w:spacing w:after="480" w:line="360" w:lineRule="auto"/>
        <w:jc w:val="both"/>
        <w:rPr>
          <w:lang w:val="en-US"/>
        </w:rPr>
      </w:pPr>
      <w:r>
        <w:rPr>
          <w:lang w:val="en-US"/>
        </w:rPr>
        <w:t>[63]</w:t>
      </w:r>
      <w:r>
        <w:rPr>
          <w:lang w:val="en-US"/>
        </w:rPr>
        <w:tab/>
      </w:r>
      <w:r w:rsidR="00532359" w:rsidRPr="00532359">
        <w:rPr>
          <w:lang w:val="en-US"/>
        </w:rPr>
        <w:t xml:space="preserve">The applicant has been substantially successful </w:t>
      </w:r>
      <w:r w:rsidR="00A95B11">
        <w:rPr>
          <w:lang w:val="en-US"/>
        </w:rPr>
        <w:t>in the main application</w:t>
      </w:r>
      <w:r w:rsidR="00532359" w:rsidRPr="00532359">
        <w:rPr>
          <w:lang w:val="en-US"/>
        </w:rPr>
        <w:t>.</w:t>
      </w:r>
      <w:r w:rsidR="00532359">
        <w:rPr>
          <w:lang w:val="en-US"/>
        </w:rPr>
        <w:t xml:space="preserve"> </w:t>
      </w:r>
      <w:r w:rsidR="00016FFE" w:rsidRPr="00532359">
        <w:rPr>
          <w:lang w:val="en-US"/>
        </w:rPr>
        <w:t xml:space="preserve">There is no reason to deviate from the normal principle that costs follow the result. </w:t>
      </w:r>
      <w:r w:rsidR="009D59FE">
        <w:rPr>
          <w:lang w:val="en-US"/>
        </w:rPr>
        <w:t xml:space="preserve">The guarantee agreement provides for costs to be paid </w:t>
      </w:r>
      <w:r w:rsidR="00A8204D">
        <w:rPr>
          <w:lang w:val="en-US"/>
        </w:rPr>
        <w:t>on an attorney and own client scale</w:t>
      </w:r>
      <w:r w:rsidR="00A8204D">
        <w:rPr>
          <w:rStyle w:val="FootnoteReference"/>
          <w:lang w:val="en-US"/>
        </w:rPr>
        <w:footnoteReference w:id="43"/>
      </w:r>
      <w:r w:rsidR="00A8204D">
        <w:rPr>
          <w:lang w:val="en-US"/>
        </w:rPr>
        <w:t xml:space="preserve">. In its notice </w:t>
      </w:r>
      <w:r w:rsidR="00A8204D">
        <w:rPr>
          <w:lang w:val="en-US"/>
        </w:rPr>
        <w:lastRenderedPageBreak/>
        <w:t xml:space="preserve">of motion, the applicant however sought costs on the scale as between attorney and client. </w:t>
      </w:r>
      <w:r w:rsidR="00976738">
        <w:rPr>
          <w:lang w:val="en-US"/>
        </w:rPr>
        <w:t>Such an order will be granted.</w:t>
      </w:r>
    </w:p>
    <w:p w14:paraId="6E8EA18D" w14:textId="4CFDC3E1" w:rsidR="001F740C" w:rsidRDefault="00880C3B" w:rsidP="00880C3B">
      <w:pPr>
        <w:pStyle w:val="level1"/>
        <w:numPr>
          <w:ilvl w:val="0"/>
          <w:numId w:val="0"/>
        </w:numPr>
        <w:spacing w:after="480" w:line="360" w:lineRule="auto"/>
        <w:jc w:val="both"/>
        <w:rPr>
          <w:lang w:val="en-US"/>
        </w:rPr>
      </w:pPr>
      <w:r>
        <w:rPr>
          <w:lang w:val="en-US"/>
        </w:rPr>
        <w:t>[64]</w:t>
      </w:r>
      <w:r>
        <w:rPr>
          <w:lang w:val="en-US"/>
        </w:rPr>
        <w:tab/>
      </w:r>
      <w:r w:rsidR="001F740C">
        <w:rPr>
          <w:lang w:val="en-US"/>
        </w:rPr>
        <w:t>I grant the following order:</w:t>
      </w:r>
    </w:p>
    <w:p w14:paraId="70D881A6" w14:textId="3790E714" w:rsidR="009D3001" w:rsidRDefault="00880C3B" w:rsidP="00880C3B">
      <w:pPr>
        <w:pStyle w:val="level1"/>
        <w:numPr>
          <w:ilvl w:val="0"/>
          <w:numId w:val="0"/>
        </w:numPr>
        <w:spacing w:line="360" w:lineRule="auto"/>
        <w:ind w:left="720" w:hanging="720"/>
        <w:jc w:val="both"/>
        <w:rPr>
          <w:lang w:val="en-US"/>
        </w:rPr>
      </w:pPr>
      <w:r>
        <w:rPr>
          <w:lang w:val="en-US"/>
        </w:rPr>
        <w:t>[1]</w:t>
      </w:r>
      <w:r>
        <w:rPr>
          <w:lang w:val="en-US"/>
        </w:rPr>
        <w:tab/>
      </w:r>
      <w:r w:rsidR="009D3001" w:rsidRPr="009D3001">
        <w:rPr>
          <w:lang w:val="en-US"/>
        </w:rPr>
        <w:t>Condon</w:t>
      </w:r>
      <w:r w:rsidR="0072699F">
        <w:rPr>
          <w:lang w:val="en-US"/>
        </w:rPr>
        <w:t>ation is granted for th</w:t>
      </w:r>
      <w:r w:rsidR="009D3001" w:rsidRPr="009D3001">
        <w:rPr>
          <w:lang w:val="en-US"/>
        </w:rPr>
        <w:t xml:space="preserve">e </w:t>
      </w:r>
      <w:r w:rsidR="0072699F">
        <w:rPr>
          <w:lang w:val="en-US"/>
        </w:rPr>
        <w:t>r</w:t>
      </w:r>
      <w:r w:rsidR="009D3001" w:rsidRPr="009D3001">
        <w:rPr>
          <w:lang w:val="en-US"/>
        </w:rPr>
        <w:t>espondent</w:t>
      </w:r>
      <w:r w:rsidR="0072699F">
        <w:rPr>
          <w:lang w:val="en-US"/>
        </w:rPr>
        <w:t>’</w:t>
      </w:r>
      <w:r w:rsidR="009D3001" w:rsidRPr="009D3001">
        <w:rPr>
          <w:lang w:val="en-US"/>
        </w:rPr>
        <w:t>s failure to have timeously delivered an answering affidavit in the main application and to comply with the order of court granted on the 15</w:t>
      </w:r>
      <w:r w:rsidR="009D3001" w:rsidRPr="009D3001">
        <w:rPr>
          <w:vertAlign w:val="superscript"/>
          <w:lang w:val="en-US"/>
        </w:rPr>
        <w:t>th</w:t>
      </w:r>
      <w:r w:rsidR="009D3001" w:rsidRPr="009D3001">
        <w:rPr>
          <w:lang w:val="en-US"/>
        </w:rPr>
        <w:t xml:space="preserve"> day of November 2021, directing the Respondent to file an answering affidavit by the 23</w:t>
      </w:r>
      <w:r w:rsidR="009D3001" w:rsidRPr="009D3001">
        <w:rPr>
          <w:vertAlign w:val="superscript"/>
          <w:lang w:val="en-US"/>
        </w:rPr>
        <w:t>rd</w:t>
      </w:r>
      <w:r w:rsidR="009D3001" w:rsidRPr="009D3001">
        <w:rPr>
          <w:lang w:val="en-US"/>
        </w:rPr>
        <w:t xml:space="preserve"> day of November 2021, and extending the period within which the answering affidavit in the main application is to be delivered; </w:t>
      </w:r>
    </w:p>
    <w:p w14:paraId="3CF2BF02" w14:textId="77777777" w:rsidR="009D3001" w:rsidRPr="009D3001" w:rsidRDefault="009D3001" w:rsidP="009D3001">
      <w:pPr>
        <w:pStyle w:val="level1"/>
        <w:numPr>
          <w:ilvl w:val="0"/>
          <w:numId w:val="0"/>
        </w:numPr>
        <w:spacing w:line="360" w:lineRule="auto"/>
        <w:ind w:left="360"/>
        <w:jc w:val="both"/>
        <w:rPr>
          <w:lang w:val="en-US"/>
        </w:rPr>
      </w:pPr>
    </w:p>
    <w:p w14:paraId="47967363" w14:textId="42C91755" w:rsidR="009D3001" w:rsidRDefault="00880C3B" w:rsidP="00880C3B">
      <w:pPr>
        <w:pStyle w:val="level1"/>
        <w:numPr>
          <w:ilvl w:val="0"/>
          <w:numId w:val="0"/>
        </w:numPr>
        <w:spacing w:line="360" w:lineRule="auto"/>
        <w:ind w:left="720" w:hanging="720"/>
        <w:jc w:val="both"/>
        <w:rPr>
          <w:lang w:val="en-US"/>
        </w:rPr>
      </w:pPr>
      <w:r>
        <w:rPr>
          <w:lang w:val="en-US"/>
        </w:rPr>
        <w:t>[2]</w:t>
      </w:r>
      <w:r>
        <w:rPr>
          <w:lang w:val="en-US"/>
        </w:rPr>
        <w:tab/>
      </w:r>
      <w:r w:rsidR="009D3001">
        <w:rPr>
          <w:lang w:val="en-US"/>
        </w:rPr>
        <w:t>Condon</w:t>
      </w:r>
      <w:r w:rsidR="0072699F">
        <w:rPr>
          <w:lang w:val="en-US"/>
        </w:rPr>
        <w:t xml:space="preserve">ation is granted for </w:t>
      </w:r>
      <w:r w:rsidR="009D3001">
        <w:rPr>
          <w:lang w:val="en-US"/>
        </w:rPr>
        <w:t xml:space="preserve">the </w:t>
      </w:r>
      <w:r w:rsidR="0072699F">
        <w:rPr>
          <w:lang w:val="en-US"/>
        </w:rPr>
        <w:t>r</w:t>
      </w:r>
      <w:r w:rsidR="009D3001">
        <w:rPr>
          <w:lang w:val="en-US"/>
        </w:rPr>
        <w:t>espondent</w:t>
      </w:r>
      <w:r w:rsidR="0072699F">
        <w:rPr>
          <w:lang w:val="en-US"/>
        </w:rPr>
        <w:t>’</w:t>
      </w:r>
      <w:r w:rsidR="009D3001">
        <w:rPr>
          <w:lang w:val="en-US"/>
        </w:rPr>
        <w:t xml:space="preserve">s failure to comply with the </w:t>
      </w:r>
      <w:r w:rsidR="0072699F">
        <w:rPr>
          <w:lang w:val="en-US"/>
        </w:rPr>
        <w:t xml:space="preserve">court </w:t>
      </w:r>
      <w:r w:rsidR="009D3001">
        <w:rPr>
          <w:lang w:val="en-US"/>
        </w:rPr>
        <w:t>order dated the 10</w:t>
      </w:r>
      <w:r w:rsidR="009D3001" w:rsidRPr="00994273">
        <w:rPr>
          <w:vertAlign w:val="superscript"/>
          <w:lang w:val="en-US"/>
        </w:rPr>
        <w:t>th</w:t>
      </w:r>
      <w:r w:rsidR="009D3001">
        <w:rPr>
          <w:lang w:val="en-US"/>
        </w:rPr>
        <w:t xml:space="preserve"> day of May 2022, directing the </w:t>
      </w:r>
      <w:r w:rsidR="0072699F">
        <w:rPr>
          <w:lang w:val="en-US"/>
        </w:rPr>
        <w:t>r</w:t>
      </w:r>
      <w:r w:rsidR="009D3001">
        <w:rPr>
          <w:lang w:val="en-US"/>
        </w:rPr>
        <w:t>espondent to file heads of argument in the manner contemplated in the order, and extending the period within which the heads of argument are to be delivered;</w:t>
      </w:r>
    </w:p>
    <w:p w14:paraId="71D577A0" w14:textId="77777777" w:rsidR="009D3001" w:rsidRDefault="009D3001" w:rsidP="00610A43">
      <w:pPr>
        <w:pStyle w:val="level1"/>
        <w:numPr>
          <w:ilvl w:val="0"/>
          <w:numId w:val="0"/>
        </w:numPr>
        <w:spacing w:line="360" w:lineRule="auto"/>
        <w:ind w:left="360"/>
        <w:jc w:val="both"/>
        <w:rPr>
          <w:lang w:val="en-US"/>
        </w:rPr>
      </w:pPr>
    </w:p>
    <w:p w14:paraId="255B2D16" w14:textId="659290C7" w:rsidR="0072699F" w:rsidRDefault="00880C3B" w:rsidP="00880C3B">
      <w:pPr>
        <w:pStyle w:val="level1"/>
        <w:numPr>
          <w:ilvl w:val="0"/>
          <w:numId w:val="0"/>
        </w:numPr>
        <w:spacing w:line="360" w:lineRule="auto"/>
        <w:ind w:left="720" w:hanging="720"/>
        <w:jc w:val="both"/>
        <w:rPr>
          <w:lang w:val="en-US"/>
        </w:rPr>
      </w:pPr>
      <w:r>
        <w:rPr>
          <w:lang w:val="en-US"/>
        </w:rPr>
        <w:t>[3]</w:t>
      </w:r>
      <w:r>
        <w:rPr>
          <w:lang w:val="en-US"/>
        </w:rPr>
        <w:tab/>
      </w:r>
      <w:r w:rsidR="0072699F">
        <w:rPr>
          <w:lang w:val="en-US"/>
        </w:rPr>
        <w:t>T</w:t>
      </w:r>
      <w:r w:rsidR="009D3001">
        <w:rPr>
          <w:lang w:val="en-US"/>
        </w:rPr>
        <w:t xml:space="preserve">he </w:t>
      </w:r>
      <w:r w:rsidR="0072699F">
        <w:rPr>
          <w:lang w:val="en-US"/>
        </w:rPr>
        <w:t>r</w:t>
      </w:r>
      <w:r w:rsidR="009D3001">
        <w:rPr>
          <w:lang w:val="en-US"/>
        </w:rPr>
        <w:t xml:space="preserve">espondent </w:t>
      </w:r>
      <w:r w:rsidR="0072699F">
        <w:rPr>
          <w:lang w:val="en-US"/>
        </w:rPr>
        <w:t xml:space="preserve">is directed </w:t>
      </w:r>
      <w:r w:rsidR="009D3001">
        <w:rPr>
          <w:lang w:val="en-US"/>
        </w:rPr>
        <w:t>to pay the costs of th</w:t>
      </w:r>
      <w:r w:rsidR="0072699F">
        <w:rPr>
          <w:lang w:val="en-US"/>
        </w:rPr>
        <w:t xml:space="preserve">e condonation </w:t>
      </w:r>
      <w:r w:rsidR="009D3001">
        <w:rPr>
          <w:lang w:val="en-US"/>
        </w:rPr>
        <w:t>application</w:t>
      </w:r>
      <w:r w:rsidR="0072699F">
        <w:rPr>
          <w:lang w:val="en-US"/>
        </w:rPr>
        <w:t xml:space="preserve"> on the scale as between attorney and client;</w:t>
      </w:r>
    </w:p>
    <w:p w14:paraId="35DD777D" w14:textId="77777777" w:rsidR="0072699F" w:rsidRDefault="0072699F" w:rsidP="00610A43">
      <w:pPr>
        <w:pStyle w:val="ListParagraph"/>
        <w:spacing w:after="0"/>
        <w:rPr>
          <w:lang w:val="en-US"/>
        </w:rPr>
      </w:pPr>
    </w:p>
    <w:p w14:paraId="0C3DCFBA" w14:textId="2F297C4E" w:rsidR="009D3001" w:rsidRDefault="00880C3B" w:rsidP="00880C3B">
      <w:pPr>
        <w:pStyle w:val="level1"/>
        <w:numPr>
          <w:ilvl w:val="0"/>
          <w:numId w:val="0"/>
        </w:numPr>
        <w:spacing w:line="360" w:lineRule="auto"/>
        <w:ind w:left="720" w:hanging="720"/>
        <w:jc w:val="both"/>
        <w:rPr>
          <w:lang w:val="en-US"/>
        </w:rPr>
      </w:pPr>
      <w:r>
        <w:rPr>
          <w:lang w:val="en-US"/>
        </w:rPr>
        <w:t>[4]</w:t>
      </w:r>
      <w:r>
        <w:rPr>
          <w:lang w:val="en-US"/>
        </w:rPr>
        <w:tab/>
      </w:r>
      <w:r w:rsidR="009D3001" w:rsidRPr="007F648E">
        <w:rPr>
          <w:lang w:val="en-US"/>
        </w:rPr>
        <w:t>The</w:t>
      </w:r>
      <w:r w:rsidR="009D3001">
        <w:rPr>
          <w:lang w:val="en-US"/>
        </w:rPr>
        <w:t xml:space="preserve"> respondent’s striking out application is dismissed with costs;</w:t>
      </w:r>
    </w:p>
    <w:p w14:paraId="3A56D9D4" w14:textId="77777777" w:rsidR="009D59FE" w:rsidRDefault="009D59FE" w:rsidP="009D59FE">
      <w:pPr>
        <w:pStyle w:val="ListParagraph"/>
        <w:rPr>
          <w:lang w:val="en-US"/>
        </w:rPr>
      </w:pPr>
    </w:p>
    <w:p w14:paraId="30EF69E4" w14:textId="41031AD7" w:rsidR="009D59FE" w:rsidRDefault="00880C3B" w:rsidP="00880C3B">
      <w:pPr>
        <w:pStyle w:val="level1"/>
        <w:numPr>
          <w:ilvl w:val="0"/>
          <w:numId w:val="0"/>
        </w:numPr>
        <w:spacing w:line="360" w:lineRule="auto"/>
        <w:ind w:left="720" w:hanging="720"/>
        <w:jc w:val="both"/>
        <w:rPr>
          <w:lang w:val="en-US"/>
        </w:rPr>
      </w:pPr>
      <w:r>
        <w:rPr>
          <w:lang w:val="en-US"/>
        </w:rPr>
        <w:t>[5]</w:t>
      </w:r>
      <w:r>
        <w:rPr>
          <w:lang w:val="en-US"/>
        </w:rPr>
        <w:tab/>
      </w:r>
      <w:r w:rsidR="009D59FE">
        <w:rPr>
          <w:lang w:val="en-US"/>
        </w:rPr>
        <w:t>The claims in prayers 1.1 and 3 of the notice of motion are dismissed;</w:t>
      </w:r>
    </w:p>
    <w:p w14:paraId="6BBE1B6E" w14:textId="77777777" w:rsidR="006D2262" w:rsidRDefault="006D2262" w:rsidP="00610A43">
      <w:pPr>
        <w:pStyle w:val="ListParagraph"/>
        <w:spacing w:after="0"/>
        <w:rPr>
          <w:lang w:val="en-US"/>
        </w:rPr>
      </w:pPr>
    </w:p>
    <w:p w14:paraId="772F2F5D" w14:textId="01EECB8A" w:rsidR="006D2262" w:rsidRDefault="00880C3B" w:rsidP="00880C3B">
      <w:pPr>
        <w:pStyle w:val="level1"/>
        <w:numPr>
          <w:ilvl w:val="0"/>
          <w:numId w:val="0"/>
        </w:numPr>
        <w:spacing w:line="360" w:lineRule="auto"/>
        <w:ind w:left="720" w:hanging="720"/>
        <w:jc w:val="both"/>
        <w:rPr>
          <w:lang w:val="en-US"/>
        </w:rPr>
      </w:pPr>
      <w:r>
        <w:rPr>
          <w:lang w:val="en-US"/>
        </w:rPr>
        <w:t>[6]</w:t>
      </w:r>
      <w:r>
        <w:rPr>
          <w:lang w:val="en-US"/>
        </w:rPr>
        <w:tab/>
      </w:r>
      <w:r w:rsidR="006D2262">
        <w:rPr>
          <w:lang w:val="en-US"/>
        </w:rPr>
        <w:t>Judgment is granted against the respondent for:</w:t>
      </w:r>
    </w:p>
    <w:p w14:paraId="6838EBE8" w14:textId="77777777" w:rsidR="009D3001" w:rsidRDefault="009D3001" w:rsidP="009D3001">
      <w:pPr>
        <w:pStyle w:val="level1"/>
        <w:numPr>
          <w:ilvl w:val="0"/>
          <w:numId w:val="0"/>
        </w:numPr>
        <w:spacing w:line="360" w:lineRule="auto"/>
        <w:jc w:val="both"/>
        <w:rPr>
          <w:lang w:val="en-US"/>
        </w:rPr>
      </w:pPr>
    </w:p>
    <w:p w14:paraId="6ABF1D7D" w14:textId="77777777" w:rsidR="006D2262" w:rsidRPr="009D3FDE" w:rsidRDefault="006D2262" w:rsidP="00A348A7">
      <w:pPr>
        <w:pStyle w:val="level1"/>
        <w:numPr>
          <w:ilvl w:val="0"/>
          <w:numId w:val="0"/>
        </w:numPr>
        <w:spacing w:after="480"/>
        <w:jc w:val="both"/>
        <w:rPr>
          <w:lang w:val="en-US"/>
        </w:rPr>
      </w:pPr>
      <w:r w:rsidRPr="009D3FDE">
        <w:rPr>
          <w:lang w:val="en-US"/>
        </w:rPr>
        <w:t>SHORT FORM LOAN AGREEMENT DATED  23 NOVEMBER 2015</w:t>
      </w:r>
    </w:p>
    <w:p w14:paraId="40DB2811" w14:textId="77777777" w:rsidR="006D2262" w:rsidRDefault="00F973C6" w:rsidP="00A348A7">
      <w:pPr>
        <w:pStyle w:val="level1"/>
        <w:numPr>
          <w:ilvl w:val="0"/>
          <w:numId w:val="0"/>
        </w:numPr>
        <w:jc w:val="both"/>
        <w:rPr>
          <w:lang w:val="en-US"/>
        </w:rPr>
      </w:pPr>
      <w:r>
        <w:rPr>
          <w:lang w:val="en-US"/>
        </w:rPr>
        <w:t>[</w:t>
      </w:r>
      <w:r w:rsidR="009D59FE">
        <w:rPr>
          <w:lang w:val="en-US"/>
        </w:rPr>
        <w:t>6</w:t>
      </w:r>
      <w:r>
        <w:rPr>
          <w:lang w:val="en-US"/>
        </w:rPr>
        <w:t>.1]</w:t>
      </w:r>
      <w:r w:rsidR="008C2F78" w:rsidRPr="009C5166">
        <w:rPr>
          <w:lang w:val="en-US"/>
        </w:rPr>
        <w:tab/>
      </w:r>
      <w:r w:rsidR="008C2F78">
        <w:rPr>
          <w:lang w:val="en-US"/>
        </w:rPr>
        <w:t xml:space="preserve"> BUSINESS</w:t>
      </w:r>
      <w:r w:rsidR="006D2262" w:rsidRPr="009C5166">
        <w:rPr>
          <w:lang w:val="en-US"/>
        </w:rPr>
        <w:t xml:space="preserve"> SUPPORT AND WORKERS TRUST LOAN</w:t>
      </w:r>
      <w:r w:rsidR="009C5166" w:rsidRPr="009C5166">
        <w:rPr>
          <w:lang w:val="en-US"/>
        </w:rPr>
        <w:t xml:space="preserve"> </w:t>
      </w:r>
    </w:p>
    <w:p w14:paraId="329CDDFB" w14:textId="77777777" w:rsidR="00610A43" w:rsidRPr="009D3FDE" w:rsidRDefault="00610A43" w:rsidP="00610A43">
      <w:pPr>
        <w:pStyle w:val="level1"/>
        <w:numPr>
          <w:ilvl w:val="0"/>
          <w:numId w:val="0"/>
        </w:numPr>
        <w:spacing w:line="360" w:lineRule="auto"/>
        <w:ind w:left="709" w:hanging="349"/>
        <w:jc w:val="both"/>
        <w:rPr>
          <w:u w:val="single"/>
          <w:lang w:val="en-US"/>
        </w:rPr>
      </w:pPr>
    </w:p>
    <w:p w14:paraId="46FCBCCD" w14:textId="77777777" w:rsidR="006D2262" w:rsidRDefault="0072699F" w:rsidP="00610A43">
      <w:pPr>
        <w:pStyle w:val="level1"/>
        <w:numPr>
          <w:ilvl w:val="0"/>
          <w:numId w:val="0"/>
        </w:numPr>
        <w:spacing w:line="360" w:lineRule="auto"/>
        <w:jc w:val="both"/>
        <w:rPr>
          <w:b/>
          <w:lang w:val="en-US"/>
        </w:rPr>
      </w:pPr>
      <w:r>
        <w:rPr>
          <w:lang w:val="en-US"/>
        </w:rPr>
        <w:t>[</w:t>
      </w:r>
      <w:r w:rsidR="009D59FE">
        <w:rPr>
          <w:lang w:val="en-US"/>
        </w:rPr>
        <w:t>6</w:t>
      </w:r>
      <w:r w:rsidR="006D2262">
        <w:rPr>
          <w:lang w:val="en-US"/>
        </w:rPr>
        <w:t>.</w:t>
      </w:r>
      <w:r w:rsidR="00532359">
        <w:rPr>
          <w:lang w:val="en-US"/>
        </w:rPr>
        <w:t>1</w:t>
      </w:r>
      <w:r w:rsidR="006D2262">
        <w:rPr>
          <w:lang w:val="en-US"/>
        </w:rPr>
        <w:t>.1</w:t>
      </w:r>
      <w:r>
        <w:rPr>
          <w:lang w:val="en-US"/>
        </w:rPr>
        <w:t>]</w:t>
      </w:r>
      <w:r w:rsidR="008C2F78">
        <w:rPr>
          <w:lang w:val="en-US"/>
        </w:rPr>
        <w:tab/>
        <w:t xml:space="preserve"> Payment</w:t>
      </w:r>
      <w:r w:rsidR="006D2262">
        <w:rPr>
          <w:lang w:val="en-US"/>
        </w:rPr>
        <w:t xml:space="preserve"> of the sum of </w:t>
      </w:r>
      <w:r w:rsidR="006D2262" w:rsidRPr="009D3FDE">
        <w:rPr>
          <w:lang w:val="en-US"/>
        </w:rPr>
        <w:t>R 601,669.77</w:t>
      </w:r>
      <w:r w:rsidR="006D2262">
        <w:rPr>
          <w:b/>
          <w:lang w:val="en-US"/>
        </w:rPr>
        <w:t>;</w:t>
      </w:r>
    </w:p>
    <w:p w14:paraId="68E3DD69" w14:textId="77777777" w:rsidR="00610A43" w:rsidRDefault="00610A43" w:rsidP="00610A43">
      <w:pPr>
        <w:pStyle w:val="level1"/>
        <w:numPr>
          <w:ilvl w:val="0"/>
          <w:numId w:val="0"/>
        </w:numPr>
        <w:spacing w:line="360" w:lineRule="auto"/>
        <w:ind w:left="709" w:hanging="349"/>
        <w:jc w:val="both"/>
        <w:rPr>
          <w:b/>
          <w:lang w:val="en-US"/>
        </w:rPr>
      </w:pPr>
    </w:p>
    <w:p w14:paraId="08B1F64A" w14:textId="77777777" w:rsidR="006D2262" w:rsidRDefault="0072699F" w:rsidP="00610A43">
      <w:pPr>
        <w:pStyle w:val="level1"/>
        <w:numPr>
          <w:ilvl w:val="0"/>
          <w:numId w:val="0"/>
        </w:numPr>
        <w:spacing w:after="480" w:line="360" w:lineRule="auto"/>
        <w:ind w:left="851" w:hanging="851"/>
        <w:jc w:val="both"/>
        <w:rPr>
          <w:lang w:val="en-US"/>
        </w:rPr>
      </w:pPr>
      <w:r>
        <w:rPr>
          <w:lang w:val="en-US"/>
        </w:rPr>
        <w:lastRenderedPageBreak/>
        <w:t>[</w:t>
      </w:r>
      <w:r w:rsidR="009D59FE">
        <w:rPr>
          <w:lang w:val="en-US"/>
        </w:rPr>
        <w:t>6</w:t>
      </w:r>
      <w:r w:rsidR="006D2262">
        <w:rPr>
          <w:lang w:val="en-US"/>
        </w:rPr>
        <w:t>.</w:t>
      </w:r>
      <w:r w:rsidR="00532359">
        <w:rPr>
          <w:lang w:val="en-US"/>
        </w:rPr>
        <w:t>1</w:t>
      </w:r>
      <w:r w:rsidR="006D2262">
        <w:rPr>
          <w:lang w:val="en-US"/>
        </w:rPr>
        <w:t>.2</w:t>
      </w:r>
      <w:r w:rsidR="008C2F78">
        <w:rPr>
          <w:lang w:val="en-US"/>
        </w:rPr>
        <w:t>]  Interest</w:t>
      </w:r>
      <w:r w:rsidR="006D2262">
        <w:rPr>
          <w:lang w:val="en-US"/>
        </w:rPr>
        <w:t xml:space="preserve"> on the amount </w:t>
      </w:r>
      <w:r>
        <w:rPr>
          <w:lang w:val="en-US"/>
        </w:rPr>
        <w:t>in [</w:t>
      </w:r>
      <w:r w:rsidR="009D59FE">
        <w:rPr>
          <w:lang w:val="en-US"/>
        </w:rPr>
        <w:t>6</w:t>
      </w:r>
      <w:r>
        <w:rPr>
          <w:lang w:val="en-US"/>
        </w:rPr>
        <w:t>.</w:t>
      </w:r>
      <w:r w:rsidR="009D59FE">
        <w:rPr>
          <w:lang w:val="en-US"/>
        </w:rPr>
        <w:t>1</w:t>
      </w:r>
      <w:r>
        <w:rPr>
          <w:lang w:val="en-US"/>
        </w:rPr>
        <w:t xml:space="preserve">.1] </w:t>
      </w:r>
      <w:r w:rsidR="006D2262">
        <w:rPr>
          <w:lang w:val="en-US"/>
        </w:rPr>
        <w:t xml:space="preserve">at the rate of 4% (four percent) above the </w:t>
      </w:r>
      <w:r w:rsidR="008C2F78">
        <w:rPr>
          <w:lang w:val="en-US"/>
        </w:rPr>
        <w:t>prime overdraft</w:t>
      </w:r>
      <w:r w:rsidR="006D2262">
        <w:rPr>
          <w:lang w:val="en-US"/>
        </w:rPr>
        <w:t xml:space="preserve"> rate </w:t>
      </w:r>
      <w:r>
        <w:rPr>
          <w:lang w:val="en-US"/>
        </w:rPr>
        <w:t>calculated</w:t>
      </w:r>
      <w:r w:rsidR="006D2262">
        <w:rPr>
          <w:lang w:val="en-US"/>
        </w:rPr>
        <w:t xml:space="preserve"> from 27</w:t>
      </w:r>
      <w:r w:rsidR="006D2262" w:rsidRPr="00840DB4">
        <w:rPr>
          <w:vertAlign w:val="superscript"/>
          <w:lang w:val="en-US"/>
        </w:rPr>
        <w:t>th</w:t>
      </w:r>
      <w:r w:rsidR="006D2262">
        <w:rPr>
          <w:lang w:val="en-US"/>
        </w:rPr>
        <w:t xml:space="preserve"> October 2020 until date of payment both days inclusive;</w:t>
      </w:r>
    </w:p>
    <w:p w14:paraId="2E423300" w14:textId="77777777" w:rsidR="006D2262" w:rsidRDefault="006D2262" w:rsidP="00610A43">
      <w:pPr>
        <w:pStyle w:val="level1"/>
        <w:numPr>
          <w:ilvl w:val="0"/>
          <w:numId w:val="0"/>
        </w:numPr>
        <w:spacing w:line="360" w:lineRule="auto"/>
        <w:jc w:val="both"/>
        <w:rPr>
          <w:lang w:val="en-US"/>
        </w:rPr>
      </w:pPr>
      <w:r w:rsidRPr="009D3FDE">
        <w:rPr>
          <w:lang w:val="en-US"/>
        </w:rPr>
        <w:t>SUBORDINATED LOAN AGREEMENT DATED 23 NOVEMBER 2015</w:t>
      </w:r>
    </w:p>
    <w:p w14:paraId="3CAB50BB" w14:textId="77777777" w:rsidR="00610A43" w:rsidRPr="009D3FDE" w:rsidRDefault="00610A43" w:rsidP="00610A43">
      <w:pPr>
        <w:pStyle w:val="level1"/>
        <w:numPr>
          <w:ilvl w:val="0"/>
          <w:numId w:val="0"/>
        </w:numPr>
        <w:spacing w:line="360" w:lineRule="auto"/>
        <w:ind w:left="720" w:hanging="360"/>
        <w:jc w:val="both"/>
        <w:rPr>
          <w:lang w:val="en-US"/>
        </w:rPr>
      </w:pPr>
    </w:p>
    <w:p w14:paraId="1344E596" w14:textId="77777777" w:rsidR="006D2262" w:rsidRDefault="00F973C6" w:rsidP="00610A43">
      <w:pPr>
        <w:pStyle w:val="level1"/>
        <w:numPr>
          <w:ilvl w:val="0"/>
          <w:numId w:val="0"/>
        </w:numPr>
        <w:spacing w:line="360" w:lineRule="auto"/>
        <w:jc w:val="both"/>
        <w:rPr>
          <w:lang w:val="en-US"/>
        </w:rPr>
      </w:pPr>
      <w:r>
        <w:rPr>
          <w:lang w:val="en-US"/>
        </w:rPr>
        <w:t>[</w:t>
      </w:r>
      <w:r w:rsidR="009D59FE">
        <w:rPr>
          <w:lang w:val="en-US"/>
        </w:rPr>
        <w:t>6</w:t>
      </w:r>
      <w:r>
        <w:rPr>
          <w:lang w:val="en-US"/>
        </w:rPr>
        <w:t>.</w:t>
      </w:r>
      <w:r w:rsidR="00835FFE">
        <w:rPr>
          <w:lang w:val="en-US"/>
        </w:rPr>
        <w:t>2</w:t>
      </w:r>
      <w:r>
        <w:rPr>
          <w:lang w:val="en-US"/>
        </w:rPr>
        <w:t>]</w:t>
      </w:r>
      <w:r w:rsidR="008C2F78">
        <w:rPr>
          <w:lang w:val="en-US"/>
        </w:rPr>
        <w:tab/>
        <w:t xml:space="preserve"> PORTION</w:t>
      </w:r>
      <w:r w:rsidR="006D2262" w:rsidRPr="009C5166">
        <w:rPr>
          <w:lang w:val="en-US"/>
        </w:rPr>
        <w:t xml:space="preserve"> “A” OF THE LOAN:</w:t>
      </w:r>
    </w:p>
    <w:p w14:paraId="55286230" w14:textId="77777777" w:rsidR="00610A43" w:rsidRPr="009C5166" w:rsidRDefault="00610A43" w:rsidP="00610A43">
      <w:pPr>
        <w:pStyle w:val="level1"/>
        <w:numPr>
          <w:ilvl w:val="0"/>
          <w:numId w:val="0"/>
        </w:numPr>
        <w:spacing w:line="360" w:lineRule="auto"/>
        <w:ind w:left="709" w:hanging="349"/>
        <w:jc w:val="both"/>
        <w:rPr>
          <w:b/>
          <w:lang w:val="en-US"/>
        </w:rPr>
      </w:pPr>
    </w:p>
    <w:p w14:paraId="094BBC35" w14:textId="77777777" w:rsidR="006D2262" w:rsidRDefault="00F973C6" w:rsidP="00610A43">
      <w:pPr>
        <w:pStyle w:val="level1"/>
        <w:numPr>
          <w:ilvl w:val="0"/>
          <w:numId w:val="0"/>
        </w:numPr>
        <w:spacing w:line="360" w:lineRule="auto"/>
        <w:jc w:val="both"/>
        <w:rPr>
          <w:lang w:val="en-US"/>
        </w:rPr>
      </w:pPr>
      <w:r>
        <w:rPr>
          <w:lang w:val="en-US"/>
        </w:rPr>
        <w:t>[</w:t>
      </w:r>
      <w:r w:rsidR="009D59FE">
        <w:rPr>
          <w:lang w:val="en-US"/>
        </w:rPr>
        <w:t>6</w:t>
      </w:r>
      <w:r>
        <w:rPr>
          <w:lang w:val="en-US"/>
        </w:rPr>
        <w:t>.</w:t>
      </w:r>
      <w:r w:rsidR="00835FFE">
        <w:rPr>
          <w:lang w:val="en-US"/>
        </w:rPr>
        <w:t>2</w:t>
      </w:r>
      <w:r w:rsidR="006D2262">
        <w:rPr>
          <w:lang w:val="en-US"/>
        </w:rPr>
        <w:t>.1</w:t>
      </w:r>
      <w:r>
        <w:rPr>
          <w:lang w:val="en-US"/>
        </w:rPr>
        <w:t>]</w:t>
      </w:r>
      <w:r w:rsidR="008C2F78">
        <w:rPr>
          <w:lang w:val="en-US"/>
        </w:rPr>
        <w:tab/>
        <w:t xml:space="preserve"> Payment</w:t>
      </w:r>
      <w:r w:rsidR="006D2262">
        <w:rPr>
          <w:lang w:val="en-US"/>
        </w:rPr>
        <w:t xml:space="preserve"> of the sum of </w:t>
      </w:r>
      <w:r w:rsidR="006D2262" w:rsidRPr="009D3FDE">
        <w:rPr>
          <w:lang w:val="en-US"/>
        </w:rPr>
        <w:t>R34,535,708.00;</w:t>
      </w:r>
    </w:p>
    <w:p w14:paraId="397FFEE4" w14:textId="77777777" w:rsidR="00610A43" w:rsidRPr="009D3FDE" w:rsidRDefault="00610A43" w:rsidP="00610A43">
      <w:pPr>
        <w:pStyle w:val="level1"/>
        <w:numPr>
          <w:ilvl w:val="0"/>
          <w:numId w:val="0"/>
        </w:numPr>
        <w:spacing w:line="360" w:lineRule="auto"/>
        <w:ind w:left="709" w:hanging="349"/>
        <w:jc w:val="both"/>
        <w:rPr>
          <w:lang w:val="en-US"/>
        </w:rPr>
      </w:pPr>
    </w:p>
    <w:p w14:paraId="7E624F29" w14:textId="77777777" w:rsidR="006D2262" w:rsidRDefault="00F973C6" w:rsidP="002E4E7A">
      <w:pPr>
        <w:pStyle w:val="level1"/>
        <w:numPr>
          <w:ilvl w:val="0"/>
          <w:numId w:val="0"/>
        </w:numPr>
        <w:spacing w:line="360" w:lineRule="auto"/>
        <w:ind w:left="851" w:hanging="862"/>
        <w:jc w:val="both"/>
        <w:rPr>
          <w:lang w:val="en-US"/>
        </w:rPr>
      </w:pPr>
      <w:r>
        <w:rPr>
          <w:lang w:val="en-US"/>
        </w:rPr>
        <w:t>[</w:t>
      </w:r>
      <w:r w:rsidR="009D59FE">
        <w:rPr>
          <w:lang w:val="en-US"/>
        </w:rPr>
        <w:t>6</w:t>
      </w:r>
      <w:r>
        <w:rPr>
          <w:lang w:val="en-US"/>
        </w:rPr>
        <w:t>.</w:t>
      </w:r>
      <w:r w:rsidR="00835FFE">
        <w:rPr>
          <w:lang w:val="en-US"/>
        </w:rPr>
        <w:t>2</w:t>
      </w:r>
      <w:r>
        <w:rPr>
          <w:lang w:val="en-US"/>
        </w:rPr>
        <w:t>.2</w:t>
      </w:r>
      <w:r w:rsidR="008C2F78">
        <w:rPr>
          <w:lang w:val="en-US"/>
        </w:rPr>
        <w:t xml:space="preserve">]  </w:t>
      </w:r>
      <w:r w:rsidR="00A348A7">
        <w:rPr>
          <w:lang w:val="en-US"/>
        </w:rPr>
        <w:t xml:space="preserve"> </w:t>
      </w:r>
      <w:r w:rsidR="008C2F78">
        <w:rPr>
          <w:lang w:val="en-US"/>
        </w:rPr>
        <w:t>Real</w:t>
      </w:r>
      <w:r w:rsidR="006D2262">
        <w:rPr>
          <w:lang w:val="en-US"/>
        </w:rPr>
        <w:t xml:space="preserve"> after tax internal rate of return (RATIRR) on the amount </w:t>
      </w:r>
      <w:r>
        <w:rPr>
          <w:lang w:val="en-US"/>
        </w:rPr>
        <w:t>in [</w:t>
      </w:r>
      <w:r w:rsidR="009D59FE">
        <w:rPr>
          <w:lang w:val="en-US"/>
        </w:rPr>
        <w:t>6</w:t>
      </w:r>
      <w:r>
        <w:rPr>
          <w:lang w:val="en-US"/>
        </w:rPr>
        <w:t>.</w:t>
      </w:r>
      <w:r w:rsidR="009D59FE">
        <w:rPr>
          <w:lang w:val="en-US"/>
        </w:rPr>
        <w:t>2</w:t>
      </w:r>
      <w:r>
        <w:rPr>
          <w:lang w:val="en-US"/>
        </w:rPr>
        <w:t xml:space="preserve">.1] </w:t>
      </w:r>
      <w:r w:rsidR="00A348A7">
        <w:rPr>
          <w:lang w:val="en-US"/>
        </w:rPr>
        <w:t xml:space="preserve">at the rate </w:t>
      </w:r>
      <w:r w:rsidR="006D2262">
        <w:rPr>
          <w:lang w:val="en-US"/>
        </w:rPr>
        <w:t>of 15% (fifteen percent) per annum reckoned from 30 June 2020 until date of payment;</w:t>
      </w:r>
    </w:p>
    <w:p w14:paraId="1C83CC09" w14:textId="77777777" w:rsidR="00A348A7" w:rsidRDefault="00A348A7" w:rsidP="002E4E7A">
      <w:pPr>
        <w:pStyle w:val="level1"/>
        <w:numPr>
          <w:ilvl w:val="0"/>
          <w:numId w:val="0"/>
        </w:numPr>
        <w:spacing w:line="360" w:lineRule="auto"/>
        <w:ind w:left="851" w:hanging="862"/>
        <w:jc w:val="both"/>
        <w:rPr>
          <w:lang w:val="en-US"/>
        </w:rPr>
      </w:pPr>
    </w:p>
    <w:p w14:paraId="07373DBB" w14:textId="77777777" w:rsidR="006D2262" w:rsidRDefault="00F973C6" w:rsidP="00610A43">
      <w:pPr>
        <w:pStyle w:val="level1"/>
        <w:numPr>
          <w:ilvl w:val="0"/>
          <w:numId w:val="0"/>
        </w:numPr>
        <w:spacing w:line="360" w:lineRule="auto"/>
        <w:jc w:val="both"/>
        <w:rPr>
          <w:lang w:val="en-US"/>
        </w:rPr>
      </w:pPr>
      <w:r>
        <w:rPr>
          <w:lang w:val="en-US"/>
        </w:rPr>
        <w:t>[</w:t>
      </w:r>
      <w:r w:rsidR="009D59FE">
        <w:rPr>
          <w:lang w:val="en-US"/>
        </w:rPr>
        <w:t>6</w:t>
      </w:r>
      <w:r>
        <w:rPr>
          <w:lang w:val="en-US"/>
        </w:rPr>
        <w:t>.</w:t>
      </w:r>
      <w:r w:rsidR="00835FFE">
        <w:rPr>
          <w:lang w:val="en-US"/>
        </w:rPr>
        <w:t>3</w:t>
      </w:r>
      <w:r>
        <w:rPr>
          <w:lang w:val="en-US"/>
        </w:rPr>
        <w:t>]</w:t>
      </w:r>
      <w:r w:rsidR="008C2F78">
        <w:rPr>
          <w:lang w:val="en-US"/>
        </w:rPr>
        <w:tab/>
        <w:t xml:space="preserve"> PORTION</w:t>
      </w:r>
      <w:r w:rsidR="006D2262" w:rsidRPr="009C5166">
        <w:rPr>
          <w:lang w:val="en-US"/>
        </w:rPr>
        <w:t xml:space="preserve"> “B” OF THE LOAN:</w:t>
      </w:r>
    </w:p>
    <w:p w14:paraId="6D47D4D8" w14:textId="77777777" w:rsidR="00610A43" w:rsidRPr="009D3FDE" w:rsidRDefault="00610A43" w:rsidP="00610A43">
      <w:pPr>
        <w:pStyle w:val="level1"/>
        <w:numPr>
          <w:ilvl w:val="0"/>
          <w:numId w:val="0"/>
        </w:numPr>
        <w:spacing w:line="360" w:lineRule="auto"/>
        <w:ind w:left="1440" w:hanging="1080"/>
        <w:jc w:val="both"/>
        <w:rPr>
          <w:u w:val="single"/>
          <w:lang w:val="en-US"/>
        </w:rPr>
      </w:pPr>
    </w:p>
    <w:p w14:paraId="77BD5F39" w14:textId="77777777" w:rsidR="006D2262" w:rsidRDefault="00F973C6" w:rsidP="002E4E7A">
      <w:pPr>
        <w:pStyle w:val="level1"/>
        <w:numPr>
          <w:ilvl w:val="0"/>
          <w:numId w:val="0"/>
        </w:numPr>
        <w:spacing w:line="360" w:lineRule="auto"/>
        <w:jc w:val="both"/>
        <w:rPr>
          <w:lang w:val="en-US"/>
        </w:rPr>
      </w:pPr>
      <w:r>
        <w:rPr>
          <w:lang w:val="en-US"/>
        </w:rPr>
        <w:t>[</w:t>
      </w:r>
      <w:r w:rsidR="009D59FE">
        <w:rPr>
          <w:lang w:val="en-US"/>
        </w:rPr>
        <w:t>6</w:t>
      </w:r>
      <w:r>
        <w:rPr>
          <w:lang w:val="en-US"/>
        </w:rPr>
        <w:t>.</w:t>
      </w:r>
      <w:r w:rsidR="00835FFE">
        <w:rPr>
          <w:lang w:val="en-US"/>
        </w:rPr>
        <w:t>3</w:t>
      </w:r>
      <w:r w:rsidR="006D2262">
        <w:rPr>
          <w:lang w:val="en-US"/>
        </w:rPr>
        <w:t>.1</w:t>
      </w:r>
      <w:r>
        <w:rPr>
          <w:lang w:val="en-US"/>
        </w:rPr>
        <w:t>]</w:t>
      </w:r>
      <w:r w:rsidR="002E4E7A">
        <w:rPr>
          <w:lang w:val="en-US"/>
        </w:rPr>
        <w:t xml:space="preserve">   </w:t>
      </w:r>
      <w:r>
        <w:rPr>
          <w:lang w:val="en-US"/>
        </w:rPr>
        <w:t>P</w:t>
      </w:r>
      <w:r w:rsidR="006D2262">
        <w:rPr>
          <w:lang w:val="en-US"/>
        </w:rPr>
        <w:t xml:space="preserve">ayment of the sum of </w:t>
      </w:r>
      <w:r w:rsidR="006D2262" w:rsidRPr="009D3FDE">
        <w:rPr>
          <w:lang w:val="en-US"/>
        </w:rPr>
        <w:t>R25,944,658.55;</w:t>
      </w:r>
    </w:p>
    <w:p w14:paraId="36FAF82E" w14:textId="77777777" w:rsidR="00610A43" w:rsidRPr="009D3FDE" w:rsidRDefault="00610A43" w:rsidP="00610A43">
      <w:pPr>
        <w:pStyle w:val="level1"/>
        <w:numPr>
          <w:ilvl w:val="0"/>
          <w:numId w:val="0"/>
        </w:numPr>
        <w:spacing w:line="360" w:lineRule="auto"/>
        <w:ind w:left="1440" w:hanging="1080"/>
        <w:jc w:val="both"/>
        <w:rPr>
          <w:lang w:val="en-US"/>
        </w:rPr>
      </w:pPr>
    </w:p>
    <w:p w14:paraId="550FDAE5" w14:textId="77777777" w:rsidR="006D2262" w:rsidRDefault="00F973C6" w:rsidP="002E4E7A">
      <w:pPr>
        <w:pStyle w:val="level1"/>
        <w:numPr>
          <w:ilvl w:val="0"/>
          <w:numId w:val="0"/>
        </w:numPr>
        <w:spacing w:after="480" w:line="360" w:lineRule="auto"/>
        <w:ind w:left="851" w:hanging="862"/>
        <w:jc w:val="both"/>
        <w:rPr>
          <w:lang w:val="en-US"/>
        </w:rPr>
      </w:pPr>
      <w:r>
        <w:rPr>
          <w:lang w:val="en-US"/>
        </w:rPr>
        <w:t>[</w:t>
      </w:r>
      <w:r w:rsidR="009D59FE">
        <w:rPr>
          <w:lang w:val="en-US"/>
        </w:rPr>
        <w:t>6</w:t>
      </w:r>
      <w:r>
        <w:rPr>
          <w:lang w:val="en-US"/>
        </w:rPr>
        <w:t>.</w:t>
      </w:r>
      <w:r w:rsidR="00835FFE">
        <w:rPr>
          <w:lang w:val="en-US"/>
        </w:rPr>
        <w:t>3</w:t>
      </w:r>
      <w:r>
        <w:rPr>
          <w:lang w:val="en-US"/>
        </w:rPr>
        <w:t>.</w:t>
      </w:r>
      <w:r w:rsidR="006D2262">
        <w:rPr>
          <w:lang w:val="en-US"/>
        </w:rPr>
        <w:t>2</w:t>
      </w:r>
      <w:r>
        <w:rPr>
          <w:lang w:val="en-US"/>
        </w:rPr>
        <w:t>]</w:t>
      </w:r>
      <w:r w:rsidR="006D2262">
        <w:rPr>
          <w:lang w:val="en-US"/>
        </w:rPr>
        <w:tab/>
      </w:r>
      <w:r>
        <w:rPr>
          <w:lang w:val="en-US"/>
        </w:rPr>
        <w:t>R</w:t>
      </w:r>
      <w:r w:rsidR="006D2262">
        <w:rPr>
          <w:lang w:val="en-US"/>
        </w:rPr>
        <w:t xml:space="preserve">eal after tax internal rate of return (RATIRR) on the amount </w:t>
      </w:r>
      <w:r>
        <w:rPr>
          <w:lang w:val="en-US"/>
        </w:rPr>
        <w:t>in [</w:t>
      </w:r>
      <w:r w:rsidR="009D59FE">
        <w:rPr>
          <w:lang w:val="en-US"/>
        </w:rPr>
        <w:t>6</w:t>
      </w:r>
      <w:r>
        <w:rPr>
          <w:lang w:val="en-US"/>
        </w:rPr>
        <w:t>.</w:t>
      </w:r>
      <w:r w:rsidR="009D59FE">
        <w:rPr>
          <w:lang w:val="en-US"/>
        </w:rPr>
        <w:t>3</w:t>
      </w:r>
      <w:r>
        <w:rPr>
          <w:lang w:val="en-US"/>
        </w:rPr>
        <w:t xml:space="preserve">.1] </w:t>
      </w:r>
      <w:r w:rsidR="006D2262">
        <w:rPr>
          <w:lang w:val="en-US"/>
        </w:rPr>
        <w:t>at the rate of 5% (five percent) per annum reckoned from 30 June 2020 until date of payment both days inclusive;</w:t>
      </w:r>
    </w:p>
    <w:p w14:paraId="5C4D6964" w14:textId="77777777" w:rsidR="006D2262" w:rsidRDefault="00F973C6" w:rsidP="009D59FE">
      <w:pPr>
        <w:pStyle w:val="level1"/>
        <w:numPr>
          <w:ilvl w:val="0"/>
          <w:numId w:val="0"/>
        </w:numPr>
        <w:spacing w:after="480" w:line="360" w:lineRule="auto"/>
        <w:ind w:left="720" w:hanging="720"/>
        <w:jc w:val="both"/>
        <w:rPr>
          <w:lang w:val="en-US"/>
        </w:rPr>
      </w:pPr>
      <w:r>
        <w:rPr>
          <w:lang w:val="en-US"/>
        </w:rPr>
        <w:t>[</w:t>
      </w:r>
      <w:r w:rsidR="009D59FE">
        <w:rPr>
          <w:lang w:val="en-US"/>
        </w:rPr>
        <w:t>7</w:t>
      </w:r>
      <w:r w:rsidR="002E4E7A">
        <w:rPr>
          <w:lang w:val="en-US"/>
        </w:rPr>
        <w:t>]</w:t>
      </w:r>
      <w:r w:rsidR="008C2F78">
        <w:rPr>
          <w:lang w:val="en-US"/>
        </w:rPr>
        <w:tab/>
      </w:r>
      <w:r>
        <w:rPr>
          <w:lang w:val="en-US"/>
        </w:rPr>
        <w:t>The respondent is directed to pay the costs of the application</w:t>
      </w:r>
      <w:r w:rsidR="009D59FE">
        <w:rPr>
          <w:lang w:val="en-US"/>
        </w:rPr>
        <w:t xml:space="preserve"> on the scale as between attorney and client</w:t>
      </w:r>
      <w:r>
        <w:rPr>
          <w:lang w:val="en-US"/>
        </w:rPr>
        <w:t>.</w:t>
      </w:r>
    </w:p>
    <w:p w14:paraId="20D1183E" w14:textId="77777777" w:rsidR="006D2262" w:rsidRDefault="006D2262" w:rsidP="006D2262">
      <w:pPr>
        <w:pStyle w:val="ListParagraph"/>
        <w:rPr>
          <w:lang w:val="en-US"/>
        </w:rPr>
      </w:pPr>
    </w:p>
    <w:p w14:paraId="109BC01E" w14:textId="77777777"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14:paraId="4225FE37" w14:textId="77777777"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14:paraId="46964A1D" w14:textId="77777777"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place">
        <w:smartTag w:uri="urn:schemas-microsoft-com:office:smarttags" w:element="City">
          <w:r w:rsidRPr="003E4474">
            <w:rPr>
              <w:rFonts w:ascii="Arial" w:eastAsia="Times New Roman" w:hAnsi="Arial" w:cs="Times New Roman"/>
              <w:b/>
              <w:kern w:val="28"/>
              <w:sz w:val="24"/>
              <w:szCs w:val="24"/>
              <w:lang w:eastAsia="en-GB"/>
            </w:rPr>
            <w:t>JOHANNESBURG</w:t>
          </w:r>
        </w:smartTag>
      </w:smartTag>
    </w:p>
    <w:p w14:paraId="0EA614FA" w14:textId="77777777"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14:paraId="147F7784" w14:textId="77777777"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14:paraId="7918BB5F" w14:textId="77777777"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lastRenderedPageBreak/>
        <w:t xml:space="preserve">APPEARANCES </w:t>
      </w:r>
    </w:p>
    <w:p w14:paraId="44D92319" w14:textId="77777777" w:rsidR="003E4474" w:rsidRPr="003E4474" w:rsidRDefault="003E4474" w:rsidP="003E4474">
      <w:pPr>
        <w:spacing w:after="0" w:line="240" w:lineRule="auto"/>
        <w:contextualSpacing/>
        <w:rPr>
          <w:rFonts w:ascii="Arial" w:eastAsia="Calibri" w:hAnsi="Arial" w:cs="Times New Roman"/>
          <w:sz w:val="24"/>
        </w:rPr>
      </w:pPr>
    </w:p>
    <w:p w14:paraId="59244C06" w14:textId="77777777"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4335AA">
        <w:rPr>
          <w:rFonts w:ascii="Arial" w:eastAsia="Times New Roman" w:hAnsi="Arial" w:cs="Times New Roman"/>
          <w:kern w:val="28"/>
          <w:sz w:val="24"/>
          <w:szCs w:val="24"/>
          <w:lang w:eastAsia="en-GB"/>
        </w:rPr>
        <w:t>28</w:t>
      </w:r>
      <w:r w:rsidR="00BB4962">
        <w:rPr>
          <w:rFonts w:ascii="Arial" w:eastAsia="Times New Roman" w:hAnsi="Arial" w:cs="Times New Roman"/>
          <w:kern w:val="28"/>
          <w:sz w:val="24"/>
          <w:szCs w:val="24"/>
          <w:lang w:eastAsia="en-GB"/>
        </w:rPr>
        <w:t xml:space="preserve"> July</w:t>
      </w:r>
      <w:r w:rsidRPr="003E4474">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14:paraId="60856921" w14:textId="77777777" w:rsidR="003E4474" w:rsidRDefault="003E4474" w:rsidP="003E4474">
      <w:pPr>
        <w:spacing w:after="0" w:line="240" w:lineRule="auto"/>
        <w:rPr>
          <w:rFonts w:ascii="Arial" w:eastAsia="Times New Roman" w:hAnsi="Arial" w:cs="Times New Roman"/>
          <w:b/>
          <w:kern w:val="28"/>
          <w:sz w:val="24"/>
          <w:szCs w:val="24"/>
          <w:lang w:eastAsia="en-GB"/>
        </w:rPr>
      </w:pPr>
    </w:p>
    <w:p w14:paraId="791F06DA" w14:textId="77777777" w:rsidR="006D2262" w:rsidRDefault="006D2262" w:rsidP="003E4474">
      <w:pPr>
        <w:spacing w:after="0" w:line="240" w:lineRule="auto"/>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SUPPLEMENTARY HEADS</w:t>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sidRPr="006D2262">
        <w:rPr>
          <w:rFonts w:ascii="Arial" w:eastAsia="Times New Roman" w:hAnsi="Arial" w:cs="Times New Roman"/>
          <w:kern w:val="28"/>
          <w:sz w:val="24"/>
          <w:szCs w:val="24"/>
          <w:lang w:eastAsia="en-GB"/>
        </w:rPr>
        <w:t>:</w:t>
      </w:r>
      <w:r>
        <w:rPr>
          <w:rFonts w:ascii="Arial" w:eastAsia="Times New Roman" w:hAnsi="Arial" w:cs="Times New Roman"/>
          <w:kern w:val="28"/>
          <w:sz w:val="24"/>
          <w:szCs w:val="24"/>
          <w:lang w:eastAsia="en-GB"/>
        </w:rPr>
        <w:t xml:space="preserve"> 3</w:t>
      </w:r>
      <w:r w:rsidR="00835FFE">
        <w:rPr>
          <w:rFonts w:ascii="Arial" w:eastAsia="Times New Roman" w:hAnsi="Arial" w:cs="Times New Roman"/>
          <w:kern w:val="28"/>
          <w:sz w:val="24"/>
          <w:szCs w:val="24"/>
          <w:lang w:eastAsia="en-GB"/>
        </w:rPr>
        <w:t>0 and 31</w:t>
      </w:r>
      <w:r>
        <w:rPr>
          <w:rFonts w:ascii="Arial" w:eastAsia="Times New Roman" w:hAnsi="Arial" w:cs="Times New Roman"/>
          <w:kern w:val="28"/>
          <w:sz w:val="24"/>
          <w:szCs w:val="24"/>
          <w:lang w:eastAsia="en-GB"/>
        </w:rPr>
        <w:t>July 2022</w:t>
      </w:r>
    </w:p>
    <w:p w14:paraId="3656E0AB" w14:textId="77777777" w:rsidR="006D2262" w:rsidRDefault="006D2262" w:rsidP="003E4474">
      <w:pPr>
        <w:spacing w:after="0" w:line="240" w:lineRule="auto"/>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OF ARGUMENT</w:t>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sidR="00835FFE" w:rsidRPr="00835FFE">
        <w:rPr>
          <w:rFonts w:ascii="Arial" w:eastAsia="Times New Roman" w:hAnsi="Arial" w:cs="Times New Roman"/>
          <w:kern w:val="28"/>
          <w:sz w:val="24"/>
          <w:szCs w:val="24"/>
          <w:lang w:eastAsia="en-GB"/>
        </w:rPr>
        <w:t>:</w:t>
      </w:r>
      <w:r>
        <w:rPr>
          <w:rFonts w:ascii="Arial" w:eastAsia="Times New Roman" w:hAnsi="Arial" w:cs="Times New Roman"/>
          <w:b/>
          <w:kern w:val="28"/>
          <w:sz w:val="24"/>
          <w:szCs w:val="24"/>
          <w:lang w:eastAsia="en-GB"/>
        </w:rPr>
        <w:t xml:space="preserve"> </w:t>
      </w:r>
      <w:r w:rsidRPr="006D2262">
        <w:rPr>
          <w:rFonts w:ascii="Arial" w:eastAsia="Times New Roman" w:hAnsi="Arial" w:cs="Times New Roman"/>
          <w:kern w:val="28"/>
          <w:sz w:val="24"/>
          <w:szCs w:val="24"/>
          <w:lang w:eastAsia="en-GB"/>
        </w:rPr>
        <w:t>02 September 2022</w:t>
      </w:r>
    </w:p>
    <w:p w14:paraId="3DF5C32F" w14:textId="77777777" w:rsidR="006D2262" w:rsidRPr="003E4474" w:rsidRDefault="006D2262" w:rsidP="003E4474">
      <w:pPr>
        <w:spacing w:after="0" w:line="240" w:lineRule="auto"/>
        <w:rPr>
          <w:rFonts w:ascii="Arial" w:eastAsia="Times New Roman" w:hAnsi="Arial" w:cs="Times New Roman"/>
          <w:b/>
          <w:kern w:val="28"/>
          <w:sz w:val="24"/>
          <w:szCs w:val="24"/>
          <w:lang w:eastAsia="en-GB"/>
        </w:rPr>
      </w:pPr>
    </w:p>
    <w:p w14:paraId="184DAB5B" w14:textId="77777777"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C95BB6">
        <w:rPr>
          <w:rFonts w:ascii="Arial" w:eastAsia="Times New Roman" w:hAnsi="Arial" w:cs="Times New Roman"/>
          <w:kern w:val="28"/>
          <w:sz w:val="24"/>
          <w:szCs w:val="24"/>
          <w:lang w:eastAsia="en-GB"/>
        </w:rPr>
        <w:t>2</w:t>
      </w:r>
      <w:r w:rsidR="009D59FE">
        <w:rPr>
          <w:rFonts w:ascii="Arial" w:eastAsia="Times New Roman" w:hAnsi="Arial" w:cs="Times New Roman"/>
          <w:kern w:val="28"/>
          <w:sz w:val="24"/>
          <w:szCs w:val="24"/>
          <w:lang w:eastAsia="en-GB"/>
        </w:rPr>
        <w:t>4</w:t>
      </w:r>
      <w:r w:rsidR="009C5166">
        <w:rPr>
          <w:rFonts w:ascii="Arial" w:eastAsia="Times New Roman" w:hAnsi="Arial" w:cs="Times New Roman"/>
          <w:kern w:val="28"/>
          <w:sz w:val="24"/>
          <w:szCs w:val="24"/>
          <w:lang w:eastAsia="en-GB"/>
        </w:rPr>
        <w:t xml:space="preserve"> Novem</w:t>
      </w:r>
      <w:r w:rsidR="00E20729">
        <w:rPr>
          <w:rFonts w:ascii="Arial" w:eastAsia="Times New Roman" w:hAnsi="Arial" w:cs="Times New Roman"/>
          <w:kern w:val="28"/>
          <w:sz w:val="24"/>
          <w:szCs w:val="24"/>
          <w:lang w:eastAsia="en-GB"/>
        </w:rPr>
        <w:t>ber</w:t>
      </w:r>
      <w:r w:rsidR="001F740C">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14:paraId="76B38E42" w14:textId="77777777"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14:paraId="61656FC3" w14:textId="77777777" w:rsidR="003E4474" w:rsidRDefault="00BB0648" w:rsidP="00C64358">
      <w:pPr>
        <w:spacing w:after="200" w:line="240" w:lineRule="auto"/>
        <w:contextualSpacing/>
        <w:rPr>
          <w:rFonts w:ascii="Arial" w:eastAsia="Calibri" w:hAnsi="Arial" w:cs="Times New Roman"/>
          <w:sz w:val="24"/>
        </w:rPr>
      </w:pPr>
      <w:r>
        <w:rPr>
          <w:rFonts w:ascii="Arial" w:eastAsia="Calibri" w:hAnsi="Arial" w:cs="Times New Roman"/>
          <w:b/>
          <w:sz w:val="24"/>
        </w:rPr>
        <w:t>APPLICANTS</w:t>
      </w:r>
      <w:r w:rsidR="002B7224" w:rsidRPr="002B7224">
        <w:rPr>
          <w:rFonts w:ascii="Arial" w:eastAsia="Calibri" w:hAnsi="Arial" w:cs="Times New Roman"/>
          <w:b/>
          <w:sz w:val="24"/>
        </w:rPr>
        <w:t xml:space="preserve"> COUNSEL</w:t>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sz w:val="24"/>
        </w:rPr>
        <w:t>:</w:t>
      </w:r>
      <w:r w:rsidR="0031790F">
        <w:rPr>
          <w:rFonts w:ascii="Arial" w:eastAsia="Calibri" w:hAnsi="Arial" w:cs="Times New Roman"/>
          <w:b/>
          <w:sz w:val="24"/>
        </w:rPr>
        <w:t xml:space="preserve"> </w:t>
      </w:r>
      <w:r w:rsidR="0031790F" w:rsidRPr="0031790F">
        <w:rPr>
          <w:rFonts w:ascii="Arial" w:eastAsia="Calibri" w:hAnsi="Arial" w:cs="Times New Roman"/>
          <w:sz w:val="24"/>
        </w:rPr>
        <w:t xml:space="preserve">Adv. </w:t>
      </w:r>
      <w:r w:rsidR="009D0DAA">
        <w:rPr>
          <w:rFonts w:ascii="Arial" w:eastAsia="Calibri" w:hAnsi="Arial" w:cs="Times New Roman"/>
          <w:sz w:val="24"/>
        </w:rPr>
        <w:t>B</w:t>
      </w:r>
      <w:r w:rsidR="009D0DAA" w:rsidRPr="009D0DAA">
        <w:rPr>
          <w:rFonts w:ascii="Arial" w:eastAsia="Calibri" w:hAnsi="Arial" w:cs="Times New Roman"/>
          <w:sz w:val="24"/>
        </w:rPr>
        <w:t>F Gededger</w:t>
      </w:r>
    </w:p>
    <w:p w14:paraId="0B7D7A5D" w14:textId="77777777" w:rsidR="00C64358" w:rsidRPr="002E2189" w:rsidRDefault="00C64358" w:rsidP="00C64358">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14:paraId="67CBF230" w14:textId="77777777" w:rsidR="003E4474" w:rsidRPr="002B7224" w:rsidRDefault="00BB0648" w:rsidP="00C64358">
      <w:pPr>
        <w:spacing w:after="200" w:line="240" w:lineRule="auto"/>
        <w:ind w:left="5040" w:hanging="5040"/>
        <w:contextualSpacing/>
        <w:rPr>
          <w:rFonts w:ascii="Arial" w:eastAsia="Calibri" w:hAnsi="Arial" w:cs="Times New Roman"/>
          <w:b/>
          <w:sz w:val="24"/>
        </w:rPr>
      </w:pPr>
      <w:r>
        <w:rPr>
          <w:rFonts w:ascii="Arial" w:eastAsia="Calibri" w:hAnsi="Arial" w:cs="Times New Roman"/>
          <w:b/>
          <w:bCs/>
          <w:sz w:val="24"/>
        </w:rPr>
        <w:t>APPLICANT</w:t>
      </w:r>
      <w:r w:rsidR="00C64358" w:rsidRPr="00C64358">
        <w:rPr>
          <w:rFonts w:ascii="Arial" w:eastAsia="Calibri" w:hAnsi="Arial" w:cs="Times New Roman"/>
          <w:b/>
          <w:bCs/>
          <w:sz w:val="24"/>
        </w:rPr>
        <w:t>S</w:t>
      </w:r>
      <w:r w:rsidR="002B7224" w:rsidRPr="002B7224">
        <w:rPr>
          <w:rFonts w:ascii="Arial" w:eastAsia="Calibri" w:hAnsi="Arial" w:cs="Times New Roman"/>
          <w:b/>
          <w:bCs/>
          <w:sz w:val="24"/>
        </w:rPr>
        <w:t xml:space="preserve"> ATTORNEYS</w:t>
      </w:r>
      <w:r w:rsidR="00C64358">
        <w:rPr>
          <w:rFonts w:ascii="Arial" w:eastAsia="Calibri" w:hAnsi="Arial" w:cs="Times New Roman"/>
          <w:b/>
          <w:sz w:val="24"/>
        </w:rPr>
        <w:tab/>
      </w:r>
      <w:r w:rsidR="002B7224">
        <w:rPr>
          <w:rFonts w:ascii="Arial" w:eastAsia="Calibri" w:hAnsi="Arial" w:cs="Times New Roman"/>
          <w:sz w:val="24"/>
        </w:rPr>
        <w:t xml:space="preserve">: </w:t>
      </w:r>
      <w:r w:rsidR="009D0DAA" w:rsidRPr="009D0DAA">
        <w:rPr>
          <w:rFonts w:ascii="Arial" w:eastAsia="Calibri" w:hAnsi="Arial" w:cs="Times New Roman"/>
          <w:sz w:val="24"/>
        </w:rPr>
        <w:t>Shaheem Samsodien Attorneys</w:t>
      </w:r>
    </w:p>
    <w:p w14:paraId="16170251" w14:textId="77777777" w:rsidR="000409ED" w:rsidRPr="002B7224" w:rsidRDefault="000409ED" w:rsidP="003E4474">
      <w:pPr>
        <w:spacing w:after="200" w:line="240" w:lineRule="auto"/>
        <w:contextualSpacing/>
        <w:rPr>
          <w:rFonts w:ascii="Arial" w:eastAsia="Calibri" w:hAnsi="Arial" w:cs="Times New Roman"/>
          <w:b/>
          <w:sz w:val="24"/>
        </w:rPr>
      </w:pPr>
    </w:p>
    <w:p w14:paraId="0BC09FF7" w14:textId="77777777" w:rsidR="00C64358" w:rsidRDefault="00BB0648" w:rsidP="00C64358">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C64358" w:rsidRPr="00C64358">
        <w:rPr>
          <w:rFonts w:ascii="Arial" w:eastAsia="Calibri" w:hAnsi="Arial" w:cs="Times New Roman"/>
          <w:b/>
          <w:sz w:val="24"/>
        </w:rPr>
        <w:t xml:space="preserve"> </w:t>
      </w:r>
      <w:r w:rsidR="002B7224" w:rsidRPr="002B7224">
        <w:rPr>
          <w:rFonts w:ascii="Arial" w:eastAsia="Calibri" w:hAnsi="Arial" w:cs="Times New Roman"/>
          <w:b/>
          <w:sz w:val="24"/>
        </w:rPr>
        <w:t>COUNSEL</w:t>
      </w:r>
      <w:r w:rsidR="00C64358">
        <w:rPr>
          <w:rFonts w:ascii="Arial" w:eastAsia="Calibri" w:hAnsi="Arial" w:cs="Times New Roman"/>
          <w:sz w:val="24"/>
        </w:rPr>
        <w:tab/>
      </w:r>
      <w:r w:rsidR="00C64358">
        <w:rPr>
          <w:rFonts w:ascii="Arial" w:eastAsia="Calibri" w:hAnsi="Arial" w:cs="Times New Roman"/>
          <w:sz w:val="24"/>
        </w:rPr>
        <w:tab/>
      </w:r>
      <w:r>
        <w:rPr>
          <w:rFonts w:ascii="Arial" w:eastAsia="Calibri" w:hAnsi="Arial" w:cs="Times New Roman"/>
          <w:sz w:val="24"/>
        </w:rPr>
        <w:tab/>
      </w:r>
      <w:r w:rsidR="002B7224">
        <w:rPr>
          <w:rFonts w:ascii="Arial" w:eastAsia="Calibri" w:hAnsi="Arial" w:cs="Times New Roman"/>
          <w:sz w:val="24"/>
        </w:rPr>
        <w:t xml:space="preserve">: </w:t>
      </w:r>
      <w:r w:rsidR="0031790F">
        <w:rPr>
          <w:rFonts w:ascii="Arial" w:eastAsia="Calibri" w:hAnsi="Arial" w:cs="Times New Roman"/>
          <w:sz w:val="24"/>
        </w:rPr>
        <w:t xml:space="preserve">Adv. </w:t>
      </w:r>
      <w:r w:rsidR="009D0DAA" w:rsidRPr="009D0DAA">
        <w:rPr>
          <w:rFonts w:ascii="Arial" w:eastAsia="Calibri" w:hAnsi="Arial" w:cs="Times New Roman"/>
          <w:sz w:val="24"/>
        </w:rPr>
        <w:t>S P Pincus SC</w:t>
      </w:r>
    </w:p>
    <w:p w14:paraId="77C58598" w14:textId="77777777" w:rsidR="00D8296B" w:rsidRDefault="00D8296B" w:rsidP="00C64358">
      <w:pPr>
        <w:spacing w:after="200" w:line="240" w:lineRule="auto"/>
        <w:contextualSpacing/>
        <w:rPr>
          <w:rFonts w:ascii="Arial" w:eastAsia="Calibri" w:hAnsi="Arial" w:cs="Times New Roman"/>
          <w:sz w:val="24"/>
        </w:rPr>
      </w:pPr>
    </w:p>
    <w:p w14:paraId="6FA30144" w14:textId="77777777" w:rsidR="00BB4962" w:rsidRPr="009F1512" w:rsidRDefault="00BB0648" w:rsidP="00BB4962">
      <w:pPr>
        <w:spacing w:after="200" w:line="240" w:lineRule="auto"/>
        <w:contextualSpacing/>
        <w:rPr>
          <w:rFonts w:ascii="Arial" w:eastAsia="Calibri" w:hAnsi="Arial" w:cs="Arial"/>
          <w:sz w:val="24"/>
        </w:rPr>
      </w:pPr>
      <w:r>
        <w:rPr>
          <w:rFonts w:ascii="Arial" w:eastAsia="Calibri" w:hAnsi="Arial" w:cs="Times New Roman"/>
          <w:b/>
          <w:sz w:val="24"/>
        </w:rPr>
        <w:t>RESPONDENTS</w:t>
      </w:r>
      <w:r w:rsidR="00C64358" w:rsidRPr="00C64358">
        <w:rPr>
          <w:rFonts w:ascii="Arial" w:eastAsia="Calibri" w:hAnsi="Arial" w:cs="Times New Roman"/>
          <w:b/>
          <w:sz w:val="24"/>
        </w:rPr>
        <w:t xml:space="preserve"> </w:t>
      </w:r>
      <w:r w:rsidR="002B7224" w:rsidRPr="002B7224">
        <w:rPr>
          <w:rFonts w:ascii="Arial" w:eastAsia="Calibri" w:hAnsi="Arial" w:cs="Times New Roman"/>
          <w:b/>
          <w:sz w:val="24"/>
        </w:rPr>
        <w:t>ATTORNEYS</w:t>
      </w:r>
      <w:r w:rsidR="00C64358">
        <w:rPr>
          <w:b/>
        </w:rPr>
        <w:tab/>
      </w:r>
      <w:r w:rsidR="004335AA">
        <w:rPr>
          <w:b/>
        </w:rPr>
        <w:tab/>
      </w:r>
      <w:r w:rsidR="009D0DAA">
        <w:rPr>
          <w:b/>
        </w:rPr>
        <w:tab/>
      </w:r>
      <w:r w:rsidR="009F1512" w:rsidRPr="009F1512">
        <w:t>:</w:t>
      </w:r>
      <w:r w:rsidR="009F1512">
        <w:t xml:space="preserve"> </w:t>
      </w:r>
      <w:r w:rsidR="009D0DAA" w:rsidRPr="009D0DAA">
        <w:rPr>
          <w:rFonts w:ascii="Arial" w:hAnsi="Arial" w:cs="Arial"/>
          <w:sz w:val="24"/>
        </w:rPr>
        <w:t>Howard Woolf Attorney</w:t>
      </w:r>
      <w:r w:rsidR="009D0DAA">
        <w:rPr>
          <w:rFonts w:ascii="Arial" w:hAnsi="Arial" w:cs="Arial"/>
          <w:sz w:val="24"/>
        </w:rPr>
        <w:t>s</w:t>
      </w:r>
    </w:p>
    <w:sectPr w:rsidR="00BB4962" w:rsidRPr="009F1512" w:rsidSect="006C1DDA">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BD01" w14:textId="77777777" w:rsidR="00300B65" w:rsidRDefault="00300B65" w:rsidP="003E4474">
      <w:pPr>
        <w:spacing w:after="0" w:line="240" w:lineRule="auto"/>
      </w:pPr>
      <w:r>
        <w:separator/>
      </w:r>
    </w:p>
  </w:endnote>
  <w:endnote w:type="continuationSeparator" w:id="0">
    <w:p w14:paraId="11081EB9" w14:textId="77777777" w:rsidR="00300B65" w:rsidRDefault="00300B65"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3D95" w14:textId="77777777" w:rsidR="00300B65" w:rsidRDefault="00300B65" w:rsidP="003E4474">
      <w:pPr>
        <w:spacing w:after="0" w:line="240" w:lineRule="auto"/>
      </w:pPr>
      <w:r>
        <w:separator/>
      </w:r>
    </w:p>
  </w:footnote>
  <w:footnote w:type="continuationSeparator" w:id="0">
    <w:p w14:paraId="5DE604E3" w14:textId="77777777" w:rsidR="00300B65" w:rsidRDefault="00300B65" w:rsidP="003E4474">
      <w:pPr>
        <w:spacing w:after="0" w:line="240" w:lineRule="auto"/>
      </w:pPr>
      <w:r>
        <w:continuationSeparator/>
      </w:r>
    </w:p>
  </w:footnote>
  <w:footnote w:id="1">
    <w:p w14:paraId="6D5C1E5C" w14:textId="77777777" w:rsidR="009C0EB8" w:rsidRDefault="009C0EB8" w:rsidP="007C6A50">
      <w:pPr>
        <w:pStyle w:val="FootnoteText"/>
      </w:pPr>
      <w:r>
        <w:rPr>
          <w:rStyle w:val="FootnoteReference"/>
        </w:rPr>
        <w:footnoteRef/>
      </w:r>
      <w:r>
        <w:t xml:space="preserve"> Claimed in prayer 1.1 of the notice of motion </w:t>
      </w:r>
    </w:p>
  </w:footnote>
  <w:footnote w:id="2">
    <w:p w14:paraId="02059E65" w14:textId="77777777" w:rsidR="009C0EB8" w:rsidRDefault="009C0EB8" w:rsidP="007C6A50">
      <w:pPr>
        <w:pStyle w:val="FootnoteText"/>
      </w:pPr>
      <w:r>
        <w:rPr>
          <w:rStyle w:val="FootnoteReference"/>
        </w:rPr>
        <w:footnoteRef/>
      </w:r>
      <w:r>
        <w:t xml:space="preserve"> Claimed in prayer 1.2</w:t>
      </w:r>
      <w:r w:rsidRPr="001737B5">
        <w:t xml:space="preserve"> </w:t>
      </w:r>
      <w:r>
        <w:t>of the notice of motion</w:t>
      </w:r>
    </w:p>
  </w:footnote>
  <w:footnote w:id="3">
    <w:p w14:paraId="2C9A3C9E" w14:textId="77777777" w:rsidR="009C0EB8" w:rsidRDefault="009C0EB8" w:rsidP="007C6A50">
      <w:pPr>
        <w:pStyle w:val="FootnoteText"/>
      </w:pPr>
      <w:r>
        <w:rPr>
          <w:rStyle w:val="FootnoteReference"/>
        </w:rPr>
        <w:footnoteRef/>
      </w:r>
      <w:r>
        <w:t xml:space="preserve"> Claimed in prayer 2.1</w:t>
      </w:r>
      <w:r w:rsidRPr="001737B5">
        <w:t xml:space="preserve"> </w:t>
      </w:r>
      <w:r>
        <w:t>of the notice of motion</w:t>
      </w:r>
    </w:p>
  </w:footnote>
  <w:footnote w:id="4">
    <w:p w14:paraId="34144E85" w14:textId="77777777" w:rsidR="009C0EB8" w:rsidRDefault="009C0EB8" w:rsidP="007C6A50">
      <w:pPr>
        <w:pStyle w:val="FootnoteText"/>
      </w:pPr>
      <w:r>
        <w:rPr>
          <w:rStyle w:val="FootnoteReference"/>
        </w:rPr>
        <w:footnoteRef/>
      </w:r>
      <w:r>
        <w:t xml:space="preserve"> Claimed in prayer 2.2</w:t>
      </w:r>
      <w:r w:rsidRPr="001737B5">
        <w:t xml:space="preserve"> </w:t>
      </w:r>
      <w:r>
        <w:t>of the notice of motion</w:t>
      </w:r>
    </w:p>
  </w:footnote>
  <w:footnote w:id="5">
    <w:p w14:paraId="0A151BFC" w14:textId="77777777" w:rsidR="009C0EB8" w:rsidRDefault="009C0EB8" w:rsidP="007C6A50">
      <w:pPr>
        <w:pStyle w:val="FootnoteText"/>
      </w:pPr>
      <w:r>
        <w:rPr>
          <w:rStyle w:val="FootnoteReference"/>
        </w:rPr>
        <w:footnoteRef/>
      </w:r>
      <w:r>
        <w:t xml:space="preserve"> Claimed in prayer 3</w:t>
      </w:r>
      <w:r w:rsidRPr="001737B5">
        <w:t xml:space="preserve"> </w:t>
      </w:r>
      <w:r>
        <w:t>of the notice of motion</w:t>
      </w:r>
    </w:p>
  </w:footnote>
  <w:footnote w:id="6">
    <w:p w14:paraId="66DF59F4" w14:textId="77777777" w:rsidR="009C0EB8" w:rsidRDefault="009C0EB8">
      <w:pPr>
        <w:pStyle w:val="FootnoteText"/>
      </w:pPr>
      <w:r>
        <w:rPr>
          <w:rStyle w:val="FootnoteReference"/>
        </w:rPr>
        <w:footnoteRef/>
      </w:r>
      <w:r>
        <w:t xml:space="preserve"> Harris v ABSA Bank Ltd t/a Volkskas 2006 (4) SA 527 (T) para [16]</w:t>
      </w:r>
    </w:p>
  </w:footnote>
  <w:footnote w:id="7">
    <w:p w14:paraId="218AC374" w14:textId="77777777" w:rsidR="009C0EB8" w:rsidRPr="00D0513C" w:rsidRDefault="009C0EB8" w:rsidP="00D0513C">
      <w:pPr>
        <w:pStyle w:val="FootnoteText"/>
      </w:pPr>
      <w:r>
        <w:rPr>
          <w:rStyle w:val="FootnoteReference"/>
        </w:rPr>
        <w:footnoteRef/>
      </w:r>
      <w:r>
        <w:t xml:space="preserve"> P</w:t>
      </w:r>
      <w:r w:rsidRPr="00D0513C">
        <w:rPr>
          <w:lang w:val="en-US"/>
        </w:rPr>
        <w:t>aragraph 12.2.8 as read with paragraphs 12.2.11, 12.2.12 and 12.2.13</w:t>
      </w:r>
    </w:p>
  </w:footnote>
  <w:footnote w:id="8">
    <w:p w14:paraId="6378FC80" w14:textId="77777777" w:rsidR="009C0EB8" w:rsidRPr="00D0513C" w:rsidRDefault="009C0EB8" w:rsidP="00D0513C">
      <w:pPr>
        <w:pStyle w:val="FootnoteText"/>
      </w:pPr>
      <w:r>
        <w:rPr>
          <w:rStyle w:val="FootnoteReference"/>
        </w:rPr>
        <w:footnoteRef/>
      </w:r>
      <w:r>
        <w:t xml:space="preserve"> P</w:t>
      </w:r>
      <w:r w:rsidRPr="00D0513C">
        <w:rPr>
          <w:lang w:val="en-US"/>
        </w:rPr>
        <w:t>aragraphs 12.3 to 12.13 and annexures RA1, RA2 and RA3</w:t>
      </w:r>
    </w:p>
  </w:footnote>
  <w:footnote w:id="9">
    <w:p w14:paraId="337B9FA7" w14:textId="77777777" w:rsidR="009C0EB8" w:rsidRDefault="009C0EB8" w:rsidP="00CB1064">
      <w:pPr>
        <w:pStyle w:val="FootnoteText"/>
      </w:pPr>
      <w:r>
        <w:rPr>
          <w:rStyle w:val="FootnoteReference"/>
        </w:rPr>
        <w:footnoteRef/>
      </w:r>
      <w:r>
        <w:t xml:space="preserve"> 2015 (2) SA 1 (CC) paras [27]-[28]</w:t>
      </w:r>
    </w:p>
  </w:footnote>
  <w:footnote w:id="10">
    <w:p w14:paraId="28A8ABC0" w14:textId="77777777" w:rsidR="009C0EB8" w:rsidRPr="002D3634" w:rsidRDefault="009C0EB8" w:rsidP="00E1099C">
      <w:pPr>
        <w:pStyle w:val="FootnoteText"/>
        <w:rPr>
          <w:lang w:val="en-GB"/>
        </w:rPr>
      </w:pPr>
      <w:r w:rsidRPr="00BB50A0">
        <w:rPr>
          <w:rStyle w:val="FootnoteReference"/>
          <w:rFonts w:cs="Arial"/>
        </w:rPr>
        <w:footnoteRef/>
      </w:r>
      <w:r w:rsidRPr="00BB50A0">
        <w:rPr>
          <w:rFonts w:cs="Arial"/>
        </w:rPr>
        <w:t xml:space="preserve"> </w:t>
      </w:r>
      <w:r w:rsidRPr="00E1099C">
        <w:rPr>
          <w:rFonts w:cs="Arial"/>
          <w:lang w:val="en-US"/>
        </w:rPr>
        <w:t>Natal Joint Municipal Pension Fund v Endumeni Municipality</w:t>
      </w:r>
      <w:r>
        <w:rPr>
          <w:rFonts w:cs="Arial"/>
          <w:lang w:val="en-US"/>
        </w:rPr>
        <w:t xml:space="preserve"> </w:t>
      </w:r>
      <w:r w:rsidRPr="00BB50A0">
        <w:rPr>
          <w:rFonts w:cs="Arial"/>
          <w:lang w:val="en-GB"/>
        </w:rPr>
        <w:t>2012 (4) SA 593 (SCA) paras [18]-[19] at 603E-605B</w:t>
      </w:r>
    </w:p>
  </w:footnote>
  <w:footnote w:id="11">
    <w:p w14:paraId="69D1B5AC" w14:textId="77777777" w:rsidR="009C0EB8" w:rsidRDefault="009C0EB8" w:rsidP="0007435E">
      <w:pPr>
        <w:pStyle w:val="FootnoteText"/>
      </w:pPr>
      <w:r>
        <w:rPr>
          <w:rStyle w:val="FootnoteReference"/>
        </w:rPr>
        <w:footnoteRef/>
      </w:r>
      <w:r>
        <w:t xml:space="preserve"> 969330/2018) [2019] ZAGPPHC 251 (26 June 2019)</w:t>
      </w:r>
      <w:r w:rsidRPr="0007435E">
        <w:t xml:space="preserve"> </w:t>
      </w:r>
      <w:r>
        <w:t>paras [9]-[14]</w:t>
      </w:r>
    </w:p>
  </w:footnote>
  <w:footnote w:id="12">
    <w:p w14:paraId="2D3367EB" w14:textId="77777777" w:rsidR="009C0EB8" w:rsidRDefault="009C0EB8" w:rsidP="00C502AB">
      <w:pPr>
        <w:pStyle w:val="FootnoteText"/>
      </w:pPr>
      <w:r>
        <w:rPr>
          <w:rStyle w:val="FootnoteReference"/>
        </w:rPr>
        <w:footnoteRef/>
      </w:r>
      <w:r>
        <w:t xml:space="preserve"> Guardrisk Insurance Company Limited v Landmark Holdings (Pty) Ltd and Others (343/08) [2009] ZASCA paras [20]-[21] </w:t>
      </w:r>
    </w:p>
  </w:footnote>
  <w:footnote w:id="13">
    <w:p w14:paraId="28267372" w14:textId="77777777" w:rsidR="009C0EB8" w:rsidRDefault="009C0EB8">
      <w:pPr>
        <w:pStyle w:val="FootnoteText"/>
      </w:pPr>
      <w:r>
        <w:rPr>
          <w:rStyle w:val="FootnoteReference"/>
        </w:rPr>
        <w:footnoteRef/>
      </w:r>
      <w:r>
        <w:t xml:space="preserve"> Lombard Insurance Company Ltd v Landmark Holdings (Pty) Ltd [2009] 4 All SA 322 (SCA) </w:t>
      </w:r>
    </w:p>
  </w:footnote>
  <w:footnote w:id="14">
    <w:p w14:paraId="6627A46B" w14:textId="77777777" w:rsidR="009C0EB8" w:rsidRDefault="009C0EB8">
      <w:pPr>
        <w:pStyle w:val="FootnoteText"/>
      </w:pPr>
      <w:r>
        <w:rPr>
          <w:rStyle w:val="FootnoteReference"/>
        </w:rPr>
        <w:footnoteRef/>
      </w:r>
      <w:r>
        <w:t xml:space="preserve"> 2014 (2) SA 374 (SCA) para [12]</w:t>
      </w:r>
    </w:p>
  </w:footnote>
  <w:footnote w:id="15">
    <w:p w14:paraId="19DB8C11" w14:textId="77777777" w:rsidR="009C0EB8" w:rsidRDefault="009C0EB8">
      <w:pPr>
        <w:pStyle w:val="FootnoteText"/>
      </w:pPr>
      <w:r>
        <w:rPr>
          <w:rStyle w:val="FootnoteReference"/>
        </w:rPr>
        <w:footnoteRef/>
      </w:r>
      <w:r>
        <w:t xml:space="preserve"> Para [20]</w:t>
      </w:r>
    </w:p>
  </w:footnote>
  <w:footnote w:id="16">
    <w:p w14:paraId="169930EF" w14:textId="77777777" w:rsidR="009C0EB8" w:rsidRDefault="009C0EB8">
      <w:pPr>
        <w:pStyle w:val="FootnoteText"/>
      </w:pPr>
      <w:r>
        <w:rPr>
          <w:rStyle w:val="FootnoteReference"/>
        </w:rPr>
        <w:footnoteRef/>
      </w:r>
      <w:r>
        <w:t xml:space="preserve"> 2007 (5) SA 323 (CC) 341C-D</w:t>
      </w:r>
    </w:p>
  </w:footnote>
  <w:footnote w:id="17">
    <w:p w14:paraId="0DF7029D" w14:textId="77777777" w:rsidR="009C0EB8" w:rsidRDefault="009C0EB8">
      <w:pPr>
        <w:pStyle w:val="FootnoteText"/>
      </w:pPr>
      <w:r>
        <w:rPr>
          <w:rStyle w:val="FootnoteReference"/>
        </w:rPr>
        <w:footnoteRef/>
      </w:r>
      <w:r>
        <w:t xml:space="preserve"> </w:t>
      </w:r>
      <w:r w:rsidR="002A43FF">
        <w:t>[2017] ZACC 32 [47], [124]</w:t>
      </w:r>
    </w:p>
  </w:footnote>
  <w:footnote w:id="18">
    <w:p w14:paraId="582C06F1" w14:textId="77777777" w:rsidR="009C0EB8" w:rsidRDefault="009C0EB8">
      <w:pPr>
        <w:pStyle w:val="FootnoteText"/>
      </w:pPr>
      <w:r>
        <w:rPr>
          <w:rStyle w:val="FootnoteReference"/>
        </w:rPr>
        <w:footnoteRef/>
      </w:r>
      <w:r w:rsidR="008C2F78">
        <w:t xml:space="preserve"> Paras [26]-</w:t>
      </w:r>
      <w:r>
        <w:t>[27]</w:t>
      </w:r>
    </w:p>
  </w:footnote>
  <w:footnote w:id="19">
    <w:p w14:paraId="2C133773" w14:textId="77777777" w:rsidR="009C0EB8" w:rsidRDefault="009C0EB8">
      <w:pPr>
        <w:pStyle w:val="FootnoteText"/>
      </w:pPr>
      <w:r>
        <w:rPr>
          <w:rStyle w:val="FootnoteReference"/>
        </w:rPr>
        <w:footnoteRef/>
      </w:r>
      <w:r>
        <w:t xml:space="preserve"> Para [16]</w:t>
      </w:r>
    </w:p>
  </w:footnote>
  <w:footnote w:id="20">
    <w:p w14:paraId="7842FFD4" w14:textId="77777777" w:rsidR="007C389B" w:rsidRDefault="007C389B">
      <w:pPr>
        <w:pStyle w:val="FootnoteText"/>
      </w:pPr>
      <w:r>
        <w:rPr>
          <w:rStyle w:val="FootnoteReference"/>
        </w:rPr>
        <w:footnoteRef/>
      </w:r>
      <w:r>
        <w:t xml:space="preserve"> Trinity para [124]</w:t>
      </w:r>
    </w:p>
  </w:footnote>
  <w:footnote w:id="21">
    <w:p w14:paraId="3D5D6C0A" w14:textId="77777777" w:rsidR="003C3F2C" w:rsidRDefault="003C3F2C" w:rsidP="003C3F2C">
      <w:pPr>
        <w:pStyle w:val="FootnoteText"/>
      </w:pPr>
      <w:r>
        <w:rPr>
          <w:rStyle w:val="FootnoteReference"/>
        </w:rPr>
        <w:footnoteRef/>
      </w:r>
      <w:r>
        <w:t xml:space="preserve"> Investec supra para [24] quoting the minority judgment of Mojapelo AJ in Trinity, supra para 47</w:t>
      </w:r>
    </w:p>
  </w:footnote>
  <w:footnote w:id="22">
    <w:p w14:paraId="44069792" w14:textId="77777777" w:rsidR="003C3F2C" w:rsidRDefault="003C3F2C" w:rsidP="003C3F2C">
      <w:pPr>
        <w:pStyle w:val="FootnoteText"/>
      </w:pPr>
      <w:r>
        <w:rPr>
          <w:rStyle w:val="FootnoteReference"/>
        </w:rPr>
        <w:footnoteRef/>
      </w:r>
      <w:r>
        <w:t xml:space="preserve"> Frieslaar supra</w:t>
      </w:r>
    </w:p>
  </w:footnote>
  <w:footnote w:id="23">
    <w:p w14:paraId="4BF19102" w14:textId="77777777" w:rsidR="002561AB" w:rsidRDefault="002561AB">
      <w:pPr>
        <w:pStyle w:val="FootnoteText"/>
      </w:pPr>
      <w:r>
        <w:rPr>
          <w:rStyle w:val="FootnoteReference"/>
        </w:rPr>
        <w:footnoteRef/>
      </w:r>
      <w:r>
        <w:t xml:space="preserve"> Frieslaar NO v Ackerman (1242/2016) [2017] ZASCA 03 (02 February 2018)</w:t>
      </w:r>
    </w:p>
  </w:footnote>
  <w:footnote w:id="24">
    <w:p w14:paraId="0D54D2D2" w14:textId="77777777" w:rsidR="009C0EB8" w:rsidRDefault="009C0EB8">
      <w:pPr>
        <w:pStyle w:val="FootnoteText"/>
      </w:pPr>
      <w:r>
        <w:rPr>
          <w:rStyle w:val="FootnoteReference"/>
        </w:rPr>
        <w:footnoteRef/>
      </w:r>
      <w:r>
        <w:t xml:space="preserve"> Para [12]</w:t>
      </w:r>
      <w:r w:rsidR="00EB2B9B">
        <w:t>T</w:t>
      </w:r>
    </w:p>
  </w:footnote>
  <w:footnote w:id="25">
    <w:p w14:paraId="0A2874A5" w14:textId="77777777" w:rsidR="00607390" w:rsidRDefault="00607390" w:rsidP="00607390">
      <w:pPr>
        <w:pStyle w:val="FootnoteText"/>
      </w:pPr>
      <w:r>
        <w:rPr>
          <w:rStyle w:val="FootnoteReference"/>
        </w:rPr>
        <w:footnoteRef/>
      </w:r>
      <w:r>
        <w:t xml:space="preserve"> </w:t>
      </w:r>
      <w:r w:rsidRPr="002551AE">
        <w:rPr>
          <w:lang w:val="en-US"/>
        </w:rPr>
        <w:t>The capital amount of R14 621 061, 71 contained in the certificate of balance dated 28 April 2017 reflecting a balance of R15 294 761 in respect of portion B, working capital portion of the short form loan agreement, is the same capital amount underpinning the applicant’s certificate of balance dated 27 October 2020 in an amount of R23 170 189.16. The differences in the certificates r</w:t>
      </w:r>
      <w:r>
        <w:rPr>
          <w:lang w:val="en-US"/>
        </w:rPr>
        <w:t>elates to interest and sundries</w:t>
      </w:r>
    </w:p>
  </w:footnote>
  <w:footnote w:id="26">
    <w:p w14:paraId="4D0F93D0" w14:textId="77777777" w:rsidR="00EA0B4F" w:rsidRPr="0072699F" w:rsidRDefault="00EA0B4F" w:rsidP="00EA0B4F">
      <w:pPr>
        <w:pStyle w:val="FootnoteText"/>
        <w:rPr>
          <w:lang w:val="en-US"/>
        </w:rPr>
      </w:pPr>
      <w:r>
        <w:rPr>
          <w:rStyle w:val="FootnoteReference"/>
        </w:rPr>
        <w:footnoteRef/>
      </w:r>
      <w:r>
        <w:t xml:space="preserve"> </w:t>
      </w:r>
      <w:r w:rsidRPr="0072699F">
        <w:rPr>
          <w:lang w:val="en-US"/>
        </w:rPr>
        <w:t xml:space="preserve">That amount comprises of capital of R28 644 187.96, interest of R15 014 520.10 up to 29 June 2020 and sundries in an amount of R368 877.59.  </w:t>
      </w:r>
    </w:p>
    <w:p w14:paraId="69A68367" w14:textId="77777777" w:rsidR="00EA0B4F" w:rsidRDefault="00EA0B4F" w:rsidP="00EA0B4F">
      <w:pPr>
        <w:pStyle w:val="FootnoteText"/>
      </w:pPr>
    </w:p>
  </w:footnote>
  <w:footnote w:id="27">
    <w:p w14:paraId="340BF563" w14:textId="77777777" w:rsidR="00266E48" w:rsidRDefault="00266E48" w:rsidP="00266E48">
      <w:pPr>
        <w:pStyle w:val="FootnoteText"/>
      </w:pPr>
      <w:r>
        <w:rPr>
          <w:rStyle w:val="FootnoteReference"/>
        </w:rPr>
        <w:footnoteRef/>
      </w:r>
      <w:r>
        <w:t xml:space="preserve"> B</w:t>
      </w:r>
      <w:r w:rsidRPr="000178D3">
        <w:rPr>
          <w:lang w:val="en-US"/>
        </w:rPr>
        <w:t xml:space="preserve">eing </w:t>
      </w:r>
      <w:r>
        <w:rPr>
          <w:lang w:val="en-US"/>
        </w:rPr>
        <w:t xml:space="preserve">amounts of </w:t>
      </w:r>
      <w:r w:rsidRPr="000178D3">
        <w:rPr>
          <w:lang w:val="en-US"/>
        </w:rPr>
        <w:t>R23 170 189,16; R601 669, 77 and R21 692,91</w:t>
      </w:r>
      <w:r>
        <w:rPr>
          <w:lang w:val="en-US"/>
        </w:rPr>
        <w:t xml:space="preserve"> respectively.</w:t>
      </w:r>
    </w:p>
  </w:footnote>
  <w:footnote w:id="28">
    <w:p w14:paraId="49D1B12E" w14:textId="77777777" w:rsidR="009C0EB8" w:rsidRDefault="009C0EB8" w:rsidP="00D17E38">
      <w:pPr>
        <w:pStyle w:val="FootnoteText"/>
      </w:pPr>
      <w:r>
        <w:rPr>
          <w:rStyle w:val="FootnoteReference"/>
        </w:rPr>
        <w:footnoteRef/>
      </w:r>
      <w:r>
        <w:t xml:space="preserve"> </w:t>
      </w:r>
      <w:r w:rsidRPr="00FB7824">
        <w:rPr>
          <w:lang w:val="en-US"/>
        </w:rPr>
        <w:t>Lily v Johannesburg Turf Club</w:t>
      </w:r>
      <w:r w:rsidRPr="00FB7824">
        <w:t xml:space="preserve"> </w:t>
      </w:r>
      <w:r>
        <w:t>1983 (4) SA 548 (W) at 551-152</w:t>
      </w:r>
    </w:p>
  </w:footnote>
  <w:footnote w:id="29">
    <w:p w14:paraId="0C86FFDD" w14:textId="77777777" w:rsidR="009C0EB8" w:rsidRDefault="009C0EB8">
      <w:pPr>
        <w:pStyle w:val="FootnoteText"/>
      </w:pPr>
      <w:r>
        <w:rPr>
          <w:rStyle w:val="FootnoteReference"/>
        </w:rPr>
        <w:footnoteRef/>
      </w:r>
      <w:r>
        <w:t xml:space="preserve"> Investec Bank Ltd v Lewis 2002 (2) 111 (C); Osbourne v Cockin NO and Others (549/2017) [2018] ZASCA 58 (17 May 2018) </w:t>
      </w:r>
    </w:p>
  </w:footnote>
  <w:footnote w:id="30">
    <w:p w14:paraId="32128612" w14:textId="77777777" w:rsidR="009C0EB8" w:rsidRDefault="009C0EB8" w:rsidP="009C5166">
      <w:pPr>
        <w:pStyle w:val="FootnoteText"/>
      </w:pPr>
      <w:r>
        <w:rPr>
          <w:rStyle w:val="FootnoteReference"/>
        </w:rPr>
        <w:footnoteRef/>
      </w:r>
      <w:r>
        <w:t xml:space="preserve"> Southern Africa Enterprise Development Fund Inc v Industrial Credit Corporation Africa Ltd 2008 (6) SA 468 (W) para [22]</w:t>
      </w:r>
    </w:p>
  </w:footnote>
  <w:footnote w:id="31">
    <w:p w14:paraId="0BAE30A4" w14:textId="77777777" w:rsidR="009C0EB8" w:rsidRDefault="009C0EB8" w:rsidP="009C5166">
      <w:pPr>
        <w:pStyle w:val="FootnoteText"/>
      </w:pPr>
      <w:r>
        <w:rPr>
          <w:rStyle w:val="FootnoteReference"/>
        </w:rPr>
        <w:footnoteRef/>
      </w:r>
      <w:r>
        <w:t xml:space="preserve"> 1989 (4) SA 701 (T)</w:t>
      </w:r>
    </w:p>
  </w:footnote>
  <w:footnote w:id="32">
    <w:p w14:paraId="348CBDB9" w14:textId="77777777" w:rsidR="009C0EB8" w:rsidRDefault="009C0EB8" w:rsidP="009C5166">
      <w:pPr>
        <w:pStyle w:val="FootnoteText"/>
      </w:pPr>
      <w:r>
        <w:rPr>
          <w:rStyle w:val="FootnoteReference"/>
        </w:rPr>
        <w:footnoteRef/>
      </w:r>
      <w:r>
        <w:t xml:space="preserve"> New Zealand Court of Appeal judgment in Globe Holdings Ltd v Floratos [1998] 3 NZLR 339 at 402-402; England and Wales High Court (Chancery Division) in Irwin v Wilson and Ors [2011] EWHA 326 (Ch); [2011] EG 23 88 para 24</w:t>
      </w:r>
    </w:p>
  </w:footnote>
  <w:footnote w:id="33">
    <w:p w14:paraId="16573A40" w14:textId="77777777" w:rsidR="009C0EB8" w:rsidRDefault="009C0EB8" w:rsidP="009C5166">
      <w:pPr>
        <w:pStyle w:val="FootnoteText"/>
      </w:pPr>
      <w:r>
        <w:rPr>
          <w:rStyle w:val="FootnoteReference"/>
        </w:rPr>
        <w:footnoteRef/>
      </w:r>
      <w:r>
        <w:t xml:space="preserve"> 68 of 1969</w:t>
      </w:r>
    </w:p>
  </w:footnote>
  <w:footnote w:id="34">
    <w:p w14:paraId="2B626D23" w14:textId="77777777" w:rsidR="009C0EB8" w:rsidRDefault="009C0EB8" w:rsidP="009C5166">
      <w:pPr>
        <w:pStyle w:val="FootnoteText"/>
      </w:pPr>
      <w:r>
        <w:rPr>
          <w:rStyle w:val="FootnoteReference"/>
        </w:rPr>
        <w:footnoteRef/>
      </w:r>
      <w:r>
        <w:t xml:space="preserve"> Clauses 22.3 and 22.4</w:t>
      </w:r>
    </w:p>
  </w:footnote>
  <w:footnote w:id="35">
    <w:p w14:paraId="7A01A0EB" w14:textId="77777777" w:rsidR="009C0EB8" w:rsidRDefault="009C0EB8" w:rsidP="009C5166">
      <w:pPr>
        <w:pStyle w:val="FootnoteText"/>
      </w:pPr>
      <w:r>
        <w:rPr>
          <w:rStyle w:val="FootnoteReference"/>
        </w:rPr>
        <w:footnoteRef/>
      </w:r>
      <w:r>
        <w:t xml:space="preserve"> MEC for Health Gauteng v 3p Consulting 2012 (2) SA 542 (SCA) para [28]</w:t>
      </w:r>
    </w:p>
  </w:footnote>
  <w:footnote w:id="36">
    <w:p w14:paraId="2B8742F8" w14:textId="77777777" w:rsidR="00716D36" w:rsidRDefault="00716D36" w:rsidP="00716D36">
      <w:pPr>
        <w:pStyle w:val="FootnoteText"/>
      </w:pPr>
      <w:r>
        <w:rPr>
          <w:rStyle w:val="FootnoteReference"/>
        </w:rPr>
        <w:footnoteRef/>
      </w:r>
      <w:r>
        <w:t xml:space="preserve"> </w:t>
      </w:r>
      <w:r w:rsidRPr="00E40D72">
        <w:rPr>
          <w:lang w:val="en-US"/>
        </w:rPr>
        <w:t>Southern Africa Enterprise Development Fund Inc v Industrial Credit Corporation Africa Ltd</w:t>
      </w:r>
      <w:r w:rsidRPr="00E40D72">
        <w:t xml:space="preserve"> </w:t>
      </w:r>
      <w:r>
        <w:t>2008 (6) SA 468(W) para 22</w:t>
      </w:r>
    </w:p>
  </w:footnote>
  <w:footnote w:id="37">
    <w:p w14:paraId="7F20F7A3" w14:textId="77777777" w:rsidR="00976738" w:rsidRDefault="00976738" w:rsidP="00976738">
      <w:pPr>
        <w:pStyle w:val="FootnoteText"/>
      </w:pPr>
      <w:r>
        <w:rPr>
          <w:rStyle w:val="FootnoteReference"/>
        </w:rPr>
        <w:footnoteRef/>
      </w:r>
      <w:r>
        <w:t xml:space="preserve"> Booi v Amthole District Municipality and Others 2022 (3) BCLR 265 (CC) para [35]</w:t>
      </w:r>
    </w:p>
  </w:footnote>
  <w:footnote w:id="38">
    <w:p w14:paraId="2EC9165C" w14:textId="77777777" w:rsidR="00716D36" w:rsidRDefault="00716D36" w:rsidP="00716D36">
      <w:pPr>
        <w:pStyle w:val="FootnoteText"/>
      </w:pPr>
      <w:r>
        <w:rPr>
          <w:rStyle w:val="FootnoteReference"/>
        </w:rPr>
        <w:footnoteRef/>
      </w:r>
      <w:r>
        <w:t xml:space="preserve"> 1995 (4) 966 (C)</w:t>
      </w:r>
    </w:p>
  </w:footnote>
  <w:footnote w:id="39">
    <w:p w14:paraId="736BA1DC" w14:textId="77777777" w:rsidR="00716D36" w:rsidRDefault="00716D36" w:rsidP="00716D36">
      <w:pPr>
        <w:pStyle w:val="FootnoteText"/>
      </w:pPr>
      <w:r>
        <w:rPr>
          <w:rStyle w:val="FootnoteReference"/>
        </w:rPr>
        <w:footnoteRef/>
      </w:r>
      <w:r>
        <w:t xml:space="preserve"> 1997 (3) SA 1085 (C) at 1088E and 1090 A-B</w:t>
      </w:r>
    </w:p>
  </w:footnote>
  <w:footnote w:id="40">
    <w:p w14:paraId="032D57FB" w14:textId="77777777" w:rsidR="00716D36" w:rsidRDefault="00716D36" w:rsidP="00716D36">
      <w:pPr>
        <w:pStyle w:val="FootnoteText"/>
      </w:pPr>
      <w:r>
        <w:rPr>
          <w:rStyle w:val="FootnoteReference"/>
        </w:rPr>
        <w:footnoteRef/>
      </w:r>
      <w:r>
        <w:t xml:space="preserve"> 1997 (2) S</w:t>
      </w:r>
      <w:r w:rsidR="009D59FE">
        <w:t>A</w:t>
      </w:r>
      <w:r>
        <w:t xml:space="preserve"> 690 (C) 713 H-I</w:t>
      </w:r>
    </w:p>
  </w:footnote>
  <w:footnote w:id="41">
    <w:p w14:paraId="7D94F0C0" w14:textId="77777777" w:rsidR="00716D36" w:rsidRDefault="00716D36" w:rsidP="00716D36">
      <w:pPr>
        <w:pStyle w:val="FootnoteText"/>
      </w:pPr>
      <w:r>
        <w:rPr>
          <w:rStyle w:val="FootnoteReference"/>
        </w:rPr>
        <w:footnoteRef/>
      </w:r>
      <w:r>
        <w:t xml:space="preserve"> (393/98) [2000] ZASCA 193; [2000] 4 All SA 481 (A) para [16]</w:t>
      </w:r>
    </w:p>
  </w:footnote>
  <w:footnote w:id="42">
    <w:p w14:paraId="55E4FB46" w14:textId="77777777" w:rsidR="00716D36" w:rsidRDefault="00716D36" w:rsidP="00716D36">
      <w:pPr>
        <w:pStyle w:val="FootnoteText"/>
      </w:pPr>
      <w:r>
        <w:rPr>
          <w:rStyle w:val="FootnoteReference"/>
        </w:rPr>
        <w:footnoteRef/>
      </w:r>
      <w:r>
        <w:t xml:space="preserve"> At para [12]</w:t>
      </w:r>
    </w:p>
  </w:footnote>
  <w:footnote w:id="43">
    <w:p w14:paraId="4C889135" w14:textId="77777777" w:rsidR="00A8204D" w:rsidRDefault="00A8204D">
      <w:pPr>
        <w:pStyle w:val="FootnoteText"/>
      </w:pPr>
      <w:r>
        <w:rPr>
          <w:rStyle w:val="FootnoteReference"/>
        </w:rPr>
        <w:footnoteRef/>
      </w:r>
      <w:r>
        <w:t xml:space="preserve"> Clause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BEE7" w14:textId="77777777" w:rsidR="009C0EB8" w:rsidRDefault="009C0EB8">
    <w:pPr>
      <w:pStyle w:val="Header"/>
      <w:jc w:val="right"/>
    </w:pPr>
    <w:r>
      <w:t xml:space="preserve">Page </w:t>
    </w:r>
    <w:r>
      <w:fldChar w:fldCharType="begin"/>
    </w:r>
    <w:r>
      <w:instrText xml:space="preserve"> PAGE   \* MERGEFORMAT </w:instrText>
    </w:r>
    <w:r>
      <w:fldChar w:fldCharType="separate"/>
    </w:r>
    <w:r w:rsidR="00DB1B60">
      <w:rPr>
        <w:noProof/>
      </w:rPr>
      <w:t>3</w:t>
    </w:r>
    <w:r>
      <w:rPr>
        <w:noProof/>
      </w:rPr>
      <w:fldChar w:fldCharType="end"/>
    </w:r>
  </w:p>
  <w:p w14:paraId="749A7D01" w14:textId="77777777" w:rsidR="009C0EB8" w:rsidRDefault="009C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17F80"/>
    <w:multiLevelType w:val="hybridMultilevel"/>
    <w:tmpl w:val="80FCC1B0"/>
    <w:lvl w:ilvl="0" w:tplc="14E045B6">
      <w:start w:val="1"/>
      <w:numFmt w:val="decimal"/>
      <w:pStyle w:val="level1"/>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BD852FD"/>
    <w:multiLevelType w:val="hybridMultilevel"/>
    <w:tmpl w:val="C4C2C616"/>
    <w:lvl w:ilvl="0" w:tplc="48A087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8090181">
    <w:abstractNumId w:val="0"/>
  </w:num>
  <w:num w:numId="2" w16cid:durableId="1731266886">
    <w:abstractNumId w:val="1"/>
  </w:num>
  <w:num w:numId="3" w16cid:durableId="925067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4"/>
    <w:rsid w:val="00016FFE"/>
    <w:rsid w:val="000178D3"/>
    <w:rsid w:val="000276CD"/>
    <w:rsid w:val="00035BFD"/>
    <w:rsid w:val="0003637B"/>
    <w:rsid w:val="000409ED"/>
    <w:rsid w:val="000439CD"/>
    <w:rsid w:val="00065916"/>
    <w:rsid w:val="00071FEE"/>
    <w:rsid w:val="0007435E"/>
    <w:rsid w:val="0009295E"/>
    <w:rsid w:val="000960C5"/>
    <w:rsid w:val="000A2E5A"/>
    <w:rsid w:val="000B2803"/>
    <w:rsid w:val="000B30ED"/>
    <w:rsid w:val="000B6ACD"/>
    <w:rsid w:val="000B6AEA"/>
    <w:rsid w:val="000D0E8C"/>
    <w:rsid w:val="000E1020"/>
    <w:rsid w:val="000E7D67"/>
    <w:rsid w:val="000F54B0"/>
    <w:rsid w:val="000F58EB"/>
    <w:rsid w:val="001042AE"/>
    <w:rsid w:val="0011628B"/>
    <w:rsid w:val="00122003"/>
    <w:rsid w:val="00122E30"/>
    <w:rsid w:val="001252A0"/>
    <w:rsid w:val="00126041"/>
    <w:rsid w:val="00143395"/>
    <w:rsid w:val="001454F3"/>
    <w:rsid w:val="00146FB8"/>
    <w:rsid w:val="00154A82"/>
    <w:rsid w:val="001653BB"/>
    <w:rsid w:val="00166BCE"/>
    <w:rsid w:val="00167CE8"/>
    <w:rsid w:val="001737B5"/>
    <w:rsid w:val="00176870"/>
    <w:rsid w:val="00182A28"/>
    <w:rsid w:val="001A649F"/>
    <w:rsid w:val="001E16F5"/>
    <w:rsid w:val="001E6DAB"/>
    <w:rsid w:val="001F2305"/>
    <w:rsid w:val="001F740C"/>
    <w:rsid w:val="00214C62"/>
    <w:rsid w:val="002157DB"/>
    <w:rsid w:val="00227A80"/>
    <w:rsid w:val="00245C83"/>
    <w:rsid w:val="00250038"/>
    <w:rsid w:val="002551AE"/>
    <w:rsid w:val="002561AB"/>
    <w:rsid w:val="00266E48"/>
    <w:rsid w:val="002859FF"/>
    <w:rsid w:val="0029245B"/>
    <w:rsid w:val="0029691D"/>
    <w:rsid w:val="00297633"/>
    <w:rsid w:val="002A43FF"/>
    <w:rsid w:val="002B27FE"/>
    <w:rsid w:val="002B2FB5"/>
    <w:rsid w:val="002B7224"/>
    <w:rsid w:val="002B7A58"/>
    <w:rsid w:val="002D185C"/>
    <w:rsid w:val="002D2804"/>
    <w:rsid w:val="002D2868"/>
    <w:rsid w:val="002D49AE"/>
    <w:rsid w:val="002E2189"/>
    <w:rsid w:val="002E257D"/>
    <w:rsid w:val="002E4E7A"/>
    <w:rsid w:val="002F7B67"/>
    <w:rsid w:val="00300B65"/>
    <w:rsid w:val="00303339"/>
    <w:rsid w:val="003111AB"/>
    <w:rsid w:val="00312649"/>
    <w:rsid w:val="0031449C"/>
    <w:rsid w:val="00315208"/>
    <w:rsid w:val="003167D9"/>
    <w:rsid w:val="00317491"/>
    <w:rsid w:val="0031790F"/>
    <w:rsid w:val="00335A44"/>
    <w:rsid w:val="00336772"/>
    <w:rsid w:val="00351D17"/>
    <w:rsid w:val="0035223C"/>
    <w:rsid w:val="00354EB9"/>
    <w:rsid w:val="00365EB5"/>
    <w:rsid w:val="0037181F"/>
    <w:rsid w:val="003878D4"/>
    <w:rsid w:val="0039299B"/>
    <w:rsid w:val="003947AF"/>
    <w:rsid w:val="003A718C"/>
    <w:rsid w:val="003B7F1D"/>
    <w:rsid w:val="003C3F2C"/>
    <w:rsid w:val="003C6515"/>
    <w:rsid w:val="003C77F4"/>
    <w:rsid w:val="003D2ECE"/>
    <w:rsid w:val="003D7CA2"/>
    <w:rsid w:val="003E2203"/>
    <w:rsid w:val="003E4474"/>
    <w:rsid w:val="003E751E"/>
    <w:rsid w:val="003F0AF2"/>
    <w:rsid w:val="004167DA"/>
    <w:rsid w:val="00417A97"/>
    <w:rsid w:val="004335AA"/>
    <w:rsid w:val="00445639"/>
    <w:rsid w:val="004467F8"/>
    <w:rsid w:val="00474A56"/>
    <w:rsid w:val="00481C8F"/>
    <w:rsid w:val="00483A13"/>
    <w:rsid w:val="004867DD"/>
    <w:rsid w:val="00486A72"/>
    <w:rsid w:val="004A2937"/>
    <w:rsid w:val="004A5D77"/>
    <w:rsid w:val="004B6020"/>
    <w:rsid w:val="004D0046"/>
    <w:rsid w:val="004E31F7"/>
    <w:rsid w:val="004E37D6"/>
    <w:rsid w:val="004F091D"/>
    <w:rsid w:val="005005B6"/>
    <w:rsid w:val="005050EF"/>
    <w:rsid w:val="005051CA"/>
    <w:rsid w:val="00507F5F"/>
    <w:rsid w:val="00513088"/>
    <w:rsid w:val="00513D06"/>
    <w:rsid w:val="00520605"/>
    <w:rsid w:val="00526EC8"/>
    <w:rsid w:val="00532359"/>
    <w:rsid w:val="005442B3"/>
    <w:rsid w:val="00547CEB"/>
    <w:rsid w:val="00547D67"/>
    <w:rsid w:val="00561147"/>
    <w:rsid w:val="005613BC"/>
    <w:rsid w:val="00561C39"/>
    <w:rsid w:val="005630C7"/>
    <w:rsid w:val="00575C46"/>
    <w:rsid w:val="00575DDE"/>
    <w:rsid w:val="00586F20"/>
    <w:rsid w:val="005B5531"/>
    <w:rsid w:val="005C1954"/>
    <w:rsid w:val="005E41B0"/>
    <w:rsid w:val="006001EC"/>
    <w:rsid w:val="00607390"/>
    <w:rsid w:val="0060775A"/>
    <w:rsid w:val="00610A43"/>
    <w:rsid w:val="006421EC"/>
    <w:rsid w:val="00660F07"/>
    <w:rsid w:val="0068104C"/>
    <w:rsid w:val="006A30BA"/>
    <w:rsid w:val="006C1DDA"/>
    <w:rsid w:val="006D07DA"/>
    <w:rsid w:val="006D2262"/>
    <w:rsid w:val="006D38BF"/>
    <w:rsid w:val="006E0A00"/>
    <w:rsid w:val="006E6905"/>
    <w:rsid w:val="006E7849"/>
    <w:rsid w:val="006F4C59"/>
    <w:rsid w:val="006F57F9"/>
    <w:rsid w:val="007018E5"/>
    <w:rsid w:val="00703707"/>
    <w:rsid w:val="00703A94"/>
    <w:rsid w:val="00716306"/>
    <w:rsid w:val="00716D36"/>
    <w:rsid w:val="00722CC5"/>
    <w:rsid w:val="0072699F"/>
    <w:rsid w:val="00734B2B"/>
    <w:rsid w:val="007352C9"/>
    <w:rsid w:val="007370F6"/>
    <w:rsid w:val="007375DD"/>
    <w:rsid w:val="0074113E"/>
    <w:rsid w:val="007418E4"/>
    <w:rsid w:val="0075159A"/>
    <w:rsid w:val="00754AC6"/>
    <w:rsid w:val="00762475"/>
    <w:rsid w:val="00763037"/>
    <w:rsid w:val="00771F7A"/>
    <w:rsid w:val="0077523C"/>
    <w:rsid w:val="00787340"/>
    <w:rsid w:val="0079580C"/>
    <w:rsid w:val="007A17C1"/>
    <w:rsid w:val="007A3423"/>
    <w:rsid w:val="007A3806"/>
    <w:rsid w:val="007A6A9B"/>
    <w:rsid w:val="007B25DB"/>
    <w:rsid w:val="007B3B50"/>
    <w:rsid w:val="007B70A1"/>
    <w:rsid w:val="007C389B"/>
    <w:rsid w:val="007C6A50"/>
    <w:rsid w:val="007C6CE3"/>
    <w:rsid w:val="007D2473"/>
    <w:rsid w:val="007D3DD8"/>
    <w:rsid w:val="007E32BA"/>
    <w:rsid w:val="0081118B"/>
    <w:rsid w:val="00815B36"/>
    <w:rsid w:val="00821D81"/>
    <w:rsid w:val="008221FE"/>
    <w:rsid w:val="00823118"/>
    <w:rsid w:val="008274D6"/>
    <w:rsid w:val="00835FFE"/>
    <w:rsid w:val="008408E4"/>
    <w:rsid w:val="00840DB4"/>
    <w:rsid w:val="00844290"/>
    <w:rsid w:val="00844B5F"/>
    <w:rsid w:val="00852342"/>
    <w:rsid w:val="008605E8"/>
    <w:rsid w:val="008726A1"/>
    <w:rsid w:val="00880C3B"/>
    <w:rsid w:val="00885861"/>
    <w:rsid w:val="00885DF8"/>
    <w:rsid w:val="008879D5"/>
    <w:rsid w:val="008933CD"/>
    <w:rsid w:val="008B5F98"/>
    <w:rsid w:val="008B7161"/>
    <w:rsid w:val="008C1200"/>
    <w:rsid w:val="008C2F78"/>
    <w:rsid w:val="008D66D0"/>
    <w:rsid w:val="00917A9D"/>
    <w:rsid w:val="00917BDD"/>
    <w:rsid w:val="00920F4C"/>
    <w:rsid w:val="00941FE5"/>
    <w:rsid w:val="00943152"/>
    <w:rsid w:val="00951AD8"/>
    <w:rsid w:val="00954AB0"/>
    <w:rsid w:val="009577E1"/>
    <w:rsid w:val="00972F8E"/>
    <w:rsid w:val="00976738"/>
    <w:rsid w:val="009771EF"/>
    <w:rsid w:val="009778AB"/>
    <w:rsid w:val="0098677F"/>
    <w:rsid w:val="00994B64"/>
    <w:rsid w:val="009C0EB8"/>
    <w:rsid w:val="009C5166"/>
    <w:rsid w:val="009D0DAA"/>
    <w:rsid w:val="009D152F"/>
    <w:rsid w:val="009D3001"/>
    <w:rsid w:val="009D3FDE"/>
    <w:rsid w:val="009D59FE"/>
    <w:rsid w:val="009D5DAE"/>
    <w:rsid w:val="009D6D02"/>
    <w:rsid w:val="009E2B35"/>
    <w:rsid w:val="009E4945"/>
    <w:rsid w:val="009E4AAD"/>
    <w:rsid w:val="009F1512"/>
    <w:rsid w:val="009F7CD6"/>
    <w:rsid w:val="00A01B41"/>
    <w:rsid w:val="00A06633"/>
    <w:rsid w:val="00A1051A"/>
    <w:rsid w:val="00A13371"/>
    <w:rsid w:val="00A13E62"/>
    <w:rsid w:val="00A31CA3"/>
    <w:rsid w:val="00A348A7"/>
    <w:rsid w:val="00A415E8"/>
    <w:rsid w:val="00A55955"/>
    <w:rsid w:val="00A8204D"/>
    <w:rsid w:val="00A83368"/>
    <w:rsid w:val="00A84049"/>
    <w:rsid w:val="00A84D9C"/>
    <w:rsid w:val="00A9287A"/>
    <w:rsid w:val="00A95B11"/>
    <w:rsid w:val="00AB0CFF"/>
    <w:rsid w:val="00AC4B11"/>
    <w:rsid w:val="00AC7B5A"/>
    <w:rsid w:val="00AC7D5C"/>
    <w:rsid w:val="00AE23DB"/>
    <w:rsid w:val="00B04476"/>
    <w:rsid w:val="00B06F8F"/>
    <w:rsid w:val="00B10603"/>
    <w:rsid w:val="00B25AC1"/>
    <w:rsid w:val="00B2658E"/>
    <w:rsid w:val="00B42D3F"/>
    <w:rsid w:val="00B46499"/>
    <w:rsid w:val="00B477C3"/>
    <w:rsid w:val="00B56423"/>
    <w:rsid w:val="00B93C1F"/>
    <w:rsid w:val="00BA64BF"/>
    <w:rsid w:val="00BB0016"/>
    <w:rsid w:val="00BB0648"/>
    <w:rsid w:val="00BB24F8"/>
    <w:rsid w:val="00BB4962"/>
    <w:rsid w:val="00BB58BC"/>
    <w:rsid w:val="00BD48A8"/>
    <w:rsid w:val="00BE0D91"/>
    <w:rsid w:val="00BE1C63"/>
    <w:rsid w:val="00BF3688"/>
    <w:rsid w:val="00C03A18"/>
    <w:rsid w:val="00C13BD9"/>
    <w:rsid w:val="00C30996"/>
    <w:rsid w:val="00C3287F"/>
    <w:rsid w:val="00C43621"/>
    <w:rsid w:val="00C502AB"/>
    <w:rsid w:val="00C50DEA"/>
    <w:rsid w:val="00C53988"/>
    <w:rsid w:val="00C64358"/>
    <w:rsid w:val="00C658F5"/>
    <w:rsid w:val="00C722E0"/>
    <w:rsid w:val="00C742F0"/>
    <w:rsid w:val="00C86DC1"/>
    <w:rsid w:val="00C9185E"/>
    <w:rsid w:val="00C95BB6"/>
    <w:rsid w:val="00C97938"/>
    <w:rsid w:val="00C97A6F"/>
    <w:rsid w:val="00CA6F2D"/>
    <w:rsid w:val="00CB1064"/>
    <w:rsid w:val="00CB1EB1"/>
    <w:rsid w:val="00CB3F42"/>
    <w:rsid w:val="00CB6E5C"/>
    <w:rsid w:val="00CD1524"/>
    <w:rsid w:val="00CF6A89"/>
    <w:rsid w:val="00D0513C"/>
    <w:rsid w:val="00D0554A"/>
    <w:rsid w:val="00D12A3B"/>
    <w:rsid w:val="00D17E38"/>
    <w:rsid w:val="00D34CCD"/>
    <w:rsid w:val="00D47B54"/>
    <w:rsid w:val="00D56440"/>
    <w:rsid w:val="00D6394C"/>
    <w:rsid w:val="00D8296B"/>
    <w:rsid w:val="00D90347"/>
    <w:rsid w:val="00D92DE5"/>
    <w:rsid w:val="00D95EDA"/>
    <w:rsid w:val="00DA6003"/>
    <w:rsid w:val="00DB1B60"/>
    <w:rsid w:val="00DD137B"/>
    <w:rsid w:val="00DD7189"/>
    <w:rsid w:val="00DE3B90"/>
    <w:rsid w:val="00DF0D97"/>
    <w:rsid w:val="00DF308C"/>
    <w:rsid w:val="00E02BB5"/>
    <w:rsid w:val="00E1099C"/>
    <w:rsid w:val="00E20729"/>
    <w:rsid w:val="00E23112"/>
    <w:rsid w:val="00E245D6"/>
    <w:rsid w:val="00E33B56"/>
    <w:rsid w:val="00E36738"/>
    <w:rsid w:val="00E4069B"/>
    <w:rsid w:val="00E40D72"/>
    <w:rsid w:val="00E514D2"/>
    <w:rsid w:val="00E53628"/>
    <w:rsid w:val="00E55CF4"/>
    <w:rsid w:val="00E562E7"/>
    <w:rsid w:val="00E9012E"/>
    <w:rsid w:val="00E95E2B"/>
    <w:rsid w:val="00E96738"/>
    <w:rsid w:val="00EA0B4F"/>
    <w:rsid w:val="00EA483A"/>
    <w:rsid w:val="00EB101E"/>
    <w:rsid w:val="00EB2B9B"/>
    <w:rsid w:val="00EB41E8"/>
    <w:rsid w:val="00EB7AB7"/>
    <w:rsid w:val="00EC2679"/>
    <w:rsid w:val="00EC4584"/>
    <w:rsid w:val="00EC7D29"/>
    <w:rsid w:val="00ED0E05"/>
    <w:rsid w:val="00EE18D7"/>
    <w:rsid w:val="00EF082A"/>
    <w:rsid w:val="00EF7CCD"/>
    <w:rsid w:val="00F265E3"/>
    <w:rsid w:val="00F37630"/>
    <w:rsid w:val="00F379A4"/>
    <w:rsid w:val="00F473A8"/>
    <w:rsid w:val="00F67116"/>
    <w:rsid w:val="00F71536"/>
    <w:rsid w:val="00F772C3"/>
    <w:rsid w:val="00F82CB7"/>
    <w:rsid w:val="00F91BDE"/>
    <w:rsid w:val="00F949D4"/>
    <w:rsid w:val="00F973C6"/>
    <w:rsid w:val="00FA7EEA"/>
    <w:rsid w:val="00FB26CD"/>
    <w:rsid w:val="00FB30EE"/>
    <w:rsid w:val="00FB6B99"/>
    <w:rsid w:val="00FB7824"/>
    <w:rsid w:val="00FC2662"/>
    <w:rsid w:val="00FC3BA1"/>
    <w:rsid w:val="00FE3D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22808D"/>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ListParagraph">
    <w:name w:val="List Paragraph"/>
    <w:basedOn w:val="Normal"/>
    <w:uiPriority w:val="34"/>
    <w:qFormat/>
    <w:rsid w:val="009D3001"/>
    <w:pPr>
      <w:ind w:left="720"/>
      <w:contextualSpacing/>
    </w:pPr>
  </w:style>
  <w:style w:type="paragraph" w:styleId="BalloonText">
    <w:name w:val="Balloon Text"/>
    <w:basedOn w:val="Normal"/>
    <w:link w:val="BalloonTextChar"/>
    <w:uiPriority w:val="99"/>
    <w:semiHidden/>
    <w:unhideWhenUsed/>
    <w:rsid w:val="008C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B7E6-D277-4AC1-BB16-53C6EBD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6515</Words>
  <Characters>34860</Characters>
  <Application>Microsoft Office Word</Application>
  <DocSecurity>0</DocSecurity>
  <Lines>1202</Lines>
  <Paragraphs>405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3</cp:revision>
  <cp:lastPrinted>2022-11-24T09:05:00Z</cp:lastPrinted>
  <dcterms:created xsi:type="dcterms:W3CDTF">2022-11-25T05:18:00Z</dcterms:created>
  <dcterms:modified xsi:type="dcterms:W3CDTF">2022-11-28T15:35:00Z</dcterms:modified>
</cp:coreProperties>
</file>