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9A6FC" w14:textId="77777777" w:rsidR="003665A6" w:rsidRPr="00F34B8E" w:rsidRDefault="003665A6" w:rsidP="003665A6">
      <w:pPr>
        <w:widowControl w:val="0"/>
        <w:spacing w:before="240" w:line="360" w:lineRule="auto"/>
        <w:jc w:val="center"/>
        <w:rPr>
          <w:rFonts w:cs="Arial"/>
          <w:b/>
          <w:noProof/>
          <w:szCs w:val="24"/>
          <w:lang w:val="en-GB" w:eastAsia="en-ZA"/>
        </w:rPr>
      </w:pPr>
      <w:r w:rsidRPr="00F34B8E">
        <w:rPr>
          <w:rFonts w:cs="Arial"/>
          <w:b/>
          <w:noProof/>
          <w:szCs w:val="24"/>
          <w:lang w:val="en-GB" w:eastAsia="en-ZA"/>
        </w:rPr>
        <w:t>REPUBLIC OF SOUTH AFRICA</w:t>
      </w:r>
    </w:p>
    <w:p w14:paraId="6207FF17" w14:textId="77777777" w:rsidR="003665A6" w:rsidRPr="00F34B8E" w:rsidRDefault="003665A6" w:rsidP="003665A6">
      <w:pPr>
        <w:widowControl w:val="0"/>
        <w:spacing w:before="240" w:line="360" w:lineRule="auto"/>
        <w:jc w:val="center"/>
        <w:rPr>
          <w:rFonts w:cs="Arial"/>
          <w:b/>
          <w:szCs w:val="24"/>
          <w:lang w:val="en-GB"/>
        </w:rPr>
      </w:pPr>
      <w:r w:rsidRPr="00F34B8E">
        <w:rPr>
          <w:rFonts w:cs="Arial"/>
          <w:b/>
          <w:noProof/>
          <w:szCs w:val="24"/>
          <w:lang w:eastAsia="en-ZA"/>
        </w:rPr>
        <w:drawing>
          <wp:inline distT="0" distB="0" distL="0" distR="0" wp14:anchorId="263BA39C" wp14:editId="590069B8">
            <wp:extent cx="1809750" cy="1809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UR LOGO.png"/>
                    <pic:cNvPicPr/>
                  </pic:nvPicPr>
                  <pic:blipFill>
                    <a:blip r:embed="rId8">
                      <a:extLst>
                        <a:ext uri="{28A0092B-C50C-407E-A947-70E740481C1C}">
                          <a14:useLocalDpi xmlns:a14="http://schemas.microsoft.com/office/drawing/2010/main" val="0"/>
                        </a:ext>
                      </a:extLst>
                    </a:blip>
                    <a:stretch>
                      <a:fillRect/>
                    </a:stretch>
                  </pic:blipFill>
                  <pic:spPr>
                    <a:xfrm>
                      <a:off x="0" y="0"/>
                      <a:ext cx="1809819" cy="1809819"/>
                    </a:xfrm>
                    <a:prstGeom prst="rect">
                      <a:avLst/>
                    </a:prstGeom>
                  </pic:spPr>
                </pic:pic>
              </a:graphicData>
            </a:graphic>
          </wp:inline>
        </w:drawing>
      </w:r>
    </w:p>
    <w:p w14:paraId="67D204C6" w14:textId="77777777" w:rsidR="003665A6" w:rsidRPr="00F34B8E" w:rsidRDefault="003665A6" w:rsidP="003665A6">
      <w:pPr>
        <w:widowControl w:val="0"/>
        <w:spacing w:before="240" w:line="360" w:lineRule="auto"/>
        <w:jc w:val="center"/>
        <w:rPr>
          <w:rFonts w:cs="Arial"/>
          <w:b/>
          <w:szCs w:val="24"/>
          <w:lang w:val="en-GB"/>
        </w:rPr>
      </w:pPr>
      <w:r w:rsidRPr="00F34B8E">
        <w:rPr>
          <w:rFonts w:cs="Arial"/>
          <w:b/>
          <w:szCs w:val="24"/>
          <w:lang w:val="en-GB"/>
        </w:rPr>
        <w:t>IN THE HIGH COURT OF SOUTH AFRICA</w:t>
      </w:r>
    </w:p>
    <w:p w14:paraId="7F0DFD96" w14:textId="238C2CB7" w:rsidR="003665A6" w:rsidRPr="00F34B8E" w:rsidRDefault="003665A6" w:rsidP="003665A6">
      <w:pPr>
        <w:widowControl w:val="0"/>
        <w:spacing w:before="240" w:line="360" w:lineRule="auto"/>
        <w:jc w:val="center"/>
        <w:rPr>
          <w:rFonts w:cs="Arial"/>
          <w:szCs w:val="24"/>
          <w:lang w:val="en-GB"/>
        </w:rPr>
      </w:pPr>
      <w:r w:rsidRPr="00F34B8E">
        <w:rPr>
          <w:rFonts w:cs="Arial"/>
          <w:b/>
          <w:szCs w:val="24"/>
          <w:lang w:val="en-GB"/>
        </w:rPr>
        <w:t xml:space="preserve">GAUTENG </w:t>
      </w:r>
      <w:r w:rsidR="00006D8A">
        <w:rPr>
          <w:rFonts w:cs="Arial"/>
          <w:b/>
          <w:szCs w:val="24"/>
          <w:lang w:val="en-GB"/>
        </w:rPr>
        <w:t xml:space="preserve">LOCAL </w:t>
      </w:r>
      <w:r w:rsidRPr="00F34B8E">
        <w:rPr>
          <w:rFonts w:cs="Arial"/>
          <w:b/>
          <w:szCs w:val="24"/>
          <w:lang w:val="en-GB"/>
        </w:rPr>
        <w:t>DIVISION, JOHANNESBURG</w:t>
      </w:r>
    </w:p>
    <w:p w14:paraId="56C665A4" w14:textId="77777777" w:rsidR="003665A6" w:rsidRDefault="003665A6" w:rsidP="003665A6">
      <w:pPr>
        <w:widowControl w:val="0"/>
        <w:spacing w:before="240" w:line="240" w:lineRule="auto"/>
        <w:contextualSpacing/>
        <w:jc w:val="right"/>
        <w:rPr>
          <w:rFonts w:cs="Arial"/>
          <w:b/>
          <w:szCs w:val="24"/>
          <w:lang w:val="en-GB"/>
        </w:rPr>
      </w:pPr>
      <w:r w:rsidRPr="00F34B8E">
        <w:rPr>
          <w:rFonts w:cs="Arial"/>
          <w:b/>
          <w:szCs w:val="24"/>
          <w:lang w:val="en-GB"/>
        </w:rPr>
        <w:t xml:space="preserve">CASE NUMBER : </w:t>
      </w:r>
      <w:r>
        <w:rPr>
          <w:rFonts w:cs="Arial"/>
          <w:b/>
          <w:szCs w:val="24"/>
          <w:lang w:val="en-GB"/>
        </w:rPr>
        <w:t>42125/2018</w:t>
      </w:r>
    </w:p>
    <w:p w14:paraId="1436320D" w14:textId="77777777" w:rsidR="003665A6" w:rsidRPr="00F34B8E" w:rsidRDefault="003665A6" w:rsidP="003665A6">
      <w:pPr>
        <w:widowControl w:val="0"/>
        <w:spacing w:before="240" w:line="240" w:lineRule="auto"/>
        <w:contextualSpacing/>
        <w:jc w:val="right"/>
        <w:rPr>
          <w:rFonts w:cs="Arial"/>
          <w:b/>
          <w:szCs w:val="24"/>
          <w:lang w:val="en-GB"/>
        </w:rPr>
      </w:pPr>
      <w:r>
        <w:rPr>
          <w:rFonts w:cs="Arial"/>
          <w:b/>
          <w:szCs w:val="24"/>
          <w:lang w:val="en-GB"/>
        </w:rPr>
        <w:t xml:space="preserve">       </w:t>
      </w:r>
      <w:r>
        <w:rPr>
          <w:rFonts w:cs="Arial"/>
          <w:b/>
          <w:szCs w:val="24"/>
          <w:lang w:val="en-GB"/>
        </w:rPr>
        <w:tab/>
        <w:t>A5096/2019</w:t>
      </w:r>
    </w:p>
    <w:p w14:paraId="7E2ADEA8" w14:textId="77777777" w:rsidR="003665A6" w:rsidRPr="00F34B8E" w:rsidRDefault="003665A6" w:rsidP="003665A6">
      <w:pPr>
        <w:widowControl w:val="0"/>
        <w:spacing w:before="240" w:line="360" w:lineRule="auto"/>
        <w:jc w:val="right"/>
        <w:rPr>
          <w:rFonts w:cs="Arial"/>
          <w:b/>
          <w:szCs w:val="24"/>
          <w:lang w:val="en-GB"/>
        </w:rPr>
      </w:pPr>
      <w:r w:rsidRPr="00F34B8E">
        <w:rPr>
          <w:noProof/>
          <w:lang w:eastAsia="en-ZA"/>
        </w:rPr>
        <mc:AlternateContent>
          <mc:Choice Requires="wps">
            <w:drawing>
              <wp:anchor distT="45720" distB="45720" distL="114300" distR="114300" simplePos="0" relativeHeight="251659264" behindDoc="0" locked="0" layoutInCell="1" allowOverlap="1" wp14:anchorId="7FE48DB5" wp14:editId="7E1D5F19">
                <wp:simplePos x="0" y="0"/>
                <wp:positionH relativeFrom="margin">
                  <wp:posOffset>28575</wp:posOffset>
                </wp:positionH>
                <wp:positionV relativeFrom="paragraph">
                  <wp:posOffset>123825</wp:posOffset>
                </wp:positionV>
                <wp:extent cx="3985260" cy="1404620"/>
                <wp:effectExtent l="0" t="0" r="1524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1404620"/>
                        </a:xfrm>
                        <a:prstGeom prst="rect">
                          <a:avLst/>
                        </a:prstGeom>
                        <a:solidFill>
                          <a:srgbClr val="FFFFFF"/>
                        </a:solidFill>
                        <a:ln w="9525">
                          <a:solidFill>
                            <a:schemeClr val="tx1"/>
                          </a:solidFill>
                          <a:miter lim="800000"/>
                          <a:headEnd/>
                          <a:tailEnd/>
                        </a:ln>
                      </wps:spPr>
                      <wps:txbx>
                        <w:txbxContent>
                          <w:p w14:paraId="2FA07AD8" w14:textId="77777777" w:rsidR="003665A6" w:rsidRPr="001D7D22" w:rsidRDefault="003665A6" w:rsidP="003665A6">
                            <w:pPr>
                              <w:tabs>
                                <w:tab w:val="left" w:pos="567"/>
                                <w:tab w:val="left" w:pos="4536"/>
                              </w:tabs>
                              <w:spacing w:before="120" w:line="240" w:lineRule="auto"/>
                              <w:rPr>
                                <w:sz w:val="20"/>
                              </w:rPr>
                            </w:pPr>
                            <w:r w:rsidRPr="001D7D22">
                              <w:rPr>
                                <w:sz w:val="20"/>
                              </w:rPr>
                              <w:t>DELETE WHICHEVER IS NOT APPLICABLE</w:t>
                            </w:r>
                          </w:p>
                          <w:p w14:paraId="3A95849D" w14:textId="18263BB9" w:rsidR="003665A6" w:rsidRPr="00D10B3D" w:rsidRDefault="00D10B3D" w:rsidP="00D10B3D">
                            <w:pPr>
                              <w:tabs>
                                <w:tab w:val="left" w:pos="567"/>
                                <w:tab w:val="left" w:pos="4536"/>
                              </w:tabs>
                              <w:spacing w:before="120" w:line="240" w:lineRule="auto"/>
                              <w:rPr>
                                <w:sz w:val="20"/>
                              </w:rPr>
                            </w:pPr>
                            <w:r w:rsidRPr="001D7D22">
                              <w:rPr>
                                <w:sz w:val="20"/>
                              </w:rPr>
                              <w:t>(1)</w:t>
                            </w:r>
                            <w:r w:rsidRPr="001D7D22">
                              <w:rPr>
                                <w:sz w:val="20"/>
                              </w:rPr>
                              <w:tab/>
                            </w:r>
                            <w:r w:rsidR="003665A6" w:rsidRPr="00D10B3D">
                              <w:rPr>
                                <w:sz w:val="20"/>
                              </w:rPr>
                              <w:t>REPORTABLE</w:t>
                            </w:r>
                            <w:r w:rsidR="003665A6" w:rsidRPr="00D10B3D">
                              <w:rPr>
                                <w:sz w:val="20"/>
                              </w:rPr>
                              <w:tab/>
                              <w:t xml:space="preserve"> NO</w:t>
                            </w:r>
                          </w:p>
                          <w:p w14:paraId="150D5FB4" w14:textId="6586E9A6" w:rsidR="003665A6" w:rsidRPr="00D10B3D" w:rsidRDefault="00D10B3D" w:rsidP="00D10B3D">
                            <w:pPr>
                              <w:tabs>
                                <w:tab w:val="left" w:pos="567"/>
                                <w:tab w:val="left" w:pos="4536"/>
                              </w:tabs>
                              <w:spacing w:before="120" w:line="240" w:lineRule="auto"/>
                              <w:rPr>
                                <w:sz w:val="20"/>
                              </w:rPr>
                            </w:pPr>
                            <w:r w:rsidRPr="001D7D22">
                              <w:rPr>
                                <w:sz w:val="20"/>
                              </w:rPr>
                              <w:t>(2)</w:t>
                            </w:r>
                            <w:r w:rsidRPr="001D7D22">
                              <w:rPr>
                                <w:sz w:val="20"/>
                              </w:rPr>
                              <w:tab/>
                            </w:r>
                            <w:r w:rsidR="003665A6" w:rsidRPr="00D10B3D">
                              <w:rPr>
                                <w:sz w:val="20"/>
                              </w:rPr>
                              <w:t>OF INTEREST TO OTHER JUDGES</w:t>
                            </w:r>
                            <w:r w:rsidR="003665A6" w:rsidRPr="00D10B3D">
                              <w:rPr>
                                <w:sz w:val="20"/>
                              </w:rPr>
                              <w:tab/>
                            </w:r>
                            <w:r w:rsidR="00F91CF2" w:rsidRPr="00D10B3D">
                              <w:rPr>
                                <w:sz w:val="20"/>
                              </w:rPr>
                              <w:t xml:space="preserve"> </w:t>
                            </w:r>
                            <w:r w:rsidR="003665A6" w:rsidRPr="00D10B3D">
                              <w:rPr>
                                <w:sz w:val="20"/>
                              </w:rPr>
                              <w:t>NO</w:t>
                            </w:r>
                          </w:p>
                          <w:p w14:paraId="3D1D4453" w14:textId="3F412F9D" w:rsidR="003665A6" w:rsidRPr="00D10B3D" w:rsidRDefault="00D10B3D" w:rsidP="00D10B3D">
                            <w:pPr>
                              <w:tabs>
                                <w:tab w:val="left" w:pos="567"/>
                                <w:tab w:val="left" w:pos="4536"/>
                              </w:tabs>
                              <w:spacing w:before="120" w:line="240" w:lineRule="auto"/>
                              <w:rPr>
                                <w:sz w:val="20"/>
                              </w:rPr>
                            </w:pPr>
                            <w:r w:rsidRPr="001D7D22">
                              <w:rPr>
                                <w:sz w:val="20"/>
                              </w:rPr>
                              <w:t>(3)</w:t>
                            </w:r>
                            <w:r w:rsidRPr="001D7D22">
                              <w:rPr>
                                <w:sz w:val="20"/>
                              </w:rPr>
                              <w:tab/>
                            </w:r>
                            <w:r w:rsidR="003665A6" w:rsidRPr="00D10B3D">
                              <w:rPr>
                                <w:sz w:val="20"/>
                              </w:rPr>
                              <w:t>REVISED</w:t>
                            </w:r>
                            <w:r w:rsidR="003665A6" w:rsidRPr="00D10B3D">
                              <w:rPr>
                                <w:sz w:val="20"/>
                              </w:rPr>
                              <w:tab/>
                            </w:r>
                            <w:r w:rsidR="003665A6" w:rsidRPr="00D10B3D">
                              <w:rPr>
                                <w:sz w:val="20"/>
                              </w:rPr>
                              <w:tab/>
                            </w:r>
                          </w:p>
                          <w:p w14:paraId="26D2E604" w14:textId="77777777" w:rsidR="003665A6" w:rsidRPr="001D7D22" w:rsidRDefault="003665A6" w:rsidP="003665A6">
                            <w:pPr>
                              <w:pStyle w:val="ListParagraph"/>
                              <w:tabs>
                                <w:tab w:val="left" w:pos="567"/>
                                <w:tab w:val="left" w:pos="3969"/>
                              </w:tabs>
                              <w:spacing w:before="0" w:line="240" w:lineRule="auto"/>
                              <w:ind w:left="0"/>
                              <w:rPr>
                                <w:sz w:val="20"/>
                              </w:rPr>
                            </w:pPr>
                          </w:p>
                          <w:p w14:paraId="03CEF455" w14:textId="77777777" w:rsidR="003665A6" w:rsidRPr="001D7D22" w:rsidRDefault="003665A6" w:rsidP="003665A6">
                            <w:pPr>
                              <w:pStyle w:val="ListParagraph"/>
                              <w:tabs>
                                <w:tab w:val="left" w:pos="567"/>
                                <w:tab w:val="left" w:pos="3261"/>
                              </w:tabs>
                              <w:spacing w:before="0" w:line="240" w:lineRule="auto"/>
                              <w:ind w:left="0"/>
                              <w:rPr>
                                <w:sz w:val="20"/>
                              </w:rPr>
                            </w:pPr>
                            <w:r w:rsidRPr="001D7D22">
                              <w:rPr>
                                <w:sz w:val="20"/>
                              </w:rPr>
                              <w:t>______________________</w:t>
                            </w:r>
                            <w:r w:rsidRPr="001D7D22">
                              <w:rPr>
                                <w:sz w:val="20"/>
                              </w:rPr>
                              <w:tab/>
                              <w:t>_______________________</w:t>
                            </w:r>
                          </w:p>
                          <w:p w14:paraId="3580224B" w14:textId="77777777" w:rsidR="003665A6" w:rsidRPr="001D7D22" w:rsidRDefault="003665A6" w:rsidP="003665A6">
                            <w:pPr>
                              <w:pStyle w:val="ListParagraph"/>
                              <w:tabs>
                                <w:tab w:val="left" w:pos="567"/>
                                <w:tab w:val="left" w:pos="3261"/>
                              </w:tabs>
                              <w:spacing w:before="0" w:line="240" w:lineRule="auto"/>
                              <w:ind w:left="0"/>
                              <w:rPr>
                                <w:sz w:val="20"/>
                              </w:rPr>
                            </w:pPr>
                            <w:r w:rsidRPr="001D7D22">
                              <w:rPr>
                                <w:sz w:val="20"/>
                              </w:rPr>
                              <w:t>            DATE</w:t>
                            </w:r>
                            <w:r w:rsidRPr="001D7D22">
                              <w:rPr>
                                <w:sz w:val="20"/>
                              </w:rPr>
                              <w:tab/>
                              <w:t>           SIGNATURE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E48DB5" id="_x0000_t202" coordsize="21600,21600" o:spt="202" path="m,l,21600r21600,l21600,xe">
                <v:stroke joinstyle="miter"/>
                <v:path gradientshapeok="t" o:connecttype="rect"/>
              </v:shapetype>
              <v:shape id="Text Box 2" o:spid="_x0000_s1026" type="#_x0000_t202" style="position:absolute;left:0;text-align:left;margin-left:2.25pt;margin-top:9.75pt;width:313.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" strokecolor="black [3213]">
                <v:textbox style="mso-fit-shape-to-text:t">
                  <w:txbxContent>
                    <w:p w14:paraId="2FA07AD8" w14:textId="77777777" w:rsidR="003665A6" w:rsidRPr="001D7D22" w:rsidRDefault="003665A6" w:rsidP="003665A6">
                      <w:pPr>
                        <w:tabs>
                          <w:tab w:val="left" w:pos="567"/>
                          <w:tab w:val="left" w:pos="4536"/>
                        </w:tabs>
                        <w:spacing w:before="120" w:line="240" w:lineRule="auto"/>
                        <w:rPr>
                          <w:sz w:val="20"/>
                        </w:rPr>
                      </w:pPr>
                      <w:r w:rsidRPr="001D7D22">
                        <w:rPr>
                          <w:sz w:val="20"/>
                        </w:rPr>
                        <w:t>DELETE WHICHEVER IS NOT APPLICABLE</w:t>
                      </w:r>
                    </w:p>
                    <w:p w14:paraId="3A95849D" w14:textId="18263BB9" w:rsidR="003665A6" w:rsidRPr="00D10B3D" w:rsidRDefault="00D10B3D" w:rsidP="00D10B3D">
                      <w:pPr>
                        <w:tabs>
                          <w:tab w:val="left" w:pos="567"/>
                          <w:tab w:val="left" w:pos="4536"/>
                        </w:tabs>
                        <w:spacing w:before="120" w:line="240" w:lineRule="auto"/>
                        <w:rPr>
                          <w:sz w:val="20"/>
                        </w:rPr>
                      </w:pPr>
                      <w:r w:rsidRPr="001D7D22">
                        <w:rPr>
                          <w:sz w:val="20"/>
                        </w:rPr>
                        <w:t>(1)</w:t>
                      </w:r>
                      <w:r w:rsidRPr="001D7D22">
                        <w:rPr>
                          <w:sz w:val="20"/>
                        </w:rPr>
                        <w:tab/>
                      </w:r>
                      <w:r w:rsidR="003665A6" w:rsidRPr="00D10B3D">
                        <w:rPr>
                          <w:sz w:val="20"/>
                        </w:rPr>
                        <w:t>REPORTABLE</w:t>
                      </w:r>
                      <w:r w:rsidR="003665A6" w:rsidRPr="00D10B3D">
                        <w:rPr>
                          <w:sz w:val="20"/>
                        </w:rPr>
                        <w:tab/>
                        <w:t xml:space="preserve"> NO</w:t>
                      </w:r>
                    </w:p>
                    <w:p w14:paraId="150D5FB4" w14:textId="6586E9A6" w:rsidR="003665A6" w:rsidRPr="00D10B3D" w:rsidRDefault="00D10B3D" w:rsidP="00D10B3D">
                      <w:pPr>
                        <w:tabs>
                          <w:tab w:val="left" w:pos="567"/>
                          <w:tab w:val="left" w:pos="4536"/>
                        </w:tabs>
                        <w:spacing w:before="120" w:line="240" w:lineRule="auto"/>
                        <w:rPr>
                          <w:sz w:val="20"/>
                        </w:rPr>
                      </w:pPr>
                      <w:r w:rsidRPr="001D7D22">
                        <w:rPr>
                          <w:sz w:val="20"/>
                        </w:rPr>
                        <w:t>(2)</w:t>
                      </w:r>
                      <w:r w:rsidRPr="001D7D22">
                        <w:rPr>
                          <w:sz w:val="20"/>
                        </w:rPr>
                        <w:tab/>
                      </w:r>
                      <w:r w:rsidR="003665A6" w:rsidRPr="00D10B3D">
                        <w:rPr>
                          <w:sz w:val="20"/>
                        </w:rPr>
                        <w:t>OF INTEREST TO OTHER JUDGES</w:t>
                      </w:r>
                      <w:r w:rsidR="003665A6" w:rsidRPr="00D10B3D">
                        <w:rPr>
                          <w:sz w:val="20"/>
                        </w:rPr>
                        <w:tab/>
                      </w:r>
                      <w:r w:rsidR="00F91CF2" w:rsidRPr="00D10B3D">
                        <w:rPr>
                          <w:sz w:val="20"/>
                        </w:rPr>
                        <w:t xml:space="preserve"> </w:t>
                      </w:r>
                      <w:r w:rsidR="003665A6" w:rsidRPr="00D10B3D">
                        <w:rPr>
                          <w:sz w:val="20"/>
                        </w:rPr>
                        <w:t>NO</w:t>
                      </w:r>
                    </w:p>
                    <w:p w14:paraId="3D1D4453" w14:textId="3F412F9D" w:rsidR="003665A6" w:rsidRPr="00D10B3D" w:rsidRDefault="00D10B3D" w:rsidP="00D10B3D">
                      <w:pPr>
                        <w:tabs>
                          <w:tab w:val="left" w:pos="567"/>
                          <w:tab w:val="left" w:pos="4536"/>
                        </w:tabs>
                        <w:spacing w:before="120" w:line="240" w:lineRule="auto"/>
                        <w:rPr>
                          <w:sz w:val="20"/>
                        </w:rPr>
                      </w:pPr>
                      <w:r w:rsidRPr="001D7D22">
                        <w:rPr>
                          <w:sz w:val="20"/>
                        </w:rPr>
                        <w:t>(3)</w:t>
                      </w:r>
                      <w:r w:rsidRPr="001D7D22">
                        <w:rPr>
                          <w:sz w:val="20"/>
                        </w:rPr>
                        <w:tab/>
                      </w:r>
                      <w:r w:rsidR="003665A6" w:rsidRPr="00D10B3D">
                        <w:rPr>
                          <w:sz w:val="20"/>
                        </w:rPr>
                        <w:t>REVISED</w:t>
                      </w:r>
                      <w:r w:rsidR="003665A6" w:rsidRPr="00D10B3D">
                        <w:rPr>
                          <w:sz w:val="20"/>
                        </w:rPr>
                        <w:tab/>
                      </w:r>
                      <w:r w:rsidR="003665A6" w:rsidRPr="00D10B3D">
                        <w:rPr>
                          <w:sz w:val="20"/>
                        </w:rPr>
                        <w:tab/>
                      </w:r>
                    </w:p>
                    <w:p w14:paraId="26D2E604" w14:textId="77777777" w:rsidR="003665A6" w:rsidRPr="001D7D22" w:rsidRDefault="003665A6" w:rsidP="003665A6">
                      <w:pPr>
                        <w:pStyle w:val="ListParagraph"/>
                        <w:tabs>
                          <w:tab w:val="left" w:pos="567"/>
                          <w:tab w:val="left" w:pos="3969"/>
                        </w:tabs>
                        <w:spacing w:before="0" w:line="240" w:lineRule="auto"/>
                        <w:ind w:left="0"/>
                        <w:rPr>
                          <w:sz w:val="20"/>
                        </w:rPr>
                      </w:pPr>
                    </w:p>
                    <w:p w14:paraId="03CEF455" w14:textId="77777777" w:rsidR="003665A6" w:rsidRPr="001D7D22" w:rsidRDefault="003665A6" w:rsidP="003665A6">
                      <w:pPr>
                        <w:pStyle w:val="ListParagraph"/>
                        <w:tabs>
                          <w:tab w:val="left" w:pos="567"/>
                          <w:tab w:val="left" w:pos="3261"/>
                        </w:tabs>
                        <w:spacing w:before="0" w:line="240" w:lineRule="auto"/>
                        <w:ind w:left="0"/>
                        <w:rPr>
                          <w:sz w:val="20"/>
                        </w:rPr>
                      </w:pPr>
                      <w:r w:rsidRPr="001D7D22">
                        <w:rPr>
                          <w:sz w:val="20"/>
                        </w:rPr>
                        <w:t>______________________</w:t>
                      </w:r>
                      <w:r w:rsidRPr="001D7D22">
                        <w:rPr>
                          <w:sz w:val="20"/>
                        </w:rPr>
                        <w:tab/>
                        <w:t>_______________________</w:t>
                      </w:r>
                    </w:p>
                    <w:p w14:paraId="3580224B" w14:textId="77777777" w:rsidR="003665A6" w:rsidRPr="001D7D22" w:rsidRDefault="003665A6" w:rsidP="003665A6">
                      <w:pPr>
                        <w:pStyle w:val="ListParagraph"/>
                        <w:tabs>
                          <w:tab w:val="left" w:pos="567"/>
                          <w:tab w:val="left" w:pos="3261"/>
                        </w:tabs>
                        <w:spacing w:before="0" w:line="240" w:lineRule="auto"/>
                        <w:ind w:left="0"/>
                        <w:rPr>
                          <w:sz w:val="20"/>
                        </w:rPr>
                      </w:pPr>
                      <w:r w:rsidRPr="001D7D22">
                        <w:rPr>
                          <w:sz w:val="20"/>
                        </w:rPr>
                        <w:t>            DATE</w:t>
                      </w:r>
                      <w:r w:rsidRPr="001D7D22">
                        <w:rPr>
                          <w:sz w:val="20"/>
                        </w:rPr>
                        <w:tab/>
                        <w:t>           SIGNATURE</w:t>
                      </w:r>
                    </w:p>
                  </w:txbxContent>
                </v:textbox>
                <w10:wrap type="square" anchorx="margin"/>
              </v:shape>
            </w:pict>
          </mc:Fallback>
        </mc:AlternateContent>
      </w:r>
    </w:p>
    <w:p w14:paraId="4DACCD3D" w14:textId="77777777" w:rsidR="003665A6" w:rsidRPr="00F34B8E" w:rsidRDefault="003665A6" w:rsidP="003665A6">
      <w:pPr>
        <w:widowControl w:val="0"/>
        <w:spacing w:before="240" w:line="360" w:lineRule="auto"/>
        <w:jc w:val="right"/>
        <w:rPr>
          <w:rFonts w:cs="Arial"/>
          <w:b/>
          <w:szCs w:val="24"/>
          <w:lang w:val="en-GB"/>
        </w:rPr>
      </w:pPr>
    </w:p>
    <w:p w14:paraId="794A80E3" w14:textId="77777777" w:rsidR="003665A6" w:rsidRPr="00F34B8E" w:rsidRDefault="003665A6" w:rsidP="003665A6">
      <w:pPr>
        <w:widowControl w:val="0"/>
        <w:spacing w:before="240" w:line="360" w:lineRule="auto"/>
        <w:jc w:val="right"/>
        <w:rPr>
          <w:rFonts w:cs="Arial"/>
          <w:b/>
          <w:szCs w:val="24"/>
          <w:lang w:val="en-GB"/>
        </w:rPr>
      </w:pPr>
    </w:p>
    <w:p w14:paraId="3A3F7B9A" w14:textId="77777777" w:rsidR="003665A6" w:rsidRPr="00F34B8E" w:rsidRDefault="003665A6" w:rsidP="003665A6">
      <w:pPr>
        <w:widowControl w:val="0"/>
        <w:spacing w:before="240" w:line="360" w:lineRule="auto"/>
        <w:jc w:val="right"/>
        <w:rPr>
          <w:rFonts w:cs="Arial"/>
          <w:b/>
          <w:szCs w:val="24"/>
          <w:lang w:val="en-GB"/>
        </w:rPr>
      </w:pPr>
    </w:p>
    <w:p w14:paraId="30759598" w14:textId="77777777" w:rsidR="003665A6" w:rsidRDefault="003665A6" w:rsidP="003665A6">
      <w:pPr>
        <w:widowControl w:val="0"/>
        <w:spacing w:line="240" w:lineRule="auto"/>
        <w:rPr>
          <w:b/>
          <w:bCs/>
          <w:lang w:val="en-GB"/>
        </w:rPr>
      </w:pPr>
      <w:r w:rsidRPr="00F34B8E">
        <w:rPr>
          <w:b/>
          <w:bCs/>
          <w:lang w:val="en-GB"/>
        </w:rPr>
        <w:t>In the matter between:</w:t>
      </w:r>
    </w:p>
    <w:p w14:paraId="29F8A91C" w14:textId="77777777" w:rsidR="003665A6" w:rsidRDefault="003665A6" w:rsidP="003665A6">
      <w:pPr>
        <w:widowControl w:val="0"/>
        <w:spacing w:line="240" w:lineRule="auto"/>
        <w:rPr>
          <w:b/>
          <w:bCs/>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118"/>
      </w:tblGrid>
      <w:tr w:rsidR="003665A6" w:rsidRPr="000912BF" w14:paraId="5BBD6A5F" w14:textId="77777777" w:rsidTr="00F83F44">
        <w:tc>
          <w:tcPr>
            <w:tcW w:w="5954" w:type="dxa"/>
            <w:tcBorders>
              <w:top w:val="nil"/>
              <w:left w:val="nil"/>
              <w:bottom w:val="nil"/>
              <w:right w:val="nil"/>
            </w:tcBorders>
            <w:shd w:val="clear" w:color="auto" w:fill="auto"/>
          </w:tcPr>
          <w:p w14:paraId="437C5630" w14:textId="77777777" w:rsidR="003665A6" w:rsidRPr="000912BF" w:rsidRDefault="003665A6" w:rsidP="00F83F44">
            <w:pPr>
              <w:tabs>
                <w:tab w:val="right" w:pos="8493"/>
              </w:tabs>
              <w:spacing w:before="0" w:line="240" w:lineRule="auto"/>
              <w:jc w:val="left"/>
              <w:rPr>
                <w:rFonts w:eastAsia="Calibri" w:cs="Arial"/>
                <w:b/>
                <w:szCs w:val="24"/>
              </w:rPr>
            </w:pPr>
            <w:r w:rsidRPr="000912BF">
              <w:rPr>
                <w:rFonts w:eastAsia="Arial" w:cs="Arial"/>
                <w:b/>
                <w:bCs/>
                <w:color w:val="000000"/>
                <w:szCs w:val="24"/>
              </w:rPr>
              <w:t>JURGENS</w:t>
            </w:r>
            <w:r w:rsidRPr="000912BF">
              <w:rPr>
                <w:rFonts w:eastAsia="Arial" w:cs="Arial"/>
                <w:b/>
                <w:bCs/>
                <w:color w:val="000000"/>
                <w:spacing w:val="1"/>
                <w:szCs w:val="24"/>
              </w:rPr>
              <w:t xml:space="preserve"> </w:t>
            </w:r>
            <w:r w:rsidRPr="000912BF">
              <w:rPr>
                <w:rFonts w:eastAsia="Arial" w:cs="Arial"/>
                <w:b/>
                <w:bCs/>
                <w:color w:val="000000"/>
                <w:spacing w:val="-1"/>
                <w:szCs w:val="24"/>
              </w:rPr>
              <w:t>S</w:t>
            </w:r>
            <w:r w:rsidRPr="000912BF">
              <w:rPr>
                <w:rFonts w:eastAsia="Arial" w:cs="Arial"/>
                <w:b/>
                <w:bCs/>
                <w:color w:val="000000"/>
                <w:spacing w:val="1"/>
                <w:szCs w:val="24"/>
              </w:rPr>
              <w:t>T</w:t>
            </w:r>
            <w:r w:rsidRPr="000912BF">
              <w:rPr>
                <w:rFonts w:eastAsia="Arial" w:cs="Arial"/>
                <w:b/>
                <w:bCs/>
                <w:color w:val="000000"/>
                <w:szCs w:val="24"/>
              </w:rPr>
              <w:t>EPHAN</w:t>
            </w:r>
            <w:r w:rsidRPr="000912BF">
              <w:rPr>
                <w:rFonts w:eastAsia="Arial" w:cs="Arial"/>
                <w:b/>
                <w:bCs/>
                <w:color w:val="000000"/>
                <w:spacing w:val="-1"/>
                <w:szCs w:val="24"/>
              </w:rPr>
              <w:t>U</w:t>
            </w:r>
            <w:r w:rsidRPr="000912BF">
              <w:rPr>
                <w:rFonts w:eastAsia="Arial" w:cs="Arial"/>
                <w:b/>
                <w:bCs/>
                <w:color w:val="000000"/>
                <w:szCs w:val="24"/>
              </w:rPr>
              <w:t>S BEKKER</w:t>
            </w:r>
          </w:p>
        </w:tc>
        <w:tc>
          <w:tcPr>
            <w:tcW w:w="3118" w:type="dxa"/>
            <w:tcBorders>
              <w:top w:val="nil"/>
              <w:left w:val="nil"/>
              <w:bottom w:val="nil"/>
              <w:right w:val="nil"/>
            </w:tcBorders>
            <w:shd w:val="clear" w:color="auto" w:fill="auto"/>
          </w:tcPr>
          <w:p w14:paraId="14034010" w14:textId="77777777" w:rsidR="003665A6" w:rsidRPr="000912BF" w:rsidRDefault="003665A6" w:rsidP="00F83F44">
            <w:pPr>
              <w:tabs>
                <w:tab w:val="right" w:pos="8493"/>
              </w:tabs>
              <w:spacing w:before="0" w:line="240" w:lineRule="auto"/>
              <w:jc w:val="right"/>
              <w:rPr>
                <w:rFonts w:eastAsia="Calibri" w:cs="Arial"/>
                <w:szCs w:val="24"/>
              </w:rPr>
            </w:pPr>
            <w:r w:rsidRPr="000912BF">
              <w:rPr>
                <w:rFonts w:eastAsia="Calibri" w:cs="Arial"/>
                <w:szCs w:val="24"/>
              </w:rPr>
              <w:t>Applicant</w:t>
            </w:r>
          </w:p>
        </w:tc>
      </w:tr>
    </w:tbl>
    <w:p w14:paraId="0CA6A012" w14:textId="77777777" w:rsidR="003665A6" w:rsidRPr="000912BF" w:rsidRDefault="003665A6" w:rsidP="003665A6">
      <w:pPr>
        <w:tabs>
          <w:tab w:val="right" w:pos="8493"/>
        </w:tabs>
        <w:spacing w:before="0" w:line="240" w:lineRule="auto"/>
        <w:jc w:val="left"/>
        <w:rPr>
          <w:rFonts w:eastAsia="Calibri" w:cs="Arial"/>
          <w:b/>
          <w:szCs w:val="24"/>
        </w:rPr>
      </w:pPr>
    </w:p>
    <w:p w14:paraId="6F57990B" w14:textId="77777777" w:rsidR="003665A6" w:rsidRPr="000912BF" w:rsidRDefault="003665A6" w:rsidP="003665A6">
      <w:pPr>
        <w:tabs>
          <w:tab w:val="right" w:pos="8208"/>
        </w:tabs>
        <w:spacing w:before="0" w:line="240" w:lineRule="auto"/>
        <w:jc w:val="left"/>
        <w:rPr>
          <w:rFonts w:eastAsia="Calibri" w:cs="Arial"/>
          <w:b/>
          <w:szCs w:val="24"/>
        </w:rPr>
      </w:pPr>
    </w:p>
    <w:p w14:paraId="0E973848" w14:textId="59E385B1" w:rsidR="003665A6" w:rsidRPr="000912BF" w:rsidRDefault="00C36BA7" w:rsidP="003665A6">
      <w:pPr>
        <w:tabs>
          <w:tab w:val="right" w:pos="8208"/>
        </w:tabs>
        <w:spacing w:before="0" w:line="240" w:lineRule="auto"/>
        <w:jc w:val="left"/>
        <w:rPr>
          <w:rFonts w:eastAsia="Calibri" w:cs="Arial"/>
          <w:szCs w:val="24"/>
        </w:rPr>
      </w:pPr>
      <w:r>
        <w:rPr>
          <w:rFonts w:eastAsia="Calibri" w:cs="Arial"/>
          <w:szCs w:val="24"/>
        </w:rPr>
        <w:t xml:space="preserve">   </w:t>
      </w:r>
      <w:r w:rsidR="003665A6" w:rsidRPr="000912BF">
        <w:rPr>
          <w:rFonts w:eastAsia="Calibri" w:cs="Arial"/>
          <w:szCs w:val="24"/>
        </w:rPr>
        <w:t>and</w:t>
      </w:r>
    </w:p>
    <w:p w14:paraId="5A56CA3E" w14:textId="77777777" w:rsidR="003665A6" w:rsidRPr="000912BF" w:rsidRDefault="003665A6" w:rsidP="003665A6">
      <w:pPr>
        <w:tabs>
          <w:tab w:val="right" w:pos="8493"/>
        </w:tabs>
        <w:spacing w:before="0" w:line="240" w:lineRule="auto"/>
        <w:jc w:val="left"/>
        <w:rPr>
          <w:rFonts w:eastAsia="Calibri" w:cs="Arial"/>
          <w:b/>
          <w:szCs w:val="24"/>
        </w:rPr>
      </w:pPr>
    </w:p>
    <w:p w14:paraId="4E998D2E" w14:textId="77777777" w:rsidR="003665A6" w:rsidRPr="000912BF" w:rsidRDefault="003665A6" w:rsidP="003665A6">
      <w:pPr>
        <w:tabs>
          <w:tab w:val="right" w:pos="8208"/>
        </w:tabs>
        <w:spacing w:before="0" w:line="240" w:lineRule="auto"/>
        <w:jc w:val="left"/>
        <w:rPr>
          <w:rFonts w:eastAsia="Calibri" w:cs="Arial"/>
          <w:szCs w:val="24"/>
        </w:rPr>
      </w:pPr>
      <w:r w:rsidRPr="000912BF">
        <w:rPr>
          <w:rFonts w:eastAsia="Calibri" w:cs="Arial"/>
          <w:b/>
          <w:szCs w:val="24"/>
        </w:rPr>
        <w:tab/>
      </w:r>
    </w:p>
    <w:tbl>
      <w:tblPr>
        <w:tblW w:w="893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868"/>
      </w:tblGrid>
      <w:tr w:rsidR="003665A6" w:rsidRPr="000912BF" w14:paraId="16ED05DF" w14:textId="77777777" w:rsidTr="00F83F44">
        <w:tc>
          <w:tcPr>
            <w:tcW w:w="6062" w:type="dxa"/>
            <w:tcBorders>
              <w:top w:val="nil"/>
              <w:left w:val="nil"/>
              <w:bottom w:val="nil"/>
              <w:right w:val="nil"/>
            </w:tcBorders>
            <w:shd w:val="clear" w:color="auto" w:fill="auto"/>
          </w:tcPr>
          <w:p w14:paraId="73CA03AF" w14:textId="77777777" w:rsidR="003665A6" w:rsidRPr="000912BF" w:rsidRDefault="003665A6" w:rsidP="00F83F44">
            <w:pPr>
              <w:tabs>
                <w:tab w:val="right" w:pos="8493"/>
              </w:tabs>
              <w:spacing w:before="0" w:line="240" w:lineRule="auto"/>
              <w:rPr>
                <w:rFonts w:eastAsia="Calibri" w:cs="Arial"/>
                <w:b/>
                <w:szCs w:val="24"/>
              </w:rPr>
            </w:pPr>
            <w:r w:rsidRPr="000912BF">
              <w:rPr>
                <w:rFonts w:eastAsia="Arial" w:cs="Arial"/>
                <w:b/>
                <w:bCs/>
                <w:color w:val="000000"/>
                <w:szCs w:val="24"/>
              </w:rPr>
              <w:t>ALEXA</w:t>
            </w:r>
            <w:r w:rsidRPr="000912BF">
              <w:rPr>
                <w:rFonts w:eastAsia="Arial" w:cs="Arial"/>
                <w:b/>
                <w:bCs/>
                <w:color w:val="000000"/>
                <w:spacing w:val="1"/>
                <w:szCs w:val="24"/>
              </w:rPr>
              <w:t xml:space="preserve"> </w:t>
            </w:r>
            <w:r w:rsidRPr="000912BF">
              <w:rPr>
                <w:rFonts w:eastAsia="Arial" w:cs="Arial"/>
                <w:b/>
                <w:bCs/>
                <w:color w:val="000000"/>
                <w:szCs w:val="24"/>
              </w:rPr>
              <w:t>DE</w:t>
            </w:r>
            <w:r w:rsidRPr="000912BF">
              <w:rPr>
                <w:rFonts w:eastAsia="Arial" w:cs="Arial"/>
                <w:b/>
                <w:bCs/>
                <w:color w:val="000000"/>
                <w:spacing w:val="1"/>
                <w:szCs w:val="24"/>
              </w:rPr>
              <w:t xml:space="preserve"> </w:t>
            </w:r>
            <w:r w:rsidRPr="000912BF">
              <w:rPr>
                <w:rFonts w:eastAsia="Arial" w:cs="Arial"/>
                <w:b/>
                <w:bCs/>
                <w:color w:val="000000"/>
                <w:szCs w:val="24"/>
              </w:rPr>
              <w:t>AGRELA</w:t>
            </w:r>
          </w:p>
        </w:tc>
        <w:tc>
          <w:tcPr>
            <w:tcW w:w="2868" w:type="dxa"/>
            <w:tcBorders>
              <w:top w:val="nil"/>
              <w:left w:val="nil"/>
              <w:bottom w:val="nil"/>
              <w:right w:val="nil"/>
            </w:tcBorders>
            <w:shd w:val="clear" w:color="auto" w:fill="auto"/>
          </w:tcPr>
          <w:p w14:paraId="27FC58F2" w14:textId="77777777" w:rsidR="003665A6" w:rsidRPr="000912BF" w:rsidRDefault="003665A6" w:rsidP="00F83F44">
            <w:pPr>
              <w:tabs>
                <w:tab w:val="right" w:pos="8493"/>
              </w:tabs>
              <w:spacing w:before="0" w:line="240" w:lineRule="auto"/>
              <w:jc w:val="right"/>
              <w:rPr>
                <w:rFonts w:eastAsia="Calibri" w:cs="Arial"/>
                <w:bCs/>
                <w:szCs w:val="24"/>
              </w:rPr>
            </w:pPr>
            <w:r w:rsidRPr="000912BF">
              <w:rPr>
                <w:rFonts w:eastAsia="Calibri" w:cs="Arial"/>
                <w:bCs/>
                <w:szCs w:val="24"/>
              </w:rPr>
              <w:t>1</w:t>
            </w:r>
            <w:r w:rsidRPr="000912BF">
              <w:rPr>
                <w:rFonts w:eastAsia="Calibri" w:cs="Arial"/>
                <w:bCs/>
                <w:szCs w:val="24"/>
                <w:vertAlign w:val="superscript"/>
              </w:rPr>
              <w:t>st</w:t>
            </w:r>
            <w:r w:rsidRPr="000912BF">
              <w:rPr>
                <w:rFonts w:eastAsia="Calibri" w:cs="Arial"/>
                <w:bCs/>
                <w:szCs w:val="24"/>
              </w:rPr>
              <w:t xml:space="preserve"> Respondent</w:t>
            </w:r>
          </w:p>
        </w:tc>
      </w:tr>
      <w:tr w:rsidR="003665A6" w:rsidRPr="000912BF" w14:paraId="40AE0562" w14:textId="77777777" w:rsidTr="00F83F44">
        <w:tc>
          <w:tcPr>
            <w:tcW w:w="6062" w:type="dxa"/>
            <w:tcBorders>
              <w:top w:val="nil"/>
              <w:left w:val="nil"/>
              <w:bottom w:val="nil"/>
              <w:right w:val="nil"/>
            </w:tcBorders>
            <w:shd w:val="clear" w:color="auto" w:fill="auto"/>
          </w:tcPr>
          <w:p w14:paraId="1E06FA34" w14:textId="77777777" w:rsidR="003665A6" w:rsidRPr="000912BF" w:rsidRDefault="003665A6" w:rsidP="00F83F44">
            <w:pPr>
              <w:spacing w:before="0" w:line="240" w:lineRule="auto"/>
              <w:jc w:val="left"/>
              <w:rPr>
                <w:rFonts w:eastAsia="Calibri" w:cs="Arial"/>
                <w:b/>
                <w:sz w:val="22"/>
              </w:rPr>
            </w:pPr>
          </w:p>
        </w:tc>
        <w:tc>
          <w:tcPr>
            <w:tcW w:w="2868" w:type="dxa"/>
            <w:tcBorders>
              <w:top w:val="nil"/>
              <w:left w:val="nil"/>
              <w:bottom w:val="nil"/>
              <w:right w:val="nil"/>
            </w:tcBorders>
            <w:shd w:val="clear" w:color="auto" w:fill="auto"/>
          </w:tcPr>
          <w:p w14:paraId="0CB96D98" w14:textId="77777777" w:rsidR="003665A6" w:rsidRPr="000912BF" w:rsidRDefault="003665A6" w:rsidP="00F83F44">
            <w:pPr>
              <w:tabs>
                <w:tab w:val="right" w:pos="8493"/>
              </w:tabs>
              <w:spacing w:before="0" w:line="240" w:lineRule="auto"/>
              <w:jc w:val="right"/>
              <w:rPr>
                <w:rFonts w:eastAsia="Calibri" w:cs="Arial"/>
                <w:bCs/>
                <w:szCs w:val="24"/>
              </w:rPr>
            </w:pPr>
          </w:p>
        </w:tc>
      </w:tr>
      <w:tr w:rsidR="003665A6" w:rsidRPr="000912BF" w14:paraId="36BCD780" w14:textId="77777777" w:rsidTr="00F83F44">
        <w:tc>
          <w:tcPr>
            <w:tcW w:w="6062" w:type="dxa"/>
            <w:tcBorders>
              <w:top w:val="nil"/>
              <w:left w:val="nil"/>
              <w:bottom w:val="nil"/>
              <w:right w:val="nil"/>
            </w:tcBorders>
            <w:shd w:val="clear" w:color="auto" w:fill="auto"/>
          </w:tcPr>
          <w:p w14:paraId="6F115E09" w14:textId="77777777" w:rsidR="003665A6" w:rsidRPr="000912BF" w:rsidRDefault="003665A6" w:rsidP="00F83F44">
            <w:pPr>
              <w:spacing w:before="0" w:line="240" w:lineRule="auto"/>
              <w:jc w:val="left"/>
              <w:rPr>
                <w:rFonts w:eastAsia="Calibri" w:cs="Arial"/>
                <w:b/>
                <w:sz w:val="22"/>
              </w:rPr>
            </w:pPr>
            <w:r w:rsidRPr="000912BF">
              <w:rPr>
                <w:rFonts w:eastAsia="Arial" w:cs="Arial"/>
                <w:b/>
                <w:bCs/>
                <w:color w:val="000000"/>
                <w:szCs w:val="24"/>
              </w:rPr>
              <w:t>CARIEN VAN GR</w:t>
            </w:r>
            <w:r w:rsidRPr="000912BF">
              <w:rPr>
                <w:rFonts w:eastAsia="Arial" w:cs="Arial"/>
                <w:b/>
                <w:bCs/>
                <w:color w:val="000000"/>
                <w:spacing w:val="1"/>
                <w:szCs w:val="24"/>
              </w:rPr>
              <w:t>E</w:t>
            </w:r>
            <w:r w:rsidRPr="000912BF">
              <w:rPr>
                <w:rFonts w:eastAsia="Arial" w:cs="Arial"/>
                <w:b/>
                <w:bCs/>
                <w:color w:val="000000"/>
                <w:szCs w:val="24"/>
              </w:rPr>
              <w:t>UNEN</w:t>
            </w:r>
          </w:p>
        </w:tc>
        <w:tc>
          <w:tcPr>
            <w:tcW w:w="2868" w:type="dxa"/>
            <w:tcBorders>
              <w:top w:val="nil"/>
              <w:left w:val="nil"/>
              <w:bottom w:val="nil"/>
              <w:right w:val="nil"/>
            </w:tcBorders>
            <w:shd w:val="clear" w:color="auto" w:fill="auto"/>
          </w:tcPr>
          <w:p w14:paraId="08516C85" w14:textId="77777777" w:rsidR="003665A6" w:rsidRPr="000912BF" w:rsidRDefault="003665A6" w:rsidP="00F83F44">
            <w:pPr>
              <w:tabs>
                <w:tab w:val="right" w:pos="8493"/>
              </w:tabs>
              <w:spacing w:before="0" w:line="240" w:lineRule="auto"/>
              <w:jc w:val="right"/>
              <w:rPr>
                <w:rFonts w:eastAsia="Calibri" w:cs="Arial"/>
                <w:bCs/>
                <w:szCs w:val="24"/>
              </w:rPr>
            </w:pPr>
            <w:r w:rsidRPr="000912BF">
              <w:rPr>
                <w:rFonts w:eastAsia="Calibri" w:cs="Arial"/>
                <w:bCs/>
                <w:szCs w:val="24"/>
              </w:rPr>
              <w:t>2</w:t>
            </w:r>
            <w:r w:rsidRPr="000912BF">
              <w:rPr>
                <w:rFonts w:eastAsia="Calibri" w:cs="Arial"/>
                <w:bCs/>
                <w:szCs w:val="24"/>
                <w:vertAlign w:val="superscript"/>
              </w:rPr>
              <w:t>nd</w:t>
            </w:r>
            <w:r w:rsidRPr="000912BF">
              <w:rPr>
                <w:rFonts w:eastAsia="Calibri" w:cs="Arial"/>
                <w:bCs/>
                <w:szCs w:val="24"/>
              </w:rPr>
              <w:t xml:space="preserve"> Respondent</w:t>
            </w:r>
          </w:p>
        </w:tc>
      </w:tr>
      <w:tr w:rsidR="003665A6" w:rsidRPr="000912BF" w14:paraId="326AD789" w14:textId="77777777" w:rsidTr="00F83F44">
        <w:tc>
          <w:tcPr>
            <w:tcW w:w="6062" w:type="dxa"/>
            <w:tcBorders>
              <w:top w:val="nil"/>
              <w:left w:val="nil"/>
              <w:bottom w:val="nil"/>
              <w:right w:val="nil"/>
            </w:tcBorders>
            <w:shd w:val="clear" w:color="auto" w:fill="auto"/>
          </w:tcPr>
          <w:p w14:paraId="05A41149" w14:textId="77777777" w:rsidR="003665A6" w:rsidRPr="000912BF" w:rsidRDefault="003665A6" w:rsidP="00F83F44">
            <w:pPr>
              <w:spacing w:before="0" w:line="240" w:lineRule="auto"/>
              <w:jc w:val="left"/>
              <w:rPr>
                <w:rFonts w:eastAsia="Calibri" w:cs="Arial"/>
                <w:b/>
                <w:sz w:val="22"/>
              </w:rPr>
            </w:pPr>
          </w:p>
        </w:tc>
        <w:tc>
          <w:tcPr>
            <w:tcW w:w="2868" w:type="dxa"/>
            <w:tcBorders>
              <w:top w:val="nil"/>
              <w:left w:val="nil"/>
              <w:bottom w:val="nil"/>
              <w:right w:val="nil"/>
            </w:tcBorders>
            <w:shd w:val="clear" w:color="auto" w:fill="auto"/>
          </w:tcPr>
          <w:p w14:paraId="0237D173" w14:textId="77777777" w:rsidR="003665A6" w:rsidRPr="000912BF" w:rsidRDefault="003665A6" w:rsidP="00F83F44">
            <w:pPr>
              <w:tabs>
                <w:tab w:val="right" w:pos="8493"/>
              </w:tabs>
              <w:spacing w:before="0" w:line="240" w:lineRule="auto"/>
              <w:jc w:val="right"/>
              <w:rPr>
                <w:rFonts w:eastAsia="Calibri" w:cs="Arial"/>
                <w:bCs/>
                <w:szCs w:val="24"/>
              </w:rPr>
            </w:pPr>
          </w:p>
        </w:tc>
      </w:tr>
      <w:tr w:rsidR="003665A6" w:rsidRPr="000912BF" w14:paraId="17940C65" w14:textId="77777777" w:rsidTr="00F83F44">
        <w:tc>
          <w:tcPr>
            <w:tcW w:w="6062" w:type="dxa"/>
            <w:tcBorders>
              <w:top w:val="nil"/>
              <w:left w:val="nil"/>
              <w:bottom w:val="nil"/>
              <w:right w:val="nil"/>
            </w:tcBorders>
            <w:shd w:val="clear" w:color="auto" w:fill="auto"/>
          </w:tcPr>
          <w:p w14:paraId="47DB636F" w14:textId="77777777" w:rsidR="003665A6" w:rsidRPr="000912BF" w:rsidRDefault="003665A6" w:rsidP="00F83F44">
            <w:pPr>
              <w:spacing w:before="0" w:line="240" w:lineRule="auto"/>
              <w:jc w:val="left"/>
              <w:rPr>
                <w:rFonts w:eastAsia="Calibri" w:cs="Arial"/>
                <w:b/>
                <w:sz w:val="22"/>
              </w:rPr>
            </w:pPr>
            <w:r w:rsidRPr="000912BF">
              <w:rPr>
                <w:rFonts w:eastAsia="Arial" w:cs="Arial"/>
                <w:b/>
                <w:bCs/>
                <w:color w:val="000000"/>
                <w:szCs w:val="24"/>
              </w:rPr>
              <w:t xml:space="preserve">SHERALYN </w:t>
            </w:r>
            <w:r w:rsidRPr="000912BF">
              <w:rPr>
                <w:rFonts w:eastAsia="Arial" w:cs="Arial"/>
                <w:b/>
                <w:bCs/>
                <w:color w:val="000000"/>
                <w:spacing w:val="1"/>
                <w:szCs w:val="24"/>
              </w:rPr>
              <w:t>P</w:t>
            </w:r>
            <w:r w:rsidRPr="000912BF">
              <w:rPr>
                <w:rFonts w:eastAsia="Arial" w:cs="Arial"/>
                <w:b/>
                <w:bCs/>
                <w:color w:val="000000"/>
                <w:szCs w:val="24"/>
              </w:rPr>
              <w:t>IE</w:t>
            </w:r>
            <w:r w:rsidRPr="000912BF">
              <w:rPr>
                <w:rFonts w:eastAsia="Arial" w:cs="Arial"/>
                <w:b/>
                <w:bCs/>
                <w:color w:val="000000"/>
                <w:spacing w:val="1"/>
                <w:szCs w:val="24"/>
              </w:rPr>
              <w:t>TE</w:t>
            </w:r>
            <w:r w:rsidRPr="000912BF">
              <w:rPr>
                <w:rFonts w:eastAsia="Arial" w:cs="Arial"/>
                <w:b/>
                <w:bCs/>
                <w:color w:val="000000"/>
                <w:szCs w:val="24"/>
              </w:rPr>
              <w:t>RSE</w:t>
            </w:r>
          </w:p>
        </w:tc>
        <w:tc>
          <w:tcPr>
            <w:tcW w:w="2868" w:type="dxa"/>
            <w:tcBorders>
              <w:top w:val="nil"/>
              <w:left w:val="nil"/>
              <w:bottom w:val="nil"/>
              <w:right w:val="nil"/>
            </w:tcBorders>
            <w:shd w:val="clear" w:color="auto" w:fill="auto"/>
          </w:tcPr>
          <w:p w14:paraId="468280CD" w14:textId="77777777" w:rsidR="003665A6" w:rsidRPr="000912BF" w:rsidRDefault="003665A6" w:rsidP="00F83F44">
            <w:pPr>
              <w:tabs>
                <w:tab w:val="right" w:pos="8493"/>
              </w:tabs>
              <w:spacing w:before="0" w:line="240" w:lineRule="auto"/>
              <w:jc w:val="right"/>
              <w:rPr>
                <w:rFonts w:eastAsia="Calibri" w:cs="Arial"/>
                <w:bCs/>
                <w:szCs w:val="24"/>
              </w:rPr>
            </w:pPr>
            <w:r w:rsidRPr="000912BF">
              <w:rPr>
                <w:rFonts w:eastAsia="Calibri" w:cs="Arial"/>
                <w:bCs/>
                <w:szCs w:val="24"/>
              </w:rPr>
              <w:t>3</w:t>
            </w:r>
            <w:r w:rsidRPr="000912BF">
              <w:rPr>
                <w:rFonts w:eastAsia="Calibri" w:cs="Arial"/>
                <w:bCs/>
                <w:szCs w:val="24"/>
                <w:vertAlign w:val="superscript"/>
              </w:rPr>
              <w:t>rd</w:t>
            </w:r>
            <w:r w:rsidRPr="000912BF">
              <w:rPr>
                <w:rFonts w:eastAsia="Calibri" w:cs="Arial"/>
                <w:bCs/>
                <w:szCs w:val="24"/>
              </w:rPr>
              <w:t xml:space="preserve"> Respondent</w:t>
            </w:r>
          </w:p>
        </w:tc>
      </w:tr>
      <w:tr w:rsidR="003665A6" w:rsidRPr="000912BF" w14:paraId="4DC35725" w14:textId="77777777" w:rsidTr="00F83F44">
        <w:tc>
          <w:tcPr>
            <w:tcW w:w="6062" w:type="dxa"/>
            <w:tcBorders>
              <w:top w:val="nil"/>
              <w:left w:val="nil"/>
              <w:bottom w:val="nil"/>
              <w:right w:val="nil"/>
            </w:tcBorders>
            <w:shd w:val="clear" w:color="auto" w:fill="auto"/>
          </w:tcPr>
          <w:p w14:paraId="25AC42F4" w14:textId="77777777" w:rsidR="003665A6" w:rsidRPr="000912BF" w:rsidRDefault="003665A6" w:rsidP="00F83F44">
            <w:pPr>
              <w:spacing w:before="0" w:line="240" w:lineRule="auto"/>
              <w:jc w:val="left"/>
              <w:rPr>
                <w:rFonts w:eastAsia="Calibri" w:cs="Arial"/>
                <w:b/>
                <w:sz w:val="22"/>
              </w:rPr>
            </w:pPr>
          </w:p>
        </w:tc>
        <w:tc>
          <w:tcPr>
            <w:tcW w:w="2868" w:type="dxa"/>
            <w:tcBorders>
              <w:top w:val="nil"/>
              <w:left w:val="nil"/>
              <w:bottom w:val="nil"/>
              <w:right w:val="nil"/>
            </w:tcBorders>
            <w:shd w:val="clear" w:color="auto" w:fill="auto"/>
          </w:tcPr>
          <w:p w14:paraId="5C915053" w14:textId="77777777" w:rsidR="003665A6" w:rsidRPr="000912BF" w:rsidRDefault="003665A6" w:rsidP="00F83F44">
            <w:pPr>
              <w:tabs>
                <w:tab w:val="right" w:pos="8493"/>
              </w:tabs>
              <w:spacing w:before="0" w:line="240" w:lineRule="auto"/>
              <w:jc w:val="right"/>
              <w:rPr>
                <w:rFonts w:eastAsia="Calibri" w:cs="Arial"/>
                <w:bCs/>
                <w:szCs w:val="24"/>
              </w:rPr>
            </w:pPr>
          </w:p>
        </w:tc>
      </w:tr>
      <w:tr w:rsidR="003665A6" w:rsidRPr="000912BF" w14:paraId="105285DC" w14:textId="77777777" w:rsidTr="00F83F44">
        <w:tc>
          <w:tcPr>
            <w:tcW w:w="6062" w:type="dxa"/>
            <w:tcBorders>
              <w:top w:val="nil"/>
              <w:left w:val="nil"/>
              <w:bottom w:val="nil"/>
              <w:right w:val="nil"/>
            </w:tcBorders>
            <w:shd w:val="clear" w:color="auto" w:fill="auto"/>
          </w:tcPr>
          <w:p w14:paraId="59F2FBDC" w14:textId="77777777" w:rsidR="003665A6" w:rsidRPr="000912BF" w:rsidRDefault="003665A6" w:rsidP="00F83F44">
            <w:pPr>
              <w:spacing w:before="0" w:line="240" w:lineRule="auto"/>
              <w:jc w:val="left"/>
              <w:rPr>
                <w:rFonts w:eastAsia="Calibri" w:cs="Arial"/>
                <w:b/>
                <w:sz w:val="22"/>
              </w:rPr>
            </w:pPr>
            <w:r w:rsidRPr="000912BF">
              <w:rPr>
                <w:rFonts w:eastAsia="Arial" w:cs="Arial"/>
                <w:b/>
                <w:bCs/>
                <w:color w:val="000000"/>
                <w:szCs w:val="24"/>
              </w:rPr>
              <w:t>SHAN</w:t>
            </w:r>
            <w:r w:rsidRPr="000912BF">
              <w:rPr>
                <w:rFonts w:eastAsia="Arial" w:cs="Arial"/>
                <w:b/>
                <w:bCs/>
                <w:color w:val="000000"/>
                <w:spacing w:val="-1"/>
                <w:szCs w:val="24"/>
              </w:rPr>
              <w:t>N</w:t>
            </w:r>
            <w:r w:rsidRPr="000912BF">
              <w:rPr>
                <w:rFonts w:eastAsia="Arial" w:cs="Arial"/>
                <w:b/>
                <w:bCs/>
                <w:color w:val="000000"/>
                <w:szCs w:val="24"/>
              </w:rPr>
              <w:t>E DE KLERK</w:t>
            </w:r>
          </w:p>
        </w:tc>
        <w:tc>
          <w:tcPr>
            <w:tcW w:w="2868" w:type="dxa"/>
            <w:tcBorders>
              <w:top w:val="nil"/>
              <w:left w:val="nil"/>
              <w:bottom w:val="nil"/>
              <w:right w:val="nil"/>
            </w:tcBorders>
            <w:shd w:val="clear" w:color="auto" w:fill="auto"/>
          </w:tcPr>
          <w:p w14:paraId="59B50375" w14:textId="77777777" w:rsidR="003665A6" w:rsidRPr="000912BF" w:rsidRDefault="003665A6" w:rsidP="00F83F44">
            <w:pPr>
              <w:tabs>
                <w:tab w:val="right" w:pos="8493"/>
              </w:tabs>
              <w:spacing w:before="0" w:line="240" w:lineRule="auto"/>
              <w:jc w:val="right"/>
              <w:rPr>
                <w:rFonts w:eastAsia="Calibri" w:cs="Arial"/>
                <w:bCs/>
                <w:szCs w:val="24"/>
              </w:rPr>
            </w:pPr>
            <w:r w:rsidRPr="000912BF">
              <w:rPr>
                <w:rFonts w:eastAsia="Calibri" w:cs="Arial"/>
                <w:bCs/>
                <w:szCs w:val="24"/>
              </w:rPr>
              <w:t>4</w:t>
            </w:r>
            <w:r w:rsidRPr="000912BF">
              <w:rPr>
                <w:rFonts w:eastAsia="Calibri" w:cs="Arial"/>
                <w:bCs/>
                <w:szCs w:val="24"/>
                <w:vertAlign w:val="superscript"/>
              </w:rPr>
              <w:t>th</w:t>
            </w:r>
            <w:r w:rsidRPr="000912BF">
              <w:rPr>
                <w:rFonts w:eastAsia="Calibri" w:cs="Arial"/>
                <w:bCs/>
                <w:szCs w:val="24"/>
              </w:rPr>
              <w:t xml:space="preserve"> Respondent</w:t>
            </w:r>
          </w:p>
        </w:tc>
      </w:tr>
      <w:tr w:rsidR="003665A6" w:rsidRPr="000912BF" w14:paraId="60E6AC2E" w14:textId="77777777" w:rsidTr="00F83F44">
        <w:tc>
          <w:tcPr>
            <w:tcW w:w="6062" w:type="dxa"/>
            <w:tcBorders>
              <w:top w:val="nil"/>
              <w:left w:val="nil"/>
              <w:bottom w:val="nil"/>
              <w:right w:val="nil"/>
            </w:tcBorders>
            <w:shd w:val="clear" w:color="auto" w:fill="auto"/>
          </w:tcPr>
          <w:p w14:paraId="48E6010B" w14:textId="77777777" w:rsidR="003665A6" w:rsidRPr="000912BF" w:rsidRDefault="003665A6" w:rsidP="00F83F44">
            <w:pPr>
              <w:spacing w:before="0" w:line="240" w:lineRule="auto"/>
              <w:jc w:val="left"/>
              <w:rPr>
                <w:rFonts w:eastAsia="Calibri" w:cs="Arial"/>
                <w:b/>
                <w:sz w:val="22"/>
              </w:rPr>
            </w:pPr>
          </w:p>
        </w:tc>
        <w:tc>
          <w:tcPr>
            <w:tcW w:w="2868" w:type="dxa"/>
            <w:tcBorders>
              <w:top w:val="nil"/>
              <w:left w:val="nil"/>
              <w:bottom w:val="nil"/>
              <w:right w:val="nil"/>
            </w:tcBorders>
            <w:shd w:val="clear" w:color="auto" w:fill="auto"/>
          </w:tcPr>
          <w:p w14:paraId="3AC2DEB5" w14:textId="77777777" w:rsidR="003665A6" w:rsidRPr="000912BF" w:rsidRDefault="003665A6" w:rsidP="00F83F44">
            <w:pPr>
              <w:tabs>
                <w:tab w:val="right" w:pos="8493"/>
              </w:tabs>
              <w:spacing w:before="0" w:line="240" w:lineRule="auto"/>
              <w:jc w:val="right"/>
              <w:rPr>
                <w:rFonts w:eastAsia="Calibri" w:cs="Arial"/>
                <w:bCs/>
                <w:szCs w:val="24"/>
              </w:rPr>
            </w:pPr>
          </w:p>
        </w:tc>
      </w:tr>
      <w:tr w:rsidR="003665A6" w:rsidRPr="000912BF" w14:paraId="3BB9BBA2" w14:textId="77777777" w:rsidTr="00F83F44">
        <w:tc>
          <w:tcPr>
            <w:tcW w:w="6062" w:type="dxa"/>
            <w:tcBorders>
              <w:top w:val="nil"/>
              <w:left w:val="nil"/>
              <w:bottom w:val="nil"/>
              <w:right w:val="nil"/>
            </w:tcBorders>
            <w:shd w:val="clear" w:color="auto" w:fill="auto"/>
          </w:tcPr>
          <w:p w14:paraId="0C68462B" w14:textId="77777777" w:rsidR="003665A6" w:rsidRPr="000912BF" w:rsidRDefault="003665A6" w:rsidP="00F83F44">
            <w:pPr>
              <w:spacing w:before="0" w:line="240" w:lineRule="auto"/>
              <w:jc w:val="left"/>
              <w:rPr>
                <w:rFonts w:eastAsia="Calibri" w:cs="Arial"/>
                <w:b/>
                <w:sz w:val="22"/>
              </w:rPr>
            </w:pPr>
            <w:r w:rsidRPr="000912BF">
              <w:rPr>
                <w:rFonts w:eastAsia="Arial" w:cs="Arial"/>
                <w:b/>
                <w:bCs/>
                <w:color w:val="000000"/>
                <w:szCs w:val="24"/>
              </w:rPr>
              <w:t>G</w:t>
            </w:r>
            <w:r w:rsidRPr="000912BF">
              <w:rPr>
                <w:rFonts w:eastAsia="Arial" w:cs="Arial"/>
                <w:b/>
                <w:bCs/>
                <w:color w:val="000000"/>
                <w:spacing w:val="1"/>
                <w:szCs w:val="24"/>
              </w:rPr>
              <w:t>E</w:t>
            </w:r>
            <w:r w:rsidRPr="000912BF">
              <w:rPr>
                <w:rFonts w:eastAsia="Arial" w:cs="Arial"/>
                <w:b/>
                <w:bCs/>
                <w:color w:val="000000"/>
                <w:szCs w:val="24"/>
              </w:rPr>
              <w:t>RT</w:t>
            </w:r>
            <w:r w:rsidRPr="000912BF">
              <w:rPr>
                <w:rFonts w:eastAsia="Arial" w:cs="Arial"/>
                <w:b/>
                <w:bCs/>
                <w:color w:val="000000"/>
                <w:spacing w:val="3"/>
                <w:szCs w:val="24"/>
              </w:rPr>
              <w:t xml:space="preserve"> </w:t>
            </w:r>
            <w:r w:rsidRPr="000912BF">
              <w:rPr>
                <w:rFonts w:eastAsia="Arial" w:cs="Arial"/>
                <w:b/>
                <w:bCs/>
                <w:color w:val="000000"/>
                <w:szCs w:val="24"/>
              </w:rPr>
              <w:t>A</w:t>
            </w:r>
            <w:r w:rsidRPr="000912BF">
              <w:rPr>
                <w:rFonts w:eastAsia="Arial" w:cs="Arial"/>
                <w:b/>
                <w:bCs/>
                <w:color w:val="000000"/>
                <w:w w:val="99"/>
                <w:szCs w:val="24"/>
              </w:rPr>
              <w:t>B</w:t>
            </w:r>
            <w:r w:rsidRPr="000912BF">
              <w:rPr>
                <w:rFonts w:eastAsia="Arial" w:cs="Arial"/>
                <w:b/>
                <w:bCs/>
                <w:color w:val="000000"/>
                <w:szCs w:val="24"/>
              </w:rPr>
              <w:t>R</w:t>
            </w:r>
            <w:r w:rsidRPr="000912BF">
              <w:rPr>
                <w:rFonts w:eastAsia="Arial" w:cs="Arial"/>
                <w:b/>
                <w:bCs/>
                <w:color w:val="000000"/>
                <w:spacing w:val="-1"/>
                <w:szCs w:val="24"/>
              </w:rPr>
              <w:t>A</w:t>
            </w:r>
            <w:r w:rsidRPr="000912BF">
              <w:rPr>
                <w:rFonts w:eastAsia="Arial" w:cs="Arial"/>
                <w:b/>
                <w:bCs/>
                <w:color w:val="000000"/>
                <w:szCs w:val="24"/>
              </w:rPr>
              <w:t>H</w:t>
            </w:r>
            <w:r w:rsidRPr="000912BF">
              <w:rPr>
                <w:rFonts w:eastAsia="Arial" w:cs="Arial"/>
                <w:b/>
                <w:bCs/>
                <w:color w:val="000000"/>
                <w:spacing w:val="-1"/>
                <w:szCs w:val="24"/>
              </w:rPr>
              <w:t>A</w:t>
            </w:r>
            <w:r w:rsidRPr="000912BF">
              <w:rPr>
                <w:rFonts w:eastAsia="Arial" w:cs="Arial"/>
                <w:b/>
                <w:bCs/>
                <w:color w:val="000000"/>
                <w:szCs w:val="24"/>
              </w:rPr>
              <w:t>M</w:t>
            </w:r>
            <w:r w:rsidRPr="000912BF">
              <w:rPr>
                <w:rFonts w:eastAsia="Arial" w:cs="Arial"/>
                <w:b/>
                <w:bCs/>
                <w:color w:val="000000"/>
                <w:spacing w:val="-1"/>
                <w:szCs w:val="24"/>
              </w:rPr>
              <w:t xml:space="preserve"> </w:t>
            </w:r>
            <w:r w:rsidRPr="000912BF">
              <w:rPr>
                <w:rFonts w:eastAsia="Arial" w:cs="Arial"/>
                <w:b/>
                <w:bCs/>
                <w:color w:val="000000"/>
                <w:szCs w:val="24"/>
              </w:rPr>
              <w:t>V</w:t>
            </w:r>
            <w:r w:rsidRPr="000912BF">
              <w:rPr>
                <w:rFonts w:eastAsia="Arial" w:cs="Arial"/>
                <w:b/>
                <w:bCs/>
                <w:color w:val="000000"/>
                <w:spacing w:val="1"/>
                <w:szCs w:val="24"/>
              </w:rPr>
              <w:t>O</w:t>
            </w:r>
            <w:r w:rsidRPr="000912BF">
              <w:rPr>
                <w:rFonts w:eastAsia="Arial" w:cs="Arial"/>
                <w:b/>
                <w:bCs/>
                <w:color w:val="000000"/>
                <w:szCs w:val="24"/>
              </w:rPr>
              <w:t>RS</w:t>
            </w:r>
            <w:r w:rsidRPr="000912BF">
              <w:rPr>
                <w:rFonts w:eastAsia="Arial" w:cs="Arial"/>
                <w:b/>
                <w:bCs/>
                <w:color w:val="000000"/>
                <w:spacing w:val="3"/>
                <w:szCs w:val="24"/>
              </w:rPr>
              <w:t>T</w:t>
            </w:r>
            <w:r w:rsidRPr="000912BF">
              <w:rPr>
                <w:rFonts w:eastAsia="Arial" w:cs="Arial"/>
                <w:b/>
                <w:bCs/>
                <w:color w:val="000000"/>
                <w:szCs w:val="24"/>
              </w:rPr>
              <w:t>ER</w:t>
            </w:r>
          </w:p>
        </w:tc>
        <w:tc>
          <w:tcPr>
            <w:tcW w:w="2868" w:type="dxa"/>
            <w:tcBorders>
              <w:top w:val="nil"/>
              <w:left w:val="nil"/>
              <w:bottom w:val="nil"/>
              <w:right w:val="nil"/>
            </w:tcBorders>
            <w:shd w:val="clear" w:color="auto" w:fill="auto"/>
          </w:tcPr>
          <w:p w14:paraId="175890DA" w14:textId="77777777" w:rsidR="003665A6" w:rsidRPr="000912BF" w:rsidRDefault="003665A6" w:rsidP="00F83F44">
            <w:pPr>
              <w:tabs>
                <w:tab w:val="right" w:pos="8493"/>
              </w:tabs>
              <w:spacing w:before="0" w:line="240" w:lineRule="auto"/>
              <w:jc w:val="right"/>
              <w:rPr>
                <w:rFonts w:eastAsia="Calibri" w:cs="Arial"/>
                <w:bCs/>
                <w:szCs w:val="24"/>
              </w:rPr>
            </w:pPr>
            <w:r w:rsidRPr="000912BF">
              <w:rPr>
                <w:rFonts w:eastAsia="Calibri" w:cs="Arial"/>
                <w:bCs/>
                <w:szCs w:val="24"/>
              </w:rPr>
              <w:t>5</w:t>
            </w:r>
            <w:r w:rsidRPr="000912BF">
              <w:rPr>
                <w:rFonts w:eastAsia="Calibri" w:cs="Arial"/>
                <w:bCs/>
                <w:szCs w:val="24"/>
                <w:vertAlign w:val="superscript"/>
              </w:rPr>
              <w:t>th</w:t>
            </w:r>
            <w:r w:rsidRPr="000912BF">
              <w:rPr>
                <w:rFonts w:eastAsia="Calibri" w:cs="Arial"/>
                <w:bCs/>
                <w:szCs w:val="24"/>
              </w:rPr>
              <w:t xml:space="preserve"> Respondent</w:t>
            </w:r>
          </w:p>
        </w:tc>
      </w:tr>
    </w:tbl>
    <w:p w14:paraId="09343BD0" w14:textId="0EEBA998" w:rsidR="00A77790" w:rsidRDefault="00A77790" w:rsidP="00A77790">
      <w:pPr>
        <w:spacing w:before="0" w:line="240" w:lineRule="auto"/>
        <w:rPr>
          <w:bCs/>
        </w:rPr>
      </w:pPr>
      <w:r w:rsidRPr="00A77790">
        <w:rPr>
          <w:b/>
        </w:rPr>
        <w:lastRenderedPageBreak/>
        <w:t>Summary</w:t>
      </w:r>
      <w:r w:rsidRPr="00A77790">
        <w:rPr>
          <w:bCs/>
        </w:rPr>
        <w:t xml:space="preserve">:  </w:t>
      </w:r>
      <w:r>
        <w:rPr>
          <w:bCs/>
        </w:rPr>
        <w:t>Section 2(1)(a) of the Contingency Fees Act 66 of 1997 and section 92 of the Legal Practice Act 28 of 2014 (“the LPA”) discussed and distinguished</w:t>
      </w:r>
      <w:r w:rsidRPr="00A77790">
        <w:rPr>
          <w:bCs/>
        </w:rPr>
        <w:t xml:space="preserve"> </w:t>
      </w:r>
      <w:r>
        <w:rPr>
          <w:bCs/>
        </w:rPr>
        <w:t>–</w:t>
      </w:r>
      <w:r w:rsidRPr="00A77790">
        <w:rPr>
          <w:bCs/>
        </w:rPr>
        <w:t xml:space="preserve"> </w:t>
      </w:r>
      <w:r>
        <w:rPr>
          <w:bCs/>
        </w:rPr>
        <w:t>Section 92 of the L</w:t>
      </w:r>
      <w:r w:rsidR="000977CD">
        <w:rPr>
          <w:bCs/>
        </w:rPr>
        <w:t xml:space="preserve">PA </w:t>
      </w:r>
      <w:r>
        <w:rPr>
          <w:bCs/>
        </w:rPr>
        <w:t>applies where there was an arrangement that counsel would only recover fees equal to the amount taxed and recovered from other party – Section 92 of</w:t>
      </w:r>
      <w:r w:rsidR="000977CD">
        <w:rPr>
          <w:bCs/>
        </w:rPr>
        <w:t xml:space="preserve"> the LPA is an exception to the indemnification principle in the field of costs</w:t>
      </w:r>
      <w:r w:rsidR="00B52877">
        <w:rPr>
          <w:bCs/>
        </w:rPr>
        <w:t xml:space="preserve"> – </w:t>
      </w:r>
      <w:r w:rsidR="00D42CD8">
        <w:rPr>
          <w:bCs/>
        </w:rPr>
        <w:t>Breach of a B</w:t>
      </w:r>
      <w:r w:rsidR="00B52877">
        <w:rPr>
          <w:bCs/>
        </w:rPr>
        <w:t xml:space="preserve">ar </w:t>
      </w:r>
      <w:r w:rsidR="00D42CD8">
        <w:rPr>
          <w:bCs/>
        </w:rPr>
        <w:t>r</w:t>
      </w:r>
      <w:r w:rsidR="00B52877">
        <w:rPr>
          <w:bCs/>
        </w:rPr>
        <w:t xml:space="preserve">ule does not invalidate </w:t>
      </w:r>
      <w:r w:rsidR="003E012D">
        <w:rPr>
          <w:bCs/>
        </w:rPr>
        <w:t xml:space="preserve">the </w:t>
      </w:r>
      <w:r w:rsidR="00B52877">
        <w:rPr>
          <w:bCs/>
        </w:rPr>
        <w:t>fee arrangement</w:t>
      </w:r>
      <w:r w:rsidR="000977CD">
        <w:rPr>
          <w:bCs/>
        </w:rPr>
        <w:t xml:space="preserve">. </w:t>
      </w:r>
      <w:r>
        <w:rPr>
          <w:bCs/>
        </w:rPr>
        <w:t xml:space="preserve">  </w:t>
      </w:r>
    </w:p>
    <w:p w14:paraId="729FF1C4" w14:textId="77777777" w:rsidR="008C78F7" w:rsidRPr="00A77790" w:rsidRDefault="008C78F7" w:rsidP="00A77790">
      <w:pPr>
        <w:spacing w:before="0" w:line="240" w:lineRule="auto"/>
        <w:rPr>
          <w:bCs/>
        </w:rPr>
      </w:pPr>
    </w:p>
    <w:p w14:paraId="5F6017C8" w14:textId="77777777" w:rsidR="003665A6" w:rsidRDefault="003665A6" w:rsidP="003665A6">
      <w:pPr>
        <w:spacing w:before="0" w:line="240" w:lineRule="auto"/>
        <w:rPr>
          <w:b/>
          <w:lang w:val="en-GB"/>
        </w:rPr>
      </w:pPr>
    </w:p>
    <w:p w14:paraId="047D3D02" w14:textId="77777777" w:rsidR="003665A6" w:rsidRPr="00F34B8E" w:rsidRDefault="003665A6" w:rsidP="003665A6">
      <w:pPr>
        <w:spacing w:before="0" w:line="240" w:lineRule="auto"/>
        <w:rPr>
          <w:b/>
          <w:lang w:val="en-GB"/>
        </w:rPr>
      </w:pPr>
      <w:r w:rsidRPr="00F34B8E">
        <w:rPr>
          <w:b/>
          <w:lang w:val="en-GB"/>
        </w:rPr>
        <w:t>__________________________________</w:t>
      </w:r>
      <w:r>
        <w:rPr>
          <w:b/>
          <w:lang w:val="en-GB"/>
        </w:rPr>
        <w:t>__</w:t>
      </w:r>
      <w:r w:rsidRPr="00F34B8E">
        <w:rPr>
          <w:b/>
          <w:lang w:val="en-GB"/>
        </w:rPr>
        <w:t>_______________________________</w:t>
      </w:r>
    </w:p>
    <w:p w14:paraId="539A380A" w14:textId="77777777" w:rsidR="003665A6" w:rsidRPr="00F34B8E" w:rsidRDefault="003665A6" w:rsidP="003665A6">
      <w:pPr>
        <w:spacing w:before="0" w:line="240" w:lineRule="auto"/>
        <w:jc w:val="center"/>
        <w:rPr>
          <w:b/>
          <w:lang w:val="en-GB"/>
        </w:rPr>
      </w:pPr>
    </w:p>
    <w:p w14:paraId="5E64A7F4" w14:textId="77777777" w:rsidR="003665A6" w:rsidRPr="00F34B8E" w:rsidRDefault="003665A6" w:rsidP="003665A6">
      <w:pPr>
        <w:spacing w:before="0" w:line="240" w:lineRule="auto"/>
        <w:jc w:val="center"/>
        <w:rPr>
          <w:b/>
          <w:lang w:val="en-GB"/>
        </w:rPr>
      </w:pPr>
      <w:r w:rsidRPr="00F34B8E">
        <w:rPr>
          <w:b/>
          <w:lang w:val="en-GB"/>
        </w:rPr>
        <w:t>J U D G M E N T</w:t>
      </w:r>
    </w:p>
    <w:p w14:paraId="568C310D" w14:textId="77777777" w:rsidR="003665A6" w:rsidRPr="00F34B8E" w:rsidRDefault="003665A6" w:rsidP="003665A6">
      <w:pPr>
        <w:spacing w:before="0" w:line="240" w:lineRule="auto"/>
        <w:rPr>
          <w:b/>
          <w:lang w:val="en-GB"/>
        </w:rPr>
      </w:pPr>
      <w:r w:rsidRPr="00F34B8E">
        <w:rPr>
          <w:b/>
          <w:lang w:val="en-GB"/>
        </w:rPr>
        <w:t>____________________________________</w:t>
      </w:r>
      <w:r>
        <w:rPr>
          <w:b/>
          <w:lang w:val="en-GB"/>
        </w:rPr>
        <w:t>_</w:t>
      </w:r>
      <w:r w:rsidRPr="00F34B8E">
        <w:rPr>
          <w:b/>
          <w:lang w:val="en-GB"/>
        </w:rPr>
        <w:t>______________________________</w:t>
      </w:r>
    </w:p>
    <w:p w14:paraId="5B42B1C3" w14:textId="77777777" w:rsidR="003665A6" w:rsidRPr="00F34B8E" w:rsidRDefault="003665A6" w:rsidP="003665A6">
      <w:pPr>
        <w:spacing w:before="0" w:line="240" w:lineRule="auto"/>
        <w:rPr>
          <w:b/>
          <w:lang w:val="en-GB"/>
        </w:rPr>
      </w:pPr>
    </w:p>
    <w:p w14:paraId="28AA7137" w14:textId="77777777" w:rsidR="003665A6" w:rsidRPr="004F7C5F" w:rsidRDefault="003665A6" w:rsidP="003665A6">
      <w:pPr>
        <w:spacing w:before="0" w:line="240" w:lineRule="auto"/>
        <w:rPr>
          <w:b/>
          <w:bCs/>
          <w:lang w:val="en-GB"/>
        </w:rPr>
      </w:pPr>
      <w:r w:rsidRPr="004F7C5F">
        <w:rPr>
          <w:b/>
          <w:bCs/>
          <w:lang w:val="en-GB"/>
        </w:rPr>
        <w:t>VAN DER BERG AJ</w:t>
      </w:r>
    </w:p>
    <w:p w14:paraId="2DC6099F" w14:textId="77777777" w:rsidR="003665A6" w:rsidRPr="00F34B8E" w:rsidRDefault="003665A6" w:rsidP="003665A6">
      <w:pPr>
        <w:spacing w:before="0" w:line="240" w:lineRule="auto"/>
        <w:rPr>
          <w:lang w:val="en-GB"/>
        </w:rPr>
      </w:pPr>
    </w:p>
    <w:p w14:paraId="216BECE9" w14:textId="77777777" w:rsidR="003665A6" w:rsidRPr="00F34B8E" w:rsidRDefault="003665A6" w:rsidP="003665A6">
      <w:pPr>
        <w:widowControl w:val="0"/>
        <w:spacing w:before="0" w:after="320" w:line="240" w:lineRule="auto"/>
        <w:rPr>
          <w:rFonts w:cs="Arial"/>
          <w:b/>
          <w:szCs w:val="24"/>
          <w:lang w:val="en-GB"/>
        </w:rPr>
      </w:pPr>
    </w:p>
    <w:p w14:paraId="1C438B25" w14:textId="5FBE93F5" w:rsidR="003665A6" w:rsidRDefault="00D10B3D" w:rsidP="00D10B3D">
      <w:pPr>
        <w:pStyle w:val="LEVEL10"/>
        <w:numPr>
          <w:ilvl w:val="0"/>
          <w:numId w:val="0"/>
        </w:numPr>
        <w:tabs>
          <w:tab w:val="left" w:pos="737"/>
        </w:tabs>
        <w:ind w:left="851" w:hanging="851"/>
      </w:pPr>
      <w:r>
        <w:t>[1]</w:t>
      </w:r>
      <w:r>
        <w:tab/>
      </w:r>
      <w:r w:rsidR="00A80A5C">
        <w:t>Th</w:t>
      </w:r>
      <w:r w:rsidR="00D42CD8">
        <w:t>e</w:t>
      </w:r>
      <w:r w:rsidR="00A80A5C">
        <w:t xml:space="preserve"> applicant and the five respondents are all attorneys. </w:t>
      </w:r>
      <w:r w:rsidR="003665A6">
        <w:t xml:space="preserve">The applicant </w:t>
      </w:r>
      <w:r w:rsidR="008C78F7">
        <w:t xml:space="preserve">previously </w:t>
      </w:r>
      <w:r w:rsidR="003665A6">
        <w:t>brought an application (“</w:t>
      </w:r>
      <w:r w:rsidR="003665A6" w:rsidRPr="00A80A5C">
        <w:rPr>
          <w:i/>
          <w:iCs/>
        </w:rPr>
        <w:t>the first application</w:t>
      </w:r>
      <w:r w:rsidR="003665A6">
        <w:t xml:space="preserve">”) against the five respondents which was dismissed with costs in December 2018.  The applicant thereafter lodged an appeal, but shortly before the appeal was heard he withdrew the appeal and tendered costs.  In the bill of costs presented for taxation, the </w:t>
      </w:r>
      <w:r w:rsidR="00912E26">
        <w:t xml:space="preserve">first </w:t>
      </w:r>
      <w:r w:rsidR="003665A6">
        <w:t xml:space="preserve">and fourth respondents included the invoices of </w:t>
      </w:r>
      <w:r w:rsidR="00DE1263">
        <w:t xml:space="preserve">their </w:t>
      </w:r>
      <w:r w:rsidR="003665A6">
        <w:t xml:space="preserve">counsel who </w:t>
      </w:r>
      <w:r w:rsidR="004D2E36">
        <w:t xml:space="preserve">was on brief </w:t>
      </w:r>
      <w:r w:rsidR="003665A6">
        <w:t xml:space="preserve">in the first application and in the appeal. </w:t>
      </w:r>
    </w:p>
    <w:p w14:paraId="446C5972" w14:textId="44287934" w:rsidR="003665A6" w:rsidRDefault="00D10B3D" w:rsidP="00D10B3D">
      <w:pPr>
        <w:pStyle w:val="LEVEL10"/>
        <w:numPr>
          <w:ilvl w:val="0"/>
          <w:numId w:val="0"/>
        </w:numPr>
        <w:tabs>
          <w:tab w:val="left" w:pos="737"/>
        </w:tabs>
        <w:ind w:left="851" w:hanging="851"/>
      </w:pPr>
      <w:r>
        <w:t>[2]</w:t>
      </w:r>
      <w:r>
        <w:tab/>
      </w:r>
      <w:r w:rsidR="00F91CF2">
        <w:t xml:space="preserve"> </w:t>
      </w:r>
      <w:r w:rsidR="003665A6">
        <w:t>This is an application to strike out those invoices from the bill of cost</w:t>
      </w:r>
      <w:r w:rsidR="004D2E36">
        <w:t>s</w:t>
      </w:r>
      <w:r w:rsidR="003665A6">
        <w:t xml:space="preserve">, and to declare the agreement </w:t>
      </w:r>
      <w:r w:rsidR="004D2E36">
        <w:t xml:space="preserve">which </w:t>
      </w:r>
      <w:r w:rsidR="003665A6">
        <w:t xml:space="preserve">first and fourth respondents </w:t>
      </w:r>
      <w:r w:rsidR="004D2E36">
        <w:t xml:space="preserve">concluded </w:t>
      </w:r>
      <w:r w:rsidR="003665A6">
        <w:t>with counsel as an invalid contingency fees agreement which does not comply with the provisions of the Contingency Fees Act 66 of 1997 (“</w:t>
      </w:r>
      <w:r w:rsidR="003665A6" w:rsidRPr="003665A6">
        <w:rPr>
          <w:i/>
          <w:iCs/>
        </w:rPr>
        <w:t>the CFA</w:t>
      </w:r>
      <w:r w:rsidR="003665A6">
        <w:t>”).</w:t>
      </w:r>
    </w:p>
    <w:p w14:paraId="62F5EEDA" w14:textId="4CFDEAE0" w:rsidR="003665A6" w:rsidRDefault="00D10B3D" w:rsidP="00D10B3D">
      <w:pPr>
        <w:pStyle w:val="LEVEL10"/>
        <w:numPr>
          <w:ilvl w:val="0"/>
          <w:numId w:val="0"/>
        </w:numPr>
        <w:tabs>
          <w:tab w:val="left" w:pos="737"/>
        </w:tabs>
        <w:ind w:left="851" w:hanging="851"/>
      </w:pPr>
      <w:r>
        <w:t>[3]</w:t>
      </w:r>
      <w:r>
        <w:tab/>
      </w:r>
      <w:r w:rsidR="00F91CF2">
        <w:t xml:space="preserve"> </w:t>
      </w:r>
      <w:r w:rsidR="003665A6">
        <w:t xml:space="preserve">The first and fourth respondents (collectively </w:t>
      </w:r>
      <w:r w:rsidR="003665A6" w:rsidRPr="004D2E36">
        <w:rPr>
          <w:i/>
          <w:iCs/>
        </w:rPr>
        <w:t>“the respondents”</w:t>
      </w:r>
      <w:r w:rsidR="003665A6">
        <w:t xml:space="preserve">) </w:t>
      </w:r>
      <w:r w:rsidR="00A948FA">
        <w:t xml:space="preserve">raise two defences (styled points </w:t>
      </w:r>
      <w:r w:rsidR="00A948FA" w:rsidRPr="00A948FA">
        <w:rPr>
          <w:i/>
          <w:iCs/>
        </w:rPr>
        <w:t>in limine</w:t>
      </w:r>
      <w:r w:rsidR="00F91CF2">
        <w:rPr>
          <w:i/>
          <w:iCs/>
        </w:rPr>
        <w:t xml:space="preserve"> </w:t>
      </w:r>
      <w:r w:rsidR="00F91CF2">
        <w:t>in the answering affidavit</w:t>
      </w:r>
      <w:r w:rsidR="00A948FA">
        <w:t xml:space="preserve">): Firstly, they </w:t>
      </w:r>
      <w:r w:rsidR="003665A6">
        <w:t>deny that the agreement constitutes a contingency fee</w:t>
      </w:r>
      <w:r w:rsidR="004D2E36">
        <w:t>s</w:t>
      </w:r>
      <w:r w:rsidR="003665A6">
        <w:t xml:space="preserve"> agreement</w:t>
      </w:r>
      <w:r w:rsidR="004D2E36">
        <w:t xml:space="preserve"> as</w:t>
      </w:r>
      <w:r w:rsidR="00A948FA">
        <w:t xml:space="preserve"> defined </w:t>
      </w:r>
      <w:r w:rsidR="004D2E36">
        <w:t xml:space="preserve"> in the CFA and aver that the fee arrangement falls within the ambit of section 92 </w:t>
      </w:r>
      <w:r w:rsidR="004D2E36">
        <w:lastRenderedPageBreak/>
        <w:t>of the Legal Practice Act 28 of 2014 (</w:t>
      </w:r>
      <w:r w:rsidR="004D2E36">
        <w:rPr>
          <w:i/>
          <w:iCs/>
        </w:rPr>
        <w:t>“the LPA”</w:t>
      </w:r>
      <w:r w:rsidR="004D2E36">
        <w:t xml:space="preserve">). </w:t>
      </w:r>
      <w:r w:rsidR="00A948FA">
        <w:t>Secondly, t</w:t>
      </w:r>
      <w:r w:rsidR="004D2E36">
        <w:t xml:space="preserve">he respondents contend </w:t>
      </w:r>
      <w:r w:rsidR="003665A6">
        <w:t xml:space="preserve">that counsel is in any event entitled to charge </w:t>
      </w:r>
      <w:r w:rsidR="004D2E36">
        <w:t xml:space="preserve">a </w:t>
      </w:r>
      <w:r w:rsidR="003665A6">
        <w:t>reasonable fee</w:t>
      </w:r>
      <w:r w:rsidR="004D2E36">
        <w:t xml:space="preserve"> </w:t>
      </w:r>
      <w:r w:rsidR="003665A6">
        <w:t>(</w:t>
      </w:r>
      <w:r w:rsidR="004D2E36">
        <w:t xml:space="preserve">even if it is found </w:t>
      </w:r>
      <w:r w:rsidR="003665A6">
        <w:t xml:space="preserve"> that the agreement </w:t>
      </w:r>
      <w:r w:rsidR="00A948FA">
        <w:t xml:space="preserve">was an </w:t>
      </w:r>
      <w:r w:rsidR="003665A6">
        <w:t xml:space="preserve"> unlawful</w:t>
      </w:r>
      <w:r w:rsidR="00A948FA">
        <w:t xml:space="preserve"> or</w:t>
      </w:r>
      <w:r w:rsidR="003665A6">
        <w:t xml:space="preserve"> invalid</w:t>
      </w:r>
      <w:r w:rsidR="00A948FA">
        <w:t xml:space="preserve"> contingency fees agreement</w:t>
      </w:r>
      <w:r w:rsidR="003665A6">
        <w:t xml:space="preserve">).  </w:t>
      </w:r>
    </w:p>
    <w:p w14:paraId="59AE7DF8" w14:textId="78115BDB" w:rsidR="003A687C" w:rsidRDefault="00D10B3D" w:rsidP="00D10B3D">
      <w:pPr>
        <w:pStyle w:val="LEVEL10"/>
        <w:numPr>
          <w:ilvl w:val="0"/>
          <w:numId w:val="0"/>
        </w:numPr>
        <w:tabs>
          <w:tab w:val="left" w:pos="737"/>
        </w:tabs>
        <w:ind w:left="851" w:hanging="851"/>
      </w:pPr>
      <w:r>
        <w:t>[4]</w:t>
      </w:r>
      <w:r>
        <w:tab/>
      </w:r>
      <w:r w:rsidR="008C78F7">
        <w:t xml:space="preserve"> </w:t>
      </w:r>
      <w:r w:rsidR="003A687C">
        <w:t xml:space="preserve">Counsel only acted for the first, </w:t>
      </w:r>
      <w:r w:rsidR="008C78F7">
        <w:t xml:space="preserve">third </w:t>
      </w:r>
      <w:r w:rsidR="003A687C">
        <w:t>and fourth respondents in the first application.  The second and fifth respondents were represented by other counsel instructed by a different set of attorneys. Approximately two weeks prior to the appeal the second and third respondents settled with the applicant and abandoned their cost order against the applicant. This application is only against the first respondent and the fourth respondent.</w:t>
      </w:r>
    </w:p>
    <w:p w14:paraId="0BB04A1A" w14:textId="52ED6390" w:rsidR="003665A6" w:rsidRDefault="00D10B3D" w:rsidP="00D10B3D">
      <w:pPr>
        <w:pStyle w:val="LEVEL10"/>
        <w:numPr>
          <w:ilvl w:val="0"/>
          <w:numId w:val="0"/>
        </w:numPr>
        <w:tabs>
          <w:tab w:val="left" w:pos="737"/>
        </w:tabs>
        <w:ind w:left="851" w:hanging="851"/>
      </w:pPr>
      <w:r>
        <w:t>[5]</w:t>
      </w:r>
      <w:r>
        <w:tab/>
      </w:r>
      <w:r w:rsidR="00F80DC7">
        <w:t xml:space="preserve"> </w:t>
      </w:r>
      <w:r w:rsidR="00DE1263">
        <w:t xml:space="preserve">The </w:t>
      </w:r>
      <w:r w:rsidR="00D97667">
        <w:t>c</w:t>
      </w:r>
      <w:r w:rsidR="00A80A5C">
        <w:t>ounsel whose invoice</w:t>
      </w:r>
      <w:r w:rsidR="00DE1263">
        <w:t>s</w:t>
      </w:r>
      <w:r w:rsidR="00A80A5C">
        <w:t xml:space="preserve"> are in dispute in this application </w:t>
      </w:r>
      <w:r w:rsidR="005C562D">
        <w:t xml:space="preserve">was a member of the Johannesburg Bar. He </w:t>
      </w:r>
      <w:r w:rsidR="00A80A5C">
        <w:t>passed away during 2021. The executr</w:t>
      </w:r>
      <w:r w:rsidR="001B7A38">
        <w:t xml:space="preserve">ix </w:t>
      </w:r>
      <w:r w:rsidR="00A80A5C">
        <w:t>of his estate was not joined as a party</w:t>
      </w:r>
      <w:r w:rsidR="00DE1263">
        <w:t>,</w:t>
      </w:r>
      <w:r w:rsidR="001B7A38">
        <w:t xml:space="preserve"> but </w:t>
      </w:r>
      <w:r w:rsidR="00DE1263">
        <w:t xml:space="preserve">she </w:t>
      </w:r>
      <w:r w:rsidR="001B7A38">
        <w:t>is aware of the application. She deposed to an affidavit that she intends to recover fees due to the estate, and that it has been agreed that the attorneys for first and fourth respondents would recover the fees on behalf of the estate. N</w:t>
      </w:r>
      <w:r w:rsidR="00A80A5C">
        <w:t>o point of non-joinder was taken.</w:t>
      </w:r>
    </w:p>
    <w:p w14:paraId="20580D81" w14:textId="69737209" w:rsidR="004D2E36" w:rsidRPr="004D2E36" w:rsidRDefault="004D2E36" w:rsidP="004D2E36">
      <w:pPr>
        <w:pStyle w:val="LEVEL10"/>
        <w:numPr>
          <w:ilvl w:val="0"/>
          <w:numId w:val="0"/>
        </w:numPr>
        <w:ind w:left="851" w:hanging="851"/>
        <w:rPr>
          <w:b/>
          <w:bCs/>
        </w:rPr>
      </w:pPr>
      <w:r w:rsidRPr="004D2E36">
        <w:rPr>
          <w:b/>
          <w:bCs/>
        </w:rPr>
        <w:t>EVIDENCE AND AFFIDAVITS</w:t>
      </w:r>
    </w:p>
    <w:p w14:paraId="42F16BA6" w14:textId="580A2EE1" w:rsidR="003A687C" w:rsidRPr="003A687C" w:rsidRDefault="003A687C" w:rsidP="003A687C">
      <w:pPr>
        <w:pStyle w:val="LEVEL10"/>
        <w:numPr>
          <w:ilvl w:val="0"/>
          <w:numId w:val="0"/>
        </w:numPr>
        <w:ind w:left="851" w:hanging="851"/>
        <w:rPr>
          <w:i/>
          <w:iCs/>
        </w:rPr>
      </w:pPr>
      <w:r>
        <w:rPr>
          <w:i/>
          <w:iCs/>
        </w:rPr>
        <w:t>Founding affidavit</w:t>
      </w:r>
    </w:p>
    <w:p w14:paraId="05177934" w14:textId="47EC650C" w:rsidR="003665A6" w:rsidRDefault="00D10B3D" w:rsidP="00D10B3D">
      <w:pPr>
        <w:pStyle w:val="LEVEL10"/>
        <w:numPr>
          <w:ilvl w:val="0"/>
          <w:numId w:val="0"/>
        </w:numPr>
        <w:tabs>
          <w:tab w:val="left" w:pos="737"/>
        </w:tabs>
        <w:ind w:left="851" w:hanging="851"/>
      </w:pPr>
      <w:r>
        <w:t>[6]</w:t>
      </w:r>
      <w:r>
        <w:tab/>
      </w:r>
      <w:r w:rsidR="00F80DC7">
        <w:t xml:space="preserve"> </w:t>
      </w:r>
      <w:r w:rsidR="003665A6">
        <w:t xml:space="preserve">On 16 November 2021 the respondents delivered their notices of intention to tax two bill of costs, one in respect of the first application and one in respect </w:t>
      </w:r>
      <w:r w:rsidR="003665A6">
        <w:lastRenderedPageBreak/>
        <w:t>of the appeal.  In respect of the first application, the respondent</w:t>
      </w:r>
      <w:r w:rsidR="004D2E36">
        <w:t>s</w:t>
      </w:r>
      <w:r w:rsidR="003665A6">
        <w:t xml:space="preserve"> submitted two </w:t>
      </w:r>
      <w:r w:rsidR="004D2E36">
        <w:t xml:space="preserve">of </w:t>
      </w:r>
      <w:r w:rsidR="003665A6">
        <w:t>counsel</w:t>
      </w:r>
      <w:r w:rsidR="004D2E36">
        <w:t>’s invoices</w:t>
      </w:r>
      <w:r w:rsidR="003665A6">
        <w:t xml:space="preserve">, and in respect of the appeal they submitted one </w:t>
      </w:r>
      <w:r w:rsidR="004D2E36">
        <w:t xml:space="preserve">of </w:t>
      </w:r>
      <w:r w:rsidR="003665A6">
        <w:t>counsel</w:t>
      </w:r>
      <w:r w:rsidR="004D2E36">
        <w:t>’s invoices</w:t>
      </w:r>
      <w:r w:rsidR="003665A6">
        <w:t>.</w:t>
      </w:r>
    </w:p>
    <w:p w14:paraId="70916461" w14:textId="1895DA82" w:rsidR="003665A6" w:rsidRDefault="00D10B3D" w:rsidP="00D10B3D">
      <w:pPr>
        <w:pStyle w:val="LEVEL10"/>
        <w:numPr>
          <w:ilvl w:val="0"/>
          <w:numId w:val="0"/>
        </w:numPr>
        <w:tabs>
          <w:tab w:val="left" w:pos="737"/>
        </w:tabs>
        <w:ind w:left="851" w:hanging="851"/>
      </w:pPr>
      <w:r>
        <w:t>[7]</w:t>
      </w:r>
      <w:r>
        <w:tab/>
      </w:r>
      <w:r w:rsidR="003665A6">
        <w:t>On 29 November 2021 the applicant’s cost consultant queried the accounts as no</w:t>
      </w:r>
      <w:r w:rsidR="008D5115">
        <w:t xml:space="preserve"> </w:t>
      </w:r>
      <w:r w:rsidR="003665A6">
        <w:t xml:space="preserve">proof of payment accompanied the account.  He was then advised by the respondents’ cost consultant that counsel was briefed through a </w:t>
      </w:r>
      <w:r w:rsidR="003665A6">
        <w:rPr>
          <w:i/>
          <w:iCs/>
        </w:rPr>
        <w:t>“contingency fee agreement”</w:t>
      </w:r>
      <w:r w:rsidR="003665A6">
        <w:t xml:space="preserve"> and on request the applicant’s cost consultant was provided with</w:t>
      </w:r>
      <w:r w:rsidR="00CD2606">
        <w:t xml:space="preserve"> counsel’s brief cover </w:t>
      </w:r>
      <w:r w:rsidR="003665A6">
        <w:t>which included the following endorsement:</w:t>
      </w:r>
    </w:p>
    <w:p w14:paraId="14C4C8B0" w14:textId="39820F36" w:rsidR="003665A6" w:rsidRDefault="003665A6" w:rsidP="003665A6">
      <w:pPr>
        <w:pStyle w:val="quotation1"/>
      </w:pPr>
      <w:r>
        <w:tab/>
        <w:t>“MEMORANDUM: Special Fee Arrangement In Place – Fees to be recovered by successful conduct of matter and shall equal</w:t>
      </w:r>
      <w:r w:rsidR="003C48EB">
        <w:t xml:space="preserve"> the </w:t>
      </w:r>
      <w:r>
        <w:t>amount tax</w:t>
      </w:r>
      <w:r w:rsidR="003C48EB">
        <w:t>ed</w:t>
      </w:r>
      <w:r>
        <w:t xml:space="preserve"> and allowed and bill of cost</w:t>
      </w:r>
      <w:r w:rsidR="003C48EB">
        <w:t>s</w:t>
      </w:r>
      <w:r>
        <w:t xml:space="preserve"> for counsel’s accounts, as submitted</w:t>
      </w:r>
      <w:r w:rsidR="003C48EB">
        <w:t xml:space="preserve"> to taxation</w:t>
      </w:r>
      <w:r>
        <w:t>, and as subsequently recovered from the opposing party.”</w:t>
      </w:r>
    </w:p>
    <w:p w14:paraId="5C53CDB2" w14:textId="0D769098" w:rsidR="003665A6" w:rsidRDefault="00D10B3D" w:rsidP="00D10B3D">
      <w:pPr>
        <w:pStyle w:val="LEVEL10"/>
        <w:numPr>
          <w:ilvl w:val="0"/>
          <w:numId w:val="0"/>
        </w:numPr>
        <w:tabs>
          <w:tab w:val="left" w:pos="737"/>
        </w:tabs>
        <w:ind w:left="851" w:hanging="851"/>
      </w:pPr>
      <w:r>
        <w:t>[8]</w:t>
      </w:r>
      <w:r>
        <w:tab/>
      </w:r>
      <w:r w:rsidR="003665A6">
        <w:t>The applicant then filed notices to oppose both bill of costs and certain correspondence</w:t>
      </w:r>
      <w:r w:rsidR="003C48EB">
        <w:t xml:space="preserve"> was exchanged </w:t>
      </w:r>
      <w:r w:rsidR="003665A6">
        <w:t xml:space="preserve">between the applicant and the first and fourth respondents’ attorney.  The applicant </w:t>
      </w:r>
      <w:r w:rsidR="003665A6">
        <w:rPr>
          <w:i/>
          <w:iCs/>
        </w:rPr>
        <w:t>inter alia</w:t>
      </w:r>
      <w:r w:rsidR="003665A6">
        <w:t xml:space="preserve"> averred that the fee agreement concluded with counsel was not compliant with the </w:t>
      </w:r>
      <w:r w:rsidR="003C48EB">
        <w:t xml:space="preserve">CFA </w:t>
      </w:r>
      <w:r w:rsidR="00912E26">
        <w:t>and</w:t>
      </w:r>
      <w:r w:rsidR="003665A6">
        <w:t xml:space="preserve"> demanded that counsel</w:t>
      </w:r>
      <w:r w:rsidR="003C48EB">
        <w:t>’s</w:t>
      </w:r>
      <w:r w:rsidR="003665A6">
        <w:t xml:space="preserve"> invoices be withdrawn.  </w:t>
      </w:r>
    </w:p>
    <w:p w14:paraId="2622E26D" w14:textId="151CD07A" w:rsidR="003665A6" w:rsidRPr="003C15A6" w:rsidRDefault="00D10B3D" w:rsidP="00D10B3D">
      <w:pPr>
        <w:pStyle w:val="LEVEL10"/>
        <w:numPr>
          <w:ilvl w:val="0"/>
          <w:numId w:val="0"/>
        </w:numPr>
        <w:tabs>
          <w:tab w:val="left" w:pos="737"/>
        </w:tabs>
        <w:ind w:left="851" w:hanging="851"/>
      </w:pPr>
      <w:r w:rsidRPr="003C15A6">
        <w:t>[9]</w:t>
      </w:r>
      <w:r w:rsidRPr="003C15A6">
        <w:tab/>
      </w:r>
      <w:r w:rsidR="00F80DC7">
        <w:t xml:space="preserve"> </w:t>
      </w:r>
      <w:r w:rsidR="003665A6">
        <w:t xml:space="preserve">The respondents’ attorneys responded by suggesting that the matter be argued before a senior taxing master and should the applicant remain dissatisfied with the outcome, he was invited </w:t>
      </w:r>
      <w:r w:rsidR="003665A6">
        <w:rPr>
          <w:i/>
          <w:iCs/>
        </w:rPr>
        <w:t>“to approach the motion court for relief”</w:t>
      </w:r>
      <w:r w:rsidR="003665A6">
        <w:t>.</w:t>
      </w:r>
    </w:p>
    <w:p w14:paraId="23552626" w14:textId="26EAB48A" w:rsidR="003665A6" w:rsidRDefault="00D10B3D" w:rsidP="00D10B3D">
      <w:pPr>
        <w:pStyle w:val="LEVEL10"/>
        <w:numPr>
          <w:ilvl w:val="0"/>
          <w:numId w:val="0"/>
        </w:numPr>
        <w:tabs>
          <w:tab w:val="left" w:pos="737"/>
        </w:tabs>
        <w:ind w:left="851" w:hanging="851"/>
      </w:pPr>
      <w:r>
        <w:t>[10]</w:t>
      </w:r>
      <w:r>
        <w:tab/>
      </w:r>
      <w:r w:rsidR="00F80DC7">
        <w:t xml:space="preserve"> </w:t>
      </w:r>
      <w:r w:rsidR="003665A6">
        <w:t xml:space="preserve">On 7 March 2022 the applicant </w:t>
      </w:r>
      <w:r w:rsidR="003665A6">
        <w:rPr>
          <w:i/>
          <w:iCs/>
        </w:rPr>
        <w:t>inter alia</w:t>
      </w:r>
      <w:r w:rsidR="003665A6">
        <w:t xml:space="preserve"> informed the respondents’ attorney </w:t>
      </w:r>
      <w:r w:rsidR="003A687C">
        <w:lastRenderedPageBreak/>
        <w:t xml:space="preserve">that he intended </w:t>
      </w:r>
      <w:r w:rsidR="003665A6">
        <w:t>to proceed to apply for a declaratory order.</w:t>
      </w:r>
    </w:p>
    <w:p w14:paraId="5AFD6D85" w14:textId="312D0377" w:rsidR="00A948FA" w:rsidRDefault="00D10B3D" w:rsidP="00D10B3D">
      <w:pPr>
        <w:pStyle w:val="LEVEL10"/>
        <w:numPr>
          <w:ilvl w:val="0"/>
          <w:numId w:val="0"/>
        </w:numPr>
        <w:tabs>
          <w:tab w:val="left" w:pos="737"/>
        </w:tabs>
        <w:ind w:left="851" w:hanging="851"/>
      </w:pPr>
      <w:r>
        <w:t>[11]</w:t>
      </w:r>
      <w:r>
        <w:tab/>
      </w:r>
      <w:r w:rsidR="00A948FA">
        <w:t xml:space="preserve">On 17 March 2022 the respondents’ attorney responded and denied that there was an invalid contingency fee agreement and referred to the provisions of section 92 of the Legal Practice Act </w:t>
      </w:r>
      <w:r w:rsidR="00A948FA">
        <w:rPr>
          <w:i/>
          <w:iCs/>
        </w:rPr>
        <w:t>“under which section the work was clearly rendered”</w:t>
      </w:r>
      <w:r w:rsidR="00A948FA">
        <w:t>.</w:t>
      </w:r>
    </w:p>
    <w:p w14:paraId="5B1E1802" w14:textId="07FA8FCB" w:rsidR="00A948FA" w:rsidRPr="00A948FA" w:rsidRDefault="00A948FA" w:rsidP="00A948FA">
      <w:pPr>
        <w:pStyle w:val="LEVEL10"/>
        <w:numPr>
          <w:ilvl w:val="0"/>
          <w:numId w:val="0"/>
        </w:numPr>
        <w:rPr>
          <w:i/>
          <w:iCs/>
        </w:rPr>
      </w:pPr>
      <w:r>
        <w:rPr>
          <w:i/>
          <w:iCs/>
        </w:rPr>
        <w:t>Answering affidavit</w:t>
      </w:r>
    </w:p>
    <w:p w14:paraId="50D9067B" w14:textId="3ADC5170" w:rsidR="00A948FA" w:rsidRDefault="00D10B3D" w:rsidP="00D10B3D">
      <w:pPr>
        <w:pStyle w:val="LEVEL10"/>
        <w:numPr>
          <w:ilvl w:val="0"/>
          <w:numId w:val="0"/>
        </w:numPr>
        <w:tabs>
          <w:tab w:val="left" w:pos="737"/>
        </w:tabs>
        <w:ind w:left="851" w:hanging="851"/>
      </w:pPr>
      <w:r>
        <w:t>[12]</w:t>
      </w:r>
      <w:r>
        <w:tab/>
      </w:r>
      <w:r w:rsidR="00314450">
        <w:t xml:space="preserve"> </w:t>
      </w:r>
      <w:r w:rsidR="00A948FA">
        <w:t>In the answering affidavit the respondents raise the two point</w:t>
      </w:r>
      <w:r w:rsidR="002E2977">
        <w:t xml:space="preserve">s </w:t>
      </w:r>
      <w:r w:rsidR="00A948FA" w:rsidRPr="00A948FA">
        <w:rPr>
          <w:i/>
          <w:iCs/>
        </w:rPr>
        <w:t>in limine</w:t>
      </w:r>
      <w:r w:rsidR="00A948FA">
        <w:t xml:space="preserve"> referred to above.</w:t>
      </w:r>
    </w:p>
    <w:p w14:paraId="6504CD15" w14:textId="1FC099E3" w:rsidR="002E2977" w:rsidRPr="002E2977" w:rsidRDefault="00D10B3D" w:rsidP="00D10B3D">
      <w:pPr>
        <w:pStyle w:val="LEVEL10"/>
        <w:numPr>
          <w:ilvl w:val="0"/>
          <w:numId w:val="0"/>
        </w:numPr>
        <w:tabs>
          <w:tab w:val="left" w:pos="737"/>
        </w:tabs>
        <w:ind w:left="851" w:hanging="851"/>
      </w:pPr>
      <w:r w:rsidRPr="002E2977">
        <w:t>[13]</w:t>
      </w:r>
      <w:r w:rsidRPr="002E2977">
        <w:tab/>
      </w:r>
      <w:r w:rsidR="00F80DC7">
        <w:t xml:space="preserve"> </w:t>
      </w:r>
      <w:r w:rsidR="002E2977">
        <w:t xml:space="preserve">The respondents </w:t>
      </w:r>
      <w:r w:rsidR="008B5388">
        <w:t xml:space="preserve">state that the terms on which counsel accepted the brief was that he </w:t>
      </w:r>
      <w:r w:rsidR="00314450">
        <w:t xml:space="preserve">“would accept the instruction and would not raise fees, subject however to his right to recover fees on taxation.” They further state that the brief cover was merely an attempt to record’s counsel’s right to recover taxed fees in appropriate circumstances. The respondents say that it was never the intention to enter into a contingency fee agreement.  </w:t>
      </w:r>
    </w:p>
    <w:p w14:paraId="48D53996" w14:textId="445E40EC" w:rsidR="008B5388" w:rsidRPr="008B5388" w:rsidRDefault="008B5388" w:rsidP="008B5388">
      <w:pPr>
        <w:pStyle w:val="LEVEL10"/>
        <w:numPr>
          <w:ilvl w:val="0"/>
          <w:numId w:val="0"/>
        </w:numPr>
        <w:ind w:left="851" w:hanging="851"/>
        <w:rPr>
          <w:i/>
          <w:iCs/>
        </w:rPr>
      </w:pPr>
      <w:r>
        <w:rPr>
          <w:i/>
          <w:iCs/>
        </w:rPr>
        <w:t>Replying affidavit</w:t>
      </w:r>
    </w:p>
    <w:p w14:paraId="493A51A5" w14:textId="77D7756C" w:rsidR="00CD2606" w:rsidRPr="00CD2606" w:rsidRDefault="00D10B3D" w:rsidP="00D10B3D">
      <w:pPr>
        <w:pStyle w:val="LEVEL10"/>
        <w:numPr>
          <w:ilvl w:val="0"/>
          <w:numId w:val="0"/>
        </w:numPr>
        <w:tabs>
          <w:tab w:val="left" w:pos="737"/>
        </w:tabs>
        <w:ind w:left="851" w:hanging="851"/>
      </w:pPr>
      <w:r w:rsidRPr="00CD2606">
        <w:t>[14]</w:t>
      </w:r>
      <w:r w:rsidRPr="00CD2606">
        <w:tab/>
      </w:r>
      <w:r w:rsidR="00314450">
        <w:t xml:space="preserve"> </w:t>
      </w:r>
      <w:r w:rsidR="008B5388">
        <w:t xml:space="preserve">In the replying affidavit the applicant states that he (as attorney) briefed </w:t>
      </w:r>
      <w:r w:rsidR="008D5115">
        <w:t xml:space="preserve">the same counsel </w:t>
      </w:r>
      <w:r w:rsidR="008B5388">
        <w:t>during the same period as when the first application was heard (in 2018)</w:t>
      </w:r>
      <w:r w:rsidR="00DE1263">
        <w:t xml:space="preserve"> on unrelated maters</w:t>
      </w:r>
      <w:r w:rsidR="008D5115">
        <w:t xml:space="preserve">. </w:t>
      </w:r>
      <w:r w:rsidR="00DE1263">
        <w:t xml:space="preserve">The applicant </w:t>
      </w:r>
      <w:r w:rsidR="008D5115">
        <w:t xml:space="preserve">attaches </w:t>
      </w:r>
      <w:r w:rsidR="00DE1263">
        <w:t xml:space="preserve">certain of </w:t>
      </w:r>
      <w:r w:rsidR="008B5388">
        <w:t xml:space="preserve">counsel’s invoices for those </w:t>
      </w:r>
      <w:r w:rsidR="00DE1263">
        <w:t xml:space="preserve">unrelated </w:t>
      </w:r>
      <w:r w:rsidR="008B5388">
        <w:t xml:space="preserve">briefs. </w:t>
      </w:r>
      <w:r w:rsidR="00DE1263">
        <w:t xml:space="preserve">A comparison of the invoices </w:t>
      </w:r>
      <w:r w:rsidR="008B5388">
        <w:t xml:space="preserve">shows that the invoices submitted in this matter are </w:t>
      </w:r>
      <w:r w:rsidR="009308EA">
        <w:t xml:space="preserve">based on a </w:t>
      </w:r>
      <w:r w:rsidR="008B5388">
        <w:t>subs</w:t>
      </w:r>
      <w:r w:rsidR="009308EA">
        <w:t>tantially higher fee rate (some 50% higher)</w:t>
      </w:r>
      <w:r w:rsidR="00DE1263">
        <w:t xml:space="preserve"> than that was charged by counsel in the other </w:t>
      </w:r>
      <w:r w:rsidR="00DE1263">
        <w:lastRenderedPageBreak/>
        <w:t>(unrelated) matters</w:t>
      </w:r>
      <w:r w:rsidR="009308EA">
        <w:t xml:space="preserve">. </w:t>
      </w:r>
    </w:p>
    <w:p w14:paraId="0D07C106" w14:textId="138287B5" w:rsidR="008B5388" w:rsidRPr="009308EA" w:rsidRDefault="009308EA" w:rsidP="009308EA">
      <w:pPr>
        <w:pStyle w:val="LEVEL10"/>
        <w:numPr>
          <w:ilvl w:val="0"/>
          <w:numId w:val="0"/>
        </w:numPr>
        <w:rPr>
          <w:b/>
          <w:bCs/>
        </w:rPr>
      </w:pPr>
      <w:r w:rsidRPr="009308EA">
        <w:rPr>
          <w:b/>
          <w:bCs/>
        </w:rPr>
        <w:t>APPLICATION TO STRIKE</w:t>
      </w:r>
    </w:p>
    <w:p w14:paraId="326B1B37" w14:textId="3798B152" w:rsidR="008B4BDB" w:rsidRDefault="00D10B3D" w:rsidP="00D10B3D">
      <w:pPr>
        <w:pStyle w:val="LEVEL10"/>
        <w:numPr>
          <w:ilvl w:val="0"/>
          <w:numId w:val="0"/>
        </w:numPr>
        <w:tabs>
          <w:tab w:val="left" w:pos="737"/>
        </w:tabs>
        <w:ind w:left="851" w:hanging="851"/>
      </w:pPr>
      <w:r>
        <w:t>[15]</w:t>
      </w:r>
      <w:r>
        <w:tab/>
      </w:r>
      <w:r w:rsidR="001B7A38">
        <w:t xml:space="preserve"> </w:t>
      </w:r>
      <w:r w:rsidR="008B4BDB">
        <w:t xml:space="preserve">The applicant has brought an application in terms of rule 6(15) to strike out </w:t>
      </w:r>
      <w:r w:rsidR="001B7A38">
        <w:t xml:space="preserve">large </w:t>
      </w:r>
      <w:r w:rsidR="008B4BDB">
        <w:t>portions of the respondents’ answering affidavit as being irrelevant, scandalous and vexatious.</w:t>
      </w:r>
    </w:p>
    <w:p w14:paraId="51FFD6DC" w14:textId="124D3937" w:rsidR="008B4BDB" w:rsidRDefault="00D10B3D" w:rsidP="00D10B3D">
      <w:pPr>
        <w:pStyle w:val="LEVEL10"/>
        <w:numPr>
          <w:ilvl w:val="0"/>
          <w:numId w:val="0"/>
        </w:numPr>
        <w:tabs>
          <w:tab w:val="left" w:pos="737"/>
        </w:tabs>
        <w:ind w:left="851" w:hanging="851"/>
      </w:pPr>
      <w:r>
        <w:t>[16]</w:t>
      </w:r>
      <w:r>
        <w:tab/>
      </w:r>
      <w:r w:rsidR="001B7A38">
        <w:t xml:space="preserve">  </w:t>
      </w:r>
      <w:r w:rsidR="008B4BDB">
        <w:t>In paragraphs 43 and 44 of the answering affidavit it is explained that the second and third respondents settled the cost order with the applicant.  This is clearly relevant to explain why they are not before court, and ought to have been dealt with in the founding affidavit.  These paragraphs are not irrelevant.</w:t>
      </w:r>
    </w:p>
    <w:p w14:paraId="2671E8DA" w14:textId="360C5608" w:rsidR="00CD2606" w:rsidRDefault="00D10B3D" w:rsidP="00D10B3D">
      <w:pPr>
        <w:pStyle w:val="LEVEL10"/>
        <w:numPr>
          <w:ilvl w:val="0"/>
          <w:numId w:val="0"/>
        </w:numPr>
        <w:tabs>
          <w:tab w:val="left" w:pos="737"/>
        </w:tabs>
        <w:ind w:left="851" w:hanging="851"/>
      </w:pPr>
      <w:r>
        <w:t>[17]</w:t>
      </w:r>
      <w:r>
        <w:tab/>
      </w:r>
      <w:r w:rsidR="001B7A38">
        <w:t xml:space="preserve"> </w:t>
      </w:r>
      <w:r w:rsidR="006767A3">
        <w:t>In t</w:t>
      </w:r>
      <w:r w:rsidR="008B4BDB">
        <w:t>he remaining parts of the answering affidavit sought to be struck out</w:t>
      </w:r>
      <w:r w:rsidR="006767A3">
        <w:t xml:space="preserve"> the </w:t>
      </w:r>
      <w:r w:rsidR="00C36BA7">
        <w:t xml:space="preserve">second and fourth </w:t>
      </w:r>
      <w:r w:rsidR="006767A3">
        <w:t>respondents</w:t>
      </w:r>
      <w:r w:rsidR="001B7A38">
        <w:t>:</w:t>
      </w:r>
    </w:p>
    <w:p w14:paraId="4BFFF7ED" w14:textId="434E8335" w:rsidR="006767A3" w:rsidRDefault="00D10B3D" w:rsidP="00D10B3D">
      <w:pPr>
        <w:pStyle w:val="LEVEL10"/>
        <w:numPr>
          <w:ilvl w:val="0"/>
          <w:numId w:val="0"/>
        </w:numPr>
        <w:tabs>
          <w:tab w:val="left" w:pos="1985"/>
        </w:tabs>
        <w:spacing w:after="0"/>
        <w:ind w:left="1985" w:hanging="1134"/>
      </w:pPr>
      <w:r>
        <w:t>1.</w:t>
      </w:r>
      <w:r>
        <w:tab/>
      </w:r>
      <w:r w:rsidR="006767A3">
        <w:t xml:space="preserve">make </w:t>
      </w:r>
      <w:r w:rsidR="008B4BDB">
        <w:t xml:space="preserve">allegations of alleged threats made </w:t>
      </w:r>
      <w:r w:rsidR="006767A3">
        <w:t xml:space="preserve">to the respondents </w:t>
      </w:r>
      <w:r w:rsidR="008B4BDB">
        <w:t xml:space="preserve">by the applicant prior to the institution of </w:t>
      </w:r>
      <w:r w:rsidR="006767A3">
        <w:t>the</w:t>
      </w:r>
      <w:r w:rsidR="008B4BDB">
        <w:t xml:space="preserve"> first application</w:t>
      </w:r>
      <w:r w:rsidR="006767A3">
        <w:t>;</w:t>
      </w:r>
    </w:p>
    <w:p w14:paraId="2CB8510F" w14:textId="67264C6B" w:rsidR="006767A3" w:rsidRDefault="00D10B3D" w:rsidP="00D10B3D">
      <w:pPr>
        <w:pStyle w:val="LEVEL10"/>
        <w:numPr>
          <w:ilvl w:val="0"/>
          <w:numId w:val="0"/>
        </w:numPr>
        <w:tabs>
          <w:tab w:val="left" w:pos="1985"/>
        </w:tabs>
        <w:spacing w:after="0"/>
        <w:ind w:left="1985" w:hanging="1134"/>
      </w:pPr>
      <w:r>
        <w:t>2.</w:t>
      </w:r>
      <w:r>
        <w:tab/>
      </w:r>
      <w:r w:rsidR="008B4BDB">
        <w:t xml:space="preserve"> </w:t>
      </w:r>
      <w:r w:rsidR="006767A3">
        <w:t xml:space="preserve">revisit </w:t>
      </w:r>
      <w:r w:rsidR="008B4BDB">
        <w:t>the first application</w:t>
      </w:r>
      <w:r w:rsidR="006767A3">
        <w:t>;</w:t>
      </w:r>
    </w:p>
    <w:p w14:paraId="5FB4E89F" w14:textId="6CB49789" w:rsidR="006767A3" w:rsidRDefault="00D10B3D" w:rsidP="00D10B3D">
      <w:pPr>
        <w:pStyle w:val="LEVEL10"/>
        <w:numPr>
          <w:ilvl w:val="0"/>
          <w:numId w:val="0"/>
        </w:numPr>
        <w:tabs>
          <w:tab w:val="left" w:pos="1985"/>
        </w:tabs>
        <w:spacing w:after="0"/>
        <w:ind w:left="1985" w:hanging="1134"/>
      </w:pPr>
      <w:r>
        <w:t>3.</w:t>
      </w:r>
      <w:r>
        <w:tab/>
      </w:r>
      <w:r w:rsidR="008B4BDB">
        <w:t xml:space="preserve"> deal with the events between the first application and the withdrawal of the appeal</w:t>
      </w:r>
      <w:r w:rsidR="006767A3">
        <w:t>;</w:t>
      </w:r>
    </w:p>
    <w:p w14:paraId="0041C4CA" w14:textId="582A6013" w:rsidR="006767A3" w:rsidRPr="006767A3" w:rsidRDefault="00D10B3D" w:rsidP="00D10B3D">
      <w:pPr>
        <w:pStyle w:val="LEVEL10"/>
        <w:numPr>
          <w:ilvl w:val="0"/>
          <w:numId w:val="0"/>
        </w:numPr>
        <w:tabs>
          <w:tab w:val="left" w:pos="1985"/>
        </w:tabs>
        <w:spacing w:after="0"/>
        <w:ind w:left="1985" w:hanging="1134"/>
      </w:pPr>
      <w:r w:rsidRPr="006767A3">
        <w:t>4.</w:t>
      </w:r>
      <w:r w:rsidRPr="006767A3">
        <w:tab/>
      </w:r>
      <w:r w:rsidR="006767A3">
        <w:t xml:space="preserve">make numerous </w:t>
      </w:r>
      <w:r w:rsidR="008B4BDB">
        <w:t>defamatory statements of the applicant</w:t>
      </w:r>
      <w:r w:rsidR="00CD2606">
        <w:t>;</w:t>
      </w:r>
    </w:p>
    <w:p w14:paraId="1D92BEF8" w14:textId="2C3714EC" w:rsidR="00CD2606" w:rsidRDefault="00D10B3D" w:rsidP="00D10B3D">
      <w:pPr>
        <w:pStyle w:val="List"/>
        <w:tabs>
          <w:tab w:val="left" w:pos="1985"/>
        </w:tabs>
        <w:spacing w:before="0"/>
        <w:ind w:left="1985" w:hanging="1134"/>
      </w:pPr>
      <w:r>
        <w:t>5.</w:t>
      </w:r>
      <w:r>
        <w:tab/>
      </w:r>
      <w:r w:rsidR="006767A3">
        <w:t>even allege that applicant’s conduct constitutes criminal extortion;</w:t>
      </w:r>
    </w:p>
    <w:p w14:paraId="6256F4C1" w14:textId="2E9BDB41" w:rsidR="00CD2606" w:rsidRDefault="00D10B3D" w:rsidP="00D10B3D">
      <w:pPr>
        <w:pStyle w:val="List"/>
        <w:tabs>
          <w:tab w:val="left" w:pos="1985"/>
        </w:tabs>
        <w:spacing w:before="0"/>
        <w:ind w:left="1985" w:hanging="1134"/>
      </w:pPr>
      <w:r>
        <w:t>6.</w:t>
      </w:r>
      <w:r>
        <w:tab/>
      </w:r>
      <w:r w:rsidR="006767A3">
        <w:t>allege that counsel agreed to assist the first, third and fourth respondents because he considered the applicant to be a bully who conducted himself in a manner unbecoming of an attorney</w:t>
      </w:r>
    </w:p>
    <w:p w14:paraId="76DCA3B0" w14:textId="77777777" w:rsidR="006767A3" w:rsidRPr="00CD2606" w:rsidRDefault="006767A3" w:rsidP="006767A3">
      <w:pPr>
        <w:pStyle w:val="List"/>
        <w:spacing w:before="0"/>
        <w:ind w:left="1985" w:firstLine="0"/>
      </w:pPr>
    </w:p>
    <w:p w14:paraId="3541B70C" w14:textId="1CC437C2" w:rsidR="008B4BDB" w:rsidRDefault="00D10B3D" w:rsidP="00D10B3D">
      <w:pPr>
        <w:pStyle w:val="LEVEL10"/>
        <w:numPr>
          <w:ilvl w:val="0"/>
          <w:numId w:val="0"/>
        </w:numPr>
        <w:tabs>
          <w:tab w:val="left" w:pos="737"/>
        </w:tabs>
        <w:ind w:left="851" w:hanging="851"/>
      </w:pPr>
      <w:r>
        <w:t>[18]</w:t>
      </w:r>
      <w:r>
        <w:tab/>
      </w:r>
      <w:r w:rsidR="00C36BA7">
        <w:t xml:space="preserve">  </w:t>
      </w:r>
      <w:r w:rsidR="008B4BDB">
        <w:t xml:space="preserve">As appears below in this judgment, none of these allegations are relevant to </w:t>
      </w:r>
      <w:r w:rsidR="006767A3">
        <w:t xml:space="preserve">any of </w:t>
      </w:r>
      <w:r w:rsidR="008B4BDB">
        <w:t xml:space="preserve">the issues in this application. </w:t>
      </w:r>
      <w:r w:rsidR="006767A3">
        <w:t>Many of these statements are clearly vexatious and scandalous.</w:t>
      </w:r>
      <w:r w:rsidR="006767A3">
        <w:rPr>
          <w:rStyle w:val="FootnoteReference"/>
        </w:rPr>
        <w:footnoteReference w:id="1"/>
      </w:r>
    </w:p>
    <w:p w14:paraId="49088803" w14:textId="0896D05D" w:rsidR="006767A3" w:rsidRDefault="00D10B3D" w:rsidP="00D10B3D">
      <w:pPr>
        <w:pStyle w:val="LEVEL10"/>
        <w:numPr>
          <w:ilvl w:val="0"/>
          <w:numId w:val="0"/>
        </w:numPr>
        <w:tabs>
          <w:tab w:val="left" w:pos="737"/>
        </w:tabs>
        <w:ind w:left="851" w:hanging="851"/>
      </w:pPr>
      <w:r>
        <w:t>[19]</w:t>
      </w:r>
      <w:r>
        <w:tab/>
      </w:r>
      <w:r w:rsidR="006767A3">
        <w:t xml:space="preserve"> </w:t>
      </w:r>
      <w:r w:rsidR="008B4BDB">
        <w:t xml:space="preserve">Rule 6(15) provides that the court </w:t>
      </w:r>
      <w:r w:rsidR="008B4BDB">
        <w:rPr>
          <w:i/>
          <w:iCs/>
        </w:rPr>
        <w:t>“shall not grant the application unless it is satisfied that the applicant will be prejudiced in its case if it be not granted”</w:t>
      </w:r>
      <w:r w:rsidR="008B4BDB">
        <w:t xml:space="preserve">.  However, it has been held that the word </w:t>
      </w:r>
      <w:r w:rsidR="008B4BDB">
        <w:rPr>
          <w:i/>
          <w:iCs/>
        </w:rPr>
        <w:t>“case”</w:t>
      </w:r>
      <w:r w:rsidR="008B4BDB">
        <w:t xml:space="preserve"> in rule 6(15) should not be </w:t>
      </w:r>
      <w:r w:rsidR="006767A3">
        <w:t xml:space="preserve">narrowly </w:t>
      </w:r>
      <w:r w:rsidR="008B4BDB">
        <w:t xml:space="preserve">interpreted so as to enable a party freely to make </w:t>
      </w:r>
      <w:r w:rsidR="006767A3">
        <w:t>ir</w:t>
      </w:r>
      <w:r w:rsidR="008B4BDB">
        <w:t>relevant allegations.  Scandalous</w:t>
      </w:r>
      <w:r w:rsidR="006767A3">
        <w:t xml:space="preserve">, vexatious </w:t>
      </w:r>
      <w:r w:rsidR="008B4BDB">
        <w:t xml:space="preserve"> or irrelevant matter may be defamatory of the other party, and the retention in such matter will therefore be prejudicial to such party.</w:t>
      </w:r>
      <w:r w:rsidR="008B4BDB">
        <w:rPr>
          <w:rStyle w:val="FootnoteReference"/>
        </w:rPr>
        <w:footnoteReference w:id="2"/>
      </w:r>
      <w:r w:rsidR="008B4BDB">
        <w:t xml:space="preserve">  </w:t>
      </w:r>
    </w:p>
    <w:p w14:paraId="1FBF511F" w14:textId="6F6ECC0C" w:rsidR="003A687C" w:rsidRPr="003A687C" w:rsidRDefault="00D10B3D" w:rsidP="00D10B3D">
      <w:pPr>
        <w:pStyle w:val="LEVEL10"/>
        <w:numPr>
          <w:ilvl w:val="0"/>
          <w:numId w:val="0"/>
        </w:numPr>
        <w:tabs>
          <w:tab w:val="left" w:pos="737"/>
        </w:tabs>
        <w:ind w:left="851" w:hanging="851"/>
      </w:pPr>
      <w:r w:rsidRPr="003A687C">
        <w:t>[20]</w:t>
      </w:r>
      <w:r w:rsidRPr="003A687C">
        <w:tab/>
      </w:r>
      <w:r w:rsidR="006767A3">
        <w:t xml:space="preserve"> </w:t>
      </w:r>
      <w:r w:rsidR="00C36BA7">
        <w:t xml:space="preserve"> </w:t>
      </w:r>
      <w:r w:rsidR="006767A3">
        <w:t xml:space="preserve">Apart from paragraphs 43 and 44 of the answering affidavit the application to strike out must succeed. </w:t>
      </w:r>
      <w:r w:rsidR="008B4BDB">
        <w:t>The applicant is also entitled to the cost</w:t>
      </w:r>
      <w:r w:rsidR="006767A3">
        <w:t>s</w:t>
      </w:r>
      <w:r w:rsidR="008B4BDB">
        <w:t xml:space="preserve"> of th</w:t>
      </w:r>
      <w:r w:rsidR="006767A3">
        <w:t>e</w:t>
      </w:r>
      <w:r w:rsidR="008B4BDB">
        <w:t xml:space="preserve"> striking-out application.</w:t>
      </w:r>
    </w:p>
    <w:p w14:paraId="7D951456" w14:textId="12B52FEB" w:rsidR="003665A6" w:rsidRDefault="003665A6" w:rsidP="003665A6">
      <w:pPr>
        <w:pStyle w:val="Heading1"/>
      </w:pPr>
      <w:r>
        <w:t>CONTINGENCY FEES ACT</w:t>
      </w:r>
    </w:p>
    <w:p w14:paraId="686F5D3A" w14:textId="39CABF39" w:rsidR="00F055D1" w:rsidRPr="00F055D1" w:rsidRDefault="00F055D1" w:rsidP="00F055D1">
      <w:pPr>
        <w:pStyle w:val="LEVEL10"/>
        <w:numPr>
          <w:ilvl w:val="0"/>
          <w:numId w:val="0"/>
        </w:numPr>
        <w:ind w:left="851" w:hanging="851"/>
        <w:rPr>
          <w:i/>
          <w:iCs/>
        </w:rPr>
      </w:pPr>
      <w:r>
        <w:rPr>
          <w:i/>
          <w:iCs/>
        </w:rPr>
        <w:t>Provisions of Contingency Fees Act</w:t>
      </w:r>
    </w:p>
    <w:p w14:paraId="5B3A18C2" w14:textId="4E3C03E8" w:rsidR="003665A6" w:rsidRDefault="00D10B3D" w:rsidP="00D10B3D">
      <w:pPr>
        <w:pStyle w:val="LEVEL10"/>
        <w:numPr>
          <w:ilvl w:val="0"/>
          <w:numId w:val="0"/>
        </w:numPr>
        <w:tabs>
          <w:tab w:val="left" w:pos="737"/>
        </w:tabs>
        <w:ind w:left="851" w:hanging="851"/>
      </w:pPr>
      <w:r>
        <w:t>[21]</w:t>
      </w:r>
      <w:r>
        <w:tab/>
      </w:r>
      <w:r w:rsidR="00C36BA7">
        <w:t xml:space="preserve"> </w:t>
      </w:r>
      <w:r w:rsidR="003665A6">
        <w:t xml:space="preserve">Section 1 of the </w:t>
      </w:r>
      <w:r w:rsidR="00F055D1">
        <w:t xml:space="preserve">CFA </w:t>
      </w:r>
      <w:r w:rsidR="003665A6">
        <w:t xml:space="preserve">defines a </w:t>
      </w:r>
      <w:r w:rsidR="003665A6">
        <w:rPr>
          <w:i/>
          <w:iCs/>
        </w:rPr>
        <w:t>“</w:t>
      </w:r>
      <w:r w:rsidR="003665A6" w:rsidRPr="00DA06B7">
        <w:rPr>
          <w:i/>
          <w:iCs/>
        </w:rPr>
        <w:t>contingency fees agreement”</w:t>
      </w:r>
      <w:r w:rsidR="003665A6">
        <w:t xml:space="preserve"> as any agreement referred to in section 2(1). Section 2(1) in turn </w:t>
      </w:r>
      <w:r w:rsidR="009308EA">
        <w:t>provides</w:t>
      </w:r>
      <w:r w:rsidR="003665A6">
        <w:t>:</w:t>
      </w:r>
    </w:p>
    <w:p w14:paraId="42EF244F" w14:textId="77777777" w:rsidR="00D97667" w:rsidRPr="00D97667" w:rsidRDefault="00D97667" w:rsidP="00D97667">
      <w:pPr>
        <w:pStyle w:val="List"/>
      </w:pPr>
    </w:p>
    <w:p w14:paraId="5ED4AB82" w14:textId="77777777" w:rsidR="003665A6" w:rsidRPr="00763AD5" w:rsidRDefault="003665A6" w:rsidP="003665A6">
      <w:pPr>
        <w:pStyle w:val="quotation1"/>
        <w:rPr>
          <w:b/>
          <w:bCs/>
          <w:lang w:eastAsia="en-ZA"/>
        </w:rPr>
      </w:pPr>
      <w:r w:rsidRPr="00763AD5">
        <w:rPr>
          <w:b/>
          <w:bCs/>
          <w:lang w:eastAsia="en-ZA"/>
        </w:rPr>
        <w:lastRenderedPageBreak/>
        <w:t>2  Contingency fees agreements</w:t>
      </w:r>
    </w:p>
    <w:p w14:paraId="1FC47CAF" w14:textId="77777777" w:rsidR="003665A6" w:rsidRPr="00D078B0" w:rsidRDefault="003665A6" w:rsidP="003665A6">
      <w:pPr>
        <w:pStyle w:val="quotation1"/>
        <w:ind w:left="2268" w:hanging="566"/>
        <w:rPr>
          <w:lang w:eastAsia="en-ZA"/>
        </w:rPr>
      </w:pPr>
      <w:r w:rsidRPr="00D078B0">
        <w:rPr>
          <w:lang w:eastAsia="en-ZA"/>
        </w:rPr>
        <w:t xml:space="preserve">(1) </w:t>
      </w:r>
      <w:r>
        <w:rPr>
          <w:lang w:eastAsia="en-ZA"/>
        </w:rPr>
        <w:tab/>
      </w:r>
      <w:r w:rsidRPr="00D078B0">
        <w:rPr>
          <w:lang w:eastAsia="en-ZA"/>
        </w:rPr>
        <w:t>Notwithstanding anything to the contrary in any law or the common law, a legal practitioner may, if in his or her opinion there are reasonable prospects that his or her client may be successful in any proceedings, enter into an agreement with such client in which it is agreed-</w:t>
      </w:r>
    </w:p>
    <w:p w14:paraId="4FF012F9" w14:textId="77777777" w:rsidR="003665A6" w:rsidRDefault="003665A6" w:rsidP="003665A6">
      <w:pPr>
        <w:pStyle w:val="quotation1"/>
        <w:ind w:left="2835"/>
        <w:rPr>
          <w:lang w:eastAsia="en-ZA"/>
        </w:rPr>
      </w:pPr>
      <w:r w:rsidRPr="00D078B0">
        <w:rPr>
          <w:lang w:eastAsia="en-ZA"/>
        </w:rPr>
        <w:t>(a)   that the legal practitioner shall not be entitled to any fees for services rendered in respect of such proceedings unless such client is successful in such proceedings to the extent set out in such agreement;</w:t>
      </w:r>
    </w:p>
    <w:p w14:paraId="4814CCA6" w14:textId="77777777" w:rsidR="003665A6" w:rsidRPr="005A30EF" w:rsidRDefault="003665A6" w:rsidP="003665A6">
      <w:pPr>
        <w:pStyle w:val="quotation1"/>
        <w:ind w:left="2835"/>
      </w:pPr>
      <w:r w:rsidRPr="00D078B0">
        <w:rPr>
          <w:lang w:eastAsia="en-ZA"/>
        </w:rPr>
        <w:t>(b)</w:t>
      </w:r>
      <w:r>
        <w:rPr>
          <w:lang w:eastAsia="en-ZA"/>
        </w:rPr>
        <w:tab/>
      </w:r>
      <w:r w:rsidRPr="00D078B0">
        <w:rPr>
          <w:lang w:eastAsia="en-ZA"/>
        </w:rPr>
        <w:t>that the legal practitioner shall be entitled to fees equal to or, subject to subsection (2), higher than his or her normal fees, set out in such agreement, for any such services rendered, if such client is successful in such proceedings to the extent set out in such agreement.</w:t>
      </w:r>
      <w:r>
        <w:rPr>
          <w:lang w:eastAsia="en-ZA"/>
        </w:rPr>
        <w:t>”</w:t>
      </w:r>
    </w:p>
    <w:p w14:paraId="60FBCF40" w14:textId="306282AD" w:rsidR="003665A6" w:rsidRDefault="00D10B3D" w:rsidP="00D10B3D">
      <w:pPr>
        <w:pStyle w:val="LEVEL10"/>
        <w:numPr>
          <w:ilvl w:val="0"/>
          <w:numId w:val="0"/>
        </w:numPr>
        <w:tabs>
          <w:tab w:val="left" w:pos="737"/>
        </w:tabs>
        <w:ind w:left="851" w:hanging="851"/>
      </w:pPr>
      <w:r>
        <w:t>[22]</w:t>
      </w:r>
      <w:r>
        <w:tab/>
      </w:r>
      <w:r w:rsidR="001B6B22">
        <w:t xml:space="preserve"> </w:t>
      </w:r>
      <w:r w:rsidR="003665A6">
        <w:t>Section 3</w:t>
      </w:r>
      <w:r w:rsidR="009308EA">
        <w:t xml:space="preserve">(1) </w:t>
      </w:r>
      <w:r w:rsidR="003665A6">
        <w:t xml:space="preserve">of the </w:t>
      </w:r>
      <w:r w:rsidR="009308EA">
        <w:t xml:space="preserve">CFA </w:t>
      </w:r>
      <w:r w:rsidR="003665A6">
        <w:t>provides that the contingency fees agreement shall be in writing</w:t>
      </w:r>
      <w:r w:rsidR="009308EA">
        <w:t xml:space="preserve"> and </w:t>
      </w:r>
      <w:r w:rsidR="003665A6">
        <w:t>in the form prescribed</w:t>
      </w:r>
      <w:r w:rsidR="009308EA">
        <w:t>. Section 3(2) provides that the contingency fees agreement “</w:t>
      </w:r>
      <w:r w:rsidR="003665A6">
        <w:t>shall</w:t>
      </w:r>
      <w:r w:rsidR="009308EA">
        <w:t>”</w:t>
      </w:r>
      <w:r w:rsidR="003665A6">
        <w:t xml:space="preserve"> be signed by the client</w:t>
      </w:r>
      <w:r w:rsidR="009308EA">
        <w:t xml:space="preserve">, </w:t>
      </w:r>
      <w:r w:rsidR="003665A6">
        <w:t xml:space="preserve"> and </w:t>
      </w:r>
      <w:r w:rsidR="009308EA">
        <w:t xml:space="preserve">section 3(3) sets out </w:t>
      </w:r>
      <w:r w:rsidR="003665A6">
        <w:t>what the agreement must contain.  It is common cause that in this instance</w:t>
      </w:r>
      <w:r w:rsidR="009308EA">
        <w:t xml:space="preserve"> </w:t>
      </w:r>
      <w:r w:rsidR="003665A6">
        <w:t>client (i</w:t>
      </w:r>
      <w:r w:rsidR="009308EA">
        <w:t>.</w:t>
      </w:r>
      <w:r w:rsidR="003665A6">
        <w:t>e</w:t>
      </w:r>
      <w:r w:rsidR="009308EA">
        <w:t>.</w:t>
      </w:r>
      <w:r w:rsidR="003665A6">
        <w:t xml:space="preserve"> first and fourth respondents) did not sign any agreement, and there is no allegation that section 3(3) was complied with.</w:t>
      </w:r>
      <w:r w:rsidR="00D226B8">
        <w:rPr>
          <w:rStyle w:val="FootnoteReference"/>
        </w:rPr>
        <w:footnoteReference w:id="3"/>
      </w:r>
    </w:p>
    <w:p w14:paraId="2E373FF0" w14:textId="22414AE2" w:rsidR="00F055D1" w:rsidRPr="00F055D1" w:rsidRDefault="00F055D1" w:rsidP="00F055D1">
      <w:pPr>
        <w:pStyle w:val="LEVEL10"/>
        <w:numPr>
          <w:ilvl w:val="0"/>
          <w:numId w:val="0"/>
        </w:numPr>
        <w:ind w:left="851" w:hanging="851"/>
        <w:rPr>
          <w:i/>
          <w:iCs/>
        </w:rPr>
      </w:pPr>
      <w:r>
        <w:rPr>
          <w:i/>
          <w:iCs/>
        </w:rPr>
        <w:lastRenderedPageBreak/>
        <w:t>Practitioner entitled to reasonable fee</w:t>
      </w:r>
    </w:p>
    <w:p w14:paraId="374AA703" w14:textId="04B860B4" w:rsidR="003665A6" w:rsidRDefault="00D10B3D" w:rsidP="00D10B3D">
      <w:pPr>
        <w:pStyle w:val="LEVEL10"/>
        <w:numPr>
          <w:ilvl w:val="0"/>
          <w:numId w:val="0"/>
        </w:numPr>
        <w:tabs>
          <w:tab w:val="left" w:pos="737"/>
        </w:tabs>
        <w:ind w:left="851" w:hanging="851"/>
      </w:pPr>
      <w:r>
        <w:t>[23]</w:t>
      </w:r>
      <w:r>
        <w:tab/>
      </w:r>
      <w:r w:rsidR="003665A6">
        <w:t xml:space="preserve">It is now trite that if there is not compliance with section 3 </w:t>
      </w:r>
      <w:r w:rsidR="009308EA">
        <w:t xml:space="preserve">in respect of a </w:t>
      </w:r>
      <w:r w:rsidR="003665A6">
        <w:t>contingency fee</w:t>
      </w:r>
      <w:r w:rsidR="009308EA">
        <w:t>s</w:t>
      </w:r>
      <w:r w:rsidR="003665A6">
        <w:t xml:space="preserve"> agreement, the agreement is invalid.</w:t>
      </w:r>
      <w:r w:rsidR="003665A6">
        <w:rPr>
          <w:rStyle w:val="FootnoteReference"/>
        </w:rPr>
        <w:footnoteReference w:id="4"/>
      </w:r>
    </w:p>
    <w:p w14:paraId="45F5F2FC" w14:textId="5A839357" w:rsidR="003665A6" w:rsidRDefault="00D10B3D" w:rsidP="00D10B3D">
      <w:pPr>
        <w:pStyle w:val="LEVEL10"/>
        <w:numPr>
          <w:ilvl w:val="0"/>
          <w:numId w:val="0"/>
        </w:numPr>
        <w:tabs>
          <w:tab w:val="left" w:pos="737"/>
        </w:tabs>
        <w:ind w:left="851" w:hanging="851"/>
        <w:rPr>
          <w:spacing w:val="1"/>
        </w:rPr>
      </w:pPr>
      <w:r>
        <w:rPr>
          <w:spacing w:val="1"/>
        </w:rPr>
        <w:t>[24]</w:t>
      </w:r>
      <w:r>
        <w:rPr>
          <w:spacing w:val="1"/>
        </w:rPr>
        <w:tab/>
      </w:r>
      <w:r w:rsidR="00D226B8">
        <w:t xml:space="preserve"> </w:t>
      </w:r>
      <w:r w:rsidR="009308EA">
        <w:t>However, a</w:t>
      </w:r>
      <w:r w:rsidR="003665A6">
        <w:rPr>
          <w:spacing w:val="88"/>
        </w:rPr>
        <w:t xml:space="preserve"> </w:t>
      </w:r>
      <w:r w:rsidR="003665A6">
        <w:t>le</w:t>
      </w:r>
      <w:r w:rsidR="003665A6">
        <w:rPr>
          <w:spacing w:val="1"/>
          <w:w w:val="99"/>
        </w:rPr>
        <w:t>ga</w:t>
      </w:r>
      <w:r w:rsidR="003665A6">
        <w:t>l</w:t>
      </w:r>
      <w:r w:rsidR="003665A6">
        <w:rPr>
          <w:spacing w:val="86"/>
        </w:rPr>
        <w:t xml:space="preserve"> </w:t>
      </w:r>
      <w:r w:rsidR="003665A6">
        <w:rPr>
          <w:spacing w:val="1"/>
          <w:w w:val="99"/>
        </w:rPr>
        <w:t>p</w:t>
      </w:r>
      <w:r w:rsidR="003665A6">
        <w:t>r</w:t>
      </w:r>
      <w:r w:rsidR="003665A6">
        <w:rPr>
          <w:w w:val="99"/>
        </w:rPr>
        <w:t>a</w:t>
      </w:r>
      <w:r w:rsidR="003665A6">
        <w:t>c</w:t>
      </w:r>
      <w:r w:rsidR="003665A6">
        <w:rPr>
          <w:spacing w:val="1"/>
        </w:rPr>
        <w:t>t</w:t>
      </w:r>
      <w:r w:rsidR="003665A6">
        <w:t>iti</w:t>
      </w:r>
      <w:r w:rsidR="003665A6">
        <w:rPr>
          <w:spacing w:val="-1"/>
          <w:w w:val="99"/>
        </w:rPr>
        <w:t>o</w:t>
      </w:r>
      <w:r w:rsidR="003665A6">
        <w:rPr>
          <w:w w:val="99"/>
        </w:rPr>
        <w:t>n</w:t>
      </w:r>
      <w:r w:rsidR="003665A6">
        <w:rPr>
          <w:spacing w:val="1"/>
          <w:w w:val="99"/>
        </w:rPr>
        <w:t>e</w:t>
      </w:r>
      <w:r w:rsidR="003665A6">
        <w:t>r,</w:t>
      </w:r>
      <w:r w:rsidR="003665A6">
        <w:rPr>
          <w:spacing w:val="84"/>
        </w:rPr>
        <w:t xml:space="preserve"> </w:t>
      </w:r>
      <w:r w:rsidR="003665A6">
        <w:rPr>
          <w:spacing w:val="1"/>
          <w:w w:val="99"/>
        </w:rPr>
        <w:t>e</w:t>
      </w:r>
      <w:r w:rsidR="003665A6">
        <w:t>v</w:t>
      </w:r>
      <w:r w:rsidR="003665A6">
        <w:rPr>
          <w:spacing w:val="1"/>
          <w:w w:val="99"/>
        </w:rPr>
        <w:t>e</w:t>
      </w:r>
      <w:r w:rsidR="003665A6">
        <w:rPr>
          <w:w w:val="99"/>
        </w:rPr>
        <w:t>n</w:t>
      </w:r>
      <w:r w:rsidR="003665A6">
        <w:rPr>
          <w:spacing w:val="87"/>
        </w:rPr>
        <w:t xml:space="preserve"> </w:t>
      </w:r>
      <w:r w:rsidR="003665A6">
        <w:t>i</w:t>
      </w:r>
      <w:r w:rsidR="003665A6">
        <w:rPr>
          <w:w w:val="99"/>
        </w:rPr>
        <w:t>n</w:t>
      </w:r>
      <w:r w:rsidR="003665A6">
        <w:rPr>
          <w:spacing w:val="88"/>
        </w:rPr>
        <w:t xml:space="preserve"> </w:t>
      </w:r>
      <w:r w:rsidR="003665A6">
        <w:t>ci</w:t>
      </w:r>
      <w:r w:rsidR="003665A6">
        <w:rPr>
          <w:spacing w:val="-1"/>
        </w:rPr>
        <w:t>r</w:t>
      </w:r>
      <w:r w:rsidR="003665A6">
        <w:t>c</w:t>
      </w:r>
      <w:r w:rsidR="003665A6">
        <w:rPr>
          <w:w w:val="99"/>
        </w:rPr>
        <w:t>u</w:t>
      </w:r>
      <w:r w:rsidR="003665A6">
        <w:rPr>
          <w:spacing w:val="1"/>
        </w:rPr>
        <w:t>m</w:t>
      </w:r>
      <w:r w:rsidR="003665A6">
        <w:rPr>
          <w:spacing w:val="-1"/>
        </w:rPr>
        <w:t>s</w:t>
      </w:r>
      <w:r w:rsidR="003665A6">
        <w:t>t</w:t>
      </w:r>
      <w:r w:rsidR="003665A6">
        <w:rPr>
          <w:spacing w:val="1"/>
          <w:w w:val="99"/>
        </w:rPr>
        <w:t>a</w:t>
      </w:r>
      <w:r w:rsidR="003665A6">
        <w:rPr>
          <w:w w:val="99"/>
        </w:rPr>
        <w:t>n</w:t>
      </w:r>
      <w:r w:rsidR="003665A6">
        <w:rPr>
          <w:spacing w:val="-1"/>
        </w:rPr>
        <w:t>c</w:t>
      </w:r>
      <w:r w:rsidR="003665A6">
        <w:rPr>
          <w:spacing w:val="-2"/>
          <w:w w:val="99"/>
        </w:rPr>
        <w:t>e</w:t>
      </w:r>
      <w:r w:rsidR="003665A6">
        <w:t>s</w:t>
      </w:r>
      <w:r w:rsidR="003665A6">
        <w:rPr>
          <w:spacing w:val="86"/>
        </w:rPr>
        <w:t xml:space="preserve"> </w:t>
      </w:r>
      <w:r w:rsidR="003665A6">
        <w:rPr>
          <w:spacing w:val="1"/>
          <w:w w:val="99"/>
        </w:rPr>
        <w:t>o</w:t>
      </w:r>
      <w:r w:rsidR="003665A6">
        <w:t>f</w:t>
      </w:r>
      <w:r w:rsidR="003665A6">
        <w:rPr>
          <w:spacing w:val="88"/>
        </w:rPr>
        <w:t xml:space="preserve"> </w:t>
      </w:r>
      <w:r w:rsidR="003665A6">
        <w:rPr>
          <w:w w:val="99"/>
        </w:rPr>
        <w:t>an</w:t>
      </w:r>
      <w:r w:rsidR="003665A6">
        <w:rPr>
          <w:spacing w:val="88"/>
        </w:rPr>
        <w:t xml:space="preserve"> </w:t>
      </w:r>
      <w:r w:rsidR="003665A6">
        <w:rPr>
          <w:spacing w:val="1"/>
          <w:w w:val="99"/>
        </w:rPr>
        <w:t>u</w:t>
      </w:r>
      <w:r w:rsidR="003665A6">
        <w:rPr>
          <w:w w:val="99"/>
        </w:rPr>
        <w:t>n</w:t>
      </w:r>
      <w:r w:rsidR="003665A6">
        <w:rPr>
          <w:spacing w:val="-2"/>
        </w:rPr>
        <w:t>l</w:t>
      </w:r>
      <w:r w:rsidR="003665A6">
        <w:rPr>
          <w:w w:val="99"/>
        </w:rPr>
        <w:t>a</w:t>
      </w:r>
      <w:r w:rsidR="003665A6">
        <w:t>wf</w:t>
      </w:r>
      <w:r w:rsidR="003665A6">
        <w:rPr>
          <w:spacing w:val="1"/>
          <w:w w:val="99"/>
        </w:rPr>
        <w:t>u</w:t>
      </w:r>
      <w:r w:rsidR="003665A6">
        <w:t>l</w:t>
      </w:r>
      <w:r w:rsidR="003665A6">
        <w:rPr>
          <w:spacing w:val="87"/>
        </w:rPr>
        <w:t xml:space="preserve"> </w:t>
      </w:r>
      <w:r w:rsidR="003665A6">
        <w:t>c</w:t>
      </w:r>
      <w:r w:rsidR="003665A6">
        <w:rPr>
          <w:spacing w:val="-1"/>
          <w:w w:val="99"/>
        </w:rPr>
        <w:t>o</w:t>
      </w:r>
      <w:r w:rsidR="003665A6">
        <w:rPr>
          <w:w w:val="99"/>
        </w:rPr>
        <w:t>n</w:t>
      </w:r>
      <w:r w:rsidR="003665A6">
        <w:t>ti</w:t>
      </w:r>
      <w:r w:rsidR="003665A6">
        <w:rPr>
          <w:spacing w:val="1"/>
          <w:w w:val="99"/>
        </w:rPr>
        <w:t>n</w:t>
      </w:r>
      <w:r w:rsidR="003665A6">
        <w:rPr>
          <w:spacing w:val="-1"/>
          <w:w w:val="99"/>
        </w:rPr>
        <w:t>g</w:t>
      </w:r>
      <w:r w:rsidR="003665A6">
        <w:rPr>
          <w:w w:val="99"/>
        </w:rPr>
        <w:t>e</w:t>
      </w:r>
      <w:r w:rsidR="003665A6">
        <w:rPr>
          <w:spacing w:val="1"/>
          <w:w w:val="99"/>
        </w:rPr>
        <w:t>n</w:t>
      </w:r>
      <w:r w:rsidR="003665A6">
        <w:t>cy</w:t>
      </w:r>
      <w:r w:rsidR="00D226B8">
        <w:rPr>
          <w:spacing w:val="87"/>
        </w:rPr>
        <w:t xml:space="preserve"> </w:t>
      </w:r>
      <w:r w:rsidR="003665A6">
        <w:t>f</w:t>
      </w:r>
      <w:r w:rsidR="003665A6">
        <w:rPr>
          <w:w w:val="99"/>
        </w:rPr>
        <w:t>ee a</w:t>
      </w:r>
      <w:r w:rsidR="003665A6">
        <w:rPr>
          <w:spacing w:val="1"/>
        </w:rPr>
        <w:t>g</w:t>
      </w:r>
      <w:r w:rsidR="003665A6">
        <w:t>re</w:t>
      </w:r>
      <w:r w:rsidR="003665A6">
        <w:rPr>
          <w:w w:val="99"/>
        </w:rPr>
        <w:t>e</w:t>
      </w:r>
      <w:r w:rsidR="003665A6">
        <w:t>m</w:t>
      </w:r>
      <w:r w:rsidR="003665A6">
        <w:rPr>
          <w:w w:val="99"/>
        </w:rPr>
        <w:t>en</w:t>
      </w:r>
      <w:r w:rsidR="003665A6">
        <w:t>t</w:t>
      </w:r>
      <w:r w:rsidR="003665A6">
        <w:rPr>
          <w:spacing w:val="2"/>
        </w:rPr>
        <w:t xml:space="preserve"> </w:t>
      </w:r>
      <w:r w:rsidR="003665A6">
        <w:t>is</w:t>
      </w:r>
      <w:r w:rsidR="003665A6">
        <w:rPr>
          <w:spacing w:val="-1"/>
        </w:rPr>
        <w:t xml:space="preserve"> </w:t>
      </w:r>
      <w:r w:rsidR="003665A6">
        <w:rPr>
          <w:w w:val="99"/>
        </w:rPr>
        <w:t>e</w:t>
      </w:r>
      <w:r w:rsidR="003665A6">
        <w:rPr>
          <w:spacing w:val="1"/>
          <w:w w:val="99"/>
        </w:rPr>
        <w:t>n</w:t>
      </w:r>
      <w:r w:rsidR="003665A6">
        <w:t>titl</w:t>
      </w:r>
      <w:r w:rsidR="003665A6">
        <w:rPr>
          <w:w w:val="99"/>
        </w:rPr>
        <w:t>ed</w:t>
      </w:r>
      <w:r w:rsidR="003665A6">
        <w:t xml:space="preserve"> </w:t>
      </w:r>
      <w:r w:rsidR="003665A6">
        <w:rPr>
          <w:spacing w:val="-1"/>
        </w:rPr>
        <w:t>t</w:t>
      </w:r>
      <w:r w:rsidR="003665A6">
        <w:rPr>
          <w:w w:val="99"/>
        </w:rPr>
        <w:t>o</w:t>
      </w:r>
      <w:r w:rsidR="003665A6">
        <w:rPr>
          <w:spacing w:val="1"/>
        </w:rPr>
        <w:t xml:space="preserve"> </w:t>
      </w:r>
      <w:r w:rsidR="009308EA">
        <w:t>his or her reasonable fee</w:t>
      </w:r>
      <w:r w:rsidR="008D5115">
        <w:t>.</w:t>
      </w:r>
      <w:r w:rsidR="004547D1">
        <w:rPr>
          <w:rStyle w:val="FootnoteReference"/>
        </w:rPr>
        <w:footnoteReference w:id="5"/>
      </w:r>
      <w:r w:rsidR="004547D1">
        <w:rPr>
          <w:i/>
          <w:iCs/>
        </w:rPr>
        <w:t xml:space="preserve"> </w:t>
      </w:r>
      <w:r w:rsidR="004547D1">
        <w:rPr>
          <w:spacing w:val="1"/>
        </w:rPr>
        <w:t xml:space="preserve"> </w:t>
      </w:r>
    </w:p>
    <w:p w14:paraId="3555F0F8" w14:textId="6A90055B" w:rsidR="00F055D1" w:rsidRPr="00F055D1" w:rsidRDefault="00F055D1" w:rsidP="00F055D1">
      <w:pPr>
        <w:pStyle w:val="List"/>
        <w:rPr>
          <w:i/>
          <w:iCs/>
        </w:rPr>
      </w:pPr>
      <w:r>
        <w:rPr>
          <w:i/>
          <w:iCs/>
        </w:rPr>
        <w:t>Who may challenge  contingency fee agreement</w:t>
      </w:r>
    </w:p>
    <w:p w14:paraId="442CF3A6" w14:textId="08C72282" w:rsidR="003665A6" w:rsidRDefault="00D10B3D" w:rsidP="00D10B3D">
      <w:pPr>
        <w:pStyle w:val="LEVEL10"/>
        <w:numPr>
          <w:ilvl w:val="0"/>
          <w:numId w:val="0"/>
        </w:numPr>
        <w:tabs>
          <w:tab w:val="left" w:pos="737"/>
        </w:tabs>
        <w:ind w:left="851" w:hanging="851"/>
      </w:pPr>
      <w:r>
        <w:t>[25]</w:t>
      </w:r>
      <w:r>
        <w:tab/>
      </w:r>
      <w:r w:rsidR="003665A6">
        <w:t xml:space="preserve">In </w:t>
      </w:r>
      <w:r w:rsidR="003665A6">
        <w:rPr>
          <w:i/>
          <w:iCs/>
        </w:rPr>
        <w:t>Theodosiou</w:t>
      </w:r>
      <w:r w:rsidR="003F59D6">
        <w:rPr>
          <w:rStyle w:val="FootnoteReference"/>
        </w:rPr>
        <w:footnoteReference w:id="6"/>
      </w:r>
      <w:r w:rsidR="00D226B8">
        <w:rPr>
          <w:i/>
          <w:iCs/>
        </w:rPr>
        <w:t xml:space="preserve"> </w:t>
      </w:r>
      <w:r w:rsidR="003665A6">
        <w:t>the court</w:t>
      </w:r>
      <w:r w:rsidR="003F59D6">
        <w:t xml:space="preserve"> dealt with a challenge to the validity of a contingency fees agreement and </w:t>
      </w:r>
      <w:r w:rsidR="003665A6">
        <w:t xml:space="preserve"> held</w:t>
      </w:r>
      <w:r w:rsidR="00F055D1">
        <w:t xml:space="preserve"> (reference to authorities omitted)</w:t>
      </w:r>
      <w:r w:rsidR="003665A6">
        <w:t>:</w:t>
      </w:r>
    </w:p>
    <w:p w14:paraId="0B8C0485" w14:textId="2A09088F" w:rsidR="003665A6" w:rsidRDefault="003665A6" w:rsidP="003665A6">
      <w:pPr>
        <w:pStyle w:val="quotation1"/>
        <w:ind w:left="2127" w:hanging="709"/>
        <w:rPr>
          <w:shd w:val="clear" w:color="auto" w:fill="FFFFFF"/>
        </w:rPr>
      </w:pPr>
      <w:r>
        <w:rPr>
          <w:shd w:val="clear" w:color="auto" w:fill="FFFFFF"/>
        </w:rPr>
        <w:t xml:space="preserve"> “[36]</w:t>
      </w:r>
      <w:r>
        <w:rPr>
          <w:shd w:val="clear" w:color="auto" w:fill="FFFFFF"/>
        </w:rPr>
        <w:tab/>
      </w:r>
      <w:r w:rsidR="008077CD">
        <w:rPr>
          <w:shd w:val="clear" w:color="auto" w:fill="FFFFFF"/>
        </w:rPr>
        <w:t xml:space="preserve">   </w:t>
      </w:r>
      <w:r w:rsidRPr="004747EE">
        <w:rPr>
          <w:shd w:val="clear" w:color="auto" w:fill="FFFFFF"/>
        </w:rPr>
        <w:t>There is no legal principle in which third parties have a more substantial right than the contracting parties to enforce the cancellation of an effective agreement. A third party cannot challenge an agreement implemented and persisted in by the parties</w:t>
      </w:r>
      <w:r w:rsidR="00F055D1">
        <w:rPr>
          <w:shd w:val="clear" w:color="auto" w:fill="FFFFFF"/>
        </w:rPr>
        <w:t>…</w:t>
      </w:r>
      <w:r>
        <w:rPr>
          <w:shd w:val="clear" w:color="auto" w:fill="FFFFFF"/>
        </w:rPr>
        <w:t>So, the excipients had no right to inquire into the validity of the contingency fee agreement when the settlements were concluded.</w:t>
      </w:r>
    </w:p>
    <w:p w14:paraId="3408A4B9" w14:textId="5406555F" w:rsidR="003F59D6" w:rsidRPr="003F59D6" w:rsidRDefault="003F59D6" w:rsidP="003665A6">
      <w:pPr>
        <w:pStyle w:val="quotation1"/>
        <w:ind w:left="2127" w:hanging="709"/>
        <w:rPr>
          <w:i w:val="0"/>
          <w:iCs w:val="0"/>
          <w:shd w:val="clear" w:color="auto" w:fill="FFFFFF"/>
        </w:rPr>
      </w:pPr>
      <w:r>
        <w:rPr>
          <w:i w:val="0"/>
          <w:iCs w:val="0"/>
          <w:shd w:val="clear" w:color="auto" w:fill="FFFFFF"/>
        </w:rPr>
        <w:t xml:space="preserve">and </w:t>
      </w:r>
    </w:p>
    <w:p w14:paraId="1596144C" w14:textId="15409D20" w:rsidR="003665A6" w:rsidRDefault="003F59D6" w:rsidP="003665A6">
      <w:pPr>
        <w:pStyle w:val="quotation1"/>
        <w:ind w:left="2127" w:hanging="709"/>
        <w:rPr>
          <w:rFonts w:cs="Arial"/>
          <w:szCs w:val="24"/>
          <w:shd w:val="clear" w:color="auto" w:fill="FFFFFF"/>
        </w:rPr>
      </w:pPr>
      <w:r>
        <w:rPr>
          <w:i w:val="0"/>
          <w:iCs w:val="0"/>
          <w:shd w:val="clear" w:color="auto" w:fill="FFFFFF"/>
        </w:rPr>
        <w:t>“</w:t>
      </w:r>
      <w:r w:rsidR="003665A6">
        <w:rPr>
          <w:shd w:val="clear" w:color="auto" w:fill="FFFFFF"/>
        </w:rPr>
        <w:t>[</w:t>
      </w:r>
      <w:r>
        <w:rPr>
          <w:shd w:val="clear" w:color="auto" w:fill="FFFFFF"/>
        </w:rPr>
        <w:t>56</w:t>
      </w:r>
      <w:r w:rsidR="003665A6">
        <w:rPr>
          <w:shd w:val="clear" w:color="auto" w:fill="FFFFFF"/>
        </w:rPr>
        <w:t>]</w:t>
      </w:r>
      <w:r w:rsidR="003665A6">
        <w:rPr>
          <w:shd w:val="clear" w:color="auto" w:fill="FFFFFF"/>
        </w:rPr>
        <w:tab/>
      </w:r>
      <w:r w:rsidR="008077CD">
        <w:rPr>
          <w:shd w:val="clear" w:color="auto" w:fill="FFFFFF"/>
        </w:rPr>
        <w:t xml:space="preserve">   </w:t>
      </w:r>
      <w:r w:rsidR="003665A6">
        <w:rPr>
          <w:rFonts w:cs="Arial"/>
          <w:szCs w:val="24"/>
          <w:shd w:val="clear" w:color="auto" w:fill="FFFFFF"/>
        </w:rPr>
        <w:t>Excipients had no locus standi to enquire into the validity of contingency fee agreement when the settlements were concluded.”</w:t>
      </w:r>
    </w:p>
    <w:p w14:paraId="6AD893F0" w14:textId="77777777" w:rsidR="00D97667" w:rsidRPr="003F59D6" w:rsidRDefault="00D97667" w:rsidP="003665A6">
      <w:pPr>
        <w:pStyle w:val="quotation1"/>
        <w:ind w:left="2127" w:hanging="709"/>
        <w:rPr>
          <w:i w:val="0"/>
          <w:iCs w:val="0"/>
        </w:rPr>
      </w:pPr>
    </w:p>
    <w:p w14:paraId="2C39C2E9" w14:textId="496BB758" w:rsidR="008077CD" w:rsidRPr="00BE623B" w:rsidRDefault="004547D1" w:rsidP="00BE623B">
      <w:pPr>
        <w:pStyle w:val="level1"/>
        <w:numPr>
          <w:ilvl w:val="0"/>
          <w:numId w:val="0"/>
        </w:numPr>
        <w:rPr>
          <w:b/>
          <w:bCs/>
        </w:rPr>
      </w:pPr>
      <w:r>
        <w:rPr>
          <w:b/>
          <w:bCs/>
        </w:rPr>
        <w:lastRenderedPageBreak/>
        <w:t xml:space="preserve">ALLEGED INVALID CONTINGENCY AGREEMENT: NO </w:t>
      </w:r>
      <w:r w:rsidRPr="00BE623B">
        <w:rPr>
          <w:b/>
          <w:bCs/>
        </w:rPr>
        <w:t>CAUSE OF ACTION</w:t>
      </w:r>
    </w:p>
    <w:p w14:paraId="6CC3EB62" w14:textId="498B8702" w:rsidR="00BE623B" w:rsidRDefault="00D10B3D" w:rsidP="00D10B3D">
      <w:pPr>
        <w:pStyle w:val="LEVEL10"/>
        <w:numPr>
          <w:ilvl w:val="0"/>
          <w:numId w:val="0"/>
        </w:numPr>
        <w:tabs>
          <w:tab w:val="left" w:pos="737"/>
        </w:tabs>
        <w:ind w:left="851" w:hanging="851"/>
      </w:pPr>
      <w:r>
        <w:t>[26]</w:t>
      </w:r>
      <w:r>
        <w:tab/>
      </w:r>
      <w:r w:rsidR="00C37472">
        <w:t xml:space="preserve"> </w:t>
      </w:r>
      <w:r w:rsidR="00BE623B">
        <w:t xml:space="preserve">I understand the applicant’s cause of action to be that counsel’s invoices are to be struck out as they were issued in terms of an invalid contingency fees agreement. If so, the application is misguided: </w:t>
      </w:r>
    </w:p>
    <w:p w14:paraId="28EF9E9F" w14:textId="5B724345" w:rsidR="00BE623B" w:rsidRDefault="00D10B3D" w:rsidP="00D10B3D">
      <w:pPr>
        <w:pStyle w:val="LEVEL10"/>
        <w:numPr>
          <w:ilvl w:val="0"/>
          <w:numId w:val="0"/>
        </w:numPr>
        <w:tabs>
          <w:tab w:val="left" w:pos="1985"/>
        </w:tabs>
        <w:ind w:left="1985" w:hanging="1134"/>
      </w:pPr>
      <w:r>
        <w:t>1.</w:t>
      </w:r>
      <w:r>
        <w:tab/>
      </w:r>
      <w:r w:rsidR="00BE623B">
        <w:t xml:space="preserve">A third party (the applicant) will not be affected by the terms of any contingency fees agreement, as the legal practitioner is in any event able to </w:t>
      </w:r>
      <w:r w:rsidR="004547D1">
        <w:t xml:space="preserve">charge </w:t>
      </w:r>
      <w:r w:rsidR="00BE623B">
        <w:t xml:space="preserve">a reasonable fee. On taxation, the client can only have a reasonable fee taxed, regardless of the terms of </w:t>
      </w:r>
      <w:r w:rsidR="00D97667">
        <w:t xml:space="preserve">any </w:t>
      </w:r>
      <w:r w:rsidR="00BE623B">
        <w:t>alleged contingency fees agreement.</w:t>
      </w:r>
    </w:p>
    <w:p w14:paraId="6C08CEBA" w14:textId="53A426D3" w:rsidR="00BE623B" w:rsidRDefault="00D10B3D" w:rsidP="00D10B3D">
      <w:pPr>
        <w:pStyle w:val="List"/>
        <w:tabs>
          <w:tab w:val="left" w:pos="1985"/>
        </w:tabs>
        <w:ind w:left="1985" w:hanging="1134"/>
      </w:pPr>
      <w:r>
        <w:t>2.</w:t>
      </w:r>
      <w:r>
        <w:tab/>
      </w:r>
      <w:r w:rsidR="00BE623B">
        <w:t xml:space="preserve">Even assuming that the agreement with counsel was an agreement as contemplated in section 2(1)(a) of the CFA, the applicant does not have standing to have the agreement set aside.  </w:t>
      </w:r>
    </w:p>
    <w:p w14:paraId="7C1D6962" w14:textId="77777777" w:rsidR="00BE623B" w:rsidRDefault="00BE623B" w:rsidP="00BE623B">
      <w:pPr>
        <w:pStyle w:val="List"/>
      </w:pPr>
    </w:p>
    <w:p w14:paraId="4826BC9D" w14:textId="348E56C9" w:rsidR="0098506E" w:rsidRDefault="00D10B3D" w:rsidP="00D10B3D">
      <w:pPr>
        <w:pStyle w:val="LEVEL10"/>
        <w:numPr>
          <w:ilvl w:val="0"/>
          <w:numId w:val="0"/>
        </w:numPr>
        <w:tabs>
          <w:tab w:val="left" w:pos="737"/>
        </w:tabs>
        <w:ind w:left="851" w:hanging="851"/>
      </w:pPr>
      <w:r>
        <w:t>[27]</w:t>
      </w:r>
      <w:r>
        <w:tab/>
      </w:r>
      <w:r w:rsidR="00C37472">
        <w:t xml:space="preserve"> </w:t>
      </w:r>
      <w:r w:rsidR="008077CD">
        <w:t>The applicant’s remedy was to challenge the reasonableness of counsel’s invoices o</w:t>
      </w:r>
      <w:r w:rsidR="00BE623B">
        <w:t xml:space="preserve">n </w:t>
      </w:r>
      <w:r w:rsidR="008077CD">
        <w:t>taxation. It is for the taxing master to decide whether the fact that counsel raised other invoices during the same period based on a substantially l</w:t>
      </w:r>
      <w:r w:rsidR="0098506E">
        <w:t xml:space="preserve">ower </w:t>
      </w:r>
      <w:r w:rsidR="008077CD">
        <w:t xml:space="preserve">rate is a factor to take into account in determining whether the invoices were reasonable. </w:t>
      </w:r>
    </w:p>
    <w:p w14:paraId="20459E69" w14:textId="0C47AB96" w:rsidR="00D44ACF" w:rsidRPr="00D44ACF" w:rsidRDefault="00D10B3D" w:rsidP="00D10B3D">
      <w:pPr>
        <w:pStyle w:val="LEVEL10"/>
        <w:numPr>
          <w:ilvl w:val="0"/>
          <w:numId w:val="0"/>
        </w:numPr>
        <w:tabs>
          <w:tab w:val="left" w:pos="737"/>
        </w:tabs>
        <w:ind w:left="851" w:hanging="851"/>
      </w:pPr>
      <w:r w:rsidRPr="00D44ACF">
        <w:t>[28]</w:t>
      </w:r>
      <w:r w:rsidRPr="00D44ACF">
        <w:tab/>
      </w:r>
      <w:r w:rsidR="00D44ACF">
        <w:t xml:space="preserve">The applicant has therefore not proved his cause of action as pleaded. </w:t>
      </w:r>
    </w:p>
    <w:p w14:paraId="4F35F2B6" w14:textId="1FF63D2F" w:rsidR="00D97AAF" w:rsidRPr="00D97AAF" w:rsidRDefault="00D97AAF" w:rsidP="00D97AAF">
      <w:pPr>
        <w:pStyle w:val="LEVEL10"/>
        <w:numPr>
          <w:ilvl w:val="0"/>
          <w:numId w:val="0"/>
        </w:numPr>
        <w:rPr>
          <w:b/>
          <w:bCs/>
        </w:rPr>
      </w:pPr>
      <w:r>
        <w:rPr>
          <w:b/>
          <w:bCs/>
        </w:rPr>
        <w:t>SECTION 92 OF THE LPA</w:t>
      </w:r>
    </w:p>
    <w:p w14:paraId="456C7D35" w14:textId="0DABA0E2" w:rsidR="00C37472" w:rsidRDefault="00D10B3D" w:rsidP="00D10B3D">
      <w:pPr>
        <w:pStyle w:val="LEVEL10"/>
        <w:numPr>
          <w:ilvl w:val="0"/>
          <w:numId w:val="0"/>
        </w:numPr>
        <w:tabs>
          <w:tab w:val="left" w:pos="737"/>
        </w:tabs>
        <w:ind w:left="851" w:hanging="851"/>
      </w:pPr>
      <w:r>
        <w:t>[29]</w:t>
      </w:r>
      <w:r>
        <w:tab/>
      </w:r>
      <w:r w:rsidR="0098506E">
        <w:t xml:space="preserve"> </w:t>
      </w:r>
      <w:r w:rsidR="00D97AAF">
        <w:t xml:space="preserve">It is therefore not strictly necessary for the </w:t>
      </w:r>
      <w:r w:rsidR="00D44ACF">
        <w:t xml:space="preserve">adjudication </w:t>
      </w:r>
      <w:r w:rsidR="00D97AAF">
        <w:t xml:space="preserve">of this application to </w:t>
      </w:r>
      <w:r w:rsidR="00D44ACF">
        <w:lastRenderedPageBreak/>
        <w:t xml:space="preserve">determine </w:t>
      </w:r>
      <w:r w:rsidR="00D97AAF">
        <w:t xml:space="preserve">whether section 92 applies or not. </w:t>
      </w:r>
      <w:r w:rsidR="00D44ACF">
        <w:t xml:space="preserve"> I shall however do so for reasons </w:t>
      </w:r>
      <w:r w:rsidR="00D97667">
        <w:t xml:space="preserve">referred to </w:t>
      </w:r>
      <w:r w:rsidR="00D44ACF">
        <w:t>below.</w:t>
      </w:r>
    </w:p>
    <w:p w14:paraId="6890442B" w14:textId="6D5269A4" w:rsidR="00D44ACF" w:rsidRPr="00653553" w:rsidRDefault="00D10B3D" w:rsidP="00D10B3D">
      <w:pPr>
        <w:pStyle w:val="LEVEL10"/>
        <w:numPr>
          <w:ilvl w:val="0"/>
          <w:numId w:val="0"/>
        </w:numPr>
        <w:tabs>
          <w:tab w:val="left" w:pos="737"/>
        </w:tabs>
        <w:ind w:left="851" w:hanging="851"/>
        <w:rPr>
          <w:rFonts w:cs="Arial"/>
          <w:szCs w:val="24"/>
        </w:rPr>
      </w:pPr>
      <w:r w:rsidRPr="00653553">
        <w:rPr>
          <w:rFonts w:cs="Arial"/>
          <w:szCs w:val="24"/>
        </w:rPr>
        <w:t>[30]</w:t>
      </w:r>
      <w:r w:rsidRPr="00653553">
        <w:rPr>
          <w:rFonts w:cs="Arial"/>
          <w:szCs w:val="24"/>
        </w:rPr>
        <w:tab/>
      </w:r>
      <w:r w:rsidR="00D44ACF">
        <w:rPr>
          <w:lang w:eastAsia="en-ZA"/>
        </w:rPr>
        <w:t>Section 92 of the LPA reads:</w:t>
      </w:r>
    </w:p>
    <w:p w14:paraId="01942441" w14:textId="77777777" w:rsidR="00D44ACF" w:rsidRPr="00653553" w:rsidRDefault="00D44ACF" w:rsidP="00D44ACF">
      <w:pPr>
        <w:pStyle w:val="level1"/>
        <w:numPr>
          <w:ilvl w:val="0"/>
          <w:numId w:val="0"/>
        </w:numPr>
        <w:spacing w:line="360" w:lineRule="auto"/>
        <w:ind w:left="1702"/>
        <w:rPr>
          <w:b/>
          <w:bCs/>
          <w:i/>
          <w:iCs/>
          <w:lang w:eastAsia="en-ZA"/>
        </w:rPr>
      </w:pPr>
      <w:r w:rsidRPr="00653553">
        <w:rPr>
          <w:b/>
          <w:bCs/>
          <w:i/>
          <w:iCs/>
          <w:lang w:eastAsia="en-ZA"/>
        </w:rPr>
        <w:t>92  Recovery of costs by legal practitioners rendering free legal services</w:t>
      </w:r>
    </w:p>
    <w:p w14:paraId="2B3F840B" w14:textId="49E7CD22" w:rsidR="00D44ACF" w:rsidRPr="00653553" w:rsidRDefault="00D44ACF" w:rsidP="00D44ACF">
      <w:pPr>
        <w:pStyle w:val="level1"/>
        <w:numPr>
          <w:ilvl w:val="0"/>
          <w:numId w:val="0"/>
        </w:numPr>
        <w:spacing w:line="360" w:lineRule="auto"/>
        <w:ind w:left="1702"/>
        <w:rPr>
          <w:i/>
          <w:iCs/>
          <w:lang w:eastAsia="en-ZA"/>
        </w:rPr>
      </w:pPr>
      <w:r w:rsidRPr="00653553">
        <w:rPr>
          <w:i/>
          <w:iCs/>
          <w:lang w:eastAsia="en-ZA"/>
        </w:rPr>
        <w:t>(1) Whenever in any legal proceedings or any dispute in respect of which legal services are rendered for free to a litigant or other person by a legal practitioner or law clinic, and costs become payable to that litigant or other person in terms of a judgment of the court or a settlement, or otherwise, that litigant or other person must be deemed to have ceded his or her rights to the costs to that legal practitioner, law clinic or practice.</w:t>
      </w:r>
    </w:p>
    <w:p w14:paraId="3EB956D7" w14:textId="77777777" w:rsidR="00D44ACF" w:rsidRPr="00653553" w:rsidRDefault="00D44ACF" w:rsidP="00D44ACF">
      <w:pPr>
        <w:pStyle w:val="level1"/>
        <w:numPr>
          <w:ilvl w:val="0"/>
          <w:numId w:val="0"/>
        </w:numPr>
        <w:spacing w:line="360" w:lineRule="auto"/>
        <w:ind w:left="1702"/>
        <w:rPr>
          <w:i/>
          <w:iCs/>
          <w:lang w:eastAsia="en-ZA"/>
        </w:rPr>
      </w:pPr>
      <w:r w:rsidRPr="00653553">
        <w:rPr>
          <w:i/>
          <w:iCs/>
          <w:lang w:eastAsia="en-ZA"/>
        </w:rPr>
        <w:t>(2) (a) A litigant or person referred to in subsection (1) or the legal practitioner or law clinic concerned may, at any time before payment of the costs referred to in subsection (1), give notice in writing to-</w:t>
      </w:r>
    </w:p>
    <w:p w14:paraId="674547F6" w14:textId="77777777" w:rsidR="00D44ACF" w:rsidRPr="00653553" w:rsidRDefault="00D44ACF" w:rsidP="00D44ACF">
      <w:pPr>
        <w:pStyle w:val="level1"/>
        <w:numPr>
          <w:ilvl w:val="0"/>
          <w:numId w:val="0"/>
        </w:numPr>
        <w:spacing w:line="360" w:lineRule="auto"/>
        <w:ind w:left="851"/>
        <w:rPr>
          <w:i/>
          <w:iCs/>
          <w:lang w:eastAsia="en-ZA"/>
        </w:rPr>
      </w:pPr>
      <w:r w:rsidRPr="00653553">
        <w:rPr>
          <w:i/>
          <w:iCs/>
          <w:lang w:eastAsia="en-ZA"/>
        </w:rPr>
        <w:t>  </w:t>
      </w:r>
      <w:r>
        <w:rPr>
          <w:i/>
          <w:iCs/>
          <w:lang w:eastAsia="en-ZA"/>
        </w:rPr>
        <w:tab/>
      </w:r>
      <w:r>
        <w:rPr>
          <w:i/>
          <w:iCs/>
          <w:lang w:eastAsia="en-ZA"/>
        </w:rPr>
        <w:tab/>
      </w:r>
      <w:r w:rsidRPr="00653553">
        <w:rPr>
          <w:i/>
          <w:iCs/>
          <w:lang w:eastAsia="en-ZA"/>
        </w:rPr>
        <w:t> (i)   the person liable for those costs; and</w:t>
      </w:r>
    </w:p>
    <w:p w14:paraId="67E6A665" w14:textId="77777777" w:rsidR="00D44ACF" w:rsidRPr="00653553" w:rsidRDefault="00D44ACF" w:rsidP="00D44ACF">
      <w:pPr>
        <w:pStyle w:val="level1"/>
        <w:numPr>
          <w:ilvl w:val="0"/>
          <w:numId w:val="0"/>
        </w:numPr>
        <w:spacing w:line="360" w:lineRule="auto"/>
        <w:ind w:left="851"/>
        <w:rPr>
          <w:i/>
          <w:iCs/>
          <w:lang w:eastAsia="en-ZA"/>
        </w:rPr>
      </w:pPr>
      <w:r w:rsidRPr="00653553">
        <w:rPr>
          <w:i/>
          <w:iCs/>
          <w:lang w:eastAsia="en-ZA"/>
        </w:rPr>
        <w:t>   </w:t>
      </w:r>
      <w:r>
        <w:rPr>
          <w:i/>
          <w:iCs/>
          <w:lang w:eastAsia="en-ZA"/>
        </w:rPr>
        <w:tab/>
      </w:r>
      <w:r>
        <w:rPr>
          <w:i/>
          <w:iCs/>
          <w:lang w:eastAsia="en-ZA"/>
        </w:rPr>
        <w:tab/>
      </w:r>
      <w:r w:rsidRPr="00653553">
        <w:rPr>
          <w:i/>
          <w:iCs/>
          <w:lang w:eastAsia="en-ZA"/>
        </w:rPr>
        <w:t> (ii)   the registrar or clerk of the court concerned,</w:t>
      </w:r>
    </w:p>
    <w:p w14:paraId="168A5E77" w14:textId="77777777" w:rsidR="00D44ACF" w:rsidRPr="00653553" w:rsidRDefault="00D44ACF" w:rsidP="00D44ACF">
      <w:pPr>
        <w:pStyle w:val="level1"/>
        <w:numPr>
          <w:ilvl w:val="0"/>
          <w:numId w:val="0"/>
        </w:numPr>
        <w:spacing w:line="360" w:lineRule="auto"/>
        <w:ind w:left="1702"/>
        <w:rPr>
          <w:i/>
          <w:iCs/>
          <w:lang w:eastAsia="en-ZA"/>
        </w:rPr>
      </w:pPr>
      <w:r w:rsidRPr="00653553">
        <w:rPr>
          <w:i/>
          <w:iCs/>
          <w:lang w:eastAsia="en-ZA"/>
        </w:rPr>
        <w:t>that the legal services are being or have been rendered for free by that legal practitioner, law clinic or practice.</w:t>
      </w:r>
    </w:p>
    <w:p w14:paraId="5556B2AD" w14:textId="77777777" w:rsidR="00D44ACF" w:rsidRPr="00653553" w:rsidRDefault="00D44ACF" w:rsidP="00D44ACF">
      <w:pPr>
        <w:pStyle w:val="level1"/>
        <w:numPr>
          <w:ilvl w:val="0"/>
          <w:numId w:val="0"/>
        </w:numPr>
        <w:spacing w:line="360" w:lineRule="auto"/>
        <w:ind w:left="1702"/>
        <w:rPr>
          <w:i/>
          <w:iCs/>
          <w:lang w:eastAsia="en-ZA"/>
        </w:rPr>
      </w:pPr>
      <w:r w:rsidRPr="00653553">
        <w:rPr>
          <w:i/>
          <w:iCs/>
          <w:lang w:eastAsia="en-ZA"/>
        </w:rPr>
        <w:t>(b) Where notice has been given as provided for in paragraph (a), the legal practitioner, law clinic or practice concerned may proceed in his or her or its own name, or the name of his or her practice, to have those costs taxed, where appropriate, and to recover them, without being formally substituted for the litigant or person referred to in subsection (1).</w:t>
      </w:r>
    </w:p>
    <w:p w14:paraId="4CC5562C" w14:textId="77222C0A" w:rsidR="00D44ACF" w:rsidRPr="00D97667" w:rsidRDefault="00D44ACF" w:rsidP="00D97667">
      <w:pPr>
        <w:pStyle w:val="level1"/>
        <w:numPr>
          <w:ilvl w:val="0"/>
          <w:numId w:val="0"/>
        </w:numPr>
        <w:spacing w:line="360" w:lineRule="auto"/>
        <w:ind w:left="1702" w:hanging="284"/>
        <w:rPr>
          <w:i/>
          <w:iCs/>
          <w:lang w:eastAsia="en-ZA"/>
        </w:rPr>
      </w:pPr>
      <w:r w:rsidRPr="00653553">
        <w:rPr>
          <w:i/>
          <w:iCs/>
          <w:lang w:eastAsia="en-ZA"/>
        </w:rPr>
        <w:lastRenderedPageBreak/>
        <w:t>(3) The costs referred to in subsection (1) must be calculated and the bill of costs, if any, must be taxed as if the litigant or person to whom the legal services were rendered by the legal practitioner, law clinic or practice actually incurred the costs of obtaining the services of the legal practitioner, law clinic or practice acting on his or her or its behalf in the proceedings or dispute concerned.</w:t>
      </w:r>
    </w:p>
    <w:p w14:paraId="427AFE66" w14:textId="77777777" w:rsidR="0098506E" w:rsidRPr="0000244D" w:rsidRDefault="0098506E" w:rsidP="0098506E">
      <w:pPr>
        <w:pStyle w:val="level1"/>
        <w:numPr>
          <w:ilvl w:val="0"/>
          <w:numId w:val="0"/>
        </w:numPr>
        <w:rPr>
          <w:b/>
          <w:bCs/>
        </w:rPr>
      </w:pPr>
      <w:r w:rsidRPr="002D743F">
        <w:rPr>
          <w:b/>
          <w:bCs/>
        </w:rPr>
        <w:t>SECTION 2(1) OF CFA AND SECTION 92 OF LPA DISTINGUISHED</w:t>
      </w:r>
    </w:p>
    <w:p w14:paraId="037E5916" w14:textId="1F5DD21D" w:rsidR="0098506E" w:rsidRPr="00D40721" w:rsidRDefault="00D10B3D" w:rsidP="00D10B3D">
      <w:pPr>
        <w:pStyle w:val="LEVEL10"/>
        <w:numPr>
          <w:ilvl w:val="0"/>
          <w:numId w:val="0"/>
        </w:numPr>
        <w:tabs>
          <w:tab w:val="left" w:pos="737"/>
        </w:tabs>
        <w:ind w:left="851" w:hanging="851"/>
        <w:rPr>
          <w:rFonts w:cs="Arial"/>
          <w:szCs w:val="24"/>
        </w:rPr>
      </w:pPr>
      <w:r w:rsidRPr="00D40721">
        <w:rPr>
          <w:rFonts w:cs="Arial"/>
          <w:szCs w:val="24"/>
        </w:rPr>
        <w:t>[31]</w:t>
      </w:r>
      <w:r w:rsidRPr="00D40721">
        <w:rPr>
          <w:rFonts w:cs="Arial"/>
          <w:szCs w:val="24"/>
        </w:rPr>
        <w:tab/>
      </w:r>
      <w:r w:rsidR="0098506E" w:rsidRPr="00D40721">
        <w:rPr>
          <w:rFonts w:cs="Arial"/>
          <w:szCs w:val="24"/>
        </w:rPr>
        <w:t xml:space="preserve">In </w:t>
      </w:r>
      <w:r w:rsidR="0098506E" w:rsidRPr="00D40721">
        <w:rPr>
          <w:rFonts w:cs="Arial"/>
          <w:i/>
          <w:iCs/>
          <w:szCs w:val="24"/>
        </w:rPr>
        <w:t>Masango</w:t>
      </w:r>
      <w:r w:rsidR="0098506E" w:rsidRPr="00D40721">
        <w:rPr>
          <w:rStyle w:val="FootnoteReference"/>
          <w:rFonts w:cs="Arial"/>
          <w:i/>
          <w:iCs/>
          <w:szCs w:val="24"/>
        </w:rPr>
        <w:footnoteReference w:id="7"/>
      </w:r>
      <w:r w:rsidR="0098506E" w:rsidRPr="00D40721">
        <w:rPr>
          <w:rFonts w:cs="Arial"/>
          <w:i/>
          <w:iCs/>
          <w:szCs w:val="24"/>
        </w:rPr>
        <w:t xml:space="preserve"> </w:t>
      </w:r>
      <w:r w:rsidR="0098506E" w:rsidRPr="00D40721">
        <w:rPr>
          <w:rFonts w:cs="Arial"/>
          <w:szCs w:val="24"/>
        </w:rPr>
        <w:t>Mojapelo DJP explained the two different contingency fees agreements in section 2(1) of the CFA as follows:</w:t>
      </w:r>
      <w:r w:rsidR="0098506E" w:rsidRPr="00D40721">
        <w:rPr>
          <w:rStyle w:val="FootnoteReference"/>
          <w:rFonts w:cs="Arial"/>
          <w:szCs w:val="24"/>
        </w:rPr>
        <w:footnoteReference w:id="8"/>
      </w:r>
    </w:p>
    <w:p w14:paraId="212C6627" w14:textId="77777777" w:rsidR="0098506E" w:rsidRPr="00D40721" w:rsidRDefault="0098506E" w:rsidP="0098506E">
      <w:pPr>
        <w:pStyle w:val="level1"/>
        <w:numPr>
          <w:ilvl w:val="0"/>
          <w:numId w:val="0"/>
        </w:numPr>
        <w:spacing w:line="360" w:lineRule="auto"/>
        <w:ind w:left="1702"/>
        <w:rPr>
          <w:rFonts w:cs="Arial"/>
          <w:szCs w:val="24"/>
          <w:shd w:val="clear" w:color="auto" w:fill="FFFFFF"/>
          <w:vertAlign w:val="superscript"/>
        </w:rPr>
      </w:pPr>
      <w:r w:rsidRPr="00D40721">
        <w:rPr>
          <w:rFonts w:cs="Arial"/>
          <w:szCs w:val="24"/>
          <w:shd w:val="clear" w:color="auto" w:fill="FFFFFF"/>
        </w:rPr>
        <w:t>“</w:t>
      </w:r>
      <w:r w:rsidRPr="00D40721">
        <w:rPr>
          <w:rFonts w:cs="Arial"/>
          <w:i/>
          <w:iCs/>
          <w:szCs w:val="24"/>
          <w:shd w:val="clear" w:color="auto" w:fill="FFFFFF"/>
        </w:rPr>
        <w:t>The section provides for two kinds of contingency fees agreement. The first is a 'no win, no fee' agreement, and the second is an agreement whereby the legal practitioner may charge fees higher than the normal fee if the client is successful.  The higher fee is also referred to as the success fee. Only the second type of agreement is subject to the statutory caps</w:t>
      </w:r>
      <w:r w:rsidRPr="00D40721">
        <w:rPr>
          <w:rFonts w:cs="Arial"/>
          <w:szCs w:val="24"/>
          <w:shd w:val="clear" w:color="auto" w:fill="FFFFFF"/>
        </w:rPr>
        <w:t>.” </w:t>
      </w:r>
      <w:r w:rsidRPr="00D40721">
        <w:rPr>
          <w:rStyle w:val="footnoteanchor"/>
          <w:rFonts w:cs="Arial"/>
          <w:szCs w:val="24"/>
          <w:shd w:val="clear" w:color="auto" w:fill="FFFFFF"/>
          <w:vertAlign w:val="superscript"/>
        </w:rPr>
        <w:t xml:space="preserve"> </w:t>
      </w:r>
    </w:p>
    <w:p w14:paraId="3F57B2BF" w14:textId="113E555F" w:rsidR="0098506E" w:rsidRPr="00D40721" w:rsidRDefault="00D10B3D" w:rsidP="00D10B3D">
      <w:pPr>
        <w:pStyle w:val="LEVEL10"/>
        <w:numPr>
          <w:ilvl w:val="0"/>
          <w:numId w:val="0"/>
        </w:numPr>
        <w:tabs>
          <w:tab w:val="left" w:pos="737"/>
        </w:tabs>
        <w:ind w:left="851" w:hanging="851"/>
        <w:rPr>
          <w:rFonts w:cs="Arial"/>
          <w:szCs w:val="24"/>
        </w:rPr>
      </w:pPr>
      <w:r w:rsidRPr="00D40721">
        <w:rPr>
          <w:rFonts w:cs="Arial"/>
          <w:szCs w:val="24"/>
        </w:rPr>
        <w:t>[32]</w:t>
      </w:r>
      <w:r w:rsidRPr="00D40721">
        <w:rPr>
          <w:rFonts w:cs="Arial"/>
          <w:szCs w:val="24"/>
        </w:rPr>
        <w:tab/>
      </w:r>
      <w:r w:rsidR="00C36BA7">
        <w:rPr>
          <w:rFonts w:cs="Arial"/>
          <w:szCs w:val="24"/>
        </w:rPr>
        <w:t xml:space="preserve"> </w:t>
      </w:r>
      <w:r w:rsidR="0098506E" w:rsidRPr="00D40721">
        <w:rPr>
          <w:rFonts w:cs="Arial"/>
          <w:szCs w:val="24"/>
        </w:rPr>
        <w:t>The applicant’s case is that the agreement which counsel concluded is a contingency agreement as contemplated in section 2(1)(a) of the CFA.</w:t>
      </w:r>
      <w:r w:rsidR="0098506E">
        <w:rPr>
          <w:rStyle w:val="FootnoteReference"/>
          <w:rFonts w:cs="Arial"/>
          <w:szCs w:val="24"/>
        </w:rPr>
        <w:footnoteReference w:id="9"/>
      </w:r>
      <w:r w:rsidR="0098506E" w:rsidRPr="00D40721">
        <w:rPr>
          <w:rFonts w:cs="Arial"/>
          <w:szCs w:val="24"/>
        </w:rPr>
        <w:t xml:space="preserve"> </w:t>
      </w:r>
    </w:p>
    <w:p w14:paraId="2271154B" w14:textId="33F676F5" w:rsidR="0098506E" w:rsidRPr="00D40721" w:rsidRDefault="00D10B3D" w:rsidP="00D10B3D">
      <w:pPr>
        <w:pStyle w:val="LEVEL10"/>
        <w:numPr>
          <w:ilvl w:val="0"/>
          <w:numId w:val="0"/>
        </w:numPr>
        <w:tabs>
          <w:tab w:val="left" w:pos="737"/>
        </w:tabs>
        <w:ind w:left="851" w:hanging="851"/>
        <w:rPr>
          <w:rFonts w:cs="Arial"/>
          <w:szCs w:val="24"/>
        </w:rPr>
      </w:pPr>
      <w:r w:rsidRPr="00D40721">
        <w:rPr>
          <w:rFonts w:cs="Arial"/>
          <w:szCs w:val="24"/>
        </w:rPr>
        <w:t>[33]</w:t>
      </w:r>
      <w:r w:rsidRPr="00D40721">
        <w:rPr>
          <w:rFonts w:cs="Arial"/>
          <w:szCs w:val="24"/>
        </w:rPr>
        <w:tab/>
      </w:r>
      <w:r w:rsidR="0098506E">
        <w:rPr>
          <w:rFonts w:cs="Arial"/>
          <w:szCs w:val="24"/>
        </w:rPr>
        <w:t xml:space="preserve">  </w:t>
      </w:r>
      <w:r w:rsidR="0098506E" w:rsidRPr="00D40721">
        <w:rPr>
          <w:rFonts w:cs="Arial"/>
          <w:szCs w:val="24"/>
        </w:rPr>
        <w:t xml:space="preserve">So what is the difference between an agreement referred to in section 2(1)(a) of the CFA (i.e. a “no win, no fee agreement”) and an arrangement in terms of section 92 of the LPA? </w:t>
      </w:r>
    </w:p>
    <w:p w14:paraId="674A91CB" w14:textId="1ABBDC13" w:rsidR="0098506E" w:rsidRPr="00D40721" w:rsidRDefault="00D10B3D" w:rsidP="00D10B3D">
      <w:pPr>
        <w:pStyle w:val="LEVEL10"/>
        <w:numPr>
          <w:ilvl w:val="0"/>
          <w:numId w:val="0"/>
        </w:numPr>
        <w:tabs>
          <w:tab w:val="left" w:pos="737"/>
        </w:tabs>
        <w:ind w:left="851" w:hanging="851"/>
        <w:rPr>
          <w:rFonts w:cs="Arial"/>
          <w:szCs w:val="24"/>
        </w:rPr>
      </w:pPr>
      <w:r w:rsidRPr="00D40721">
        <w:rPr>
          <w:rFonts w:cs="Arial"/>
          <w:szCs w:val="24"/>
        </w:rPr>
        <w:lastRenderedPageBreak/>
        <w:t>[34]</w:t>
      </w:r>
      <w:r w:rsidRPr="00D40721">
        <w:rPr>
          <w:rFonts w:cs="Arial"/>
          <w:szCs w:val="24"/>
        </w:rPr>
        <w:tab/>
      </w:r>
      <w:r w:rsidR="0098506E">
        <w:rPr>
          <w:rFonts w:cs="Arial"/>
          <w:szCs w:val="24"/>
        </w:rPr>
        <w:t xml:space="preserve"> </w:t>
      </w:r>
      <w:r w:rsidR="0098506E" w:rsidRPr="00D40721">
        <w:rPr>
          <w:rFonts w:cs="Arial"/>
          <w:szCs w:val="24"/>
        </w:rPr>
        <w:t>Before analysing th</w:t>
      </w:r>
      <w:r w:rsidR="0098506E">
        <w:rPr>
          <w:rFonts w:cs="Arial"/>
          <w:szCs w:val="24"/>
        </w:rPr>
        <w:t xml:space="preserve">e </w:t>
      </w:r>
      <w:r w:rsidR="0098506E" w:rsidRPr="00D40721">
        <w:rPr>
          <w:rFonts w:cs="Arial"/>
          <w:szCs w:val="24"/>
        </w:rPr>
        <w:t xml:space="preserve">difference, the following should be borne in mind: </w:t>
      </w:r>
      <w:r w:rsidR="0098506E" w:rsidRPr="00D40721">
        <w:rPr>
          <w:rFonts w:cs="Arial"/>
          <w:szCs w:val="24"/>
          <w:shd w:val="clear" w:color="auto" w:fill="FFFFFF"/>
        </w:rPr>
        <w:t xml:space="preserve">Subject to </w:t>
      </w:r>
      <w:r w:rsidR="0098506E">
        <w:rPr>
          <w:rFonts w:cs="Arial"/>
          <w:szCs w:val="24"/>
          <w:shd w:val="clear" w:color="auto" w:fill="FFFFFF"/>
        </w:rPr>
        <w:t xml:space="preserve">certain </w:t>
      </w:r>
      <w:r w:rsidR="0098506E" w:rsidRPr="00D40721">
        <w:rPr>
          <w:rFonts w:cs="Arial"/>
          <w:szCs w:val="24"/>
          <w:shd w:val="clear" w:color="auto" w:fill="FFFFFF"/>
        </w:rPr>
        <w:t>specified exceptions, rule 70(3) of the Uniform Rules of Court</w:t>
      </w:r>
      <w:r w:rsidR="0098506E" w:rsidRPr="00D40721">
        <w:rPr>
          <w:rStyle w:val="FootnoteReference"/>
          <w:rFonts w:cs="Arial"/>
          <w:szCs w:val="24"/>
          <w:shd w:val="clear" w:color="auto" w:fill="FFFFFF"/>
        </w:rPr>
        <w:footnoteReference w:id="10"/>
      </w:r>
      <w:r w:rsidR="0098506E" w:rsidRPr="00D40721">
        <w:rPr>
          <w:rFonts w:cs="Arial"/>
          <w:szCs w:val="24"/>
          <w:shd w:val="clear" w:color="auto" w:fill="FFFFFF"/>
        </w:rPr>
        <w:t xml:space="preserve"> is intended to give to the successful party a full indemnity for all costs reasonably incurred in relation to any legal proceedings. </w:t>
      </w:r>
      <w:r w:rsidR="00F17677" w:rsidRPr="00F17677">
        <w:rPr>
          <w:rFonts w:cs="Arial"/>
          <w:szCs w:val="24"/>
          <w:shd w:val="clear" w:color="auto" w:fill="FFFFFF"/>
        </w:rPr>
        <w:t>However, owing to the operation of taxation such an award of costs is seldom a complete indemnity</w:t>
      </w:r>
      <w:r w:rsidR="00F17677">
        <w:rPr>
          <w:rFonts w:cs="Arial"/>
          <w:szCs w:val="24"/>
          <w:shd w:val="clear" w:color="auto" w:fill="FFFFFF"/>
        </w:rPr>
        <w:t>.</w:t>
      </w:r>
      <w:r w:rsidR="00F17677" w:rsidRPr="00D40721">
        <w:rPr>
          <w:rStyle w:val="FootnoteReference"/>
          <w:rFonts w:cs="Arial"/>
          <w:szCs w:val="24"/>
          <w:shd w:val="clear" w:color="auto" w:fill="FFFFFF"/>
        </w:rPr>
        <w:footnoteReference w:id="11"/>
      </w:r>
      <w:r w:rsidR="00F17677">
        <w:rPr>
          <w:rFonts w:cs="Arial"/>
          <w:szCs w:val="24"/>
          <w:shd w:val="clear" w:color="auto" w:fill="FFFFFF"/>
        </w:rPr>
        <w:t xml:space="preserve"> </w:t>
      </w:r>
      <w:r w:rsidR="0098506E" w:rsidRPr="00D40721">
        <w:rPr>
          <w:rFonts w:cs="Arial"/>
          <w:szCs w:val="24"/>
          <w:shd w:val="clear" w:color="auto" w:fill="FFFFFF"/>
        </w:rPr>
        <w:t>In practice (where a court has ordered that party-party costs are to be paid by the losing party) it invariably means that the successful party would receive less on taxation than his or her actual legal fees expenditure.</w:t>
      </w:r>
      <w:r w:rsidR="00F17677">
        <w:rPr>
          <w:rFonts w:cs="Arial"/>
          <w:szCs w:val="24"/>
          <w:shd w:val="clear" w:color="auto" w:fill="FFFFFF"/>
        </w:rPr>
        <w:t xml:space="preserve"> </w:t>
      </w:r>
    </w:p>
    <w:p w14:paraId="32C817C0" w14:textId="3B03C57B" w:rsidR="0098506E" w:rsidRPr="00D40721" w:rsidRDefault="00D10B3D" w:rsidP="00D10B3D">
      <w:pPr>
        <w:pStyle w:val="LEVEL10"/>
        <w:numPr>
          <w:ilvl w:val="0"/>
          <w:numId w:val="0"/>
        </w:numPr>
        <w:tabs>
          <w:tab w:val="left" w:pos="737"/>
        </w:tabs>
        <w:ind w:left="851" w:hanging="851"/>
        <w:rPr>
          <w:rFonts w:cs="Arial"/>
          <w:szCs w:val="24"/>
        </w:rPr>
      </w:pPr>
      <w:r w:rsidRPr="00D40721">
        <w:rPr>
          <w:rFonts w:cs="Arial"/>
          <w:szCs w:val="24"/>
        </w:rPr>
        <w:t>[35]</w:t>
      </w:r>
      <w:r w:rsidRPr="00D40721">
        <w:rPr>
          <w:rFonts w:cs="Arial"/>
          <w:szCs w:val="24"/>
        </w:rPr>
        <w:tab/>
      </w:r>
      <w:r w:rsidR="00D97AAF">
        <w:rPr>
          <w:rFonts w:cs="Arial"/>
          <w:szCs w:val="24"/>
          <w:shd w:val="clear" w:color="auto" w:fill="FFFFFF"/>
        </w:rPr>
        <w:t xml:space="preserve"> </w:t>
      </w:r>
      <w:r w:rsidR="0098506E" w:rsidRPr="00D40721">
        <w:rPr>
          <w:rFonts w:cs="Arial"/>
          <w:szCs w:val="24"/>
          <w:shd w:val="clear" w:color="auto" w:fill="FFFFFF"/>
        </w:rPr>
        <w:t>Applying the principles applicable to contingency fee agreements in terms of the CFA referred to above, the following applies to a “</w:t>
      </w:r>
      <w:r w:rsidR="0098506E" w:rsidRPr="00D40721">
        <w:rPr>
          <w:rFonts w:cs="Arial"/>
          <w:szCs w:val="24"/>
        </w:rPr>
        <w:t>no win, no fee” agreement in terms of section 2(1)(a) of the CFA:</w:t>
      </w:r>
    </w:p>
    <w:p w14:paraId="4143F605" w14:textId="2C4DAD72" w:rsidR="0098506E" w:rsidRPr="00D40721" w:rsidRDefault="00D10B3D" w:rsidP="00D10B3D">
      <w:pPr>
        <w:pStyle w:val="List"/>
        <w:tabs>
          <w:tab w:val="left" w:pos="1985"/>
        </w:tabs>
        <w:ind w:left="1985" w:hanging="1134"/>
        <w:rPr>
          <w:rFonts w:cs="Arial"/>
          <w:szCs w:val="24"/>
        </w:rPr>
      </w:pPr>
      <w:r w:rsidRPr="00D40721">
        <w:rPr>
          <w:szCs w:val="24"/>
        </w:rPr>
        <w:t>1.</w:t>
      </w:r>
      <w:r w:rsidRPr="00D40721">
        <w:rPr>
          <w:szCs w:val="24"/>
        </w:rPr>
        <w:tab/>
      </w:r>
      <w:r w:rsidR="0098506E" w:rsidRPr="00D40721">
        <w:rPr>
          <w:rFonts w:cs="Arial"/>
          <w:szCs w:val="24"/>
        </w:rPr>
        <w:t xml:space="preserve">The legal practitioner becomes entitled to legal fees if the litigation is “successful”, which is determined with reference to the contingency fees agreement. </w:t>
      </w:r>
      <w:r w:rsidR="0098506E">
        <w:rPr>
          <w:rFonts w:cs="Arial"/>
          <w:szCs w:val="24"/>
        </w:rPr>
        <w:t xml:space="preserve">It is </w:t>
      </w:r>
      <w:r w:rsidR="0098506E" w:rsidRPr="00D40721">
        <w:rPr>
          <w:rFonts w:cs="Arial"/>
          <w:szCs w:val="24"/>
        </w:rPr>
        <w:t>conceivabl</w:t>
      </w:r>
      <w:r w:rsidR="0098506E">
        <w:rPr>
          <w:rFonts w:cs="Arial"/>
          <w:szCs w:val="24"/>
        </w:rPr>
        <w:t>e that</w:t>
      </w:r>
      <w:r w:rsidR="0098506E" w:rsidRPr="00D40721">
        <w:rPr>
          <w:rFonts w:cs="Arial"/>
          <w:szCs w:val="24"/>
        </w:rPr>
        <w:t xml:space="preserve"> “success” as defined in the agreement</w:t>
      </w:r>
      <w:r w:rsidR="0098506E">
        <w:rPr>
          <w:rFonts w:cs="Arial"/>
          <w:szCs w:val="24"/>
        </w:rPr>
        <w:t xml:space="preserve"> is achieved </w:t>
      </w:r>
      <w:r w:rsidR="0098506E" w:rsidRPr="00D40721">
        <w:rPr>
          <w:rFonts w:cs="Arial"/>
          <w:szCs w:val="24"/>
        </w:rPr>
        <w:t xml:space="preserve"> without a cost order in favour client  having been made.</w:t>
      </w:r>
    </w:p>
    <w:p w14:paraId="6741EC6A" w14:textId="19BE158E" w:rsidR="0098506E" w:rsidRPr="00D40721" w:rsidRDefault="00D10B3D" w:rsidP="00D10B3D">
      <w:pPr>
        <w:pStyle w:val="List"/>
        <w:tabs>
          <w:tab w:val="left" w:pos="1985"/>
        </w:tabs>
        <w:ind w:left="1985" w:hanging="1134"/>
        <w:rPr>
          <w:rFonts w:cs="Arial"/>
          <w:szCs w:val="24"/>
        </w:rPr>
      </w:pPr>
      <w:r w:rsidRPr="00D40721">
        <w:rPr>
          <w:szCs w:val="24"/>
        </w:rPr>
        <w:t>2.</w:t>
      </w:r>
      <w:r w:rsidRPr="00D40721">
        <w:rPr>
          <w:szCs w:val="24"/>
        </w:rPr>
        <w:tab/>
      </w:r>
      <w:r w:rsidR="0098506E" w:rsidRPr="00D40721">
        <w:rPr>
          <w:rFonts w:cs="Arial"/>
          <w:szCs w:val="24"/>
        </w:rPr>
        <w:t>Should the client achieve success in the litigation:</w:t>
      </w:r>
    </w:p>
    <w:p w14:paraId="67178D1A" w14:textId="13FE3182" w:rsidR="0098506E" w:rsidRPr="00D40721" w:rsidRDefault="00D10B3D" w:rsidP="00D10B3D">
      <w:pPr>
        <w:pStyle w:val="List"/>
        <w:ind w:left="2345" w:hanging="360"/>
        <w:rPr>
          <w:rFonts w:cs="Arial"/>
          <w:szCs w:val="24"/>
        </w:rPr>
      </w:pPr>
      <w:r w:rsidRPr="00D40721">
        <w:rPr>
          <w:rFonts w:cs="Arial"/>
          <w:szCs w:val="24"/>
        </w:rPr>
        <w:lastRenderedPageBreak/>
        <w:t>(a)</w:t>
      </w:r>
      <w:r w:rsidRPr="00D40721">
        <w:rPr>
          <w:rFonts w:cs="Arial"/>
          <w:szCs w:val="24"/>
        </w:rPr>
        <w:tab/>
      </w:r>
      <w:r w:rsidR="0098506E" w:rsidRPr="00D40721">
        <w:rPr>
          <w:rFonts w:cs="Arial"/>
          <w:szCs w:val="24"/>
        </w:rPr>
        <w:t xml:space="preserve"> The legal practitioner will be able to charge the client his or her “normal” fee. (If the agreement entails that the legal practitioner will be able to charge more than his or her normal fee, the agreement will fall within the ambit of section 2(1)(b) of the CFA).</w:t>
      </w:r>
    </w:p>
    <w:p w14:paraId="0D8CFC2F" w14:textId="1E71EF83" w:rsidR="0098506E" w:rsidRPr="00D40721" w:rsidRDefault="00D10B3D" w:rsidP="00D10B3D">
      <w:pPr>
        <w:pStyle w:val="List"/>
        <w:ind w:left="2345" w:hanging="360"/>
        <w:rPr>
          <w:rFonts w:cs="Arial"/>
          <w:szCs w:val="24"/>
        </w:rPr>
      </w:pPr>
      <w:r w:rsidRPr="00D40721">
        <w:rPr>
          <w:rFonts w:cs="Arial"/>
          <w:szCs w:val="24"/>
        </w:rPr>
        <w:t>(b)</w:t>
      </w:r>
      <w:r w:rsidRPr="00D40721">
        <w:rPr>
          <w:rFonts w:cs="Arial"/>
          <w:szCs w:val="24"/>
        </w:rPr>
        <w:tab/>
      </w:r>
      <w:r w:rsidR="0098506E" w:rsidRPr="00D40721">
        <w:rPr>
          <w:rFonts w:cs="Arial"/>
          <w:szCs w:val="24"/>
        </w:rPr>
        <w:t>The client will be liable for legal fees towards his or her legal representative, regardless of whether anything is recovered from the other party to the litigation.  It is possible that nothing or less than the legal practitioner’s normal fee is recovered from the other party to the litigation. The client will remain liable to his legal representative for the whole of his or her “normal fee”.</w:t>
      </w:r>
    </w:p>
    <w:p w14:paraId="74B35377" w14:textId="473D8707" w:rsidR="0098506E" w:rsidRDefault="00D10B3D" w:rsidP="00D10B3D">
      <w:pPr>
        <w:pStyle w:val="List"/>
        <w:tabs>
          <w:tab w:val="left" w:pos="1985"/>
        </w:tabs>
        <w:ind w:left="1985" w:hanging="1134"/>
        <w:rPr>
          <w:rFonts w:cs="Arial"/>
          <w:szCs w:val="24"/>
        </w:rPr>
      </w:pPr>
      <w:r>
        <w:rPr>
          <w:szCs w:val="24"/>
        </w:rPr>
        <w:t>3.</w:t>
      </w:r>
      <w:r>
        <w:rPr>
          <w:szCs w:val="24"/>
        </w:rPr>
        <w:tab/>
      </w:r>
      <w:r w:rsidR="0098506E" w:rsidRPr="00D40721">
        <w:rPr>
          <w:rFonts w:cs="Arial"/>
          <w:szCs w:val="24"/>
        </w:rPr>
        <w:t>The agreement will have to comply with the requirements of section 3 of the CFA in order for it to be valid.</w:t>
      </w:r>
    </w:p>
    <w:p w14:paraId="1E95E582" w14:textId="77777777" w:rsidR="0098506E" w:rsidRPr="00F91CF2" w:rsidRDefault="0098506E" w:rsidP="0098506E">
      <w:pPr>
        <w:pStyle w:val="List"/>
        <w:ind w:left="1985" w:firstLine="0"/>
        <w:rPr>
          <w:rFonts w:cs="Arial"/>
          <w:szCs w:val="24"/>
        </w:rPr>
      </w:pPr>
    </w:p>
    <w:p w14:paraId="779267A4" w14:textId="210B3D5B" w:rsidR="0098506E" w:rsidRPr="00D40721" w:rsidRDefault="00D10B3D" w:rsidP="00D10B3D">
      <w:pPr>
        <w:pStyle w:val="LEVEL10"/>
        <w:numPr>
          <w:ilvl w:val="0"/>
          <w:numId w:val="0"/>
        </w:numPr>
        <w:tabs>
          <w:tab w:val="left" w:pos="737"/>
        </w:tabs>
        <w:ind w:left="851" w:hanging="851"/>
        <w:rPr>
          <w:rFonts w:cs="Arial"/>
          <w:szCs w:val="24"/>
        </w:rPr>
      </w:pPr>
      <w:r w:rsidRPr="00D40721">
        <w:rPr>
          <w:rFonts w:cs="Arial"/>
          <w:szCs w:val="24"/>
        </w:rPr>
        <w:t>[36]</w:t>
      </w:r>
      <w:r w:rsidRPr="00D40721">
        <w:rPr>
          <w:rFonts w:cs="Arial"/>
          <w:szCs w:val="24"/>
        </w:rPr>
        <w:tab/>
      </w:r>
      <w:r w:rsidR="0098506E">
        <w:rPr>
          <w:rFonts w:cs="Arial"/>
          <w:szCs w:val="24"/>
        </w:rPr>
        <w:t>S</w:t>
      </w:r>
      <w:r w:rsidR="0098506E" w:rsidRPr="00D40721">
        <w:rPr>
          <w:rFonts w:cs="Arial"/>
          <w:szCs w:val="24"/>
        </w:rPr>
        <w:t>ection 92 contemplates something very different:</w:t>
      </w:r>
    </w:p>
    <w:p w14:paraId="469F005B" w14:textId="7CBE0679" w:rsidR="0098506E" w:rsidRPr="00D40721" w:rsidRDefault="00D10B3D" w:rsidP="00D10B3D">
      <w:pPr>
        <w:pStyle w:val="List"/>
        <w:tabs>
          <w:tab w:val="left" w:pos="1985"/>
        </w:tabs>
        <w:ind w:left="1985" w:hanging="1134"/>
        <w:rPr>
          <w:rFonts w:cs="Arial"/>
          <w:szCs w:val="24"/>
        </w:rPr>
      </w:pPr>
      <w:r w:rsidRPr="00D40721">
        <w:rPr>
          <w:szCs w:val="24"/>
        </w:rPr>
        <w:t>1.</w:t>
      </w:r>
      <w:r w:rsidRPr="00D40721">
        <w:rPr>
          <w:szCs w:val="24"/>
        </w:rPr>
        <w:tab/>
      </w:r>
      <w:r w:rsidR="0098506E" w:rsidRPr="00D40721">
        <w:rPr>
          <w:rFonts w:cs="Arial"/>
          <w:szCs w:val="24"/>
        </w:rPr>
        <w:t>The legal practitioner’s entitlement to legal fees is triggered when “</w:t>
      </w:r>
      <w:r w:rsidR="0098506E" w:rsidRPr="00D40721">
        <w:rPr>
          <w:rFonts w:cs="Arial"/>
          <w:i/>
          <w:iCs/>
          <w:szCs w:val="24"/>
        </w:rPr>
        <w:t>c</w:t>
      </w:r>
      <w:r w:rsidR="0098506E" w:rsidRPr="00D40721">
        <w:rPr>
          <w:rFonts w:cs="Arial"/>
          <w:i/>
          <w:iCs/>
          <w:spacing w:val="1"/>
          <w:w w:val="99"/>
          <w:szCs w:val="24"/>
        </w:rPr>
        <w:t>o</w:t>
      </w:r>
      <w:r w:rsidR="0098506E" w:rsidRPr="00D40721">
        <w:rPr>
          <w:rFonts w:cs="Arial"/>
          <w:i/>
          <w:iCs/>
          <w:szCs w:val="24"/>
        </w:rPr>
        <w:t>sts</w:t>
      </w:r>
      <w:r w:rsidR="0098506E" w:rsidRPr="00D40721">
        <w:rPr>
          <w:rFonts w:cs="Arial"/>
          <w:i/>
          <w:iCs/>
          <w:spacing w:val="8"/>
          <w:szCs w:val="24"/>
        </w:rPr>
        <w:t xml:space="preserve"> </w:t>
      </w:r>
      <w:r w:rsidR="0098506E" w:rsidRPr="00D40721">
        <w:rPr>
          <w:rFonts w:cs="Arial"/>
          <w:i/>
          <w:iCs/>
          <w:w w:val="99"/>
          <w:szCs w:val="24"/>
        </w:rPr>
        <w:t>be</w:t>
      </w:r>
      <w:r w:rsidR="0098506E" w:rsidRPr="00D40721">
        <w:rPr>
          <w:rFonts w:cs="Arial"/>
          <w:i/>
          <w:iCs/>
          <w:szCs w:val="24"/>
        </w:rPr>
        <w:t>c</w:t>
      </w:r>
      <w:r w:rsidR="0098506E" w:rsidRPr="00D40721">
        <w:rPr>
          <w:rFonts w:cs="Arial"/>
          <w:i/>
          <w:iCs/>
          <w:w w:val="99"/>
          <w:szCs w:val="24"/>
        </w:rPr>
        <w:t>o</w:t>
      </w:r>
      <w:r w:rsidR="0098506E" w:rsidRPr="00D40721">
        <w:rPr>
          <w:rFonts w:cs="Arial"/>
          <w:i/>
          <w:iCs/>
          <w:szCs w:val="24"/>
        </w:rPr>
        <w:t>m</w:t>
      </w:r>
      <w:r w:rsidR="0098506E" w:rsidRPr="00D40721">
        <w:rPr>
          <w:rFonts w:cs="Arial"/>
          <w:i/>
          <w:iCs/>
          <w:w w:val="99"/>
          <w:szCs w:val="24"/>
        </w:rPr>
        <w:t>e</w:t>
      </w:r>
      <w:r w:rsidR="0098506E" w:rsidRPr="00D40721">
        <w:rPr>
          <w:rFonts w:cs="Arial"/>
          <w:i/>
          <w:iCs/>
          <w:spacing w:val="11"/>
          <w:szCs w:val="24"/>
        </w:rPr>
        <w:t xml:space="preserve"> </w:t>
      </w:r>
      <w:r w:rsidR="0098506E" w:rsidRPr="00D40721">
        <w:rPr>
          <w:rFonts w:cs="Arial"/>
          <w:i/>
          <w:iCs/>
          <w:spacing w:val="-1"/>
          <w:w w:val="99"/>
          <w:szCs w:val="24"/>
        </w:rPr>
        <w:t>p</w:t>
      </w:r>
      <w:r w:rsidR="0098506E" w:rsidRPr="00D40721">
        <w:rPr>
          <w:rFonts w:cs="Arial"/>
          <w:i/>
          <w:iCs/>
          <w:w w:val="99"/>
          <w:szCs w:val="24"/>
        </w:rPr>
        <w:t>a</w:t>
      </w:r>
      <w:r w:rsidR="0098506E" w:rsidRPr="00D40721">
        <w:rPr>
          <w:rFonts w:cs="Arial"/>
          <w:i/>
          <w:iCs/>
          <w:szCs w:val="24"/>
        </w:rPr>
        <w:t>y</w:t>
      </w:r>
      <w:r w:rsidR="0098506E" w:rsidRPr="00D40721">
        <w:rPr>
          <w:rFonts w:cs="Arial"/>
          <w:i/>
          <w:iCs/>
          <w:spacing w:val="-1"/>
          <w:w w:val="99"/>
          <w:szCs w:val="24"/>
        </w:rPr>
        <w:t>a</w:t>
      </w:r>
      <w:r w:rsidR="0098506E" w:rsidRPr="00D40721">
        <w:rPr>
          <w:rFonts w:cs="Arial"/>
          <w:i/>
          <w:iCs/>
          <w:w w:val="99"/>
          <w:szCs w:val="24"/>
        </w:rPr>
        <w:t>b</w:t>
      </w:r>
      <w:r w:rsidR="0098506E" w:rsidRPr="00D40721">
        <w:rPr>
          <w:rFonts w:cs="Arial"/>
          <w:i/>
          <w:iCs/>
          <w:szCs w:val="24"/>
        </w:rPr>
        <w:t>l</w:t>
      </w:r>
      <w:r w:rsidR="0098506E" w:rsidRPr="00D40721">
        <w:rPr>
          <w:rFonts w:cs="Arial"/>
          <w:i/>
          <w:iCs/>
          <w:w w:val="99"/>
          <w:szCs w:val="24"/>
        </w:rPr>
        <w:t>e</w:t>
      </w:r>
      <w:r w:rsidR="0098506E" w:rsidRPr="00D40721">
        <w:rPr>
          <w:rFonts w:cs="Arial"/>
          <w:i/>
          <w:iCs/>
          <w:spacing w:val="11"/>
          <w:szCs w:val="24"/>
        </w:rPr>
        <w:t xml:space="preserve"> </w:t>
      </w:r>
      <w:r w:rsidR="0098506E" w:rsidRPr="00D40721">
        <w:rPr>
          <w:rFonts w:cs="Arial"/>
          <w:i/>
          <w:iCs/>
          <w:spacing w:val="-1"/>
          <w:szCs w:val="24"/>
        </w:rPr>
        <w:t>t</w:t>
      </w:r>
      <w:r w:rsidR="0098506E" w:rsidRPr="00D40721">
        <w:rPr>
          <w:rFonts w:cs="Arial"/>
          <w:i/>
          <w:iCs/>
          <w:w w:val="99"/>
          <w:szCs w:val="24"/>
        </w:rPr>
        <w:t>o</w:t>
      </w:r>
      <w:r w:rsidR="0098506E" w:rsidRPr="00D40721">
        <w:rPr>
          <w:rFonts w:cs="Arial"/>
          <w:i/>
          <w:iCs/>
          <w:spacing w:val="10"/>
          <w:szCs w:val="24"/>
        </w:rPr>
        <w:t xml:space="preserve"> </w:t>
      </w:r>
      <w:r w:rsidR="0098506E" w:rsidRPr="00D40721">
        <w:rPr>
          <w:rFonts w:cs="Arial"/>
          <w:i/>
          <w:iCs/>
          <w:spacing w:val="-1"/>
          <w:szCs w:val="24"/>
        </w:rPr>
        <w:t>t</w:t>
      </w:r>
      <w:r w:rsidR="0098506E" w:rsidRPr="00D40721">
        <w:rPr>
          <w:rFonts w:cs="Arial"/>
          <w:i/>
          <w:iCs/>
          <w:w w:val="99"/>
          <w:szCs w:val="24"/>
        </w:rPr>
        <w:t>h</w:t>
      </w:r>
      <w:r w:rsidR="0098506E" w:rsidRPr="00D40721">
        <w:rPr>
          <w:rFonts w:cs="Arial"/>
          <w:i/>
          <w:iCs/>
          <w:spacing w:val="1"/>
          <w:w w:val="99"/>
          <w:szCs w:val="24"/>
        </w:rPr>
        <w:t>a</w:t>
      </w:r>
      <w:r w:rsidR="0098506E" w:rsidRPr="00D40721">
        <w:rPr>
          <w:rFonts w:cs="Arial"/>
          <w:i/>
          <w:iCs/>
          <w:szCs w:val="24"/>
        </w:rPr>
        <w:t>t</w:t>
      </w:r>
      <w:r w:rsidR="0098506E" w:rsidRPr="00D40721">
        <w:rPr>
          <w:rFonts w:cs="Arial"/>
          <w:i/>
          <w:iCs/>
          <w:spacing w:val="8"/>
          <w:szCs w:val="24"/>
        </w:rPr>
        <w:t xml:space="preserve"> </w:t>
      </w:r>
      <w:r w:rsidR="0098506E" w:rsidRPr="00D40721">
        <w:rPr>
          <w:rFonts w:cs="Arial"/>
          <w:i/>
          <w:iCs/>
          <w:szCs w:val="24"/>
        </w:rPr>
        <w:t>liti</w:t>
      </w:r>
      <w:r w:rsidR="0098506E" w:rsidRPr="00D40721">
        <w:rPr>
          <w:rFonts w:cs="Arial"/>
          <w:i/>
          <w:iCs/>
          <w:w w:val="99"/>
          <w:szCs w:val="24"/>
        </w:rPr>
        <w:t>g</w:t>
      </w:r>
      <w:r w:rsidR="0098506E" w:rsidRPr="00D40721">
        <w:rPr>
          <w:rFonts w:cs="Arial"/>
          <w:i/>
          <w:iCs/>
          <w:spacing w:val="1"/>
          <w:w w:val="99"/>
          <w:szCs w:val="24"/>
        </w:rPr>
        <w:t>a</w:t>
      </w:r>
      <w:r w:rsidR="0098506E" w:rsidRPr="00D40721">
        <w:rPr>
          <w:rFonts w:cs="Arial"/>
          <w:i/>
          <w:iCs/>
          <w:w w:val="99"/>
          <w:szCs w:val="24"/>
        </w:rPr>
        <w:t>n</w:t>
      </w:r>
      <w:r w:rsidR="0098506E" w:rsidRPr="00D40721">
        <w:rPr>
          <w:rFonts w:cs="Arial"/>
          <w:i/>
          <w:iCs/>
          <w:szCs w:val="24"/>
        </w:rPr>
        <w:t>t</w:t>
      </w:r>
      <w:r w:rsidR="0098506E" w:rsidRPr="00D40721">
        <w:rPr>
          <w:rFonts w:cs="Arial"/>
          <w:i/>
          <w:iCs/>
          <w:spacing w:val="14"/>
          <w:szCs w:val="24"/>
        </w:rPr>
        <w:t xml:space="preserve"> </w:t>
      </w:r>
      <w:r w:rsidR="0098506E" w:rsidRPr="00D40721">
        <w:rPr>
          <w:rFonts w:cs="Arial"/>
          <w:i/>
          <w:iCs/>
          <w:spacing w:val="1"/>
          <w:w w:val="99"/>
          <w:szCs w:val="24"/>
        </w:rPr>
        <w:t>o</w:t>
      </w:r>
      <w:r w:rsidR="0098506E" w:rsidRPr="00D40721">
        <w:rPr>
          <w:rFonts w:cs="Arial"/>
          <w:i/>
          <w:iCs/>
          <w:szCs w:val="24"/>
        </w:rPr>
        <w:t>r</w:t>
      </w:r>
      <w:r w:rsidR="0098506E" w:rsidRPr="00D40721">
        <w:rPr>
          <w:rFonts w:cs="Arial"/>
          <w:i/>
          <w:iCs/>
          <w:spacing w:val="9"/>
          <w:szCs w:val="24"/>
        </w:rPr>
        <w:t xml:space="preserve"> </w:t>
      </w:r>
      <w:r w:rsidR="0098506E" w:rsidRPr="00D40721">
        <w:rPr>
          <w:rFonts w:cs="Arial"/>
          <w:i/>
          <w:iCs/>
          <w:spacing w:val="1"/>
          <w:w w:val="99"/>
          <w:szCs w:val="24"/>
        </w:rPr>
        <w:t>o</w:t>
      </w:r>
      <w:r w:rsidR="0098506E" w:rsidRPr="00D40721">
        <w:rPr>
          <w:rFonts w:cs="Arial"/>
          <w:i/>
          <w:iCs/>
          <w:spacing w:val="-1"/>
          <w:szCs w:val="24"/>
        </w:rPr>
        <w:t>t</w:t>
      </w:r>
      <w:r w:rsidR="0098506E" w:rsidRPr="00D40721">
        <w:rPr>
          <w:rFonts w:cs="Arial"/>
          <w:i/>
          <w:iCs/>
          <w:w w:val="99"/>
          <w:szCs w:val="24"/>
        </w:rPr>
        <w:t>he</w:t>
      </w:r>
      <w:r w:rsidR="0098506E" w:rsidRPr="00D40721">
        <w:rPr>
          <w:rFonts w:cs="Arial"/>
          <w:i/>
          <w:iCs/>
          <w:szCs w:val="24"/>
        </w:rPr>
        <w:t>r</w:t>
      </w:r>
      <w:r w:rsidR="0098506E" w:rsidRPr="00D40721">
        <w:rPr>
          <w:rFonts w:cs="Arial"/>
          <w:i/>
          <w:iCs/>
          <w:spacing w:val="7"/>
          <w:szCs w:val="24"/>
        </w:rPr>
        <w:t xml:space="preserve"> </w:t>
      </w:r>
      <w:r w:rsidR="0098506E" w:rsidRPr="00D40721">
        <w:rPr>
          <w:rFonts w:cs="Arial"/>
          <w:i/>
          <w:iCs/>
          <w:spacing w:val="1"/>
          <w:w w:val="99"/>
          <w:szCs w:val="24"/>
        </w:rPr>
        <w:t>pe</w:t>
      </w:r>
      <w:r w:rsidR="0098506E" w:rsidRPr="00D40721">
        <w:rPr>
          <w:rFonts w:cs="Arial"/>
          <w:i/>
          <w:iCs/>
          <w:szCs w:val="24"/>
        </w:rPr>
        <w:t>rs</w:t>
      </w:r>
      <w:r w:rsidR="0098506E" w:rsidRPr="00D40721">
        <w:rPr>
          <w:rFonts w:cs="Arial"/>
          <w:i/>
          <w:iCs/>
          <w:spacing w:val="-1"/>
          <w:w w:val="99"/>
          <w:szCs w:val="24"/>
        </w:rPr>
        <w:t>o</w:t>
      </w:r>
      <w:r w:rsidR="0098506E" w:rsidRPr="00D40721">
        <w:rPr>
          <w:rFonts w:cs="Arial"/>
          <w:i/>
          <w:iCs/>
          <w:w w:val="99"/>
          <w:szCs w:val="24"/>
        </w:rPr>
        <w:t>n</w:t>
      </w:r>
      <w:r w:rsidR="0098506E" w:rsidRPr="00D40721">
        <w:rPr>
          <w:rFonts w:cs="Arial"/>
          <w:i/>
          <w:iCs/>
          <w:spacing w:val="9"/>
          <w:szCs w:val="24"/>
        </w:rPr>
        <w:t xml:space="preserve"> </w:t>
      </w:r>
      <w:r w:rsidR="0098506E" w:rsidRPr="00D40721">
        <w:rPr>
          <w:rFonts w:cs="Arial"/>
          <w:i/>
          <w:iCs/>
          <w:szCs w:val="24"/>
        </w:rPr>
        <w:t>i</w:t>
      </w:r>
      <w:r w:rsidR="0098506E" w:rsidRPr="00D40721">
        <w:rPr>
          <w:rFonts w:cs="Arial"/>
          <w:i/>
          <w:iCs/>
          <w:w w:val="99"/>
          <w:szCs w:val="24"/>
        </w:rPr>
        <w:t>n</w:t>
      </w:r>
      <w:r w:rsidR="0098506E" w:rsidRPr="00D40721">
        <w:rPr>
          <w:rFonts w:cs="Arial"/>
          <w:i/>
          <w:iCs/>
          <w:spacing w:val="11"/>
          <w:szCs w:val="24"/>
        </w:rPr>
        <w:t xml:space="preserve"> </w:t>
      </w:r>
      <w:r w:rsidR="0098506E" w:rsidRPr="00D40721">
        <w:rPr>
          <w:rFonts w:cs="Arial"/>
          <w:i/>
          <w:iCs/>
          <w:spacing w:val="-1"/>
          <w:szCs w:val="24"/>
        </w:rPr>
        <w:t>t</w:t>
      </w:r>
      <w:r w:rsidR="0098506E" w:rsidRPr="00D40721">
        <w:rPr>
          <w:rFonts w:cs="Arial"/>
          <w:i/>
          <w:iCs/>
          <w:w w:val="99"/>
          <w:szCs w:val="24"/>
        </w:rPr>
        <w:t>e</w:t>
      </w:r>
      <w:r w:rsidR="0098506E" w:rsidRPr="00D40721">
        <w:rPr>
          <w:rFonts w:cs="Arial"/>
          <w:i/>
          <w:iCs/>
          <w:szCs w:val="24"/>
        </w:rPr>
        <w:t>rms</w:t>
      </w:r>
      <w:r w:rsidR="0098506E" w:rsidRPr="00D40721">
        <w:rPr>
          <w:rFonts w:cs="Arial"/>
          <w:i/>
          <w:iCs/>
          <w:spacing w:val="9"/>
          <w:szCs w:val="24"/>
        </w:rPr>
        <w:t xml:space="preserve"> </w:t>
      </w:r>
      <w:r w:rsidR="0098506E" w:rsidRPr="00D40721">
        <w:rPr>
          <w:rFonts w:cs="Arial"/>
          <w:i/>
          <w:iCs/>
          <w:w w:val="99"/>
          <w:szCs w:val="24"/>
        </w:rPr>
        <w:t>o</w:t>
      </w:r>
      <w:r w:rsidR="0098506E" w:rsidRPr="00D40721">
        <w:rPr>
          <w:rFonts w:cs="Arial"/>
          <w:i/>
          <w:iCs/>
          <w:spacing w:val="1"/>
          <w:szCs w:val="24"/>
        </w:rPr>
        <w:t>f</w:t>
      </w:r>
      <w:r w:rsidR="0098506E" w:rsidRPr="00D40721">
        <w:rPr>
          <w:rFonts w:cs="Arial"/>
          <w:i/>
          <w:iCs/>
          <w:spacing w:val="8"/>
          <w:szCs w:val="24"/>
        </w:rPr>
        <w:t xml:space="preserve"> </w:t>
      </w:r>
      <w:r w:rsidR="0098506E" w:rsidRPr="00D40721">
        <w:rPr>
          <w:rFonts w:cs="Arial"/>
          <w:i/>
          <w:iCs/>
          <w:w w:val="99"/>
          <w:szCs w:val="24"/>
        </w:rPr>
        <w:t xml:space="preserve">a </w:t>
      </w:r>
      <w:r w:rsidR="0098506E" w:rsidRPr="00D40721">
        <w:rPr>
          <w:rFonts w:cs="Arial"/>
          <w:i/>
          <w:iCs/>
          <w:szCs w:val="24"/>
        </w:rPr>
        <w:t>j</w:t>
      </w:r>
      <w:r w:rsidR="0098506E" w:rsidRPr="00D40721">
        <w:rPr>
          <w:rFonts w:cs="Arial"/>
          <w:i/>
          <w:iCs/>
          <w:w w:val="99"/>
          <w:szCs w:val="24"/>
        </w:rPr>
        <w:t>u</w:t>
      </w:r>
      <w:r w:rsidR="0098506E" w:rsidRPr="00D40721">
        <w:rPr>
          <w:rFonts w:cs="Arial"/>
          <w:i/>
          <w:iCs/>
          <w:spacing w:val="1"/>
          <w:w w:val="99"/>
          <w:szCs w:val="24"/>
        </w:rPr>
        <w:t>d</w:t>
      </w:r>
      <w:r w:rsidR="0098506E" w:rsidRPr="00D40721">
        <w:rPr>
          <w:rFonts w:cs="Arial"/>
          <w:i/>
          <w:iCs/>
          <w:w w:val="99"/>
          <w:szCs w:val="24"/>
        </w:rPr>
        <w:t>g</w:t>
      </w:r>
      <w:r w:rsidR="0098506E" w:rsidRPr="00D40721">
        <w:rPr>
          <w:rFonts w:cs="Arial"/>
          <w:i/>
          <w:iCs/>
          <w:szCs w:val="24"/>
        </w:rPr>
        <w:t>m</w:t>
      </w:r>
      <w:r w:rsidR="0098506E" w:rsidRPr="00D40721">
        <w:rPr>
          <w:rFonts w:cs="Arial"/>
          <w:i/>
          <w:iCs/>
          <w:w w:val="99"/>
          <w:szCs w:val="24"/>
        </w:rPr>
        <w:t>en</w:t>
      </w:r>
      <w:r w:rsidR="0098506E" w:rsidRPr="00D40721">
        <w:rPr>
          <w:rFonts w:cs="Arial"/>
          <w:i/>
          <w:iCs/>
          <w:szCs w:val="24"/>
        </w:rPr>
        <w:t>t</w:t>
      </w:r>
      <w:r w:rsidR="0098506E" w:rsidRPr="00D40721">
        <w:rPr>
          <w:rFonts w:cs="Arial"/>
          <w:i/>
          <w:iCs/>
          <w:spacing w:val="24"/>
          <w:szCs w:val="24"/>
        </w:rPr>
        <w:t xml:space="preserve"> </w:t>
      </w:r>
      <w:r w:rsidR="0098506E" w:rsidRPr="00D40721">
        <w:rPr>
          <w:rFonts w:cs="Arial"/>
          <w:i/>
          <w:iCs/>
          <w:spacing w:val="1"/>
          <w:w w:val="99"/>
          <w:szCs w:val="24"/>
        </w:rPr>
        <w:t>o</w:t>
      </w:r>
      <w:r w:rsidR="0098506E" w:rsidRPr="00D40721">
        <w:rPr>
          <w:rFonts w:cs="Arial"/>
          <w:i/>
          <w:iCs/>
          <w:szCs w:val="24"/>
        </w:rPr>
        <w:t>f</w:t>
      </w:r>
      <w:r w:rsidR="0098506E" w:rsidRPr="00D40721">
        <w:rPr>
          <w:rFonts w:cs="Arial"/>
          <w:i/>
          <w:iCs/>
          <w:spacing w:val="25"/>
          <w:szCs w:val="24"/>
        </w:rPr>
        <w:t xml:space="preserve"> </w:t>
      </w:r>
      <w:r w:rsidR="0098506E" w:rsidRPr="00D40721">
        <w:rPr>
          <w:rFonts w:cs="Arial"/>
          <w:i/>
          <w:iCs/>
          <w:szCs w:val="24"/>
        </w:rPr>
        <w:t>t</w:t>
      </w:r>
      <w:r w:rsidR="0098506E" w:rsidRPr="00D40721">
        <w:rPr>
          <w:rFonts w:cs="Arial"/>
          <w:i/>
          <w:iCs/>
          <w:w w:val="99"/>
          <w:szCs w:val="24"/>
        </w:rPr>
        <w:t>he</w:t>
      </w:r>
      <w:r w:rsidR="0098506E" w:rsidRPr="00D40721">
        <w:rPr>
          <w:rFonts w:cs="Arial"/>
          <w:i/>
          <w:iCs/>
          <w:spacing w:val="27"/>
          <w:szCs w:val="24"/>
        </w:rPr>
        <w:t xml:space="preserve"> </w:t>
      </w:r>
      <w:r w:rsidR="0098506E" w:rsidRPr="00D40721">
        <w:rPr>
          <w:rFonts w:cs="Arial"/>
          <w:i/>
          <w:iCs/>
          <w:spacing w:val="-1"/>
          <w:szCs w:val="24"/>
        </w:rPr>
        <w:t>c</w:t>
      </w:r>
      <w:r w:rsidR="0098506E" w:rsidRPr="00D40721">
        <w:rPr>
          <w:rFonts w:cs="Arial"/>
          <w:i/>
          <w:iCs/>
          <w:w w:val="99"/>
          <w:szCs w:val="24"/>
        </w:rPr>
        <w:t>ou</w:t>
      </w:r>
      <w:r w:rsidR="0098506E" w:rsidRPr="00D40721">
        <w:rPr>
          <w:rFonts w:cs="Arial"/>
          <w:i/>
          <w:iCs/>
          <w:szCs w:val="24"/>
        </w:rPr>
        <w:t>rt</w:t>
      </w:r>
      <w:r w:rsidR="0098506E" w:rsidRPr="00D40721">
        <w:rPr>
          <w:rFonts w:cs="Arial"/>
          <w:i/>
          <w:iCs/>
          <w:spacing w:val="22"/>
          <w:szCs w:val="24"/>
        </w:rPr>
        <w:t xml:space="preserve"> </w:t>
      </w:r>
      <w:r w:rsidR="0098506E" w:rsidRPr="00D40721">
        <w:rPr>
          <w:rFonts w:cs="Arial"/>
          <w:i/>
          <w:iCs/>
          <w:spacing w:val="1"/>
          <w:w w:val="99"/>
          <w:szCs w:val="24"/>
        </w:rPr>
        <w:t>o</w:t>
      </w:r>
      <w:r w:rsidR="0098506E" w:rsidRPr="00D40721">
        <w:rPr>
          <w:rFonts w:cs="Arial"/>
          <w:i/>
          <w:iCs/>
          <w:szCs w:val="24"/>
        </w:rPr>
        <w:t>r</w:t>
      </w:r>
      <w:r w:rsidR="0098506E" w:rsidRPr="00D40721">
        <w:rPr>
          <w:rFonts w:cs="Arial"/>
          <w:i/>
          <w:iCs/>
          <w:spacing w:val="26"/>
          <w:szCs w:val="24"/>
        </w:rPr>
        <w:t xml:space="preserve"> </w:t>
      </w:r>
      <w:r w:rsidR="0098506E" w:rsidRPr="00D40721">
        <w:rPr>
          <w:rFonts w:cs="Arial"/>
          <w:i/>
          <w:iCs/>
          <w:w w:val="99"/>
          <w:szCs w:val="24"/>
        </w:rPr>
        <w:t>a</w:t>
      </w:r>
      <w:r w:rsidR="0098506E" w:rsidRPr="00D40721">
        <w:rPr>
          <w:rFonts w:cs="Arial"/>
          <w:i/>
          <w:iCs/>
          <w:spacing w:val="25"/>
          <w:szCs w:val="24"/>
        </w:rPr>
        <w:t xml:space="preserve"> </w:t>
      </w:r>
      <w:r w:rsidR="0098506E" w:rsidRPr="00D40721">
        <w:rPr>
          <w:rFonts w:cs="Arial"/>
          <w:i/>
          <w:iCs/>
          <w:szCs w:val="24"/>
        </w:rPr>
        <w:t>s</w:t>
      </w:r>
      <w:r w:rsidR="0098506E" w:rsidRPr="00D40721">
        <w:rPr>
          <w:rFonts w:cs="Arial"/>
          <w:i/>
          <w:iCs/>
          <w:spacing w:val="1"/>
          <w:w w:val="99"/>
          <w:szCs w:val="24"/>
        </w:rPr>
        <w:t>e</w:t>
      </w:r>
      <w:r w:rsidR="0098506E" w:rsidRPr="00D40721">
        <w:rPr>
          <w:rFonts w:cs="Arial"/>
          <w:i/>
          <w:iCs/>
          <w:spacing w:val="-1"/>
          <w:szCs w:val="24"/>
        </w:rPr>
        <w:t>t</w:t>
      </w:r>
      <w:r w:rsidR="0098506E" w:rsidRPr="00D40721">
        <w:rPr>
          <w:rFonts w:cs="Arial"/>
          <w:i/>
          <w:iCs/>
          <w:szCs w:val="24"/>
        </w:rPr>
        <w:t>tl</w:t>
      </w:r>
      <w:r w:rsidR="0098506E" w:rsidRPr="00D40721">
        <w:rPr>
          <w:rFonts w:cs="Arial"/>
          <w:i/>
          <w:iCs/>
          <w:w w:val="99"/>
          <w:szCs w:val="24"/>
        </w:rPr>
        <w:t>e</w:t>
      </w:r>
      <w:r w:rsidR="0098506E" w:rsidRPr="00D40721">
        <w:rPr>
          <w:rFonts w:cs="Arial"/>
          <w:i/>
          <w:iCs/>
          <w:szCs w:val="24"/>
        </w:rPr>
        <w:t>m</w:t>
      </w:r>
      <w:r w:rsidR="0098506E" w:rsidRPr="00D40721">
        <w:rPr>
          <w:rFonts w:cs="Arial"/>
          <w:i/>
          <w:iCs/>
          <w:w w:val="99"/>
          <w:szCs w:val="24"/>
        </w:rPr>
        <w:t>e</w:t>
      </w:r>
      <w:r w:rsidR="0098506E" w:rsidRPr="00D40721">
        <w:rPr>
          <w:rFonts w:cs="Arial"/>
          <w:i/>
          <w:iCs/>
          <w:spacing w:val="1"/>
          <w:w w:val="99"/>
          <w:szCs w:val="24"/>
        </w:rPr>
        <w:t>n</w:t>
      </w:r>
      <w:r w:rsidR="0098506E" w:rsidRPr="00D40721">
        <w:rPr>
          <w:rFonts w:cs="Arial"/>
          <w:i/>
          <w:iCs/>
          <w:spacing w:val="-1"/>
          <w:szCs w:val="24"/>
        </w:rPr>
        <w:t>t</w:t>
      </w:r>
      <w:r w:rsidR="0098506E" w:rsidRPr="00D40721">
        <w:rPr>
          <w:rFonts w:cs="Arial"/>
          <w:szCs w:val="24"/>
        </w:rPr>
        <w:t xml:space="preserve">”. Cost orders are sometimes granted </w:t>
      </w:r>
      <w:r w:rsidR="0098506E">
        <w:rPr>
          <w:rFonts w:cs="Arial"/>
          <w:szCs w:val="24"/>
        </w:rPr>
        <w:t xml:space="preserve">in circumstance where </w:t>
      </w:r>
      <w:r w:rsidR="0098506E" w:rsidRPr="00D40721">
        <w:rPr>
          <w:rFonts w:cs="Arial"/>
          <w:szCs w:val="24"/>
        </w:rPr>
        <w:t>litigation may not be considered by the client to have been otherwise “successful</w:t>
      </w:r>
      <w:r w:rsidR="00D97667">
        <w:rPr>
          <w:rFonts w:cs="Arial"/>
          <w:szCs w:val="24"/>
        </w:rPr>
        <w:t>.</w:t>
      </w:r>
      <w:r w:rsidR="0098506E" w:rsidRPr="00D40721">
        <w:rPr>
          <w:rFonts w:cs="Arial"/>
          <w:szCs w:val="24"/>
        </w:rPr>
        <w:t>”</w:t>
      </w:r>
    </w:p>
    <w:p w14:paraId="5CDD6D9C" w14:textId="0517CA71" w:rsidR="0098506E" w:rsidRPr="00D40721" w:rsidRDefault="00D10B3D" w:rsidP="00D10B3D">
      <w:pPr>
        <w:pStyle w:val="List"/>
        <w:tabs>
          <w:tab w:val="left" w:pos="1985"/>
        </w:tabs>
        <w:ind w:left="1985" w:hanging="1134"/>
        <w:rPr>
          <w:rFonts w:cs="Arial"/>
          <w:szCs w:val="24"/>
        </w:rPr>
      </w:pPr>
      <w:r w:rsidRPr="00D40721">
        <w:rPr>
          <w:szCs w:val="24"/>
        </w:rPr>
        <w:t>2.</w:t>
      </w:r>
      <w:r w:rsidRPr="00D40721">
        <w:rPr>
          <w:szCs w:val="24"/>
        </w:rPr>
        <w:tab/>
      </w:r>
      <w:r w:rsidR="0098506E">
        <w:rPr>
          <w:rFonts w:cs="Arial"/>
          <w:szCs w:val="24"/>
        </w:rPr>
        <w:t xml:space="preserve"> </w:t>
      </w:r>
      <w:r w:rsidR="0098506E" w:rsidRPr="00D40721">
        <w:rPr>
          <w:rFonts w:cs="Arial"/>
          <w:szCs w:val="24"/>
        </w:rPr>
        <w:t>If “costs become payable”:</w:t>
      </w:r>
    </w:p>
    <w:p w14:paraId="35C2EF9C" w14:textId="5F7776DC" w:rsidR="0098506E" w:rsidRPr="00D40721" w:rsidRDefault="00D10B3D" w:rsidP="00D10B3D">
      <w:pPr>
        <w:pStyle w:val="List"/>
        <w:ind w:left="2345" w:hanging="360"/>
        <w:rPr>
          <w:rFonts w:cs="Arial"/>
          <w:szCs w:val="24"/>
        </w:rPr>
      </w:pPr>
      <w:r w:rsidRPr="00D40721">
        <w:rPr>
          <w:rFonts w:cs="Arial"/>
          <w:szCs w:val="24"/>
        </w:rPr>
        <w:t>(a)</w:t>
      </w:r>
      <w:r w:rsidRPr="00D40721">
        <w:rPr>
          <w:rFonts w:cs="Arial"/>
          <w:szCs w:val="24"/>
        </w:rPr>
        <w:tab/>
      </w:r>
      <w:r w:rsidR="0098506E" w:rsidRPr="00D40721">
        <w:rPr>
          <w:rFonts w:cs="Arial"/>
          <w:szCs w:val="24"/>
        </w:rPr>
        <w:t>The cost order is ceded to the legal practitioner who will only be paid such amount which is allowed on taxation and which is actually recovered from the other party.</w:t>
      </w:r>
    </w:p>
    <w:p w14:paraId="126F09C5" w14:textId="032938DF" w:rsidR="0098506E" w:rsidRPr="00D40721" w:rsidRDefault="00D10B3D" w:rsidP="00D10B3D">
      <w:pPr>
        <w:pStyle w:val="List"/>
        <w:ind w:left="2345" w:hanging="360"/>
        <w:rPr>
          <w:rFonts w:cs="Arial"/>
          <w:szCs w:val="24"/>
        </w:rPr>
      </w:pPr>
      <w:r w:rsidRPr="00D40721">
        <w:rPr>
          <w:rFonts w:cs="Arial"/>
          <w:szCs w:val="24"/>
        </w:rPr>
        <w:lastRenderedPageBreak/>
        <w:t>(b)</w:t>
      </w:r>
      <w:r w:rsidRPr="00D40721">
        <w:rPr>
          <w:rFonts w:cs="Arial"/>
          <w:szCs w:val="24"/>
        </w:rPr>
        <w:tab/>
      </w:r>
      <w:r w:rsidR="0098506E" w:rsidRPr="00D40721">
        <w:rPr>
          <w:rFonts w:cs="Arial"/>
          <w:szCs w:val="24"/>
        </w:rPr>
        <w:t>The amount taxed could well be considerably less than his or her “normal” fee.</w:t>
      </w:r>
    </w:p>
    <w:p w14:paraId="48D672BA" w14:textId="1404471F" w:rsidR="0098506E" w:rsidRPr="00D40721" w:rsidRDefault="00D10B3D" w:rsidP="00D10B3D">
      <w:pPr>
        <w:pStyle w:val="List"/>
        <w:ind w:left="2345" w:hanging="360"/>
        <w:rPr>
          <w:rFonts w:cs="Arial"/>
          <w:szCs w:val="24"/>
        </w:rPr>
      </w:pPr>
      <w:r w:rsidRPr="00D40721">
        <w:rPr>
          <w:rFonts w:cs="Arial"/>
          <w:szCs w:val="24"/>
        </w:rPr>
        <w:t>(c)</w:t>
      </w:r>
      <w:r w:rsidRPr="00D40721">
        <w:rPr>
          <w:rFonts w:cs="Arial"/>
          <w:szCs w:val="24"/>
        </w:rPr>
        <w:tab/>
      </w:r>
      <w:r w:rsidR="0098506E" w:rsidRPr="00D40721">
        <w:rPr>
          <w:rFonts w:cs="Arial"/>
          <w:szCs w:val="24"/>
        </w:rPr>
        <w:t>If nothing can be recovered from the opposing party (i.e. because of its insolvency), the legal practitioner will receive no payment.</w:t>
      </w:r>
    </w:p>
    <w:p w14:paraId="65FC3132" w14:textId="2397DCF4" w:rsidR="0098506E" w:rsidRPr="00D40721" w:rsidRDefault="00D10B3D" w:rsidP="00D10B3D">
      <w:pPr>
        <w:pStyle w:val="List"/>
        <w:ind w:left="2345" w:hanging="360"/>
        <w:rPr>
          <w:rFonts w:cs="Arial"/>
          <w:szCs w:val="24"/>
        </w:rPr>
      </w:pPr>
      <w:r w:rsidRPr="00D40721">
        <w:rPr>
          <w:rFonts w:cs="Arial"/>
          <w:szCs w:val="24"/>
        </w:rPr>
        <w:t>(d)</w:t>
      </w:r>
      <w:r w:rsidRPr="00D40721">
        <w:rPr>
          <w:rFonts w:cs="Arial"/>
          <w:szCs w:val="24"/>
        </w:rPr>
        <w:tab/>
      </w:r>
      <w:r w:rsidR="0098506E" w:rsidRPr="00D40721">
        <w:rPr>
          <w:rFonts w:cs="Arial"/>
          <w:szCs w:val="24"/>
        </w:rPr>
        <w:t xml:space="preserve">Client will never </w:t>
      </w:r>
      <w:r w:rsidR="0098506E">
        <w:rPr>
          <w:rFonts w:cs="Arial"/>
          <w:szCs w:val="24"/>
        </w:rPr>
        <w:t xml:space="preserve">be liable for </w:t>
      </w:r>
      <w:r w:rsidR="0098506E" w:rsidRPr="00D40721">
        <w:rPr>
          <w:rFonts w:cs="Arial"/>
          <w:szCs w:val="24"/>
        </w:rPr>
        <w:t>any costs</w:t>
      </w:r>
      <w:r w:rsidR="0098506E">
        <w:rPr>
          <w:rFonts w:cs="Arial"/>
          <w:szCs w:val="24"/>
        </w:rPr>
        <w:t xml:space="preserve"> of his or her legal representative</w:t>
      </w:r>
      <w:r w:rsidR="0098506E" w:rsidRPr="00D40721">
        <w:rPr>
          <w:rFonts w:cs="Arial"/>
          <w:szCs w:val="24"/>
        </w:rPr>
        <w:t>.</w:t>
      </w:r>
    </w:p>
    <w:p w14:paraId="16F82D06" w14:textId="227CAA24" w:rsidR="0098506E" w:rsidRDefault="00D10B3D" w:rsidP="00D10B3D">
      <w:pPr>
        <w:pStyle w:val="List"/>
        <w:tabs>
          <w:tab w:val="left" w:pos="1985"/>
        </w:tabs>
        <w:ind w:left="1985" w:hanging="1134"/>
        <w:rPr>
          <w:rFonts w:cs="Arial"/>
          <w:szCs w:val="24"/>
        </w:rPr>
      </w:pPr>
      <w:r>
        <w:rPr>
          <w:szCs w:val="24"/>
        </w:rPr>
        <w:t>3.</w:t>
      </w:r>
      <w:r>
        <w:rPr>
          <w:szCs w:val="24"/>
        </w:rPr>
        <w:tab/>
      </w:r>
      <w:r w:rsidR="0098506E" w:rsidRPr="00D40721">
        <w:rPr>
          <w:rFonts w:cs="Arial"/>
          <w:szCs w:val="24"/>
        </w:rPr>
        <w:t>The agreement between client and his or legal representative does not have to comply with any statutory formalities in order to be valid.</w:t>
      </w:r>
    </w:p>
    <w:p w14:paraId="49E3FB32" w14:textId="77777777" w:rsidR="0098506E" w:rsidRPr="004547D1" w:rsidRDefault="0098506E" w:rsidP="0098506E">
      <w:pPr>
        <w:pStyle w:val="List"/>
        <w:ind w:left="851" w:firstLine="0"/>
        <w:rPr>
          <w:rFonts w:cs="Arial"/>
          <w:szCs w:val="24"/>
        </w:rPr>
      </w:pPr>
    </w:p>
    <w:p w14:paraId="4A2899F6" w14:textId="35A8A989" w:rsidR="0098506E" w:rsidRPr="00D40721" w:rsidRDefault="00D10B3D" w:rsidP="00D10B3D">
      <w:pPr>
        <w:pStyle w:val="LEVEL10"/>
        <w:numPr>
          <w:ilvl w:val="0"/>
          <w:numId w:val="0"/>
        </w:numPr>
        <w:tabs>
          <w:tab w:val="left" w:pos="737"/>
        </w:tabs>
        <w:ind w:left="851" w:hanging="851"/>
        <w:rPr>
          <w:rFonts w:cs="Arial"/>
          <w:szCs w:val="24"/>
        </w:rPr>
      </w:pPr>
      <w:r w:rsidRPr="00D40721">
        <w:rPr>
          <w:rFonts w:cs="Arial"/>
          <w:szCs w:val="24"/>
        </w:rPr>
        <w:t>[37]</w:t>
      </w:r>
      <w:r w:rsidRPr="00D40721">
        <w:rPr>
          <w:rFonts w:cs="Arial"/>
          <w:szCs w:val="24"/>
        </w:rPr>
        <w:tab/>
      </w:r>
      <w:r w:rsidR="0098506E">
        <w:rPr>
          <w:rFonts w:cs="Arial"/>
          <w:szCs w:val="24"/>
          <w:shd w:val="clear" w:color="auto" w:fill="FFFFFF"/>
        </w:rPr>
        <w:t xml:space="preserve"> </w:t>
      </w:r>
      <w:r w:rsidR="0098506E" w:rsidRPr="00D40721">
        <w:rPr>
          <w:rFonts w:cs="Arial"/>
          <w:szCs w:val="24"/>
          <w:shd w:val="clear" w:color="auto" w:fill="FFFFFF"/>
        </w:rPr>
        <w:t xml:space="preserve">In other words: In a section 2(1)(a) “no win, no fee” agreement the legal practitioner says to his or </w:t>
      </w:r>
      <w:r w:rsidR="0098506E">
        <w:rPr>
          <w:rFonts w:cs="Arial"/>
          <w:szCs w:val="24"/>
          <w:shd w:val="clear" w:color="auto" w:fill="FFFFFF"/>
        </w:rPr>
        <w:t xml:space="preserve">her </w:t>
      </w:r>
      <w:r w:rsidR="0098506E" w:rsidRPr="00D40721">
        <w:rPr>
          <w:rFonts w:cs="Arial"/>
          <w:szCs w:val="24"/>
          <w:shd w:val="clear" w:color="auto" w:fill="FFFFFF"/>
        </w:rPr>
        <w:t xml:space="preserve">client: “If you lose, you will owe </w:t>
      </w:r>
      <w:r w:rsidR="0098506E">
        <w:rPr>
          <w:rFonts w:cs="Arial"/>
          <w:szCs w:val="24"/>
          <w:shd w:val="clear" w:color="auto" w:fill="FFFFFF"/>
        </w:rPr>
        <w:t>m</w:t>
      </w:r>
      <w:r w:rsidR="0098506E" w:rsidRPr="00D40721">
        <w:rPr>
          <w:rFonts w:cs="Arial"/>
          <w:szCs w:val="24"/>
          <w:shd w:val="clear" w:color="auto" w:fill="FFFFFF"/>
        </w:rPr>
        <w:t>e nothing. If you win, you will have to pay me my normal fee. You can tax your costs, but you may get nothing or get less than you pay me</w:t>
      </w:r>
      <w:r w:rsidR="00D97667">
        <w:rPr>
          <w:rFonts w:cs="Arial"/>
          <w:szCs w:val="24"/>
          <w:shd w:val="clear" w:color="auto" w:fill="FFFFFF"/>
        </w:rPr>
        <w:t>.</w:t>
      </w:r>
      <w:r w:rsidR="0098506E" w:rsidRPr="00D40721">
        <w:rPr>
          <w:rFonts w:cs="Arial"/>
          <w:szCs w:val="24"/>
          <w:shd w:val="clear" w:color="auto" w:fill="FFFFFF"/>
        </w:rPr>
        <w:t>” In a section 92 a</w:t>
      </w:r>
      <w:r w:rsidR="0098506E">
        <w:rPr>
          <w:rFonts w:cs="Arial"/>
          <w:szCs w:val="24"/>
          <w:shd w:val="clear" w:color="auto" w:fill="FFFFFF"/>
        </w:rPr>
        <w:t>rrangement</w:t>
      </w:r>
      <w:r w:rsidR="0098506E" w:rsidRPr="00D40721">
        <w:rPr>
          <w:rFonts w:cs="Arial"/>
          <w:szCs w:val="24"/>
          <w:shd w:val="clear" w:color="auto" w:fill="FFFFFF"/>
        </w:rPr>
        <w:t xml:space="preserve">  the legal practitioner says to his or </w:t>
      </w:r>
      <w:r w:rsidR="0098506E">
        <w:rPr>
          <w:rFonts w:cs="Arial"/>
          <w:szCs w:val="24"/>
          <w:shd w:val="clear" w:color="auto" w:fill="FFFFFF"/>
        </w:rPr>
        <w:t xml:space="preserve">her </w:t>
      </w:r>
      <w:r w:rsidR="0098506E" w:rsidRPr="00D40721">
        <w:rPr>
          <w:rFonts w:cs="Arial"/>
          <w:szCs w:val="24"/>
          <w:shd w:val="clear" w:color="auto" w:fill="FFFFFF"/>
        </w:rPr>
        <w:t>client: “Win or lose, the litigation will cost you nothing. If you get a cost order in your favour, it will be ceded to me, and I will receive any money which can be recovered from the other side”.</w:t>
      </w:r>
    </w:p>
    <w:p w14:paraId="12A74252" w14:textId="01766260" w:rsidR="0098506E" w:rsidRPr="00D40721" w:rsidRDefault="00D10B3D" w:rsidP="00D10B3D">
      <w:pPr>
        <w:pStyle w:val="LEVEL10"/>
        <w:numPr>
          <w:ilvl w:val="0"/>
          <w:numId w:val="0"/>
        </w:numPr>
        <w:tabs>
          <w:tab w:val="left" w:pos="737"/>
        </w:tabs>
        <w:ind w:left="851" w:hanging="851"/>
        <w:rPr>
          <w:rFonts w:cs="Arial"/>
          <w:szCs w:val="24"/>
        </w:rPr>
      </w:pPr>
      <w:r w:rsidRPr="00D40721">
        <w:rPr>
          <w:rFonts w:cs="Arial"/>
          <w:szCs w:val="24"/>
        </w:rPr>
        <w:t>[38]</w:t>
      </w:r>
      <w:r w:rsidRPr="00D40721">
        <w:rPr>
          <w:rFonts w:cs="Arial"/>
          <w:szCs w:val="24"/>
        </w:rPr>
        <w:tab/>
      </w:r>
      <w:r w:rsidR="00D97667">
        <w:rPr>
          <w:rFonts w:cs="Arial"/>
          <w:szCs w:val="24"/>
        </w:rPr>
        <w:t xml:space="preserve"> </w:t>
      </w:r>
      <w:r w:rsidR="0098506E" w:rsidRPr="00D40721">
        <w:rPr>
          <w:rFonts w:cs="Arial"/>
          <w:szCs w:val="24"/>
        </w:rPr>
        <w:t xml:space="preserve">In </w:t>
      </w:r>
      <w:r w:rsidR="00D97667" w:rsidRPr="00AC62D1">
        <w:rPr>
          <w:rStyle w:val="italic"/>
          <w:rFonts w:cs="Arial"/>
          <w:i/>
          <w:iCs/>
          <w:szCs w:val="24"/>
        </w:rPr>
        <w:t>Thusi</w:t>
      </w:r>
      <w:r w:rsidR="00D97667">
        <w:rPr>
          <w:rStyle w:val="italic"/>
          <w:rFonts w:cs="Arial"/>
          <w:szCs w:val="24"/>
        </w:rPr>
        <w:t xml:space="preserve"> </w:t>
      </w:r>
      <w:r w:rsidR="00D97667" w:rsidRPr="00006E59">
        <w:rPr>
          <w:rFonts w:cs="Arial"/>
          <w:i/>
          <w:iCs/>
          <w:szCs w:val="24"/>
        </w:rPr>
        <w:t>v Minister of Home Affairs and Another and 71 Other Cases</w:t>
      </w:r>
      <w:r w:rsidR="00D97667" w:rsidRPr="00006E59">
        <w:rPr>
          <w:rFonts w:cs="Arial"/>
          <w:szCs w:val="24"/>
        </w:rPr>
        <w:t xml:space="preserve"> </w:t>
      </w:r>
      <w:r w:rsidR="00D97667">
        <w:rPr>
          <w:rFonts w:cs="Arial"/>
          <w:szCs w:val="24"/>
        </w:rPr>
        <w:t xml:space="preserve"> (“</w:t>
      </w:r>
      <w:r w:rsidR="00D97667" w:rsidRPr="00006E59">
        <w:rPr>
          <w:rFonts w:cs="Arial"/>
          <w:i/>
          <w:iCs/>
          <w:szCs w:val="24"/>
        </w:rPr>
        <w:t>Thusi</w:t>
      </w:r>
      <w:r w:rsidR="00D97667">
        <w:rPr>
          <w:rFonts w:cs="Arial"/>
          <w:szCs w:val="24"/>
        </w:rPr>
        <w:t>”)</w:t>
      </w:r>
      <w:r w:rsidR="00D97667">
        <w:rPr>
          <w:rStyle w:val="FootnoteReference"/>
          <w:rFonts w:cs="Arial"/>
          <w:szCs w:val="24"/>
        </w:rPr>
        <w:footnoteReference w:id="12"/>
      </w:r>
      <w:r w:rsidR="00D97667">
        <w:rPr>
          <w:rFonts w:cs="Arial"/>
          <w:szCs w:val="24"/>
        </w:rPr>
        <w:t xml:space="preserve"> </w:t>
      </w:r>
      <w:r w:rsidR="0098506E" w:rsidRPr="00D40721">
        <w:rPr>
          <w:rFonts w:cs="Arial"/>
          <w:szCs w:val="24"/>
        </w:rPr>
        <w:t>the fee arrangement between the attorneys and their clients was described as follows:</w:t>
      </w:r>
    </w:p>
    <w:p w14:paraId="35A7EFFF" w14:textId="77777777" w:rsidR="0098506E" w:rsidRPr="00D40721" w:rsidRDefault="0098506E" w:rsidP="0098506E">
      <w:pPr>
        <w:pStyle w:val="level1"/>
        <w:numPr>
          <w:ilvl w:val="0"/>
          <w:numId w:val="0"/>
        </w:numPr>
        <w:spacing w:line="360" w:lineRule="auto"/>
        <w:ind w:left="1702"/>
        <w:rPr>
          <w:rFonts w:cs="Arial"/>
          <w:i/>
          <w:iCs/>
          <w:szCs w:val="24"/>
        </w:rPr>
      </w:pPr>
      <w:r w:rsidRPr="00D40721">
        <w:rPr>
          <w:rFonts w:cs="Arial"/>
          <w:szCs w:val="24"/>
        </w:rPr>
        <w:t>“</w:t>
      </w:r>
      <w:r w:rsidRPr="00D40721">
        <w:rPr>
          <w:rFonts w:cs="Arial"/>
          <w:i/>
          <w:iCs/>
          <w:szCs w:val="24"/>
        </w:rPr>
        <w:t xml:space="preserve">The bringing by such an Applicant of an application against the </w:t>
      </w:r>
      <w:r w:rsidRPr="00D40721">
        <w:rPr>
          <w:rFonts w:cs="Arial"/>
          <w:i/>
          <w:iCs/>
          <w:szCs w:val="24"/>
        </w:rPr>
        <w:lastRenderedPageBreak/>
        <w:t>Respondents in the High Court is only made possible by the fact that Goodway &amp; Buck are prepared, entirely at their own risk to:</w:t>
      </w:r>
    </w:p>
    <w:p w14:paraId="06AEE9EC" w14:textId="77777777" w:rsidR="0098506E" w:rsidRPr="00D40721" w:rsidRDefault="0098506E" w:rsidP="0098506E">
      <w:pPr>
        <w:pStyle w:val="level1"/>
        <w:numPr>
          <w:ilvl w:val="0"/>
          <w:numId w:val="0"/>
        </w:numPr>
        <w:spacing w:line="360" w:lineRule="auto"/>
        <w:ind w:left="2835"/>
        <w:rPr>
          <w:rFonts w:cs="Arial"/>
          <w:i/>
          <w:iCs/>
          <w:szCs w:val="24"/>
        </w:rPr>
      </w:pPr>
      <w:r w:rsidRPr="00D40721">
        <w:rPr>
          <w:rFonts w:cs="Arial"/>
          <w:i/>
          <w:iCs/>
          <w:szCs w:val="24"/>
        </w:rPr>
        <w:t>without the expectation or requirement of payment by the indigent applicant, prepare and bring the application;</w:t>
      </w:r>
    </w:p>
    <w:p w14:paraId="7F50C5DE" w14:textId="77777777" w:rsidR="0098506E" w:rsidRPr="00D40721" w:rsidRDefault="0098506E" w:rsidP="0098506E">
      <w:pPr>
        <w:pStyle w:val="level1"/>
        <w:numPr>
          <w:ilvl w:val="0"/>
          <w:numId w:val="0"/>
        </w:numPr>
        <w:spacing w:line="360" w:lineRule="auto"/>
        <w:ind w:left="2835"/>
        <w:rPr>
          <w:rFonts w:cs="Arial"/>
          <w:i/>
          <w:iCs/>
          <w:szCs w:val="24"/>
        </w:rPr>
      </w:pPr>
      <w:r w:rsidRPr="00D40721">
        <w:rPr>
          <w:rFonts w:cs="Arial"/>
          <w:i/>
          <w:iCs/>
          <w:szCs w:val="24"/>
        </w:rPr>
        <w:t>accept the fact that if the application is unsuccessful, not only will they forfeit any costs, but will also forfeit any and/or all disbursements incurred by them in pursuance of the unsuccessful matter; </w:t>
      </w:r>
    </w:p>
    <w:p w14:paraId="58C3CC42" w14:textId="77777777" w:rsidR="0098506E" w:rsidRPr="00D40721" w:rsidRDefault="0098506E" w:rsidP="0098506E">
      <w:pPr>
        <w:pStyle w:val="level1"/>
        <w:numPr>
          <w:ilvl w:val="0"/>
          <w:numId w:val="0"/>
        </w:numPr>
        <w:spacing w:line="360" w:lineRule="auto"/>
        <w:ind w:left="2835"/>
        <w:rPr>
          <w:rStyle w:val="bold"/>
          <w:rFonts w:cs="Arial"/>
          <w:i/>
          <w:iCs/>
          <w:szCs w:val="24"/>
        </w:rPr>
      </w:pPr>
      <w:r w:rsidRPr="00D40721">
        <w:rPr>
          <w:rFonts w:cs="Arial"/>
          <w:i/>
          <w:iCs/>
          <w:szCs w:val="24"/>
        </w:rPr>
        <w:t>accept as their payment for the bringing of such applications, only those fees which are recovered by way of taxation or agreement which fees</w:t>
      </w:r>
      <w:r>
        <w:rPr>
          <w:rFonts w:cs="Arial"/>
          <w:i/>
          <w:iCs/>
          <w:szCs w:val="24"/>
        </w:rPr>
        <w:t>…</w:t>
      </w:r>
      <w:r w:rsidRPr="00D40721">
        <w:rPr>
          <w:rFonts w:cs="Arial"/>
          <w:i/>
          <w:iCs/>
          <w:szCs w:val="24"/>
        </w:rPr>
        <w:t>bears no resemblance whatsoever to the substantially increased fees which would in normal circumstances be charged by Goodway &amp; Buck</w:t>
      </w:r>
      <w:r>
        <w:rPr>
          <w:rFonts w:cs="Arial"/>
          <w:i/>
          <w:iCs/>
          <w:szCs w:val="24"/>
        </w:rPr>
        <w:t>…</w:t>
      </w:r>
      <w:r w:rsidRPr="00D40721">
        <w:rPr>
          <w:rFonts w:cs="Arial"/>
          <w:i/>
          <w:iCs/>
          <w:szCs w:val="24"/>
        </w:rPr>
        <w:t>for the rendering of such services</w:t>
      </w:r>
      <w:r>
        <w:rPr>
          <w:rFonts w:cs="Arial"/>
          <w:i/>
          <w:iCs/>
          <w:szCs w:val="24"/>
        </w:rPr>
        <w:t>…</w:t>
      </w:r>
      <w:r>
        <w:rPr>
          <w:rFonts w:cs="Arial"/>
          <w:szCs w:val="24"/>
        </w:rPr>
        <w:t>”</w:t>
      </w:r>
      <w:r w:rsidRPr="00D40721">
        <w:rPr>
          <w:rFonts w:cs="Arial"/>
          <w:i/>
          <w:iCs/>
          <w:szCs w:val="24"/>
        </w:rPr>
        <w:t> </w:t>
      </w:r>
    </w:p>
    <w:p w14:paraId="6A7FEE7E" w14:textId="2E5802F6" w:rsidR="0098506E" w:rsidRDefault="00D10B3D" w:rsidP="00D10B3D">
      <w:pPr>
        <w:pStyle w:val="level1"/>
        <w:numPr>
          <w:ilvl w:val="0"/>
          <w:numId w:val="0"/>
        </w:numPr>
        <w:tabs>
          <w:tab w:val="left" w:pos="737"/>
        </w:tabs>
        <w:ind w:left="851" w:hanging="851"/>
        <w:rPr>
          <w:rFonts w:cs="Arial"/>
          <w:szCs w:val="24"/>
        </w:rPr>
      </w:pPr>
      <w:r>
        <w:rPr>
          <w:rFonts w:cs="Arial"/>
          <w:szCs w:val="24"/>
        </w:rPr>
        <w:t>[39]</w:t>
      </w:r>
      <w:r>
        <w:rPr>
          <w:rFonts w:cs="Arial"/>
          <w:szCs w:val="24"/>
        </w:rPr>
        <w:tab/>
      </w:r>
      <w:r w:rsidR="0098506E">
        <w:rPr>
          <w:rFonts w:cs="Arial"/>
          <w:szCs w:val="24"/>
        </w:rPr>
        <w:t>Wallis J</w:t>
      </w:r>
      <w:r w:rsidR="00A327C5">
        <w:rPr>
          <w:rFonts w:cs="Arial"/>
          <w:szCs w:val="24"/>
        </w:rPr>
        <w:t xml:space="preserve"> (as he then was)</w:t>
      </w:r>
      <w:r w:rsidR="0098506E">
        <w:rPr>
          <w:rFonts w:cs="Arial"/>
          <w:szCs w:val="24"/>
        </w:rPr>
        <w:t xml:space="preserve"> said of this arrangement</w:t>
      </w:r>
      <w:r w:rsidR="008561F9">
        <w:rPr>
          <w:rFonts w:cs="Arial"/>
          <w:szCs w:val="24"/>
        </w:rPr>
        <w:t xml:space="preserve"> (own emphasis)</w:t>
      </w:r>
      <w:r w:rsidR="0098506E">
        <w:rPr>
          <w:rFonts w:cs="Arial"/>
          <w:szCs w:val="24"/>
        </w:rPr>
        <w:t>:</w:t>
      </w:r>
    </w:p>
    <w:p w14:paraId="48ED54E7" w14:textId="77777777" w:rsidR="0098506E" w:rsidRPr="00D40721" w:rsidRDefault="0098506E" w:rsidP="0098506E">
      <w:pPr>
        <w:pStyle w:val="level1"/>
        <w:numPr>
          <w:ilvl w:val="0"/>
          <w:numId w:val="0"/>
        </w:numPr>
        <w:spacing w:line="360" w:lineRule="auto"/>
        <w:ind w:left="1702"/>
        <w:rPr>
          <w:rFonts w:cs="Arial"/>
          <w:szCs w:val="24"/>
        </w:rPr>
      </w:pPr>
      <w:r>
        <w:rPr>
          <w:rFonts w:cs="Arial"/>
          <w:szCs w:val="24"/>
          <w:lang w:val="en-ZA"/>
        </w:rPr>
        <w:t>“</w:t>
      </w:r>
      <w:r w:rsidRPr="00D40721">
        <w:rPr>
          <w:rFonts w:cs="Arial"/>
          <w:i/>
          <w:iCs/>
          <w:szCs w:val="24"/>
          <w:lang w:val="en-ZA"/>
        </w:rPr>
        <w:t>[103] It is perfectly clear that Goodway &amp; Buck undertook this work in  the hope (and the reasonable expectation) that costs orders would be obtained in sufficient cases to make the venture worthwhile. In that sense they are acting on a speculative or contingency basis although it is not one sanctioned by the Contingency Fees Act.</w:t>
      </w:r>
      <w:r>
        <w:rPr>
          <w:rFonts w:cs="Arial"/>
          <w:szCs w:val="24"/>
          <w:lang w:val="en-ZA"/>
        </w:rPr>
        <w:t>”</w:t>
      </w:r>
    </w:p>
    <w:p w14:paraId="53DF08CB" w14:textId="77777777" w:rsidR="0098506E" w:rsidRDefault="0098506E" w:rsidP="0098506E">
      <w:pPr>
        <w:pStyle w:val="level1"/>
        <w:numPr>
          <w:ilvl w:val="0"/>
          <w:numId w:val="0"/>
        </w:numPr>
        <w:ind w:left="851"/>
      </w:pPr>
      <w:r>
        <w:t>and</w:t>
      </w:r>
    </w:p>
    <w:p w14:paraId="2E613CA6" w14:textId="77777777" w:rsidR="0098506E" w:rsidRPr="00292DBA" w:rsidRDefault="0098506E" w:rsidP="0098506E">
      <w:pPr>
        <w:pStyle w:val="level1"/>
        <w:numPr>
          <w:ilvl w:val="0"/>
          <w:numId w:val="0"/>
        </w:numPr>
        <w:spacing w:line="360" w:lineRule="auto"/>
        <w:ind w:left="1702"/>
      </w:pPr>
      <w:r>
        <w:t>“</w:t>
      </w:r>
      <w:r w:rsidRPr="00D40721">
        <w:rPr>
          <w:i/>
          <w:iCs/>
        </w:rPr>
        <w:t>[106</w:t>
      </w:r>
      <w:r w:rsidRPr="003D476D">
        <w:rPr>
          <w:i/>
          <w:iCs/>
        </w:rPr>
        <w:t xml:space="preserve">] Whilst the Contingency Fees Act contemplates non-monetary litigation, its provisions are directed at the arrangements between the legal practitioner and the litigant, rather than recovery from the other party. They deal with 'no win, no fee' arrangements and the recovery of success fees. The underlying assumption  is that when success is </w:t>
      </w:r>
      <w:r w:rsidRPr="003D476D">
        <w:rPr>
          <w:i/>
          <w:iCs/>
        </w:rPr>
        <w:lastRenderedPageBreak/>
        <w:t>achieved a liability to pay fees attaches to the successful litigant. That is not the case here.</w:t>
      </w:r>
      <w:r w:rsidRPr="003D476D">
        <w:t>”</w:t>
      </w:r>
    </w:p>
    <w:p w14:paraId="04FC39AD" w14:textId="51185A96" w:rsidR="0098506E" w:rsidRPr="00D44ACF" w:rsidRDefault="00D10B3D" w:rsidP="00D10B3D">
      <w:pPr>
        <w:pStyle w:val="level1"/>
        <w:numPr>
          <w:ilvl w:val="0"/>
          <w:numId w:val="0"/>
        </w:numPr>
        <w:tabs>
          <w:tab w:val="left" w:pos="737"/>
        </w:tabs>
        <w:ind w:left="851" w:hanging="851"/>
        <w:rPr>
          <w:rFonts w:cs="Arial"/>
          <w:szCs w:val="24"/>
        </w:rPr>
      </w:pPr>
      <w:r w:rsidRPr="00D44ACF">
        <w:rPr>
          <w:rFonts w:cs="Arial"/>
          <w:szCs w:val="24"/>
        </w:rPr>
        <w:t>[40]</w:t>
      </w:r>
      <w:r w:rsidRPr="00D44ACF">
        <w:rPr>
          <w:rFonts w:cs="Arial"/>
          <w:szCs w:val="24"/>
        </w:rPr>
        <w:tab/>
      </w:r>
      <w:r w:rsidR="00D44ACF">
        <w:rPr>
          <w:rFonts w:cs="Arial"/>
          <w:szCs w:val="24"/>
        </w:rPr>
        <w:t xml:space="preserve"> </w:t>
      </w:r>
      <w:r w:rsidR="0098506E">
        <w:rPr>
          <w:rFonts w:cs="Arial"/>
          <w:szCs w:val="24"/>
        </w:rPr>
        <w:t xml:space="preserve">The arrangement in </w:t>
      </w:r>
      <w:r w:rsidR="0098506E">
        <w:rPr>
          <w:rFonts w:cs="Arial"/>
          <w:i/>
          <w:iCs/>
          <w:szCs w:val="24"/>
        </w:rPr>
        <w:t>T</w:t>
      </w:r>
      <w:r w:rsidR="0098506E" w:rsidRPr="00A21EBF">
        <w:rPr>
          <w:rFonts w:cs="Arial"/>
          <w:i/>
          <w:iCs/>
          <w:szCs w:val="24"/>
        </w:rPr>
        <w:t xml:space="preserve">husi </w:t>
      </w:r>
      <w:r w:rsidR="0098506E">
        <w:rPr>
          <w:rFonts w:cs="Arial"/>
          <w:szCs w:val="24"/>
        </w:rPr>
        <w:t xml:space="preserve">is for all intents and purposes the same as the arrangement made by counsel in this matter as </w:t>
      </w:r>
      <w:r w:rsidR="00B87E2A">
        <w:rPr>
          <w:rFonts w:cs="Arial"/>
          <w:szCs w:val="24"/>
        </w:rPr>
        <w:t xml:space="preserve">described </w:t>
      </w:r>
      <w:r w:rsidR="0098506E">
        <w:rPr>
          <w:rFonts w:cs="Arial"/>
          <w:szCs w:val="24"/>
        </w:rPr>
        <w:t>by the respondents. Accordingly, it is not a “no win, no fee” arrangement which is subject to the CFA. Counsel looked to the other party for payment, not to his clients. Section 92 of the LPA applies.</w:t>
      </w:r>
      <w:r w:rsidR="00D44ACF">
        <w:rPr>
          <w:rFonts w:cs="Arial"/>
          <w:szCs w:val="24"/>
        </w:rPr>
        <w:t xml:space="preserve"> (</w:t>
      </w:r>
      <w:r w:rsidR="00D44ACF" w:rsidRPr="00942CE5">
        <w:rPr>
          <w:rFonts w:cs="Arial"/>
          <w:szCs w:val="24"/>
        </w:rPr>
        <w:t xml:space="preserve">Judgment in </w:t>
      </w:r>
      <w:r w:rsidR="00D44ACF" w:rsidRPr="00942CE5">
        <w:rPr>
          <w:rFonts w:cs="Arial"/>
          <w:i/>
          <w:iCs/>
          <w:szCs w:val="24"/>
        </w:rPr>
        <w:t xml:space="preserve">Thusi </w:t>
      </w:r>
      <w:r w:rsidR="00D44ACF" w:rsidRPr="00942CE5">
        <w:rPr>
          <w:rFonts w:cs="Arial"/>
          <w:szCs w:val="24"/>
        </w:rPr>
        <w:t xml:space="preserve">was handed down before the LPA was </w:t>
      </w:r>
      <w:r w:rsidR="00D44ACF">
        <w:rPr>
          <w:rFonts w:cs="Arial"/>
          <w:szCs w:val="24"/>
        </w:rPr>
        <w:t>passed and section 92 was therefore not considered.</w:t>
      </w:r>
      <w:r w:rsidR="00D44ACF">
        <w:rPr>
          <w:rStyle w:val="FootnoteReference"/>
          <w:rFonts w:cs="Arial"/>
          <w:szCs w:val="24"/>
        </w:rPr>
        <w:footnoteReference w:id="13"/>
      </w:r>
      <w:r w:rsidR="00D44ACF">
        <w:rPr>
          <w:rFonts w:cs="Arial"/>
          <w:szCs w:val="24"/>
        </w:rPr>
        <w:t>)</w:t>
      </w:r>
    </w:p>
    <w:p w14:paraId="01FE01DC" w14:textId="0682558B" w:rsidR="00584896" w:rsidRDefault="00D10B3D" w:rsidP="00D10B3D">
      <w:pPr>
        <w:pStyle w:val="LEVEL10"/>
        <w:numPr>
          <w:ilvl w:val="0"/>
          <w:numId w:val="0"/>
        </w:numPr>
        <w:tabs>
          <w:tab w:val="left" w:pos="737"/>
        </w:tabs>
        <w:ind w:left="851" w:hanging="851"/>
      </w:pPr>
      <w:r>
        <w:t>[41]</w:t>
      </w:r>
      <w:r>
        <w:tab/>
      </w:r>
      <w:r w:rsidR="00584896">
        <w:t xml:space="preserve"> The </w:t>
      </w:r>
      <w:r w:rsidR="00584896">
        <w:rPr>
          <w:i/>
          <w:iCs/>
        </w:rPr>
        <w:t xml:space="preserve">Plascon-Evans </w:t>
      </w:r>
      <w:r w:rsidR="00584896" w:rsidRPr="00584896">
        <w:t xml:space="preserve">rule </w:t>
      </w:r>
      <w:r w:rsidR="00584896">
        <w:t xml:space="preserve">applies. The respondents’ version as to the arrangement with counsel should therefore be accepted. The fact that the respondents’ </w:t>
      </w:r>
      <w:r w:rsidR="00C873FC">
        <w:t xml:space="preserve">cost consultant </w:t>
      </w:r>
      <w:r w:rsidR="00584896">
        <w:t>referred to it as</w:t>
      </w:r>
      <w:r w:rsidR="00A11304">
        <w:t xml:space="preserve"> a</w:t>
      </w:r>
      <w:r w:rsidR="00584896">
        <w:t xml:space="preserve"> </w:t>
      </w:r>
      <w:r w:rsidR="00584896" w:rsidRPr="00DD7F26">
        <w:rPr>
          <w:i/>
          <w:iCs/>
        </w:rPr>
        <w:t>“contingency fee agreement”</w:t>
      </w:r>
      <w:r w:rsidR="00584896">
        <w:t xml:space="preserve"> in is not relevant.  As appears from </w:t>
      </w:r>
      <w:r w:rsidR="00584896" w:rsidRPr="00DD7F26">
        <w:rPr>
          <w:i/>
          <w:iCs/>
        </w:rPr>
        <w:t>Thusi</w:t>
      </w:r>
      <w:r w:rsidR="00584896">
        <w:t xml:space="preserve"> an arrangement such as this or the arrangement that was in place in </w:t>
      </w:r>
      <w:r w:rsidR="00584896" w:rsidRPr="00DD7F26">
        <w:rPr>
          <w:i/>
          <w:iCs/>
        </w:rPr>
        <w:t>Thusi</w:t>
      </w:r>
      <w:r w:rsidR="00584896">
        <w:t xml:space="preserve"> is also referred to as</w:t>
      </w:r>
      <w:r w:rsidR="00A11304">
        <w:t xml:space="preserve"> a</w:t>
      </w:r>
      <w:r w:rsidR="00584896">
        <w:t xml:space="preserve"> </w:t>
      </w:r>
      <w:r w:rsidR="00584896" w:rsidRPr="00DD7F26">
        <w:rPr>
          <w:i/>
          <w:iCs/>
        </w:rPr>
        <w:t>“contingency fee agreement”</w:t>
      </w:r>
      <w:r w:rsidR="00584896">
        <w:t>, even though it does not fall within the ambit of the CFA.</w:t>
      </w:r>
      <w:r w:rsidR="00584896">
        <w:rPr>
          <w:rStyle w:val="FootnoteReference"/>
        </w:rPr>
        <w:footnoteReference w:id="14"/>
      </w:r>
      <w:r w:rsidR="005C145B">
        <w:t xml:space="preserve"> </w:t>
      </w:r>
    </w:p>
    <w:p w14:paraId="35DE33FC" w14:textId="7AC8DAE4" w:rsidR="00584896" w:rsidRPr="00584896" w:rsidRDefault="00D10B3D" w:rsidP="00D10B3D">
      <w:pPr>
        <w:pStyle w:val="LEVEL10"/>
        <w:numPr>
          <w:ilvl w:val="0"/>
          <w:numId w:val="0"/>
        </w:numPr>
        <w:tabs>
          <w:tab w:val="left" w:pos="737"/>
        </w:tabs>
        <w:ind w:left="851" w:hanging="851"/>
      </w:pPr>
      <w:r w:rsidRPr="00584896">
        <w:t>[42]</w:t>
      </w:r>
      <w:r w:rsidRPr="00584896">
        <w:tab/>
      </w:r>
      <w:r w:rsidR="005C145B">
        <w:t xml:space="preserve">  </w:t>
      </w:r>
      <w:r w:rsidR="00584896">
        <w:t xml:space="preserve">Whether counsel or his executrix is obliged to give the notice in terms of </w:t>
      </w:r>
      <w:r w:rsidR="005C145B">
        <w:t>section  92(2)</w:t>
      </w:r>
      <w:r w:rsidR="00A327C5">
        <w:t xml:space="preserve"> in the light of the deemed cession in section 92</w:t>
      </w:r>
      <w:r w:rsidR="005C145B">
        <w:t xml:space="preserve">, and whether the respondents or their attorneys can submit counsel’s fees on his behalf on taxation where a section 92 arrangement is in place, are not matters which I have to decide on. The fact that the respondents may up to now have followed an incorrect procedure on taxation is not relevant to the question as to what </w:t>
      </w:r>
      <w:r w:rsidR="005C145B">
        <w:lastRenderedPageBreak/>
        <w:t>the fee arrangement was.</w:t>
      </w:r>
    </w:p>
    <w:p w14:paraId="40BF1383" w14:textId="77777777" w:rsidR="003A36D7" w:rsidRPr="0000244D" w:rsidRDefault="003A36D7" w:rsidP="003A36D7">
      <w:pPr>
        <w:pStyle w:val="level1"/>
        <w:numPr>
          <w:ilvl w:val="0"/>
          <w:numId w:val="0"/>
        </w:numPr>
        <w:rPr>
          <w:rFonts w:eastAsia="Times New Roman"/>
        </w:rPr>
      </w:pPr>
      <w:r w:rsidRPr="00D40721">
        <w:rPr>
          <w:rStyle w:val="bold"/>
          <w:rFonts w:cs="Arial"/>
          <w:b/>
          <w:bCs/>
          <w:szCs w:val="24"/>
        </w:rPr>
        <w:t>INDEMNIFICATION PRINCIPLE</w:t>
      </w:r>
    </w:p>
    <w:p w14:paraId="4BF55480" w14:textId="7C739FDD" w:rsidR="004547D1" w:rsidRPr="004547D1" w:rsidRDefault="00D10B3D" w:rsidP="00D10B3D">
      <w:pPr>
        <w:pStyle w:val="level1"/>
        <w:numPr>
          <w:ilvl w:val="0"/>
          <w:numId w:val="0"/>
        </w:numPr>
        <w:tabs>
          <w:tab w:val="left" w:pos="737"/>
        </w:tabs>
        <w:ind w:left="851" w:hanging="851"/>
        <w:rPr>
          <w:rFonts w:cs="Arial"/>
          <w:szCs w:val="24"/>
        </w:rPr>
      </w:pPr>
      <w:r w:rsidRPr="004547D1">
        <w:rPr>
          <w:rFonts w:cs="Arial"/>
          <w:szCs w:val="24"/>
        </w:rPr>
        <w:t>[43]</w:t>
      </w:r>
      <w:r w:rsidRPr="004547D1">
        <w:rPr>
          <w:rFonts w:cs="Arial"/>
          <w:szCs w:val="24"/>
        </w:rPr>
        <w:tab/>
      </w:r>
      <w:r w:rsidR="001B6B22">
        <w:rPr>
          <w:rFonts w:cs="Arial"/>
          <w:szCs w:val="24"/>
          <w:shd w:val="clear" w:color="auto" w:fill="FFFFFF"/>
        </w:rPr>
        <w:t xml:space="preserve">  </w:t>
      </w:r>
      <w:r w:rsidR="004547D1" w:rsidRPr="00D40721">
        <w:rPr>
          <w:rFonts w:cs="Arial"/>
          <w:szCs w:val="24"/>
          <w:shd w:val="clear" w:color="auto" w:fill="FFFFFF"/>
        </w:rPr>
        <w:t xml:space="preserve">It is trite that the purpose of a costs order is to indemnify a party who has incurred expenses in instituting or defending legal proceedings. </w:t>
      </w:r>
      <w:r w:rsidR="004547D1">
        <w:rPr>
          <w:rFonts w:cs="Arial"/>
          <w:szCs w:val="24"/>
        </w:rPr>
        <w:t>I</w:t>
      </w:r>
      <w:r w:rsidR="004547D1" w:rsidRPr="00D40721">
        <w:rPr>
          <w:rFonts w:cs="Arial"/>
          <w:szCs w:val="24"/>
        </w:rPr>
        <w:t>n principle, a litigant who is not liable to his/her attorney for legal costs, is not entitled to tax legal costs</w:t>
      </w:r>
      <w:r w:rsidR="004547D1">
        <w:rPr>
          <w:rFonts w:cs="Arial"/>
          <w:szCs w:val="24"/>
        </w:rPr>
        <w:t>. This is known as the indemnification principle.</w:t>
      </w:r>
      <w:r w:rsidR="004547D1">
        <w:rPr>
          <w:rStyle w:val="FootnoteReference"/>
          <w:rFonts w:cs="Arial"/>
          <w:szCs w:val="24"/>
        </w:rPr>
        <w:footnoteReference w:id="15"/>
      </w:r>
    </w:p>
    <w:p w14:paraId="3E53DB0A" w14:textId="23E7534E" w:rsidR="004547D1" w:rsidRPr="004547D1" w:rsidRDefault="00D10B3D" w:rsidP="00D10B3D">
      <w:pPr>
        <w:pStyle w:val="level1"/>
        <w:numPr>
          <w:ilvl w:val="0"/>
          <w:numId w:val="0"/>
        </w:numPr>
        <w:tabs>
          <w:tab w:val="left" w:pos="737"/>
        </w:tabs>
        <w:ind w:left="851" w:hanging="851"/>
        <w:rPr>
          <w:rFonts w:cs="Arial"/>
          <w:szCs w:val="24"/>
        </w:rPr>
      </w:pPr>
      <w:r w:rsidRPr="004547D1">
        <w:rPr>
          <w:rFonts w:cs="Arial"/>
          <w:szCs w:val="24"/>
        </w:rPr>
        <w:t>[44]</w:t>
      </w:r>
      <w:r w:rsidRPr="004547D1">
        <w:rPr>
          <w:rFonts w:cs="Arial"/>
          <w:szCs w:val="24"/>
        </w:rPr>
        <w:tab/>
      </w:r>
      <w:r w:rsidR="004547D1">
        <w:t xml:space="preserve">  It is common cause that counsel (or his executrix) has not been paid by the respondents. </w:t>
      </w:r>
      <w:r w:rsidR="00B87E2A">
        <w:t>To my min</w:t>
      </w:r>
      <w:r w:rsidR="00A327C5">
        <w:t>d</w:t>
      </w:r>
      <w:r w:rsidR="00B87E2A">
        <w:t xml:space="preserve"> </w:t>
      </w:r>
      <w:r w:rsidR="004547D1">
        <w:t xml:space="preserve">the applicant has not raised this as part of his cause of action. Reference is made to this fact in the founding affidavit, but it is not mentioned as a basis for seeking the relief in the notice of motion, and no reliance was placed in argument on the indemnification principle. I shall however deal with the indemnification principle in case I have interpreted the applicant’s case too narrowly. </w:t>
      </w:r>
    </w:p>
    <w:p w14:paraId="2FA6A7D5" w14:textId="288C2800" w:rsidR="00046A31" w:rsidRDefault="00D10B3D" w:rsidP="00D10B3D">
      <w:pPr>
        <w:pStyle w:val="level1"/>
        <w:numPr>
          <w:ilvl w:val="0"/>
          <w:numId w:val="0"/>
        </w:numPr>
        <w:tabs>
          <w:tab w:val="left" w:pos="737"/>
        </w:tabs>
        <w:ind w:left="851" w:hanging="851"/>
        <w:rPr>
          <w:rStyle w:val="italic"/>
          <w:rFonts w:cs="Arial"/>
          <w:szCs w:val="24"/>
        </w:rPr>
      </w:pPr>
      <w:r>
        <w:rPr>
          <w:rStyle w:val="italic"/>
          <w:rFonts w:cs="Arial"/>
          <w:szCs w:val="24"/>
        </w:rPr>
        <w:t>[45]</w:t>
      </w:r>
      <w:r>
        <w:rPr>
          <w:rStyle w:val="italic"/>
          <w:rFonts w:cs="Arial"/>
          <w:szCs w:val="24"/>
        </w:rPr>
        <w:tab/>
      </w:r>
      <w:r w:rsidR="00AC62D1">
        <w:rPr>
          <w:rStyle w:val="italic"/>
          <w:rFonts w:cs="Arial"/>
          <w:szCs w:val="24"/>
        </w:rPr>
        <w:t xml:space="preserve">In </w:t>
      </w:r>
      <w:r w:rsidR="00AC62D1" w:rsidRPr="00AC62D1">
        <w:rPr>
          <w:rStyle w:val="italic"/>
          <w:rFonts w:cs="Arial"/>
          <w:i/>
          <w:iCs/>
          <w:szCs w:val="24"/>
        </w:rPr>
        <w:t>Thusi</w:t>
      </w:r>
      <w:r w:rsidR="00A327C5">
        <w:rPr>
          <w:rFonts w:cs="Arial"/>
          <w:szCs w:val="24"/>
        </w:rPr>
        <w:t xml:space="preserve"> </w:t>
      </w:r>
      <w:r w:rsidR="00006E59">
        <w:rPr>
          <w:rFonts w:cs="Arial"/>
          <w:szCs w:val="24"/>
          <w:lang w:val="en-ZA"/>
        </w:rPr>
        <w:t xml:space="preserve"> </w:t>
      </w:r>
      <w:r w:rsidR="00046A31">
        <w:rPr>
          <w:rStyle w:val="italic"/>
          <w:rFonts w:cs="Arial"/>
          <w:szCs w:val="24"/>
        </w:rPr>
        <w:t>Wallis J explained the indemnity principle as follows:</w:t>
      </w:r>
    </w:p>
    <w:p w14:paraId="3091463D" w14:textId="769B0D6D" w:rsidR="003A36D7" w:rsidRPr="00D40721" w:rsidRDefault="00F91CF2" w:rsidP="00F91CF2">
      <w:pPr>
        <w:pStyle w:val="level1"/>
        <w:numPr>
          <w:ilvl w:val="0"/>
          <w:numId w:val="0"/>
        </w:numPr>
        <w:spacing w:line="360" w:lineRule="auto"/>
        <w:ind w:left="1702" w:firstLine="72"/>
        <w:rPr>
          <w:rFonts w:cs="Arial"/>
          <w:szCs w:val="24"/>
        </w:rPr>
      </w:pPr>
      <w:r>
        <w:rPr>
          <w:rStyle w:val="italic"/>
          <w:rFonts w:cs="Arial"/>
          <w:szCs w:val="24"/>
        </w:rPr>
        <w:t>“</w:t>
      </w:r>
      <w:r w:rsidR="003A36D7" w:rsidRPr="00D40721">
        <w:rPr>
          <w:rStyle w:val="italic"/>
          <w:rFonts w:cs="Arial"/>
          <w:i/>
          <w:iCs/>
          <w:szCs w:val="24"/>
        </w:rPr>
        <w:t>[99] The indemnity principle is of general application in the field of costs.</w:t>
      </w:r>
      <w:r w:rsidR="003A36D7" w:rsidRPr="00D40721">
        <w:rPr>
          <w:rFonts w:cs="Arial"/>
          <w:szCs w:val="24"/>
        </w:rPr>
        <w:t> </w:t>
      </w:r>
      <w:r w:rsidR="003A36D7" w:rsidRPr="00D40721">
        <w:rPr>
          <w:rStyle w:val="italic"/>
          <w:rFonts w:cs="Arial"/>
          <w:i/>
          <w:iCs/>
          <w:szCs w:val="24"/>
        </w:rPr>
        <w:t>It has not become outdated. In Price Waterhouse Meyernel v Thoroughbred Breeders' Association of South Africa</w:t>
      </w:r>
      <w:r w:rsidR="003A36D7" w:rsidRPr="00D40721">
        <w:rPr>
          <w:rFonts w:cs="Arial"/>
          <w:szCs w:val="24"/>
        </w:rPr>
        <w:t>  </w:t>
      </w:r>
      <w:r w:rsidR="003A36D7" w:rsidRPr="00D40721">
        <w:rPr>
          <w:rStyle w:val="italic"/>
          <w:rFonts w:cs="Arial"/>
          <w:i/>
          <w:iCs/>
          <w:szCs w:val="24"/>
        </w:rPr>
        <w:t>Howie JA said:</w:t>
      </w:r>
    </w:p>
    <w:p w14:paraId="50405F1C" w14:textId="7DBA4D21" w:rsidR="003A36D7" w:rsidRDefault="003A36D7" w:rsidP="00F91CF2">
      <w:pPr>
        <w:pStyle w:val="level1"/>
        <w:numPr>
          <w:ilvl w:val="0"/>
          <w:numId w:val="0"/>
        </w:numPr>
        <w:spacing w:line="360" w:lineRule="auto"/>
        <w:ind w:left="2553"/>
        <w:rPr>
          <w:rStyle w:val="italic"/>
          <w:rFonts w:cs="Arial"/>
          <w:i/>
          <w:iCs/>
          <w:szCs w:val="24"/>
        </w:rPr>
      </w:pPr>
      <w:r w:rsidRPr="00D40721">
        <w:rPr>
          <w:rStyle w:val="italic"/>
          <w:rFonts w:cs="Arial"/>
          <w:i/>
          <w:iCs/>
          <w:szCs w:val="24"/>
        </w:rPr>
        <w:t xml:space="preserve">'A costs order - it is trite to say - is intended to indemnify the winner (subject to the limitation of the party and party costs scale) to the extent that it is out of pocket as a result of pursuing the litigation to a successful conclusion. It follows </w:t>
      </w:r>
      <w:r w:rsidRPr="00D40721">
        <w:rPr>
          <w:rStyle w:val="italic"/>
          <w:rFonts w:cs="Arial"/>
          <w:i/>
          <w:iCs/>
          <w:szCs w:val="24"/>
        </w:rPr>
        <w:lastRenderedPageBreak/>
        <w:t xml:space="preserve">that what the winner has to show — and the Taxing Master has to be satisfied about </w:t>
      </w:r>
      <w:r w:rsidR="00046A31">
        <w:rPr>
          <w:rStyle w:val="italic"/>
          <w:rFonts w:cs="Arial"/>
          <w:i/>
          <w:iCs/>
          <w:szCs w:val="24"/>
        </w:rPr>
        <w:t xml:space="preserve">– </w:t>
      </w:r>
      <w:r w:rsidRPr="00D40721">
        <w:rPr>
          <w:rStyle w:val="italic"/>
          <w:rFonts w:cs="Arial"/>
          <w:i/>
          <w:iCs/>
          <w:szCs w:val="24"/>
        </w:rPr>
        <w:t>is</w:t>
      </w:r>
      <w:r w:rsidR="00046A31">
        <w:rPr>
          <w:rStyle w:val="italic"/>
          <w:rFonts w:cs="Arial"/>
          <w:i/>
          <w:iCs/>
          <w:szCs w:val="24"/>
        </w:rPr>
        <w:t xml:space="preserve"> </w:t>
      </w:r>
      <w:r w:rsidRPr="00D40721">
        <w:rPr>
          <w:rStyle w:val="italic"/>
          <w:rFonts w:cs="Arial"/>
          <w:i/>
          <w:iCs/>
          <w:szCs w:val="24"/>
        </w:rPr>
        <w:t xml:space="preserve"> that the items in the bill are costs in the true sense, that is to say, expenses which actually leave the winner out of pocket.'</w:t>
      </w:r>
    </w:p>
    <w:p w14:paraId="6F2DDB3A" w14:textId="0FC78AEF" w:rsidR="00046A31" w:rsidRDefault="00046A31" w:rsidP="00F91CF2">
      <w:pPr>
        <w:pStyle w:val="level1"/>
        <w:numPr>
          <w:ilvl w:val="0"/>
          <w:numId w:val="0"/>
        </w:numPr>
        <w:spacing w:line="360" w:lineRule="auto"/>
        <w:ind w:left="1702" w:firstLine="2"/>
        <w:rPr>
          <w:rFonts w:cs="Arial"/>
          <w:i/>
          <w:iCs/>
          <w:szCs w:val="24"/>
          <w:shd w:val="clear" w:color="auto" w:fill="FFFFFF"/>
        </w:rPr>
      </w:pPr>
      <w:r w:rsidRPr="00046A31">
        <w:rPr>
          <w:rFonts w:cs="Arial"/>
          <w:i/>
          <w:iCs/>
          <w:szCs w:val="24"/>
          <w:shd w:val="clear" w:color="auto" w:fill="FFFFFF"/>
        </w:rPr>
        <w:t>If the applicants are not out of pocket or at risk of being out of pocket as a consequence of bringing these applications, it would appear that, unless the indemnity principle can be circumvented, it operates to preclude them from obtaining a costs order in their favour.</w:t>
      </w:r>
    </w:p>
    <w:p w14:paraId="128899C6" w14:textId="14ACC3F4" w:rsidR="009A5AE0" w:rsidRPr="001B6B22" w:rsidRDefault="009A5AE0" w:rsidP="00F91CF2">
      <w:pPr>
        <w:pStyle w:val="level1"/>
        <w:numPr>
          <w:ilvl w:val="0"/>
          <w:numId w:val="0"/>
        </w:numPr>
        <w:spacing w:line="360" w:lineRule="auto"/>
        <w:ind w:left="1702" w:firstLine="2"/>
        <w:rPr>
          <w:rFonts w:cs="Arial"/>
          <w:i/>
          <w:iCs/>
          <w:szCs w:val="24"/>
          <w:shd w:val="clear" w:color="auto" w:fill="FFFFFF"/>
        </w:rPr>
      </w:pPr>
      <w:r>
        <w:rPr>
          <w:rFonts w:cs="Arial"/>
          <w:i/>
          <w:iCs/>
          <w:szCs w:val="24"/>
          <w:shd w:val="clear" w:color="auto" w:fill="FFFFFF"/>
        </w:rPr>
        <w:t>…</w:t>
      </w:r>
    </w:p>
    <w:p w14:paraId="4E30CAAA" w14:textId="024E838C" w:rsidR="00B20754" w:rsidRPr="00B20754" w:rsidRDefault="009A5AE0" w:rsidP="00F91CF2">
      <w:pPr>
        <w:pStyle w:val="level1"/>
        <w:numPr>
          <w:ilvl w:val="0"/>
          <w:numId w:val="0"/>
        </w:numPr>
        <w:spacing w:line="360" w:lineRule="auto"/>
        <w:ind w:left="1702"/>
      </w:pPr>
      <w:r>
        <w:rPr>
          <w:rStyle w:val="italic"/>
          <w:rFonts w:cs="Arial"/>
          <w:i/>
          <w:iCs/>
          <w:szCs w:val="24"/>
        </w:rPr>
        <w:t>[103] ..</w:t>
      </w:r>
      <w:r w:rsidR="003A36D7" w:rsidRPr="00D40721">
        <w:rPr>
          <w:rStyle w:val="italic"/>
          <w:rFonts w:cs="Arial"/>
          <w:i/>
          <w:iCs/>
          <w:szCs w:val="24"/>
        </w:rPr>
        <w:t>. Applying the general rule in regard to the purpose of a costs order set out in the cases I have cited, the fact that the applicants incur no liability for costs disentitles them to orders for costs. As they have incurred no expenses in relation to the litigation and no liability for costs, there is no need for an indemnity and nothing to which a costs order could apply."</w:t>
      </w:r>
    </w:p>
    <w:p w14:paraId="6522CD22" w14:textId="7E4141F4" w:rsidR="003665A6" w:rsidRPr="00487543" w:rsidRDefault="00D10B3D" w:rsidP="00D10B3D">
      <w:pPr>
        <w:pStyle w:val="level1"/>
        <w:numPr>
          <w:ilvl w:val="0"/>
          <w:numId w:val="0"/>
        </w:numPr>
        <w:tabs>
          <w:tab w:val="left" w:pos="737"/>
        </w:tabs>
        <w:ind w:left="851" w:hanging="851"/>
        <w:rPr>
          <w:rFonts w:cs="Arial"/>
          <w:szCs w:val="24"/>
        </w:rPr>
      </w:pPr>
      <w:r w:rsidRPr="00487543">
        <w:rPr>
          <w:rFonts w:cs="Arial"/>
          <w:szCs w:val="24"/>
        </w:rPr>
        <w:t>[46]</w:t>
      </w:r>
      <w:r w:rsidRPr="00487543">
        <w:rPr>
          <w:rFonts w:cs="Arial"/>
          <w:szCs w:val="24"/>
        </w:rPr>
        <w:tab/>
      </w:r>
      <w:r w:rsidR="00487543">
        <w:rPr>
          <w:rFonts w:cs="Arial"/>
          <w:szCs w:val="24"/>
        </w:rPr>
        <w:t xml:space="preserve"> </w:t>
      </w:r>
      <w:r w:rsidR="009A5AE0">
        <w:rPr>
          <w:rFonts w:cs="Arial"/>
          <w:szCs w:val="24"/>
        </w:rPr>
        <w:t>Wallis J</w:t>
      </w:r>
      <w:r w:rsidR="004547D1">
        <w:rPr>
          <w:rFonts w:cs="Arial"/>
          <w:szCs w:val="24"/>
        </w:rPr>
        <w:t xml:space="preserve"> </w:t>
      </w:r>
      <w:r w:rsidR="00A327C5">
        <w:rPr>
          <w:rFonts w:cs="Arial"/>
          <w:szCs w:val="24"/>
        </w:rPr>
        <w:t xml:space="preserve">then </w:t>
      </w:r>
      <w:r w:rsidR="00487543">
        <w:rPr>
          <w:rFonts w:cs="Arial"/>
          <w:szCs w:val="24"/>
        </w:rPr>
        <w:t xml:space="preserve">identified </w:t>
      </w:r>
      <w:r w:rsidR="003A36D7" w:rsidRPr="00D40721">
        <w:rPr>
          <w:rFonts w:cs="Arial"/>
          <w:szCs w:val="24"/>
        </w:rPr>
        <w:t xml:space="preserve">three </w:t>
      </w:r>
      <w:r w:rsidR="009A5AE0">
        <w:rPr>
          <w:rFonts w:cs="Arial"/>
          <w:szCs w:val="24"/>
        </w:rPr>
        <w:t>exceptions to the indemnity principle</w:t>
      </w:r>
      <w:r w:rsidR="00487543">
        <w:rPr>
          <w:rFonts w:cs="Arial"/>
          <w:szCs w:val="24"/>
        </w:rPr>
        <w:t xml:space="preserve"> in the High Court rules and in statutes</w:t>
      </w:r>
      <w:r w:rsidR="009A5AE0">
        <w:rPr>
          <w:rFonts w:cs="Arial"/>
          <w:szCs w:val="24"/>
        </w:rPr>
        <w:t xml:space="preserve">: </w:t>
      </w:r>
      <w:r w:rsidR="003A36D7" w:rsidRPr="00D40721">
        <w:rPr>
          <w:rFonts w:cs="Arial"/>
          <w:szCs w:val="24"/>
        </w:rPr>
        <w:t>(</w:t>
      </w:r>
      <w:r w:rsidR="009A5AE0">
        <w:rPr>
          <w:rFonts w:cs="Arial"/>
          <w:szCs w:val="24"/>
        </w:rPr>
        <w:t>1</w:t>
      </w:r>
      <w:r w:rsidR="003A36D7" w:rsidRPr="00D40721">
        <w:rPr>
          <w:rFonts w:cs="Arial"/>
          <w:szCs w:val="24"/>
        </w:rPr>
        <w:t xml:space="preserve">) </w:t>
      </w:r>
      <w:r w:rsidR="00487543">
        <w:rPr>
          <w:rFonts w:cs="Arial"/>
          <w:szCs w:val="24"/>
        </w:rPr>
        <w:t xml:space="preserve">rule 40(7) of the Uniform Rules of Court which deals with </w:t>
      </w:r>
      <w:r w:rsidR="001B6B22" w:rsidRPr="001B6B22">
        <w:rPr>
          <w:rFonts w:cs="Arial"/>
          <w:i/>
          <w:iCs/>
          <w:szCs w:val="24"/>
        </w:rPr>
        <w:t xml:space="preserve">in </w:t>
      </w:r>
      <w:r w:rsidR="003A36D7" w:rsidRPr="001B6B22">
        <w:rPr>
          <w:rFonts w:cs="Arial"/>
          <w:i/>
          <w:iCs/>
          <w:szCs w:val="24"/>
        </w:rPr>
        <w:t>forma pauperis</w:t>
      </w:r>
      <w:r w:rsidR="003A36D7" w:rsidRPr="00D40721">
        <w:rPr>
          <w:rFonts w:cs="Arial"/>
          <w:szCs w:val="24"/>
        </w:rPr>
        <w:t xml:space="preserve"> proceedings</w:t>
      </w:r>
      <w:r w:rsidR="00487543">
        <w:rPr>
          <w:rFonts w:cs="Arial"/>
          <w:szCs w:val="24"/>
        </w:rPr>
        <w:t xml:space="preserve">; </w:t>
      </w:r>
      <w:r w:rsidR="003A36D7" w:rsidRPr="00D40721">
        <w:rPr>
          <w:rFonts w:cs="Arial"/>
          <w:szCs w:val="24"/>
        </w:rPr>
        <w:t>(</w:t>
      </w:r>
      <w:r w:rsidR="00487543">
        <w:rPr>
          <w:rFonts w:cs="Arial"/>
          <w:szCs w:val="24"/>
        </w:rPr>
        <w:t>2</w:t>
      </w:r>
      <w:r w:rsidR="003A36D7" w:rsidRPr="00D40721">
        <w:rPr>
          <w:rFonts w:cs="Arial"/>
          <w:szCs w:val="24"/>
        </w:rPr>
        <w:t>) section 8A of the Legal Aid Act 22 of 1969, and (</w:t>
      </w:r>
      <w:r w:rsidR="00487543">
        <w:rPr>
          <w:rFonts w:cs="Arial"/>
          <w:szCs w:val="24"/>
        </w:rPr>
        <w:t>3</w:t>
      </w:r>
      <w:r w:rsidR="003A36D7" w:rsidRPr="00D40721">
        <w:rPr>
          <w:rFonts w:cs="Arial"/>
          <w:szCs w:val="24"/>
        </w:rPr>
        <w:t>) section 79A of the Attorneys Act</w:t>
      </w:r>
      <w:r w:rsidR="001B6B22">
        <w:rPr>
          <w:rFonts w:cs="Arial"/>
          <w:szCs w:val="24"/>
        </w:rPr>
        <w:t>,</w:t>
      </w:r>
      <w:r w:rsidR="003A36D7" w:rsidRPr="00D40721">
        <w:rPr>
          <w:rFonts w:cs="Arial"/>
          <w:szCs w:val="24"/>
        </w:rPr>
        <w:t xml:space="preserve"> 53 of 1979</w:t>
      </w:r>
      <w:r w:rsidR="001B6B22">
        <w:rPr>
          <w:rFonts w:cs="Arial"/>
          <w:szCs w:val="24"/>
        </w:rPr>
        <w:t xml:space="preserve"> (“</w:t>
      </w:r>
      <w:r w:rsidR="001B6B22" w:rsidRPr="001B6B22">
        <w:rPr>
          <w:rFonts w:cs="Arial"/>
          <w:i/>
          <w:iCs/>
          <w:szCs w:val="24"/>
        </w:rPr>
        <w:t>the Attorneys Act</w:t>
      </w:r>
      <w:r w:rsidR="001B6B22">
        <w:rPr>
          <w:rFonts w:cs="Arial"/>
          <w:szCs w:val="24"/>
        </w:rPr>
        <w:t>”)</w:t>
      </w:r>
      <w:r w:rsidR="003A36D7" w:rsidRPr="00D40721">
        <w:rPr>
          <w:rFonts w:cs="Arial"/>
          <w:szCs w:val="24"/>
        </w:rPr>
        <w:t xml:space="preserve">. </w:t>
      </w:r>
      <w:r w:rsidR="00487543">
        <w:rPr>
          <w:rFonts w:cs="Arial"/>
          <w:szCs w:val="24"/>
        </w:rPr>
        <w:t>The learned judge crafted out a further exception, which is not applicable in this case.</w:t>
      </w:r>
    </w:p>
    <w:p w14:paraId="61C9F0A2" w14:textId="2D7BB7A7" w:rsidR="00653553" w:rsidRPr="00A327C5" w:rsidRDefault="00D10B3D" w:rsidP="00D10B3D">
      <w:pPr>
        <w:pStyle w:val="LEVEL10"/>
        <w:numPr>
          <w:ilvl w:val="0"/>
          <w:numId w:val="0"/>
        </w:numPr>
        <w:tabs>
          <w:tab w:val="left" w:pos="737"/>
        </w:tabs>
        <w:ind w:left="851" w:hanging="851"/>
        <w:rPr>
          <w:rFonts w:cs="Arial"/>
          <w:szCs w:val="24"/>
        </w:rPr>
      </w:pPr>
      <w:r w:rsidRPr="00A327C5">
        <w:rPr>
          <w:rFonts w:cs="Arial"/>
          <w:szCs w:val="24"/>
        </w:rPr>
        <w:t>[47]</w:t>
      </w:r>
      <w:r w:rsidRPr="00A327C5">
        <w:rPr>
          <w:rFonts w:cs="Arial"/>
          <w:szCs w:val="24"/>
        </w:rPr>
        <w:tab/>
      </w:r>
      <w:r w:rsidR="00487543">
        <w:rPr>
          <w:rFonts w:cs="Arial"/>
          <w:szCs w:val="24"/>
        </w:rPr>
        <w:t xml:space="preserve"> </w:t>
      </w:r>
      <w:r w:rsidR="004547D1">
        <w:rPr>
          <w:rFonts w:cs="Arial"/>
          <w:szCs w:val="24"/>
        </w:rPr>
        <w:t>Section 79A was inserted into the Attorneys Act  in 2000.</w:t>
      </w:r>
      <w:r w:rsidR="004547D1">
        <w:rPr>
          <w:rStyle w:val="FootnoteReference"/>
          <w:rFonts w:cs="Arial"/>
          <w:szCs w:val="24"/>
        </w:rPr>
        <w:footnoteReference w:id="16"/>
      </w:r>
      <w:r w:rsidR="004547D1">
        <w:rPr>
          <w:rFonts w:cs="Arial"/>
          <w:szCs w:val="24"/>
        </w:rPr>
        <w:t xml:space="preserve"> </w:t>
      </w:r>
      <w:r w:rsidR="00AE500F">
        <w:rPr>
          <w:rFonts w:cs="Arial"/>
          <w:szCs w:val="24"/>
        </w:rPr>
        <w:t xml:space="preserve">The Attorneys Act </w:t>
      </w:r>
      <w:r w:rsidR="00AE500F">
        <w:rPr>
          <w:rFonts w:cs="Arial"/>
          <w:szCs w:val="24"/>
        </w:rPr>
        <w:lastRenderedPageBreak/>
        <w:t xml:space="preserve">was repealed by the LPA. </w:t>
      </w:r>
      <w:r w:rsidR="00653553">
        <w:rPr>
          <w:rFonts w:cs="Arial"/>
          <w:szCs w:val="24"/>
        </w:rPr>
        <w:t>Section 92 of the LPA is the successor to section 79A of the Attorneys Act</w:t>
      </w:r>
      <w:r w:rsidR="00AE500F">
        <w:rPr>
          <w:rFonts w:cs="Arial"/>
          <w:szCs w:val="24"/>
        </w:rPr>
        <w:t xml:space="preserve">.  </w:t>
      </w:r>
      <w:r w:rsidR="00653553">
        <w:rPr>
          <w:rFonts w:cs="Arial"/>
          <w:szCs w:val="24"/>
        </w:rPr>
        <w:t xml:space="preserve">Section 92 and 79A are essentially the same, with one </w:t>
      </w:r>
      <w:r w:rsidR="00A327C5">
        <w:rPr>
          <w:rFonts w:cs="Arial"/>
          <w:szCs w:val="24"/>
        </w:rPr>
        <w:t xml:space="preserve">important </w:t>
      </w:r>
      <w:r w:rsidR="00653553">
        <w:rPr>
          <w:rFonts w:cs="Arial"/>
          <w:szCs w:val="24"/>
        </w:rPr>
        <w:t>difference: Section 79A was only available to law clinics, whilst section 92 applies to legal services rendered by a “</w:t>
      </w:r>
      <w:r w:rsidR="00653553" w:rsidRPr="002D743F">
        <w:rPr>
          <w:rFonts w:cs="Arial"/>
          <w:szCs w:val="24"/>
          <w:u w:val="single"/>
        </w:rPr>
        <w:t>legal practitioner or</w:t>
      </w:r>
      <w:r w:rsidR="00653553">
        <w:rPr>
          <w:rFonts w:cs="Arial"/>
          <w:szCs w:val="24"/>
        </w:rPr>
        <w:t xml:space="preserve"> a law clinic.”  </w:t>
      </w:r>
      <w:r w:rsidR="00AE500F" w:rsidRPr="00A327C5">
        <w:rPr>
          <w:rFonts w:cs="Arial"/>
          <w:szCs w:val="24"/>
        </w:rPr>
        <w:t xml:space="preserve">Section 79A of the Attorneys Act </w:t>
      </w:r>
      <w:r w:rsidR="00A327C5">
        <w:rPr>
          <w:rFonts w:cs="Arial"/>
          <w:szCs w:val="24"/>
        </w:rPr>
        <w:t xml:space="preserve">therefore </w:t>
      </w:r>
      <w:r w:rsidR="00AE500F" w:rsidRPr="00A327C5">
        <w:rPr>
          <w:rFonts w:cs="Arial"/>
          <w:szCs w:val="24"/>
        </w:rPr>
        <w:t xml:space="preserve">did not apply in </w:t>
      </w:r>
      <w:r w:rsidR="00AE500F" w:rsidRPr="00A327C5">
        <w:rPr>
          <w:rFonts w:cs="Arial"/>
          <w:i/>
          <w:iCs/>
          <w:szCs w:val="24"/>
        </w:rPr>
        <w:t>Thusi</w:t>
      </w:r>
      <w:r w:rsidR="00A327C5">
        <w:rPr>
          <w:rFonts w:cs="Arial"/>
          <w:szCs w:val="24"/>
        </w:rPr>
        <w:t>.</w:t>
      </w:r>
    </w:p>
    <w:p w14:paraId="04AC5C08" w14:textId="5F647F7D" w:rsidR="001B6B22" w:rsidRDefault="00D10B3D" w:rsidP="00D10B3D">
      <w:pPr>
        <w:pStyle w:val="LEVEL10"/>
        <w:numPr>
          <w:ilvl w:val="0"/>
          <w:numId w:val="0"/>
        </w:numPr>
        <w:tabs>
          <w:tab w:val="left" w:pos="737"/>
        </w:tabs>
        <w:ind w:left="851" w:hanging="851"/>
        <w:rPr>
          <w:rFonts w:cs="Arial"/>
          <w:szCs w:val="24"/>
        </w:rPr>
      </w:pPr>
      <w:r>
        <w:rPr>
          <w:rFonts w:cs="Arial"/>
          <w:szCs w:val="24"/>
        </w:rPr>
        <w:t>[48]</w:t>
      </w:r>
      <w:r>
        <w:rPr>
          <w:rFonts w:cs="Arial"/>
          <w:szCs w:val="24"/>
        </w:rPr>
        <w:tab/>
      </w:r>
      <w:r w:rsidR="001B6B22">
        <w:rPr>
          <w:rFonts w:cs="Arial"/>
          <w:szCs w:val="24"/>
        </w:rPr>
        <w:t xml:space="preserve">  Section 92 of the LPA should </w:t>
      </w:r>
      <w:r w:rsidR="00AE500F">
        <w:rPr>
          <w:rFonts w:cs="Arial"/>
          <w:szCs w:val="24"/>
        </w:rPr>
        <w:t xml:space="preserve">now instead of section 79A of the Attorneys Act </w:t>
      </w:r>
      <w:r w:rsidR="001B6B22">
        <w:rPr>
          <w:rFonts w:cs="Arial"/>
          <w:szCs w:val="24"/>
        </w:rPr>
        <w:t>be accepted as a statutory exception to the indemnification principle. The wording of section 92 clearly allows a bill to be taxed without client having made payment to the legal practitioner.</w:t>
      </w:r>
    </w:p>
    <w:p w14:paraId="2526F48E" w14:textId="5A53E427" w:rsidR="003D476D" w:rsidRPr="003D476D" w:rsidRDefault="00D10B3D" w:rsidP="00D10B3D">
      <w:pPr>
        <w:pStyle w:val="LEVEL10"/>
        <w:numPr>
          <w:ilvl w:val="0"/>
          <w:numId w:val="0"/>
        </w:numPr>
        <w:tabs>
          <w:tab w:val="left" w:pos="737"/>
        </w:tabs>
        <w:ind w:left="851" w:hanging="851"/>
      </w:pPr>
      <w:r w:rsidRPr="003D476D">
        <w:t>[49]</w:t>
      </w:r>
      <w:r w:rsidRPr="003D476D">
        <w:tab/>
      </w:r>
      <w:r w:rsidR="003D476D">
        <w:rPr>
          <w:rFonts w:cs="Arial"/>
          <w:szCs w:val="24"/>
        </w:rPr>
        <w:t xml:space="preserve"> </w:t>
      </w:r>
      <w:r w:rsidR="003D476D">
        <w:t>Accordingly, counsel’s arrangement is covered by section 92 of the LPA, and the indemnification principle does not apply.</w:t>
      </w:r>
    </w:p>
    <w:p w14:paraId="00342302" w14:textId="4B0D5046" w:rsidR="003D476D" w:rsidRPr="003D476D" w:rsidRDefault="00EF26E8" w:rsidP="003D476D">
      <w:pPr>
        <w:pStyle w:val="level1"/>
        <w:numPr>
          <w:ilvl w:val="0"/>
          <w:numId w:val="0"/>
        </w:numPr>
        <w:rPr>
          <w:b/>
          <w:bCs/>
        </w:rPr>
      </w:pPr>
      <w:r>
        <w:rPr>
          <w:b/>
          <w:bCs/>
        </w:rPr>
        <w:t xml:space="preserve">CODE OF CONDUCT AND </w:t>
      </w:r>
      <w:r w:rsidR="003D476D" w:rsidRPr="003D476D">
        <w:rPr>
          <w:b/>
          <w:bCs/>
        </w:rPr>
        <w:t xml:space="preserve">BAR RULES </w:t>
      </w:r>
    </w:p>
    <w:p w14:paraId="371553BF" w14:textId="68CEA319" w:rsidR="003D476D" w:rsidRPr="003D476D" w:rsidRDefault="00D10B3D" w:rsidP="00D10B3D">
      <w:pPr>
        <w:pStyle w:val="level1"/>
        <w:numPr>
          <w:ilvl w:val="0"/>
          <w:numId w:val="0"/>
        </w:numPr>
        <w:tabs>
          <w:tab w:val="left" w:pos="737"/>
        </w:tabs>
        <w:ind w:left="851" w:hanging="851"/>
        <w:rPr>
          <w:rFonts w:eastAsia="Times New Roman"/>
        </w:rPr>
      </w:pPr>
      <w:r w:rsidRPr="003D476D">
        <w:rPr>
          <w:rFonts w:eastAsia="Times New Roman"/>
        </w:rPr>
        <w:t>[50]</w:t>
      </w:r>
      <w:r w:rsidRPr="003D476D">
        <w:rPr>
          <w:rFonts w:eastAsia="Times New Roman"/>
        </w:rPr>
        <w:tab/>
      </w:r>
      <w:r w:rsidR="00B87E2A">
        <w:rPr>
          <w:rFonts w:eastAsia="Times New Roman"/>
        </w:rPr>
        <w:t>I was referred to s</w:t>
      </w:r>
      <w:r w:rsidR="003D476D">
        <w:rPr>
          <w:rFonts w:eastAsia="Times New Roman"/>
        </w:rPr>
        <w:t xml:space="preserve">ection 32 of the Code of Conduct issued in terms section 36 </w:t>
      </w:r>
      <w:r w:rsidR="003D476D">
        <w:rPr>
          <w:rFonts w:eastAsia="Times New Roman"/>
        </w:rPr>
        <w:lastRenderedPageBreak/>
        <w:t>of the LPA</w:t>
      </w:r>
      <w:r w:rsidR="003D476D">
        <w:rPr>
          <w:rStyle w:val="FootnoteReference"/>
          <w:rFonts w:eastAsia="Times New Roman"/>
        </w:rPr>
        <w:footnoteReference w:id="17"/>
      </w:r>
      <w:r w:rsidR="00B87E2A">
        <w:rPr>
          <w:rFonts w:eastAsia="Times New Roman"/>
        </w:rPr>
        <w:t xml:space="preserve"> which </w:t>
      </w:r>
      <w:r w:rsidR="003D476D">
        <w:rPr>
          <w:rFonts w:eastAsia="Times New Roman"/>
        </w:rPr>
        <w:t>provides:</w:t>
      </w:r>
    </w:p>
    <w:p w14:paraId="08E98A89" w14:textId="458562C6" w:rsidR="003D476D" w:rsidRPr="00B87E2A" w:rsidRDefault="00B87E2A" w:rsidP="00B87E2A">
      <w:pPr>
        <w:pStyle w:val="level1"/>
        <w:numPr>
          <w:ilvl w:val="0"/>
          <w:numId w:val="0"/>
        </w:numPr>
        <w:spacing w:line="360" w:lineRule="auto"/>
        <w:ind w:left="851" w:firstLine="851"/>
        <w:rPr>
          <w:rFonts w:eastAsia="Times New Roman"/>
          <w:i/>
          <w:iCs/>
        </w:rPr>
      </w:pPr>
      <w:r>
        <w:rPr>
          <w:b/>
          <w:bCs/>
        </w:rPr>
        <w:t>“</w:t>
      </w:r>
      <w:r w:rsidR="003D476D" w:rsidRPr="00B87E2A">
        <w:rPr>
          <w:b/>
          <w:bCs/>
          <w:i/>
          <w:iCs/>
        </w:rPr>
        <w:t>32  Prohibited fee agreements</w:t>
      </w:r>
    </w:p>
    <w:p w14:paraId="02745B14" w14:textId="3DA2DAE7" w:rsidR="003D476D" w:rsidRPr="00B87E2A" w:rsidRDefault="003D476D" w:rsidP="00B87E2A">
      <w:pPr>
        <w:pStyle w:val="level1"/>
        <w:numPr>
          <w:ilvl w:val="0"/>
          <w:numId w:val="0"/>
        </w:numPr>
        <w:spacing w:line="360" w:lineRule="auto"/>
        <w:ind w:left="2553" w:hanging="851"/>
        <w:rPr>
          <w:i/>
          <w:iCs/>
        </w:rPr>
      </w:pPr>
      <w:r w:rsidRPr="00B87E2A">
        <w:rPr>
          <w:i/>
          <w:iCs/>
        </w:rPr>
        <w:t>32.1      Counsel shall not agree to charge on results or agree to reduce or waive fees if a positive result is not achieved, except in a matter taken on contingency in terms of the Contingency Fees Act 66 of 1997 and/or save as contemplated in section 92 of the Act.</w:t>
      </w:r>
    </w:p>
    <w:p w14:paraId="44D6AF4F" w14:textId="515D9E23" w:rsidR="003D476D" w:rsidRDefault="003D476D" w:rsidP="00B87E2A">
      <w:pPr>
        <w:pStyle w:val="level1"/>
        <w:numPr>
          <w:ilvl w:val="0"/>
          <w:numId w:val="0"/>
        </w:numPr>
        <w:spacing w:line="360" w:lineRule="auto"/>
        <w:ind w:left="2553" w:hanging="851"/>
      </w:pPr>
      <w:r w:rsidRPr="00B87E2A">
        <w:rPr>
          <w:i/>
          <w:iCs/>
        </w:rPr>
        <w:t>32.2      Counsel shall not agree to charge a fee as allowed on taxation except in a matter undertaken on contingency, or as permitted in terms of section 92 of the Act</w:t>
      </w:r>
      <w:r>
        <w:t>.</w:t>
      </w:r>
      <w:r w:rsidR="00B87E2A">
        <w:t>”</w:t>
      </w:r>
    </w:p>
    <w:p w14:paraId="32A66B84" w14:textId="0D4D47F8" w:rsidR="003D476D" w:rsidRPr="003D476D" w:rsidRDefault="00D10B3D" w:rsidP="00D10B3D">
      <w:pPr>
        <w:pStyle w:val="LEVEL10"/>
        <w:numPr>
          <w:ilvl w:val="0"/>
          <w:numId w:val="0"/>
        </w:numPr>
        <w:tabs>
          <w:tab w:val="left" w:pos="737"/>
        </w:tabs>
        <w:ind w:left="851" w:hanging="851"/>
      </w:pPr>
      <w:r w:rsidRPr="003D476D">
        <w:t>[51]</w:t>
      </w:r>
      <w:r w:rsidRPr="003D476D">
        <w:tab/>
      </w:r>
      <w:r w:rsidR="00B87E2A">
        <w:t xml:space="preserve"> </w:t>
      </w:r>
      <w:r w:rsidR="00FB0318">
        <w:t xml:space="preserve">In light of my finding above that section 92 applies, the </w:t>
      </w:r>
      <w:r w:rsidR="00A327C5">
        <w:t xml:space="preserve">fee </w:t>
      </w:r>
      <w:r w:rsidR="00B87E2A">
        <w:t>arrangement</w:t>
      </w:r>
      <w:r w:rsidR="00A327C5">
        <w:t xml:space="preserve"> in this case </w:t>
      </w:r>
      <w:r w:rsidR="00FB0318">
        <w:t>is not prohibited by section 32 of the Code of Conduct.</w:t>
      </w:r>
    </w:p>
    <w:p w14:paraId="443301D1" w14:textId="12C0E63C" w:rsidR="003D476D" w:rsidRDefault="00D10B3D" w:rsidP="00D10B3D">
      <w:pPr>
        <w:pStyle w:val="LEVEL10"/>
        <w:numPr>
          <w:ilvl w:val="0"/>
          <w:numId w:val="0"/>
        </w:numPr>
        <w:tabs>
          <w:tab w:val="left" w:pos="737"/>
        </w:tabs>
        <w:ind w:left="851" w:hanging="851"/>
      </w:pPr>
      <w:r>
        <w:t>[52]</w:t>
      </w:r>
      <w:r>
        <w:tab/>
      </w:r>
      <w:r w:rsidR="00FB0318">
        <w:t xml:space="preserve"> </w:t>
      </w:r>
      <w:r w:rsidR="00B87E2A">
        <w:t>I was also referred to rule 7 of the Uniform Rules of Professional Conduct of the General Council of the Bar of South Africa</w:t>
      </w:r>
      <w:r w:rsidR="005C562D">
        <w:t xml:space="preserve"> (“</w:t>
      </w:r>
      <w:r w:rsidR="005C562D" w:rsidRPr="005C562D">
        <w:rPr>
          <w:i/>
          <w:iCs/>
        </w:rPr>
        <w:t>the GCB Rules</w:t>
      </w:r>
      <w:r w:rsidR="005C562D">
        <w:t xml:space="preserve">”). </w:t>
      </w:r>
      <w:r w:rsidR="004C5F17" w:rsidRPr="00881AEB">
        <w:rPr>
          <w:rFonts w:cs="Arial"/>
          <w:szCs w:val="24"/>
          <w:shd w:val="clear" w:color="auto" w:fill="FFFFFF"/>
        </w:rPr>
        <w:t>The General Council of the Bar of South Africa is an umbrella organisation of various constituent bars in South Africa, including the Johannesburg Bar.</w:t>
      </w:r>
      <w:r w:rsidR="004C5F17">
        <w:rPr>
          <w:rStyle w:val="FootnoteReference"/>
          <w:rFonts w:cs="Arial"/>
          <w:szCs w:val="24"/>
          <w:shd w:val="clear" w:color="auto" w:fill="FFFFFF"/>
        </w:rPr>
        <w:footnoteReference w:id="18"/>
      </w:r>
      <w:r w:rsidR="004C5F17" w:rsidRPr="00881AEB">
        <w:rPr>
          <w:rFonts w:cs="Arial"/>
          <w:szCs w:val="24"/>
          <w:shd w:val="clear" w:color="auto" w:fill="FFFFFF"/>
        </w:rPr>
        <w:t xml:space="preserve"> </w:t>
      </w:r>
      <w:r w:rsidR="005C562D">
        <w:t>Rule 7.2.4 of the GCB Rules reads:</w:t>
      </w:r>
      <w:r w:rsidR="00DF637C">
        <w:rPr>
          <w:rStyle w:val="FootnoteReference"/>
        </w:rPr>
        <w:footnoteReference w:id="19"/>
      </w:r>
    </w:p>
    <w:p w14:paraId="053A16CE" w14:textId="5AF41306" w:rsidR="005C562D" w:rsidRPr="005C562D" w:rsidRDefault="005C562D" w:rsidP="005C562D">
      <w:pPr>
        <w:pStyle w:val="List"/>
        <w:ind w:left="1985"/>
      </w:pPr>
      <w:r>
        <w:t>“</w:t>
      </w:r>
      <w:r w:rsidRPr="00881AEB">
        <w:rPr>
          <w:i/>
          <w:iCs/>
        </w:rPr>
        <w:t>7.2.4 A brief may not be marked ‘at such fee as may be allowed on taxation</w:t>
      </w:r>
      <w:r w:rsidR="00881AEB" w:rsidRPr="00881AEB">
        <w:rPr>
          <w:i/>
          <w:iCs/>
        </w:rPr>
        <w:t>.</w:t>
      </w:r>
      <w:r>
        <w:t>’”</w:t>
      </w:r>
    </w:p>
    <w:p w14:paraId="7A2F485A" w14:textId="09169163" w:rsidR="004C5F17" w:rsidRDefault="004C5F17" w:rsidP="004C5F17">
      <w:pPr>
        <w:pStyle w:val="LEVEL10"/>
        <w:numPr>
          <w:ilvl w:val="0"/>
          <w:numId w:val="0"/>
        </w:numPr>
        <w:ind w:left="851"/>
        <w:rPr>
          <w:rFonts w:cs="Arial"/>
          <w:szCs w:val="24"/>
          <w:shd w:val="clear" w:color="auto" w:fill="FFFFFF"/>
        </w:rPr>
      </w:pPr>
    </w:p>
    <w:p w14:paraId="7FA04736" w14:textId="6F6F0FE0" w:rsidR="00FB0318" w:rsidRDefault="00D10B3D" w:rsidP="00D10B3D">
      <w:pPr>
        <w:pStyle w:val="LEVEL10"/>
        <w:numPr>
          <w:ilvl w:val="0"/>
          <w:numId w:val="0"/>
        </w:numPr>
        <w:tabs>
          <w:tab w:val="left" w:pos="737"/>
        </w:tabs>
        <w:ind w:left="851" w:hanging="851"/>
        <w:rPr>
          <w:rFonts w:cs="Arial"/>
          <w:szCs w:val="24"/>
          <w:shd w:val="clear" w:color="auto" w:fill="FFFFFF"/>
        </w:rPr>
      </w:pPr>
      <w:r>
        <w:rPr>
          <w:rFonts w:cs="Arial"/>
          <w:szCs w:val="24"/>
        </w:rPr>
        <w:t>[53]</w:t>
      </w:r>
      <w:r>
        <w:rPr>
          <w:rFonts w:cs="Arial"/>
          <w:szCs w:val="24"/>
        </w:rPr>
        <w:tab/>
      </w:r>
      <w:r w:rsidR="00881AEB" w:rsidRPr="00881AEB">
        <w:rPr>
          <w:rFonts w:cs="Arial"/>
          <w:szCs w:val="24"/>
          <w:shd w:val="clear" w:color="auto" w:fill="FFFFFF"/>
        </w:rPr>
        <w:t xml:space="preserve">This rule has obviously been breached. </w:t>
      </w:r>
    </w:p>
    <w:p w14:paraId="27204EAB" w14:textId="1EEFC541" w:rsidR="005C562D" w:rsidRDefault="00D10B3D" w:rsidP="00D10B3D">
      <w:pPr>
        <w:pStyle w:val="LEVEL10"/>
        <w:numPr>
          <w:ilvl w:val="0"/>
          <w:numId w:val="0"/>
        </w:numPr>
        <w:tabs>
          <w:tab w:val="left" w:pos="737"/>
        </w:tabs>
        <w:ind w:left="851" w:hanging="851"/>
        <w:rPr>
          <w:rFonts w:cs="Arial"/>
          <w:szCs w:val="24"/>
          <w:shd w:val="clear" w:color="auto" w:fill="FFFFFF"/>
        </w:rPr>
      </w:pPr>
      <w:r>
        <w:rPr>
          <w:rFonts w:cs="Arial"/>
          <w:szCs w:val="24"/>
        </w:rPr>
        <w:t>[54]</w:t>
      </w:r>
      <w:r>
        <w:rPr>
          <w:rFonts w:cs="Arial"/>
          <w:szCs w:val="24"/>
        </w:rPr>
        <w:tab/>
      </w:r>
      <w:r w:rsidR="00FB0318">
        <w:rPr>
          <w:rFonts w:cs="Arial"/>
          <w:szCs w:val="24"/>
          <w:shd w:val="clear" w:color="auto" w:fill="FFFFFF"/>
        </w:rPr>
        <w:t xml:space="preserve"> </w:t>
      </w:r>
      <w:r w:rsidR="001A2325">
        <w:rPr>
          <w:rFonts w:cs="Arial"/>
          <w:szCs w:val="24"/>
          <w:shd w:val="clear" w:color="auto" w:fill="FFFFFF"/>
        </w:rPr>
        <w:t xml:space="preserve"> </w:t>
      </w:r>
      <w:r w:rsidR="003A2095">
        <w:rPr>
          <w:rFonts w:cs="Arial"/>
          <w:szCs w:val="24"/>
          <w:shd w:val="clear" w:color="auto" w:fill="FFFFFF"/>
        </w:rPr>
        <w:t xml:space="preserve">On the face of it, a member of one of the constituent bars cannot conclude </w:t>
      </w:r>
      <w:r w:rsidR="004C5F17">
        <w:rPr>
          <w:rFonts w:cs="Arial"/>
          <w:szCs w:val="24"/>
          <w:shd w:val="clear" w:color="auto" w:fill="FFFFFF"/>
        </w:rPr>
        <w:t xml:space="preserve">a </w:t>
      </w:r>
      <w:r w:rsidR="003A2095">
        <w:rPr>
          <w:rFonts w:cs="Arial"/>
          <w:szCs w:val="24"/>
          <w:shd w:val="clear" w:color="auto" w:fill="FFFFFF"/>
        </w:rPr>
        <w:t>section 92 arrangement, whilst other legal practitioners</w:t>
      </w:r>
      <w:r w:rsidR="004C5F17">
        <w:rPr>
          <w:rFonts w:cs="Arial"/>
          <w:szCs w:val="24"/>
          <w:shd w:val="clear" w:color="auto" w:fill="FFFFFF"/>
        </w:rPr>
        <w:t xml:space="preserve"> (including advocates)</w:t>
      </w:r>
      <w:r w:rsidR="003A2095">
        <w:rPr>
          <w:rFonts w:cs="Arial"/>
          <w:szCs w:val="24"/>
          <w:shd w:val="clear" w:color="auto" w:fill="FFFFFF"/>
        </w:rPr>
        <w:t xml:space="preserve"> may do so. The question is whether</w:t>
      </w:r>
      <w:r w:rsidR="00D45D5A">
        <w:rPr>
          <w:rFonts w:cs="Arial"/>
          <w:szCs w:val="24"/>
          <w:shd w:val="clear" w:color="auto" w:fill="FFFFFF"/>
        </w:rPr>
        <w:t xml:space="preserve"> a</w:t>
      </w:r>
      <w:r w:rsidR="000D4451">
        <w:rPr>
          <w:rFonts w:cs="Arial"/>
          <w:szCs w:val="24"/>
          <w:shd w:val="clear" w:color="auto" w:fill="FFFFFF"/>
        </w:rPr>
        <w:t xml:space="preserve"> member’s</w:t>
      </w:r>
      <w:r w:rsidR="00D45D5A">
        <w:rPr>
          <w:rFonts w:cs="Arial"/>
          <w:szCs w:val="24"/>
          <w:shd w:val="clear" w:color="auto" w:fill="FFFFFF"/>
        </w:rPr>
        <w:t xml:space="preserve"> breach of GCB rule 7.2.4 renders the section 92 arrangement or contract unenforceable </w:t>
      </w:r>
      <w:r w:rsidR="004C5F17">
        <w:rPr>
          <w:rFonts w:cs="Arial"/>
          <w:szCs w:val="24"/>
          <w:shd w:val="clear" w:color="auto" w:fill="FFFFFF"/>
        </w:rPr>
        <w:t>and/</w:t>
      </w:r>
      <w:r w:rsidR="00D45D5A">
        <w:rPr>
          <w:rFonts w:cs="Arial"/>
          <w:szCs w:val="24"/>
          <w:shd w:val="clear" w:color="auto" w:fill="FFFFFF"/>
        </w:rPr>
        <w:t xml:space="preserve">or disentitles the </w:t>
      </w:r>
      <w:r w:rsidR="000D4451">
        <w:rPr>
          <w:rFonts w:cs="Arial"/>
          <w:szCs w:val="24"/>
          <w:shd w:val="clear" w:color="auto" w:fill="FFFFFF"/>
        </w:rPr>
        <w:t xml:space="preserve">member </w:t>
      </w:r>
      <w:r w:rsidR="00D45D5A">
        <w:rPr>
          <w:rFonts w:cs="Arial"/>
          <w:szCs w:val="24"/>
          <w:shd w:val="clear" w:color="auto" w:fill="FFFFFF"/>
        </w:rPr>
        <w:t xml:space="preserve">to his or her fee. </w:t>
      </w:r>
      <w:r w:rsidR="003A2095">
        <w:rPr>
          <w:rFonts w:cs="Arial"/>
          <w:szCs w:val="24"/>
          <w:shd w:val="clear" w:color="auto" w:fill="FFFFFF"/>
        </w:rPr>
        <w:t xml:space="preserve"> </w:t>
      </w:r>
    </w:p>
    <w:p w14:paraId="30D98DE9" w14:textId="4EAEB202" w:rsidR="00E955E1" w:rsidRDefault="00D10B3D" w:rsidP="00D10B3D">
      <w:pPr>
        <w:pStyle w:val="LEVEL10"/>
        <w:numPr>
          <w:ilvl w:val="0"/>
          <w:numId w:val="0"/>
        </w:numPr>
        <w:tabs>
          <w:tab w:val="left" w:pos="737"/>
        </w:tabs>
        <w:ind w:left="851" w:hanging="851"/>
        <w:rPr>
          <w:rFonts w:cs="Arial"/>
          <w:szCs w:val="24"/>
          <w:shd w:val="clear" w:color="auto" w:fill="FFFFFF"/>
        </w:rPr>
      </w:pPr>
      <w:r>
        <w:rPr>
          <w:rFonts w:cs="Arial"/>
          <w:szCs w:val="24"/>
        </w:rPr>
        <w:t>[55]</w:t>
      </w:r>
      <w:r>
        <w:rPr>
          <w:rFonts w:cs="Arial"/>
          <w:szCs w:val="24"/>
        </w:rPr>
        <w:tab/>
      </w:r>
      <w:r w:rsidR="00FB0318" w:rsidRPr="00EF18C4">
        <w:rPr>
          <w:rFonts w:cs="Arial"/>
          <w:szCs w:val="24"/>
          <w:shd w:val="clear" w:color="auto" w:fill="FFFFFF"/>
        </w:rPr>
        <w:t xml:space="preserve"> </w:t>
      </w:r>
      <w:r w:rsidR="001A2325">
        <w:rPr>
          <w:rFonts w:cs="Arial"/>
          <w:szCs w:val="24"/>
          <w:shd w:val="clear" w:color="auto" w:fill="FFFFFF"/>
        </w:rPr>
        <w:t xml:space="preserve"> </w:t>
      </w:r>
      <w:r w:rsidR="00E955E1" w:rsidRPr="00EF18C4">
        <w:rPr>
          <w:rFonts w:cs="Arial"/>
          <w:szCs w:val="24"/>
          <w:shd w:val="clear" w:color="auto" w:fill="FFFFFF"/>
        </w:rPr>
        <w:t>Bar rules are recognised by the courts and are enforced by the courts.</w:t>
      </w:r>
      <w:r w:rsidR="00E955E1" w:rsidRPr="00EF18C4">
        <w:rPr>
          <w:rStyle w:val="FootnoteReference"/>
          <w:rFonts w:cs="Arial"/>
          <w:szCs w:val="24"/>
          <w:shd w:val="clear" w:color="auto" w:fill="FFFFFF"/>
        </w:rPr>
        <w:footnoteReference w:id="20"/>
      </w:r>
      <w:r w:rsidR="00E955E1" w:rsidRPr="00EF18C4">
        <w:rPr>
          <w:rFonts w:cs="Arial"/>
          <w:szCs w:val="24"/>
          <w:shd w:val="clear" w:color="auto" w:fill="FFFFFF"/>
        </w:rPr>
        <w:t xml:space="preserve"> The </w:t>
      </w:r>
      <w:r w:rsidR="00D45D5A">
        <w:rPr>
          <w:rFonts w:cs="Arial"/>
          <w:szCs w:val="24"/>
          <w:shd w:val="clear" w:color="auto" w:fill="FFFFFF"/>
        </w:rPr>
        <w:t>c</w:t>
      </w:r>
      <w:r w:rsidR="00E955E1" w:rsidRPr="00EF18C4">
        <w:rPr>
          <w:rFonts w:cs="Arial"/>
          <w:szCs w:val="24"/>
          <w:shd w:val="clear" w:color="auto" w:fill="FFFFFF"/>
        </w:rPr>
        <w:t>ourt, however, is not bound by these rules</w:t>
      </w:r>
      <w:r w:rsidR="00E955E1">
        <w:rPr>
          <w:rFonts w:cs="Arial"/>
          <w:szCs w:val="24"/>
          <w:shd w:val="clear" w:color="auto" w:fill="FFFFFF"/>
        </w:rPr>
        <w:t>.</w:t>
      </w:r>
      <w:r w:rsidR="00E955E1">
        <w:rPr>
          <w:rStyle w:val="FootnoteReference"/>
          <w:rFonts w:cs="Arial"/>
          <w:szCs w:val="24"/>
          <w:shd w:val="clear" w:color="auto" w:fill="FFFFFF"/>
        </w:rPr>
        <w:footnoteReference w:id="21"/>
      </w:r>
      <w:r w:rsidR="00E955E1" w:rsidRPr="00EF18C4">
        <w:rPr>
          <w:rFonts w:cs="Arial"/>
          <w:szCs w:val="24"/>
          <w:shd w:val="clear" w:color="auto" w:fill="FFFFFF"/>
        </w:rPr>
        <w:t> </w:t>
      </w:r>
      <w:r w:rsidR="00E955E1">
        <w:t xml:space="preserve">In none of the cases which I could find was it held that a fee agreement was </w:t>
      </w:r>
      <w:r w:rsidR="00C873FC">
        <w:t xml:space="preserve">void or </w:t>
      </w:r>
      <w:r w:rsidR="00E955E1">
        <w:t>invalid</w:t>
      </w:r>
      <w:r w:rsidR="004C5F17">
        <w:t xml:space="preserve"> or unenforceable </w:t>
      </w:r>
      <w:r w:rsidR="00E955E1">
        <w:t xml:space="preserve"> because of a breach of bar rules. In some cases the courts have relied on bar rules in dealing with allegations of overreaching or professional misconduct, but other considerations apply in such cases.</w:t>
      </w:r>
      <w:r w:rsidR="00E955E1" w:rsidRPr="00E955E1">
        <w:rPr>
          <w:rFonts w:cs="Arial"/>
          <w:szCs w:val="24"/>
          <w:shd w:val="clear" w:color="auto" w:fill="FFFFFF"/>
        </w:rPr>
        <w:t xml:space="preserve"> </w:t>
      </w:r>
    </w:p>
    <w:p w14:paraId="3B90BDA6" w14:textId="4B6A78F2" w:rsidR="00E955E1" w:rsidRPr="00C17AA4" w:rsidRDefault="00D10B3D" w:rsidP="00D10B3D">
      <w:pPr>
        <w:pStyle w:val="LEVEL10"/>
        <w:numPr>
          <w:ilvl w:val="0"/>
          <w:numId w:val="0"/>
        </w:numPr>
        <w:tabs>
          <w:tab w:val="left" w:pos="737"/>
        </w:tabs>
        <w:ind w:left="851" w:hanging="851"/>
        <w:rPr>
          <w:rFonts w:cs="Arial"/>
          <w:szCs w:val="24"/>
          <w:shd w:val="clear" w:color="auto" w:fill="FFFFFF"/>
        </w:rPr>
      </w:pPr>
      <w:r w:rsidRPr="00C17AA4">
        <w:rPr>
          <w:rFonts w:cs="Arial"/>
          <w:szCs w:val="24"/>
        </w:rPr>
        <w:t>[56]</w:t>
      </w:r>
      <w:r w:rsidRPr="00C17AA4">
        <w:rPr>
          <w:rFonts w:cs="Arial"/>
          <w:szCs w:val="24"/>
        </w:rPr>
        <w:tab/>
      </w:r>
      <w:r w:rsidR="00EB0E41">
        <w:rPr>
          <w:rFonts w:cs="Arial"/>
          <w:szCs w:val="24"/>
          <w:shd w:val="clear" w:color="auto" w:fill="FFFFFF"/>
        </w:rPr>
        <w:t xml:space="preserve"> </w:t>
      </w:r>
      <w:r w:rsidR="00D45D5A">
        <w:rPr>
          <w:rFonts w:cs="Arial"/>
          <w:szCs w:val="24"/>
          <w:shd w:val="clear" w:color="auto" w:fill="FFFFFF"/>
        </w:rPr>
        <w:t xml:space="preserve"> </w:t>
      </w:r>
      <w:r w:rsidR="00EB0E41">
        <w:rPr>
          <w:rFonts w:cs="Arial"/>
          <w:szCs w:val="24"/>
          <w:shd w:val="clear" w:color="auto" w:fill="FFFFFF"/>
        </w:rPr>
        <w:t xml:space="preserve">GCB rule 7.2.4 </w:t>
      </w:r>
      <w:r w:rsidR="000D4451">
        <w:rPr>
          <w:rFonts w:cs="Arial"/>
          <w:szCs w:val="24"/>
          <w:shd w:val="clear" w:color="auto" w:fill="FFFFFF"/>
        </w:rPr>
        <w:t xml:space="preserve">reflects </w:t>
      </w:r>
      <w:r w:rsidR="00B46069">
        <w:rPr>
          <w:rFonts w:cs="Arial"/>
          <w:szCs w:val="24"/>
          <w:shd w:val="clear" w:color="auto" w:fill="FFFFFF"/>
        </w:rPr>
        <w:t xml:space="preserve">the traditional view that </w:t>
      </w:r>
      <w:r w:rsidR="00EB0E41">
        <w:rPr>
          <w:rFonts w:cs="Arial"/>
          <w:szCs w:val="24"/>
          <w:shd w:val="clear" w:color="auto" w:fill="FFFFFF"/>
        </w:rPr>
        <w:t xml:space="preserve">an advocate </w:t>
      </w:r>
      <w:r w:rsidR="00B46069">
        <w:rPr>
          <w:rFonts w:cs="Arial"/>
          <w:szCs w:val="24"/>
          <w:shd w:val="clear" w:color="auto" w:fill="FFFFFF"/>
        </w:rPr>
        <w:t xml:space="preserve">should not have a </w:t>
      </w:r>
      <w:r w:rsidR="00EB0E41">
        <w:rPr>
          <w:rFonts w:cs="Arial"/>
          <w:szCs w:val="24"/>
          <w:shd w:val="clear" w:color="auto" w:fill="FFFFFF"/>
        </w:rPr>
        <w:t xml:space="preserve">financial interest in the </w:t>
      </w:r>
      <w:r w:rsidR="00B46069">
        <w:rPr>
          <w:rFonts w:cs="Arial"/>
          <w:szCs w:val="24"/>
          <w:shd w:val="clear" w:color="auto" w:fill="FFFFFF"/>
        </w:rPr>
        <w:t xml:space="preserve">outcome of </w:t>
      </w:r>
      <w:r w:rsidR="00EB0E41">
        <w:rPr>
          <w:rFonts w:cs="Arial"/>
          <w:szCs w:val="24"/>
          <w:shd w:val="clear" w:color="auto" w:fill="FFFFFF"/>
        </w:rPr>
        <w:t xml:space="preserve">litigation </w:t>
      </w:r>
      <w:r w:rsidR="00B46069">
        <w:rPr>
          <w:rFonts w:cs="Arial"/>
          <w:szCs w:val="24"/>
          <w:shd w:val="clear" w:color="auto" w:fill="FFFFFF"/>
        </w:rPr>
        <w:t xml:space="preserve">as it may cause the advocate to lose </w:t>
      </w:r>
      <w:r w:rsidR="00EB0E41">
        <w:rPr>
          <w:rFonts w:cs="Arial"/>
          <w:szCs w:val="24"/>
          <w:shd w:val="clear" w:color="auto" w:fill="FFFFFF"/>
        </w:rPr>
        <w:t>his or</w:t>
      </w:r>
      <w:r w:rsidR="00D16C81">
        <w:rPr>
          <w:rFonts w:cs="Arial"/>
          <w:szCs w:val="24"/>
          <w:shd w:val="clear" w:color="auto" w:fill="FFFFFF"/>
        </w:rPr>
        <w:t xml:space="preserve"> her</w:t>
      </w:r>
      <w:r w:rsidR="00EB0E41">
        <w:rPr>
          <w:rFonts w:cs="Arial"/>
          <w:szCs w:val="24"/>
          <w:shd w:val="clear" w:color="auto" w:fill="FFFFFF"/>
        </w:rPr>
        <w:t xml:space="preserve"> </w:t>
      </w:r>
      <w:r w:rsidR="00EB0E41" w:rsidRPr="00D16C81">
        <w:rPr>
          <w:rFonts w:cs="Arial"/>
          <w:szCs w:val="24"/>
          <w:shd w:val="clear" w:color="auto" w:fill="FFFFFF"/>
        </w:rPr>
        <w:t>independence</w:t>
      </w:r>
      <w:r w:rsidR="00EB0E41" w:rsidRPr="00EB0E41">
        <w:rPr>
          <w:rFonts w:cs="Arial"/>
          <w:i/>
          <w:iCs/>
          <w:szCs w:val="24"/>
          <w:shd w:val="clear" w:color="auto" w:fill="FFFFFF"/>
        </w:rPr>
        <w:t>.</w:t>
      </w:r>
      <w:r w:rsidR="00EB0E41">
        <w:rPr>
          <w:rStyle w:val="FootnoteReference"/>
          <w:rFonts w:cs="Arial"/>
          <w:szCs w:val="24"/>
          <w:shd w:val="clear" w:color="auto" w:fill="FFFFFF"/>
        </w:rPr>
        <w:footnoteReference w:id="22"/>
      </w:r>
      <w:r w:rsidR="00C17AA4" w:rsidRPr="00C17AA4">
        <w:rPr>
          <w:rFonts w:ascii="Verdana" w:hAnsi="Verdana"/>
          <w:color w:val="2C3E50"/>
          <w:sz w:val="20"/>
          <w:szCs w:val="20"/>
          <w:shd w:val="clear" w:color="auto" w:fill="FFFFFF"/>
        </w:rPr>
        <w:t xml:space="preserve"> </w:t>
      </w:r>
      <w:r w:rsidR="00B46069">
        <w:rPr>
          <w:rFonts w:cs="Arial"/>
          <w:szCs w:val="24"/>
          <w:shd w:val="clear" w:color="auto" w:fill="FFFFFF"/>
        </w:rPr>
        <w:t xml:space="preserve">Such contracts were treated as contracts contrary to public policy and void, </w:t>
      </w:r>
      <w:r w:rsidR="00C17AA4" w:rsidRPr="00C17AA4">
        <w:rPr>
          <w:rFonts w:cs="Arial"/>
          <w:szCs w:val="24"/>
          <w:shd w:val="clear" w:color="auto" w:fill="FFFFFF"/>
        </w:rPr>
        <w:t>but it is now appreciated that they may promote access to justice</w:t>
      </w:r>
      <w:r w:rsidR="00C17AA4">
        <w:rPr>
          <w:rFonts w:cs="Arial"/>
          <w:szCs w:val="24"/>
          <w:shd w:val="clear" w:color="auto" w:fill="FFFFFF"/>
        </w:rPr>
        <w:t>.</w:t>
      </w:r>
      <w:r w:rsidR="00C17AA4">
        <w:rPr>
          <w:rStyle w:val="FootnoteReference"/>
          <w:rFonts w:cs="Arial"/>
          <w:szCs w:val="24"/>
          <w:shd w:val="clear" w:color="auto" w:fill="FFFFFF"/>
        </w:rPr>
        <w:footnoteReference w:id="23"/>
      </w:r>
      <w:r w:rsidR="000D4451">
        <w:rPr>
          <w:rFonts w:cs="Arial"/>
          <w:szCs w:val="24"/>
          <w:shd w:val="clear" w:color="auto" w:fill="FFFFFF"/>
        </w:rPr>
        <w:t xml:space="preserve"> (</w:t>
      </w:r>
      <w:r w:rsidR="00CC261B">
        <w:rPr>
          <w:rFonts w:cs="Arial"/>
          <w:szCs w:val="24"/>
          <w:shd w:val="clear" w:color="auto" w:fill="FFFFFF"/>
        </w:rPr>
        <w:t xml:space="preserve">A contract of this nature is called a </w:t>
      </w:r>
      <w:r w:rsidR="00CC261B" w:rsidRPr="00CC261B">
        <w:rPr>
          <w:i/>
          <w:iCs/>
        </w:rPr>
        <w:lastRenderedPageBreak/>
        <w:t>pactum</w:t>
      </w:r>
      <w:r w:rsidR="00CC261B" w:rsidRPr="00CC261B">
        <w:rPr>
          <w:rFonts w:ascii="Verdana" w:hAnsi="Verdana"/>
          <w:i/>
          <w:iCs/>
          <w:color w:val="2C3E50"/>
          <w:sz w:val="26"/>
          <w:szCs w:val="26"/>
          <w:shd w:val="clear" w:color="auto" w:fill="FFFFFF"/>
        </w:rPr>
        <w:t> </w:t>
      </w:r>
      <w:r w:rsidR="00CC261B" w:rsidRPr="00CC261B">
        <w:rPr>
          <w:i/>
          <w:iCs/>
        </w:rPr>
        <w:t>de</w:t>
      </w:r>
      <w:r w:rsidR="00CC261B" w:rsidRPr="00CC261B">
        <w:rPr>
          <w:rFonts w:ascii="Verdana" w:hAnsi="Verdana"/>
          <w:i/>
          <w:iCs/>
          <w:color w:val="2C3E50"/>
          <w:sz w:val="26"/>
          <w:szCs w:val="26"/>
          <w:shd w:val="clear" w:color="auto" w:fill="FFFFFF"/>
        </w:rPr>
        <w:t> </w:t>
      </w:r>
      <w:r w:rsidR="00CC261B" w:rsidRPr="00CC261B">
        <w:rPr>
          <w:i/>
          <w:iCs/>
        </w:rPr>
        <w:t>quota</w:t>
      </w:r>
      <w:r w:rsidR="00CC261B" w:rsidRPr="00CC261B">
        <w:rPr>
          <w:rFonts w:ascii="Verdana" w:hAnsi="Verdana"/>
          <w:i/>
          <w:iCs/>
          <w:color w:val="2C3E50"/>
          <w:sz w:val="26"/>
          <w:szCs w:val="26"/>
          <w:shd w:val="clear" w:color="auto" w:fill="FFFFFF"/>
        </w:rPr>
        <w:t> </w:t>
      </w:r>
      <w:r w:rsidR="00CC261B" w:rsidRPr="00CC261B">
        <w:rPr>
          <w:i/>
          <w:iCs/>
        </w:rPr>
        <w:t>litis</w:t>
      </w:r>
      <w:r w:rsidR="00CC261B">
        <w:t xml:space="preserve"> or champerty agreement.)</w:t>
      </w:r>
    </w:p>
    <w:p w14:paraId="70FCBA93" w14:textId="4E591AEB" w:rsidR="00690704" w:rsidRDefault="00D10B3D" w:rsidP="00D10B3D">
      <w:pPr>
        <w:pStyle w:val="LEVEL10"/>
        <w:numPr>
          <w:ilvl w:val="0"/>
          <w:numId w:val="0"/>
        </w:numPr>
        <w:tabs>
          <w:tab w:val="left" w:pos="737"/>
        </w:tabs>
        <w:ind w:left="851" w:hanging="851"/>
        <w:rPr>
          <w:rFonts w:cs="Arial"/>
          <w:szCs w:val="24"/>
          <w:shd w:val="clear" w:color="auto" w:fill="FFFFFF"/>
        </w:rPr>
      </w:pPr>
      <w:r>
        <w:rPr>
          <w:rFonts w:cs="Arial"/>
          <w:szCs w:val="24"/>
        </w:rPr>
        <w:t>[57]</w:t>
      </w:r>
      <w:r>
        <w:rPr>
          <w:rFonts w:cs="Arial"/>
          <w:szCs w:val="24"/>
        </w:rPr>
        <w:tab/>
      </w:r>
      <w:r w:rsidR="00E955E1">
        <w:rPr>
          <w:rFonts w:cs="Arial"/>
          <w:szCs w:val="24"/>
          <w:shd w:val="clear" w:color="auto" w:fill="FFFFFF"/>
        </w:rPr>
        <w:t xml:space="preserve">  </w:t>
      </w:r>
      <w:r w:rsidR="00580908">
        <w:rPr>
          <w:rFonts w:cs="Arial"/>
          <w:szCs w:val="24"/>
          <w:shd w:val="clear" w:color="auto" w:fill="FFFFFF"/>
        </w:rPr>
        <w:t>A contract  which contravenes some provision of a statute is not necessarily void or unenforceable.</w:t>
      </w:r>
      <w:r w:rsidR="00580908">
        <w:rPr>
          <w:rStyle w:val="FootnoteReference"/>
          <w:rFonts w:cs="Arial"/>
          <w:szCs w:val="24"/>
          <w:shd w:val="clear" w:color="auto" w:fill="FFFFFF"/>
        </w:rPr>
        <w:footnoteReference w:id="24"/>
      </w:r>
      <w:r w:rsidR="00580908">
        <w:rPr>
          <w:rFonts w:cs="Arial"/>
          <w:szCs w:val="24"/>
          <w:shd w:val="clear" w:color="auto" w:fill="FFFFFF"/>
        </w:rPr>
        <w:t xml:space="preserve"> The breach of a bar rule cannot </w:t>
      </w:r>
      <w:r w:rsidR="00580908" w:rsidRPr="00580908">
        <w:rPr>
          <w:rFonts w:cs="Arial"/>
          <w:i/>
          <w:iCs/>
          <w:szCs w:val="24"/>
          <w:shd w:val="clear" w:color="auto" w:fill="FFFFFF"/>
        </w:rPr>
        <w:t>per se</w:t>
      </w:r>
      <w:r w:rsidR="00580908">
        <w:rPr>
          <w:rFonts w:cs="Arial"/>
          <w:szCs w:val="24"/>
          <w:shd w:val="clear" w:color="auto" w:fill="FFFFFF"/>
        </w:rPr>
        <w:t xml:space="preserve"> render a contract </w:t>
      </w:r>
      <w:r w:rsidR="000D4451">
        <w:rPr>
          <w:rFonts w:cs="Arial"/>
          <w:szCs w:val="24"/>
          <w:shd w:val="clear" w:color="auto" w:fill="FFFFFF"/>
        </w:rPr>
        <w:t xml:space="preserve">concluded by the member/advocate </w:t>
      </w:r>
      <w:r w:rsidR="00580908">
        <w:rPr>
          <w:rFonts w:cs="Arial"/>
          <w:szCs w:val="24"/>
          <w:shd w:val="clear" w:color="auto" w:fill="FFFFFF"/>
        </w:rPr>
        <w:t>unenforceable</w:t>
      </w:r>
      <w:r w:rsidR="00A054B9">
        <w:rPr>
          <w:rFonts w:cs="Arial"/>
          <w:szCs w:val="24"/>
          <w:shd w:val="clear" w:color="auto" w:fill="FFFFFF"/>
        </w:rPr>
        <w:t>. P</w:t>
      </w:r>
      <w:r w:rsidR="00580908">
        <w:rPr>
          <w:rFonts w:cs="Arial"/>
          <w:szCs w:val="24"/>
          <w:shd w:val="clear" w:color="auto" w:fill="FFFFFF"/>
        </w:rPr>
        <w:t xml:space="preserve">ublic policy </w:t>
      </w:r>
      <w:r w:rsidR="00A054B9">
        <w:rPr>
          <w:rFonts w:cs="Arial"/>
          <w:szCs w:val="24"/>
          <w:shd w:val="clear" w:color="auto" w:fill="FFFFFF"/>
        </w:rPr>
        <w:t xml:space="preserve">also </w:t>
      </w:r>
      <w:r w:rsidR="00580908">
        <w:rPr>
          <w:rFonts w:cs="Arial"/>
          <w:szCs w:val="24"/>
          <w:shd w:val="clear" w:color="auto" w:fill="FFFFFF"/>
        </w:rPr>
        <w:t xml:space="preserve">does not require that the breach of </w:t>
      </w:r>
      <w:r w:rsidR="00A054B9">
        <w:rPr>
          <w:rFonts w:cs="Arial"/>
          <w:szCs w:val="24"/>
          <w:shd w:val="clear" w:color="auto" w:fill="FFFFFF"/>
        </w:rPr>
        <w:t xml:space="preserve">this particular bar rule be visited with invalidity or </w:t>
      </w:r>
      <w:r w:rsidR="00690704">
        <w:rPr>
          <w:rFonts w:cs="Arial"/>
          <w:szCs w:val="24"/>
          <w:shd w:val="clear" w:color="auto" w:fill="FFFFFF"/>
        </w:rPr>
        <w:t>unenforceability.</w:t>
      </w:r>
      <w:r w:rsidR="00690704">
        <w:rPr>
          <w:rStyle w:val="FootnoteReference"/>
          <w:rFonts w:cs="Arial"/>
          <w:szCs w:val="24"/>
          <w:shd w:val="clear" w:color="auto" w:fill="FFFFFF"/>
        </w:rPr>
        <w:footnoteReference w:id="25"/>
      </w:r>
      <w:r w:rsidR="00690704">
        <w:rPr>
          <w:rFonts w:cs="Arial"/>
          <w:szCs w:val="24"/>
          <w:shd w:val="clear" w:color="auto" w:fill="FFFFFF"/>
        </w:rPr>
        <w:t xml:space="preserve">  </w:t>
      </w:r>
    </w:p>
    <w:p w14:paraId="50764FA2" w14:textId="42263201" w:rsidR="00690704" w:rsidRPr="00690704" w:rsidRDefault="00D10B3D" w:rsidP="00D10B3D">
      <w:pPr>
        <w:pStyle w:val="LEVEL10"/>
        <w:numPr>
          <w:ilvl w:val="0"/>
          <w:numId w:val="0"/>
        </w:numPr>
        <w:tabs>
          <w:tab w:val="left" w:pos="737"/>
        </w:tabs>
        <w:ind w:left="851" w:hanging="851"/>
        <w:rPr>
          <w:rFonts w:cs="Arial"/>
          <w:szCs w:val="24"/>
          <w:shd w:val="clear" w:color="auto" w:fill="FFFFFF"/>
        </w:rPr>
      </w:pPr>
      <w:r w:rsidRPr="00690704">
        <w:rPr>
          <w:rFonts w:cs="Arial"/>
          <w:szCs w:val="24"/>
        </w:rPr>
        <w:t>[58]</w:t>
      </w:r>
      <w:r w:rsidRPr="00690704">
        <w:rPr>
          <w:rFonts w:cs="Arial"/>
          <w:szCs w:val="24"/>
        </w:rPr>
        <w:tab/>
      </w:r>
      <w:r w:rsidR="006438A1">
        <w:rPr>
          <w:rFonts w:cs="Arial"/>
          <w:szCs w:val="24"/>
          <w:shd w:val="clear" w:color="auto" w:fill="FFFFFF"/>
        </w:rPr>
        <w:t xml:space="preserve"> </w:t>
      </w:r>
      <w:r w:rsidR="00690704">
        <w:rPr>
          <w:rFonts w:cs="Arial"/>
          <w:szCs w:val="24"/>
          <w:shd w:val="clear" w:color="auto" w:fill="FFFFFF"/>
        </w:rPr>
        <w:t>Section 92 of the LPA is therefore applicable in this case, in spite of the breach of GCB rule 7.2.4.</w:t>
      </w:r>
    </w:p>
    <w:p w14:paraId="020F49DC" w14:textId="10F0CDB9" w:rsidR="008B4BDB" w:rsidRDefault="008B4BDB" w:rsidP="008B4BDB">
      <w:pPr>
        <w:pStyle w:val="Heading1"/>
      </w:pPr>
      <w:r>
        <w:t>COSTS</w:t>
      </w:r>
    </w:p>
    <w:p w14:paraId="70D300C5" w14:textId="5AB73983" w:rsidR="001102D5" w:rsidRPr="001102D5" w:rsidRDefault="00D10B3D" w:rsidP="00D10B3D">
      <w:pPr>
        <w:pStyle w:val="LEVEL10"/>
        <w:numPr>
          <w:ilvl w:val="0"/>
          <w:numId w:val="0"/>
        </w:numPr>
        <w:tabs>
          <w:tab w:val="left" w:pos="737"/>
        </w:tabs>
        <w:ind w:left="851" w:hanging="851"/>
        <w:rPr>
          <w:rFonts w:cs="Arial"/>
          <w:szCs w:val="24"/>
        </w:rPr>
      </w:pPr>
      <w:r w:rsidRPr="001102D5">
        <w:rPr>
          <w:rFonts w:cs="Arial"/>
          <w:szCs w:val="24"/>
        </w:rPr>
        <w:t>[59]</w:t>
      </w:r>
      <w:r w:rsidRPr="001102D5">
        <w:rPr>
          <w:rFonts w:cs="Arial"/>
          <w:szCs w:val="24"/>
        </w:rPr>
        <w:tab/>
      </w:r>
      <w:r w:rsidR="008B4BDB">
        <w:t xml:space="preserve"> Costs should follow the result.  The respondents sought costs on the attorney and client scale, </w:t>
      </w:r>
      <w:r w:rsidR="001102D5">
        <w:t xml:space="preserve">but </w:t>
      </w:r>
      <w:r w:rsidR="008B4BDB">
        <w:t>the facts of this matter do not warrant such an order.  The applicant is entitled to the cost</w:t>
      </w:r>
      <w:r w:rsidR="00DD7F26">
        <w:t>s</w:t>
      </w:r>
      <w:r w:rsidR="008B4BDB">
        <w:t xml:space="preserve"> of the striking-out application.</w:t>
      </w:r>
      <w:r w:rsidR="00DD7F26">
        <w:rPr>
          <w:rStyle w:val="FootnoteReference"/>
        </w:rPr>
        <w:footnoteReference w:id="26"/>
      </w:r>
      <w:r w:rsidR="008B4BDB">
        <w:t xml:space="preserve">  </w:t>
      </w:r>
    </w:p>
    <w:p w14:paraId="6B05E892" w14:textId="22FD7735" w:rsidR="001D5B55" w:rsidRPr="001102D5" w:rsidRDefault="001D5B55" w:rsidP="001102D5">
      <w:pPr>
        <w:pStyle w:val="LEVEL10"/>
        <w:numPr>
          <w:ilvl w:val="0"/>
          <w:numId w:val="0"/>
        </w:numPr>
        <w:rPr>
          <w:rFonts w:cs="Arial"/>
          <w:b/>
          <w:bCs/>
          <w:szCs w:val="24"/>
        </w:rPr>
      </w:pPr>
      <w:r w:rsidRPr="001102D5">
        <w:rPr>
          <w:rFonts w:cs="Arial"/>
          <w:b/>
          <w:bCs/>
          <w:szCs w:val="24"/>
        </w:rPr>
        <w:t>ORDER</w:t>
      </w:r>
    </w:p>
    <w:p w14:paraId="24B11855" w14:textId="4A4CD758" w:rsidR="008B4BDB" w:rsidRDefault="00D10B3D" w:rsidP="00D10B3D">
      <w:pPr>
        <w:pStyle w:val="LEVEL10"/>
        <w:numPr>
          <w:ilvl w:val="0"/>
          <w:numId w:val="0"/>
        </w:numPr>
        <w:tabs>
          <w:tab w:val="left" w:pos="737"/>
        </w:tabs>
        <w:ind w:left="851" w:hanging="851"/>
      </w:pPr>
      <w:r>
        <w:t>[60]</w:t>
      </w:r>
      <w:r>
        <w:tab/>
      </w:r>
      <w:r w:rsidR="008B4BDB">
        <w:t>The following order is made:</w:t>
      </w:r>
    </w:p>
    <w:p w14:paraId="38FF329F" w14:textId="5D9C2539" w:rsidR="008B4BDB" w:rsidRDefault="00D10B3D" w:rsidP="00D10B3D">
      <w:pPr>
        <w:pStyle w:val="1"/>
        <w:numPr>
          <w:ilvl w:val="0"/>
          <w:numId w:val="0"/>
        </w:numPr>
        <w:ind w:left="1701" w:hanging="850"/>
      </w:pPr>
      <w:r>
        <w:t>1.</w:t>
      </w:r>
      <w:r>
        <w:tab/>
      </w:r>
      <w:r w:rsidR="008B4BDB">
        <w:t>Paragraphs 19 to 43, 46 to 61 and 68.3 of the first and fourth respondents’ answering affidavit are struck out.</w:t>
      </w:r>
    </w:p>
    <w:p w14:paraId="3145CB04" w14:textId="6CCF0914" w:rsidR="008B4BDB" w:rsidRDefault="00D10B3D" w:rsidP="00D10B3D">
      <w:pPr>
        <w:pStyle w:val="1"/>
        <w:numPr>
          <w:ilvl w:val="0"/>
          <w:numId w:val="0"/>
        </w:numPr>
        <w:ind w:left="1701" w:hanging="850"/>
      </w:pPr>
      <w:r>
        <w:lastRenderedPageBreak/>
        <w:t>2.</w:t>
      </w:r>
      <w:r>
        <w:tab/>
      </w:r>
      <w:r w:rsidR="008B4BDB">
        <w:t>First and second respondents are ordered to pay the cost</w:t>
      </w:r>
      <w:r w:rsidR="00DD7F26">
        <w:t>s</w:t>
      </w:r>
      <w:r w:rsidR="008B4BDB">
        <w:t xml:space="preserve"> of the striking-out application.</w:t>
      </w:r>
    </w:p>
    <w:p w14:paraId="5D8A1658" w14:textId="32A7DCD1" w:rsidR="008B4BDB" w:rsidRDefault="00D10B3D" w:rsidP="00D10B3D">
      <w:pPr>
        <w:pStyle w:val="1"/>
        <w:numPr>
          <w:ilvl w:val="0"/>
          <w:numId w:val="0"/>
        </w:numPr>
        <w:ind w:left="1701" w:hanging="850"/>
      </w:pPr>
      <w:r>
        <w:t>3.</w:t>
      </w:r>
      <w:r>
        <w:tab/>
      </w:r>
      <w:r w:rsidR="008B4BDB">
        <w:t>The main application is dismissed.</w:t>
      </w:r>
    </w:p>
    <w:p w14:paraId="68769B4F" w14:textId="7E3AD91B" w:rsidR="003665A6" w:rsidRDefault="00D10B3D" w:rsidP="00D10B3D">
      <w:pPr>
        <w:pStyle w:val="1"/>
        <w:numPr>
          <w:ilvl w:val="0"/>
          <w:numId w:val="0"/>
        </w:numPr>
        <w:ind w:left="1701" w:hanging="850"/>
      </w:pPr>
      <w:r>
        <w:t>4.</w:t>
      </w:r>
      <w:r>
        <w:tab/>
      </w:r>
      <w:r w:rsidR="008B4BDB">
        <w:t xml:space="preserve">The applicant is </w:t>
      </w:r>
      <w:r w:rsidR="000D4451">
        <w:t xml:space="preserve">ordered </w:t>
      </w:r>
      <w:r w:rsidR="008B4BDB">
        <w:t>to pay the cost</w:t>
      </w:r>
      <w:r w:rsidR="00DD7F26">
        <w:t>s</w:t>
      </w:r>
      <w:r w:rsidR="008B4BDB">
        <w:t xml:space="preserve"> of the main application.</w:t>
      </w:r>
    </w:p>
    <w:p w14:paraId="58CB001C" w14:textId="7ED017FF" w:rsidR="00690704" w:rsidRDefault="00690704" w:rsidP="00690704">
      <w:pPr>
        <w:pStyle w:val="1"/>
        <w:numPr>
          <w:ilvl w:val="0"/>
          <w:numId w:val="0"/>
        </w:numPr>
        <w:ind w:left="1701" w:hanging="850"/>
      </w:pPr>
    </w:p>
    <w:p w14:paraId="10358C13" w14:textId="77777777" w:rsidR="00690704" w:rsidRPr="007A51D0" w:rsidRDefault="00690704" w:rsidP="00690704">
      <w:pPr>
        <w:pStyle w:val="1"/>
        <w:numPr>
          <w:ilvl w:val="0"/>
          <w:numId w:val="0"/>
        </w:numPr>
        <w:ind w:left="1701" w:hanging="850"/>
      </w:pPr>
    </w:p>
    <w:p w14:paraId="29311784" w14:textId="77777777" w:rsidR="003665A6" w:rsidRPr="00F34B8E" w:rsidRDefault="003665A6" w:rsidP="003665A6">
      <w:pPr>
        <w:rPr>
          <w:b/>
          <w:bCs/>
          <w:lang w:val="en-GB"/>
        </w:rPr>
      </w:pPr>
      <w:r w:rsidRPr="00F34B8E">
        <w:rPr>
          <w:b/>
          <w:bCs/>
          <w:lang w:val="en-GB"/>
        </w:rPr>
        <w:t>____________________</w:t>
      </w:r>
    </w:p>
    <w:p w14:paraId="6DC9C468" w14:textId="73BB1A57" w:rsidR="00A22F11" w:rsidRPr="007A51D0" w:rsidRDefault="003665A6" w:rsidP="007A51D0">
      <w:pPr>
        <w:rPr>
          <w:b/>
          <w:bCs/>
          <w:lang w:val="en-GB"/>
        </w:rPr>
      </w:pPr>
      <w:r w:rsidRPr="00F34B8E">
        <w:rPr>
          <w:b/>
          <w:bCs/>
          <w:lang w:val="en-GB"/>
        </w:rPr>
        <w:t>VAN DER BERG AJ</w:t>
      </w:r>
    </w:p>
    <w:p w14:paraId="6F595378" w14:textId="50E40580" w:rsidR="00600CC3" w:rsidRDefault="00600CC3" w:rsidP="007A51D0">
      <w:pPr>
        <w:widowControl w:val="0"/>
        <w:tabs>
          <w:tab w:val="left" w:pos="851"/>
        </w:tabs>
        <w:spacing w:before="0" w:line="240" w:lineRule="auto"/>
        <w:rPr>
          <w:b/>
          <w:lang w:val="en-GB"/>
        </w:rPr>
      </w:pPr>
    </w:p>
    <w:p w14:paraId="613B2466" w14:textId="77777777" w:rsidR="00600CC3" w:rsidRDefault="00600CC3" w:rsidP="007A51D0">
      <w:pPr>
        <w:widowControl w:val="0"/>
        <w:tabs>
          <w:tab w:val="left" w:pos="851"/>
        </w:tabs>
        <w:spacing w:before="0" w:line="240" w:lineRule="auto"/>
        <w:rPr>
          <w:b/>
          <w:lang w:val="en-GB"/>
        </w:rPr>
      </w:pPr>
    </w:p>
    <w:p w14:paraId="5D1C0E4A" w14:textId="717588BF" w:rsidR="007A51D0" w:rsidRDefault="007A51D0" w:rsidP="007A51D0">
      <w:pPr>
        <w:widowControl w:val="0"/>
        <w:tabs>
          <w:tab w:val="left" w:pos="851"/>
        </w:tabs>
        <w:spacing w:before="0" w:line="240" w:lineRule="auto"/>
        <w:rPr>
          <w:b/>
          <w:lang w:val="en-GB"/>
        </w:rPr>
      </w:pPr>
    </w:p>
    <w:p w14:paraId="450BFED3" w14:textId="77777777" w:rsidR="007A51D0" w:rsidRDefault="007A51D0" w:rsidP="007A51D0">
      <w:pPr>
        <w:widowControl w:val="0"/>
        <w:tabs>
          <w:tab w:val="left" w:pos="851"/>
        </w:tabs>
        <w:spacing w:before="0" w:line="240" w:lineRule="auto"/>
        <w:rPr>
          <w:b/>
          <w:lang w:val="en-GB"/>
        </w:rPr>
      </w:pPr>
    </w:p>
    <w:p w14:paraId="095BCE89" w14:textId="77777777" w:rsidR="007A51D0" w:rsidRDefault="007A51D0" w:rsidP="003665A6">
      <w:pPr>
        <w:widowControl w:val="0"/>
        <w:tabs>
          <w:tab w:val="left" w:pos="851"/>
        </w:tabs>
        <w:spacing w:before="0" w:line="240" w:lineRule="auto"/>
        <w:jc w:val="center"/>
        <w:rPr>
          <w:b/>
          <w:lang w:val="en-GB"/>
        </w:rPr>
      </w:pPr>
    </w:p>
    <w:p w14:paraId="251B8336" w14:textId="7DB3E2E7" w:rsidR="00F35A42" w:rsidRPr="00F35A42" w:rsidRDefault="003665A6" w:rsidP="007A51D0">
      <w:pPr>
        <w:widowControl w:val="0"/>
        <w:tabs>
          <w:tab w:val="left" w:pos="851"/>
        </w:tabs>
        <w:spacing w:before="0" w:line="240" w:lineRule="auto"/>
        <w:jc w:val="center"/>
        <w:rPr>
          <w:lang w:val="en-GB"/>
        </w:rPr>
      </w:pPr>
      <w:r w:rsidRPr="00F34B8E">
        <w:rPr>
          <w:b/>
          <w:lang w:val="en-GB"/>
        </w:rPr>
        <w:t>APPEARANCES</w:t>
      </w:r>
    </w:p>
    <w:p w14:paraId="2B8575BA" w14:textId="27F6C11F" w:rsidR="00F35A42" w:rsidRPr="00F35A42" w:rsidRDefault="00F35A42" w:rsidP="00F35A42">
      <w:pPr>
        <w:spacing w:before="0" w:line="240" w:lineRule="auto"/>
        <w:rPr>
          <w:rFonts w:cs="Arial"/>
          <w:szCs w:val="24"/>
          <w:lang w:val="en-GB"/>
        </w:rPr>
      </w:pPr>
      <w:r w:rsidRPr="00F35A42">
        <w:rPr>
          <w:rFonts w:cs="Arial"/>
          <w:b/>
          <w:bCs/>
          <w:szCs w:val="24"/>
          <w:lang w:val="en-GB"/>
        </w:rPr>
        <w:t>For the applicant</w:t>
      </w:r>
      <w:r w:rsidRPr="00F35A42">
        <w:rPr>
          <w:rFonts w:cs="Arial"/>
          <w:szCs w:val="24"/>
          <w:lang w:val="en-GB"/>
        </w:rPr>
        <w:t>:</w:t>
      </w:r>
      <w:r w:rsidRPr="00F35A42">
        <w:rPr>
          <w:rFonts w:cs="Arial"/>
          <w:szCs w:val="24"/>
          <w:lang w:val="en-GB"/>
        </w:rPr>
        <w:tab/>
      </w:r>
    </w:p>
    <w:p w14:paraId="3A022282" w14:textId="77777777" w:rsidR="00F35A42" w:rsidRPr="00F35A42" w:rsidRDefault="00F35A42" w:rsidP="00F35A42">
      <w:pPr>
        <w:spacing w:before="0" w:line="240" w:lineRule="auto"/>
        <w:rPr>
          <w:rFonts w:cs="Arial"/>
          <w:szCs w:val="24"/>
          <w:lang w:val="en-GB"/>
        </w:rPr>
      </w:pPr>
    </w:p>
    <w:p w14:paraId="7EF2A911" w14:textId="77777777" w:rsidR="00F35A42" w:rsidRPr="00F35A42" w:rsidRDefault="00F35A42" w:rsidP="00F35A42">
      <w:pPr>
        <w:spacing w:before="0" w:line="240" w:lineRule="auto"/>
        <w:rPr>
          <w:rFonts w:cs="Arial"/>
          <w:szCs w:val="24"/>
          <w:lang w:val="en-GB"/>
        </w:rPr>
      </w:pPr>
      <w:r w:rsidRPr="00F35A42">
        <w:rPr>
          <w:rFonts w:cs="Arial"/>
          <w:szCs w:val="24"/>
          <w:lang w:val="en-GB"/>
        </w:rPr>
        <w:t>Adv B D Stevens</w:t>
      </w:r>
    </w:p>
    <w:p w14:paraId="3E4CFB32" w14:textId="77777777" w:rsidR="00F35A42" w:rsidRPr="00F35A42" w:rsidRDefault="00F35A42" w:rsidP="00F35A42">
      <w:pPr>
        <w:spacing w:before="0" w:line="240" w:lineRule="auto"/>
        <w:rPr>
          <w:rFonts w:cs="Arial"/>
          <w:szCs w:val="24"/>
          <w:lang w:val="en-GB"/>
        </w:rPr>
      </w:pPr>
      <w:r w:rsidRPr="00F35A42">
        <w:rPr>
          <w:rFonts w:cs="Arial"/>
          <w:szCs w:val="24"/>
          <w:lang w:val="en-GB"/>
        </w:rPr>
        <w:t>Instructed by:</w:t>
      </w:r>
    </w:p>
    <w:p w14:paraId="2A4D771F" w14:textId="77777777" w:rsidR="00F35A42" w:rsidRPr="00F35A42" w:rsidRDefault="00F35A42" w:rsidP="00F35A42">
      <w:pPr>
        <w:spacing w:before="0" w:line="240" w:lineRule="auto"/>
        <w:rPr>
          <w:rFonts w:cs="Arial"/>
          <w:szCs w:val="24"/>
          <w:lang w:val="en-GB"/>
        </w:rPr>
      </w:pPr>
      <w:r w:rsidRPr="00F35A42">
        <w:rPr>
          <w:rFonts w:cs="Arial"/>
          <w:szCs w:val="24"/>
          <w:lang w:val="en-GB"/>
        </w:rPr>
        <w:t>Jurgens Bekker Attorneys</w:t>
      </w:r>
    </w:p>
    <w:p w14:paraId="56617328" w14:textId="186B9EE3" w:rsidR="00F35A42" w:rsidRPr="00F35A42" w:rsidRDefault="00F35A42" w:rsidP="00F35A42">
      <w:pPr>
        <w:spacing w:before="0" w:line="240" w:lineRule="auto"/>
        <w:rPr>
          <w:rFonts w:cs="Arial"/>
          <w:szCs w:val="24"/>
          <w:lang w:val="en-GB"/>
        </w:rPr>
      </w:pPr>
      <w:r w:rsidRPr="00F35A42">
        <w:rPr>
          <w:rFonts w:cs="Arial"/>
          <w:szCs w:val="24"/>
          <w:lang w:val="en-GB"/>
        </w:rPr>
        <w:tab/>
      </w:r>
      <w:r w:rsidRPr="00F35A42">
        <w:rPr>
          <w:rFonts w:cs="Arial"/>
          <w:szCs w:val="24"/>
          <w:lang w:val="en-GB"/>
        </w:rPr>
        <w:tab/>
      </w:r>
    </w:p>
    <w:p w14:paraId="738BAEA7" w14:textId="40266BA0" w:rsidR="00F35A42" w:rsidRPr="00F35A42" w:rsidRDefault="00F35A42" w:rsidP="00F35A42">
      <w:pPr>
        <w:spacing w:before="0" w:line="240" w:lineRule="auto"/>
        <w:rPr>
          <w:rFonts w:cs="Arial"/>
          <w:szCs w:val="24"/>
          <w:lang w:val="en-GB"/>
        </w:rPr>
      </w:pPr>
      <w:r w:rsidRPr="00F35A42">
        <w:rPr>
          <w:rFonts w:cs="Arial"/>
          <w:b/>
          <w:bCs/>
          <w:szCs w:val="24"/>
          <w:lang w:val="en-GB"/>
        </w:rPr>
        <w:t xml:space="preserve">For the </w:t>
      </w:r>
      <w:r>
        <w:rPr>
          <w:rFonts w:cs="Arial"/>
          <w:b/>
          <w:bCs/>
          <w:szCs w:val="24"/>
          <w:lang w:val="en-GB"/>
        </w:rPr>
        <w:t xml:space="preserve">first and fourth </w:t>
      </w:r>
      <w:r w:rsidRPr="00F35A42">
        <w:rPr>
          <w:rFonts w:cs="Arial"/>
          <w:b/>
          <w:bCs/>
          <w:szCs w:val="24"/>
          <w:lang w:val="en-GB"/>
        </w:rPr>
        <w:t>respondents</w:t>
      </w:r>
      <w:r w:rsidRPr="00F35A42">
        <w:rPr>
          <w:rFonts w:cs="Arial"/>
          <w:szCs w:val="24"/>
          <w:lang w:val="en-GB"/>
        </w:rPr>
        <w:t>:</w:t>
      </w:r>
    </w:p>
    <w:p w14:paraId="50B836CD" w14:textId="77777777" w:rsidR="00F35A42" w:rsidRPr="00F35A42" w:rsidRDefault="00F35A42" w:rsidP="00F35A42">
      <w:pPr>
        <w:spacing w:before="0" w:line="240" w:lineRule="auto"/>
        <w:rPr>
          <w:rFonts w:cs="Arial"/>
          <w:szCs w:val="24"/>
          <w:lang w:val="en-GB"/>
        </w:rPr>
      </w:pPr>
    </w:p>
    <w:p w14:paraId="461B334F" w14:textId="4F9CD4AA" w:rsidR="00F35A42" w:rsidRPr="00F35A42" w:rsidRDefault="00F35A42" w:rsidP="00F35A42">
      <w:pPr>
        <w:spacing w:before="0" w:line="240" w:lineRule="auto"/>
        <w:rPr>
          <w:rFonts w:cs="Arial"/>
          <w:szCs w:val="24"/>
          <w:lang w:val="en-GB"/>
        </w:rPr>
      </w:pPr>
      <w:r w:rsidRPr="00F35A42">
        <w:rPr>
          <w:rFonts w:cs="Arial"/>
          <w:szCs w:val="24"/>
          <w:lang w:val="en-GB"/>
        </w:rPr>
        <w:t xml:space="preserve">Adv </w:t>
      </w:r>
      <w:r w:rsidR="006D0508">
        <w:rPr>
          <w:rFonts w:cs="Arial"/>
          <w:szCs w:val="24"/>
          <w:lang w:val="en-GB"/>
        </w:rPr>
        <w:t>L C M Morland</w:t>
      </w:r>
    </w:p>
    <w:p w14:paraId="1C8C3990" w14:textId="77777777" w:rsidR="00F35A42" w:rsidRPr="00F35A42" w:rsidRDefault="00F35A42" w:rsidP="00F35A42">
      <w:pPr>
        <w:spacing w:before="0" w:line="240" w:lineRule="auto"/>
        <w:rPr>
          <w:rFonts w:cs="Arial"/>
          <w:szCs w:val="24"/>
          <w:lang w:val="en-GB"/>
        </w:rPr>
      </w:pPr>
      <w:r w:rsidRPr="00F35A42">
        <w:rPr>
          <w:rFonts w:cs="Arial"/>
          <w:szCs w:val="24"/>
          <w:lang w:val="en-GB"/>
        </w:rPr>
        <w:t xml:space="preserve">Instructed by: </w:t>
      </w:r>
    </w:p>
    <w:p w14:paraId="4A891750" w14:textId="4E97672F" w:rsidR="00F35A42" w:rsidRDefault="006D0508" w:rsidP="00F35A42">
      <w:pPr>
        <w:spacing w:before="0" w:line="240" w:lineRule="auto"/>
        <w:rPr>
          <w:rFonts w:cs="Arial"/>
          <w:szCs w:val="24"/>
          <w:lang w:val="en-GB"/>
        </w:rPr>
      </w:pPr>
      <w:r>
        <w:rPr>
          <w:rFonts w:cs="Arial"/>
          <w:szCs w:val="24"/>
          <w:lang w:val="en-GB"/>
        </w:rPr>
        <w:t>Warrener De Agrela &amp; Associates</w:t>
      </w:r>
    </w:p>
    <w:p w14:paraId="43E2BFA7" w14:textId="77777777" w:rsidR="007A51D0" w:rsidRDefault="007A51D0" w:rsidP="00F35A42">
      <w:pPr>
        <w:spacing w:before="0" w:line="240" w:lineRule="auto"/>
        <w:rPr>
          <w:rFonts w:cs="Arial"/>
          <w:szCs w:val="24"/>
          <w:lang w:val="en-GB"/>
        </w:rPr>
      </w:pPr>
    </w:p>
    <w:p w14:paraId="08503547" w14:textId="6CDF3A10" w:rsidR="00F35A42" w:rsidRPr="00F35A42" w:rsidRDefault="00F35A42" w:rsidP="00F35A42">
      <w:pPr>
        <w:spacing w:before="0" w:line="240" w:lineRule="auto"/>
        <w:rPr>
          <w:rFonts w:cs="Arial"/>
          <w:szCs w:val="24"/>
          <w:lang w:val="en-GB"/>
        </w:rPr>
      </w:pPr>
      <w:r w:rsidRPr="00F35A42">
        <w:rPr>
          <w:rFonts w:cs="Arial"/>
          <w:szCs w:val="24"/>
          <w:lang w:val="en-GB"/>
        </w:rPr>
        <w:tab/>
      </w:r>
      <w:r w:rsidRPr="00F35A42">
        <w:rPr>
          <w:rFonts w:cs="Arial"/>
          <w:szCs w:val="24"/>
          <w:lang w:val="en-GB"/>
        </w:rPr>
        <w:tab/>
      </w:r>
    </w:p>
    <w:p w14:paraId="654EA3CD" w14:textId="425FE974" w:rsidR="007A51D0" w:rsidRPr="00F35A42" w:rsidRDefault="007A51D0" w:rsidP="007A51D0">
      <w:pPr>
        <w:spacing w:before="0" w:line="240" w:lineRule="auto"/>
        <w:rPr>
          <w:rFonts w:cs="Arial"/>
          <w:szCs w:val="24"/>
          <w:lang w:val="en-GB"/>
        </w:rPr>
      </w:pPr>
      <w:r w:rsidRPr="00F35A42">
        <w:rPr>
          <w:rFonts w:cs="Arial"/>
          <w:szCs w:val="24"/>
          <w:lang w:val="en-GB"/>
        </w:rPr>
        <w:t>Date of hearing:</w:t>
      </w:r>
      <w:r w:rsidRPr="00F35A42">
        <w:rPr>
          <w:rFonts w:cs="Arial"/>
          <w:szCs w:val="24"/>
          <w:lang w:val="en-GB"/>
        </w:rPr>
        <w:tab/>
        <w:t>20 October 2022</w:t>
      </w:r>
    </w:p>
    <w:p w14:paraId="5315F310" w14:textId="73D0AFD7" w:rsidR="000A1850" w:rsidRPr="00D40721" w:rsidRDefault="007A51D0" w:rsidP="00F35A42">
      <w:pPr>
        <w:spacing w:before="0" w:line="240" w:lineRule="auto"/>
        <w:rPr>
          <w:rFonts w:cs="Arial"/>
          <w:szCs w:val="24"/>
          <w:lang w:val="en-GB"/>
        </w:rPr>
      </w:pPr>
      <w:r>
        <w:rPr>
          <w:rFonts w:cs="Arial"/>
          <w:szCs w:val="24"/>
          <w:lang w:val="en-GB"/>
        </w:rPr>
        <w:t>Date of judgment:</w:t>
      </w:r>
      <w:r>
        <w:rPr>
          <w:rFonts w:cs="Arial"/>
          <w:szCs w:val="24"/>
          <w:lang w:val="en-GB"/>
        </w:rPr>
        <w:tab/>
        <w:t>2</w:t>
      </w:r>
      <w:r w:rsidR="00690704">
        <w:rPr>
          <w:rFonts w:cs="Arial"/>
          <w:szCs w:val="24"/>
          <w:lang w:val="en-GB"/>
        </w:rPr>
        <w:t>5</w:t>
      </w:r>
      <w:r>
        <w:rPr>
          <w:rFonts w:cs="Arial"/>
          <w:szCs w:val="24"/>
          <w:lang w:val="en-GB"/>
        </w:rPr>
        <w:t xml:space="preserve"> November 2022</w:t>
      </w:r>
    </w:p>
    <w:sectPr w:rsidR="000A1850" w:rsidRPr="00D40721" w:rsidSect="00BA6AAB">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5F3F4" w14:textId="77777777" w:rsidR="005F01B9" w:rsidRDefault="005F01B9" w:rsidP="00BA6AAB">
      <w:pPr>
        <w:spacing w:before="0" w:line="240" w:lineRule="auto"/>
      </w:pPr>
      <w:r>
        <w:separator/>
      </w:r>
    </w:p>
  </w:endnote>
  <w:endnote w:type="continuationSeparator" w:id="0">
    <w:p w14:paraId="565F7ABB" w14:textId="77777777" w:rsidR="005F01B9" w:rsidRDefault="005F01B9" w:rsidP="00BA6AA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7E586" w14:textId="77777777" w:rsidR="005F01B9" w:rsidRDefault="005F01B9" w:rsidP="00BA6AAB">
      <w:pPr>
        <w:spacing w:before="0" w:line="240" w:lineRule="auto"/>
      </w:pPr>
      <w:r>
        <w:separator/>
      </w:r>
    </w:p>
  </w:footnote>
  <w:footnote w:type="continuationSeparator" w:id="0">
    <w:p w14:paraId="138E618D" w14:textId="77777777" w:rsidR="005F01B9" w:rsidRDefault="005F01B9" w:rsidP="00BA6AAB">
      <w:pPr>
        <w:spacing w:before="0" w:line="240" w:lineRule="auto"/>
      </w:pPr>
      <w:r>
        <w:continuationSeparator/>
      </w:r>
    </w:p>
  </w:footnote>
  <w:footnote w:id="1">
    <w:p w14:paraId="259229C6" w14:textId="7B6903C9" w:rsidR="006767A3" w:rsidRPr="00907B7C" w:rsidRDefault="006767A3" w:rsidP="000D4451">
      <w:pPr>
        <w:pStyle w:val="FootnoteText"/>
        <w:spacing w:before="0"/>
        <w:rPr>
          <w:rFonts w:cs="Arial"/>
          <w:szCs w:val="20"/>
          <w:lang w:val="en-US"/>
        </w:rPr>
      </w:pPr>
      <w:r w:rsidRPr="00907B7C">
        <w:rPr>
          <w:rStyle w:val="FootnoteReference"/>
          <w:rFonts w:cs="Arial"/>
          <w:szCs w:val="20"/>
        </w:rPr>
        <w:footnoteRef/>
      </w:r>
      <w:r w:rsidRPr="00907B7C">
        <w:rPr>
          <w:rFonts w:cs="Arial"/>
          <w:szCs w:val="20"/>
        </w:rPr>
        <w:t xml:space="preserve"> </w:t>
      </w:r>
      <w:r w:rsidRPr="00907B7C">
        <w:rPr>
          <w:rFonts w:cs="Arial"/>
          <w:szCs w:val="20"/>
          <w:lang w:val="en-US"/>
        </w:rPr>
        <w:tab/>
        <w:t xml:space="preserve">Erasmus, </w:t>
      </w:r>
      <w:r w:rsidRPr="00907B7C">
        <w:rPr>
          <w:rFonts w:cs="Arial"/>
          <w:szCs w:val="20"/>
          <w:u w:val="single"/>
          <w:lang w:val="en-US"/>
        </w:rPr>
        <w:t>Superior Court Practice</w:t>
      </w:r>
      <w:r w:rsidRPr="00907B7C">
        <w:rPr>
          <w:rFonts w:cs="Arial"/>
          <w:szCs w:val="20"/>
          <w:lang w:val="en-US"/>
        </w:rPr>
        <w:t>, D1-9</w:t>
      </w:r>
      <w:r w:rsidR="00D97667">
        <w:rPr>
          <w:rFonts w:cs="Arial"/>
          <w:szCs w:val="20"/>
          <w:lang w:val="en-US"/>
        </w:rPr>
        <w:t>0</w:t>
      </w:r>
      <w:r w:rsidRPr="00907B7C">
        <w:rPr>
          <w:rFonts w:cs="Arial"/>
          <w:szCs w:val="20"/>
          <w:lang w:val="en-US"/>
        </w:rPr>
        <w:t xml:space="preserve"> (and cases referred to therein)</w:t>
      </w:r>
    </w:p>
  </w:footnote>
  <w:footnote w:id="2">
    <w:p w14:paraId="2C6D3259" w14:textId="77777777" w:rsidR="008B4BDB" w:rsidRPr="00907B7C" w:rsidRDefault="008B4BDB" w:rsidP="000D4451">
      <w:pPr>
        <w:pStyle w:val="FootnoteText"/>
        <w:spacing w:before="0"/>
        <w:rPr>
          <w:rFonts w:cs="Arial"/>
          <w:szCs w:val="20"/>
          <w:lang w:val="en-US"/>
        </w:rPr>
      </w:pPr>
      <w:r w:rsidRPr="00907B7C">
        <w:rPr>
          <w:rStyle w:val="FootnoteReference"/>
          <w:rFonts w:cs="Arial"/>
          <w:szCs w:val="20"/>
        </w:rPr>
        <w:footnoteRef/>
      </w:r>
      <w:r w:rsidRPr="00907B7C">
        <w:rPr>
          <w:rFonts w:cs="Arial"/>
          <w:szCs w:val="20"/>
        </w:rPr>
        <w:t xml:space="preserve"> </w:t>
      </w:r>
      <w:r w:rsidRPr="00907B7C">
        <w:rPr>
          <w:rFonts w:cs="Arial"/>
          <w:szCs w:val="20"/>
          <w:lang w:val="en-US"/>
        </w:rPr>
        <w:tab/>
        <w:t xml:space="preserve">Erasmus, </w:t>
      </w:r>
      <w:r w:rsidRPr="00907B7C">
        <w:rPr>
          <w:rFonts w:cs="Arial"/>
          <w:szCs w:val="20"/>
          <w:u w:val="single"/>
          <w:lang w:val="en-US"/>
        </w:rPr>
        <w:t>Superior Court Practice</w:t>
      </w:r>
      <w:r w:rsidRPr="00907B7C">
        <w:rPr>
          <w:rFonts w:cs="Arial"/>
          <w:szCs w:val="20"/>
          <w:lang w:val="en-US"/>
        </w:rPr>
        <w:t>, D1-92 (and cases referred to therein)</w:t>
      </w:r>
    </w:p>
  </w:footnote>
  <w:footnote w:id="3">
    <w:p w14:paraId="6448FAB3" w14:textId="374007C8" w:rsidR="00D226B8" w:rsidRPr="00907B7C" w:rsidRDefault="00D226B8" w:rsidP="000D4451">
      <w:pPr>
        <w:pStyle w:val="FootnoteText"/>
        <w:spacing w:before="0"/>
        <w:rPr>
          <w:rFonts w:cs="Arial"/>
          <w:szCs w:val="20"/>
        </w:rPr>
      </w:pPr>
      <w:r w:rsidRPr="00907B7C">
        <w:rPr>
          <w:rStyle w:val="FootnoteReference"/>
          <w:rFonts w:cs="Arial"/>
          <w:szCs w:val="20"/>
        </w:rPr>
        <w:footnoteRef/>
      </w:r>
      <w:r w:rsidRPr="00907B7C">
        <w:rPr>
          <w:rFonts w:cs="Arial"/>
          <w:szCs w:val="20"/>
        </w:rPr>
        <w:t xml:space="preserve"> </w:t>
      </w:r>
      <w:r w:rsidRPr="00907B7C">
        <w:rPr>
          <w:rFonts w:cs="Arial"/>
          <w:szCs w:val="20"/>
        </w:rPr>
        <w:tab/>
        <w:t>Counsel must sign any contingency fee agreement which is subject to the CFA. It is common cause that in this case counsel did not do so. In light of the view I take of this case, it is not necessary to determine whether he concluded an agreement with the respondents or the instructing attorneys, and whether the instructing attorneys were the agents of either the respondents or counsel.</w:t>
      </w:r>
    </w:p>
  </w:footnote>
  <w:footnote w:id="4">
    <w:p w14:paraId="47D63625" w14:textId="77411232" w:rsidR="003665A6" w:rsidRPr="00907B7C" w:rsidRDefault="003665A6" w:rsidP="000D4451">
      <w:pPr>
        <w:pStyle w:val="FootnoteText"/>
        <w:spacing w:before="0"/>
        <w:rPr>
          <w:rFonts w:cs="Arial"/>
          <w:i/>
          <w:iCs/>
          <w:szCs w:val="20"/>
          <w:lang w:val="en-US"/>
        </w:rPr>
      </w:pPr>
      <w:r w:rsidRPr="00907B7C">
        <w:rPr>
          <w:rStyle w:val="FootnoteReference"/>
          <w:rFonts w:cs="Arial"/>
          <w:szCs w:val="20"/>
        </w:rPr>
        <w:footnoteRef/>
      </w:r>
      <w:r w:rsidRPr="00907B7C">
        <w:rPr>
          <w:rFonts w:cs="Arial"/>
          <w:szCs w:val="20"/>
        </w:rPr>
        <w:t xml:space="preserve"> </w:t>
      </w:r>
      <w:r w:rsidRPr="00907B7C">
        <w:rPr>
          <w:rFonts w:cs="Arial"/>
          <w:szCs w:val="20"/>
          <w:lang w:val="en-US"/>
        </w:rPr>
        <w:tab/>
      </w:r>
      <w:r w:rsidRPr="00907B7C">
        <w:rPr>
          <w:rFonts w:cs="Arial"/>
          <w:i/>
          <w:iCs/>
          <w:szCs w:val="20"/>
          <w:lang w:val="en-US"/>
        </w:rPr>
        <w:t>Masango v Road Accident Fund</w:t>
      </w:r>
      <w:r w:rsidRPr="00907B7C">
        <w:rPr>
          <w:rFonts w:cs="Arial"/>
          <w:szCs w:val="20"/>
          <w:lang w:val="en-US"/>
        </w:rPr>
        <w:t xml:space="preserve"> 2016 (6) SA 508 (GJ)</w:t>
      </w:r>
    </w:p>
  </w:footnote>
  <w:footnote w:id="5">
    <w:p w14:paraId="724EE7C0" w14:textId="4A255527" w:rsidR="004547D1" w:rsidRPr="00907B7C" w:rsidRDefault="004547D1" w:rsidP="000D4451">
      <w:pPr>
        <w:pStyle w:val="FootnoteText"/>
        <w:spacing w:before="0"/>
        <w:rPr>
          <w:rFonts w:cs="Arial"/>
          <w:i/>
          <w:iCs/>
          <w:szCs w:val="20"/>
        </w:rPr>
      </w:pPr>
      <w:r w:rsidRPr="00907B7C">
        <w:rPr>
          <w:rStyle w:val="FootnoteReference"/>
          <w:rFonts w:cs="Arial"/>
          <w:szCs w:val="20"/>
        </w:rPr>
        <w:footnoteRef/>
      </w:r>
      <w:r w:rsidRPr="00907B7C">
        <w:rPr>
          <w:rFonts w:cs="Arial"/>
          <w:szCs w:val="20"/>
        </w:rPr>
        <w:t xml:space="preserve"> </w:t>
      </w:r>
      <w:r w:rsidRPr="00907B7C">
        <w:rPr>
          <w:rFonts w:cs="Arial"/>
          <w:szCs w:val="20"/>
        </w:rPr>
        <w:tab/>
      </w:r>
      <w:r w:rsidRPr="00907B7C">
        <w:rPr>
          <w:rFonts w:cs="Arial"/>
          <w:i/>
          <w:iCs/>
          <w:szCs w:val="20"/>
        </w:rPr>
        <w:t xml:space="preserve">Theodosiou and Other v Schindlers Attorneys and Others </w:t>
      </w:r>
      <w:r w:rsidRPr="00907B7C">
        <w:rPr>
          <w:rFonts w:cs="Arial"/>
          <w:szCs w:val="20"/>
        </w:rPr>
        <w:t>2022 (4) SA 617 (GJ)</w:t>
      </w:r>
      <w:r w:rsidR="00D97667">
        <w:rPr>
          <w:rFonts w:cs="Arial"/>
          <w:szCs w:val="20"/>
        </w:rPr>
        <w:t>, paragraphs 9-11</w:t>
      </w:r>
    </w:p>
  </w:footnote>
  <w:footnote w:id="6">
    <w:p w14:paraId="63D6B43A" w14:textId="687A378C" w:rsidR="003F59D6" w:rsidRPr="00907B7C" w:rsidRDefault="003F59D6" w:rsidP="000D4451">
      <w:pPr>
        <w:pStyle w:val="FootnoteText"/>
        <w:spacing w:before="0"/>
        <w:rPr>
          <w:rFonts w:cs="Arial"/>
          <w:i/>
          <w:iCs/>
          <w:szCs w:val="20"/>
        </w:rPr>
      </w:pPr>
      <w:r w:rsidRPr="00907B7C">
        <w:rPr>
          <w:rStyle w:val="FootnoteReference"/>
          <w:rFonts w:cs="Arial"/>
          <w:szCs w:val="20"/>
        </w:rPr>
        <w:footnoteRef/>
      </w:r>
      <w:r w:rsidRPr="00907B7C">
        <w:rPr>
          <w:rFonts w:cs="Arial"/>
          <w:szCs w:val="20"/>
        </w:rPr>
        <w:t xml:space="preserve"> </w:t>
      </w:r>
      <w:r w:rsidRPr="00907B7C">
        <w:rPr>
          <w:rFonts w:cs="Arial"/>
          <w:szCs w:val="20"/>
        </w:rPr>
        <w:tab/>
      </w:r>
      <w:r w:rsidRPr="00907B7C">
        <w:rPr>
          <w:rFonts w:cs="Arial"/>
          <w:i/>
          <w:iCs/>
          <w:szCs w:val="20"/>
        </w:rPr>
        <w:t xml:space="preserve">Theodosiou </w:t>
      </w:r>
      <w:r w:rsidR="004547D1" w:rsidRPr="00907B7C">
        <w:rPr>
          <w:rFonts w:cs="Arial"/>
          <w:i/>
          <w:iCs/>
          <w:szCs w:val="20"/>
        </w:rPr>
        <w:t>(supra)</w:t>
      </w:r>
    </w:p>
  </w:footnote>
  <w:footnote w:id="7">
    <w:p w14:paraId="590AF953" w14:textId="77777777" w:rsidR="0098506E" w:rsidRPr="00907B7C" w:rsidRDefault="0098506E" w:rsidP="000D4451">
      <w:pPr>
        <w:pStyle w:val="FootnoteText"/>
        <w:tabs>
          <w:tab w:val="left" w:pos="284"/>
        </w:tabs>
        <w:spacing w:before="0"/>
        <w:rPr>
          <w:rFonts w:cs="Arial"/>
          <w:szCs w:val="20"/>
        </w:rPr>
      </w:pPr>
      <w:r w:rsidRPr="00907B7C">
        <w:rPr>
          <w:rStyle w:val="FootnoteReference"/>
          <w:rFonts w:cs="Arial"/>
          <w:szCs w:val="20"/>
        </w:rPr>
        <w:footnoteRef/>
      </w:r>
      <w:r w:rsidRPr="00907B7C">
        <w:rPr>
          <w:rFonts w:cs="Arial"/>
          <w:szCs w:val="20"/>
        </w:rPr>
        <w:t xml:space="preserve">  </w:t>
      </w:r>
      <w:r w:rsidRPr="00907B7C">
        <w:rPr>
          <w:rFonts w:cs="Arial"/>
          <w:i/>
          <w:iCs/>
          <w:szCs w:val="20"/>
        </w:rPr>
        <w:t xml:space="preserve">Masango v Road Accident Fund </w:t>
      </w:r>
      <w:r w:rsidRPr="00907B7C">
        <w:rPr>
          <w:rFonts w:cs="Arial"/>
          <w:szCs w:val="20"/>
        </w:rPr>
        <w:t>2016 (6) 508 (GJ) at paragraph 10</w:t>
      </w:r>
    </w:p>
  </w:footnote>
  <w:footnote w:id="8">
    <w:p w14:paraId="150BD912" w14:textId="77777777" w:rsidR="0098506E" w:rsidRPr="00907B7C" w:rsidRDefault="0098506E" w:rsidP="000D4451">
      <w:pPr>
        <w:tabs>
          <w:tab w:val="left" w:pos="142"/>
        </w:tabs>
        <w:spacing w:before="0" w:line="240" w:lineRule="auto"/>
        <w:rPr>
          <w:rFonts w:cs="Arial"/>
          <w:sz w:val="20"/>
          <w:szCs w:val="20"/>
          <w:shd w:val="clear" w:color="auto" w:fill="FFFFFF"/>
          <w:vertAlign w:val="superscript"/>
        </w:rPr>
      </w:pPr>
      <w:r w:rsidRPr="00907B7C">
        <w:rPr>
          <w:rStyle w:val="FootnoteReference"/>
          <w:rFonts w:cs="Arial"/>
          <w:sz w:val="20"/>
          <w:szCs w:val="20"/>
        </w:rPr>
        <w:footnoteRef/>
      </w:r>
      <w:r w:rsidRPr="00907B7C">
        <w:rPr>
          <w:rFonts w:cs="Arial"/>
          <w:sz w:val="20"/>
          <w:szCs w:val="20"/>
        </w:rPr>
        <w:t xml:space="preserve"> See also: </w:t>
      </w:r>
      <w:r w:rsidRPr="00907B7C">
        <w:rPr>
          <w:rFonts w:cs="Arial"/>
          <w:i/>
          <w:iCs/>
          <w:sz w:val="20"/>
          <w:szCs w:val="20"/>
          <w:shd w:val="clear" w:color="auto" w:fill="FFFFFF"/>
        </w:rPr>
        <w:t>Price Waterhouse Coopers Inc and Others v National Potato Co-Operative Ltd</w:t>
      </w:r>
      <w:r w:rsidRPr="00907B7C">
        <w:rPr>
          <w:rFonts w:cs="Arial"/>
          <w:i/>
          <w:iCs/>
          <w:sz w:val="20"/>
          <w:szCs w:val="20"/>
        </w:rPr>
        <w:br/>
      </w:r>
      <w:r w:rsidRPr="00907B7C">
        <w:rPr>
          <w:rFonts w:cs="Arial"/>
          <w:sz w:val="20"/>
          <w:szCs w:val="20"/>
          <w:shd w:val="clear" w:color="auto" w:fill="FFFFFF"/>
        </w:rPr>
        <w:t xml:space="preserve">    2004 (6) SA 66 (SCA)</w:t>
      </w:r>
    </w:p>
  </w:footnote>
  <w:footnote w:id="9">
    <w:p w14:paraId="02933AF2" w14:textId="77777777" w:rsidR="0098506E" w:rsidRPr="00907B7C" w:rsidRDefault="0098506E" w:rsidP="000D4451">
      <w:pPr>
        <w:pStyle w:val="FootnoteText"/>
        <w:spacing w:before="0"/>
        <w:ind w:left="142" w:hanging="142"/>
        <w:rPr>
          <w:rFonts w:cs="Arial"/>
          <w:szCs w:val="20"/>
        </w:rPr>
      </w:pPr>
      <w:r w:rsidRPr="00907B7C">
        <w:rPr>
          <w:rStyle w:val="FootnoteReference"/>
          <w:rFonts w:cs="Arial"/>
          <w:szCs w:val="20"/>
        </w:rPr>
        <w:footnoteRef/>
      </w:r>
      <w:r w:rsidRPr="00907B7C">
        <w:rPr>
          <w:rFonts w:cs="Arial"/>
          <w:szCs w:val="20"/>
        </w:rPr>
        <w:t xml:space="preserve"> It was not submitted by the applicant that the fact that counsel may have charged higher rates  indicates that the agreement was an agreement as contemplated in section 2(1)(b). The fact that these invoices were only raised in reply is but one reason why the applicant would not have been able to raise such an argument.</w:t>
      </w:r>
    </w:p>
  </w:footnote>
  <w:footnote w:id="10">
    <w:p w14:paraId="6548FA41" w14:textId="77777777" w:rsidR="0098506E" w:rsidRPr="00907B7C" w:rsidRDefault="0098506E" w:rsidP="000D4451">
      <w:pPr>
        <w:pStyle w:val="FootnoteText"/>
        <w:spacing w:before="0"/>
        <w:rPr>
          <w:rFonts w:cs="Arial"/>
          <w:szCs w:val="20"/>
        </w:rPr>
      </w:pPr>
      <w:r w:rsidRPr="00907B7C">
        <w:rPr>
          <w:rStyle w:val="FootnoteReference"/>
          <w:rFonts w:cs="Arial"/>
          <w:szCs w:val="20"/>
        </w:rPr>
        <w:footnoteRef/>
      </w:r>
      <w:r w:rsidRPr="00907B7C">
        <w:rPr>
          <w:rFonts w:cs="Arial"/>
          <w:szCs w:val="20"/>
        </w:rPr>
        <w:t xml:space="preserve"> Rule 70(3) provides in part:</w:t>
      </w:r>
    </w:p>
    <w:p w14:paraId="3A28497B" w14:textId="78BAE275" w:rsidR="0098506E" w:rsidRPr="00907B7C" w:rsidRDefault="0098506E" w:rsidP="000D4451">
      <w:pPr>
        <w:pStyle w:val="FootnoteText"/>
        <w:spacing w:before="0"/>
        <w:rPr>
          <w:rFonts w:cs="Arial"/>
          <w:szCs w:val="20"/>
        </w:rPr>
      </w:pPr>
      <w:r w:rsidRPr="00907B7C">
        <w:rPr>
          <w:rFonts w:cs="Arial"/>
          <w:szCs w:val="20"/>
        </w:rPr>
        <w:tab/>
      </w:r>
      <w:r w:rsidRPr="00907B7C">
        <w:rPr>
          <w:rFonts w:cs="Arial"/>
          <w:i/>
          <w:iCs/>
          <w:szCs w:val="20"/>
        </w:rPr>
        <w:t>“(3) With a view to affording the party who has been awarded an order for costs a full indemnity for all costs reasonably incurred by him in relation to his claim or defence and to ensure that all such costs shall be borne by the party against whom such order has been awarded, the taxing master shall, on every taxation, allow all such costs, charges and expenses as appear to him to have been necessary or proper for the attainment of justice…</w:t>
      </w:r>
      <w:r w:rsidRPr="00907B7C">
        <w:rPr>
          <w:rFonts w:cs="Arial"/>
          <w:szCs w:val="20"/>
        </w:rPr>
        <w:t>”</w:t>
      </w:r>
    </w:p>
  </w:footnote>
  <w:footnote w:id="11">
    <w:p w14:paraId="15371CA6" w14:textId="77777777" w:rsidR="00F17677" w:rsidRPr="00907B7C" w:rsidRDefault="00F17677" w:rsidP="000D4451">
      <w:pPr>
        <w:shd w:val="clear" w:color="auto" w:fill="FFFFFF"/>
        <w:spacing w:before="0" w:line="240" w:lineRule="auto"/>
        <w:ind w:left="142" w:hanging="142"/>
        <w:rPr>
          <w:rFonts w:eastAsia="Times New Roman" w:cs="Arial"/>
          <w:sz w:val="20"/>
          <w:szCs w:val="20"/>
          <w:lang w:eastAsia="en-ZA"/>
        </w:rPr>
      </w:pPr>
      <w:r w:rsidRPr="00907B7C">
        <w:rPr>
          <w:rStyle w:val="FootnoteReference"/>
          <w:rFonts w:cs="Arial"/>
          <w:sz w:val="20"/>
          <w:szCs w:val="20"/>
        </w:rPr>
        <w:footnoteRef/>
      </w:r>
      <w:r w:rsidRPr="00907B7C">
        <w:rPr>
          <w:rFonts w:cs="Arial"/>
          <w:sz w:val="20"/>
          <w:szCs w:val="20"/>
        </w:rPr>
        <w:t xml:space="preserve"> </w:t>
      </w:r>
      <w:bookmarkStart w:id="0" w:name="0-0-0-62243"/>
      <w:bookmarkEnd w:id="0"/>
      <w:r w:rsidRPr="00907B7C">
        <w:rPr>
          <w:rFonts w:eastAsia="Times New Roman" w:cs="Arial"/>
          <w:i/>
          <w:iCs/>
          <w:sz w:val="20"/>
          <w:szCs w:val="20"/>
          <w:lang w:eastAsia="en-ZA"/>
        </w:rPr>
        <w:t xml:space="preserve">Texas Co (SA) Ltd v Cape Town Municipality </w:t>
      </w:r>
      <w:r w:rsidRPr="00907B7C">
        <w:rPr>
          <w:rFonts w:eastAsia="Times New Roman" w:cs="Arial"/>
          <w:sz w:val="20"/>
          <w:szCs w:val="20"/>
          <w:lang w:eastAsia="en-ZA"/>
        </w:rPr>
        <w:t>1926 AD 467</w:t>
      </w:r>
      <w:r w:rsidRPr="00907B7C">
        <w:rPr>
          <w:rFonts w:eastAsia="Times New Roman" w:cs="Arial"/>
          <w:i/>
          <w:iCs/>
          <w:sz w:val="20"/>
          <w:szCs w:val="20"/>
          <w:lang w:eastAsia="en-ZA"/>
        </w:rPr>
        <w:t xml:space="preserve"> </w:t>
      </w:r>
      <w:r w:rsidRPr="00907B7C">
        <w:rPr>
          <w:rFonts w:eastAsia="Times New Roman" w:cs="Arial"/>
          <w:sz w:val="20"/>
          <w:szCs w:val="20"/>
          <w:lang w:eastAsia="en-ZA"/>
        </w:rPr>
        <w:t>at 488; </w:t>
      </w:r>
      <w:r w:rsidRPr="00907B7C">
        <w:rPr>
          <w:rFonts w:eastAsia="Times New Roman" w:cs="Arial"/>
          <w:i/>
          <w:iCs/>
          <w:sz w:val="20"/>
          <w:szCs w:val="20"/>
          <w:lang w:eastAsia="en-ZA"/>
        </w:rPr>
        <w:t xml:space="preserve"> Bowman NO v Avraamides</w:t>
      </w:r>
      <w:r w:rsidRPr="00907B7C">
        <w:rPr>
          <w:rFonts w:eastAsia="Times New Roman" w:cs="Arial"/>
          <w:sz w:val="20"/>
          <w:szCs w:val="20"/>
          <w:lang w:eastAsia="en-ZA"/>
        </w:rPr>
        <w:t> 1991 (1) SA 92 (W) at 94G</w:t>
      </w:r>
    </w:p>
    <w:p w14:paraId="7E52C83E" w14:textId="77777777" w:rsidR="00F17677" w:rsidRPr="00907B7C" w:rsidRDefault="00F17677" w:rsidP="000D4451">
      <w:pPr>
        <w:pStyle w:val="FootnoteText"/>
        <w:spacing w:before="0"/>
        <w:rPr>
          <w:rFonts w:cs="Arial"/>
          <w:szCs w:val="20"/>
        </w:rPr>
      </w:pPr>
    </w:p>
  </w:footnote>
  <w:footnote w:id="12">
    <w:p w14:paraId="1F27AE35" w14:textId="756D52EF" w:rsidR="00D97667" w:rsidRPr="00907B7C" w:rsidRDefault="00D97667" w:rsidP="000D4451">
      <w:pPr>
        <w:pStyle w:val="FootnoteText"/>
        <w:spacing w:before="0"/>
        <w:ind w:left="284" w:hanging="284"/>
        <w:rPr>
          <w:rFonts w:cs="Arial"/>
          <w:szCs w:val="20"/>
        </w:rPr>
      </w:pPr>
      <w:r w:rsidRPr="00907B7C">
        <w:rPr>
          <w:rStyle w:val="FootnoteReference"/>
          <w:rFonts w:cs="Arial"/>
          <w:szCs w:val="20"/>
        </w:rPr>
        <w:footnoteRef/>
      </w:r>
      <w:r w:rsidRPr="00907B7C">
        <w:rPr>
          <w:rFonts w:cs="Arial"/>
          <w:i/>
          <w:iCs/>
          <w:szCs w:val="20"/>
        </w:rPr>
        <w:t xml:space="preserve"> Thusi v Minister of Home Affairs and Another and 71 Other Cases</w:t>
      </w:r>
      <w:r w:rsidRPr="00907B7C">
        <w:rPr>
          <w:rFonts w:cs="Arial"/>
          <w:szCs w:val="20"/>
        </w:rPr>
        <w:t xml:space="preserve"> 2011 (2) SA 561 (KZP), paragraph</w:t>
      </w:r>
      <w:r>
        <w:rPr>
          <w:rFonts w:cs="Arial"/>
          <w:szCs w:val="20"/>
        </w:rPr>
        <w:t xml:space="preserve"> </w:t>
      </w:r>
      <w:r w:rsidRPr="00907B7C">
        <w:rPr>
          <w:rFonts w:cs="Arial"/>
          <w:szCs w:val="20"/>
        </w:rPr>
        <w:t>95</w:t>
      </w:r>
    </w:p>
    <w:p w14:paraId="5052F21B" w14:textId="77777777" w:rsidR="00D97667" w:rsidRPr="00907B7C" w:rsidRDefault="00D97667" w:rsidP="000D4451">
      <w:pPr>
        <w:pStyle w:val="FootnoteText"/>
        <w:spacing w:before="0"/>
        <w:rPr>
          <w:rFonts w:cs="Arial"/>
          <w:szCs w:val="20"/>
        </w:rPr>
      </w:pPr>
    </w:p>
  </w:footnote>
  <w:footnote w:id="13">
    <w:p w14:paraId="78414A60" w14:textId="2F8D221A" w:rsidR="00D44ACF" w:rsidRPr="00907B7C" w:rsidRDefault="00D44ACF" w:rsidP="000D4451">
      <w:pPr>
        <w:pStyle w:val="FootnoteText"/>
        <w:spacing w:before="0"/>
        <w:ind w:left="142" w:hanging="142"/>
        <w:rPr>
          <w:rFonts w:cs="Arial"/>
          <w:szCs w:val="20"/>
        </w:rPr>
      </w:pPr>
      <w:r w:rsidRPr="00907B7C">
        <w:rPr>
          <w:rStyle w:val="FootnoteReference"/>
          <w:rFonts w:cs="Arial"/>
          <w:szCs w:val="20"/>
        </w:rPr>
        <w:footnoteRef/>
      </w:r>
      <w:r w:rsidRPr="00907B7C">
        <w:rPr>
          <w:rFonts w:cs="Arial"/>
          <w:szCs w:val="20"/>
        </w:rPr>
        <w:t>Judgment was handed down on 23 December 2010. The LPA was published in the Government</w:t>
      </w:r>
      <w:r w:rsidR="00584896">
        <w:rPr>
          <w:rFonts w:cs="Arial"/>
          <w:szCs w:val="20"/>
        </w:rPr>
        <w:t xml:space="preserve">   </w:t>
      </w:r>
      <w:r w:rsidRPr="00907B7C">
        <w:rPr>
          <w:rFonts w:cs="Arial"/>
          <w:szCs w:val="20"/>
        </w:rPr>
        <w:t>Gazette on 22 September 2014 and its commencement date was 1 November 2018.</w:t>
      </w:r>
    </w:p>
  </w:footnote>
  <w:footnote w:id="14">
    <w:p w14:paraId="0899F31F" w14:textId="524F5B7B" w:rsidR="00584896" w:rsidRPr="00907B7C" w:rsidRDefault="00584896" w:rsidP="000D4451">
      <w:pPr>
        <w:pStyle w:val="FootnoteText"/>
        <w:spacing w:before="0"/>
        <w:rPr>
          <w:rFonts w:cs="Arial"/>
          <w:szCs w:val="20"/>
          <w:lang w:val="en-US"/>
        </w:rPr>
      </w:pPr>
      <w:r w:rsidRPr="00907B7C">
        <w:rPr>
          <w:rStyle w:val="FootnoteReference"/>
          <w:rFonts w:cs="Arial"/>
          <w:szCs w:val="20"/>
        </w:rPr>
        <w:footnoteRef/>
      </w:r>
      <w:r w:rsidRPr="00907B7C">
        <w:rPr>
          <w:rFonts w:cs="Arial"/>
          <w:szCs w:val="20"/>
        </w:rPr>
        <w:t xml:space="preserve"> </w:t>
      </w:r>
      <w:r w:rsidRPr="00907B7C">
        <w:rPr>
          <w:rFonts w:cs="Arial"/>
          <w:szCs w:val="20"/>
          <w:lang w:val="en-US"/>
        </w:rPr>
        <w:t>See for examples paragraphs 193, 105, 106 and 110 of the judgment</w:t>
      </w:r>
      <w:r>
        <w:rPr>
          <w:rFonts w:cs="Arial"/>
          <w:szCs w:val="20"/>
          <w:lang w:val="en-US"/>
        </w:rPr>
        <w:t xml:space="preserve"> in </w:t>
      </w:r>
      <w:r>
        <w:rPr>
          <w:rFonts w:cs="Arial"/>
          <w:i/>
          <w:iCs/>
          <w:szCs w:val="20"/>
          <w:lang w:val="en-US"/>
        </w:rPr>
        <w:t>Thusi</w:t>
      </w:r>
      <w:r w:rsidRPr="00907B7C">
        <w:rPr>
          <w:rFonts w:cs="Arial"/>
          <w:szCs w:val="20"/>
          <w:lang w:val="en-US"/>
        </w:rPr>
        <w:t>.</w:t>
      </w:r>
    </w:p>
  </w:footnote>
  <w:footnote w:id="15">
    <w:p w14:paraId="261C90F1" w14:textId="591C0EAB" w:rsidR="004547D1" w:rsidRPr="00907B7C" w:rsidRDefault="004547D1" w:rsidP="000D4451">
      <w:pPr>
        <w:pStyle w:val="FootnoteText"/>
        <w:spacing w:before="0"/>
        <w:rPr>
          <w:rFonts w:cs="Arial"/>
          <w:szCs w:val="20"/>
        </w:rPr>
      </w:pPr>
      <w:r w:rsidRPr="00907B7C">
        <w:rPr>
          <w:rStyle w:val="FootnoteReference"/>
          <w:rFonts w:cs="Arial"/>
          <w:szCs w:val="20"/>
        </w:rPr>
        <w:footnoteRef/>
      </w:r>
      <w:r w:rsidRPr="00907B7C">
        <w:rPr>
          <w:rFonts w:cs="Arial"/>
          <w:szCs w:val="20"/>
        </w:rPr>
        <w:t xml:space="preserve"> </w:t>
      </w:r>
      <w:r w:rsidR="00D44ACF" w:rsidRPr="00907B7C">
        <w:rPr>
          <w:rFonts w:cs="Arial"/>
          <w:szCs w:val="20"/>
        </w:rPr>
        <w:t xml:space="preserve">     </w:t>
      </w:r>
      <w:r w:rsidRPr="00907B7C">
        <w:rPr>
          <w:rFonts w:cs="Arial"/>
          <w:i/>
          <w:iCs/>
          <w:szCs w:val="20"/>
        </w:rPr>
        <w:t>Texas Co (SA) Ltd v Cape Town Municipality</w:t>
      </w:r>
      <w:r w:rsidRPr="00907B7C">
        <w:rPr>
          <w:rFonts w:cs="Arial"/>
          <w:szCs w:val="20"/>
        </w:rPr>
        <w:t xml:space="preserve"> 1926 AD 467, at 488-489 (per Innes CJ); </w:t>
      </w:r>
      <w:r w:rsidRPr="00907B7C">
        <w:rPr>
          <w:rFonts w:cs="Arial"/>
          <w:i/>
          <w:iCs/>
          <w:szCs w:val="20"/>
        </w:rPr>
        <w:t xml:space="preserve">Botes v Road Accident Fund </w:t>
      </w:r>
      <w:r w:rsidRPr="00907B7C">
        <w:rPr>
          <w:rFonts w:cs="Arial"/>
          <w:szCs w:val="20"/>
        </w:rPr>
        <w:t>2020 JDR 2586, paragraphs 35 and 40.</w:t>
      </w:r>
    </w:p>
  </w:footnote>
  <w:footnote w:id="16">
    <w:p w14:paraId="6CEBB6A9" w14:textId="61DEC358" w:rsidR="004547D1" w:rsidRPr="00907B7C" w:rsidRDefault="004547D1" w:rsidP="000D4451">
      <w:pPr>
        <w:shd w:val="clear" w:color="auto" w:fill="FFFFFF"/>
        <w:spacing w:before="0" w:line="240" w:lineRule="auto"/>
        <w:ind w:left="284" w:hanging="284"/>
        <w:jc w:val="left"/>
        <w:rPr>
          <w:rFonts w:cs="Arial"/>
          <w:sz w:val="20"/>
          <w:szCs w:val="20"/>
        </w:rPr>
      </w:pPr>
      <w:r w:rsidRPr="00907B7C">
        <w:rPr>
          <w:rStyle w:val="FootnoteReference"/>
          <w:rFonts w:cs="Arial"/>
          <w:sz w:val="20"/>
          <w:szCs w:val="20"/>
        </w:rPr>
        <w:footnoteRef/>
      </w:r>
      <w:r w:rsidRPr="00907B7C">
        <w:rPr>
          <w:rFonts w:cs="Arial"/>
          <w:sz w:val="20"/>
          <w:szCs w:val="20"/>
        </w:rPr>
        <w:t xml:space="preserve"> </w:t>
      </w:r>
      <w:r w:rsidR="00B87E2A" w:rsidRPr="00907B7C">
        <w:rPr>
          <w:rFonts w:cs="Arial"/>
          <w:sz w:val="20"/>
          <w:szCs w:val="20"/>
        </w:rPr>
        <w:t xml:space="preserve">    </w:t>
      </w:r>
      <w:r w:rsidRPr="00907B7C">
        <w:rPr>
          <w:rFonts w:cs="Arial"/>
          <w:sz w:val="20"/>
          <w:szCs w:val="20"/>
        </w:rPr>
        <w:t>Section 79A reads:</w:t>
      </w:r>
    </w:p>
    <w:p w14:paraId="29CB58F2" w14:textId="77777777" w:rsidR="004547D1" w:rsidRPr="00907B7C" w:rsidRDefault="004547D1" w:rsidP="000D4451">
      <w:pPr>
        <w:shd w:val="clear" w:color="auto" w:fill="FFFFFF"/>
        <w:spacing w:before="0" w:line="240" w:lineRule="auto"/>
        <w:ind w:firstLine="851"/>
        <w:rPr>
          <w:rFonts w:eastAsia="Times New Roman" w:cs="Arial"/>
          <w:b/>
          <w:bCs/>
          <w:sz w:val="20"/>
          <w:szCs w:val="20"/>
          <w:lang w:eastAsia="en-ZA"/>
        </w:rPr>
      </w:pPr>
      <w:r w:rsidRPr="00907B7C">
        <w:rPr>
          <w:rFonts w:eastAsia="Times New Roman" w:cs="Arial"/>
          <w:b/>
          <w:bCs/>
          <w:sz w:val="20"/>
          <w:szCs w:val="20"/>
          <w:lang w:eastAsia="en-ZA"/>
        </w:rPr>
        <w:t>“79A  Recovery of costs by law clinics</w:t>
      </w:r>
    </w:p>
    <w:p w14:paraId="792016F3" w14:textId="255817AE" w:rsidR="004547D1" w:rsidRPr="00907B7C" w:rsidRDefault="004547D1" w:rsidP="000D4451">
      <w:pPr>
        <w:shd w:val="clear" w:color="auto" w:fill="FFFFFF"/>
        <w:spacing w:before="0" w:line="240" w:lineRule="auto"/>
        <w:ind w:left="284" w:firstLine="567"/>
        <w:rPr>
          <w:rFonts w:eastAsia="Times New Roman" w:cs="Arial"/>
          <w:sz w:val="20"/>
          <w:szCs w:val="20"/>
          <w:lang w:eastAsia="en-ZA"/>
        </w:rPr>
      </w:pPr>
      <w:r w:rsidRPr="00907B7C">
        <w:rPr>
          <w:rFonts w:eastAsia="Times New Roman" w:cs="Arial"/>
          <w:sz w:val="20"/>
          <w:szCs w:val="20"/>
          <w:lang w:eastAsia="en-ZA"/>
        </w:rPr>
        <w:t>(1) Notwithstanding the provisions of section 83 (6) of this Act and section 9 (2) of the Admission of Advocates Act, 1964</w:t>
      </w:r>
      <w:r w:rsidR="00B87E2A" w:rsidRPr="00907B7C">
        <w:rPr>
          <w:rFonts w:eastAsia="Times New Roman" w:cs="Arial"/>
          <w:sz w:val="20"/>
          <w:szCs w:val="20"/>
          <w:lang w:eastAsia="en-ZA"/>
        </w:rPr>
        <w:t xml:space="preserve"> (Act 74 of 1964)</w:t>
      </w:r>
      <w:r w:rsidRPr="00907B7C">
        <w:rPr>
          <w:rFonts w:eastAsia="Times New Roman" w:cs="Arial"/>
          <w:sz w:val="20"/>
          <w:szCs w:val="20"/>
          <w:lang w:eastAsia="en-ZA"/>
        </w:rPr>
        <w:t>, whenever in any legal proceedings or any dispute in respect of which legal services are rendered to a litigant or other person by a law clinic, costs become payable to such litigant or other person in terms of a judgment of the court or a settlement, or otherwise, it shall be deemed that such litigant or other person has ceded his or her rights to such costs to the law clinic.</w:t>
      </w:r>
    </w:p>
    <w:p w14:paraId="5F1D5CB7" w14:textId="77777777" w:rsidR="004547D1" w:rsidRPr="00907B7C" w:rsidRDefault="004547D1" w:rsidP="000D4451">
      <w:pPr>
        <w:shd w:val="clear" w:color="auto" w:fill="FFFFFF"/>
        <w:spacing w:before="0" w:line="240" w:lineRule="auto"/>
        <w:ind w:left="284" w:firstLine="567"/>
        <w:rPr>
          <w:rFonts w:eastAsia="Times New Roman" w:cs="Arial"/>
          <w:sz w:val="20"/>
          <w:szCs w:val="20"/>
          <w:lang w:eastAsia="en-ZA"/>
        </w:rPr>
      </w:pPr>
      <w:r w:rsidRPr="00907B7C">
        <w:rPr>
          <w:rFonts w:eastAsia="Times New Roman" w:cs="Arial"/>
          <w:sz w:val="20"/>
          <w:szCs w:val="20"/>
          <w:lang w:eastAsia="en-ZA"/>
        </w:rPr>
        <w:t>(2) </w:t>
      </w:r>
      <w:r w:rsidRPr="00907B7C">
        <w:rPr>
          <w:rFonts w:eastAsia="Times New Roman" w:cs="Arial"/>
          <w:i/>
          <w:iCs/>
          <w:sz w:val="20"/>
          <w:szCs w:val="20"/>
          <w:lang w:eastAsia="en-ZA"/>
        </w:rPr>
        <w:t>(a)</w:t>
      </w:r>
      <w:r w:rsidRPr="00907B7C">
        <w:rPr>
          <w:rFonts w:eastAsia="Times New Roman" w:cs="Arial"/>
          <w:sz w:val="20"/>
          <w:szCs w:val="20"/>
          <w:lang w:eastAsia="en-ZA"/>
        </w:rPr>
        <w:t> A litigant or person referred to in subsection (1) or the law clinic rendering legal services to such litigant or person may, at any time before payment of the costs referred to in subsection (1), give notice in writing to-</w:t>
      </w:r>
    </w:p>
    <w:p w14:paraId="047ABCD0" w14:textId="77777777" w:rsidR="004547D1" w:rsidRPr="00907B7C" w:rsidRDefault="004547D1" w:rsidP="000D4451">
      <w:pPr>
        <w:shd w:val="clear" w:color="auto" w:fill="FFFFFF"/>
        <w:spacing w:before="0" w:line="240" w:lineRule="auto"/>
        <w:ind w:hanging="794"/>
        <w:rPr>
          <w:rFonts w:eastAsia="Times New Roman" w:cs="Arial"/>
          <w:sz w:val="20"/>
          <w:szCs w:val="20"/>
          <w:lang w:eastAsia="en-ZA"/>
        </w:rPr>
      </w:pPr>
      <w:r w:rsidRPr="00907B7C">
        <w:rPr>
          <w:rFonts w:eastAsia="Times New Roman" w:cs="Arial"/>
          <w:sz w:val="20"/>
          <w:szCs w:val="20"/>
          <w:lang w:eastAsia="en-ZA"/>
        </w:rPr>
        <w:t>     </w:t>
      </w:r>
      <w:r w:rsidRPr="00907B7C">
        <w:rPr>
          <w:rFonts w:eastAsia="Times New Roman" w:cs="Arial"/>
          <w:sz w:val="20"/>
          <w:szCs w:val="20"/>
          <w:lang w:eastAsia="en-ZA"/>
        </w:rPr>
        <w:tab/>
      </w:r>
      <w:r w:rsidRPr="00907B7C">
        <w:rPr>
          <w:rFonts w:eastAsia="Times New Roman" w:cs="Arial"/>
          <w:sz w:val="20"/>
          <w:szCs w:val="20"/>
          <w:lang w:eastAsia="en-ZA"/>
        </w:rPr>
        <w:tab/>
        <w:t>(i)   the person liable for such costs; and</w:t>
      </w:r>
    </w:p>
    <w:p w14:paraId="73AA335A" w14:textId="77777777" w:rsidR="004547D1" w:rsidRPr="00907B7C" w:rsidRDefault="004547D1" w:rsidP="000D4451">
      <w:pPr>
        <w:shd w:val="clear" w:color="auto" w:fill="FFFFFF"/>
        <w:spacing w:before="0" w:line="240" w:lineRule="auto"/>
        <w:ind w:hanging="794"/>
        <w:rPr>
          <w:rFonts w:eastAsia="Times New Roman" w:cs="Arial"/>
          <w:sz w:val="20"/>
          <w:szCs w:val="20"/>
          <w:lang w:eastAsia="en-ZA"/>
        </w:rPr>
      </w:pPr>
      <w:r w:rsidRPr="00907B7C">
        <w:rPr>
          <w:rFonts w:eastAsia="Times New Roman" w:cs="Arial"/>
          <w:sz w:val="20"/>
          <w:szCs w:val="20"/>
          <w:lang w:eastAsia="en-ZA"/>
        </w:rPr>
        <w:t>   </w:t>
      </w:r>
      <w:r w:rsidRPr="00907B7C">
        <w:rPr>
          <w:rFonts w:eastAsia="Times New Roman" w:cs="Arial"/>
          <w:sz w:val="20"/>
          <w:szCs w:val="20"/>
          <w:lang w:eastAsia="en-ZA"/>
        </w:rPr>
        <w:tab/>
      </w:r>
      <w:r w:rsidRPr="00907B7C">
        <w:rPr>
          <w:rFonts w:eastAsia="Times New Roman" w:cs="Arial"/>
          <w:sz w:val="20"/>
          <w:szCs w:val="20"/>
          <w:lang w:eastAsia="en-ZA"/>
        </w:rPr>
        <w:tab/>
        <w:t> (ii)   the registrar or clerk of the court concerned,</w:t>
      </w:r>
    </w:p>
    <w:p w14:paraId="638101F3" w14:textId="77777777" w:rsidR="004547D1" w:rsidRPr="00907B7C" w:rsidRDefault="004547D1" w:rsidP="000D4451">
      <w:pPr>
        <w:spacing w:before="0" w:line="240" w:lineRule="auto"/>
        <w:ind w:firstLine="284"/>
        <w:rPr>
          <w:rFonts w:eastAsia="Times New Roman" w:cs="Arial"/>
          <w:sz w:val="20"/>
          <w:szCs w:val="20"/>
          <w:lang w:eastAsia="en-ZA"/>
        </w:rPr>
      </w:pPr>
      <w:r w:rsidRPr="00907B7C">
        <w:rPr>
          <w:rFonts w:eastAsia="Times New Roman" w:cs="Arial"/>
          <w:sz w:val="20"/>
          <w:szCs w:val="20"/>
          <w:lang w:eastAsia="en-ZA"/>
        </w:rPr>
        <w:t>that the legal services concerned are being or have been rendered by that law clinic.</w:t>
      </w:r>
    </w:p>
    <w:p w14:paraId="6734A3A9" w14:textId="77777777" w:rsidR="004547D1" w:rsidRPr="00907B7C" w:rsidRDefault="004547D1" w:rsidP="000D4451">
      <w:pPr>
        <w:shd w:val="clear" w:color="auto" w:fill="FFFFFF"/>
        <w:spacing w:before="0" w:line="240" w:lineRule="auto"/>
        <w:ind w:left="284" w:firstLine="851"/>
        <w:rPr>
          <w:rFonts w:eastAsia="Times New Roman" w:cs="Arial"/>
          <w:sz w:val="20"/>
          <w:szCs w:val="20"/>
          <w:lang w:eastAsia="en-ZA"/>
        </w:rPr>
      </w:pPr>
      <w:r w:rsidRPr="00907B7C">
        <w:rPr>
          <w:rFonts w:eastAsia="Times New Roman" w:cs="Arial"/>
          <w:i/>
          <w:iCs/>
          <w:sz w:val="20"/>
          <w:szCs w:val="20"/>
          <w:lang w:eastAsia="en-ZA"/>
        </w:rPr>
        <w:t>(b)</w:t>
      </w:r>
      <w:r w:rsidRPr="00907B7C">
        <w:rPr>
          <w:rFonts w:eastAsia="Times New Roman" w:cs="Arial"/>
          <w:sz w:val="20"/>
          <w:szCs w:val="20"/>
          <w:lang w:eastAsia="en-ZA"/>
        </w:rPr>
        <w:t> Where notice has been given as contemplated in paragraph </w:t>
      </w:r>
      <w:r w:rsidRPr="00907B7C">
        <w:rPr>
          <w:rFonts w:eastAsia="Times New Roman" w:cs="Arial"/>
          <w:i/>
          <w:iCs/>
          <w:sz w:val="20"/>
          <w:szCs w:val="20"/>
          <w:lang w:eastAsia="en-ZA"/>
        </w:rPr>
        <w:t>(a)</w:t>
      </w:r>
      <w:r w:rsidRPr="00907B7C">
        <w:rPr>
          <w:rFonts w:eastAsia="Times New Roman" w:cs="Arial"/>
          <w:sz w:val="20"/>
          <w:szCs w:val="20"/>
          <w:lang w:eastAsia="en-ZA"/>
        </w:rPr>
        <w:t>, the law clinic concerned may proceed in its own name to have such costs taxed, where appropriate, and to recover them, without being substituted on the record of the legal proceedings concerned, if any, for the litigant or person referred to in subsection (1).</w:t>
      </w:r>
    </w:p>
    <w:p w14:paraId="6977892C" w14:textId="77777777" w:rsidR="004547D1" w:rsidRPr="00907B7C" w:rsidRDefault="004547D1" w:rsidP="000D4451">
      <w:pPr>
        <w:shd w:val="clear" w:color="auto" w:fill="FFFFFF"/>
        <w:spacing w:before="0" w:line="240" w:lineRule="auto"/>
        <w:ind w:left="284" w:firstLine="567"/>
        <w:rPr>
          <w:rFonts w:eastAsia="Times New Roman" w:cs="Arial"/>
          <w:sz w:val="20"/>
          <w:szCs w:val="20"/>
          <w:lang w:eastAsia="en-ZA"/>
        </w:rPr>
      </w:pPr>
      <w:r w:rsidRPr="00907B7C">
        <w:rPr>
          <w:rFonts w:eastAsia="Times New Roman" w:cs="Arial"/>
          <w:sz w:val="20"/>
          <w:szCs w:val="20"/>
          <w:lang w:eastAsia="en-ZA"/>
        </w:rPr>
        <w:t>(3) The costs referred to in subsection (1) shall be calculated and the bill of costs concerned, if any, shall be taxed as if the litigant or person to whom legal services were rendered by the law clinic, actually incurred the costs of obtaining the services of the attorney or advocate acting on his or her behalf in the proceedings or dispute concerned.”</w:t>
      </w:r>
    </w:p>
  </w:footnote>
  <w:footnote w:id="17">
    <w:p w14:paraId="5E8EC218" w14:textId="4C250C4F" w:rsidR="003D476D" w:rsidRPr="00907B7C" w:rsidRDefault="003D476D" w:rsidP="000D4451">
      <w:pPr>
        <w:shd w:val="clear" w:color="auto" w:fill="FFFFFF"/>
        <w:tabs>
          <w:tab w:val="left" w:pos="284"/>
        </w:tabs>
        <w:spacing w:before="0" w:line="240" w:lineRule="auto"/>
        <w:rPr>
          <w:rFonts w:eastAsia="Times New Roman" w:cs="Arial"/>
          <w:sz w:val="20"/>
          <w:szCs w:val="20"/>
          <w:lang w:eastAsia="en-ZA"/>
        </w:rPr>
      </w:pPr>
      <w:r w:rsidRPr="00907B7C">
        <w:rPr>
          <w:rStyle w:val="FootnoteReference"/>
          <w:rFonts w:cs="Arial"/>
          <w:sz w:val="20"/>
          <w:szCs w:val="20"/>
        </w:rPr>
        <w:footnoteRef/>
      </w:r>
      <w:r w:rsidRPr="00907B7C">
        <w:rPr>
          <w:rFonts w:eastAsia="Times New Roman" w:cs="Arial"/>
          <w:sz w:val="20"/>
          <w:szCs w:val="20"/>
          <w:lang w:eastAsia="en-ZA"/>
        </w:rPr>
        <w:t>Code of Conduct for All Legal Practitioners, Candidate Legal Practitioners and Juristic Entities</w:t>
      </w:r>
    </w:p>
    <w:p w14:paraId="3821DA17" w14:textId="3CD7970B" w:rsidR="003D476D" w:rsidRPr="00B46069" w:rsidRDefault="00B87E2A" w:rsidP="000D4451">
      <w:pPr>
        <w:spacing w:before="0" w:line="240" w:lineRule="auto"/>
        <w:ind w:left="1702" w:hanging="1702"/>
        <w:rPr>
          <w:rFonts w:eastAsia="Times New Roman" w:cs="Arial"/>
          <w:sz w:val="20"/>
          <w:szCs w:val="20"/>
          <w:lang w:eastAsia="en-ZA"/>
        </w:rPr>
      </w:pPr>
      <w:r w:rsidRPr="00907B7C">
        <w:rPr>
          <w:rFonts w:eastAsia="Times New Roman" w:cs="Arial"/>
          <w:sz w:val="20"/>
          <w:szCs w:val="20"/>
          <w:lang w:eastAsia="en-ZA"/>
        </w:rPr>
        <w:t xml:space="preserve">   </w:t>
      </w:r>
      <w:r w:rsidR="003D476D" w:rsidRPr="003D476D">
        <w:rPr>
          <w:rFonts w:eastAsia="Times New Roman" w:cs="Arial"/>
          <w:sz w:val="20"/>
          <w:szCs w:val="20"/>
          <w:lang w:eastAsia="en-ZA"/>
        </w:rPr>
        <w:t>Published under</w:t>
      </w:r>
      <w:r w:rsidR="003D476D" w:rsidRPr="00907B7C">
        <w:rPr>
          <w:rFonts w:eastAsia="Times New Roman" w:cs="Arial"/>
          <w:sz w:val="20"/>
          <w:szCs w:val="20"/>
          <w:lang w:eastAsia="en-ZA"/>
        </w:rPr>
        <w:t xml:space="preserve"> </w:t>
      </w:r>
      <w:r w:rsidR="003D476D" w:rsidRPr="003D476D">
        <w:rPr>
          <w:rFonts w:eastAsia="Times New Roman" w:cs="Arial"/>
          <w:sz w:val="20"/>
          <w:szCs w:val="20"/>
          <w:lang w:eastAsia="en-ZA"/>
        </w:rPr>
        <w:t>GenN 168 in GG 42337 of 29 March 2019</w:t>
      </w:r>
    </w:p>
  </w:footnote>
  <w:footnote w:id="18">
    <w:p w14:paraId="5AF877BE" w14:textId="77777777" w:rsidR="004C5F17" w:rsidRPr="00907B7C" w:rsidRDefault="004C5F17" w:rsidP="000D4451">
      <w:pPr>
        <w:pStyle w:val="FootnoteText"/>
        <w:spacing w:before="0"/>
        <w:ind w:left="284" w:hanging="284"/>
        <w:rPr>
          <w:rFonts w:cs="Arial"/>
          <w:szCs w:val="20"/>
        </w:rPr>
      </w:pPr>
      <w:r w:rsidRPr="00907B7C">
        <w:rPr>
          <w:rStyle w:val="FootnoteReference"/>
          <w:rFonts w:cs="Arial"/>
          <w:szCs w:val="20"/>
        </w:rPr>
        <w:footnoteRef/>
      </w:r>
      <w:r w:rsidRPr="00907B7C">
        <w:rPr>
          <w:rFonts w:cs="Arial"/>
          <w:szCs w:val="20"/>
        </w:rPr>
        <w:t xml:space="preserve"> </w:t>
      </w:r>
      <w:r w:rsidRPr="00907B7C">
        <w:rPr>
          <w:rFonts w:cs="Arial"/>
          <w:i/>
          <w:iCs/>
          <w:szCs w:val="20"/>
        </w:rPr>
        <w:t xml:space="preserve">Solomon v Junkeeparsad </w:t>
      </w:r>
      <w:r w:rsidRPr="00907B7C">
        <w:rPr>
          <w:rFonts w:cs="Arial"/>
          <w:szCs w:val="20"/>
        </w:rPr>
        <w:t>2022 (3) SA  526 (GJ)</w:t>
      </w:r>
    </w:p>
  </w:footnote>
  <w:footnote w:id="19">
    <w:p w14:paraId="6C0063FA" w14:textId="032CB4F0" w:rsidR="00DF637C" w:rsidRDefault="00DF637C" w:rsidP="000D4451">
      <w:pPr>
        <w:pStyle w:val="FootnoteText"/>
        <w:spacing w:before="0"/>
      </w:pPr>
      <w:r>
        <w:rPr>
          <w:rStyle w:val="FootnoteReference"/>
        </w:rPr>
        <w:footnoteRef/>
      </w:r>
      <w:r>
        <w:t xml:space="preserve"> </w:t>
      </w:r>
      <w:r w:rsidR="000D4451">
        <w:t xml:space="preserve">I refer to the rules as published on the GCB website at </w:t>
      </w:r>
      <w:hyperlink r:id="rId1" w:history="1">
        <w:r w:rsidR="000D4451" w:rsidRPr="000D4451">
          <w:rPr>
            <w:rStyle w:val="Hyperlink"/>
            <w:color w:val="auto"/>
            <w:u w:val="none"/>
          </w:rPr>
          <w:t>https://gcbsa.co.za/</w:t>
        </w:r>
      </w:hyperlink>
    </w:p>
    <w:p w14:paraId="281CC159" w14:textId="77777777" w:rsidR="000D4451" w:rsidRDefault="000D4451" w:rsidP="000D4451">
      <w:pPr>
        <w:pStyle w:val="FootnoteText"/>
        <w:spacing w:before="0"/>
      </w:pPr>
    </w:p>
  </w:footnote>
  <w:footnote w:id="20">
    <w:p w14:paraId="3BD6A29A" w14:textId="17C47F0F" w:rsidR="00E955E1" w:rsidRPr="00907B7C" w:rsidRDefault="00E955E1" w:rsidP="000D4451">
      <w:pPr>
        <w:pStyle w:val="FootnoteText"/>
        <w:spacing w:before="0"/>
        <w:ind w:left="284" w:hanging="284"/>
        <w:rPr>
          <w:rFonts w:cs="Arial"/>
          <w:szCs w:val="20"/>
        </w:rPr>
      </w:pPr>
      <w:r w:rsidRPr="00907B7C">
        <w:rPr>
          <w:rStyle w:val="FootnoteReference"/>
          <w:rFonts w:cs="Arial"/>
          <w:szCs w:val="20"/>
        </w:rPr>
        <w:footnoteRef/>
      </w:r>
      <w:r w:rsidRPr="00907B7C">
        <w:rPr>
          <w:rFonts w:cs="Arial"/>
          <w:szCs w:val="20"/>
        </w:rPr>
        <w:t xml:space="preserve"> </w:t>
      </w:r>
      <w:r w:rsidRPr="00907B7C">
        <w:rPr>
          <w:rFonts w:cs="Arial"/>
          <w:i/>
          <w:iCs/>
          <w:szCs w:val="20"/>
          <w:shd w:val="clear" w:color="auto" w:fill="FFFFFF"/>
        </w:rPr>
        <w:t xml:space="preserve">Society of Advocates of SA (Witwatersrand Division) v Cigler </w:t>
      </w:r>
      <w:r w:rsidRPr="00907B7C">
        <w:rPr>
          <w:rFonts w:cs="Arial"/>
          <w:szCs w:val="20"/>
          <w:shd w:val="clear" w:color="auto" w:fill="FFFFFF"/>
        </w:rPr>
        <w:t xml:space="preserve">1976 (4) SA 350 (T) at 354A-G; </w:t>
      </w:r>
      <w:r w:rsidRPr="00907B7C">
        <w:rPr>
          <w:rFonts w:cs="Arial"/>
          <w:i/>
          <w:iCs/>
          <w:szCs w:val="20"/>
          <w:shd w:val="clear" w:color="auto" w:fill="FFFFFF"/>
        </w:rPr>
        <w:t>Fluxmans Incorporated v Lithos Corporation of South Africa (Pty) Ltd and Another (No 1)</w:t>
      </w:r>
      <w:r>
        <w:rPr>
          <w:rFonts w:cs="Arial"/>
          <w:i/>
          <w:iCs/>
          <w:szCs w:val="20"/>
          <w:shd w:val="clear" w:color="auto" w:fill="FFFFFF"/>
        </w:rPr>
        <w:t xml:space="preserve"> </w:t>
      </w:r>
      <w:r>
        <w:rPr>
          <w:rFonts w:cs="Arial"/>
          <w:szCs w:val="20"/>
          <w:shd w:val="clear" w:color="auto" w:fill="FFFFFF"/>
        </w:rPr>
        <w:t xml:space="preserve">2015 (2) SA 295 (GJ), paragraph 79 </w:t>
      </w:r>
    </w:p>
  </w:footnote>
  <w:footnote w:id="21">
    <w:p w14:paraId="3428BB33" w14:textId="41C22913" w:rsidR="00E955E1" w:rsidRDefault="00E955E1" w:rsidP="000D4451">
      <w:pPr>
        <w:pStyle w:val="FootnoteText"/>
        <w:spacing w:before="0"/>
      </w:pPr>
      <w:r>
        <w:rPr>
          <w:rStyle w:val="FootnoteReference"/>
        </w:rPr>
        <w:footnoteRef/>
      </w:r>
      <w:r>
        <w:t xml:space="preserve"> </w:t>
      </w:r>
      <w:r w:rsidR="00EB0E41">
        <w:t xml:space="preserve"> </w:t>
      </w:r>
      <w:r w:rsidRPr="00EF18C4">
        <w:t>G</w:t>
      </w:r>
      <w:r w:rsidRPr="00EF18C4">
        <w:rPr>
          <w:i/>
          <w:iCs/>
        </w:rPr>
        <w:t>eneral Council of the Bar of South Africa v Van der Spuy</w:t>
      </w:r>
      <w:r>
        <w:rPr>
          <w:i/>
          <w:iCs/>
        </w:rPr>
        <w:t xml:space="preserve"> </w:t>
      </w:r>
      <w:r>
        <w:t xml:space="preserve">1999 (1) SA 577 (T) at </w:t>
      </w:r>
      <w:r w:rsidRPr="00EF18C4">
        <w:t>593F</w:t>
      </w:r>
    </w:p>
  </w:footnote>
  <w:footnote w:id="22">
    <w:p w14:paraId="16472792" w14:textId="0878B87C" w:rsidR="00EB0E41" w:rsidRPr="000D4451" w:rsidRDefault="00EB0E41" w:rsidP="000D4451">
      <w:pPr>
        <w:pStyle w:val="FootnoteText"/>
        <w:spacing w:before="0"/>
        <w:ind w:left="284" w:hanging="284"/>
        <w:rPr>
          <w:rFonts w:cs="Arial"/>
          <w:szCs w:val="20"/>
        </w:rPr>
      </w:pPr>
      <w:r>
        <w:rPr>
          <w:rStyle w:val="FootnoteReference"/>
        </w:rPr>
        <w:footnoteRef/>
      </w:r>
      <w:r>
        <w:t xml:space="preserve">  </w:t>
      </w:r>
      <w:r w:rsidR="00D16C81" w:rsidRPr="000D4451">
        <w:t xml:space="preserve">See: </w:t>
      </w:r>
      <w:r w:rsidRPr="000D4451">
        <w:rPr>
          <w:rFonts w:cs="Arial"/>
          <w:szCs w:val="20"/>
          <w:shd w:val="clear" w:color="auto" w:fill="FFFFFF"/>
        </w:rPr>
        <w:t>GB Bradfield </w:t>
      </w:r>
      <w:r w:rsidRPr="000D4451">
        <w:rPr>
          <w:rFonts w:cs="Arial"/>
          <w:i/>
          <w:iCs/>
          <w:szCs w:val="20"/>
          <w:shd w:val="clear" w:color="auto" w:fill="FFFFFF"/>
        </w:rPr>
        <w:t>Christie's Law of Contract in South Africa</w:t>
      </w:r>
      <w:r w:rsidRPr="000D4451">
        <w:rPr>
          <w:rFonts w:cs="Arial"/>
          <w:szCs w:val="20"/>
          <w:shd w:val="clear" w:color="auto" w:fill="FFFFFF"/>
        </w:rPr>
        <w:t xml:space="preserve"> 7 ed </w:t>
      </w:r>
      <w:r w:rsidR="00580908" w:rsidRPr="000D4451">
        <w:rPr>
          <w:rFonts w:cs="Arial"/>
          <w:szCs w:val="20"/>
          <w:shd w:val="clear" w:color="auto" w:fill="FFFFFF"/>
        </w:rPr>
        <w:t xml:space="preserve">(“Christie”) </w:t>
      </w:r>
      <w:r w:rsidR="00C17AA4" w:rsidRPr="000D4451">
        <w:rPr>
          <w:rFonts w:cs="Arial"/>
          <w:szCs w:val="20"/>
          <w:shd w:val="clear" w:color="auto" w:fill="FFFFFF"/>
        </w:rPr>
        <w:t xml:space="preserve">p </w:t>
      </w:r>
      <w:r w:rsidRPr="000D4451">
        <w:rPr>
          <w:rFonts w:cs="Arial"/>
          <w:szCs w:val="20"/>
          <w:shd w:val="clear" w:color="auto" w:fill="FFFFFF"/>
        </w:rPr>
        <w:t>411 para</w:t>
      </w:r>
      <w:r w:rsidR="00D16C81" w:rsidRPr="000D4451">
        <w:rPr>
          <w:rFonts w:cs="Arial"/>
          <w:szCs w:val="20"/>
          <w:shd w:val="clear" w:color="auto" w:fill="FFFFFF"/>
        </w:rPr>
        <w:t>graph 10.3.2(c)</w:t>
      </w:r>
    </w:p>
  </w:footnote>
  <w:footnote w:id="23">
    <w:p w14:paraId="3F081A7A" w14:textId="30359657" w:rsidR="00C17AA4" w:rsidRPr="00C17AA4" w:rsidRDefault="00C17AA4" w:rsidP="000D4451">
      <w:pPr>
        <w:pStyle w:val="FootnoteText"/>
        <w:spacing w:before="0"/>
        <w:ind w:left="284" w:hanging="284"/>
      </w:pPr>
      <w:r>
        <w:rPr>
          <w:rStyle w:val="FootnoteReference"/>
        </w:rPr>
        <w:footnoteRef/>
      </w:r>
      <w:r>
        <w:t xml:space="preserve"> </w:t>
      </w:r>
      <w:r w:rsidR="00B46069">
        <w:t xml:space="preserve"> </w:t>
      </w:r>
      <w:r>
        <w:rPr>
          <w:i/>
          <w:iCs/>
        </w:rPr>
        <w:t xml:space="preserve">Ibid; </w:t>
      </w:r>
      <w:r w:rsidRPr="00C17AA4">
        <w:t>Van Huyssteen, Lubbe &amp; Reinecke</w:t>
      </w:r>
      <w:r>
        <w:rPr>
          <w:i/>
          <w:iCs/>
        </w:rPr>
        <w:t xml:space="preserve"> </w:t>
      </w:r>
      <w:r w:rsidRPr="00C17AA4">
        <w:rPr>
          <w:i/>
          <w:iCs/>
        </w:rPr>
        <w:t>Contract General Principles</w:t>
      </w:r>
      <w:r>
        <w:rPr>
          <w:i/>
          <w:iCs/>
        </w:rPr>
        <w:t xml:space="preserve"> </w:t>
      </w:r>
      <w:r>
        <w:t>6 ed p 218</w:t>
      </w:r>
      <w:r w:rsidR="00B46069">
        <w:t xml:space="preserve"> </w:t>
      </w:r>
      <w:r>
        <w:t xml:space="preserve">paragraph  7.22 </w:t>
      </w:r>
    </w:p>
  </w:footnote>
  <w:footnote w:id="24">
    <w:p w14:paraId="582488AA" w14:textId="3E5FF993" w:rsidR="00580908" w:rsidRDefault="00580908" w:rsidP="000D4451">
      <w:pPr>
        <w:pStyle w:val="FootnoteText"/>
        <w:spacing w:before="0"/>
      </w:pPr>
      <w:r>
        <w:rPr>
          <w:rStyle w:val="FootnoteReference"/>
        </w:rPr>
        <w:footnoteRef/>
      </w:r>
      <w:r>
        <w:t xml:space="preserve"> Christie, p 393ff</w:t>
      </w:r>
    </w:p>
  </w:footnote>
  <w:footnote w:id="25">
    <w:p w14:paraId="02ABEB0B" w14:textId="77777777" w:rsidR="00690704" w:rsidRDefault="00690704" w:rsidP="00690704">
      <w:pPr>
        <w:pStyle w:val="FootnoteText"/>
        <w:spacing w:before="0"/>
        <w:ind w:left="0" w:firstLine="0"/>
      </w:pPr>
      <w:r>
        <w:rPr>
          <w:rStyle w:val="FootnoteReference"/>
        </w:rPr>
        <w:footnoteRef/>
      </w:r>
      <w:r>
        <w:t xml:space="preserve">  A contract which is against public policy may be void or unenforceable. See in general: Christie, p 392ff; </w:t>
      </w:r>
      <w:r w:rsidRPr="00C17AA4">
        <w:t>Van Huyssteen, Lubbe &amp; Reinecke</w:t>
      </w:r>
      <w:r>
        <w:t xml:space="preserve"> (</w:t>
      </w:r>
      <w:r w:rsidRPr="00E77934">
        <w:rPr>
          <w:i/>
          <w:iCs/>
        </w:rPr>
        <w:t>supra</w:t>
      </w:r>
      <w:r>
        <w:t>), chapter 7</w:t>
      </w:r>
    </w:p>
  </w:footnote>
  <w:footnote w:id="26">
    <w:p w14:paraId="286F1288" w14:textId="418AC0D9" w:rsidR="00DD7F26" w:rsidRPr="00907B7C" w:rsidRDefault="00DD7F26" w:rsidP="000D4451">
      <w:pPr>
        <w:pStyle w:val="FootnoteText"/>
        <w:spacing w:before="0"/>
        <w:ind w:left="0" w:firstLine="0"/>
        <w:rPr>
          <w:rFonts w:cs="Arial"/>
          <w:szCs w:val="20"/>
        </w:rPr>
      </w:pPr>
      <w:r w:rsidRPr="00907B7C">
        <w:rPr>
          <w:rStyle w:val="FootnoteReference"/>
          <w:rFonts w:cs="Arial"/>
          <w:szCs w:val="20"/>
        </w:rPr>
        <w:footnoteRef/>
      </w:r>
      <w:r w:rsidRPr="00907B7C">
        <w:rPr>
          <w:rFonts w:cs="Arial"/>
          <w:szCs w:val="20"/>
        </w:rPr>
        <w:t xml:space="preserve"> If the parties cannot come to an agreement, </w:t>
      </w:r>
      <w:r w:rsidR="00DF3F2E">
        <w:rPr>
          <w:rFonts w:cs="Arial"/>
          <w:szCs w:val="20"/>
        </w:rPr>
        <w:t xml:space="preserve">the taxing master will have </w:t>
      </w:r>
      <w:r w:rsidRPr="00907B7C">
        <w:rPr>
          <w:rFonts w:cs="Arial"/>
          <w:szCs w:val="20"/>
        </w:rPr>
        <w:t>two conflicting cost orders</w:t>
      </w:r>
      <w:r w:rsidR="00DF3F2E">
        <w:rPr>
          <w:rFonts w:cs="Arial"/>
          <w:szCs w:val="20"/>
        </w:rPr>
        <w:t xml:space="preserve"> to deal with</w:t>
      </w:r>
      <w:r w:rsidRPr="00907B7C">
        <w:rPr>
          <w:rFonts w:cs="Arial"/>
          <w:szCs w:val="20"/>
        </w:rPr>
        <w:t xml:space="preserve">. </w:t>
      </w:r>
      <w:r w:rsidR="00FB0318">
        <w:rPr>
          <w:rFonts w:cs="Arial"/>
          <w:szCs w:val="20"/>
        </w:rPr>
        <w:t xml:space="preserve">At </w:t>
      </w:r>
      <w:r w:rsidRPr="00907B7C">
        <w:rPr>
          <w:rFonts w:cs="Arial"/>
          <w:szCs w:val="20"/>
        </w:rPr>
        <w:t>the hearing the argument took some two hours in total, of which only a few minutes were spent on the application to strike out.</w:t>
      </w:r>
    </w:p>
    <w:p w14:paraId="71E5242C" w14:textId="4826AFD1" w:rsidR="00DD7F26" w:rsidRPr="00907B7C" w:rsidRDefault="00DD7F26" w:rsidP="000D4451">
      <w:pPr>
        <w:pStyle w:val="FootnoteText"/>
        <w:spacing w:before="0"/>
        <w:rPr>
          <w:rFonts w:cs="Arial"/>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68544970"/>
      <w:docPartObj>
        <w:docPartGallery w:val="Page Numbers (Top of Page)"/>
        <w:docPartUnique/>
      </w:docPartObj>
    </w:sdtPr>
    <w:sdtEndPr>
      <w:rPr>
        <w:b/>
        <w:bCs/>
        <w:noProof/>
        <w:color w:val="auto"/>
        <w:spacing w:val="0"/>
      </w:rPr>
    </w:sdtEndPr>
    <w:sdtContent>
      <w:p w14:paraId="78194167" w14:textId="3DA7D0EE" w:rsidR="00BA6AAB" w:rsidRDefault="00BA6AA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F01A3" w:rsidRPr="009F01A3">
          <w:rPr>
            <w:b/>
            <w:bCs/>
            <w:noProof/>
          </w:rPr>
          <w:t>22</w:t>
        </w:r>
        <w:r>
          <w:rPr>
            <w:b/>
            <w:bCs/>
            <w:noProof/>
          </w:rPr>
          <w:fldChar w:fldCharType="end"/>
        </w:r>
      </w:p>
    </w:sdtContent>
  </w:sdt>
  <w:p w14:paraId="34AC142E" w14:textId="77777777" w:rsidR="00BA6AAB" w:rsidRDefault="00BA6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117"/>
    <w:multiLevelType w:val="multilevel"/>
    <w:tmpl w:val="B636C908"/>
    <w:lvl w:ilvl="0">
      <w:start w:val="1"/>
      <w:numFmt w:val="decimal"/>
      <w:pStyle w:val="level1"/>
      <w:lvlText w:val="[%1]"/>
      <w:lvlJc w:val="left"/>
      <w:pPr>
        <w:tabs>
          <w:tab w:val="num" w:pos="737"/>
        </w:tabs>
        <w:ind w:left="851" w:hanging="851"/>
      </w:pPr>
      <w:rPr>
        <w:rFonts w:hint="default"/>
        <w:b w:val="0"/>
        <w:bCs w:val="0"/>
        <w:i w:val="0"/>
        <w:iCs w:val="0"/>
      </w:rPr>
    </w:lvl>
    <w:lvl w:ilvl="1">
      <w:start w:val="1"/>
      <w:numFmt w:val="decimal"/>
      <w:lvlText w:val="%2."/>
      <w:lvlJc w:val="left"/>
      <w:pPr>
        <w:tabs>
          <w:tab w:val="num" w:pos="1985"/>
        </w:tabs>
        <w:ind w:left="1985" w:hanging="1134"/>
      </w:pPr>
      <w:rPr>
        <w:rFonts w:ascii="Arial" w:eastAsiaTheme="minorHAnsi" w:hAnsi="Arial" w:cstheme="minorBidi"/>
      </w:rPr>
    </w:lvl>
    <w:lvl w:ilvl="2">
      <w:start w:val="1"/>
      <w:numFmt w:val="decimal"/>
      <w:lvlText w:val="%1.%2.%3"/>
      <w:lvlJc w:val="left"/>
      <w:pPr>
        <w:tabs>
          <w:tab w:val="num" w:pos="2835"/>
        </w:tabs>
        <w:ind w:left="2835" w:hanging="1531"/>
      </w:pPr>
      <w:rPr>
        <w:rFonts w:hint="default"/>
      </w:rPr>
    </w:lvl>
    <w:lvl w:ilvl="3">
      <w:start w:val="1"/>
      <w:numFmt w:val="decimal"/>
      <w:lvlText w:val="%1.%2.%3.%4"/>
      <w:lvlJc w:val="left"/>
      <w:pPr>
        <w:tabs>
          <w:tab w:val="num" w:pos="4536"/>
        </w:tabs>
        <w:ind w:left="4536" w:hanging="221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65D5F03"/>
    <w:multiLevelType w:val="multilevel"/>
    <w:tmpl w:val="77768344"/>
    <w:lvl w:ilvl="0">
      <w:start w:val="1"/>
      <w:numFmt w:val="decimal"/>
      <w:lvlText w:val="%1"/>
      <w:lvlJc w:val="left"/>
      <w:pPr>
        <w:ind w:left="576" w:hanging="576"/>
      </w:pPr>
      <w:rPr>
        <w:rFonts w:hint="default"/>
      </w:rPr>
    </w:lvl>
    <w:lvl w:ilvl="1">
      <w:start w:val="1"/>
      <w:numFmt w:val="decimal"/>
      <w:lvlText w:val="%1.%2"/>
      <w:lvlJc w:val="left"/>
      <w:pPr>
        <w:ind w:left="2561" w:hanging="576"/>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2" w15:restartNumberingAfterBreak="0">
    <w:nsid w:val="1DD36559"/>
    <w:multiLevelType w:val="multilevel"/>
    <w:tmpl w:val="C23AD6C0"/>
    <w:lvl w:ilvl="0">
      <w:start w:val="1"/>
      <w:numFmt w:val="decimal"/>
      <w:pStyle w:val="1"/>
      <w:lvlText w:val="%1."/>
      <w:lvlJc w:val="left"/>
      <w:pPr>
        <w:ind w:left="360" w:hanging="360"/>
      </w:pPr>
      <w:rPr>
        <w:rFonts w:hint="default"/>
      </w:rPr>
    </w:lvl>
    <w:lvl w:ilvl="1">
      <w:start w:val="1"/>
      <w:numFmt w:val="decimal"/>
      <w:pStyle w:val="11"/>
      <w:lvlText w:val="%1.%2"/>
      <w:lvlJc w:val="left"/>
      <w:pPr>
        <w:ind w:left="792" w:hanging="432"/>
      </w:pPr>
      <w:rPr>
        <w:rFonts w:hint="default"/>
      </w:rPr>
    </w:lvl>
    <w:lvl w:ilvl="2">
      <w:start w:val="1"/>
      <w:numFmt w:val="decimal"/>
      <w:pStyle w:val="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2D75D45"/>
    <w:multiLevelType w:val="hybridMultilevel"/>
    <w:tmpl w:val="B64C1D1A"/>
    <w:lvl w:ilvl="0" w:tplc="A220179A">
      <w:start w:val="1"/>
      <w:numFmt w:val="lowerLetter"/>
      <w:lvlText w:val="(%1)"/>
      <w:lvlJc w:val="left"/>
      <w:pPr>
        <w:ind w:left="2345" w:hanging="36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4" w15:restartNumberingAfterBreak="0">
    <w:nsid w:val="343A4F8B"/>
    <w:multiLevelType w:val="multilevel"/>
    <w:tmpl w:val="116A92FA"/>
    <w:lvl w:ilvl="0">
      <w:start w:val="1"/>
      <w:numFmt w:val="lowerLetter"/>
      <w:pStyle w:val="level4a"/>
      <w:lvlText w:val="%1."/>
      <w:lvlJc w:val="left"/>
      <w:pPr>
        <w:ind w:left="3686" w:hanging="1134"/>
      </w:pPr>
      <w:rPr>
        <w:rFonts w:hint="default"/>
      </w:rPr>
    </w:lvl>
    <w:lvl w:ilvl="1">
      <w:start w:val="1"/>
      <w:numFmt w:val="lowerLetter"/>
      <w:lvlText w:val="%2."/>
      <w:lvlJc w:val="left"/>
      <w:pPr>
        <w:ind w:left="3992" w:hanging="360"/>
      </w:pPr>
      <w:rPr>
        <w:rFonts w:hint="default"/>
      </w:rPr>
    </w:lvl>
    <w:lvl w:ilvl="2">
      <w:start w:val="1"/>
      <w:numFmt w:val="lowerRoman"/>
      <w:lvlText w:val="%3."/>
      <w:lvlJc w:val="right"/>
      <w:pPr>
        <w:ind w:left="4712" w:hanging="180"/>
      </w:pPr>
      <w:rPr>
        <w:rFonts w:hint="default"/>
      </w:rPr>
    </w:lvl>
    <w:lvl w:ilvl="3">
      <w:start w:val="1"/>
      <w:numFmt w:val="decimal"/>
      <w:lvlText w:val="%4."/>
      <w:lvlJc w:val="left"/>
      <w:pPr>
        <w:ind w:left="5432" w:hanging="360"/>
      </w:pPr>
      <w:rPr>
        <w:rFonts w:hint="default"/>
      </w:rPr>
    </w:lvl>
    <w:lvl w:ilvl="4">
      <w:start w:val="1"/>
      <w:numFmt w:val="lowerLetter"/>
      <w:lvlText w:val="%5."/>
      <w:lvlJc w:val="left"/>
      <w:pPr>
        <w:ind w:left="6152" w:hanging="360"/>
      </w:pPr>
      <w:rPr>
        <w:rFonts w:hint="default"/>
      </w:rPr>
    </w:lvl>
    <w:lvl w:ilvl="5">
      <w:start w:val="1"/>
      <w:numFmt w:val="lowerRoman"/>
      <w:lvlText w:val="%6."/>
      <w:lvlJc w:val="right"/>
      <w:pPr>
        <w:ind w:left="6872" w:hanging="180"/>
      </w:pPr>
      <w:rPr>
        <w:rFonts w:hint="default"/>
      </w:rPr>
    </w:lvl>
    <w:lvl w:ilvl="6">
      <w:start w:val="1"/>
      <w:numFmt w:val="decimal"/>
      <w:lvlText w:val="%7."/>
      <w:lvlJc w:val="left"/>
      <w:pPr>
        <w:ind w:left="7592" w:hanging="360"/>
      </w:pPr>
      <w:rPr>
        <w:rFonts w:hint="default"/>
      </w:rPr>
    </w:lvl>
    <w:lvl w:ilvl="7">
      <w:start w:val="1"/>
      <w:numFmt w:val="lowerLetter"/>
      <w:lvlText w:val="%8."/>
      <w:lvlJc w:val="left"/>
      <w:pPr>
        <w:ind w:left="8312" w:hanging="360"/>
      </w:pPr>
      <w:rPr>
        <w:rFonts w:hint="default"/>
      </w:rPr>
    </w:lvl>
    <w:lvl w:ilvl="8">
      <w:start w:val="1"/>
      <w:numFmt w:val="lowerRoman"/>
      <w:lvlText w:val="%9."/>
      <w:lvlJc w:val="right"/>
      <w:pPr>
        <w:ind w:left="9032" w:hanging="180"/>
      </w:pPr>
      <w:rPr>
        <w:rFonts w:hint="default"/>
      </w:rPr>
    </w:lvl>
  </w:abstractNum>
  <w:abstractNum w:abstractNumId="5" w15:restartNumberingAfterBreak="0">
    <w:nsid w:val="37F74AF9"/>
    <w:multiLevelType w:val="hybridMultilevel"/>
    <w:tmpl w:val="CAE64F12"/>
    <w:lvl w:ilvl="0" w:tplc="5554D600">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D1A4A4D"/>
    <w:multiLevelType w:val="hybridMultilevel"/>
    <w:tmpl w:val="FAECFD86"/>
    <w:lvl w:ilvl="0" w:tplc="E0F47D50">
      <w:start w:val="1"/>
      <w:numFmt w:val="lowerLetter"/>
      <w:lvlText w:val="(%1)"/>
      <w:lvlJc w:val="left"/>
      <w:pPr>
        <w:ind w:left="2345" w:hanging="36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7" w15:restartNumberingAfterBreak="0">
    <w:nsid w:val="3EC37E0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421412"/>
    <w:multiLevelType w:val="hybridMultilevel"/>
    <w:tmpl w:val="8F7E7BEE"/>
    <w:lvl w:ilvl="0" w:tplc="86A868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F732B51"/>
    <w:multiLevelType w:val="multilevel"/>
    <w:tmpl w:val="25DA8840"/>
    <w:lvl w:ilvl="0">
      <w:start w:val="1"/>
      <w:numFmt w:val="decimal"/>
      <w:isLgl/>
      <w:lvlText w:val="%1"/>
      <w:lvlJc w:val="left"/>
      <w:pPr>
        <w:tabs>
          <w:tab w:val="num" w:pos="567"/>
        </w:tabs>
        <w:ind w:left="567" w:hanging="567"/>
      </w:pPr>
      <w:rPr>
        <w:rFonts w:ascii="Arial" w:hAnsi="Arial" w:hint="default"/>
        <w:b w:val="0"/>
        <w:i w:val="0"/>
        <w:color w:val="auto"/>
        <w:sz w:val="22"/>
        <w:szCs w:val="22"/>
        <w:u w:val="none"/>
      </w:rPr>
    </w:lvl>
    <w:lvl w:ilvl="1">
      <w:start w:val="1"/>
      <w:numFmt w:val="decimal"/>
      <w:pStyle w:val="level2"/>
      <w:isLgl/>
      <w:lvlText w:val="%1.%2"/>
      <w:lvlJc w:val="left"/>
      <w:pPr>
        <w:ind w:left="1418" w:hanging="851"/>
      </w:pPr>
      <w:rPr>
        <w:rFonts w:ascii="Arial (W1)" w:hAnsi="Arial (W1)" w:hint="default"/>
        <w:b w:val="0"/>
        <w:i w:val="0"/>
        <w:sz w:val="22"/>
        <w:szCs w:val="22"/>
      </w:rPr>
    </w:lvl>
    <w:lvl w:ilvl="2">
      <w:start w:val="1"/>
      <w:numFmt w:val="decimal"/>
      <w:pStyle w:val="level3"/>
      <w:isLgl/>
      <w:lvlText w:val="%1.%2.%3"/>
      <w:lvlJc w:val="left"/>
      <w:pPr>
        <w:ind w:left="2552" w:hanging="1134"/>
      </w:pPr>
      <w:rPr>
        <w:rFonts w:ascii="Arial (W1)" w:hAnsi="Arial (W1)" w:hint="default"/>
        <w:b w:val="0"/>
        <w:i w:val="0"/>
        <w:sz w:val="22"/>
        <w:szCs w:val="22"/>
      </w:rPr>
    </w:lvl>
    <w:lvl w:ilvl="3">
      <w:start w:val="1"/>
      <w:numFmt w:val="decimal"/>
      <w:pStyle w:val="level4"/>
      <w:isLgl/>
      <w:lvlText w:val="%1.%2.%3.%4"/>
      <w:lvlJc w:val="left"/>
      <w:pPr>
        <w:ind w:left="3686" w:hanging="1134"/>
      </w:pPr>
      <w:rPr>
        <w:rFonts w:ascii="Arial (W1)" w:hAnsi="Arial (W1)" w:hint="default"/>
        <w:b w:val="0"/>
        <w:i w:val="0"/>
        <w:sz w:val="22"/>
        <w:szCs w:val="22"/>
      </w:rPr>
    </w:lvl>
    <w:lvl w:ilvl="4">
      <w:start w:val="1"/>
      <w:numFmt w:val="decimal"/>
      <w:pStyle w:val="level5"/>
      <w:lvlText w:val="%1.%2.%3.%4.%5"/>
      <w:lvlJc w:val="left"/>
      <w:pPr>
        <w:tabs>
          <w:tab w:val="num" w:pos="1701"/>
        </w:tabs>
        <w:ind w:left="1701" w:hanging="1701"/>
      </w:pPr>
      <w:rPr>
        <w:rFonts w:ascii="Arial (W1)" w:hAnsi="Arial (W1)" w:hint="default"/>
        <w:b w:val="0"/>
        <w:i w:val="0"/>
        <w:sz w:val="22"/>
        <w:szCs w:val="22"/>
      </w:rPr>
    </w:lvl>
    <w:lvl w:ilvl="5">
      <w:start w:val="1"/>
      <w:numFmt w:val="decimal"/>
      <w:pStyle w:val="level6"/>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395541E"/>
    <w:multiLevelType w:val="multilevel"/>
    <w:tmpl w:val="03AAD670"/>
    <w:lvl w:ilvl="0">
      <w:start w:val="1"/>
      <w:numFmt w:val="decimal"/>
      <w:lvlText w:val="%1"/>
      <w:lvlJc w:val="left"/>
      <w:pPr>
        <w:tabs>
          <w:tab w:val="num" w:pos="851"/>
        </w:tabs>
        <w:ind w:left="851" w:hanging="851"/>
      </w:pPr>
      <w:rPr>
        <w:rFonts w:ascii="Arial" w:hAnsi="Arial" w:hint="default"/>
        <w:b w:val="0"/>
        <w:i w:val="0"/>
        <w:sz w:val="24"/>
        <w:szCs w:val="26"/>
      </w:rPr>
    </w:lvl>
    <w:lvl w:ilvl="1">
      <w:start w:val="1"/>
      <w:numFmt w:val="decimal"/>
      <w:lvlText w:val="%1.%2"/>
      <w:lvlJc w:val="left"/>
      <w:pPr>
        <w:tabs>
          <w:tab w:val="num" w:pos="1985"/>
        </w:tabs>
        <w:ind w:left="1985" w:hanging="1134"/>
      </w:pPr>
      <w:rPr>
        <w:rFonts w:ascii="Arial" w:hAnsi="Arial" w:hint="default"/>
        <w:b w:val="0"/>
        <w:i w:val="0"/>
        <w:sz w:val="24"/>
        <w:szCs w:val="26"/>
      </w:rPr>
    </w:lvl>
    <w:lvl w:ilvl="2">
      <w:start w:val="1"/>
      <w:numFmt w:val="decimal"/>
      <w:lvlText w:val="%1.%2.%3"/>
      <w:lvlJc w:val="left"/>
      <w:pPr>
        <w:tabs>
          <w:tab w:val="num" w:pos="2552"/>
        </w:tabs>
        <w:ind w:left="2552" w:hanging="1134"/>
      </w:pPr>
      <w:rPr>
        <w:rFonts w:ascii="Arial" w:hAnsi="Arial" w:hint="default"/>
        <w:b w:val="0"/>
        <w:i w:val="0"/>
        <w:sz w:val="24"/>
        <w:szCs w:val="26"/>
      </w:rPr>
    </w:lvl>
    <w:lvl w:ilvl="3">
      <w:start w:val="1"/>
      <w:numFmt w:val="decimal"/>
      <w:lvlText w:val="%1.%2.%3.%4"/>
      <w:lvlJc w:val="left"/>
      <w:pPr>
        <w:tabs>
          <w:tab w:val="num" w:pos="3240"/>
        </w:tabs>
        <w:ind w:left="3240" w:hanging="1080"/>
      </w:pPr>
      <w:rPr>
        <w:rFonts w:ascii="Arial" w:hAnsi="Arial" w:hint="default"/>
        <w:b w:val="0"/>
        <w:i w:val="0"/>
        <w:sz w:val="24"/>
        <w:szCs w:val="24"/>
      </w:rPr>
    </w:lvl>
    <w:lvl w:ilvl="4">
      <w:start w:val="1"/>
      <w:numFmt w:val="decimal"/>
      <w:lvlText w:val="%1.%2.%3.%4.%5"/>
      <w:lvlJc w:val="left"/>
      <w:pPr>
        <w:tabs>
          <w:tab w:val="num" w:pos="3960"/>
        </w:tabs>
        <w:ind w:left="3960" w:hanging="1080"/>
      </w:pPr>
      <w:rPr>
        <w:rFonts w:ascii="Times New Roman" w:hAnsi="Times New Roman" w:hint="default"/>
      </w:rPr>
    </w:lvl>
    <w:lvl w:ilvl="5">
      <w:start w:val="1"/>
      <w:numFmt w:val="decimal"/>
      <w:lvlText w:val="%1.%2.%3.%4.%5.%6"/>
      <w:lvlJc w:val="left"/>
      <w:pPr>
        <w:tabs>
          <w:tab w:val="num" w:pos="5040"/>
        </w:tabs>
        <w:ind w:left="5040" w:hanging="1440"/>
      </w:pPr>
      <w:rPr>
        <w:rFonts w:ascii="Times New Roman" w:hAnsi="Times New Roman" w:hint="default"/>
      </w:rPr>
    </w:lvl>
    <w:lvl w:ilvl="6">
      <w:start w:val="1"/>
      <w:numFmt w:val="decimal"/>
      <w:lvlText w:val="%1.%2.%3.%4.%5.%6.%7"/>
      <w:lvlJc w:val="left"/>
      <w:pPr>
        <w:tabs>
          <w:tab w:val="num" w:pos="5760"/>
        </w:tabs>
        <w:ind w:left="5760" w:hanging="1440"/>
      </w:pPr>
      <w:rPr>
        <w:rFonts w:ascii="Times New Roman" w:hAnsi="Times New Roman" w:hint="default"/>
      </w:rPr>
    </w:lvl>
    <w:lvl w:ilvl="7">
      <w:start w:val="1"/>
      <w:numFmt w:val="decimal"/>
      <w:lvlText w:val="%1.%2.%3.%4.%5.%6.%7.%8"/>
      <w:lvlJc w:val="left"/>
      <w:pPr>
        <w:tabs>
          <w:tab w:val="num" w:pos="6840"/>
        </w:tabs>
        <w:ind w:left="6840" w:hanging="1800"/>
      </w:pPr>
      <w:rPr>
        <w:rFonts w:ascii="Times New Roman" w:hAnsi="Times New Roman" w:hint="default"/>
      </w:rPr>
    </w:lvl>
    <w:lvl w:ilvl="8">
      <w:start w:val="1"/>
      <w:numFmt w:val="decimal"/>
      <w:lvlText w:val="%1.%2.%3.%4.%5.%6.%7.%8.%9"/>
      <w:lvlJc w:val="left"/>
      <w:pPr>
        <w:tabs>
          <w:tab w:val="num" w:pos="7560"/>
        </w:tabs>
        <w:ind w:left="7560" w:hanging="1800"/>
      </w:pPr>
      <w:rPr>
        <w:rFonts w:ascii="Times New Roman" w:hAnsi="Times New Roman" w:hint="default"/>
      </w:rPr>
    </w:lvl>
  </w:abstractNum>
  <w:abstractNum w:abstractNumId="11" w15:restartNumberingAfterBreak="0">
    <w:nsid w:val="5AE54BD3"/>
    <w:multiLevelType w:val="hybridMultilevel"/>
    <w:tmpl w:val="0E94C298"/>
    <w:lvl w:ilvl="0" w:tplc="89587EE8">
      <w:start w:val="1"/>
      <w:numFmt w:val="lowerLetter"/>
      <w:lvlText w:val="(%1)"/>
      <w:lvlJc w:val="left"/>
      <w:pPr>
        <w:ind w:left="2345" w:hanging="36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12" w15:restartNumberingAfterBreak="0">
    <w:nsid w:val="72D1044B"/>
    <w:multiLevelType w:val="hybridMultilevel"/>
    <w:tmpl w:val="BFA009E2"/>
    <w:lvl w:ilvl="0" w:tplc="645CB0C4">
      <w:start w:val="1"/>
      <w:numFmt w:val="lowerRoman"/>
      <w:lvlText w:val="(%1)"/>
      <w:lvlJc w:val="left"/>
      <w:pPr>
        <w:ind w:left="1284" w:hanging="720"/>
      </w:pPr>
      <w:rPr>
        <w:rFonts w:hint="default"/>
      </w:rPr>
    </w:lvl>
    <w:lvl w:ilvl="1" w:tplc="1C090019" w:tentative="1">
      <w:start w:val="1"/>
      <w:numFmt w:val="lowerLetter"/>
      <w:lvlText w:val="%2."/>
      <w:lvlJc w:val="left"/>
      <w:pPr>
        <w:ind w:left="1644" w:hanging="360"/>
      </w:pPr>
    </w:lvl>
    <w:lvl w:ilvl="2" w:tplc="1C09001B" w:tentative="1">
      <w:start w:val="1"/>
      <w:numFmt w:val="lowerRoman"/>
      <w:lvlText w:val="%3."/>
      <w:lvlJc w:val="right"/>
      <w:pPr>
        <w:ind w:left="2364" w:hanging="180"/>
      </w:pPr>
    </w:lvl>
    <w:lvl w:ilvl="3" w:tplc="1C09000F" w:tentative="1">
      <w:start w:val="1"/>
      <w:numFmt w:val="decimal"/>
      <w:lvlText w:val="%4."/>
      <w:lvlJc w:val="left"/>
      <w:pPr>
        <w:ind w:left="3084" w:hanging="360"/>
      </w:pPr>
    </w:lvl>
    <w:lvl w:ilvl="4" w:tplc="1C090019" w:tentative="1">
      <w:start w:val="1"/>
      <w:numFmt w:val="lowerLetter"/>
      <w:lvlText w:val="%5."/>
      <w:lvlJc w:val="left"/>
      <w:pPr>
        <w:ind w:left="3804" w:hanging="360"/>
      </w:pPr>
    </w:lvl>
    <w:lvl w:ilvl="5" w:tplc="1C09001B" w:tentative="1">
      <w:start w:val="1"/>
      <w:numFmt w:val="lowerRoman"/>
      <w:lvlText w:val="%6."/>
      <w:lvlJc w:val="right"/>
      <w:pPr>
        <w:ind w:left="4524" w:hanging="180"/>
      </w:pPr>
    </w:lvl>
    <w:lvl w:ilvl="6" w:tplc="1C09000F" w:tentative="1">
      <w:start w:val="1"/>
      <w:numFmt w:val="decimal"/>
      <w:lvlText w:val="%7."/>
      <w:lvlJc w:val="left"/>
      <w:pPr>
        <w:ind w:left="5244" w:hanging="360"/>
      </w:pPr>
    </w:lvl>
    <w:lvl w:ilvl="7" w:tplc="1C090019" w:tentative="1">
      <w:start w:val="1"/>
      <w:numFmt w:val="lowerLetter"/>
      <w:lvlText w:val="%8."/>
      <w:lvlJc w:val="left"/>
      <w:pPr>
        <w:ind w:left="5964" w:hanging="360"/>
      </w:pPr>
    </w:lvl>
    <w:lvl w:ilvl="8" w:tplc="1C09001B" w:tentative="1">
      <w:start w:val="1"/>
      <w:numFmt w:val="lowerRoman"/>
      <w:lvlText w:val="%9."/>
      <w:lvlJc w:val="right"/>
      <w:pPr>
        <w:ind w:left="6684" w:hanging="180"/>
      </w:pPr>
    </w:lvl>
  </w:abstractNum>
  <w:num w:numId="1" w16cid:durableId="316224601">
    <w:abstractNumId w:val="9"/>
  </w:num>
  <w:num w:numId="2" w16cid:durableId="1060328162">
    <w:abstractNumId w:val="9"/>
  </w:num>
  <w:num w:numId="3" w16cid:durableId="1493328182">
    <w:abstractNumId w:val="9"/>
  </w:num>
  <w:num w:numId="4" w16cid:durableId="688482759">
    <w:abstractNumId w:val="9"/>
  </w:num>
  <w:num w:numId="5" w16cid:durableId="1157065581">
    <w:abstractNumId w:val="4"/>
  </w:num>
  <w:num w:numId="6" w16cid:durableId="642539959">
    <w:abstractNumId w:val="9"/>
  </w:num>
  <w:num w:numId="7" w16cid:durableId="833496470">
    <w:abstractNumId w:val="9"/>
  </w:num>
  <w:num w:numId="8" w16cid:durableId="132142873">
    <w:abstractNumId w:val="9"/>
  </w:num>
  <w:num w:numId="9" w16cid:durableId="2146972067">
    <w:abstractNumId w:val="9"/>
  </w:num>
  <w:num w:numId="10" w16cid:durableId="1751122853">
    <w:abstractNumId w:val="9"/>
  </w:num>
  <w:num w:numId="11" w16cid:durableId="1141075163">
    <w:abstractNumId w:val="9"/>
  </w:num>
  <w:num w:numId="12" w16cid:durableId="1179080462">
    <w:abstractNumId w:val="9"/>
  </w:num>
  <w:num w:numId="13" w16cid:durableId="1980960501">
    <w:abstractNumId w:val="9"/>
  </w:num>
  <w:num w:numId="14" w16cid:durableId="388186803">
    <w:abstractNumId w:val="9"/>
  </w:num>
  <w:num w:numId="15" w16cid:durableId="624047568">
    <w:abstractNumId w:val="9"/>
  </w:num>
  <w:num w:numId="16" w16cid:durableId="968707488">
    <w:abstractNumId w:val="5"/>
  </w:num>
  <w:num w:numId="17" w16cid:durableId="1812597301">
    <w:abstractNumId w:val="5"/>
  </w:num>
  <w:num w:numId="18" w16cid:durableId="1201896828">
    <w:abstractNumId w:val="8"/>
  </w:num>
  <w:num w:numId="19" w16cid:durableId="1160584109">
    <w:abstractNumId w:val="0"/>
  </w:num>
  <w:num w:numId="20" w16cid:durableId="167183491">
    <w:abstractNumId w:val="12"/>
  </w:num>
  <w:num w:numId="21" w16cid:durableId="1871450350">
    <w:abstractNumId w:val="10"/>
  </w:num>
  <w:num w:numId="22" w16cid:durableId="235625293">
    <w:abstractNumId w:val="11"/>
  </w:num>
  <w:num w:numId="23" w16cid:durableId="102502154">
    <w:abstractNumId w:val="2"/>
  </w:num>
  <w:num w:numId="24" w16cid:durableId="8632487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370216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882682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13147150">
    <w:abstractNumId w:val="7"/>
  </w:num>
  <w:num w:numId="28" w16cid:durableId="802388240">
    <w:abstractNumId w:val="3"/>
  </w:num>
  <w:num w:numId="29" w16cid:durableId="1027633978">
    <w:abstractNumId w:val="6"/>
  </w:num>
  <w:num w:numId="30" w16cid:durableId="1300190166">
    <w:abstractNumId w:val="0"/>
    <w:lvlOverride w:ilvl="0">
      <w:startOverride w:val="17"/>
    </w:lvlOverride>
    <w:lvlOverride w:ilvl="1">
      <w:startOverride w:val="2"/>
    </w:lvlOverride>
    <w:lvlOverride w:ilvl="2">
      <w:startOverride w:val="1"/>
    </w:lvlOverride>
  </w:num>
  <w:num w:numId="31" w16cid:durableId="580986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851"/>
  <w:drawingGridHorizontalSpacing w:val="284"/>
  <w:drawingGridVerticalSpacing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2E5"/>
    <w:rsid w:val="00000660"/>
    <w:rsid w:val="00000BB4"/>
    <w:rsid w:val="0000244D"/>
    <w:rsid w:val="00006D8A"/>
    <w:rsid w:val="00006E59"/>
    <w:rsid w:val="000073D9"/>
    <w:rsid w:val="000109B7"/>
    <w:rsid w:val="0001308F"/>
    <w:rsid w:val="00014E8A"/>
    <w:rsid w:val="00021478"/>
    <w:rsid w:val="000224BB"/>
    <w:rsid w:val="00026DC7"/>
    <w:rsid w:val="0002781D"/>
    <w:rsid w:val="00032E8F"/>
    <w:rsid w:val="00036EC9"/>
    <w:rsid w:val="000401B3"/>
    <w:rsid w:val="00046A31"/>
    <w:rsid w:val="0005256A"/>
    <w:rsid w:val="00056011"/>
    <w:rsid w:val="00066696"/>
    <w:rsid w:val="00073917"/>
    <w:rsid w:val="0007640F"/>
    <w:rsid w:val="00097162"/>
    <w:rsid w:val="000977CD"/>
    <w:rsid w:val="000A1850"/>
    <w:rsid w:val="000A2E91"/>
    <w:rsid w:val="000A7DBF"/>
    <w:rsid w:val="000B0FF3"/>
    <w:rsid w:val="000B250C"/>
    <w:rsid w:val="000B3379"/>
    <w:rsid w:val="000C1C71"/>
    <w:rsid w:val="000D3D2C"/>
    <w:rsid w:val="000D4451"/>
    <w:rsid w:val="000D6337"/>
    <w:rsid w:val="000E2B68"/>
    <w:rsid w:val="000E5F71"/>
    <w:rsid w:val="000E662A"/>
    <w:rsid w:val="000F2CAD"/>
    <w:rsid w:val="000F343F"/>
    <w:rsid w:val="001028B5"/>
    <w:rsid w:val="00106141"/>
    <w:rsid w:val="001072E5"/>
    <w:rsid w:val="001102D5"/>
    <w:rsid w:val="0011068D"/>
    <w:rsid w:val="0012281A"/>
    <w:rsid w:val="00122AFF"/>
    <w:rsid w:val="001246C2"/>
    <w:rsid w:val="001275DA"/>
    <w:rsid w:val="001354B3"/>
    <w:rsid w:val="00137D95"/>
    <w:rsid w:val="001411B1"/>
    <w:rsid w:val="00141CFD"/>
    <w:rsid w:val="00144E39"/>
    <w:rsid w:val="00145540"/>
    <w:rsid w:val="00146E62"/>
    <w:rsid w:val="00156660"/>
    <w:rsid w:val="00161F9B"/>
    <w:rsid w:val="0016217C"/>
    <w:rsid w:val="00163F46"/>
    <w:rsid w:val="00164F23"/>
    <w:rsid w:val="00167520"/>
    <w:rsid w:val="00171C7E"/>
    <w:rsid w:val="001732E9"/>
    <w:rsid w:val="001810F2"/>
    <w:rsid w:val="00182E1D"/>
    <w:rsid w:val="00186FD6"/>
    <w:rsid w:val="0019002D"/>
    <w:rsid w:val="001A2325"/>
    <w:rsid w:val="001A78BB"/>
    <w:rsid w:val="001B2A46"/>
    <w:rsid w:val="001B3BAB"/>
    <w:rsid w:val="001B6B22"/>
    <w:rsid w:val="001B7A38"/>
    <w:rsid w:val="001C02E8"/>
    <w:rsid w:val="001C2401"/>
    <w:rsid w:val="001C2542"/>
    <w:rsid w:val="001C2E5F"/>
    <w:rsid w:val="001D2390"/>
    <w:rsid w:val="001D2D0D"/>
    <w:rsid w:val="001D2F02"/>
    <w:rsid w:val="001D595D"/>
    <w:rsid w:val="001D5B55"/>
    <w:rsid w:val="001E09A0"/>
    <w:rsid w:val="001E1229"/>
    <w:rsid w:val="001E23BD"/>
    <w:rsid w:val="001E50AE"/>
    <w:rsid w:val="001E5884"/>
    <w:rsid w:val="001F4316"/>
    <w:rsid w:val="001F465A"/>
    <w:rsid w:val="00200808"/>
    <w:rsid w:val="00202DF4"/>
    <w:rsid w:val="0020426E"/>
    <w:rsid w:val="00205AB2"/>
    <w:rsid w:val="00215857"/>
    <w:rsid w:val="002205BE"/>
    <w:rsid w:val="00221FFB"/>
    <w:rsid w:val="002332A1"/>
    <w:rsid w:val="002368E5"/>
    <w:rsid w:val="00242044"/>
    <w:rsid w:val="0024487C"/>
    <w:rsid w:val="00245E27"/>
    <w:rsid w:val="00252C87"/>
    <w:rsid w:val="00253108"/>
    <w:rsid w:val="00260657"/>
    <w:rsid w:val="0026465A"/>
    <w:rsid w:val="00273E7B"/>
    <w:rsid w:val="002753B5"/>
    <w:rsid w:val="002807CB"/>
    <w:rsid w:val="0028345C"/>
    <w:rsid w:val="002847E8"/>
    <w:rsid w:val="00287977"/>
    <w:rsid w:val="00290EC6"/>
    <w:rsid w:val="002951C1"/>
    <w:rsid w:val="00296F9D"/>
    <w:rsid w:val="002A085E"/>
    <w:rsid w:val="002A4378"/>
    <w:rsid w:val="002B1CFC"/>
    <w:rsid w:val="002B38EF"/>
    <w:rsid w:val="002B4F75"/>
    <w:rsid w:val="002C38CB"/>
    <w:rsid w:val="002C7708"/>
    <w:rsid w:val="002D1671"/>
    <w:rsid w:val="002D743F"/>
    <w:rsid w:val="002E1D1D"/>
    <w:rsid w:val="002E2977"/>
    <w:rsid w:val="002E38EE"/>
    <w:rsid w:val="002E6A31"/>
    <w:rsid w:val="002F356E"/>
    <w:rsid w:val="002F4757"/>
    <w:rsid w:val="002F52BD"/>
    <w:rsid w:val="002F56F7"/>
    <w:rsid w:val="00304FFE"/>
    <w:rsid w:val="0030560D"/>
    <w:rsid w:val="00305787"/>
    <w:rsid w:val="00307E3D"/>
    <w:rsid w:val="0031103B"/>
    <w:rsid w:val="00314450"/>
    <w:rsid w:val="00317DB3"/>
    <w:rsid w:val="00330157"/>
    <w:rsid w:val="00331CAE"/>
    <w:rsid w:val="003339D6"/>
    <w:rsid w:val="003345B2"/>
    <w:rsid w:val="003351BE"/>
    <w:rsid w:val="003413D9"/>
    <w:rsid w:val="0034166B"/>
    <w:rsid w:val="0034450D"/>
    <w:rsid w:val="00345856"/>
    <w:rsid w:val="00354C9A"/>
    <w:rsid w:val="00360B15"/>
    <w:rsid w:val="00361309"/>
    <w:rsid w:val="003647D8"/>
    <w:rsid w:val="00365A8E"/>
    <w:rsid w:val="003665A6"/>
    <w:rsid w:val="00367387"/>
    <w:rsid w:val="00374851"/>
    <w:rsid w:val="00391168"/>
    <w:rsid w:val="00391DCD"/>
    <w:rsid w:val="00393923"/>
    <w:rsid w:val="00394491"/>
    <w:rsid w:val="003A2095"/>
    <w:rsid w:val="003A36D7"/>
    <w:rsid w:val="003A687C"/>
    <w:rsid w:val="003A6BA8"/>
    <w:rsid w:val="003B1C2A"/>
    <w:rsid w:val="003B4270"/>
    <w:rsid w:val="003C0E18"/>
    <w:rsid w:val="003C3AFF"/>
    <w:rsid w:val="003C4155"/>
    <w:rsid w:val="003C48EB"/>
    <w:rsid w:val="003D32DF"/>
    <w:rsid w:val="003D476D"/>
    <w:rsid w:val="003D4EDC"/>
    <w:rsid w:val="003E012D"/>
    <w:rsid w:val="003E0A89"/>
    <w:rsid w:val="003E14F3"/>
    <w:rsid w:val="003E2487"/>
    <w:rsid w:val="003F096A"/>
    <w:rsid w:val="003F59D6"/>
    <w:rsid w:val="003F5AC5"/>
    <w:rsid w:val="003F64B1"/>
    <w:rsid w:val="0040289B"/>
    <w:rsid w:val="00403C47"/>
    <w:rsid w:val="00404103"/>
    <w:rsid w:val="00404611"/>
    <w:rsid w:val="00404815"/>
    <w:rsid w:val="0041418F"/>
    <w:rsid w:val="004178F5"/>
    <w:rsid w:val="004276EB"/>
    <w:rsid w:val="004319E6"/>
    <w:rsid w:val="00432199"/>
    <w:rsid w:val="00445E44"/>
    <w:rsid w:val="00446A8C"/>
    <w:rsid w:val="00447F9D"/>
    <w:rsid w:val="004547D1"/>
    <w:rsid w:val="004605E8"/>
    <w:rsid w:val="00464F5C"/>
    <w:rsid w:val="00466211"/>
    <w:rsid w:val="004770AD"/>
    <w:rsid w:val="0047784F"/>
    <w:rsid w:val="0048001F"/>
    <w:rsid w:val="00487543"/>
    <w:rsid w:val="004A25FD"/>
    <w:rsid w:val="004A3B35"/>
    <w:rsid w:val="004A4E31"/>
    <w:rsid w:val="004A6542"/>
    <w:rsid w:val="004B20A3"/>
    <w:rsid w:val="004B28F2"/>
    <w:rsid w:val="004C0FC2"/>
    <w:rsid w:val="004C18C0"/>
    <w:rsid w:val="004C212D"/>
    <w:rsid w:val="004C5F17"/>
    <w:rsid w:val="004C682E"/>
    <w:rsid w:val="004C6957"/>
    <w:rsid w:val="004C797D"/>
    <w:rsid w:val="004D0212"/>
    <w:rsid w:val="004D2E36"/>
    <w:rsid w:val="004D39A1"/>
    <w:rsid w:val="004D452C"/>
    <w:rsid w:val="004D5637"/>
    <w:rsid w:val="004D6172"/>
    <w:rsid w:val="004D6F5C"/>
    <w:rsid w:val="004D7B33"/>
    <w:rsid w:val="004E1775"/>
    <w:rsid w:val="004E35D9"/>
    <w:rsid w:val="004E41CB"/>
    <w:rsid w:val="004E4624"/>
    <w:rsid w:val="004E46E5"/>
    <w:rsid w:val="004E4C2D"/>
    <w:rsid w:val="004F6F22"/>
    <w:rsid w:val="004F7695"/>
    <w:rsid w:val="004F7C5F"/>
    <w:rsid w:val="0050774B"/>
    <w:rsid w:val="00514556"/>
    <w:rsid w:val="00515713"/>
    <w:rsid w:val="005166C2"/>
    <w:rsid w:val="00521BC1"/>
    <w:rsid w:val="005329C5"/>
    <w:rsid w:val="005330C9"/>
    <w:rsid w:val="0053323D"/>
    <w:rsid w:val="005359DC"/>
    <w:rsid w:val="00535C05"/>
    <w:rsid w:val="00543CC3"/>
    <w:rsid w:val="00547371"/>
    <w:rsid w:val="00552108"/>
    <w:rsid w:val="00552EF0"/>
    <w:rsid w:val="005550AE"/>
    <w:rsid w:val="0055579F"/>
    <w:rsid w:val="005568AB"/>
    <w:rsid w:val="00562EBA"/>
    <w:rsid w:val="00564BF7"/>
    <w:rsid w:val="0057131F"/>
    <w:rsid w:val="005741E5"/>
    <w:rsid w:val="005762D1"/>
    <w:rsid w:val="00576636"/>
    <w:rsid w:val="00580908"/>
    <w:rsid w:val="00581090"/>
    <w:rsid w:val="0058398F"/>
    <w:rsid w:val="00583A4A"/>
    <w:rsid w:val="00584896"/>
    <w:rsid w:val="00586681"/>
    <w:rsid w:val="00587308"/>
    <w:rsid w:val="0059403D"/>
    <w:rsid w:val="005A0E63"/>
    <w:rsid w:val="005A4620"/>
    <w:rsid w:val="005A7758"/>
    <w:rsid w:val="005B2448"/>
    <w:rsid w:val="005B4F56"/>
    <w:rsid w:val="005B6A94"/>
    <w:rsid w:val="005C145B"/>
    <w:rsid w:val="005C22F1"/>
    <w:rsid w:val="005C31BB"/>
    <w:rsid w:val="005C5563"/>
    <w:rsid w:val="005C562D"/>
    <w:rsid w:val="005E183E"/>
    <w:rsid w:val="005E2695"/>
    <w:rsid w:val="005E364B"/>
    <w:rsid w:val="005F01B9"/>
    <w:rsid w:val="005F0DEB"/>
    <w:rsid w:val="005F5AA4"/>
    <w:rsid w:val="00600CC3"/>
    <w:rsid w:val="00611D9E"/>
    <w:rsid w:val="0061431B"/>
    <w:rsid w:val="00616403"/>
    <w:rsid w:val="006242ED"/>
    <w:rsid w:val="00626930"/>
    <w:rsid w:val="00631D4D"/>
    <w:rsid w:val="00641E42"/>
    <w:rsid w:val="00642C40"/>
    <w:rsid w:val="006438A1"/>
    <w:rsid w:val="006447BA"/>
    <w:rsid w:val="00652069"/>
    <w:rsid w:val="00653553"/>
    <w:rsid w:val="006608AF"/>
    <w:rsid w:val="00662730"/>
    <w:rsid w:val="00664AB9"/>
    <w:rsid w:val="00664F40"/>
    <w:rsid w:val="00665804"/>
    <w:rsid w:val="006675CD"/>
    <w:rsid w:val="00667D8B"/>
    <w:rsid w:val="00670632"/>
    <w:rsid w:val="006767A3"/>
    <w:rsid w:val="0068381E"/>
    <w:rsid w:val="00690704"/>
    <w:rsid w:val="00697F0C"/>
    <w:rsid w:val="006A00B7"/>
    <w:rsid w:val="006A208C"/>
    <w:rsid w:val="006A4F61"/>
    <w:rsid w:val="006A5DA8"/>
    <w:rsid w:val="006B3A8C"/>
    <w:rsid w:val="006C1936"/>
    <w:rsid w:val="006C1B6E"/>
    <w:rsid w:val="006C3B25"/>
    <w:rsid w:val="006C4756"/>
    <w:rsid w:val="006D0508"/>
    <w:rsid w:val="006D194A"/>
    <w:rsid w:val="006D501F"/>
    <w:rsid w:val="006D60FC"/>
    <w:rsid w:val="006E39DE"/>
    <w:rsid w:val="006F02CD"/>
    <w:rsid w:val="007001F4"/>
    <w:rsid w:val="00706A12"/>
    <w:rsid w:val="00707B01"/>
    <w:rsid w:val="007108B5"/>
    <w:rsid w:val="007147F3"/>
    <w:rsid w:val="00716B28"/>
    <w:rsid w:val="00721501"/>
    <w:rsid w:val="007248E4"/>
    <w:rsid w:val="00727306"/>
    <w:rsid w:val="00727B66"/>
    <w:rsid w:val="007302AF"/>
    <w:rsid w:val="00745F9B"/>
    <w:rsid w:val="0075297E"/>
    <w:rsid w:val="007566ED"/>
    <w:rsid w:val="00764C42"/>
    <w:rsid w:val="00767FAF"/>
    <w:rsid w:val="0077304F"/>
    <w:rsid w:val="007804C6"/>
    <w:rsid w:val="007846E1"/>
    <w:rsid w:val="007A25C4"/>
    <w:rsid w:val="007A376E"/>
    <w:rsid w:val="007A3A45"/>
    <w:rsid w:val="007A4DF9"/>
    <w:rsid w:val="007A51D0"/>
    <w:rsid w:val="007A58D7"/>
    <w:rsid w:val="007B05FB"/>
    <w:rsid w:val="007B0CB9"/>
    <w:rsid w:val="007B193A"/>
    <w:rsid w:val="007B5141"/>
    <w:rsid w:val="007C273B"/>
    <w:rsid w:val="007D3D61"/>
    <w:rsid w:val="007E1AB4"/>
    <w:rsid w:val="007E2F26"/>
    <w:rsid w:val="007E39E8"/>
    <w:rsid w:val="007E4F61"/>
    <w:rsid w:val="007F1833"/>
    <w:rsid w:val="007F6E9F"/>
    <w:rsid w:val="008077CD"/>
    <w:rsid w:val="008266A4"/>
    <w:rsid w:val="00827AE8"/>
    <w:rsid w:val="008401B3"/>
    <w:rsid w:val="008447AB"/>
    <w:rsid w:val="00855DAE"/>
    <w:rsid w:val="008561F9"/>
    <w:rsid w:val="008604D3"/>
    <w:rsid w:val="0086521B"/>
    <w:rsid w:val="00865A13"/>
    <w:rsid w:val="00870012"/>
    <w:rsid w:val="008747ED"/>
    <w:rsid w:val="00874B17"/>
    <w:rsid w:val="00881AEB"/>
    <w:rsid w:val="0088463B"/>
    <w:rsid w:val="00887569"/>
    <w:rsid w:val="00887AF2"/>
    <w:rsid w:val="008918FA"/>
    <w:rsid w:val="00893EA5"/>
    <w:rsid w:val="00897EE7"/>
    <w:rsid w:val="008A450C"/>
    <w:rsid w:val="008A6279"/>
    <w:rsid w:val="008A656B"/>
    <w:rsid w:val="008B1200"/>
    <w:rsid w:val="008B4BDB"/>
    <w:rsid w:val="008B5388"/>
    <w:rsid w:val="008C1D67"/>
    <w:rsid w:val="008C2460"/>
    <w:rsid w:val="008C476C"/>
    <w:rsid w:val="008C78F7"/>
    <w:rsid w:val="008D5115"/>
    <w:rsid w:val="008E18B8"/>
    <w:rsid w:val="008E7CC7"/>
    <w:rsid w:val="008F04CA"/>
    <w:rsid w:val="008F6407"/>
    <w:rsid w:val="00903824"/>
    <w:rsid w:val="00906EFF"/>
    <w:rsid w:val="00907B7C"/>
    <w:rsid w:val="00912E26"/>
    <w:rsid w:val="0092681C"/>
    <w:rsid w:val="009308EA"/>
    <w:rsid w:val="00933141"/>
    <w:rsid w:val="00934029"/>
    <w:rsid w:val="009340FC"/>
    <w:rsid w:val="009342F5"/>
    <w:rsid w:val="00940F63"/>
    <w:rsid w:val="00942CE5"/>
    <w:rsid w:val="0094680A"/>
    <w:rsid w:val="009506C9"/>
    <w:rsid w:val="00950B82"/>
    <w:rsid w:val="0095148F"/>
    <w:rsid w:val="00953929"/>
    <w:rsid w:val="009611D5"/>
    <w:rsid w:val="0096121E"/>
    <w:rsid w:val="00964F69"/>
    <w:rsid w:val="0096650D"/>
    <w:rsid w:val="00975FA9"/>
    <w:rsid w:val="00976B87"/>
    <w:rsid w:val="0098506E"/>
    <w:rsid w:val="00987423"/>
    <w:rsid w:val="0098776C"/>
    <w:rsid w:val="009A11BE"/>
    <w:rsid w:val="009A3CAB"/>
    <w:rsid w:val="009A5AE0"/>
    <w:rsid w:val="009A7F10"/>
    <w:rsid w:val="009C4233"/>
    <w:rsid w:val="009D1F2B"/>
    <w:rsid w:val="009D6A67"/>
    <w:rsid w:val="009D741D"/>
    <w:rsid w:val="009E049A"/>
    <w:rsid w:val="009E24A5"/>
    <w:rsid w:val="009E7AF2"/>
    <w:rsid w:val="009F01A3"/>
    <w:rsid w:val="00A01FCD"/>
    <w:rsid w:val="00A054B9"/>
    <w:rsid w:val="00A11304"/>
    <w:rsid w:val="00A136B5"/>
    <w:rsid w:val="00A21EBF"/>
    <w:rsid w:val="00A22F11"/>
    <w:rsid w:val="00A327C5"/>
    <w:rsid w:val="00A32892"/>
    <w:rsid w:val="00A37426"/>
    <w:rsid w:val="00A43B3B"/>
    <w:rsid w:val="00A44A63"/>
    <w:rsid w:val="00A5134E"/>
    <w:rsid w:val="00A5591B"/>
    <w:rsid w:val="00A60C11"/>
    <w:rsid w:val="00A64F24"/>
    <w:rsid w:val="00A66C37"/>
    <w:rsid w:val="00A73024"/>
    <w:rsid w:val="00A7704F"/>
    <w:rsid w:val="00A77185"/>
    <w:rsid w:val="00A77790"/>
    <w:rsid w:val="00A80A54"/>
    <w:rsid w:val="00A80A5C"/>
    <w:rsid w:val="00A84308"/>
    <w:rsid w:val="00A85EB1"/>
    <w:rsid w:val="00A9269F"/>
    <w:rsid w:val="00A948FA"/>
    <w:rsid w:val="00AA7541"/>
    <w:rsid w:val="00AB1209"/>
    <w:rsid w:val="00AB7A0B"/>
    <w:rsid w:val="00AC2BAE"/>
    <w:rsid w:val="00AC62D1"/>
    <w:rsid w:val="00AC76A9"/>
    <w:rsid w:val="00AD005E"/>
    <w:rsid w:val="00AD336D"/>
    <w:rsid w:val="00AD79BC"/>
    <w:rsid w:val="00AE500F"/>
    <w:rsid w:val="00AE65F2"/>
    <w:rsid w:val="00AF616C"/>
    <w:rsid w:val="00AF78AA"/>
    <w:rsid w:val="00B05DAE"/>
    <w:rsid w:val="00B20754"/>
    <w:rsid w:val="00B27C05"/>
    <w:rsid w:val="00B33275"/>
    <w:rsid w:val="00B36AFE"/>
    <w:rsid w:val="00B41629"/>
    <w:rsid w:val="00B43782"/>
    <w:rsid w:val="00B46069"/>
    <w:rsid w:val="00B50545"/>
    <w:rsid w:val="00B50F08"/>
    <w:rsid w:val="00B52877"/>
    <w:rsid w:val="00B660DD"/>
    <w:rsid w:val="00B74379"/>
    <w:rsid w:val="00B768E6"/>
    <w:rsid w:val="00B77A2A"/>
    <w:rsid w:val="00B812AC"/>
    <w:rsid w:val="00B8391B"/>
    <w:rsid w:val="00B83C1A"/>
    <w:rsid w:val="00B8648D"/>
    <w:rsid w:val="00B86F2E"/>
    <w:rsid w:val="00B87E2A"/>
    <w:rsid w:val="00B96408"/>
    <w:rsid w:val="00BA0598"/>
    <w:rsid w:val="00BA27FD"/>
    <w:rsid w:val="00BA49C5"/>
    <w:rsid w:val="00BA6AAB"/>
    <w:rsid w:val="00BA7C3B"/>
    <w:rsid w:val="00BB0AA5"/>
    <w:rsid w:val="00BB5D45"/>
    <w:rsid w:val="00BB5F22"/>
    <w:rsid w:val="00BB7A4E"/>
    <w:rsid w:val="00BC12D7"/>
    <w:rsid w:val="00BC348C"/>
    <w:rsid w:val="00BD06C3"/>
    <w:rsid w:val="00BD0C23"/>
    <w:rsid w:val="00BD224C"/>
    <w:rsid w:val="00BE1AA7"/>
    <w:rsid w:val="00BE3B20"/>
    <w:rsid w:val="00BE4F8D"/>
    <w:rsid w:val="00BE623B"/>
    <w:rsid w:val="00BF3940"/>
    <w:rsid w:val="00BF677F"/>
    <w:rsid w:val="00C0043A"/>
    <w:rsid w:val="00C10584"/>
    <w:rsid w:val="00C11BAD"/>
    <w:rsid w:val="00C1680E"/>
    <w:rsid w:val="00C17AA4"/>
    <w:rsid w:val="00C2025E"/>
    <w:rsid w:val="00C22C27"/>
    <w:rsid w:val="00C2470B"/>
    <w:rsid w:val="00C271A1"/>
    <w:rsid w:val="00C34457"/>
    <w:rsid w:val="00C34E44"/>
    <w:rsid w:val="00C36BA7"/>
    <w:rsid w:val="00C37472"/>
    <w:rsid w:val="00C47B40"/>
    <w:rsid w:val="00C52D51"/>
    <w:rsid w:val="00C70F4C"/>
    <w:rsid w:val="00C770E9"/>
    <w:rsid w:val="00C81173"/>
    <w:rsid w:val="00C811A3"/>
    <w:rsid w:val="00C8664A"/>
    <w:rsid w:val="00C873FC"/>
    <w:rsid w:val="00C90D81"/>
    <w:rsid w:val="00C914B2"/>
    <w:rsid w:val="00C93EE8"/>
    <w:rsid w:val="00C942B8"/>
    <w:rsid w:val="00C96ED6"/>
    <w:rsid w:val="00CA02B3"/>
    <w:rsid w:val="00CA3908"/>
    <w:rsid w:val="00CA464D"/>
    <w:rsid w:val="00CA67B3"/>
    <w:rsid w:val="00CA6969"/>
    <w:rsid w:val="00CA7499"/>
    <w:rsid w:val="00CA7D25"/>
    <w:rsid w:val="00CB6927"/>
    <w:rsid w:val="00CB799D"/>
    <w:rsid w:val="00CC261B"/>
    <w:rsid w:val="00CC7D63"/>
    <w:rsid w:val="00CD2606"/>
    <w:rsid w:val="00CE4065"/>
    <w:rsid w:val="00CF0A47"/>
    <w:rsid w:val="00D045EE"/>
    <w:rsid w:val="00D073BA"/>
    <w:rsid w:val="00D10B3D"/>
    <w:rsid w:val="00D10F91"/>
    <w:rsid w:val="00D1113B"/>
    <w:rsid w:val="00D16C81"/>
    <w:rsid w:val="00D226B8"/>
    <w:rsid w:val="00D264C9"/>
    <w:rsid w:val="00D26A1B"/>
    <w:rsid w:val="00D351B0"/>
    <w:rsid w:val="00D36330"/>
    <w:rsid w:val="00D40721"/>
    <w:rsid w:val="00D417FB"/>
    <w:rsid w:val="00D42CD8"/>
    <w:rsid w:val="00D446F0"/>
    <w:rsid w:val="00D44ACF"/>
    <w:rsid w:val="00D45D5A"/>
    <w:rsid w:val="00D47B78"/>
    <w:rsid w:val="00D53CCD"/>
    <w:rsid w:val="00D5440D"/>
    <w:rsid w:val="00D5515C"/>
    <w:rsid w:val="00D568C1"/>
    <w:rsid w:val="00D632A8"/>
    <w:rsid w:val="00D63D3E"/>
    <w:rsid w:val="00D65ECA"/>
    <w:rsid w:val="00D66DB8"/>
    <w:rsid w:val="00D7002B"/>
    <w:rsid w:val="00D80866"/>
    <w:rsid w:val="00D84128"/>
    <w:rsid w:val="00D91ADA"/>
    <w:rsid w:val="00D945DF"/>
    <w:rsid w:val="00D97667"/>
    <w:rsid w:val="00D97AAF"/>
    <w:rsid w:val="00DA2C79"/>
    <w:rsid w:val="00DA62CA"/>
    <w:rsid w:val="00DB0421"/>
    <w:rsid w:val="00DB3248"/>
    <w:rsid w:val="00DB6E3C"/>
    <w:rsid w:val="00DC1195"/>
    <w:rsid w:val="00DC1BE0"/>
    <w:rsid w:val="00DC2571"/>
    <w:rsid w:val="00DC560E"/>
    <w:rsid w:val="00DD4C99"/>
    <w:rsid w:val="00DD623E"/>
    <w:rsid w:val="00DD7F26"/>
    <w:rsid w:val="00DE05CF"/>
    <w:rsid w:val="00DE1263"/>
    <w:rsid w:val="00DE21B7"/>
    <w:rsid w:val="00DE3B8F"/>
    <w:rsid w:val="00DE4C4F"/>
    <w:rsid w:val="00DE6D6F"/>
    <w:rsid w:val="00DF3F2E"/>
    <w:rsid w:val="00DF637C"/>
    <w:rsid w:val="00E03423"/>
    <w:rsid w:val="00E04E57"/>
    <w:rsid w:val="00E15211"/>
    <w:rsid w:val="00E20178"/>
    <w:rsid w:val="00E346C6"/>
    <w:rsid w:val="00E36040"/>
    <w:rsid w:val="00E37CC2"/>
    <w:rsid w:val="00E4049E"/>
    <w:rsid w:val="00E405B8"/>
    <w:rsid w:val="00E4408A"/>
    <w:rsid w:val="00E500EE"/>
    <w:rsid w:val="00E62E17"/>
    <w:rsid w:val="00E76ED7"/>
    <w:rsid w:val="00E8124B"/>
    <w:rsid w:val="00E84E3E"/>
    <w:rsid w:val="00E955E1"/>
    <w:rsid w:val="00E956BE"/>
    <w:rsid w:val="00EA0110"/>
    <w:rsid w:val="00EA6D7C"/>
    <w:rsid w:val="00EB0D2D"/>
    <w:rsid w:val="00EB0E41"/>
    <w:rsid w:val="00EB402C"/>
    <w:rsid w:val="00EB46D0"/>
    <w:rsid w:val="00EC5114"/>
    <w:rsid w:val="00EC78D8"/>
    <w:rsid w:val="00ED26AF"/>
    <w:rsid w:val="00ED50FD"/>
    <w:rsid w:val="00ED661D"/>
    <w:rsid w:val="00EE47FA"/>
    <w:rsid w:val="00EE5558"/>
    <w:rsid w:val="00EF18C4"/>
    <w:rsid w:val="00EF22F2"/>
    <w:rsid w:val="00EF2539"/>
    <w:rsid w:val="00EF26E8"/>
    <w:rsid w:val="00EF3023"/>
    <w:rsid w:val="00F0378B"/>
    <w:rsid w:val="00F0500F"/>
    <w:rsid w:val="00F055D1"/>
    <w:rsid w:val="00F11C01"/>
    <w:rsid w:val="00F12A04"/>
    <w:rsid w:val="00F17677"/>
    <w:rsid w:val="00F2066B"/>
    <w:rsid w:val="00F23FD5"/>
    <w:rsid w:val="00F245C1"/>
    <w:rsid w:val="00F25226"/>
    <w:rsid w:val="00F25AEB"/>
    <w:rsid w:val="00F266DB"/>
    <w:rsid w:val="00F26C47"/>
    <w:rsid w:val="00F27A71"/>
    <w:rsid w:val="00F27C18"/>
    <w:rsid w:val="00F316FC"/>
    <w:rsid w:val="00F32795"/>
    <w:rsid w:val="00F34B8E"/>
    <w:rsid w:val="00F35A42"/>
    <w:rsid w:val="00F378B7"/>
    <w:rsid w:val="00F4575B"/>
    <w:rsid w:val="00F467BF"/>
    <w:rsid w:val="00F51D37"/>
    <w:rsid w:val="00F53477"/>
    <w:rsid w:val="00F56448"/>
    <w:rsid w:val="00F56CD9"/>
    <w:rsid w:val="00F62980"/>
    <w:rsid w:val="00F63CB7"/>
    <w:rsid w:val="00F648F3"/>
    <w:rsid w:val="00F65B67"/>
    <w:rsid w:val="00F66DD7"/>
    <w:rsid w:val="00F70DD4"/>
    <w:rsid w:val="00F70EF2"/>
    <w:rsid w:val="00F7150F"/>
    <w:rsid w:val="00F74563"/>
    <w:rsid w:val="00F75A30"/>
    <w:rsid w:val="00F80DC7"/>
    <w:rsid w:val="00F82D8F"/>
    <w:rsid w:val="00F8492F"/>
    <w:rsid w:val="00F91CF2"/>
    <w:rsid w:val="00F95E33"/>
    <w:rsid w:val="00F96D68"/>
    <w:rsid w:val="00FA78FE"/>
    <w:rsid w:val="00FB0318"/>
    <w:rsid w:val="00FB3CFB"/>
    <w:rsid w:val="00FC5E74"/>
    <w:rsid w:val="00FC6A72"/>
    <w:rsid w:val="00FD3CB9"/>
    <w:rsid w:val="00FD553D"/>
    <w:rsid w:val="00FD7452"/>
    <w:rsid w:val="00FE0E9F"/>
    <w:rsid w:val="00FE1AB4"/>
    <w:rsid w:val="00FF52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DBC3"/>
  <w15:chartTrackingRefBased/>
  <w15:docId w15:val="{927F564F-23CF-494E-9567-02D178E9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D63"/>
    <w:pPr>
      <w:spacing w:before="360" w:after="0" w:line="480" w:lineRule="auto"/>
      <w:jc w:val="both"/>
    </w:pPr>
    <w:rPr>
      <w:rFonts w:ascii="Arial" w:eastAsiaTheme="minorHAnsi" w:hAnsi="Arial"/>
      <w:sz w:val="24"/>
    </w:rPr>
  </w:style>
  <w:style w:type="paragraph" w:styleId="Heading1">
    <w:name w:val="heading 1"/>
    <w:basedOn w:val="Normal"/>
    <w:next w:val="Normal"/>
    <w:link w:val="Heading1Char"/>
    <w:uiPriority w:val="9"/>
    <w:qFormat/>
    <w:rsid w:val="00DB3248"/>
    <w:pPr>
      <w:widowControl w:val="0"/>
      <w:spacing w:before="0" w:after="320"/>
      <w:outlineLvl w:val="0"/>
    </w:pPr>
    <w:rPr>
      <w:b/>
      <w:bCs/>
      <w:lang w:val="en-GB"/>
    </w:rPr>
  </w:style>
  <w:style w:type="paragraph" w:styleId="Heading2">
    <w:name w:val="heading 2"/>
    <w:basedOn w:val="Normal"/>
    <w:next w:val="Normal"/>
    <w:link w:val="Heading2Char"/>
    <w:uiPriority w:val="9"/>
    <w:unhideWhenUsed/>
    <w:qFormat/>
    <w:rsid w:val="00DB3248"/>
    <w:pPr>
      <w:widowControl w:val="0"/>
      <w:spacing w:before="0" w:after="320"/>
      <w:outlineLvl w:val="1"/>
    </w:pPr>
    <w:rPr>
      <w:b/>
      <w:bCs/>
      <w:lang w:val="en-GB"/>
    </w:rPr>
  </w:style>
  <w:style w:type="paragraph" w:styleId="Heading3">
    <w:name w:val="heading 3"/>
    <w:basedOn w:val="Normal"/>
    <w:next w:val="Normal"/>
    <w:link w:val="Heading3Char"/>
    <w:uiPriority w:val="9"/>
    <w:semiHidden/>
    <w:unhideWhenUsed/>
    <w:qFormat/>
    <w:rsid w:val="002D1671"/>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link w:val="QuoteChar"/>
    <w:uiPriority w:val="29"/>
    <w:rsid w:val="00A77185"/>
    <w:pPr>
      <w:spacing w:before="120" w:line="360" w:lineRule="auto"/>
      <w:ind w:left="1985"/>
    </w:pPr>
    <w:rPr>
      <w:iCs/>
      <w:color w:val="000000"/>
    </w:rPr>
  </w:style>
  <w:style w:type="character" w:customStyle="1" w:styleId="QuoteChar">
    <w:name w:val="Quote Char"/>
    <w:link w:val="Quote"/>
    <w:uiPriority w:val="29"/>
    <w:rsid w:val="00A77185"/>
    <w:rPr>
      <w:rFonts w:ascii="Arial" w:hAnsi="Arial"/>
      <w:iCs/>
      <w:color w:val="000000"/>
      <w:sz w:val="24"/>
    </w:rPr>
  </w:style>
  <w:style w:type="paragraph" w:styleId="Footer">
    <w:name w:val="footer"/>
    <w:basedOn w:val="Normal"/>
    <w:link w:val="FooterChar"/>
    <w:rsid w:val="007A58D7"/>
    <w:pPr>
      <w:tabs>
        <w:tab w:val="right" w:pos="8222"/>
      </w:tabs>
    </w:pPr>
  </w:style>
  <w:style w:type="character" w:customStyle="1" w:styleId="FooterChar">
    <w:name w:val="Footer Char"/>
    <w:basedOn w:val="DefaultParagraphFont"/>
    <w:link w:val="Footer"/>
    <w:rsid w:val="007A58D7"/>
    <w:rPr>
      <w:rFonts w:ascii="Arial" w:eastAsia="Times New Roman" w:hAnsi="Arial" w:cs="Times New Roman"/>
      <w:sz w:val="24"/>
      <w:szCs w:val="20"/>
      <w:lang w:eastAsia="en-ZA"/>
    </w:rPr>
  </w:style>
  <w:style w:type="character" w:styleId="FootnoteReference">
    <w:name w:val="footnote reference"/>
    <w:basedOn w:val="DefaultParagraphFont"/>
    <w:unhideWhenUsed/>
    <w:rsid w:val="007A58D7"/>
    <w:rPr>
      <w:vertAlign w:val="superscript"/>
    </w:rPr>
  </w:style>
  <w:style w:type="paragraph" w:styleId="FootnoteText">
    <w:name w:val="footnote text"/>
    <w:basedOn w:val="Normal"/>
    <w:link w:val="FootnoteTextChar"/>
    <w:uiPriority w:val="99"/>
    <w:unhideWhenUsed/>
    <w:rsid w:val="007A58D7"/>
    <w:pPr>
      <w:spacing w:before="120" w:line="240" w:lineRule="auto"/>
      <w:ind w:left="567" w:hanging="567"/>
    </w:pPr>
    <w:rPr>
      <w:sz w:val="20"/>
      <w:szCs w:val="24"/>
    </w:rPr>
  </w:style>
  <w:style w:type="character" w:customStyle="1" w:styleId="FootnoteTextChar">
    <w:name w:val="Footnote Text Char"/>
    <w:basedOn w:val="DefaultParagraphFont"/>
    <w:link w:val="FootnoteText"/>
    <w:uiPriority w:val="99"/>
    <w:rsid w:val="007A58D7"/>
    <w:rPr>
      <w:rFonts w:ascii="Arial" w:eastAsia="Times New Roman" w:hAnsi="Arial" w:cs="Times New Roman"/>
      <w:sz w:val="20"/>
      <w:szCs w:val="24"/>
      <w:lang w:eastAsia="en-ZA"/>
    </w:rPr>
  </w:style>
  <w:style w:type="paragraph" w:styleId="Header">
    <w:name w:val="header"/>
    <w:basedOn w:val="Normal"/>
    <w:link w:val="HeaderChar"/>
    <w:uiPriority w:val="99"/>
    <w:unhideWhenUsed/>
    <w:rsid w:val="007A58D7"/>
    <w:pPr>
      <w:tabs>
        <w:tab w:val="center" w:pos="4513"/>
        <w:tab w:val="right" w:pos="9026"/>
      </w:tabs>
      <w:spacing w:line="240" w:lineRule="auto"/>
    </w:pPr>
  </w:style>
  <w:style w:type="character" w:customStyle="1" w:styleId="HeaderChar">
    <w:name w:val="Header Char"/>
    <w:basedOn w:val="DefaultParagraphFont"/>
    <w:link w:val="Header"/>
    <w:uiPriority w:val="99"/>
    <w:rsid w:val="007A58D7"/>
    <w:rPr>
      <w:rFonts w:ascii="Arial" w:eastAsia="Times New Roman" w:hAnsi="Arial" w:cs="Times New Roman"/>
      <w:sz w:val="24"/>
      <w:szCs w:val="20"/>
      <w:lang w:eastAsia="en-ZA"/>
    </w:rPr>
  </w:style>
  <w:style w:type="paragraph" w:customStyle="1" w:styleId="level1">
    <w:name w:val="level1"/>
    <w:basedOn w:val="Normal"/>
    <w:rsid w:val="00464F5C"/>
    <w:pPr>
      <w:widowControl w:val="0"/>
      <w:numPr>
        <w:numId w:val="19"/>
      </w:numPr>
      <w:spacing w:before="0" w:after="320"/>
    </w:pPr>
    <w:rPr>
      <w:lang w:val="en-GB"/>
    </w:rPr>
  </w:style>
  <w:style w:type="paragraph" w:customStyle="1" w:styleId="LEVEL10">
    <w:name w:val="LEVEL1"/>
    <w:basedOn w:val="level1"/>
    <w:next w:val="List"/>
    <w:qFormat/>
    <w:rsid w:val="001732E9"/>
    <w:rPr>
      <w:lang w:val="en-ZA"/>
    </w:rPr>
  </w:style>
  <w:style w:type="paragraph" w:styleId="List">
    <w:name w:val="List"/>
    <w:basedOn w:val="Normal"/>
    <w:uiPriority w:val="99"/>
    <w:unhideWhenUsed/>
    <w:rsid w:val="007A58D7"/>
    <w:pPr>
      <w:ind w:left="283" w:hanging="283"/>
      <w:contextualSpacing/>
    </w:pPr>
  </w:style>
  <w:style w:type="paragraph" w:customStyle="1" w:styleId="level2">
    <w:name w:val="level2"/>
    <w:basedOn w:val="Normal"/>
    <w:rsid w:val="00A77185"/>
    <w:pPr>
      <w:widowControl w:val="0"/>
      <w:numPr>
        <w:ilvl w:val="1"/>
        <w:numId w:val="15"/>
      </w:numPr>
      <w:tabs>
        <w:tab w:val="left" w:pos="1418"/>
      </w:tabs>
    </w:pPr>
  </w:style>
  <w:style w:type="paragraph" w:customStyle="1" w:styleId="LEVEL20">
    <w:name w:val="LEVEL2"/>
    <w:basedOn w:val="LEVEL10"/>
    <w:qFormat/>
    <w:rsid w:val="00A77185"/>
    <w:pPr>
      <w:tabs>
        <w:tab w:val="left" w:pos="1418"/>
      </w:tabs>
    </w:pPr>
  </w:style>
  <w:style w:type="paragraph" w:customStyle="1" w:styleId="level3">
    <w:name w:val="level3"/>
    <w:basedOn w:val="Normal"/>
    <w:rsid w:val="00A77185"/>
    <w:pPr>
      <w:widowControl w:val="0"/>
      <w:numPr>
        <w:ilvl w:val="2"/>
        <w:numId w:val="15"/>
      </w:numPr>
      <w:tabs>
        <w:tab w:val="left" w:pos="2552"/>
      </w:tabs>
    </w:pPr>
  </w:style>
  <w:style w:type="paragraph" w:customStyle="1" w:styleId="LEVEL30">
    <w:name w:val="LEVEL3"/>
    <w:basedOn w:val="LEVEL20"/>
    <w:qFormat/>
    <w:rsid w:val="007A58D7"/>
    <w:pPr>
      <w:tabs>
        <w:tab w:val="clear" w:pos="1418"/>
        <w:tab w:val="left" w:pos="2552"/>
      </w:tabs>
    </w:pPr>
  </w:style>
  <w:style w:type="paragraph" w:customStyle="1" w:styleId="level4">
    <w:name w:val="level4"/>
    <w:basedOn w:val="Normal"/>
    <w:rsid w:val="00A77185"/>
    <w:pPr>
      <w:widowControl w:val="0"/>
      <w:numPr>
        <w:ilvl w:val="3"/>
        <w:numId w:val="15"/>
      </w:numPr>
      <w:tabs>
        <w:tab w:val="left" w:pos="3686"/>
      </w:tabs>
    </w:pPr>
  </w:style>
  <w:style w:type="paragraph" w:customStyle="1" w:styleId="LEVEL40">
    <w:name w:val="LEVEL4"/>
    <w:basedOn w:val="LEVEL30"/>
    <w:qFormat/>
    <w:rsid w:val="007A58D7"/>
    <w:pPr>
      <w:tabs>
        <w:tab w:val="clear" w:pos="2552"/>
        <w:tab w:val="left" w:pos="3402"/>
      </w:tabs>
    </w:pPr>
  </w:style>
  <w:style w:type="paragraph" w:customStyle="1" w:styleId="level4a">
    <w:name w:val="level4a"/>
    <w:basedOn w:val="level4"/>
    <w:qFormat/>
    <w:rsid w:val="007A58D7"/>
    <w:pPr>
      <w:numPr>
        <w:ilvl w:val="0"/>
        <w:numId w:val="5"/>
      </w:numPr>
    </w:pPr>
  </w:style>
  <w:style w:type="paragraph" w:customStyle="1" w:styleId="level5">
    <w:name w:val="level5"/>
    <w:basedOn w:val="Normal"/>
    <w:rsid w:val="00A77185"/>
    <w:pPr>
      <w:widowControl w:val="0"/>
      <w:numPr>
        <w:ilvl w:val="4"/>
        <w:numId w:val="15"/>
      </w:numPr>
      <w:spacing w:before="240"/>
    </w:pPr>
  </w:style>
  <w:style w:type="paragraph" w:customStyle="1" w:styleId="level6">
    <w:name w:val="level6"/>
    <w:basedOn w:val="Normal"/>
    <w:rsid w:val="00A77185"/>
    <w:pPr>
      <w:widowControl w:val="0"/>
      <w:numPr>
        <w:ilvl w:val="5"/>
        <w:numId w:val="15"/>
      </w:numPr>
      <w:spacing w:before="240"/>
    </w:pPr>
  </w:style>
  <w:style w:type="paragraph" w:customStyle="1" w:styleId="level7">
    <w:name w:val="level7"/>
    <w:basedOn w:val="Normal"/>
    <w:rsid w:val="00A77185"/>
    <w:pPr>
      <w:widowControl w:val="0"/>
      <w:numPr>
        <w:ilvl w:val="6"/>
        <w:numId w:val="15"/>
      </w:numPr>
      <w:spacing w:before="240"/>
    </w:pPr>
  </w:style>
  <w:style w:type="paragraph" w:customStyle="1" w:styleId="reference">
    <w:name w:val="reference"/>
    <w:basedOn w:val="Normal"/>
    <w:rsid w:val="00A77185"/>
    <w:pPr>
      <w:widowControl w:val="0"/>
      <w:tabs>
        <w:tab w:val="left" w:pos="567"/>
        <w:tab w:val="left" w:pos="851"/>
        <w:tab w:val="left" w:pos="1134"/>
        <w:tab w:val="left" w:pos="1418"/>
        <w:tab w:val="left" w:pos="1701"/>
        <w:tab w:val="left" w:pos="1985"/>
        <w:tab w:val="left" w:pos="2268"/>
      </w:tabs>
      <w:spacing w:before="240" w:line="240" w:lineRule="auto"/>
      <w:ind w:left="1701"/>
    </w:pPr>
  </w:style>
  <w:style w:type="paragraph" w:customStyle="1" w:styleId="Sublevel">
    <w:name w:val="Sub level"/>
    <w:basedOn w:val="Normal"/>
    <w:rsid w:val="00A77185"/>
    <w:pPr>
      <w:widowControl w:val="0"/>
    </w:pPr>
  </w:style>
  <w:style w:type="paragraph" w:customStyle="1" w:styleId="SUBLEVEL0">
    <w:name w:val="SUBLEVEL"/>
    <w:basedOn w:val="Normal"/>
    <w:rsid w:val="007A58D7"/>
    <w:rPr>
      <w:rFonts w:eastAsia="Calibri" w:cs="Arial"/>
    </w:rPr>
  </w:style>
  <w:style w:type="character" w:customStyle="1" w:styleId="Heading1Char">
    <w:name w:val="Heading 1 Char"/>
    <w:basedOn w:val="DefaultParagraphFont"/>
    <w:link w:val="Heading1"/>
    <w:uiPriority w:val="9"/>
    <w:rsid w:val="00DB3248"/>
    <w:rPr>
      <w:rFonts w:ascii="Arial" w:eastAsiaTheme="minorHAnsi" w:hAnsi="Arial"/>
      <w:b/>
      <w:bCs/>
      <w:sz w:val="24"/>
      <w:lang w:val="en-GB"/>
    </w:rPr>
  </w:style>
  <w:style w:type="paragraph" w:styleId="ListParagraph">
    <w:name w:val="List Paragraph"/>
    <w:basedOn w:val="Normal"/>
    <w:uiPriority w:val="34"/>
    <w:qFormat/>
    <w:rsid w:val="001072E5"/>
    <w:pPr>
      <w:ind w:left="720"/>
      <w:contextualSpacing/>
    </w:pPr>
  </w:style>
  <w:style w:type="character" w:customStyle="1" w:styleId="Heading2Char">
    <w:name w:val="Heading 2 Char"/>
    <w:basedOn w:val="DefaultParagraphFont"/>
    <w:link w:val="Heading2"/>
    <w:uiPriority w:val="9"/>
    <w:rsid w:val="00DB3248"/>
    <w:rPr>
      <w:rFonts w:ascii="Arial" w:eastAsiaTheme="minorHAnsi" w:hAnsi="Arial"/>
      <w:b/>
      <w:bCs/>
      <w:sz w:val="24"/>
      <w:lang w:val="en-GB"/>
    </w:rPr>
  </w:style>
  <w:style w:type="paragraph" w:customStyle="1" w:styleId="quotation1">
    <w:name w:val="quotation 1"/>
    <w:basedOn w:val="Normal"/>
    <w:link w:val="quotation1Char"/>
    <w:qFormat/>
    <w:rsid w:val="003B4270"/>
    <w:pPr>
      <w:widowControl w:val="0"/>
      <w:tabs>
        <w:tab w:val="left" w:pos="1985"/>
      </w:tabs>
      <w:spacing w:before="0" w:after="320" w:line="360" w:lineRule="auto"/>
      <w:ind w:left="1985" w:hanging="567"/>
    </w:pPr>
    <w:rPr>
      <w:i/>
      <w:iCs/>
      <w:lang w:val="en-GB"/>
    </w:rPr>
  </w:style>
  <w:style w:type="paragraph" w:customStyle="1" w:styleId="FN">
    <w:name w:val="FN"/>
    <w:basedOn w:val="FootnoteText"/>
    <w:link w:val="FNChar"/>
    <w:qFormat/>
    <w:rsid w:val="00ED661D"/>
    <w:pPr>
      <w:tabs>
        <w:tab w:val="left" w:pos="567"/>
      </w:tabs>
    </w:pPr>
  </w:style>
  <w:style w:type="character" w:customStyle="1" w:styleId="quotation1Char">
    <w:name w:val="quotation 1 Char"/>
    <w:basedOn w:val="DefaultParagraphFont"/>
    <w:link w:val="quotation1"/>
    <w:rsid w:val="003B4270"/>
    <w:rPr>
      <w:rFonts w:ascii="Arial" w:eastAsiaTheme="minorHAnsi" w:hAnsi="Arial"/>
      <w:i/>
      <w:iCs/>
      <w:sz w:val="24"/>
      <w:lang w:val="en-GB"/>
    </w:rPr>
  </w:style>
  <w:style w:type="paragraph" w:customStyle="1" w:styleId="1">
    <w:name w:val="1."/>
    <w:basedOn w:val="Normal"/>
    <w:link w:val="1Char"/>
    <w:qFormat/>
    <w:rsid w:val="00903824"/>
    <w:pPr>
      <w:widowControl w:val="0"/>
      <w:numPr>
        <w:numId w:val="23"/>
      </w:numPr>
      <w:spacing w:before="0" w:after="320"/>
      <w:ind w:left="1701" w:hanging="850"/>
    </w:pPr>
    <w:rPr>
      <w:rFonts w:cs="Arial"/>
      <w:lang w:val="en-GB"/>
    </w:rPr>
  </w:style>
  <w:style w:type="character" w:customStyle="1" w:styleId="FNChar">
    <w:name w:val="FN Char"/>
    <w:basedOn w:val="FootnoteTextChar"/>
    <w:link w:val="FN"/>
    <w:rsid w:val="00ED661D"/>
    <w:rPr>
      <w:rFonts w:ascii="Arial" w:eastAsiaTheme="minorHAnsi" w:hAnsi="Arial" w:cs="Times New Roman"/>
      <w:sz w:val="20"/>
      <w:szCs w:val="24"/>
      <w:lang w:eastAsia="en-ZA"/>
    </w:rPr>
  </w:style>
  <w:style w:type="character" w:customStyle="1" w:styleId="1Char">
    <w:name w:val="1. Char"/>
    <w:basedOn w:val="DefaultParagraphFont"/>
    <w:link w:val="1"/>
    <w:rsid w:val="00903824"/>
    <w:rPr>
      <w:rFonts w:ascii="Arial" w:eastAsiaTheme="minorHAnsi" w:hAnsi="Arial" w:cs="Arial"/>
      <w:sz w:val="24"/>
      <w:lang w:val="en-GB"/>
    </w:rPr>
  </w:style>
  <w:style w:type="paragraph" w:customStyle="1" w:styleId="11">
    <w:name w:val="1.1"/>
    <w:basedOn w:val="1"/>
    <w:link w:val="11Char"/>
    <w:qFormat/>
    <w:rsid w:val="00903824"/>
    <w:pPr>
      <w:numPr>
        <w:ilvl w:val="1"/>
      </w:numPr>
      <w:ind w:left="2835" w:hanging="1134"/>
    </w:pPr>
  </w:style>
  <w:style w:type="paragraph" w:customStyle="1" w:styleId="111">
    <w:name w:val="1.1.1"/>
    <w:basedOn w:val="11"/>
    <w:link w:val="111Char"/>
    <w:qFormat/>
    <w:rsid w:val="00903824"/>
    <w:pPr>
      <w:numPr>
        <w:ilvl w:val="2"/>
      </w:numPr>
      <w:ind w:left="3969" w:hanging="1134"/>
    </w:pPr>
  </w:style>
  <w:style w:type="character" w:customStyle="1" w:styleId="11Char">
    <w:name w:val="1.1 Char"/>
    <w:basedOn w:val="1Char"/>
    <w:link w:val="11"/>
    <w:rsid w:val="00903824"/>
    <w:rPr>
      <w:rFonts w:ascii="Arial" w:eastAsiaTheme="minorHAnsi" w:hAnsi="Arial" w:cs="Arial"/>
      <w:sz w:val="24"/>
      <w:lang w:val="en-GB"/>
    </w:rPr>
  </w:style>
  <w:style w:type="character" w:customStyle="1" w:styleId="111Char">
    <w:name w:val="1.1.1 Char"/>
    <w:basedOn w:val="11Char"/>
    <w:link w:val="111"/>
    <w:rsid w:val="00903824"/>
    <w:rPr>
      <w:rFonts w:ascii="Arial" w:eastAsiaTheme="minorHAnsi" w:hAnsi="Arial" w:cs="Arial"/>
      <w:sz w:val="24"/>
      <w:lang w:val="en-GB"/>
    </w:rPr>
  </w:style>
  <w:style w:type="paragraph" w:styleId="PlainText">
    <w:name w:val="Plain Text"/>
    <w:basedOn w:val="Normal"/>
    <w:link w:val="PlainTextChar"/>
    <w:uiPriority w:val="99"/>
    <w:semiHidden/>
    <w:unhideWhenUsed/>
    <w:rsid w:val="00106141"/>
    <w:pPr>
      <w:spacing w:before="0" w:line="240" w:lineRule="auto"/>
      <w:jc w:val="left"/>
    </w:pPr>
    <w:rPr>
      <w:rFonts w:ascii="Calibri" w:hAnsi="Calibri"/>
      <w:sz w:val="22"/>
      <w:szCs w:val="21"/>
      <w:lang w:val="en-US"/>
    </w:rPr>
  </w:style>
  <w:style w:type="character" w:customStyle="1" w:styleId="PlainTextChar">
    <w:name w:val="Plain Text Char"/>
    <w:basedOn w:val="DefaultParagraphFont"/>
    <w:link w:val="PlainText"/>
    <w:uiPriority w:val="99"/>
    <w:semiHidden/>
    <w:rsid w:val="00106141"/>
    <w:rPr>
      <w:rFonts w:ascii="Calibri" w:eastAsiaTheme="minorHAnsi" w:hAnsi="Calibri"/>
      <w:szCs w:val="21"/>
      <w:lang w:val="en-US"/>
    </w:rPr>
  </w:style>
  <w:style w:type="paragraph" w:customStyle="1" w:styleId="lrpara">
    <w:name w:val="lrpara"/>
    <w:basedOn w:val="Normal"/>
    <w:rsid w:val="00D7002B"/>
    <w:pPr>
      <w:spacing w:before="100" w:beforeAutospacing="1" w:after="100" w:afterAutospacing="1" w:line="240" w:lineRule="auto"/>
      <w:jc w:val="left"/>
    </w:pPr>
    <w:rPr>
      <w:rFonts w:ascii="Times New Roman" w:eastAsia="Times New Roman" w:hAnsi="Times New Roman" w:cs="Times New Roman"/>
      <w:szCs w:val="24"/>
      <w:lang w:eastAsia="en-ZA"/>
    </w:rPr>
  </w:style>
  <w:style w:type="character" w:customStyle="1" w:styleId="mc">
    <w:name w:val="mc"/>
    <w:basedOn w:val="DefaultParagraphFont"/>
    <w:rsid w:val="00D7002B"/>
  </w:style>
  <w:style w:type="paragraph" w:customStyle="1" w:styleId="pageno">
    <w:name w:val="pageno"/>
    <w:basedOn w:val="Normal"/>
    <w:rsid w:val="00D7002B"/>
    <w:pPr>
      <w:spacing w:before="100" w:beforeAutospacing="1" w:after="100" w:afterAutospacing="1" w:line="240" w:lineRule="auto"/>
      <w:jc w:val="left"/>
    </w:pPr>
    <w:rPr>
      <w:rFonts w:ascii="Times New Roman" w:eastAsia="Times New Roman" w:hAnsi="Times New Roman" w:cs="Times New Roman"/>
      <w:szCs w:val="24"/>
      <w:lang w:eastAsia="en-ZA"/>
    </w:rPr>
  </w:style>
  <w:style w:type="paragraph" w:customStyle="1" w:styleId="lrjudgecont">
    <w:name w:val="lrjudgecont"/>
    <w:basedOn w:val="Normal"/>
    <w:rsid w:val="00D7002B"/>
    <w:pPr>
      <w:spacing w:before="100" w:beforeAutospacing="1" w:after="100" w:afterAutospacing="1" w:line="240" w:lineRule="auto"/>
      <w:jc w:val="left"/>
    </w:pPr>
    <w:rPr>
      <w:rFonts w:ascii="Times New Roman" w:eastAsia="Times New Roman" w:hAnsi="Times New Roman" w:cs="Times New Roman"/>
      <w:szCs w:val="24"/>
      <w:lang w:eastAsia="en-ZA"/>
    </w:rPr>
  </w:style>
  <w:style w:type="character" w:styleId="Hyperlink">
    <w:name w:val="Hyperlink"/>
    <w:basedOn w:val="DefaultParagraphFont"/>
    <w:uiPriority w:val="99"/>
    <w:unhideWhenUsed/>
    <w:rsid w:val="006447BA"/>
    <w:rPr>
      <w:color w:val="0000FF"/>
      <w:u w:val="single"/>
    </w:rPr>
  </w:style>
  <w:style w:type="character" w:customStyle="1" w:styleId="fnotenum">
    <w:name w:val="fnotenum"/>
    <w:basedOn w:val="DefaultParagraphFont"/>
    <w:rsid w:val="00DB6E3C"/>
  </w:style>
  <w:style w:type="character" w:customStyle="1" w:styleId="UnresolvedMention1">
    <w:name w:val="Unresolved Mention1"/>
    <w:basedOn w:val="DefaultParagraphFont"/>
    <w:uiPriority w:val="99"/>
    <w:semiHidden/>
    <w:unhideWhenUsed/>
    <w:rsid w:val="00DB6E3C"/>
    <w:rPr>
      <w:color w:val="605E5C"/>
      <w:shd w:val="clear" w:color="auto" w:fill="E1DFDD"/>
    </w:rPr>
  </w:style>
  <w:style w:type="character" w:customStyle="1" w:styleId="footnoteanchor">
    <w:name w:val="footnoteanchor"/>
    <w:basedOn w:val="DefaultParagraphFont"/>
    <w:rsid w:val="001246C2"/>
  </w:style>
  <w:style w:type="character" w:customStyle="1" w:styleId="Heading3Char">
    <w:name w:val="Heading 3 Char"/>
    <w:basedOn w:val="DefaultParagraphFont"/>
    <w:link w:val="Heading3"/>
    <w:uiPriority w:val="9"/>
    <w:semiHidden/>
    <w:rsid w:val="002D1671"/>
    <w:rPr>
      <w:rFonts w:asciiTheme="majorHAnsi" w:eastAsiaTheme="majorEastAsia" w:hAnsiTheme="majorHAnsi" w:cstheme="majorBidi"/>
      <w:color w:val="1F4D78" w:themeColor="accent1" w:themeShade="7F"/>
      <w:sz w:val="24"/>
      <w:szCs w:val="24"/>
    </w:rPr>
  </w:style>
  <w:style w:type="character" w:customStyle="1" w:styleId="bold">
    <w:name w:val="bold"/>
    <w:basedOn w:val="DefaultParagraphFont"/>
    <w:rsid w:val="002D1671"/>
  </w:style>
  <w:style w:type="paragraph" w:styleId="NormalWeb">
    <w:name w:val="Normal (Web)"/>
    <w:basedOn w:val="Normal"/>
    <w:uiPriority w:val="99"/>
    <w:semiHidden/>
    <w:unhideWhenUsed/>
    <w:rsid w:val="002D1671"/>
    <w:pPr>
      <w:spacing w:before="100" w:beforeAutospacing="1" w:after="100" w:afterAutospacing="1" w:line="240" w:lineRule="auto"/>
      <w:jc w:val="left"/>
    </w:pPr>
    <w:rPr>
      <w:rFonts w:ascii="Times New Roman" w:eastAsia="Times New Roman" w:hAnsi="Times New Roman" w:cs="Times New Roman"/>
      <w:szCs w:val="24"/>
      <w:lang w:eastAsia="en-ZA"/>
    </w:rPr>
  </w:style>
  <w:style w:type="character" w:customStyle="1" w:styleId="italic">
    <w:name w:val="italic"/>
    <w:basedOn w:val="DefaultParagraphFont"/>
    <w:rsid w:val="002D1671"/>
  </w:style>
  <w:style w:type="paragraph" w:customStyle="1" w:styleId="lrquoteindt2hang">
    <w:name w:val="lrquoteindt2hang"/>
    <w:basedOn w:val="Normal"/>
    <w:rsid w:val="002D1671"/>
    <w:pPr>
      <w:spacing w:before="100" w:beforeAutospacing="1" w:after="100" w:afterAutospacing="1" w:line="240" w:lineRule="auto"/>
      <w:jc w:val="left"/>
    </w:pPr>
    <w:rPr>
      <w:rFonts w:ascii="Times New Roman" w:eastAsia="Times New Roman" w:hAnsi="Times New Roman" w:cs="Times New Roman"/>
      <w:szCs w:val="24"/>
      <w:lang w:eastAsia="en-ZA"/>
    </w:rPr>
  </w:style>
  <w:style w:type="paragraph" w:customStyle="1" w:styleId="lrpara11lvl1hang">
    <w:name w:val="lrpara11lvl1hang"/>
    <w:basedOn w:val="Normal"/>
    <w:rsid w:val="002D1671"/>
    <w:pPr>
      <w:spacing w:before="100" w:beforeAutospacing="1" w:after="100" w:afterAutospacing="1" w:line="240" w:lineRule="auto"/>
      <w:jc w:val="left"/>
    </w:pPr>
    <w:rPr>
      <w:rFonts w:ascii="Times New Roman" w:eastAsia="Times New Roman" w:hAnsi="Times New Roman" w:cs="Times New Roman"/>
      <w:szCs w:val="24"/>
      <w:lang w:eastAsia="en-ZA"/>
    </w:rPr>
  </w:style>
  <w:style w:type="paragraph" w:customStyle="1" w:styleId="lrquoteindt3hang">
    <w:name w:val="lrquoteindt3hang"/>
    <w:basedOn w:val="Normal"/>
    <w:rsid w:val="002D1671"/>
    <w:pPr>
      <w:spacing w:before="100" w:beforeAutospacing="1" w:after="100" w:afterAutospacing="1" w:line="240" w:lineRule="auto"/>
      <w:jc w:val="left"/>
    </w:pPr>
    <w:rPr>
      <w:rFonts w:ascii="Times New Roman" w:eastAsia="Times New Roman" w:hAnsi="Times New Roman" w:cs="Times New Roman"/>
      <w:szCs w:val="24"/>
      <w:lang w:eastAsia="en-ZA"/>
    </w:rPr>
  </w:style>
  <w:style w:type="paragraph" w:customStyle="1" w:styleId="lrquote">
    <w:name w:val="lrquote"/>
    <w:basedOn w:val="Normal"/>
    <w:rsid w:val="002D1671"/>
    <w:pPr>
      <w:spacing w:before="100" w:beforeAutospacing="1" w:after="100" w:afterAutospacing="1" w:line="240" w:lineRule="auto"/>
      <w:jc w:val="left"/>
    </w:pPr>
    <w:rPr>
      <w:rFonts w:ascii="Times New Roman" w:eastAsia="Times New Roman" w:hAnsi="Times New Roman" w:cs="Times New Roman"/>
      <w:szCs w:val="24"/>
      <w:lang w:eastAsia="en-ZA"/>
    </w:rPr>
  </w:style>
  <w:style w:type="paragraph" w:styleId="Revision">
    <w:name w:val="Revision"/>
    <w:hidden/>
    <w:uiPriority w:val="99"/>
    <w:semiHidden/>
    <w:rsid w:val="00DE1263"/>
    <w:pPr>
      <w:spacing w:after="0" w:line="240" w:lineRule="auto"/>
    </w:pPr>
    <w:rPr>
      <w:rFonts w:ascii="Arial" w:eastAsiaTheme="minorHAnsi" w:hAnsi="Arial"/>
      <w:sz w:val="24"/>
    </w:rPr>
  </w:style>
  <w:style w:type="character" w:styleId="CommentReference">
    <w:name w:val="annotation reference"/>
    <w:basedOn w:val="DefaultParagraphFont"/>
    <w:uiPriority w:val="99"/>
    <w:semiHidden/>
    <w:unhideWhenUsed/>
    <w:rsid w:val="00DE1263"/>
    <w:rPr>
      <w:sz w:val="16"/>
      <w:szCs w:val="16"/>
    </w:rPr>
  </w:style>
  <w:style w:type="paragraph" w:styleId="CommentText">
    <w:name w:val="annotation text"/>
    <w:basedOn w:val="Normal"/>
    <w:link w:val="CommentTextChar"/>
    <w:uiPriority w:val="99"/>
    <w:semiHidden/>
    <w:unhideWhenUsed/>
    <w:rsid w:val="00DE1263"/>
    <w:pPr>
      <w:spacing w:line="240" w:lineRule="auto"/>
    </w:pPr>
    <w:rPr>
      <w:sz w:val="20"/>
      <w:szCs w:val="20"/>
    </w:rPr>
  </w:style>
  <w:style w:type="character" w:customStyle="1" w:styleId="CommentTextChar">
    <w:name w:val="Comment Text Char"/>
    <w:basedOn w:val="DefaultParagraphFont"/>
    <w:link w:val="CommentText"/>
    <w:uiPriority w:val="99"/>
    <w:semiHidden/>
    <w:rsid w:val="00DE1263"/>
    <w:rPr>
      <w:rFonts w:ascii="Arial" w:eastAsiaTheme="minorHAnsi" w:hAnsi="Arial"/>
      <w:sz w:val="20"/>
      <w:szCs w:val="20"/>
    </w:rPr>
  </w:style>
  <w:style w:type="paragraph" w:styleId="CommentSubject">
    <w:name w:val="annotation subject"/>
    <w:basedOn w:val="CommentText"/>
    <w:next w:val="CommentText"/>
    <w:link w:val="CommentSubjectChar"/>
    <w:uiPriority w:val="99"/>
    <w:semiHidden/>
    <w:unhideWhenUsed/>
    <w:rsid w:val="00DE1263"/>
    <w:rPr>
      <w:b/>
      <w:bCs/>
    </w:rPr>
  </w:style>
  <w:style w:type="character" w:customStyle="1" w:styleId="CommentSubjectChar">
    <w:name w:val="Comment Subject Char"/>
    <w:basedOn w:val="CommentTextChar"/>
    <w:link w:val="CommentSubject"/>
    <w:uiPriority w:val="99"/>
    <w:semiHidden/>
    <w:rsid w:val="00DE1263"/>
    <w:rPr>
      <w:rFonts w:ascii="Arial" w:eastAsiaTheme="minorHAnsi" w:hAnsi="Arial"/>
      <w:b/>
      <w:bCs/>
      <w:sz w:val="20"/>
      <w:szCs w:val="20"/>
    </w:rPr>
  </w:style>
  <w:style w:type="paragraph" w:customStyle="1" w:styleId="lrcasename">
    <w:name w:val="lrcasename"/>
    <w:basedOn w:val="Normal"/>
    <w:rsid w:val="00881AEB"/>
    <w:pPr>
      <w:spacing w:before="100" w:beforeAutospacing="1" w:after="100" w:afterAutospacing="1" w:line="240" w:lineRule="auto"/>
      <w:jc w:val="left"/>
    </w:pPr>
    <w:rPr>
      <w:rFonts w:ascii="Times New Roman" w:eastAsia="Times New Roman" w:hAnsi="Times New Roman" w:cs="Times New Roman"/>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0246">
      <w:bodyDiv w:val="1"/>
      <w:marLeft w:val="0"/>
      <w:marRight w:val="0"/>
      <w:marTop w:val="0"/>
      <w:marBottom w:val="0"/>
      <w:divBdr>
        <w:top w:val="none" w:sz="0" w:space="0" w:color="auto"/>
        <w:left w:val="none" w:sz="0" w:space="0" w:color="auto"/>
        <w:bottom w:val="none" w:sz="0" w:space="0" w:color="auto"/>
        <w:right w:val="none" w:sz="0" w:space="0" w:color="auto"/>
      </w:divBdr>
      <w:divsChild>
        <w:div w:id="1643463304">
          <w:marLeft w:val="2190"/>
          <w:marRight w:val="0"/>
          <w:marTop w:val="0"/>
          <w:marBottom w:val="0"/>
          <w:divBdr>
            <w:top w:val="none" w:sz="0" w:space="0" w:color="auto"/>
            <w:left w:val="none" w:sz="0" w:space="0" w:color="auto"/>
            <w:bottom w:val="none" w:sz="0" w:space="0" w:color="auto"/>
            <w:right w:val="none" w:sz="0" w:space="0" w:color="auto"/>
          </w:divBdr>
        </w:div>
        <w:div w:id="1860197736">
          <w:marLeft w:val="2190"/>
          <w:marRight w:val="0"/>
          <w:marTop w:val="0"/>
          <w:marBottom w:val="0"/>
          <w:divBdr>
            <w:top w:val="none" w:sz="0" w:space="0" w:color="auto"/>
            <w:left w:val="none" w:sz="0" w:space="0" w:color="auto"/>
            <w:bottom w:val="none" w:sz="0" w:space="0" w:color="auto"/>
            <w:right w:val="none" w:sz="0" w:space="0" w:color="auto"/>
          </w:divBdr>
        </w:div>
        <w:div w:id="212619076">
          <w:marLeft w:val="2190"/>
          <w:marRight w:val="0"/>
          <w:marTop w:val="0"/>
          <w:marBottom w:val="0"/>
          <w:divBdr>
            <w:top w:val="none" w:sz="0" w:space="0" w:color="auto"/>
            <w:left w:val="none" w:sz="0" w:space="0" w:color="auto"/>
            <w:bottom w:val="none" w:sz="0" w:space="0" w:color="auto"/>
            <w:right w:val="none" w:sz="0" w:space="0" w:color="auto"/>
          </w:divBdr>
        </w:div>
      </w:divsChild>
    </w:div>
    <w:div w:id="630592146">
      <w:bodyDiv w:val="1"/>
      <w:marLeft w:val="0"/>
      <w:marRight w:val="0"/>
      <w:marTop w:val="0"/>
      <w:marBottom w:val="0"/>
      <w:divBdr>
        <w:top w:val="none" w:sz="0" w:space="0" w:color="auto"/>
        <w:left w:val="none" w:sz="0" w:space="0" w:color="auto"/>
        <w:bottom w:val="none" w:sz="0" w:space="0" w:color="auto"/>
        <w:right w:val="none" w:sz="0" w:space="0" w:color="auto"/>
      </w:divBdr>
      <w:divsChild>
        <w:div w:id="1994605618">
          <w:marLeft w:val="567"/>
          <w:marRight w:val="0"/>
          <w:marTop w:val="40"/>
          <w:marBottom w:val="0"/>
          <w:divBdr>
            <w:top w:val="none" w:sz="0" w:space="0" w:color="auto"/>
            <w:left w:val="none" w:sz="0" w:space="0" w:color="auto"/>
            <w:bottom w:val="none" w:sz="0" w:space="0" w:color="auto"/>
            <w:right w:val="none" w:sz="0" w:space="0" w:color="auto"/>
          </w:divBdr>
        </w:div>
        <w:div w:id="1591699177">
          <w:marLeft w:val="567"/>
          <w:marRight w:val="0"/>
          <w:marTop w:val="40"/>
          <w:marBottom w:val="0"/>
          <w:divBdr>
            <w:top w:val="none" w:sz="0" w:space="0" w:color="auto"/>
            <w:left w:val="none" w:sz="0" w:space="0" w:color="auto"/>
            <w:bottom w:val="none" w:sz="0" w:space="0" w:color="auto"/>
            <w:right w:val="none" w:sz="0" w:space="0" w:color="auto"/>
          </w:divBdr>
        </w:div>
      </w:divsChild>
    </w:div>
    <w:div w:id="644547051">
      <w:bodyDiv w:val="1"/>
      <w:marLeft w:val="0"/>
      <w:marRight w:val="0"/>
      <w:marTop w:val="0"/>
      <w:marBottom w:val="0"/>
      <w:divBdr>
        <w:top w:val="none" w:sz="0" w:space="0" w:color="auto"/>
        <w:left w:val="none" w:sz="0" w:space="0" w:color="auto"/>
        <w:bottom w:val="none" w:sz="0" w:space="0" w:color="auto"/>
        <w:right w:val="none" w:sz="0" w:space="0" w:color="auto"/>
      </w:divBdr>
      <w:divsChild>
        <w:div w:id="932081404">
          <w:marLeft w:val="0"/>
          <w:marRight w:val="0"/>
          <w:marTop w:val="180"/>
          <w:marBottom w:val="0"/>
          <w:divBdr>
            <w:top w:val="none" w:sz="0" w:space="0" w:color="auto"/>
            <w:left w:val="none" w:sz="0" w:space="0" w:color="auto"/>
            <w:bottom w:val="none" w:sz="0" w:space="0" w:color="auto"/>
            <w:right w:val="none" w:sz="0" w:space="0" w:color="auto"/>
          </w:divBdr>
        </w:div>
        <w:div w:id="1400132831">
          <w:marLeft w:val="0"/>
          <w:marRight w:val="0"/>
          <w:marTop w:val="240"/>
          <w:marBottom w:val="0"/>
          <w:divBdr>
            <w:top w:val="none" w:sz="0" w:space="0" w:color="auto"/>
            <w:left w:val="none" w:sz="0" w:space="0" w:color="auto"/>
            <w:bottom w:val="none" w:sz="0" w:space="0" w:color="auto"/>
            <w:right w:val="none" w:sz="0" w:space="0" w:color="auto"/>
          </w:divBdr>
        </w:div>
        <w:div w:id="499780319">
          <w:marLeft w:val="0"/>
          <w:marRight w:val="0"/>
          <w:marTop w:val="120"/>
          <w:marBottom w:val="0"/>
          <w:divBdr>
            <w:top w:val="none" w:sz="0" w:space="0" w:color="auto"/>
            <w:left w:val="none" w:sz="0" w:space="0" w:color="auto"/>
            <w:bottom w:val="none" w:sz="0" w:space="0" w:color="auto"/>
            <w:right w:val="none" w:sz="0" w:space="0" w:color="auto"/>
          </w:divBdr>
        </w:div>
      </w:divsChild>
    </w:div>
    <w:div w:id="752244692">
      <w:bodyDiv w:val="1"/>
      <w:marLeft w:val="0"/>
      <w:marRight w:val="0"/>
      <w:marTop w:val="0"/>
      <w:marBottom w:val="0"/>
      <w:divBdr>
        <w:top w:val="none" w:sz="0" w:space="0" w:color="auto"/>
        <w:left w:val="none" w:sz="0" w:space="0" w:color="auto"/>
        <w:bottom w:val="none" w:sz="0" w:space="0" w:color="auto"/>
        <w:right w:val="none" w:sz="0" w:space="0" w:color="auto"/>
      </w:divBdr>
    </w:div>
    <w:div w:id="781728766">
      <w:bodyDiv w:val="1"/>
      <w:marLeft w:val="0"/>
      <w:marRight w:val="0"/>
      <w:marTop w:val="0"/>
      <w:marBottom w:val="0"/>
      <w:divBdr>
        <w:top w:val="none" w:sz="0" w:space="0" w:color="auto"/>
        <w:left w:val="none" w:sz="0" w:space="0" w:color="auto"/>
        <w:bottom w:val="none" w:sz="0" w:space="0" w:color="auto"/>
        <w:right w:val="none" w:sz="0" w:space="0" w:color="auto"/>
      </w:divBdr>
      <w:divsChild>
        <w:div w:id="1268347931">
          <w:marLeft w:val="567"/>
          <w:marRight w:val="0"/>
          <w:marTop w:val="40"/>
          <w:marBottom w:val="0"/>
          <w:divBdr>
            <w:top w:val="none" w:sz="0" w:space="0" w:color="auto"/>
            <w:left w:val="none" w:sz="0" w:space="0" w:color="auto"/>
            <w:bottom w:val="none" w:sz="0" w:space="0" w:color="auto"/>
            <w:right w:val="none" w:sz="0" w:space="0" w:color="auto"/>
          </w:divBdr>
        </w:div>
        <w:div w:id="1712488278">
          <w:marLeft w:val="567"/>
          <w:marRight w:val="0"/>
          <w:marTop w:val="40"/>
          <w:marBottom w:val="0"/>
          <w:divBdr>
            <w:top w:val="none" w:sz="0" w:space="0" w:color="auto"/>
            <w:left w:val="none" w:sz="0" w:space="0" w:color="auto"/>
            <w:bottom w:val="none" w:sz="0" w:space="0" w:color="auto"/>
            <w:right w:val="none" w:sz="0" w:space="0" w:color="auto"/>
          </w:divBdr>
        </w:div>
      </w:divsChild>
    </w:div>
    <w:div w:id="831065772">
      <w:bodyDiv w:val="1"/>
      <w:marLeft w:val="0"/>
      <w:marRight w:val="0"/>
      <w:marTop w:val="0"/>
      <w:marBottom w:val="0"/>
      <w:divBdr>
        <w:top w:val="none" w:sz="0" w:space="0" w:color="auto"/>
        <w:left w:val="none" w:sz="0" w:space="0" w:color="auto"/>
        <w:bottom w:val="none" w:sz="0" w:space="0" w:color="auto"/>
        <w:right w:val="none" w:sz="0" w:space="0" w:color="auto"/>
      </w:divBdr>
    </w:div>
    <w:div w:id="1037125999">
      <w:bodyDiv w:val="1"/>
      <w:marLeft w:val="0"/>
      <w:marRight w:val="0"/>
      <w:marTop w:val="0"/>
      <w:marBottom w:val="0"/>
      <w:divBdr>
        <w:top w:val="none" w:sz="0" w:space="0" w:color="auto"/>
        <w:left w:val="none" w:sz="0" w:space="0" w:color="auto"/>
        <w:bottom w:val="none" w:sz="0" w:space="0" w:color="auto"/>
        <w:right w:val="none" w:sz="0" w:space="0" w:color="auto"/>
      </w:divBdr>
      <w:divsChild>
        <w:div w:id="880358810">
          <w:marLeft w:val="0"/>
          <w:marRight w:val="0"/>
          <w:marTop w:val="240"/>
          <w:marBottom w:val="0"/>
          <w:divBdr>
            <w:top w:val="none" w:sz="0" w:space="0" w:color="auto"/>
            <w:left w:val="none" w:sz="0" w:space="0" w:color="auto"/>
            <w:bottom w:val="none" w:sz="0" w:space="0" w:color="auto"/>
            <w:right w:val="none" w:sz="0" w:space="0" w:color="auto"/>
          </w:divBdr>
        </w:div>
        <w:div w:id="1626934617">
          <w:marLeft w:val="0"/>
          <w:marRight w:val="0"/>
          <w:marTop w:val="120"/>
          <w:marBottom w:val="0"/>
          <w:divBdr>
            <w:top w:val="none" w:sz="0" w:space="0" w:color="auto"/>
            <w:left w:val="none" w:sz="0" w:space="0" w:color="auto"/>
            <w:bottom w:val="none" w:sz="0" w:space="0" w:color="auto"/>
            <w:right w:val="none" w:sz="0" w:space="0" w:color="auto"/>
          </w:divBdr>
        </w:div>
        <w:div w:id="600799514">
          <w:marLeft w:val="0"/>
          <w:marRight w:val="0"/>
          <w:marTop w:val="120"/>
          <w:marBottom w:val="0"/>
          <w:divBdr>
            <w:top w:val="none" w:sz="0" w:space="0" w:color="auto"/>
            <w:left w:val="none" w:sz="0" w:space="0" w:color="auto"/>
            <w:bottom w:val="none" w:sz="0" w:space="0" w:color="auto"/>
            <w:right w:val="none" w:sz="0" w:space="0" w:color="auto"/>
          </w:divBdr>
        </w:div>
        <w:div w:id="267810755">
          <w:marLeft w:val="1134"/>
          <w:marRight w:val="0"/>
          <w:marTop w:val="60"/>
          <w:marBottom w:val="0"/>
          <w:divBdr>
            <w:top w:val="none" w:sz="0" w:space="0" w:color="auto"/>
            <w:left w:val="none" w:sz="0" w:space="0" w:color="auto"/>
            <w:bottom w:val="none" w:sz="0" w:space="0" w:color="auto"/>
            <w:right w:val="none" w:sz="0" w:space="0" w:color="auto"/>
          </w:divBdr>
        </w:div>
        <w:div w:id="210923016">
          <w:marLeft w:val="1134"/>
          <w:marRight w:val="0"/>
          <w:marTop w:val="60"/>
          <w:marBottom w:val="0"/>
          <w:divBdr>
            <w:top w:val="none" w:sz="0" w:space="0" w:color="auto"/>
            <w:left w:val="none" w:sz="0" w:space="0" w:color="auto"/>
            <w:bottom w:val="none" w:sz="0" w:space="0" w:color="auto"/>
            <w:right w:val="none" w:sz="0" w:space="0" w:color="auto"/>
          </w:divBdr>
        </w:div>
        <w:div w:id="1457023796">
          <w:marLeft w:val="0"/>
          <w:marRight w:val="0"/>
          <w:marTop w:val="120"/>
          <w:marBottom w:val="0"/>
          <w:divBdr>
            <w:top w:val="none" w:sz="0" w:space="0" w:color="auto"/>
            <w:left w:val="none" w:sz="0" w:space="0" w:color="auto"/>
            <w:bottom w:val="none" w:sz="0" w:space="0" w:color="auto"/>
            <w:right w:val="none" w:sz="0" w:space="0" w:color="auto"/>
          </w:divBdr>
        </w:div>
        <w:div w:id="1301888567">
          <w:marLeft w:val="0"/>
          <w:marRight w:val="0"/>
          <w:marTop w:val="60"/>
          <w:marBottom w:val="0"/>
          <w:divBdr>
            <w:top w:val="none" w:sz="0" w:space="0" w:color="auto"/>
            <w:left w:val="none" w:sz="0" w:space="0" w:color="auto"/>
            <w:bottom w:val="none" w:sz="0" w:space="0" w:color="auto"/>
            <w:right w:val="none" w:sz="0" w:space="0" w:color="auto"/>
          </w:divBdr>
        </w:div>
        <w:div w:id="1405878410">
          <w:marLeft w:val="0"/>
          <w:marRight w:val="0"/>
          <w:marTop w:val="120"/>
          <w:marBottom w:val="0"/>
          <w:divBdr>
            <w:top w:val="none" w:sz="0" w:space="0" w:color="auto"/>
            <w:left w:val="none" w:sz="0" w:space="0" w:color="auto"/>
            <w:bottom w:val="none" w:sz="0" w:space="0" w:color="auto"/>
            <w:right w:val="none" w:sz="0" w:space="0" w:color="auto"/>
          </w:divBdr>
        </w:div>
      </w:divsChild>
    </w:div>
    <w:div w:id="1084184041">
      <w:bodyDiv w:val="1"/>
      <w:marLeft w:val="0"/>
      <w:marRight w:val="0"/>
      <w:marTop w:val="0"/>
      <w:marBottom w:val="0"/>
      <w:divBdr>
        <w:top w:val="none" w:sz="0" w:space="0" w:color="auto"/>
        <w:left w:val="none" w:sz="0" w:space="0" w:color="auto"/>
        <w:bottom w:val="none" w:sz="0" w:space="0" w:color="auto"/>
        <w:right w:val="none" w:sz="0" w:space="0" w:color="auto"/>
      </w:divBdr>
    </w:div>
    <w:div w:id="1279529952">
      <w:bodyDiv w:val="1"/>
      <w:marLeft w:val="0"/>
      <w:marRight w:val="0"/>
      <w:marTop w:val="0"/>
      <w:marBottom w:val="0"/>
      <w:divBdr>
        <w:top w:val="none" w:sz="0" w:space="0" w:color="auto"/>
        <w:left w:val="none" w:sz="0" w:space="0" w:color="auto"/>
        <w:bottom w:val="none" w:sz="0" w:space="0" w:color="auto"/>
        <w:right w:val="none" w:sz="0" w:space="0" w:color="auto"/>
      </w:divBdr>
      <w:divsChild>
        <w:div w:id="980577873">
          <w:marLeft w:val="0"/>
          <w:marRight w:val="0"/>
          <w:marTop w:val="240"/>
          <w:marBottom w:val="0"/>
          <w:divBdr>
            <w:top w:val="none" w:sz="0" w:space="0" w:color="auto"/>
            <w:left w:val="none" w:sz="0" w:space="0" w:color="auto"/>
            <w:bottom w:val="none" w:sz="0" w:space="0" w:color="auto"/>
            <w:right w:val="none" w:sz="0" w:space="0" w:color="auto"/>
          </w:divBdr>
        </w:div>
        <w:div w:id="1110012538">
          <w:marLeft w:val="0"/>
          <w:marRight w:val="0"/>
          <w:marTop w:val="120"/>
          <w:marBottom w:val="0"/>
          <w:divBdr>
            <w:top w:val="none" w:sz="0" w:space="0" w:color="auto"/>
            <w:left w:val="none" w:sz="0" w:space="0" w:color="auto"/>
            <w:bottom w:val="none" w:sz="0" w:space="0" w:color="auto"/>
            <w:right w:val="none" w:sz="0" w:space="0" w:color="auto"/>
          </w:divBdr>
        </w:div>
        <w:div w:id="1319574579">
          <w:marLeft w:val="0"/>
          <w:marRight w:val="0"/>
          <w:marTop w:val="120"/>
          <w:marBottom w:val="0"/>
          <w:divBdr>
            <w:top w:val="none" w:sz="0" w:space="0" w:color="auto"/>
            <w:left w:val="none" w:sz="0" w:space="0" w:color="auto"/>
            <w:bottom w:val="none" w:sz="0" w:space="0" w:color="auto"/>
            <w:right w:val="none" w:sz="0" w:space="0" w:color="auto"/>
          </w:divBdr>
        </w:div>
        <w:div w:id="1464227880">
          <w:marLeft w:val="1134"/>
          <w:marRight w:val="0"/>
          <w:marTop w:val="60"/>
          <w:marBottom w:val="0"/>
          <w:divBdr>
            <w:top w:val="none" w:sz="0" w:space="0" w:color="auto"/>
            <w:left w:val="none" w:sz="0" w:space="0" w:color="auto"/>
            <w:bottom w:val="none" w:sz="0" w:space="0" w:color="auto"/>
            <w:right w:val="none" w:sz="0" w:space="0" w:color="auto"/>
          </w:divBdr>
        </w:div>
        <w:div w:id="173617862">
          <w:marLeft w:val="1134"/>
          <w:marRight w:val="0"/>
          <w:marTop w:val="60"/>
          <w:marBottom w:val="0"/>
          <w:divBdr>
            <w:top w:val="none" w:sz="0" w:space="0" w:color="auto"/>
            <w:left w:val="none" w:sz="0" w:space="0" w:color="auto"/>
            <w:bottom w:val="none" w:sz="0" w:space="0" w:color="auto"/>
            <w:right w:val="none" w:sz="0" w:space="0" w:color="auto"/>
          </w:divBdr>
        </w:div>
        <w:div w:id="1650207601">
          <w:marLeft w:val="0"/>
          <w:marRight w:val="0"/>
          <w:marTop w:val="120"/>
          <w:marBottom w:val="0"/>
          <w:divBdr>
            <w:top w:val="none" w:sz="0" w:space="0" w:color="auto"/>
            <w:left w:val="none" w:sz="0" w:space="0" w:color="auto"/>
            <w:bottom w:val="none" w:sz="0" w:space="0" w:color="auto"/>
            <w:right w:val="none" w:sz="0" w:space="0" w:color="auto"/>
          </w:divBdr>
        </w:div>
        <w:div w:id="441918671">
          <w:marLeft w:val="0"/>
          <w:marRight w:val="0"/>
          <w:marTop w:val="60"/>
          <w:marBottom w:val="0"/>
          <w:divBdr>
            <w:top w:val="none" w:sz="0" w:space="0" w:color="auto"/>
            <w:left w:val="none" w:sz="0" w:space="0" w:color="auto"/>
            <w:bottom w:val="none" w:sz="0" w:space="0" w:color="auto"/>
            <w:right w:val="none" w:sz="0" w:space="0" w:color="auto"/>
          </w:divBdr>
        </w:div>
        <w:div w:id="804159455">
          <w:marLeft w:val="0"/>
          <w:marRight w:val="0"/>
          <w:marTop w:val="120"/>
          <w:marBottom w:val="0"/>
          <w:divBdr>
            <w:top w:val="none" w:sz="0" w:space="0" w:color="auto"/>
            <w:left w:val="none" w:sz="0" w:space="0" w:color="auto"/>
            <w:bottom w:val="none" w:sz="0" w:space="0" w:color="auto"/>
            <w:right w:val="none" w:sz="0" w:space="0" w:color="auto"/>
          </w:divBdr>
        </w:div>
      </w:divsChild>
    </w:div>
    <w:div w:id="1292398970">
      <w:bodyDiv w:val="1"/>
      <w:marLeft w:val="0"/>
      <w:marRight w:val="0"/>
      <w:marTop w:val="0"/>
      <w:marBottom w:val="0"/>
      <w:divBdr>
        <w:top w:val="none" w:sz="0" w:space="0" w:color="auto"/>
        <w:left w:val="none" w:sz="0" w:space="0" w:color="auto"/>
        <w:bottom w:val="none" w:sz="0" w:space="0" w:color="auto"/>
        <w:right w:val="none" w:sz="0" w:space="0" w:color="auto"/>
      </w:divBdr>
      <w:divsChild>
        <w:div w:id="294333094">
          <w:marLeft w:val="567"/>
          <w:marRight w:val="0"/>
          <w:marTop w:val="40"/>
          <w:marBottom w:val="0"/>
          <w:divBdr>
            <w:top w:val="none" w:sz="0" w:space="0" w:color="auto"/>
            <w:left w:val="none" w:sz="0" w:space="0" w:color="auto"/>
            <w:bottom w:val="none" w:sz="0" w:space="0" w:color="auto"/>
            <w:right w:val="none" w:sz="0" w:space="0" w:color="auto"/>
          </w:divBdr>
        </w:div>
        <w:div w:id="751898590">
          <w:marLeft w:val="567"/>
          <w:marRight w:val="0"/>
          <w:marTop w:val="40"/>
          <w:marBottom w:val="0"/>
          <w:divBdr>
            <w:top w:val="none" w:sz="0" w:space="0" w:color="auto"/>
            <w:left w:val="none" w:sz="0" w:space="0" w:color="auto"/>
            <w:bottom w:val="none" w:sz="0" w:space="0" w:color="auto"/>
            <w:right w:val="none" w:sz="0" w:space="0" w:color="auto"/>
          </w:divBdr>
        </w:div>
      </w:divsChild>
    </w:div>
    <w:div w:id="1299339885">
      <w:bodyDiv w:val="1"/>
      <w:marLeft w:val="0"/>
      <w:marRight w:val="0"/>
      <w:marTop w:val="0"/>
      <w:marBottom w:val="0"/>
      <w:divBdr>
        <w:top w:val="none" w:sz="0" w:space="0" w:color="auto"/>
        <w:left w:val="none" w:sz="0" w:space="0" w:color="auto"/>
        <w:bottom w:val="none" w:sz="0" w:space="0" w:color="auto"/>
        <w:right w:val="none" w:sz="0" w:space="0" w:color="auto"/>
      </w:divBdr>
    </w:div>
    <w:div w:id="1561748301">
      <w:bodyDiv w:val="1"/>
      <w:marLeft w:val="0"/>
      <w:marRight w:val="0"/>
      <w:marTop w:val="0"/>
      <w:marBottom w:val="0"/>
      <w:divBdr>
        <w:top w:val="none" w:sz="0" w:space="0" w:color="auto"/>
        <w:left w:val="none" w:sz="0" w:space="0" w:color="auto"/>
        <w:bottom w:val="none" w:sz="0" w:space="0" w:color="auto"/>
        <w:right w:val="none" w:sz="0" w:space="0" w:color="auto"/>
      </w:divBdr>
      <w:divsChild>
        <w:div w:id="46535778">
          <w:marLeft w:val="0"/>
          <w:marRight w:val="0"/>
          <w:marTop w:val="240"/>
          <w:marBottom w:val="0"/>
          <w:divBdr>
            <w:top w:val="none" w:sz="0" w:space="0" w:color="auto"/>
            <w:left w:val="none" w:sz="0" w:space="0" w:color="auto"/>
            <w:bottom w:val="none" w:sz="0" w:space="0" w:color="auto"/>
            <w:right w:val="none" w:sz="0" w:space="0" w:color="auto"/>
          </w:divBdr>
        </w:div>
        <w:div w:id="90051440">
          <w:marLeft w:val="851"/>
          <w:marRight w:val="0"/>
          <w:marTop w:val="60"/>
          <w:marBottom w:val="0"/>
          <w:divBdr>
            <w:top w:val="none" w:sz="0" w:space="0" w:color="auto"/>
            <w:left w:val="none" w:sz="0" w:space="0" w:color="auto"/>
            <w:bottom w:val="none" w:sz="0" w:space="0" w:color="auto"/>
            <w:right w:val="none" w:sz="0" w:space="0" w:color="auto"/>
          </w:divBdr>
        </w:div>
        <w:div w:id="1209148594">
          <w:marLeft w:val="851"/>
          <w:marRight w:val="0"/>
          <w:marTop w:val="60"/>
          <w:marBottom w:val="0"/>
          <w:divBdr>
            <w:top w:val="none" w:sz="0" w:space="0" w:color="auto"/>
            <w:left w:val="none" w:sz="0" w:space="0" w:color="auto"/>
            <w:bottom w:val="none" w:sz="0" w:space="0" w:color="auto"/>
            <w:right w:val="none" w:sz="0" w:space="0" w:color="auto"/>
          </w:divBdr>
        </w:div>
      </w:divsChild>
    </w:div>
    <w:div w:id="1580558681">
      <w:bodyDiv w:val="1"/>
      <w:marLeft w:val="0"/>
      <w:marRight w:val="0"/>
      <w:marTop w:val="0"/>
      <w:marBottom w:val="0"/>
      <w:divBdr>
        <w:top w:val="none" w:sz="0" w:space="0" w:color="auto"/>
        <w:left w:val="none" w:sz="0" w:space="0" w:color="auto"/>
        <w:bottom w:val="none" w:sz="0" w:space="0" w:color="auto"/>
        <w:right w:val="none" w:sz="0" w:space="0" w:color="auto"/>
      </w:divBdr>
    </w:div>
    <w:div w:id="1612586962">
      <w:bodyDiv w:val="1"/>
      <w:marLeft w:val="0"/>
      <w:marRight w:val="0"/>
      <w:marTop w:val="0"/>
      <w:marBottom w:val="0"/>
      <w:divBdr>
        <w:top w:val="none" w:sz="0" w:space="0" w:color="auto"/>
        <w:left w:val="none" w:sz="0" w:space="0" w:color="auto"/>
        <w:bottom w:val="none" w:sz="0" w:space="0" w:color="auto"/>
        <w:right w:val="none" w:sz="0" w:space="0" w:color="auto"/>
      </w:divBdr>
    </w:div>
    <w:div w:id="1713653986">
      <w:bodyDiv w:val="1"/>
      <w:marLeft w:val="0"/>
      <w:marRight w:val="0"/>
      <w:marTop w:val="0"/>
      <w:marBottom w:val="0"/>
      <w:divBdr>
        <w:top w:val="none" w:sz="0" w:space="0" w:color="auto"/>
        <w:left w:val="none" w:sz="0" w:space="0" w:color="auto"/>
        <w:bottom w:val="none" w:sz="0" w:space="0" w:color="auto"/>
        <w:right w:val="none" w:sz="0" w:space="0" w:color="auto"/>
      </w:divBdr>
    </w:div>
    <w:div w:id="197698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gcbs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6DED8-4080-4C96-B838-A6C8396F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4597</Words>
  <Characters>24594</Characters>
  <Application>Microsoft Office Word</Application>
  <DocSecurity>0</DocSecurity>
  <Lines>848</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dc:creator>
  <cp:keywords/>
  <dc:description/>
  <cp:lastModifiedBy>Mariana Anguelov</cp:lastModifiedBy>
  <cp:revision>3</cp:revision>
  <cp:lastPrinted>2022-11-25T07:42:00Z</cp:lastPrinted>
  <dcterms:created xsi:type="dcterms:W3CDTF">2022-11-28T07:52:00Z</dcterms:created>
  <dcterms:modified xsi:type="dcterms:W3CDTF">2022-11-29T04:18:00Z</dcterms:modified>
</cp:coreProperties>
</file>