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7F48" w14:textId="77777777" w:rsidR="00D202C2" w:rsidRPr="00671349" w:rsidRDefault="007D51E5" w:rsidP="00487896">
      <w:pPr>
        <w:spacing w:after="120" w:line="360" w:lineRule="auto"/>
        <w:jc w:val="center"/>
        <w:rPr>
          <w:rFonts w:ascii="Arial" w:hAnsi="Arial" w:cs="Arial"/>
          <w:sz w:val="24"/>
          <w:szCs w:val="24"/>
        </w:rPr>
      </w:pPr>
      <w:r w:rsidRPr="00671349">
        <w:rPr>
          <w:rFonts w:ascii="Arial" w:hAnsi="Arial" w:cs="Arial"/>
          <w:noProof/>
          <w:sz w:val="24"/>
          <w:szCs w:val="24"/>
          <w:lang w:eastAsia="en-ZA"/>
        </w:rPr>
        <w:drawing>
          <wp:inline distT="0" distB="0" distL="0" distR="0" wp14:anchorId="55DDC685" wp14:editId="3815BF13">
            <wp:extent cx="1297940" cy="1148080"/>
            <wp:effectExtent l="0" t="0" r="0" b="0"/>
            <wp:docPr id="2" name="Picture 1" descr="cid:image003.png@01D07774.1E4A6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7774.1E4A6C90"/>
                    <pic:cNvPicPr>
                      <a:picLocks noChangeAspect="1" noChangeArrowheads="1"/>
                    </pic:cNvPicPr>
                  </pic:nvPicPr>
                  <pic:blipFill>
                    <a:blip r:embed="rId9" r:link="rId10" cstate="print"/>
                    <a:srcRect/>
                    <a:stretch>
                      <a:fillRect/>
                    </a:stretch>
                  </pic:blipFill>
                  <pic:spPr bwMode="auto">
                    <a:xfrm>
                      <a:off x="0" y="0"/>
                      <a:ext cx="1315700" cy="1163789"/>
                    </a:xfrm>
                    <a:prstGeom prst="rect">
                      <a:avLst/>
                    </a:prstGeom>
                    <a:solidFill>
                      <a:sysClr val="windowText" lastClr="000000"/>
                    </a:solidFill>
                    <a:ln w="9525">
                      <a:noFill/>
                      <a:miter lim="800000"/>
                      <a:headEnd/>
                      <a:tailEnd/>
                    </a:ln>
                  </pic:spPr>
                </pic:pic>
              </a:graphicData>
            </a:graphic>
          </wp:inline>
        </w:drawing>
      </w:r>
    </w:p>
    <w:p w14:paraId="3954D95A" w14:textId="77777777" w:rsidR="000D0102" w:rsidRPr="00671349" w:rsidRDefault="00D202C2" w:rsidP="00D22617">
      <w:pPr>
        <w:autoSpaceDE w:val="0"/>
        <w:autoSpaceDN w:val="0"/>
        <w:adjustRightInd w:val="0"/>
        <w:spacing w:line="360" w:lineRule="auto"/>
        <w:jc w:val="center"/>
        <w:rPr>
          <w:rFonts w:ascii="Arial" w:hAnsi="Arial" w:cs="Arial"/>
          <w:b/>
          <w:bCs/>
          <w:sz w:val="24"/>
          <w:szCs w:val="24"/>
        </w:rPr>
      </w:pPr>
      <w:r w:rsidRPr="00671349">
        <w:rPr>
          <w:rFonts w:ascii="Arial" w:hAnsi="Arial" w:cs="Arial"/>
          <w:b/>
          <w:bCs/>
          <w:sz w:val="24"/>
          <w:szCs w:val="24"/>
        </w:rPr>
        <w:t xml:space="preserve">IN THE </w:t>
      </w:r>
      <w:r w:rsidR="000D0102" w:rsidRPr="00671349">
        <w:rPr>
          <w:rFonts w:ascii="Arial" w:hAnsi="Arial" w:cs="Arial"/>
          <w:b/>
          <w:bCs/>
          <w:sz w:val="24"/>
          <w:szCs w:val="24"/>
        </w:rPr>
        <w:t xml:space="preserve">HIGH </w:t>
      </w:r>
      <w:r w:rsidRPr="00671349">
        <w:rPr>
          <w:rFonts w:ascii="Arial" w:hAnsi="Arial" w:cs="Arial"/>
          <w:b/>
          <w:bCs/>
          <w:sz w:val="24"/>
          <w:szCs w:val="24"/>
        </w:rPr>
        <w:t>COURT OF SOUTH AFRICA</w:t>
      </w:r>
    </w:p>
    <w:p w14:paraId="072336A1" w14:textId="605FDDC8" w:rsidR="00D202C2" w:rsidRPr="00671349" w:rsidRDefault="000D0102" w:rsidP="00D22617">
      <w:pPr>
        <w:autoSpaceDE w:val="0"/>
        <w:autoSpaceDN w:val="0"/>
        <w:adjustRightInd w:val="0"/>
        <w:spacing w:after="120" w:line="360" w:lineRule="auto"/>
        <w:jc w:val="center"/>
        <w:rPr>
          <w:rFonts w:ascii="Arial" w:hAnsi="Arial" w:cs="Arial"/>
          <w:b/>
          <w:bCs/>
          <w:sz w:val="24"/>
          <w:szCs w:val="24"/>
        </w:rPr>
      </w:pPr>
      <w:r w:rsidRPr="00671349">
        <w:rPr>
          <w:rFonts w:ascii="Arial" w:hAnsi="Arial" w:cs="Arial"/>
          <w:b/>
          <w:bCs/>
          <w:sz w:val="24"/>
          <w:szCs w:val="24"/>
        </w:rPr>
        <w:t>(GAUTENG DIVISION</w:t>
      </w:r>
      <w:r w:rsidR="00D202C2" w:rsidRPr="00671349">
        <w:rPr>
          <w:rFonts w:ascii="Arial" w:hAnsi="Arial" w:cs="Arial"/>
          <w:b/>
          <w:bCs/>
          <w:sz w:val="24"/>
          <w:szCs w:val="24"/>
        </w:rPr>
        <w:t xml:space="preserve">, </w:t>
      </w:r>
      <w:r w:rsidR="004071E9">
        <w:rPr>
          <w:rFonts w:ascii="Arial" w:hAnsi="Arial" w:cs="Arial"/>
          <w:b/>
          <w:bCs/>
          <w:sz w:val="24"/>
          <w:szCs w:val="24"/>
        </w:rPr>
        <w:t>JOHANNESBURG</w:t>
      </w:r>
      <w:r w:rsidRPr="00671349">
        <w:rPr>
          <w:rFonts w:ascii="Arial" w:hAnsi="Arial" w:cs="Arial"/>
          <w:b/>
          <w:bCs/>
          <w:sz w:val="24"/>
          <w:szCs w:val="24"/>
        </w:rPr>
        <w:t>)</w:t>
      </w:r>
    </w:p>
    <w:p w14:paraId="6CF3654C" w14:textId="30F93125" w:rsidR="00D202C2" w:rsidRDefault="00D202C2" w:rsidP="00B928FE">
      <w:pPr>
        <w:autoSpaceDE w:val="0"/>
        <w:autoSpaceDN w:val="0"/>
        <w:adjustRightInd w:val="0"/>
        <w:spacing w:before="240" w:after="120" w:line="360" w:lineRule="auto"/>
        <w:ind w:left="720"/>
        <w:jc w:val="right"/>
        <w:rPr>
          <w:rFonts w:ascii="Arial" w:hAnsi="Arial" w:cs="Arial"/>
          <w:sz w:val="24"/>
          <w:szCs w:val="24"/>
        </w:rPr>
      </w:pPr>
      <w:r w:rsidRPr="00671349">
        <w:rPr>
          <w:rFonts w:ascii="Arial" w:hAnsi="Arial" w:cs="Arial"/>
          <w:sz w:val="24"/>
          <w:szCs w:val="24"/>
        </w:rPr>
        <w:t xml:space="preserve">Case no: </w:t>
      </w:r>
      <w:r w:rsidR="004071E9">
        <w:rPr>
          <w:rFonts w:ascii="Arial" w:hAnsi="Arial" w:cs="Arial"/>
          <w:sz w:val="24"/>
          <w:szCs w:val="24"/>
        </w:rPr>
        <w:t>20</w:t>
      </w:r>
      <w:r w:rsidR="00AC13FE">
        <w:rPr>
          <w:rFonts w:ascii="Arial" w:hAnsi="Arial" w:cs="Arial"/>
          <w:sz w:val="24"/>
          <w:szCs w:val="24"/>
        </w:rPr>
        <w:t>20</w:t>
      </w:r>
      <w:r w:rsidR="00155545">
        <w:rPr>
          <w:rFonts w:ascii="Arial" w:hAnsi="Arial" w:cs="Arial"/>
          <w:sz w:val="24"/>
          <w:szCs w:val="24"/>
        </w:rPr>
        <w:t>/</w:t>
      </w:r>
      <w:r w:rsidR="00AC13FE">
        <w:rPr>
          <w:rFonts w:ascii="Arial" w:hAnsi="Arial" w:cs="Arial"/>
          <w:sz w:val="24"/>
          <w:szCs w:val="24"/>
        </w:rPr>
        <w:t>36040</w:t>
      </w:r>
    </w:p>
    <w:p w14:paraId="50821842" w14:textId="77777777" w:rsidR="007D51E5" w:rsidRPr="00671349" w:rsidRDefault="007D51E5" w:rsidP="00B928FE">
      <w:pPr>
        <w:autoSpaceDE w:val="0"/>
        <w:autoSpaceDN w:val="0"/>
        <w:adjustRightInd w:val="0"/>
        <w:spacing w:before="240" w:after="120" w:line="360" w:lineRule="auto"/>
        <w:rPr>
          <w:rFonts w:ascii="Arial" w:hAnsi="Arial" w:cs="Arial"/>
          <w:sz w:val="24"/>
          <w:szCs w:val="24"/>
        </w:rPr>
      </w:pPr>
      <w:r w:rsidRPr="00671349">
        <w:rPr>
          <w:rFonts w:ascii="Arial" w:hAnsi="Arial" w:cs="Arial"/>
          <w:noProof/>
          <w:sz w:val="24"/>
          <w:szCs w:val="24"/>
          <w:lang w:eastAsia="en-ZA"/>
        </w:rPr>
        <mc:AlternateContent>
          <mc:Choice Requires="wps">
            <w:drawing>
              <wp:inline distT="0" distB="0" distL="0" distR="0" wp14:anchorId="354FFED0" wp14:editId="58EF5345">
                <wp:extent cx="3314700" cy="1371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016463" w14:textId="77777777" w:rsidR="00FC0780" w:rsidRDefault="00FC0780" w:rsidP="007D51E5">
                            <w:pPr>
                              <w:jc w:val="center"/>
                              <w:rPr>
                                <w:rFonts w:ascii="Century Gothic" w:hAnsi="Century Gothic"/>
                                <w:b/>
                                <w:sz w:val="20"/>
                                <w:szCs w:val="20"/>
                              </w:rPr>
                            </w:pPr>
                          </w:p>
                          <w:p w14:paraId="0E750DD9" w14:textId="15E42A38" w:rsidR="00FC0780" w:rsidRDefault="0046087F" w:rsidP="0046087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E05BC0">
                              <w:rPr>
                                <w:rFonts w:ascii="Century Gothic" w:hAnsi="Century Gothic"/>
                                <w:sz w:val="20"/>
                                <w:szCs w:val="20"/>
                              </w:rPr>
                              <w:t>YES</w:t>
                            </w:r>
                          </w:p>
                          <w:p w14:paraId="3BA0F62E" w14:textId="35D05F48" w:rsidR="00FC0780" w:rsidRDefault="0046087F" w:rsidP="0046087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134965">
                              <w:rPr>
                                <w:rFonts w:ascii="Century Gothic" w:hAnsi="Century Gothic"/>
                                <w:sz w:val="20"/>
                                <w:szCs w:val="20"/>
                              </w:rPr>
                              <w:t>YES</w:t>
                            </w:r>
                          </w:p>
                          <w:p w14:paraId="29110CF7" w14:textId="3389500A" w:rsidR="00FC0780" w:rsidRDefault="0046087F" w:rsidP="0046087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087F813A" w14:textId="17CC6A65" w:rsidR="005317F3" w:rsidRDefault="00FC0780" w:rsidP="005317F3">
                            <w:pPr>
                              <w:rPr>
                                <w:rFonts w:ascii="Century Gothic" w:hAnsi="Century Gothic"/>
                                <w:sz w:val="18"/>
                                <w:szCs w:val="18"/>
                              </w:rPr>
                            </w:pPr>
                            <w:r>
                              <w:rPr>
                                <w:rFonts w:ascii="Century Gothic" w:hAnsi="Century Gothic"/>
                                <w:b/>
                                <w:sz w:val="18"/>
                                <w:szCs w:val="18"/>
                              </w:rPr>
                              <w:t xml:space="preserve"> </w:t>
                            </w:r>
                            <w:r w:rsidR="005317F3" w:rsidRPr="00FE508D">
                              <w:rPr>
                                <w:rFonts w:ascii="Century Gothic" w:hAnsi="Century Gothic"/>
                                <w:b/>
                                <w:sz w:val="18"/>
                                <w:szCs w:val="18"/>
                              </w:rPr>
                              <w:t>Signed: …………………</w:t>
                            </w:r>
                            <w:r w:rsidR="005317F3" w:rsidRPr="00FE508D">
                              <w:rPr>
                                <w:rFonts w:ascii="Century Gothic" w:hAnsi="Century Gothic"/>
                                <w:b/>
                                <w:sz w:val="18"/>
                                <w:szCs w:val="18"/>
                              </w:rPr>
                              <w:tab/>
                              <w:t xml:space="preserve">Date: </w:t>
                            </w:r>
                            <w:r w:rsidR="00E6132F">
                              <w:rPr>
                                <w:rFonts w:ascii="Century Gothic" w:hAnsi="Century Gothic"/>
                                <w:b/>
                                <w:sz w:val="18"/>
                                <w:szCs w:val="18"/>
                              </w:rPr>
                              <w:t>2</w:t>
                            </w:r>
                            <w:r w:rsidR="000773EE">
                              <w:rPr>
                                <w:rFonts w:ascii="Century Gothic" w:hAnsi="Century Gothic"/>
                                <w:b/>
                                <w:sz w:val="18"/>
                                <w:szCs w:val="18"/>
                              </w:rPr>
                              <w:t>5</w:t>
                            </w:r>
                            <w:r w:rsidR="005317F3">
                              <w:rPr>
                                <w:rFonts w:ascii="Century Gothic" w:hAnsi="Century Gothic"/>
                                <w:b/>
                                <w:sz w:val="18"/>
                                <w:szCs w:val="18"/>
                              </w:rPr>
                              <w:t xml:space="preserve"> November </w:t>
                            </w:r>
                            <w:r w:rsidR="005317F3" w:rsidRPr="00FE508D">
                              <w:rPr>
                                <w:rFonts w:ascii="Century Gothic" w:hAnsi="Century Gothic"/>
                                <w:b/>
                                <w:sz w:val="18"/>
                                <w:szCs w:val="18"/>
                              </w:rPr>
                              <w:t>2022</w:t>
                            </w:r>
                          </w:p>
                          <w:p w14:paraId="1E8D533B" w14:textId="77777777" w:rsidR="005317F3" w:rsidRDefault="005317F3" w:rsidP="005317F3">
                            <w:pPr>
                              <w:rPr>
                                <w:rFonts w:ascii="Century Gothic" w:hAnsi="Century Gothic"/>
                                <w:sz w:val="18"/>
                                <w:szCs w:val="18"/>
                              </w:rPr>
                            </w:pPr>
                            <w:r>
                              <w:rPr>
                                <w:rFonts w:ascii="Century Gothic" w:hAnsi="Century Gothic"/>
                                <w:sz w:val="18"/>
                                <w:szCs w:val="18"/>
                              </w:rPr>
                              <w:t>SIGNATURE</w:t>
                            </w:r>
                          </w:p>
                          <w:p w14:paraId="7806C82D" w14:textId="2EBECB03" w:rsidR="00FC0780" w:rsidRDefault="00FC0780" w:rsidP="005317F3">
                            <w:pPr>
                              <w:rPr>
                                <w:rFonts w:ascii="Century Gothic" w:hAnsi="Century Gothic"/>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inline>
            </w:drawing>
          </mc:Choice>
          <mc:Fallback>
            <w:pict>
              <v:shapetype w14:anchorId="354FFED0" id="_x0000_t202" coordsize="21600,21600" o:spt="202" path="m,l,21600r21600,l21600,xe">
                <v:stroke joinstyle="miter"/>
                <v:path gradientshapeok="t" o:connecttype="rect"/>
              </v:shapetype>
              <v:shape id="Text Box 1" o:spid="_x0000_s1026" type="#_x0000_t202" style="width:261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">
                <v:textbox>
                  <w:txbxContent>
                    <w:p w14:paraId="56016463" w14:textId="77777777" w:rsidR="00FC0780" w:rsidRDefault="00FC0780" w:rsidP="007D51E5">
                      <w:pPr>
                        <w:jc w:val="center"/>
                        <w:rPr>
                          <w:rFonts w:ascii="Century Gothic" w:hAnsi="Century Gothic"/>
                          <w:b/>
                          <w:sz w:val="20"/>
                          <w:szCs w:val="20"/>
                        </w:rPr>
                      </w:pPr>
                    </w:p>
                    <w:p w14:paraId="0E750DD9" w14:textId="15E42A38" w:rsidR="00FC0780" w:rsidRDefault="0046087F" w:rsidP="0046087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C0780">
                        <w:rPr>
                          <w:rFonts w:ascii="Century Gothic" w:hAnsi="Century Gothic"/>
                          <w:sz w:val="20"/>
                          <w:szCs w:val="20"/>
                        </w:rPr>
                        <w:t xml:space="preserve">REPORTABLE:  </w:t>
                      </w:r>
                      <w:r w:rsidR="00E05BC0">
                        <w:rPr>
                          <w:rFonts w:ascii="Century Gothic" w:hAnsi="Century Gothic"/>
                          <w:sz w:val="20"/>
                          <w:szCs w:val="20"/>
                        </w:rPr>
                        <w:t>YES</w:t>
                      </w:r>
                    </w:p>
                    <w:p w14:paraId="3BA0F62E" w14:textId="35D05F48" w:rsidR="00FC0780" w:rsidRDefault="0046087F" w:rsidP="0046087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C0780">
                        <w:rPr>
                          <w:rFonts w:ascii="Century Gothic" w:hAnsi="Century Gothic"/>
                          <w:sz w:val="20"/>
                          <w:szCs w:val="20"/>
                        </w:rPr>
                        <w:t xml:space="preserve">OF INTEREST TO OTHER JUDGES: </w:t>
                      </w:r>
                      <w:r w:rsidR="00134965">
                        <w:rPr>
                          <w:rFonts w:ascii="Century Gothic" w:hAnsi="Century Gothic"/>
                          <w:sz w:val="20"/>
                          <w:szCs w:val="20"/>
                        </w:rPr>
                        <w:t>YES</w:t>
                      </w:r>
                    </w:p>
                    <w:p w14:paraId="29110CF7" w14:textId="3389500A" w:rsidR="00FC0780" w:rsidRDefault="0046087F" w:rsidP="0046087F">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C0780">
                        <w:rPr>
                          <w:rFonts w:ascii="Century Gothic" w:hAnsi="Century Gothic"/>
                          <w:sz w:val="20"/>
                          <w:szCs w:val="20"/>
                        </w:rPr>
                        <w:t xml:space="preserve">REVISED. </w:t>
                      </w:r>
                    </w:p>
                    <w:p w14:paraId="0E2B39CC" w14:textId="77777777" w:rsidR="00FC0780" w:rsidRDefault="00FC0780" w:rsidP="007D51E5">
                      <w:pPr>
                        <w:rPr>
                          <w:rFonts w:ascii="Century Gothic" w:hAnsi="Century Gothic"/>
                          <w:b/>
                          <w:sz w:val="18"/>
                          <w:szCs w:val="18"/>
                        </w:rPr>
                      </w:pPr>
                    </w:p>
                    <w:p w14:paraId="087F813A" w14:textId="17CC6A65" w:rsidR="005317F3" w:rsidRDefault="00FC0780" w:rsidP="005317F3">
                      <w:pPr>
                        <w:rPr>
                          <w:rFonts w:ascii="Century Gothic" w:hAnsi="Century Gothic"/>
                          <w:sz w:val="18"/>
                          <w:szCs w:val="18"/>
                        </w:rPr>
                      </w:pPr>
                      <w:r>
                        <w:rPr>
                          <w:rFonts w:ascii="Century Gothic" w:hAnsi="Century Gothic"/>
                          <w:b/>
                          <w:sz w:val="18"/>
                          <w:szCs w:val="18"/>
                        </w:rPr>
                        <w:t xml:space="preserve"> </w:t>
                      </w:r>
                      <w:r w:rsidR="005317F3" w:rsidRPr="00FE508D">
                        <w:rPr>
                          <w:rFonts w:ascii="Century Gothic" w:hAnsi="Century Gothic"/>
                          <w:b/>
                          <w:sz w:val="18"/>
                          <w:szCs w:val="18"/>
                        </w:rPr>
                        <w:t>Signed: …………………</w:t>
                      </w:r>
                      <w:r w:rsidR="005317F3" w:rsidRPr="00FE508D">
                        <w:rPr>
                          <w:rFonts w:ascii="Century Gothic" w:hAnsi="Century Gothic"/>
                          <w:b/>
                          <w:sz w:val="18"/>
                          <w:szCs w:val="18"/>
                        </w:rPr>
                        <w:tab/>
                        <w:t xml:space="preserve">Date: </w:t>
                      </w:r>
                      <w:r w:rsidR="00E6132F">
                        <w:rPr>
                          <w:rFonts w:ascii="Century Gothic" w:hAnsi="Century Gothic"/>
                          <w:b/>
                          <w:sz w:val="18"/>
                          <w:szCs w:val="18"/>
                        </w:rPr>
                        <w:t>2</w:t>
                      </w:r>
                      <w:r w:rsidR="000773EE">
                        <w:rPr>
                          <w:rFonts w:ascii="Century Gothic" w:hAnsi="Century Gothic"/>
                          <w:b/>
                          <w:sz w:val="18"/>
                          <w:szCs w:val="18"/>
                        </w:rPr>
                        <w:t>5</w:t>
                      </w:r>
                      <w:r w:rsidR="005317F3">
                        <w:rPr>
                          <w:rFonts w:ascii="Century Gothic" w:hAnsi="Century Gothic"/>
                          <w:b/>
                          <w:sz w:val="18"/>
                          <w:szCs w:val="18"/>
                        </w:rPr>
                        <w:t xml:space="preserve"> November </w:t>
                      </w:r>
                      <w:r w:rsidR="005317F3" w:rsidRPr="00FE508D">
                        <w:rPr>
                          <w:rFonts w:ascii="Century Gothic" w:hAnsi="Century Gothic"/>
                          <w:b/>
                          <w:sz w:val="18"/>
                          <w:szCs w:val="18"/>
                        </w:rPr>
                        <w:t>2022</w:t>
                      </w:r>
                    </w:p>
                    <w:p w14:paraId="1E8D533B" w14:textId="77777777" w:rsidR="005317F3" w:rsidRDefault="005317F3" w:rsidP="005317F3">
                      <w:pPr>
                        <w:rPr>
                          <w:rFonts w:ascii="Century Gothic" w:hAnsi="Century Gothic"/>
                          <w:sz w:val="18"/>
                          <w:szCs w:val="18"/>
                        </w:rPr>
                      </w:pPr>
                      <w:r>
                        <w:rPr>
                          <w:rFonts w:ascii="Century Gothic" w:hAnsi="Century Gothic"/>
                          <w:sz w:val="18"/>
                          <w:szCs w:val="18"/>
                        </w:rPr>
                        <w:t>SIGNATURE</w:t>
                      </w:r>
                    </w:p>
                    <w:p w14:paraId="7806C82D" w14:textId="2EBECB03" w:rsidR="00FC0780" w:rsidRDefault="00FC0780" w:rsidP="005317F3">
                      <w:pPr>
                        <w:rPr>
                          <w:rFonts w:ascii="Century Gothic" w:hAnsi="Century Gothic"/>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w10:anchorlock/>
              </v:shape>
            </w:pict>
          </mc:Fallback>
        </mc:AlternateContent>
      </w:r>
    </w:p>
    <w:p w14:paraId="29E97B5D" w14:textId="77777777" w:rsidR="00D202C2" w:rsidRPr="00671349" w:rsidRDefault="00D202C2" w:rsidP="00D22617">
      <w:pPr>
        <w:autoSpaceDE w:val="0"/>
        <w:autoSpaceDN w:val="0"/>
        <w:adjustRightInd w:val="0"/>
        <w:spacing w:before="240" w:after="120" w:line="360" w:lineRule="auto"/>
        <w:rPr>
          <w:rFonts w:ascii="Arial" w:hAnsi="Arial" w:cs="Arial"/>
          <w:sz w:val="24"/>
          <w:szCs w:val="24"/>
        </w:rPr>
      </w:pPr>
      <w:r w:rsidRPr="00671349">
        <w:rPr>
          <w:rFonts w:ascii="Arial" w:hAnsi="Arial" w:cs="Arial"/>
          <w:sz w:val="24"/>
          <w:szCs w:val="24"/>
        </w:rPr>
        <w:t>In the matter between</w:t>
      </w:r>
      <w:r w:rsidR="00B928FE" w:rsidRPr="00671349">
        <w:rPr>
          <w:rFonts w:ascii="Arial" w:hAnsi="Arial" w:cs="Arial"/>
          <w:sz w:val="24"/>
          <w:szCs w:val="24"/>
        </w:rPr>
        <w:t>:</w:t>
      </w:r>
    </w:p>
    <w:p w14:paraId="7D2E5B06" w14:textId="1F0516F5" w:rsidR="00D202C2" w:rsidRPr="00671349" w:rsidRDefault="00AC13FE" w:rsidP="00D22617">
      <w:pPr>
        <w:pStyle w:val="NoSpacing"/>
        <w:tabs>
          <w:tab w:val="left" w:pos="720"/>
          <w:tab w:val="left" w:pos="1440"/>
          <w:tab w:val="left" w:pos="2160"/>
          <w:tab w:val="right" w:pos="9050"/>
        </w:tabs>
        <w:spacing w:after="240" w:line="360" w:lineRule="auto"/>
        <w:rPr>
          <w:rFonts w:ascii="Arial" w:hAnsi="Arial"/>
          <w:b/>
          <w:bCs/>
          <w:sz w:val="24"/>
          <w:szCs w:val="24"/>
        </w:rPr>
      </w:pPr>
      <w:r>
        <w:rPr>
          <w:rFonts w:ascii="Arial" w:hAnsi="Arial"/>
          <w:b/>
          <w:sz w:val="24"/>
          <w:szCs w:val="24"/>
        </w:rPr>
        <w:t>KUMARAN MAISTRY</w:t>
      </w:r>
      <w:r w:rsidR="00E970E4">
        <w:rPr>
          <w:rFonts w:ascii="Arial" w:hAnsi="Arial"/>
          <w:b/>
          <w:sz w:val="24"/>
          <w:szCs w:val="24"/>
        </w:rPr>
        <w:tab/>
      </w:r>
      <w:r w:rsidR="00D22617">
        <w:rPr>
          <w:rFonts w:ascii="Arial" w:hAnsi="Arial"/>
          <w:b/>
          <w:sz w:val="24"/>
          <w:szCs w:val="24"/>
        </w:rPr>
        <w:t xml:space="preserve">First </w:t>
      </w:r>
      <w:r w:rsidR="00E970E4">
        <w:rPr>
          <w:rFonts w:ascii="Arial" w:hAnsi="Arial"/>
          <w:b/>
          <w:sz w:val="24"/>
          <w:szCs w:val="24"/>
        </w:rPr>
        <w:t>Applicant</w:t>
      </w:r>
    </w:p>
    <w:p w14:paraId="7666F6E1" w14:textId="67350B6C" w:rsidR="00D202C2" w:rsidRPr="00671349" w:rsidRDefault="00D202C2" w:rsidP="00D22617">
      <w:pPr>
        <w:tabs>
          <w:tab w:val="left" w:pos="0"/>
          <w:tab w:val="right" w:pos="9050"/>
        </w:tabs>
        <w:autoSpaceDE w:val="0"/>
        <w:autoSpaceDN w:val="0"/>
        <w:adjustRightInd w:val="0"/>
        <w:spacing w:before="240" w:after="120" w:line="360" w:lineRule="auto"/>
        <w:rPr>
          <w:rFonts w:ascii="Arial" w:hAnsi="Arial" w:cs="Arial"/>
          <w:bCs/>
          <w:sz w:val="24"/>
          <w:szCs w:val="24"/>
        </w:rPr>
      </w:pPr>
      <w:r w:rsidRPr="00671349">
        <w:rPr>
          <w:rFonts w:ascii="Arial" w:hAnsi="Arial" w:cs="Arial"/>
          <w:bCs/>
          <w:sz w:val="24"/>
          <w:szCs w:val="24"/>
        </w:rPr>
        <w:t>and</w:t>
      </w:r>
    </w:p>
    <w:p w14:paraId="6719FFC2" w14:textId="4C4225DA" w:rsidR="00D202C2" w:rsidRDefault="00AC13FE" w:rsidP="00D22617">
      <w:pPr>
        <w:tabs>
          <w:tab w:val="left" w:pos="0"/>
          <w:tab w:val="right" w:pos="9050"/>
        </w:tabs>
        <w:autoSpaceDE w:val="0"/>
        <w:autoSpaceDN w:val="0"/>
        <w:adjustRightInd w:val="0"/>
        <w:spacing w:before="240" w:after="120" w:line="360" w:lineRule="auto"/>
        <w:rPr>
          <w:rFonts w:ascii="Arial" w:hAnsi="Arial" w:cs="Arial"/>
          <w:b/>
          <w:bCs/>
          <w:sz w:val="24"/>
          <w:szCs w:val="24"/>
        </w:rPr>
      </w:pPr>
      <w:r>
        <w:rPr>
          <w:rFonts w:ascii="Arial" w:hAnsi="Arial" w:cs="Arial"/>
          <w:b/>
          <w:sz w:val="24"/>
          <w:szCs w:val="24"/>
        </w:rPr>
        <w:t>CHARMAINE NEELAMONEY NAIDOO</w:t>
      </w:r>
      <w:r w:rsidR="00D202C2" w:rsidRPr="00671349">
        <w:rPr>
          <w:rFonts w:ascii="Arial" w:hAnsi="Arial" w:cs="Arial"/>
          <w:b/>
          <w:bCs/>
          <w:sz w:val="24"/>
          <w:szCs w:val="24"/>
        </w:rPr>
        <w:tab/>
      </w:r>
      <w:r w:rsidR="004071E9">
        <w:rPr>
          <w:rFonts w:ascii="Arial" w:hAnsi="Arial" w:cs="Arial"/>
          <w:b/>
          <w:bCs/>
          <w:sz w:val="24"/>
          <w:szCs w:val="24"/>
        </w:rPr>
        <w:t>First Respondent</w:t>
      </w:r>
    </w:p>
    <w:p w14:paraId="4E4273EE" w14:textId="25226922" w:rsidR="004071E9" w:rsidRDefault="00AC13FE" w:rsidP="00D22617">
      <w:pPr>
        <w:tabs>
          <w:tab w:val="left" w:pos="0"/>
          <w:tab w:val="right" w:pos="9050"/>
        </w:tabs>
        <w:autoSpaceDE w:val="0"/>
        <w:autoSpaceDN w:val="0"/>
        <w:adjustRightInd w:val="0"/>
        <w:spacing w:before="240" w:line="360" w:lineRule="auto"/>
        <w:rPr>
          <w:rFonts w:ascii="Arial" w:hAnsi="Arial" w:cs="Arial"/>
          <w:b/>
          <w:sz w:val="24"/>
          <w:szCs w:val="24"/>
        </w:rPr>
      </w:pPr>
      <w:r>
        <w:rPr>
          <w:rFonts w:ascii="Arial" w:hAnsi="Arial" w:cs="Arial"/>
          <w:b/>
          <w:sz w:val="24"/>
          <w:szCs w:val="24"/>
        </w:rPr>
        <w:t xml:space="preserve">NADINE DANIELLE MOODLEY </w:t>
      </w:r>
      <w:r w:rsidR="004071E9">
        <w:rPr>
          <w:rFonts w:ascii="Arial" w:hAnsi="Arial" w:cs="Arial"/>
          <w:b/>
          <w:sz w:val="24"/>
          <w:szCs w:val="24"/>
        </w:rPr>
        <w:tab/>
        <w:t>Second Respondent</w:t>
      </w:r>
    </w:p>
    <w:p w14:paraId="6B75B693" w14:textId="1188F739" w:rsidR="00B928FE" w:rsidRPr="00671349" w:rsidRDefault="00B928FE" w:rsidP="00B928FE">
      <w:pPr>
        <w:autoSpaceDE w:val="0"/>
        <w:autoSpaceDN w:val="0"/>
        <w:adjustRightInd w:val="0"/>
        <w:spacing w:before="240"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w:t>
      </w:r>
    </w:p>
    <w:p w14:paraId="1DEA2455" w14:textId="77777777" w:rsidR="00D202C2" w:rsidRPr="00671349" w:rsidRDefault="00D202C2" w:rsidP="00B928FE">
      <w:pPr>
        <w:autoSpaceDE w:val="0"/>
        <w:autoSpaceDN w:val="0"/>
        <w:adjustRightInd w:val="0"/>
        <w:spacing w:before="240" w:after="120" w:line="360" w:lineRule="auto"/>
        <w:jc w:val="center"/>
        <w:rPr>
          <w:rFonts w:ascii="Arial" w:hAnsi="Arial" w:cs="Arial"/>
          <w:b/>
          <w:bCs/>
          <w:sz w:val="24"/>
          <w:szCs w:val="24"/>
        </w:rPr>
      </w:pPr>
      <w:r w:rsidRPr="00671349">
        <w:rPr>
          <w:rFonts w:ascii="Arial" w:hAnsi="Arial" w:cs="Arial"/>
          <w:b/>
          <w:bCs/>
          <w:sz w:val="24"/>
          <w:szCs w:val="24"/>
        </w:rPr>
        <w:t>JUDGMENT</w:t>
      </w:r>
    </w:p>
    <w:p w14:paraId="3A809F54" w14:textId="4E811162" w:rsidR="00B928FE" w:rsidRPr="00671349" w:rsidRDefault="00B928FE" w:rsidP="00001F4A">
      <w:pPr>
        <w:autoSpaceDE w:val="0"/>
        <w:autoSpaceDN w:val="0"/>
        <w:adjustRightInd w:val="0"/>
        <w:spacing w:after="120" w:line="360" w:lineRule="auto"/>
        <w:rPr>
          <w:rFonts w:ascii="Arial" w:hAnsi="Arial" w:cs="Arial"/>
          <w:b/>
          <w:bCs/>
          <w:sz w:val="24"/>
          <w:szCs w:val="24"/>
        </w:rPr>
      </w:pPr>
      <w:r w:rsidRPr="00671349">
        <w:rPr>
          <w:rFonts w:ascii="Arial" w:hAnsi="Arial" w:cs="Arial"/>
          <w:b/>
          <w:bCs/>
          <w:sz w:val="24"/>
          <w:szCs w:val="24"/>
        </w:rPr>
        <w:t>__________________________________________________________________</w:t>
      </w:r>
    </w:p>
    <w:p w14:paraId="0CCDA238" w14:textId="77777777" w:rsidR="005317F3" w:rsidRDefault="005317F3" w:rsidP="005317F3">
      <w:pPr>
        <w:tabs>
          <w:tab w:val="left" w:pos="0"/>
          <w:tab w:val="right" w:pos="9070"/>
        </w:tabs>
        <w:autoSpaceDE w:val="0"/>
        <w:autoSpaceDN w:val="0"/>
        <w:adjustRightInd w:val="0"/>
        <w:spacing w:before="240" w:after="120" w:line="360" w:lineRule="auto"/>
        <w:rPr>
          <w:rFonts w:ascii="Arial" w:hAnsi="Arial" w:cs="Arial"/>
          <w:b/>
          <w:sz w:val="24"/>
          <w:szCs w:val="24"/>
        </w:rPr>
      </w:pPr>
      <w:r w:rsidRPr="00FE508D">
        <w:rPr>
          <w:rFonts w:ascii="Arial" w:hAnsi="Arial" w:cs="Arial"/>
          <w:b/>
          <w:sz w:val="24"/>
          <w:szCs w:val="24"/>
        </w:rPr>
        <w:t xml:space="preserve">This judgment </w:t>
      </w:r>
      <w:r>
        <w:rPr>
          <w:rFonts w:ascii="Arial" w:hAnsi="Arial" w:cs="Arial"/>
          <w:b/>
          <w:sz w:val="24"/>
          <w:szCs w:val="24"/>
        </w:rPr>
        <w:t xml:space="preserve">is </w:t>
      </w:r>
      <w:r w:rsidRPr="00FE508D">
        <w:rPr>
          <w:rFonts w:ascii="Arial" w:hAnsi="Arial" w:cs="Arial"/>
          <w:b/>
          <w:sz w:val="24"/>
          <w:szCs w:val="24"/>
        </w:rPr>
        <w:t>handed down electronically by circulation to the parties’ legal representatives by e-mail and by uploading the signed copy hereof to Caselines</w:t>
      </w:r>
      <w:r>
        <w:rPr>
          <w:rFonts w:ascii="Arial" w:hAnsi="Arial" w:cs="Arial"/>
          <w:b/>
          <w:sz w:val="24"/>
          <w:szCs w:val="24"/>
        </w:rPr>
        <w:t>.</w:t>
      </w:r>
    </w:p>
    <w:p w14:paraId="28F88076" w14:textId="77777777" w:rsidR="00487896" w:rsidRDefault="00487896" w:rsidP="005317F3">
      <w:pPr>
        <w:spacing w:after="160" w:line="360" w:lineRule="auto"/>
        <w:rPr>
          <w:rFonts w:ascii="Arial" w:hAnsi="Arial" w:cs="Arial"/>
          <w:bCs/>
          <w:sz w:val="24"/>
          <w:szCs w:val="24"/>
        </w:rPr>
      </w:pPr>
      <w:bookmarkStart w:id="0" w:name="_Hlk117425485"/>
    </w:p>
    <w:p w14:paraId="4F33F820" w14:textId="4884C7F9" w:rsidR="005317F3" w:rsidRDefault="005317F3" w:rsidP="005317F3">
      <w:pPr>
        <w:spacing w:after="160" w:line="360" w:lineRule="auto"/>
        <w:rPr>
          <w:rFonts w:ascii="Arial" w:hAnsi="Arial" w:cs="Arial"/>
          <w:bCs/>
          <w:sz w:val="24"/>
          <w:szCs w:val="24"/>
        </w:rPr>
      </w:pPr>
      <w:r>
        <w:rPr>
          <w:rFonts w:ascii="Arial" w:hAnsi="Arial" w:cs="Arial"/>
          <w:bCs/>
          <w:sz w:val="24"/>
          <w:szCs w:val="24"/>
        </w:rPr>
        <w:lastRenderedPageBreak/>
        <w:t xml:space="preserve">Spoliation </w:t>
      </w:r>
      <w:r w:rsidRPr="00656B16">
        <w:rPr>
          <w:rFonts w:ascii="Arial" w:hAnsi="Arial" w:cs="Arial"/>
          <w:bCs/>
          <w:sz w:val="24"/>
          <w:szCs w:val="24"/>
        </w:rPr>
        <w:t>—</w:t>
      </w:r>
      <w:r w:rsidR="00F4789F">
        <w:rPr>
          <w:rFonts w:ascii="Arial" w:hAnsi="Arial" w:cs="Arial"/>
          <w:bCs/>
          <w:sz w:val="24"/>
          <w:szCs w:val="24"/>
        </w:rPr>
        <w:t xml:space="preserve"> </w:t>
      </w:r>
      <w:r w:rsidRPr="005317F3">
        <w:rPr>
          <w:rFonts w:ascii="Arial" w:hAnsi="Arial" w:cs="Arial"/>
          <w:bCs/>
          <w:i/>
          <w:iCs/>
          <w:sz w:val="24"/>
          <w:szCs w:val="24"/>
        </w:rPr>
        <w:t>Mandament van spolie</w:t>
      </w:r>
      <w:r>
        <w:rPr>
          <w:rFonts w:ascii="Arial" w:hAnsi="Arial" w:cs="Arial"/>
          <w:bCs/>
          <w:sz w:val="24"/>
          <w:szCs w:val="24"/>
        </w:rPr>
        <w:t xml:space="preserve"> </w:t>
      </w:r>
      <w:r w:rsidR="00F4789F">
        <w:rPr>
          <w:rFonts w:ascii="Arial" w:hAnsi="Arial" w:cs="Arial"/>
          <w:bCs/>
          <w:sz w:val="24"/>
          <w:szCs w:val="24"/>
        </w:rPr>
        <w:t xml:space="preserve">and spoliatory relief </w:t>
      </w:r>
      <w:r w:rsidR="003061DA" w:rsidRPr="00656B16">
        <w:rPr>
          <w:rFonts w:ascii="Arial" w:hAnsi="Arial" w:cs="Arial"/>
          <w:bCs/>
          <w:sz w:val="24"/>
          <w:szCs w:val="24"/>
        </w:rPr>
        <w:t>—</w:t>
      </w:r>
      <w:r w:rsidR="003061DA">
        <w:rPr>
          <w:rFonts w:ascii="Arial" w:hAnsi="Arial" w:cs="Arial"/>
          <w:bCs/>
          <w:sz w:val="24"/>
          <w:szCs w:val="24"/>
        </w:rPr>
        <w:t xml:space="preserve"> Joinder of non-spoliating and non-possessing owner not required </w:t>
      </w:r>
      <w:r w:rsidRPr="00656B16">
        <w:rPr>
          <w:rFonts w:ascii="Arial" w:hAnsi="Arial" w:cs="Arial"/>
          <w:bCs/>
          <w:sz w:val="24"/>
          <w:szCs w:val="24"/>
        </w:rPr>
        <w:t>—</w:t>
      </w:r>
      <w:bookmarkEnd w:id="0"/>
      <w:r w:rsidR="00F4789F">
        <w:rPr>
          <w:rFonts w:ascii="Arial" w:hAnsi="Arial" w:cs="Arial"/>
          <w:bCs/>
          <w:sz w:val="24"/>
          <w:szCs w:val="24"/>
        </w:rPr>
        <w:t xml:space="preserve"> </w:t>
      </w:r>
      <w:r>
        <w:rPr>
          <w:rFonts w:ascii="Arial" w:hAnsi="Arial" w:cs="Arial"/>
          <w:bCs/>
          <w:sz w:val="24"/>
          <w:szCs w:val="24"/>
        </w:rPr>
        <w:t xml:space="preserve">Onus and determination of </w:t>
      </w:r>
      <w:r w:rsidR="003061DA">
        <w:rPr>
          <w:rFonts w:ascii="Arial" w:hAnsi="Arial" w:cs="Arial"/>
          <w:bCs/>
          <w:sz w:val="24"/>
          <w:szCs w:val="24"/>
        </w:rPr>
        <w:t xml:space="preserve">requirements of mandament van spolie </w:t>
      </w:r>
      <w:r>
        <w:rPr>
          <w:rFonts w:ascii="Arial" w:hAnsi="Arial" w:cs="Arial"/>
          <w:bCs/>
          <w:sz w:val="24"/>
          <w:szCs w:val="24"/>
        </w:rPr>
        <w:t>in motion proceedings in absence of referral to oral evidence</w:t>
      </w:r>
      <w:r w:rsidR="003061DA">
        <w:rPr>
          <w:rFonts w:ascii="Arial" w:hAnsi="Arial" w:cs="Arial"/>
          <w:bCs/>
          <w:sz w:val="24"/>
          <w:szCs w:val="24"/>
        </w:rPr>
        <w:t xml:space="preserve"> </w:t>
      </w:r>
      <w:r w:rsidR="003061DA" w:rsidRPr="00656B16">
        <w:rPr>
          <w:rFonts w:ascii="Arial" w:hAnsi="Arial" w:cs="Arial"/>
          <w:bCs/>
          <w:sz w:val="24"/>
          <w:szCs w:val="24"/>
        </w:rPr>
        <w:t>—</w:t>
      </w:r>
      <w:r w:rsidR="003061DA">
        <w:rPr>
          <w:rFonts w:ascii="Arial" w:hAnsi="Arial" w:cs="Arial"/>
          <w:bCs/>
          <w:sz w:val="24"/>
          <w:szCs w:val="24"/>
        </w:rPr>
        <w:t xml:space="preserve"> Illicit deprivation of against consent of peaceful and undisturbed j</w:t>
      </w:r>
      <w:r w:rsidR="001920ED">
        <w:rPr>
          <w:rFonts w:ascii="Arial" w:hAnsi="Arial" w:cs="Arial"/>
          <w:bCs/>
          <w:sz w:val="24"/>
          <w:szCs w:val="24"/>
        </w:rPr>
        <w:t>oint possession</w:t>
      </w:r>
      <w:r w:rsidR="003061DA">
        <w:rPr>
          <w:rFonts w:ascii="Arial" w:hAnsi="Arial" w:cs="Arial"/>
          <w:bCs/>
          <w:sz w:val="24"/>
          <w:szCs w:val="24"/>
        </w:rPr>
        <w:t xml:space="preserve"> of immovable property </w:t>
      </w:r>
      <w:r w:rsidR="001920ED" w:rsidRPr="00656B16">
        <w:rPr>
          <w:rFonts w:ascii="Arial" w:hAnsi="Arial" w:cs="Arial"/>
          <w:bCs/>
          <w:sz w:val="24"/>
          <w:szCs w:val="24"/>
        </w:rPr>
        <w:t>—</w:t>
      </w:r>
      <w:r w:rsidR="001920ED">
        <w:rPr>
          <w:rFonts w:ascii="Arial" w:hAnsi="Arial" w:cs="Arial"/>
          <w:bCs/>
          <w:sz w:val="24"/>
          <w:szCs w:val="24"/>
        </w:rPr>
        <w:t xml:space="preserve"> </w:t>
      </w:r>
      <w:r w:rsidR="00F4789F">
        <w:rPr>
          <w:rFonts w:ascii="Arial" w:hAnsi="Arial" w:cs="Arial"/>
          <w:bCs/>
          <w:sz w:val="24"/>
          <w:szCs w:val="24"/>
        </w:rPr>
        <w:t>Ancillary non-spoliatory interdictory relief</w:t>
      </w:r>
      <w:r w:rsidR="003061DA">
        <w:rPr>
          <w:rFonts w:ascii="Arial" w:hAnsi="Arial" w:cs="Arial"/>
          <w:bCs/>
          <w:sz w:val="24"/>
          <w:szCs w:val="24"/>
        </w:rPr>
        <w:t xml:space="preserve"> </w:t>
      </w:r>
      <w:r w:rsidR="00F4789F" w:rsidRPr="00656B16">
        <w:rPr>
          <w:rFonts w:ascii="Arial" w:hAnsi="Arial" w:cs="Arial"/>
          <w:bCs/>
          <w:sz w:val="24"/>
          <w:szCs w:val="24"/>
        </w:rPr>
        <w:t>—</w:t>
      </w:r>
      <w:r w:rsidR="00F4789F">
        <w:rPr>
          <w:rFonts w:ascii="Arial" w:hAnsi="Arial" w:cs="Arial"/>
          <w:bCs/>
          <w:sz w:val="24"/>
          <w:szCs w:val="24"/>
        </w:rPr>
        <w:t xml:space="preserve"> Spoliation d</w:t>
      </w:r>
      <w:r>
        <w:rPr>
          <w:rFonts w:ascii="Arial" w:hAnsi="Arial" w:cs="Arial"/>
          <w:bCs/>
          <w:sz w:val="24"/>
          <w:szCs w:val="24"/>
        </w:rPr>
        <w:t xml:space="preserve">efences </w:t>
      </w:r>
      <w:r w:rsidRPr="00656B16">
        <w:rPr>
          <w:rFonts w:ascii="Arial" w:hAnsi="Arial" w:cs="Arial"/>
          <w:bCs/>
          <w:sz w:val="24"/>
          <w:szCs w:val="24"/>
        </w:rPr>
        <w:t>—</w:t>
      </w:r>
      <w:r>
        <w:rPr>
          <w:rFonts w:ascii="Arial" w:hAnsi="Arial" w:cs="Arial"/>
          <w:bCs/>
          <w:sz w:val="24"/>
          <w:szCs w:val="24"/>
        </w:rPr>
        <w:t xml:space="preserve"> </w:t>
      </w:r>
      <w:r w:rsidR="00396217">
        <w:rPr>
          <w:rFonts w:ascii="Arial" w:hAnsi="Arial" w:cs="Arial"/>
          <w:bCs/>
          <w:sz w:val="24"/>
          <w:szCs w:val="24"/>
        </w:rPr>
        <w:t xml:space="preserve">Failure to bring </w:t>
      </w:r>
      <w:r>
        <w:rPr>
          <w:rFonts w:ascii="Arial" w:hAnsi="Arial" w:cs="Arial"/>
          <w:bCs/>
          <w:sz w:val="24"/>
          <w:szCs w:val="24"/>
        </w:rPr>
        <w:t>application</w:t>
      </w:r>
      <w:r w:rsidR="00396217">
        <w:rPr>
          <w:rFonts w:ascii="Arial" w:hAnsi="Arial" w:cs="Arial"/>
          <w:bCs/>
          <w:sz w:val="24"/>
          <w:szCs w:val="24"/>
        </w:rPr>
        <w:t xml:space="preserve"> within a reasonable time  </w:t>
      </w:r>
      <w:r w:rsidR="00396217" w:rsidRPr="00656B16">
        <w:rPr>
          <w:rFonts w:ascii="Arial" w:hAnsi="Arial" w:cs="Arial"/>
          <w:bCs/>
          <w:sz w:val="24"/>
          <w:szCs w:val="24"/>
        </w:rPr>
        <w:t>—</w:t>
      </w:r>
      <w:r w:rsidR="00396217">
        <w:rPr>
          <w:rFonts w:ascii="Arial" w:hAnsi="Arial" w:cs="Arial"/>
          <w:bCs/>
          <w:sz w:val="24"/>
          <w:szCs w:val="24"/>
        </w:rPr>
        <w:t xml:space="preserve"> Nature of court’s discretion refuse spoliatory relief</w:t>
      </w:r>
      <w:r>
        <w:rPr>
          <w:rFonts w:ascii="Arial" w:hAnsi="Arial" w:cs="Arial"/>
          <w:bCs/>
          <w:sz w:val="24"/>
          <w:szCs w:val="24"/>
        </w:rPr>
        <w:t>.</w:t>
      </w:r>
    </w:p>
    <w:p w14:paraId="3FDF7733" w14:textId="77777777" w:rsidR="00396217" w:rsidRDefault="00396217" w:rsidP="005317F3">
      <w:pPr>
        <w:spacing w:after="160" w:line="360" w:lineRule="auto"/>
        <w:rPr>
          <w:rFonts w:ascii="Arial" w:hAnsi="Arial" w:cs="Arial"/>
          <w:b/>
          <w:sz w:val="24"/>
          <w:szCs w:val="24"/>
        </w:rPr>
      </w:pPr>
    </w:p>
    <w:p w14:paraId="736D3A2C" w14:textId="1E21DD24" w:rsidR="00D202C2" w:rsidRPr="00671349" w:rsidRDefault="003C4F1C" w:rsidP="00B928FE">
      <w:pPr>
        <w:tabs>
          <w:tab w:val="left" w:pos="0"/>
          <w:tab w:val="right" w:pos="9070"/>
        </w:tabs>
        <w:autoSpaceDE w:val="0"/>
        <w:autoSpaceDN w:val="0"/>
        <w:adjustRightInd w:val="0"/>
        <w:spacing w:before="240" w:after="120" w:line="360" w:lineRule="auto"/>
        <w:rPr>
          <w:rFonts w:ascii="Arial" w:hAnsi="Arial" w:cs="Arial"/>
          <w:b/>
          <w:sz w:val="24"/>
          <w:szCs w:val="24"/>
        </w:rPr>
      </w:pPr>
      <w:r w:rsidRPr="00671349">
        <w:rPr>
          <w:rFonts w:ascii="Arial" w:hAnsi="Arial" w:cs="Arial"/>
          <w:b/>
          <w:sz w:val="24"/>
          <w:szCs w:val="24"/>
        </w:rPr>
        <w:t>MOULTRIE</w:t>
      </w:r>
      <w:r w:rsidR="00D202C2" w:rsidRPr="00671349">
        <w:rPr>
          <w:rFonts w:ascii="Arial" w:hAnsi="Arial" w:cs="Arial"/>
          <w:b/>
          <w:sz w:val="24"/>
          <w:szCs w:val="24"/>
        </w:rPr>
        <w:t xml:space="preserve"> AJ</w:t>
      </w:r>
    </w:p>
    <w:p w14:paraId="405D8FF6" w14:textId="77777777" w:rsidR="00D202C2" w:rsidRPr="00671349" w:rsidRDefault="00D202C2" w:rsidP="007D51E5">
      <w:pPr>
        <w:keepNext/>
        <w:spacing w:before="240" w:after="120" w:line="360" w:lineRule="auto"/>
        <w:ind w:left="720" w:hanging="720"/>
        <w:rPr>
          <w:rFonts w:ascii="Arial" w:hAnsi="Arial" w:cs="Arial"/>
          <w:sz w:val="24"/>
          <w:szCs w:val="24"/>
        </w:rPr>
      </w:pPr>
      <w:r w:rsidRPr="00671349">
        <w:rPr>
          <w:rFonts w:ascii="Arial" w:hAnsi="Arial" w:cs="Arial"/>
          <w:sz w:val="24"/>
          <w:szCs w:val="24"/>
          <w:u w:val="single"/>
        </w:rPr>
        <w:t>Introduction</w:t>
      </w:r>
      <w:r w:rsidR="0081091C" w:rsidRPr="00671349">
        <w:rPr>
          <w:rFonts w:ascii="Arial" w:hAnsi="Arial" w:cs="Arial"/>
          <w:sz w:val="24"/>
          <w:szCs w:val="24"/>
          <w:u w:val="single"/>
        </w:rPr>
        <w:t xml:space="preserve"> </w:t>
      </w:r>
    </w:p>
    <w:p w14:paraId="56003EEC" w14:textId="178DBC9B" w:rsidR="00CE380D" w:rsidRPr="007019DA" w:rsidRDefault="0046087F" w:rsidP="0046087F">
      <w:pPr>
        <w:pStyle w:val="LC1"/>
        <w:numPr>
          <w:ilvl w:val="0"/>
          <w:numId w:val="0"/>
        </w:numPr>
        <w:ind w:left="720" w:hanging="720"/>
        <w:rPr>
          <w:u w:val="single"/>
        </w:rPr>
      </w:pPr>
      <w:r w:rsidRPr="007019DA">
        <w:rPr>
          <w:rFonts w:cs="Arial"/>
          <w:szCs w:val="24"/>
        </w:rPr>
        <w:t>[1]</w:t>
      </w:r>
      <w:r w:rsidRPr="007019DA">
        <w:rPr>
          <w:rFonts w:cs="Arial"/>
          <w:szCs w:val="24"/>
        </w:rPr>
        <w:tab/>
      </w:r>
      <w:r w:rsidR="00CE380D">
        <w:t xml:space="preserve">The </w:t>
      </w:r>
      <w:r w:rsidR="002A5C93">
        <w:t xml:space="preserve">relevant </w:t>
      </w:r>
      <w:r w:rsidR="00CE380D">
        <w:t xml:space="preserve">factual background to this application is briefly as follows. </w:t>
      </w:r>
      <w:r w:rsidR="00D4628B">
        <w:t>T</w:t>
      </w:r>
      <w:r w:rsidR="00CE380D">
        <w:t xml:space="preserve">he applicant </w:t>
      </w:r>
      <w:r w:rsidR="00D4628B">
        <w:t>and Veni Naidoo</w:t>
      </w:r>
      <w:r w:rsidR="007019DA">
        <w:t xml:space="preserve"> (</w:t>
      </w:r>
      <w:r w:rsidR="00D4628B">
        <w:t xml:space="preserve">sister of the first respondent) started a romantic relationship in 2007, </w:t>
      </w:r>
      <w:r w:rsidR="008C24A0">
        <w:t xml:space="preserve">following </w:t>
      </w:r>
      <w:r w:rsidR="00D4628B">
        <w:t xml:space="preserve">which they lived in a house in Orange Grove together </w:t>
      </w:r>
      <w:r w:rsidR="008C24A0">
        <w:t xml:space="preserve">with Veni’s </w:t>
      </w:r>
      <w:r w:rsidR="00D4628B">
        <w:t xml:space="preserve">two </w:t>
      </w:r>
      <w:r w:rsidR="00337848">
        <w:t xml:space="preserve">children </w:t>
      </w:r>
      <w:r w:rsidR="00D4628B">
        <w:t>from her previous relationship</w:t>
      </w:r>
      <w:r w:rsidR="00337848">
        <w:t xml:space="preserve">: </w:t>
      </w:r>
      <w:r w:rsidR="00D4628B">
        <w:t xml:space="preserve">Nadine (the second respondent, now an adult) and </w:t>
      </w:r>
      <w:r w:rsidR="00337848">
        <w:t>a second daughter (still a minor)</w:t>
      </w:r>
      <w:r w:rsidR="00D4628B">
        <w:t xml:space="preserve">. In 2011, the applicant and Veni were </w:t>
      </w:r>
      <w:r w:rsidR="00CE380D">
        <w:t xml:space="preserve">married </w:t>
      </w:r>
      <w:r w:rsidR="0047525E">
        <w:t xml:space="preserve">according to </w:t>
      </w:r>
      <w:r w:rsidR="00CE380D">
        <w:t xml:space="preserve">Hindu </w:t>
      </w:r>
      <w:r w:rsidR="0047525E">
        <w:t>rites</w:t>
      </w:r>
      <w:r w:rsidR="00337848">
        <w:t>,</w:t>
      </w:r>
      <w:r w:rsidR="0047525E">
        <w:t xml:space="preserve"> </w:t>
      </w:r>
      <w:r w:rsidR="00D4628B">
        <w:t>although the marriage was not recognised in terms of civil law</w:t>
      </w:r>
      <w:r w:rsidR="0047525E">
        <w:t>.</w:t>
      </w:r>
      <w:r w:rsidR="00D4628B">
        <w:t xml:space="preserve"> </w:t>
      </w:r>
      <w:r w:rsidR="0047525E">
        <w:t xml:space="preserve">In </w:t>
      </w:r>
      <w:r w:rsidR="007019DA">
        <w:t xml:space="preserve">2012, </w:t>
      </w:r>
      <w:r w:rsidR="00D4628B">
        <w:t xml:space="preserve">they had a son together. </w:t>
      </w:r>
    </w:p>
    <w:p w14:paraId="11C5E403" w14:textId="360276A1" w:rsidR="007019DA" w:rsidRPr="007019DA" w:rsidRDefault="0046087F" w:rsidP="0046087F">
      <w:pPr>
        <w:pStyle w:val="LC1"/>
        <w:numPr>
          <w:ilvl w:val="0"/>
          <w:numId w:val="0"/>
        </w:numPr>
        <w:ind w:left="720" w:hanging="720"/>
        <w:rPr>
          <w:u w:val="single"/>
        </w:rPr>
      </w:pPr>
      <w:r w:rsidRPr="007019DA">
        <w:rPr>
          <w:rFonts w:cs="Arial"/>
          <w:szCs w:val="24"/>
        </w:rPr>
        <w:t>[2]</w:t>
      </w:r>
      <w:r w:rsidRPr="007019DA">
        <w:rPr>
          <w:rFonts w:cs="Arial"/>
          <w:szCs w:val="24"/>
        </w:rPr>
        <w:tab/>
      </w:r>
      <w:r w:rsidR="00D4628B">
        <w:t xml:space="preserve">In approximately 2016 Veni purchased the </w:t>
      </w:r>
      <w:r w:rsidR="007019DA">
        <w:t xml:space="preserve">house </w:t>
      </w:r>
      <w:r w:rsidR="00CE380D">
        <w:t>in Lyndhurst, Johannesburg that forms the subject matter of the application</w:t>
      </w:r>
      <w:r w:rsidR="008C24A0">
        <w:t xml:space="preserve">. Although the relationship between the applicant and Veni was not always peaceful, </w:t>
      </w:r>
      <w:r w:rsidR="00A44B76">
        <w:t xml:space="preserve">it is common cause that the </w:t>
      </w:r>
      <w:r w:rsidR="008C24A0">
        <w:t xml:space="preserve">applicant </w:t>
      </w:r>
      <w:r w:rsidR="00A44B76">
        <w:t xml:space="preserve">had moved into </w:t>
      </w:r>
      <w:r w:rsidR="007019DA">
        <w:t xml:space="preserve">the Lyndhurst house </w:t>
      </w:r>
      <w:r w:rsidR="008C24A0">
        <w:t>with her and the two minor children</w:t>
      </w:r>
      <w:r w:rsidR="00A44B76">
        <w:t xml:space="preserve"> by January 2017</w:t>
      </w:r>
      <w:r w:rsidR="008C24A0">
        <w:t xml:space="preserve">. In </w:t>
      </w:r>
      <w:r w:rsidR="00A44B76">
        <w:t xml:space="preserve">late </w:t>
      </w:r>
      <w:r w:rsidR="008C24A0">
        <w:t>2017</w:t>
      </w:r>
      <w:r w:rsidR="00A44B76">
        <w:t xml:space="preserve"> or early 2018</w:t>
      </w:r>
      <w:r w:rsidR="008C24A0">
        <w:t xml:space="preserve">, Veni was diagnosed with </w:t>
      </w:r>
      <w:r w:rsidR="00352C78">
        <w:t xml:space="preserve">advanced </w:t>
      </w:r>
      <w:r w:rsidR="008C24A0">
        <w:t xml:space="preserve">cancer, following which </w:t>
      </w:r>
      <w:r w:rsidR="007019DA">
        <w:t xml:space="preserve">she and </w:t>
      </w:r>
      <w:r w:rsidR="008C24A0">
        <w:t xml:space="preserve">the applicant travelled to India </w:t>
      </w:r>
      <w:r w:rsidR="007019DA">
        <w:t xml:space="preserve">to seek treatment </w:t>
      </w:r>
      <w:r w:rsidR="008C24A0">
        <w:t xml:space="preserve">on two separate occasions </w:t>
      </w:r>
      <w:r w:rsidR="00352C78">
        <w:t xml:space="preserve">during </w:t>
      </w:r>
      <w:r w:rsidR="008C24A0">
        <w:t xml:space="preserve">2018. During these absences, the </w:t>
      </w:r>
      <w:r w:rsidR="00A44B76">
        <w:t xml:space="preserve">second respondent and the </w:t>
      </w:r>
      <w:r w:rsidR="008C24A0">
        <w:t xml:space="preserve">minor children </w:t>
      </w:r>
      <w:r w:rsidR="007019DA">
        <w:t>continued to live in the Lyndhurst house</w:t>
      </w:r>
      <w:r w:rsidR="00352C78">
        <w:t>,</w:t>
      </w:r>
      <w:r w:rsidR="007019DA">
        <w:t xml:space="preserve"> where they were </w:t>
      </w:r>
      <w:r w:rsidR="008C24A0">
        <w:t>at</w:t>
      </w:r>
      <w:r w:rsidR="007019DA">
        <w:t xml:space="preserve"> </w:t>
      </w:r>
      <w:r w:rsidR="008C24A0">
        <w:t xml:space="preserve">first </w:t>
      </w:r>
      <w:r w:rsidR="0047525E">
        <w:t xml:space="preserve">cared for </w:t>
      </w:r>
      <w:r w:rsidR="008C24A0">
        <w:t xml:space="preserve">by the applicant’s parents and subsequently by </w:t>
      </w:r>
      <w:r w:rsidR="00BF3D51">
        <w:t xml:space="preserve">the </w:t>
      </w:r>
      <w:r w:rsidR="008C24A0">
        <w:t>first respondent</w:t>
      </w:r>
      <w:r w:rsidR="00BF3D51">
        <w:t xml:space="preserve"> and her parents</w:t>
      </w:r>
      <w:r w:rsidR="008C24A0">
        <w:t>.</w:t>
      </w:r>
      <w:r w:rsidR="00BF3D51">
        <w:t xml:space="preserve"> Although the affidavits do not </w:t>
      </w:r>
      <w:r w:rsidR="0047525E">
        <w:t xml:space="preserve">precisely </w:t>
      </w:r>
      <w:r w:rsidR="00BF3D51">
        <w:t xml:space="preserve">disclose the </w:t>
      </w:r>
      <w:r w:rsidR="0047525E">
        <w:t>date</w:t>
      </w:r>
      <w:r w:rsidR="00BF3D51">
        <w:t xml:space="preserve">, it </w:t>
      </w:r>
      <w:r w:rsidR="007019DA">
        <w:t xml:space="preserve">appears </w:t>
      </w:r>
      <w:r w:rsidR="0047525E">
        <w:t xml:space="preserve">to be </w:t>
      </w:r>
      <w:r w:rsidR="00BF3D51">
        <w:t>common cause that</w:t>
      </w:r>
      <w:r w:rsidR="007019DA">
        <w:t xml:space="preserve"> the first respondent came to live in the house </w:t>
      </w:r>
      <w:r w:rsidR="00BF3D51">
        <w:t xml:space="preserve">at least </w:t>
      </w:r>
      <w:r w:rsidR="00BF3D51">
        <w:lastRenderedPageBreak/>
        <w:t>from a date in “late 2018”</w:t>
      </w:r>
      <w:r w:rsidR="0047525E">
        <w:t>,</w:t>
      </w:r>
      <w:r w:rsidR="00BF3D51">
        <w:t xml:space="preserve"> shortly after the applicant and Veni returned from India for the second time</w:t>
      </w:r>
      <w:r w:rsidR="0047525E">
        <w:t xml:space="preserve">, </w:t>
      </w:r>
      <w:r w:rsidR="00BF3D51">
        <w:t xml:space="preserve">although </w:t>
      </w:r>
      <w:r w:rsidR="00A44B76">
        <w:t>the respondents contend that it was as early as 18 May 2018</w:t>
      </w:r>
      <w:r w:rsidR="007019DA">
        <w:t>.</w:t>
      </w:r>
    </w:p>
    <w:p w14:paraId="3146A0D0" w14:textId="4730CBAD" w:rsidR="002A5C93" w:rsidRPr="002A5C93" w:rsidRDefault="0046087F" w:rsidP="0046087F">
      <w:pPr>
        <w:pStyle w:val="LC1"/>
        <w:numPr>
          <w:ilvl w:val="0"/>
          <w:numId w:val="0"/>
        </w:numPr>
        <w:ind w:left="720" w:hanging="720"/>
        <w:rPr>
          <w:u w:val="single"/>
        </w:rPr>
      </w:pPr>
      <w:r w:rsidRPr="002A5C93">
        <w:rPr>
          <w:rFonts w:cs="Arial"/>
          <w:szCs w:val="24"/>
        </w:rPr>
        <w:t>[3]</w:t>
      </w:r>
      <w:r w:rsidRPr="002A5C93">
        <w:rPr>
          <w:rFonts w:cs="Arial"/>
          <w:szCs w:val="24"/>
        </w:rPr>
        <w:tab/>
      </w:r>
      <w:r w:rsidR="007019DA">
        <w:t xml:space="preserve">Veni </w:t>
      </w:r>
      <w:r w:rsidR="002A5C93">
        <w:t xml:space="preserve">passed away </w:t>
      </w:r>
      <w:r w:rsidR="007019DA">
        <w:t>on 18 December 2018</w:t>
      </w:r>
      <w:r w:rsidR="002A5C93">
        <w:t>.</w:t>
      </w:r>
      <w:r w:rsidR="007019DA">
        <w:t xml:space="preserve"> </w:t>
      </w:r>
      <w:r w:rsidR="002A5C93">
        <w:t>A</w:t>
      </w:r>
      <w:r w:rsidR="007019DA">
        <w:t xml:space="preserve">ll </w:t>
      </w:r>
      <w:r w:rsidR="00352C78">
        <w:t xml:space="preserve">the occupants </w:t>
      </w:r>
      <w:r w:rsidR="007019DA">
        <w:t xml:space="preserve">left the Lyndhurst house and </w:t>
      </w:r>
      <w:r w:rsidR="002A5C93">
        <w:t xml:space="preserve">went </w:t>
      </w:r>
      <w:r w:rsidR="007019DA">
        <w:t xml:space="preserve">to Durban for </w:t>
      </w:r>
      <w:r w:rsidR="002A5C93">
        <w:t xml:space="preserve">her </w:t>
      </w:r>
      <w:r w:rsidR="007019DA">
        <w:t xml:space="preserve">funeral. </w:t>
      </w:r>
    </w:p>
    <w:p w14:paraId="2E8CF9A1" w14:textId="122F99ED" w:rsidR="00CE380D" w:rsidRPr="0050081C" w:rsidRDefault="0046087F" w:rsidP="0046087F">
      <w:pPr>
        <w:pStyle w:val="LC1"/>
        <w:numPr>
          <w:ilvl w:val="0"/>
          <w:numId w:val="0"/>
        </w:numPr>
        <w:ind w:left="720" w:hanging="720"/>
        <w:rPr>
          <w:u w:val="single"/>
        </w:rPr>
      </w:pPr>
      <w:r w:rsidRPr="0050081C">
        <w:rPr>
          <w:rFonts w:cs="Arial"/>
          <w:szCs w:val="24"/>
        </w:rPr>
        <w:t>[4]</w:t>
      </w:r>
      <w:r w:rsidRPr="0050081C">
        <w:rPr>
          <w:rFonts w:cs="Arial"/>
          <w:szCs w:val="24"/>
        </w:rPr>
        <w:tab/>
      </w:r>
      <w:r w:rsidR="007019DA">
        <w:t xml:space="preserve">The applicant returned to Johannesburg and occupied the house with </w:t>
      </w:r>
      <w:r w:rsidR="00337848">
        <w:t xml:space="preserve">his son </w:t>
      </w:r>
      <w:r w:rsidR="007019DA">
        <w:t xml:space="preserve">on 5 January 2019. </w:t>
      </w:r>
      <w:r w:rsidR="002A5C93">
        <w:t xml:space="preserve">On 6 January 2019, </w:t>
      </w:r>
      <w:r w:rsidR="0047525E">
        <w:t xml:space="preserve">he </w:t>
      </w:r>
      <w:r w:rsidR="002A5C93">
        <w:t>placed locks and chains on the doors and gates of the property. On 7 January 2019, the respondent</w:t>
      </w:r>
      <w:r w:rsidR="00352C78">
        <w:t>s</w:t>
      </w:r>
      <w:r w:rsidR="002A5C93">
        <w:t xml:space="preserve"> returned to the house and succeeded</w:t>
      </w:r>
      <w:r w:rsidR="00352C78">
        <w:t xml:space="preserve"> in </w:t>
      </w:r>
      <w:r w:rsidR="002A5C93">
        <w:t>break</w:t>
      </w:r>
      <w:r w:rsidR="00352C78">
        <w:t>ing</w:t>
      </w:r>
      <w:r w:rsidR="002A5C93">
        <w:t xml:space="preserve"> the locks and chains </w:t>
      </w:r>
      <w:r w:rsidR="00352C78">
        <w:t xml:space="preserve">to </w:t>
      </w:r>
      <w:r w:rsidR="002A5C93">
        <w:t xml:space="preserve">gain access. Later that day, upon his return to the house, the applicant </w:t>
      </w:r>
      <w:r w:rsidR="009C559B">
        <w:t xml:space="preserve">either (depending on whose </w:t>
      </w:r>
      <w:r w:rsidR="00352C78">
        <w:t xml:space="preserve">allegations are </w:t>
      </w:r>
      <w:r w:rsidR="009C559B">
        <w:t xml:space="preserve">to be accepted) was </w:t>
      </w:r>
      <w:r w:rsidR="002A5C93">
        <w:t>prevented from accessing the house by the respondents</w:t>
      </w:r>
      <w:r w:rsidR="009C559B">
        <w:t xml:space="preserve"> or voluntarily agreed to vacate it</w:t>
      </w:r>
      <w:r w:rsidR="002A5C93">
        <w:t>.</w:t>
      </w:r>
    </w:p>
    <w:p w14:paraId="2ECBF063" w14:textId="786D3FA5" w:rsidR="0050081C" w:rsidRPr="0050081C" w:rsidRDefault="0046087F" w:rsidP="0046087F">
      <w:pPr>
        <w:pStyle w:val="LC1"/>
        <w:numPr>
          <w:ilvl w:val="0"/>
          <w:numId w:val="0"/>
        </w:numPr>
        <w:ind w:left="720" w:hanging="720"/>
        <w:rPr>
          <w:u w:val="single"/>
        </w:rPr>
      </w:pPr>
      <w:r w:rsidRPr="0050081C">
        <w:rPr>
          <w:rFonts w:cs="Arial"/>
          <w:szCs w:val="24"/>
        </w:rPr>
        <w:t>[5]</w:t>
      </w:r>
      <w:r w:rsidRPr="0050081C">
        <w:rPr>
          <w:rFonts w:cs="Arial"/>
          <w:szCs w:val="24"/>
        </w:rPr>
        <w:tab/>
      </w:r>
      <w:r w:rsidR="0050081C">
        <w:t xml:space="preserve">On 4 November 2020, </w:t>
      </w:r>
      <w:r w:rsidR="0047525E">
        <w:t xml:space="preserve">almost 22 months later, </w:t>
      </w:r>
      <w:r w:rsidR="0050081C">
        <w:t>the applicant launched this application seeking the following relief:</w:t>
      </w:r>
    </w:p>
    <w:p w14:paraId="6D40D780" w14:textId="376A08D3" w:rsidR="0050081C" w:rsidRDefault="0050081C" w:rsidP="00227787">
      <w:pPr>
        <w:pStyle w:val="HeadsQuote"/>
        <w:ind w:hanging="720"/>
      </w:pPr>
      <w:r>
        <w:t xml:space="preserve">1. </w:t>
      </w:r>
      <w:r>
        <w:tab/>
        <w:t>Ordering that the First and Second Respondents, jointly and severally, within 30 days of this order, restore to the Applicant peaceful and undisturbed possession of the [Lyndhurst house] including handing over to the Applicant, at the Applicant’s attorneys of record, keys to all the gates and doors at the Property, provided that:</w:t>
      </w:r>
    </w:p>
    <w:p w14:paraId="4E685473" w14:textId="49DC3CAF" w:rsidR="0050081C" w:rsidRDefault="0050081C" w:rsidP="00227787">
      <w:pPr>
        <w:pStyle w:val="HeadsQuote"/>
        <w:ind w:left="2160" w:hanging="1440"/>
      </w:pPr>
      <w:r>
        <w:t xml:space="preserve">1.1. </w:t>
      </w:r>
      <w:r>
        <w:tab/>
        <w:t>The Second Respondent shall be entitled to reside on the Property, subject to reasonable terms and conditions set by the Applicant, unless a court orders otherwise in any future court proceedings.</w:t>
      </w:r>
    </w:p>
    <w:p w14:paraId="093EC0D8" w14:textId="38B901A4" w:rsidR="0050081C" w:rsidRDefault="0050081C" w:rsidP="00227787">
      <w:pPr>
        <w:pStyle w:val="HeadsQuote"/>
        <w:ind w:left="2160" w:hanging="1440"/>
      </w:pPr>
      <w:r>
        <w:t xml:space="preserve">1.2. </w:t>
      </w:r>
      <w:r>
        <w:tab/>
        <w:t>To the extent that the Court finds that the First Respondent shared any form of peaceful and undisturbed possession of any portion of the Property with the Applicant immediately prior to 18 December 2018 (when her sister passed away), that she be entitled to retain such peaceful and undisturbed possession, subject to what a court may in any future proceedings order.</w:t>
      </w:r>
    </w:p>
    <w:p w14:paraId="0AA6EF3A" w14:textId="36B91A98" w:rsidR="0050081C" w:rsidRPr="00CE380D" w:rsidRDefault="0050081C" w:rsidP="00227787">
      <w:pPr>
        <w:pStyle w:val="HeadsQuote"/>
        <w:ind w:hanging="720"/>
      </w:pPr>
      <w:r>
        <w:t>2.</w:t>
      </w:r>
      <w:r w:rsidR="00227787">
        <w:t xml:space="preserve"> </w:t>
      </w:r>
      <w:r w:rsidR="00227787">
        <w:tab/>
      </w:r>
      <w:r>
        <w:t xml:space="preserve">Ordering the First and Second Respondents to pay the costs of this </w:t>
      </w:r>
      <w:r>
        <w:lastRenderedPageBreak/>
        <w:t>application, jointly and severally.</w:t>
      </w:r>
    </w:p>
    <w:p w14:paraId="67881B20" w14:textId="3DE43FB8" w:rsidR="009C559B" w:rsidRDefault="0046087F" w:rsidP="0046087F">
      <w:pPr>
        <w:pStyle w:val="LC1"/>
        <w:numPr>
          <w:ilvl w:val="0"/>
          <w:numId w:val="0"/>
        </w:numPr>
        <w:ind w:left="720" w:hanging="720"/>
      </w:pPr>
      <w:r>
        <w:rPr>
          <w:rFonts w:cs="Arial"/>
          <w:szCs w:val="24"/>
        </w:rPr>
        <w:t>[6]</w:t>
      </w:r>
      <w:r>
        <w:rPr>
          <w:rFonts w:cs="Arial"/>
          <w:szCs w:val="24"/>
        </w:rPr>
        <w:tab/>
      </w:r>
      <w:r w:rsidR="009C559B">
        <w:t xml:space="preserve">While the order sought in prayer 1 is spoliatory relief based on the </w:t>
      </w:r>
      <w:r w:rsidR="009C559B" w:rsidRPr="009C559B">
        <w:rPr>
          <w:i/>
          <w:iCs/>
        </w:rPr>
        <w:t>mandament van spolie</w:t>
      </w:r>
      <w:r w:rsidR="009C559B">
        <w:t xml:space="preserve">, the respondents contend that the </w:t>
      </w:r>
      <w:r w:rsidR="00742060">
        <w:t xml:space="preserve">ancillary </w:t>
      </w:r>
      <w:r w:rsidR="009C559B">
        <w:t xml:space="preserve">relief </w:t>
      </w:r>
      <w:r w:rsidR="00352C78">
        <w:t xml:space="preserve">sought </w:t>
      </w:r>
      <w:r w:rsidR="009C559B">
        <w:t>in prayers 1.1 and 1.2 would</w:t>
      </w:r>
      <w:r w:rsidR="00E05BC0">
        <w:t>,</w:t>
      </w:r>
      <w:r w:rsidR="009C559B">
        <w:t xml:space="preserve"> in substance</w:t>
      </w:r>
      <w:r w:rsidR="00E05BC0">
        <w:t>,</w:t>
      </w:r>
      <w:r w:rsidR="009C559B">
        <w:t xml:space="preserve"> constitute a final interdict declaring the parties’ respective rights </w:t>
      </w:r>
      <w:r w:rsidR="00352C78">
        <w:t xml:space="preserve">and entitlements </w:t>
      </w:r>
      <w:r w:rsidR="009C559B">
        <w:t xml:space="preserve">in relation to their </w:t>
      </w:r>
      <w:r w:rsidR="00E05BC0">
        <w:t xml:space="preserve">possession </w:t>
      </w:r>
      <w:r w:rsidR="009C559B">
        <w:t xml:space="preserve">of the Lyndhurst house following the </w:t>
      </w:r>
      <w:r w:rsidR="00352C78">
        <w:t>grant of the spoliatory relief</w:t>
      </w:r>
      <w:r w:rsidR="009C559B">
        <w:t>.</w:t>
      </w:r>
    </w:p>
    <w:p w14:paraId="4195EA11" w14:textId="5CA4EB50" w:rsidR="0050081C" w:rsidRDefault="0046087F" w:rsidP="0046087F">
      <w:pPr>
        <w:pStyle w:val="LC1"/>
        <w:numPr>
          <w:ilvl w:val="0"/>
          <w:numId w:val="0"/>
        </w:numPr>
        <w:ind w:left="720" w:hanging="720"/>
      </w:pPr>
      <w:r>
        <w:rPr>
          <w:rFonts w:cs="Arial"/>
          <w:szCs w:val="24"/>
        </w:rPr>
        <w:t>[7]</w:t>
      </w:r>
      <w:r>
        <w:rPr>
          <w:rFonts w:cs="Arial"/>
          <w:szCs w:val="24"/>
        </w:rPr>
        <w:tab/>
      </w:r>
      <w:r w:rsidR="0050081C">
        <w:t xml:space="preserve">Four </w:t>
      </w:r>
      <w:r w:rsidR="0036034D">
        <w:t>issues arise for determination</w:t>
      </w:r>
      <w:r w:rsidR="0050081C">
        <w:t>:</w:t>
      </w:r>
      <w:r w:rsidR="0036034D">
        <w:t xml:space="preserve"> </w:t>
      </w:r>
    </w:p>
    <w:p w14:paraId="60A3DB88" w14:textId="1B490DD9" w:rsidR="0050081C" w:rsidRDefault="0046087F" w:rsidP="0046087F">
      <w:pPr>
        <w:pStyle w:val="LC2"/>
        <w:numPr>
          <w:ilvl w:val="0"/>
          <w:numId w:val="0"/>
        </w:numPr>
        <w:ind w:left="993" w:hanging="993"/>
      </w:pPr>
      <w:r>
        <w:t>(a)</w:t>
      </w:r>
      <w:r>
        <w:tab/>
      </w:r>
      <w:r w:rsidR="00742060">
        <w:t xml:space="preserve">whether </w:t>
      </w:r>
      <w:r w:rsidR="0050081C">
        <w:t xml:space="preserve">the </w:t>
      </w:r>
      <w:r w:rsidR="00742060">
        <w:t xml:space="preserve">applicant’s failure to join the </w:t>
      </w:r>
      <w:r w:rsidR="0050081C">
        <w:t>executor and heirs of Veni’s estate</w:t>
      </w:r>
      <w:r w:rsidR="00352C78">
        <w:t xml:space="preserve"> (</w:t>
      </w:r>
      <w:r w:rsidR="0050081C">
        <w:t>which has not yet been finally wound up</w:t>
      </w:r>
      <w:r w:rsidR="00352C78">
        <w:t>)</w:t>
      </w:r>
      <w:r w:rsidR="00742060">
        <w:t xml:space="preserve">, constitutes a fatal non-joinder, as the respondents contend in their first point </w:t>
      </w:r>
      <w:r w:rsidR="00742060" w:rsidRPr="00742060">
        <w:rPr>
          <w:i/>
          <w:iCs/>
        </w:rPr>
        <w:t>in limine</w:t>
      </w:r>
      <w:r w:rsidR="0050081C">
        <w:t>;</w:t>
      </w:r>
    </w:p>
    <w:p w14:paraId="1A3CF28C" w14:textId="6FD00B29" w:rsidR="0050081C" w:rsidRDefault="0046087F" w:rsidP="0046087F">
      <w:pPr>
        <w:pStyle w:val="LC2"/>
        <w:numPr>
          <w:ilvl w:val="0"/>
          <w:numId w:val="0"/>
        </w:numPr>
        <w:ind w:left="993" w:hanging="993"/>
      </w:pPr>
      <w:r>
        <w:t>(b)</w:t>
      </w:r>
      <w:r>
        <w:tab/>
      </w:r>
      <w:r w:rsidR="0050081C">
        <w:t>w</w:t>
      </w:r>
      <w:r w:rsidR="0036034D">
        <w:t xml:space="preserve">hether the applicant has discharged the onus of demonstrating </w:t>
      </w:r>
      <w:r w:rsidR="009C559B">
        <w:t xml:space="preserve">the requirements of the </w:t>
      </w:r>
      <w:r w:rsidR="009C559B" w:rsidRPr="009C559B">
        <w:rPr>
          <w:i/>
          <w:iCs/>
        </w:rPr>
        <w:t>mandament van spolie</w:t>
      </w:r>
      <w:r w:rsidR="009C559B">
        <w:t xml:space="preserve"> in relation to the alleged </w:t>
      </w:r>
      <w:r w:rsidR="00742060">
        <w:t xml:space="preserve">spoliation by the respondents </w:t>
      </w:r>
      <w:r w:rsidR="0036034D">
        <w:t xml:space="preserve">on </w:t>
      </w:r>
      <w:r w:rsidR="00E6132F">
        <w:t>7 January 2019</w:t>
      </w:r>
      <w:r w:rsidR="00742060">
        <w:t xml:space="preserve"> giving rise to the spoliatory relief sought in prayer 1 of the notice of motion</w:t>
      </w:r>
      <w:r w:rsidR="0050081C">
        <w:t>;</w:t>
      </w:r>
      <w:r w:rsidR="009C559B">
        <w:t xml:space="preserve"> </w:t>
      </w:r>
    </w:p>
    <w:p w14:paraId="35EAB919" w14:textId="1088EBF0" w:rsidR="00742060" w:rsidRDefault="0046087F" w:rsidP="0046087F">
      <w:pPr>
        <w:pStyle w:val="LC2"/>
        <w:numPr>
          <w:ilvl w:val="0"/>
          <w:numId w:val="0"/>
        </w:numPr>
        <w:ind w:left="993" w:hanging="993"/>
      </w:pPr>
      <w:r>
        <w:t>(c)</w:t>
      </w:r>
      <w:r>
        <w:tab/>
      </w:r>
      <w:r w:rsidR="00742060">
        <w:t>whether the ancillary orders sought in prayers 1.1 and 1.2 are spoliatory or interdictory in nature and (if the latter) whether the applicant has made out a case therefor; and</w:t>
      </w:r>
    </w:p>
    <w:p w14:paraId="7DD7D171" w14:textId="72967164" w:rsidR="00742060" w:rsidRDefault="0046087F" w:rsidP="0046087F">
      <w:pPr>
        <w:pStyle w:val="LC2"/>
        <w:numPr>
          <w:ilvl w:val="0"/>
          <w:numId w:val="0"/>
        </w:numPr>
        <w:ind w:left="993" w:hanging="993"/>
      </w:pPr>
      <w:r>
        <w:t>(d)</w:t>
      </w:r>
      <w:r>
        <w:tab/>
      </w:r>
      <w:r w:rsidR="0036034D">
        <w:t xml:space="preserve">whether </w:t>
      </w:r>
      <w:r w:rsidR="00742060">
        <w:t xml:space="preserve">the </w:t>
      </w:r>
      <w:r w:rsidR="00940289">
        <w:t xml:space="preserve">respondents are correct in contending that even if the applicant has met the requirements </w:t>
      </w:r>
      <w:r w:rsidR="00C0520B">
        <w:t xml:space="preserve">for </w:t>
      </w:r>
      <w:r w:rsidR="00742060">
        <w:t xml:space="preserve">spoliatory </w:t>
      </w:r>
      <w:r w:rsidR="00A559D0">
        <w:t>relief</w:t>
      </w:r>
      <w:r w:rsidR="00940289">
        <w:t>,</w:t>
      </w:r>
      <w:r w:rsidR="00A559D0">
        <w:t xml:space="preserve"> </w:t>
      </w:r>
      <w:r w:rsidR="00940289">
        <w:t xml:space="preserve">it </w:t>
      </w:r>
      <w:r w:rsidR="0036034D">
        <w:t xml:space="preserve">should </w:t>
      </w:r>
      <w:r w:rsidR="00940289">
        <w:t xml:space="preserve">nevertheless </w:t>
      </w:r>
      <w:r w:rsidR="0036034D">
        <w:t xml:space="preserve">be </w:t>
      </w:r>
      <w:r w:rsidR="00742060">
        <w:t xml:space="preserve">refused </w:t>
      </w:r>
      <w:r w:rsidR="0036034D">
        <w:t xml:space="preserve">in view of the delay </w:t>
      </w:r>
      <w:r w:rsidR="0036034D" w:rsidRPr="00C0520B">
        <w:t>in</w:t>
      </w:r>
      <w:r w:rsidR="0036034D">
        <w:t xml:space="preserve"> launching this application </w:t>
      </w:r>
      <w:r w:rsidR="00C0520B">
        <w:t xml:space="preserve">after </w:t>
      </w:r>
      <w:r w:rsidR="00742060">
        <w:t>the alleged spoliation.</w:t>
      </w:r>
    </w:p>
    <w:p w14:paraId="1CD4AD8A" w14:textId="770D467D" w:rsidR="00366DB6" w:rsidRPr="00366DB6" w:rsidRDefault="00C0520B" w:rsidP="00366DB6">
      <w:pPr>
        <w:pStyle w:val="LC1"/>
        <w:numPr>
          <w:ilvl w:val="0"/>
          <w:numId w:val="0"/>
        </w:numPr>
        <w:rPr>
          <w:u w:val="single"/>
        </w:rPr>
      </w:pPr>
      <w:r>
        <w:rPr>
          <w:u w:val="single"/>
        </w:rPr>
        <w:t xml:space="preserve">Issue (a): Non-joinder of </w:t>
      </w:r>
      <w:r w:rsidR="00366DB6" w:rsidRPr="00366DB6">
        <w:rPr>
          <w:u w:val="single"/>
        </w:rPr>
        <w:t xml:space="preserve">the executor </w:t>
      </w:r>
      <w:r w:rsidR="00876CA8">
        <w:rPr>
          <w:u w:val="single"/>
        </w:rPr>
        <w:t xml:space="preserve">and heirs </w:t>
      </w:r>
      <w:r w:rsidR="00366DB6" w:rsidRPr="00366DB6">
        <w:rPr>
          <w:u w:val="single"/>
        </w:rPr>
        <w:t>of Veni’s estate</w:t>
      </w:r>
    </w:p>
    <w:p w14:paraId="23CB6C33" w14:textId="037675EB" w:rsidR="009A6FFA" w:rsidRDefault="0046087F" w:rsidP="0046087F">
      <w:pPr>
        <w:pStyle w:val="LC1"/>
        <w:numPr>
          <w:ilvl w:val="0"/>
          <w:numId w:val="0"/>
        </w:numPr>
        <w:ind w:left="720" w:hanging="720"/>
      </w:pPr>
      <w:r>
        <w:rPr>
          <w:rFonts w:cs="Arial"/>
          <w:szCs w:val="24"/>
        </w:rPr>
        <w:t>[8]</w:t>
      </w:r>
      <w:r>
        <w:rPr>
          <w:rFonts w:cs="Arial"/>
          <w:szCs w:val="24"/>
        </w:rPr>
        <w:tab/>
      </w:r>
      <w:r w:rsidR="00366DB6">
        <w:t xml:space="preserve">It is common cause that the </w:t>
      </w:r>
      <w:r w:rsidR="00C0520B">
        <w:t xml:space="preserve">Lyndhurst house </w:t>
      </w:r>
      <w:r w:rsidR="00366DB6">
        <w:t>was owned by Veni.</w:t>
      </w:r>
      <w:r w:rsidR="0067713D">
        <w:t xml:space="preserve"> </w:t>
      </w:r>
      <w:r w:rsidR="00CF310C">
        <w:t>In terms of section 11(1)(b) of the Administration of Estates Act,</w:t>
      </w:r>
      <w:r w:rsidR="001454BD">
        <w:t xml:space="preserve"> 66 of 1965,</w:t>
      </w:r>
      <w:r w:rsidR="00CF310C">
        <w:t xml:space="preserve"> those who were in possession of the house at or immediately after her death were required to retain possession until the appointment of an executor. </w:t>
      </w:r>
      <w:r w:rsidR="00745DB3">
        <w:t>While</w:t>
      </w:r>
      <w:r w:rsidR="009A6FFA">
        <w:t xml:space="preserve"> </w:t>
      </w:r>
      <w:r w:rsidR="00E05BC0">
        <w:t xml:space="preserve">I assume that </w:t>
      </w:r>
      <w:r w:rsidR="00876CA8">
        <w:t xml:space="preserve">Veni’s </w:t>
      </w:r>
      <w:r w:rsidR="00366DB6">
        <w:t xml:space="preserve">executor </w:t>
      </w:r>
      <w:r w:rsidR="00E05BC0">
        <w:t xml:space="preserve">would </w:t>
      </w:r>
      <w:r w:rsidR="00745DB3">
        <w:t xml:space="preserve">have </w:t>
      </w:r>
      <w:r w:rsidR="00C0520B">
        <w:t xml:space="preserve">been entitled to exercise all the rights of an </w:t>
      </w:r>
      <w:r w:rsidR="009A6FFA">
        <w:t>owner</w:t>
      </w:r>
      <w:r w:rsidR="0067713D">
        <w:t xml:space="preserve"> upon his </w:t>
      </w:r>
      <w:r w:rsidR="001454BD">
        <w:t xml:space="preserve">or her </w:t>
      </w:r>
      <w:r w:rsidR="0067713D">
        <w:t>appointment</w:t>
      </w:r>
      <w:r w:rsidR="00CF310C">
        <w:t xml:space="preserve"> including potentially taking the </w:t>
      </w:r>
      <w:r w:rsidR="00CF310C">
        <w:lastRenderedPageBreak/>
        <w:t xml:space="preserve">Lyndhurst house into </w:t>
      </w:r>
      <w:r w:rsidR="001454BD">
        <w:t xml:space="preserve">their </w:t>
      </w:r>
      <w:r w:rsidR="00CF310C">
        <w:t>possession</w:t>
      </w:r>
      <w:r w:rsidR="00E05BC0">
        <w:t>,</w:t>
      </w:r>
      <w:r w:rsidR="00CF310C">
        <w:t xml:space="preserve"> </w:t>
      </w:r>
      <w:r w:rsidR="00745DB3">
        <w:t>t</w:t>
      </w:r>
      <w:r w:rsidR="0067713D">
        <w:t>his</w:t>
      </w:r>
      <w:r w:rsidR="00745DB3">
        <w:t xml:space="preserve"> </w:t>
      </w:r>
      <w:r w:rsidR="009A6FFA">
        <w:t xml:space="preserve">does not </w:t>
      </w:r>
      <w:r w:rsidR="00BE2229">
        <w:t xml:space="preserve">in itself </w:t>
      </w:r>
      <w:r w:rsidR="00C0520B">
        <w:t xml:space="preserve">mean that </w:t>
      </w:r>
      <w:r w:rsidR="001454BD">
        <w:t xml:space="preserve">they </w:t>
      </w:r>
      <w:r w:rsidR="00876CA8">
        <w:t xml:space="preserve">(let alone the heirs) </w:t>
      </w:r>
      <w:r w:rsidR="00C0520B">
        <w:t xml:space="preserve">became the </w:t>
      </w:r>
      <w:r w:rsidR="009A6FFA" w:rsidRPr="0067713D">
        <w:rPr>
          <w:i/>
          <w:iCs/>
        </w:rPr>
        <w:t>de facto</w:t>
      </w:r>
      <w:r w:rsidR="009A6FFA">
        <w:t xml:space="preserve"> possessor of the property</w:t>
      </w:r>
      <w:r w:rsidR="00CF310C">
        <w:t xml:space="preserve"> upon </w:t>
      </w:r>
      <w:r w:rsidR="001454BD">
        <w:t xml:space="preserve">their </w:t>
      </w:r>
      <w:r w:rsidR="00CF310C">
        <w:t>appointment</w:t>
      </w:r>
      <w:r w:rsidR="00745DB3">
        <w:t>.</w:t>
      </w:r>
      <w:r w:rsidR="0067713D">
        <w:t xml:space="preserve"> </w:t>
      </w:r>
      <w:r w:rsidR="00C0520B">
        <w:t xml:space="preserve">To the contrary, there is </w:t>
      </w:r>
      <w:r w:rsidR="009A6FFA">
        <w:t xml:space="preserve">no evidence </w:t>
      </w:r>
      <w:r w:rsidR="00745DB3">
        <w:t xml:space="preserve">on the papers filed in the application </w:t>
      </w:r>
      <w:r w:rsidR="009A6FFA">
        <w:t xml:space="preserve">that the executor did actually </w:t>
      </w:r>
      <w:r w:rsidR="00BE2229">
        <w:t xml:space="preserve">take possession </w:t>
      </w:r>
      <w:r w:rsidR="009A6FFA">
        <w:t>(</w:t>
      </w:r>
      <w:r w:rsidR="00E05BC0">
        <w:t xml:space="preserve">i.e. possession </w:t>
      </w:r>
      <w:r w:rsidR="009A6FFA">
        <w:t xml:space="preserve">in fact) of the property for any period following </w:t>
      </w:r>
      <w:r w:rsidR="001454BD">
        <w:t xml:space="preserve">their </w:t>
      </w:r>
      <w:r w:rsidR="009A6FFA">
        <w:t>appointment</w:t>
      </w:r>
      <w:r w:rsidR="00CF310C">
        <w:t>. I</w:t>
      </w:r>
      <w:r w:rsidR="009A6FFA">
        <w:t xml:space="preserve">t </w:t>
      </w:r>
      <w:r w:rsidR="0067713D">
        <w:t xml:space="preserve">appears to be </w:t>
      </w:r>
      <w:r w:rsidR="009A6FFA">
        <w:t xml:space="preserve">common cause that it is the respondents </w:t>
      </w:r>
      <w:r w:rsidR="00CF310C">
        <w:t>in their own right</w:t>
      </w:r>
      <w:r w:rsidR="00E05BC0">
        <w:t>,</w:t>
      </w:r>
      <w:r w:rsidR="00CF310C">
        <w:t xml:space="preserve"> </w:t>
      </w:r>
      <w:r w:rsidR="00BE2229">
        <w:t>and not the executor</w:t>
      </w:r>
      <w:r w:rsidR="00E05BC0">
        <w:t>,</w:t>
      </w:r>
      <w:r w:rsidR="00BE2229">
        <w:t xml:space="preserve"> </w:t>
      </w:r>
      <w:r w:rsidR="009A6FFA">
        <w:t xml:space="preserve">who </w:t>
      </w:r>
      <w:r w:rsidR="0067713D">
        <w:t xml:space="preserve">have occupied the </w:t>
      </w:r>
      <w:r w:rsidR="009A6FFA">
        <w:t>property</w:t>
      </w:r>
      <w:r w:rsidR="0067713D">
        <w:t xml:space="preserve"> ever since </w:t>
      </w:r>
      <w:r w:rsidR="00C0520B">
        <w:t xml:space="preserve">the alleged </w:t>
      </w:r>
      <w:r w:rsidR="0067713D">
        <w:t>spoliation</w:t>
      </w:r>
      <w:r w:rsidR="009A6FFA">
        <w:t xml:space="preserve">. </w:t>
      </w:r>
    </w:p>
    <w:p w14:paraId="168605DC" w14:textId="117D0005" w:rsidR="00AB25E2" w:rsidRPr="00AB25E2" w:rsidRDefault="0046087F" w:rsidP="0046087F">
      <w:pPr>
        <w:pStyle w:val="LC1"/>
        <w:numPr>
          <w:ilvl w:val="0"/>
          <w:numId w:val="0"/>
        </w:numPr>
        <w:ind w:left="720" w:hanging="720"/>
      </w:pPr>
      <w:r w:rsidRPr="00AB25E2">
        <w:rPr>
          <w:rFonts w:cs="Arial"/>
          <w:szCs w:val="24"/>
        </w:rPr>
        <w:t>[9]</w:t>
      </w:r>
      <w:r w:rsidRPr="00AB25E2">
        <w:rPr>
          <w:rFonts w:cs="Arial"/>
          <w:szCs w:val="24"/>
        </w:rPr>
        <w:tab/>
      </w:r>
      <w:r w:rsidR="0067713D">
        <w:t xml:space="preserve">While I am prepared to accept that the executor of Veni’s estate </w:t>
      </w:r>
      <w:r w:rsidR="00745DB3">
        <w:t xml:space="preserve">may be </w:t>
      </w:r>
      <w:r w:rsidR="0067713D">
        <w:t xml:space="preserve">a necessary party in relation to the </w:t>
      </w:r>
      <w:r w:rsidR="00C0520B">
        <w:t xml:space="preserve">ancillary </w:t>
      </w:r>
      <w:r w:rsidR="0067713D">
        <w:t>relief sought by the applicant</w:t>
      </w:r>
      <w:r w:rsidR="00742072">
        <w:t xml:space="preserve">, which seeks to govern </w:t>
      </w:r>
      <w:r w:rsidR="0067713D">
        <w:t xml:space="preserve">the rights </w:t>
      </w:r>
      <w:r w:rsidR="003061DA">
        <w:t xml:space="preserve">and entitlements </w:t>
      </w:r>
      <w:r w:rsidR="0067713D">
        <w:t xml:space="preserve">of the parties following the grant of the spoliation order prayed for (as to which see below), the respondent does not </w:t>
      </w:r>
      <w:r w:rsidR="00FE274F">
        <w:t xml:space="preserve">identify </w:t>
      </w:r>
      <w:r w:rsidR="0067713D">
        <w:t>any authority</w:t>
      </w:r>
      <w:r w:rsidR="00742072">
        <w:t xml:space="preserve">, </w:t>
      </w:r>
      <w:r w:rsidR="0067713D">
        <w:t>and I am not aware of any</w:t>
      </w:r>
      <w:r w:rsidR="00742072">
        <w:t>,</w:t>
      </w:r>
      <w:r w:rsidR="0067713D">
        <w:t xml:space="preserve"> </w:t>
      </w:r>
      <w:r w:rsidR="00FE274F">
        <w:t xml:space="preserve">in support of </w:t>
      </w:r>
      <w:r w:rsidR="00742072">
        <w:t xml:space="preserve">the </w:t>
      </w:r>
      <w:r w:rsidR="0067713D">
        <w:t>proposition that a failure to cite a non-spoliating</w:t>
      </w:r>
      <w:r w:rsidR="00745DB3">
        <w:rPr>
          <w:rStyle w:val="FootnoteReference"/>
        </w:rPr>
        <w:footnoteReference w:id="1"/>
      </w:r>
      <w:r w:rsidR="00745DB3">
        <w:t xml:space="preserve"> </w:t>
      </w:r>
      <w:r w:rsidR="0067713D">
        <w:t>and non-possessing owner of the spoliated property constitute</w:t>
      </w:r>
      <w:r w:rsidR="00745DB3">
        <w:t>s</w:t>
      </w:r>
      <w:r w:rsidR="0067713D">
        <w:t xml:space="preserve"> a fatal non-joinder in a spoliation application.</w:t>
      </w:r>
      <w:r w:rsidR="00745DB3">
        <w:t xml:space="preserve"> T</w:t>
      </w:r>
      <w:r w:rsidR="00AB25E2">
        <w:rPr>
          <w:rFonts w:eastAsia="Cambria"/>
        </w:rPr>
        <w:t>he applicant</w:t>
      </w:r>
      <w:r w:rsidR="00745DB3">
        <w:rPr>
          <w:rFonts w:eastAsia="Cambria"/>
        </w:rPr>
        <w:t>, on the other hand,</w:t>
      </w:r>
      <w:r w:rsidR="00AB25E2">
        <w:rPr>
          <w:rFonts w:eastAsia="Cambria"/>
        </w:rPr>
        <w:t xml:space="preserve"> </w:t>
      </w:r>
      <w:r w:rsidR="00745DB3">
        <w:rPr>
          <w:rFonts w:eastAsia="Cambria"/>
        </w:rPr>
        <w:t xml:space="preserve">refers to </w:t>
      </w:r>
      <w:r w:rsidR="00AB25E2">
        <w:rPr>
          <w:rFonts w:eastAsia="Cambria"/>
        </w:rPr>
        <w:t xml:space="preserve">the judgment in </w:t>
      </w:r>
      <w:r w:rsidR="00AB25E2" w:rsidRPr="00AB25E2">
        <w:rPr>
          <w:rFonts w:eastAsia="Cambria"/>
          <w:i/>
          <w:iCs/>
        </w:rPr>
        <w:t>T and M Canteen</w:t>
      </w:r>
      <w:r w:rsidR="00AB25E2">
        <w:rPr>
          <w:rFonts w:eastAsia="Cambria"/>
        </w:rPr>
        <w:t>, in which the court held that it was unnecessary for a party seeking a spoliation order to join the owner of the premises on the following basis:</w:t>
      </w:r>
    </w:p>
    <w:p w14:paraId="34ACD77F" w14:textId="7724EEC7" w:rsidR="00AB25E2" w:rsidRPr="00AB25E2" w:rsidRDefault="00AB25E2" w:rsidP="00AB25E2">
      <w:pPr>
        <w:pStyle w:val="HeadsQuote"/>
        <w:rPr>
          <w:rFonts w:eastAsia="Times New Roman"/>
          <w:i w:val="0"/>
          <w:iCs w:val="0"/>
        </w:rPr>
      </w:pPr>
      <w:r>
        <w:t xml:space="preserve">There is no evidence that the [owner] was involved in the spoliation of the right of the applicant to occupy the premises where the canteen is situated. The cause of action is not directed at the [owner], and the outcome thereof is not likely to have any impact on it. The [owner] may well have been interested in the lease agreement issue, but as already stated, that issue is not before this court. In other words, </w:t>
      </w:r>
      <w:r w:rsidRPr="003061DA">
        <w:rPr>
          <w:u w:val="single"/>
        </w:rPr>
        <w:t>the applicant in this matter is not claiming the substantive right of occupation of the premises</w:t>
      </w:r>
      <w:r>
        <w:t xml:space="preserve"> through the lease agreement but rather seeks to assert its entitlement to a proper and lawful procedure before it can be deprived </w:t>
      </w:r>
      <w:r>
        <w:lastRenderedPageBreak/>
        <w:t>of its possession.</w:t>
      </w:r>
      <w:r w:rsidRPr="007517C6">
        <w:rPr>
          <w:rStyle w:val="FootnoteReference"/>
          <w:i w:val="0"/>
          <w:iCs w:val="0"/>
        </w:rPr>
        <w:footnoteReference w:id="2"/>
      </w:r>
    </w:p>
    <w:p w14:paraId="412B56DF" w14:textId="166DE87F" w:rsidR="009A6FFA" w:rsidRPr="00B61C12" w:rsidRDefault="0046087F" w:rsidP="0046087F">
      <w:pPr>
        <w:pStyle w:val="LC1"/>
        <w:numPr>
          <w:ilvl w:val="0"/>
          <w:numId w:val="0"/>
        </w:numPr>
        <w:ind w:left="720" w:hanging="720"/>
      </w:pPr>
      <w:r w:rsidRPr="00B61C12">
        <w:rPr>
          <w:rFonts w:cs="Arial"/>
          <w:szCs w:val="24"/>
        </w:rPr>
        <w:t>[10]</w:t>
      </w:r>
      <w:r w:rsidRPr="00B61C12">
        <w:rPr>
          <w:rFonts w:cs="Arial"/>
          <w:szCs w:val="24"/>
        </w:rPr>
        <w:tab/>
      </w:r>
      <w:r w:rsidR="007517C6">
        <w:t>In my view, this approach is correct</w:t>
      </w:r>
      <w:r w:rsidR="003061DA">
        <w:t xml:space="preserve">. Given that the spoliatory relief does not determine any of the parties’ </w:t>
      </w:r>
      <w:r w:rsidR="003061DA" w:rsidRPr="001454BD">
        <w:t>rights</w:t>
      </w:r>
      <w:r w:rsidR="003061DA">
        <w:t xml:space="preserve"> </w:t>
      </w:r>
      <w:r w:rsidR="007E1F03">
        <w:t xml:space="preserve">of </w:t>
      </w:r>
      <w:r w:rsidR="003061DA">
        <w:t xml:space="preserve">possession </w:t>
      </w:r>
      <w:r w:rsidR="007E1F03">
        <w:t xml:space="preserve">or occupation </w:t>
      </w:r>
      <w:r w:rsidR="003061DA">
        <w:t xml:space="preserve">(but merely restores the </w:t>
      </w:r>
      <w:r w:rsidR="003061DA" w:rsidRPr="001454BD">
        <w:t>factual</w:t>
      </w:r>
      <w:r w:rsidR="003061DA">
        <w:t xml:space="preserve"> </w:t>
      </w:r>
      <w:r w:rsidR="003061DA" w:rsidRPr="007E1F03">
        <w:rPr>
          <w:i/>
          <w:iCs/>
        </w:rPr>
        <w:t>status quo ante</w:t>
      </w:r>
      <w:r w:rsidR="003061DA">
        <w:t xml:space="preserve">) the executor cannot be said to have </w:t>
      </w:r>
      <w:r w:rsidR="007E1F03">
        <w:t>“</w:t>
      </w:r>
      <w:r w:rsidR="003061DA" w:rsidRPr="007E1F03">
        <w:rPr>
          <w:i/>
          <w:iCs/>
        </w:rPr>
        <w:t>a</w:t>
      </w:r>
      <w:r w:rsidR="007E1F03" w:rsidRPr="007E1F03">
        <w:rPr>
          <w:i/>
          <w:iCs/>
        </w:rPr>
        <w:t xml:space="preserve"> legal interest in the subject-matter of the litigation, which may be affected prejudicially by the judgment of the Court in the proceedings</w:t>
      </w:r>
      <w:r w:rsidR="007E1F03">
        <w:t>”</w:t>
      </w:r>
      <w:r w:rsidR="003061DA">
        <w:t>.</w:t>
      </w:r>
      <w:r w:rsidR="007E1F03">
        <w:rPr>
          <w:rStyle w:val="FootnoteReference"/>
        </w:rPr>
        <w:footnoteReference w:id="3"/>
      </w:r>
      <w:r w:rsidR="003061DA">
        <w:t xml:space="preserve"> The </w:t>
      </w:r>
      <w:r w:rsidR="00745DB3">
        <w:t xml:space="preserve">non-joinder point </w:t>
      </w:r>
      <w:r w:rsidR="00745DB3" w:rsidRPr="007E1F03">
        <w:rPr>
          <w:i/>
          <w:iCs/>
        </w:rPr>
        <w:t>in limine</w:t>
      </w:r>
      <w:r w:rsidR="00745DB3">
        <w:t xml:space="preserve"> must </w:t>
      </w:r>
      <w:r w:rsidR="00B97D87">
        <w:t xml:space="preserve">consequently </w:t>
      </w:r>
      <w:r w:rsidR="00745DB3">
        <w:t>fail, at least insofar as it relates to the spoliatory relief.</w:t>
      </w:r>
      <w:r w:rsidR="007517C6">
        <w:t xml:space="preserve"> </w:t>
      </w:r>
    </w:p>
    <w:p w14:paraId="247F218F" w14:textId="7EB4585F" w:rsidR="00FA31D3" w:rsidRPr="007943DA" w:rsidRDefault="00C0520B" w:rsidP="007E1F03">
      <w:pPr>
        <w:pStyle w:val="LC1"/>
        <w:keepNext/>
        <w:numPr>
          <w:ilvl w:val="0"/>
          <w:numId w:val="0"/>
        </w:numPr>
        <w:rPr>
          <w:u w:val="single"/>
        </w:rPr>
      </w:pPr>
      <w:r>
        <w:rPr>
          <w:u w:val="single"/>
        </w:rPr>
        <w:t>Issue (b): Has the applicant met the requir</w:t>
      </w:r>
      <w:r w:rsidRPr="007943DA">
        <w:rPr>
          <w:u w:val="single"/>
        </w:rPr>
        <w:t xml:space="preserve">ements of the </w:t>
      </w:r>
      <w:r w:rsidRPr="007943DA">
        <w:rPr>
          <w:i/>
          <w:iCs/>
          <w:u w:val="single"/>
        </w:rPr>
        <w:t>mandament van spolie</w:t>
      </w:r>
      <w:r w:rsidRPr="007943DA">
        <w:rPr>
          <w:u w:val="single"/>
        </w:rPr>
        <w:t>?</w:t>
      </w:r>
    </w:p>
    <w:p w14:paraId="537767DA" w14:textId="7DFAB7E6" w:rsidR="00001F4A" w:rsidRPr="00052AFA" w:rsidRDefault="0046087F" w:rsidP="0046087F">
      <w:pPr>
        <w:pStyle w:val="LC1"/>
        <w:numPr>
          <w:ilvl w:val="0"/>
          <w:numId w:val="0"/>
        </w:numPr>
        <w:ind w:left="720" w:hanging="720"/>
        <w:rPr>
          <w:rFonts w:cs="Arial"/>
          <w:szCs w:val="24"/>
          <w:u w:val="single"/>
        </w:rPr>
      </w:pPr>
      <w:r w:rsidRPr="00052AFA">
        <w:rPr>
          <w:rFonts w:cs="Arial"/>
          <w:szCs w:val="24"/>
        </w:rPr>
        <w:t>[11]</w:t>
      </w:r>
      <w:r w:rsidRPr="00052AFA">
        <w:rPr>
          <w:rFonts w:cs="Arial"/>
          <w:szCs w:val="24"/>
        </w:rPr>
        <w:tab/>
      </w:r>
      <w:r w:rsidR="00742072" w:rsidRPr="007943DA">
        <w:t xml:space="preserve">In order to be granted spoliatory relief, the </w:t>
      </w:r>
      <w:r w:rsidR="0036034D" w:rsidRPr="007943DA">
        <w:t xml:space="preserve">applicant bears the onus of proving </w:t>
      </w:r>
      <w:r w:rsidR="00742072" w:rsidRPr="007943DA">
        <w:t>(i)</w:t>
      </w:r>
      <w:r w:rsidR="00742072" w:rsidRPr="00052AFA">
        <w:rPr>
          <w:i/>
          <w:iCs/>
        </w:rPr>
        <w:t xml:space="preserve"> </w:t>
      </w:r>
      <w:r w:rsidR="0036034D" w:rsidRPr="007943DA">
        <w:t xml:space="preserve">that </w:t>
      </w:r>
      <w:r w:rsidR="00742072" w:rsidRPr="007943DA">
        <w:t xml:space="preserve">he was </w:t>
      </w:r>
      <w:r w:rsidR="0036034D" w:rsidRPr="007943DA">
        <w:t xml:space="preserve">in peaceful and undisturbed possession of the </w:t>
      </w:r>
      <w:r w:rsidR="00E05BC0">
        <w:t xml:space="preserve">Lyndhurst house </w:t>
      </w:r>
      <w:r w:rsidR="002D4C30" w:rsidRPr="007943DA">
        <w:t xml:space="preserve">at the time of the alleged </w:t>
      </w:r>
      <w:r w:rsidR="00742072" w:rsidRPr="007943DA">
        <w:t>spoliation;</w:t>
      </w:r>
      <w:r w:rsidR="00742072" w:rsidRPr="007943DA">
        <w:rPr>
          <w:rStyle w:val="FootnoteReference"/>
        </w:rPr>
        <w:t xml:space="preserve"> </w:t>
      </w:r>
      <w:r w:rsidR="00742072" w:rsidRPr="007943DA">
        <w:t xml:space="preserve">and (ii) that the respondents </w:t>
      </w:r>
      <w:r w:rsidR="007943DA" w:rsidRPr="007943DA">
        <w:t xml:space="preserve">wrongfully </w:t>
      </w:r>
      <w:r w:rsidR="00742072" w:rsidRPr="007943DA">
        <w:t xml:space="preserve">deprived him of possession </w:t>
      </w:r>
      <w:r w:rsidR="007943DA" w:rsidRPr="007943DA">
        <w:t xml:space="preserve">without </w:t>
      </w:r>
      <w:r w:rsidR="00742072" w:rsidRPr="007943DA">
        <w:t>his consent</w:t>
      </w:r>
      <w:r w:rsidR="002D4C30" w:rsidRPr="007943DA">
        <w:t>.</w:t>
      </w:r>
      <w:r w:rsidR="00DE0185" w:rsidRPr="007943DA">
        <w:rPr>
          <w:rStyle w:val="FootnoteReference"/>
        </w:rPr>
        <w:footnoteReference w:id="4"/>
      </w:r>
      <w:r w:rsidR="001920ED" w:rsidRPr="007943DA">
        <w:t xml:space="preserve"> </w:t>
      </w:r>
      <w:r w:rsidR="002D4C30">
        <w:t>G</w:t>
      </w:r>
      <w:r w:rsidR="001920ED">
        <w:t xml:space="preserve">iven that there is no application for referral of the matter to oral evidence, </w:t>
      </w:r>
      <w:r w:rsidR="00742072">
        <w:t xml:space="preserve">these </w:t>
      </w:r>
      <w:r w:rsidR="001920ED">
        <w:t>question</w:t>
      </w:r>
      <w:r w:rsidR="00742072">
        <w:t>s</w:t>
      </w:r>
      <w:r w:rsidR="001920ED">
        <w:t xml:space="preserve"> of fact must be adjudicated on the </w:t>
      </w:r>
      <w:r w:rsidR="00E05BC0">
        <w:t xml:space="preserve">basis of the well-known </w:t>
      </w:r>
      <w:r w:rsidR="00E05BC0" w:rsidRPr="00052AFA">
        <w:rPr>
          <w:i/>
          <w:iCs/>
        </w:rPr>
        <w:t>Plascon-Evans</w:t>
      </w:r>
      <w:r w:rsidR="00E05BC0">
        <w:t xml:space="preserve"> rule</w:t>
      </w:r>
      <w:r w:rsidR="001920ED">
        <w:t>.</w:t>
      </w:r>
      <w:r w:rsidR="0036034D">
        <w:rPr>
          <w:rStyle w:val="FootnoteReference"/>
        </w:rPr>
        <w:footnoteReference w:id="5"/>
      </w:r>
      <w:r w:rsidR="0036034D">
        <w:t xml:space="preserve">  </w:t>
      </w:r>
    </w:p>
    <w:p w14:paraId="7CA540C8" w14:textId="09D2FB2E" w:rsidR="00EB65CD" w:rsidRPr="003244AE" w:rsidRDefault="0046087F" w:rsidP="0046087F">
      <w:pPr>
        <w:pStyle w:val="LC1"/>
        <w:numPr>
          <w:ilvl w:val="0"/>
          <w:numId w:val="0"/>
        </w:numPr>
        <w:ind w:left="720" w:hanging="720"/>
        <w:rPr>
          <w:lang w:eastAsia="en-ZA"/>
        </w:rPr>
      </w:pPr>
      <w:r w:rsidRPr="003244AE">
        <w:rPr>
          <w:rFonts w:cs="Arial"/>
          <w:szCs w:val="24"/>
          <w:lang w:eastAsia="en-ZA"/>
        </w:rPr>
        <w:t>[12]</w:t>
      </w:r>
      <w:r w:rsidRPr="003244AE">
        <w:rPr>
          <w:rFonts w:cs="Arial"/>
          <w:szCs w:val="24"/>
          <w:lang w:eastAsia="en-ZA"/>
        </w:rPr>
        <w:tab/>
      </w:r>
      <w:r w:rsidR="00720C1B">
        <w:t xml:space="preserve">The </w:t>
      </w:r>
      <w:r w:rsidR="001920ED">
        <w:t xml:space="preserve">application of this approach in the current matter </w:t>
      </w:r>
      <w:r w:rsidR="00486274">
        <w:t xml:space="preserve">and in particular the </w:t>
      </w:r>
      <w:r w:rsidR="00FE2748">
        <w:t xml:space="preserve">contents </w:t>
      </w:r>
      <w:r w:rsidR="00486274">
        <w:t xml:space="preserve">of </w:t>
      </w:r>
      <w:r w:rsidR="00FE2748">
        <w:t>paragraphs 26, 30, 34, 3</w:t>
      </w:r>
      <w:r w:rsidR="001B692A">
        <w:t>6</w:t>
      </w:r>
      <w:r w:rsidR="00FE2748">
        <w:t>,</w:t>
      </w:r>
      <w:r w:rsidR="001B692A">
        <w:t xml:space="preserve"> 43, 44 and 45 </w:t>
      </w:r>
      <w:r w:rsidR="00720C1B">
        <w:t xml:space="preserve">of the founding affidavit </w:t>
      </w:r>
      <w:r w:rsidR="00FE2748">
        <w:t xml:space="preserve">and </w:t>
      </w:r>
      <w:r w:rsidR="00720C1B">
        <w:t xml:space="preserve">the responses thereto in the corresponding paragraphs in the </w:t>
      </w:r>
      <w:r w:rsidR="00486274">
        <w:t>answering affidavit (</w:t>
      </w:r>
      <w:r w:rsidR="00720C1B">
        <w:t xml:space="preserve">which not only tend to talk past the allegations in the founding affidavit but are replete with </w:t>
      </w:r>
      <w:r w:rsidR="00FE2748">
        <w:t xml:space="preserve">bare denials and </w:t>
      </w:r>
      <w:r w:rsidR="00486274">
        <w:t xml:space="preserve">obviously hearsay </w:t>
      </w:r>
      <w:r w:rsidR="00720C1B">
        <w:t>allegations</w:t>
      </w:r>
      <w:r w:rsidR="00486274">
        <w:t>)</w:t>
      </w:r>
      <w:r w:rsidR="00720C1B">
        <w:t>,</w:t>
      </w:r>
      <w:r w:rsidR="00486274">
        <w:t xml:space="preserve"> </w:t>
      </w:r>
      <w:r w:rsidR="001920ED">
        <w:t xml:space="preserve">leads </w:t>
      </w:r>
      <w:r w:rsidR="00742072">
        <w:t xml:space="preserve">me </w:t>
      </w:r>
      <w:r w:rsidR="001920ED">
        <w:t xml:space="preserve">ineluctably to the conclusion that </w:t>
      </w:r>
      <w:r w:rsidR="000E1A39">
        <w:t xml:space="preserve">from a date shortly after </w:t>
      </w:r>
      <w:r w:rsidR="00486274">
        <w:t xml:space="preserve">the applicant and </w:t>
      </w:r>
      <w:r w:rsidR="00FE274F">
        <w:t xml:space="preserve">Veni returned </w:t>
      </w:r>
      <w:r w:rsidR="00486274">
        <w:t xml:space="preserve">from India </w:t>
      </w:r>
      <w:r w:rsidR="00720C1B">
        <w:t xml:space="preserve">for the second time </w:t>
      </w:r>
      <w:r w:rsidR="00486274">
        <w:t xml:space="preserve">in </w:t>
      </w:r>
      <w:r w:rsidR="000E1A39">
        <w:t xml:space="preserve">“late </w:t>
      </w:r>
      <w:r w:rsidR="00486274">
        <w:t>2018</w:t>
      </w:r>
      <w:r w:rsidR="000E1A39">
        <w:t>”</w:t>
      </w:r>
      <w:r w:rsidR="00486274">
        <w:t xml:space="preserve"> </w:t>
      </w:r>
      <w:r w:rsidR="00FE2748">
        <w:t xml:space="preserve">and </w:t>
      </w:r>
      <w:r w:rsidR="00D85EE2">
        <w:t xml:space="preserve">up until </w:t>
      </w:r>
      <w:r w:rsidR="00A84B03">
        <w:t>6 January 20</w:t>
      </w:r>
      <w:r w:rsidR="00720C1B">
        <w:t>19</w:t>
      </w:r>
      <w:r w:rsidR="00A84B03">
        <w:t xml:space="preserve">, </w:t>
      </w:r>
      <w:r w:rsidR="00A84B03" w:rsidRPr="00742072">
        <w:t>both</w:t>
      </w:r>
      <w:r w:rsidR="00A84B03">
        <w:t xml:space="preserve"> the applicant and the respondents </w:t>
      </w:r>
      <w:r w:rsidR="001B692A">
        <w:t xml:space="preserve">had </w:t>
      </w:r>
      <w:r w:rsidR="00A84B03">
        <w:t xml:space="preserve">the </w:t>
      </w:r>
      <w:r w:rsidR="00A84B03">
        <w:lastRenderedPageBreak/>
        <w:t xml:space="preserve">means to access </w:t>
      </w:r>
      <w:r w:rsidR="00FE274F">
        <w:t>the Lyndhurst house</w:t>
      </w:r>
      <w:r w:rsidR="00345701">
        <w:t xml:space="preserve"> (apparently </w:t>
      </w:r>
      <w:r w:rsidR="00FE274F">
        <w:t xml:space="preserve">using </w:t>
      </w:r>
      <w:r w:rsidR="00A84B03">
        <w:t>keys</w:t>
      </w:r>
      <w:r w:rsidR="00345701">
        <w:t>)</w:t>
      </w:r>
      <w:r w:rsidR="00A84B03">
        <w:t xml:space="preserve"> </w:t>
      </w:r>
      <w:r w:rsidR="001B692A">
        <w:t xml:space="preserve">and reside </w:t>
      </w:r>
      <w:r w:rsidR="00FE274F">
        <w:t>there</w:t>
      </w:r>
      <w:r w:rsidR="007943DA">
        <w:t>,</w:t>
      </w:r>
      <w:r w:rsidR="00A84B03">
        <w:t xml:space="preserve"> which they both </w:t>
      </w:r>
      <w:r w:rsidR="001B692A">
        <w:t xml:space="preserve">did </w:t>
      </w:r>
      <w:r w:rsidR="00A84B03">
        <w:t>peacefully and without disturbance</w:t>
      </w:r>
      <w:r w:rsidR="00A559D0">
        <w:t xml:space="preserve"> </w:t>
      </w:r>
      <w:r w:rsidR="00FE274F">
        <w:t xml:space="preserve">in the relevant sense </w:t>
      </w:r>
      <w:r w:rsidR="00A559D0">
        <w:t>(i.e. “</w:t>
      </w:r>
      <w:r w:rsidR="00A559D0" w:rsidRPr="00A559D0">
        <w:rPr>
          <w:i/>
          <w:iCs/>
        </w:rPr>
        <w:t>in a sufficiently stable and durable manner for the law to take cognisance of it</w:t>
      </w:r>
      <w:r w:rsidR="00A559D0">
        <w:t>”).</w:t>
      </w:r>
      <w:r w:rsidR="00A559D0">
        <w:rPr>
          <w:rStyle w:val="FootnoteReference"/>
        </w:rPr>
        <w:footnoteReference w:id="6"/>
      </w:r>
      <w:r w:rsidR="00A84B03">
        <w:t xml:space="preserve"> </w:t>
      </w:r>
      <w:r w:rsidR="00EB65CD">
        <w:t xml:space="preserve"> A person </w:t>
      </w:r>
      <w:r w:rsidR="00052AFA">
        <w:t>can usually be said to have</w:t>
      </w:r>
      <w:r w:rsidR="00EB65CD">
        <w:t xml:space="preserve"> p</w:t>
      </w:r>
      <w:r w:rsidR="00EB65CD" w:rsidRPr="00D85EE2">
        <w:t xml:space="preserve">hysical control over a building </w:t>
      </w:r>
      <w:r w:rsidR="00EB65CD">
        <w:t xml:space="preserve">if they </w:t>
      </w:r>
      <w:r w:rsidR="00EB65CD" w:rsidRPr="00D85EE2">
        <w:t xml:space="preserve">hold </w:t>
      </w:r>
      <w:r w:rsidR="00EB65CD">
        <w:t xml:space="preserve">a </w:t>
      </w:r>
      <w:r w:rsidR="00EB65CD" w:rsidRPr="00D85EE2">
        <w:t xml:space="preserve">key to </w:t>
      </w:r>
      <w:r w:rsidR="00EB65CD">
        <w:t>it,</w:t>
      </w:r>
      <w:r w:rsidR="00EB65CD">
        <w:rPr>
          <w:rStyle w:val="FootnoteReference"/>
        </w:rPr>
        <w:footnoteReference w:id="7"/>
      </w:r>
      <w:r w:rsidR="00EB65CD">
        <w:t xml:space="preserve"> and the current instance is not one where keys were held by such a large multiplicity of persons that it “</w:t>
      </w:r>
      <w:r w:rsidR="00EB65CD" w:rsidRPr="003244AE">
        <w:rPr>
          <w:i/>
          <w:iCs/>
          <w:lang w:eastAsia="en-ZA"/>
        </w:rPr>
        <w:t>waters down [</w:t>
      </w:r>
      <w:r w:rsidR="00EB65CD">
        <w:rPr>
          <w:i/>
          <w:iCs/>
          <w:lang w:eastAsia="en-ZA"/>
        </w:rPr>
        <w:t>the applicant’s</w:t>
      </w:r>
      <w:r w:rsidR="00EB65CD" w:rsidRPr="003244AE">
        <w:rPr>
          <w:i/>
          <w:iCs/>
          <w:lang w:eastAsia="en-ZA"/>
        </w:rPr>
        <w:t>] possession, and … becomes so dilute that it ceases to be the sort of possession that is required to achieve the protection of the mandament</w:t>
      </w:r>
      <w:r w:rsidR="00EB65CD">
        <w:rPr>
          <w:lang w:eastAsia="en-ZA"/>
        </w:rPr>
        <w:t>” in the sense that it can be regarded as mere access, as opposed to possession.</w:t>
      </w:r>
      <w:r w:rsidR="00EB65CD">
        <w:rPr>
          <w:rStyle w:val="FootnoteReference"/>
          <w:lang w:eastAsia="en-ZA"/>
        </w:rPr>
        <w:footnoteReference w:id="8"/>
      </w:r>
    </w:p>
    <w:p w14:paraId="704130AB" w14:textId="306ABC9F" w:rsidR="00742072" w:rsidRPr="00EB65CD" w:rsidRDefault="0046087F" w:rsidP="0046087F">
      <w:pPr>
        <w:pStyle w:val="LC1"/>
        <w:numPr>
          <w:ilvl w:val="0"/>
          <w:numId w:val="0"/>
        </w:numPr>
        <w:ind w:left="720" w:hanging="720"/>
      </w:pPr>
      <w:r w:rsidRPr="00EB65CD">
        <w:rPr>
          <w:rFonts w:cs="Arial"/>
          <w:szCs w:val="24"/>
        </w:rPr>
        <w:t>[13]</w:t>
      </w:r>
      <w:r w:rsidRPr="00EB65CD">
        <w:rPr>
          <w:rFonts w:cs="Arial"/>
          <w:szCs w:val="24"/>
        </w:rPr>
        <w:tab/>
      </w:r>
      <w:r w:rsidR="00742072">
        <w:t xml:space="preserve">It has expressly been recognised that the </w:t>
      </w:r>
      <w:r w:rsidR="00742072" w:rsidRPr="001B692A">
        <w:rPr>
          <w:i/>
          <w:iCs/>
        </w:rPr>
        <w:t>mandament van spolie</w:t>
      </w:r>
      <w:r w:rsidR="00742072">
        <w:t xml:space="preserve"> is available to a dispossessed joint possessor of immovable property</w:t>
      </w:r>
      <w:r w:rsidR="00EB65CD">
        <w:t>,</w:t>
      </w:r>
      <w:r w:rsidR="00742072">
        <w:rPr>
          <w:rStyle w:val="FootnoteReference"/>
        </w:rPr>
        <w:footnoteReference w:id="9"/>
      </w:r>
      <w:r w:rsidR="00742072">
        <w:t xml:space="preserve"> </w:t>
      </w:r>
      <w:r w:rsidR="00EB65CD">
        <w:t xml:space="preserve">and when </w:t>
      </w:r>
      <w:r w:rsidR="00742072">
        <w:t>one of two joint possessors of a thing illicitly takes exclusive possession of that thing against the will of a co-possessor, the ratio underlying the remedy of a spoliation order is as fully applicable as in the case where a person has been wrongfully deprived of exclusive possession.</w:t>
      </w:r>
      <w:r w:rsidR="00742072">
        <w:rPr>
          <w:rStyle w:val="FootnoteReference"/>
        </w:rPr>
        <w:footnoteReference w:id="10"/>
      </w:r>
    </w:p>
    <w:p w14:paraId="24EEA33A" w14:textId="04B50AC4" w:rsidR="00A84B03" w:rsidRDefault="0046087F" w:rsidP="0046087F">
      <w:pPr>
        <w:pStyle w:val="LC1"/>
        <w:numPr>
          <w:ilvl w:val="0"/>
          <w:numId w:val="0"/>
        </w:numPr>
        <w:ind w:left="720" w:hanging="720"/>
      </w:pPr>
      <w:r>
        <w:rPr>
          <w:rFonts w:cs="Arial"/>
          <w:szCs w:val="24"/>
        </w:rPr>
        <w:t>[14]</w:t>
      </w:r>
      <w:r>
        <w:rPr>
          <w:rFonts w:cs="Arial"/>
          <w:szCs w:val="24"/>
        </w:rPr>
        <w:tab/>
      </w:r>
      <w:r w:rsidR="00A84B03">
        <w:t xml:space="preserve">As such, </w:t>
      </w:r>
      <w:r w:rsidR="007943DA">
        <w:t xml:space="preserve">I find that </w:t>
      </w:r>
      <w:r w:rsidR="00A84B03">
        <w:t xml:space="preserve">the </w:t>
      </w:r>
      <w:r w:rsidR="00EB65CD">
        <w:t xml:space="preserve">Lyndhurst house </w:t>
      </w:r>
      <w:r w:rsidR="00A84B03">
        <w:t xml:space="preserve">was in the joint </w:t>
      </w:r>
      <w:r w:rsidR="00EB65CD">
        <w:t xml:space="preserve">peaceful and undisturbed </w:t>
      </w:r>
      <w:r w:rsidR="00A84B03">
        <w:t xml:space="preserve">possession of the applicant and the respondents </w:t>
      </w:r>
      <w:r w:rsidR="00F33832">
        <w:t xml:space="preserve">for the purposes of residence there </w:t>
      </w:r>
      <w:r w:rsidR="00A84B03">
        <w:t>during period</w:t>
      </w:r>
      <w:r w:rsidR="00720C1B">
        <w:t xml:space="preserve"> from a date </w:t>
      </w:r>
      <w:r w:rsidR="00A44B76">
        <w:t xml:space="preserve">no later than </w:t>
      </w:r>
      <w:r w:rsidR="00720C1B">
        <w:t xml:space="preserve">shortly after the return of the applicant and the deceased from India for the second time up until </w:t>
      </w:r>
      <w:r w:rsidR="00DE0185">
        <w:t xml:space="preserve">at least </w:t>
      </w:r>
      <w:r w:rsidR="00720C1B">
        <w:t>6 January 2019</w:t>
      </w:r>
      <w:r w:rsidR="00A84B03">
        <w:t>.</w:t>
      </w:r>
      <w:r w:rsidR="007943DA">
        <w:t xml:space="preserve"> </w:t>
      </w:r>
    </w:p>
    <w:p w14:paraId="0B68FA94" w14:textId="5BD7E690" w:rsidR="00A84B03" w:rsidRDefault="0046087F" w:rsidP="0046087F">
      <w:pPr>
        <w:pStyle w:val="LC1"/>
        <w:numPr>
          <w:ilvl w:val="0"/>
          <w:numId w:val="0"/>
        </w:numPr>
        <w:ind w:left="720" w:hanging="720"/>
      </w:pPr>
      <w:r>
        <w:rPr>
          <w:rFonts w:cs="Arial"/>
          <w:szCs w:val="24"/>
        </w:rPr>
        <w:t>[15]</w:t>
      </w:r>
      <w:r>
        <w:rPr>
          <w:rFonts w:cs="Arial"/>
          <w:szCs w:val="24"/>
        </w:rPr>
        <w:tab/>
      </w:r>
      <w:r w:rsidR="00A84B03">
        <w:t xml:space="preserve">Furthermore, it is apparent that </w:t>
      </w:r>
      <w:r w:rsidR="00DE0185">
        <w:t>(</w:t>
      </w:r>
      <w:r w:rsidR="00A84B03">
        <w:t xml:space="preserve">despite an initial act of spoliation by the applicant </w:t>
      </w:r>
      <w:r w:rsidR="00EB65CD">
        <w:t xml:space="preserve">on 6 January 2019 </w:t>
      </w:r>
      <w:r w:rsidR="00A84B03">
        <w:t xml:space="preserve">when he placed locks and chains on the gates of </w:t>
      </w:r>
      <w:r w:rsidR="00A84B03">
        <w:lastRenderedPageBreak/>
        <w:t>the property</w:t>
      </w:r>
      <w:r w:rsidR="00EB65CD">
        <w:t>,</w:t>
      </w:r>
      <w:r w:rsidR="00A84B03">
        <w:t xml:space="preserve"> </w:t>
      </w:r>
      <w:r w:rsidR="00EB65CD">
        <w:t xml:space="preserve">which served </w:t>
      </w:r>
      <w:r w:rsidR="00A84B03">
        <w:t xml:space="preserve">to exclude the respondents </w:t>
      </w:r>
      <w:r w:rsidR="00EB65CD">
        <w:t>from the house</w:t>
      </w:r>
      <w:r w:rsidR="001B692A">
        <w:t>,</w:t>
      </w:r>
      <w:r w:rsidR="00A84B03">
        <w:t xml:space="preserve"> and what appears to have been a counter-spoliation by the respondents when they </w:t>
      </w:r>
      <w:r w:rsidR="00EB65CD">
        <w:t xml:space="preserve">had those </w:t>
      </w:r>
      <w:r w:rsidR="00A84B03">
        <w:t xml:space="preserve">locks on chains </w:t>
      </w:r>
      <w:r w:rsidR="00EB65CD">
        <w:t xml:space="preserve">broken </w:t>
      </w:r>
      <w:r w:rsidR="00A84B03">
        <w:t>in order to regain access</w:t>
      </w:r>
      <w:r w:rsidR="00EB65CD">
        <w:t xml:space="preserve"> on 7 January 2019</w:t>
      </w:r>
      <w:r w:rsidR="00DE0185">
        <w:t>)</w:t>
      </w:r>
      <w:r w:rsidR="001B692A">
        <w:t>,</w:t>
      </w:r>
      <w:r w:rsidR="00A84B03">
        <w:t xml:space="preserve"> </w:t>
      </w:r>
      <w:r w:rsidR="00EB65CD">
        <w:t xml:space="preserve">the </w:t>
      </w:r>
      <w:r w:rsidR="00DE0185">
        <w:t xml:space="preserve">applicant’s </w:t>
      </w:r>
      <w:r w:rsidR="00EB65CD">
        <w:t>co-</w:t>
      </w:r>
      <w:r w:rsidR="00A84B03">
        <w:t xml:space="preserve">possession continued </w:t>
      </w:r>
      <w:r w:rsidR="00DE0185">
        <w:t xml:space="preserve">unabated until </w:t>
      </w:r>
      <w:r w:rsidR="00A84B03">
        <w:t xml:space="preserve">the time that the respondents </w:t>
      </w:r>
      <w:r w:rsidR="00EB65CD">
        <w:t xml:space="preserve">allegedly </w:t>
      </w:r>
      <w:r w:rsidR="00A84B03">
        <w:t xml:space="preserve">prevented </w:t>
      </w:r>
      <w:r w:rsidR="00DE0185">
        <w:t xml:space="preserve">him </w:t>
      </w:r>
      <w:r w:rsidR="00A84B03">
        <w:t xml:space="preserve">from re-entering the property when </w:t>
      </w:r>
      <w:r w:rsidR="00EB65CD">
        <w:t xml:space="preserve">he </w:t>
      </w:r>
      <w:r w:rsidR="00A84B03">
        <w:t xml:space="preserve">returned later </w:t>
      </w:r>
      <w:r w:rsidR="00720C1B">
        <w:t>in the day</w:t>
      </w:r>
      <w:r w:rsidR="00A84B03">
        <w:t>.</w:t>
      </w:r>
      <w:r w:rsidR="007943DA">
        <w:t xml:space="preserve"> The applicant has thus established the first requirement of the </w:t>
      </w:r>
      <w:r w:rsidR="007943DA" w:rsidRPr="007943DA">
        <w:rPr>
          <w:i/>
          <w:iCs/>
        </w:rPr>
        <w:t>mandament van spolie</w:t>
      </w:r>
      <w:r w:rsidR="007943DA">
        <w:t>.</w:t>
      </w:r>
    </w:p>
    <w:p w14:paraId="7345B75B" w14:textId="37B5FDD7" w:rsidR="007943DA" w:rsidRDefault="0046087F" w:rsidP="0046087F">
      <w:pPr>
        <w:pStyle w:val="LC1"/>
        <w:numPr>
          <w:ilvl w:val="0"/>
          <w:numId w:val="0"/>
        </w:numPr>
        <w:ind w:left="720" w:hanging="720"/>
      </w:pPr>
      <w:r>
        <w:rPr>
          <w:rFonts w:cs="Arial"/>
          <w:szCs w:val="24"/>
        </w:rPr>
        <w:t>[16]</w:t>
      </w:r>
      <w:r>
        <w:rPr>
          <w:rFonts w:cs="Arial"/>
          <w:szCs w:val="24"/>
        </w:rPr>
        <w:tab/>
      </w:r>
      <w:r w:rsidR="00367381">
        <w:t xml:space="preserve">I am </w:t>
      </w:r>
      <w:r w:rsidR="002A0AE9">
        <w:t xml:space="preserve">also </w:t>
      </w:r>
      <w:r w:rsidR="00367381">
        <w:t xml:space="preserve">satisfied that the applicant </w:t>
      </w:r>
      <w:r w:rsidR="004E1B6D">
        <w:t xml:space="preserve">has </w:t>
      </w:r>
      <w:r w:rsidR="00367381">
        <w:t xml:space="preserve">discharged the onus of showing </w:t>
      </w:r>
      <w:r w:rsidR="007943DA">
        <w:t xml:space="preserve">on the papers </w:t>
      </w:r>
      <w:r w:rsidR="00367381">
        <w:t xml:space="preserve">that </w:t>
      </w:r>
      <w:r w:rsidR="00DE0185">
        <w:t xml:space="preserve">the </w:t>
      </w:r>
      <w:r w:rsidR="00367381">
        <w:t xml:space="preserve">respondents </w:t>
      </w:r>
      <w:r w:rsidR="007943DA">
        <w:t xml:space="preserve">wrongfully </w:t>
      </w:r>
      <w:r w:rsidR="00367381">
        <w:t xml:space="preserve">deprived </w:t>
      </w:r>
      <w:r w:rsidR="004E1B6D">
        <w:t xml:space="preserve">him </w:t>
      </w:r>
      <w:r w:rsidR="00367381">
        <w:t xml:space="preserve">of </w:t>
      </w:r>
      <w:r w:rsidR="004E1B6D">
        <w:t xml:space="preserve">his </w:t>
      </w:r>
      <w:r w:rsidR="00367381">
        <w:t xml:space="preserve">possession against </w:t>
      </w:r>
      <w:r w:rsidR="004E1B6D">
        <w:t xml:space="preserve">his </w:t>
      </w:r>
      <w:r w:rsidR="00367381">
        <w:t>consent</w:t>
      </w:r>
      <w:r w:rsidR="007943DA">
        <w:t>, bearing in mind that “</w:t>
      </w:r>
      <w:r w:rsidR="007943DA" w:rsidRPr="007943DA">
        <w:rPr>
          <w:i/>
          <w:iCs/>
        </w:rPr>
        <w:t>[v]iolence or fraud is not an essential element of dispossession provided the act is done against the consent of the person despoiled and illicitly … [by which is meant] 'in a manner which the law will not countenance’</w:t>
      </w:r>
      <w:r w:rsidR="007943DA">
        <w:t>”.</w:t>
      </w:r>
      <w:r w:rsidR="007943DA">
        <w:rPr>
          <w:rStyle w:val="FootnoteReference"/>
        </w:rPr>
        <w:footnoteReference w:id="11"/>
      </w:r>
    </w:p>
    <w:p w14:paraId="7790370E" w14:textId="6BEB29F8" w:rsidR="00652803" w:rsidRDefault="0046087F" w:rsidP="0046087F">
      <w:pPr>
        <w:pStyle w:val="LC1"/>
        <w:numPr>
          <w:ilvl w:val="0"/>
          <w:numId w:val="0"/>
        </w:numPr>
        <w:ind w:left="720" w:hanging="720"/>
      </w:pPr>
      <w:r>
        <w:rPr>
          <w:rFonts w:cs="Arial"/>
          <w:szCs w:val="24"/>
        </w:rPr>
        <w:t>[17]</w:t>
      </w:r>
      <w:r>
        <w:rPr>
          <w:rFonts w:cs="Arial"/>
          <w:szCs w:val="24"/>
        </w:rPr>
        <w:tab/>
      </w:r>
      <w:r w:rsidR="00FE274F">
        <w:t xml:space="preserve">In this regard, I consider it significant that it </w:t>
      </w:r>
      <w:r w:rsidR="00DE0185">
        <w:t xml:space="preserve">is undisputed that (i) the applicant had during the period between 30 December 2018 and 7 January 2019 made it clear to the respondents in a number of communications and actions that it was his intention to </w:t>
      </w:r>
      <w:r w:rsidR="007943DA">
        <w:t xml:space="preserve">continue to </w:t>
      </w:r>
      <w:r w:rsidR="00DE0185">
        <w:t>reside in the Lyndhurst house indefinitely</w:t>
      </w:r>
      <w:r w:rsidR="00E47CF6">
        <w:t xml:space="preserve"> despite the fact that he was not the owner</w:t>
      </w:r>
      <w:r w:rsidR="00DE0185">
        <w:t xml:space="preserve">; (ii) </w:t>
      </w:r>
      <w:r w:rsidR="00652803">
        <w:t xml:space="preserve">the first respondent’s husband sent the applicant a series of threatening text messages in the </w:t>
      </w:r>
      <w:r w:rsidR="00630E92">
        <w:t xml:space="preserve">same </w:t>
      </w:r>
      <w:r w:rsidR="00652803">
        <w:t>period;</w:t>
      </w:r>
      <w:r w:rsidR="00630E92">
        <w:t xml:space="preserve"> and</w:t>
      </w:r>
      <w:r w:rsidR="00652803">
        <w:t xml:space="preserve"> (iii) in a letter dated 11 January 2019, the applicant’s attorney </w:t>
      </w:r>
      <w:r w:rsidR="00630E92">
        <w:t xml:space="preserve">alleged </w:t>
      </w:r>
      <w:r w:rsidR="00652803">
        <w:t xml:space="preserve">that he had been </w:t>
      </w:r>
      <w:r w:rsidR="00630E92">
        <w:t>“</w:t>
      </w:r>
      <w:r w:rsidR="00652803" w:rsidRPr="00630E92">
        <w:rPr>
          <w:i/>
          <w:iCs/>
        </w:rPr>
        <w:t xml:space="preserve">forced to leave the </w:t>
      </w:r>
      <w:r w:rsidR="00630E92" w:rsidRPr="00630E92">
        <w:rPr>
          <w:i/>
          <w:iCs/>
        </w:rPr>
        <w:t xml:space="preserve">house </w:t>
      </w:r>
      <w:r w:rsidR="00652803" w:rsidRPr="00630E92">
        <w:rPr>
          <w:i/>
          <w:iCs/>
        </w:rPr>
        <w:t>as he felt threatened and believed that his life was in danger</w:t>
      </w:r>
      <w:r w:rsidR="00630E92">
        <w:t>”</w:t>
      </w:r>
      <w:r w:rsidR="00DE0185">
        <w:t>.</w:t>
      </w:r>
      <w:r w:rsidR="00630E92">
        <w:t xml:space="preserve"> </w:t>
      </w:r>
      <w:r w:rsidR="00652803">
        <w:t xml:space="preserve">Furthermore, although the applicant’s allegation that the first respondent’s </w:t>
      </w:r>
      <w:r w:rsidR="00630E92">
        <w:t xml:space="preserve">husband threatened to kill him during a telephone call on 6 January 2019 is denied in the </w:t>
      </w:r>
      <w:r w:rsidR="009B5BFE">
        <w:t xml:space="preserve">first respondent’s </w:t>
      </w:r>
      <w:r w:rsidR="00630E92">
        <w:t>answering affidavit</w:t>
      </w:r>
      <w:r w:rsidR="00052AFA">
        <w:t>,</w:t>
      </w:r>
      <w:r w:rsidR="001A441D">
        <w:t xml:space="preserve"> this denial is at best hearsay</w:t>
      </w:r>
      <w:r w:rsidR="00630E92">
        <w:t xml:space="preserve"> </w:t>
      </w:r>
      <w:r w:rsidR="001A441D">
        <w:t xml:space="preserve">since </w:t>
      </w:r>
      <w:r w:rsidR="00630E92">
        <w:t>no confirmatory affidavit deposed to by the first respondent’s husband was submitted by the respondents</w:t>
      </w:r>
      <w:r w:rsidR="009B5BFE">
        <w:t>.</w:t>
      </w:r>
      <w:r w:rsidR="00630E92">
        <w:t xml:space="preserve"> </w:t>
      </w:r>
    </w:p>
    <w:p w14:paraId="29EFAE99" w14:textId="3B8156C9" w:rsidR="00720C1B" w:rsidRDefault="0046087F" w:rsidP="0046087F">
      <w:pPr>
        <w:pStyle w:val="LC1"/>
        <w:numPr>
          <w:ilvl w:val="0"/>
          <w:numId w:val="0"/>
        </w:numPr>
        <w:ind w:left="720" w:hanging="720"/>
      </w:pPr>
      <w:r>
        <w:rPr>
          <w:rFonts w:cs="Arial"/>
          <w:szCs w:val="24"/>
        </w:rPr>
        <w:t>[18]</w:t>
      </w:r>
      <w:r>
        <w:rPr>
          <w:rFonts w:cs="Arial"/>
          <w:szCs w:val="24"/>
        </w:rPr>
        <w:tab/>
      </w:r>
      <w:r w:rsidR="00DE0185">
        <w:t xml:space="preserve">In </w:t>
      </w:r>
      <w:r w:rsidR="009B5BFE">
        <w:t>those circumstances</w:t>
      </w:r>
      <w:r w:rsidR="00DE0185">
        <w:t>, I consider the respondents</w:t>
      </w:r>
      <w:r w:rsidR="00FE274F">
        <w:t>’</w:t>
      </w:r>
      <w:r w:rsidR="00DE0185">
        <w:t xml:space="preserve"> allegation</w:t>
      </w:r>
      <w:r w:rsidR="009B5BFE">
        <w:t>s</w:t>
      </w:r>
      <w:r w:rsidR="00DE0185">
        <w:t xml:space="preserve"> </w:t>
      </w:r>
      <w:r w:rsidR="00FE274F">
        <w:t xml:space="preserve">(i) </w:t>
      </w:r>
      <w:r w:rsidR="00DE0185">
        <w:t xml:space="preserve">that </w:t>
      </w:r>
      <w:r w:rsidR="00FE274F">
        <w:t xml:space="preserve">they </w:t>
      </w:r>
      <w:r w:rsidR="00E47CF6">
        <w:t>“</w:t>
      </w:r>
      <w:r w:rsidR="00E47CF6" w:rsidRPr="0015093D">
        <w:rPr>
          <w:i/>
          <w:iCs/>
        </w:rPr>
        <w:t>never denied the applicant access to the property</w:t>
      </w:r>
      <w:r w:rsidR="00E47CF6">
        <w:t>”</w:t>
      </w:r>
      <w:r w:rsidR="009B5BFE">
        <w:t xml:space="preserve">; </w:t>
      </w:r>
      <w:r w:rsidR="00FE274F">
        <w:t xml:space="preserve">(ii) </w:t>
      </w:r>
      <w:r w:rsidR="00E47CF6">
        <w:t>that after the applicant “</w:t>
      </w:r>
      <w:r w:rsidR="00E47CF6" w:rsidRPr="0015093D">
        <w:rPr>
          <w:i/>
          <w:iCs/>
        </w:rPr>
        <w:t xml:space="preserve">agreed with the members of the SAPS that he was not the owner of the </w:t>
      </w:r>
      <w:r w:rsidR="00E47CF6" w:rsidRPr="0015093D">
        <w:rPr>
          <w:i/>
          <w:iCs/>
        </w:rPr>
        <w:lastRenderedPageBreak/>
        <w:t>property</w:t>
      </w:r>
      <w:r w:rsidR="00E47CF6">
        <w:t>”, he “</w:t>
      </w:r>
      <w:r w:rsidR="00E47CF6" w:rsidRPr="0015093D">
        <w:rPr>
          <w:i/>
          <w:iCs/>
        </w:rPr>
        <w:t xml:space="preserve">voluntarily agreed to vacate the  property </w:t>
      </w:r>
      <w:r w:rsidR="009B5BFE" w:rsidRPr="0015093D">
        <w:rPr>
          <w:i/>
          <w:iCs/>
        </w:rPr>
        <w:t xml:space="preserve">and </w:t>
      </w:r>
      <w:r w:rsidR="00E47CF6" w:rsidRPr="0015093D">
        <w:rPr>
          <w:i/>
          <w:iCs/>
        </w:rPr>
        <w:t>to then seek redress at a hearing in due course</w:t>
      </w:r>
      <w:r w:rsidR="00E47CF6">
        <w:t xml:space="preserve">”; and </w:t>
      </w:r>
      <w:r w:rsidR="00FE274F">
        <w:t xml:space="preserve">(iii) </w:t>
      </w:r>
      <w:r w:rsidR="00E47CF6">
        <w:t xml:space="preserve">that he </w:t>
      </w:r>
      <w:r w:rsidR="002A0AE9">
        <w:t xml:space="preserve">did so </w:t>
      </w:r>
      <w:r w:rsidR="00E47CF6">
        <w:t xml:space="preserve">after </w:t>
      </w:r>
      <w:r w:rsidR="00FE274F">
        <w:t xml:space="preserve">the first respondent </w:t>
      </w:r>
      <w:r w:rsidR="00E47CF6">
        <w:t xml:space="preserve">informed him that he was not permitted to exclude </w:t>
      </w:r>
      <w:r w:rsidR="002A0AE9">
        <w:t xml:space="preserve">the respondents from the property without a court order </w:t>
      </w:r>
      <w:r w:rsidR="00FE274F">
        <w:t>and he “</w:t>
      </w:r>
      <w:r w:rsidR="00FE274F" w:rsidRPr="0015093D">
        <w:rPr>
          <w:i/>
          <w:iCs/>
        </w:rPr>
        <w:t>came to [the] realization</w:t>
      </w:r>
      <w:r w:rsidR="00FE274F">
        <w:t xml:space="preserve">” that this was correct </w:t>
      </w:r>
      <w:r w:rsidR="00DE0185">
        <w:t xml:space="preserve">to be </w:t>
      </w:r>
      <w:r w:rsidR="009B5BFE">
        <w:t xml:space="preserve">insufficient to raise </w:t>
      </w:r>
      <w:r w:rsidR="001A441D">
        <w:t xml:space="preserve">any </w:t>
      </w:r>
      <w:r w:rsidR="009B5BFE">
        <w:t>material dispute of fact in response to the applicant’s allegations</w:t>
      </w:r>
      <w:r w:rsidR="00052AFA">
        <w:t>. These are</w:t>
      </w:r>
      <w:r w:rsidR="009B5BFE">
        <w:t xml:space="preserve"> that when he returned to the premises on </w:t>
      </w:r>
      <w:r w:rsidR="002A0AE9">
        <w:t xml:space="preserve">7 January 2019 </w:t>
      </w:r>
      <w:r w:rsidR="009B5BFE">
        <w:t>and tried to gain access to the house, he was “</w:t>
      </w:r>
      <w:r w:rsidR="009B5BFE" w:rsidRPr="0015093D">
        <w:rPr>
          <w:i/>
          <w:iCs/>
        </w:rPr>
        <w:t>stopped</w:t>
      </w:r>
      <w:r w:rsidR="009B5BFE">
        <w:t>” by the respondents “</w:t>
      </w:r>
      <w:r w:rsidR="009B5BFE" w:rsidRPr="0015093D">
        <w:rPr>
          <w:i/>
          <w:iCs/>
        </w:rPr>
        <w:t>who had somehow managed to get the [SAPS] on their side</w:t>
      </w:r>
      <w:r w:rsidR="009B5BFE">
        <w:t>”</w:t>
      </w:r>
      <w:r w:rsidR="001A441D">
        <w:t xml:space="preserve"> and</w:t>
      </w:r>
      <w:r w:rsidR="009B5BFE">
        <w:t xml:space="preserve"> who “</w:t>
      </w:r>
      <w:r w:rsidR="009B5BFE" w:rsidRPr="0015093D">
        <w:rPr>
          <w:i/>
          <w:iCs/>
        </w:rPr>
        <w:t xml:space="preserve">threatened me that, absent a court order, my attempt to enter the </w:t>
      </w:r>
      <w:r w:rsidR="00FE274F" w:rsidRPr="0015093D">
        <w:rPr>
          <w:i/>
          <w:iCs/>
        </w:rPr>
        <w:t>p</w:t>
      </w:r>
      <w:r w:rsidR="009B5BFE" w:rsidRPr="0015093D">
        <w:rPr>
          <w:i/>
          <w:iCs/>
        </w:rPr>
        <w:t>roperty will be visited with a charge of intimidation</w:t>
      </w:r>
      <w:r w:rsidR="009B5BFE">
        <w:t>”</w:t>
      </w:r>
      <w:r w:rsidR="002A0AE9">
        <w:t xml:space="preserve">. Indeed, the first respondent </w:t>
      </w:r>
      <w:r w:rsidR="001A441D">
        <w:t xml:space="preserve">impliedly concedes the point </w:t>
      </w:r>
      <w:r w:rsidR="002A0AE9">
        <w:t xml:space="preserve">in her answering affidavit </w:t>
      </w:r>
      <w:r w:rsidR="001A441D">
        <w:t xml:space="preserve">when she states </w:t>
      </w:r>
      <w:r w:rsidR="002B0E41">
        <w:t xml:space="preserve">his </w:t>
      </w:r>
      <w:r w:rsidR="0015093D">
        <w:t xml:space="preserve">allegedly </w:t>
      </w:r>
      <w:r w:rsidR="002B0E41">
        <w:t>“</w:t>
      </w:r>
      <w:r w:rsidR="002B0E41" w:rsidRPr="0015093D">
        <w:rPr>
          <w:i/>
          <w:iCs/>
        </w:rPr>
        <w:t>voluntary</w:t>
      </w:r>
      <w:r w:rsidR="002B0E41">
        <w:t>” vacation of the Lyndhurst house took place “</w:t>
      </w:r>
      <w:r w:rsidR="002B0E41" w:rsidRPr="002B0E41">
        <w:rPr>
          <w:i/>
          <w:iCs/>
        </w:rPr>
        <w:t>in the face of the admitted existence of extreme animosity and threats of violence (including death threats) between all the parties to this litigation</w:t>
      </w:r>
      <w:r w:rsidR="002B0E41">
        <w:t xml:space="preserve">” and </w:t>
      </w:r>
      <w:r w:rsidR="00052AFA">
        <w:t xml:space="preserve">contends </w:t>
      </w:r>
      <w:r w:rsidR="002B0E41">
        <w:t xml:space="preserve">that he </w:t>
      </w:r>
      <w:r w:rsidR="002A0AE9">
        <w:t>“</w:t>
      </w:r>
      <w:r w:rsidR="002A0AE9" w:rsidRPr="002B0E41">
        <w:rPr>
          <w:i/>
          <w:iCs/>
        </w:rPr>
        <w:t xml:space="preserve">admits that he was not in a position to insist that he be allowed access to the property </w:t>
      </w:r>
      <w:r w:rsidR="002A0AE9" w:rsidRPr="002B0E41">
        <w:rPr>
          <w:i/>
          <w:iCs/>
          <w:u w:val="single"/>
        </w:rPr>
        <w:t>and this is why</w:t>
      </w:r>
      <w:r w:rsidR="002A0AE9" w:rsidRPr="002B0E41">
        <w:rPr>
          <w:i/>
          <w:iCs/>
        </w:rPr>
        <w:t xml:space="preserve"> he voluntarily left the property</w:t>
      </w:r>
      <w:r w:rsidR="002A0AE9">
        <w:t>”</w:t>
      </w:r>
      <w:r w:rsidR="001B34F7">
        <w:rPr>
          <w:rStyle w:val="FootnoteReference"/>
        </w:rPr>
        <w:t xml:space="preserve"> </w:t>
      </w:r>
      <w:r w:rsidR="001B34F7">
        <w:t>[emphasis supplied].</w:t>
      </w:r>
    </w:p>
    <w:p w14:paraId="2578B38C" w14:textId="786450EC" w:rsidR="001A441D" w:rsidRDefault="0046087F" w:rsidP="0046087F">
      <w:pPr>
        <w:pStyle w:val="LC1"/>
        <w:numPr>
          <w:ilvl w:val="0"/>
          <w:numId w:val="0"/>
        </w:numPr>
        <w:ind w:left="720" w:hanging="720"/>
      </w:pPr>
      <w:r>
        <w:rPr>
          <w:rFonts w:cs="Arial"/>
          <w:szCs w:val="24"/>
        </w:rPr>
        <w:t>[19]</w:t>
      </w:r>
      <w:r>
        <w:rPr>
          <w:rFonts w:cs="Arial"/>
          <w:szCs w:val="24"/>
        </w:rPr>
        <w:tab/>
      </w:r>
      <w:r w:rsidR="00FE274F">
        <w:t xml:space="preserve">In the circumstances, </w:t>
      </w:r>
      <w:r w:rsidR="0015093D">
        <w:t xml:space="preserve">I accept </w:t>
      </w:r>
      <w:r w:rsidR="00FE274F">
        <w:t xml:space="preserve">that the applicant’s exclusion from the Lyndhurst house on 7 January 2019 was both </w:t>
      </w:r>
      <w:r w:rsidR="00EA1531">
        <w:t xml:space="preserve">involuntary and </w:t>
      </w:r>
      <w:r w:rsidR="001A441D">
        <w:t>wrongful in the relevant sense</w:t>
      </w:r>
      <w:r w:rsidR="008B4513">
        <w:t>,</w:t>
      </w:r>
      <w:r w:rsidR="001A441D">
        <w:t xml:space="preserve"> and that the applicant has thus established the </w:t>
      </w:r>
      <w:r w:rsidR="0015093D">
        <w:t xml:space="preserve">second </w:t>
      </w:r>
      <w:r w:rsidR="001A441D">
        <w:t xml:space="preserve">requirement of the </w:t>
      </w:r>
      <w:r w:rsidR="001A441D" w:rsidRPr="007943DA">
        <w:rPr>
          <w:i/>
          <w:iCs/>
        </w:rPr>
        <w:t>mandament van spolie</w:t>
      </w:r>
      <w:r w:rsidR="001A441D">
        <w:t>.</w:t>
      </w:r>
      <w:r w:rsidR="00345701">
        <w:t xml:space="preserve"> </w:t>
      </w:r>
    </w:p>
    <w:p w14:paraId="56A00105" w14:textId="2A14BB5B" w:rsidR="00416804" w:rsidRDefault="0046087F" w:rsidP="0046087F">
      <w:pPr>
        <w:pStyle w:val="LC1"/>
        <w:numPr>
          <w:ilvl w:val="0"/>
          <w:numId w:val="0"/>
        </w:numPr>
        <w:ind w:left="720" w:hanging="720"/>
      </w:pPr>
      <w:r>
        <w:rPr>
          <w:rFonts w:cs="Arial"/>
          <w:szCs w:val="24"/>
        </w:rPr>
        <w:t>[20]</w:t>
      </w:r>
      <w:r>
        <w:rPr>
          <w:rFonts w:cs="Arial"/>
          <w:szCs w:val="24"/>
        </w:rPr>
        <w:tab/>
      </w:r>
      <w:r w:rsidR="00416804">
        <w:t xml:space="preserve">I pause briefly at this juncture </w:t>
      </w:r>
      <w:r w:rsidR="00345701">
        <w:t xml:space="preserve">to note </w:t>
      </w:r>
      <w:r w:rsidR="00416804">
        <w:t xml:space="preserve">that I disagree with the respondents’ contention that </w:t>
      </w:r>
      <w:r w:rsidR="00284994">
        <w:t xml:space="preserve">to </w:t>
      </w:r>
      <w:r w:rsidR="008B4513">
        <w:t xml:space="preserve">order restoration of the applicant’s joint possession of the Lyndhurst house </w:t>
      </w:r>
      <w:r w:rsidR="00284994">
        <w:t xml:space="preserve">would be </w:t>
      </w:r>
      <w:r w:rsidR="00416804">
        <w:t xml:space="preserve">impossible </w:t>
      </w:r>
      <w:r w:rsidR="00394F91">
        <w:t xml:space="preserve">in view of the </w:t>
      </w:r>
      <w:r w:rsidR="00416804">
        <w:t xml:space="preserve">protection order obtained by Veni against the applicant in 2015. The terms of the protection order </w:t>
      </w:r>
      <w:r w:rsidR="00394F91">
        <w:t>prohibit</w:t>
      </w:r>
      <w:r w:rsidR="00345701">
        <w:t>ed</w:t>
      </w:r>
      <w:r w:rsidR="00394F91">
        <w:t xml:space="preserve"> the applicant from assaulting Veni</w:t>
      </w:r>
      <w:r w:rsidR="008B4513">
        <w:t xml:space="preserve">, </w:t>
      </w:r>
      <w:r w:rsidR="00394F91">
        <w:t>damaging her property</w:t>
      </w:r>
      <w:r w:rsidR="008B4513">
        <w:t>,</w:t>
      </w:r>
      <w:r w:rsidR="00394F91">
        <w:t xml:space="preserve"> and entering her residence in Orange Grove and place of employment, but not from occupying the Lyndhurst house</w:t>
      </w:r>
      <w:r w:rsidR="008B4513">
        <w:t xml:space="preserve"> – </w:t>
      </w:r>
      <w:r w:rsidR="00394F91">
        <w:t>especially</w:t>
      </w:r>
      <w:r w:rsidR="008B4513">
        <w:t xml:space="preserve"> not </w:t>
      </w:r>
      <w:r w:rsidR="00394F91">
        <w:t xml:space="preserve">in her absence. In any event, it is clear on the respondents’ own allegations that Veni did not regard the protection order as a hindrance to his moving into the Lyndhurst house, which they say she invited him to do in January 2017. </w:t>
      </w:r>
    </w:p>
    <w:p w14:paraId="7B7FB5A2" w14:textId="70CAAB26" w:rsidR="00CE380D" w:rsidRDefault="0046087F" w:rsidP="0046087F">
      <w:pPr>
        <w:pStyle w:val="LC1"/>
        <w:numPr>
          <w:ilvl w:val="0"/>
          <w:numId w:val="0"/>
        </w:numPr>
        <w:ind w:left="720" w:hanging="720"/>
      </w:pPr>
      <w:r>
        <w:rPr>
          <w:rFonts w:cs="Arial"/>
          <w:szCs w:val="24"/>
        </w:rPr>
        <w:lastRenderedPageBreak/>
        <w:t>[21]</w:t>
      </w:r>
      <w:r>
        <w:rPr>
          <w:rFonts w:cs="Arial"/>
          <w:szCs w:val="24"/>
        </w:rPr>
        <w:tab/>
      </w:r>
      <w:r w:rsidR="004E1B6D">
        <w:t xml:space="preserve">Subject to what is said below regarding the question of delay, I </w:t>
      </w:r>
      <w:r w:rsidR="00CE380D">
        <w:t xml:space="preserve">therefore conclude </w:t>
      </w:r>
      <w:r w:rsidR="004E1B6D">
        <w:t xml:space="preserve">that </w:t>
      </w:r>
      <w:r w:rsidR="00CE380D">
        <w:t xml:space="preserve">the applicant has made out a </w:t>
      </w:r>
      <w:r w:rsidR="004E1B6D">
        <w:t xml:space="preserve">case for the </w:t>
      </w:r>
      <w:r w:rsidR="00201E35">
        <w:t xml:space="preserve">spoliatory relief </w:t>
      </w:r>
      <w:r w:rsidR="004E1B6D">
        <w:t xml:space="preserve">sought in prayer 1 of the </w:t>
      </w:r>
      <w:r w:rsidR="00C0520B">
        <w:t>n</w:t>
      </w:r>
      <w:r w:rsidR="004E1B6D">
        <w:t xml:space="preserve">otice of </w:t>
      </w:r>
      <w:r w:rsidR="00C0520B">
        <w:t>m</w:t>
      </w:r>
      <w:r w:rsidR="004E1B6D">
        <w:t xml:space="preserve">otion for the restoration of </w:t>
      </w:r>
      <w:r w:rsidR="00CE380D">
        <w:t xml:space="preserve">his </w:t>
      </w:r>
      <w:r w:rsidR="004E1B6D">
        <w:t xml:space="preserve">co-possession of the </w:t>
      </w:r>
      <w:r w:rsidR="001A441D">
        <w:t>Lyndhurst house</w:t>
      </w:r>
      <w:r w:rsidR="00201E35">
        <w:t>,</w:t>
      </w:r>
      <w:r w:rsidR="004E1B6D">
        <w:t xml:space="preserve"> including an order requiring the </w:t>
      </w:r>
      <w:r w:rsidR="00CE380D">
        <w:t xml:space="preserve">respondents to allow the applicant to make copies of </w:t>
      </w:r>
      <w:r w:rsidR="004E1B6D">
        <w:t xml:space="preserve">keys </w:t>
      </w:r>
      <w:r w:rsidR="00CE380D">
        <w:t xml:space="preserve">to the gates and doors of the property. </w:t>
      </w:r>
    </w:p>
    <w:p w14:paraId="45A6308A" w14:textId="22C1D830" w:rsidR="007019DA" w:rsidRPr="007019DA" w:rsidRDefault="00C0520B" w:rsidP="00EA1531">
      <w:pPr>
        <w:pStyle w:val="LC1"/>
        <w:keepNext/>
        <w:numPr>
          <w:ilvl w:val="0"/>
          <w:numId w:val="0"/>
        </w:numPr>
        <w:rPr>
          <w:u w:val="single"/>
        </w:rPr>
      </w:pPr>
      <w:r>
        <w:rPr>
          <w:u w:val="single"/>
        </w:rPr>
        <w:t xml:space="preserve">Issue (c): </w:t>
      </w:r>
      <w:r w:rsidR="007019DA" w:rsidRPr="007019DA">
        <w:rPr>
          <w:u w:val="single"/>
        </w:rPr>
        <w:t xml:space="preserve">The </w:t>
      </w:r>
      <w:r>
        <w:rPr>
          <w:u w:val="single"/>
        </w:rPr>
        <w:t xml:space="preserve">ancillary </w:t>
      </w:r>
      <w:r w:rsidR="007019DA" w:rsidRPr="007019DA">
        <w:rPr>
          <w:u w:val="single"/>
        </w:rPr>
        <w:t xml:space="preserve">relief </w:t>
      </w:r>
      <w:r w:rsidR="0052739F">
        <w:rPr>
          <w:u w:val="single"/>
        </w:rPr>
        <w:t>in prayers 1.1 and 1.2</w:t>
      </w:r>
    </w:p>
    <w:p w14:paraId="7859B90F" w14:textId="1A2DF989" w:rsidR="0052739F" w:rsidRDefault="0046087F" w:rsidP="0046087F">
      <w:pPr>
        <w:pStyle w:val="LC1"/>
        <w:numPr>
          <w:ilvl w:val="0"/>
          <w:numId w:val="0"/>
        </w:numPr>
        <w:ind w:left="720" w:hanging="720"/>
      </w:pPr>
      <w:r>
        <w:rPr>
          <w:rFonts w:cs="Arial"/>
          <w:szCs w:val="24"/>
        </w:rPr>
        <w:t>[22]</w:t>
      </w:r>
      <w:r>
        <w:rPr>
          <w:rFonts w:cs="Arial"/>
          <w:szCs w:val="24"/>
        </w:rPr>
        <w:tab/>
      </w:r>
      <w:r w:rsidR="0052739F">
        <w:t xml:space="preserve">In my view, the respondents are correct that </w:t>
      </w:r>
      <w:r w:rsidR="008B4513">
        <w:t xml:space="preserve">the </w:t>
      </w:r>
      <w:r w:rsidR="0052739F">
        <w:t xml:space="preserve">relief </w:t>
      </w:r>
      <w:r w:rsidR="008B4513">
        <w:t xml:space="preserve">sought in prayers 1.1 and 1.2 of the notice of motion </w:t>
      </w:r>
      <w:r w:rsidR="0052739F">
        <w:t xml:space="preserve">is not spoliatory, but interdictory in nature. It does not simply seek to restore the </w:t>
      </w:r>
      <w:r w:rsidR="0052739F" w:rsidRPr="001A441D">
        <w:rPr>
          <w:i/>
          <w:iCs/>
        </w:rPr>
        <w:t>status quo ante</w:t>
      </w:r>
      <w:r w:rsidR="0052739F">
        <w:t xml:space="preserve"> in relation to the </w:t>
      </w:r>
      <w:r w:rsidR="0052739F" w:rsidRPr="008B4513">
        <w:t>fact</w:t>
      </w:r>
      <w:r w:rsidR="0052739F">
        <w:t xml:space="preserve"> of applicant’s joint co-possession </w:t>
      </w:r>
      <w:r w:rsidR="00D93D1C">
        <w:t>(</w:t>
      </w:r>
      <w:r w:rsidR="00D93D1C" w:rsidRPr="00D93D1C">
        <w:rPr>
          <w:i/>
          <w:iCs/>
        </w:rPr>
        <w:t xml:space="preserve">ius </w:t>
      </w:r>
      <w:r w:rsidR="00D93D1C">
        <w:rPr>
          <w:i/>
          <w:iCs/>
        </w:rPr>
        <w:t>possessionis</w:t>
      </w:r>
      <w:r w:rsidR="00D93D1C">
        <w:t xml:space="preserve">) </w:t>
      </w:r>
      <w:r w:rsidR="0052739F">
        <w:t xml:space="preserve">of the Lyndhurst </w:t>
      </w:r>
      <w:r w:rsidR="00773EF3">
        <w:t>house but</w:t>
      </w:r>
      <w:r w:rsidR="0052739F">
        <w:t xml:space="preserve"> goes further and seeks to </w:t>
      </w:r>
      <w:r w:rsidR="001A441D">
        <w:t xml:space="preserve">establish and govern </w:t>
      </w:r>
      <w:r w:rsidR="0052739F">
        <w:t>the parties’ respective “</w:t>
      </w:r>
      <w:r w:rsidR="0052739F" w:rsidRPr="001A441D">
        <w:rPr>
          <w:i/>
          <w:iCs/>
        </w:rPr>
        <w:t>entitlements</w:t>
      </w:r>
      <w:r w:rsidR="0052739F">
        <w:t xml:space="preserve">” or </w:t>
      </w:r>
      <w:r w:rsidR="0052739F" w:rsidRPr="008B4513">
        <w:t>rights</w:t>
      </w:r>
      <w:r w:rsidR="0052739F">
        <w:t xml:space="preserve"> in relation to the manner in which such possession is to operate</w:t>
      </w:r>
      <w:r w:rsidR="00D93D1C">
        <w:t xml:space="preserve"> (</w:t>
      </w:r>
      <w:r w:rsidR="00D93D1C" w:rsidRPr="00D93D1C">
        <w:rPr>
          <w:i/>
          <w:iCs/>
        </w:rPr>
        <w:t>ius possi</w:t>
      </w:r>
      <w:r w:rsidR="00D93D1C">
        <w:rPr>
          <w:i/>
          <w:iCs/>
        </w:rPr>
        <w:t>dendi</w:t>
      </w:r>
      <w:r w:rsidR="00D93D1C">
        <w:t>)</w:t>
      </w:r>
      <w:r w:rsidR="0052739F">
        <w:t xml:space="preserve">. As such, in order to be granted this relief, the applicant is required to go beyond simply satisfying the requirements of the </w:t>
      </w:r>
      <w:r w:rsidR="0052739F" w:rsidRPr="001A441D">
        <w:rPr>
          <w:i/>
          <w:iCs/>
        </w:rPr>
        <w:t>mandament van spolie</w:t>
      </w:r>
      <w:r w:rsidR="0052739F">
        <w:t xml:space="preserve">, but must make out a case for an interdict. </w:t>
      </w:r>
    </w:p>
    <w:p w14:paraId="47DDEFE8" w14:textId="7F2DC6BB" w:rsidR="00D64265" w:rsidRDefault="0046087F" w:rsidP="0046087F">
      <w:pPr>
        <w:pStyle w:val="LC1"/>
        <w:numPr>
          <w:ilvl w:val="0"/>
          <w:numId w:val="0"/>
        </w:numPr>
        <w:ind w:left="720" w:hanging="720"/>
      </w:pPr>
      <w:r>
        <w:rPr>
          <w:rFonts w:cs="Arial"/>
          <w:szCs w:val="24"/>
        </w:rPr>
        <w:t>[23]</w:t>
      </w:r>
      <w:r>
        <w:rPr>
          <w:rFonts w:cs="Arial"/>
          <w:szCs w:val="24"/>
        </w:rPr>
        <w:tab/>
      </w:r>
      <w:r w:rsidR="0052739F">
        <w:t xml:space="preserve">He has failed to do so. </w:t>
      </w:r>
      <w:r w:rsidR="00B36BF7">
        <w:t xml:space="preserve">Not only do I consider that the </w:t>
      </w:r>
      <w:r w:rsidR="00DF3948">
        <w:t xml:space="preserve">respondents’ </w:t>
      </w:r>
      <w:r w:rsidR="00B36BF7">
        <w:t xml:space="preserve">first point </w:t>
      </w:r>
      <w:r w:rsidR="00B36BF7" w:rsidRPr="00292CE1">
        <w:rPr>
          <w:i/>
          <w:iCs/>
        </w:rPr>
        <w:t>in limine</w:t>
      </w:r>
      <w:r w:rsidR="00B36BF7">
        <w:t xml:space="preserve"> </w:t>
      </w:r>
      <w:r w:rsidR="00DF3948">
        <w:t xml:space="preserve">of non-joinder </w:t>
      </w:r>
      <w:r w:rsidR="00B36BF7">
        <w:t xml:space="preserve">is well-founded in relation to this </w:t>
      </w:r>
      <w:r w:rsidR="0052739F">
        <w:t xml:space="preserve">interdictory </w:t>
      </w:r>
      <w:r w:rsidR="00B36BF7">
        <w:t xml:space="preserve">relief, I agree with </w:t>
      </w:r>
      <w:r w:rsidR="00DF3948">
        <w:t xml:space="preserve">the </w:t>
      </w:r>
      <w:r w:rsidR="00B36BF7">
        <w:t xml:space="preserve">contention in their second and third points </w:t>
      </w:r>
      <w:r w:rsidR="00B36BF7" w:rsidRPr="00292CE1">
        <w:rPr>
          <w:i/>
          <w:iCs/>
        </w:rPr>
        <w:t>in limine</w:t>
      </w:r>
      <w:r w:rsidR="00B36BF7">
        <w:t xml:space="preserve"> that </w:t>
      </w:r>
      <w:r w:rsidR="0052739F">
        <w:t xml:space="preserve">it </w:t>
      </w:r>
      <w:r w:rsidR="00913EAE">
        <w:t xml:space="preserve">is </w:t>
      </w:r>
      <w:r w:rsidR="00BA2E88">
        <w:t xml:space="preserve">final </w:t>
      </w:r>
      <w:r w:rsidR="0052739F">
        <w:t xml:space="preserve">and not interim </w:t>
      </w:r>
      <w:r w:rsidR="00BF3D51">
        <w:t>in nature</w:t>
      </w:r>
      <w:r w:rsidR="0052739F">
        <w:t>.</w:t>
      </w:r>
      <w:r w:rsidR="005D26CD">
        <w:t xml:space="preserve"> </w:t>
      </w:r>
      <w:r w:rsidR="00D64265">
        <w:t xml:space="preserve">As Van Heerden JA pointed out in </w:t>
      </w:r>
      <w:r w:rsidR="00D64265" w:rsidRPr="00292CE1">
        <w:rPr>
          <w:i/>
          <w:iCs/>
        </w:rPr>
        <w:t>Airo</w:t>
      </w:r>
      <w:r w:rsidR="00773EF3">
        <w:rPr>
          <w:i/>
          <w:iCs/>
        </w:rPr>
        <w:t>a</w:t>
      </w:r>
      <w:r w:rsidR="00D64265" w:rsidRPr="00292CE1">
        <w:rPr>
          <w:i/>
          <w:iCs/>
        </w:rPr>
        <w:t>dexpress</w:t>
      </w:r>
      <w:r w:rsidR="00D64265">
        <w:t xml:space="preserve">, it </w:t>
      </w:r>
      <w:r w:rsidR="00F83C9A">
        <w:t xml:space="preserve">was laid down authoritatively </w:t>
      </w:r>
      <w:r w:rsidR="008B4513">
        <w:t xml:space="preserve">by </w:t>
      </w:r>
      <w:r w:rsidR="00F83C9A">
        <w:t>Van der Linden</w:t>
      </w:r>
      <w:r w:rsidR="008B4513">
        <w:t xml:space="preserve"> in his</w:t>
      </w:r>
      <w:r w:rsidR="003A1E04">
        <w:t xml:space="preserve"> </w:t>
      </w:r>
      <w:r w:rsidR="008B4513">
        <w:t>“</w:t>
      </w:r>
      <w:r w:rsidR="003A1E04" w:rsidRPr="008B4513">
        <w:rPr>
          <w:i/>
          <w:iCs/>
        </w:rPr>
        <w:t>Koopman’s Handboek</w:t>
      </w:r>
      <w:r w:rsidR="008B4513">
        <w:t>”</w:t>
      </w:r>
      <w:r w:rsidR="00F83C9A">
        <w:t xml:space="preserve"> </w:t>
      </w:r>
      <w:r w:rsidR="00D64265">
        <w:t>that a</w:t>
      </w:r>
      <w:r w:rsidR="005D26CD" w:rsidRPr="005D26CD">
        <w:t xml:space="preserve">n applicant for an interdict who is unable to prove a clear right may obtain interim relief </w:t>
      </w:r>
      <w:r w:rsidR="00D64265">
        <w:t xml:space="preserve">(to which the </w:t>
      </w:r>
      <w:r w:rsidR="00D64265" w:rsidRPr="00292CE1">
        <w:rPr>
          <w:i/>
          <w:iCs/>
        </w:rPr>
        <w:t>Plascon-Evans</w:t>
      </w:r>
      <w:r w:rsidR="00D64265">
        <w:t xml:space="preserve"> rule does not apply)</w:t>
      </w:r>
      <w:r w:rsidR="00D64265">
        <w:rPr>
          <w:rStyle w:val="FootnoteReference"/>
        </w:rPr>
        <w:footnoteReference w:id="12"/>
      </w:r>
      <w:r w:rsidR="00D64265">
        <w:t xml:space="preserve"> on the basis of </w:t>
      </w:r>
      <w:r w:rsidR="00D64265" w:rsidRPr="00292CE1">
        <w:rPr>
          <w:i/>
          <w:iCs/>
        </w:rPr>
        <w:t>prima facie</w:t>
      </w:r>
      <w:r w:rsidR="00D64265">
        <w:t xml:space="preserve"> right pending the establishment of </w:t>
      </w:r>
      <w:r w:rsidR="005D26CD" w:rsidRPr="005D26CD">
        <w:t xml:space="preserve">his right </w:t>
      </w:r>
      <w:r w:rsidR="009F56A1">
        <w:t>“</w:t>
      </w:r>
      <w:r w:rsidR="003A1E04" w:rsidRPr="00292CE1">
        <w:rPr>
          <w:i/>
          <w:iCs/>
        </w:rPr>
        <w:t xml:space="preserve">in </w:t>
      </w:r>
      <w:r w:rsidR="00F83C9A" w:rsidRPr="00292CE1">
        <w:rPr>
          <w:i/>
          <w:iCs/>
        </w:rPr>
        <w:t>een vollediger Regtsgeding</w:t>
      </w:r>
      <w:r w:rsidR="009F56A1">
        <w:t>”</w:t>
      </w:r>
      <w:r w:rsidR="008B4513">
        <w:t>.</w:t>
      </w:r>
      <w:r w:rsidR="009F56A1">
        <w:rPr>
          <w:rStyle w:val="FootnoteReference"/>
        </w:rPr>
        <w:footnoteReference w:id="13"/>
      </w:r>
      <w:r w:rsidR="009F56A1">
        <w:t xml:space="preserve"> </w:t>
      </w:r>
      <w:r w:rsidR="008B4513">
        <w:t xml:space="preserve">This means </w:t>
      </w:r>
      <w:r w:rsidR="00F83C9A">
        <w:t>(</w:t>
      </w:r>
      <w:r w:rsidR="005D26CD">
        <w:t>at the very least</w:t>
      </w:r>
      <w:r w:rsidR="00F83C9A">
        <w:t>)</w:t>
      </w:r>
      <w:r w:rsidR="005D26CD">
        <w:t xml:space="preserve"> some process</w:t>
      </w:r>
      <w:r w:rsidR="005D26CD" w:rsidRPr="005D26CD">
        <w:t xml:space="preserve"> </w:t>
      </w:r>
      <w:r w:rsidR="005D26CD">
        <w:t xml:space="preserve">that is capable of </w:t>
      </w:r>
      <w:r w:rsidR="0015093D">
        <w:t xml:space="preserve">resulting in </w:t>
      </w:r>
      <w:r w:rsidR="005D26CD">
        <w:t xml:space="preserve">a binding determination </w:t>
      </w:r>
      <w:r w:rsidR="008D6BF4">
        <w:t>“</w:t>
      </w:r>
      <w:r w:rsidR="008D6BF4" w:rsidRPr="00292CE1">
        <w:rPr>
          <w:i/>
          <w:iCs/>
        </w:rPr>
        <w:t>of the matter substantially in issue between</w:t>
      </w:r>
      <w:r w:rsidR="0015093D" w:rsidRPr="00292CE1">
        <w:rPr>
          <w:i/>
          <w:iCs/>
        </w:rPr>
        <w:t xml:space="preserve"> the </w:t>
      </w:r>
      <w:r w:rsidR="008D6BF4" w:rsidRPr="00292CE1">
        <w:rPr>
          <w:i/>
          <w:iCs/>
        </w:rPr>
        <w:t>parties</w:t>
      </w:r>
      <w:r w:rsidR="008D6BF4">
        <w:t>”</w:t>
      </w:r>
      <w:r w:rsidR="0052739F">
        <w:t>.</w:t>
      </w:r>
      <w:r w:rsidR="005D26CD">
        <w:rPr>
          <w:rStyle w:val="FootnoteReference"/>
        </w:rPr>
        <w:footnoteReference w:id="14"/>
      </w:r>
      <w:r w:rsidR="00C47CCE">
        <w:rPr>
          <w:rStyle w:val="FootnoteReference"/>
        </w:rPr>
        <w:t xml:space="preserve"> </w:t>
      </w:r>
      <w:r w:rsidR="0052739F">
        <w:t>That is not the case here</w:t>
      </w:r>
      <w:r w:rsidR="001A441D">
        <w:t xml:space="preserve">. </w:t>
      </w:r>
      <w:r w:rsidR="00292CE1">
        <w:t xml:space="preserve">As the applicant himself is at </w:t>
      </w:r>
      <w:r w:rsidR="00292CE1">
        <w:lastRenderedPageBreak/>
        <w:t>pains to point out in reply</w:t>
      </w:r>
      <w:r w:rsidR="00D42DD6">
        <w:t>,</w:t>
      </w:r>
      <w:r w:rsidR="00292CE1">
        <w:t xml:space="preserve"> “</w:t>
      </w:r>
      <w:r w:rsidR="00292CE1" w:rsidRPr="00292CE1">
        <w:rPr>
          <w:i/>
          <w:iCs/>
        </w:rPr>
        <w:t>there is no application before Court, or even a threatened application, for the determination of the rights of the parties in relation to the property</w:t>
      </w:r>
      <w:r w:rsidR="00292CE1">
        <w:t xml:space="preserve">”. </w:t>
      </w:r>
      <w:r w:rsidR="00C47CCE">
        <w:t xml:space="preserve">In view of </w:t>
      </w:r>
      <w:r w:rsidR="003A1E04">
        <w:t xml:space="preserve">the </w:t>
      </w:r>
      <w:r w:rsidR="00C47CCE">
        <w:t xml:space="preserve">material disputes of fact regarding the parties’ respective rights in relation to their </w:t>
      </w:r>
      <w:r w:rsidR="00D42DD6">
        <w:t xml:space="preserve">possession </w:t>
      </w:r>
      <w:r w:rsidR="00C47CCE">
        <w:t>of the property (for example under Veni’s will</w:t>
      </w:r>
      <w:r w:rsidR="008D6BF4">
        <w:t xml:space="preserve"> or </w:t>
      </w:r>
      <w:r w:rsidR="00C47CCE">
        <w:t>in terms of universal partnership which the applicant appears to contend existed</w:t>
      </w:r>
      <w:r w:rsidR="008D6BF4">
        <w:t xml:space="preserve"> between them</w:t>
      </w:r>
      <w:r w:rsidR="00C47CCE">
        <w:t>), t</w:t>
      </w:r>
      <w:r w:rsidR="00913EAE">
        <w:t xml:space="preserve">he </w:t>
      </w:r>
      <w:r w:rsidR="00B61C12">
        <w:t xml:space="preserve">applicant has </w:t>
      </w:r>
      <w:r w:rsidR="00B36BF7">
        <w:t>failed to establish the existence of a clear right</w:t>
      </w:r>
      <w:r w:rsidR="00913EAE">
        <w:t xml:space="preserve"> </w:t>
      </w:r>
      <w:r w:rsidR="00C47CCE">
        <w:t>to the relief he seeks, such as the right to set “</w:t>
      </w:r>
      <w:r w:rsidR="00C47CCE" w:rsidRPr="00292CE1">
        <w:rPr>
          <w:i/>
          <w:iCs/>
        </w:rPr>
        <w:t>reasonable terms and conditions</w:t>
      </w:r>
      <w:r w:rsidR="00C47CCE">
        <w:t>” upon which the second respondent may reside at the Lyndhurst house</w:t>
      </w:r>
      <w:r w:rsidR="00913EAE">
        <w:t xml:space="preserve">. </w:t>
      </w:r>
    </w:p>
    <w:p w14:paraId="0661B3F7" w14:textId="10F0C121" w:rsidR="00C9644F" w:rsidRDefault="0046087F" w:rsidP="0046087F">
      <w:pPr>
        <w:pStyle w:val="LC1"/>
        <w:numPr>
          <w:ilvl w:val="0"/>
          <w:numId w:val="0"/>
        </w:numPr>
        <w:ind w:left="720" w:hanging="720"/>
      </w:pPr>
      <w:r>
        <w:rPr>
          <w:rFonts w:cs="Arial"/>
          <w:szCs w:val="24"/>
        </w:rPr>
        <w:t>[24]</w:t>
      </w:r>
      <w:r>
        <w:rPr>
          <w:rFonts w:cs="Arial"/>
          <w:szCs w:val="24"/>
        </w:rPr>
        <w:tab/>
      </w:r>
      <w:r w:rsidR="00913EAE">
        <w:t xml:space="preserve">Even if I am wrong in this regard, and assuming that </w:t>
      </w:r>
      <w:r w:rsidR="0052739F">
        <w:t xml:space="preserve">the relief is </w:t>
      </w:r>
      <w:r w:rsidR="00C47CCE">
        <w:t xml:space="preserve">indeed </w:t>
      </w:r>
      <w:r w:rsidR="00913EAE">
        <w:t xml:space="preserve">interim in nature and that </w:t>
      </w:r>
      <w:r w:rsidR="00C9644F">
        <w:t xml:space="preserve">the </w:t>
      </w:r>
      <w:r w:rsidR="00913EAE">
        <w:t xml:space="preserve">applicant has </w:t>
      </w:r>
      <w:r w:rsidR="00C47CCE">
        <w:t xml:space="preserve">made out </w:t>
      </w:r>
      <w:r w:rsidR="00B36BF7">
        <w:t xml:space="preserve">a </w:t>
      </w:r>
      <w:r w:rsidR="00B36BF7" w:rsidRPr="0052739F">
        <w:rPr>
          <w:i/>
          <w:iCs/>
        </w:rPr>
        <w:t>prima facie</w:t>
      </w:r>
      <w:r w:rsidR="00B36BF7">
        <w:t xml:space="preserve"> right to </w:t>
      </w:r>
      <w:r w:rsidR="00C9644F">
        <w:t>it</w:t>
      </w:r>
      <w:r w:rsidR="00C47CCE">
        <w:t xml:space="preserve"> (which I don’t accept)</w:t>
      </w:r>
      <w:r w:rsidR="00913EAE">
        <w:t xml:space="preserve">, </w:t>
      </w:r>
      <w:r w:rsidR="00BF3D51">
        <w:t xml:space="preserve">the balance of convenience </w:t>
      </w:r>
      <w:r w:rsidR="00C47CCE">
        <w:t xml:space="preserve">does not </w:t>
      </w:r>
      <w:r w:rsidR="00BF3D51">
        <w:t xml:space="preserve">favour </w:t>
      </w:r>
      <w:r w:rsidR="00C47CCE">
        <w:t>the grant of this relief</w:t>
      </w:r>
      <w:r w:rsidR="00913EAE">
        <w:t>.</w:t>
      </w:r>
      <w:r w:rsidR="00BF3D51">
        <w:t xml:space="preserve"> </w:t>
      </w:r>
      <w:r w:rsidR="00913EAE">
        <w:t>T</w:t>
      </w:r>
      <w:r w:rsidR="00BF3D51">
        <w:t>he respondent</w:t>
      </w:r>
      <w:r w:rsidR="00B61C12">
        <w:t>s</w:t>
      </w:r>
      <w:r w:rsidR="00BF3D51">
        <w:t xml:space="preserve"> </w:t>
      </w:r>
      <w:r w:rsidR="00B61C12">
        <w:t xml:space="preserve">have been living in the </w:t>
      </w:r>
      <w:r w:rsidR="003A1E04">
        <w:t xml:space="preserve">Lyndhurst house </w:t>
      </w:r>
      <w:r w:rsidR="00B61C12">
        <w:t xml:space="preserve">and looking after Veni’s minor daughter </w:t>
      </w:r>
      <w:r w:rsidR="00BF3D51">
        <w:t>the</w:t>
      </w:r>
      <w:r w:rsidR="00B61C12">
        <w:t xml:space="preserve">re for over three and a half years while the </w:t>
      </w:r>
      <w:r w:rsidR="00BF3D51">
        <w:t xml:space="preserve">applicant and his minor son </w:t>
      </w:r>
      <w:r w:rsidR="00B61C12">
        <w:t>have been living elsewhere</w:t>
      </w:r>
      <w:r w:rsidR="00BF3D51">
        <w:t>.</w:t>
      </w:r>
      <w:r w:rsidR="00B61C12">
        <w:t xml:space="preserve"> </w:t>
      </w:r>
      <w:r w:rsidR="00201E35">
        <w:t xml:space="preserve">In view of </w:t>
      </w:r>
      <w:r w:rsidR="00B61C12">
        <w:t xml:space="preserve">the </w:t>
      </w:r>
      <w:r w:rsidR="00201E35">
        <w:t xml:space="preserve">clearly antagonistic </w:t>
      </w:r>
      <w:r w:rsidR="00B61C12">
        <w:t xml:space="preserve">nature of the relationship between the applicant and the first respondent, </w:t>
      </w:r>
      <w:r w:rsidR="00201E35">
        <w:t xml:space="preserve">I cannot but conclude that the grant of this </w:t>
      </w:r>
      <w:r w:rsidR="003A1E04">
        <w:t xml:space="preserve">temporary </w:t>
      </w:r>
      <w:r w:rsidR="00B61C12">
        <w:t>relief</w:t>
      </w:r>
      <w:r w:rsidR="00201E35">
        <w:t xml:space="preserve"> would not be in the best interests of </w:t>
      </w:r>
      <w:r w:rsidR="003A1E04">
        <w:t xml:space="preserve">either of </w:t>
      </w:r>
      <w:r w:rsidR="00201E35">
        <w:t>the minor children, which is an overriding consideration of “</w:t>
      </w:r>
      <w:r w:rsidR="00201E35" w:rsidRPr="0052739F">
        <w:rPr>
          <w:i/>
          <w:iCs/>
        </w:rPr>
        <w:t>paramount importance</w:t>
      </w:r>
      <w:r w:rsidR="00201E35">
        <w:t>”.</w:t>
      </w:r>
      <w:r w:rsidR="00201E35">
        <w:rPr>
          <w:rStyle w:val="FootnoteReference"/>
        </w:rPr>
        <w:footnoteReference w:id="15"/>
      </w:r>
    </w:p>
    <w:p w14:paraId="06AF7E04" w14:textId="512198D3" w:rsidR="001B0DA3" w:rsidRDefault="0046087F" w:rsidP="0046087F">
      <w:pPr>
        <w:pStyle w:val="LC1"/>
        <w:numPr>
          <w:ilvl w:val="0"/>
          <w:numId w:val="0"/>
        </w:numPr>
        <w:ind w:left="720" w:hanging="720"/>
      </w:pPr>
      <w:r>
        <w:rPr>
          <w:rFonts w:cs="Arial"/>
          <w:szCs w:val="24"/>
        </w:rPr>
        <w:t>[25]</w:t>
      </w:r>
      <w:r>
        <w:rPr>
          <w:rFonts w:cs="Arial"/>
          <w:szCs w:val="24"/>
        </w:rPr>
        <w:tab/>
      </w:r>
      <w:r w:rsidR="00C9644F">
        <w:t xml:space="preserve">In the circumstances, I conclude that </w:t>
      </w:r>
      <w:r w:rsidR="008B4513">
        <w:t xml:space="preserve">the </w:t>
      </w:r>
      <w:r w:rsidR="00C9644F">
        <w:t>orders sought in prayers 1.1 and 1.2 of the notice of motion must be refused.</w:t>
      </w:r>
    </w:p>
    <w:p w14:paraId="7DD846D6" w14:textId="03843092" w:rsidR="00C9644F" w:rsidRDefault="00C9644F" w:rsidP="00D42DD6">
      <w:pPr>
        <w:pStyle w:val="LC1"/>
        <w:keepNext/>
        <w:numPr>
          <w:ilvl w:val="0"/>
          <w:numId w:val="0"/>
        </w:numPr>
        <w:rPr>
          <w:rFonts w:cs="Arial"/>
          <w:szCs w:val="24"/>
          <w:u w:val="single"/>
        </w:rPr>
      </w:pPr>
      <w:r>
        <w:rPr>
          <w:rFonts w:cs="Arial"/>
          <w:szCs w:val="24"/>
          <w:u w:val="single"/>
        </w:rPr>
        <w:t xml:space="preserve">Issue (d): </w:t>
      </w:r>
      <w:r w:rsidR="00803B28">
        <w:rPr>
          <w:rFonts w:cs="Arial"/>
          <w:szCs w:val="24"/>
          <w:u w:val="single"/>
        </w:rPr>
        <w:t xml:space="preserve">The </w:t>
      </w:r>
      <w:r w:rsidR="004434E0">
        <w:rPr>
          <w:rFonts w:cs="Arial"/>
          <w:szCs w:val="24"/>
          <w:u w:val="single"/>
        </w:rPr>
        <w:t xml:space="preserve">implications of the </w:t>
      </w:r>
      <w:r w:rsidR="00803B28">
        <w:rPr>
          <w:rFonts w:cs="Arial"/>
          <w:szCs w:val="24"/>
          <w:u w:val="single"/>
        </w:rPr>
        <w:t>d</w:t>
      </w:r>
      <w:r w:rsidR="001920ED">
        <w:rPr>
          <w:rFonts w:cs="Arial"/>
          <w:szCs w:val="24"/>
          <w:u w:val="single"/>
        </w:rPr>
        <w:t>elay</w:t>
      </w:r>
      <w:r>
        <w:rPr>
          <w:rFonts w:cs="Arial"/>
          <w:szCs w:val="24"/>
          <w:u w:val="single"/>
        </w:rPr>
        <w:t xml:space="preserve"> in launching the spoliation application</w:t>
      </w:r>
    </w:p>
    <w:p w14:paraId="56197982" w14:textId="3170D82A" w:rsidR="00FA162D" w:rsidRPr="00FA162D" w:rsidRDefault="0046087F" w:rsidP="0046087F">
      <w:pPr>
        <w:pStyle w:val="LC1"/>
        <w:numPr>
          <w:ilvl w:val="0"/>
          <w:numId w:val="0"/>
        </w:numPr>
        <w:ind w:left="720" w:hanging="720"/>
      </w:pPr>
      <w:r w:rsidRPr="00FA162D">
        <w:rPr>
          <w:rFonts w:cs="Arial"/>
          <w:szCs w:val="24"/>
        </w:rPr>
        <w:t>[26]</w:t>
      </w:r>
      <w:r w:rsidRPr="00FA162D">
        <w:rPr>
          <w:rFonts w:cs="Arial"/>
          <w:szCs w:val="24"/>
        </w:rPr>
        <w:tab/>
      </w:r>
      <w:r w:rsidR="00FA162D">
        <w:t>The respondents contend in the answering affidavit that “</w:t>
      </w:r>
      <w:r w:rsidR="00FA162D" w:rsidRPr="00FA162D">
        <w:rPr>
          <w:rFonts w:eastAsia="Cambria"/>
          <w:i/>
          <w:iCs/>
        </w:rPr>
        <w:t>the applicant was obliged to have launched this application in January of 2019 and not in November of 2020 [and that] [f]or all intents and purposes this application is moot since the applicant acquiesced in this regard</w:t>
      </w:r>
      <w:r w:rsidR="00FA162D">
        <w:rPr>
          <w:rFonts w:eastAsia="Cambria"/>
        </w:rPr>
        <w:t>”</w:t>
      </w:r>
      <w:r w:rsidR="00FA162D" w:rsidRPr="00FA162D">
        <w:rPr>
          <w:rFonts w:eastAsia="Cambria"/>
        </w:rPr>
        <w:t>.</w:t>
      </w:r>
    </w:p>
    <w:p w14:paraId="547FBF2D" w14:textId="54B7FCFA" w:rsidR="00861161" w:rsidRPr="00861161" w:rsidRDefault="0046087F" w:rsidP="0046087F">
      <w:pPr>
        <w:pStyle w:val="LC1"/>
        <w:numPr>
          <w:ilvl w:val="0"/>
          <w:numId w:val="0"/>
        </w:numPr>
        <w:ind w:left="720" w:hanging="720"/>
      </w:pPr>
      <w:r w:rsidRPr="00861161">
        <w:rPr>
          <w:rFonts w:cs="Arial"/>
          <w:szCs w:val="24"/>
        </w:rPr>
        <w:lastRenderedPageBreak/>
        <w:t>[27]</w:t>
      </w:r>
      <w:r w:rsidRPr="00861161">
        <w:rPr>
          <w:rFonts w:cs="Arial"/>
          <w:szCs w:val="24"/>
        </w:rPr>
        <w:tab/>
      </w:r>
      <w:r w:rsidR="003C5CC2">
        <w:rPr>
          <w:rFonts w:eastAsia="Cambria"/>
        </w:rPr>
        <w:t>A</w:t>
      </w:r>
      <w:r w:rsidR="00861161">
        <w:rPr>
          <w:rFonts w:eastAsia="Cambria"/>
        </w:rPr>
        <w:t xml:space="preserve">cquiescence </w:t>
      </w:r>
      <w:r w:rsidR="00D42DD6">
        <w:rPr>
          <w:rFonts w:eastAsia="Cambria"/>
        </w:rPr>
        <w:t xml:space="preserve">after dispossession </w:t>
      </w:r>
      <w:r w:rsidR="00861161">
        <w:rPr>
          <w:rFonts w:eastAsia="Cambria"/>
        </w:rPr>
        <w:t>is a recognised defence to a spoliation application</w:t>
      </w:r>
      <w:r w:rsidR="003C5CC2">
        <w:rPr>
          <w:rFonts w:eastAsia="Cambria"/>
        </w:rPr>
        <w:t>.</w:t>
      </w:r>
      <w:r w:rsidR="00861161">
        <w:rPr>
          <w:rFonts w:eastAsia="Cambria"/>
        </w:rPr>
        <w:t xml:space="preserve"> </w:t>
      </w:r>
      <w:r w:rsidR="003C5CC2">
        <w:rPr>
          <w:rFonts w:eastAsia="Cambria"/>
        </w:rPr>
        <w:t xml:space="preserve">But </w:t>
      </w:r>
      <w:r w:rsidR="00861161">
        <w:rPr>
          <w:rFonts w:eastAsia="Cambria"/>
        </w:rPr>
        <w:t>t</w:t>
      </w:r>
      <w:r w:rsidR="00292CE1">
        <w:rPr>
          <w:rFonts w:eastAsia="Cambria"/>
        </w:rPr>
        <w:t xml:space="preserve">he </w:t>
      </w:r>
      <w:r w:rsidR="00E1425B" w:rsidRPr="00E1425B">
        <w:rPr>
          <w:rFonts w:eastAsia="Cambria"/>
        </w:rPr>
        <w:t xml:space="preserve">mere fact that </w:t>
      </w:r>
      <w:r w:rsidR="00E1425B">
        <w:rPr>
          <w:rFonts w:eastAsia="Cambria"/>
        </w:rPr>
        <w:t xml:space="preserve">an </w:t>
      </w:r>
      <w:r w:rsidR="00E1425B" w:rsidRPr="00E1425B">
        <w:rPr>
          <w:rFonts w:eastAsia="Cambria"/>
        </w:rPr>
        <w:t xml:space="preserve">applicant </w:t>
      </w:r>
      <w:r w:rsidR="00E1425B">
        <w:rPr>
          <w:rFonts w:eastAsia="Cambria"/>
        </w:rPr>
        <w:t xml:space="preserve">does </w:t>
      </w:r>
      <w:r w:rsidR="00E1425B" w:rsidRPr="00E1425B">
        <w:rPr>
          <w:rFonts w:eastAsia="Cambria"/>
        </w:rPr>
        <w:t xml:space="preserve">not </w:t>
      </w:r>
      <w:r w:rsidR="00E1425B">
        <w:rPr>
          <w:rFonts w:eastAsia="Cambria"/>
        </w:rPr>
        <w:t>“</w:t>
      </w:r>
      <w:r w:rsidR="00E1425B" w:rsidRPr="00E1425B">
        <w:rPr>
          <w:rFonts w:eastAsia="Cambria"/>
          <w:i/>
          <w:iCs/>
        </w:rPr>
        <w:t>press forward legal proceedings immediately</w:t>
      </w:r>
      <w:r w:rsidR="00E1425B">
        <w:rPr>
          <w:rFonts w:eastAsia="Cambria"/>
        </w:rPr>
        <w:t>” is insufficient in itself to give rise to a conclusion of acquiescence</w:t>
      </w:r>
      <w:r w:rsidR="00861161">
        <w:rPr>
          <w:rFonts w:eastAsia="Cambria"/>
        </w:rPr>
        <w:t>.</w:t>
      </w:r>
      <w:r w:rsidR="00E1425B">
        <w:rPr>
          <w:rStyle w:val="FootnoteReference"/>
          <w:rFonts w:eastAsia="Cambria"/>
        </w:rPr>
        <w:footnoteReference w:id="16"/>
      </w:r>
      <w:r w:rsidR="00861161">
        <w:rPr>
          <w:rFonts w:eastAsia="Cambria"/>
        </w:rPr>
        <w:t xml:space="preserve"> In order to evaluate a defence of acquiescence, it is necessary to consider the </w:t>
      </w:r>
      <w:r w:rsidR="00E1425B">
        <w:rPr>
          <w:rFonts w:eastAsia="Cambria"/>
        </w:rPr>
        <w:t>applicant’s subjective state of mind</w:t>
      </w:r>
      <w:r w:rsidR="007B4A45">
        <w:rPr>
          <w:rFonts w:eastAsia="Cambria"/>
        </w:rPr>
        <w:t>.</w:t>
      </w:r>
      <w:r w:rsidR="00E1425B">
        <w:rPr>
          <w:rStyle w:val="FootnoteReference"/>
          <w:rFonts w:eastAsia="Cambria"/>
        </w:rPr>
        <w:footnoteReference w:id="17"/>
      </w:r>
      <w:r w:rsidR="00E1425B">
        <w:rPr>
          <w:rFonts w:eastAsia="Cambria"/>
        </w:rPr>
        <w:t xml:space="preserve"> </w:t>
      </w:r>
    </w:p>
    <w:p w14:paraId="6B3CCB13" w14:textId="63E7F53C" w:rsidR="00FA162D" w:rsidRPr="00861161" w:rsidRDefault="0046087F" w:rsidP="0046087F">
      <w:pPr>
        <w:pStyle w:val="LC1"/>
        <w:numPr>
          <w:ilvl w:val="0"/>
          <w:numId w:val="0"/>
        </w:numPr>
        <w:ind w:left="720" w:hanging="720"/>
      </w:pPr>
      <w:r w:rsidRPr="00861161">
        <w:rPr>
          <w:rFonts w:cs="Arial"/>
          <w:szCs w:val="24"/>
        </w:rPr>
        <w:t>[28]</w:t>
      </w:r>
      <w:r w:rsidRPr="00861161">
        <w:rPr>
          <w:rFonts w:cs="Arial"/>
          <w:szCs w:val="24"/>
        </w:rPr>
        <w:tab/>
      </w:r>
      <w:r w:rsidR="00FA162D">
        <w:rPr>
          <w:rFonts w:eastAsia="Cambria"/>
        </w:rPr>
        <w:t xml:space="preserve">I am unable to reach the conclusion that the applicant </w:t>
      </w:r>
      <w:r w:rsidR="00D42DD6">
        <w:rPr>
          <w:rFonts w:eastAsia="Cambria"/>
        </w:rPr>
        <w:t xml:space="preserve">has subjectively </w:t>
      </w:r>
      <w:r w:rsidR="00FA162D">
        <w:rPr>
          <w:rFonts w:eastAsia="Cambria"/>
        </w:rPr>
        <w:t xml:space="preserve">acquiesced in the respondents’ conduct </w:t>
      </w:r>
      <w:r w:rsidR="00D42DD6">
        <w:rPr>
          <w:rFonts w:eastAsia="Cambria"/>
        </w:rPr>
        <w:t xml:space="preserve">of </w:t>
      </w:r>
      <w:r w:rsidR="00FA162D">
        <w:rPr>
          <w:rFonts w:eastAsia="Cambria"/>
        </w:rPr>
        <w:t>excluding him from the Lyndhurst house</w:t>
      </w:r>
      <w:r w:rsidR="00292CE1">
        <w:rPr>
          <w:rFonts w:eastAsia="Cambria"/>
        </w:rPr>
        <w:t xml:space="preserve"> on the basis of the allegations in the affidavits before me</w:t>
      </w:r>
      <w:r w:rsidR="00FA162D">
        <w:rPr>
          <w:rFonts w:eastAsia="Cambria"/>
        </w:rPr>
        <w:t xml:space="preserve">. </w:t>
      </w:r>
    </w:p>
    <w:p w14:paraId="04C4B16E" w14:textId="4A6D732A" w:rsidR="00384FA1" w:rsidRDefault="0046087F" w:rsidP="0046087F">
      <w:pPr>
        <w:pStyle w:val="LC1"/>
        <w:numPr>
          <w:ilvl w:val="0"/>
          <w:numId w:val="0"/>
        </w:numPr>
        <w:ind w:left="720" w:hanging="720"/>
      </w:pPr>
      <w:r>
        <w:rPr>
          <w:rFonts w:cs="Arial"/>
          <w:szCs w:val="24"/>
        </w:rPr>
        <w:t>[29]</w:t>
      </w:r>
      <w:r>
        <w:rPr>
          <w:rFonts w:cs="Arial"/>
          <w:szCs w:val="24"/>
        </w:rPr>
        <w:tab/>
      </w:r>
      <w:r w:rsidR="00384FA1">
        <w:t xml:space="preserve">Immediately after his dispossession of the Lyndhurst house, the applicant approached an attorney, whom he </w:t>
      </w:r>
      <w:r w:rsidR="00623271">
        <w:t xml:space="preserve">consulted </w:t>
      </w:r>
      <w:r w:rsidR="00384FA1">
        <w:t>on 8 January 2019</w:t>
      </w:r>
      <w:r w:rsidR="00623271">
        <w:t xml:space="preserve"> and paid a deposit of R30,000</w:t>
      </w:r>
      <w:r w:rsidR="00384FA1">
        <w:t>. On 11 January 2019, the attorney sent a letter of demand to the first respondent. Although this letter threatened that the applicant would “</w:t>
      </w:r>
      <w:r w:rsidR="00384FA1" w:rsidRPr="00623271">
        <w:rPr>
          <w:i/>
          <w:iCs/>
        </w:rPr>
        <w:t>shortly approach the High Court to declare a universal partnership, together with ancillary relief</w:t>
      </w:r>
      <w:r w:rsidR="00384FA1">
        <w:t>”, it also alleged that the applicant “</w:t>
      </w:r>
      <w:r w:rsidR="00384FA1" w:rsidRPr="00384FA1">
        <w:rPr>
          <w:i/>
          <w:iCs/>
        </w:rPr>
        <w:t xml:space="preserve">was forced to leave the house as he felt threatened and believed his life to be </w:t>
      </w:r>
      <w:r w:rsidR="00163DD5">
        <w:rPr>
          <w:i/>
          <w:iCs/>
        </w:rPr>
        <w:t>i</w:t>
      </w:r>
      <w:r w:rsidR="00384FA1" w:rsidRPr="00384FA1">
        <w:rPr>
          <w:i/>
          <w:iCs/>
        </w:rPr>
        <w:t>n danger</w:t>
      </w:r>
      <w:r w:rsidR="00384FA1">
        <w:t xml:space="preserve">” and demanded that the first </w:t>
      </w:r>
      <w:r w:rsidR="00D42DD6">
        <w:t xml:space="preserve">respondent </w:t>
      </w:r>
      <w:r w:rsidR="00384FA1">
        <w:t>furnish him with the keys to the house and that she should “</w:t>
      </w:r>
      <w:r w:rsidR="00384FA1" w:rsidRPr="00384FA1">
        <w:rPr>
          <w:i/>
          <w:iCs/>
        </w:rPr>
        <w:t>vacate the premises together with the [second respondent] and together with your 3 children</w:t>
      </w:r>
      <w:r w:rsidR="00384FA1">
        <w:t>” within seven days, failing which “</w:t>
      </w:r>
      <w:r w:rsidR="00384FA1" w:rsidRPr="00384FA1">
        <w:rPr>
          <w:i/>
          <w:iCs/>
        </w:rPr>
        <w:t>we shall approach the High Court for the necessary relief</w:t>
      </w:r>
      <w:r w:rsidR="00384FA1">
        <w:t>”, which was clearly a reference to a potential spoliation application.</w:t>
      </w:r>
    </w:p>
    <w:p w14:paraId="2AD77547" w14:textId="7E70DA23" w:rsidR="00384FA1" w:rsidRDefault="0046087F" w:rsidP="0046087F">
      <w:pPr>
        <w:pStyle w:val="LC1"/>
        <w:numPr>
          <w:ilvl w:val="0"/>
          <w:numId w:val="0"/>
        </w:numPr>
        <w:ind w:left="720" w:hanging="720"/>
      </w:pPr>
      <w:r>
        <w:rPr>
          <w:rFonts w:cs="Arial"/>
          <w:szCs w:val="24"/>
        </w:rPr>
        <w:t>[30]</w:t>
      </w:r>
      <w:r>
        <w:rPr>
          <w:rFonts w:cs="Arial"/>
          <w:szCs w:val="24"/>
        </w:rPr>
        <w:tab/>
      </w:r>
      <w:r w:rsidR="00FA162D">
        <w:t xml:space="preserve">While it is correct that </w:t>
      </w:r>
      <w:r w:rsidR="007B4A45">
        <w:t xml:space="preserve">the application was then not </w:t>
      </w:r>
      <w:r w:rsidR="00FA162D">
        <w:t xml:space="preserve">launched </w:t>
      </w:r>
      <w:r w:rsidR="00416804">
        <w:t xml:space="preserve">until November 2020, </w:t>
      </w:r>
      <w:r w:rsidR="00D405A9">
        <w:t>t</w:t>
      </w:r>
      <w:r w:rsidR="00384FA1">
        <w:t xml:space="preserve">he applicant describes </w:t>
      </w:r>
      <w:r w:rsidR="00861161">
        <w:t xml:space="preserve">what occurred </w:t>
      </w:r>
      <w:r w:rsidR="00D405A9">
        <w:t>in the interim</w:t>
      </w:r>
      <w:r w:rsidR="00623271">
        <w:t xml:space="preserve">. On 28 February and 4 March 2019, he sent messages to the attorney expressing concern about the delay which was causing him concern </w:t>
      </w:r>
      <w:r w:rsidR="00773EF3">
        <w:t xml:space="preserve">since </w:t>
      </w:r>
      <w:r w:rsidR="00623271">
        <w:t>he and his son were having to move “</w:t>
      </w:r>
      <w:r w:rsidR="00623271" w:rsidRPr="00623271">
        <w:rPr>
          <w:i/>
          <w:iCs/>
        </w:rPr>
        <w:t>from house to house</w:t>
      </w:r>
      <w:r w:rsidR="00623271">
        <w:t>” and were “</w:t>
      </w:r>
      <w:r w:rsidR="00623271" w:rsidRPr="00623271">
        <w:rPr>
          <w:i/>
          <w:iCs/>
        </w:rPr>
        <w:t>living out of bags</w:t>
      </w:r>
      <w:r w:rsidR="00623271">
        <w:t xml:space="preserve">”, after which they moved into his parents’ one bedroom house in a retirement village. When he </w:t>
      </w:r>
      <w:r w:rsidR="00D42DD6">
        <w:t xml:space="preserve">seemingly </w:t>
      </w:r>
      <w:r w:rsidR="00623271">
        <w:t>did not get any response from the attorney, he was unable to afford another</w:t>
      </w:r>
      <w:r w:rsidR="007B4A45">
        <w:t>,</w:t>
      </w:r>
      <w:r w:rsidR="00623271">
        <w:t xml:space="preserve"> and considered that his only course of action was to lodge a </w:t>
      </w:r>
      <w:r w:rsidR="00623271">
        <w:lastRenderedPageBreak/>
        <w:t xml:space="preserve">complaint against the attorney with the Legal Practice Council, which he did on 30 October 2019. Although it is not clear when or whether the complaint was investigated </w:t>
      </w:r>
      <w:r w:rsidR="007B4A45">
        <w:t xml:space="preserve">or </w:t>
      </w:r>
      <w:r w:rsidR="00623271">
        <w:t xml:space="preserve">resolved, the applicant states that his endeavours to obtain legal assistance were complicated by the onset of the measures implemented </w:t>
      </w:r>
      <w:r w:rsidR="00773EF3">
        <w:t>because of</w:t>
      </w:r>
      <w:r w:rsidR="00623271">
        <w:t xml:space="preserve"> the COVID-19 pandemic</w:t>
      </w:r>
      <w:r w:rsidR="007B4A45">
        <w:t xml:space="preserve"> in March 2020</w:t>
      </w:r>
      <w:r w:rsidR="00623271">
        <w:t xml:space="preserve">. </w:t>
      </w:r>
      <w:r w:rsidR="0016736F">
        <w:t xml:space="preserve">Ultimately, he was able to secure legal assistance on a </w:t>
      </w:r>
      <w:r w:rsidR="0016736F" w:rsidRPr="0016736F">
        <w:rPr>
          <w:i/>
          <w:iCs/>
        </w:rPr>
        <w:t>pro bono</w:t>
      </w:r>
      <w:r w:rsidR="0016736F">
        <w:t xml:space="preserve"> basis on 28 July 2020, following which a series of letters were exchanged with the respondents’ attorneys before the application papers were prepared and the application was delivered.</w:t>
      </w:r>
    </w:p>
    <w:p w14:paraId="4D589550" w14:textId="45699473" w:rsidR="00347766" w:rsidRPr="00861161" w:rsidRDefault="0046087F" w:rsidP="0046087F">
      <w:pPr>
        <w:pStyle w:val="LC1"/>
        <w:numPr>
          <w:ilvl w:val="0"/>
          <w:numId w:val="0"/>
        </w:numPr>
        <w:ind w:left="720" w:hanging="720"/>
      </w:pPr>
      <w:r w:rsidRPr="00861161">
        <w:rPr>
          <w:rFonts w:cs="Arial"/>
          <w:szCs w:val="24"/>
        </w:rPr>
        <w:t>[31]</w:t>
      </w:r>
      <w:r w:rsidRPr="00861161">
        <w:rPr>
          <w:rFonts w:cs="Arial"/>
          <w:szCs w:val="24"/>
        </w:rPr>
        <w:tab/>
      </w:r>
      <w:r w:rsidR="007B4A45">
        <w:t xml:space="preserve">I decline to comment on the conduct </w:t>
      </w:r>
      <w:r w:rsidR="0016736F">
        <w:t xml:space="preserve">of the legal representatives </w:t>
      </w:r>
      <w:r w:rsidR="007B4A45">
        <w:t xml:space="preserve">in the absence of further information </w:t>
      </w:r>
      <w:r w:rsidR="006235B2">
        <w:t xml:space="preserve">but </w:t>
      </w:r>
      <w:r w:rsidR="0016736F">
        <w:t xml:space="preserve">I </w:t>
      </w:r>
      <w:r w:rsidR="00E8121A">
        <w:t xml:space="preserve">have no reason to doubt the correctness of any of the allegations referred to in the previous paragraph, and </w:t>
      </w:r>
      <w:r w:rsidR="0016736F">
        <w:t xml:space="preserve">am unable to </w:t>
      </w:r>
      <w:r w:rsidR="00E8121A">
        <w:t xml:space="preserve">find </w:t>
      </w:r>
      <w:r w:rsidR="0016736F">
        <w:t xml:space="preserve">that the most </w:t>
      </w:r>
      <w:r w:rsidR="0016736F" w:rsidRPr="0016736F">
        <w:t xml:space="preserve">natural or plausible </w:t>
      </w:r>
      <w:r w:rsidR="0016736F">
        <w:t xml:space="preserve">inference to be drawn </w:t>
      </w:r>
      <w:r w:rsidR="0016736F" w:rsidRPr="0016736F">
        <w:t xml:space="preserve">from several conceivable </w:t>
      </w:r>
      <w:r w:rsidR="0016736F">
        <w:t>reasonable inferences on the basis of the common cause and proven facts</w:t>
      </w:r>
      <w:r w:rsidR="007B4A45">
        <w:rPr>
          <w:rStyle w:val="FootnoteReference"/>
        </w:rPr>
        <w:footnoteReference w:id="18"/>
      </w:r>
      <w:r w:rsidR="0016736F">
        <w:t xml:space="preserve"> is a state of mind </w:t>
      </w:r>
      <w:r w:rsidR="007B4A45">
        <w:t xml:space="preserve">of acquiescence </w:t>
      </w:r>
      <w:r w:rsidR="0016736F">
        <w:t xml:space="preserve">on </w:t>
      </w:r>
      <w:r w:rsidR="00D42DD6">
        <w:t xml:space="preserve">the </w:t>
      </w:r>
      <w:r w:rsidR="0016736F">
        <w:t>part</w:t>
      </w:r>
      <w:r w:rsidR="00D42DD6">
        <w:t xml:space="preserve"> of the applicant</w:t>
      </w:r>
      <w:r w:rsidR="0016736F">
        <w:t>.</w:t>
      </w:r>
      <w:r w:rsidR="007B4A45">
        <w:t xml:space="preserve"> The same conclusion was reached in relation to a similar period of delay by the court in </w:t>
      </w:r>
      <w:r w:rsidR="007B4A45" w:rsidRPr="007B4A45">
        <w:rPr>
          <w:i/>
          <w:iCs/>
        </w:rPr>
        <w:t>Le Riche</w:t>
      </w:r>
      <w:r w:rsidR="007B4A45">
        <w:t>.</w:t>
      </w:r>
      <w:r w:rsidR="007B4A45">
        <w:rPr>
          <w:rStyle w:val="FootnoteReference"/>
        </w:rPr>
        <w:footnoteReference w:id="19"/>
      </w:r>
    </w:p>
    <w:p w14:paraId="3C62AA42" w14:textId="1DF46F96" w:rsidR="00DB3C43" w:rsidRDefault="0046087F" w:rsidP="0046087F">
      <w:pPr>
        <w:pStyle w:val="LC1"/>
        <w:numPr>
          <w:ilvl w:val="0"/>
          <w:numId w:val="0"/>
        </w:numPr>
        <w:ind w:left="720" w:hanging="720"/>
      </w:pPr>
      <w:r>
        <w:rPr>
          <w:rFonts w:cs="Arial"/>
          <w:szCs w:val="24"/>
        </w:rPr>
        <w:t>[32]</w:t>
      </w:r>
      <w:r>
        <w:rPr>
          <w:rFonts w:cs="Arial"/>
          <w:szCs w:val="24"/>
        </w:rPr>
        <w:tab/>
      </w:r>
      <w:r w:rsidR="003C5CC2">
        <w:t>T</w:t>
      </w:r>
      <w:r w:rsidR="00D42DD6">
        <w:t>he absence of acquiescence is</w:t>
      </w:r>
      <w:r w:rsidR="003C5CC2">
        <w:t>, however,</w:t>
      </w:r>
      <w:r w:rsidR="00D42DD6">
        <w:t xml:space="preserve"> </w:t>
      </w:r>
      <w:r w:rsidR="00394F91">
        <w:t>not</w:t>
      </w:r>
      <w:r w:rsidR="00E41092">
        <w:t xml:space="preserve"> </w:t>
      </w:r>
      <w:r w:rsidR="00394F91">
        <w:t>the end of the enquiry</w:t>
      </w:r>
      <w:r w:rsidR="00D42DD6">
        <w:t xml:space="preserve"> in relation to delay</w:t>
      </w:r>
      <w:r w:rsidR="00394F91">
        <w:t xml:space="preserve">. </w:t>
      </w:r>
      <w:r w:rsidR="00D42DD6">
        <w:t>T</w:t>
      </w:r>
      <w:r w:rsidR="00E41092">
        <w:t>he respondents also contend that the spoliatory relief “</w:t>
      </w:r>
      <w:r w:rsidR="00E41092" w:rsidRPr="00784EA1">
        <w:rPr>
          <w:i/>
          <w:iCs/>
        </w:rPr>
        <w:t>is not competent</w:t>
      </w:r>
      <w:r w:rsidR="00E41092">
        <w:t>” because of the “</w:t>
      </w:r>
      <w:r w:rsidR="00E41092" w:rsidRPr="00784EA1">
        <w:rPr>
          <w:i/>
          <w:iCs/>
        </w:rPr>
        <w:t>effluxion of time</w:t>
      </w:r>
      <w:r w:rsidR="00E41092">
        <w:t>”</w:t>
      </w:r>
      <w:r w:rsidR="00861161">
        <w:t xml:space="preserve"> – </w:t>
      </w:r>
      <w:r w:rsidR="00E41092">
        <w:t>irrespective</w:t>
      </w:r>
      <w:r w:rsidR="00861161">
        <w:t xml:space="preserve"> </w:t>
      </w:r>
      <w:r w:rsidR="00E41092">
        <w:t xml:space="preserve">of the </w:t>
      </w:r>
      <w:r w:rsidR="00861161">
        <w:t xml:space="preserve">applicant’s </w:t>
      </w:r>
      <w:r w:rsidR="007B4A45">
        <w:t xml:space="preserve">state of mind </w:t>
      </w:r>
      <w:r w:rsidR="00861161">
        <w:t xml:space="preserve">and the </w:t>
      </w:r>
      <w:r w:rsidR="00E41092">
        <w:t xml:space="preserve">reasons put up by </w:t>
      </w:r>
      <w:r w:rsidR="00861161">
        <w:t xml:space="preserve">him </w:t>
      </w:r>
      <w:r w:rsidR="00E41092">
        <w:t xml:space="preserve">for the delay. </w:t>
      </w:r>
      <w:r w:rsidR="00DB3C43">
        <w:t>I</w:t>
      </w:r>
      <w:r w:rsidR="00861161">
        <w:t>n</w:t>
      </w:r>
      <w:r w:rsidR="00DB3C43">
        <w:t xml:space="preserve"> support of this the respondents’ heads of argument </w:t>
      </w:r>
      <w:r w:rsidR="003C5CC2">
        <w:t xml:space="preserve">state </w:t>
      </w:r>
      <w:r w:rsidR="00E8121A">
        <w:t xml:space="preserve">that the court has a </w:t>
      </w:r>
      <w:r w:rsidR="008E2E31">
        <w:t>“</w:t>
      </w:r>
      <w:r w:rsidR="00E8121A" w:rsidRPr="008E2E31">
        <w:rPr>
          <w:i/>
          <w:iCs/>
        </w:rPr>
        <w:t>discretion</w:t>
      </w:r>
      <w:r w:rsidR="008E2E31">
        <w:t>”</w:t>
      </w:r>
      <w:r w:rsidR="00E8121A">
        <w:t xml:space="preserve"> to refuse to grant a </w:t>
      </w:r>
      <w:r w:rsidR="00E8121A" w:rsidRPr="00773EF3">
        <w:rPr>
          <w:i/>
          <w:iCs/>
        </w:rPr>
        <w:t>mandament van spolie</w:t>
      </w:r>
      <w:r w:rsidR="00E8121A">
        <w:t xml:space="preserve"> on account of delay</w:t>
      </w:r>
      <w:r w:rsidR="00773EF3">
        <w:t>,</w:t>
      </w:r>
      <w:r w:rsidR="00E8121A">
        <w:t xml:space="preserve"> and </w:t>
      </w:r>
      <w:r w:rsidR="00003193">
        <w:t xml:space="preserve">cite </w:t>
      </w:r>
      <w:r w:rsidR="00003193" w:rsidRPr="00784EA1">
        <w:rPr>
          <w:i/>
          <w:iCs/>
        </w:rPr>
        <w:t>Jivan</w:t>
      </w:r>
      <w:r w:rsidR="00003193">
        <w:t xml:space="preserve"> for the proposition that </w:t>
      </w:r>
      <w:r w:rsidR="00784EA1">
        <w:t>“</w:t>
      </w:r>
      <w:r w:rsidR="00784EA1" w:rsidRPr="00784EA1">
        <w:rPr>
          <w:i/>
          <w:iCs/>
        </w:rPr>
        <w:t>as a matter of law</w:t>
      </w:r>
      <w:r w:rsidR="00784EA1">
        <w:t xml:space="preserve">” … </w:t>
      </w:r>
      <w:r w:rsidR="00003193">
        <w:t>“</w:t>
      </w:r>
      <w:r w:rsidR="00E8121A" w:rsidRPr="00784EA1">
        <w:rPr>
          <w:i/>
          <w:iCs/>
        </w:rPr>
        <w:t>[i]</w:t>
      </w:r>
      <w:r w:rsidR="00003193" w:rsidRPr="00784EA1">
        <w:rPr>
          <w:i/>
          <w:iCs/>
        </w:rPr>
        <w:t>f the delay exceeds one year, the party</w:t>
      </w:r>
      <w:r w:rsidR="00E8121A" w:rsidRPr="00784EA1">
        <w:rPr>
          <w:i/>
          <w:iCs/>
        </w:rPr>
        <w:t xml:space="preserve"> </w:t>
      </w:r>
      <w:r w:rsidR="00003193" w:rsidRPr="00784EA1">
        <w:rPr>
          <w:i/>
          <w:iCs/>
        </w:rPr>
        <w:t>seeking a spoliation order must demonstrate special considerations to be</w:t>
      </w:r>
      <w:r w:rsidR="00E8121A" w:rsidRPr="00784EA1">
        <w:rPr>
          <w:i/>
          <w:iCs/>
        </w:rPr>
        <w:t xml:space="preserve"> </w:t>
      </w:r>
      <w:r w:rsidR="00003193" w:rsidRPr="00784EA1">
        <w:rPr>
          <w:i/>
          <w:iCs/>
        </w:rPr>
        <w:t>allowed to proceed with a spoliation application</w:t>
      </w:r>
      <w:r w:rsidR="00E8121A">
        <w:t>”</w:t>
      </w:r>
      <w:r w:rsidR="000D27EB">
        <w:t>, which he has failed to do.</w:t>
      </w:r>
      <w:r w:rsidR="00784EA1">
        <w:t xml:space="preserve"> </w:t>
      </w:r>
    </w:p>
    <w:p w14:paraId="3EAEA386" w14:textId="19599D4E" w:rsidR="00750C5D" w:rsidRPr="00750C5D" w:rsidRDefault="0046087F" w:rsidP="0046087F">
      <w:pPr>
        <w:pStyle w:val="LC1"/>
        <w:numPr>
          <w:ilvl w:val="0"/>
          <w:numId w:val="0"/>
        </w:numPr>
        <w:ind w:left="720" w:hanging="720"/>
        <w:rPr>
          <w:lang w:eastAsia="en-ZA"/>
        </w:rPr>
      </w:pPr>
      <w:r w:rsidRPr="00750C5D">
        <w:rPr>
          <w:rFonts w:cs="Arial"/>
          <w:szCs w:val="24"/>
          <w:lang w:eastAsia="en-ZA"/>
        </w:rPr>
        <w:t>[33]</w:t>
      </w:r>
      <w:r w:rsidRPr="00750C5D">
        <w:rPr>
          <w:rFonts w:cs="Arial"/>
          <w:szCs w:val="24"/>
          <w:lang w:eastAsia="en-ZA"/>
        </w:rPr>
        <w:tab/>
      </w:r>
      <w:r w:rsidR="00750C5D">
        <w:rPr>
          <w:lang w:eastAsia="en-ZA"/>
        </w:rPr>
        <w:t xml:space="preserve">The relevant portion of the </w:t>
      </w:r>
      <w:r w:rsidR="00750C5D" w:rsidRPr="00750C5D">
        <w:rPr>
          <w:i/>
          <w:iCs/>
          <w:lang w:eastAsia="en-ZA"/>
        </w:rPr>
        <w:t xml:space="preserve">Jivan </w:t>
      </w:r>
      <w:r w:rsidR="00750C5D" w:rsidRPr="00750C5D">
        <w:rPr>
          <w:lang w:eastAsia="en-ZA"/>
        </w:rPr>
        <w:t>judgment</w:t>
      </w:r>
      <w:r w:rsidR="00750C5D">
        <w:rPr>
          <w:lang w:eastAsia="en-ZA"/>
        </w:rPr>
        <w:t xml:space="preserve"> held as follows:</w:t>
      </w:r>
      <w:r w:rsidR="00750C5D">
        <w:rPr>
          <w:i/>
          <w:iCs/>
          <w:lang w:eastAsia="en-ZA"/>
        </w:rPr>
        <w:t xml:space="preserve"> </w:t>
      </w:r>
    </w:p>
    <w:p w14:paraId="6B17B6C8" w14:textId="5103B3F5" w:rsidR="00750C5D" w:rsidRPr="00750C5D" w:rsidRDefault="00750C5D" w:rsidP="006235B2">
      <w:pPr>
        <w:pStyle w:val="HeadsQuote"/>
        <w:rPr>
          <w:lang w:eastAsia="en-ZA"/>
        </w:rPr>
      </w:pPr>
      <w:r w:rsidRPr="00750C5D">
        <w:rPr>
          <w:lang w:eastAsia="en-ZA"/>
        </w:rPr>
        <w:lastRenderedPageBreak/>
        <w:t>In my view the Court has a discretion to refuse an application where, on account of the delay in bringing it, no relief of any practical value can be granted at the time of the hearing of such application.</w:t>
      </w:r>
      <w:r>
        <w:rPr>
          <w:lang w:eastAsia="en-ZA"/>
        </w:rPr>
        <w:t xml:space="preserve"> </w:t>
      </w:r>
      <w:r w:rsidRPr="00750C5D">
        <w:rPr>
          <w:lang w:eastAsia="en-ZA"/>
        </w:rPr>
        <w:t>In exercising this discretion I think the bar imposed after one</w:t>
      </w:r>
      <w:r>
        <w:rPr>
          <w:lang w:eastAsia="en-ZA"/>
        </w:rPr>
        <w:t xml:space="preserve"> year </w:t>
      </w:r>
      <w:r w:rsidRPr="00750C5D">
        <w:rPr>
          <w:lang w:eastAsia="en-ZA"/>
        </w:rPr>
        <w:t xml:space="preserve">in respect of the </w:t>
      </w:r>
      <w:bookmarkStart w:id="1" w:name="LPHit2"/>
      <w:bookmarkEnd w:id="1"/>
      <w:r>
        <w:rPr>
          <w:lang w:eastAsia="en-ZA"/>
        </w:rPr>
        <w:t xml:space="preserve">mandament </w:t>
      </w:r>
      <w:r w:rsidRPr="00750C5D">
        <w:rPr>
          <w:lang w:eastAsia="en-ZA"/>
        </w:rPr>
        <w:t xml:space="preserve">consequential upon complainte is a guide to modern practice. If an applicant delayed for more than </w:t>
      </w:r>
      <w:r>
        <w:rPr>
          <w:lang w:eastAsia="en-ZA"/>
        </w:rPr>
        <w:t xml:space="preserve">a year </w:t>
      </w:r>
      <w:r w:rsidRPr="00750C5D">
        <w:rPr>
          <w:lang w:eastAsia="en-ZA"/>
        </w:rPr>
        <w:t xml:space="preserve">before bringing his application for a </w:t>
      </w:r>
      <w:bookmarkStart w:id="2" w:name="LPHit4"/>
      <w:bookmarkEnd w:id="2"/>
      <w:r>
        <w:rPr>
          <w:lang w:eastAsia="en-ZA"/>
        </w:rPr>
        <w:t xml:space="preserve">mandament </w:t>
      </w:r>
      <w:r w:rsidRPr="00750C5D">
        <w:rPr>
          <w:lang w:eastAsia="en-ZA"/>
        </w:rPr>
        <w:t>of spolie, there would have to be</w:t>
      </w:r>
      <w:r>
        <w:rPr>
          <w:lang w:eastAsia="en-ZA"/>
        </w:rPr>
        <w:t xml:space="preserve"> special considerations </w:t>
      </w:r>
      <w:r w:rsidRPr="00750C5D">
        <w:rPr>
          <w:lang w:eastAsia="en-ZA"/>
        </w:rPr>
        <w:t>present to allow such applicant to proceed with his application, and conversely, if an application was brought within the period of one</w:t>
      </w:r>
      <w:r>
        <w:rPr>
          <w:lang w:eastAsia="en-ZA"/>
        </w:rPr>
        <w:t xml:space="preserve"> year a</w:t>
      </w:r>
      <w:r w:rsidRPr="00750C5D">
        <w:rPr>
          <w:lang w:eastAsia="en-ZA"/>
        </w:rPr>
        <w:t>fter interruption of the possession,</w:t>
      </w:r>
      <w:r>
        <w:rPr>
          <w:lang w:eastAsia="en-ZA"/>
        </w:rPr>
        <w:t xml:space="preserve"> special </w:t>
      </w:r>
      <w:r w:rsidRPr="00750C5D">
        <w:rPr>
          <w:lang w:eastAsia="en-ZA"/>
        </w:rPr>
        <w:t xml:space="preserve">circumstances would have to be present before relief could be refused merely on the ground of excessive delay. </w:t>
      </w:r>
    </w:p>
    <w:p w14:paraId="29691038" w14:textId="3ED55639" w:rsidR="00852BFA" w:rsidRPr="00386A32" w:rsidRDefault="0046087F" w:rsidP="0046087F">
      <w:pPr>
        <w:pStyle w:val="LC1"/>
        <w:numPr>
          <w:ilvl w:val="0"/>
          <w:numId w:val="0"/>
        </w:numPr>
        <w:ind w:left="720" w:hanging="720"/>
      </w:pPr>
      <w:r w:rsidRPr="00386A32">
        <w:rPr>
          <w:rFonts w:cs="Arial"/>
          <w:szCs w:val="24"/>
        </w:rPr>
        <w:t>[34]</w:t>
      </w:r>
      <w:r w:rsidRPr="00386A32">
        <w:rPr>
          <w:rFonts w:cs="Arial"/>
          <w:szCs w:val="24"/>
        </w:rPr>
        <w:tab/>
      </w:r>
      <w:r w:rsidR="003C5CC2">
        <w:t xml:space="preserve">In reaching this conclusion, </w:t>
      </w:r>
      <w:r w:rsidR="002E2BCF">
        <w:t xml:space="preserve">Steyn J </w:t>
      </w:r>
      <w:r w:rsidR="003C5CC2">
        <w:t xml:space="preserve">observed in </w:t>
      </w:r>
      <w:r w:rsidR="002E2BCF" w:rsidRPr="005C495F">
        <w:rPr>
          <w:i/>
          <w:iCs/>
        </w:rPr>
        <w:t>Jivan</w:t>
      </w:r>
      <w:r w:rsidR="002E2BCF">
        <w:t xml:space="preserve"> </w:t>
      </w:r>
      <w:r w:rsidR="00ED1504">
        <w:t xml:space="preserve">that </w:t>
      </w:r>
      <w:r w:rsidR="003C5CC2">
        <w:t>“</w:t>
      </w:r>
      <w:r w:rsidR="003C5CC2" w:rsidRPr="005C495F">
        <w:rPr>
          <w:i/>
          <w:iCs/>
        </w:rPr>
        <w:t>the most pertinent, and really only pertinent authority in South African law on the question whether a spoliation order should be granted only to an applicant who acts promptly</w:t>
      </w:r>
      <w:r w:rsidR="003C5CC2">
        <w:t xml:space="preserve">” </w:t>
      </w:r>
      <w:r w:rsidR="009959CC">
        <w:t xml:space="preserve">is </w:t>
      </w:r>
      <w:r w:rsidR="00ED1504">
        <w:t xml:space="preserve">the judgment of Greenberg JA </w:t>
      </w:r>
      <w:r w:rsidR="002E2BCF">
        <w:t xml:space="preserve">in </w:t>
      </w:r>
      <w:r w:rsidR="00C3438C" w:rsidRPr="005C495F">
        <w:rPr>
          <w:i/>
          <w:iCs/>
        </w:rPr>
        <w:t>Nienaber v Stuckey</w:t>
      </w:r>
      <w:r w:rsidR="002E2BCF">
        <w:t>.</w:t>
      </w:r>
      <w:r w:rsidR="00C3438C">
        <w:t xml:space="preserve"> </w:t>
      </w:r>
      <w:r w:rsidR="009959CC">
        <w:t>In that case, h</w:t>
      </w:r>
      <w:r w:rsidR="00C3438C">
        <w:t xml:space="preserve">aving found that the applicant in the court </w:t>
      </w:r>
      <w:r w:rsidR="00C3438C" w:rsidRPr="003C5CC2">
        <w:t>a quo</w:t>
      </w:r>
      <w:r w:rsidR="00C3438C">
        <w:t xml:space="preserve"> had established the requirements for the </w:t>
      </w:r>
      <w:r w:rsidR="00C3438C" w:rsidRPr="003C5CC2">
        <w:t>mandament van spolie</w:t>
      </w:r>
      <w:r w:rsidR="00C3438C">
        <w:t xml:space="preserve">, </w:t>
      </w:r>
      <w:r w:rsidR="002E2BCF">
        <w:t xml:space="preserve">the Appellate Division </w:t>
      </w:r>
      <w:r w:rsidR="00C3438C">
        <w:t xml:space="preserve">had to consider the </w:t>
      </w:r>
      <w:r w:rsidR="00C3438C" w:rsidRPr="005C495F">
        <w:rPr>
          <w:rFonts w:eastAsia="Cambria"/>
        </w:rPr>
        <w:t xml:space="preserve">respondent’s contention that </w:t>
      </w:r>
      <w:r w:rsidR="00EE394F" w:rsidRPr="005C495F">
        <w:rPr>
          <w:rFonts w:eastAsia="Cambria"/>
        </w:rPr>
        <w:t xml:space="preserve">it should nevertheless not have been granted </w:t>
      </w:r>
      <w:r w:rsidR="00C3438C" w:rsidRPr="005C495F">
        <w:rPr>
          <w:rFonts w:eastAsia="Cambria"/>
        </w:rPr>
        <w:t xml:space="preserve">in circumstances where </w:t>
      </w:r>
      <w:r w:rsidR="00D92E07" w:rsidRPr="005C495F">
        <w:rPr>
          <w:rFonts w:eastAsia="Cambria"/>
        </w:rPr>
        <w:t xml:space="preserve">the applicant had </w:t>
      </w:r>
      <w:r w:rsidR="00C3438C" w:rsidRPr="005C495F">
        <w:rPr>
          <w:rFonts w:eastAsia="Cambria"/>
        </w:rPr>
        <w:t xml:space="preserve">delayed just over four months after the spoliation before </w:t>
      </w:r>
      <w:r w:rsidR="00D92E07" w:rsidRPr="005C495F">
        <w:rPr>
          <w:rFonts w:eastAsia="Cambria"/>
        </w:rPr>
        <w:t xml:space="preserve">delivering </w:t>
      </w:r>
      <w:r w:rsidR="00C3438C" w:rsidRPr="005C495F">
        <w:rPr>
          <w:rFonts w:eastAsia="Cambria"/>
        </w:rPr>
        <w:t xml:space="preserve">the spoliation application. </w:t>
      </w:r>
      <w:r w:rsidR="00386A32" w:rsidRPr="005C495F">
        <w:rPr>
          <w:rFonts w:eastAsia="Cambria"/>
        </w:rPr>
        <w:t xml:space="preserve">Greenberg JA </w:t>
      </w:r>
      <w:r w:rsidR="00C3438C" w:rsidRPr="005C495F">
        <w:rPr>
          <w:rFonts w:eastAsia="Cambria"/>
        </w:rPr>
        <w:t>rejected the submission, holding that “</w:t>
      </w:r>
      <w:r w:rsidR="00C3438C" w:rsidRPr="005C495F">
        <w:rPr>
          <w:rFonts w:eastAsia="Cambria"/>
          <w:i/>
          <w:iCs/>
        </w:rPr>
        <w:t>Wassenaer (Ch. 13, Art 1) makes the remedy available for a year</w:t>
      </w:r>
      <w:r w:rsidR="00386A32" w:rsidRPr="005C495F">
        <w:rPr>
          <w:rFonts w:eastAsia="Cambria"/>
        </w:rPr>
        <w:t xml:space="preserve">” and also referring to </w:t>
      </w:r>
      <w:r w:rsidR="00C3438C" w:rsidRPr="005C495F">
        <w:rPr>
          <w:rFonts w:eastAsia="Cambria"/>
        </w:rPr>
        <w:t>Voet 43.16.6 and 7</w:t>
      </w:r>
      <w:r w:rsidR="005C495F" w:rsidRPr="005C495F">
        <w:rPr>
          <w:rFonts w:eastAsia="Cambria"/>
        </w:rPr>
        <w:t>, but expressly left open “</w:t>
      </w:r>
      <w:r w:rsidR="005C495F" w:rsidRPr="005C495F">
        <w:rPr>
          <w:rFonts w:eastAsia="Cambria"/>
          <w:i/>
          <w:iCs/>
        </w:rPr>
        <w:t>the question whether the court has a discretion to refuse an application where, on account of the delay in bringing it, no relief of any value can be granted</w:t>
      </w:r>
      <w:r w:rsidR="005C495F">
        <w:rPr>
          <w:rFonts w:eastAsia="Cambria"/>
        </w:rPr>
        <w:t>”</w:t>
      </w:r>
      <w:r w:rsidR="005C495F" w:rsidRPr="005C495F">
        <w:rPr>
          <w:rFonts w:eastAsia="Cambria"/>
        </w:rPr>
        <w:t>.</w:t>
      </w:r>
      <w:r w:rsidR="005C495F">
        <w:rPr>
          <w:rStyle w:val="FootnoteReference"/>
          <w:rFonts w:eastAsia="Cambria"/>
        </w:rPr>
        <w:footnoteReference w:id="20"/>
      </w:r>
      <w:r w:rsidR="005C495F" w:rsidRPr="005C495F">
        <w:rPr>
          <w:rFonts w:eastAsia="Cambria"/>
        </w:rPr>
        <w:t xml:space="preserve"> </w:t>
      </w:r>
      <w:r w:rsidR="00C3438C" w:rsidRPr="005C495F">
        <w:rPr>
          <w:rFonts w:eastAsia="Cambria"/>
        </w:rPr>
        <w:t xml:space="preserve"> </w:t>
      </w:r>
    </w:p>
    <w:p w14:paraId="4A4DDADC" w14:textId="45C55832" w:rsidR="00914287" w:rsidRDefault="0046087F" w:rsidP="0046087F">
      <w:pPr>
        <w:pStyle w:val="LC1"/>
        <w:numPr>
          <w:ilvl w:val="0"/>
          <w:numId w:val="0"/>
        </w:numPr>
        <w:ind w:left="720" w:hanging="720"/>
      </w:pPr>
      <w:r>
        <w:rPr>
          <w:rFonts w:cs="Arial"/>
          <w:szCs w:val="24"/>
        </w:rPr>
        <w:t>[35]</w:t>
      </w:r>
      <w:r>
        <w:rPr>
          <w:rFonts w:cs="Arial"/>
          <w:szCs w:val="24"/>
        </w:rPr>
        <w:tab/>
      </w:r>
      <w:r w:rsidR="002E2BCF">
        <w:rPr>
          <w:rFonts w:eastAsia="Cambria"/>
        </w:rPr>
        <w:t>However</w:t>
      </w:r>
      <w:r w:rsidR="009959CC">
        <w:rPr>
          <w:rFonts w:eastAsia="Cambria"/>
        </w:rPr>
        <w:t>,</w:t>
      </w:r>
      <w:r w:rsidR="002E2BCF">
        <w:rPr>
          <w:rFonts w:eastAsia="Cambria"/>
        </w:rPr>
        <w:t xml:space="preserve"> </w:t>
      </w:r>
      <w:r w:rsidR="00386A32">
        <w:t xml:space="preserve">the </w:t>
      </w:r>
      <w:r w:rsidR="00AE7AAD">
        <w:t xml:space="preserve">authorities </w:t>
      </w:r>
      <w:r w:rsidR="00386A32">
        <w:t xml:space="preserve">referred </w:t>
      </w:r>
      <w:r w:rsidR="002E2BCF">
        <w:t xml:space="preserve">to by Greenberg JA </w:t>
      </w:r>
      <w:r w:rsidR="00386A32">
        <w:t xml:space="preserve">don’t deal with the </w:t>
      </w:r>
      <w:r w:rsidR="00623271" w:rsidRPr="00623271">
        <w:rPr>
          <w:i/>
          <w:iCs/>
        </w:rPr>
        <w:t>m</w:t>
      </w:r>
      <w:r w:rsidR="00386A32" w:rsidRPr="00623271">
        <w:rPr>
          <w:i/>
          <w:iCs/>
        </w:rPr>
        <w:t xml:space="preserve">andament van </w:t>
      </w:r>
      <w:r w:rsidR="00623271" w:rsidRPr="00623271">
        <w:rPr>
          <w:i/>
          <w:iCs/>
        </w:rPr>
        <w:t>s</w:t>
      </w:r>
      <w:r w:rsidR="00386A32" w:rsidRPr="00623271">
        <w:rPr>
          <w:i/>
          <w:iCs/>
        </w:rPr>
        <w:t>polie</w:t>
      </w:r>
      <w:r w:rsidR="00386A32">
        <w:t xml:space="preserve">. </w:t>
      </w:r>
      <w:r w:rsidR="00EE394F">
        <w:t>T</w:t>
      </w:r>
      <w:r w:rsidR="002526A8">
        <w:t xml:space="preserve">he </w:t>
      </w:r>
      <w:r w:rsidR="00386A32">
        <w:t>Wassenaer passage relate</w:t>
      </w:r>
      <w:r w:rsidR="00EE394F">
        <w:t>s</w:t>
      </w:r>
      <w:r w:rsidR="00386A32">
        <w:t xml:space="preserve"> to the </w:t>
      </w:r>
      <w:r w:rsidR="002E2BCF" w:rsidRPr="002E2BCF">
        <w:rPr>
          <w:i/>
          <w:iCs/>
        </w:rPr>
        <w:t>m</w:t>
      </w:r>
      <w:r w:rsidR="00386A32" w:rsidRPr="002E2BCF">
        <w:rPr>
          <w:i/>
          <w:iCs/>
        </w:rPr>
        <w:t xml:space="preserve">andament van </w:t>
      </w:r>
      <w:r w:rsidR="002E2BCF" w:rsidRPr="002E2BCF">
        <w:rPr>
          <w:i/>
          <w:iCs/>
        </w:rPr>
        <w:t>c</w:t>
      </w:r>
      <w:r w:rsidR="00386A32" w:rsidRPr="002E2BCF">
        <w:rPr>
          <w:i/>
          <w:iCs/>
        </w:rPr>
        <w:t>omplainte</w:t>
      </w:r>
      <w:r w:rsidR="00386A32">
        <w:t>,</w:t>
      </w:r>
      <w:r w:rsidR="001A5FA8">
        <w:t xml:space="preserve"> which fell into desuetude before being received into South African law</w:t>
      </w:r>
      <w:r w:rsidR="002526A8">
        <w:t xml:space="preserve"> </w:t>
      </w:r>
      <w:r w:rsidR="00EE394F">
        <w:t>and Kleyn points out that “</w:t>
      </w:r>
      <w:r w:rsidR="00EE394F" w:rsidRPr="00AE7AAD">
        <w:rPr>
          <w:i/>
          <w:iCs/>
        </w:rPr>
        <w:t>the authorities are silent about any time-</w:t>
      </w:r>
      <w:r w:rsidR="00EE394F" w:rsidRPr="00AE7AAD">
        <w:rPr>
          <w:i/>
          <w:iCs/>
        </w:rPr>
        <w:lastRenderedPageBreak/>
        <w:t xml:space="preserve">limit in regard to the bringing of the </w:t>
      </w:r>
      <w:r w:rsidR="00EE394F" w:rsidRPr="006235B2">
        <w:rPr>
          <w:i/>
          <w:iCs/>
        </w:rPr>
        <w:t>mandament van spolie</w:t>
      </w:r>
      <w:r w:rsidR="00EE394F">
        <w:t>”</w:t>
      </w:r>
      <w:r w:rsidR="001A5FA8">
        <w:t>.</w:t>
      </w:r>
      <w:r w:rsidR="001A5FA8">
        <w:rPr>
          <w:rStyle w:val="FootnoteReference"/>
        </w:rPr>
        <w:footnoteReference w:id="21"/>
      </w:r>
      <w:r w:rsidR="001A5FA8">
        <w:t xml:space="preserve"> </w:t>
      </w:r>
      <w:r w:rsidR="009A2270">
        <w:t xml:space="preserve">As for the </w:t>
      </w:r>
      <w:r w:rsidR="00386A32">
        <w:t>Voet passage</w:t>
      </w:r>
      <w:r w:rsidR="009A2270">
        <w:t>, it</w:t>
      </w:r>
      <w:r w:rsidR="00386A32">
        <w:t xml:space="preserve"> </w:t>
      </w:r>
      <w:r w:rsidR="002E2BCF">
        <w:t xml:space="preserve">appears </w:t>
      </w:r>
      <w:r w:rsidR="00FB66CD">
        <w:t xml:space="preserve">in </w:t>
      </w:r>
      <w:r w:rsidR="009626DB">
        <w:t xml:space="preserve">Book 43, Title 16, as part of </w:t>
      </w:r>
      <w:r w:rsidR="00FB66CD">
        <w:t xml:space="preserve">his discussion of </w:t>
      </w:r>
      <w:r w:rsidR="00386A32">
        <w:t xml:space="preserve">the </w:t>
      </w:r>
      <w:r w:rsidR="00914287">
        <w:t xml:space="preserve">Roman </w:t>
      </w:r>
      <w:r w:rsidR="001060FF">
        <w:t>l</w:t>
      </w:r>
      <w:r w:rsidR="00914287">
        <w:t>aw i</w:t>
      </w:r>
      <w:r w:rsidR="00386A32">
        <w:t xml:space="preserve">nterdict </w:t>
      </w:r>
      <w:r w:rsidR="009626DB">
        <w:rPr>
          <w:i/>
          <w:iCs/>
        </w:rPr>
        <w:t>U</w:t>
      </w:r>
      <w:r w:rsidR="00386A32" w:rsidRPr="009A2270">
        <w:rPr>
          <w:i/>
          <w:iCs/>
        </w:rPr>
        <w:t xml:space="preserve">nde </w:t>
      </w:r>
      <w:r w:rsidR="00914287" w:rsidRPr="009A2270">
        <w:rPr>
          <w:i/>
          <w:iCs/>
        </w:rPr>
        <w:t>v</w:t>
      </w:r>
      <w:r w:rsidR="00386A32" w:rsidRPr="009A2270">
        <w:rPr>
          <w:i/>
          <w:iCs/>
        </w:rPr>
        <w:t>i</w:t>
      </w:r>
      <w:r w:rsidR="001A5FA8">
        <w:t>,</w:t>
      </w:r>
      <w:r w:rsidR="009A2270">
        <w:rPr>
          <w:rStyle w:val="FootnoteReference"/>
        </w:rPr>
        <w:footnoteReference w:id="22"/>
      </w:r>
      <w:r w:rsidR="001A5FA8">
        <w:t xml:space="preserve"> </w:t>
      </w:r>
      <w:r w:rsidR="000E48CE">
        <w:t xml:space="preserve">whereas </w:t>
      </w:r>
      <w:r w:rsidR="001A5FA8">
        <w:t xml:space="preserve">the true source of the </w:t>
      </w:r>
      <w:r w:rsidR="00FB66CD" w:rsidRPr="002E2BCF">
        <w:rPr>
          <w:i/>
          <w:iCs/>
        </w:rPr>
        <w:t>mandament van spolie</w:t>
      </w:r>
      <w:r w:rsidR="00FB66CD">
        <w:t xml:space="preserve"> </w:t>
      </w:r>
      <w:r w:rsidR="001A5FA8">
        <w:t>as received into South African law</w:t>
      </w:r>
      <w:r w:rsidR="000E48CE">
        <w:t xml:space="preserve"> from Roman-Dutch law is probably not Roman law </w:t>
      </w:r>
      <w:r w:rsidR="009959CC">
        <w:t xml:space="preserve">at all </w:t>
      </w:r>
      <w:r w:rsidR="000E48CE">
        <w:t>but canon law</w:t>
      </w:r>
      <w:r w:rsidR="00914287">
        <w:t>.</w:t>
      </w:r>
      <w:r w:rsidR="00A018D3">
        <w:rPr>
          <w:rStyle w:val="FootnoteReference"/>
        </w:rPr>
        <w:footnoteReference w:id="23"/>
      </w:r>
      <w:r w:rsidR="00914287">
        <w:t xml:space="preserve"> </w:t>
      </w:r>
      <w:r w:rsidR="009959CC">
        <w:t>What is more</w:t>
      </w:r>
      <w:r w:rsidR="00FB66CD">
        <w:t>,</w:t>
      </w:r>
      <w:r w:rsidR="00914287">
        <w:t xml:space="preserve"> </w:t>
      </w:r>
      <w:r w:rsidR="009959CC">
        <w:t xml:space="preserve">in </w:t>
      </w:r>
      <w:r w:rsidR="009626DB">
        <w:t xml:space="preserve">section 7, </w:t>
      </w:r>
      <w:r w:rsidR="009959CC">
        <w:t xml:space="preserve">the portion where </w:t>
      </w:r>
      <w:r w:rsidR="00AE7AAD">
        <w:t xml:space="preserve">Voet </w:t>
      </w:r>
      <w:r w:rsidR="009959CC">
        <w:t xml:space="preserve">expressly </w:t>
      </w:r>
      <w:r w:rsidR="009626DB">
        <w:t xml:space="preserve">compares </w:t>
      </w:r>
      <w:r w:rsidR="009959CC">
        <w:t xml:space="preserve">the </w:t>
      </w:r>
      <w:r w:rsidR="009626DB">
        <w:t>much “</w:t>
      </w:r>
      <w:r w:rsidR="009626DB" w:rsidRPr="009626DB">
        <w:rPr>
          <w:i/>
          <w:iCs/>
        </w:rPr>
        <w:t>fuller</w:t>
      </w:r>
      <w:r w:rsidR="009626DB">
        <w:t>”</w:t>
      </w:r>
      <w:r w:rsidR="009959CC">
        <w:rPr>
          <w:rStyle w:val="FootnoteReference"/>
        </w:rPr>
        <w:footnoteReference w:id="24"/>
      </w:r>
      <w:r w:rsidR="009959CC">
        <w:t xml:space="preserve"> remedies that were subsequently developed in canon law, he </w:t>
      </w:r>
      <w:r w:rsidR="009626DB">
        <w:t xml:space="preserve">states </w:t>
      </w:r>
      <w:r w:rsidR="00914287">
        <w:t xml:space="preserve">that the one-year limitation </w:t>
      </w:r>
      <w:r w:rsidR="009959CC">
        <w:t xml:space="preserve">that applied to </w:t>
      </w:r>
      <w:r w:rsidR="00FB66CD">
        <w:t xml:space="preserve">the </w:t>
      </w:r>
      <w:r w:rsidR="000E48CE">
        <w:t xml:space="preserve">Roman </w:t>
      </w:r>
      <w:r w:rsidR="00FB66CD">
        <w:t>law remedies</w:t>
      </w:r>
      <w:r w:rsidR="00FB66CD" w:rsidRPr="009959CC">
        <w:rPr>
          <w:rStyle w:val="FootnoteReference"/>
        </w:rPr>
        <w:footnoteReference w:id="25"/>
      </w:r>
      <w:r w:rsidR="00914287">
        <w:t xml:space="preserve"> </w:t>
      </w:r>
      <w:r w:rsidR="003C5CC2">
        <w:t xml:space="preserve">does </w:t>
      </w:r>
      <w:r w:rsidR="009959CC">
        <w:t xml:space="preserve">not </w:t>
      </w:r>
      <w:r w:rsidR="001A5FA8">
        <w:t>apply</w:t>
      </w:r>
      <w:r w:rsidR="009959CC">
        <w:t xml:space="preserve"> </w:t>
      </w:r>
      <w:r w:rsidR="009626DB">
        <w:t xml:space="preserve">to </w:t>
      </w:r>
      <w:r w:rsidR="009959CC">
        <w:t>the Roma</w:t>
      </w:r>
      <w:r w:rsidR="009626DB">
        <w:t>n</w:t>
      </w:r>
      <w:r w:rsidR="009959CC">
        <w:t xml:space="preserve">-Dutch </w:t>
      </w:r>
      <w:r w:rsidR="00046BE9" w:rsidRPr="00046BE9">
        <w:t>remedies, which</w:t>
      </w:r>
      <w:r w:rsidR="00046BE9">
        <w:rPr>
          <w:i/>
          <w:iCs/>
        </w:rPr>
        <w:t xml:space="preserve"> </w:t>
      </w:r>
      <w:r w:rsidR="003C5CC2">
        <w:t xml:space="preserve">are </w:t>
      </w:r>
      <w:r w:rsidR="009959CC">
        <w:t xml:space="preserve">available </w:t>
      </w:r>
      <w:r w:rsidR="00FB66CD">
        <w:t>“</w:t>
      </w:r>
      <w:r w:rsidR="00FB66CD" w:rsidRPr="009A2270">
        <w:rPr>
          <w:i/>
          <w:iCs/>
        </w:rPr>
        <w:t>without discrimination of time</w:t>
      </w:r>
      <w:r w:rsidR="00FB66CD">
        <w:t>”</w:t>
      </w:r>
      <w:r w:rsidR="000E48CE">
        <w:t>.</w:t>
      </w:r>
      <w:r w:rsidR="001060FF">
        <w:rPr>
          <w:rStyle w:val="FootnoteReference"/>
        </w:rPr>
        <w:footnoteReference w:id="26"/>
      </w:r>
      <w:r w:rsidR="00914287">
        <w:t xml:space="preserve">  </w:t>
      </w:r>
    </w:p>
    <w:p w14:paraId="781970C9" w14:textId="16152F54" w:rsidR="00D747BE" w:rsidRDefault="0046087F" w:rsidP="0046087F">
      <w:pPr>
        <w:pStyle w:val="LC1"/>
        <w:numPr>
          <w:ilvl w:val="0"/>
          <w:numId w:val="0"/>
        </w:numPr>
        <w:ind w:left="720" w:hanging="720"/>
      </w:pPr>
      <w:r>
        <w:rPr>
          <w:rFonts w:cs="Arial"/>
          <w:szCs w:val="24"/>
        </w:rPr>
        <w:t>[36]</w:t>
      </w:r>
      <w:r>
        <w:rPr>
          <w:rFonts w:cs="Arial"/>
          <w:szCs w:val="24"/>
        </w:rPr>
        <w:tab/>
      </w:r>
      <w:r w:rsidR="006F5E55">
        <w:t xml:space="preserve">In </w:t>
      </w:r>
      <w:r w:rsidR="006F5E55" w:rsidRPr="006F5E55">
        <w:rPr>
          <w:i/>
          <w:iCs/>
        </w:rPr>
        <w:t>Jivan</w:t>
      </w:r>
      <w:r w:rsidR="001F3B39">
        <w:t>,</w:t>
      </w:r>
      <w:r w:rsidR="006F5E55" w:rsidRPr="006F5E55">
        <w:rPr>
          <w:i/>
          <w:iCs/>
        </w:rPr>
        <w:t xml:space="preserve"> </w:t>
      </w:r>
      <w:r w:rsidR="006F5E55">
        <w:t xml:space="preserve">Steyn J considered </w:t>
      </w:r>
      <w:r w:rsidR="00EE394F">
        <w:t xml:space="preserve">the </w:t>
      </w:r>
      <w:r w:rsidR="001F3B39">
        <w:t>slightly different proposition</w:t>
      </w:r>
      <w:r w:rsidR="00D92E07">
        <w:t xml:space="preserve"> (probably advanced </w:t>
      </w:r>
      <w:r w:rsidR="00EE394F">
        <w:t xml:space="preserve">on the basis of </w:t>
      </w:r>
      <w:r w:rsidR="00AE7AAD">
        <w:t xml:space="preserve">an overinterpretation of </w:t>
      </w:r>
      <w:r w:rsidR="00EE394F">
        <w:t xml:space="preserve">Greenberg JA’s remark in </w:t>
      </w:r>
      <w:r w:rsidR="00D92E07" w:rsidRPr="00D92E07">
        <w:rPr>
          <w:i/>
          <w:iCs/>
        </w:rPr>
        <w:t>Nienaber v Stuckey</w:t>
      </w:r>
      <w:r w:rsidR="00D92E07">
        <w:t>)</w:t>
      </w:r>
      <w:r w:rsidR="001F3B39">
        <w:t xml:space="preserve">, namely </w:t>
      </w:r>
      <w:r w:rsidR="006F5E55">
        <w:t>that there is a bar of one year</w:t>
      </w:r>
      <w:r w:rsidR="00D92E07">
        <w:t xml:space="preserve"> on the </w:t>
      </w:r>
      <w:r w:rsidR="00D92E07" w:rsidRPr="006F5E55">
        <w:rPr>
          <w:i/>
          <w:iCs/>
        </w:rPr>
        <w:t>mandament van spolie</w:t>
      </w:r>
      <w:r w:rsidR="00D92E07">
        <w:t>,</w:t>
      </w:r>
      <w:r w:rsidR="006F5E55">
        <w:t xml:space="preserve"> after which </w:t>
      </w:r>
      <w:r w:rsidR="00D92E07">
        <w:t xml:space="preserve">it </w:t>
      </w:r>
      <w:r w:rsidR="006F5E55">
        <w:t>may not be brought</w:t>
      </w:r>
      <w:r w:rsidR="00EE394F">
        <w:t xml:space="preserve"> at all</w:t>
      </w:r>
      <w:r w:rsidR="006F5E55">
        <w:t xml:space="preserve">. </w:t>
      </w:r>
      <w:r w:rsidR="00D747BE">
        <w:t xml:space="preserve">The </w:t>
      </w:r>
      <w:r w:rsidR="006F5E55">
        <w:t>learned judge rejected this</w:t>
      </w:r>
      <w:r w:rsidR="00D92E07">
        <w:t xml:space="preserve"> – </w:t>
      </w:r>
      <w:r w:rsidR="001F3B39">
        <w:t>correctly</w:t>
      </w:r>
      <w:r w:rsidR="00D92E07">
        <w:t xml:space="preserve"> </w:t>
      </w:r>
      <w:r w:rsidR="001F3B39">
        <w:t xml:space="preserve">in </w:t>
      </w:r>
      <w:r w:rsidR="00D92E07">
        <w:t xml:space="preserve">my </w:t>
      </w:r>
      <w:r w:rsidR="001F3B39">
        <w:t>view</w:t>
      </w:r>
      <w:r w:rsidR="00D92E07">
        <w:t>,</w:t>
      </w:r>
      <w:r w:rsidR="001F3B39">
        <w:t xml:space="preserve"> given what I have noted above</w:t>
      </w:r>
      <w:r w:rsidR="00D747BE">
        <w:t>.</w:t>
      </w:r>
      <w:r w:rsidR="006F5E55" w:rsidRPr="006F5E55">
        <w:t xml:space="preserve"> </w:t>
      </w:r>
    </w:p>
    <w:p w14:paraId="42BDCC47" w14:textId="752135AD" w:rsidR="0058177B" w:rsidRPr="00212E65" w:rsidRDefault="0046087F" w:rsidP="0046087F">
      <w:pPr>
        <w:pStyle w:val="LC1"/>
        <w:numPr>
          <w:ilvl w:val="0"/>
          <w:numId w:val="0"/>
        </w:numPr>
        <w:ind w:left="720" w:hanging="720"/>
      </w:pPr>
      <w:r w:rsidRPr="00212E65">
        <w:rPr>
          <w:rFonts w:cs="Arial"/>
          <w:szCs w:val="24"/>
        </w:rPr>
        <w:t>[37]</w:t>
      </w:r>
      <w:r w:rsidRPr="00212E65">
        <w:rPr>
          <w:rFonts w:cs="Arial"/>
          <w:szCs w:val="24"/>
        </w:rPr>
        <w:tab/>
      </w:r>
      <w:r w:rsidR="001F3B39" w:rsidRPr="00212E65">
        <w:t>As is apparent from the portion of the judgment quote</w:t>
      </w:r>
      <w:r w:rsidR="00D92E07">
        <w:t>d</w:t>
      </w:r>
      <w:r w:rsidR="001F3B39" w:rsidRPr="00212E65">
        <w:t xml:space="preserve"> above, however, Steyn J </w:t>
      </w:r>
      <w:r w:rsidR="00D93D1C">
        <w:t>found that the court does indeed have “</w:t>
      </w:r>
      <w:r w:rsidR="00D93D1C" w:rsidRPr="00D93D1C">
        <w:rPr>
          <w:i/>
          <w:iCs/>
        </w:rPr>
        <w:t>a discretion to refuse an application where, on account of the delay in bringing it, no relief of any practical value can be granted at the time of the hearing of such application</w:t>
      </w:r>
      <w:r w:rsidR="00D93D1C">
        <w:t xml:space="preserve">”. In addition, he went further and </w:t>
      </w:r>
      <w:r w:rsidR="001F3B39" w:rsidRPr="00212E65">
        <w:t xml:space="preserve">laid down what </w:t>
      </w:r>
      <w:r w:rsidR="00D92E07">
        <w:t xml:space="preserve">might be called </w:t>
      </w:r>
      <w:r w:rsidR="001F3B39" w:rsidRPr="00212E65">
        <w:t>a ‘rule of thumb’</w:t>
      </w:r>
      <w:r w:rsidR="00D93D1C">
        <w:t xml:space="preserve"> for the exercise of this discretion</w:t>
      </w:r>
      <w:r w:rsidR="001F3B39" w:rsidRPr="00212E65">
        <w:t xml:space="preserve">, namely </w:t>
      </w:r>
      <w:r w:rsidR="006F5E55" w:rsidRPr="00212E65">
        <w:t xml:space="preserve">that </w:t>
      </w:r>
      <w:r w:rsidR="00D92E07">
        <w:t xml:space="preserve">the </w:t>
      </w:r>
      <w:r w:rsidR="001F3B39" w:rsidRPr="00212E65">
        <w:t>one</w:t>
      </w:r>
      <w:r w:rsidR="00D92E07">
        <w:t>-</w:t>
      </w:r>
      <w:r w:rsidR="001F3B39" w:rsidRPr="00212E65">
        <w:t xml:space="preserve">year </w:t>
      </w:r>
      <w:r w:rsidR="00D92E07">
        <w:t xml:space="preserve">period </w:t>
      </w:r>
      <w:r w:rsidR="006F5E55" w:rsidRPr="00212E65">
        <w:t xml:space="preserve">should be regarded as a guide to modern practice as regards the </w:t>
      </w:r>
      <w:r w:rsidR="006F5E55" w:rsidRPr="00D93D1C">
        <w:rPr>
          <w:i/>
          <w:iCs/>
        </w:rPr>
        <w:t>mandament van spolie</w:t>
      </w:r>
      <w:r w:rsidR="006F5E55" w:rsidRPr="00212E65">
        <w:t xml:space="preserve"> in the sense that</w:t>
      </w:r>
      <w:r w:rsidR="001F3B39" w:rsidRPr="00212E65">
        <w:t>,</w:t>
      </w:r>
      <w:r w:rsidR="006F5E55" w:rsidRPr="00212E65">
        <w:t xml:space="preserve"> while the court is not necessarily bound to refuse </w:t>
      </w:r>
      <w:r w:rsidR="001F3B39" w:rsidRPr="00212E65">
        <w:t xml:space="preserve">a spoliation </w:t>
      </w:r>
      <w:r w:rsidR="006F5E55" w:rsidRPr="00212E65">
        <w:t xml:space="preserve">order </w:t>
      </w:r>
      <w:r w:rsidR="006F5E55" w:rsidRPr="00212E65">
        <w:lastRenderedPageBreak/>
        <w:t xml:space="preserve">sought after a year, or to allow </w:t>
      </w:r>
      <w:r w:rsidR="001F3B39" w:rsidRPr="00212E65">
        <w:t xml:space="preserve">one </w:t>
      </w:r>
      <w:r w:rsidR="006F5E55" w:rsidRPr="00212E65">
        <w:t>if less than a full year ha</w:t>
      </w:r>
      <w:r w:rsidR="001F3B39" w:rsidRPr="00212E65">
        <w:t>s</w:t>
      </w:r>
      <w:r w:rsidR="006F5E55" w:rsidRPr="00212E65">
        <w:t xml:space="preserve"> elapsed</w:t>
      </w:r>
      <w:r w:rsidR="0058177B" w:rsidRPr="00212E65">
        <w:t>,</w:t>
      </w:r>
      <w:r w:rsidR="006F5E55" w:rsidRPr="00212E65">
        <w:t xml:space="preserve"> </w:t>
      </w:r>
      <w:r w:rsidR="0058177B" w:rsidRPr="00212E65">
        <w:t xml:space="preserve">special circumstances had to be shown before the court would </w:t>
      </w:r>
      <w:r w:rsidR="00D92E07">
        <w:t>decide otherwise</w:t>
      </w:r>
      <w:r w:rsidR="0058177B" w:rsidRPr="00212E65">
        <w:t>.</w:t>
      </w:r>
      <w:r w:rsidR="00AF0EBD" w:rsidRPr="00212E65">
        <w:t xml:space="preserve"> </w:t>
      </w:r>
    </w:p>
    <w:p w14:paraId="41EACF5B" w14:textId="04601563" w:rsidR="00CD4858" w:rsidRDefault="0046087F" w:rsidP="0046087F">
      <w:pPr>
        <w:pStyle w:val="LC1"/>
        <w:numPr>
          <w:ilvl w:val="0"/>
          <w:numId w:val="0"/>
        </w:numPr>
        <w:ind w:left="720" w:hanging="720"/>
      </w:pPr>
      <w:r>
        <w:rPr>
          <w:rFonts w:cs="Arial"/>
          <w:szCs w:val="24"/>
        </w:rPr>
        <w:t>[38]</w:t>
      </w:r>
      <w:r>
        <w:rPr>
          <w:rFonts w:cs="Arial"/>
          <w:szCs w:val="24"/>
        </w:rPr>
        <w:tab/>
      </w:r>
      <w:r w:rsidR="00D93D1C">
        <w:t xml:space="preserve">The </w:t>
      </w:r>
      <w:r w:rsidR="00CD4858" w:rsidRPr="00CD4858">
        <w:rPr>
          <w:i/>
          <w:iCs/>
        </w:rPr>
        <w:t>Jivan</w:t>
      </w:r>
      <w:r w:rsidR="00CD4858">
        <w:t xml:space="preserve"> </w:t>
      </w:r>
      <w:r w:rsidR="00D93D1C">
        <w:t xml:space="preserve">formulation </w:t>
      </w:r>
      <w:r w:rsidR="00CD4858">
        <w:t>is commonly repeated in both the caselaw</w:t>
      </w:r>
      <w:r w:rsidR="00CD4858">
        <w:rPr>
          <w:rStyle w:val="FootnoteReference"/>
        </w:rPr>
        <w:footnoteReference w:id="27"/>
      </w:r>
      <w:r w:rsidR="00CD4858">
        <w:t xml:space="preserve"> and academic literature,</w:t>
      </w:r>
      <w:r w:rsidR="00CD4858">
        <w:rPr>
          <w:rStyle w:val="FootnoteReference"/>
        </w:rPr>
        <w:footnoteReference w:id="28"/>
      </w:r>
      <w:r w:rsidR="00CD4858">
        <w:t xml:space="preserve"> and seems </w:t>
      </w:r>
      <w:r w:rsidR="006235B2">
        <w:t xml:space="preserve">in many instances to </w:t>
      </w:r>
      <w:r w:rsidR="00CD4858">
        <w:t xml:space="preserve">have been </w:t>
      </w:r>
      <w:r w:rsidR="006235B2">
        <w:t xml:space="preserve">uncritically </w:t>
      </w:r>
      <w:r w:rsidR="00CD4858">
        <w:t>accepted</w:t>
      </w:r>
      <w:r w:rsidR="006235B2">
        <w:t xml:space="preserve"> </w:t>
      </w:r>
      <w:r w:rsidR="00CD4858">
        <w:t>as a rule of modern South African law.</w:t>
      </w:r>
    </w:p>
    <w:p w14:paraId="5A885C65" w14:textId="6BE9D367" w:rsidR="00D93D1C" w:rsidRDefault="0046087F" w:rsidP="0046087F">
      <w:pPr>
        <w:pStyle w:val="LC1"/>
        <w:numPr>
          <w:ilvl w:val="0"/>
          <w:numId w:val="0"/>
        </w:numPr>
        <w:ind w:left="720" w:hanging="720"/>
      </w:pPr>
      <w:r>
        <w:rPr>
          <w:rFonts w:cs="Arial"/>
          <w:szCs w:val="24"/>
        </w:rPr>
        <w:t>[39]</w:t>
      </w:r>
      <w:r>
        <w:rPr>
          <w:rFonts w:cs="Arial"/>
          <w:szCs w:val="24"/>
        </w:rPr>
        <w:tab/>
      </w:r>
      <w:r w:rsidR="00AD7630">
        <w:t xml:space="preserve">A legal remedy that does not involve the determination of the parties’ legal rights must, by its very nature, be discretionary and </w:t>
      </w:r>
      <w:r w:rsidR="00D93D1C">
        <w:t xml:space="preserve">I agree (for the </w:t>
      </w:r>
      <w:r w:rsidR="00AD7630">
        <w:t xml:space="preserve">further </w:t>
      </w:r>
      <w:r w:rsidR="00D93D1C">
        <w:t>reasons and in the specific sense set out below), that the court has the discretion described by Steyn J</w:t>
      </w:r>
      <w:r w:rsidR="00AD7630">
        <w:t>.</w:t>
      </w:r>
      <w:r w:rsidR="00D93D1C">
        <w:t xml:space="preserve"> I do not</w:t>
      </w:r>
      <w:r w:rsidR="00AD7630">
        <w:t>, however,</w:t>
      </w:r>
      <w:r w:rsidR="00D93D1C">
        <w:t xml:space="preserve"> support the rule of thumb </w:t>
      </w:r>
      <w:r w:rsidR="00D93D1C" w:rsidRPr="00212E65">
        <w:t>approach</w:t>
      </w:r>
      <w:r w:rsidR="00D93D1C">
        <w:t>, which is</w:t>
      </w:r>
      <w:r w:rsidR="00D93D1C" w:rsidRPr="00212E65">
        <w:t xml:space="preserve"> not founded on any </w:t>
      </w:r>
      <w:r w:rsidR="00D93D1C">
        <w:t xml:space="preserve">clear </w:t>
      </w:r>
      <w:r w:rsidR="00D93D1C" w:rsidRPr="00212E65">
        <w:t>authority</w:t>
      </w:r>
      <w:r w:rsidR="00AD7630">
        <w:t>,</w:t>
      </w:r>
      <w:r w:rsidR="00D93D1C">
        <w:t xml:space="preserve"> and </w:t>
      </w:r>
      <w:r w:rsidR="00AD7630">
        <w:t xml:space="preserve">for which I have been unable to </w:t>
      </w:r>
      <w:r w:rsidR="00D93D1C">
        <w:t>identify any underlying jurisprudential basis</w:t>
      </w:r>
      <w:r w:rsidR="00D93D1C" w:rsidRPr="00212E65">
        <w:t>.</w:t>
      </w:r>
    </w:p>
    <w:p w14:paraId="1C4AC2E8" w14:textId="215F9BD4" w:rsidR="005C0C78" w:rsidRDefault="0046087F" w:rsidP="0046087F">
      <w:pPr>
        <w:pStyle w:val="LC1"/>
        <w:numPr>
          <w:ilvl w:val="0"/>
          <w:numId w:val="0"/>
        </w:numPr>
        <w:ind w:left="720" w:hanging="720"/>
      </w:pPr>
      <w:r>
        <w:rPr>
          <w:rFonts w:cs="Arial"/>
          <w:szCs w:val="24"/>
        </w:rPr>
        <w:t>[40]</w:t>
      </w:r>
      <w:r>
        <w:rPr>
          <w:rFonts w:cs="Arial"/>
          <w:szCs w:val="24"/>
        </w:rPr>
        <w:tab/>
      </w:r>
      <w:r w:rsidR="00212E65">
        <w:t>I</w:t>
      </w:r>
      <w:r w:rsidR="00A83D8E">
        <w:t xml:space="preserve">t is in my view inappropriate to lay down </w:t>
      </w:r>
      <w:r w:rsidR="00212E65">
        <w:t xml:space="preserve">either a ‘rule of thumb’ or </w:t>
      </w:r>
      <w:r w:rsidR="00A83D8E">
        <w:t xml:space="preserve">a </w:t>
      </w:r>
      <w:r w:rsidR="00212E65">
        <w:t>‘</w:t>
      </w:r>
      <w:r w:rsidR="00A83D8E">
        <w:t>hard and fast</w:t>
      </w:r>
      <w:r w:rsidR="00212E65">
        <w:t>’</w:t>
      </w:r>
      <w:r w:rsidR="00A83D8E">
        <w:t xml:space="preserve"> rule regarding the </w:t>
      </w:r>
      <w:r w:rsidR="00F55584">
        <w:t xml:space="preserve">time within which the </w:t>
      </w:r>
      <w:r w:rsidR="00D93D1C" w:rsidRPr="00D93D1C">
        <w:rPr>
          <w:i/>
          <w:iCs/>
        </w:rPr>
        <w:t>m</w:t>
      </w:r>
      <w:r w:rsidR="00F55584" w:rsidRPr="00D93D1C">
        <w:rPr>
          <w:i/>
          <w:iCs/>
        </w:rPr>
        <w:t>andament van spolie</w:t>
      </w:r>
      <w:r w:rsidR="00F55584">
        <w:t xml:space="preserve"> must be brought and the </w:t>
      </w:r>
      <w:r w:rsidR="00A83D8E">
        <w:t xml:space="preserve">nature of the onus that the applicant is </w:t>
      </w:r>
      <w:r w:rsidR="00F55584">
        <w:t xml:space="preserve">consequently </w:t>
      </w:r>
      <w:r w:rsidR="00A83D8E">
        <w:t xml:space="preserve">required to discharge. </w:t>
      </w:r>
      <w:r w:rsidR="00E57B02">
        <w:t xml:space="preserve">As Professor Sonnekus </w:t>
      </w:r>
      <w:r w:rsidR="005C0C78">
        <w:t xml:space="preserve">has </w:t>
      </w:r>
      <w:r w:rsidR="00E57B02">
        <w:t>observed</w:t>
      </w:r>
      <w:r w:rsidR="005C0C78">
        <w:t xml:space="preserve">, reference to </w:t>
      </w:r>
      <w:r w:rsidR="00EE394F">
        <w:t xml:space="preserve">the </w:t>
      </w:r>
      <w:r w:rsidR="005C0C78">
        <w:t>“</w:t>
      </w:r>
      <w:r w:rsidR="00EE394F" w:rsidRPr="005C0C78">
        <w:rPr>
          <w:i/>
          <w:iCs/>
        </w:rPr>
        <w:t>sogenaamde een jaar-reel</w:t>
      </w:r>
      <w:r w:rsidR="005C0C78">
        <w:t xml:space="preserve">” wrongly evokes the </w:t>
      </w:r>
      <w:r w:rsidR="00A83D71">
        <w:t xml:space="preserve">concept </w:t>
      </w:r>
      <w:r w:rsidR="005C0C78">
        <w:t xml:space="preserve">of </w:t>
      </w:r>
      <w:r w:rsidR="00EE394F">
        <w:t xml:space="preserve">prescription of </w:t>
      </w:r>
      <w:r w:rsidR="005C0C78">
        <w:t>right</w:t>
      </w:r>
      <w:r w:rsidR="00EE394F">
        <w:t>s</w:t>
      </w:r>
      <w:r w:rsidR="00A83D71">
        <w:t xml:space="preserve"> of action</w:t>
      </w:r>
      <w:r w:rsidR="00EE394F">
        <w:t xml:space="preserve">, </w:t>
      </w:r>
      <w:r w:rsidR="00A83D71">
        <w:t xml:space="preserve">with which </w:t>
      </w:r>
      <w:r w:rsidR="00EE394F">
        <w:t xml:space="preserve">the </w:t>
      </w:r>
      <w:r w:rsidR="00A83D71" w:rsidRPr="00A83D71">
        <w:rPr>
          <w:i/>
          <w:iCs/>
        </w:rPr>
        <w:t>mandament</w:t>
      </w:r>
      <w:r w:rsidR="00A83D71">
        <w:t xml:space="preserve"> is not concerned.</w:t>
      </w:r>
      <w:r w:rsidR="005C0C78">
        <w:rPr>
          <w:rStyle w:val="FootnoteReference"/>
        </w:rPr>
        <w:footnoteReference w:id="29"/>
      </w:r>
      <w:r w:rsidR="005C0C78">
        <w:t xml:space="preserve"> Once again, it bears emphasis that the </w:t>
      </w:r>
      <w:r w:rsidR="005C0C78" w:rsidRPr="00A83D71">
        <w:rPr>
          <w:i/>
          <w:iCs/>
        </w:rPr>
        <w:t>mandament van spolie</w:t>
      </w:r>
      <w:r w:rsidR="005C0C78">
        <w:t xml:space="preserve"> is a remedy that “</w:t>
      </w:r>
      <w:r w:rsidR="005C0C78" w:rsidRPr="00A83D71">
        <w:rPr>
          <w:i/>
          <w:iCs/>
        </w:rPr>
        <w:t xml:space="preserve">protects bare </w:t>
      </w:r>
      <w:r w:rsidR="005C0C78" w:rsidRPr="00A83D71">
        <w:rPr>
          <w:i/>
          <w:iCs/>
        </w:rPr>
        <w:lastRenderedPageBreak/>
        <w:t>factual possession (ius pos</w:t>
      </w:r>
      <w:r w:rsidR="006235B2">
        <w:rPr>
          <w:i/>
          <w:iCs/>
        </w:rPr>
        <w:t>s</w:t>
      </w:r>
      <w:r w:rsidR="005C0C78" w:rsidRPr="00A83D71">
        <w:rPr>
          <w:i/>
          <w:iCs/>
        </w:rPr>
        <w:t>essionis) rather than the right to be in possession (ius possidendi)</w:t>
      </w:r>
      <w:r w:rsidR="00A83D71">
        <w:t>”</w:t>
      </w:r>
      <w:r w:rsidR="005C0C78">
        <w:t>.</w:t>
      </w:r>
      <w:r w:rsidR="005C0C78">
        <w:rPr>
          <w:rStyle w:val="FootnoteReference"/>
        </w:rPr>
        <w:footnoteReference w:id="30"/>
      </w:r>
      <w:r w:rsidR="005C0C78">
        <w:t xml:space="preserve"> </w:t>
      </w:r>
    </w:p>
    <w:p w14:paraId="5DEFCA97" w14:textId="010E6C5B" w:rsidR="00E23DEC" w:rsidRDefault="0046087F" w:rsidP="0046087F">
      <w:pPr>
        <w:pStyle w:val="LC1"/>
        <w:numPr>
          <w:ilvl w:val="0"/>
          <w:numId w:val="0"/>
        </w:numPr>
        <w:ind w:left="720" w:hanging="720"/>
      </w:pPr>
      <w:r>
        <w:rPr>
          <w:rFonts w:cs="Arial"/>
          <w:szCs w:val="24"/>
        </w:rPr>
        <w:t>[41]</w:t>
      </w:r>
      <w:r>
        <w:rPr>
          <w:rFonts w:cs="Arial"/>
          <w:szCs w:val="24"/>
        </w:rPr>
        <w:tab/>
      </w:r>
      <w:r w:rsidR="00212E65">
        <w:t xml:space="preserve">A </w:t>
      </w:r>
      <w:r w:rsidR="00F55584">
        <w:t xml:space="preserve">better </w:t>
      </w:r>
      <w:r w:rsidR="00212E65">
        <w:t>approach</w:t>
      </w:r>
      <w:r w:rsidR="00D92E07">
        <w:t>,</w:t>
      </w:r>
      <w:r w:rsidR="00212E65">
        <w:t xml:space="preserve"> </w:t>
      </w:r>
      <w:r w:rsidR="00A83D71">
        <w:t xml:space="preserve">which </w:t>
      </w:r>
      <w:r w:rsidR="00212E65">
        <w:t>in my view</w:t>
      </w:r>
      <w:r w:rsidR="00A83D71">
        <w:t xml:space="preserve"> accords with both authority and principle</w:t>
      </w:r>
      <w:r w:rsidR="00D92E07">
        <w:t>,</w:t>
      </w:r>
      <w:r w:rsidR="00212E65">
        <w:t xml:space="preserve"> is </w:t>
      </w:r>
      <w:r w:rsidR="00E57B02">
        <w:t xml:space="preserve">reflected in a number of judgments and academic writings that treat </w:t>
      </w:r>
      <w:r w:rsidR="00A83D8E">
        <w:t xml:space="preserve">the question of delay </w:t>
      </w:r>
      <w:r w:rsidR="00E57B02">
        <w:t xml:space="preserve">as </w:t>
      </w:r>
      <w:r w:rsidR="00D92E07">
        <w:t xml:space="preserve">one that falls to be </w:t>
      </w:r>
      <w:r w:rsidR="00CD4858">
        <w:t xml:space="preserve">judged </w:t>
      </w:r>
      <w:r w:rsidR="00D92E07">
        <w:t xml:space="preserve">in the specific factual circumstances of each case </w:t>
      </w:r>
      <w:r w:rsidR="00212E65">
        <w:t xml:space="preserve">against </w:t>
      </w:r>
      <w:r w:rsidR="00D92E07">
        <w:t xml:space="preserve">the </w:t>
      </w:r>
      <w:r w:rsidR="00212E65">
        <w:t>objective standard of reasonableness</w:t>
      </w:r>
      <w:r w:rsidR="00A83D8E">
        <w:t xml:space="preserve">. </w:t>
      </w:r>
      <w:r w:rsidR="00F55584">
        <w:t xml:space="preserve">It </w:t>
      </w:r>
      <w:r w:rsidR="00282BDA">
        <w:t xml:space="preserve">is best stated by </w:t>
      </w:r>
      <w:r w:rsidR="005C0C78">
        <w:t>Van der Merwe</w:t>
      </w:r>
      <w:r w:rsidR="00282BDA">
        <w:t xml:space="preserve"> as follows: </w:t>
      </w:r>
      <w:r w:rsidR="00A84E70">
        <w:t>“</w:t>
      </w:r>
      <w:r w:rsidR="00A84E70" w:rsidRPr="00A84E70">
        <w:rPr>
          <w:i/>
          <w:iCs/>
        </w:rPr>
        <w:t>the mandament van spolie must be instituted within a reasonable time</w:t>
      </w:r>
      <w:r w:rsidR="00A84E70">
        <w:t>”</w:t>
      </w:r>
      <w:r w:rsidR="00A84E70">
        <w:rPr>
          <w:rStyle w:val="FootnoteReference"/>
        </w:rPr>
        <w:footnoteReference w:id="31"/>
      </w:r>
      <w:r w:rsidR="00A83D71">
        <w:t xml:space="preserve"> and has been identified (if not </w:t>
      </w:r>
      <w:r w:rsidR="004B6B3A">
        <w:t xml:space="preserve">always </w:t>
      </w:r>
      <w:r w:rsidR="00A83D71">
        <w:t>correctly applied) as the relevant standard in a number of judgments.</w:t>
      </w:r>
      <w:r w:rsidR="00A83D71">
        <w:rPr>
          <w:rStyle w:val="FootnoteReference"/>
        </w:rPr>
        <w:footnoteReference w:id="32"/>
      </w:r>
      <w:r w:rsidR="008E2E31">
        <w:t xml:space="preserve"> </w:t>
      </w:r>
    </w:p>
    <w:p w14:paraId="70359850" w14:textId="73F7B602" w:rsidR="00981805" w:rsidRDefault="0046087F" w:rsidP="0046087F">
      <w:pPr>
        <w:pStyle w:val="LC1"/>
        <w:numPr>
          <w:ilvl w:val="0"/>
          <w:numId w:val="0"/>
        </w:numPr>
        <w:ind w:left="720" w:hanging="720"/>
      </w:pPr>
      <w:r>
        <w:rPr>
          <w:rFonts w:cs="Arial"/>
          <w:szCs w:val="24"/>
        </w:rPr>
        <w:t>[42]</w:t>
      </w:r>
      <w:r>
        <w:rPr>
          <w:rFonts w:cs="Arial"/>
          <w:szCs w:val="24"/>
        </w:rPr>
        <w:tab/>
      </w:r>
      <w:r w:rsidR="00B67600">
        <w:t xml:space="preserve">The time-sensitive nature of the </w:t>
      </w:r>
      <w:r w:rsidR="00981805" w:rsidRPr="00981805">
        <w:rPr>
          <w:i/>
          <w:iCs/>
        </w:rPr>
        <w:t>mandament van spolie</w:t>
      </w:r>
      <w:r w:rsidR="00981805">
        <w:t xml:space="preserve"> </w:t>
      </w:r>
      <w:r w:rsidR="00B67600">
        <w:t xml:space="preserve">is encapsulated in the maxim that was said to give rise to the remedy </w:t>
      </w:r>
      <w:r w:rsidR="00981805">
        <w:t xml:space="preserve">in the earliest reported case that I have been able to locate in </w:t>
      </w:r>
      <w:r w:rsidR="00B67600">
        <w:t xml:space="preserve">which it was recognised </w:t>
      </w:r>
      <w:r w:rsidR="00981805">
        <w:t xml:space="preserve">in </w:t>
      </w:r>
      <w:r w:rsidR="00B67600">
        <w:t>South Africa</w:t>
      </w:r>
      <w:r w:rsidR="00981805">
        <w:rPr>
          <w:rStyle w:val="FootnoteReference"/>
        </w:rPr>
        <w:footnoteReference w:id="33"/>
      </w:r>
      <w:r w:rsidR="00981805">
        <w:t xml:space="preserve"> </w:t>
      </w:r>
      <w:r w:rsidR="00981805" w:rsidRPr="00981805">
        <w:t>and which continues</w:t>
      </w:r>
      <w:r w:rsidR="00981805">
        <w:t xml:space="preserve"> to be recognised as its animating principle almost 175 years later:</w:t>
      </w:r>
      <w:r w:rsidR="00981805">
        <w:rPr>
          <w:rStyle w:val="FootnoteReference"/>
        </w:rPr>
        <w:footnoteReference w:id="34"/>
      </w:r>
      <w:r w:rsidR="00981805">
        <w:t xml:space="preserve"> </w:t>
      </w:r>
      <w:r w:rsidR="00F55584">
        <w:rPr>
          <w:i/>
          <w:iCs/>
        </w:rPr>
        <w:t>S</w:t>
      </w:r>
      <w:r w:rsidR="00981805" w:rsidRPr="00981805">
        <w:rPr>
          <w:i/>
          <w:iCs/>
        </w:rPr>
        <w:t>poliatus ante omnia est restituendus</w:t>
      </w:r>
      <w:r w:rsidR="00981805">
        <w:t xml:space="preserve"> </w:t>
      </w:r>
      <w:r w:rsidR="00981805">
        <w:rPr>
          <w:lang w:eastAsia="en-ZA"/>
        </w:rPr>
        <w:t xml:space="preserve">simply means that the act of spoliation must be reversed </w:t>
      </w:r>
      <w:r w:rsidR="00981805" w:rsidRPr="00AD7630">
        <w:rPr>
          <w:lang w:eastAsia="en-ZA"/>
        </w:rPr>
        <w:t xml:space="preserve">before enquiring into </w:t>
      </w:r>
      <w:r w:rsidR="00D87B4C" w:rsidRPr="00AD7630">
        <w:rPr>
          <w:lang w:eastAsia="en-ZA"/>
        </w:rPr>
        <w:t xml:space="preserve">all and </w:t>
      </w:r>
      <w:r w:rsidR="00981805" w:rsidRPr="00AD7630">
        <w:rPr>
          <w:lang w:eastAsia="en-ZA"/>
        </w:rPr>
        <w:t>anything else</w:t>
      </w:r>
      <w:r w:rsidR="00981805">
        <w:rPr>
          <w:lang w:eastAsia="en-ZA"/>
        </w:rPr>
        <w:t xml:space="preserve">, including the legal rights of the parties.  </w:t>
      </w:r>
    </w:p>
    <w:p w14:paraId="49533FAE" w14:textId="347B299A" w:rsidR="006F5E55" w:rsidRDefault="0046087F" w:rsidP="0046087F">
      <w:pPr>
        <w:pStyle w:val="LC1"/>
        <w:numPr>
          <w:ilvl w:val="0"/>
          <w:numId w:val="0"/>
        </w:numPr>
        <w:ind w:left="720" w:hanging="720"/>
      </w:pPr>
      <w:r>
        <w:rPr>
          <w:rFonts w:cs="Arial"/>
          <w:szCs w:val="24"/>
        </w:rPr>
        <w:t>[43]</w:t>
      </w:r>
      <w:r>
        <w:rPr>
          <w:rFonts w:cs="Arial"/>
          <w:szCs w:val="24"/>
        </w:rPr>
        <w:tab/>
      </w:r>
      <w:r w:rsidR="00D93D1C">
        <w:t xml:space="preserve">A </w:t>
      </w:r>
      <w:r w:rsidR="00981805">
        <w:t xml:space="preserve">requirement of </w:t>
      </w:r>
      <w:r w:rsidR="00D93D1C">
        <w:t xml:space="preserve">objective </w:t>
      </w:r>
      <w:r w:rsidR="00981805">
        <w:t>reasonableness</w:t>
      </w:r>
      <w:r w:rsidR="00A16D96">
        <w:t>, which is a matter within the discretion of</w:t>
      </w:r>
      <w:r w:rsidR="008E2E31">
        <w:t>,</w:t>
      </w:r>
      <w:r w:rsidR="00A16D96">
        <w:t xml:space="preserve"> and judged </w:t>
      </w:r>
      <w:r w:rsidR="00A16D96" w:rsidRPr="00BB3327">
        <w:t>by the court itself</w:t>
      </w:r>
      <w:r w:rsidR="00A16D96" w:rsidRPr="00A16D96">
        <w:t xml:space="preserve"> (and </w:t>
      </w:r>
      <w:r w:rsidR="008E2E31">
        <w:t xml:space="preserve">is </w:t>
      </w:r>
      <w:r w:rsidR="00A16D96" w:rsidRPr="00A16D96">
        <w:t xml:space="preserve">not </w:t>
      </w:r>
      <w:r w:rsidR="00BB3327">
        <w:t xml:space="preserve">subject to an </w:t>
      </w:r>
      <w:r w:rsidR="00A16D96" w:rsidRPr="00A16D96">
        <w:t xml:space="preserve">overriding </w:t>
      </w:r>
      <w:r w:rsidR="00BB3327">
        <w:t xml:space="preserve">prescription-like </w:t>
      </w:r>
      <w:r w:rsidR="00A16D96" w:rsidRPr="00A16D96">
        <w:t>rule),</w:t>
      </w:r>
      <w:r w:rsidR="00A16D96">
        <w:t xml:space="preserve"> </w:t>
      </w:r>
      <w:r w:rsidR="00981805">
        <w:t xml:space="preserve">is consonant with </w:t>
      </w:r>
      <w:r w:rsidR="00A83D8E">
        <w:t>the fundamental</w:t>
      </w:r>
      <w:r w:rsidR="00BB3327">
        <w:t>ly</w:t>
      </w:r>
      <w:r w:rsidR="00A83D8E">
        <w:t xml:space="preserve"> </w:t>
      </w:r>
      <w:r w:rsidR="00CD4858">
        <w:t xml:space="preserve">social </w:t>
      </w:r>
      <w:r w:rsidR="00A83D8E">
        <w:t>role that is played by the remedy</w:t>
      </w:r>
      <w:r w:rsidR="00A16D96">
        <w:t xml:space="preserve">. This role, </w:t>
      </w:r>
      <w:r w:rsidR="00B67600">
        <w:t>which</w:t>
      </w:r>
      <w:r w:rsidR="003938B7">
        <w:t xml:space="preserve"> </w:t>
      </w:r>
      <w:r w:rsidR="00B67600">
        <w:t xml:space="preserve">explains </w:t>
      </w:r>
      <w:r w:rsidR="00A16D96">
        <w:t xml:space="preserve">the </w:t>
      </w:r>
      <w:r w:rsidR="00B67600">
        <w:t xml:space="preserve">longevity </w:t>
      </w:r>
      <w:r w:rsidR="00A16D96">
        <w:t xml:space="preserve">of the remedy </w:t>
      </w:r>
      <w:r w:rsidR="00B67600">
        <w:t>in our law</w:t>
      </w:r>
      <w:r w:rsidR="00A16D96">
        <w:t xml:space="preserve"> and its resilience to change even in the constitutional era,</w:t>
      </w:r>
      <w:r w:rsidR="00A16D96">
        <w:rPr>
          <w:rStyle w:val="FootnoteReference"/>
        </w:rPr>
        <w:footnoteReference w:id="35"/>
      </w:r>
      <w:r w:rsidR="00A16D96">
        <w:t xml:space="preserve"> </w:t>
      </w:r>
      <w:r w:rsidR="00CD4858">
        <w:t xml:space="preserve">is </w:t>
      </w:r>
      <w:r w:rsidR="003938B7">
        <w:t xml:space="preserve">(albeit </w:t>
      </w:r>
      <w:r w:rsidR="003938B7">
        <w:lastRenderedPageBreak/>
        <w:t xml:space="preserve">in the limited sphere of property) </w:t>
      </w:r>
      <w:r w:rsidR="00A83D8E">
        <w:t>to preserve the rule of law</w:t>
      </w:r>
      <w:r w:rsidR="003938B7">
        <w:t xml:space="preserve">, which is </w:t>
      </w:r>
      <w:r w:rsidR="00CD4858">
        <w:t xml:space="preserve">a </w:t>
      </w:r>
      <w:r w:rsidR="00A83D8E">
        <w:t xml:space="preserve">central </w:t>
      </w:r>
      <w:r w:rsidR="00CD4858">
        <w:t xml:space="preserve">aspect of our modern </w:t>
      </w:r>
      <w:r w:rsidR="00A83D8E">
        <w:t>constitutional enterprise</w:t>
      </w:r>
      <w:r w:rsidR="00A84E70">
        <w:t xml:space="preserve">. It is this social role of the remedy that explains why </w:t>
      </w:r>
      <w:r w:rsidR="00F661E2">
        <w:t>it may be granted at the instance even of a thief</w:t>
      </w:r>
      <w:r w:rsidR="00282BDA">
        <w:t>,</w:t>
      </w:r>
      <w:r w:rsidR="00282BDA">
        <w:rPr>
          <w:rStyle w:val="FootnoteReference"/>
          <w:lang w:eastAsia="en-ZA"/>
        </w:rPr>
        <w:footnoteReference w:id="36"/>
      </w:r>
      <w:r w:rsidR="00282BDA">
        <w:rPr>
          <w:lang w:eastAsia="en-ZA"/>
        </w:rPr>
        <w:t xml:space="preserve"> </w:t>
      </w:r>
      <w:r w:rsidR="00282BDA">
        <w:rPr>
          <w:rStyle w:val="FootnoteReference"/>
        </w:rPr>
        <w:t xml:space="preserve"> </w:t>
      </w:r>
      <w:r w:rsidR="00F661E2">
        <w:t xml:space="preserve">and </w:t>
      </w:r>
      <w:r w:rsidR="00A84E70">
        <w:t xml:space="preserve">which explains why </w:t>
      </w:r>
      <w:r w:rsidR="00F661E2">
        <w:t>it may</w:t>
      </w:r>
      <w:r w:rsidR="008E3CCB">
        <w:t xml:space="preserve"> still</w:t>
      </w:r>
      <w:r w:rsidR="00F661E2">
        <w:t xml:space="preserve"> </w:t>
      </w:r>
      <w:r w:rsidR="00F661E2" w:rsidRPr="00E94696">
        <w:t>only</w:t>
      </w:r>
      <w:r w:rsidR="00F661E2">
        <w:t xml:space="preserve"> </w:t>
      </w:r>
      <w:r w:rsidR="00282BDA">
        <w:t xml:space="preserve">be granted </w:t>
      </w:r>
      <w:r w:rsidR="008E3CCB">
        <w:t xml:space="preserve">where the property is in possession of </w:t>
      </w:r>
      <w:r w:rsidR="00F661E2">
        <w:t>the spoliator himself</w:t>
      </w:r>
      <w:r w:rsidR="008E3CCB">
        <w:t>,</w:t>
      </w:r>
      <w:r w:rsidR="003938B7">
        <w:t xml:space="preserve"> </w:t>
      </w:r>
      <w:r w:rsidR="008E3CCB">
        <w:t xml:space="preserve">or someone who was involved in or aware of the spoliation and not against </w:t>
      </w:r>
      <w:r w:rsidR="00282BDA">
        <w:t xml:space="preserve">a </w:t>
      </w:r>
      <w:r w:rsidR="00282BDA" w:rsidRPr="00A16D96">
        <w:rPr>
          <w:i/>
          <w:iCs/>
        </w:rPr>
        <w:t>bona fide</w:t>
      </w:r>
      <w:r w:rsidR="00282BDA">
        <w:t xml:space="preserve"> third party possessor.</w:t>
      </w:r>
      <w:r w:rsidR="003938B7">
        <w:rPr>
          <w:rStyle w:val="FootnoteReference"/>
        </w:rPr>
        <w:footnoteReference w:id="37"/>
      </w:r>
    </w:p>
    <w:p w14:paraId="36D8D214" w14:textId="1EC2DBE9" w:rsidR="005279FF" w:rsidRDefault="0046087F" w:rsidP="0046087F">
      <w:pPr>
        <w:pStyle w:val="LC1"/>
        <w:numPr>
          <w:ilvl w:val="0"/>
          <w:numId w:val="0"/>
        </w:numPr>
        <w:ind w:left="720" w:hanging="720"/>
        <w:rPr>
          <w:lang w:eastAsia="en-ZA"/>
        </w:rPr>
      </w:pPr>
      <w:r>
        <w:rPr>
          <w:rFonts w:cs="Arial"/>
          <w:szCs w:val="24"/>
          <w:lang w:eastAsia="en-ZA"/>
        </w:rPr>
        <w:t>[44]</w:t>
      </w:r>
      <w:r>
        <w:rPr>
          <w:rFonts w:cs="Arial"/>
          <w:szCs w:val="24"/>
          <w:lang w:eastAsia="en-ZA"/>
        </w:rPr>
        <w:tab/>
      </w:r>
      <w:r w:rsidR="00981671">
        <w:rPr>
          <w:lang w:eastAsia="en-ZA"/>
        </w:rPr>
        <w:t xml:space="preserve">In </w:t>
      </w:r>
      <w:r w:rsidR="00923149">
        <w:rPr>
          <w:lang w:eastAsia="en-ZA"/>
        </w:rPr>
        <w:t>198</w:t>
      </w:r>
      <w:r w:rsidR="00F47B20">
        <w:rPr>
          <w:lang w:eastAsia="en-ZA"/>
        </w:rPr>
        <w:t>3</w:t>
      </w:r>
      <w:r w:rsidR="00923149">
        <w:rPr>
          <w:lang w:eastAsia="en-ZA"/>
        </w:rPr>
        <w:t xml:space="preserve">, </w:t>
      </w:r>
      <w:r w:rsidR="00BB3327">
        <w:rPr>
          <w:lang w:eastAsia="en-ZA"/>
        </w:rPr>
        <w:t xml:space="preserve">in the aftermath of the controversial judgment in </w:t>
      </w:r>
      <w:r w:rsidR="00BB3327" w:rsidRPr="00BB3327">
        <w:rPr>
          <w:i/>
          <w:iCs/>
          <w:lang w:eastAsia="en-ZA"/>
        </w:rPr>
        <w:t>Fredericks</w:t>
      </w:r>
      <w:r w:rsidR="00BB3327" w:rsidRPr="00BB3327">
        <w:rPr>
          <w:rStyle w:val="FootnoteReference"/>
          <w:lang w:eastAsia="en-ZA"/>
        </w:rPr>
        <w:footnoteReference w:id="38"/>
      </w:r>
      <w:r w:rsidR="00BB3327">
        <w:rPr>
          <w:lang w:eastAsia="en-ZA"/>
        </w:rPr>
        <w:t xml:space="preserve"> where Diemont J granted an order under the </w:t>
      </w:r>
      <w:r w:rsidR="00BB3327" w:rsidRPr="00BB3327">
        <w:rPr>
          <w:i/>
          <w:iCs/>
          <w:lang w:eastAsia="en-ZA"/>
        </w:rPr>
        <w:t>mandament van spolie</w:t>
      </w:r>
      <w:r w:rsidR="00BB3327">
        <w:rPr>
          <w:lang w:eastAsia="en-ZA"/>
        </w:rPr>
        <w:t xml:space="preserve"> for the re-erection of squatters</w:t>
      </w:r>
      <w:r w:rsidR="00E94696">
        <w:rPr>
          <w:lang w:eastAsia="en-ZA"/>
        </w:rPr>
        <w:t>’</w:t>
      </w:r>
      <w:r w:rsidR="00BB3327">
        <w:rPr>
          <w:lang w:eastAsia="en-ZA"/>
        </w:rPr>
        <w:t xml:space="preserve"> homes where the materials had been destroyed </w:t>
      </w:r>
      <w:r w:rsidR="00E94696">
        <w:rPr>
          <w:lang w:eastAsia="en-ZA"/>
        </w:rPr>
        <w:t xml:space="preserve">during </w:t>
      </w:r>
      <w:r w:rsidR="00BB3327">
        <w:rPr>
          <w:lang w:eastAsia="en-ZA"/>
        </w:rPr>
        <w:t xml:space="preserve">the spoliation, </w:t>
      </w:r>
      <w:r w:rsidR="00981671">
        <w:rPr>
          <w:lang w:eastAsia="en-ZA"/>
        </w:rPr>
        <w:t xml:space="preserve">Professor AJ </w:t>
      </w:r>
      <w:r w:rsidR="00923149">
        <w:rPr>
          <w:lang w:eastAsia="en-ZA"/>
        </w:rPr>
        <w:t>van der Walt observe</w:t>
      </w:r>
      <w:r w:rsidR="00981671">
        <w:rPr>
          <w:lang w:eastAsia="en-ZA"/>
        </w:rPr>
        <w:t>d</w:t>
      </w:r>
      <w:r w:rsidR="00923149">
        <w:rPr>
          <w:lang w:eastAsia="en-ZA"/>
        </w:rPr>
        <w:t xml:space="preserve"> that </w:t>
      </w:r>
      <w:r w:rsidR="00282BDA">
        <w:t xml:space="preserve">these features of the remedy </w:t>
      </w:r>
      <w:r w:rsidR="003938B7">
        <w:t>demonstrate that it</w:t>
      </w:r>
      <w:r w:rsidR="00BB3327">
        <w:t>s</w:t>
      </w:r>
      <w:r w:rsidR="003938B7">
        <w:t xml:space="preserve"> </w:t>
      </w:r>
      <w:r w:rsidR="00A85016">
        <w:t xml:space="preserve">primary </w:t>
      </w:r>
      <w:r w:rsidR="00BB3327">
        <w:t xml:space="preserve">rationale </w:t>
      </w:r>
      <w:r w:rsidR="003938B7">
        <w:t xml:space="preserve">is </w:t>
      </w:r>
      <w:r w:rsidR="00BB3327">
        <w:t xml:space="preserve">not </w:t>
      </w:r>
      <w:r w:rsidR="00F47B20">
        <w:t xml:space="preserve">the </w:t>
      </w:r>
      <w:r w:rsidR="00923149">
        <w:t xml:space="preserve">protection of </w:t>
      </w:r>
      <w:r w:rsidR="00F47B20">
        <w:t xml:space="preserve">any possessory </w:t>
      </w:r>
      <w:r w:rsidR="003938B7">
        <w:t xml:space="preserve">subjective </w:t>
      </w:r>
      <w:r w:rsidR="00F47B20">
        <w:t xml:space="preserve">right of the applicant (or indeed even the mere fact of possession), but </w:t>
      </w:r>
      <w:r w:rsidR="00E94696">
        <w:t xml:space="preserve">is </w:t>
      </w:r>
      <w:r w:rsidR="00923149">
        <w:t>rather “</w:t>
      </w:r>
      <w:r w:rsidR="00923149" w:rsidRPr="00BB3327">
        <w:rPr>
          <w:i/>
          <w:iCs/>
        </w:rPr>
        <w:t>om die regsorde teen vredesbreuk te beskerm</w:t>
      </w:r>
      <w:r w:rsidR="00923149">
        <w:t>”</w:t>
      </w:r>
      <w:r w:rsidR="00981671">
        <w:t xml:space="preserve"> or “</w:t>
      </w:r>
      <w:r w:rsidR="00981671" w:rsidRPr="00BB3327">
        <w:rPr>
          <w:i/>
          <w:iCs/>
        </w:rPr>
        <w:t>vir die beskerming van die openbare orde</w:t>
      </w:r>
      <w:r w:rsidR="00981671">
        <w:t>”.</w:t>
      </w:r>
      <w:r w:rsidR="00923149">
        <w:rPr>
          <w:rStyle w:val="FootnoteReference"/>
        </w:rPr>
        <w:footnoteReference w:id="39"/>
      </w:r>
      <w:r w:rsidR="00923149">
        <w:t xml:space="preserve"> </w:t>
      </w:r>
    </w:p>
    <w:p w14:paraId="7A8CAB53" w14:textId="05120127" w:rsidR="003938B7" w:rsidRDefault="0046087F" w:rsidP="0046087F">
      <w:pPr>
        <w:pStyle w:val="LC1"/>
        <w:numPr>
          <w:ilvl w:val="0"/>
          <w:numId w:val="0"/>
        </w:numPr>
        <w:ind w:left="720" w:hanging="720"/>
        <w:rPr>
          <w:lang w:eastAsia="en-ZA"/>
        </w:rPr>
      </w:pPr>
      <w:r>
        <w:rPr>
          <w:rFonts w:cs="Arial"/>
          <w:szCs w:val="24"/>
          <w:lang w:eastAsia="en-ZA"/>
        </w:rPr>
        <w:t>[45]</w:t>
      </w:r>
      <w:r>
        <w:rPr>
          <w:rFonts w:cs="Arial"/>
          <w:szCs w:val="24"/>
          <w:lang w:eastAsia="en-ZA"/>
        </w:rPr>
        <w:tab/>
      </w:r>
      <w:r w:rsidR="00981671">
        <w:t xml:space="preserve">With respect, I am unpersuaded by the criticism of this contention </w:t>
      </w:r>
      <w:r w:rsidR="00923149">
        <w:t xml:space="preserve">by </w:t>
      </w:r>
      <w:r w:rsidR="00981671">
        <w:t xml:space="preserve">Professor </w:t>
      </w:r>
      <w:r w:rsidR="00923149">
        <w:t xml:space="preserve">MJ De Waal </w:t>
      </w:r>
      <w:r w:rsidR="00923149">
        <w:rPr>
          <w:lang w:eastAsia="en-ZA"/>
        </w:rPr>
        <w:t xml:space="preserve">on the basis that </w:t>
      </w:r>
      <w:r w:rsidR="00AD7630">
        <w:rPr>
          <w:lang w:eastAsia="en-ZA"/>
        </w:rPr>
        <w:t xml:space="preserve">it </w:t>
      </w:r>
      <w:r w:rsidR="00430643">
        <w:rPr>
          <w:lang w:eastAsia="en-ZA"/>
        </w:rPr>
        <w:t>‘</w:t>
      </w:r>
      <w:r w:rsidR="00923149">
        <w:rPr>
          <w:lang w:eastAsia="en-ZA"/>
        </w:rPr>
        <w:t>put the cart before the horse</w:t>
      </w:r>
      <w:r w:rsidR="00430643">
        <w:rPr>
          <w:lang w:eastAsia="en-ZA"/>
        </w:rPr>
        <w:t>’</w:t>
      </w:r>
      <w:r w:rsidR="00923149">
        <w:rPr>
          <w:lang w:eastAsia="en-ZA"/>
        </w:rPr>
        <w:t xml:space="preserve"> because </w:t>
      </w:r>
      <w:r w:rsidR="00981671">
        <w:rPr>
          <w:lang w:eastAsia="en-ZA"/>
        </w:rPr>
        <w:t xml:space="preserve">that is </w:t>
      </w:r>
      <w:r w:rsidR="00923149">
        <w:rPr>
          <w:lang w:eastAsia="en-ZA"/>
        </w:rPr>
        <w:t xml:space="preserve">the rationale of </w:t>
      </w:r>
      <w:r w:rsidR="00923149" w:rsidRPr="00025497">
        <w:rPr>
          <w:u w:val="single"/>
          <w:lang w:eastAsia="en-ZA"/>
        </w:rPr>
        <w:t>all</w:t>
      </w:r>
      <w:r w:rsidR="00923149">
        <w:rPr>
          <w:lang w:eastAsia="en-ZA"/>
        </w:rPr>
        <w:t xml:space="preserve"> legal remedies</w:t>
      </w:r>
      <w:r w:rsidR="00025497">
        <w:rPr>
          <w:lang w:eastAsia="en-ZA"/>
        </w:rPr>
        <w:t xml:space="preserve"> and that </w:t>
      </w:r>
      <w:r w:rsidR="007530CD">
        <w:rPr>
          <w:lang w:eastAsia="en-ZA"/>
        </w:rPr>
        <w:t xml:space="preserve">the mandament van spolie </w:t>
      </w:r>
      <w:r w:rsidR="00025497">
        <w:rPr>
          <w:lang w:eastAsia="en-ZA"/>
        </w:rPr>
        <w:t xml:space="preserve">is </w:t>
      </w:r>
      <w:r w:rsidR="007530CD">
        <w:rPr>
          <w:lang w:eastAsia="en-ZA"/>
        </w:rPr>
        <w:t>a remedy “</w:t>
      </w:r>
      <w:r w:rsidR="007530CD" w:rsidRPr="00025497">
        <w:rPr>
          <w:i/>
          <w:iCs/>
          <w:lang w:eastAsia="en-ZA"/>
        </w:rPr>
        <w:t>wat besitsverhoudinge beskerm ten einde te verhoed dat die reg in eie hande geneem word en die regsorde sodoende versteur word</w:t>
      </w:r>
      <w:r w:rsidR="007530CD">
        <w:rPr>
          <w:lang w:eastAsia="en-ZA"/>
        </w:rPr>
        <w:t>”</w:t>
      </w:r>
      <w:r w:rsidR="00025497">
        <w:rPr>
          <w:lang w:eastAsia="en-ZA"/>
        </w:rPr>
        <w:t>.</w:t>
      </w:r>
      <w:r w:rsidR="00025497">
        <w:rPr>
          <w:rStyle w:val="FootnoteReference"/>
          <w:lang w:eastAsia="en-ZA"/>
        </w:rPr>
        <w:footnoteReference w:id="40"/>
      </w:r>
      <w:r w:rsidR="00025497">
        <w:rPr>
          <w:lang w:eastAsia="en-ZA"/>
        </w:rPr>
        <w:t xml:space="preserve">  While it is indeed true that all legal remedies are </w:t>
      </w:r>
      <w:r w:rsidR="00E8188B">
        <w:rPr>
          <w:lang w:eastAsia="en-ZA"/>
        </w:rPr>
        <w:t>ultimately intended to protect the integrity of the legal order</w:t>
      </w:r>
      <w:r w:rsidR="00025497">
        <w:rPr>
          <w:lang w:eastAsia="en-ZA"/>
        </w:rPr>
        <w:t xml:space="preserve">, it seems to me that </w:t>
      </w:r>
      <w:r w:rsidR="003938B7">
        <w:rPr>
          <w:lang w:eastAsia="en-ZA"/>
        </w:rPr>
        <w:t xml:space="preserve">what makes </w:t>
      </w:r>
      <w:r w:rsidR="00025497">
        <w:rPr>
          <w:lang w:eastAsia="en-ZA"/>
        </w:rPr>
        <w:t xml:space="preserve">the </w:t>
      </w:r>
      <w:r w:rsidR="00025497" w:rsidRPr="00E94696">
        <w:rPr>
          <w:i/>
          <w:iCs/>
          <w:lang w:eastAsia="en-ZA"/>
        </w:rPr>
        <w:t>mandament</w:t>
      </w:r>
      <w:r w:rsidR="00025497">
        <w:rPr>
          <w:lang w:eastAsia="en-ZA"/>
        </w:rPr>
        <w:t xml:space="preserve"> </w:t>
      </w:r>
      <w:r w:rsidR="003938B7">
        <w:rPr>
          <w:lang w:eastAsia="en-ZA"/>
        </w:rPr>
        <w:t xml:space="preserve">unique and </w:t>
      </w:r>
      <w:r w:rsidR="00025497">
        <w:rPr>
          <w:lang w:eastAsia="en-ZA"/>
        </w:rPr>
        <w:t>distinguish</w:t>
      </w:r>
      <w:r w:rsidR="003938B7">
        <w:rPr>
          <w:lang w:eastAsia="en-ZA"/>
        </w:rPr>
        <w:t>es</w:t>
      </w:r>
      <w:r w:rsidR="00025497">
        <w:rPr>
          <w:lang w:eastAsia="en-ZA"/>
        </w:rPr>
        <w:t xml:space="preserve"> </w:t>
      </w:r>
      <w:r w:rsidR="00E94696">
        <w:rPr>
          <w:lang w:eastAsia="en-ZA"/>
        </w:rPr>
        <w:t xml:space="preserve">it </w:t>
      </w:r>
      <w:r w:rsidR="00025497">
        <w:rPr>
          <w:lang w:eastAsia="en-ZA"/>
        </w:rPr>
        <w:t xml:space="preserve">from almost all (if not all) other legal remedies, </w:t>
      </w:r>
      <w:r w:rsidR="003938B7">
        <w:rPr>
          <w:lang w:eastAsia="en-ZA"/>
        </w:rPr>
        <w:t xml:space="preserve">is that it </w:t>
      </w:r>
      <w:r w:rsidR="00025497">
        <w:rPr>
          <w:lang w:eastAsia="en-ZA"/>
        </w:rPr>
        <w:t xml:space="preserve">consciously avoids any engagement with the </w:t>
      </w:r>
      <w:r w:rsidR="003938B7">
        <w:rPr>
          <w:lang w:eastAsia="en-ZA"/>
        </w:rPr>
        <w:t xml:space="preserve">subjective </w:t>
      </w:r>
      <w:r w:rsidR="00025497" w:rsidRPr="003938B7">
        <w:rPr>
          <w:lang w:eastAsia="en-ZA"/>
        </w:rPr>
        <w:t>rights</w:t>
      </w:r>
      <w:r w:rsidR="00025497">
        <w:rPr>
          <w:lang w:eastAsia="en-ZA"/>
        </w:rPr>
        <w:t xml:space="preserve"> of the </w:t>
      </w:r>
      <w:r w:rsidR="00025497">
        <w:rPr>
          <w:lang w:eastAsia="en-ZA"/>
        </w:rPr>
        <w:lastRenderedPageBreak/>
        <w:t>parties</w:t>
      </w:r>
      <w:r w:rsidR="003938B7">
        <w:rPr>
          <w:rStyle w:val="FootnoteReference"/>
        </w:rPr>
        <w:footnoteReference w:id="41"/>
      </w:r>
      <w:r w:rsidR="003938B7">
        <w:rPr>
          <w:lang w:eastAsia="en-ZA"/>
        </w:rPr>
        <w:t xml:space="preserve"> </w:t>
      </w:r>
      <w:r w:rsidR="00025497">
        <w:rPr>
          <w:lang w:eastAsia="en-ZA"/>
        </w:rPr>
        <w:t xml:space="preserve">and simply focusses on the restoration of a </w:t>
      </w:r>
      <w:r w:rsidR="00025497" w:rsidRPr="003938B7">
        <w:rPr>
          <w:lang w:eastAsia="en-ZA"/>
        </w:rPr>
        <w:t>factual</w:t>
      </w:r>
      <w:r w:rsidR="00E91A39">
        <w:rPr>
          <w:lang w:eastAsia="en-ZA"/>
        </w:rPr>
        <w:t xml:space="preserve"> </w:t>
      </w:r>
      <w:r w:rsidR="00025497" w:rsidRPr="00025497">
        <w:rPr>
          <w:i/>
          <w:iCs/>
          <w:lang w:eastAsia="en-ZA"/>
        </w:rPr>
        <w:t>status quo ante</w:t>
      </w:r>
      <w:r w:rsidR="00025497">
        <w:rPr>
          <w:lang w:eastAsia="en-ZA"/>
        </w:rPr>
        <w:t>.</w:t>
      </w:r>
    </w:p>
    <w:p w14:paraId="0846D8A9" w14:textId="324E68AA" w:rsidR="0077222B" w:rsidRDefault="0046087F" w:rsidP="0046087F">
      <w:pPr>
        <w:pStyle w:val="LC1"/>
        <w:numPr>
          <w:ilvl w:val="0"/>
          <w:numId w:val="0"/>
        </w:numPr>
        <w:ind w:left="720" w:hanging="720"/>
        <w:rPr>
          <w:lang w:eastAsia="en-ZA"/>
        </w:rPr>
      </w:pPr>
      <w:r>
        <w:rPr>
          <w:rFonts w:cs="Arial"/>
          <w:szCs w:val="24"/>
          <w:lang w:eastAsia="en-ZA"/>
        </w:rPr>
        <w:t>[46]</w:t>
      </w:r>
      <w:r>
        <w:rPr>
          <w:rFonts w:cs="Arial"/>
          <w:szCs w:val="24"/>
          <w:lang w:eastAsia="en-ZA"/>
        </w:rPr>
        <w:tab/>
      </w:r>
      <w:r w:rsidR="00E91A39">
        <w:rPr>
          <w:lang w:eastAsia="en-ZA"/>
        </w:rPr>
        <w:t>As Van der Walt pointed out in his persuasive reply to De Waal</w:t>
      </w:r>
      <w:r w:rsidR="0077222B">
        <w:rPr>
          <w:lang w:eastAsia="en-ZA"/>
        </w:rPr>
        <w:t xml:space="preserve">: </w:t>
      </w:r>
    </w:p>
    <w:p w14:paraId="1FBE6AA1" w14:textId="07CC6E57" w:rsidR="005279FF" w:rsidRPr="005279FF" w:rsidRDefault="005279FF" w:rsidP="0077222B">
      <w:pPr>
        <w:pStyle w:val="HeadsQuote"/>
        <w:rPr>
          <w:lang w:eastAsia="en-ZA"/>
        </w:rPr>
      </w:pPr>
      <w:r>
        <w:rPr>
          <w:lang w:eastAsia="en-ZA"/>
        </w:rPr>
        <w:t>I</w:t>
      </w:r>
      <w:r w:rsidR="00E91A39" w:rsidRPr="004A6641">
        <w:rPr>
          <w:lang w:eastAsia="en-ZA"/>
        </w:rPr>
        <w:t>n geen ander regsmiddel word reeds afgehandelde eierigting as sodanig bestry nie; en … in geen ander regsmiddel word die herstelbevel gemaak afgesien van die regmatigheid van die herstelde regsposisie nie</w:t>
      </w:r>
      <w:r w:rsidR="00AD7630">
        <w:rPr>
          <w:lang w:eastAsia="en-ZA"/>
        </w:rPr>
        <w:t xml:space="preserve"> … [D]</w:t>
      </w:r>
      <w:r w:rsidR="00E91A39" w:rsidRPr="00C4370E">
        <w:rPr>
          <w:lang w:eastAsia="en-ZA"/>
        </w:rPr>
        <w:t>ie mandament van spolie as regsmiddel deur sy unieke regspreserverende of regspolitieke funksie gekenmerk word</w:t>
      </w:r>
      <w:r w:rsidR="0077222B">
        <w:rPr>
          <w:lang w:eastAsia="en-ZA"/>
        </w:rPr>
        <w:t xml:space="preserve">. … </w:t>
      </w:r>
      <w:r>
        <w:t xml:space="preserve">Dit is regswetenskaplik veel suiwerder om te erken dat die reg wel van die bestaan van </w:t>
      </w:r>
      <w:r w:rsidR="0077222B">
        <w:t xml:space="preserve">[‘n onregmatige] </w:t>
      </w:r>
      <w:r>
        <w:t xml:space="preserve">verhouding kennis neem, en dit </w:t>
      </w:r>
      <w:r w:rsidRPr="0077222B">
        <w:t>teen onregmatige eierigting</w:t>
      </w:r>
      <w:r>
        <w:t xml:space="preserve"> in stand sal hou, nie om die verhouding as sodanig te beskerm nie, maar om die </w:t>
      </w:r>
      <w:r w:rsidRPr="0077222B">
        <w:rPr>
          <w:u w:val="single"/>
        </w:rPr>
        <w:t>regsorde self</w:t>
      </w:r>
      <w:r>
        <w:t xml:space="preserve"> te beskerm teen die eierigting.</w:t>
      </w:r>
      <w:r w:rsidRPr="0077222B">
        <w:rPr>
          <w:rStyle w:val="FootnoteReference"/>
          <w:i w:val="0"/>
          <w:iCs w:val="0"/>
          <w:lang w:eastAsia="en-ZA"/>
        </w:rPr>
        <w:footnoteReference w:id="42"/>
      </w:r>
    </w:p>
    <w:p w14:paraId="3F47BD7F" w14:textId="46833328" w:rsidR="0077222B" w:rsidRDefault="0046087F" w:rsidP="0046087F">
      <w:pPr>
        <w:pStyle w:val="LC1"/>
        <w:numPr>
          <w:ilvl w:val="0"/>
          <w:numId w:val="0"/>
        </w:numPr>
        <w:ind w:left="720" w:hanging="720"/>
        <w:rPr>
          <w:lang w:eastAsia="en-ZA"/>
        </w:rPr>
      </w:pPr>
      <w:r>
        <w:rPr>
          <w:rFonts w:cs="Arial"/>
          <w:szCs w:val="24"/>
          <w:lang w:eastAsia="en-ZA"/>
        </w:rPr>
        <w:t>[47]</w:t>
      </w:r>
      <w:r>
        <w:rPr>
          <w:rFonts w:cs="Arial"/>
          <w:szCs w:val="24"/>
          <w:lang w:eastAsia="en-ZA"/>
        </w:rPr>
        <w:tab/>
      </w:r>
      <w:r w:rsidR="00BB3327">
        <w:t xml:space="preserve">Although Professor </w:t>
      </w:r>
      <w:r w:rsidR="00F55584">
        <w:t>De Waal</w:t>
      </w:r>
      <w:r w:rsidR="00BB3327">
        <w:t>’s observation that “</w:t>
      </w:r>
      <w:r w:rsidR="00BB3327" w:rsidRPr="0077222B">
        <w:rPr>
          <w:i/>
          <w:iCs/>
        </w:rPr>
        <w:t>[d]ie mandament van spolie is nie 'n magiese regsmiddel wat maar ingespan kan word in gevalle waar 'n ander remedie nie gerieflik ter hand le nie</w:t>
      </w:r>
      <w:r w:rsidR="00BB3327">
        <w:t xml:space="preserve">” was </w:t>
      </w:r>
      <w:r w:rsidR="00F55584">
        <w:t xml:space="preserve">proved correct </w:t>
      </w:r>
      <w:r w:rsidR="00BB3327">
        <w:t xml:space="preserve">20 years later </w:t>
      </w:r>
      <w:r w:rsidR="00F55584">
        <w:t xml:space="preserve">in relation to the particular subject matter of </w:t>
      </w:r>
      <w:r w:rsidR="00BB3327">
        <w:t xml:space="preserve">the </w:t>
      </w:r>
      <w:r w:rsidR="00F55584">
        <w:t xml:space="preserve">debate when the Supreme Court of Appeal in </w:t>
      </w:r>
      <w:r w:rsidR="00F55584" w:rsidRPr="0077222B">
        <w:rPr>
          <w:i/>
          <w:iCs/>
        </w:rPr>
        <w:t>Tswelopele</w:t>
      </w:r>
      <w:r w:rsidR="00F55584">
        <w:t xml:space="preserve"> </w:t>
      </w:r>
      <w:r w:rsidR="0077222B">
        <w:t xml:space="preserve">rejected </w:t>
      </w:r>
      <w:r w:rsidR="0077222B" w:rsidRPr="0077222B">
        <w:rPr>
          <w:i/>
          <w:iCs/>
        </w:rPr>
        <w:t>Fredericks</w:t>
      </w:r>
      <w:r w:rsidR="0077222B">
        <w:t xml:space="preserve"> and held </w:t>
      </w:r>
      <w:r w:rsidR="00F55584">
        <w:t xml:space="preserve">that the </w:t>
      </w:r>
      <w:r w:rsidR="0077222B" w:rsidRPr="0077222B">
        <w:rPr>
          <w:i/>
          <w:iCs/>
        </w:rPr>
        <w:t>m</w:t>
      </w:r>
      <w:r w:rsidR="00F55584" w:rsidRPr="0077222B">
        <w:rPr>
          <w:i/>
          <w:iCs/>
        </w:rPr>
        <w:t>andament’s</w:t>
      </w:r>
      <w:r w:rsidR="00F55584">
        <w:t xml:space="preserve"> “</w:t>
      </w:r>
      <w:r w:rsidR="00F55584" w:rsidRPr="0077222B">
        <w:rPr>
          <w:i/>
          <w:iCs/>
          <w:u w:val="single"/>
        </w:rPr>
        <w:t>object</w:t>
      </w:r>
      <w:r w:rsidR="00F55584" w:rsidRPr="0077222B">
        <w:rPr>
          <w:i/>
          <w:iCs/>
        </w:rPr>
        <w:t xml:space="preserve"> is the interim restoration of physical control and enjoyment of specified property – not its reconstituted equivalent</w:t>
      </w:r>
      <w:r w:rsidR="00F55584">
        <w:t>”, which makes it a “</w:t>
      </w:r>
      <w:r w:rsidR="00F55584" w:rsidRPr="0077222B">
        <w:rPr>
          <w:i/>
          <w:iCs/>
        </w:rPr>
        <w:t>possessory remedy</w:t>
      </w:r>
      <w:r w:rsidR="00F55584">
        <w:t>”, not a “</w:t>
      </w:r>
      <w:r w:rsidR="00F55584" w:rsidRPr="0077222B">
        <w:rPr>
          <w:i/>
          <w:iCs/>
        </w:rPr>
        <w:t>general remedy against unlawfulness</w:t>
      </w:r>
      <w:r w:rsidR="00F55584">
        <w:t>”,</w:t>
      </w:r>
      <w:r w:rsidR="00F55584">
        <w:rPr>
          <w:rStyle w:val="FootnoteReference"/>
        </w:rPr>
        <w:footnoteReference w:id="43"/>
      </w:r>
      <w:r w:rsidR="00F55584">
        <w:t xml:space="preserve"> </w:t>
      </w:r>
      <w:r w:rsidR="00BB3327">
        <w:t xml:space="preserve">Professor </w:t>
      </w:r>
      <w:r w:rsidR="00F55584">
        <w:t xml:space="preserve">Van der Walt’s contention that the </w:t>
      </w:r>
      <w:r w:rsidR="00F55584" w:rsidRPr="0077222B">
        <w:rPr>
          <w:u w:val="single"/>
        </w:rPr>
        <w:t>underlying rationale</w:t>
      </w:r>
      <w:r w:rsidR="00F55584">
        <w:t xml:space="preserve"> for the remedy is the protection of the rule of law was </w:t>
      </w:r>
      <w:r w:rsidR="00BB3327">
        <w:t>n</w:t>
      </w:r>
      <w:r w:rsidR="00F55584">
        <w:t>ever truly in doubt,</w:t>
      </w:r>
      <w:r w:rsidR="00BB3327">
        <w:t xml:space="preserve"> and</w:t>
      </w:r>
      <w:r w:rsidR="00F55584">
        <w:t xml:space="preserve"> it has clearly ultimately </w:t>
      </w:r>
      <w:r w:rsidR="00BB3327">
        <w:t xml:space="preserve">been </w:t>
      </w:r>
      <w:r w:rsidR="00F55584">
        <w:t>vindicated</w:t>
      </w:r>
      <w:r w:rsidR="00BB3327">
        <w:t xml:space="preserve"> – </w:t>
      </w:r>
      <w:r w:rsidR="00F55584">
        <w:t>overwhelmingly</w:t>
      </w:r>
      <w:r w:rsidR="00BB3327">
        <w:t xml:space="preserve"> </w:t>
      </w:r>
      <w:r w:rsidR="00F55584">
        <w:t xml:space="preserve">so. </w:t>
      </w:r>
    </w:p>
    <w:p w14:paraId="63184819" w14:textId="07BBB108" w:rsidR="00F55584" w:rsidRDefault="0046087F" w:rsidP="0046087F">
      <w:pPr>
        <w:pStyle w:val="LC1"/>
        <w:numPr>
          <w:ilvl w:val="0"/>
          <w:numId w:val="0"/>
        </w:numPr>
        <w:ind w:left="720" w:hanging="720"/>
        <w:rPr>
          <w:lang w:eastAsia="en-ZA"/>
        </w:rPr>
      </w:pPr>
      <w:r>
        <w:rPr>
          <w:rFonts w:cs="Arial"/>
          <w:szCs w:val="24"/>
          <w:lang w:eastAsia="en-ZA"/>
        </w:rPr>
        <w:lastRenderedPageBreak/>
        <w:t>[48]</w:t>
      </w:r>
      <w:r>
        <w:rPr>
          <w:rFonts w:cs="Arial"/>
          <w:szCs w:val="24"/>
          <w:lang w:eastAsia="en-ZA"/>
        </w:rPr>
        <w:tab/>
      </w:r>
      <w:r w:rsidR="0077222B">
        <w:t xml:space="preserve">Indeed, </w:t>
      </w:r>
      <w:r w:rsidR="00F55584">
        <w:t>Cameron JA himself observed that the “</w:t>
      </w:r>
      <w:r w:rsidR="00F55584" w:rsidRPr="0077222B">
        <w:rPr>
          <w:i/>
          <w:iCs/>
        </w:rPr>
        <w:t>rule of law dimension</w:t>
      </w:r>
      <w:r w:rsidR="00F55584">
        <w:t xml:space="preserve">” </w:t>
      </w:r>
      <w:r w:rsidR="00823780">
        <w:t xml:space="preserve">of the </w:t>
      </w:r>
      <w:r w:rsidR="00823780" w:rsidRPr="0077222B">
        <w:rPr>
          <w:i/>
          <w:iCs/>
        </w:rPr>
        <w:t>mandament van spolie</w:t>
      </w:r>
      <w:r w:rsidR="00823780">
        <w:t xml:space="preserve"> </w:t>
      </w:r>
      <w:r w:rsidR="00F55584">
        <w:t>is “</w:t>
      </w:r>
      <w:r w:rsidR="00F55584" w:rsidRPr="0077222B">
        <w:rPr>
          <w:i/>
          <w:iCs/>
        </w:rPr>
        <w:t>obvious</w:t>
      </w:r>
      <w:r w:rsidR="00F55584">
        <w:t>”</w:t>
      </w:r>
      <w:r w:rsidR="0077222B">
        <w:t xml:space="preserve"> – unsurprisingly,</w:t>
      </w:r>
      <w:r w:rsidR="00F55584">
        <w:t xml:space="preserve"> </w:t>
      </w:r>
      <w:r w:rsidR="0077222B">
        <w:t xml:space="preserve">given </w:t>
      </w:r>
      <w:r w:rsidR="00823780">
        <w:t xml:space="preserve">how </w:t>
      </w:r>
      <w:r w:rsidR="00171164">
        <w:t xml:space="preserve">Innes CJ </w:t>
      </w:r>
      <w:r w:rsidR="00823780">
        <w:rPr>
          <w:lang w:eastAsia="en-ZA"/>
        </w:rPr>
        <w:t xml:space="preserve">had described the remedy in </w:t>
      </w:r>
      <w:r w:rsidR="00823780" w:rsidRPr="0077222B">
        <w:rPr>
          <w:i/>
          <w:iCs/>
          <w:lang w:eastAsia="en-ZA"/>
        </w:rPr>
        <w:t>Nino Bonino</w:t>
      </w:r>
      <w:r w:rsidR="00823780">
        <w:rPr>
          <w:lang w:eastAsia="en-ZA"/>
        </w:rPr>
        <w:t xml:space="preserve">, which is usually identified as </w:t>
      </w:r>
      <w:r w:rsidR="00F55584">
        <w:rPr>
          <w:lang w:eastAsia="en-ZA"/>
        </w:rPr>
        <w:t xml:space="preserve">the first leading case on the </w:t>
      </w:r>
      <w:r w:rsidR="00823780">
        <w:rPr>
          <w:lang w:eastAsia="en-ZA"/>
        </w:rPr>
        <w:t>remedy in South African law</w:t>
      </w:r>
      <w:r w:rsidR="00F55584">
        <w:rPr>
          <w:lang w:eastAsia="en-ZA"/>
        </w:rPr>
        <w:t>:</w:t>
      </w:r>
    </w:p>
    <w:p w14:paraId="47455C85" w14:textId="620C5AB7" w:rsidR="006C6808" w:rsidRPr="00171164" w:rsidRDefault="006C6808" w:rsidP="00171164">
      <w:pPr>
        <w:pStyle w:val="HeadsQuote"/>
        <w:rPr>
          <w:lang w:eastAsia="en-ZA"/>
        </w:rPr>
      </w:pPr>
      <w:r w:rsidRPr="0030493F">
        <w:rPr>
          <w:u w:val="single"/>
        </w:rPr>
        <w:t>It is a fundamental principle that no man is allowed to take the law into his own hands</w:t>
      </w:r>
      <w:r w:rsidRPr="0030493F">
        <w:t>; no one is permitted to dispossess another forcibly or wrongfully and against his consent of the possession of property, whether movable or immovable. If he does so, the Court will summarily restore the status quo ante, and will do that as a preliminary to any inquiry or investigation into the merits of the dispute</w:t>
      </w:r>
      <w:r w:rsidRPr="006003EC">
        <w:t>.</w:t>
      </w:r>
      <w:r w:rsidR="00823780">
        <w:t xml:space="preserve"> …</w:t>
      </w:r>
      <w:r w:rsidR="0030493F">
        <w:t xml:space="preserve">  </w:t>
      </w:r>
      <w:r w:rsidR="00823780">
        <w:t>[</w:t>
      </w:r>
      <w:r w:rsidR="0030493F">
        <w:t>The law cannot</w:t>
      </w:r>
      <w:r w:rsidR="00823780">
        <w:t>]</w:t>
      </w:r>
      <w:r w:rsidR="0030493F">
        <w:t xml:space="preserve"> </w:t>
      </w:r>
      <w:r w:rsidR="0030493F" w:rsidRPr="0030493F">
        <w:t xml:space="preserve">allow one of the two contracting parties to take the law into his own hands, to do that which the law says </w:t>
      </w:r>
      <w:r w:rsidR="0030493F" w:rsidRPr="00823780">
        <w:rPr>
          <w:u w:val="single"/>
        </w:rPr>
        <w:t>only a court</w:t>
      </w:r>
      <w:r w:rsidR="0030493F" w:rsidRPr="00823780">
        <w:t xml:space="preserve"> shall do</w:t>
      </w:r>
      <w:r w:rsidR="0030493F" w:rsidRPr="0030493F">
        <w:t>, that is, to dispossess one person and put another person in the possession of property. It</w:t>
      </w:r>
      <w:r w:rsidR="0030493F" w:rsidRPr="0030493F">
        <w:rPr>
          <w:u w:val="single"/>
        </w:rPr>
        <w:t xml:space="preserve"> </w:t>
      </w:r>
      <w:r w:rsidR="0030493F" w:rsidRPr="00823780">
        <w:t xml:space="preserve">purports to allow the lessor to be himself </w:t>
      </w:r>
      <w:r w:rsidR="0030493F" w:rsidRPr="00823780">
        <w:rPr>
          <w:u w:val="single"/>
        </w:rPr>
        <w:t>the judge</w:t>
      </w:r>
      <w:r w:rsidR="0030493F" w:rsidRPr="00823780">
        <w:t xml:space="preserve"> of whether a breach of contract has been committed,</w:t>
      </w:r>
      <w:r w:rsidR="00171164" w:rsidRPr="00823780">
        <w:t xml:space="preserve"> </w:t>
      </w:r>
      <w:r w:rsidR="0030493F" w:rsidRPr="00823780">
        <w:t xml:space="preserve">and having decide in his own favour to allow him of his own motion to prevent the lessee from having access to the premises. </w:t>
      </w:r>
      <w:r w:rsidR="0030493F" w:rsidRPr="00823780">
        <w:rPr>
          <w:u w:val="single"/>
        </w:rPr>
        <w:t>Only a court</w:t>
      </w:r>
      <w:r w:rsidR="0030493F" w:rsidRPr="00823780">
        <w:t xml:space="preserve"> of law can do those things.</w:t>
      </w:r>
      <w:r w:rsidR="0030493F" w:rsidRPr="0030493F">
        <w:t xml:space="preserve"> The parties cannot stipulate to do them themselves</w:t>
      </w:r>
      <w:r w:rsidR="00823780">
        <w:t>.</w:t>
      </w:r>
      <w:r w:rsidRPr="00823780">
        <w:rPr>
          <w:rStyle w:val="FootnoteReference"/>
          <w:i w:val="0"/>
          <w:iCs w:val="0"/>
        </w:rPr>
        <w:footnoteReference w:id="44"/>
      </w:r>
    </w:p>
    <w:p w14:paraId="2E4850BC" w14:textId="33A623E4" w:rsidR="002D432A" w:rsidRDefault="0046087F" w:rsidP="0046087F">
      <w:pPr>
        <w:pStyle w:val="LC1"/>
        <w:numPr>
          <w:ilvl w:val="0"/>
          <w:numId w:val="0"/>
        </w:numPr>
        <w:ind w:left="720" w:hanging="720"/>
        <w:rPr>
          <w:lang w:eastAsia="en-ZA"/>
        </w:rPr>
      </w:pPr>
      <w:r>
        <w:rPr>
          <w:rFonts w:cs="Arial"/>
          <w:szCs w:val="24"/>
          <w:lang w:eastAsia="en-ZA"/>
        </w:rPr>
        <w:t>[49]</w:t>
      </w:r>
      <w:r>
        <w:rPr>
          <w:rFonts w:cs="Arial"/>
          <w:szCs w:val="24"/>
          <w:lang w:eastAsia="en-ZA"/>
        </w:rPr>
        <w:tab/>
      </w:r>
      <w:r w:rsidR="0077222B">
        <w:rPr>
          <w:lang w:eastAsia="en-ZA"/>
        </w:rPr>
        <w:t xml:space="preserve">As the underlined portions indicate, I consider that the </w:t>
      </w:r>
      <w:r w:rsidR="0011723F">
        <w:rPr>
          <w:lang w:eastAsia="en-ZA"/>
        </w:rPr>
        <w:t xml:space="preserve">specific </w:t>
      </w:r>
      <w:r w:rsidR="0077222B">
        <w:rPr>
          <w:lang w:eastAsia="en-ZA"/>
        </w:rPr>
        <w:t xml:space="preserve">references to the role of courts in protecting the rule of law are of particular significance here. </w:t>
      </w:r>
    </w:p>
    <w:p w14:paraId="180972EE" w14:textId="23A608A3" w:rsidR="005279FF" w:rsidRDefault="0046087F" w:rsidP="0046087F">
      <w:pPr>
        <w:pStyle w:val="LC1"/>
        <w:numPr>
          <w:ilvl w:val="0"/>
          <w:numId w:val="0"/>
        </w:numPr>
        <w:ind w:left="720" w:hanging="720"/>
        <w:rPr>
          <w:lang w:eastAsia="en-ZA"/>
        </w:rPr>
      </w:pPr>
      <w:r>
        <w:rPr>
          <w:rFonts w:cs="Arial"/>
          <w:szCs w:val="24"/>
          <w:lang w:eastAsia="en-ZA"/>
        </w:rPr>
        <w:t>[50]</w:t>
      </w:r>
      <w:r>
        <w:rPr>
          <w:rFonts w:cs="Arial"/>
          <w:szCs w:val="24"/>
          <w:lang w:eastAsia="en-ZA"/>
        </w:rPr>
        <w:tab/>
      </w:r>
      <w:r w:rsidR="002D432A">
        <w:rPr>
          <w:lang w:eastAsia="en-ZA"/>
        </w:rPr>
        <w:t xml:space="preserve">Up </w:t>
      </w:r>
      <w:r w:rsidR="002D432A">
        <w:t>u</w:t>
      </w:r>
      <w:r w:rsidR="0077222B">
        <w:t xml:space="preserve">ntil </w:t>
      </w:r>
      <w:r w:rsidR="002D432A">
        <w:t xml:space="preserve">the most recent judgments in </w:t>
      </w:r>
      <w:r w:rsidR="0077222B">
        <w:t>modern times</w:t>
      </w:r>
      <w:r w:rsidR="00171164">
        <w:t xml:space="preserve">, </w:t>
      </w:r>
      <w:r w:rsidR="00171164">
        <w:rPr>
          <w:lang w:eastAsia="en-ZA"/>
        </w:rPr>
        <w:t>in seeking to explain the apparent anomaly of the existence in a legal system of a remedy that is not founded on any legal rights, our courts have repeatedly returned to and reiterated the rule of law justification for its existence.</w:t>
      </w:r>
      <w:r w:rsidR="00171164">
        <w:rPr>
          <w:rStyle w:val="FootnoteReference"/>
          <w:lang w:eastAsia="en-ZA"/>
        </w:rPr>
        <w:footnoteReference w:id="45"/>
      </w:r>
      <w:r w:rsidR="00171164">
        <w:rPr>
          <w:lang w:eastAsia="en-ZA"/>
        </w:rPr>
        <w:t xml:space="preserve"> </w:t>
      </w:r>
      <w:r w:rsidR="005279FF">
        <w:rPr>
          <w:lang w:eastAsia="en-ZA"/>
        </w:rPr>
        <w:t xml:space="preserve">The point was perhaps </w:t>
      </w:r>
      <w:r w:rsidR="005279FF">
        <w:rPr>
          <w:lang w:eastAsia="en-ZA"/>
        </w:rPr>
        <w:lastRenderedPageBreak/>
        <w:t xml:space="preserve">most memorably and effectively emphasised by Price J in </w:t>
      </w:r>
      <w:r w:rsidR="005279FF" w:rsidRPr="0077222B">
        <w:rPr>
          <w:i/>
          <w:iCs/>
        </w:rPr>
        <w:t xml:space="preserve">Greyling v Estate Pretorius </w:t>
      </w:r>
      <w:r w:rsidR="005279FF">
        <w:rPr>
          <w:lang w:eastAsia="en-ZA"/>
        </w:rPr>
        <w:t>as follows:</w:t>
      </w:r>
    </w:p>
    <w:p w14:paraId="3D8AC970" w14:textId="77777777" w:rsidR="005279FF" w:rsidRPr="00516A31" w:rsidRDefault="005279FF" w:rsidP="005279FF">
      <w:pPr>
        <w:pStyle w:val="HeadsQuote"/>
        <w:rPr>
          <w:lang w:eastAsia="en-ZA"/>
        </w:rPr>
      </w:pPr>
      <w:r w:rsidRPr="00516A31">
        <w:rPr>
          <w:lang w:eastAsia="en-ZA"/>
        </w:rPr>
        <w:t>When people commit acts of spoliation by taking the law into their own hands, they must not be disappointed if they find that Courts of law take a serious view of their conduct. The principle of law is: Spoliatus ante omnia restituendus est. If this principle means anything it means that before the Court will allow any enquiry into the ultimate rights of the parties the property which</w:t>
      </w:r>
      <w:r>
        <w:rPr>
          <w:lang w:eastAsia="en-ZA"/>
        </w:rPr>
        <w:t xml:space="preserve"> </w:t>
      </w:r>
      <w:r w:rsidRPr="00516A31">
        <w:rPr>
          <w:lang w:eastAsia="en-ZA"/>
        </w:rPr>
        <w:t xml:space="preserve">is the subject of the act of spoliation must be restored, to the person from whom it was taken, irrespective of the question as to who is in law entitled to be in possession of such property. </w:t>
      </w:r>
      <w:r w:rsidRPr="00516A31">
        <w:rPr>
          <w:u w:val="single"/>
          <w:lang w:eastAsia="en-ZA"/>
        </w:rPr>
        <w:t>The reason for this very drastic and firm rule is plain and obvious</w:t>
      </w:r>
      <w:r w:rsidRPr="00516A31">
        <w:rPr>
          <w:lang w:eastAsia="en-ZA"/>
        </w:rPr>
        <w:t>.</w:t>
      </w:r>
    </w:p>
    <w:p w14:paraId="105E9147" w14:textId="77777777" w:rsidR="005279FF" w:rsidRPr="00516A31" w:rsidRDefault="005279FF" w:rsidP="005279FF">
      <w:pPr>
        <w:pStyle w:val="HeadsQuote"/>
        <w:rPr>
          <w:lang w:eastAsia="en-ZA"/>
        </w:rPr>
      </w:pPr>
      <w:r w:rsidRPr="00516A31">
        <w:rPr>
          <w:u w:val="single"/>
          <w:lang w:eastAsia="en-ZA"/>
        </w:rPr>
        <w:t xml:space="preserve">The general maintenance of law and order is of infinitely greater importance than mere rights of particular individuals to recover </w:t>
      </w:r>
      <w:r w:rsidRPr="00516A31">
        <w:rPr>
          <w:u w:val="single"/>
          <w:lang w:eastAsia="en-ZA"/>
        </w:rPr>
        <w:lastRenderedPageBreak/>
        <w:t>possession of their property</w:t>
      </w:r>
      <w:r w:rsidRPr="00516A31">
        <w:rPr>
          <w:lang w:eastAsia="en-ZA"/>
        </w:rPr>
        <w:t>.</w:t>
      </w:r>
    </w:p>
    <w:p w14:paraId="16F7FE21" w14:textId="77777777" w:rsidR="005279FF" w:rsidRPr="00516A31" w:rsidRDefault="005279FF" w:rsidP="005279FF">
      <w:pPr>
        <w:pStyle w:val="HeadsQuote"/>
        <w:rPr>
          <w:lang w:eastAsia="en-ZA"/>
        </w:rPr>
      </w:pPr>
      <w:r w:rsidRPr="00516A31">
        <w:rPr>
          <w:lang w:eastAsia="en-ZA"/>
        </w:rPr>
        <w:t xml:space="preserve">If it became an established practice for the Court to fail to enforce a spoliation order because it was made to appear that in the ultimate result the rightful owner of the property in dispute would be injured in his enjoyment of that property, we should very soon find that the slender paradise our toil has gained for us of an ordered community had been lost and the dreadful 'reign of chaos and old night' would be upon us. The modern Montagues and Capulets who resemble those famous and ancient families only in the single respect that they are equally prone to violence, would soon make our streets and thoroughfares hideous with their disputes, their fighting and their brawls - turbulence and civil commotion would soon replace the law of order and decency. </w:t>
      </w:r>
      <w:r>
        <w:rPr>
          <w:lang w:eastAsia="en-ZA"/>
        </w:rPr>
        <w:t xml:space="preserve">… </w:t>
      </w:r>
      <w:r w:rsidRPr="00516A31">
        <w:rPr>
          <w:lang w:eastAsia="en-ZA"/>
        </w:rPr>
        <w:t>if it were possible to allow the respondent to remain in possession of the property he has acquired by the acts of spoliation mentioned, I would certainly do so, but a far more important principle is at stake.</w:t>
      </w:r>
    </w:p>
    <w:p w14:paraId="42DCE758" w14:textId="77777777" w:rsidR="005279FF" w:rsidRPr="00516A31" w:rsidRDefault="005279FF" w:rsidP="005279FF">
      <w:pPr>
        <w:pStyle w:val="HeadsQuote"/>
        <w:rPr>
          <w:i w:val="0"/>
          <w:iCs w:val="0"/>
          <w:lang w:eastAsia="en-ZA"/>
        </w:rPr>
      </w:pPr>
      <w:r w:rsidRPr="00516A31">
        <w:rPr>
          <w:lang w:eastAsia="en-ZA"/>
        </w:rPr>
        <w:t>This being the rule and these being the very weighty reasons for its existence, much as I disapprove of the applicant's general conduct, I have no option but to grant the application.</w:t>
      </w:r>
      <w:r w:rsidRPr="00171164">
        <w:rPr>
          <w:rStyle w:val="FootnoteReference"/>
          <w:i w:val="0"/>
          <w:iCs w:val="0"/>
          <w:lang w:eastAsia="en-ZA"/>
        </w:rPr>
        <w:footnoteReference w:id="46"/>
      </w:r>
    </w:p>
    <w:p w14:paraId="3B0F248A" w14:textId="3EBE3FE5" w:rsidR="00C74B4C" w:rsidRPr="00C74B4C" w:rsidRDefault="0046087F" w:rsidP="0046087F">
      <w:pPr>
        <w:pStyle w:val="LC1"/>
        <w:numPr>
          <w:ilvl w:val="0"/>
          <w:numId w:val="0"/>
        </w:numPr>
        <w:ind w:left="720" w:hanging="720"/>
        <w:rPr>
          <w:lang w:eastAsia="en-ZA"/>
        </w:rPr>
      </w:pPr>
      <w:r w:rsidRPr="00C74B4C">
        <w:rPr>
          <w:rFonts w:cs="Arial"/>
          <w:szCs w:val="24"/>
          <w:lang w:eastAsia="en-ZA"/>
        </w:rPr>
        <w:t>[51]</w:t>
      </w:r>
      <w:r w:rsidRPr="00C74B4C">
        <w:rPr>
          <w:rFonts w:cs="Arial"/>
          <w:szCs w:val="24"/>
          <w:lang w:eastAsia="en-ZA"/>
        </w:rPr>
        <w:tab/>
      </w:r>
      <w:r w:rsidR="00C74B4C">
        <w:rPr>
          <w:lang w:eastAsia="en-ZA"/>
        </w:rPr>
        <w:t xml:space="preserve">A further </w:t>
      </w:r>
      <w:r w:rsidR="00823780">
        <w:rPr>
          <w:lang w:eastAsia="en-ZA"/>
        </w:rPr>
        <w:t xml:space="preserve">societal </w:t>
      </w:r>
      <w:r w:rsidR="00C74B4C">
        <w:rPr>
          <w:lang w:eastAsia="en-ZA"/>
        </w:rPr>
        <w:t xml:space="preserve">justification </w:t>
      </w:r>
      <w:r w:rsidR="00823780">
        <w:rPr>
          <w:lang w:eastAsia="en-ZA"/>
        </w:rPr>
        <w:t xml:space="preserve">has more recently been posited </w:t>
      </w:r>
      <w:r w:rsidR="00C74B4C">
        <w:rPr>
          <w:lang w:eastAsia="en-ZA"/>
        </w:rPr>
        <w:t>by the authors of a student textbook on the subject: it is “</w:t>
      </w:r>
      <w:r w:rsidR="00C74B4C" w:rsidRPr="00C74B4C">
        <w:rPr>
          <w:i/>
          <w:iCs/>
          <w:lang w:eastAsia="en-ZA"/>
        </w:rPr>
        <w:t xml:space="preserve">rational and morally right </w:t>
      </w:r>
      <w:r w:rsidR="00C74B4C" w:rsidRPr="00823780">
        <w:rPr>
          <w:i/>
          <w:iCs/>
          <w:lang w:eastAsia="en-ZA"/>
        </w:rPr>
        <w:t>to benefit society</w:t>
      </w:r>
      <w:r w:rsidR="00C74B4C" w:rsidRPr="00C74B4C">
        <w:rPr>
          <w:i/>
          <w:iCs/>
          <w:lang w:eastAsia="en-ZA"/>
        </w:rPr>
        <w:t xml:space="preserve"> by protecting bare, possession</w:t>
      </w:r>
      <w:r w:rsidR="00C74B4C">
        <w:rPr>
          <w:lang w:eastAsia="en-ZA"/>
        </w:rPr>
        <w:t>”, “</w:t>
      </w:r>
      <w:r w:rsidR="00C74B4C" w:rsidRPr="00C74B4C">
        <w:rPr>
          <w:i/>
          <w:iCs/>
          <w:lang w:eastAsia="en-ZA"/>
        </w:rPr>
        <w:t xml:space="preserve">a successful application for the mandament van spolie has the consequence of  … </w:t>
      </w:r>
      <w:r w:rsidR="00C74B4C" w:rsidRPr="00C74B4C">
        <w:rPr>
          <w:i/>
          <w:iCs/>
          <w:u w:val="single"/>
          <w:lang w:eastAsia="en-ZA"/>
        </w:rPr>
        <w:t>creating an opportunity to hear the other side</w:t>
      </w:r>
      <w:r w:rsidR="00C74B4C" w:rsidRPr="00C74B4C">
        <w:rPr>
          <w:i/>
          <w:iCs/>
          <w:lang w:eastAsia="en-ZA"/>
        </w:rPr>
        <w:t>, albeit not immediately during those application proceedings</w:t>
      </w:r>
      <w:r w:rsidR="00C74B4C">
        <w:rPr>
          <w:lang w:eastAsia="en-ZA"/>
        </w:rPr>
        <w:t>” and this means that “</w:t>
      </w:r>
      <w:r w:rsidR="00C74B4C" w:rsidRPr="00823780">
        <w:rPr>
          <w:i/>
          <w:iCs/>
          <w:lang w:eastAsia="en-ZA"/>
        </w:rPr>
        <w:t>general societal welfare</w:t>
      </w:r>
      <w:r w:rsidR="00C74B4C" w:rsidRPr="00C74B4C">
        <w:rPr>
          <w:i/>
          <w:iCs/>
          <w:lang w:eastAsia="en-ZA"/>
        </w:rPr>
        <w:t xml:space="preserve"> is improved even though, sometimes, individual wrongdoers might benefit from the delay in having to return the disputed thing to the entitled person</w:t>
      </w:r>
      <w:r w:rsidR="00C74B4C">
        <w:rPr>
          <w:lang w:eastAsia="en-ZA"/>
        </w:rPr>
        <w:t>”.</w:t>
      </w:r>
      <w:r w:rsidR="00C74B4C" w:rsidRPr="00C74B4C">
        <w:rPr>
          <w:rStyle w:val="FootnoteReference"/>
          <w:lang w:eastAsia="en-ZA"/>
        </w:rPr>
        <w:footnoteReference w:id="47"/>
      </w:r>
    </w:p>
    <w:p w14:paraId="3B7E8C1F" w14:textId="7C14A300" w:rsidR="0081021E" w:rsidRDefault="0046087F" w:rsidP="0046087F">
      <w:pPr>
        <w:pStyle w:val="LC1"/>
        <w:numPr>
          <w:ilvl w:val="0"/>
          <w:numId w:val="0"/>
        </w:numPr>
        <w:ind w:left="720" w:hanging="720"/>
      </w:pPr>
      <w:r>
        <w:rPr>
          <w:rFonts w:cs="Arial"/>
          <w:szCs w:val="24"/>
        </w:rPr>
        <w:t>[52]</w:t>
      </w:r>
      <w:r>
        <w:rPr>
          <w:rFonts w:cs="Arial"/>
          <w:szCs w:val="24"/>
        </w:rPr>
        <w:tab/>
      </w:r>
      <w:r w:rsidR="0011723F">
        <w:t xml:space="preserve">All </w:t>
      </w:r>
      <w:r w:rsidR="00AD1047">
        <w:t xml:space="preserve">of this must be added </w:t>
      </w:r>
      <w:r w:rsidR="0011723F">
        <w:t xml:space="preserve">to </w:t>
      </w:r>
      <w:r w:rsidR="00AD1047">
        <w:t xml:space="preserve">the </w:t>
      </w:r>
      <w:r w:rsidR="00D87B4C">
        <w:t xml:space="preserve">critical </w:t>
      </w:r>
      <w:r w:rsidR="00AD1047">
        <w:t xml:space="preserve">consideration </w:t>
      </w:r>
      <w:r w:rsidR="0081021E">
        <w:t>that</w:t>
      </w:r>
      <w:r w:rsidR="00AD1047">
        <w:t xml:space="preserve"> (in part because it is supposed to be simple and not fact-intensive), the </w:t>
      </w:r>
      <w:r w:rsidR="00AD1047" w:rsidRPr="00AD1047">
        <w:rPr>
          <w:i/>
          <w:iCs/>
        </w:rPr>
        <w:t>mandament</w:t>
      </w:r>
      <w:r w:rsidR="00AD1047">
        <w:t xml:space="preserve"> is “</w:t>
      </w:r>
      <w:r w:rsidR="00AD1047" w:rsidRPr="00AD1047">
        <w:rPr>
          <w:i/>
          <w:iCs/>
        </w:rPr>
        <w:t xml:space="preserve">designed to </w:t>
      </w:r>
      <w:r w:rsidR="00AD1047" w:rsidRPr="00AD1047">
        <w:rPr>
          <w:i/>
          <w:iCs/>
        </w:rPr>
        <w:lastRenderedPageBreak/>
        <w:t>be a robust, speedy remedy</w:t>
      </w:r>
      <w:r w:rsidR="00AD1047">
        <w:t>”</w:t>
      </w:r>
      <w:r w:rsidR="00AD1047">
        <w:rPr>
          <w:rStyle w:val="FootnoteReference"/>
        </w:rPr>
        <w:footnoteReference w:id="48"/>
      </w:r>
      <w:r w:rsidR="00AD1047" w:rsidRPr="00AD1047">
        <w:t xml:space="preserve"> </w:t>
      </w:r>
      <w:r w:rsidR="0081021E">
        <w:t>which “</w:t>
      </w:r>
      <w:r w:rsidR="0081021E" w:rsidRPr="0081021E">
        <w:rPr>
          <w:i/>
          <w:iCs/>
        </w:rPr>
        <w:t>ensures that repossession is effected without unnecessary delays</w:t>
      </w:r>
      <w:r w:rsidR="0081021E">
        <w:t>” and “</w:t>
      </w:r>
      <w:r w:rsidR="0081021E" w:rsidRPr="0081021E">
        <w:rPr>
          <w:i/>
          <w:iCs/>
        </w:rPr>
        <w:t>reinforces the rationale behind the remedy, which is that no person is entitled to take the law into his own hands, and if he does, possession should be restored (speedily) before all else is decided upon</w:t>
      </w:r>
      <w:r w:rsidR="0081021E">
        <w:t>”.</w:t>
      </w:r>
      <w:r w:rsidR="0081021E">
        <w:rPr>
          <w:rStyle w:val="FootnoteReference"/>
        </w:rPr>
        <w:footnoteReference w:id="49"/>
      </w:r>
      <w:r w:rsidR="0081021E">
        <w:t xml:space="preserve"> </w:t>
      </w:r>
    </w:p>
    <w:p w14:paraId="6D9E5DB3" w14:textId="68E3893C" w:rsidR="00F55584" w:rsidRDefault="0046087F" w:rsidP="0046087F">
      <w:pPr>
        <w:pStyle w:val="LC1"/>
        <w:numPr>
          <w:ilvl w:val="0"/>
          <w:numId w:val="0"/>
        </w:numPr>
        <w:ind w:left="720" w:hanging="720"/>
      </w:pPr>
      <w:r>
        <w:rPr>
          <w:rFonts w:cs="Arial"/>
          <w:szCs w:val="24"/>
        </w:rPr>
        <w:t>[53]</w:t>
      </w:r>
      <w:r>
        <w:rPr>
          <w:rFonts w:cs="Arial"/>
          <w:szCs w:val="24"/>
        </w:rPr>
        <w:tab/>
      </w:r>
      <w:r w:rsidR="00C74B4C">
        <w:rPr>
          <w:lang w:eastAsia="en-ZA"/>
        </w:rPr>
        <w:t xml:space="preserve">In my view, it is the </w:t>
      </w:r>
      <w:r w:rsidR="00330C9E">
        <w:rPr>
          <w:lang w:eastAsia="en-ZA"/>
        </w:rPr>
        <w:t>essential</w:t>
      </w:r>
      <w:r w:rsidR="00330C9E" w:rsidRPr="0011723F">
        <w:rPr>
          <w:lang w:eastAsia="en-ZA"/>
        </w:rPr>
        <w:t xml:space="preserve">ly </w:t>
      </w:r>
      <w:r w:rsidR="00C74B4C" w:rsidRPr="0011723F">
        <w:rPr>
          <w:lang w:eastAsia="en-ZA"/>
        </w:rPr>
        <w:t>public</w:t>
      </w:r>
      <w:r w:rsidR="002D432A" w:rsidRPr="0011723F">
        <w:rPr>
          <w:lang w:eastAsia="en-ZA"/>
        </w:rPr>
        <w:t xml:space="preserve">, </w:t>
      </w:r>
      <w:r w:rsidR="00823780" w:rsidRPr="0011723F">
        <w:rPr>
          <w:lang w:eastAsia="en-ZA"/>
        </w:rPr>
        <w:t xml:space="preserve">court-driven </w:t>
      </w:r>
      <w:r w:rsidR="002D432A" w:rsidRPr="0011723F">
        <w:rPr>
          <w:lang w:eastAsia="en-ZA"/>
        </w:rPr>
        <w:t>and procedural</w:t>
      </w:r>
      <w:r w:rsidR="00AD1047" w:rsidRPr="0011723F">
        <w:rPr>
          <w:lang w:eastAsia="en-ZA"/>
        </w:rPr>
        <w:t>ly expeditious</w:t>
      </w:r>
      <w:r w:rsidR="002D432A">
        <w:rPr>
          <w:lang w:eastAsia="en-ZA"/>
        </w:rPr>
        <w:t xml:space="preserve"> </w:t>
      </w:r>
      <w:r w:rsidR="00330C9E">
        <w:rPr>
          <w:lang w:eastAsia="en-ZA"/>
        </w:rPr>
        <w:t xml:space="preserve">character of the </w:t>
      </w:r>
      <w:r w:rsidR="002D432A" w:rsidRPr="008E2E31">
        <w:rPr>
          <w:i/>
          <w:iCs/>
          <w:lang w:eastAsia="en-ZA"/>
        </w:rPr>
        <w:t>mandament van spolie</w:t>
      </w:r>
      <w:r w:rsidR="002D432A">
        <w:rPr>
          <w:lang w:eastAsia="en-ZA"/>
        </w:rPr>
        <w:t xml:space="preserve"> </w:t>
      </w:r>
      <w:r w:rsidR="00330C9E">
        <w:rPr>
          <w:lang w:eastAsia="en-ZA"/>
        </w:rPr>
        <w:t xml:space="preserve">that justifies and explains why a court may </w:t>
      </w:r>
      <w:r w:rsidR="00823780">
        <w:rPr>
          <w:lang w:eastAsia="en-ZA"/>
        </w:rPr>
        <w:t xml:space="preserve">in its discretion </w:t>
      </w:r>
      <w:r w:rsidR="0011723F">
        <w:rPr>
          <w:lang w:eastAsia="en-ZA"/>
        </w:rPr>
        <w:t xml:space="preserve">refuse </w:t>
      </w:r>
      <w:r w:rsidR="00330C9E">
        <w:rPr>
          <w:lang w:eastAsia="en-ZA"/>
        </w:rPr>
        <w:t xml:space="preserve">the </w:t>
      </w:r>
      <w:r w:rsidR="002D432A">
        <w:rPr>
          <w:lang w:eastAsia="en-ZA"/>
        </w:rPr>
        <w:t xml:space="preserve">remedy </w:t>
      </w:r>
      <w:r w:rsidR="00330C9E">
        <w:rPr>
          <w:lang w:eastAsia="en-ZA"/>
        </w:rPr>
        <w:t>on the grounds of unreasonable delay</w:t>
      </w:r>
      <w:r w:rsidR="008E2E31">
        <w:rPr>
          <w:lang w:eastAsia="en-ZA"/>
        </w:rPr>
        <w:t>. T</w:t>
      </w:r>
      <w:r w:rsidR="00330C9E">
        <w:rPr>
          <w:lang w:eastAsia="en-ZA"/>
        </w:rPr>
        <w:t>he remedy does not exist to protect the applicant</w:t>
      </w:r>
      <w:r w:rsidR="00F55584">
        <w:rPr>
          <w:lang w:eastAsia="en-ZA"/>
        </w:rPr>
        <w:t xml:space="preserve">’s legal </w:t>
      </w:r>
      <w:r w:rsidR="00F55584" w:rsidRPr="0011723F">
        <w:rPr>
          <w:lang w:eastAsia="en-ZA"/>
        </w:rPr>
        <w:t>rights</w:t>
      </w:r>
      <w:r w:rsidR="008E2E31">
        <w:rPr>
          <w:lang w:eastAsia="en-ZA"/>
        </w:rPr>
        <w:t>,</w:t>
      </w:r>
      <w:r w:rsidR="00330C9E">
        <w:rPr>
          <w:lang w:eastAsia="en-ZA"/>
        </w:rPr>
        <w:t xml:space="preserve"> but </w:t>
      </w:r>
      <w:r w:rsidR="00436841">
        <w:rPr>
          <w:lang w:eastAsia="en-ZA"/>
        </w:rPr>
        <w:t xml:space="preserve">operates in </w:t>
      </w:r>
      <w:r w:rsidR="00F55584">
        <w:rPr>
          <w:lang w:eastAsia="en-ZA"/>
        </w:rPr>
        <w:t xml:space="preserve">the interests of </w:t>
      </w:r>
      <w:r w:rsidR="00330C9E">
        <w:rPr>
          <w:lang w:eastAsia="en-ZA"/>
        </w:rPr>
        <w:t xml:space="preserve">society </w:t>
      </w:r>
      <w:r w:rsidR="00F55584">
        <w:rPr>
          <w:lang w:eastAsia="en-ZA"/>
        </w:rPr>
        <w:t>more broadly</w:t>
      </w:r>
      <w:r w:rsidR="00823780">
        <w:rPr>
          <w:lang w:eastAsia="en-ZA"/>
        </w:rPr>
        <w:t xml:space="preserve">, and in particular </w:t>
      </w:r>
      <w:r w:rsidR="00436841">
        <w:rPr>
          <w:lang w:eastAsia="en-ZA"/>
        </w:rPr>
        <w:t xml:space="preserve">its </w:t>
      </w:r>
      <w:r w:rsidR="00823780">
        <w:rPr>
          <w:lang w:eastAsia="en-ZA"/>
        </w:rPr>
        <w:t xml:space="preserve">interest in </w:t>
      </w:r>
      <w:r w:rsidR="00436841">
        <w:rPr>
          <w:lang w:eastAsia="en-ZA"/>
        </w:rPr>
        <w:t xml:space="preserve">the maintenance of </w:t>
      </w:r>
      <w:r w:rsidR="00823780">
        <w:rPr>
          <w:lang w:eastAsia="en-ZA"/>
        </w:rPr>
        <w:t>an orderly legal system</w:t>
      </w:r>
      <w:r w:rsidR="002D432A">
        <w:rPr>
          <w:lang w:eastAsia="en-ZA"/>
        </w:rPr>
        <w:t xml:space="preserve"> whose procedures </w:t>
      </w:r>
      <w:r w:rsidR="00436841">
        <w:rPr>
          <w:lang w:eastAsia="en-ZA"/>
        </w:rPr>
        <w:t xml:space="preserve">the courts are </w:t>
      </w:r>
      <w:r w:rsidR="002D432A">
        <w:rPr>
          <w:lang w:eastAsia="en-ZA"/>
        </w:rPr>
        <w:t>constitutionally empowered to protect and regulate</w:t>
      </w:r>
      <w:r w:rsidR="00823780">
        <w:rPr>
          <w:lang w:eastAsia="en-ZA"/>
        </w:rPr>
        <w:t>.</w:t>
      </w:r>
      <w:r w:rsidR="002D432A">
        <w:rPr>
          <w:rStyle w:val="FootnoteReference"/>
          <w:lang w:eastAsia="en-ZA"/>
        </w:rPr>
        <w:footnoteReference w:id="50"/>
      </w:r>
      <w:r w:rsidR="00823780">
        <w:rPr>
          <w:lang w:eastAsia="en-ZA"/>
        </w:rPr>
        <w:t xml:space="preserve"> </w:t>
      </w:r>
      <w:r w:rsidR="00436841">
        <w:rPr>
          <w:lang w:eastAsia="en-ZA"/>
        </w:rPr>
        <w:t xml:space="preserve">If </w:t>
      </w:r>
      <w:r w:rsidR="0011723F">
        <w:rPr>
          <w:lang w:eastAsia="en-ZA"/>
        </w:rPr>
        <w:t xml:space="preserve">in a given instance </w:t>
      </w:r>
      <w:r w:rsidR="00823780">
        <w:rPr>
          <w:lang w:eastAsia="en-ZA"/>
        </w:rPr>
        <w:t xml:space="preserve">those interests </w:t>
      </w:r>
      <w:r w:rsidR="0009143B">
        <w:rPr>
          <w:lang w:eastAsia="en-ZA"/>
        </w:rPr>
        <w:t xml:space="preserve">would </w:t>
      </w:r>
      <w:r w:rsidR="00823780">
        <w:rPr>
          <w:lang w:eastAsia="en-ZA"/>
        </w:rPr>
        <w:t xml:space="preserve">not </w:t>
      </w:r>
      <w:r w:rsidR="0009143B">
        <w:rPr>
          <w:lang w:eastAsia="en-ZA"/>
        </w:rPr>
        <w:t xml:space="preserve">be advanced </w:t>
      </w:r>
      <w:r w:rsidR="00823780">
        <w:rPr>
          <w:lang w:eastAsia="en-ZA"/>
        </w:rPr>
        <w:t xml:space="preserve">by the grant of the remedy </w:t>
      </w:r>
      <w:r w:rsidR="00AD1047">
        <w:rPr>
          <w:lang w:eastAsia="en-ZA"/>
        </w:rPr>
        <w:t>due to the passage of time</w:t>
      </w:r>
      <w:r w:rsidR="001212CC">
        <w:rPr>
          <w:lang w:eastAsia="en-ZA"/>
        </w:rPr>
        <w:t>,</w:t>
      </w:r>
      <w:r w:rsidR="0009143B">
        <w:rPr>
          <w:lang w:eastAsia="en-ZA"/>
        </w:rPr>
        <w:t xml:space="preserve"> </w:t>
      </w:r>
      <w:r w:rsidR="00823780">
        <w:rPr>
          <w:lang w:eastAsia="en-ZA"/>
        </w:rPr>
        <w:t>the</w:t>
      </w:r>
      <w:r w:rsidR="0009143B">
        <w:rPr>
          <w:lang w:eastAsia="en-ZA"/>
        </w:rPr>
        <w:t>n the</w:t>
      </w:r>
      <w:r w:rsidR="00823780">
        <w:rPr>
          <w:lang w:eastAsia="en-ZA"/>
        </w:rPr>
        <w:t xml:space="preserve"> justification for the grant of the remedy quite simply falls away.</w:t>
      </w:r>
      <w:r w:rsidR="008E2E31">
        <w:rPr>
          <w:lang w:eastAsia="en-ZA"/>
        </w:rPr>
        <w:t xml:space="preserve"> </w:t>
      </w:r>
      <w:r w:rsidR="00436841">
        <w:rPr>
          <w:lang w:eastAsia="en-ZA"/>
        </w:rPr>
        <w:t>I</w:t>
      </w:r>
      <w:r w:rsidR="00823780">
        <w:rPr>
          <w:lang w:eastAsia="en-ZA"/>
        </w:rPr>
        <w:t>n seeking to give effect to this nuanced principle, a</w:t>
      </w:r>
      <w:r w:rsidR="00F55584">
        <w:t xml:space="preserve"> ‘bright line’ such as that drawn in </w:t>
      </w:r>
      <w:r w:rsidR="00F55584" w:rsidRPr="008E2E31">
        <w:rPr>
          <w:i/>
          <w:iCs/>
        </w:rPr>
        <w:t>Jivan</w:t>
      </w:r>
      <w:r w:rsidR="00F55584">
        <w:t xml:space="preserve"> (even with the exceptions that it allows for) is </w:t>
      </w:r>
      <w:r w:rsidR="002D432A">
        <w:t xml:space="preserve">liable </w:t>
      </w:r>
      <w:r w:rsidR="00F55584">
        <w:t>to be arbitrary, which is the very antithesis of the rule of law.</w:t>
      </w:r>
    </w:p>
    <w:p w14:paraId="387E30A5" w14:textId="606DA1C2" w:rsidR="006C7822" w:rsidRDefault="0046087F" w:rsidP="0046087F">
      <w:pPr>
        <w:pStyle w:val="LC1"/>
        <w:numPr>
          <w:ilvl w:val="0"/>
          <w:numId w:val="0"/>
        </w:numPr>
        <w:ind w:left="720" w:hanging="720"/>
      </w:pPr>
      <w:r>
        <w:rPr>
          <w:rFonts w:cs="Arial"/>
          <w:szCs w:val="24"/>
        </w:rPr>
        <w:t>[54]</w:t>
      </w:r>
      <w:r>
        <w:rPr>
          <w:rFonts w:cs="Arial"/>
          <w:szCs w:val="24"/>
        </w:rPr>
        <w:tab/>
      </w:r>
      <w:r w:rsidR="006C7822" w:rsidRPr="006C7822">
        <w:t>A similar conclusion was reached by Binns Ward AJ (as he then was) in</w:t>
      </w:r>
      <w:r w:rsidR="006C7822">
        <w:rPr>
          <w:i/>
          <w:iCs/>
        </w:rPr>
        <w:t xml:space="preserve"> </w:t>
      </w:r>
      <w:r w:rsidR="006C7822" w:rsidRPr="00D40E19">
        <w:rPr>
          <w:i/>
          <w:iCs/>
        </w:rPr>
        <w:t>Barnard v Carl Greaves Brokers</w:t>
      </w:r>
      <w:r w:rsidR="006C7822">
        <w:t>:</w:t>
      </w:r>
    </w:p>
    <w:p w14:paraId="5C1CF757" w14:textId="4CF6830E" w:rsidR="006C7822" w:rsidRDefault="006C7822" w:rsidP="006C7822">
      <w:pPr>
        <w:pStyle w:val="HeadsQuote"/>
      </w:pPr>
      <w:r>
        <w:t xml:space="preserve">An applicant for relief under the mandament is expected to act expeditiously in claiming it. </w:t>
      </w:r>
      <w:r w:rsidRPr="0011723F">
        <w:rPr>
          <w:u w:val="single"/>
        </w:rPr>
        <w:t>The rationale for the remedy is undermined when, as in the current case, a lengthy interval and altered circumstances have intervened</w:t>
      </w:r>
      <w:r>
        <w:t xml:space="preserve"> between the offending dispossessing act</w:t>
      </w:r>
      <w:r>
        <w:rPr>
          <w:rStyle w:val="mc"/>
        </w:rPr>
        <w:t xml:space="preserve"> </w:t>
      </w:r>
      <w:r>
        <w:t>and the availment of the remedy. Although it has often been held that the scope for the exercise of judicial discretion to refuse the remedy is extremely limited, the cases show that the remedy will not be granted</w:t>
      </w:r>
      <w:r>
        <w:rPr>
          <w:rStyle w:val="mc"/>
        </w:rPr>
        <w:t xml:space="preserve"> </w:t>
      </w:r>
      <w:r>
        <w:lastRenderedPageBreak/>
        <w:t>where it would be impractical or purposeless</w:t>
      </w:r>
      <w:r w:rsidRPr="00B77812">
        <w:rPr>
          <w:i w:val="0"/>
          <w:iCs w:val="0"/>
        </w:rPr>
        <w:t>.</w:t>
      </w:r>
      <w:bookmarkStart w:id="4" w:name="0-0-0-336723"/>
      <w:bookmarkEnd w:id="4"/>
      <w:r w:rsidRPr="00B77812">
        <w:rPr>
          <w:rStyle w:val="FootnoteReference"/>
          <w:i w:val="0"/>
          <w:iCs w:val="0"/>
        </w:rPr>
        <w:footnoteReference w:id="51"/>
      </w:r>
      <w:r>
        <w:t xml:space="preserve"> </w:t>
      </w:r>
    </w:p>
    <w:p w14:paraId="48398C49" w14:textId="5566B654" w:rsidR="00E23DEC" w:rsidRDefault="0046087F" w:rsidP="0046087F">
      <w:pPr>
        <w:pStyle w:val="LC1"/>
        <w:numPr>
          <w:ilvl w:val="0"/>
          <w:numId w:val="0"/>
        </w:numPr>
        <w:ind w:left="720" w:hanging="720"/>
      </w:pPr>
      <w:r>
        <w:rPr>
          <w:rFonts w:cs="Arial"/>
          <w:szCs w:val="24"/>
        </w:rPr>
        <w:t>[55]</w:t>
      </w:r>
      <w:r>
        <w:rPr>
          <w:rFonts w:cs="Arial"/>
          <w:szCs w:val="24"/>
        </w:rPr>
        <w:tab/>
      </w:r>
      <w:r w:rsidR="00E23DEC">
        <w:t xml:space="preserve">According to the authors of </w:t>
      </w:r>
      <w:r w:rsidR="00E23DEC" w:rsidRPr="00E23DEC">
        <w:rPr>
          <w:u w:val="single"/>
        </w:rPr>
        <w:t>Silberberg and Schoeman</w:t>
      </w:r>
      <w:r w:rsidR="006C7822">
        <w:t>:</w:t>
      </w:r>
      <w:r w:rsidR="00E23DEC">
        <w:t xml:space="preserve"> </w:t>
      </w:r>
    </w:p>
    <w:p w14:paraId="62C7B904" w14:textId="77777777" w:rsidR="00E23DEC" w:rsidRPr="00E23DEC" w:rsidRDefault="00E23DEC" w:rsidP="00E23DEC">
      <w:pPr>
        <w:pStyle w:val="HeadsQuote"/>
        <w:rPr>
          <w:i w:val="0"/>
          <w:iCs w:val="0"/>
        </w:rPr>
      </w:pPr>
      <w:r w:rsidRPr="00BC7EC9">
        <w:t>Although the mandament van spolie is a robust remedy, it does not mean that the court can exercise no discretion at all when considering the order. It merely means that the court has no general or wide discretion. … It is submitted that the court can exercise its discretion when applying the principles of the mandament when [it] has to consider whether a delay in the application justifies a refusal of the order</w:t>
      </w:r>
      <w:r>
        <w:t>.</w:t>
      </w:r>
      <w:r>
        <w:rPr>
          <w:rStyle w:val="FootnoteReference"/>
        </w:rPr>
        <w:footnoteReference w:id="52"/>
      </w:r>
    </w:p>
    <w:p w14:paraId="35D0F6A6" w14:textId="487F4429" w:rsidR="0009143B" w:rsidRDefault="0046087F" w:rsidP="0046087F">
      <w:pPr>
        <w:pStyle w:val="LC1"/>
        <w:numPr>
          <w:ilvl w:val="0"/>
          <w:numId w:val="0"/>
        </w:numPr>
        <w:ind w:left="720" w:hanging="720"/>
      </w:pPr>
      <w:r>
        <w:rPr>
          <w:rFonts w:cs="Arial"/>
          <w:szCs w:val="24"/>
        </w:rPr>
        <w:t>[56]</w:t>
      </w:r>
      <w:r>
        <w:rPr>
          <w:rFonts w:cs="Arial"/>
          <w:szCs w:val="24"/>
        </w:rPr>
        <w:tab/>
      </w:r>
      <w:r w:rsidR="000763AB">
        <w:t xml:space="preserve">It must be emphasised that </w:t>
      </w:r>
      <w:r w:rsidR="00436841">
        <w:t xml:space="preserve">judicial </w:t>
      </w:r>
      <w:r w:rsidR="000763AB">
        <w:t xml:space="preserve">discretion </w:t>
      </w:r>
      <w:r w:rsidR="006C7822">
        <w:t xml:space="preserve">contemplated here </w:t>
      </w:r>
      <w:r w:rsidR="000763AB">
        <w:t xml:space="preserve">is not </w:t>
      </w:r>
      <w:r w:rsidR="008E2E31">
        <w:t xml:space="preserve">one </w:t>
      </w:r>
      <w:r w:rsidR="000763AB">
        <w:t xml:space="preserve">to </w:t>
      </w:r>
      <w:r w:rsidR="0009143B">
        <w:t>refuse to grant the relief on the basis of the balance of convenience or prejudice amongst the parties</w:t>
      </w:r>
      <w:r w:rsidR="008E2E31">
        <w:t>;</w:t>
      </w:r>
      <w:r w:rsidR="00B77812">
        <w:rPr>
          <w:rStyle w:val="FootnoteReference"/>
        </w:rPr>
        <w:footnoteReference w:id="53"/>
      </w:r>
      <w:r w:rsidR="0009143B">
        <w:t xml:space="preserve"> </w:t>
      </w:r>
      <w:r w:rsidR="00B77812">
        <w:t>or to refuse the relief on the ground of considerations relating to the merits of the dispute between the</w:t>
      </w:r>
      <w:r w:rsidR="0011723F">
        <w:t>m</w:t>
      </w:r>
      <w:r w:rsidR="00B77812">
        <w:t>;</w:t>
      </w:r>
      <w:r w:rsidR="00B77812">
        <w:rPr>
          <w:rStyle w:val="FootnoteReference"/>
        </w:rPr>
        <w:footnoteReference w:id="54"/>
      </w:r>
      <w:r w:rsidR="00B77812">
        <w:t xml:space="preserve"> </w:t>
      </w:r>
      <w:r w:rsidR="0009143B">
        <w:t xml:space="preserve">or to </w:t>
      </w:r>
      <w:r w:rsidR="000763AB">
        <w:t xml:space="preserve">impose conditions on the </w:t>
      </w:r>
      <w:r w:rsidR="00475B03">
        <w:t xml:space="preserve">spoliation order </w:t>
      </w:r>
      <w:r w:rsidR="0009143B">
        <w:t>that are not related to the question of bare possession</w:t>
      </w:r>
      <w:r w:rsidR="008E2E31">
        <w:t>;</w:t>
      </w:r>
      <w:r w:rsidR="00B77812">
        <w:rPr>
          <w:rStyle w:val="FootnoteReference"/>
        </w:rPr>
        <w:footnoteReference w:id="55"/>
      </w:r>
      <w:r w:rsidR="0009143B">
        <w:t xml:space="preserve"> </w:t>
      </w:r>
      <w:r w:rsidR="00475B03">
        <w:t xml:space="preserve">or to </w:t>
      </w:r>
      <w:r w:rsidR="000763AB">
        <w:t>grant relief other than restoration of possession of the specific spoliated property</w:t>
      </w:r>
      <w:r w:rsidR="00527D30">
        <w:t xml:space="preserve"> when that is not possible</w:t>
      </w:r>
      <w:r w:rsidR="008E2E31">
        <w:t>;</w:t>
      </w:r>
      <w:r w:rsidR="00527D30">
        <w:rPr>
          <w:rStyle w:val="FootnoteReference"/>
        </w:rPr>
        <w:footnoteReference w:id="56"/>
      </w:r>
      <w:r w:rsidR="000763AB">
        <w:t xml:space="preserve"> </w:t>
      </w:r>
      <w:r w:rsidR="0009143B">
        <w:t>or to refuse relief where the applicant has subjectively acquiesced</w:t>
      </w:r>
      <w:r w:rsidR="008E2E31">
        <w:t>.</w:t>
      </w:r>
      <w:r w:rsidR="00527D30">
        <w:rPr>
          <w:rStyle w:val="FootnoteReference"/>
        </w:rPr>
        <w:footnoteReference w:id="57"/>
      </w:r>
      <w:r w:rsidR="0009143B">
        <w:t xml:space="preserve"> </w:t>
      </w:r>
      <w:r w:rsidR="008E2E31">
        <w:t xml:space="preserve">Rather, it is </w:t>
      </w:r>
      <w:r w:rsidR="00B77812">
        <w:t>“</w:t>
      </w:r>
      <w:r w:rsidR="00B77812" w:rsidRPr="00B77812">
        <w:rPr>
          <w:i/>
          <w:iCs/>
        </w:rPr>
        <w:t xml:space="preserve">a discretion to refuse an application where, on account of the delay in bringing it, </w:t>
      </w:r>
      <w:r w:rsidR="00B77812" w:rsidRPr="002D432A">
        <w:rPr>
          <w:i/>
          <w:iCs/>
          <w:u w:val="single"/>
        </w:rPr>
        <w:t>no relief of any practical value can be granted</w:t>
      </w:r>
      <w:r w:rsidR="00B77812" w:rsidRPr="00B77812">
        <w:rPr>
          <w:i/>
          <w:iCs/>
        </w:rPr>
        <w:t xml:space="preserve"> at the time of the hearing of such application”</w:t>
      </w:r>
      <w:r w:rsidR="006C7822" w:rsidRPr="00B77812">
        <w:rPr>
          <w:rStyle w:val="FootnoteReference"/>
        </w:rPr>
        <w:footnoteReference w:id="58"/>
      </w:r>
      <w:r w:rsidR="006C7822" w:rsidRPr="00B77812">
        <w:rPr>
          <w:i/>
          <w:iCs/>
        </w:rPr>
        <w:t xml:space="preserve"> </w:t>
      </w:r>
      <w:r w:rsidR="006C7822">
        <w:t xml:space="preserve">in the </w:t>
      </w:r>
      <w:r w:rsidR="00B77812">
        <w:t xml:space="preserve">specific </w:t>
      </w:r>
      <w:r w:rsidR="006C7822">
        <w:t xml:space="preserve">sense </w:t>
      </w:r>
      <w:r w:rsidR="00B77812">
        <w:t xml:space="preserve">that such relief </w:t>
      </w:r>
      <w:r w:rsidR="008E2E31">
        <w:t xml:space="preserve">would </w:t>
      </w:r>
      <w:r w:rsidR="00527D30">
        <w:t xml:space="preserve">(objectively viewed) </w:t>
      </w:r>
      <w:r w:rsidR="008E2E31">
        <w:t xml:space="preserve">not </w:t>
      </w:r>
      <w:r w:rsidR="002D432A">
        <w:t xml:space="preserve">practically </w:t>
      </w:r>
      <w:r w:rsidR="001212CC">
        <w:t xml:space="preserve">advance </w:t>
      </w:r>
      <w:r w:rsidR="00B77812">
        <w:t xml:space="preserve">the </w:t>
      </w:r>
      <w:r w:rsidR="0009143B">
        <w:t>underlying rationale</w:t>
      </w:r>
      <w:r w:rsidR="00B77812">
        <w:t xml:space="preserve"> that justifies the existence of </w:t>
      </w:r>
      <w:r w:rsidR="0011723F">
        <w:t xml:space="preserve">this </w:t>
      </w:r>
      <w:r w:rsidR="00B77812">
        <w:t>unique remedy</w:t>
      </w:r>
      <w:r w:rsidR="008E2E31">
        <w:t>.</w:t>
      </w:r>
    </w:p>
    <w:p w14:paraId="681DB6F5" w14:textId="5D134D09" w:rsidR="00F96E71" w:rsidRDefault="0046087F" w:rsidP="0046087F">
      <w:pPr>
        <w:pStyle w:val="LC1"/>
        <w:numPr>
          <w:ilvl w:val="0"/>
          <w:numId w:val="0"/>
        </w:numPr>
        <w:ind w:left="720" w:hanging="720"/>
      </w:pPr>
      <w:r>
        <w:rPr>
          <w:rFonts w:cs="Arial"/>
          <w:szCs w:val="24"/>
        </w:rPr>
        <w:lastRenderedPageBreak/>
        <w:t>[57]</w:t>
      </w:r>
      <w:r>
        <w:rPr>
          <w:rFonts w:cs="Arial"/>
          <w:szCs w:val="24"/>
        </w:rPr>
        <w:tab/>
      </w:r>
      <w:r w:rsidR="001212CC">
        <w:t xml:space="preserve">In the current case, I am of the view that </w:t>
      </w:r>
      <w:r w:rsidR="00D87B4C">
        <w:t xml:space="preserve">the application has not been brought </w:t>
      </w:r>
      <w:r w:rsidR="002D432A">
        <w:t>within a reasonable time</w:t>
      </w:r>
      <w:r w:rsidR="00F96E71">
        <w:t>. So much ‘</w:t>
      </w:r>
      <w:r w:rsidR="000B1942">
        <w:t xml:space="preserve">water </w:t>
      </w:r>
      <w:r w:rsidR="00F96E71">
        <w:t xml:space="preserve">flowed under the bridge’ </w:t>
      </w:r>
      <w:r w:rsidR="000B1942">
        <w:t xml:space="preserve">after </w:t>
      </w:r>
      <w:r w:rsidR="00F96E71">
        <w:t xml:space="preserve">the time of the spoliation that even if an order could have been granted on the day </w:t>
      </w:r>
      <w:r w:rsidR="000B1942">
        <w:t xml:space="preserve">the application </w:t>
      </w:r>
      <w:r w:rsidR="00F96E71">
        <w:t>was launched</w:t>
      </w:r>
      <w:r w:rsidR="000B1942">
        <w:t xml:space="preserve"> 22 months later</w:t>
      </w:r>
      <w:r w:rsidR="00F96E71">
        <w:t xml:space="preserve">, it could </w:t>
      </w:r>
      <w:r w:rsidR="00F96E71">
        <w:rPr>
          <w:lang w:eastAsia="en-ZA"/>
        </w:rPr>
        <w:t>not truly be described as one that would have been made “</w:t>
      </w:r>
      <w:r w:rsidR="00F96E71" w:rsidRPr="00F96E71">
        <w:rPr>
          <w:i/>
          <w:iCs/>
          <w:lang w:eastAsia="en-ZA"/>
        </w:rPr>
        <w:t>ante omnia</w:t>
      </w:r>
      <w:r w:rsidR="00F96E71">
        <w:rPr>
          <w:lang w:eastAsia="en-ZA"/>
        </w:rPr>
        <w:t xml:space="preserve">”. </w:t>
      </w:r>
      <w:r w:rsidR="0011723F">
        <w:rPr>
          <w:lang w:eastAsia="en-ZA"/>
        </w:rPr>
        <w:t>Plainly</w:t>
      </w:r>
      <w:r w:rsidR="00B0760D">
        <w:rPr>
          <w:lang w:eastAsia="en-ZA"/>
        </w:rPr>
        <w:t xml:space="preserve">, this is even less </w:t>
      </w:r>
      <w:r w:rsidR="0011723F">
        <w:rPr>
          <w:lang w:eastAsia="en-ZA"/>
        </w:rPr>
        <w:t xml:space="preserve">true </w:t>
      </w:r>
      <w:r w:rsidR="000B1942">
        <w:rPr>
          <w:lang w:eastAsia="en-ZA"/>
        </w:rPr>
        <w:t>at this stage, a further two years down the road</w:t>
      </w:r>
      <w:r w:rsidR="00B0760D">
        <w:rPr>
          <w:lang w:eastAsia="en-ZA"/>
        </w:rPr>
        <w:t>.</w:t>
      </w:r>
    </w:p>
    <w:p w14:paraId="41ED4FCD" w14:textId="356E21CC" w:rsidR="00F96E71" w:rsidRDefault="0046087F" w:rsidP="0046087F">
      <w:pPr>
        <w:pStyle w:val="LC1"/>
        <w:numPr>
          <w:ilvl w:val="0"/>
          <w:numId w:val="0"/>
        </w:numPr>
        <w:ind w:left="720" w:hanging="720"/>
      </w:pPr>
      <w:r>
        <w:rPr>
          <w:rFonts w:cs="Arial"/>
          <w:szCs w:val="24"/>
        </w:rPr>
        <w:t>[58]</w:t>
      </w:r>
      <w:r>
        <w:rPr>
          <w:rFonts w:cs="Arial"/>
          <w:szCs w:val="24"/>
        </w:rPr>
        <w:tab/>
      </w:r>
      <w:r w:rsidR="000B1942">
        <w:rPr>
          <w:lang w:eastAsia="en-ZA"/>
        </w:rPr>
        <w:t>In the first place, i</w:t>
      </w:r>
      <w:r w:rsidR="00F96E71">
        <w:rPr>
          <w:lang w:eastAsia="en-ZA"/>
        </w:rPr>
        <w:t xml:space="preserve">t is abundantly clear from the applicant’s own affidavits that the familial living arrangements as they existed prior to </w:t>
      </w:r>
      <w:r w:rsidR="00B0760D">
        <w:rPr>
          <w:lang w:eastAsia="en-ZA"/>
        </w:rPr>
        <w:t xml:space="preserve">Veni’s death </w:t>
      </w:r>
      <w:r w:rsidR="00F96E71">
        <w:rPr>
          <w:lang w:eastAsia="en-ZA"/>
        </w:rPr>
        <w:t xml:space="preserve">had been dramatically altered by the time the application was launched. </w:t>
      </w:r>
      <w:r w:rsidR="00B0760D">
        <w:rPr>
          <w:lang w:eastAsia="en-ZA"/>
        </w:rPr>
        <w:t xml:space="preserve">The </w:t>
      </w:r>
      <w:r w:rsidR="00F96E71">
        <w:rPr>
          <w:lang w:eastAsia="en-ZA"/>
        </w:rPr>
        <w:t xml:space="preserve">applicant and Veni had </w:t>
      </w:r>
      <w:r w:rsidR="00B0760D">
        <w:rPr>
          <w:lang w:eastAsia="en-ZA"/>
        </w:rPr>
        <w:t xml:space="preserve">previously </w:t>
      </w:r>
      <w:r w:rsidR="00F96E71">
        <w:rPr>
          <w:lang w:eastAsia="en-ZA"/>
        </w:rPr>
        <w:t>lived together</w:t>
      </w:r>
      <w:r w:rsidR="00B0760D">
        <w:rPr>
          <w:lang w:eastAsia="en-ZA"/>
        </w:rPr>
        <w:t xml:space="preserve"> </w:t>
      </w:r>
      <w:r w:rsidR="00F96E71">
        <w:rPr>
          <w:lang w:eastAsia="en-ZA"/>
        </w:rPr>
        <w:t xml:space="preserve">with </w:t>
      </w:r>
      <w:r w:rsidR="00B0760D">
        <w:rPr>
          <w:lang w:eastAsia="en-ZA"/>
        </w:rPr>
        <w:t xml:space="preserve">Veni’s two children and </w:t>
      </w:r>
      <w:r w:rsidR="00F96E71">
        <w:rPr>
          <w:lang w:eastAsia="en-ZA"/>
        </w:rPr>
        <w:t xml:space="preserve">their </w:t>
      </w:r>
      <w:r w:rsidR="00B0760D">
        <w:rPr>
          <w:lang w:eastAsia="en-ZA"/>
        </w:rPr>
        <w:t>son. By November 202</w:t>
      </w:r>
      <w:r w:rsidR="00163DD5">
        <w:rPr>
          <w:lang w:eastAsia="en-ZA"/>
        </w:rPr>
        <w:t>0</w:t>
      </w:r>
      <w:r w:rsidR="00B0760D">
        <w:rPr>
          <w:lang w:eastAsia="en-ZA"/>
        </w:rPr>
        <w:t>, this family had entirely broken up</w:t>
      </w:r>
      <w:r w:rsidR="00D87B4C">
        <w:rPr>
          <w:lang w:eastAsia="en-ZA"/>
        </w:rPr>
        <w:t>.</w:t>
      </w:r>
      <w:r w:rsidR="00B0760D">
        <w:rPr>
          <w:lang w:eastAsia="en-ZA"/>
        </w:rPr>
        <w:t xml:space="preserve"> </w:t>
      </w:r>
      <w:r w:rsidR="00D87B4C">
        <w:rPr>
          <w:lang w:eastAsia="en-ZA"/>
        </w:rPr>
        <w:t xml:space="preserve">With </w:t>
      </w:r>
      <w:r w:rsidR="00D02721">
        <w:rPr>
          <w:lang w:eastAsia="en-ZA"/>
        </w:rPr>
        <w:t xml:space="preserve">Veni having passed away, </w:t>
      </w:r>
      <w:r w:rsidR="00B0760D">
        <w:rPr>
          <w:lang w:eastAsia="en-ZA"/>
        </w:rPr>
        <w:t xml:space="preserve">the applicant and </w:t>
      </w:r>
      <w:r w:rsidR="00337848">
        <w:rPr>
          <w:lang w:eastAsia="en-ZA"/>
        </w:rPr>
        <w:t xml:space="preserve">their </w:t>
      </w:r>
      <w:r w:rsidR="00B0760D">
        <w:rPr>
          <w:lang w:eastAsia="en-ZA"/>
        </w:rPr>
        <w:t xml:space="preserve">son </w:t>
      </w:r>
      <w:r w:rsidR="00337848">
        <w:rPr>
          <w:lang w:eastAsia="en-ZA"/>
        </w:rPr>
        <w:t xml:space="preserve">eventually moved in with </w:t>
      </w:r>
      <w:r w:rsidR="00B0760D">
        <w:rPr>
          <w:lang w:eastAsia="en-ZA"/>
        </w:rPr>
        <w:t xml:space="preserve">his parents in an old age home, and Veni’s minor </w:t>
      </w:r>
      <w:r w:rsidR="00337848">
        <w:rPr>
          <w:lang w:eastAsia="en-ZA"/>
        </w:rPr>
        <w:t xml:space="preserve">daughter </w:t>
      </w:r>
      <w:r w:rsidR="00B0760D">
        <w:rPr>
          <w:lang w:eastAsia="en-ZA"/>
        </w:rPr>
        <w:t xml:space="preserve">and the second respondent </w:t>
      </w:r>
      <w:r w:rsidR="00D87B4C">
        <w:rPr>
          <w:lang w:eastAsia="en-ZA"/>
        </w:rPr>
        <w:t xml:space="preserve">were </w:t>
      </w:r>
      <w:r w:rsidR="00B0760D">
        <w:rPr>
          <w:lang w:eastAsia="en-ZA"/>
        </w:rPr>
        <w:t xml:space="preserve">being cared for by first respondent and her husband, together with their three children in the Lyndhurst house. In view of the seriously antagonistic relationship between the parties, including the making of death threats, the reinsertion of the applicant and his </w:t>
      </w:r>
      <w:r w:rsidR="00487896">
        <w:rPr>
          <w:lang w:eastAsia="en-ZA"/>
        </w:rPr>
        <w:t>ten-year-old</w:t>
      </w:r>
      <w:r w:rsidR="00B0760D">
        <w:rPr>
          <w:lang w:eastAsia="en-ZA"/>
        </w:rPr>
        <w:t xml:space="preserve"> son into the house </w:t>
      </w:r>
      <w:r w:rsidR="0011723F">
        <w:rPr>
          <w:lang w:eastAsia="en-ZA"/>
        </w:rPr>
        <w:t>as co-residents</w:t>
      </w:r>
      <w:r w:rsidR="0011723F">
        <w:rPr>
          <w:rStyle w:val="FootnoteReference"/>
          <w:lang w:eastAsia="en-ZA"/>
        </w:rPr>
        <w:footnoteReference w:id="59"/>
      </w:r>
      <w:r w:rsidR="0011723F">
        <w:rPr>
          <w:lang w:eastAsia="en-ZA"/>
        </w:rPr>
        <w:t xml:space="preserve"> </w:t>
      </w:r>
      <w:r w:rsidR="00B0760D">
        <w:rPr>
          <w:lang w:eastAsia="en-ZA"/>
        </w:rPr>
        <w:t xml:space="preserve">would in no way accord </w:t>
      </w:r>
      <w:r w:rsidR="00487896">
        <w:rPr>
          <w:lang w:eastAsia="en-ZA"/>
        </w:rPr>
        <w:t xml:space="preserve">advance </w:t>
      </w:r>
      <w:r w:rsidR="00B0760D">
        <w:rPr>
          <w:lang w:eastAsia="en-ZA"/>
        </w:rPr>
        <w:t>the rule of law. To the contrary, it would in my view</w:t>
      </w:r>
      <w:r w:rsidR="00D87B4C">
        <w:rPr>
          <w:lang w:eastAsia="en-ZA"/>
        </w:rPr>
        <w:t>,</w:t>
      </w:r>
      <w:r w:rsidR="00B0760D">
        <w:rPr>
          <w:lang w:eastAsia="en-ZA"/>
        </w:rPr>
        <w:t xml:space="preserve"> be a recipe for chaos.</w:t>
      </w:r>
    </w:p>
    <w:p w14:paraId="236B2F28" w14:textId="03003757" w:rsidR="00487896" w:rsidRDefault="0046087F" w:rsidP="0046087F">
      <w:pPr>
        <w:pStyle w:val="LC1"/>
        <w:numPr>
          <w:ilvl w:val="0"/>
          <w:numId w:val="0"/>
        </w:numPr>
        <w:ind w:left="720" w:hanging="720"/>
      </w:pPr>
      <w:r>
        <w:rPr>
          <w:rFonts w:cs="Arial"/>
          <w:szCs w:val="24"/>
        </w:rPr>
        <w:t>[59]</w:t>
      </w:r>
      <w:r>
        <w:rPr>
          <w:rFonts w:cs="Arial"/>
          <w:szCs w:val="24"/>
        </w:rPr>
        <w:tab/>
      </w:r>
      <w:r w:rsidR="000B1942">
        <w:t xml:space="preserve">Secondly, I am not satisfied </w:t>
      </w:r>
      <w:r w:rsidR="00AD1047">
        <w:t xml:space="preserve">that the restoration of joint possession of the Lyndhurst house in this matter would constitute an expeditious remedy </w:t>
      </w:r>
      <w:r w:rsidR="000B1942">
        <w:t xml:space="preserve">that would serve the purpose of preserving the </w:t>
      </w:r>
      <w:r w:rsidR="000B1942" w:rsidRPr="000B1942">
        <w:rPr>
          <w:i/>
          <w:iCs/>
        </w:rPr>
        <w:t>status quo ante</w:t>
      </w:r>
      <w:r w:rsidR="000B1942">
        <w:t xml:space="preserve"> in advance of the determination of the rights of the parties pursuant to an opportunity being given to each of them to state their case. As indicated above, the applicant himself observes that “</w:t>
      </w:r>
      <w:r w:rsidR="000B1942" w:rsidRPr="00292CE1">
        <w:rPr>
          <w:i/>
          <w:iCs/>
        </w:rPr>
        <w:t>there is no application before Court, or even a threatened application, for the determination of the rights of the parties in relation to the property</w:t>
      </w:r>
      <w:r w:rsidR="000B1942">
        <w:t xml:space="preserve">”. </w:t>
      </w:r>
      <w:r w:rsidR="00D87B4C">
        <w:t xml:space="preserve">Had the application been brought sooner and the applicant’s joint possession been restored soon after it was lost, it may be expected that the </w:t>
      </w:r>
      <w:r w:rsidR="00D87B4C">
        <w:lastRenderedPageBreak/>
        <w:t>respective rights of the parties to occupation and the correct legal position would have been determined (i.e. “all else” would have been enquired into and decided upon) according to appropriate processes under the rule of law many months ago.</w:t>
      </w:r>
    </w:p>
    <w:p w14:paraId="034CB488" w14:textId="76D275DB" w:rsidR="00D87B4C" w:rsidRDefault="0046087F" w:rsidP="0046087F">
      <w:pPr>
        <w:pStyle w:val="LC1"/>
        <w:numPr>
          <w:ilvl w:val="0"/>
          <w:numId w:val="0"/>
        </w:numPr>
        <w:ind w:left="720" w:hanging="720"/>
      </w:pPr>
      <w:r>
        <w:rPr>
          <w:rFonts w:cs="Arial"/>
          <w:szCs w:val="24"/>
        </w:rPr>
        <w:t>[60]</w:t>
      </w:r>
      <w:r>
        <w:rPr>
          <w:rFonts w:cs="Arial"/>
          <w:szCs w:val="24"/>
        </w:rPr>
        <w:tab/>
      </w:r>
      <w:r w:rsidR="00487896">
        <w:t>Thirdly, it is abundantly apparent that the parties are in dispute with each other as to who should care for the two minor children. That is a matter to be resolved carefully by a court armed with all information necessary to ensure that the best interests of the children themselves remain paramount. It appears to me that the grant of the spoliatory relief in this application would be likely to undermine a proper consideration of that matter, which could hardly be considered as being consistent with a vindication of the rule of law.</w:t>
      </w:r>
    </w:p>
    <w:p w14:paraId="0EF193C6" w14:textId="5E18C1DF" w:rsidR="00381603" w:rsidRDefault="0046087F" w:rsidP="0046087F">
      <w:pPr>
        <w:pStyle w:val="LC1"/>
        <w:numPr>
          <w:ilvl w:val="0"/>
          <w:numId w:val="0"/>
        </w:numPr>
        <w:ind w:left="720" w:hanging="720"/>
      </w:pPr>
      <w:r>
        <w:rPr>
          <w:rFonts w:cs="Arial"/>
          <w:szCs w:val="24"/>
        </w:rPr>
        <w:t>[61]</w:t>
      </w:r>
      <w:r>
        <w:rPr>
          <w:rFonts w:cs="Arial"/>
          <w:szCs w:val="24"/>
        </w:rPr>
        <w:tab/>
      </w:r>
      <w:r w:rsidR="00381603">
        <w:t>I conclude that the spoliatory relief sought in prayer 1 of the notice of motion must be refused on the basis that the application was not brought within a reasonable time</w:t>
      </w:r>
      <w:r w:rsidR="00487896">
        <w:t>:</w:t>
      </w:r>
      <w:r w:rsidR="00381603">
        <w:t xml:space="preserve"> the order sought would have no practical effect in advancing the underlying rationale that justifies the existence of the </w:t>
      </w:r>
      <w:r w:rsidR="00381603" w:rsidRPr="00B77812">
        <w:rPr>
          <w:i/>
          <w:iCs/>
        </w:rPr>
        <w:t>mandament van spolie</w:t>
      </w:r>
      <w:r w:rsidR="00381603">
        <w:t>.</w:t>
      </w:r>
    </w:p>
    <w:p w14:paraId="64D1F76C" w14:textId="4A9623D4" w:rsidR="00C271ED" w:rsidRPr="00671349" w:rsidRDefault="00381603" w:rsidP="007D51E5">
      <w:pPr>
        <w:pStyle w:val="LC1"/>
        <w:keepNext/>
        <w:numPr>
          <w:ilvl w:val="0"/>
          <w:numId w:val="0"/>
        </w:numPr>
        <w:spacing w:after="120"/>
        <w:rPr>
          <w:rFonts w:cs="Arial"/>
          <w:szCs w:val="24"/>
        </w:rPr>
      </w:pPr>
      <w:r>
        <w:rPr>
          <w:rFonts w:cs="Arial"/>
          <w:szCs w:val="24"/>
          <w:u w:val="single"/>
        </w:rPr>
        <w:t>C</w:t>
      </w:r>
      <w:r w:rsidR="001920ED">
        <w:rPr>
          <w:rFonts w:cs="Arial"/>
          <w:szCs w:val="24"/>
          <w:u w:val="single"/>
        </w:rPr>
        <w:t>osts and order</w:t>
      </w:r>
    </w:p>
    <w:p w14:paraId="4307E0F9" w14:textId="1E55D6A9" w:rsidR="00381603" w:rsidRDefault="0046087F" w:rsidP="0046087F">
      <w:pPr>
        <w:pStyle w:val="LC1"/>
        <w:numPr>
          <w:ilvl w:val="0"/>
          <w:numId w:val="0"/>
        </w:numPr>
        <w:spacing w:after="120"/>
        <w:ind w:left="720" w:hanging="720"/>
        <w:rPr>
          <w:rFonts w:cs="Arial"/>
          <w:szCs w:val="24"/>
        </w:rPr>
      </w:pPr>
      <w:r>
        <w:rPr>
          <w:rFonts w:cs="Arial"/>
          <w:szCs w:val="24"/>
        </w:rPr>
        <w:t>[62]</w:t>
      </w:r>
      <w:r>
        <w:rPr>
          <w:rFonts w:cs="Arial"/>
          <w:szCs w:val="24"/>
        </w:rPr>
        <w:tab/>
      </w:r>
      <w:r w:rsidR="009907D3">
        <w:rPr>
          <w:rFonts w:cs="Arial"/>
          <w:szCs w:val="24"/>
        </w:rPr>
        <w:t xml:space="preserve">The </w:t>
      </w:r>
      <w:r w:rsidR="00602402" w:rsidRPr="00602402">
        <w:rPr>
          <w:rFonts w:cs="Arial"/>
          <w:szCs w:val="24"/>
        </w:rPr>
        <w:t xml:space="preserve">usual principle </w:t>
      </w:r>
      <w:r w:rsidR="009907D3">
        <w:rPr>
          <w:rFonts w:cs="Arial"/>
          <w:szCs w:val="24"/>
        </w:rPr>
        <w:t xml:space="preserve">is </w:t>
      </w:r>
      <w:r w:rsidR="00602402" w:rsidRPr="00602402">
        <w:rPr>
          <w:rFonts w:cs="Arial"/>
          <w:szCs w:val="24"/>
        </w:rPr>
        <w:t xml:space="preserve">that </w:t>
      </w:r>
      <w:r w:rsidR="00487896">
        <w:rPr>
          <w:rFonts w:cs="Arial"/>
          <w:szCs w:val="24"/>
        </w:rPr>
        <w:t xml:space="preserve">a </w:t>
      </w:r>
      <w:r w:rsidR="00485082">
        <w:rPr>
          <w:rFonts w:cs="Arial"/>
          <w:szCs w:val="24"/>
        </w:rPr>
        <w:t xml:space="preserve">successful </w:t>
      </w:r>
      <w:r w:rsidR="00602402" w:rsidRPr="00602402">
        <w:rPr>
          <w:rFonts w:cs="Arial"/>
          <w:szCs w:val="24"/>
        </w:rPr>
        <w:t xml:space="preserve">party should be </w:t>
      </w:r>
      <w:r w:rsidR="00485082">
        <w:rPr>
          <w:rFonts w:cs="Arial"/>
          <w:szCs w:val="24"/>
        </w:rPr>
        <w:t xml:space="preserve">awarded </w:t>
      </w:r>
      <w:r w:rsidR="00756550">
        <w:rPr>
          <w:rFonts w:cs="Arial"/>
          <w:szCs w:val="24"/>
        </w:rPr>
        <w:t xml:space="preserve">their </w:t>
      </w:r>
      <w:r w:rsidR="00485082">
        <w:rPr>
          <w:rFonts w:cs="Arial"/>
          <w:szCs w:val="24"/>
        </w:rPr>
        <w:t>costs</w:t>
      </w:r>
      <w:r w:rsidR="00602402">
        <w:rPr>
          <w:rFonts w:cs="Arial"/>
          <w:szCs w:val="24"/>
        </w:rPr>
        <w:t xml:space="preserve">. </w:t>
      </w:r>
    </w:p>
    <w:p w14:paraId="0E915441" w14:textId="1819516F" w:rsidR="00001F4A" w:rsidRDefault="0046087F" w:rsidP="0046087F">
      <w:pPr>
        <w:pStyle w:val="LC1"/>
        <w:numPr>
          <w:ilvl w:val="0"/>
          <w:numId w:val="0"/>
        </w:numPr>
        <w:spacing w:after="120"/>
        <w:ind w:left="720" w:hanging="720"/>
        <w:rPr>
          <w:rFonts w:cs="Arial"/>
          <w:szCs w:val="24"/>
        </w:rPr>
      </w:pPr>
      <w:r>
        <w:rPr>
          <w:rFonts w:cs="Arial"/>
          <w:szCs w:val="24"/>
        </w:rPr>
        <w:t>[63]</w:t>
      </w:r>
      <w:r>
        <w:rPr>
          <w:rFonts w:cs="Arial"/>
          <w:szCs w:val="24"/>
        </w:rPr>
        <w:tab/>
      </w:r>
      <w:r w:rsidR="0065150E">
        <w:rPr>
          <w:rFonts w:cs="Arial"/>
          <w:szCs w:val="24"/>
        </w:rPr>
        <w:t xml:space="preserve">Although the respondents have been successful in </w:t>
      </w:r>
      <w:r w:rsidR="00381603">
        <w:rPr>
          <w:rFonts w:cs="Arial"/>
          <w:szCs w:val="24"/>
        </w:rPr>
        <w:t xml:space="preserve">resisting the relief sought </w:t>
      </w:r>
      <w:r w:rsidR="00396217">
        <w:rPr>
          <w:rFonts w:cs="Arial"/>
          <w:szCs w:val="24"/>
        </w:rPr>
        <w:t xml:space="preserve">by </w:t>
      </w:r>
      <w:r w:rsidR="00381603">
        <w:rPr>
          <w:rFonts w:cs="Arial"/>
          <w:szCs w:val="24"/>
        </w:rPr>
        <w:t>the applicant</w:t>
      </w:r>
      <w:r w:rsidR="0065150E">
        <w:rPr>
          <w:rFonts w:cs="Arial"/>
          <w:szCs w:val="24"/>
        </w:rPr>
        <w:t xml:space="preserve">, their success has been of a </w:t>
      </w:r>
      <w:r w:rsidR="00396217">
        <w:rPr>
          <w:rFonts w:cs="Arial"/>
          <w:szCs w:val="24"/>
        </w:rPr>
        <w:t xml:space="preserve">procedural </w:t>
      </w:r>
      <w:r w:rsidR="0065150E">
        <w:rPr>
          <w:rFonts w:cs="Arial"/>
          <w:szCs w:val="24"/>
        </w:rPr>
        <w:t>nature</w:t>
      </w:r>
      <w:r w:rsidR="00381603">
        <w:rPr>
          <w:rFonts w:cs="Arial"/>
          <w:szCs w:val="24"/>
        </w:rPr>
        <w:t xml:space="preserve">. What is more, </w:t>
      </w:r>
      <w:r w:rsidR="00396217">
        <w:rPr>
          <w:rFonts w:cs="Arial"/>
          <w:szCs w:val="24"/>
        </w:rPr>
        <w:t xml:space="preserve">the implication of the factual findings that I have made above regarding their </w:t>
      </w:r>
      <w:r w:rsidR="00381603">
        <w:rPr>
          <w:rFonts w:cs="Arial"/>
          <w:szCs w:val="24"/>
        </w:rPr>
        <w:t xml:space="preserve">conduct in excluding the applicant from the Lyndhurst house </w:t>
      </w:r>
      <w:r w:rsidR="00396217">
        <w:rPr>
          <w:rFonts w:cs="Arial"/>
          <w:szCs w:val="24"/>
        </w:rPr>
        <w:t xml:space="preserve">is that they appear </w:t>
      </w:r>
      <w:r w:rsidR="00381603">
        <w:rPr>
          <w:rFonts w:cs="Arial"/>
          <w:szCs w:val="24"/>
        </w:rPr>
        <w:t>to have contravened section 26(3) of the constitution, which provides that</w:t>
      </w:r>
      <w:r w:rsidR="0065150E">
        <w:rPr>
          <w:rFonts w:cs="Arial"/>
          <w:szCs w:val="24"/>
        </w:rPr>
        <w:t xml:space="preserve"> </w:t>
      </w:r>
      <w:r w:rsidR="00487896">
        <w:rPr>
          <w:rFonts w:cs="Arial"/>
          <w:szCs w:val="24"/>
        </w:rPr>
        <w:t>no-</w:t>
      </w:r>
      <w:r w:rsidR="00381603" w:rsidRPr="00381603">
        <w:rPr>
          <w:rFonts w:cs="Arial"/>
          <w:szCs w:val="24"/>
        </w:rPr>
        <w:t>one may be evicted from their home</w:t>
      </w:r>
      <w:r w:rsidR="00487896">
        <w:rPr>
          <w:rFonts w:cs="Arial"/>
          <w:szCs w:val="24"/>
        </w:rPr>
        <w:t xml:space="preserve"> </w:t>
      </w:r>
      <w:r w:rsidR="00381603" w:rsidRPr="00381603">
        <w:rPr>
          <w:rFonts w:cs="Arial"/>
          <w:szCs w:val="24"/>
        </w:rPr>
        <w:t>without an order of court made after considering all the relevant circumstances.</w:t>
      </w:r>
      <w:r w:rsidR="0065150E">
        <w:rPr>
          <w:rFonts w:cs="Arial"/>
          <w:szCs w:val="24"/>
        </w:rPr>
        <w:t xml:space="preserve"> </w:t>
      </w:r>
      <w:r w:rsidR="00381603">
        <w:rPr>
          <w:rFonts w:cs="Arial"/>
          <w:szCs w:val="24"/>
        </w:rPr>
        <w:t>In the circumstances</w:t>
      </w:r>
      <w:r w:rsidR="00396217">
        <w:rPr>
          <w:rFonts w:cs="Arial"/>
          <w:szCs w:val="24"/>
        </w:rPr>
        <w:t xml:space="preserve"> I do not consider it appropriate to make a costs order in the respondents’ favour.</w:t>
      </w:r>
    </w:p>
    <w:p w14:paraId="29E701ED" w14:textId="6028CBA5" w:rsidR="00CB69C5" w:rsidRPr="001920ED" w:rsidRDefault="0046087F" w:rsidP="0046087F">
      <w:pPr>
        <w:pStyle w:val="LC1"/>
        <w:numPr>
          <w:ilvl w:val="0"/>
          <w:numId w:val="0"/>
        </w:numPr>
        <w:spacing w:after="120"/>
        <w:ind w:left="720" w:hanging="720"/>
        <w:rPr>
          <w:rFonts w:cs="Arial"/>
          <w:szCs w:val="24"/>
        </w:rPr>
      </w:pPr>
      <w:r w:rsidRPr="001920ED">
        <w:rPr>
          <w:rFonts w:cs="Arial"/>
          <w:szCs w:val="24"/>
        </w:rPr>
        <w:t>[64]</w:t>
      </w:r>
      <w:r w:rsidRPr="001920ED">
        <w:rPr>
          <w:rFonts w:cs="Arial"/>
          <w:szCs w:val="24"/>
        </w:rPr>
        <w:tab/>
      </w:r>
      <w:r w:rsidR="001920ED">
        <w:rPr>
          <w:lang w:eastAsia="en-ZA"/>
        </w:rPr>
        <w:t>The application is dismissed.</w:t>
      </w:r>
      <w:r w:rsidR="00CB69C5">
        <w:rPr>
          <w:lang w:eastAsia="en-ZA"/>
        </w:rPr>
        <w:t xml:space="preserve"> </w:t>
      </w:r>
    </w:p>
    <w:p w14:paraId="0A1CA463" w14:textId="07DB10B5" w:rsidR="00756550" w:rsidRDefault="00756550" w:rsidP="00665B87">
      <w:pPr>
        <w:spacing w:before="240" w:after="120" w:line="360" w:lineRule="auto"/>
        <w:rPr>
          <w:rFonts w:ascii="Arial" w:hAnsi="Arial" w:cs="Arial"/>
          <w:sz w:val="24"/>
          <w:szCs w:val="24"/>
        </w:rPr>
      </w:pPr>
    </w:p>
    <w:p w14:paraId="7A1C9FB4" w14:textId="77777777" w:rsidR="00756550" w:rsidRPr="00671349" w:rsidRDefault="00756550" w:rsidP="00665B87">
      <w:pPr>
        <w:spacing w:before="240" w:after="120" w:line="360" w:lineRule="auto"/>
        <w:rPr>
          <w:rFonts w:ascii="Arial" w:hAnsi="Arial" w:cs="Arial"/>
          <w:sz w:val="24"/>
          <w:szCs w:val="24"/>
        </w:rPr>
      </w:pPr>
    </w:p>
    <w:p w14:paraId="52ACCD6E" w14:textId="77777777" w:rsidR="00D202C2" w:rsidRPr="00671349" w:rsidRDefault="00B928FE" w:rsidP="00001F4A">
      <w:pPr>
        <w:spacing w:after="120" w:line="360" w:lineRule="auto"/>
        <w:jc w:val="left"/>
        <w:rPr>
          <w:rFonts w:ascii="Arial" w:hAnsi="Arial" w:cs="Arial"/>
          <w:sz w:val="24"/>
          <w:szCs w:val="24"/>
          <w:u w:val="single"/>
        </w:rPr>
      </w:pPr>
      <w:r w:rsidRPr="00671349">
        <w:rPr>
          <w:rFonts w:ascii="Arial" w:hAnsi="Arial" w:cs="Arial"/>
          <w:sz w:val="24"/>
          <w:szCs w:val="24"/>
          <w:u w:val="single"/>
        </w:rPr>
        <w:t>______</w:t>
      </w:r>
      <w:r w:rsidR="00044A38" w:rsidRPr="00671349">
        <w:rPr>
          <w:rFonts w:ascii="Arial" w:hAnsi="Arial" w:cs="Arial"/>
          <w:sz w:val="24"/>
          <w:szCs w:val="24"/>
          <w:u w:val="single"/>
        </w:rPr>
        <w:t>_________</w:t>
      </w:r>
      <w:r w:rsidRPr="00671349">
        <w:rPr>
          <w:rFonts w:ascii="Arial" w:hAnsi="Arial" w:cs="Arial"/>
          <w:sz w:val="24"/>
          <w:szCs w:val="24"/>
          <w:u w:val="single"/>
        </w:rPr>
        <w:t>________</w:t>
      </w:r>
    </w:p>
    <w:p w14:paraId="4A51D625" w14:textId="40F9B622" w:rsidR="00D202C2" w:rsidRPr="00671349" w:rsidRDefault="001A42D3"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RJ </w:t>
      </w:r>
      <w:r w:rsidR="003C4F1C" w:rsidRPr="00671349">
        <w:rPr>
          <w:rFonts w:ascii="Arial" w:hAnsi="Arial" w:cs="Arial"/>
          <w:sz w:val="24"/>
          <w:szCs w:val="24"/>
        </w:rPr>
        <w:t>Moultrie</w:t>
      </w:r>
      <w:r w:rsidR="00D202C2" w:rsidRPr="00671349">
        <w:rPr>
          <w:rFonts w:ascii="Arial" w:hAnsi="Arial" w:cs="Arial"/>
          <w:sz w:val="24"/>
          <w:szCs w:val="24"/>
        </w:rPr>
        <w:t xml:space="preserve"> AJ</w:t>
      </w:r>
    </w:p>
    <w:p w14:paraId="40911379" w14:textId="77777777" w:rsidR="00D202C2" w:rsidRPr="00671349" w:rsidRDefault="00D202C2"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Acting Judge of the </w:t>
      </w:r>
      <w:r w:rsidR="007D51E5" w:rsidRPr="00671349">
        <w:rPr>
          <w:rFonts w:ascii="Arial" w:hAnsi="Arial" w:cs="Arial"/>
          <w:sz w:val="24"/>
          <w:szCs w:val="24"/>
        </w:rPr>
        <w:t xml:space="preserve">High </w:t>
      </w:r>
      <w:r w:rsidRPr="00671349">
        <w:rPr>
          <w:rFonts w:ascii="Arial" w:hAnsi="Arial" w:cs="Arial"/>
          <w:sz w:val="24"/>
          <w:szCs w:val="24"/>
        </w:rPr>
        <w:t xml:space="preserve">Court </w:t>
      </w:r>
    </w:p>
    <w:p w14:paraId="18A4CE1E" w14:textId="54BA15B5" w:rsidR="007D51E5" w:rsidRPr="00671349" w:rsidRDefault="007D51E5" w:rsidP="00001F4A">
      <w:pPr>
        <w:autoSpaceDE w:val="0"/>
        <w:autoSpaceDN w:val="0"/>
        <w:adjustRightInd w:val="0"/>
        <w:spacing w:after="120" w:line="360" w:lineRule="auto"/>
        <w:jc w:val="left"/>
        <w:rPr>
          <w:rFonts w:ascii="Arial" w:hAnsi="Arial" w:cs="Arial"/>
          <w:sz w:val="24"/>
          <w:szCs w:val="24"/>
        </w:rPr>
      </w:pPr>
      <w:r w:rsidRPr="00671349">
        <w:rPr>
          <w:rFonts w:ascii="Arial" w:hAnsi="Arial" w:cs="Arial"/>
          <w:sz w:val="24"/>
          <w:szCs w:val="24"/>
        </w:rPr>
        <w:t xml:space="preserve">Gauteng Division, </w:t>
      </w:r>
      <w:r w:rsidR="00001F4A">
        <w:rPr>
          <w:rFonts w:ascii="Arial" w:hAnsi="Arial" w:cs="Arial"/>
          <w:sz w:val="24"/>
          <w:szCs w:val="24"/>
        </w:rPr>
        <w:t>Johannesburg</w:t>
      </w:r>
    </w:p>
    <w:p w14:paraId="0584217B" w14:textId="24556635" w:rsidR="00AB3AF8" w:rsidRDefault="00AB3AF8" w:rsidP="00665B87">
      <w:pPr>
        <w:spacing w:before="240" w:after="120" w:line="360" w:lineRule="auto"/>
        <w:jc w:val="left"/>
        <w:rPr>
          <w:rFonts w:ascii="Arial" w:hAnsi="Arial" w:cs="Arial"/>
          <w:sz w:val="24"/>
          <w:szCs w:val="24"/>
          <w:u w:val="single"/>
        </w:rPr>
      </w:pPr>
    </w:p>
    <w:p w14:paraId="38FCBFB2" w14:textId="7BB3C65E" w:rsidR="00001F4A" w:rsidRPr="00001F4A" w:rsidRDefault="00001F4A" w:rsidP="00001F4A">
      <w:pPr>
        <w:spacing w:before="240" w:line="360" w:lineRule="auto"/>
        <w:jc w:val="left"/>
        <w:rPr>
          <w:rFonts w:ascii="Arial" w:hAnsi="Arial" w:cs="Arial"/>
          <w:sz w:val="24"/>
          <w:szCs w:val="24"/>
        </w:rPr>
      </w:pPr>
      <w:r w:rsidRPr="00001F4A">
        <w:rPr>
          <w:rFonts w:ascii="Arial" w:hAnsi="Arial" w:cs="Arial"/>
          <w:sz w:val="24"/>
          <w:szCs w:val="24"/>
        </w:rPr>
        <w:t>DATE HEARD:</w:t>
      </w:r>
      <w:r w:rsidRPr="00001F4A">
        <w:rPr>
          <w:rFonts w:ascii="Arial" w:hAnsi="Arial" w:cs="Arial"/>
          <w:sz w:val="24"/>
          <w:szCs w:val="24"/>
        </w:rPr>
        <w:tab/>
      </w:r>
      <w:r w:rsidRPr="00001F4A">
        <w:rPr>
          <w:rFonts w:ascii="Arial" w:hAnsi="Arial" w:cs="Arial"/>
          <w:sz w:val="24"/>
          <w:szCs w:val="24"/>
        </w:rPr>
        <w:tab/>
      </w:r>
      <w:r w:rsidRPr="00001F4A">
        <w:rPr>
          <w:rFonts w:ascii="Arial" w:hAnsi="Arial" w:cs="Arial"/>
          <w:sz w:val="24"/>
          <w:szCs w:val="24"/>
        </w:rPr>
        <w:tab/>
      </w:r>
      <w:r w:rsidR="005317F3">
        <w:rPr>
          <w:rFonts w:ascii="Arial" w:hAnsi="Arial" w:cs="Arial"/>
          <w:sz w:val="24"/>
          <w:szCs w:val="24"/>
        </w:rPr>
        <w:tab/>
      </w:r>
      <w:r w:rsidR="005317F3">
        <w:rPr>
          <w:rFonts w:ascii="Arial" w:hAnsi="Arial" w:cs="Arial"/>
          <w:sz w:val="24"/>
          <w:szCs w:val="24"/>
        </w:rPr>
        <w:tab/>
      </w:r>
      <w:r w:rsidR="007B6FAB">
        <w:rPr>
          <w:rFonts w:ascii="Arial" w:hAnsi="Arial" w:cs="Arial"/>
          <w:sz w:val="24"/>
          <w:szCs w:val="24"/>
        </w:rPr>
        <w:t>5</w:t>
      </w:r>
      <w:r w:rsidRPr="00001F4A">
        <w:rPr>
          <w:rFonts w:ascii="Arial" w:hAnsi="Arial" w:cs="Arial"/>
          <w:sz w:val="24"/>
          <w:szCs w:val="24"/>
        </w:rPr>
        <w:t xml:space="preserve"> </w:t>
      </w:r>
      <w:r>
        <w:rPr>
          <w:rFonts w:ascii="Arial" w:hAnsi="Arial" w:cs="Arial"/>
          <w:sz w:val="24"/>
          <w:szCs w:val="24"/>
        </w:rPr>
        <w:t>October</w:t>
      </w:r>
      <w:r w:rsidR="005317F3">
        <w:rPr>
          <w:rFonts w:ascii="Arial" w:hAnsi="Arial" w:cs="Arial"/>
          <w:sz w:val="24"/>
          <w:szCs w:val="24"/>
        </w:rPr>
        <w:t xml:space="preserve"> 2</w:t>
      </w:r>
      <w:r>
        <w:rPr>
          <w:rFonts w:ascii="Arial" w:hAnsi="Arial" w:cs="Arial"/>
          <w:sz w:val="24"/>
          <w:szCs w:val="24"/>
        </w:rPr>
        <w:t>022</w:t>
      </w:r>
    </w:p>
    <w:p w14:paraId="5352ECA6" w14:textId="169806E8" w:rsidR="00001F4A" w:rsidRPr="00001F4A" w:rsidRDefault="00001F4A" w:rsidP="00001F4A">
      <w:pPr>
        <w:spacing w:after="120" w:line="360" w:lineRule="auto"/>
        <w:jc w:val="left"/>
        <w:rPr>
          <w:rFonts w:ascii="Arial" w:hAnsi="Arial" w:cs="Arial"/>
          <w:sz w:val="24"/>
          <w:szCs w:val="24"/>
        </w:rPr>
      </w:pPr>
      <w:r w:rsidRPr="00001F4A">
        <w:rPr>
          <w:rFonts w:ascii="Arial" w:hAnsi="Arial" w:cs="Arial"/>
          <w:sz w:val="24"/>
          <w:szCs w:val="24"/>
        </w:rPr>
        <w:t xml:space="preserve">JUDGMENT </w:t>
      </w:r>
      <w:r w:rsidR="005317F3">
        <w:rPr>
          <w:rFonts w:ascii="Arial" w:hAnsi="Arial" w:cs="Arial"/>
          <w:sz w:val="24"/>
          <w:szCs w:val="24"/>
        </w:rPr>
        <w:t xml:space="preserve">SUBMITTED FOR </w:t>
      </w:r>
      <w:r w:rsidRPr="00001F4A">
        <w:rPr>
          <w:rFonts w:ascii="Arial" w:hAnsi="Arial" w:cs="Arial"/>
          <w:sz w:val="24"/>
          <w:szCs w:val="24"/>
        </w:rPr>
        <w:t>DELIVER</w:t>
      </w:r>
      <w:r w:rsidR="005317F3">
        <w:rPr>
          <w:rFonts w:ascii="Arial" w:hAnsi="Arial" w:cs="Arial"/>
          <w:sz w:val="24"/>
          <w:szCs w:val="24"/>
        </w:rPr>
        <w:t>Y</w:t>
      </w:r>
      <w:r w:rsidRPr="00001F4A">
        <w:rPr>
          <w:rFonts w:ascii="Arial" w:hAnsi="Arial" w:cs="Arial"/>
          <w:sz w:val="24"/>
          <w:szCs w:val="24"/>
        </w:rPr>
        <w:t>:</w:t>
      </w:r>
      <w:r w:rsidRPr="00001F4A">
        <w:rPr>
          <w:rFonts w:ascii="Arial" w:hAnsi="Arial" w:cs="Arial"/>
          <w:sz w:val="24"/>
          <w:szCs w:val="24"/>
        </w:rPr>
        <w:tab/>
      </w:r>
      <w:r w:rsidR="00756550">
        <w:rPr>
          <w:rFonts w:ascii="Arial" w:hAnsi="Arial" w:cs="Arial"/>
          <w:sz w:val="24"/>
          <w:szCs w:val="24"/>
        </w:rPr>
        <w:t>2</w:t>
      </w:r>
      <w:r w:rsidR="008B0A26">
        <w:rPr>
          <w:rFonts w:ascii="Arial" w:hAnsi="Arial" w:cs="Arial"/>
          <w:sz w:val="24"/>
          <w:szCs w:val="24"/>
        </w:rPr>
        <w:t>5</w:t>
      </w:r>
      <w:r w:rsidR="005317F3">
        <w:rPr>
          <w:rFonts w:ascii="Arial" w:hAnsi="Arial" w:cs="Arial"/>
          <w:sz w:val="24"/>
          <w:szCs w:val="24"/>
        </w:rPr>
        <w:t xml:space="preserve"> November </w:t>
      </w:r>
      <w:r w:rsidRPr="00001F4A">
        <w:rPr>
          <w:rFonts w:ascii="Arial" w:hAnsi="Arial" w:cs="Arial"/>
          <w:sz w:val="24"/>
          <w:szCs w:val="24"/>
        </w:rPr>
        <w:t>20</w:t>
      </w:r>
      <w:r>
        <w:rPr>
          <w:rFonts w:ascii="Arial" w:hAnsi="Arial" w:cs="Arial"/>
          <w:sz w:val="24"/>
          <w:szCs w:val="24"/>
        </w:rPr>
        <w:t>22</w:t>
      </w:r>
    </w:p>
    <w:p w14:paraId="480C1BD8" w14:textId="03F750E1" w:rsidR="00487896" w:rsidRDefault="00487896" w:rsidP="00B928FE">
      <w:pPr>
        <w:autoSpaceDE w:val="0"/>
        <w:autoSpaceDN w:val="0"/>
        <w:adjustRightInd w:val="0"/>
        <w:spacing w:before="240" w:after="120" w:line="360" w:lineRule="auto"/>
        <w:rPr>
          <w:rFonts w:ascii="Arial" w:hAnsi="Arial" w:cs="Arial"/>
          <w:sz w:val="24"/>
          <w:szCs w:val="24"/>
          <w:u w:val="single"/>
        </w:rPr>
      </w:pPr>
    </w:p>
    <w:p w14:paraId="41E66855" w14:textId="3F3D5F3E" w:rsidR="00487896" w:rsidRDefault="00487896" w:rsidP="00B928FE">
      <w:pPr>
        <w:autoSpaceDE w:val="0"/>
        <w:autoSpaceDN w:val="0"/>
        <w:adjustRightInd w:val="0"/>
        <w:spacing w:before="240" w:after="120" w:line="360" w:lineRule="auto"/>
        <w:rPr>
          <w:rFonts w:ascii="Arial" w:hAnsi="Arial" w:cs="Arial"/>
          <w:sz w:val="24"/>
          <w:szCs w:val="24"/>
          <w:u w:val="single"/>
        </w:rPr>
      </w:pPr>
    </w:p>
    <w:p w14:paraId="307BA99D" w14:textId="77777777" w:rsidR="00487896" w:rsidRDefault="00487896" w:rsidP="00B928FE">
      <w:pPr>
        <w:autoSpaceDE w:val="0"/>
        <w:autoSpaceDN w:val="0"/>
        <w:adjustRightInd w:val="0"/>
        <w:spacing w:before="240" w:after="120" w:line="360" w:lineRule="auto"/>
        <w:rPr>
          <w:rFonts w:ascii="Arial" w:hAnsi="Arial" w:cs="Arial"/>
          <w:sz w:val="24"/>
          <w:szCs w:val="24"/>
          <w:u w:val="single"/>
        </w:rPr>
      </w:pPr>
    </w:p>
    <w:p w14:paraId="127291A0" w14:textId="5735DA7F" w:rsidR="00D202C2" w:rsidRPr="00671349" w:rsidRDefault="00D202C2" w:rsidP="00B928FE">
      <w:pPr>
        <w:autoSpaceDE w:val="0"/>
        <w:autoSpaceDN w:val="0"/>
        <w:adjustRightInd w:val="0"/>
        <w:spacing w:before="240" w:after="120" w:line="360" w:lineRule="auto"/>
        <w:rPr>
          <w:rFonts w:ascii="Arial" w:hAnsi="Arial" w:cs="Arial"/>
          <w:sz w:val="24"/>
          <w:szCs w:val="24"/>
          <w:u w:val="single"/>
        </w:rPr>
      </w:pPr>
      <w:r w:rsidRPr="00671349">
        <w:rPr>
          <w:rFonts w:ascii="Arial" w:hAnsi="Arial" w:cs="Arial"/>
          <w:sz w:val="24"/>
          <w:szCs w:val="24"/>
          <w:u w:val="single"/>
        </w:rPr>
        <w:t>APPEARANCES</w:t>
      </w:r>
    </w:p>
    <w:p w14:paraId="50495967" w14:textId="4628C535" w:rsidR="00D202C2" w:rsidRPr="00671349" w:rsidRDefault="00D202C2" w:rsidP="00F0535E">
      <w:pPr>
        <w:autoSpaceDE w:val="0"/>
        <w:autoSpaceDN w:val="0"/>
        <w:adjustRightInd w:val="0"/>
        <w:spacing w:before="240" w:after="120" w:line="360" w:lineRule="auto"/>
        <w:ind w:left="3600" w:hanging="3600"/>
        <w:rPr>
          <w:rFonts w:ascii="Arial" w:hAnsi="Arial" w:cs="Arial"/>
          <w:sz w:val="24"/>
          <w:szCs w:val="24"/>
        </w:rPr>
      </w:pPr>
      <w:r w:rsidRPr="00671349">
        <w:rPr>
          <w:rFonts w:ascii="Arial" w:hAnsi="Arial" w:cs="Arial"/>
          <w:sz w:val="24"/>
          <w:szCs w:val="24"/>
        </w:rPr>
        <w:t xml:space="preserve">For the </w:t>
      </w:r>
      <w:r w:rsidR="00001F4A">
        <w:rPr>
          <w:rFonts w:ascii="Arial" w:hAnsi="Arial" w:cs="Arial"/>
          <w:sz w:val="24"/>
          <w:szCs w:val="24"/>
        </w:rPr>
        <w:t>Applicant</w:t>
      </w:r>
      <w:r w:rsidRPr="00671349">
        <w:rPr>
          <w:rFonts w:ascii="Arial" w:hAnsi="Arial" w:cs="Arial"/>
          <w:sz w:val="24"/>
          <w:szCs w:val="24"/>
        </w:rPr>
        <w:t>:</w:t>
      </w:r>
      <w:r w:rsidRPr="00671349">
        <w:rPr>
          <w:rFonts w:ascii="Arial" w:hAnsi="Arial" w:cs="Arial"/>
          <w:sz w:val="24"/>
          <w:szCs w:val="24"/>
        </w:rPr>
        <w:tab/>
      </w:r>
      <w:r w:rsidR="00AC13FE">
        <w:rPr>
          <w:rFonts w:ascii="Arial" w:hAnsi="Arial" w:cs="Arial"/>
          <w:sz w:val="24"/>
          <w:szCs w:val="24"/>
        </w:rPr>
        <w:t>M Gwala, instructed by Norton Rose Fulbright South Africa Inc.</w:t>
      </w:r>
    </w:p>
    <w:p w14:paraId="3DCFC38A" w14:textId="12E3BF26" w:rsidR="00D202C2" w:rsidRPr="00671349" w:rsidRDefault="00D202C2" w:rsidP="00AC13FE">
      <w:pPr>
        <w:autoSpaceDE w:val="0"/>
        <w:autoSpaceDN w:val="0"/>
        <w:adjustRightInd w:val="0"/>
        <w:spacing w:before="240" w:after="120" w:line="360" w:lineRule="auto"/>
        <w:ind w:left="3600" w:hanging="3600"/>
        <w:rPr>
          <w:rFonts w:ascii="Arial" w:hAnsi="Arial" w:cs="Arial"/>
          <w:sz w:val="24"/>
          <w:szCs w:val="24"/>
        </w:rPr>
      </w:pPr>
      <w:r w:rsidRPr="00671349">
        <w:rPr>
          <w:rFonts w:ascii="Arial" w:hAnsi="Arial" w:cs="Arial"/>
          <w:sz w:val="24"/>
          <w:szCs w:val="24"/>
        </w:rPr>
        <w:t xml:space="preserve">For the </w:t>
      </w:r>
      <w:r w:rsidR="00001F4A">
        <w:rPr>
          <w:rFonts w:ascii="Arial" w:hAnsi="Arial" w:cs="Arial"/>
          <w:sz w:val="24"/>
          <w:szCs w:val="24"/>
        </w:rPr>
        <w:t>Respondent</w:t>
      </w:r>
      <w:r w:rsidR="00D22617">
        <w:rPr>
          <w:rFonts w:ascii="Arial" w:hAnsi="Arial" w:cs="Arial"/>
          <w:sz w:val="24"/>
          <w:szCs w:val="24"/>
        </w:rPr>
        <w:t>s</w:t>
      </w:r>
      <w:r w:rsidRPr="00671349">
        <w:rPr>
          <w:rFonts w:ascii="Arial" w:hAnsi="Arial" w:cs="Arial"/>
          <w:sz w:val="24"/>
          <w:szCs w:val="24"/>
        </w:rPr>
        <w:t>:</w:t>
      </w:r>
      <w:r w:rsidR="007D51E5" w:rsidRPr="00671349">
        <w:rPr>
          <w:rFonts w:ascii="Arial" w:hAnsi="Arial" w:cs="Arial"/>
          <w:sz w:val="24"/>
          <w:szCs w:val="24"/>
        </w:rPr>
        <w:tab/>
      </w:r>
      <w:r w:rsidR="00AC13FE">
        <w:rPr>
          <w:rFonts w:ascii="Arial" w:hAnsi="Arial" w:cs="Arial"/>
          <w:sz w:val="24"/>
          <w:szCs w:val="24"/>
        </w:rPr>
        <w:t xml:space="preserve">K Moodley, instructed by Howard Woolf Attorney </w:t>
      </w:r>
    </w:p>
    <w:sectPr w:rsidR="00D202C2" w:rsidRPr="00671349" w:rsidSect="00487896">
      <w:headerReference w:type="even" r:id="rId11"/>
      <w:headerReference w:type="default" r:id="rId12"/>
      <w:pgSz w:w="11906" w:h="16838"/>
      <w:pgMar w:top="1440" w:right="1558"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51">
      <wne:acd wne:acdName="acd2"/>
    </wne:keymap>
  </wne:keymaps>
  <wne:toolbars>
    <wne:acdManifest>
      <wne:acdEntry wne:acdName="acd0"/>
      <wne:acdEntry wne:acdName="acd1"/>
      <wne:acdEntry wne:acdName="acd2"/>
    </wne:acdManifest>
  </wne:toolbars>
  <wne:acds>
    <wne:acd wne:acdName="acd0" wne:fciIndexBasedOn="0065"/>
    <wne:acd wne:argValue="AgBMAEMAMgA=" wne:acdName="acd1" wne:fciIndexBasedOn="0065"/>
    <wne:acd wne:argValue="AgBMAEMAM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B379" w14:textId="77777777" w:rsidR="005F078B" w:rsidRDefault="005F078B" w:rsidP="00D202C2">
      <w:pPr>
        <w:spacing w:line="240" w:lineRule="auto"/>
      </w:pPr>
      <w:r>
        <w:separator/>
      </w:r>
    </w:p>
  </w:endnote>
  <w:endnote w:type="continuationSeparator" w:id="0">
    <w:p w14:paraId="779A21EB" w14:textId="77777777" w:rsidR="005F078B" w:rsidRDefault="005F078B" w:rsidP="00D20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E034" w14:textId="77777777" w:rsidR="005F078B" w:rsidRDefault="005F078B" w:rsidP="00D202C2">
      <w:pPr>
        <w:spacing w:line="240" w:lineRule="auto"/>
      </w:pPr>
      <w:r>
        <w:separator/>
      </w:r>
    </w:p>
  </w:footnote>
  <w:footnote w:type="continuationSeparator" w:id="0">
    <w:p w14:paraId="4C264220" w14:textId="77777777" w:rsidR="005F078B" w:rsidRDefault="005F078B" w:rsidP="00D202C2">
      <w:pPr>
        <w:spacing w:line="240" w:lineRule="auto"/>
      </w:pPr>
      <w:r>
        <w:continuationSeparator/>
      </w:r>
    </w:p>
  </w:footnote>
  <w:footnote w:id="1">
    <w:p w14:paraId="56B68277" w14:textId="4B2AEFC3" w:rsidR="00745DB3" w:rsidRDefault="00745DB3" w:rsidP="00745DB3">
      <w:pPr>
        <w:pStyle w:val="FootnoteText"/>
      </w:pPr>
      <w:r>
        <w:rPr>
          <w:rStyle w:val="FootnoteReference"/>
        </w:rPr>
        <w:footnoteRef/>
      </w:r>
      <w:r>
        <w:t xml:space="preserve"> In </w:t>
      </w:r>
      <w:r w:rsidR="00FE274F">
        <w:t xml:space="preserve">his </w:t>
      </w:r>
      <w:r>
        <w:t xml:space="preserve">concurring judgment </w:t>
      </w:r>
      <w:r w:rsidR="00FE274F">
        <w:t xml:space="preserve">in </w:t>
      </w:r>
      <w:r w:rsidRPr="005C0097">
        <w:rPr>
          <w:i/>
          <w:iCs/>
        </w:rPr>
        <w:t>Monteiro v Diedricks</w:t>
      </w:r>
      <w:r w:rsidRPr="005C0097">
        <w:t xml:space="preserve"> 2021 (3) SA 482 (SCA)</w:t>
      </w:r>
      <w:r>
        <w:t xml:space="preserve"> paras 77 and 83, </w:t>
      </w:r>
      <w:r w:rsidR="00FE274F">
        <w:t xml:space="preserve">Plaskett JA </w:t>
      </w:r>
      <w:r>
        <w:t>pointed out that where the alleged non-owner spoliator was in fact not acting as a spoliator in his own right, but was rather acting in a representative capacity on behalf of the owner, then the non-joinder of the (spoliating) owner would be fatal to the spoliation application.</w:t>
      </w:r>
    </w:p>
  </w:footnote>
  <w:footnote w:id="2">
    <w:p w14:paraId="5EE92D5F" w14:textId="2BBE356B" w:rsidR="00AB25E2" w:rsidRDefault="00AB25E2">
      <w:pPr>
        <w:pStyle w:val="FootnoteText"/>
      </w:pPr>
      <w:r>
        <w:rPr>
          <w:rStyle w:val="FootnoteReference"/>
        </w:rPr>
        <w:footnoteRef/>
      </w:r>
      <w:r>
        <w:t xml:space="preserve"> </w:t>
      </w:r>
      <w:r w:rsidRPr="00AB25E2">
        <w:rPr>
          <w:i/>
          <w:iCs/>
        </w:rPr>
        <w:t>T and M Canteen CC v Charlotte Maxeke Academic Hospital</w:t>
      </w:r>
      <w:r w:rsidRPr="00AB25E2">
        <w:t xml:space="preserve"> 2021 JDR 2489 (GJ)</w:t>
      </w:r>
      <w:r>
        <w:t xml:space="preserve"> para 35</w:t>
      </w:r>
      <w:r w:rsidR="00611061">
        <w:t xml:space="preserve"> [emphasis supplied]</w:t>
      </w:r>
      <w:r>
        <w:t>.</w:t>
      </w:r>
      <w:r w:rsidR="00EA7331">
        <w:t xml:space="preserve"> See also</w:t>
      </w:r>
      <w:r w:rsidR="007E1F03">
        <w:t xml:space="preserve"> </w:t>
      </w:r>
      <w:r w:rsidR="007E1F03" w:rsidRPr="007E1F03">
        <w:rPr>
          <w:i/>
          <w:iCs/>
        </w:rPr>
        <w:t>Xaba v Mthetwa and Another</w:t>
      </w:r>
      <w:r w:rsidR="007E1F03" w:rsidRPr="007E1F03">
        <w:t xml:space="preserve"> 2021 JDR 2775 (GP)</w:t>
      </w:r>
      <w:r w:rsidR="007E1F03">
        <w:t xml:space="preserve"> para 21 and</w:t>
      </w:r>
      <w:r w:rsidR="00EA7331">
        <w:t xml:space="preserve"> </w:t>
      </w:r>
      <w:r w:rsidR="00EA7331" w:rsidRPr="00EA7331">
        <w:rPr>
          <w:i/>
          <w:iCs/>
        </w:rPr>
        <w:t>South African Human Rights Commission and Others v Cape Town City and Others</w:t>
      </w:r>
      <w:r w:rsidR="00EA7331" w:rsidRPr="00EA7331">
        <w:t> 2021 (2) SA 565 (WCC)</w:t>
      </w:r>
      <w:r w:rsidR="00EA7331">
        <w:t xml:space="preserve"> f</w:t>
      </w:r>
      <w:r w:rsidR="008B4513">
        <w:t>n</w:t>
      </w:r>
      <w:r w:rsidR="00EA7331">
        <w:t xml:space="preserve"> 2.</w:t>
      </w:r>
    </w:p>
  </w:footnote>
  <w:footnote w:id="3">
    <w:p w14:paraId="701909B6" w14:textId="6457EDA6" w:rsidR="007E1F03" w:rsidRDefault="007E1F03" w:rsidP="007E1F03">
      <w:pPr>
        <w:pStyle w:val="FootnoteText"/>
      </w:pPr>
      <w:r>
        <w:rPr>
          <w:rStyle w:val="FootnoteReference"/>
        </w:rPr>
        <w:footnoteRef/>
      </w:r>
      <w:r>
        <w:t xml:space="preserve"> </w:t>
      </w:r>
      <w:r w:rsidRPr="007E1F03">
        <w:rPr>
          <w:i/>
          <w:iCs/>
        </w:rPr>
        <w:t>Bowring NO v Vrededorp Properties CC and Another</w:t>
      </w:r>
      <w:r w:rsidRPr="007E1F03">
        <w:t> 2007 (5) SA 391 (SCA) para 21</w:t>
      </w:r>
      <w:r>
        <w:t>.</w:t>
      </w:r>
    </w:p>
  </w:footnote>
  <w:footnote w:id="4">
    <w:p w14:paraId="225F6AFB" w14:textId="59303607" w:rsidR="00DE0185" w:rsidRDefault="00DE0185" w:rsidP="00DE0185">
      <w:pPr>
        <w:pStyle w:val="FootnoteText"/>
      </w:pPr>
      <w:r>
        <w:rPr>
          <w:rStyle w:val="FootnoteReference"/>
        </w:rPr>
        <w:footnoteRef/>
      </w:r>
      <w:r>
        <w:t xml:space="preserve"> </w:t>
      </w:r>
      <w:r w:rsidR="007943DA" w:rsidRPr="005C0097">
        <w:rPr>
          <w:i/>
          <w:iCs/>
        </w:rPr>
        <w:t>Monteiro v Diedricks</w:t>
      </w:r>
      <w:r w:rsidR="007943DA" w:rsidRPr="005C0097">
        <w:t xml:space="preserve"> </w:t>
      </w:r>
      <w:r w:rsidR="007943DA">
        <w:t>(above</w:t>
      </w:r>
      <w:r w:rsidR="007943DA" w:rsidRPr="005C0097">
        <w:t>)</w:t>
      </w:r>
      <w:r w:rsidR="007943DA">
        <w:t xml:space="preserve"> para 17; </w:t>
      </w:r>
      <w:r w:rsidR="007943DA" w:rsidRPr="007943DA">
        <w:rPr>
          <w:i/>
          <w:iCs/>
        </w:rPr>
        <w:t>Bisschoff and Others v Welbeplan Boerdery (Pty) Ltd</w:t>
      </w:r>
      <w:r w:rsidR="007943DA" w:rsidRPr="007943DA">
        <w:t> 2021 (5) SA 54 (SCA)</w:t>
      </w:r>
      <w:r w:rsidR="007943DA">
        <w:t xml:space="preserve"> para 5.</w:t>
      </w:r>
    </w:p>
  </w:footnote>
  <w:footnote w:id="5">
    <w:p w14:paraId="66AD7C7E" w14:textId="3CD8F772" w:rsidR="0036034D" w:rsidRDefault="0036034D">
      <w:pPr>
        <w:pStyle w:val="FootnoteText"/>
      </w:pPr>
      <w:r>
        <w:rPr>
          <w:rStyle w:val="FootnoteReference"/>
        </w:rPr>
        <w:footnoteRef/>
      </w:r>
      <w:r>
        <w:t xml:space="preserve"> </w:t>
      </w:r>
      <w:r w:rsidR="00814AA7" w:rsidRPr="00814AA7">
        <w:rPr>
          <w:i/>
          <w:iCs/>
        </w:rPr>
        <w:t>Nienaber v Stuckey</w:t>
      </w:r>
      <w:r w:rsidR="00814AA7">
        <w:t xml:space="preserve"> 1946 AD 1049 at 1053 – 1054</w:t>
      </w:r>
      <w:r w:rsidR="00E05BC0">
        <w:t xml:space="preserve">; </w:t>
      </w:r>
      <w:r w:rsidR="00E05BC0" w:rsidRPr="0036034D">
        <w:rPr>
          <w:i/>
          <w:iCs/>
        </w:rPr>
        <w:t>Mankowitz v Loewenthal</w:t>
      </w:r>
      <w:r w:rsidR="00E05BC0" w:rsidRPr="0036034D">
        <w:t xml:space="preserve"> 1982 (3) SA 758 (A)</w:t>
      </w:r>
      <w:r w:rsidR="00E05BC0">
        <w:t xml:space="preserve"> at 763A – B; </w:t>
      </w:r>
      <w:r w:rsidR="00E05BC0" w:rsidRPr="00E05BC0">
        <w:rPr>
          <w:i/>
          <w:iCs/>
        </w:rPr>
        <w:t>Plascon-Evans Paints Ltd v Van Riebeeck Paints (Pty) Ltd</w:t>
      </w:r>
      <w:r w:rsidR="00E05BC0" w:rsidRPr="00E05BC0">
        <w:t xml:space="preserve"> 1984 (3) SA 623 (A)</w:t>
      </w:r>
      <w:r w:rsidR="00773EF3">
        <w:t xml:space="preserve"> at 634H – 635C</w:t>
      </w:r>
      <w:r w:rsidR="00E05BC0">
        <w:t>.</w:t>
      </w:r>
    </w:p>
  </w:footnote>
  <w:footnote w:id="6">
    <w:p w14:paraId="5A575888" w14:textId="3A42241B" w:rsidR="00A559D0" w:rsidRDefault="00A559D0">
      <w:pPr>
        <w:pStyle w:val="FootnoteText"/>
      </w:pPr>
      <w:r>
        <w:rPr>
          <w:rStyle w:val="FootnoteReference"/>
        </w:rPr>
        <w:footnoteRef/>
      </w:r>
      <w:r>
        <w:t xml:space="preserve"> </w:t>
      </w:r>
      <w:r w:rsidR="004E1B6D" w:rsidRPr="004E1B6D">
        <w:rPr>
          <w:i/>
          <w:iCs/>
        </w:rPr>
        <w:t>Fischer v Ramahlele </w:t>
      </w:r>
      <w:r w:rsidR="004E1B6D" w:rsidRPr="004E1B6D">
        <w:t>2014 (4) SA 614 (SCA) para 22</w:t>
      </w:r>
      <w:r w:rsidRPr="00A559D0">
        <w:t>.</w:t>
      </w:r>
    </w:p>
  </w:footnote>
  <w:footnote w:id="7">
    <w:p w14:paraId="780F27E0" w14:textId="7B2C80CE" w:rsidR="00EB65CD" w:rsidRDefault="00EB65CD" w:rsidP="00EB65CD">
      <w:pPr>
        <w:pStyle w:val="FootnoteText"/>
      </w:pPr>
      <w:r>
        <w:rPr>
          <w:rStyle w:val="FootnoteReference"/>
        </w:rPr>
        <w:footnoteRef/>
      </w:r>
      <w:r>
        <w:t xml:space="preserve"> </w:t>
      </w:r>
      <w:r w:rsidRPr="002A0AE9">
        <w:rPr>
          <w:i/>
          <w:iCs/>
        </w:rPr>
        <w:t>Scholtz v Faifer</w:t>
      </w:r>
      <w:r w:rsidRPr="00EB65CD">
        <w:t xml:space="preserve"> 1910 TPD 243 at 247;</w:t>
      </w:r>
      <w:r w:rsidRPr="00D85EE2">
        <w:t xml:space="preserve"> </w:t>
      </w:r>
      <w:r w:rsidRPr="00345701">
        <w:rPr>
          <w:i/>
          <w:iCs/>
        </w:rPr>
        <w:t>Malan v Dippenaar</w:t>
      </w:r>
      <w:r w:rsidRPr="00D85EE2">
        <w:t xml:space="preserve"> 1969 (2) SA 59 (O) at 62H - 63A</w:t>
      </w:r>
      <w:r>
        <w:t xml:space="preserve">; </w:t>
      </w:r>
      <w:r w:rsidRPr="00FE274F">
        <w:rPr>
          <w:i/>
          <w:iCs/>
        </w:rPr>
        <w:t>Wightman t/a JW Construction v Headfour (Pty) Ltd</w:t>
      </w:r>
      <w:r w:rsidRPr="00EB65CD">
        <w:t> 2008 (3) SA 371 (SCA)</w:t>
      </w:r>
      <w:r w:rsidR="002A0AE9">
        <w:t xml:space="preserve"> para 26</w:t>
      </w:r>
      <w:r>
        <w:t>.</w:t>
      </w:r>
    </w:p>
  </w:footnote>
  <w:footnote w:id="8">
    <w:p w14:paraId="7879A2B9" w14:textId="725B4636" w:rsidR="00EB65CD" w:rsidRDefault="00EB65CD" w:rsidP="00EB65CD">
      <w:pPr>
        <w:pStyle w:val="FootnoteText"/>
      </w:pPr>
      <w:r>
        <w:rPr>
          <w:rStyle w:val="FootnoteReference"/>
        </w:rPr>
        <w:footnoteRef/>
      </w:r>
      <w:r>
        <w:t xml:space="preserve"> </w:t>
      </w:r>
      <w:r w:rsidRPr="003244AE">
        <w:rPr>
          <w:i/>
          <w:iCs/>
        </w:rPr>
        <w:t>De Beer v Zimbali Est Management Assoc (Pty) Ltd</w:t>
      </w:r>
      <w:r w:rsidRPr="003244AE">
        <w:t xml:space="preserve"> 2007 (3) SA 254 (N)</w:t>
      </w:r>
      <w:r>
        <w:t xml:space="preserve"> para 54</w:t>
      </w:r>
      <w:r w:rsidR="00345701">
        <w:t>.</w:t>
      </w:r>
    </w:p>
  </w:footnote>
  <w:footnote w:id="9">
    <w:p w14:paraId="0ED57AE0" w14:textId="436D2DBF" w:rsidR="00742072" w:rsidRDefault="00742072" w:rsidP="00742072">
      <w:pPr>
        <w:pStyle w:val="FootnoteText"/>
      </w:pPr>
      <w:r>
        <w:rPr>
          <w:rStyle w:val="FootnoteReference"/>
        </w:rPr>
        <w:footnoteRef/>
      </w:r>
      <w:r>
        <w:t xml:space="preserve"> </w:t>
      </w:r>
      <w:r w:rsidRPr="00F33832">
        <w:rPr>
          <w:i/>
          <w:iCs/>
        </w:rPr>
        <w:t>Nienaber v Stuckey</w:t>
      </w:r>
      <w:r w:rsidRPr="00F33832">
        <w:t xml:space="preserve"> </w:t>
      </w:r>
      <w:r w:rsidR="00345701">
        <w:t xml:space="preserve">(above) </w:t>
      </w:r>
      <w:r w:rsidRPr="00F33832">
        <w:t xml:space="preserve">at </w:t>
      </w:r>
      <w:r>
        <w:t xml:space="preserve">1055; </w:t>
      </w:r>
      <w:r w:rsidRPr="00367381">
        <w:rPr>
          <w:i/>
          <w:iCs/>
        </w:rPr>
        <w:t>Painter v Strauss</w:t>
      </w:r>
      <w:r w:rsidRPr="00367381">
        <w:t xml:space="preserve"> 1951 (3) SA 307 (O) at 314C</w:t>
      </w:r>
      <w:r>
        <w:t>;</w:t>
      </w:r>
      <w:r w:rsidRPr="00367381">
        <w:t xml:space="preserve"> </w:t>
      </w:r>
      <w:r w:rsidRPr="00695C4B">
        <w:rPr>
          <w:i/>
          <w:iCs/>
        </w:rPr>
        <w:t xml:space="preserve">Dennegeur Est Homeowners Assoc v Telkom SA SOC Ltd </w:t>
      </w:r>
      <w:r w:rsidRPr="00695C4B">
        <w:t>2019 (4) SA 451 (SCA)</w:t>
      </w:r>
      <w:r>
        <w:rPr>
          <w:i/>
          <w:iCs/>
        </w:rPr>
        <w:t xml:space="preserve"> </w:t>
      </w:r>
      <w:r>
        <w:t xml:space="preserve">para 9; </w:t>
      </w:r>
      <w:r w:rsidRPr="006B4DEB">
        <w:rPr>
          <w:i/>
          <w:iCs/>
        </w:rPr>
        <w:t>Lydall v Roxton-Wiggill</w:t>
      </w:r>
      <w:r w:rsidRPr="00217820">
        <w:t xml:space="preserve"> 2019 JDR 1636 (GJ)</w:t>
      </w:r>
      <w:r>
        <w:t xml:space="preserve"> para 3. Even under Roman law, the interdict </w:t>
      </w:r>
      <w:r w:rsidRPr="001B692A">
        <w:rPr>
          <w:i/>
          <w:iCs/>
        </w:rPr>
        <w:t>uti possidetis</w:t>
      </w:r>
      <w:r>
        <w:t xml:space="preserve"> was afforded to a joint possessor of land: Digest 43.17.1(7) (Ulpian, Edict, book 69)</w:t>
      </w:r>
      <w:r w:rsidR="00D057E4">
        <w:t>:</w:t>
      </w:r>
      <w:r>
        <w:t xml:space="preserve"> </w:t>
      </w:r>
      <w:r>
        <w:rPr>
          <w:color w:val="060706"/>
          <w:lang w:val="en-US"/>
        </w:rPr>
        <w:t>Wa</w:t>
      </w:r>
      <w:r w:rsidRPr="00885944">
        <w:rPr>
          <w:color w:val="060706"/>
          <w:lang w:val="en-US"/>
        </w:rPr>
        <w:t>t</w:t>
      </w:r>
      <w:r>
        <w:rPr>
          <w:color w:val="060706"/>
          <w:lang w:val="en-US"/>
        </w:rPr>
        <w:t>s</w:t>
      </w:r>
      <w:r w:rsidRPr="00885944">
        <w:rPr>
          <w:color w:val="060706"/>
          <w:lang w:val="en-US"/>
        </w:rPr>
        <w:t xml:space="preserve">on </w:t>
      </w:r>
      <w:r w:rsidRPr="00181177">
        <w:rPr>
          <w:color w:val="060706"/>
          <w:u w:val="single"/>
          <w:lang w:val="en-US"/>
        </w:rPr>
        <w:t>Digest of Justinian</w:t>
      </w:r>
      <w:r w:rsidR="00D057E4">
        <w:rPr>
          <w:color w:val="060706"/>
          <w:u w:val="single"/>
          <w:lang w:val="en-US"/>
        </w:rPr>
        <w:t>.</w:t>
      </w:r>
      <w:r w:rsidR="00D057E4" w:rsidRPr="00D057E4">
        <w:rPr>
          <w:color w:val="060706"/>
          <w:lang w:val="en-US"/>
        </w:rPr>
        <w:t xml:space="preserve"> </w:t>
      </w:r>
      <w:r w:rsidR="00D057E4">
        <w:rPr>
          <w:color w:val="060706"/>
          <w:lang w:val="en-US"/>
        </w:rPr>
        <w:t>v</w:t>
      </w:r>
      <w:r w:rsidR="00D057E4" w:rsidRPr="00D057E4">
        <w:rPr>
          <w:color w:val="060706"/>
          <w:lang w:val="en-US"/>
        </w:rPr>
        <w:t>ol. 4</w:t>
      </w:r>
      <w:r w:rsidRPr="00181177">
        <w:rPr>
          <w:color w:val="060706"/>
          <w:lang w:val="en-US"/>
        </w:rPr>
        <w:t xml:space="preserve"> </w:t>
      </w:r>
      <w:r>
        <w:rPr>
          <w:color w:val="060706"/>
          <w:lang w:val="en-US"/>
        </w:rPr>
        <w:t>(</w:t>
      </w:r>
      <w:r w:rsidRPr="00181177">
        <w:rPr>
          <w:color w:val="060706"/>
          <w:lang w:val="en-US"/>
        </w:rPr>
        <w:t>University of Pennsylvania, 1985)</w:t>
      </w:r>
      <w:r>
        <w:t xml:space="preserve"> </w:t>
      </w:r>
      <w:r w:rsidR="00D057E4">
        <w:t xml:space="preserve">at </w:t>
      </w:r>
      <w:r>
        <w:t xml:space="preserve">103. </w:t>
      </w:r>
    </w:p>
  </w:footnote>
  <w:footnote w:id="10">
    <w:p w14:paraId="0FF5113A" w14:textId="77777777" w:rsidR="00742072" w:rsidRDefault="00742072" w:rsidP="00742072">
      <w:pPr>
        <w:pStyle w:val="FootnoteText"/>
      </w:pPr>
      <w:r>
        <w:rPr>
          <w:rStyle w:val="FootnoteReference"/>
        </w:rPr>
        <w:footnoteRef/>
      </w:r>
      <w:r>
        <w:t xml:space="preserve"> </w:t>
      </w:r>
      <w:r w:rsidRPr="002D4C30">
        <w:rPr>
          <w:i/>
          <w:iCs/>
        </w:rPr>
        <w:t>Rosenbuch v Rosenbuch and Another</w:t>
      </w:r>
      <w:r w:rsidRPr="002D4C30">
        <w:t xml:space="preserve"> 1975 (1) SA 181 (W)</w:t>
      </w:r>
      <w:r>
        <w:t xml:space="preserve"> at 183F – J. See also </w:t>
      </w:r>
      <w:r w:rsidRPr="00A83D8E">
        <w:rPr>
          <w:i/>
          <w:iCs/>
        </w:rPr>
        <w:t>Manga v Manga</w:t>
      </w:r>
      <w:r>
        <w:t xml:space="preserve"> 1992 (4) SA 602 (ZS) at 503 and </w:t>
      </w:r>
      <w:r w:rsidRPr="00773EF3">
        <w:rPr>
          <w:i/>
          <w:iCs/>
        </w:rPr>
        <w:t>Ross v Ross</w:t>
      </w:r>
      <w:r>
        <w:t xml:space="preserve"> 1994 (1) SA 865 (SE) at 868E – G.</w:t>
      </w:r>
    </w:p>
  </w:footnote>
  <w:footnote w:id="11">
    <w:p w14:paraId="6AF8E038" w14:textId="4689B797" w:rsidR="007943DA" w:rsidRDefault="007943DA" w:rsidP="007943DA">
      <w:pPr>
        <w:pStyle w:val="FootnoteText"/>
      </w:pPr>
      <w:r>
        <w:rPr>
          <w:rStyle w:val="FootnoteReference"/>
        </w:rPr>
        <w:footnoteRef/>
      </w:r>
      <w:r>
        <w:t xml:space="preserve"> </w:t>
      </w:r>
      <w:r w:rsidRPr="002A0AE9">
        <w:rPr>
          <w:i/>
          <w:iCs/>
        </w:rPr>
        <w:t>Wightman t/a JW Construction v Headfour</w:t>
      </w:r>
      <w:r w:rsidRPr="00EB65CD">
        <w:t xml:space="preserve"> (</w:t>
      </w:r>
      <w:r w:rsidR="00284994">
        <w:t>above</w:t>
      </w:r>
      <w:r w:rsidRPr="00EB65CD">
        <w:t>)</w:t>
      </w:r>
      <w:r>
        <w:t xml:space="preserve"> para 26.</w:t>
      </w:r>
    </w:p>
  </w:footnote>
  <w:footnote w:id="12">
    <w:p w14:paraId="05717B2D" w14:textId="77777777" w:rsidR="00D64265" w:rsidRDefault="00D64265" w:rsidP="00D64265">
      <w:pPr>
        <w:pStyle w:val="FootnoteText"/>
      </w:pPr>
      <w:r>
        <w:rPr>
          <w:rStyle w:val="FootnoteReference"/>
        </w:rPr>
        <w:footnoteRef/>
      </w:r>
      <w:r>
        <w:t xml:space="preserve"> </w:t>
      </w:r>
      <w:r w:rsidRPr="00C47CCE">
        <w:rPr>
          <w:i/>
          <w:iCs/>
        </w:rPr>
        <w:t>National Director of Public of Prosecutions v Zuma</w:t>
      </w:r>
      <w:r w:rsidRPr="00C47CCE">
        <w:t xml:space="preserve"> 2009 (2) SA 277 (SCA)</w:t>
      </w:r>
      <w:r>
        <w:t xml:space="preserve"> para 26.</w:t>
      </w:r>
    </w:p>
  </w:footnote>
  <w:footnote w:id="13">
    <w:p w14:paraId="4868D2C6" w14:textId="780EB98C" w:rsidR="009F56A1" w:rsidRDefault="009F56A1">
      <w:pPr>
        <w:pStyle w:val="FootnoteText"/>
      </w:pPr>
      <w:r>
        <w:rPr>
          <w:rStyle w:val="FootnoteReference"/>
        </w:rPr>
        <w:footnoteRef/>
      </w:r>
      <w:r>
        <w:t xml:space="preserve"> </w:t>
      </w:r>
      <w:r w:rsidR="00F83C9A">
        <w:t xml:space="preserve">Van der Linden </w:t>
      </w:r>
      <w:r w:rsidR="00F83C9A" w:rsidRPr="00010244">
        <w:rPr>
          <w:u w:val="single"/>
        </w:rPr>
        <w:t>Institutes of Holland</w:t>
      </w:r>
      <w:r w:rsidR="00D057E4">
        <w:rPr>
          <w:u w:val="single"/>
        </w:rPr>
        <w:t>.</w:t>
      </w:r>
      <w:r w:rsidR="00F83C9A">
        <w:t xml:space="preserve"> </w:t>
      </w:r>
      <w:r w:rsidR="00D057E4">
        <w:t>(</w:t>
      </w:r>
      <w:r w:rsidR="00F83C9A">
        <w:t>1806</w:t>
      </w:r>
      <w:r w:rsidR="00D057E4">
        <w:t>)</w:t>
      </w:r>
      <w:r w:rsidR="00F83C9A">
        <w:t xml:space="preserve"> 3.1.4.7. Sir Henry Juta’s translation</w:t>
      </w:r>
      <w:r w:rsidR="003A1E04">
        <w:t xml:space="preserve"> </w:t>
      </w:r>
      <w:r w:rsidR="00F6552D">
        <w:t>3 ed</w:t>
      </w:r>
      <w:r w:rsidR="00393B84">
        <w:t xml:space="preserve"> (</w:t>
      </w:r>
      <w:r w:rsidR="003A1E04">
        <w:t xml:space="preserve">Juta, </w:t>
      </w:r>
      <w:r w:rsidR="00F6552D">
        <w:t>1897</w:t>
      </w:r>
      <w:r w:rsidR="00393B84">
        <w:t>) at</w:t>
      </w:r>
      <w:r w:rsidR="003A1E04">
        <w:t xml:space="preserve"> 297 </w:t>
      </w:r>
      <w:r w:rsidR="00F83C9A">
        <w:t xml:space="preserve">renders these words </w:t>
      </w:r>
      <w:r w:rsidR="003A1E04">
        <w:t xml:space="preserve">into English </w:t>
      </w:r>
      <w:r w:rsidR="00F83C9A">
        <w:t>as “</w:t>
      </w:r>
      <w:r w:rsidR="00F83C9A" w:rsidRPr="009F56A1">
        <w:rPr>
          <w:i/>
          <w:iCs/>
        </w:rPr>
        <w:t>by a more complete judicial proceeding</w:t>
      </w:r>
      <w:r w:rsidR="00F83C9A">
        <w:rPr>
          <w:i/>
          <w:iCs/>
        </w:rPr>
        <w:t>”</w:t>
      </w:r>
      <w:r w:rsidR="003A1E04">
        <w:t>.</w:t>
      </w:r>
    </w:p>
  </w:footnote>
  <w:footnote w:id="14">
    <w:p w14:paraId="6EEE0026" w14:textId="3E0E52C2" w:rsidR="005D26CD" w:rsidRDefault="005D26CD">
      <w:pPr>
        <w:pStyle w:val="FootnoteText"/>
      </w:pPr>
      <w:r>
        <w:rPr>
          <w:rStyle w:val="FootnoteReference"/>
        </w:rPr>
        <w:footnoteRef/>
      </w:r>
      <w:r>
        <w:t xml:space="preserve"> </w:t>
      </w:r>
      <w:r w:rsidRPr="005D26CD">
        <w:rPr>
          <w:i/>
          <w:iCs/>
        </w:rPr>
        <w:t>Airoadexpress (Pty) Ltd v Chairman, Local Road Transportation Board, Durban</w:t>
      </w:r>
      <w:r w:rsidRPr="005D26CD">
        <w:t> 1986 (2) SA 663 (A)</w:t>
      </w:r>
      <w:r w:rsidR="008D6BF4">
        <w:t xml:space="preserve"> at</w:t>
      </w:r>
      <w:r>
        <w:t xml:space="preserve"> </w:t>
      </w:r>
      <w:r w:rsidR="008D6BF4">
        <w:t xml:space="preserve">681D – F, as approved by the Constitutional Court in </w:t>
      </w:r>
      <w:r w:rsidR="008D6BF4" w:rsidRPr="008D6BF4">
        <w:rPr>
          <w:i/>
          <w:iCs/>
        </w:rPr>
        <w:t>EFF v Gordhan</w:t>
      </w:r>
      <w:r w:rsidR="008D6BF4" w:rsidRPr="008D6BF4">
        <w:t xml:space="preserve"> 2020 (6) SA 325 (CC) </w:t>
      </w:r>
      <w:r w:rsidR="008D6BF4">
        <w:t xml:space="preserve">para 47. The </w:t>
      </w:r>
      <w:r w:rsidR="00D64265">
        <w:t xml:space="preserve">concurring judgment of Grosskopf JA </w:t>
      </w:r>
      <w:r w:rsidR="008D6BF4">
        <w:t xml:space="preserve">in </w:t>
      </w:r>
      <w:r w:rsidR="008D6BF4" w:rsidRPr="008D6BF4">
        <w:rPr>
          <w:i/>
          <w:iCs/>
        </w:rPr>
        <w:t>Airoadexpress</w:t>
      </w:r>
      <w:r w:rsidR="008D6BF4">
        <w:t xml:space="preserve"> </w:t>
      </w:r>
      <w:r w:rsidR="00D64265">
        <w:t>at 677</w:t>
      </w:r>
      <w:r w:rsidR="008D6BF4">
        <w:t xml:space="preserve">B – 678I explains that the difference in opinion between </w:t>
      </w:r>
      <w:r>
        <w:t xml:space="preserve">the majority judgment </w:t>
      </w:r>
      <w:r w:rsidR="00D64265">
        <w:t xml:space="preserve">of </w:t>
      </w:r>
      <w:r w:rsidR="00D64265" w:rsidRPr="00D64265">
        <w:t>Kotzé</w:t>
      </w:r>
      <w:r w:rsidR="00D64265">
        <w:t xml:space="preserve"> JA </w:t>
      </w:r>
      <w:r w:rsidR="008D6BF4">
        <w:t xml:space="preserve">and the minority judgment of </w:t>
      </w:r>
      <w:r w:rsidR="00D64265">
        <w:t xml:space="preserve">Van Heerden JA </w:t>
      </w:r>
      <w:r w:rsidR="008D6BF4">
        <w:t xml:space="preserve">turned on the question of whether </w:t>
      </w:r>
      <w:r w:rsidR="00D64265">
        <w:t xml:space="preserve">an appeal before </w:t>
      </w:r>
      <w:r>
        <w:t xml:space="preserve">the National Transport Commission was a </w:t>
      </w:r>
      <w:r w:rsidR="00D64265">
        <w:t>procedure that could finally determine the parties’ rights</w:t>
      </w:r>
      <w:r w:rsidR="008D6BF4">
        <w:t xml:space="preserve"> or not</w:t>
      </w:r>
      <w:r w:rsidR="00D64265">
        <w:t>.</w:t>
      </w:r>
      <w:r w:rsidR="00830BFF">
        <w:t xml:space="preserve"> See also </w:t>
      </w:r>
      <w:r w:rsidR="00830BFF" w:rsidRPr="00830BFF">
        <w:rPr>
          <w:i/>
          <w:iCs/>
        </w:rPr>
        <w:t>National Gambling Board v Premier, KZN</w:t>
      </w:r>
      <w:r w:rsidR="00830BFF" w:rsidRPr="00830BFF">
        <w:t> 2002 (2) SA 715 (CC)</w:t>
      </w:r>
      <w:r w:rsidR="00830BFF">
        <w:t xml:space="preserve"> para 49.</w:t>
      </w:r>
    </w:p>
  </w:footnote>
  <w:footnote w:id="15">
    <w:p w14:paraId="21C7F082" w14:textId="4D07A01E" w:rsidR="00201E35" w:rsidRDefault="00201E35">
      <w:pPr>
        <w:pStyle w:val="FootnoteText"/>
      </w:pPr>
      <w:r>
        <w:rPr>
          <w:rStyle w:val="FootnoteReference"/>
        </w:rPr>
        <w:footnoteRef/>
      </w:r>
      <w:r>
        <w:t xml:space="preserve"> Constitution, section 28(2).</w:t>
      </w:r>
    </w:p>
  </w:footnote>
  <w:footnote w:id="16">
    <w:p w14:paraId="6BC5516A" w14:textId="4EB5F23C" w:rsidR="00E1425B" w:rsidRDefault="00E1425B">
      <w:pPr>
        <w:pStyle w:val="FootnoteText"/>
      </w:pPr>
      <w:r>
        <w:rPr>
          <w:rStyle w:val="FootnoteReference"/>
        </w:rPr>
        <w:footnoteRef/>
      </w:r>
      <w:r>
        <w:t xml:space="preserve"> </w:t>
      </w:r>
      <w:r w:rsidRPr="00E1425B">
        <w:rPr>
          <w:i/>
          <w:iCs/>
        </w:rPr>
        <w:t>De Villiers v Holloway</w:t>
      </w:r>
      <w:r w:rsidRPr="00E1425B">
        <w:t xml:space="preserve"> (1902) CTR 566 at 569</w:t>
      </w:r>
      <w:r w:rsidR="00347766">
        <w:t>.</w:t>
      </w:r>
    </w:p>
  </w:footnote>
  <w:footnote w:id="17">
    <w:p w14:paraId="756212E9" w14:textId="0BFB2D87" w:rsidR="00E1425B" w:rsidRDefault="00E1425B">
      <w:pPr>
        <w:pStyle w:val="FootnoteText"/>
      </w:pPr>
      <w:r>
        <w:rPr>
          <w:rStyle w:val="FootnoteReference"/>
        </w:rPr>
        <w:footnoteRef/>
      </w:r>
      <w:r>
        <w:t xml:space="preserve"> </w:t>
      </w:r>
      <w:r w:rsidR="00347766" w:rsidRPr="00347766">
        <w:rPr>
          <w:i/>
          <w:iCs/>
        </w:rPr>
        <w:t>Jivan v National Housing Commission</w:t>
      </w:r>
      <w:r w:rsidR="00347766" w:rsidRPr="00347766">
        <w:t xml:space="preserve"> 1977 (3) SA 890 (W) at </w:t>
      </w:r>
      <w:r w:rsidR="0059594A">
        <w:t xml:space="preserve">893F – </w:t>
      </w:r>
      <w:r w:rsidR="00773EF3">
        <w:t>I</w:t>
      </w:r>
      <w:r w:rsidR="00347766">
        <w:t xml:space="preserve">; </w:t>
      </w:r>
      <w:r w:rsidR="00347766" w:rsidRPr="002F70F7">
        <w:rPr>
          <w:i/>
          <w:iCs/>
        </w:rPr>
        <w:t>Le Riche v PSP Prop</w:t>
      </w:r>
      <w:r w:rsidR="00347766">
        <w:rPr>
          <w:i/>
          <w:iCs/>
        </w:rPr>
        <w:t>erties</w:t>
      </w:r>
      <w:r w:rsidR="00347766" w:rsidRPr="002F70F7">
        <w:rPr>
          <w:i/>
          <w:iCs/>
        </w:rPr>
        <w:t xml:space="preserve"> CC</w:t>
      </w:r>
      <w:r w:rsidR="00347766" w:rsidRPr="002F70F7">
        <w:t xml:space="preserve"> 2005 (3) SA 189 (C)</w:t>
      </w:r>
      <w:r w:rsidR="00347766">
        <w:t xml:space="preserve"> paras 41 – 42</w:t>
      </w:r>
      <w:r w:rsidR="00B64D32">
        <w:t>.</w:t>
      </w:r>
      <w:r w:rsidR="00347766">
        <w:t xml:space="preserve"> </w:t>
      </w:r>
    </w:p>
  </w:footnote>
  <w:footnote w:id="18">
    <w:p w14:paraId="6ED7BAB3" w14:textId="19391863" w:rsidR="007B4A45" w:rsidRDefault="007B4A45">
      <w:pPr>
        <w:pStyle w:val="FootnoteText"/>
      </w:pPr>
      <w:r>
        <w:rPr>
          <w:rStyle w:val="FootnoteReference"/>
        </w:rPr>
        <w:footnoteRef/>
      </w:r>
      <w:r>
        <w:t xml:space="preserve"> </w:t>
      </w:r>
      <w:r w:rsidRPr="007B4A45">
        <w:rPr>
          <w:i/>
          <w:iCs/>
        </w:rPr>
        <w:t>South British Insurance Co Ltd v Unicorn Shipping Lines (Pty) Ltd</w:t>
      </w:r>
      <w:r w:rsidRPr="007B4A45">
        <w:t> 1976 (1) SA 708 (A) at 713E-H</w:t>
      </w:r>
      <w:r>
        <w:t>.</w:t>
      </w:r>
    </w:p>
  </w:footnote>
  <w:footnote w:id="19">
    <w:p w14:paraId="6E1D98BB" w14:textId="3234AE69" w:rsidR="007B4A45" w:rsidRDefault="007B4A45">
      <w:pPr>
        <w:pStyle w:val="FootnoteText"/>
      </w:pPr>
      <w:r>
        <w:rPr>
          <w:rStyle w:val="FootnoteReference"/>
        </w:rPr>
        <w:footnoteRef/>
      </w:r>
      <w:r>
        <w:t xml:space="preserve"> </w:t>
      </w:r>
      <w:r w:rsidRPr="007B4A45">
        <w:rPr>
          <w:i/>
          <w:iCs/>
        </w:rPr>
        <w:t>Le Riche</w:t>
      </w:r>
      <w:r>
        <w:t xml:space="preserve"> (above) paras 44 – 49.</w:t>
      </w:r>
    </w:p>
  </w:footnote>
  <w:footnote w:id="20">
    <w:p w14:paraId="610F9737" w14:textId="77777777" w:rsidR="005C495F" w:rsidRDefault="005C495F" w:rsidP="005C495F">
      <w:pPr>
        <w:pStyle w:val="FootnoteText"/>
      </w:pPr>
      <w:r>
        <w:rPr>
          <w:rStyle w:val="FootnoteReference"/>
        </w:rPr>
        <w:footnoteRef/>
      </w:r>
      <w:r>
        <w:t xml:space="preserve"> </w:t>
      </w:r>
      <w:r w:rsidRPr="002E2BCF">
        <w:rPr>
          <w:i/>
          <w:iCs/>
        </w:rPr>
        <w:t>Nienaber v Stuckey</w:t>
      </w:r>
      <w:r>
        <w:t xml:space="preserve"> (above) at 1060.</w:t>
      </w:r>
    </w:p>
  </w:footnote>
  <w:footnote w:id="21">
    <w:p w14:paraId="7C69E400" w14:textId="3315E16D" w:rsidR="001A5FA8" w:rsidRDefault="001A5FA8" w:rsidP="001A5FA8">
      <w:pPr>
        <w:pStyle w:val="FootnoteText"/>
      </w:pPr>
      <w:r>
        <w:rPr>
          <w:rStyle w:val="FootnoteReference"/>
        </w:rPr>
        <w:footnoteRef/>
      </w:r>
      <w:r w:rsidR="002E2BCF">
        <w:t xml:space="preserve"> Kleyn (above) at 8</w:t>
      </w:r>
      <w:r w:rsidR="00EE394F">
        <w:t>43</w:t>
      </w:r>
      <w:r w:rsidR="002E2BCF">
        <w:t>.</w:t>
      </w:r>
    </w:p>
  </w:footnote>
  <w:footnote w:id="22">
    <w:p w14:paraId="48F51F33" w14:textId="0A12484E" w:rsidR="009A2270" w:rsidRDefault="009A2270">
      <w:pPr>
        <w:pStyle w:val="FootnoteText"/>
      </w:pPr>
      <w:r>
        <w:rPr>
          <w:rStyle w:val="FootnoteReference"/>
        </w:rPr>
        <w:footnoteRef/>
      </w:r>
      <w:r>
        <w:t xml:space="preserve"> Digest 43.16.1 (Ulpian, Edict, book 69) </w:t>
      </w:r>
      <w:r>
        <w:rPr>
          <w:color w:val="060706"/>
          <w:lang w:val="en-US"/>
        </w:rPr>
        <w:t>Wa</w:t>
      </w:r>
      <w:r w:rsidRPr="00885944">
        <w:rPr>
          <w:color w:val="060706"/>
          <w:lang w:val="en-US"/>
        </w:rPr>
        <w:t>t</w:t>
      </w:r>
      <w:r>
        <w:rPr>
          <w:color w:val="060706"/>
          <w:lang w:val="en-US"/>
        </w:rPr>
        <w:t>s</w:t>
      </w:r>
      <w:r w:rsidRPr="00885944">
        <w:rPr>
          <w:color w:val="060706"/>
          <w:lang w:val="en-US"/>
        </w:rPr>
        <w:t xml:space="preserve">on </w:t>
      </w:r>
      <w:r>
        <w:rPr>
          <w:color w:val="060706"/>
          <w:lang w:val="en-US"/>
        </w:rPr>
        <w:t>(</w:t>
      </w:r>
      <w:r w:rsidR="00375B4B">
        <w:rPr>
          <w:color w:val="060706"/>
          <w:lang w:val="en-US"/>
        </w:rPr>
        <w:t>above</w:t>
      </w:r>
      <w:r w:rsidRPr="00181177">
        <w:rPr>
          <w:color w:val="060706"/>
          <w:lang w:val="en-US"/>
        </w:rPr>
        <w:t>)</w:t>
      </w:r>
      <w:r>
        <w:t xml:space="preserve"> </w:t>
      </w:r>
      <w:r w:rsidR="00D057E4">
        <w:t xml:space="preserve">at </w:t>
      </w:r>
      <w:r>
        <w:t>96.</w:t>
      </w:r>
    </w:p>
  </w:footnote>
  <w:footnote w:id="23">
    <w:p w14:paraId="11B520E2" w14:textId="4367D0E1" w:rsidR="00A018D3" w:rsidRDefault="00A018D3">
      <w:pPr>
        <w:pStyle w:val="FootnoteText"/>
      </w:pPr>
      <w:r>
        <w:rPr>
          <w:rStyle w:val="FootnoteReference"/>
        </w:rPr>
        <w:footnoteRef/>
      </w:r>
      <w:r>
        <w:t xml:space="preserve"> </w:t>
      </w:r>
      <w:r w:rsidRPr="002E2BCF">
        <w:rPr>
          <w:i/>
          <w:iCs/>
        </w:rPr>
        <w:t>Muller v Muller</w:t>
      </w:r>
      <w:r>
        <w:t xml:space="preserve"> 1915 TPD 28 at 30 – 31</w:t>
      </w:r>
      <w:r w:rsidR="000E48CE">
        <w:t xml:space="preserve">; </w:t>
      </w:r>
      <w:bookmarkStart w:id="3" w:name="_Hlk120176528"/>
      <w:r w:rsidR="000E48CE">
        <w:t xml:space="preserve">Kleyn </w:t>
      </w:r>
      <w:r w:rsidR="002E2BCF">
        <w:t xml:space="preserve">(above) </w:t>
      </w:r>
      <w:r w:rsidR="000E48CE">
        <w:t>at 835</w:t>
      </w:r>
      <w:bookmarkEnd w:id="3"/>
      <w:r w:rsidR="000E48CE">
        <w:t>.</w:t>
      </w:r>
    </w:p>
  </w:footnote>
  <w:footnote w:id="24">
    <w:p w14:paraId="5BD4AEBD" w14:textId="7C4CAD8F" w:rsidR="009959CC" w:rsidRDefault="009959CC" w:rsidP="009959CC">
      <w:pPr>
        <w:pStyle w:val="FootnoteText"/>
      </w:pPr>
      <w:r>
        <w:rPr>
          <w:rStyle w:val="FootnoteReference"/>
        </w:rPr>
        <w:footnoteRef/>
      </w:r>
      <w:r>
        <w:t xml:space="preserve"> See </w:t>
      </w:r>
      <w:r w:rsidR="009626DB">
        <w:t xml:space="preserve">also </w:t>
      </w:r>
      <w:r w:rsidRPr="009B07B5">
        <w:rPr>
          <w:i/>
          <w:iCs/>
        </w:rPr>
        <w:t>Malan v Dippenaar</w:t>
      </w:r>
      <w:r w:rsidRPr="009B07B5">
        <w:t xml:space="preserve"> (</w:t>
      </w:r>
      <w:r w:rsidR="00527D30">
        <w:t>above</w:t>
      </w:r>
      <w:r w:rsidRPr="009B07B5">
        <w:t>)</w:t>
      </w:r>
      <w:r>
        <w:t xml:space="preserve"> at 64 – 65</w:t>
      </w:r>
      <w:r w:rsidR="00527D30">
        <w:t xml:space="preserve">; </w:t>
      </w:r>
      <w:r w:rsidRPr="00914287">
        <w:rPr>
          <w:i/>
          <w:iCs/>
        </w:rPr>
        <w:t>Ntshwaqela v Chairman, WC Regional Services Council</w:t>
      </w:r>
      <w:r w:rsidRPr="00914287">
        <w:t xml:space="preserve"> 1988 (3) SA 218 (C)</w:t>
      </w:r>
      <w:r>
        <w:t xml:space="preserve"> at 228I.</w:t>
      </w:r>
    </w:p>
  </w:footnote>
  <w:footnote w:id="25">
    <w:p w14:paraId="225F6854" w14:textId="365D3705" w:rsidR="00FB66CD" w:rsidRDefault="00FB66CD">
      <w:pPr>
        <w:pStyle w:val="FootnoteText"/>
      </w:pPr>
      <w:r>
        <w:rPr>
          <w:rStyle w:val="FootnoteReference"/>
        </w:rPr>
        <w:footnoteRef/>
      </w:r>
      <w:r>
        <w:t xml:space="preserve"> The same time limitation applied in Roman law to the interdict </w:t>
      </w:r>
      <w:r w:rsidRPr="001060FF">
        <w:rPr>
          <w:i/>
          <w:iCs/>
        </w:rPr>
        <w:t>Uti possidetis</w:t>
      </w:r>
      <w:r>
        <w:t xml:space="preserve"> (dealing with spoliation of immovable property) which was also originally allowed by praetorian edict only “</w:t>
      </w:r>
      <w:r w:rsidRPr="001060FF">
        <w:rPr>
          <w:i/>
          <w:iCs/>
        </w:rPr>
        <w:t>within a year</w:t>
      </w:r>
      <w:r>
        <w:rPr>
          <w:i/>
          <w:iCs/>
        </w:rPr>
        <w:t xml:space="preserve"> from when it is first possible to bring” </w:t>
      </w:r>
      <w:r w:rsidRPr="00845290">
        <w:t>the proceedings</w:t>
      </w:r>
      <w:r>
        <w:t xml:space="preserve">: Digest 43.17.1 (Ulpian, Edict, book 69) </w:t>
      </w:r>
      <w:r>
        <w:rPr>
          <w:color w:val="060706"/>
          <w:lang w:val="en-US"/>
        </w:rPr>
        <w:t>Wa</w:t>
      </w:r>
      <w:r w:rsidRPr="00885944">
        <w:rPr>
          <w:color w:val="060706"/>
          <w:lang w:val="en-US"/>
        </w:rPr>
        <w:t>t</w:t>
      </w:r>
      <w:r>
        <w:rPr>
          <w:color w:val="060706"/>
          <w:lang w:val="en-US"/>
        </w:rPr>
        <w:t>s</w:t>
      </w:r>
      <w:r w:rsidRPr="00885944">
        <w:rPr>
          <w:color w:val="060706"/>
          <w:lang w:val="en-US"/>
        </w:rPr>
        <w:t xml:space="preserve">on </w:t>
      </w:r>
      <w:r>
        <w:rPr>
          <w:color w:val="060706"/>
          <w:lang w:val="en-US"/>
        </w:rPr>
        <w:t>(</w:t>
      </w:r>
      <w:r w:rsidR="00375B4B">
        <w:rPr>
          <w:color w:val="060706"/>
          <w:lang w:val="en-US"/>
        </w:rPr>
        <w:t>above</w:t>
      </w:r>
      <w:r w:rsidRPr="00181177">
        <w:rPr>
          <w:color w:val="060706"/>
          <w:lang w:val="en-US"/>
        </w:rPr>
        <w:t>)</w:t>
      </w:r>
      <w:r>
        <w:t xml:space="preserve"> </w:t>
      </w:r>
      <w:r w:rsidR="00D057E4">
        <w:t xml:space="preserve">at </w:t>
      </w:r>
      <w:r>
        <w:t>102.</w:t>
      </w:r>
    </w:p>
  </w:footnote>
  <w:footnote w:id="26">
    <w:p w14:paraId="0A30CB0E" w14:textId="28BAD61B" w:rsidR="001060FF" w:rsidRDefault="001060FF" w:rsidP="001060FF">
      <w:pPr>
        <w:pStyle w:val="FootnoteText"/>
      </w:pPr>
      <w:r>
        <w:rPr>
          <w:rStyle w:val="FootnoteReference"/>
        </w:rPr>
        <w:footnoteRef/>
      </w:r>
      <w:r>
        <w:t xml:space="preserve"> </w:t>
      </w:r>
      <w:r w:rsidR="00FB66CD" w:rsidRPr="00181177">
        <w:rPr>
          <w:color w:val="060706"/>
        </w:rPr>
        <w:t xml:space="preserve">Johannes </w:t>
      </w:r>
      <w:r w:rsidR="00FB66CD" w:rsidRPr="00181177">
        <w:rPr>
          <w:color w:val="060706"/>
          <w:lang w:val="en-US"/>
        </w:rPr>
        <w:t xml:space="preserve">Voet </w:t>
      </w:r>
      <w:r w:rsidR="00FB66CD" w:rsidRPr="00181177">
        <w:rPr>
          <w:color w:val="060706"/>
          <w:u w:val="single"/>
          <w:lang w:val="en-US"/>
        </w:rPr>
        <w:t>Commentary on the Pandects</w:t>
      </w:r>
      <w:r w:rsidR="00FB66CD" w:rsidRPr="00181177">
        <w:rPr>
          <w:color w:val="060706"/>
          <w:lang w:val="en-US"/>
        </w:rPr>
        <w:t xml:space="preserve"> 1698 (Gane’s translation,</w:t>
      </w:r>
      <w:r w:rsidR="00046BE9">
        <w:rPr>
          <w:color w:val="060706"/>
          <w:lang w:val="en-US"/>
        </w:rPr>
        <w:t xml:space="preserve"> vol. 6,</w:t>
      </w:r>
      <w:r w:rsidR="00FB66CD" w:rsidRPr="00181177">
        <w:rPr>
          <w:color w:val="060706"/>
          <w:lang w:val="en-US"/>
        </w:rPr>
        <w:t xml:space="preserve"> Butterworth</w:t>
      </w:r>
      <w:r w:rsidR="00D057E4">
        <w:rPr>
          <w:color w:val="060706"/>
          <w:lang w:val="en-US"/>
        </w:rPr>
        <w:t>,</w:t>
      </w:r>
      <w:r w:rsidR="00FB66CD" w:rsidRPr="00181177">
        <w:rPr>
          <w:color w:val="060706"/>
          <w:lang w:val="en-US"/>
        </w:rPr>
        <w:t xml:space="preserve"> 195</w:t>
      </w:r>
      <w:r w:rsidR="00046BE9">
        <w:rPr>
          <w:color w:val="060706"/>
          <w:lang w:val="en-US"/>
        </w:rPr>
        <w:t>7</w:t>
      </w:r>
      <w:r w:rsidR="00FB66CD" w:rsidRPr="00181177">
        <w:rPr>
          <w:color w:val="060706"/>
          <w:lang w:val="en-US"/>
        </w:rPr>
        <w:t>)</w:t>
      </w:r>
      <w:r w:rsidR="00FB66CD">
        <w:rPr>
          <w:color w:val="060706"/>
          <w:lang w:val="en-US"/>
        </w:rPr>
        <w:t xml:space="preserve"> </w:t>
      </w:r>
      <w:r w:rsidR="00046BE9">
        <w:t xml:space="preserve">43.16.7 </w:t>
      </w:r>
      <w:r w:rsidR="00D057E4">
        <w:rPr>
          <w:color w:val="060706"/>
          <w:lang w:val="en-US"/>
        </w:rPr>
        <w:t xml:space="preserve">at </w:t>
      </w:r>
      <w:r w:rsidR="00FB66CD">
        <w:rPr>
          <w:color w:val="060706"/>
          <w:lang w:val="en-US"/>
        </w:rPr>
        <w:t>492</w:t>
      </w:r>
      <w:r>
        <w:t>.</w:t>
      </w:r>
    </w:p>
  </w:footnote>
  <w:footnote w:id="27">
    <w:p w14:paraId="6821BB49" w14:textId="77777777" w:rsidR="00CD4858" w:rsidRDefault="00CD4858" w:rsidP="00CD4858">
      <w:pPr>
        <w:pStyle w:val="FootnoteText"/>
      </w:pPr>
      <w:r>
        <w:rPr>
          <w:rStyle w:val="FootnoteReference"/>
        </w:rPr>
        <w:footnoteRef/>
      </w:r>
      <w:r>
        <w:t xml:space="preserve"> </w:t>
      </w:r>
      <w:r w:rsidRPr="00E2366E">
        <w:rPr>
          <w:i/>
          <w:iCs/>
        </w:rPr>
        <w:t>God Never Fails Revival Church v Mgandela</w:t>
      </w:r>
      <w:r w:rsidRPr="00E2366E">
        <w:t xml:space="preserve"> 2019 JDR 2063 (ECM)</w:t>
      </w:r>
      <w:r>
        <w:t xml:space="preserve"> para 6; </w:t>
      </w:r>
      <w:r w:rsidRPr="00E13A2C">
        <w:rPr>
          <w:i/>
          <w:iCs/>
        </w:rPr>
        <w:t>AC Janse Van Rensburg v Kotze</w:t>
      </w:r>
      <w:r w:rsidRPr="00E13A2C">
        <w:t xml:space="preserve"> 2014 JDR 1348 (GP)</w:t>
      </w:r>
      <w:r>
        <w:t xml:space="preserve"> para 27; </w:t>
      </w:r>
      <w:r w:rsidRPr="00FB3E31">
        <w:rPr>
          <w:i/>
          <w:iCs/>
        </w:rPr>
        <w:t>Burger v Oppimex (Edms) Bpk and Others</w:t>
      </w:r>
      <w:r w:rsidRPr="00FB3E31">
        <w:t xml:space="preserve"> [2011] ZANWHC 11 </w:t>
      </w:r>
      <w:r>
        <w:t xml:space="preserve">para 16; </w:t>
      </w:r>
      <w:r w:rsidRPr="00E13A2C">
        <w:rPr>
          <w:i/>
          <w:iCs/>
        </w:rPr>
        <w:t>Khomo v Khomo</w:t>
      </w:r>
      <w:r w:rsidRPr="00E13A2C">
        <w:t xml:space="preserve"> 2009 JDR 0410 (FB)</w:t>
      </w:r>
      <w:r>
        <w:t xml:space="preserve"> para 5; </w:t>
      </w:r>
      <w:r w:rsidRPr="00E13A2C">
        <w:rPr>
          <w:i/>
          <w:iCs/>
        </w:rPr>
        <w:t xml:space="preserve">Dockside Panelbeaters CC v Don Pedro CC t/a Dockside Panelbeaters </w:t>
      </w:r>
      <w:r>
        <w:rPr>
          <w:i/>
          <w:iCs/>
        </w:rPr>
        <w:t>a</w:t>
      </w:r>
      <w:r w:rsidRPr="00E13A2C">
        <w:rPr>
          <w:i/>
          <w:iCs/>
        </w:rPr>
        <w:t>nd Others</w:t>
      </w:r>
      <w:r w:rsidRPr="00E13A2C">
        <w:t xml:space="preserve"> 2005 JDR 1181 (E)</w:t>
      </w:r>
      <w:r>
        <w:t xml:space="preserve"> paras 45 – 47; </w:t>
      </w:r>
      <w:r w:rsidRPr="000918DE">
        <w:rPr>
          <w:i/>
          <w:iCs/>
        </w:rPr>
        <w:t>Le Riche</w:t>
      </w:r>
      <w:r>
        <w:t xml:space="preserve"> (above) para 25; </w:t>
      </w:r>
      <w:r w:rsidRPr="00367C05">
        <w:rPr>
          <w:i/>
          <w:iCs/>
        </w:rPr>
        <w:t>Gondo v Gondo</w:t>
      </w:r>
      <w:r>
        <w:t xml:space="preserve"> </w:t>
      </w:r>
      <w:r w:rsidRPr="00367C05">
        <w:t>[2001] JOL 8585 (ZH)</w:t>
      </w:r>
      <w:r>
        <w:t xml:space="preserve"> at 5 – 6; </w:t>
      </w:r>
      <w:r w:rsidRPr="000918DE">
        <w:rPr>
          <w:i/>
          <w:iCs/>
        </w:rPr>
        <w:t>Manga</w:t>
      </w:r>
      <w:r>
        <w:t xml:space="preserve"> (above) at 504.</w:t>
      </w:r>
    </w:p>
  </w:footnote>
  <w:footnote w:id="28">
    <w:p w14:paraId="711AC891" w14:textId="4FEDC06E" w:rsidR="00CD4858" w:rsidRDefault="00CD4858" w:rsidP="00CD4858">
      <w:pPr>
        <w:pStyle w:val="FootnoteText"/>
      </w:pPr>
      <w:r>
        <w:rPr>
          <w:rStyle w:val="FootnoteReference"/>
        </w:rPr>
        <w:footnoteRef/>
      </w:r>
      <w:r>
        <w:t xml:space="preserve"> Van Loggerenberg </w:t>
      </w:r>
      <w:r w:rsidRPr="00393B84">
        <w:rPr>
          <w:i/>
          <w:iCs/>
        </w:rPr>
        <w:t>et al.</w:t>
      </w:r>
      <w:r>
        <w:t xml:space="preserve"> </w:t>
      </w:r>
      <w:r w:rsidRPr="004369D6">
        <w:rPr>
          <w:u w:val="single"/>
        </w:rPr>
        <w:t>Superior Court Practice</w:t>
      </w:r>
      <w:r>
        <w:rPr>
          <w:u w:val="single"/>
        </w:rPr>
        <w:t>.</w:t>
      </w:r>
      <w:r>
        <w:t xml:space="preserve"> Looseleaf RS17 (Juta, 2021) at D7-6 and D7-20; Muller </w:t>
      </w:r>
      <w:r w:rsidRPr="00393B84">
        <w:rPr>
          <w:i/>
          <w:iCs/>
        </w:rPr>
        <w:t>et al.</w:t>
      </w:r>
      <w:r>
        <w:t xml:space="preserve"> </w:t>
      </w:r>
      <w:r w:rsidRPr="00393B84">
        <w:rPr>
          <w:u w:val="single"/>
        </w:rPr>
        <w:t>Silberberg and Schoeman’s: The Law of Property</w:t>
      </w:r>
      <w:r>
        <w:rPr>
          <w:u w:val="single"/>
        </w:rPr>
        <w:t>.</w:t>
      </w:r>
      <w:r>
        <w:t xml:space="preserve"> 6 ed (LexisNexis, 2019) at 353; Van der Merwe </w:t>
      </w:r>
      <w:r w:rsidRPr="00393B84">
        <w:rPr>
          <w:i/>
          <w:iCs/>
        </w:rPr>
        <w:t>et al.</w:t>
      </w:r>
      <w:r>
        <w:t xml:space="preserve"> “</w:t>
      </w:r>
      <w:r w:rsidRPr="00393B84">
        <w:rPr>
          <w:i/>
          <w:iCs/>
        </w:rPr>
        <w:t>Things</w:t>
      </w:r>
      <w:r>
        <w:t xml:space="preserve">” in </w:t>
      </w:r>
      <w:r w:rsidRPr="00393B84">
        <w:rPr>
          <w:u w:val="single"/>
        </w:rPr>
        <w:t>The Law of South Africa</w:t>
      </w:r>
      <w:r>
        <w:rPr>
          <w:u w:val="single"/>
        </w:rPr>
        <w:t>.</w:t>
      </w:r>
      <w:r>
        <w:t xml:space="preserve"> 2 ed. vol. 27 (LexisNexis, 2014) paras 92 and 115; Mostert &amp; Pope (eds) </w:t>
      </w:r>
      <w:r w:rsidRPr="003C3099">
        <w:rPr>
          <w:u w:val="single"/>
        </w:rPr>
        <w:t>The Principles of the Law of Property in South Africa.</w:t>
      </w:r>
      <w:r>
        <w:t xml:space="preserve"> (OUP, 2010) at 81; Sonnekus (2006) TSAR 392 at 404</w:t>
      </w:r>
      <w:r w:rsidR="006235B2">
        <w:t>;</w:t>
      </w:r>
      <w:r>
        <w:t xml:space="preserve"> Kleyn “</w:t>
      </w:r>
      <w:r w:rsidRPr="00756550">
        <w:rPr>
          <w:i/>
          <w:iCs/>
        </w:rPr>
        <w:t>Possession</w:t>
      </w:r>
      <w:r>
        <w:t xml:space="preserve">” in Zimmerman and Visser (eds) </w:t>
      </w:r>
      <w:r w:rsidRPr="001A5FA8">
        <w:rPr>
          <w:u w:val="single"/>
        </w:rPr>
        <w:t>Southern Cross: Civil Law and Common Law in South Africa</w:t>
      </w:r>
      <w:r>
        <w:rPr>
          <w:u w:val="single"/>
        </w:rPr>
        <w:t>.</w:t>
      </w:r>
      <w:r w:rsidRPr="002526A8">
        <w:t xml:space="preserve"> </w:t>
      </w:r>
      <w:r>
        <w:t>(</w:t>
      </w:r>
      <w:r w:rsidRPr="002526A8">
        <w:t>Juta</w:t>
      </w:r>
      <w:r>
        <w:t>, 1996) at 843; Van der Merwe “</w:t>
      </w:r>
      <w:r w:rsidRPr="00C00536">
        <w:rPr>
          <w:i/>
          <w:iCs/>
        </w:rPr>
        <w:t>Property</w:t>
      </w:r>
      <w:r>
        <w:t xml:space="preserve">” in </w:t>
      </w:r>
      <w:r w:rsidRPr="00C00536">
        <w:rPr>
          <w:u w:val="single"/>
        </w:rPr>
        <w:t>Annual Survey of South African Law, 1977</w:t>
      </w:r>
      <w:r>
        <w:t xml:space="preserve"> (Juta, 1978) at 250-251.</w:t>
      </w:r>
    </w:p>
  </w:footnote>
  <w:footnote w:id="29">
    <w:p w14:paraId="64660363" w14:textId="4CFB955F" w:rsidR="005C0C78" w:rsidRDefault="005C0C78">
      <w:pPr>
        <w:pStyle w:val="FootnoteText"/>
      </w:pPr>
      <w:r>
        <w:rPr>
          <w:rStyle w:val="FootnoteReference"/>
        </w:rPr>
        <w:footnoteRef/>
      </w:r>
      <w:r>
        <w:t xml:space="preserve"> Sonnekus (2006) TSAR 392 at 404: “</w:t>
      </w:r>
      <w:r w:rsidRPr="005C0C78">
        <w:rPr>
          <w:i/>
          <w:iCs/>
        </w:rPr>
        <w:t>Die hof se verwysing … na die sogenaamde een jaar-reel … wek die indruk asof 'n buitengewone verjaringstermyn buite die verjaringsreg om bestaan waarvolgens 'n remedie kan verjaar asof die remedie self 'n vermo</w:t>
      </w:r>
      <w:r w:rsidRPr="005C0C78">
        <w:rPr>
          <w:rFonts w:cs="Arial"/>
          <w:i/>
          <w:iCs/>
        </w:rPr>
        <w:t>ë</w:t>
      </w:r>
      <w:r w:rsidRPr="005C0C78">
        <w:rPr>
          <w:i/>
          <w:iCs/>
        </w:rPr>
        <w:t>nsbelang is wat kan verjaar of waarvan van regswe</w:t>
      </w:r>
      <w:r w:rsidRPr="005C0C78">
        <w:rPr>
          <w:rFonts w:cs="Arial"/>
          <w:i/>
          <w:iCs/>
        </w:rPr>
        <w:t>ë</w:t>
      </w:r>
      <w:r w:rsidRPr="005C0C78">
        <w:rPr>
          <w:i/>
          <w:iCs/>
        </w:rPr>
        <w:t xml:space="preserve"> afstand gedoen kan word. In werklikheid is daar geen sprake van dat van 'n remedie afstand gedoen kan word soos via </w:t>
      </w:r>
      <w:r w:rsidRPr="005C0C78">
        <w:rPr>
          <w:i/>
          <w:iCs/>
          <w:color w:val="505050"/>
        </w:rPr>
        <w:t xml:space="preserve">'n </w:t>
      </w:r>
      <w:r w:rsidRPr="005C0C78">
        <w:rPr>
          <w:i/>
          <w:iCs/>
        </w:rPr>
        <w:t>regsontdaningshandeling nie en kom uitwissende verjaring slegs by skuld ter sprake waar die vorderingsreghebbende te lank versuim het om sy vordering geldend af te dwing. Die posisie van die applikant as aanspraakmaker op die vermeende mandament van spolie stem daarmee nie ooreen nie</w:t>
      </w:r>
      <w:r>
        <w:t>”.</w:t>
      </w:r>
    </w:p>
  </w:footnote>
  <w:footnote w:id="30">
    <w:p w14:paraId="5443A22A" w14:textId="0A9E3CD4" w:rsidR="005C0C78" w:rsidRDefault="005C0C78">
      <w:pPr>
        <w:pStyle w:val="FootnoteText"/>
      </w:pPr>
      <w:r>
        <w:rPr>
          <w:rStyle w:val="FootnoteReference"/>
        </w:rPr>
        <w:footnoteRef/>
      </w:r>
      <w:r>
        <w:t xml:space="preserve"> Mostert &amp; Pope (above) at 75, referring to </w:t>
      </w:r>
      <w:r w:rsidR="00AD7630" w:rsidRPr="006003EC">
        <w:rPr>
          <w:i/>
          <w:iCs/>
        </w:rPr>
        <w:t>Nino Bonino v De Lange</w:t>
      </w:r>
      <w:r w:rsidR="00AD7630">
        <w:t xml:space="preserve"> 1906 TS 120 per Innes CJ at </w:t>
      </w:r>
      <w:r>
        <w:t xml:space="preserve">122. </w:t>
      </w:r>
    </w:p>
  </w:footnote>
  <w:footnote w:id="31">
    <w:p w14:paraId="3CCF43B7" w14:textId="42244550" w:rsidR="00A84E70" w:rsidRDefault="00A84E70" w:rsidP="00A84E70">
      <w:pPr>
        <w:pStyle w:val="FootnoteText"/>
      </w:pPr>
      <w:r>
        <w:rPr>
          <w:rStyle w:val="FootnoteReference"/>
        </w:rPr>
        <w:footnoteRef/>
      </w:r>
      <w:r>
        <w:t xml:space="preserve"> </w:t>
      </w:r>
      <w:r w:rsidR="005C0C78">
        <w:t xml:space="preserve">Van der Merwe </w:t>
      </w:r>
      <w:r w:rsidR="005C0C78" w:rsidRPr="005C0C78">
        <w:rPr>
          <w:u w:val="single"/>
        </w:rPr>
        <w:t>Sakereg.</w:t>
      </w:r>
      <w:r w:rsidR="005C0C78">
        <w:t xml:space="preserve"> 2 ed (Butterworths, 1989) at 146; </w:t>
      </w:r>
      <w:r>
        <w:t xml:space="preserve">Van der Merwe </w:t>
      </w:r>
      <w:r w:rsidR="0081021E" w:rsidRPr="0081021E">
        <w:rPr>
          <w:u w:val="single"/>
        </w:rPr>
        <w:t>LAWSA</w:t>
      </w:r>
      <w:r w:rsidR="0081021E">
        <w:t xml:space="preserve"> (above) </w:t>
      </w:r>
      <w:r>
        <w:t>para 115</w:t>
      </w:r>
      <w:r w:rsidR="00A83D71">
        <w:t xml:space="preserve">. See also Mostert &amp; Pope (above) at 81; </w:t>
      </w:r>
      <w:r w:rsidR="00A83D71" w:rsidRPr="00A83D71">
        <w:t xml:space="preserve">Muller </w:t>
      </w:r>
      <w:r w:rsidR="00A83D71" w:rsidRPr="00A83D71">
        <w:rPr>
          <w:i/>
          <w:iCs/>
        </w:rPr>
        <w:t>et al.</w:t>
      </w:r>
      <w:r w:rsidR="00A83D71" w:rsidRPr="00A83D71">
        <w:t xml:space="preserve"> </w:t>
      </w:r>
      <w:r w:rsidR="00A83D71">
        <w:t>(above) at 353.</w:t>
      </w:r>
    </w:p>
  </w:footnote>
  <w:footnote w:id="32">
    <w:p w14:paraId="1D9837C0" w14:textId="1DE57DF1" w:rsidR="00A83D71" w:rsidRDefault="00A83D71">
      <w:pPr>
        <w:pStyle w:val="FootnoteText"/>
      </w:pPr>
      <w:r>
        <w:rPr>
          <w:rStyle w:val="FootnoteReference"/>
        </w:rPr>
        <w:footnoteRef/>
      </w:r>
      <w:r>
        <w:t xml:space="preserve"> </w:t>
      </w:r>
      <w:r w:rsidRPr="00E2366E">
        <w:rPr>
          <w:i/>
          <w:iCs/>
        </w:rPr>
        <w:t xml:space="preserve">God Never Fails Revival Church </w:t>
      </w:r>
      <w:r w:rsidRPr="00E2366E">
        <w:t>(</w:t>
      </w:r>
      <w:r>
        <w:t>above</w:t>
      </w:r>
      <w:r w:rsidRPr="00E2366E">
        <w:t>)</w:t>
      </w:r>
      <w:r>
        <w:t xml:space="preserve"> para 6(c) and (d); </w:t>
      </w:r>
      <w:r w:rsidRPr="000918DE">
        <w:rPr>
          <w:i/>
          <w:iCs/>
        </w:rPr>
        <w:t>Khumalo v Len Smith Investment Holdings</w:t>
      </w:r>
      <w:r w:rsidRPr="000918DE">
        <w:t xml:space="preserve"> CC 2020 JDR 0304 (LCC)</w:t>
      </w:r>
      <w:r>
        <w:t xml:space="preserve"> paras 27 – 35; </w:t>
      </w:r>
      <w:r w:rsidR="004B6B3A" w:rsidRPr="004B6B3A">
        <w:rPr>
          <w:i/>
          <w:iCs/>
        </w:rPr>
        <w:t>Kasi v Patinios</w:t>
      </w:r>
      <w:r w:rsidR="004B6B3A" w:rsidRPr="004B6B3A">
        <w:t xml:space="preserve"> 2020 JDR 1434 (KZD)</w:t>
      </w:r>
      <w:r w:rsidR="004B6B3A">
        <w:t xml:space="preserve"> para 12; </w:t>
      </w:r>
      <w:r w:rsidR="004B6B3A" w:rsidRPr="004B6B3A">
        <w:rPr>
          <w:i/>
          <w:iCs/>
        </w:rPr>
        <w:t>Mohamedullah CC v Fundi Capital (Pty) Ltd</w:t>
      </w:r>
      <w:r w:rsidR="004B6B3A" w:rsidRPr="004B6B3A">
        <w:t xml:space="preserve"> 2019 JDR 1642 (FB)</w:t>
      </w:r>
      <w:r w:rsidR="004B6B3A">
        <w:t xml:space="preserve"> para 20; </w:t>
      </w:r>
      <w:r w:rsidR="004B6B3A" w:rsidRPr="004B6B3A">
        <w:rPr>
          <w:i/>
          <w:iCs/>
        </w:rPr>
        <w:t>PA v LA</w:t>
      </w:r>
      <w:r w:rsidR="004B6B3A" w:rsidRPr="004B6B3A">
        <w:t xml:space="preserve"> 2014 JDR 0225 (ECP)</w:t>
      </w:r>
      <w:r w:rsidR="004B6B3A">
        <w:t xml:space="preserve"> para 7; </w:t>
      </w:r>
      <w:r w:rsidR="004B6B3A" w:rsidRPr="004B6B3A">
        <w:rPr>
          <w:i/>
          <w:iCs/>
        </w:rPr>
        <w:t>La Pila Pharma CC v Euro Blitz Logistics (Pty) Ltd</w:t>
      </w:r>
      <w:r w:rsidR="004B6B3A" w:rsidRPr="004B6B3A">
        <w:t xml:space="preserve"> 2014 JDR 2184 (FB)</w:t>
      </w:r>
      <w:r w:rsidR="004B6B3A">
        <w:t xml:space="preserve"> para 13; </w:t>
      </w:r>
      <w:r w:rsidRPr="00E13A2C">
        <w:rPr>
          <w:i/>
          <w:iCs/>
        </w:rPr>
        <w:t>Dockside Panelbeaters</w:t>
      </w:r>
      <w:r>
        <w:t xml:space="preserve"> (above) para 47</w:t>
      </w:r>
      <w:r w:rsidR="004B6B3A">
        <w:t>; Le Riche (above) para 25.</w:t>
      </w:r>
    </w:p>
  </w:footnote>
  <w:footnote w:id="33">
    <w:p w14:paraId="5ABA084D" w14:textId="77777777" w:rsidR="00981805" w:rsidRDefault="00981805" w:rsidP="00981805">
      <w:pPr>
        <w:pStyle w:val="FootnoteText"/>
      </w:pPr>
      <w:r>
        <w:rPr>
          <w:rStyle w:val="FootnoteReference"/>
        </w:rPr>
        <w:footnoteRef/>
      </w:r>
      <w:r>
        <w:t xml:space="preserve"> </w:t>
      </w:r>
      <w:r w:rsidRPr="00981805">
        <w:rPr>
          <w:i/>
          <w:iCs/>
        </w:rPr>
        <w:t>Executors of Haupt v De Villiers</w:t>
      </w:r>
      <w:r>
        <w:t xml:space="preserve"> (1848) 3 Menz 341.</w:t>
      </w:r>
    </w:p>
  </w:footnote>
  <w:footnote w:id="34">
    <w:p w14:paraId="47F6D966" w14:textId="64480F25" w:rsidR="00981805" w:rsidRDefault="00981805">
      <w:pPr>
        <w:pStyle w:val="FootnoteText"/>
      </w:pPr>
      <w:r>
        <w:rPr>
          <w:rStyle w:val="FootnoteReference"/>
        </w:rPr>
        <w:footnoteRef/>
      </w:r>
      <w:r>
        <w:t xml:space="preserve"> </w:t>
      </w:r>
      <w:r w:rsidRPr="00981805">
        <w:rPr>
          <w:i/>
          <w:iCs/>
        </w:rPr>
        <w:t>Monteiro</w:t>
      </w:r>
      <w:r>
        <w:t xml:space="preserve"> (above) para 15.</w:t>
      </w:r>
    </w:p>
  </w:footnote>
  <w:footnote w:id="35">
    <w:p w14:paraId="0B5F3359" w14:textId="13F4F7B5" w:rsidR="00A16D96" w:rsidRDefault="00A16D96">
      <w:pPr>
        <w:pStyle w:val="FootnoteText"/>
      </w:pPr>
      <w:r>
        <w:rPr>
          <w:rStyle w:val="FootnoteReference"/>
        </w:rPr>
        <w:footnoteRef/>
      </w:r>
      <w:r>
        <w:t xml:space="preserve"> See, for example, the emphasis placed on preserving the essence of the remedy in </w:t>
      </w:r>
      <w:r w:rsidRPr="00844428">
        <w:rPr>
          <w:i/>
          <w:iCs/>
        </w:rPr>
        <w:t>Tswelopele Non-Profit Organization and Others v City of Tshwane Metropolitan Municipality and Others</w:t>
      </w:r>
      <w:r w:rsidRPr="00844428">
        <w:t xml:space="preserve"> 2007 (6) SA 511 (SCA)</w:t>
      </w:r>
      <w:r>
        <w:t xml:space="preserve"> paras 20 to 26.</w:t>
      </w:r>
    </w:p>
  </w:footnote>
  <w:footnote w:id="36">
    <w:p w14:paraId="3A380E2C" w14:textId="66560FAD" w:rsidR="00282BDA" w:rsidRDefault="00282BDA" w:rsidP="00282BDA">
      <w:pPr>
        <w:pStyle w:val="FootnoteText"/>
      </w:pPr>
      <w:r>
        <w:rPr>
          <w:rStyle w:val="FootnoteReference"/>
        </w:rPr>
        <w:footnoteRef/>
      </w:r>
      <w:r>
        <w:t xml:space="preserve"> </w:t>
      </w:r>
      <w:r w:rsidRPr="00D057E4">
        <w:rPr>
          <w:i/>
          <w:iCs/>
          <w:lang w:eastAsia="en-ZA"/>
        </w:rPr>
        <w:t>Yeko v Qana</w:t>
      </w:r>
      <w:r w:rsidRPr="00C4370E">
        <w:rPr>
          <w:lang w:eastAsia="en-ZA"/>
        </w:rPr>
        <w:t xml:space="preserve"> 1973 4 SA 735 (A) </w:t>
      </w:r>
      <w:r w:rsidR="00B77812">
        <w:rPr>
          <w:lang w:eastAsia="en-ZA"/>
        </w:rPr>
        <w:t xml:space="preserve">at </w:t>
      </w:r>
      <w:r w:rsidRPr="00C4370E">
        <w:rPr>
          <w:lang w:eastAsia="en-ZA"/>
        </w:rPr>
        <w:t>739G</w:t>
      </w:r>
      <w:r w:rsidR="00AD7630">
        <w:rPr>
          <w:lang w:eastAsia="en-ZA"/>
        </w:rPr>
        <w:t>.</w:t>
      </w:r>
    </w:p>
  </w:footnote>
  <w:footnote w:id="37">
    <w:p w14:paraId="0D75AD5B" w14:textId="642B1DC9" w:rsidR="003938B7" w:rsidRPr="008E3CCB" w:rsidRDefault="003938B7">
      <w:pPr>
        <w:pStyle w:val="FootnoteText"/>
      </w:pPr>
      <w:r>
        <w:rPr>
          <w:rStyle w:val="FootnoteReference"/>
        </w:rPr>
        <w:footnoteRef/>
      </w:r>
      <w:r>
        <w:t xml:space="preserve"> </w:t>
      </w:r>
      <w:r w:rsidR="008E3CCB" w:rsidRPr="0009078A">
        <w:rPr>
          <w:i/>
          <w:iCs/>
        </w:rPr>
        <w:t>Monteiro</w:t>
      </w:r>
      <w:r w:rsidR="008E3CCB">
        <w:t xml:space="preserve"> (above), paras 17 – 21. In </w:t>
      </w:r>
      <w:r w:rsidR="008E3CCB" w:rsidRPr="008E3CCB">
        <w:rPr>
          <w:i/>
          <w:iCs/>
        </w:rPr>
        <w:t>Jivan</w:t>
      </w:r>
      <w:r w:rsidR="008E3CCB">
        <w:t>, the court observed at 896A – D that “</w:t>
      </w:r>
      <w:r w:rsidR="008E3CCB" w:rsidRPr="008E3CCB">
        <w:rPr>
          <w:i/>
          <w:iCs/>
          <w:lang w:eastAsia="en-ZA"/>
        </w:rPr>
        <w:t>[a] spoliation order against a party other than the spoliator is logically beyond the scope of the purpose of the mandament to prevent persons from taking the law into their own hands</w:t>
      </w:r>
      <w:r w:rsidR="008E3CCB">
        <w:rPr>
          <w:lang w:eastAsia="en-ZA"/>
        </w:rPr>
        <w:t xml:space="preserve">”. See also </w:t>
      </w:r>
      <w:r w:rsidR="008E3CCB" w:rsidRPr="00B67D54">
        <w:rPr>
          <w:i/>
          <w:iCs/>
        </w:rPr>
        <w:t>Builder's Depot CC v Testa</w:t>
      </w:r>
      <w:r w:rsidR="008E3CCB" w:rsidRPr="00B67D54">
        <w:t xml:space="preserve"> 2011 (4) SA 486 (GSJ)</w:t>
      </w:r>
      <w:r w:rsidR="008E3CCB">
        <w:t xml:space="preserve"> paras 13 – 18.</w:t>
      </w:r>
    </w:p>
  </w:footnote>
  <w:footnote w:id="38">
    <w:p w14:paraId="514261BC" w14:textId="4EA414BB" w:rsidR="00BB3327" w:rsidRDefault="00BB3327">
      <w:pPr>
        <w:pStyle w:val="FootnoteText"/>
      </w:pPr>
      <w:r>
        <w:rPr>
          <w:rStyle w:val="FootnoteReference"/>
        </w:rPr>
        <w:footnoteRef/>
      </w:r>
      <w:r>
        <w:t xml:space="preserve"> </w:t>
      </w:r>
      <w:r w:rsidRPr="00B77812">
        <w:rPr>
          <w:i/>
          <w:iCs/>
          <w:lang w:eastAsia="en-ZA"/>
        </w:rPr>
        <w:t>Fredericks v Stellenbosch Divisional Council</w:t>
      </w:r>
      <w:r>
        <w:rPr>
          <w:lang w:eastAsia="en-ZA"/>
        </w:rPr>
        <w:t xml:space="preserve"> 1977 3 SA 113 (C)</w:t>
      </w:r>
      <w:r w:rsidR="00B77812">
        <w:rPr>
          <w:lang w:eastAsia="en-ZA"/>
        </w:rPr>
        <w:t>.</w:t>
      </w:r>
    </w:p>
  </w:footnote>
  <w:footnote w:id="39">
    <w:p w14:paraId="0863ECA9" w14:textId="1483A575" w:rsidR="00923149" w:rsidRDefault="00923149">
      <w:pPr>
        <w:pStyle w:val="FootnoteText"/>
      </w:pPr>
      <w:r>
        <w:rPr>
          <w:rStyle w:val="FootnoteReference"/>
        </w:rPr>
        <w:footnoteRef/>
      </w:r>
      <w:r>
        <w:t xml:space="preserve"> Van der Walt </w:t>
      </w:r>
      <w:r w:rsidR="0077222B">
        <w:t>(</w:t>
      </w:r>
      <w:r>
        <w:t>1983</w:t>
      </w:r>
      <w:r w:rsidR="0077222B">
        <w:t>)</w:t>
      </w:r>
      <w:r>
        <w:t xml:space="preserve"> THRHR 237 at </w:t>
      </w:r>
      <w:r w:rsidR="00981671">
        <w:t>239 - 240</w:t>
      </w:r>
      <w:r>
        <w:t xml:space="preserve">. </w:t>
      </w:r>
    </w:p>
  </w:footnote>
  <w:footnote w:id="40">
    <w:p w14:paraId="6BEA7EE0" w14:textId="5D33BBC8" w:rsidR="00025497" w:rsidRDefault="00025497" w:rsidP="00025497">
      <w:pPr>
        <w:pStyle w:val="FootnoteText"/>
      </w:pPr>
      <w:r>
        <w:rPr>
          <w:rStyle w:val="FootnoteReference"/>
        </w:rPr>
        <w:footnoteRef/>
      </w:r>
      <w:r>
        <w:t xml:space="preserve"> De Waal </w:t>
      </w:r>
      <w:r w:rsidR="0077222B">
        <w:t>(</w:t>
      </w:r>
      <w:r>
        <w:rPr>
          <w:lang w:eastAsia="en-ZA"/>
        </w:rPr>
        <w:t>1984</w:t>
      </w:r>
      <w:r w:rsidR="0077222B">
        <w:rPr>
          <w:lang w:eastAsia="en-ZA"/>
        </w:rPr>
        <w:t>)</w:t>
      </w:r>
      <w:r>
        <w:rPr>
          <w:lang w:eastAsia="en-ZA"/>
        </w:rPr>
        <w:t xml:space="preserve"> THRHR 115 at 118.</w:t>
      </w:r>
    </w:p>
  </w:footnote>
  <w:footnote w:id="41">
    <w:p w14:paraId="741FB90E" w14:textId="77777777" w:rsidR="003938B7" w:rsidRDefault="003938B7" w:rsidP="003938B7">
      <w:pPr>
        <w:pStyle w:val="FootnoteText"/>
      </w:pPr>
      <w:r>
        <w:rPr>
          <w:rStyle w:val="FootnoteReference"/>
        </w:rPr>
        <w:footnoteRef/>
      </w:r>
      <w:r>
        <w:t xml:space="preserve"> In </w:t>
      </w:r>
      <w:r w:rsidRPr="00802F08">
        <w:rPr>
          <w:i/>
          <w:iCs/>
        </w:rPr>
        <w:t>Bon Quelle (Edms) Bpk v Muni</w:t>
      </w:r>
      <w:r>
        <w:rPr>
          <w:i/>
          <w:iCs/>
        </w:rPr>
        <w:t>cipality</w:t>
      </w:r>
      <w:r w:rsidRPr="00802F08">
        <w:rPr>
          <w:i/>
          <w:iCs/>
        </w:rPr>
        <w:t xml:space="preserve"> van Otavi</w:t>
      </w:r>
      <w:r w:rsidRPr="00802F08">
        <w:t xml:space="preserve"> 1989 (1) SA 508 (A) </w:t>
      </w:r>
      <w:r>
        <w:t>at 512I, the Appellate Division approved the statement that “</w:t>
      </w:r>
      <w:r w:rsidRPr="00265F02">
        <w:rPr>
          <w:i/>
          <w:iCs/>
        </w:rPr>
        <w:t>Die mandament beskerm kennelik geen reg in die sin van 'n subjektiewe reg nie maar handhaaf 'n feitelike toestand of gegewe</w:t>
      </w:r>
      <w:r>
        <w:t>”</w:t>
      </w:r>
      <w:r w:rsidRPr="00265F02">
        <w:t>.</w:t>
      </w:r>
      <w:r>
        <w:t xml:space="preserve"> Kleyn points out that “</w:t>
      </w:r>
      <w:r w:rsidRPr="00265F02">
        <w:rPr>
          <w:i/>
          <w:iCs/>
        </w:rPr>
        <w:t>the right not to be unlawfully deprived of possession is not a 'right' in the sense of the word. … it is a legal principle on which the mandament is based, a principle that is applied once the applicant for a mandament has proved that he was in possession and was spoliated by the respondent. It is therefore not a right in the sense of, for example, a subjective right which is required to satisfy the clear right requisite</w:t>
      </w:r>
      <w:r>
        <w:t>”.</w:t>
      </w:r>
    </w:p>
  </w:footnote>
  <w:footnote w:id="42">
    <w:p w14:paraId="0A594059" w14:textId="0A18B998" w:rsidR="005279FF" w:rsidRDefault="005279FF" w:rsidP="005279FF">
      <w:pPr>
        <w:pStyle w:val="FootnoteText"/>
      </w:pPr>
      <w:r>
        <w:rPr>
          <w:rStyle w:val="FootnoteReference"/>
        </w:rPr>
        <w:footnoteRef/>
      </w:r>
      <w:r>
        <w:t xml:space="preserve"> Van der Walt (1984) THRHR 429 at 433 </w:t>
      </w:r>
      <w:r w:rsidR="0077222B">
        <w:t>and</w:t>
      </w:r>
      <w:r>
        <w:t xml:space="preserve"> 434</w:t>
      </w:r>
      <w:r w:rsidR="0077222B">
        <w:t xml:space="preserve"> [emphasis supplied]</w:t>
      </w:r>
      <w:r>
        <w:t xml:space="preserve">. See also Mostert </w:t>
      </w:r>
      <w:r w:rsidR="00AD7630">
        <w:t xml:space="preserve">&amp; </w:t>
      </w:r>
      <w:r>
        <w:t>Pope (above) at 77.</w:t>
      </w:r>
    </w:p>
  </w:footnote>
  <w:footnote w:id="43">
    <w:p w14:paraId="2EF9160D" w14:textId="1EDEB9BA" w:rsidR="00F55584" w:rsidRDefault="00F55584" w:rsidP="00F55584">
      <w:pPr>
        <w:pStyle w:val="FootnoteText"/>
      </w:pPr>
      <w:r>
        <w:rPr>
          <w:rStyle w:val="FootnoteReference"/>
        </w:rPr>
        <w:footnoteRef/>
      </w:r>
      <w:r>
        <w:t xml:space="preserve"> </w:t>
      </w:r>
      <w:r w:rsidRPr="00844428">
        <w:rPr>
          <w:i/>
          <w:iCs/>
        </w:rPr>
        <w:t xml:space="preserve">Tswelopele </w:t>
      </w:r>
      <w:r w:rsidRPr="00844428">
        <w:t>(</w:t>
      </w:r>
      <w:r w:rsidR="00D93D1C">
        <w:t>above</w:t>
      </w:r>
      <w:r w:rsidRPr="00844428">
        <w:t>)</w:t>
      </w:r>
      <w:r>
        <w:t xml:space="preserve"> paras 20 to 26</w:t>
      </w:r>
    </w:p>
  </w:footnote>
  <w:footnote w:id="44">
    <w:p w14:paraId="7E3FAC64" w14:textId="1774CBCD" w:rsidR="006C6808" w:rsidRDefault="006C6808">
      <w:pPr>
        <w:pStyle w:val="FootnoteText"/>
      </w:pPr>
      <w:r>
        <w:rPr>
          <w:rStyle w:val="FootnoteReference"/>
        </w:rPr>
        <w:footnoteRef/>
      </w:r>
      <w:r>
        <w:t xml:space="preserve"> </w:t>
      </w:r>
      <w:r w:rsidRPr="006003EC">
        <w:rPr>
          <w:i/>
          <w:iCs/>
        </w:rPr>
        <w:t xml:space="preserve">Nino Bonino </w:t>
      </w:r>
      <w:r w:rsidR="00AD7630" w:rsidRPr="00AD7630">
        <w:t>(above)</w:t>
      </w:r>
      <w:r w:rsidR="00AD7630">
        <w:rPr>
          <w:i/>
          <w:iCs/>
        </w:rPr>
        <w:t xml:space="preserve"> </w:t>
      </w:r>
      <w:r>
        <w:t>at 122</w:t>
      </w:r>
      <w:r w:rsidR="0030493F">
        <w:t xml:space="preserve"> and 123</w:t>
      </w:r>
      <w:r w:rsidR="009C5BAB">
        <w:t xml:space="preserve"> [emphasis supplied]</w:t>
      </w:r>
      <w:r>
        <w:t>.</w:t>
      </w:r>
    </w:p>
  </w:footnote>
  <w:footnote w:id="45">
    <w:p w14:paraId="3471ECC0" w14:textId="375C982C" w:rsidR="00171164" w:rsidRDefault="00171164">
      <w:pPr>
        <w:pStyle w:val="FootnoteText"/>
      </w:pPr>
      <w:r>
        <w:rPr>
          <w:rStyle w:val="FootnoteReference"/>
        </w:rPr>
        <w:footnoteRef/>
      </w:r>
      <w:r>
        <w:t xml:space="preserve"> </w:t>
      </w:r>
      <w:r w:rsidR="00AD7630">
        <w:rPr>
          <w:lang w:eastAsia="en-ZA"/>
        </w:rPr>
        <w:t xml:space="preserve"> </w:t>
      </w:r>
      <w:r w:rsidR="00AD7630" w:rsidRPr="00AD7630">
        <w:rPr>
          <w:i/>
          <w:iCs/>
          <w:lang w:eastAsia="en-ZA"/>
        </w:rPr>
        <w:t>Yeko v Qana</w:t>
      </w:r>
      <w:r w:rsidR="00AD7630">
        <w:rPr>
          <w:lang w:eastAsia="en-ZA"/>
        </w:rPr>
        <w:t xml:space="preserve"> (above) at 739G: “</w:t>
      </w:r>
      <w:r w:rsidR="00AD7630" w:rsidRPr="00A85016">
        <w:rPr>
          <w:i/>
          <w:iCs/>
          <w:u w:val="single"/>
          <w:lang w:eastAsia="en-ZA"/>
        </w:rPr>
        <w:t>The fundamental principle of the remedy</w:t>
      </w:r>
      <w:r w:rsidR="00AD7630" w:rsidRPr="00A85016">
        <w:rPr>
          <w:i/>
          <w:iCs/>
          <w:lang w:eastAsia="en-ZA"/>
        </w:rPr>
        <w:t xml:space="preserve"> is that no one is allowed to take the law into his own hands</w:t>
      </w:r>
      <w:r w:rsidR="00AD7630">
        <w:rPr>
          <w:i/>
          <w:iCs/>
          <w:lang w:eastAsia="en-ZA"/>
        </w:rPr>
        <w:t xml:space="preserve">”. </w:t>
      </w:r>
      <w:r w:rsidRPr="001B6E99">
        <w:rPr>
          <w:i/>
          <w:iCs/>
        </w:rPr>
        <w:t>Ness v Greef</w:t>
      </w:r>
      <w:r w:rsidRPr="001B6E99">
        <w:t xml:space="preserve"> 1985 (4) SA 641 (C)</w:t>
      </w:r>
      <w:r>
        <w:t xml:space="preserve"> at 647B: “</w:t>
      </w:r>
      <w:r>
        <w:rPr>
          <w:i/>
          <w:iCs/>
        </w:rPr>
        <w:t>T</w:t>
      </w:r>
      <w:r w:rsidRPr="001D71E1">
        <w:rPr>
          <w:i/>
          <w:iCs/>
        </w:rPr>
        <w:t xml:space="preserve">he </w:t>
      </w:r>
      <w:r w:rsidRPr="00171164">
        <w:rPr>
          <w:i/>
          <w:iCs/>
          <w:u w:val="single"/>
        </w:rPr>
        <w:t>underlying, fundamental principle of the remedy</w:t>
      </w:r>
      <w:r w:rsidRPr="001D71E1">
        <w:rPr>
          <w:i/>
          <w:iCs/>
        </w:rPr>
        <w:t xml:space="preserve"> is that no one is allowed  to take the law into his own hands and thereby cause a breach of the peace</w:t>
      </w:r>
      <w:r>
        <w:rPr>
          <w:i/>
          <w:iCs/>
        </w:rPr>
        <w:t xml:space="preserve">”; </w:t>
      </w:r>
      <w:r w:rsidRPr="00516A31">
        <w:rPr>
          <w:i/>
          <w:iCs/>
        </w:rPr>
        <w:t>Boompret Inv (Pty) Ltd v Paardekraal Concession Store (Pty) Ltd</w:t>
      </w:r>
      <w:r w:rsidRPr="00516A31">
        <w:t xml:space="preserve"> 1990 (1) SA 347 (A) </w:t>
      </w:r>
      <w:r>
        <w:t>at 353C: “</w:t>
      </w:r>
      <w:r>
        <w:rPr>
          <w:i/>
          <w:iCs/>
          <w:u w:val="single"/>
        </w:rPr>
        <w:t>T</w:t>
      </w:r>
      <w:r w:rsidRPr="00E01F0B">
        <w:rPr>
          <w:i/>
          <w:iCs/>
          <w:u w:val="single"/>
        </w:rPr>
        <w:t>he philosophy underlying</w:t>
      </w:r>
      <w:r w:rsidRPr="00E01F0B">
        <w:rPr>
          <w:i/>
          <w:iCs/>
        </w:rPr>
        <w:t xml:space="preserve"> the law of spoliation is that no man should be allowed to take the law into his own hands, and that conduct conducive to a breach of the peace should be discouraged</w:t>
      </w:r>
      <w:r>
        <w:rPr>
          <w:i/>
          <w:iCs/>
        </w:rPr>
        <w:t xml:space="preserve">”; </w:t>
      </w:r>
      <w:r w:rsidRPr="00BA1F04">
        <w:rPr>
          <w:i/>
          <w:iCs/>
        </w:rPr>
        <w:t>Rikhotso v Northcliff Ceramics (Pty) Ltd</w:t>
      </w:r>
      <w:r w:rsidRPr="00BA1F04">
        <w:t xml:space="preserve"> 1997 (1) SA 526 (W)</w:t>
      </w:r>
      <w:r>
        <w:t xml:space="preserve"> at 532H: “</w:t>
      </w:r>
      <w:r>
        <w:rPr>
          <w:i/>
          <w:iCs/>
          <w:u w:val="single"/>
        </w:rPr>
        <w:t>T</w:t>
      </w:r>
      <w:r w:rsidRPr="00F33832">
        <w:rPr>
          <w:i/>
          <w:iCs/>
          <w:u w:val="single"/>
        </w:rPr>
        <w:t>he principle underlying the remedy</w:t>
      </w:r>
      <w:r w:rsidRPr="00F33832">
        <w:rPr>
          <w:i/>
          <w:iCs/>
        </w:rPr>
        <w:t xml:space="preserve"> is that the entitlement to possession must be resolved by the Courts, and not by a resort to self-help</w:t>
      </w:r>
      <w:r>
        <w:rPr>
          <w:i/>
          <w:iCs/>
        </w:rPr>
        <w:t xml:space="preserve">”; </w:t>
      </w:r>
      <w:r w:rsidRPr="00082CB6">
        <w:rPr>
          <w:i/>
          <w:iCs/>
        </w:rPr>
        <w:t>Bock v Duburoro Inv (Pty) Ltd</w:t>
      </w:r>
      <w:r w:rsidRPr="00082CB6">
        <w:t xml:space="preserve"> 2004 (2) SA 242 (SCA)</w:t>
      </w:r>
      <w:r>
        <w:t xml:space="preserve"> para 14: “</w:t>
      </w:r>
      <w:r>
        <w:rPr>
          <w:i/>
          <w:iCs/>
        </w:rPr>
        <w:t>O</w:t>
      </w:r>
      <w:r w:rsidRPr="00082CB6">
        <w:rPr>
          <w:i/>
          <w:iCs/>
        </w:rPr>
        <w:t xml:space="preserve">ur common law has always recognised that self-help is unlawful. </w:t>
      </w:r>
      <w:r w:rsidRPr="00171164">
        <w:rPr>
          <w:i/>
          <w:iCs/>
          <w:u w:val="single"/>
        </w:rPr>
        <w:t>That is why</w:t>
      </w:r>
      <w:r w:rsidRPr="00082CB6">
        <w:rPr>
          <w:i/>
          <w:iCs/>
        </w:rPr>
        <w:t xml:space="preserve"> the mandament van spolie developed and judgments such as Nino Bonino v De Lange have stood the test of time</w:t>
      </w:r>
      <w:r>
        <w:rPr>
          <w:i/>
          <w:iCs/>
        </w:rPr>
        <w:t>”</w:t>
      </w:r>
      <w:r>
        <w:t xml:space="preserve">; </w:t>
      </w:r>
      <w:r w:rsidRPr="0030493F">
        <w:rPr>
          <w:i/>
          <w:iCs/>
        </w:rPr>
        <w:t>De Beer v Zimbali Est Management Assoc (Pty) Ltd</w:t>
      </w:r>
      <w:r w:rsidRPr="003244AE">
        <w:t xml:space="preserve"> 2007 (3) SA 254 (N)</w:t>
      </w:r>
      <w:r>
        <w:t xml:space="preserve"> para 54: “</w:t>
      </w:r>
      <w:r>
        <w:rPr>
          <w:i/>
          <w:iCs/>
        </w:rPr>
        <w:t>T</w:t>
      </w:r>
      <w:r w:rsidRPr="0030493F">
        <w:rPr>
          <w:i/>
          <w:iCs/>
        </w:rPr>
        <w:t xml:space="preserve">he </w:t>
      </w:r>
      <w:r w:rsidRPr="0030493F">
        <w:rPr>
          <w:i/>
          <w:iCs/>
          <w:u w:val="single"/>
        </w:rPr>
        <w:t>real purpose</w:t>
      </w:r>
      <w:r w:rsidRPr="0030493F">
        <w:rPr>
          <w:i/>
          <w:iCs/>
        </w:rPr>
        <w:t xml:space="preserve"> of the mandament was to prevent breaches of the peace</w:t>
      </w:r>
      <w:r>
        <w:rPr>
          <w:i/>
          <w:iCs/>
        </w:rPr>
        <w:t xml:space="preserve">”; </w:t>
      </w:r>
      <w:r w:rsidRPr="00E01F0B">
        <w:rPr>
          <w:i/>
          <w:iCs/>
        </w:rPr>
        <w:t>Ivanov v NW Gambling Board</w:t>
      </w:r>
      <w:r w:rsidRPr="00280FCC">
        <w:t xml:space="preserve"> 2012 (6) SA 67 (SCA) </w:t>
      </w:r>
      <w:r>
        <w:t>paras 19 and 20: “</w:t>
      </w:r>
      <w:r w:rsidRPr="00171164">
        <w:rPr>
          <w:i/>
          <w:iCs/>
        </w:rPr>
        <w:t>The aim</w:t>
      </w:r>
      <w:r w:rsidRPr="00E01F0B">
        <w:rPr>
          <w:i/>
          <w:iCs/>
        </w:rPr>
        <w:t xml:space="preserve"> of spoliation is to prevent self-help. It seeks to prevent people from taking the law into their own hands</w:t>
      </w:r>
      <w:r>
        <w:t xml:space="preserve"> and </w:t>
      </w:r>
      <w:r w:rsidRPr="00E01F0B">
        <w:rPr>
          <w:i/>
          <w:iCs/>
          <w:u w:val="single"/>
        </w:rPr>
        <w:t>the principle underlying</w:t>
      </w:r>
      <w:r w:rsidRPr="00E01F0B">
        <w:rPr>
          <w:i/>
          <w:iCs/>
        </w:rPr>
        <w:t xml:space="preserve"> the mandament van spolie</w:t>
      </w:r>
      <w:r>
        <w:rPr>
          <w:i/>
          <w:iCs/>
        </w:rPr>
        <w:t>”</w:t>
      </w:r>
      <w:r>
        <w:t xml:space="preserve"> was enunciated by Innes CJ  in </w:t>
      </w:r>
      <w:r w:rsidRPr="00280FCC">
        <w:rPr>
          <w:i/>
          <w:iCs/>
        </w:rPr>
        <w:t>Nino Bonino</w:t>
      </w:r>
      <w:r>
        <w:rPr>
          <w:i/>
          <w:iCs/>
        </w:rPr>
        <w:t xml:space="preserve">; </w:t>
      </w:r>
      <w:r w:rsidRPr="00280FCC">
        <w:rPr>
          <w:i/>
          <w:iCs/>
        </w:rPr>
        <w:t>Gowrie Mews Inv</w:t>
      </w:r>
      <w:r w:rsidR="0011723F">
        <w:rPr>
          <w:i/>
          <w:iCs/>
        </w:rPr>
        <w:t>estments</w:t>
      </w:r>
      <w:r w:rsidRPr="00280FCC">
        <w:rPr>
          <w:i/>
          <w:iCs/>
        </w:rPr>
        <w:t xml:space="preserve"> CC v Calicom Trading 54 (Pty) Ltd</w:t>
      </w:r>
      <w:r w:rsidRPr="00280FCC">
        <w:t xml:space="preserve"> 2013 (1) SA 239 (KZD) </w:t>
      </w:r>
      <w:r>
        <w:t>para 8: “</w:t>
      </w:r>
      <w:r>
        <w:rPr>
          <w:i/>
          <w:iCs/>
        </w:rPr>
        <w:t>T</w:t>
      </w:r>
      <w:r w:rsidRPr="00280FCC">
        <w:rPr>
          <w:i/>
          <w:iCs/>
        </w:rPr>
        <w:t xml:space="preserve">he remedy is </w:t>
      </w:r>
      <w:r w:rsidRPr="00E01F0B">
        <w:rPr>
          <w:i/>
          <w:iCs/>
          <w:u w:val="single"/>
        </w:rPr>
        <w:t>designed to</w:t>
      </w:r>
      <w:r w:rsidRPr="00280FCC">
        <w:rPr>
          <w:i/>
          <w:iCs/>
        </w:rPr>
        <w:t xml:space="preserve"> prevent self-help, and to promote social cohesion by requiring disputes as to possession to be resolved only by lawful means</w:t>
      </w:r>
      <w:r>
        <w:rPr>
          <w:i/>
          <w:iCs/>
        </w:rPr>
        <w:t xml:space="preserve">”; </w:t>
      </w:r>
      <w:r w:rsidRPr="00E01F0B">
        <w:rPr>
          <w:i/>
          <w:iCs/>
        </w:rPr>
        <w:t>Van Rhyn NNO v Fleurbaix Farm (Pty) Ltd</w:t>
      </w:r>
      <w:r w:rsidRPr="00562F4B">
        <w:t xml:space="preserve"> 2013 (5) SA 521 (WCC) </w:t>
      </w:r>
      <w:r>
        <w:t>para 7 “</w:t>
      </w:r>
      <w:r w:rsidRPr="00280FCC">
        <w:rPr>
          <w:i/>
          <w:iCs/>
        </w:rPr>
        <w:t xml:space="preserve">[t]he </w:t>
      </w:r>
      <w:r w:rsidRPr="00E01F0B">
        <w:rPr>
          <w:i/>
          <w:iCs/>
          <w:u w:val="single"/>
        </w:rPr>
        <w:t>fundamental purpose</w:t>
      </w:r>
      <w:r w:rsidRPr="00E01F0B">
        <w:rPr>
          <w:i/>
          <w:iCs/>
        </w:rPr>
        <w:t xml:space="preserve"> of the remedy is to serve as a tool for promoting the rule of law and as a disincentive against self-help</w:t>
      </w:r>
      <w:r>
        <w:t xml:space="preserve">”; </w:t>
      </w:r>
      <w:r w:rsidRPr="00AC1654">
        <w:rPr>
          <w:i/>
          <w:iCs/>
        </w:rPr>
        <w:t>Afzal v Kalim</w:t>
      </w:r>
      <w:r w:rsidRPr="00AC1654">
        <w:t xml:space="preserve"> 2013 (6) SA 176 (ECP)</w:t>
      </w:r>
      <w:r>
        <w:t xml:space="preserve"> para 18: “</w:t>
      </w:r>
      <w:r>
        <w:rPr>
          <w:i/>
          <w:iCs/>
        </w:rPr>
        <w:t>t</w:t>
      </w:r>
      <w:r w:rsidRPr="00AC1654">
        <w:rPr>
          <w:i/>
          <w:iCs/>
        </w:rPr>
        <w:t xml:space="preserve">he mandament van spolie … is </w:t>
      </w:r>
      <w:r w:rsidRPr="0009078A">
        <w:rPr>
          <w:i/>
          <w:iCs/>
          <w:u w:val="single"/>
        </w:rPr>
        <w:t>premised on</w:t>
      </w:r>
      <w:r w:rsidRPr="00AC1654">
        <w:rPr>
          <w:i/>
          <w:iCs/>
        </w:rPr>
        <w:t xml:space="preserve"> the 'fundamental principle that no man is allowed to take the law into his own hands’</w:t>
      </w:r>
      <w:r>
        <w:t xml:space="preserve">”; </w:t>
      </w:r>
      <w:r w:rsidRPr="00E01F0B">
        <w:rPr>
          <w:i/>
          <w:iCs/>
        </w:rPr>
        <w:t>Ngqukumba v Minister of Safety and Security and Others</w:t>
      </w:r>
      <w:r w:rsidRPr="003F41BC">
        <w:t xml:space="preserve"> 2014 (5) SA 112 (CC)</w:t>
      </w:r>
      <w:r>
        <w:t xml:space="preserve"> para 10: </w:t>
      </w:r>
      <w:r>
        <w:rPr>
          <w:lang w:eastAsia="en-ZA"/>
        </w:rPr>
        <w:t>The remedy’s “</w:t>
      </w:r>
      <w:r w:rsidRPr="000802C1">
        <w:rPr>
          <w:i/>
          <w:iCs/>
          <w:u w:val="single"/>
          <w:lang w:eastAsia="en-ZA"/>
        </w:rPr>
        <w:t>underlying philosophy</w:t>
      </w:r>
      <w:r w:rsidRPr="000802C1">
        <w:rPr>
          <w:i/>
          <w:iCs/>
          <w:lang w:eastAsia="en-ZA"/>
        </w:rPr>
        <w:t xml:space="preserve"> is that no one should resort to self-help to obtain or regain possession</w:t>
      </w:r>
      <w:r>
        <w:rPr>
          <w:lang w:eastAsia="en-ZA"/>
        </w:rPr>
        <w:t>” and “</w:t>
      </w:r>
      <w:r w:rsidRPr="000802C1">
        <w:rPr>
          <w:i/>
          <w:iCs/>
          <w:lang w:eastAsia="en-ZA"/>
        </w:rPr>
        <w:t xml:space="preserve">the </w:t>
      </w:r>
      <w:r w:rsidRPr="00171164">
        <w:rPr>
          <w:i/>
          <w:iCs/>
          <w:lang w:eastAsia="en-ZA"/>
        </w:rPr>
        <w:t>main purpose</w:t>
      </w:r>
      <w:r w:rsidRPr="000802C1">
        <w:rPr>
          <w:i/>
          <w:iCs/>
          <w:lang w:eastAsia="en-ZA"/>
        </w:rPr>
        <w:t xml:space="preserve"> of the mandament van spolie is to preserve public order by restraining persons from taking the law into their own hands and by inducing them to follow due process</w:t>
      </w:r>
      <w:r>
        <w:rPr>
          <w:lang w:eastAsia="en-ZA"/>
        </w:rPr>
        <w:t>” and “</w:t>
      </w:r>
      <w:r w:rsidRPr="000802C1">
        <w:rPr>
          <w:i/>
          <w:iCs/>
          <w:lang w:eastAsia="en-ZA"/>
        </w:rPr>
        <w:t xml:space="preserve">Acts of self-help [whether by individuals or government entities] may lead to breaches of the peace: that is what the spoliation order, which is deeply rooted in the rule of law, seeks to avert. The likely consequences aside, the rule of law must be vindicated. The spoliation order </w:t>
      </w:r>
      <w:r w:rsidRPr="00171164">
        <w:rPr>
          <w:i/>
          <w:iCs/>
          <w:lang w:eastAsia="en-ZA"/>
        </w:rPr>
        <w:t>serves exactly that purpose</w:t>
      </w:r>
      <w:r>
        <w:rPr>
          <w:lang w:eastAsia="en-ZA"/>
        </w:rPr>
        <w:t xml:space="preserve">”; </w:t>
      </w:r>
      <w:r w:rsidRPr="00280FCC">
        <w:rPr>
          <w:i/>
          <w:iCs/>
        </w:rPr>
        <w:t>Eskom Holdings SOC Ltd v Masinda</w:t>
      </w:r>
      <w:r w:rsidRPr="00562F4B">
        <w:t xml:space="preserve"> 2019 (5) SA 386 (SCA) </w:t>
      </w:r>
      <w:r>
        <w:t>para 8: “</w:t>
      </w:r>
      <w:r w:rsidRPr="00280FCC">
        <w:rPr>
          <w:i/>
          <w:iCs/>
        </w:rPr>
        <w:t xml:space="preserve">[t]he mandament van spolie (spoliation) is a remedy of ancient origin, </w:t>
      </w:r>
      <w:r w:rsidRPr="00E01F0B">
        <w:rPr>
          <w:i/>
          <w:iCs/>
          <w:u w:val="single"/>
        </w:rPr>
        <w:t>based upon the fundamental principle</w:t>
      </w:r>
      <w:r w:rsidRPr="00280FCC">
        <w:rPr>
          <w:i/>
          <w:iCs/>
        </w:rPr>
        <w:t xml:space="preserve"> that persons should not be permitted to take the law into their own hands to seize property in the possession of others without their consent</w:t>
      </w:r>
      <w:r>
        <w:t xml:space="preserve">”; </w:t>
      </w:r>
      <w:r w:rsidRPr="005C0097">
        <w:rPr>
          <w:i/>
          <w:iCs/>
        </w:rPr>
        <w:t>Monteiro v Diedricks</w:t>
      </w:r>
      <w:r w:rsidRPr="005C0097">
        <w:t xml:space="preserve"> 2021 (3) SA 482 (SCA) </w:t>
      </w:r>
      <w:r>
        <w:t xml:space="preserve">para 14 and 16: </w:t>
      </w:r>
      <w:r w:rsidRPr="00280FCC">
        <w:rPr>
          <w:i/>
          <w:iCs/>
        </w:rPr>
        <w:t xml:space="preserve">“[t]he </w:t>
      </w:r>
      <w:r w:rsidRPr="00E01F0B">
        <w:rPr>
          <w:i/>
          <w:iCs/>
          <w:u w:val="single"/>
        </w:rPr>
        <w:t>essential rationale</w:t>
      </w:r>
      <w:r w:rsidRPr="00280FCC">
        <w:rPr>
          <w:i/>
          <w:iCs/>
        </w:rPr>
        <w:t xml:space="preserve"> for the remedy is that the rule of law does not countenance resort to self-help</w:t>
      </w:r>
      <w:r>
        <w:t>” and this the ”</w:t>
      </w:r>
      <w:r w:rsidRPr="00E01F0B">
        <w:rPr>
          <w:i/>
          <w:iCs/>
          <w:u w:val="single"/>
        </w:rPr>
        <w:t>doctrinal basis</w:t>
      </w:r>
      <w:r>
        <w:t xml:space="preserve">” of the remedy; </w:t>
      </w:r>
      <w:r w:rsidRPr="000802C1">
        <w:rPr>
          <w:i/>
          <w:iCs/>
        </w:rPr>
        <w:t>Bisschoff and Others v Welbeplan Boerdery (Pty) Ltd</w:t>
      </w:r>
      <w:r w:rsidRPr="000802C1">
        <w:t xml:space="preserve"> 2021 (5) SA 54 (SCA)</w:t>
      </w:r>
      <w:r>
        <w:t xml:space="preserve"> para 5: “</w:t>
      </w:r>
      <w:r w:rsidRPr="00280FCC">
        <w:rPr>
          <w:i/>
          <w:iCs/>
        </w:rPr>
        <w:t xml:space="preserve">[t]he </w:t>
      </w:r>
      <w:r w:rsidRPr="000802C1">
        <w:rPr>
          <w:i/>
          <w:iCs/>
        </w:rPr>
        <w:t xml:space="preserve">mandament van spolie is </w:t>
      </w:r>
      <w:r w:rsidRPr="000F1FF8">
        <w:rPr>
          <w:i/>
          <w:iCs/>
          <w:u w:val="single"/>
        </w:rPr>
        <w:t>rooted in the rule of law</w:t>
      </w:r>
      <w:r w:rsidRPr="000802C1">
        <w:rPr>
          <w:i/>
          <w:iCs/>
        </w:rPr>
        <w:t xml:space="preserve"> and its </w:t>
      </w:r>
      <w:r w:rsidRPr="000F1FF8">
        <w:rPr>
          <w:i/>
          <w:iCs/>
        </w:rPr>
        <w:t>main purpose</w:t>
      </w:r>
      <w:r w:rsidRPr="000802C1">
        <w:rPr>
          <w:i/>
          <w:iCs/>
        </w:rPr>
        <w:t xml:space="preserve"> is to preserve public order by preventing persons from taking the law into their own hands</w:t>
      </w:r>
      <w:r>
        <w:t xml:space="preserve">”; </w:t>
      </w:r>
      <w:r w:rsidRPr="0030493F">
        <w:rPr>
          <w:i/>
          <w:iCs/>
        </w:rPr>
        <w:t>Blendrite (Pty) Ltd and Another v Moonisami and Another</w:t>
      </w:r>
      <w:r w:rsidRPr="000802C1">
        <w:t xml:space="preserve"> 2021 (5) SA 61 (SCA) </w:t>
      </w:r>
      <w:r>
        <w:t>para 6: “</w:t>
      </w:r>
      <w:r w:rsidRPr="00171164">
        <w:rPr>
          <w:i/>
          <w:iCs/>
        </w:rPr>
        <w:t xml:space="preserve">[t]he mandament van spolie is </w:t>
      </w:r>
      <w:r w:rsidRPr="00171164">
        <w:rPr>
          <w:i/>
          <w:iCs/>
          <w:u w:val="single"/>
        </w:rPr>
        <w:t>designed</w:t>
      </w:r>
      <w:r w:rsidRPr="00171164">
        <w:rPr>
          <w:i/>
          <w:iCs/>
        </w:rPr>
        <w:t xml:space="preserve"> to be a robust, speedy remedy which serves to prevent recourse to self-help</w:t>
      </w:r>
      <w:r>
        <w:t xml:space="preserve">”.  </w:t>
      </w:r>
      <w:r>
        <w:rPr>
          <w:lang w:eastAsia="en-ZA"/>
        </w:rPr>
        <w:t xml:space="preserve"> </w:t>
      </w:r>
    </w:p>
  </w:footnote>
  <w:footnote w:id="46">
    <w:p w14:paraId="2FA3ED04" w14:textId="28CE22C7" w:rsidR="005279FF" w:rsidRDefault="005279FF" w:rsidP="005279FF">
      <w:pPr>
        <w:pStyle w:val="FootnoteText"/>
      </w:pPr>
      <w:r>
        <w:rPr>
          <w:rStyle w:val="FootnoteReference"/>
        </w:rPr>
        <w:footnoteRef/>
      </w:r>
      <w:r>
        <w:t xml:space="preserve"> </w:t>
      </w:r>
      <w:r w:rsidRPr="00516A31">
        <w:rPr>
          <w:i/>
          <w:iCs/>
        </w:rPr>
        <w:t xml:space="preserve">Greyling v </w:t>
      </w:r>
      <w:r>
        <w:rPr>
          <w:i/>
          <w:iCs/>
        </w:rPr>
        <w:t xml:space="preserve">Estate </w:t>
      </w:r>
      <w:r w:rsidRPr="00516A31">
        <w:rPr>
          <w:i/>
          <w:iCs/>
        </w:rPr>
        <w:t>Pretorius</w:t>
      </w:r>
      <w:r>
        <w:rPr>
          <w:i/>
          <w:iCs/>
        </w:rPr>
        <w:t xml:space="preserve"> </w:t>
      </w:r>
      <w:r w:rsidRPr="00516A31">
        <w:t>1947 (3) SA 514 (W)</w:t>
      </w:r>
      <w:r>
        <w:t xml:space="preserve"> at 516 – 517</w:t>
      </w:r>
      <w:r w:rsidR="00611061">
        <w:t xml:space="preserve"> [emphasis supplied]</w:t>
      </w:r>
      <w:r>
        <w:t xml:space="preserve">. This passage was subsequently approved by the Appellate Division in </w:t>
      </w:r>
      <w:r w:rsidRPr="00802F08">
        <w:rPr>
          <w:i/>
          <w:iCs/>
        </w:rPr>
        <w:t xml:space="preserve">Bon Quelle </w:t>
      </w:r>
      <w:r w:rsidRPr="00802F08">
        <w:t>(</w:t>
      </w:r>
      <w:r w:rsidR="001212CC">
        <w:t>above</w:t>
      </w:r>
      <w:r w:rsidRPr="00802F08">
        <w:t xml:space="preserve">) </w:t>
      </w:r>
      <w:r>
        <w:t>at 511J.</w:t>
      </w:r>
    </w:p>
  </w:footnote>
  <w:footnote w:id="47">
    <w:p w14:paraId="4EF9954D" w14:textId="172F87CB" w:rsidR="00C74B4C" w:rsidRDefault="00C74B4C" w:rsidP="00C74B4C">
      <w:pPr>
        <w:pStyle w:val="FootnoteText"/>
      </w:pPr>
      <w:r>
        <w:rPr>
          <w:rStyle w:val="FootnoteReference"/>
        </w:rPr>
        <w:footnoteRef/>
      </w:r>
      <w:r>
        <w:t xml:space="preserve"> Mostert &amp; Pope (above) at 75</w:t>
      </w:r>
      <w:r w:rsidR="0077222B">
        <w:t xml:space="preserve"> [emphasis supplied]</w:t>
      </w:r>
      <w:r>
        <w:t>.</w:t>
      </w:r>
    </w:p>
  </w:footnote>
  <w:footnote w:id="48">
    <w:p w14:paraId="74805E84" w14:textId="3AA5F4BD" w:rsidR="00AD1047" w:rsidRDefault="00AD1047">
      <w:pPr>
        <w:pStyle w:val="FootnoteText"/>
      </w:pPr>
      <w:r>
        <w:rPr>
          <w:rStyle w:val="FootnoteReference"/>
        </w:rPr>
        <w:footnoteRef/>
      </w:r>
      <w:r>
        <w:t xml:space="preserve"> </w:t>
      </w:r>
      <w:r w:rsidRPr="00AD1047">
        <w:rPr>
          <w:i/>
          <w:iCs/>
        </w:rPr>
        <w:t>Blendrite</w:t>
      </w:r>
      <w:r>
        <w:t xml:space="preserve"> (above) para 6.</w:t>
      </w:r>
    </w:p>
  </w:footnote>
  <w:footnote w:id="49">
    <w:p w14:paraId="55AE92F3" w14:textId="775F5518" w:rsidR="0081021E" w:rsidRDefault="0081021E">
      <w:pPr>
        <w:pStyle w:val="FootnoteText"/>
      </w:pPr>
      <w:r>
        <w:rPr>
          <w:rStyle w:val="FootnoteReference"/>
        </w:rPr>
        <w:footnoteRef/>
      </w:r>
      <w:r>
        <w:t xml:space="preserve"> ZT Boggenpoel </w:t>
      </w:r>
      <w:r w:rsidRPr="0081021E">
        <w:rPr>
          <w:u w:val="single"/>
        </w:rPr>
        <w:t>Property Remedies.</w:t>
      </w:r>
      <w:r>
        <w:t xml:space="preserve"> (Juta, 2017) at 100.</w:t>
      </w:r>
    </w:p>
  </w:footnote>
  <w:footnote w:id="50">
    <w:p w14:paraId="3B541EF6" w14:textId="699E206A" w:rsidR="002D432A" w:rsidRDefault="002D432A">
      <w:pPr>
        <w:pStyle w:val="FootnoteText"/>
      </w:pPr>
      <w:r>
        <w:rPr>
          <w:rStyle w:val="FootnoteReference"/>
        </w:rPr>
        <w:footnoteRef/>
      </w:r>
      <w:r>
        <w:t xml:space="preserve"> Constitution, section 173.</w:t>
      </w:r>
    </w:p>
  </w:footnote>
  <w:footnote w:id="51">
    <w:p w14:paraId="5E49B6CB" w14:textId="3CD01DDC" w:rsidR="006C7822" w:rsidRDefault="006C7822" w:rsidP="006C7822">
      <w:pPr>
        <w:pStyle w:val="FootnoteText"/>
      </w:pPr>
      <w:r>
        <w:rPr>
          <w:rStyle w:val="FootnoteReference"/>
        </w:rPr>
        <w:footnoteRef/>
      </w:r>
      <w:r>
        <w:t xml:space="preserve"> </w:t>
      </w:r>
      <w:r w:rsidRPr="00D40E19">
        <w:rPr>
          <w:i/>
          <w:iCs/>
        </w:rPr>
        <w:t>Barnard v Carl Greaves Brokers (Pty) Ltd</w:t>
      </w:r>
      <w:r>
        <w:t xml:space="preserve"> 2008 (3) SA 663 (C) paras 59 to 6</w:t>
      </w:r>
      <w:r w:rsidR="00B77812">
        <w:t xml:space="preserve">2. See also </w:t>
      </w:r>
      <w:r w:rsidR="00B77812" w:rsidRPr="00330C9E">
        <w:rPr>
          <w:i/>
          <w:iCs/>
        </w:rPr>
        <w:t>Beetge v Drenka Inv</w:t>
      </w:r>
      <w:r w:rsidR="00B77812">
        <w:rPr>
          <w:i/>
          <w:iCs/>
        </w:rPr>
        <w:t>estments</w:t>
      </w:r>
      <w:r w:rsidR="00B77812" w:rsidRPr="00330C9E">
        <w:rPr>
          <w:i/>
          <w:iCs/>
        </w:rPr>
        <w:t xml:space="preserve"> (Isando) (Pty) Ltd </w:t>
      </w:r>
      <w:r w:rsidR="00B77812" w:rsidRPr="00803B28">
        <w:t>1964 (4) SA 62 (W)</w:t>
      </w:r>
      <w:r w:rsidR="00B77812">
        <w:t xml:space="preserve"> at 66G – 67A</w:t>
      </w:r>
      <w:r w:rsidRPr="00D40E19">
        <w:t>.</w:t>
      </w:r>
    </w:p>
  </w:footnote>
  <w:footnote w:id="52">
    <w:p w14:paraId="2311A8E5" w14:textId="19A247AE" w:rsidR="00E23DEC" w:rsidRDefault="00E23DEC" w:rsidP="00E23DEC">
      <w:pPr>
        <w:pStyle w:val="FootnoteText"/>
      </w:pPr>
      <w:r>
        <w:rPr>
          <w:rStyle w:val="FootnoteReference"/>
        </w:rPr>
        <w:footnoteRef/>
      </w:r>
      <w:r>
        <w:t xml:space="preserve"> Muller </w:t>
      </w:r>
      <w:r w:rsidRPr="00E23DEC">
        <w:rPr>
          <w:i/>
          <w:iCs/>
        </w:rPr>
        <w:t>et al.</w:t>
      </w:r>
      <w:r>
        <w:t xml:space="preserve"> (above) at 331.</w:t>
      </w:r>
    </w:p>
  </w:footnote>
  <w:footnote w:id="53">
    <w:p w14:paraId="0850DAA1" w14:textId="669C15CB" w:rsidR="00B77812" w:rsidRDefault="00B77812">
      <w:pPr>
        <w:pStyle w:val="FootnoteText"/>
      </w:pPr>
      <w:r>
        <w:rPr>
          <w:rStyle w:val="FootnoteReference"/>
        </w:rPr>
        <w:footnoteRef/>
      </w:r>
      <w:r>
        <w:t xml:space="preserve"> </w:t>
      </w:r>
      <w:r w:rsidR="008B4513" w:rsidRPr="00416804">
        <w:rPr>
          <w:i/>
          <w:iCs/>
        </w:rPr>
        <w:t>Runsin Properties (Pty) Ltd v Ferreira</w:t>
      </w:r>
      <w:r w:rsidR="008B4513">
        <w:t xml:space="preserve"> 1982 (1) SA 658 (E) at 670</w:t>
      </w:r>
      <w:r>
        <w:t>G.</w:t>
      </w:r>
    </w:p>
  </w:footnote>
  <w:footnote w:id="54">
    <w:p w14:paraId="6D08A6A6" w14:textId="4FA2D3B0" w:rsidR="00B77812" w:rsidRDefault="00B77812">
      <w:pPr>
        <w:pStyle w:val="FootnoteText"/>
      </w:pPr>
      <w:r>
        <w:rPr>
          <w:rStyle w:val="FootnoteReference"/>
        </w:rPr>
        <w:footnoteRef/>
      </w:r>
      <w:r>
        <w:t xml:space="preserve"> </w:t>
      </w:r>
      <w:r w:rsidRPr="00330C9E">
        <w:rPr>
          <w:i/>
          <w:iCs/>
        </w:rPr>
        <w:t>Malan v Green Valley Farm Portion 7 Holt Hill 434 CC</w:t>
      </w:r>
      <w:r w:rsidRPr="00803B28">
        <w:t xml:space="preserve"> 2007 (5) SA 114 (E)</w:t>
      </w:r>
      <w:r w:rsidR="005C495F">
        <w:t xml:space="preserve"> para 25</w:t>
      </w:r>
      <w:r w:rsidR="00527D30">
        <w:t>.</w:t>
      </w:r>
      <w:r>
        <w:t xml:space="preserve"> </w:t>
      </w:r>
    </w:p>
  </w:footnote>
  <w:footnote w:id="55">
    <w:p w14:paraId="05D1A444" w14:textId="1153BC67" w:rsidR="00B77812" w:rsidRDefault="00B77812">
      <w:pPr>
        <w:pStyle w:val="FootnoteText"/>
      </w:pPr>
      <w:r>
        <w:rPr>
          <w:rStyle w:val="FootnoteReference"/>
        </w:rPr>
        <w:footnoteRef/>
      </w:r>
      <w:r>
        <w:t xml:space="preserve"> </w:t>
      </w:r>
      <w:r w:rsidRPr="00B77812">
        <w:rPr>
          <w:i/>
          <w:iCs/>
        </w:rPr>
        <w:t>Yeko v Qana</w:t>
      </w:r>
      <w:r>
        <w:t xml:space="preserve"> (above) </w:t>
      </w:r>
      <w:r w:rsidRPr="00B77812">
        <w:rPr>
          <w:lang w:eastAsia="en-ZA"/>
        </w:rPr>
        <w:t>at 740</w:t>
      </w:r>
      <w:r w:rsidR="002D432A">
        <w:rPr>
          <w:lang w:eastAsia="en-ZA"/>
        </w:rPr>
        <w:t>.</w:t>
      </w:r>
    </w:p>
  </w:footnote>
  <w:footnote w:id="56">
    <w:p w14:paraId="7300D19B" w14:textId="496B0D1A" w:rsidR="00527D30" w:rsidRDefault="00527D30">
      <w:pPr>
        <w:pStyle w:val="FootnoteText"/>
      </w:pPr>
      <w:r>
        <w:rPr>
          <w:rStyle w:val="FootnoteReference"/>
        </w:rPr>
        <w:footnoteRef/>
      </w:r>
      <w:r>
        <w:t xml:space="preserve"> </w:t>
      </w:r>
      <w:r w:rsidRPr="00527D30">
        <w:rPr>
          <w:i/>
          <w:iCs/>
        </w:rPr>
        <w:t>Tswelopele</w:t>
      </w:r>
      <w:r>
        <w:t xml:space="preserve"> (above) paras 20 – 26.</w:t>
      </w:r>
    </w:p>
  </w:footnote>
  <w:footnote w:id="57">
    <w:p w14:paraId="29694498" w14:textId="0EA7CD17" w:rsidR="00527D30" w:rsidRDefault="00527D30" w:rsidP="00527D30">
      <w:pPr>
        <w:pStyle w:val="FootnoteText"/>
      </w:pPr>
      <w:r>
        <w:rPr>
          <w:rStyle w:val="FootnoteReference"/>
        </w:rPr>
        <w:footnoteRef/>
      </w:r>
      <w:r>
        <w:t xml:space="preserve"> </w:t>
      </w:r>
      <w:r w:rsidRPr="00BF60E2">
        <w:rPr>
          <w:i/>
          <w:iCs/>
        </w:rPr>
        <w:t>Le Riche</w:t>
      </w:r>
      <w:r>
        <w:rPr>
          <w:i/>
          <w:iCs/>
        </w:rPr>
        <w:t xml:space="preserve"> </w:t>
      </w:r>
      <w:r w:rsidRPr="00BF60E2">
        <w:t>(</w:t>
      </w:r>
      <w:r>
        <w:t>above</w:t>
      </w:r>
      <w:r w:rsidRPr="00BF60E2">
        <w:t>)</w:t>
      </w:r>
      <w:r>
        <w:t xml:space="preserve"> paras 40 to 49. </w:t>
      </w:r>
    </w:p>
  </w:footnote>
  <w:footnote w:id="58">
    <w:p w14:paraId="0F4D9B84" w14:textId="66B5FF5D" w:rsidR="006C7822" w:rsidRDefault="006C7822">
      <w:pPr>
        <w:pStyle w:val="FootnoteText"/>
      </w:pPr>
      <w:r>
        <w:rPr>
          <w:rStyle w:val="FootnoteReference"/>
        </w:rPr>
        <w:footnoteRef/>
      </w:r>
      <w:r>
        <w:t xml:space="preserve"> </w:t>
      </w:r>
      <w:r w:rsidR="005C495F">
        <w:t xml:space="preserve">As expressly left open by Greenberg JA in </w:t>
      </w:r>
      <w:r w:rsidR="005C495F" w:rsidRPr="005C495F">
        <w:rPr>
          <w:i/>
          <w:iCs/>
        </w:rPr>
        <w:t>Nienaber v Stuckey</w:t>
      </w:r>
      <w:r w:rsidR="005C495F">
        <w:t xml:space="preserve"> (above) at 1060 and as found by Steyn J in </w:t>
      </w:r>
      <w:r w:rsidRPr="00B77812">
        <w:rPr>
          <w:i/>
          <w:iCs/>
        </w:rPr>
        <w:t>Jivan</w:t>
      </w:r>
      <w:r>
        <w:t xml:space="preserve"> (above) </w:t>
      </w:r>
      <w:r w:rsidR="00B77812">
        <w:t xml:space="preserve">at </w:t>
      </w:r>
      <w:r w:rsidR="005C495F">
        <w:t>893B.</w:t>
      </w:r>
    </w:p>
  </w:footnote>
  <w:footnote w:id="59">
    <w:p w14:paraId="53CDD2A0" w14:textId="289267F9" w:rsidR="0011723F" w:rsidRDefault="0011723F" w:rsidP="0011723F">
      <w:pPr>
        <w:pStyle w:val="FootnoteText"/>
      </w:pPr>
      <w:r>
        <w:rPr>
          <w:rStyle w:val="FootnoteReference"/>
        </w:rPr>
        <w:footnoteRef/>
      </w:r>
      <w:r>
        <w:t xml:space="preserve"> The applicant’s suggestion that “</w:t>
      </w:r>
      <w:r w:rsidRPr="00487896">
        <w:rPr>
          <w:i/>
          <w:iCs/>
        </w:rPr>
        <w:t>[i]f necessary, the First Respondent and her immediate family can occupy the large granny flat on the Property</w:t>
      </w:r>
      <w:r>
        <w:t>” is unhelpful. There is no suggestion that her rights of occupation were limited to the granny flat and</w:t>
      </w:r>
      <w:r w:rsidR="00487896">
        <w:t xml:space="preserve"> there is no reason why they should be limited in that way pursuant to a mandament van spolie brought by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AC33" w14:textId="408565B9" w:rsidR="00FC0780" w:rsidRDefault="00FC0780">
    <w:pPr>
      <w:pStyle w:val="Header"/>
    </w:pPr>
  </w:p>
  <w:p w14:paraId="6200E720" w14:textId="77777777" w:rsidR="000400F0" w:rsidRDefault="000400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6B26" w14:textId="223106A4" w:rsidR="00FC0780" w:rsidRPr="007405CA" w:rsidRDefault="00FC0780">
    <w:pPr>
      <w:pStyle w:val="Header"/>
      <w:jc w:val="right"/>
      <w:rPr>
        <w:rFonts w:ascii="Arial" w:hAnsi="Arial" w:cs="Arial"/>
        <w:sz w:val="24"/>
        <w:szCs w:val="24"/>
      </w:rPr>
    </w:pPr>
    <w:r w:rsidRPr="007405CA">
      <w:rPr>
        <w:rFonts w:ascii="Arial" w:hAnsi="Arial" w:cs="Arial"/>
        <w:sz w:val="24"/>
        <w:szCs w:val="24"/>
      </w:rPr>
      <w:fldChar w:fldCharType="begin"/>
    </w:r>
    <w:r w:rsidRPr="007405CA">
      <w:rPr>
        <w:rFonts w:ascii="Arial" w:hAnsi="Arial" w:cs="Arial"/>
        <w:sz w:val="24"/>
        <w:szCs w:val="24"/>
      </w:rPr>
      <w:instrText xml:space="preserve"> PAGE   \* MERGEFORMAT </w:instrText>
    </w:r>
    <w:r w:rsidRPr="007405CA">
      <w:rPr>
        <w:rFonts w:ascii="Arial" w:hAnsi="Arial" w:cs="Arial"/>
        <w:sz w:val="24"/>
        <w:szCs w:val="24"/>
      </w:rPr>
      <w:fldChar w:fldCharType="separate"/>
    </w:r>
    <w:r w:rsidR="00F66824">
      <w:rPr>
        <w:rFonts w:ascii="Arial" w:hAnsi="Arial" w:cs="Arial"/>
        <w:noProof/>
        <w:sz w:val="24"/>
        <w:szCs w:val="24"/>
      </w:rPr>
      <w:t>21</w:t>
    </w:r>
    <w:r w:rsidRPr="007405CA">
      <w:rPr>
        <w:rFonts w:ascii="Arial" w:hAnsi="Arial" w:cs="Arial"/>
        <w:sz w:val="24"/>
        <w:szCs w:val="24"/>
      </w:rPr>
      <w:fldChar w:fldCharType="end"/>
    </w:r>
  </w:p>
  <w:p w14:paraId="07BA724A" w14:textId="77777777" w:rsidR="00FC0780" w:rsidRDefault="00FC0780">
    <w:pPr>
      <w:pStyle w:val="Header"/>
    </w:pPr>
  </w:p>
  <w:p w14:paraId="0D6D65E0" w14:textId="77777777" w:rsidR="000400F0" w:rsidRDefault="000400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C73"/>
    <w:multiLevelType w:val="multilevel"/>
    <w:tmpl w:val="1504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C4B15"/>
    <w:multiLevelType w:val="hybridMultilevel"/>
    <w:tmpl w:val="963CFEB2"/>
    <w:lvl w:ilvl="0" w:tplc="0A30226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5D158FE"/>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19B09B3"/>
    <w:multiLevelType w:val="hybridMultilevel"/>
    <w:tmpl w:val="C774250A"/>
    <w:lvl w:ilvl="0" w:tplc="7C58C6CA">
      <w:start w:val="1"/>
      <w:numFmt w:val="decimal"/>
      <w:pStyle w:val="LC1"/>
      <w:lvlText w:val="[%1]"/>
      <w:lvlJc w:val="left"/>
      <w:pPr>
        <w:ind w:left="720" w:hanging="360"/>
      </w:pPr>
      <w:rPr>
        <w:rFonts w:ascii="Arial" w:hAnsi="Arial" w:cs="Arial" w:hint="default"/>
        <w:b w:val="0"/>
        <w:sz w:val="24"/>
        <w:szCs w:val="24"/>
      </w:rPr>
    </w:lvl>
    <w:lvl w:ilvl="1" w:tplc="5AB2BF2E">
      <w:start w:val="1"/>
      <w:numFmt w:val="lowerLetter"/>
      <w:pStyle w:val="LC2"/>
      <w:lvlText w:val="(%2)"/>
      <w:lvlJc w:val="lef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143C46"/>
    <w:multiLevelType w:val="multilevel"/>
    <w:tmpl w:val="9E68A160"/>
    <w:lvl w:ilvl="0">
      <w:start w:val="1"/>
      <w:numFmt w:val="decimal"/>
      <w:lvlText w:val="[%1]"/>
      <w:lvlJc w:val="left"/>
      <w:pPr>
        <w:tabs>
          <w:tab w:val="num" w:pos="720"/>
        </w:tabs>
        <w:ind w:left="720" w:hanging="720"/>
      </w:pPr>
      <w:rPr>
        <w:rFonts w:hint="default"/>
        <w:b w:val="0"/>
        <w:sz w:val="24"/>
        <w:szCs w:val="24"/>
      </w:rPr>
    </w:lvl>
    <w:lvl w:ilvl="1">
      <w:start w:val="1"/>
      <w:numFmt w:val="decimal"/>
      <w:pStyle w:val="Style2"/>
      <w:lvlText w:val="%1.%2"/>
      <w:lvlJc w:val="left"/>
      <w:pPr>
        <w:tabs>
          <w:tab w:val="num" w:pos="1440"/>
        </w:tabs>
        <w:ind w:left="1440" w:hanging="1440"/>
      </w:pPr>
      <w:rPr>
        <w:rFonts w:ascii="Arial" w:hAnsi="Arial" w:hint="default"/>
        <w:b w:val="0"/>
        <w:sz w:val="24"/>
        <w:szCs w:val="24"/>
      </w:rPr>
    </w:lvl>
    <w:lvl w:ilvl="2">
      <w:start w:val="1"/>
      <w:numFmt w:val="decimal"/>
      <w:pStyle w:val="Style3"/>
      <w:lvlText w:val="%1.%2.%3"/>
      <w:lvlJc w:val="left"/>
      <w:pPr>
        <w:tabs>
          <w:tab w:val="num" w:pos="2160"/>
        </w:tabs>
        <w:ind w:left="2160" w:hanging="2160"/>
      </w:pPr>
      <w:rPr>
        <w:rFonts w:ascii="Arial" w:hAnsi="Arial" w:hint="default"/>
        <w:b w:val="0"/>
        <w:sz w:val="24"/>
        <w:szCs w:val="24"/>
      </w:rPr>
    </w:lvl>
    <w:lvl w:ilvl="3">
      <w:start w:val="1"/>
      <w:numFmt w:val="decimal"/>
      <w:pStyle w:val="Style4"/>
      <w:lvlText w:val="%1.%2.%3.%4"/>
      <w:lvlJc w:val="left"/>
      <w:pPr>
        <w:tabs>
          <w:tab w:val="num" w:pos="2880"/>
        </w:tabs>
        <w:ind w:left="2880" w:hanging="2880"/>
      </w:pPr>
      <w:rPr>
        <w:rFonts w:ascii="Arial" w:hAnsi="Arial" w:hint="default"/>
        <w:b w:val="0"/>
        <w:sz w:val="24"/>
        <w:szCs w:val="24"/>
      </w:rPr>
    </w:lvl>
    <w:lvl w:ilvl="4">
      <w:start w:val="1"/>
      <w:numFmt w:val="decimal"/>
      <w:lvlText w:val="%1.%2.%3.%4.%5"/>
      <w:lvlJc w:val="left"/>
      <w:pPr>
        <w:tabs>
          <w:tab w:val="num" w:pos="3600"/>
        </w:tabs>
        <w:ind w:left="3600" w:hanging="3600"/>
      </w:pPr>
      <w:rPr>
        <w:rFonts w:ascii="Arial" w:hAnsi="Arial" w:hint="default"/>
        <w:b w:val="0"/>
        <w:sz w:val="24"/>
        <w:szCs w:val="24"/>
      </w:rPr>
    </w:lvl>
    <w:lvl w:ilvl="5">
      <w:start w:val="1"/>
      <w:numFmt w:val="decimal"/>
      <w:lvlText w:val="%1.%2.%3.%4.%5.%6"/>
      <w:lvlJc w:val="left"/>
      <w:pPr>
        <w:tabs>
          <w:tab w:val="num" w:pos="4321"/>
        </w:tabs>
        <w:ind w:left="4321" w:hanging="4321"/>
      </w:pPr>
      <w:rPr>
        <w:rFonts w:ascii="Arial" w:hAnsi="Arial" w:hint="default"/>
        <w:b w:val="0"/>
        <w:sz w:val="24"/>
        <w:szCs w:val="24"/>
      </w:rPr>
    </w:lvl>
    <w:lvl w:ilvl="6">
      <w:start w:val="1"/>
      <w:numFmt w:val="decimal"/>
      <w:lvlText w:val="%1.%2.%3.%4.%5.%6.%7"/>
      <w:lvlJc w:val="left"/>
      <w:pPr>
        <w:tabs>
          <w:tab w:val="num" w:pos="5041"/>
        </w:tabs>
        <w:ind w:left="5041" w:hanging="5041"/>
      </w:pPr>
      <w:rPr>
        <w:rFonts w:ascii="Arial" w:hAnsi="Arial" w:hint="default"/>
        <w:b w:val="0"/>
        <w:sz w:val="24"/>
        <w:szCs w:val="24"/>
      </w:rPr>
    </w:lvl>
    <w:lvl w:ilvl="7">
      <w:start w:val="1"/>
      <w:numFmt w:val="decimal"/>
      <w:lvlText w:val="%1.%2.%3.%4.%5.%6.%7.%8"/>
      <w:lvlJc w:val="left"/>
      <w:pPr>
        <w:tabs>
          <w:tab w:val="num" w:pos="5761"/>
        </w:tabs>
        <w:ind w:left="5761" w:hanging="5761"/>
      </w:pPr>
      <w:rPr>
        <w:rFonts w:ascii="Arial" w:hAnsi="Arial" w:hint="default"/>
        <w:b w:val="0"/>
        <w:sz w:val="24"/>
        <w:szCs w:val="24"/>
      </w:rPr>
    </w:lvl>
    <w:lvl w:ilvl="8">
      <w:start w:val="1"/>
      <w:numFmt w:val="decimal"/>
      <w:lvlText w:val="%1.%2.%3.%4.%5.%6.%7.%8.%9"/>
      <w:lvlJc w:val="left"/>
      <w:pPr>
        <w:tabs>
          <w:tab w:val="num" w:pos="6481"/>
        </w:tabs>
        <w:ind w:left="6481" w:hanging="6481"/>
      </w:pPr>
      <w:rPr>
        <w:rFonts w:ascii="Arial" w:hAnsi="Arial" w:hint="default"/>
        <w:b w:val="0"/>
        <w:sz w:val="24"/>
        <w:szCs w:val="24"/>
      </w:rPr>
    </w:lvl>
  </w:abstractNum>
  <w:abstractNum w:abstractNumId="6" w15:restartNumberingAfterBreak="0">
    <w:nsid w:val="2CF15D73"/>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60A44CF3"/>
    <w:multiLevelType w:val="multilevel"/>
    <w:tmpl w:val="34109A2E"/>
    <w:lvl w:ilvl="0">
      <w:start w:val="1"/>
      <w:numFmt w:val="decimal"/>
      <w:lvlText w:val="%1."/>
      <w:lvlJc w:val="left"/>
      <w:pPr>
        <w:ind w:left="720" w:hanging="72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880" w:hanging="2880"/>
      </w:pPr>
      <w:rPr>
        <w:rFonts w:hint="default"/>
      </w:rPr>
    </w:lvl>
    <w:lvl w:ilvl="4">
      <w:start w:val="1"/>
      <w:numFmt w:val="decimal"/>
      <w:lvlText w:val="%1.%2.%3.%4.%5"/>
      <w:lvlJc w:val="left"/>
      <w:pPr>
        <w:ind w:left="3600" w:hanging="3600"/>
      </w:pPr>
      <w:rPr>
        <w:rFonts w:hint="default"/>
      </w:rPr>
    </w:lvl>
    <w:lvl w:ilvl="5">
      <w:start w:val="1"/>
      <w:numFmt w:val="decimal"/>
      <w:lvlText w:val="%1.%2.%3.%4.%5.%6"/>
      <w:lvlJc w:val="left"/>
      <w:pPr>
        <w:ind w:left="4320" w:hanging="4320"/>
      </w:pPr>
      <w:rPr>
        <w:rFonts w:hint="default"/>
      </w:rPr>
    </w:lvl>
    <w:lvl w:ilvl="6">
      <w:start w:val="1"/>
      <w:numFmt w:val="decimal"/>
      <w:lvlText w:val="%1.%2.%3.%4.%5.%6.%7"/>
      <w:lvlJc w:val="left"/>
      <w:pPr>
        <w:ind w:left="5040" w:hanging="5040"/>
      </w:pPr>
      <w:rPr>
        <w:rFonts w:hint="default"/>
      </w:rPr>
    </w:lvl>
    <w:lvl w:ilvl="7">
      <w:start w:val="1"/>
      <w:numFmt w:val="decimal"/>
      <w:lvlText w:val="%1.%2.%3.%4.%5.%6.%7.%8"/>
      <w:lvlJc w:val="left"/>
      <w:pPr>
        <w:ind w:left="5760" w:hanging="5760"/>
      </w:pPr>
      <w:rPr>
        <w:rFonts w:hint="default"/>
      </w:rPr>
    </w:lvl>
    <w:lvl w:ilvl="8">
      <w:start w:val="1"/>
      <w:numFmt w:val="decimal"/>
      <w:lvlText w:val="%1.%2.%3.%4.%5.%6.%7.%8.%9"/>
      <w:lvlJc w:val="left"/>
      <w:pPr>
        <w:ind w:left="6480" w:hanging="6480"/>
      </w:pPr>
      <w:rPr>
        <w:rFonts w:hint="default"/>
      </w:rPr>
    </w:lvl>
  </w:abstractNum>
  <w:abstractNum w:abstractNumId="8" w15:restartNumberingAfterBreak="0">
    <w:nsid w:val="621B7EE1"/>
    <w:multiLevelType w:val="multilevel"/>
    <w:tmpl w:val="802C7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B1021B"/>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F7704B2"/>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551356646">
    <w:abstractNumId w:val="5"/>
  </w:num>
  <w:num w:numId="2" w16cid:durableId="697197250">
    <w:abstractNumId w:val="0"/>
  </w:num>
  <w:num w:numId="3" w16cid:durableId="1843349943">
    <w:abstractNumId w:val="5"/>
  </w:num>
  <w:num w:numId="4" w16cid:durableId="386689642">
    <w:abstractNumId w:val="5"/>
  </w:num>
  <w:num w:numId="5" w16cid:durableId="1619943830">
    <w:abstractNumId w:val="5"/>
  </w:num>
  <w:num w:numId="6" w16cid:durableId="1258172345">
    <w:abstractNumId w:val="5"/>
  </w:num>
  <w:num w:numId="7" w16cid:durableId="1049039656">
    <w:abstractNumId w:val="5"/>
  </w:num>
  <w:num w:numId="8" w16cid:durableId="843279083">
    <w:abstractNumId w:val="5"/>
  </w:num>
  <w:num w:numId="9" w16cid:durableId="1358697718">
    <w:abstractNumId w:val="5"/>
  </w:num>
  <w:num w:numId="10" w16cid:durableId="1268197993">
    <w:abstractNumId w:val="7"/>
  </w:num>
  <w:num w:numId="11" w16cid:durableId="82192294">
    <w:abstractNumId w:val="8"/>
  </w:num>
  <w:num w:numId="12" w16cid:durableId="2079206582">
    <w:abstractNumId w:val="5"/>
  </w:num>
  <w:num w:numId="13" w16cid:durableId="2079742044">
    <w:abstractNumId w:val="5"/>
  </w:num>
  <w:num w:numId="14" w16cid:durableId="1574389643">
    <w:abstractNumId w:val="5"/>
  </w:num>
  <w:num w:numId="15" w16cid:durableId="214048023">
    <w:abstractNumId w:val="5"/>
  </w:num>
  <w:num w:numId="16" w16cid:durableId="1458375095">
    <w:abstractNumId w:val="5"/>
  </w:num>
  <w:num w:numId="17" w16cid:durableId="1161581129">
    <w:abstractNumId w:val="5"/>
  </w:num>
  <w:num w:numId="18" w16cid:durableId="173962273">
    <w:abstractNumId w:val="5"/>
  </w:num>
  <w:num w:numId="19" w16cid:durableId="1227183447">
    <w:abstractNumId w:val="5"/>
  </w:num>
  <w:num w:numId="20" w16cid:durableId="1438868927">
    <w:abstractNumId w:val="5"/>
  </w:num>
  <w:num w:numId="21" w16cid:durableId="241069875">
    <w:abstractNumId w:val="5"/>
  </w:num>
  <w:num w:numId="22" w16cid:durableId="508063434">
    <w:abstractNumId w:val="5"/>
  </w:num>
  <w:num w:numId="23" w16cid:durableId="962728175">
    <w:abstractNumId w:val="5"/>
  </w:num>
  <w:num w:numId="24" w16cid:durableId="1152873367">
    <w:abstractNumId w:val="5"/>
  </w:num>
  <w:num w:numId="25" w16cid:durableId="1120733127">
    <w:abstractNumId w:val="5"/>
  </w:num>
  <w:num w:numId="26" w16cid:durableId="2031756385">
    <w:abstractNumId w:val="5"/>
  </w:num>
  <w:num w:numId="27" w16cid:durableId="893153727">
    <w:abstractNumId w:val="5"/>
  </w:num>
  <w:num w:numId="28" w16cid:durableId="753357486">
    <w:abstractNumId w:val="5"/>
  </w:num>
  <w:num w:numId="29" w16cid:durableId="591742132">
    <w:abstractNumId w:val="5"/>
  </w:num>
  <w:num w:numId="30" w16cid:durableId="1869905875">
    <w:abstractNumId w:val="5"/>
  </w:num>
  <w:num w:numId="31" w16cid:durableId="249511531">
    <w:abstractNumId w:val="5"/>
  </w:num>
  <w:num w:numId="32" w16cid:durableId="2128314058">
    <w:abstractNumId w:val="5"/>
  </w:num>
  <w:num w:numId="33" w16cid:durableId="1681396245">
    <w:abstractNumId w:val="5"/>
  </w:num>
  <w:num w:numId="34" w16cid:durableId="1780105214">
    <w:abstractNumId w:val="5"/>
  </w:num>
  <w:num w:numId="35" w16cid:durableId="1719746954">
    <w:abstractNumId w:val="4"/>
  </w:num>
  <w:num w:numId="36" w16cid:durableId="1490049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0813228">
    <w:abstractNumId w:val="3"/>
  </w:num>
  <w:num w:numId="38" w16cid:durableId="110520292">
    <w:abstractNumId w:val="2"/>
  </w:num>
  <w:num w:numId="39" w16cid:durableId="458885038">
    <w:abstractNumId w:val="6"/>
  </w:num>
  <w:num w:numId="40" w16cid:durableId="506020811">
    <w:abstractNumId w:val="10"/>
  </w:num>
  <w:num w:numId="41" w16cid:durableId="2118715611">
    <w:abstractNumId w:val="9"/>
  </w:num>
  <w:num w:numId="42" w16cid:durableId="1791776771">
    <w:abstractNumId w:val="4"/>
    <w:lvlOverride w:ilvl="0">
      <w:startOverride w:val="1"/>
    </w:lvlOverride>
  </w:num>
  <w:num w:numId="43" w16cid:durableId="348677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C"/>
    <w:rsid w:val="00000C9A"/>
    <w:rsid w:val="000012A6"/>
    <w:rsid w:val="00001F4A"/>
    <w:rsid w:val="00003193"/>
    <w:rsid w:val="00003782"/>
    <w:rsid w:val="00003803"/>
    <w:rsid w:val="00004549"/>
    <w:rsid w:val="00004D23"/>
    <w:rsid w:val="0000706E"/>
    <w:rsid w:val="000073C9"/>
    <w:rsid w:val="0001167B"/>
    <w:rsid w:val="0001502E"/>
    <w:rsid w:val="0002226B"/>
    <w:rsid w:val="00022F6D"/>
    <w:rsid w:val="00025497"/>
    <w:rsid w:val="0002662D"/>
    <w:rsid w:val="00031365"/>
    <w:rsid w:val="00031BDD"/>
    <w:rsid w:val="00034E66"/>
    <w:rsid w:val="000351B2"/>
    <w:rsid w:val="000400F0"/>
    <w:rsid w:val="00044A38"/>
    <w:rsid w:val="00045FEF"/>
    <w:rsid w:val="00046BE9"/>
    <w:rsid w:val="000510E6"/>
    <w:rsid w:val="000520DA"/>
    <w:rsid w:val="00052AFA"/>
    <w:rsid w:val="0006394C"/>
    <w:rsid w:val="00064401"/>
    <w:rsid w:val="00065E5C"/>
    <w:rsid w:val="00070100"/>
    <w:rsid w:val="00070375"/>
    <w:rsid w:val="000716A9"/>
    <w:rsid w:val="00072AB8"/>
    <w:rsid w:val="000763AB"/>
    <w:rsid w:val="000773EE"/>
    <w:rsid w:val="00077868"/>
    <w:rsid w:val="000802C1"/>
    <w:rsid w:val="000824F1"/>
    <w:rsid w:val="00082CB6"/>
    <w:rsid w:val="00082F4A"/>
    <w:rsid w:val="000831B3"/>
    <w:rsid w:val="000833AD"/>
    <w:rsid w:val="00085E78"/>
    <w:rsid w:val="0009078A"/>
    <w:rsid w:val="0009143B"/>
    <w:rsid w:val="000918DE"/>
    <w:rsid w:val="00094012"/>
    <w:rsid w:val="00094DFD"/>
    <w:rsid w:val="000A2519"/>
    <w:rsid w:val="000A6817"/>
    <w:rsid w:val="000B1421"/>
    <w:rsid w:val="000B1942"/>
    <w:rsid w:val="000B3409"/>
    <w:rsid w:val="000B3E04"/>
    <w:rsid w:val="000B670C"/>
    <w:rsid w:val="000C0393"/>
    <w:rsid w:val="000C32DD"/>
    <w:rsid w:val="000C6122"/>
    <w:rsid w:val="000C785F"/>
    <w:rsid w:val="000C7D79"/>
    <w:rsid w:val="000D0102"/>
    <w:rsid w:val="000D011D"/>
    <w:rsid w:val="000D27EB"/>
    <w:rsid w:val="000D3349"/>
    <w:rsid w:val="000D67C6"/>
    <w:rsid w:val="000D6B38"/>
    <w:rsid w:val="000E1A39"/>
    <w:rsid w:val="000E2737"/>
    <w:rsid w:val="000E3458"/>
    <w:rsid w:val="000E37F3"/>
    <w:rsid w:val="000E48CE"/>
    <w:rsid w:val="000E6595"/>
    <w:rsid w:val="000E6B70"/>
    <w:rsid w:val="000E6CBA"/>
    <w:rsid w:val="000E77CD"/>
    <w:rsid w:val="000F1FF8"/>
    <w:rsid w:val="000F20C7"/>
    <w:rsid w:val="000F2126"/>
    <w:rsid w:val="00100D7D"/>
    <w:rsid w:val="00102A2E"/>
    <w:rsid w:val="0010449C"/>
    <w:rsid w:val="001060FF"/>
    <w:rsid w:val="00110166"/>
    <w:rsid w:val="001129AE"/>
    <w:rsid w:val="00113157"/>
    <w:rsid w:val="001131A6"/>
    <w:rsid w:val="00117061"/>
    <w:rsid w:val="0011723F"/>
    <w:rsid w:val="001212CC"/>
    <w:rsid w:val="00122E7C"/>
    <w:rsid w:val="001317DB"/>
    <w:rsid w:val="00133185"/>
    <w:rsid w:val="0013376C"/>
    <w:rsid w:val="0013396B"/>
    <w:rsid w:val="00134416"/>
    <w:rsid w:val="0013446D"/>
    <w:rsid w:val="00134965"/>
    <w:rsid w:val="00144D8F"/>
    <w:rsid w:val="001454BD"/>
    <w:rsid w:val="0015093D"/>
    <w:rsid w:val="001525A0"/>
    <w:rsid w:val="00153263"/>
    <w:rsid w:val="00155545"/>
    <w:rsid w:val="00161742"/>
    <w:rsid w:val="00161768"/>
    <w:rsid w:val="00163DD5"/>
    <w:rsid w:val="0016736F"/>
    <w:rsid w:val="00171164"/>
    <w:rsid w:val="001772D1"/>
    <w:rsid w:val="00177A2D"/>
    <w:rsid w:val="00185305"/>
    <w:rsid w:val="00185D04"/>
    <w:rsid w:val="001869B1"/>
    <w:rsid w:val="0018761E"/>
    <w:rsid w:val="00190F5B"/>
    <w:rsid w:val="001913F8"/>
    <w:rsid w:val="001920ED"/>
    <w:rsid w:val="0019412F"/>
    <w:rsid w:val="001941AE"/>
    <w:rsid w:val="00194624"/>
    <w:rsid w:val="00195948"/>
    <w:rsid w:val="001A03F9"/>
    <w:rsid w:val="001A066C"/>
    <w:rsid w:val="001A2909"/>
    <w:rsid w:val="001A42D3"/>
    <w:rsid w:val="001A441D"/>
    <w:rsid w:val="001A55DB"/>
    <w:rsid w:val="001A5FA8"/>
    <w:rsid w:val="001A66FF"/>
    <w:rsid w:val="001B05F3"/>
    <w:rsid w:val="001B075A"/>
    <w:rsid w:val="001B099D"/>
    <w:rsid w:val="001B0DA3"/>
    <w:rsid w:val="001B34F7"/>
    <w:rsid w:val="001B5CB4"/>
    <w:rsid w:val="001B66D5"/>
    <w:rsid w:val="001B692A"/>
    <w:rsid w:val="001B6E99"/>
    <w:rsid w:val="001B7FDB"/>
    <w:rsid w:val="001C0EBD"/>
    <w:rsid w:val="001C338F"/>
    <w:rsid w:val="001D2FCD"/>
    <w:rsid w:val="001D392C"/>
    <w:rsid w:val="001D3CAA"/>
    <w:rsid w:val="001D3DE1"/>
    <w:rsid w:val="001D71E1"/>
    <w:rsid w:val="001D73D1"/>
    <w:rsid w:val="001E1934"/>
    <w:rsid w:val="001E2746"/>
    <w:rsid w:val="001E3C4A"/>
    <w:rsid w:val="001E6505"/>
    <w:rsid w:val="001F3346"/>
    <w:rsid w:val="001F3B39"/>
    <w:rsid w:val="001F40A2"/>
    <w:rsid w:val="001F41FC"/>
    <w:rsid w:val="0020038A"/>
    <w:rsid w:val="002011CA"/>
    <w:rsid w:val="00201D94"/>
    <w:rsid w:val="00201E35"/>
    <w:rsid w:val="0020470F"/>
    <w:rsid w:val="002079F3"/>
    <w:rsid w:val="00212E65"/>
    <w:rsid w:val="002131B0"/>
    <w:rsid w:val="00213236"/>
    <w:rsid w:val="00214702"/>
    <w:rsid w:val="002153EB"/>
    <w:rsid w:val="0021615D"/>
    <w:rsid w:val="00217820"/>
    <w:rsid w:val="002204D4"/>
    <w:rsid w:val="0022201A"/>
    <w:rsid w:val="00223659"/>
    <w:rsid w:val="00225C87"/>
    <w:rsid w:val="0022691E"/>
    <w:rsid w:val="00227787"/>
    <w:rsid w:val="002307DC"/>
    <w:rsid w:val="00231758"/>
    <w:rsid w:val="00232AAA"/>
    <w:rsid w:val="002354C7"/>
    <w:rsid w:val="0023710F"/>
    <w:rsid w:val="00243FFB"/>
    <w:rsid w:val="00244AF3"/>
    <w:rsid w:val="002458DA"/>
    <w:rsid w:val="00247065"/>
    <w:rsid w:val="002507E7"/>
    <w:rsid w:val="00250CA2"/>
    <w:rsid w:val="002526A8"/>
    <w:rsid w:val="00252EA0"/>
    <w:rsid w:val="00254A2A"/>
    <w:rsid w:val="002568A5"/>
    <w:rsid w:val="00261518"/>
    <w:rsid w:val="00262145"/>
    <w:rsid w:val="00264164"/>
    <w:rsid w:val="00264DBD"/>
    <w:rsid w:val="00265F02"/>
    <w:rsid w:val="00267E0D"/>
    <w:rsid w:val="00272CC9"/>
    <w:rsid w:val="002738F6"/>
    <w:rsid w:val="0027476A"/>
    <w:rsid w:val="00275348"/>
    <w:rsid w:val="002760A9"/>
    <w:rsid w:val="00280FCC"/>
    <w:rsid w:val="00281AA5"/>
    <w:rsid w:val="00282BDA"/>
    <w:rsid w:val="00283AE9"/>
    <w:rsid w:val="00284935"/>
    <w:rsid w:val="00284994"/>
    <w:rsid w:val="0028506A"/>
    <w:rsid w:val="00287983"/>
    <w:rsid w:val="002904E8"/>
    <w:rsid w:val="00292CE1"/>
    <w:rsid w:val="002943CC"/>
    <w:rsid w:val="00294703"/>
    <w:rsid w:val="002951E4"/>
    <w:rsid w:val="002A0AE9"/>
    <w:rsid w:val="002A263A"/>
    <w:rsid w:val="002A2834"/>
    <w:rsid w:val="002A5354"/>
    <w:rsid w:val="002A5C93"/>
    <w:rsid w:val="002A6A82"/>
    <w:rsid w:val="002B074C"/>
    <w:rsid w:val="002B0E41"/>
    <w:rsid w:val="002B29E2"/>
    <w:rsid w:val="002B3459"/>
    <w:rsid w:val="002B4682"/>
    <w:rsid w:val="002C4033"/>
    <w:rsid w:val="002C4D66"/>
    <w:rsid w:val="002D425A"/>
    <w:rsid w:val="002D432A"/>
    <w:rsid w:val="002D4C30"/>
    <w:rsid w:val="002E2BCF"/>
    <w:rsid w:val="002E3F6F"/>
    <w:rsid w:val="002F1953"/>
    <w:rsid w:val="002F70F7"/>
    <w:rsid w:val="002F7EA9"/>
    <w:rsid w:val="00300C56"/>
    <w:rsid w:val="00302B56"/>
    <w:rsid w:val="003031DE"/>
    <w:rsid w:val="00303C39"/>
    <w:rsid w:val="0030493F"/>
    <w:rsid w:val="003061DA"/>
    <w:rsid w:val="0030632A"/>
    <w:rsid w:val="00306A29"/>
    <w:rsid w:val="0030779C"/>
    <w:rsid w:val="00311B83"/>
    <w:rsid w:val="00316A03"/>
    <w:rsid w:val="00316BB4"/>
    <w:rsid w:val="00316EB2"/>
    <w:rsid w:val="00323262"/>
    <w:rsid w:val="00323CEC"/>
    <w:rsid w:val="003244AE"/>
    <w:rsid w:val="00330C9E"/>
    <w:rsid w:val="00333E91"/>
    <w:rsid w:val="00333F6D"/>
    <w:rsid w:val="00334249"/>
    <w:rsid w:val="003370D2"/>
    <w:rsid w:val="00337848"/>
    <w:rsid w:val="00337BD6"/>
    <w:rsid w:val="0034240A"/>
    <w:rsid w:val="00342CE8"/>
    <w:rsid w:val="00343523"/>
    <w:rsid w:val="003438A1"/>
    <w:rsid w:val="00344610"/>
    <w:rsid w:val="00345701"/>
    <w:rsid w:val="00347766"/>
    <w:rsid w:val="00352C78"/>
    <w:rsid w:val="0035787D"/>
    <w:rsid w:val="0036034D"/>
    <w:rsid w:val="00366DB6"/>
    <w:rsid w:val="00366EC7"/>
    <w:rsid w:val="00367381"/>
    <w:rsid w:val="00367C05"/>
    <w:rsid w:val="00367FE4"/>
    <w:rsid w:val="00371EAC"/>
    <w:rsid w:val="00374424"/>
    <w:rsid w:val="00375189"/>
    <w:rsid w:val="00375B4B"/>
    <w:rsid w:val="00381603"/>
    <w:rsid w:val="00383DE0"/>
    <w:rsid w:val="003843A1"/>
    <w:rsid w:val="003844CD"/>
    <w:rsid w:val="00384FA1"/>
    <w:rsid w:val="00386A32"/>
    <w:rsid w:val="00387D95"/>
    <w:rsid w:val="00387E2B"/>
    <w:rsid w:val="003938B7"/>
    <w:rsid w:val="00393B84"/>
    <w:rsid w:val="00393CFC"/>
    <w:rsid w:val="00394257"/>
    <w:rsid w:val="00394A38"/>
    <w:rsid w:val="00394F91"/>
    <w:rsid w:val="00396217"/>
    <w:rsid w:val="0039695C"/>
    <w:rsid w:val="003A1345"/>
    <w:rsid w:val="003A18A9"/>
    <w:rsid w:val="003A1E04"/>
    <w:rsid w:val="003A1E5C"/>
    <w:rsid w:val="003A25F7"/>
    <w:rsid w:val="003A2784"/>
    <w:rsid w:val="003B1C0D"/>
    <w:rsid w:val="003B39F8"/>
    <w:rsid w:val="003B5ACF"/>
    <w:rsid w:val="003B7448"/>
    <w:rsid w:val="003C0FEE"/>
    <w:rsid w:val="003C133F"/>
    <w:rsid w:val="003C3099"/>
    <w:rsid w:val="003C39BB"/>
    <w:rsid w:val="003C4F1C"/>
    <w:rsid w:val="003C5CC2"/>
    <w:rsid w:val="003D2AD1"/>
    <w:rsid w:val="003D59E2"/>
    <w:rsid w:val="003D6B4C"/>
    <w:rsid w:val="003D736C"/>
    <w:rsid w:val="003E4340"/>
    <w:rsid w:val="003E5CCD"/>
    <w:rsid w:val="003E6F2D"/>
    <w:rsid w:val="003F0485"/>
    <w:rsid w:val="003F0A4D"/>
    <w:rsid w:val="003F1021"/>
    <w:rsid w:val="003F41BC"/>
    <w:rsid w:val="003F7818"/>
    <w:rsid w:val="003F7CBD"/>
    <w:rsid w:val="004005B6"/>
    <w:rsid w:val="00400C5A"/>
    <w:rsid w:val="00401C97"/>
    <w:rsid w:val="00406476"/>
    <w:rsid w:val="004071E9"/>
    <w:rsid w:val="00416804"/>
    <w:rsid w:val="004209D8"/>
    <w:rsid w:val="004229C3"/>
    <w:rsid w:val="004268B9"/>
    <w:rsid w:val="00427C68"/>
    <w:rsid w:val="00430643"/>
    <w:rsid w:val="004341D0"/>
    <w:rsid w:val="0043517E"/>
    <w:rsid w:val="00436841"/>
    <w:rsid w:val="004369D6"/>
    <w:rsid w:val="00442D94"/>
    <w:rsid w:val="004434E0"/>
    <w:rsid w:val="0044726A"/>
    <w:rsid w:val="00450395"/>
    <w:rsid w:val="004574CF"/>
    <w:rsid w:val="00457C05"/>
    <w:rsid w:val="0046087F"/>
    <w:rsid w:val="00461C58"/>
    <w:rsid w:val="004631CF"/>
    <w:rsid w:val="00467FAE"/>
    <w:rsid w:val="00470CB2"/>
    <w:rsid w:val="0047525E"/>
    <w:rsid w:val="00475B03"/>
    <w:rsid w:val="004836EE"/>
    <w:rsid w:val="00485082"/>
    <w:rsid w:val="00485A06"/>
    <w:rsid w:val="00485BE2"/>
    <w:rsid w:val="00485D51"/>
    <w:rsid w:val="00486274"/>
    <w:rsid w:val="004871E9"/>
    <w:rsid w:val="00487896"/>
    <w:rsid w:val="0049213A"/>
    <w:rsid w:val="00493927"/>
    <w:rsid w:val="0049403D"/>
    <w:rsid w:val="004A1634"/>
    <w:rsid w:val="004A2A2D"/>
    <w:rsid w:val="004A482E"/>
    <w:rsid w:val="004A61E8"/>
    <w:rsid w:val="004A6641"/>
    <w:rsid w:val="004A69F1"/>
    <w:rsid w:val="004A72C3"/>
    <w:rsid w:val="004B1046"/>
    <w:rsid w:val="004B3172"/>
    <w:rsid w:val="004B6B3A"/>
    <w:rsid w:val="004B70F3"/>
    <w:rsid w:val="004C1163"/>
    <w:rsid w:val="004C209D"/>
    <w:rsid w:val="004D059C"/>
    <w:rsid w:val="004D2B24"/>
    <w:rsid w:val="004D2CC7"/>
    <w:rsid w:val="004D4A30"/>
    <w:rsid w:val="004D7420"/>
    <w:rsid w:val="004E1B6D"/>
    <w:rsid w:val="004E2571"/>
    <w:rsid w:val="004E2B12"/>
    <w:rsid w:val="004E3832"/>
    <w:rsid w:val="004E3B4E"/>
    <w:rsid w:val="004E4A55"/>
    <w:rsid w:val="004E6DBC"/>
    <w:rsid w:val="004F239B"/>
    <w:rsid w:val="004F4CC1"/>
    <w:rsid w:val="004F4D7E"/>
    <w:rsid w:val="0050081C"/>
    <w:rsid w:val="005021E7"/>
    <w:rsid w:val="00502C6E"/>
    <w:rsid w:val="00504B76"/>
    <w:rsid w:val="00505F2B"/>
    <w:rsid w:val="00506722"/>
    <w:rsid w:val="0050762B"/>
    <w:rsid w:val="0051292F"/>
    <w:rsid w:val="00516A31"/>
    <w:rsid w:val="00516A81"/>
    <w:rsid w:val="0052739F"/>
    <w:rsid w:val="005279FF"/>
    <w:rsid w:val="00527D30"/>
    <w:rsid w:val="005317F3"/>
    <w:rsid w:val="00531A72"/>
    <w:rsid w:val="00535053"/>
    <w:rsid w:val="005357A4"/>
    <w:rsid w:val="00536906"/>
    <w:rsid w:val="0055113E"/>
    <w:rsid w:val="00554368"/>
    <w:rsid w:val="00555228"/>
    <w:rsid w:val="0055724B"/>
    <w:rsid w:val="00560305"/>
    <w:rsid w:val="00560AE9"/>
    <w:rsid w:val="00560CB2"/>
    <w:rsid w:val="00562F4B"/>
    <w:rsid w:val="00564164"/>
    <w:rsid w:val="00564B8A"/>
    <w:rsid w:val="0056687A"/>
    <w:rsid w:val="00566A8C"/>
    <w:rsid w:val="00567801"/>
    <w:rsid w:val="005708F6"/>
    <w:rsid w:val="00573912"/>
    <w:rsid w:val="0057634C"/>
    <w:rsid w:val="00576DC0"/>
    <w:rsid w:val="0058177B"/>
    <w:rsid w:val="0058318E"/>
    <w:rsid w:val="00583873"/>
    <w:rsid w:val="00584B23"/>
    <w:rsid w:val="00586825"/>
    <w:rsid w:val="00590502"/>
    <w:rsid w:val="005938AC"/>
    <w:rsid w:val="0059397B"/>
    <w:rsid w:val="005953FD"/>
    <w:rsid w:val="0059594A"/>
    <w:rsid w:val="00596448"/>
    <w:rsid w:val="005A3E6A"/>
    <w:rsid w:val="005A502D"/>
    <w:rsid w:val="005B1663"/>
    <w:rsid w:val="005B32F4"/>
    <w:rsid w:val="005B355B"/>
    <w:rsid w:val="005B3C6E"/>
    <w:rsid w:val="005C0097"/>
    <w:rsid w:val="005C0C78"/>
    <w:rsid w:val="005C495F"/>
    <w:rsid w:val="005C740A"/>
    <w:rsid w:val="005D1628"/>
    <w:rsid w:val="005D26CD"/>
    <w:rsid w:val="005D6850"/>
    <w:rsid w:val="005E4F44"/>
    <w:rsid w:val="005E52B8"/>
    <w:rsid w:val="005F078B"/>
    <w:rsid w:val="005F1181"/>
    <w:rsid w:val="005F514C"/>
    <w:rsid w:val="005F7C9A"/>
    <w:rsid w:val="006003EC"/>
    <w:rsid w:val="00602402"/>
    <w:rsid w:val="00610740"/>
    <w:rsid w:val="00611061"/>
    <w:rsid w:val="00612618"/>
    <w:rsid w:val="00615C8B"/>
    <w:rsid w:val="00620527"/>
    <w:rsid w:val="0062053B"/>
    <w:rsid w:val="00620927"/>
    <w:rsid w:val="00620A35"/>
    <w:rsid w:val="00620C55"/>
    <w:rsid w:val="00620C69"/>
    <w:rsid w:val="0062116D"/>
    <w:rsid w:val="00623271"/>
    <w:rsid w:val="00623306"/>
    <w:rsid w:val="006235B2"/>
    <w:rsid w:val="00626354"/>
    <w:rsid w:val="00630E92"/>
    <w:rsid w:val="00631A43"/>
    <w:rsid w:val="0064350B"/>
    <w:rsid w:val="0064691B"/>
    <w:rsid w:val="00650039"/>
    <w:rsid w:val="0065150E"/>
    <w:rsid w:val="00652803"/>
    <w:rsid w:val="00660038"/>
    <w:rsid w:val="00660D19"/>
    <w:rsid w:val="00662878"/>
    <w:rsid w:val="00663206"/>
    <w:rsid w:val="00664551"/>
    <w:rsid w:val="00665B87"/>
    <w:rsid w:val="006708F3"/>
    <w:rsid w:val="00671349"/>
    <w:rsid w:val="00671E88"/>
    <w:rsid w:val="00672E25"/>
    <w:rsid w:val="00675086"/>
    <w:rsid w:val="00675D4C"/>
    <w:rsid w:val="00675FDD"/>
    <w:rsid w:val="0067713D"/>
    <w:rsid w:val="0068016D"/>
    <w:rsid w:val="0068156F"/>
    <w:rsid w:val="00681DB6"/>
    <w:rsid w:val="00685BFC"/>
    <w:rsid w:val="00685F17"/>
    <w:rsid w:val="006910D5"/>
    <w:rsid w:val="00691BB1"/>
    <w:rsid w:val="00693017"/>
    <w:rsid w:val="00694EDB"/>
    <w:rsid w:val="00695C4B"/>
    <w:rsid w:val="006A19A2"/>
    <w:rsid w:val="006A5165"/>
    <w:rsid w:val="006A62B2"/>
    <w:rsid w:val="006B005F"/>
    <w:rsid w:val="006B00FC"/>
    <w:rsid w:val="006B1C26"/>
    <w:rsid w:val="006B4DEB"/>
    <w:rsid w:val="006B612E"/>
    <w:rsid w:val="006C49A0"/>
    <w:rsid w:val="006C50B9"/>
    <w:rsid w:val="006C5312"/>
    <w:rsid w:val="006C6808"/>
    <w:rsid w:val="006C7710"/>
    <w:rsid w:val="006C7822"/>
    <w:rsid w:val="006C790B"/>
    <w:rsid w:val="006C7A09"/>
    <w:rsid w:val="006D0194"/>
    <w:rsid w:val="006D05EB"/>
    <w:rsid w:val="006D1DEE"/>
    <w:rsid w:val="006D562E"/>
    <w:rsid w:val="006E19FB"/>
    <w:rsid w:val="006E50DF"/>
    <w:rsid w:val="006E637D"/>
    <w:rsid w:val="006F3C07"/>
    <w:rsid w:val="006F471F"/>
    <w:rsid w:val="006F5E55"/>
    <w:rsid w:val="007019DA"/>
    <w:rsid w:val="007037C7"/>
    <w:rsid w:val="007046ED"/>
    <w:rsid w:val="00706851"/>
    <w:rsid w:val="00706DEF"/>
    <w:rsid w:val="0071179B"/>
    <w:rsid w:val="00717608"/>
    <w:rsid w:val="00720C1B"/>
    <w:rsid w:val="0072490A"/>
    <w:rsid w:val="00730BAC"/>
    <w:rsid w:val="00731CD4"/>
    <w:rsid w:val="0073729E"/>
    <w:rsid w:val="00742060"/>
    <w:rsid w:val="00742072"/>
    <w:rsid w:val="0074442E"/>
    <w:rsid w:val="00745C12"/>
    <w:rsid w:val="00745DB3"/>
    <w:rsid w:val="0074639A"/>
    <w:rsid w:val="00750C5D"/>
    <w:rsid w:val="007517C6"/>
    <w:rsid w:val="007530CD"/>
    <w:rsid w:val="007532D7"/>
    <w:rsid w:val="007533A3"/>
    <w:rsid w:val="007539E6"/>
    <w:rsid w:val="00753D4C"/>
    <w:rsid w:val="00754DF0"/>
    <w:rsid w:val="00756550"/>
    <w:rsid w:val="00760412"/>
    <w:rsid w:val="00760602"/>
    <w:rsid w:val="007613D7"/>
    <w:rsid w:val="00763359"/>
    <w:rsid w:val="0077222B"/>
    <w:rsid w:val="00773EF3"/>
    <w:rsid w:val="00776390"/>
    <w:rsid w:val="007779D1"/>
    <w:rsid w:val="00781AF9"/>
    <w:rsid w:val="00784EA1"/>
    <w:rsid w:val="00785DCD"/>
    <w:rsid w:val="0079152D"/>
    <w:rsid w:val="007917EC"/>
    <w:rsid w:val="00792BFA"/>
    <w:rsid w:val="007943DA"/>
    <w:rsid w:val="00796A89"/>
    <w:rsid w:val="007A5A73"/>
    <w:rsid w:val="007A5DD7"/>
    <w:rsid w:val="007A5E17"/>
    <w:rsid w:val="007A6630"/>
    <w:rsid w:val="007B07F7"/>
    <w:rsid w:val="007B42C5"/>
    <w:rsid w:val="007B4A45"/>
    <w:rsid w:val="007B6259"/>
    <w:rsid w:val="007B6FAB"/>
    <w:rsid w:val="007B70A2"/>
    <w:rsid w:val="007B798F"/>
    <w:rsid w:val="007C03FB"/>
    <w:rsid w:val="007C207B"/>
    <w:rsid w:val="007C280E"/>
    <w:rsid w:val="007C2DD4"/>
    <w:rsid w:val="007C3650"/>
    <w:rsid w:val="007C4413"/>
    <w:rsid w:val="007C54A7"/>
    <w:rsid w:val="007D0658"/>
    <w:rsid w:val="007D3888"/>
    <w:rsid w:val="007D42D7"/>
    <w:rsid w:val="007D51E5"/>
    <w:rsid w:val="007D71FD"/>
    <w:rsid w:val="007D736B"/>
    <w:rsid w:val="007E0C74"/>
    <w:rsid w:val="007E1F03"/>
    <w:rsid w:val="007E2A9E"/>
    <w:rsid w:val="007E3918"/>
    <w:rsid w:val="007E686C"/>
    <w:rsid w:val="007E6AAD"/>
    <w:rsid w:val="0080031B"/>
    <w:rsid w:val="00801B76"/>
    <w:rsid w:val="00802253"/>
    <w:rsid w:val="00802F08"/>
    <w:rsid w:val="00803B28"/>
    <w:rsid w:val="0080438A"/>
    <w:rsid w:val="0080454C"/>
    <w:rsid w:val="00807B64"/>
    <w:rsid w:val="0081021E"/>
    <w:rsid w:val="0081091C"/>
    <w:rsid w:val="008140DD"/>
    <w:rsid w:val="00814AA7"/>
    <w:rsid w:val="00817F18"/>
    <w:rsid w:val="008219AD"/>
    <w:rsid w:val="00823780"/>
    <w:rsid w:val="008254FE"/>
    <w:rsid w:val="0082557F"/>
    <w:rsid w:val="00826605"/>
    <w:rsid w:val="00830BFF"/>
    <w:rsid w:val="00831041"/>
    <w:rsid w:val="00833CEF"/>
    <w:rsid w:val="00833FC0"/>
    <w:rsid w:val="0083515A"/>
    <w:rsid w:val="00835906"/>
    <w:rsid w:val="008435C3"/>
    <w:rsid w:val="008436FD"/>
    <w:rsid w:val="0084389A"/>
    <w:rsid w:val="00844428"/>
    <w:rsid w:val="0084518E"/>
    <w:rsid w:val="00845290"/>
    <w:rsid w:val="00851F01"/>
    <w:rsid w:val="00852BFA"/>
    <w:rsid w:val="00857B95"/>
    <w:rsid w:val="00857BA7"/>
    <w:rsid w:val="00860E3A"/>
    <w:rsid w:val="00861161"/>
    <w:rsid w:val="00870882"/>
    <w:rsid w:val="00872FB8"/>
    <w:rsid w:val="00874D3C"/>
    <w:rsid w:val="0087624D"/>
    <w:rsid w:val="00876CA8"/>
    <w:rsid w:val="008775CD"/>
    <w:rsid w:val="00880050"/>
    <w:rsid w:val="008837AE"/>
    <w:rsid w:val="008921E9"/>
    <w:rsid w:val="00892C1F"/>
    <w:rsid w:val="008945BF"/>
    <w:rsid w:val="00897805"/>
    <w:rsid w:val="00897BC9"/>
    <w:rsid w:val="008A07E1"/>
    <w:rsid w:val="008A0969"/>
    <w:rsid w:val="008A0D0F"/>
    <w:rsid w:val="008A4C2C"/>
    <w:rsid w:val="008A686A"/>
    <w:rsid w:val="008A6D65"/>
    <w:rsid w:val="008B0530"/>
    <w:rsid w:val="008B0A26"/>
    <w:rsid w:val="008B20F6"/>
    <w:rsid w:val="008B4513"/>
    <w:rsid w:val="008B4FC4"/>
    <w:rsid w:val="008C24A0"/>
    <w:rsid w:val="008C4D76"/>
    <w:rsid w:val="008C5790"/>
    <w:rsid w:val="008C6FA5"/>
    <w:rsid w:val="008C7EC0"/>
    <w:rsid w:val="008D231D"/>
    <w:rsid w:val="008D4038"/>
    <w:rsid w:val="008D6BF4"/>
    <w:rsid w:val="008E1C4F"/>
    <w:rsid w:val="008E2E31"/>
    <w:rsid w:val="008E3B6A"/>
    <w:rsid w:val="008E3CCB"/>
    <w:rsid w:val="008E5F6E"/>
    <w:rsid w:val="008E65E9"/>
    <w:rsid w:val="008E7216"/>
    <w:rsid w:val="008F0CFF"/>
    <w:rsid w:val="00900684"/>
    <w:rsid w:val="00906D03"/>
    <w:rsid w:val="00910B04"/>
    <w:rsid w:val="00913EAE"/>
    <w:rsid w:val="00914287"/>
    <w:rsid w:val="0091431D"/>
    <w:rsid w:val="00914D9D"/>
    <w:rsid w:val="00923149"/>
    <w:rsid w:val="00923D42"/>
    <w:rsid w:val="009243BB"/>
    <w:rsid w:val="00924EAF"/>
    <w:rsid w:val="00927D9F"/>
    <w:rsid w:val="00931C18"/>
    <w:rsid w:val="00931C25"/>
    <w:rsid w:val="00940289"/>
    <w:rsid w:val="009441CD"/>
    <w:rsid w:val="009460C8"/>
    <w:rsid w:val="009523E2"/>
    <w:rsid w:val="0095634A"/>
    <w:rsid w:val="00956E98"/>
    <w:rsid w:val="00960664"/>
    <w:rsid w:val="009626DB"/>
    <w:rsid w:val="00963D63"/>
    <w:rsid w:val="00964EF7"/>
    <w:rsid w:val="00964FA1"/>
    <w:rsid w:val="00966980"/>
    <w:rsid w:val="009727AC"/>
    <w:rsid w:val="009757B1"/>
    <w:rsid w:val="009801D2"/>
    <w:rsid w:val="00981671"/>
    <w:rsid w:val="00981805"/>
    <w:rsid w:val="00985105"/>
    <w:rsid w:val="00985E6C"/>
    <w:rsid w:val="00987BBD"/>
    <w:rsid w:val="009907D3"/>
    <w:rsid w:val="00991799"/>
    <w:rsid w:val="00991FF4"/>
    <w:rsid w:val="009959CC"/>
    <w:rsid w:val="00997901"/>
    <w:rsid w:val="009A09F7"/>
    <w:rsid w:val="009A1C92"/>
    <w:rsid w:val="009A2270"/>
    <w:rsid w:val="009A52F7"/>
    <w:rsid w:val="009A6FFA"/>
    <w:rsid w:val="009B07B5"/>
    <w:rsid w:val="009B2079"/>
    <w:rsid w:val="009B5BFE"/>
    <w:rsid w:val="009B5C15"/>
    <w:rsid w:val="009C124F"/>
    <w:rsid w:val="009C2EC7"/>
    <w:rsid w:val="009C45C5"/>
    <w:rsid w:val="009C559B"/>
    <w:rsid w:val="009C5BAB"/>
    <w:rsid w:val="009C7076"/>
    <w:rsid w:val="009C7F7B"/>
    <w:rsid w:val="009D70E7"/>
    <w:rsid w:val="009D788E"/>
    <w:rsid w:val="009D7BD8"/>
    <w:rsid w:val="009D7CF6"/>
    <w:rsid w:val="009E640E"/>
    <w:rsid w:val="009F10AD"/>
    <w:rsid w:val="009F1D04"/>
    <w:rsid w:val="009F56A1"/>
    <w:rsid w:val="009F620C"/>
    <w:rsid w:val="009F7AA8"/>
    <w:rsid w:val="00A018D3"/>
    <w:rsid w:val="00A0725F"/>
    <w:rsid w:val="00A078DF"/>
    <w:rsid w:val="00A10787"/>
    <w:rsid w:val="00A11B68"/>
    <w:rsid w:val="00A11D0C"/>
    <w:rsid w:val="00A11E84"/>
    <w:rsid w:val="00A139A3"/>
    <w:rsid w:val="00A15981"/>
    <w:rsid w:val="00A16D96"/>
    <w:rsid w:val="00A20C8C"/>
    <w:rsid w:val="00A21420"/>
    <w:rsid w:val="00A310FB"/>
    <w:rsid w:val="00A3124C"/>
    <w:rsid w:val="00A35B20"/>
    <w:rsid w:val="00A36F91"/>
    <w:rsid w:val="00A4041D"/>
    <w:rsid w:val="00A42CF6"/>
    <w:rsid w:val="00A44B76"/>
    <w:rsid w:val="00A45E00"/>
    <w:rsid w:val="00A47848"/>
    <w:rsid w:val="00A47A4D"/>
    <w:rsid w:val="00A52642"/>
    <w:rsid w:val="00A52923"/>
    <w:rsid w:val="00A53A13"/>
    <w:rsid w:val="00A559D0"/>
    <w:rsid w:val="00A55D38"/>
    <w:rsid w:val="00A55E36"/>
    <w:rsid w:val="00A71443"/>
    <w:rsid w:val="00A722FC"/>
    <w:rsid w:val="00A746F8"/>
    <w:rsid w:val="00A7609F"/>
    <w:rsid w:val="00A80BD7"/>
    <w:rsid w:val="00A82384"/>
    <w:rsid w:val="00A83D71"/>
    <w:rsid w:val="00A83D8E"/>
    <w:rsid w:val="00A8464D"/>
    <w:rsid w:val="00A84B03"/>
    <w:rsid w:val="00A84E70"/>
    <w:rsid w:val="00A85016"/>
    <w:rsid w:val="00A935E0"/>
    <w:rsid w:val="00A938D8"/>
    <w:rsid w:val="00A96288"/>
    <w:rsid w:val="00AA2504"/>
    <w:rsid w:val="00AA2AC3"/>
    <w:rsid w:val="00AA49EA"/>
    <w:rsid w:val="00AB25E2"/>
    <w:rsid w:val="00AB3AF8"/>
    <w:rsid w:val="00AB4A29"/>
    <w:rsid w:val="00AB5583"/>
    <w:rsid w:val="00AB71D3"/>
    <w:rsid w:val="00AB785C"/>
    <w:rsid w:val="00AC13FE"/>
    <w:rsid w:val="00AC1654"/>
    <w:rsid w:val="00AC2651"/>
    <w:rsid w:val="00AC67C4"/>
    <w:rsid w:val="00AD0267"/>
    <w:rsid w:val="00AD1047"/>
    <w:rsid w:val="00AD3077"/>
    <w:rsid w:val="00AD3C04"/>
    <w:rsid w:val="00AD41E5"/>
    <w:rsid w:val="00AD4978"/>
    <w:rsid w:val="00AD4D36"/>
    <w:rsid w:val="00AD7630"/>
    <w:rsid w:val="00AE3126"/>
    <w:rsid w:val="00AE37A7"/>
    <w:rsid w:val="00AE7AAD"/>
    <w:rsid w:val="00AE7C92"/>
    <w:rsid w:val="00AF0EBD"/>
    <w:rsid w:val="00AF6E10"/>
    <w:rsid w:val="00AF77F5"/>
    <w:rsid w:val="00B01B99"/>
    <w:rsid w:val="00B0760D"/>
    <w:rsid w:val="00B10BEF"/>
    <w:rsid w:val="00B14F5E"/>
    <w:rsid w:val="00B156C3"/>
    <w:rsid w:val="00B20D91"/>
    <w:rsid w:val="00B217BF"/>
    <w:rsid w:val="00B278AE"/>
    <w:rsid w:val="00B27B3A"/>
    <w:rsid w:val="00B3256D"/>
    <w:rsid w:val="00B326BB"/>
    <w:rsid w:val="00B36BF7"/>
    <w:rsid w:val="00B37BFF"/>
    <w:rsid w:val="00B415BA"/>
    <w:rsid w:val="00B51EEC"/>
    <w:rsid w:val="00B52A6C"/>
    <w:rsid w:val="00B56288"/>
    <w:rsid w:val="00B5665E"/>
    <w:rsid w:val="00B56C02"/>
    <w:rsid w:val="00B57413"/>
    <w:rsid w:val="00B57EFA"/>
    <w:rsid w:val="00B61C12"/>
    <w:rsid w:val="00B64D32"/>
    <w:rsid w:val="00B67600"/>
    <w:rsid w:val="00B67D54"/>
    <w:rsid w:val="00B74B5C"/>
    <w:rsid w:val="00B77812"/>
    <w:rsid w:val="00B778A0"/>
    <w:rsid w:val="00B83190"/>
    <w:rsid w:val="00B8589B"/>
    <w:rsid w:val="00B928FE"/>
    <w:rsid w:val="00B964B2"/>
    <w:rsid w:val="00B97D87"/>
    <w:rsid w:val="00BA1F04"/>
    <w:rsid w:val="00BA2E88"/>
    <w:rsid w:val="00BA3743"/>
    <w:rsid w:val="00BA5033"/>
    <w:rsid w:val="00BA607E"/>
    <w:rsid w:val="00BA74AA"/>
    <w:rsid w:val="00BB094D"/>
    <w:rsid w:val="00BB0C4C"/>
    <w:rsid w:val="00BB2EE7"/>
    <w:rsid w:val="00BB3327"/>
    <w:rsid w:val="00BB4E90"/>
    <w:rsid w:val="00BB5382"/>
    <w:rsid w:val="00BB6EC9"/>
    <w:rsid w:val="00BC06C9"/>
    <w:rsid w:val="00BC1D27"/>
    <w:rsid w:val="00BC1DA7"/>
    <w:rsid w:val="00BC7272"/>
    <w:rsid w:val="00BC7EC9"/>
    <w:rsid w:val="00BD2C41"/>
    <w:rsid w:val="00BD31D0"/>
    <w:rsid w:val="00BD4082"/>
    <w:rsid w:val="00BD7CF0"/>
    <w:rsid w:val="00BE0F7F"/>
    <w:rsid w:val="00BE2229"/>
    <w:rsid w:val="00BE25CA"/>
    <w:rsid w:val="00BE7533"/>
    <w:rsid w:val="00BF1076"/>
    <w:rsid w:val="00BF2F61"/>
    <w:rsid w:val="00BF3D51"/>
    <w:rsid w:val="00BF60E2"/>
    <w:rsid w:val="00C00536"/>
    <w:rsid w:val="00C01589"/>
    <w:rsid w:val="00C041C8"/>
    <w:rsid w:val="00C0520B"/>
    <w:rsid w:val="00C06B16"/>
    <w:rsid w:val="00C1151B"/>
    <w:rsid w:val="00C16299"/>
    <w:rsid w:val="00C2381F"/>
    <w:rsid w:val="00C258FF"/>
    <w:rsid w:val="00C271ED"/>
    <w:rsid w:val="00C32ED5"/>
    <w:rsid w:val="00C3438C"/>
    <w:rsid w:val="00C36071"/>
    <w:rsid w:val="00C368AB"/>
    <w:rsid w:val="00C371A1"/>
    <w:rsid w:val="00C404DA"/>
    <w:rsid w:val="00C43547"/>
    <w:rsid w:val="00C4370E"/>
    <w:rsid w:val="00C47CCE"/>
    <w:rsid w:val="00C64174"/>
    <w:rsid w:val="00C64C13"/>
    <w:rsid w:val="00C65E33"/>
    <w:rsid w:val="00C70E56"/>
    <w:rsid w:val="00C74B4C"/>
    <w:rsid w:val="00C800DC"/>
    <w:rsid w:val="00C8127A"/>
    <w:rsid w:val="00C862AE"/>
    <w:rsid w:val="00C941B5"/>
    <w:rsid w:val="00C9644F"/>
    <w:rsid w:val="00C966DF"/>
    <w:rsid w:val="00CA0462"/>
    <w:rsid w:val="00CA095C"/>
    <w:rsid w:val="00CA0F01"/>
    <w:rsid w:val="00CA39A3"/>
    <w:rsid w:val="00CA430B"/>
    <w:rsid w:val="00CB0291"/>
    <w:rsid w:val="00CB17E6"/>
    <w:rsid w:val="00CB69C5"/>
    <w:rsid w:val="00CC24A7"/>
    <w:rsid w:val="00CC2AFD"/>
    <w:rsid w:val="00CC45B5"/>
    <w:rsid w:val="00CC7C3D"/>
    <w:rsid w:val="00CD1EF6"/>
    <w:rsid w:val="00CD291C"/>
    <w:rsid w:val="00CD4858"/>
    <w:rsid w:val="00CD5EF8"/>
    <w:rsid w:val="00CD6FF6"/>
    <w:rsid w:val="00CE0DD0"/>
    <w:rsid w:val="00CE380D"/>
    <w:rsid w:val="00CF0561"/>
    <w:rsid w:val="00CF0F7A"/>
    <w:rsid w:val="00CF310C"/>
    <w:rsid w:val="00CF3ECB"/>
    <w:rsid w:val="00CF4DB6"/>
    <w:rsid w:val="00CF6791"/>
    <w:rsid w:val="00D01E65"/>
    <w:rsid w:val="00D02721"/>
    <w:rsid w:val="00D057E4"/>
    <w:rsid w:val="00D057EE"/>
    <w:rsid w:val="00D068B3"/>
    <w:rsid w:val="00D06B97"/>
    <w:rsid w:val="00D12024"/>
    <w:rsid w:val="00D126A6"/>
    <w:rsid w:val="00D1418F"/>
    <w:rsid w:val="00D202C2"/>
    <w:rsid w:val="00D2110F"/>
    <w:rsid w:val="00D22617"/>
    <w:rsid w:val="00D273F4"/>
    <w:rsid w:val="00D27A8F"/>
    <w:rsid w:val="00D30E33"/>
    <w:rsid w:val="00D35415"/>
    <w:rsid w:val="00D405A9"/>
    <w:rsid w:val="00D40E19"/>
    <w:rsid w:val="00D41294"/>
    <w:rsid w:val="00D42DD6"/>
    <w:rsid w:val="00D4408A"/>
    <w:rsid w:val="00D445CC"/>
    <w:rsid w:val="00D4628B"/>
    <w:rsid w:val="00D475B0"/>
    <w:rsid w:val="00D55AD5"/>
    <w:rsid w:val="00D563AD"/>
    <w:rsid w:val="00D60529"/>
    <w:rsid w:val="00D6411C"/>
    <w:rsid w:val="00D64265"/>
    <w:rsid w:val="00D65E92"/>
    <w:rsid w:val="00D705C4"/>
    <w:rsid w:val="00D710B6"/>
    <w:rsid w:val="00D747BE"/>
    <w:rsid w:val="00D74F4C"/>
    <w:rsid w:val="00D809B6"/>
    <w:rsid w:val="00D852CC"/>
    <w:rsid w:val="00D85EE2"/>
    <w:rsid w:val="00D87B4C"/>
    <w:rsid w:val="00D91DC4"/>
    <w:rsid w:val="00D92E07"/>
    <w:rsid w:val="00D93CC5"/>
    <w:rsid w:val="00D93D1C"/>
    <w:rsid w:val="00D958BA"/>
    <w:rsid w:val="00D95C12"/>
    <w:rsid w:val="00D97C07"/>
    <w:rsid w:val="00DA72C1"/>
    <w:rsid w:val="00DA7691"/>
    <w:rsid w:val="00DB0887"/>
    <w:rsid w:val="00DB09C1"/>
    <w:rsid w:val="00DB14B7"/>
    <w:rsid w:val="00DB2D11"/>
    <w:rsid w:val="00DB3C17"/>
    <w:rsid w:val="00DB3C43"/>
    <w:rsid w:val="00DB6535"/>
    <w:rsid w:val="00DB6BEF"/>
    <w:rsid w:val="00DC14F1"/>
    <w:rsid w:val="00DD4565"/>
    <w:rsid w:val="00DD6D2F"/>
    <w:rsid w:val="00DD7668"/>
    <w:rsid w:val="00DE0185"/>
    <w:rsid w:val="00DE1A6C"/>
    <w:rsid w:val="00DE3314"/>
    <w:rsid w:val="00DE416A"/>
    <w:rsid w:val="00DE7197"/>
    <w:rsid w:val="00DF3948"/>
    <w:rsid w:val="00DF4404"/>
    <w:rsid w:val="00DF569F"/>
    <w:rsid w:val="00E0119F"/>
    <w:rsid w:val="00E01F0B"/>
    <w:rsid w:val="00E05BC0"/>
    <w:rsid w:val="00E0601A"/>
    <w:rsid w:val="00E07A85"/>
    <w:rsid w:val="00E12C78"/>
    <w:rsid w:val="00E13A2C"/>
    <w:rsid w:val="00E1425B"/>
    <w:rsid w:val="00E154A6"/>
    <w:rsid w:val="00E15990"/>
    <w:rsid w:val="00E15D50"/>
    <w:rsid w:val="00E1726B"/>
    <w:rsid w:val="00E211DA"/>
    <w:rsid w:val="00E2366E"/>
    <w:rsid w:val="00E23DEC"/>
    <w:rsid w:val="00E255EC"/>
    <w:rsid w:val="00E26783"/>
    <w:rsid w:val="00E3256D"/>
    <w:rsid w:val="00E37B8A"/>
    <w:rsid w:val="00E41092"/>
    <w:rsid w:val="00E42A07"/>
    <w:rsid w:val="00E42E15"/>
    <w:rsid w:val="00E447EA"/>
    <w:rsid w:val="00E4580E"/>
    <w:rsid w:val="00E478CE"/>
    <w:rsid w:val="00E479CF"/>
    <w:rsid w:val="00E47CF6"/>
    <w:rsid w:val="00E47D84"/>
    <w:rsid w:val="00E52A36"/>
    <w:rsid w:val="00E52B41"/>
    <w:rsid w:val="00E568E8"/>
    <w:rsid w:val="00E57B02"/>
    <w:rsid w:val="00E6132F"/>
    <w:rsid w:val="00E6258E"/>
    <w:rsid w:val="00E62CA0"/>
    <w:rsid w:val="00E64210"/>
    <w:rsid w:val="00E704B2"/>
    <w:rsid w:val="00E70BC0"/>
    <w:rsid w:val="00E7225B"/>
    <w:rsid w:val="00E75462"/>
    <w:rsid w:val="00E766DA"/>
    <w:rsid w:val="00E802AD"/>
    <w:rsid w:val="00E8121A"/>
    <w:rsid w:val="00E81838"/>
    <w:rsid w:val="00E8188B"/>
    <w:rsid w:val="00E91A39"/>
    <w:rsid w:val="00E94696"/>
    <w:rsid w:val="00E95C7B"/>
    <w:rsid w:val="00E966FC"/>
    <w:rsid w:val="00E970E4"/>
    <w:rsid w:val="00EA03A9"/>
    <w:rsid w:val="00EA13B0"/>
    <w:rsid w:val="00EA1531"/>
    <w:rsid w:val="00EA311A"/>
    <w:rsid w:val="00EA3F95"/>
    <w:rsid w:val="00EA68B5"/>
    <w:rsid w:val="00EA7331"/>
    <w:rsid w:val="00EB63A0"/>
    <w:rsid w:val="00EB65CD"/>
    <w:rsid w:val="00EC0D3D"/>
    <w:rsid w:val="00EC5978"/>
    <w:rsid w:val="00EC64BC"/>
    <w:rsid w:val="00EC7D31"/>
    <w:rsid w:val="00ED1504"/>
    <w:rsid w:val="00ED7D08"/>
    <w:rsid w:val="00EE0A65"/>
    <w:rsid w:val="00EE394F"/>
    <w:rsid w:val="00EE3990"/>
    <w:rsid w:val="00EE5601"/>
    <w:rsid w:val="00EF1D60"/>
    <w:rsid w:val="00EF3C04"/>
    <w:rsid w:val="00EF5E15"/>
    <w:rsid w:val="00EF6106"/>
    <w:rsid w:val="00F02879"/>
    <w:rsid w:val="00F03456"/>
    <w:rsid w:val="00F03ACA"/>
    <w:rsid w:val="00F04643"/>
    <w:rsid w:val="00F0535E"/>
    <w:rsid w:val="00F053C9"/>
    <w:rsid w:val="00F06C40"/>
    <w:rsid w:val="00F06E42"/>
    <w:rsid w:val="00F206D6"/>
    <w:rsid w:val="00F222AD"/>
    <w:rsid w:val="00F23E10"/>
    <w:rsid w:val="00F25788"/>
    <w:rsid w:val="00F27254"/>
    <w:rsid w:val="00F3198C"/>
    <w:rsid w:val="00F31B2C"/>
    <w:rsid w:val="00F31B91"/>
    <w:rsid w:val="00F33832"/>
    <w:rsid w:val="00F3780F"/>
    <w:rsid w:val="00F43177"/>
    <w:rsid w:val="00F45305"/>
    <w:rsid w:val="00F4730B"/>
    <w:rsid w:val="00F4789F"/>
    <w:rsid w:val="00F47B20"/>
    <w:rsid w:val="00F50F05"/>
    <w:rsid w:val="00F548D3"/>
    <w:rsid w:val="00F54CDB"/>
    <w:rsid w:val="00F55584"/>
    <w:rsid w:val="00F6552D"/>
    <w:rsid w:val="00F661E2"/>
    <w:rsid w:val="00F66824"/>
    <w:rsid w:val="00F67D00"/>
    <w:rsid w:val="00F70037"/>
    <w:rsid w:val="00F74DD0"/>
    <w:rsid w:val="00F80F95"/>
    <w:rsid w:val="00F83C9A"/>
    <w:rsid w:val="00F84B94"/>
    <w:rsid w:val="00F90FDB"/>
    <w:rsid w:val="00F91645"/>
    <w:rsid w:val="00F91787"/>
    <w:rsid w:val="00F918C6"/>
    <w:rsid w:val="00F96E71"/>
    <w:rsid w:val="00FA162D"/>
    <w:rsid w:val="00FA191C"/>
    <w:rsid w:val="00FA2C32"/>
    <w:rsid w:val="00FA31D3"/>
    <w:rsid w:val="00FA40AC"/>
    <w:rsid w:val="00FA4FAB"/>
    <w:rsid w:val="00FA6D38"/>
    <w:rsid w:val="00FB3E31"/>
    <w:rsid w:val="00FB5DE7"/>
    <w:rsid w:val="00FB66CD"/>
    <w:rsid w:val="00FB7410"/>
    <w:rsid w:val="00FB7F6D"/>
    <w:rsid w:val="00FC008E"/>
    <w:rsid w:val="00FC0780"/>
    <w:rsid w:val="00FC211D"/>
    <w:rsid w:val="00FC519F"/>
    <w:rsid w:val="00FC5EBE"/>
    <w:rsid w:val="00FD023F"/>
    <w:rsid w:val="00FD0316"/>
    <w:rsid w:val="00FE0474"/>
    <w:rsid w:val="00FE2748"/>
    <w:rsid w:val="00FE274F"/>
    <w:rsid w:val="00FE3282"/>
    <w:rsid w:val="00FE5033"/>
    <w:rsid w:val="00FE578F"/>
    <w:rsid w:val="00FF437F"/>
    <w:rsid w:val="00FF5076"/>
    <w:rsid w:val="00FF5957"/>
    <w:rsid w:val="00FF5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F1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2C2"/>
    <w:pPr>
      <w:spacing w:after="0" w:line="480" w:lineRule="auto"/>
      <w:jc w:val="both"/>
    </w:pPr>
    <w:rPr>
      <w:rFonts w:eastAsia="Times New Roman" w:cs="Times New Roman"/>
    </w:rPr>
  </w:style>
  <w:style w:type="paragraph" w:styleId="Heading1">
    <w:name w:val="heading 1"/>
    <w:basedOn w:val="Normal"/>
    <w:next w:val="Normal"/>
    <w:link w:val="Heading1Char"/>
    <w:qFormat/>
    <w:rsid w:val="00FB74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30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32AAA"/>
    <w:pPr>
      <w:widowControl w:val="0"/>
      <w:numPr>
        <w:ilvl w:val="2"/>
        <w:numId w:val="11"/>
      </w:numPr>
      <w:spacing w:before="240"/>
      <w:ind w:hanging="2160"/>
      <w:outlineLvl w:val="2"/>
    </w:pPr>
    <w:rPr>
      <w:rFonts w:ascii="Arial" w:eastAsiaTheme="majorEastAsia"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next w:val="Normal"/>
    <w:link w:val="Style3Char"/>
    <w:qFormat/>
    <w:rsid w:val="000C7D79"/>
    <w:pPr>
      <w:numPr>
        <w:ilvl w:val="2"/>
        <w:numId w:val="34"/>
      </w:numPr>
      <w:tabs>
        <w:tab w:val="clear" w:pos="2160"/>
        <w:tab w:val="num" w:pos="360"/>
      </w:tabs>
      <w:spacing w:before="240"/>
      <w:ind w:left="0" w:firstLine="0"/>
      <w:outlineLvl w:val="2"/>
    </w:pPr>
    <w:rPr>
      <w:rFonts w:ascii="Arial" w:hAnsi="Arial"/>
      <w:sz w:val="24"/>
      <w:szCs w:val="20"/>
      <w:lang w:val="en-GB"/>
    </w:rPr>
  </w:style>
  <w:style w:type="character" w:customStyle="1" w:styleId="Style3Char">
    <w:name w:val="Style3 Char"/>
    <w:link w:val="Style3"/>
    <w:rsid w:val="000C7D79"/>
    <w:rPr>
      <w:rFonts w:ascii="Arial" w:eastAsia="Times New Roman" w:hAnsi="Arial" w:cs="Times New Roman"/>
      <w:sz w:val="24"/>
      <w:szCs w:val="20"/>
      <w:lang w:val="en-GB"/>
    </w:rPr>
  </w:style>
  <w:style w:type="paragraph" w:customStyle="1" w:styleId="Style2">
    <w:name w:val="Style2"/>
    <w:basedOn w:val="Normal"/>
    <w:next w:val="Normal"/>
    <w:qFormat/>
    <w:rsid w:val="000C7D79"/>
    <w:pPr>
      <w:widowControl w:val="0"/>
      <w:numPr>
        <w:ilvl w:val="1"/>
        <w:numId w:val="34"/>
      </w:numPr>
      <w:spacing w:before="240"/>
      <w:outlineLvl w:val="1"/>
    </w:pPr>
    <w:rPr>
      <w:rFonts w:ascii="Arial" w:hAnsi="Arial"/>
      <w:sz w:val="24"/>
      <w:szCs w:val="20"/>
      <w:lang w:val="en-GB"/>
    </w:rPr>
  </w:style>
  <w:style w:type="paragraph" w:customStyle="1" w:styleId="Style1">
    <w:name w:val="Style1"/>
    <w:basedOn w:val="Normal"/>
    <w:next w:val="Normal"/>
    <w:qFormat/>
    <w:rsid w:val="000C7D79"/>
    <w:pPr>
      <w:widowControl w:val="0"/>
      <w:spacing w:before="240"/>
      <w:outlineLvl w:val="0"/>
    </w:pPr>
    <w:rPr>
      <w:rFonts w:ascii="Arial" w:hAnsi="Arial"/>
      <w:sz w:val="24"/>
      <w:szCs w:val="20"/>
      <w:lang w:val="en-GB"/>
    </w:rPr>
  </w:style>
  <w:style w:type="paragraph" w:customStyle="1" w:styleId="Style4">
    <w:name w:val="Style4"/>
    <w:basedOn w:val="Normal"/>
    <w:next w:val="Normal"/>
    <w:qFormat/>
    <w:rsid w:val="000C7D79"/>
    <w:pPr>
      <w:widowControl w:val="0"/>
      <w:numPr>
        <w:ilvl w:val="3"/>
        <w:numId w:val="34"/>
      </w:numPr>
      <w:spacing w:before="240"/>
      <w:outlineLvl w:val="3"/>
    </w:pPr>
    <w:rPr>
      <w:rFonts w:ascii="Arial" w:eastAsia="Cambria" w:hAnsi="Arial"/>
      <w:sz w:val="24"/>
      <w:szCs w:val="24"/>
    </w:rPr>
  </w:style>
  <w:style w:type="paragraph" w:customStyle="1" w:styleId="HeadsQuote">
    <w:name w:val="Heads Quote"/>
    <w:basedOn w:val="Normal"/>
    <w:link w:val="HeadsQuoteChar"/>
    <w:qFormat/>
    <w:rsid w:val="001E6505"/>
    <w:pPr>
      <w:keepNext/>
      <w:widowControl w:val="0"/>
      <w:spacing w:before="120" w:line="360" w:lineRule="auto"/>
      <w:ind w:left="1440"/>
      <w:contextualSpacing/>
      <w:outlineLvl w:val="2"/>
    </w:pPr>
    <w:rPr>
      <w:rFonts w:ascii="Arial" w:eastAsia="Cambria" w:hAnsi="Arial"/>
      <w:i/>
      <w:iCs/>
      <w:sz w:val="24"/>
      <w:szCs w:val="24"/>
    </w:rPr>
  </w:style>
  <w:style w:type="character" w:customStyle="1" w:styleId="HeadsQuoteChar">
    <w:name w:val="Heads Quote Char"/>
    <w:link w:val="HeadsQuote"/>
    <w:rsid w:val="001E6505"/>
    <w:rPr>
      <w:rFonts w:ascii="Arial" w:hAnsi="Arial" w:cs="Times New Roman"/>
      <w:i/>
      <w:iCs/>
      <w:sz w:val="24"/>
      <w:szCs w:val="24"/>
    </w:rPr>
  </w:style>
  <w:style w:type="character" w:customStyle="1" w:styleId="Heading3Char">
    <w:name w:val="Heading 3 Char"/>
    <w:basedOn w:val="DefaultParagraphFont"/>
    <w:link w:val="Heading3"/>
    <w:uiPriority w:val="9"/>
    <w:rsid w:val="00232AAA"/>
    <w:rPr>
      <w:rFonts w:ascii="Arial" w:eastAsiaTheme="majorEastAsia" w:hAnsi="Arial" w:cs="Times New Roman"/>
      <w:bCs/>
      <w:sz w:val="24"/>
      <w:szCs w:val="24"/>
    </w:rPr>
  </w:style>
  <w:style w:type="paragraph" w:styleId="Quote">
    <w:name w:val="Quote"/>
    <w:basedOn w:val="Normal"/>
    <w:next w:val="Normal"/>
    <w:link w:val="QuoteChar"/>
    <w:uiPriority w:val="29"/>
    <w:qFormat/>
    <w:rsid w:val="004E4A55"/>
    <w:pPr>
      <w:spacing w:line="360" w:lineRule="auto"/>
      <w:ind w:left="862" w:right="862"/>
    </w:pPr>
    <w:rPr>
      <w:rFonts w:ascii="Arial" w:hAnsi="Arial"/>
      <w:i/>
      <w:iCs/>
      <w:sz w:val="24"/>
      <w:szCs w:val="20"/>
    </w:rPr>
  </w:style>
  <w:style w:type="character" w:customStyle="1" w:styleId="QuoteChar">
    <w:name w:val="Quote Char"/>
    <w:basedOn w:val="DefaultParagraphFont"/>
    <w:link w:val="Quote"/>
    <w:uiPriority w:val="29"/>
    <w:rsid w:val="004E4A55"/>
    <w:rPr>
      <w:rFonts w:ascii="Arial" w:eastAsia="Times New Roman" w:hAnsi="Arial" w:cs="Times New Roman"/>
      <w:i/>
      <w:iCs/>
      <w:sz w:val="24"/>
      <w:szCs w:val="20"/>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iPriority w:val="99"/>
    <w:unhideWhenUsed/>
    <w:qFormat/>
    <w:rsid w:val="00E4580E"/>
    <w:pPr>
      <w:widowControl w:val="0"/>
      <w:spacing w:before="120" w:line="240" w:lineRule="auto"/>
    </w:pPr>
    <w:rPr>
      <w:rFonts w:ascii="Arial" w:eastAsia="Cambria" w:hAnsi="Arial"/>
      <w:sz w:val="20"/>
      <w:szCs w:val="24"/>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E4580E"/>
    <w:rPr>
      <w:rFonts w:ascii="Arial" w:hAnsi="Arial" w:cs="Times New Roman"/>
      <w:sz w:val="20"/>
      <w:szCs w:val="24"/>
    </w:rPr>
  </w:style>
  <w:style w:type="character" w:styleId="FootnoteReference">
    <w:name w:val="footnote reference"/>
    <w:uiPriority w:val="99"/>
    <w:semiHidden/>
    <w:rsid w:val="00D126A6"/>
    <w:rPr>
      <w:rFonts w:ascii="Arial" w:hAnsi="Arial"/>
      <w:dstrike w:val="0"/>
      <w:sz w:val="24"/>
      <w:vertAlign w:val="superscript"/>
    </w:rPr>
  </w:style>
  <w:style w:type="paragraph" w:styleId="TOC1">
    <w:name w:val="toc 1"/>
    <w:basedOn w:val="Normal"/>
    <w:next w:val="Normal"/>
    <w:autoRedefine/>
    <w:uiPriority w:val="39"/>
    <w:unhideWhenUsed/>
    <w:rsid w:val="008E1C4F"/>
    <w:pPr>
      <w:spacing w:before="240" w:after="100" w:line="360" w:lineRule="auto"/>
    </w:pPr>
    <w:rPr>
      <w:rFonts w:ascii="Arial" w:eastAsia="Cambria" w:hAnsi="Arial"/>
      <w:sz w:val="24"/>
      <w:szCs w:val="24"/>
    </w:rPr>
  </w:style>
  <w:style w:type="paragraph" w:styleId="TOC2">
    <w:name w:val="toc 2"/>
    <w:basedOn w:val="Normal"/>
    <w:next w:val="Normal"/>
    <w:autoRedefine/>
    <w:uiPriority w:val="39"/>
    <w:unhideWhenUsed/>
    <w:rsid w:val="008E1C4F"/>
    <w:pPr>
      <w:tabs>
        <w:tab w:val="right" w:leader="dot" w:pos="9016"/>
      </w:tabs>
      <w:spacing w:before="240" w:line="240" w:lineRule="auto"/>
      <w:ind w:left="567"/>
    </w:pPr>
    <w:rPr>
      <w:rFonts w:ascii="Arial" w:eastAsia="Cambria" w:hAnsi="Arial"/>
      <w:i/>
      <w:sz w:val="24"/>
      <w:szCs w:val="24"/>
    </w:rPr>
  </w:style>
  <w:style w:type="paragraph" w:styleId="Header">
    <w:name w:val="header"/>
    <w:basedOn w:val="Normal"/>
    <w:link w:val="HeaderChar"/>
    <w:uiPriority w:val="99"/>
    <w:unhideWhenUsed/>
    <w:rsid w:val="00D202C2"/>
    <w:pPr>
      <w:tabs>
        <w:tab w:val="center" w:pos="4680"/>
        <w:tab w:val="right" w:pos="9360"/>
      </w:tabs>
      <w:spacing w:line="240" w:lineRule="auto"/>
    </w:pPr>
  </w:style>
  <w:style w:type="character" w:customStyle="1" w:styleId="HeaderChar">
    <w:name w:val="Header Char"/>
    <w:basedOn w:val="DefaultParagraphFont"/>
    <w:link w:val="Header"/>
    <w:uiPriority w:val="99"/>
    <w:rsid w:val="00D202C2"/>
    <w:rPr>
      <w:rFonts w:eastAsia="Times New Roman" w:cs="Times New Roman"/>
    </w:rPr>
  </w:style>
  <w:style w:type="paragraph" w:styleId="Footer">
    <w:name w:val="footer"/>
    <w:basedOn w:val="Normal"/>
    <w:link w:val="FooterChar"/>
    <w:uiPriority w:val="99"/>
    <w:unhideWhenUsed/>
    <w:rsid w:val="00D202C2"/>
    <w:pPr>
      <w:tabs>
        <w:tab w:val="center" w:pos="4680"/>
        <w:tab w:val="right" w:pos="9360"/>
      </w:tabs>
      <w:spacing w:line="240" w:lineRule="auto"/>
    </w:pPr>
  </w:style>
  <w:style w:type="character" w:customStyle="1" w:styleId="FooterChar">
    <w:name w:val="Footer Char"/>
    <w:basedOn w:val="DefaultParagraphFont"/>
    <w:link w:val="Footer"/>
    <w:uiPriority w:val="99"/>
    <w:rsid w:val="00D202C2"/>
    <w:rPr>
      <w:rFonts w:eastAsia="Times New Roman" w:cs="Times New Roman"/>
    </w:rPr>
  </w:style>
  <w:style w:type="paragraph" w:customStyle="1" w:styleId="LC1">
    <w:name w:val="LC1"/>
    <w:basedOn w:val="Style1"/>
    <w:link w:val="LC1Char"/>
    <w:qFormat/>
    <w:rsid w:val="00671349"/>
    <w:pPr>
      <w:numPr>
        <w:numId w:val="35"/>
      </w:numPr>
      <w:spacing w:line="360" w:lineRule="auto"/>
      <w:ind w:hanging="720"/>
    </w:pPr>
    <w:rPr>
      <w:lang w:val="en-ZA"/>
    </w:rPr>
  </w:style>
  <w:style w:type="character" w:customStyle="1" w:styleId="LC1Char">
    <w:name w:val="LC1 Char"/>
    <w:basedOn w:val="DefaultParagraphFont"/>
    <w:link w:val="LC1"/>
    <w:rsid w:val="00671349"/>
    <w:rPr>
      <w:rFonts w:ascii="Arial" w:eastAsia="Times New Roman" w:hAnsi="Arial" w:cs="Times New Roman"/>
      <w:sz w:val="24"/>
      <w:szCs w:val="20"/>
    </w:rPr>
  </w:style>
  <w:style w:type="paragraph" w:customStyle="1" w:styleId="LCQuote">
    <w:name w:val="LC Quote"/>
    <w:basedOn w:val="Normal"/>
    <w:link w:val="LCQuoteChar"/>
    <w:qFormat/>
    <w:rsid w:val="001E6505"/>
    <w:pPr>
      <w:spacing w:before="240" w:after="120" w:line="360" w:lineRule="auto"/>
      <w:ind w:left="1134"/>
    </w:pPr>
    <w:rPr>
      <w:rFonts w:ascii="Arial" w:hAnsi="Arial" w:cs="Arial"/>
      <w:i/>
      <w:sz w:val="24"/>
      <w:szCs w:val="24"/>
    </w:rPr>
  </w:style>
  <w:style w:type="character" w:customStyle="1" w:styleId="LCQuoteChar">
    <w:name w:val="LC Quote Char"/>
    <w:basedOn w:val="DefaultParagraphFont"/>
    <w:link w:val="LCQuote"/>
    <w:rsid w:val="001E6505"/>
    <w:rPr>
      <w:rFonts w:ascii="Arial" w:eastAsia="Times New Roman" w:hAnsi="Arial" w:cs="Arial"/>
      <w:i/>
      <w:sz w:val="24"/>
      <w:szCs w:val="24"/>
    </w:rPr>
  </w:style>
  <w:style w:type="paragraph" w:styleId="ListParagraph">
    <w:name w:val="List Paragraph"/>
    <w:basedOn w:val="Normal"/>
    <w:uiPriority w:val="34"/>
    <w:qFormat/>
    <w:rsid w:val="00991FF4"/>
    <w:pPr>
      <w:ind w:left="720"/>
      <w:contextualSpacing/>
    </w:pPr>
  </w:style>
  <w:style w:type="paragraph" w:styleId="BalloonText">
    <w:name w:val="Balloon Text"/>
    <w:basedOn w:val="Normal"/>
    <w:link w:val="BalloonTextChar"/>
    <w:uiPriority w:val="99"/>
    <w:semiHidden/>
    <w:unhideWhenUsed/>
    <w:rsid w:val="00AC26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5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D3077"/>
    <w:rPr>
      <w:rFonts w:asciiTheme="majorHAnsi" w:eastAsiaTheme="majorEastAsia" w:hAnsiTheme="majorHAnsi" w:cstheme="majorBidi"/>
      <w:color w:val="2E74B5" w:themeColor="accent1" w:themeShade="BF"/>
      <w:sz w:val="26"/>
      <w:szCs w:val="26"/>
    </w:rPr>
  </w:style>
  <w:style w:type="character" w:customStyle="1" w:styleId="mc">
    <w:name w:val="mc"/>
    <w:basedOn w:val="DefaultParagraphFont"/>
    <w:rsid w:val="00564B8A"/>
  </w:style>
  <w:style w:type="character" w:customStyle="1" w:styleId="Heading1Char">
    <w:name w:val="Heading 1 Char"/>
    <w:basedOn w:val="DefaultParagraphFont"/>
    <w:link w:val="Heading1"/>
    <w:uiPriority w:val="9"/>
    <w:rsid w:val="00FB7410"/>
    <w:rPr>
      <w:rFonts w:asciiTheme="majorHAnsi" w:eastAsiaTheme="majorEastAsia" w:hAnsiTheme="majorHAnsi" w:cstheme="majorBidi"/>
      <w:color w:val="2E74B5" w:themeColor="accent1" w:themeShade="BF"/>
      <w:sz w:val="32"/>
      <w:szCs w:val="32"/>
    </w:rPr>
  </w:style>
  <w:style w:type="paragraph" w:customStyle="1" w:styleId="LC2">
    <w:name w:val="LC2"/>
    <w:basedOn w:val="LC1"/>
    <w:link w:val="LC2Char"/>
    <w:qFormat/>
    <w:rsid w:val="001E6505"/>
    <w:pPr>
      <w:numPr>
        <w:ilvl w:val="1"/>
      </w:numPr>
      <w:ind w:left="993" w:hanging="993"/>
    </w:pPr>
  </w:style>
  <w:style w:type="paragraph" w:customStyle="1" w:styleId="LCORder">
    <w:name w:val="LC ORder"/>
    <w:basedOn w:val="LC1"/>
    <w:link w:val="LCORderChar"/>
    <w:qFormat/>
    <w:rsid w:val="00400C5A"/>
    <w:pPr>
      <w:numPr>
        <w:numId w:val="0"/>
      </w:numPr>
      <w:spacing w:after="120"/>
    </w:pPr>
    <w:rPr>
      <w:rFonts w:cs="Arial"/>
      <w:szCs w:val="24"/>
    </w:rPr>
  </w:style>
  <w:style w:type="character" w:customStyle="1" w:styleId="LC2Char">
    <w:name w:val="LC2 Char"/>
    <w:basedOn w:val="LC1Char"/>
    <w:link w:val="LC2"/>
    <w:rsid w:val="001E6505"/>
    <w:rPr>
      <w:rFonts w:ascii="Arial" w:eastAsia="Times New Roman" w:hAnsi="Arial" w:cs="Times New Roman"/>
      <w:sz w:val="24"/>
      <w:szCs w:val="20"/>
    </w:rPr>
  </w:style>
  <w:style w:type="character" w:customStyle="1" w:styleId="LCORderChar">
    <w:name w:val="LC ORder Char"/>
    <w:basedOn w:val="LC1Char"/>
    <w:link w:val="LCORder"/>
    <w:rsid w:val="00400C5A"/>
    <w:rPr>
      <w:rFonts w:ascii="Arial" w:eastAsia="Times New Roman" w:hAnsi="Arial" w:cs="Arial"/>
      <w:sz w:val="24"/>
      <w:szCs w:val="24"/>
    </w:rPr>
  </w:style>
  <w:style w:type="character" w:styleId="Hyperlink">
    <w:name w:val="Hyperlink"/>
    <w:basedOn w:val="DefaultParagraphFont"/>
    <w:uiPriority w:val="99"/>
    <w:unhideWhenUsed/>
    <w:rsid w:val="00070375"/>
    <w:rPr>
      <w:color w:val="0563C1" w:themeColor="hyperlink"/>
      <w:u w:val="single"/>
    </w:rPr>
  </w:style>
  <w:style w:type="paragraph" w:customStyle="1" w:styleId="normaltext">
    <w:name w:val="normaltext"/>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ra-a">
    <w:name w:val="para-a"/>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footnote-x">
    <w:name w:val="footnote-x"/>
    <w:basedOn w:val="Normal"/>
    <w:rsid w:val="00DA7691"/>
    <w:pPr>
      <w:spacing w:before="100" w:beforeAutospacing="1" w:after="100" w:afterAutospacing="1" w:line="240" w:lineRule="auto"/>
      <w:jc w:val="left"/>
    </w:pPr>
    <w:rPr>
      <w:rFonts w:ascii="Times New Roman" w:hAnsi="Times New Roman"/>
      <w:sz w:val="24"/>
      <w:szCs w:val="24"/>
      <w:lang w:eastAsia="en-ZA"/>
    </w:rPr>
  </w:style>
  <w:style w:type="paragraph" w:customStyle="1" w:styleId="pagenumber">
    <w:name w:val="pagenumber"/>
    <w:basedOn w:val="Normal"/>
    <w:rsid w:val="007C3650"/>
    <w:pPr>
      <w:spacing w:before="100" w:beforeAutospacing="1" w:after="100" w:afterAutospacing="1" w:line="240" w:lineRule="auto"/>
      <w:jc w:val="left"/>
    </w:pPr>
    <w:rPr>
      <w:rFonts w:ascii="Times New Roman" w:hAnsi="Times New Roman"/>
      <w:sz w:val="24"/>
      <w:szCs w:val="24"/>
      <w:lang w:eastAsia="en-ZA"/>
    </w:rPr>
  </w:style>
  <w:style w:type="paragraph" w:styleId="NormalWeb">
    <w:name w:val="Normal (Web)"/>
    <w:basedOn w:val="Normal"/>
    <w:uiPriority w:val="99"/>
    <w:semiHidden/>
    <w:unhideWhenUsed/>
    <w:rsid w:val="000073C9"/>
    <w:pPr>
      <w:spacing w:before="100" w:beforeAutospacing="1" w:after="100" w:afterAutospacing="1" w:line="240" w:lineRule="auto"/>
      <w:jc w:val="left"/>
    </w:pPr>
    <w:rPr>
      <w:rFonts w:ascii="Times New Roman" w:hAnsi="Times New Roman"/>
      <w:sz w:val="24"/>
      <w:szCs w:val="24"/>
      <w:lang w:eastAsia="en-ZA"/>
    </w:rPr>
  </w:style>
  <w:style w:type="character" w:customStyle="1" w:styleId="g1">
    <w:name w:val="g1"/>
    <w:basedOn w:val="DefaultParagraphFont"/>
    <w:rsid w:val="00AD0267"/>
  </w:style>
  <w:style w:type="paragraph" w:styleId="NoSpacing">
    <w:name w:val="No Spacing"/>
    <w:uiPriority w:val="1"/>
    <w:qFormat/>
    <w:rsid w:val="004071E9"/>
    <w:pPr>
      <w:spacing w:after="0" w:line="240" w:lineRule="auto"/>
    </w:pPr>
    <w:rPr>
      <w:rFonts w:ascii="Calibri" w:eastAsia="Calibri" w:hAnsi="Calibri" w:cs="Arial"/>
    </w:rPr>
  </w:style>
  <w:style w:type="paragraph" w:customStyle="1" w:styleId="Default">
    <w:name w:val="Default"/>
    <w:rsid w:val="009231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8">
    <w:name w:val="CM28"/>
    <w:basedOn w:val="Default"/>
    <w:next w:val="Default"/>
    <w:uiPriority w:val="99"/>
    <w:rsid w:val="001B099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1525">
      <w:bodyDiv w:val="1"/>
      <w:marLeft w:val="0"/>
      <w:marRight w:val="0"/>
      <w:marTop w:val="0"/>
      <w:marBottom w:val="0"/>
      <w:divBdr>
        <w:top w:val="none" w:sz="0" w:space="0" w:color="auto"/>
        <w:left w:val="none" w:sz="0" w:space="0" w:color="auto"/>
        <w:bottom w:val="none" w:sz="0" w:space="0" w:color="auto"/>
        <w:right w:val="none" w:sz="0" w:space="0" w:color="auto"/>
      </w:divBdr>
      <w:divsChild>
        <w:div w:id="1364136191">
          <w:marLeft w:val="0"/>
          <w:marRight w:val="0"/>
          <w:marTop w:val="0"/>
          <w:marBottom w:val="0"/>
          <w:divBdr>
            <w:top w:val="none" w:sz="0" w:space="0" w:color="auto"/>
            <w:left w:val="none" w:sz="0" w:space="0" w:color="auto"/>
            <w:bottom w:val="none" w:sz="0" w:space="0" w:color="auto"/>
            <w:right w:val="none" w:sz="0" w:space="0" w:color="auto"/>
          </w:divBdr>
        </w:div>
      </w:divsChild>
    </w:div>
    <w:div w:id="132915075">
      <w:bodyDiv w:val="1"/>
      <w:marLeft w:val="0"/>
      <w:marRight w:val="0"/>
      <w:marTop w:val="0"/>
      <w:marBottom w:val="0"/>
      <w:divBdr>
        <w:top w:val="none" w:sz="0" w:space="0" w:color="auto"/>
        <w:left w:val="none" w:sz="0" w:space="0" w:color="auto"/>
        <w:bottom w:val="none" w:sz="0" w:space="0" w:color="auto"/>
        <w:right w:val="none" w:sz="0" w:space="0" w:color="auto"/>
      </w:divBdr>
      <w:divsChild>
        <w:div w:id="1478840302">
          <w:marLeft w:val="0"/>
          <w:marRight w:val="0"/>
          <w:marTop w:val="0"/>
          <w:marBottom w:val="0"/>
          <w:divBdr>
            <w:top w:val="none" w:sz="0" w:space="0" w:color="auto"/>
            <w:left w:val="none" w:sz="0" w:space="0" w:color="auto"/>
            <w:bottom w:val="none" w:sz="0" w:space="0" w:color="auto"/>
            <w:right w:val="none" w:sz="0" w:space="0" w:color="auto"/>
          </w:divBdr>
        </w:div>
      </w:divsChild>
    </w:div>
    <w:div w:id="301346730">
      <w:bodyDiv w:val="1"/>
      <w:marLeft w:val="0"/>
      <w:marRight w:val="0"/>
      <w:marTop w:val="0"/>
      <w:marBottom w:val="0"/>
      <w:divBdr>
        <w:top w:val="none" w:sz="0" w:space="0" w:color="auto"/>
        <w:left w:val="none" w:sz="0" w:space="0" w:color="auto"/>
        <w:bottom w:val="none" w:sz="0" w:space="0" w:color="auto"/>
        <w:right w:val="none" w:sz="0" w:space="0" w:color="auto"/>
      </w:divBdr>
      <w:divsChild>
        <w:div w:id="1561210540">
          <w:marLeft w:val="0"/>
          <w:marRight w:val="0"/>
          <w:marTop w:val="0"/>
          <w:marBottom w:val="0"/>
          <w:divBdr>
            <w:top w:val="none" w:sz="0" w:space="0" w:color="auto"/>
            <w:left w:val="none" w:sz="0" w:space="0" w:color="auto"/>
            <w:bottom w:val="none" w:sz="0" w:space="0" w:color="auto"/>
            <w:right w:val="none" w:sz="0" w:space="0" w:color="auto"/>
          </w:divBdr>
          <w:divsChild>
            <w:div w:id="952906634">
              <w:marLeft w:val="0"/>
              <w:marRight w:val="0"/>
              <w:marTop w:val="0"/>
              <w:marBottom w:val="0"/>
              <w:divBdr>
                <w:top w:val="none" w:sz="0" w:space="0" w:color="auto"/>
                <w:left w:val="none" w:sz="0" w:space="0" w:color="auto"/>
                <w:bottom w:val="none" w:sz="0" w:space="0" w:color="auto"/>
                <w:right w:val="none" w:sz="0" w:space="0" w:color="auto"/>
              </w:divBdr>
              <w:divsChild>
                <w:div w:id="12220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2999">
      <w:bodyDiv w:val="1"/>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sChild>
            <w:div w:id="750664856">
              <w:marLeft w:val="0"/>
              <w:marRight w:val="0"/>
              <w:marTop w:val="0"/>
              <w:marBottom w:val="0"/>
              <w:divBdr>
                <w:top w:val="none" w:sz="0" w:space="0" w:color="auto"/>
                <w:left w:val="none" w:sz="0" w:space="0" w:color="auto"/>
                <w:bottom w:val="none" w:sz="0" w:space="0" w:color="auto"/>
                <w:right w:val="none" w:sz="0" w:space="0" w:color="auto"/>
              </w:divBdr>
              <w:divsChild>
                <w:div w:id="12750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4258">
      <w:bodyDiv w:val="1"/>
      <w:marLeft w:val="0"/>
      <w:marRight w:val="0"/>
      <w:marTop w:val="0"/>
      <w:marBottom w:val="0"/>
      <w:divBdr>
        <w:top w:val="none" w:sz="0" w:space="0" w:color="auto"/>
        <w:left w:val="none" w:sz="0" w:space="0" w:color="auto"/>
        <w:bottom w:val="none" w:sz="0" w:space="0" w:color="auto"/>
        <w:right w:val="none" w:sz="0" w:space="0" w:color="auto"/>
      </w:divBdr>
      <w:divsChild>
        <w:div w:id="385497106">
          <w:marLeft w:val="0"/>
          <w:marRight w:val="0"/>
          <w:marTop w:val="0"/>
          <w:marBottom w:val="0"/>
          <w:divBdr>
            <w:top w:val="none" w:sz="0" w:space="0" w:color="auto"/>
            <w:left w:val="none" w:sz="0" w:space="0" w:color="auto"/>
            <w:bottom w:val="none" w:sz="0" w:space="0" w:color="auto"/>
            <w:right w:val="none" w:sz="0" w:space="0" w:color="auto"/>
          </w:divBdr>
        </w:div>
        <w:div w:id="782312918">
          <w:marLeft w:val="0"/>
          <w:marRight w:val="0"/>
          <w:marTop w:val="0"/>
          <w:marBottom w:val="0"/>
          <w:divBdr>
            <w:top w:val="none" w:sz="0" w:space="0" w:color="auto"/>
            <w:left w:val="none" w:sz="0" w:space="0" w:color="auto"/>
            <w:bottom w:val="none" w:sz="0" w:space="0" w:color="auto"/>
            <w:right w:val="none" w:sz="0" w:space="0" w:color="auto"/>
          </w:divBdr>
        </w:div>
      </w:divsChild>
    </w:div>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1615139068">
          <w:marLeft w:val="0"/>
          <w:marRight w:val="0"/>
          <w:marTop w:val="0"/>
          <w:marBottom w:val="0"/>
          <w:divBdr>
            <w:top w:val="none" w:sz="0" w:space="0" w:color="auto"/>
            <w:left w:val="none" w:sz="0" w:space="0" w:color="auto"/>
            <w:bottom w:val="none" w:sz="0" w:space="0" w:color="auto"/>
            <w:right w:val="none" w:sz="0" w:space="0" w:color="auto"/>
          </w:divBdr>
          <w:divsChild>
            <w:div w:id="1732145913">
              <w:marLeft w:val="0"/>
              <w:marRight w:val="0"/>
              <w:marTop w:val="0"/>
              <w:marBottom w:val="0"/>
              <w:divBdr>
                <w:top w:val="none" w:sz="0" w:space="0" w:color="auto"/>
                <w:left w:val="none" w:sz="0" w:space="0" w:color="auto"/>
                <w:bottom w:val="none" w:sz="0" w:space="0" w:color="auto"/>
                <w:right w:val="none" w:sz="0" w:space="0" w:color="auto"/>
              </w:divBdr>
              <w:divsChild>
                <w:div w:id="15792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5134">
      <w:bodyDiv w:val="1"/>
      <w:marLeft w:val="0"/>
      <w:marRight w:val="0"/>
      <w:marTop w:val="0"/>
      <w:marBottom w:val="0"/>
      <w:divBdr>
        <w:top w:val="none" w:sz="0" w:space="0" w:color="auto"/>
        <w:left w:val="none" w:sz="0" w:space="0" w:color="auto"/>
        <w:bottom w:val="none" w:sz="0" w:space="0" w:color="auto"/>
        <w:right w:val="none" w:sz="0" w:space="0" w:color="auto"/>
      </w:divBdr>
      <w:divsChild>
        <w:div w:id="1928802238">
          <w:marLeft w:val="0"/>
          <w:marRight w:val="0"/>
          <w:marTop w:val="0"/>
          <w:marBottom w:val="0"/>
          <w:divBdr>
            <w:top w:val="none" w:sz="0" w:space="0" w:color="auto"/>
            <w:left w:val="none" w:sz="0" w:space="0" w:color="auto"/>
            <w:bottom w:val="none" w:sz="0" w:space="0" w:color="auto"/>
            <w:right w:val="none" w:sz="0" w:space="0" w:color="auto"/>
          </w:divBdr>
          <w:divsChild>
            <w:div w:id="894198353">
              <w:marLeft w:val="0"/>
              <w:marRight w:val="0"/>
              <w:marTop w:val="0"/>
              <w:marBottom w:val="0"/>
              <w:divBdr>
                <w:top w:val="none" w:sz="0" w:space="0" w:color="auto"/>
                <w:left w:val="none" w:sz="0" w:space="0" w:color="auto"/>
                <w:bottom w:val="none" w:sz="0" w:space="0" w:color="auto"/>
                <w:right w:val="none" w:sz="0" w:space="0" w:color="auto"/>
              </w:divBdr>
              <w:divsChild>
                <w:div w:id="1433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6433">
      <w:bodyDiv w:val="1"/>
      <w:marLeft w:val="0"/>
      <w:marRight w:val="0"/>
      <w:marTop w:val="0"/>
      <w:marBottom w:val="0"/>
      <w:divBdr>
        <w:top w:val="none" w:sz="0" w:space="0" w:color="auto"/>
        <w:left w:val="none" w:sz="0" w:space="0" w:color="auto"/>
        <w:bottom w:val="none" w:sz="0" w:space="0" w:color="auto"/>
        <w:right w:val="none" w:sz="0" w:space="0" w:color="auto"/>
      </w:divBdr>
      <w:divsChild>
        <w:div w:id="684327867">
          <w:marLeft w:val="0"/>
          <w:marRight w:val="0"/>
          <w:marTop w:val="0"/>
          <w:marBottom w:val="0"/>
          <w:divBdr>
            <w:top w:val="none" w:sz="0" w:space="0" w:color="auto"/>
            <w:left w:val="none" w:sz="0" w:space="0" w:color="auto"/>
            <w:bottom w:val="none" w:sz="0" w:space="0" w:color="auto"/>
            <w:right w:val="none" w:sz="0" w:space="0" w:color="auto"/>
          </w:divBdr>
          <w:divsChild>
            <w:div w:id="1340549327">
              <w:marLeft w:val="0"/>
              <w:marRight w:val="0"/>
              <w:marTop w:val="0"/>
              <w:marBottom w:val="0"/>
              <w:divBdr>
                <w:top w:val="none" w:sz="0" w:space="0" w:color="auto"/>
                <w:left w:val="none" w:sz="0" w:space="0" w:color="auto"/>
                <w:bottom w:val="none" w:sz="0" w:space="0" w:color="auto"/>
                <w:right w:val="none" w:sz="0" w:space="0" w:color="auto"/>
              </w:divBdr>
              <w:divsChild>
                <w:div w:id="676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7441">
      <w:bodyDiv w:val="1"/>
      <w:marLeft w:val="0"/>
      <w:marRight w:val="0"/>
      <w:marTop w:val="0"/>
      <w:marBottom w:val="0"/>
      <w:divBdr>
        <w:top w:val="none" w:sz="0" w:space="0" w:color="auto"/>
        <w:left w:val="none" w:sz="0" w:space="0" w:color="auto"/>
        <w:bottom w:val="none" w:sz="0" w:space="0" w:color="auto"/>
        <w:right w:val="none" w:sz="0" w:space="0" w:color="auto"/>
      </w:divBdr>
      <w:divsChild>
        <w:div w:id="787237083">
          <w:marLeft w:val="0"/>
          <w:marRight w:val="0"/>
          <w:marTop w:val="0"/>
          <w:marBottom w:val="0"/>
          <w:divBdr>
            <w:top w:val="none" w:sz="0" w:space="0" w:color="auto"/>
            <w:left w:val="none" w:sz="0" w:space="0" w:color="auto"/>
            <w:bottom w:val="none" w:sz="0" w:space="0" w:color="auto"/>
            <w:right w:val="none" w:sz="0" w:space="0" w:color="auto"/>
          </w:divBdr>
        </w:div>
        <w:div w:id="301273066">
          <w:marLeft w:val="0"/>
          <w:marRight w:val="0"/>
          <w:marTop w:val="0"/>
          <w:marBottom w:val="0"/>
          <w:divBdr>
            <w:top w:val="none" w:sz="0" w:space="0" w:color="auto"/>
            <w:left w:val="none" w:sz="0" w:space="0" w:color="auto"/>
            <w:bottom w:val="none" w:sz="0" w:space="0" w:color="auto"/>
            <w:right w:val="none" w:sz="0" w:space="0" w:color="auto"/>
          </w:divBdr>
        </w:div>
        <w:div w:id="154347786">
          <w:marLeft w:val="0"/>
          <w:marRight w:val="0"/>
          <w:marTop w:val="0"/>
          <w:marBottom w:val="0"/>
          <w:divBdr>
            <w:top w:val="none" w:sz="0" w:space="0" w:color="auto"/>
            <w:left w:val="none" w:sz="0" w:space="0" w:color="auto"/>
            <w:bottom w:val="none" w:sz="0" w:space="0" w:color="auto"/>
            <w:right w:val="none" w:sz="0" w:space="0" w:color="auto"/>
          </w:divBdr>
        </w:div>
        <w:div w:id="5792686">
          <w:marLeft w:val="0"/>
          <w:marRight w:val="0"/>
          <w:marTop w:val="0"/>
          <w:marBottom w:val="0"/>
          <w:divBdr>
            <w:top w:val="none" w:sz="0" w:space="0" w:color="auto"/>
            <w:left w:val="none" w:sz="0" w:space="0" w:color="auto"/>
            <w:bottom w:val="none" w:sz="0" w:space="0" w:color="auto"/>
            <w:right w:val="none" w:sz="0" w:space="0" w:color="auto"/>
          </w:divBdr>
        </w:div>
      </w:divsChild>
    </w:div>
    <w:div w:id="594362285">
      <w:bodyDiv w:val="1"/>
      <w:marLeft w:val="0"/>
      <w:marRight w:val="0"/>
      <w:marTop w:val="0"/>
      <w:marBottom w:val="0"/>
      <w:divBdr>
        <w:top w:val="none" w:sz="0" w:space="0" w:color="auto"/>
        <w:left w:val="none" w:sz="0" w:space="0" w:color="auto"/>
        <w:bottom w:val="none" w:sz="0" w:space="0" w:color="auto"/>
        <w:right w:val="none" w:sz="0" w:space="0" w:color="auto"/>
      </w:divBdr>
      <w:divsChild>
        <w:div w:id="2063826500">
          <w:marLeft w:val="0"/>
          <w:marRight w:val="0"/>
          <w:marTop w:val="0"/>
          <w:marBottom w:val="0"/>
          <w:divBdr>
            <w:top w:val="none" w:sz="0" w:space="0" w:color="auto"/>
            <w:left w:val="none" w:sz="0" w:space="0" w:color="auto"/>
            <w:bottom w:val="none" w:sz="0" w:space="0" w:color="auto"/>
            <w:right w:val="none" w:sz="0" w:space="0" w:color="auto"/>
          </w:divBdr>
        </w:div>
        <w:div w:id="919410580">
          <w:marLeft w:val="0"/>
          <w:marRight w:val="0"/>
          <w:marTop w:val="0"/>
          <w:marBottom w:val="0"/>
          <w:divBdr>
            <w:top w:val="none" w:sz="0" w:space="0" w:color="auto"/>
            <w:left w:val="none" w:sz="0" w:space="0" w:color="auto"/>
            <w:bottom w:val="none" w:sz="0" w:space="0" w:color="auto"/>
            <w:right w:val="none" w:sz="0" w:space="0" w:color="auto"/>
          </w:divBdr>
        </w:div>
        <w:div w:id="318727232">
          <w:marLeft w:val="0"/>
          <w:marRight w:val="0"/>
          <w:marTop w:val="0"/>
          <w:marBottom w:val="0"/>
          <w:divBdr>
            <w:top w:val="none" w:sz="0" w:space="0" w:color="auto"/>
            <w:left w:val="none" w:sz="0" w:space="0" w:color="auto"/>
            <w:bottom w:val="none" w:sz="0" w:space="0" w:color="auto"/>
            <w:right w:val="none" w:sz="0" w:space="0" w:color="auto"/>
          </w:divBdr>
        </w:div>
        <w:div w:id="420028878">
          <w:marLeft w:val="0"/>
          <w:marRight w:val="0"/>
          <w:marTop w:val="0"/>
          <w:marBottom w:val="0"/>
          <w:divBdr>
            <w:top w:val="none" w:sz="0" w:space="0" w:color="auto"/>
            <w:left w:val="none" w:sz="0" w:space="0" w:color="auto"/>
            <w:bottom w:val="none" w:sz="0" w:space="0" w:color="auto"/>
            <w:right w:val="none" w:sz="0" w:space="0" w:color="auto"/>
          </w:divBdr>
        </w:div>
        <w:div w:id="1681002578">
          <w:marLeft w:val="0"/>
          <w:marRight w:val="0"/>
          <w:marTop w:val="0"/>
          <w:marBottom w:val="0"/>
          <w:divBdr>
            <w:top w:val="none" w:sz="0" w:space="0" w:color="auto"/>
            <w:left w:val="none" w:sz="0" w:space="0" w:color="auto"/>
            <w:bottom w:val="none" w:sz="0" w:space="0" w:color="auto"/>
            <w:right w:val="none" w:sz="0" w:space="0" w:color="auto"/>
          </w:divBdr>
        </w:div>
      </w:divsChild>
    </w:div>
    <w:div w:id="603926502">
      <w:bodyDiv w:val="1"/>
      <w:marLeft w:val="0"/>
      <w:marRight w:val="0"/>
      <w:marTop w:val="0"/>
      <w:marBottom w:val="0"/>
      <w:divBdr>
        <w:top w:val="none" w:sz="0" w:space="0" w:color="auto"/>
        <w:left w:val="none" w:sz="0" w:space="0" w:color="auto"/>
        <w:bottom w:val="none" w:sz="0" w:space="0" w:color="auto"/>
        <w:right w:val="none" w:sz="0" w:space="0" w:color="auto"/>
      </w:divBdr>
      <w:divsChild>
        <w:div w:id="1824925052">
          <w:marLeft w:val="0"/>
          <w:marRight w:val="0"/>
          <w:marTop w:val="0"/>
          <w:marBottom w:val="0"/>
          <w:divBdr>
            <w:top w:val="none" w:sz="0" w:space="0" w:color="auto"/>
            <w:left w:val="none" w:sz="0" w:space="0" w:color="auto"/>
            <w:bottom w:val="none" w:sz="0" w:space="0" w:color="auto"/>
            <w:right w:val="none" w:sz="0" w:space="0" w:color="auto"/>
          </w:divBdr>
        </w:div>
        <w:div w:id="683673491">
          <w:marLeft w:val="0"/>
          <w:marRight w:val="0"/>
          <w:marTop w:val="0"/>
          <w:marBottom w:val="0"/>
          <w:divBdr>
            <w:top w:val="none" w:sz="0" w:space="0" w:color="auto"/>
            <w:left w:val="none" w:sz="0" w:space="0" w:color="auto"/>
            <w:bottom w:val="none" w:sz="0" w:space="0" w:color="auto"/>
            <w:right w:val="none" w:sz="0" w:space="0" w:color="auto"/>
          </w:divBdr>
        </w:div>
      </w:divsChild>
    </w:div>
    <w:div w:id="610550229">
      <w:bodyDiv w:val="1"/>
      <w:marLeft w:val="0"/>
      <w:marRight w:val="0"/>
      <w:marTop w:val="0"/>
      <w:marBottom w:val="0"/>
      <w:divBdr>
        <w:top w:val="none" w:sz="0" w:space="0" w:color="auto"/>
        <w:left w:val="none" w:sz="0" w:space="0" w:color="auto"/>
        <w:bottom w:val="none" w:sz="0" w:space="0" w:color="auto"/>
        <w:right w:val="none" w:sz="0" w:space="0" w:color="auto"/>
      </w:divBdr>
      <w:divsChild>
        <w:div w:id="59183061">
          <w:marLeft w:val="0"/>
          <w:marRight w:val="0"/>
          <w:marTop w:val="0"/>
          <w:marBottom w:val="0"/>
          <w:divBdr>
            <w:top w:val="none" w:sz="0" w:space="0" w:color="auto"/>
            <w:left w:val="none" w:sz="0" w:space="0" w:color="auto"/>
            <w:bottom w:val="none" w:sz="0" w:space="0" w:color="auto"/>
            <w:right w:val="none" w:sz="0" w:space="0" w:color="auto"/>
          </w:divBdr>
        </w:div>
        <w:div w:id="1685979614">
          <w:marLeft w:val="0"/>
          <w:marRight w:val="0"/>
          <w:marTop w:val="0"/>
          <w:marBottom w:val="0"/>
          <w:divBdr>
            <w:top w:val="none" w:sz="0" w:space="0" w:color="auto"/>
            <w:left w:val="none" w:sz="0" w:space="0" w:color="auto"/>
            <w:bottom w:val="none" w:sz="0" w:space="0" w:color="auto"/>
            <w:right w:val="none" w:sz="0" w:space="0" w:color="auto"/>
          </w:divBdr>
        </w:div>
      </w:divsChild>
    </w:div>
    <w:div w:id="617176444">
      <w:bodyDiv w:val="1"/>
      <w:marLeft w:val="0"/>
      <w:marRight w:val="0"/>
      <w:marTop w:val="0"/>
      <w:marBottom w:val="0"/>
      <w:divBdr>
        <w:top w:val="none" w:sz="0" w:space="0" w:color="auto"/>
        <w:left w:val="none" w:sz="0" w:space="0" w:color="auto"/>
        <w:bottom w:val="none" w:sz="0" w:space="0" w:color="auto"/>
        <w:right w:val="none" w:sz="0" w:space="0" w:color="auto"/>
      </w:divBdr>
      <w:divsChild>
        <w:div w:id="629899097">
          <w:marLeft w:val="0"/>
          <w:marRight w:val="0"/>
          <w:marTop w:val="0"/>
          <w:marBottom w:val="0"/>
          <w:divBdr>
            <w:top w:val="none" w:sz="0" w:space="0" w:color="auto"/>
            <w:left w:val="none" w:sz="0" w:space="0" w:color="auto"/>
            <w:bottom w:val="none" w:sz="0" w:space="0" w:color="auto"/>
            <w:right w:val="none" w:sz="0" w:space="0" w:color="auto"/>
          </w:divBdr>
          <w:divsChild>
            <w:div w:id="1528132854">
              <w:marLeft w:val="0"/>
              <w:marRight w:val="0"/>
              <w:marTop w:val="0"/>
              <w:marBottom w:val="0"/>
              <w:divBdr>
                <w:top w:val="none" w:sz="0" w:space="0" w:color="auto"/>
                <w:left w:val="none" w:sz="0" w:space="0" w:color="auto"/>
                <w:bottom w:val="none" w:sz="0" w:space="0" w:color="auto"/>
                <w:right w:val="none" w:sz="0" w:space="0" w:color="auto"/>
              </w:divBdr>
              <w:divsChild>
                <w:div w:id="687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7485">
      <w:bodyDiv w:val="1"/>
      <w:marLeft w:val="0"/>
      <w:marRight w:val="0"/>
      <w:marTop w:val="0"/>
      <w:marBottom w:val="0"/>
      <w:divBdr>
        <w:top w:val="none" w:sz="0" w:space="0" w:color="auto"/>
        <w:left w:val="none" w:sz="0" w:space="0" w:color="auto"/>
        <w:bottom w:val="none" w:sz="0" w:space="0" w:color="auto"/>
        <w:right w:val="none" w:sz="0" w:space="0" w:color="auto"/>
      </w:divBdr>
      <w:divsChild>
        <w:div w:id="2116705991">
          <w:marLeft w:val="0"/>
          <w:marRight w:val="0"/>
          <w:marTop w:val="0"/>
          <w:marBottom w:val="0"/>
          <w:divBdr>
            <w:top w:val="none" w:sz="0" w:space="0" w:color="auto"/>
            <w:left w:val="none" w:sz="0" w:space="0" w:color="auto"/>
            <w:bottom w:val="none" w:sz="0" w:space="0" w:color="auto"/>
            <w:right w:val="none" w:sz="0" w:space="0" w:color="auto"/>
          </w:divBdr>
        </w:div>
      </w:divsChild>
    </w:div>
    <w:div w:id="635988576">
      <w:bodyDiv w:val="1"/>
      <w:marLeft w:val="0"/>
      <w:marRight w:val="0"/>
      <w:marTop w:val="0"/>
      <w:marBottom w:val="0"/>
      <w:divBdr>
        <w:top w:val="none" w:sz="0" w:space="0" w:color="auto"/>
        <w:left w:val="none" w:sz="0" w:space="0" w:color="auto"/>
        <w:bottom w:val="none" w:sz="0" w:space="0" w:color="auto"/>
        <w:right w:val="none" w:sz="0" w:space="0" w:color="auto"/>
      </w:divBdr>
    </w:div>
    <w:div w:id="642007607">
      <w:bodyDiv w:val="1"/>
      <w:marLeft w:val="0"/>
      <w:marRight w:val="0"/>
      <w:marTop w:val="0"/>
      <w:marBottom w:val="0"/>
      <w:divBdr>
        <w:top w:val="none" w:sz="0" w:space="0" w:color="auto"/>
        <w:left w:val="none" w:sz="0" w:space="0" w:color="auto"/>
        <w:bottom w:val="none" w:sz="0" w:space="0" w:color="auto"/>
        <w:right w:val="none" w:sz="0" w:space="0" w:color="auto"/>
      </w:divBdr>
    </w:div>
    <w:div w:id="710306189">
      <w:bodyDiv w:val="1"/>
      <w:marLeft w:val="0"/>
      <w:marRight w:val="0"/>
      <w:marTop w:val="0"/>
      <w:marBottom w:val="0"/>
      <w:divBdr>
        <w:top w:val="none" w:sz="0" w:space="0" w:color="auto"/>
        <w:left w:val="none" w:sz="0" w:space="0" w:color="auto"/>
        <w:bottom w:val="none" w:sz="0" w:space="0" w:color="auto"/>
        <w:right w:val="none" w:sz="0" w:space="0" w:color="auto"/>
      </w:divBdr>
      <w:divsChild>
        <w:div w:id="1801419529">
          <w:marLeft w:val="0"/>
          <w:marRight w:val="0"/>
          <w:marTop w:val="0"/>
          <w:marBottom w:val="0"/>
          <w:divBdr>
            <w:top w:val="none" w:sz="0" w:space="0" w:color="auto"/>
            <w:left w:val="none" w:sz="0" w:space="0" w:color="auto"/>
            <w:bottom w:val="none" w:sz="0" w:space="0" w:color="auto"/>
            <w:right w:val="none" w:sz="0" w:space="0" w:color="auto"/>
          </w:divBdr>
        </w:div>
      </w:divsChild>
    </w:div>
    <w:div w:id="763887979">
      <w:bodyDiv w:val="1"/>
      <w:marLeft w:val="0"/>
      <w:marRight w:val="0"/>
      <w:marTop w:val="0"/>
      <w:marBottom w:val="0"/>
      <w:divBdr>
        <w:top w:val="none" w:sz="0" w:space="0" w:color="auto"/>
        <w:left w:val="none" w:sz="0" w:space="0" w:color="auto"/>
        <w:bottom w:val="none" w:sz="0" w:space="0" w:color="auto"/>
        <w:right w:val="none" w:sz="0" w:space="0" w:color="auto"/>
      </w:divBdr>
      <w:divsChild>
        <w:div w:id="1947076680">
          <w:marLeft w:val="0"/>
          <w:marRight w:val="0"/>
          <w:marTop w:val="0"/>
          <w:marBottom w:val="0"/>
          <w:divBdr>
            <w:top w:val="none" w:sz="0" w:space="0" w:color="auto"/>
            <w:left w:val="none" w:sz="0" w:space="0" w:color="auto"/>
            <w:bottom w:val="none" w:sz="0" w:space="0" w:color="auto"/>
            <w:right w:val="none" w:sz="0" w:space="0" w:color="auto"/>
          </w:divBdr>
          <w:divsChild>
            <w:div w:id="1274048059">
              <w:marLeft w:val="0"/>
              <w:marRight w:val="0"/>
              <w:marTop w:val="0"/>
              <w:marBottom w:val="0"/>
              <w:divBdr>
                <w:top w:val="none" w:sz="0" w:space="0" w:color="auto"/>
                <w:left w:val="none" w:sz="0" w:space="0" w:color="auto"/>
                <w:bottom w:val="none" w:sz="0" w:space="0" w:color="auto"/>
                <w:right w:val="none" w:sz="0" w:space="0" w:color="auto"/>
              </w:divBdr>
              <w:divsChild>
                <w:div w:id="15782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924">
      <w:bodyDiv w:val="1"/>
      <w:marLeft w:val="0"/>
      <w:marRight w:val="0"/>
      <w:marTop w:val="0"/>
      <w:marBottom w:val="0"/>
      <w:divBdr>
        <w:top w:val="none" w:sz="0" w:space="0" w:color="auto"/>
        <w:left w:val="none" w:sz="0" w:space="0" w:color="auto"/>
        <w:bottom w:val="none" w:sz="0" w:space="0" w:color="auto"/>
        <w:right w:val="none" w:sz="0" w:space="0" w:color="auto"/>
      </w:divBdr>
      <w:divsChild>
        <w:div w:id="1040131022">
          <w:marLeft w:val="0"/>
          <w:marRight w:val="0"/>
          <w:marTop w:val="0"/>
          <w:marBottom w:val="0"/>
          <w:divBdr>
            <w:top w:val="none" w:sz="0" w:space="0" w:color="auto"/>
            <w:left w:val="none" w:sz="0" w:space="0" w:color="auto"/>
            <w:bottom w:val="none" w:sz="0" w:space="0" w:color="auto"/>
            <w:right w:val="none" w:sz="0" w:space="0" w:color="auto"/>
          </w:divBdr>
          <w:divsChild>
            <w:div w:id="1598752760">
              <w:marLeft w:val="0"/>
              <w:marRight w:val="0"/>
              <w:marTop w:val="0"/>
              <w:marBottom w:val="0"/>
              <w:divBdr>
                <w:top w:val="none" w:sz="0" w:space="0" w:color="auto"/>
                <w:left w:val="none" w:sz="0" w:space="0" w:color="auto"/>
                <w:bottom w:val="none" w:sz="0" w:space="0" w:color="auto"/>
                <w:right w:val="none" w:sz="0" w:space="0" w:color="auto"/>
              </w:divBdr>
              <w:divsChild>
                <w:div w:id="2107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6149">
      <w:bodyDiv w:val="1"/>
      <w:marLeft w:val="0"/>
      <w:marRight w:val="0"/>
      <w:marTop w:val="0"/>
      <w:marBottom w:val="0"/>
      <w:divBdr>
        <w:top w:val="none" w:sz="0" w:space="0" w:color="auto"/>
        <w:left w:val="none" w:sz="0" w:space="0" w:color="auto"/>
        <w:bottom w:val="none" w:sz="0" w:space="0" w:color="auto"/>
        <w:right w:val="none" w:sz="0" w:space="0" w:color="auto"/>
      </w:divBdr>
      <w:divsChild>
        <w:div w:id="1972396377">
          <w:marLeft w:val="0"/>
          <w:marRight w:val="0"/>
          <w:marTop w:val="0"/>
          <w:marBottom w:val="0"/>
          <w:divBdr>
            <w:top w:val="none" w:sz="0" w:space="0" w:color="auto"/>
            <w:left w:val="none" w:sz="0" w:space="0" w:color="auto"/>
            <w:bottom w:val="none" w:sz="0" w:space="0" w:color="auto"/>
            <w:right w:val="none" w:sz="0" w:space="0" w:color="auto"/>
          </w:divBdr>
          <w:divsChild>
            <w:div w:id="1219902391">
              <w:marLeft w:val="0"/>
              <w:marRight w:val="0"/>
              <w:marTop w:val="0"/>
              <w:marBottom w:val="0"/>
              <w:divBdr>
                <w:top w:val="none" w:sz="0" w:space="0" w:color="auto"/>
                <w:left w:val="none" w:sz="0" w:space="0" w:color="auto"/>
                <w:bottom w:val="none" w:sz="0" w:space="0" w:color="auto"/>
                <w:right w:val="none" w:sz="0" w:space="0" w:color="auto"/>
              </w:divBdr>
              <w:divsChild>
                <w:div w:id="539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80238">
      <w:bodyDiv w:val="1"/>
      <w:marLeft w:val="0"/>
      <w:marRight w:val="0"/>
      <w:marTop w:val="0"/>
      <w:marBottom w:val="0"/>
      <w:divBdr>
        <w:top w:val="none" w:sz="0" w:space="0" w:color="auto"/>
        <w:left w:val="none" w:sz="0" w:space="0" w:color="auto"/>
        <w:bottom w:val="none" w:sz="0" w:space="0" w:color="auto"/>
        <w:right w:val="none" w:sz="0" w:space="0" w:color="auto"/>
      </w:divBdr>
      <w:divsChild>
        <w:div w:id="703409289">
          <w:marLeft w:val="0"/>
          <w:marRight w:val="0"/>
          <w:marTop w:val="0"/>
          <w:marBottom w:val="0"/>
          <w:divBdr>
            <w:top w:val="none" w:sz="0" w:space="0" w:color="auto"/>
            <w:left w:val="none" w:sz="0" w:space="0" w:color="auto"/>
            <w:bottom w:val="none" w:sz="0" w:space="0" w:color="auto"/>
            <w:right w:val="none" w:sz="0" w:space="0" w:color="auto"/>
          </w:divBdr>
        </w:div>
        <w:div w:id="514922438">
          <w:marLeft w:val="0"/>
          <w:marRight w:val="0"/>
          <w:marTop w:val="0"/>
          <w:marBottom w:val="0"/>
          <w:divBdr>
            <w:top w:val="none" w:sz="0" w:space="0" w:color="auto"/>
            <w:left w:val="none" w:sz="0" w:space="0" w:color="auto"/>
            <w:bottom w:val="none" w:sz="0" w:space="0" w:color="auto"/>
            <w:right w:val="none" w:sz="0" w:space="0" w:color="auto"/>
          </w:divBdr>
        </w:div>
        <w:div w:id="461921402">
          <w:marLeft w:val="0"/>
          <w:marRight w:val="0"/>
          <w:marTop w:val="0"/>
          <w:marBottom w:val="0"/>
          <w:divBdr>
            <w:top w:val="none" w:sz="0" w:space="0" w:color="auto"/>
            <w:left w:val="none" w:sz="0" w:space="0" w:color="auto"/>
            <w:bottom w:val="none" w:sz="0" w:space="0" w:color="auto"/>
            <w:right w:val="none" w:sz="0" w:space="0" w:color="auto"/>
          </w:divBdr>
        </w:div>
        <w:div w:id="1470172759">
          <w:marLeft w:val="0"/>
          <w:marRight w:val="0"/>
          <w:marTop w:val="0"/>
          <w:marBottom w:val="0"/>
          <w:divBdr>
            <w:top w:val="none" w:sz="0" w:space="0" w:color="auto"/>
            <w:left w:val="none" w:sz="0" w:space="0" w:color="auto"/>
            <w:bottom w:val="none" w:sz="0" w:space="0" w:color="auto"/>
            <w:right w:val="none" w:sz="0" w:space="0" w:color="auto"/>
          </w:divBdr>
        </w:div>
      </w:divsChild>
    </w:div>
    <w:div w:id="903220655">
      <w:bodyDiv w:val="1"/>
      <w:marLeft w:val="0"/>
      <w:marRight w:val="0"/>
      <w:marTop w:val="0"/>
      <w:marBottom w:val="0"/>
      <w:divBdr>
        <w:top w:val="none" w:sz="0" w:space="0" w:color="auto"/>
        <w:left w:val="none" w:sz="0" w:space="0" w:color="auto"/>
        <w:bottom w:val="none" w:sz="0" w:space="0" w:color="auto"/>
        <w:right w:val="none" w:sz="0" w:space="0" w:color="auto"/>
      </w:divBdr>
      <w:divsChild>
        <w:div w:id="887424275">
          <w:marLeft w:val="0"/>
          <w:marRight w:val="0"/>
          <w:marTop w:val="0"/>
          <w:marBottom w:val="0"/>
          <w:divBdr>
            <w:top w:val="none" w:sz="0" w:space="0" w:color="auto"/>
            <w:left w:val="none" w:sz="0" w:space="0" w:color="auto"/>
            <w:bottom w:val="none" w:sz="0" w:space="0" w:color="auto"/>
            <w:right w:val="none" w:sz="0" w:space="0" w:color="auto"/>
          </w:divBdr>
          <w:divsChild>
            <w:div w:id="1504853131">
              <w:marLeft w:val="0"/>
              <w:marRight w:val="0"/>
              <w:marTop w:val="0"/>
              <w:marBottom w:val="0"/>
              <w:divBdr>
                <w:top w:val="none" w:sz="0" w:space="0" w:color="auto"/>
                <w:left w:val="none" w:sz="0" w:space="0" w:color="auto"/>
                <w:bottom w:val="none" w:sz="0" w:space="0" w:color="auto"/>
                <w:right w:val="none" w:sz="0" w:space="0" w:color="auto"/>
              </w:divBdr>
              <w:divsChild>
                <w:div w:id="3999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2783">
      <w:bodyDiv w:val="1"/>
      <w:marLeft w:val="0"/>
      <w:marRight w:val="0"/>
      <w:marTop w:val="0"/>
      <w:marBottom w:val="0"/>
      <w:divBdr>
        <w:top w:val="none" w:sz="0" w:space="0" w:color="auto"/>
        <w:left w:val="none" w:sz="0" w:space="0" w:color="auto"/>
        <w:bottom w:val="none" w:sz="0" w:space="0" w:color="auto"/>
        <w:right w:val="none" w:sz="0" w:space="0" w:color="auto"/>
      </w:divBdr>
      <w:divsChild>
        <w:div w:id="1666131945">
          <w:marLeft w:val="0"/>
          <w:marRight w:val="0"/>
          <w:marTop w:val="0"/>
          <w:marBottom w:val="0"/>
          <w:divBdr>
            <w:top w:val="none" w:sz="0" w:space="0" w:color="auto"/>
            <w:left w:val="none" w:sz="0" w:space="0" w:color="auto"/>
            <w:bottom w:val="none" w:sz="0" w:space="0" w:color="auto"/>
            <w:right w:val="none" w:sz="0" w:space="0" w:color="auto"/>
          </w:divBdr>
        </w:div>
        <w:div w:id="971904390">
          <w:marLeft w:val="0"/>
          <w:marRight w:val="0"/>
          <w:marTop w:val="0"/>
          <w:marBottom w:val="0"/>
          <w:divBdr>
            <w:top w:val="none" w:sz="0" w:space="0" w:color="auto"/>
            <w:left w:val="none" w:sz="0" w:space="0" w:color="auto"/>
            <w:bottom w:val="none" w:sz="0" w:space="0" w:color="auto"/>
            <w:right w:val="none" w:sz="0" w:space="0" w:color="auto"/>
          </w:divBdr>
        </w:div>
      </w:divsChild>
    </w:div>
    <w:div w:id="1068305583">
      <w:bodyDiv w:val="1"/>
      <w:marLeft w:val="0"/>
      <w:marRight w:val="0"/>
      <w:marTop w:val="0"/>
      <w:marBottom w:val="0"/>
      <w:divBdr>
        <w:top w:val="none" w:sz="0" w:space="0" w:color="auto"/>
        <w:left w:val="none" w:sz="0" w:space="0" w:color="auto"/>
        <w:bottom w:val="none" w:sz="0" w:space="0" w:color="auto"/>
        <w:right w:val="none" w:sz="0" w:space="0" w:color="auto"/>
      </w:divBdr>
      <w:divsChild>
        <w:div w:id="1258176465">
          <w:marLeft w:val="0"/>
          <w:marRight w:val="0"/>
          <w:marTop w:val="0"/>
          <w:marBottom w:val="0"/>
          <w:divBdr>
            <w:top w:val="none" w:sz="0" w:space="0" w:color="auto"/>
            <w:left w:val="none" w:sz="0" w:space="0" w:color="auto"/>
            <w:bottom w:val="none" w:sz="0" w:space="0" w:color="auto"/>
            <w:right w:val="none" w:sz="0" w:space="0" w:color="auto"/>
          </w:divBdr>
          <w:divsChild>
            <w:div w:id="137650338">
              <w:marLeft w:val="0"/>
              <w:marRight w:val="0"/>
              <w:marTop w:val="0"/>
              <w:marBottom w:val="0"/>
              <w:divBdr>
                <w:top w:val="none" w:sz="0" w:space="0" w:color="auto"/>
                <w:left w:val="none" w:sz="0" w:space="0" w:color="auto"/>
                <w:bottom w:val="none" w:sz="0" w:space="0" w:color="auto"/>
                <w:right w:val="none" w:sz="0" w:space="0" w:color="auto"/>
              </w:divBdr>
              <w:divsChild>
                <w:div w:id="17712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6748">
      <w:bodyDiv w:val="1"/>
      <w:marLeft w:val="0"/>
      <w:marRight w:val="0"/>
      <w:marTop w:val="0"/>
      <w:marBottom w:val="0"/>
      <w:divBdr>
        <w:top w:val="none" w:sz="0" w:space="0" w:color="auto"/>
        <w:left w:val="none" w:sz="0" w:space="0" w:color="auto"/>
        <w:bottom w:val="none" w:sz="0" w:space="0" w:color="auto"/>
        <w:right w:val="none" w:sz="0" w:space="0" w:color="auto"/>
      </w:divBdr>
      <w:divsChild>
        <w:div w:id="1659843606">
          <w:marLeft w:val="0"/>
          <w:marRight w:val="0"/>
          <w:marTop w:val="0"/>
          <w:marBottom w:val="0"/>
          <w:divBdr>
            <w:top w:val="none" w:sz="0" w:space="0" w:color="auto"/>
            <w:left w:val="none" w:sz="0" w:space="0" w:color="auto"/>
            <w:bottom w:val="none" w:sz="0" w:space="0" w:color="auto"/>
            <w:right w:val="none" w:sz="0" w:space="0" w:color="auto"/>
          </w:divBdr>
        </w:div>
      </w:divsChild>
    </w:div>
    <w:div w:id="1148942269">
      <w:bodyDiv w:val="1"/>
      <w:marLeft w:val="0"/>
      <w:marRight w:val="0"/>
      <w:marTop w:val="0"/>
      <w:marBottom w:val="0"/>
      <w:divBdr>
        <w:top w:val="none" w:sz="0" w:space="0" w:color="auto"/>
        <w:left w:val="none" w:sz="0" w:space="0" w:color="auto"/>
        <w:bottom w:val="none" w:sz="0" w:space="0" w:color="auto"/>
        <w:right w:val="none" w:sz="0" w:space="0" w:color="auto"/>
      </w:divBdr>
      <w:divsChild>
        <w:div w:id="1475944715">
          <w:marLeft w:val="0"/>
          <w:marRight w:val="0"/>
          <w:marTop w:val="0"/>
          <w:marBottom w:val="0"/>
          <w:divBdr>
            <w:top w:val="none" w:sz="0" w:space="0" w:color="auto"/>
            <w:left w:val="none" w:sz="0" w:space="0" w:color="auto"/>
            <w:bottom w:val="none" w:sz="0" w:space="0" w:color="auto"/>
            <w:right w:val="none" w:sz="0" w:space="0" w:color="auto"/>
          </w:divBdr>
          <w:divsChild>
            <w:div w:id="1338121881">
              <w:marLeft w:val="0"/>
              <w:marRight w:val="0"/>
              <w:marTop w:val="0"/>
              <w:marBottom w:val="0"/>
              <w:divBdr>
                <w:top w:val="none" w:sz="0" w:space="0" w:color="auto"/>
                <w:left w:val="none" w:sz="0" w:space="0" w:color="auto"/>
                <w:bottom w:val="none" w:sz="0" w:space="0" w:color="auto"/>
                <w:right w:val="none" w:sz="0" w:space="0" w:color="auto"/>
              </w:divBdr>
              <w:divsChild>
                <w:div w:id="2020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1417">
      <w:bodyDiv w:val="1"/>
      <w:marLeft w:val="0"/>
      <w:marRight w:val="0"/>
      <w:marTop w:val="0"/>
      <w:marBottom w:val="0"/>
      <w:divBdr>
        <w:top w:val="none" w:sz="0" w:space="0" w:color="auto"/>
        <w:left w:val="none" w:sz="0" w:space="0" w:color="auto"/>
        <w:bottom w:val="none" w:sz="0" w:space="0" w:color="auto"/>
        <w:right w:val="none" w:sz="0" w:space="0" w:color="auto"/>
      </w:divBdr>
      <w:divsChild>
        <w:div w:id="1884098830">
          <w:marLeft w:val="0"/>
          <w:marRight w:val="0"/>
          <w:marTop w:val="0"/>
          <w:marBottom w:val="0"/>
          <w:divBdr>
            <w:top w:val="none" w:sz="0" w:space="0" w:color="auto"/>
            <w:left w:val="none" w:sz="0" w:space="0" w:color="auto"/>
            <w:bottom w:val="none" w:sz="0" w:space="0" w:color="auto"/>
            <w:right w:val="none" w:sz="0" w:space="0" w:color="auto"/>
          </w:divBdr>
        </w:div>
        <w:div w:id="1242377075">
          <w:marLeft w:val="0"/>
          <w:marRight w:val="0"/>
          <w:marTop w:val="0"/>
          <w:marBottom w:val="0"/>
          <w:divBdr>
            <w:top w:val="none" w:sz="0" w:space="0" w:color="auto"/>
            <w:left w:val="none" w:sz="0" w:space="0" w:color="auto"/>
            <w:bottom w:val="none" w:sz="0" w:space="0" w:color="auto"/>
            <w:right w:val="none" w:sz="0" w:space="0" w:color="auto"/>
          </w:divBdr>
        </w:div>
        <w:div w:id="2015571782">
          <w:marLeft w:val="0"/>
          <w:marRight w:val="0"/>
          <w:marTop w:val="0"/>
          <w:marBottom w:val="0"/>
          <w:divBdr>
            <w:top w:val="none" w:sz="0" w:space="0" w:color="auto"/>
            <w:left w:val="none" w:sz="0" w:space="0" w:color="auto"/>
            <w:bottom w:val="none" w:sz="0" w:space="0" w:color="auto"/>
            <w:right w:val="none" w:sz="0" w:space="0" w:color="auto"/>
          </w:divBdr>
        </w:div>
        <w:div w:id="750275788">
          <w:marLeft w:val="0"/>
          <w:marRight w:val="0"/>
          <w:marTop w:val="0"/>
          <w:marBottom w:val="0"/>
          <w:divBdr>
            <w:top w:val="none" w:sz="0" w:space="0" w:color="auto"/>
            <w:left w:val="none" w:sz="0" w:space="0" w:color="auto"/>
            <w:bottom w:val="none" w:sz="0" w:space="0" w:color="auto"/>
            <w:right w:val="none" w:sz="0" w:space="0" w:color="auto"/>
          </w:divBdr>
        </w:div>
      </w:divsChild>
    </w:div>
    <w:div w:id="1216896219">
      <w:bodyDiv w:val="1"/>
      <w:marLeft w:val="0"/>
      <w:marRight w:val="0"/>
      <w:marTop w:val="0"/>
      <w:marBottom w:val="0"/>
      <w:divBdr>
        <w:top w:val="none" w:sz="0" w:space="0" w:color="auto"/>
        <w:left w:val="none" w:sz="0" w:space="0" w:color="auto"/>
        <w:bottom w:val="none" w:sz="0" w:space="0" w:color="auto"/>
        <w:right w:val="none" w:sz="0" w:space="0" w:color="auto"/>
      </w:divBdr>
      <w:divsChild>
        <w:div w:id="852451260">
          <w:marLeft w:val="0"/>
          <w:marRight w:val="0"/>
          <w:marTop w:val="0"/>
          <w:marBottom w:val="0"/>
          <w:divBdr>
            <w:top w:val="none" w:sz="0" w:space="0" w:color="auto"/>
            <w:left w:val="none" w:sz="0" w:space="0" w:color="auto"/>
            <w:bottom w:val="none" w:sz="0" w:space="0" w:color="auto"/>
            <w:right w:val="none" w:sz="0" w:space="0" w:color="auto"/>
          </w:divBdr>
          <w:divsChild>
            <w:div w:id="1474635927">
              <w:marLeft w:val="0"/>
              <w:marRight w:val="0"/>
              <w:marTop w:val="0"/>
              <w:marBottom w:val="0"/>
              <w:divBdr>
                <w:top w:val="none" w:sz="0" w:space="0" w:color="auto"/>
                <w:left w:val="none" w:sz="0" w:space="0" w:color="auto"/>
                <w:bottom w:val="none" w:sz="0" w:space="0" w:color="auto"/>
                <w:right w:val="none" w:sz="0" w:space="0" w:color="auto"/>
              </w:divBdr>
              <w:divsChild>
                <w:div w:id="6772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604">
      <w:bodyDiv w:val="1"/>
      <w:marLeft w:val="0"/>
      <w:marRight w:val="0"/>
      <w:marTop w:val="0"/>
      <w:marBottom w:val="0"/>
      <w:divBdr>
        <w:top w:val="none" w:sz="0" w:space="0" w:color="auto"/>
        <w:left w:val="none" w:sz="0" w:space="0" w:color="auto"/>
        <w:bottom w:val="none" w:sz="0" w:space="0" w:color="auto"/>
        <w:right w:val="none" w:sz="0" w:space="0" w:color="auto"/>
      </w:divBdr>
      <w:divsChild>
        <w:div w:id="834689989">
          <w:marLeft w:val="0"/>
          <w:marRight w:val="0"/>
          <w:marTop w:val="0"/>
          <w:marBottom w:val="0"/>
          <w:divBdr>
            <w:top w:val="none" w:sz="0" w:space="0" w:color="auto"/>
            <w:left w:val="none" w:sz="0" w:space="0" w:color="auto"/>
            <w:bottom w:val="none" w:sz="0" w:space="0" w:color="auto"/>
            <w:right w:val="none" w:sz="0" w:space="0" w:color="auto"/>
          </w:divBdr>
          <w:divsChild>
            <w:div w:id="681007251">
              <w:marLeft w:val="0"/>
              <w:marRight w:val="0"/>
              <w:marTop w:val="0"/>
              <w:marBottom w:val="0"/>
              <w:divBdr>
                <w:top w:val="none" w:sz="0" w:space="0" w:color="auto"/>
                <w:left w:val="none" w:sz="0" w:space="0" w:color="auto"/>
                <w:bottom w:val="none" w:sz="0" w:space="0" w:color="auto"/>
                <w:right w:val="none" w:sz="0" w:space="0" w:color="auto"/>
              </w:divBdr>
              <w:divsChild>
                <w:div w:id="1002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4580">
      <w:bodyDiv w:val="1"/>
      <w:marLeft w:val="0"/>
      <w:marRight w:val="0"/>
      <w:marTop w:val="0"/>
      <w:marBottom w:val="0"/>
      <w:divBdr>
        <w:top w:val="none" w:sz="0" w:space="0" w:color="auto"/>
        <w:left w:val="none" w:sz="0" w:space="0" w:color="auto"/>
        <w:bottom w:val="none" w:sz="0" w:space="0" w:color="auto"/>
        <w:right w:val="none" w:sz="0" w:space="0" w:color="auto"/>
      </w:divBdr>
    </w:div>
    <w:div w:id="1377392671">
      <w:bodyDiv w:val="1"/>
      <w:marLeft w:val="0"/>
      <w:marRight w:val="0"/>
      <w:marTop w:val="0"/>
      <w:marBottom w:val="0"/>
      <w:divBdr>
        <w:top w:val="none" w:sz="0" w:space="0" w:color="auto"/>
        <w:left w:val="none" w:sz="0" w:space="0" w:color="auto"/>
        <w:bottom w:val="none" w:sz="0" w:space="0" w:color="auto"/>
        <w:right w:val="none" w:sz="0" w:space="0" w:color="auto"/>
      </w:divBdr>
    </w:div>
    <w:div w:id="1482770482">
      <w:bodyDiv w:val="1"/>
      <w:marLeft w:val="0"/>
      <w:marRight w:val="0"/>
      <w:marTop w:val="0"/>
      <w:marBottom w:val="0"/>
      <w:divBdr>
        <w:top w:val="none" w:sz="0" w:space="0" w:color="auto"/>
        <w:left w:val="none" w:sz="0" w:space="0" w:color="auto"/>
        <w:bottom w:val="none" w:sz="0" w:space="0" w:color="auto"/>
        <w:right w:val="none" w:sz="0" w:space="0" w:color="auto"/>
      </w:divBdr>
      <w:divsChild>
        <w:div w:id="4526153">
          <w:marLeft w:val="0"/>
          <w:marRight w:val="0"/>
          <w:marTop w:val="0"/>
          <w:marBottom w:val="0"/>
          <w:divBdr>
            <w:top w:val="none" w:sz="0" w:space="0" w:color="auto"/>
            <w:left w:val="none" w:sz="0" w:space="0" w:color="auto"/>
            <w:bottom w:val="none" w:sz="0" w:space="0" w:color="auto"/>
            <w:right w:val="none" w:sz="0" w:space="0" w:color="auto"/>
          </w:divBdr>
          <w:divsChild>
            <w:div w:id="1206019549">
              <w:marLeft w:val="0"/>
              <w:marRight w:val="0"/>
              <w:marTop w:val="0"/>
              <w:marBottom w:val="0"/>
              <w:divBdr>
                <w:top w:val="none" w:sz="0" w:space="0" w:color="auto"/>
                <w:left w:val="none" w:sz="0" w:space="0" w:color="auto"/>
                <w:bottom w:val="none" w:sz="0" w:space="0" w:color="auto"/>
                <w:right w:val="none" w:sz="0" w:space="0" w:color="auto"/>
              </w:divBdr>
              <w:divsChild>
                <w:div w:id="63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4168">
      <w:bodyDiv w:val="1"/>
      <w:marLeft w:val="0"/>
      <w:marRight w:val="0"/>
      <w:marTop w:val="0"/>
      <w:marBottom w:val="0"/>
      <w:divBdr>
        <w:top w:val="none" w:sz="0" w:space="0" w:color="auto"/>
        <w:left w:val="none" w:sz="0" w:space="0" w:color="auto"/>
        <w:bottom w:val="none" w:sz="0" w:space="0" w:color="auto"/>
        <w:right w:val="none" w:sz="0" w:space="0" w:color="auto"/>
      </w:divBdr>
    </w:div>
    <w:div w:id="1544635069">
      <w:bodyDiv w:val="1"/>
      <w:marLeft w:val="0"/>
      <w:marRight w:val="0"/>
      <w:marTop w:val="0"/>
      <w:marBottom w:val="0"/>
      <w:divBdr>
        <w:top w:val="none" w:sz="0" w:space="0" w:color="auto"/>
        <w:left w:val="none" w:sz="0" w:space="0" w:color="auto"/>
        <w:bottom w:val="none" w:sz="0" w:space="0" w:color="auto"/>
        <w:right w:val="none" w:sz="0" w:space="0" w:color="auto"/>
      </w:divBdr>
      <w:divsChild>
        <w:div w:id="677316973">
          <w:marLeft w:val="0"/>
          <w:marRight w:val="0"/>
          <w:marTop w:val="0"/>
          <w:marBottom w:val="0"/>
          <w:divBdr>
            <w:top w:val="none" w:sz="0" w:space="0" w:color="auto"/>
            <w:left w:val="none" w:sz="0" w:space="0" w:color="auto"/>
            <w:bottom w:val="none" w:sz="0" w:space="0" w:color="auto"/>
            <w:right w:val="none" w:sz="0" w:space="0" w:color="auto"/>
          </w:divBdr>
        </w:div>
        <w:div w:id="456338864">
          <w:marLeft w:val="0"/>
          <w:marRight w:val="0"/>
          <w:marTop w:val="0"/>
          <w:marBottom w:val="0"/>
          <w:divBdr>
            <w:top w:val="none" w:sz="0" w:space="0" w:color="auto"/>
            <w:left w:val="none" w:sz="0" w:space="0" w:color="auto"/>
            <w:bottom w:val="none" w:sz="0" w:space="0" w:color="auto"/>
            <w:right w:val="none" w:sz="0" w:space="0" w:color="auto"/>
          </w:divBdr>
        </w:div>
        <w:div w:id="1442872658">
          <w:marLeft w:val="0"/>
          <w:marRight w:val="0"/>
          <w:marTop w:val="0"/>
          <w:marBottom w:val="0"/>
          <w:divBdr>
            <w:top w:val="none" w:sz="0" w:space="0" w:color="auto"/>
            <w:left w:val="none" w:sz="0" w:space="0" w:color="auto"/>
            <w:bottom w:val="none" w:sz="0" w:space="0" w:color="auto"/>
            <w:right w:val="none" w:sz="0" w:space="0" w:color="auto"/>
          </w:divBdr>
        </w:div>
        <w:div w:id="1929146839">
          <w:marLeft w:val="0"/>
          <w:marRight w:val="0"/>
          <w:marTop w:val="0"/>
          <w:marBottom w:val="0"/>
          <w:divBdr>
            <w:top w:val="none" w:sz="0" w:space="0" w:color="auto"/>
            <w:left w:val="none" w:sz="0" w:space="0" w:color="auto"/>
            <w:bottom w:val="none" w:sz="0" w:space="0" w:color="auto"/>
            <w:right w:val="none" w:sz="0" w:space="0" w:color="auto"/>
          </w:divBdr>
        </w:div>
      </w:divsChild>
    </w:div>
    <w:div w:id="1577594551">
      <w:bodyDiv w:val="1"/>
      <w:marLeft w:val="0"/>
      <w:marRight w:val="0"/>
      <w:marTop w:val="0"/>
      <w:marBottom w:val="0"/>
      <w:divBdr>
        <w:top w:val="none" w:sz="0" w:space="0" w:color="auto"/>
        <w:left w:val="none" w:sz="0" w:space="0" w:color="auto"/>
        <w:bottom w:val="none" w:sz="0" w:space="0" w:color="auto"/>
        <w:right w:val="none" w:sz="0" w:space="0" w:color="auto"/>
      </w:divBdr>
      <w:divsChild>
        <w:div w:id="487477800">
          <w:marLeft w:val="0"/>
          <w:marRight w:val="0"/>
          <w:marTop w:val="0"/>
          <w:marBottom w:val="0"/>
          <w:divBdr>
            <w:top w:val="none" w:sz="0" w:space="0" w:color="auto"/>
            <w:left w:val="none" w:sz="0" w:space="0" w:color="auto"/>
            <w:bottom w:val="none" w:sz="0" w:space="0" w:color="auto"/>
            <w:right w:val="none" w:sz="0" w:space="0" w:color="auto"/>
          </w:divBdr>
          <w:divsChild>
            <w:div w:id="1717853461">
              <w:marLeft w:val="0"/>
              <w:marRight w:val="0"/>
              <w:marTop w:val="0"/>
              <w:marBottom w:val="0"/>
              <w:divBdr>
                <w:top w:val="none" w:sz="0" w:space="0" w:color="auto"/>
                <w:left w:val="none" w:sz="0" w:space="0" w:color="auto"/>
                <w:bottom w:val="none" w:sz="0" w:space="0" w:color="auto"/>
                <w:right w:val="none" w:sz="0" w:space="0" w:color="auto"/>
              </w:divBdr>
              <w:divsChild>
                <w:div w:id="979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5439">
      <w:bodyDiv w:val="1"/>
      <w:marLeft w:val="0"/>
      <w:marRight w:val="0"/>
      <w:marTop w:val="0"/>
      <w:marBottom w:val="0"/>
      <w:divBdr>
        <w:top w:val="none" w:sz="0" w:space="0" w:color="auto"/>
        <w:left w:val="none" w:sz="0" w:space="0" w:color="auto"/>
        <w:bottom w:val="none" w:sz="0" w:space="0" w:color="auto"/>
        <w:right w:val="none" w:sz="0" w:space="0" w:color="auto"/>
      </w:divBdr>
      <w:divsChild>
        <w:div w:id="596979995">
          <w:marLeft w:val="0"/>
          <w:marRight w:val="0"/>
          <w:marTop w:val="0"/>
          <w:marBottom w:val="0"/>
          <w:divBdr>
            <w:top w:val="none" w:sz="0" w:space="0" w:color="auto"/>
            <w:left w:val="none" w:sz="0" w:space="0" w:color="auto"/>
            <w:bottom w:val="none" w:sz="0" w:space="0" w:color="auto"/>
            <w:right w:val="none" w:sz="0" w:space="0" w:color="auto"/>
          </w:divBdr>
          <w:divsChild>
            <w:div w:id="1823737350">
              <w:marLeft w:val="0"/>
              <w:marRight w:val="0"/>
              <w:marTop w:val="0"/>
              <w:marBottom w:val="0"/>
              <w:divBdr>
                <w:top w:val="none" w:sz="0" w:space="0" w:color="auto"/>
                <w:left w:val="none" w:sz="0" w:space="0" w:color="auto"/>
                <w:bottom w:val="none" w:sz="0" w:space="0" w:color="auto"/>
                <w:right w:val="none" w:sz="0" w:space="0" w:color="auto"/>
              </w:divBdr>
              <w:divsChild>
                <w:div w:id="206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28">
      <w:bodyDiv w:val="1"/>
      <w:marLeft w:val="0"/>
      <w:marRight w:val="0"/>
      <w:marTop w:val="0"/>
      <w:marBottom w:val="0"/>
      <w:divBdr>
        <w:top w:val="none" w:sz="0" w:space="0" w:color="auto"/>
        <w:left w:val="none" w:sz="0" w:space="0" w:color="auto"/>
        <w:bottom w:val="none" w:sz="0" w:space="0" w:color="auto"/>
        <w:right w:val="none" w:sz="0" w:space="0" w:color="auto"/>
      </w:divBdr>
      <w:divsChild>
        <w:div w:id="114302160">
          <w:marLeft w:val="0"/>
          <w:marRight w:val="0"/>
          <w:marTop w:val="0"/>
          <w:marBottom w:val="0"/>
          <w:divBdr>
            <w:top w:val="none" w:sz="0" w:space="0" w:color="auto"/>
            <w:left w:val="none" w:sz="0" w:space="0" w:color="auto"/>
            <w:bottom w:val="none" w:sz="0" w:space="0" w:color="auto"/>
            <w:right w:val="none" w:sz="0" w:space="0" w:color="auto"/>
          </w:divBdr>
          <w:divsChild>
            <w:div w:id="1951275553">
              <w:marLeft w:val="0"/>
              <w:marRight w:val="0"/>
              <w:marTop w:val="0"/>
              <w:marBottom w:val="0"/>
              <w:divBdr>
                <w:top w:val="none" w:sz="0" w:space="0" w:color="auto"/>
                <w:left w:val="none" w:sz="0" w:space="0" w:color="auto"/>
                <w:bottom w:val="none" w:sz="0" w:space="0" w:color="auto"/>
                <w:right w:val="none" w:sz="0" w:space="0" w:color="auto"/>
              </w:divBdr>
              <w:divsChild>
                <w:div w:id="1987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1737">
      <w:bodyDiv w:val="1"/>
      <w:marLeft w:val="0"/>
      <w:marRight w:val="0"/>
      <w:marTop w:val="0"/>
      <w:marBottom w:val="0"/>
      <w:divBdr>
        <w:top w:val="none" w:sz="0" w:space="0" w:color="auto"/>
        <w:left w:val="none" w:sz="0" w:space="0" w:color="auto"/>
        <w:bottom w:val="none" w:sz="0" w:space="0" w:color="auto"/>
        <w:right w:val="none" w:sz="0" w:space="0" w:color="auto"/>
      </w:divBdr>
      <w:divsChild>
        <w:div w:id="1296912015">
          <w:marLeft w:val="0"/>
          <w:marRight w:val="0"/>
          <w:marTop w:val="0"/>
          <w:marBottom w:val="0"/>
          <w:divBdr>
            <w:top w:val="none" w:sz="0" w:space="0" w:color="auto"/>
            <w:left w:val="none" w:sz="0" w:space="0" w:color="auto"/>
            <w:bottom w:val="none" w:sz="0" w:space="0" w:color="auto"/>
            <w:right w:val="none" w:sz="0" w:space="0" w:color="auto"/>
          </w:divBdr>
        </w:div>
      </w:divsChild>
    </w:div>
    <w:div w:id="1657152379">
      <w:bodyDiv w:val="1"/>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611396910">
              <w:marLeft w:val="0"/>
              <w:marRight w:val="0"/>
              <w:marTop w:val="0"/>
              <w:marBottom w:val="0"/>
              <w:divBdr>
                <w:top w:val="none" w:sz="0" w:space="0" w:color="auto"/>
                <w:left w:val="none" w:sz="0" w:space="0" w:color="auto"/>
                <w:bottom w:val="none" w:sz="0" w:space="0" w:color="auto"/>
                <w:right w:val="none" w:sz="0" w:space="0" w:color="auto"/>
              </w:divBdr>
              <w:divsChild>
                <w:div w:id="1603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2512">
      <w:bodyDiv w:val="1"/>
      <w:marLeft w:val="0"/>
      <w:marRight w:val="0"/>
      <w:marTop w:val="0"/>
      <w:marBottom w:val="0"/>
      <w:divBdr>
        <w:top w:val="none" w:sz="0" w:space="0" w:color="auto"/>
        <w:left w:val="none" w:sz="0" w:space="0" w:color="auto"/>
        <w:bottom w:val="none" w:sz="0" w:space="0" w:color="auto"/>
        <w:right w:val="none" w:sz="0" w:space="0" w:color="auto"/>
      </w:divBdr>
      <w:divsChild>
        <w:div w:id="387800837">
          <w:marLeft w:val="0"/>
          <w:marRight w:val="0"/>
          <w:marTop w:val="0"/>
          <w:marBottom w:val="0"/>
          <w:divBdr>
            <w:top w:val="none" w:sz="0" w:space="0" w:color="auto"/>
            <w:left w:val="none" w:sz="0" w:space="0" w:color="auto"/>
            <w:bottom w:val="none" w:sz="0" w:space="0" w:color="auto"/>
            <w:right w:val="none" w:sz="0" w:space="0" w:color="auto"/>
          </w:divBdr>
          <w:divsChild>
            <w:div w:id="2128039361">
              <w:marLeft w:val="0"/>
              <w:marRight w:val="0"/>
              <w:marTop w:val="0"/>
              <w:marBottom w:val="0"/>
              <w:divBdr>
                <w:top w:val="none" w:sz="0" w:space="0" w:color="auto"/>
                <w:left w:val="none" w:sz="0" w:space="0" w:color="auto"/>
                <w:bottom w:val="none" w:sz="0" w:space="0" w:color="auto"/>
                <w:right w:val="none" w:sz="0" w:space="0" w:color="auto"/>
              </w:divBdr>
              <w:divsChild>
                <w:div w:id="353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3530">
      <w:bodyDiv w:val="1"/>
      <w:marLeft w:val="0"/>
      <w:marRight w:val="0"/>
      <w:marTop w:val="0"/>
      <w:marBottom w:val="0"/>
      <w:divBdr>
        <w:top w:val="none" w:sz="0" w:space="0" w:color="auto"/>
        <w:left w:val="none" w:sz="0" w:space="0" w:color="auto"/>
        <w:bottom w:val="none" w:sz="0" w:space="0" w:color="auto"/>
        <w:right w:val="none" w:sz="0" w:space="0" w:color="auto"/>
      </w:divBdr>
      <w:divsChild>
        <w:div w:id="26224506">
          <w:marLeft w:val="0"/>
          <w:marRight w:val="0"/>
          <w:marTop w:val="0"/>
          <w:marBottom w:val="0"/>
          <w:divBdr>
            <w:top w:val="none" w:sz="0" w:space="0" w:color="auto"/>
            <w:left w:val="none" w:sz="0" w:space="0" w:color="auto"/>
            <w:bottom w:val="none" w:sz="0" w:space="0" w:color="auto"/>
            <w:right w:val="none" w:sz="0" w:space="0" w:color="auto"/>
          </w:divBdr>
        </w:div>
        <w:div w:id="393621814">
          <w:marLeft w:val="0"/>
          <w:marRight w:val="0"/>
          <w:marTop w:val="0"/>
          <w:marBottom w:val="0"/>
          <w:divBdr>
            <w:top w:val="none" w:sz="0" w:space="0" w:color="auto"/>
            <w:left w:val="none" w:sz="0" w:space="0" w:color="auto"/>
            <w:bottom w:val="none" w:sz="0" w:space="0" w:color="auto"/>
            <w:right w:val="none" w:sz="0" w:space="0" w:color="auto"/>
          </w:divBdr>
        </w:div>
        <w:div w:id="1877153310">
          <w:marLeft w:val="0"/>
          <w:marRight w:val="0"/>
          <w:marTop w:val="0"/>
          <w:marBottom w:val="0"/>
          <w:divBdr>
            <w:top w:val="none" w:sz="0" w:space="0" w:color="auto"/>
            <w:left w:val="none" w:sz="0" w:space="0" w:color="auto"/>
            <w:bottom w:val="none" w:sz="0" w:space="0" w:color="auto"/>
            <w:right w:val="none" w:sz="0" w:space="0" w:color="auto"/>
          </w:divBdr>
        </w:div>
        <w:div w:id="221410868">
          <w:marLeft w:val="0"/>
          <w:marRight w:val="0"/>
          <w:marTop w:val="0"/>
          <w:marBottom w:val="0"/>
          <w:divBdr>
            <w:top w:val="none" w:sz="0" w:space="0" w:color="auto"/>
            <w:left w:val="none" w:sz="0" w:space="0" w:color="auto"/>
            <w:bottom w:val="none" w:sz="0" w:space="0" w:color="auto"/>
            <w:right w:val="none" w:sz="0" w:space="0" w:color="auto"/>
          </w:divBdr>
        </w:div>
      </w:divsChild>
    </w:div>
    <w:div w:id="1781223280">
      <w:bodyDiv w:val="1"/>
      <w:marLeft w:val="0"/>
      <w:marRight w:val="0"/>
      <w:marTop w:val="0"/>
      <w:marBottom w:val="0"/>
      <w:divBdr>
        <w:top w:val="none" w:sz="0" w:space="0" w:color="auto"/>
        <w:left w:val="none" w:sz="0" w:space="0" w:color="auto"/>
        <w:bottom w:val="none" w:sz="0" w:space="0" w:color="auto"/>
        <w:right w:val="none" w:sz="0" w:space="0" w:color="auto"/>
      </w:divBdr>
      <w:divsChild>
        <w:div w:id="1371611732">
          <w:marLeft w:val="0"/>
          <w:marRight w:val="0"/>
          <w:marTop w:val="0"/>
          <w:marBottom w:val="0"/>
          <w:divBdr>
            <w:top w:val="none" w:sz="0" w:space="0" w:color="auto"/>
            <w:left w:val="none" w:sz="0" w:space="0" w:color="auto"/>
            <w:bottom w:val="none" w:sz="0" w:space="0" w:color="auto"/>
            <w:right w:val="none" w:sz="0" w:space="0" w:color="auto"/>
          </w:divBdr>
        </w:div>
        <w:div w:id="2065058914">
          <w:marLeft w:val="0"/>
          <w:marRight w:val="0"/>
          <w:marTop w:val="0"/>
          <w:marBottom w:val="0"/>
          <w:divBdr>
            <w:top w:val="none" w:sz="0" w:space="0" w:color="auto"/>
            <w:left w:val="none" w:sz="0" w:space="0" w:color="auto"/>
            <w:bottom w:val="none" w:sz="0" w:space="0" w:color="auto"/>
            <w:right w:val="none" w:sz="0" w:space="0" w:color="auto"/>
          </w:divBdr>
        </w:div>
        <w:div w:id="1813717761">
          <w:marLeft w:val="0"/>
          <w:marRight w:val="0"/>
          <w:marTop w:val="0"/>
          <w:marBottom w:val="0"/>
          <w:divBdr>
            <w:top w:val="none" w:sz="0" w:space="0" w:color="auto"/>
            <w:left w:val="none" w:sz="0" w:space="0" w:color="auto"/>
            <w:bottom w:val="none" w:sz="0" w:space="0" w:color="auto"/>
            <w:right w:val="none" w:sz="0" w:space="0" w:color="auto"/>
          </w:divBdr>
        </w:div>
        <w:div w:id="1851218149">
          <w:marLeft w:val="0"/>
          <w:marRight w:val="0"/>
          <w:marTop w:val="0"/>
          <w:marBottom w:val="0"/>
          <w:divBdr>
            <w:top w:val="none" w:sz="0" w:space="0" w:color="auto"/>
            <w:left w:val="none" w:sz="0" w:space="0" w:color="auto"/>
            <w:bottom w:val="none" w:sz="0" w:space="0" w:color="auto"/>
            <w:right w:val="none" w:sz="0" w:space="0" w:color="auto"/>
          </w:divBdr>
        </w:div>
      </w:divsChild>
    </w:div>
    <w:div w:id="1793478876">
      <w:bodyDiv w:val="1"/>
      <w:marLeft w:val="0"/>
      <w:marRight w:val="0"/>
      <w:marTop w:val="0"/>
      <w:marBottom w:val="0"/>
      <w:divBdr>
        <w:top w:val="none" w:sz="0" w:space="0" w:color="auto"/>
        <w:left w:val="none" w:sz="0" w:space="0" w:color="auto"/>
        <w:bottom w:val="none" w:sz="0" w:space="0" w:color="auto"/>
        <w:right w:val="none" w:sz="0" w:space="0" w:color="auto"/>
      </w:divBdr>
      <w:divsChild>
        <w:div w:id="831023056">
          <w:marLeft w:val="0"/>
          <w:marRight w:val="0"/>
          <w:marTop w:val="0"/>
          <w:marBottom w:val="0"/>
          <w:divBdr>
            <w:top w:val="none" w:sz="0" w:space="0" w:color="auto"/>
            <w:left w:val="none" w:sz="0" w:space="0" w:color="auto"/>
            <w:bottom w:val="none" w:sz="0" w:space="0" w:color="auto"/>
            <w:right w:val="none" w:sz="0" w:space="0" w:color="auto"/>
          </w:divBdr>
        </w:div>
        <w:div w:id="925651118">
          <w:marLeft w:val="0"/>
          <w:marRight w:val="0"/>
          <w:marTop w:val="0"/>
          <w:marBottom w:val="0"/>
          <w:divBdr>
            <w:top w:val="none" w:sz="0" w:space="0" w:color="auto"/>
            <w:left w:val="none" w:sz="0" w:space="0" w:color="auto"/>
            <w:bottom w:val="none" w:sz="0" w:space="0" w:color="auto"/>
            <w:right w:val="none" w:sz="0" w:space="0" w:color="auto"/>
          </w:divBdr>
        </w:div>
        <w:div w:id="940186263">
          <w:marLeft w:val="0"/>
          <w:marRight w:val="0"/>
          <w:marTop w:val="0"/>
          <w:marBottom w:val="0"/>
          <w:divBdr>
            <w:top w:val="none" w:sz="0" w:space="0" w:color="auto"/>
            <w:left w:val="none" w:sz="0" w:space="0" w:color="auto"/>
            <w:bottom w:val="none" w:sz="0" w:space="0" w:color="auto"/>
            <w:right w:val="none" w:sz="0" w:space="0" w:color="auto"/>
          </w:divBdr>
        </w:div>
        <w:div w:id="739907181">
          <w:marLeft w:val="0"/>
          <w:marRight w:val="0"/>
          <w:marTop w:val="0"/>
          <w:marBottom w:val="0"/>
          <w:divBdr>
            <w:top w:val="none" w:sz="0" w:space="0" w:color="auto"/>
            <w:left w:val="none" w:sz="0" w:space="0" w:color="auto"/>
            <w:bottom w:val="none" w:sz="0" w:space="0" w:color="auto"/>
            <w:right w:val="none" w:sz="0" w:space="0" w:color="auto"/>
          </w:divBdr>
        </w:div>
        <w:div w:id="1361514863">
          <w:marLeft w:val="0"/>
          <w:marRight w:val="0"/>
          <w:marTop w:val="0"/>
          <w:marBottom w:val="0"/>
          <w:divBdr>
            <w:top w:val="none" w:sz="0" w:space="0" w:color="auto"/>
            <w:left w:val="none" w:sz="0" w:space="0" w:color="auto"/>
            <w:bottom w:val="none" w:sz="0" w:space="0" w:color="auto"/>
            <w:right w:val="none" w:sz="0" w:space="0" w:color="auto"/>
          </w:divBdr>
        </w:div>
        <w:div w:id="1472090385">
          <w:marLeft w:val="0"/>
          <w:marRight w:val="0"/>
          <w:marTop w:val="0"/>
          <w:marBottom w:val="0"/>
          <w:divBdr>
            <w:top w:val="none" w:sz="0" w:space="0" w:color="auto"/>
            <w:left w:val="none" w:sz="0" w:space="0" w:color="auto"/>
            <w:bottom w:val="none" w:sz="0" w:space="0" w:color="auto"/>
            <w:right w:val="none" w:sz="0" w:space="0" w:color="auto"/>
          </w:divBdr>
        </w:div>
        <w:div w:id="311108320">
          <w:marLeft w:val="0"/>
          <w:marRight w:val="0"/>
          <w:marTop w:val="0"/>
          <w:marBottom w:val="0"/>
          <w:divBdr>
            <w:top w:val="none" w:sz="0" w:space="0" w:color="auto"/>
            <w:left w:val="none" w:sz="0" w:space="0" w:color="auto"/>
            <w:bottom w:val="none" w:sz="0" w:space="0" w:color="auto"/>
            <w:right w:val="none" w:sz="0" w:space="0" w:color="auto"/>
          </w:divBdr>
        </w:div>
      </w:divsChild>
    </w:div>
    <w:div w:id="1824081011">
      <w:bodyDiv w:val="1"/>
      <w:marLeft w:val="0"/>
      <w:marRight w:val="0"/>
      <w:marTop w:val="0"/>
      <w:marBottom w:val="0"/>
      <w:divBdr>
        <w:top w:val="none" w:sz="0" w:space="0" w:color="auto"/>
        <w:left w:val="none" w:sz="0" w:space="0" w:color="auto"/>
        <w:bottom w:val="none" w:sz="0" w:space="0" w:color="auto"/>
        <w:right w:val="none" w:sz="0" w:space="0" w:color="auto"/>
      </w:divBdr>
      <w:divsChild>
        <w:div w:id="1502115467">
          <w:marLeft w:val="0"/>
          <w:marRight w:val="0"/>
          <w:marTop w:val="0"/>
          <w:marBottom w:val="0"/>
          <w:divBdr>
            <w:top w:val="none" w:sz="0" w:space="0" w:color="auto"/>
            <w:left w:val="none" w:sz="0" w:space="0" w:color="auto"/>
            <w:bottom w:val="none" w:sz="0" w:space="0" w:color="auto"/>
            <w:right w:val="none" w:sz="0" w:space="0" w:color="auto"/>
          </w:divBdr>
        </w:div>
      </w:divsChild>
    </w:div>
    <w:div w:id="1901163757">
      <w:bodyDiv w:val="1"/>
      <w:marLeft w:val="0"/>
      <w:marRight w:val="0"/>
      <w:marTop w:val="0"/>
      <w:marBottom w:val="0"/>
      <w:divBdr>
        <w:top w:val="none" w:sz="0" w:space="0" w:color="auto"/>
        <w:left w:val="none" w:sz="0" w:space="0" w:color="auto"/>
        <w:bottom w:val="none" w:sz="0" w:space="0" w:color="auto"/>
        <w:right w:val="none" w:sz="0" w:space="0" w:color="auto"/>
      </w:divBdr>
    </w:div>
    <w:div w:id="1914198286">
      <w:bodyDiv w:val="1"/>
      <w:marLeft w:val="0"/>
      <w:marRight w:val="0"/>
      <w:marTop w:val="0"/>
      <w:marBottom w:val="0"/>
      <w:divBdr>
        <w:top w:val="none" w:sz="0" w:space="0" w:color="auto"/>
        <w:left w:val="none" w:sz="0" w:space="0" w:color="auto"/>
        <w:bottom w:val="none" w:sz="0" w:space="0" w:color="auto"/>
        <w:right w:val="none" w:sz="0" w:space="0" w:color="auto"/>
      </w:divBdr>
      <w:divsChild>
        <w:div w:id="616763523">
          <w:marLeft w:val="0"/>
          <w:marRight w:val="0"/>
          <w:marTop w:val="0"/>
          <w:marBottom w:val="0"/>
          <w:divBdr>
            <w:top w:val="none" w:sz="0" w:space="0" w:color="auto"/>
            <w:left w:val="none" w:sz="0" w:space="0" w:color="auto"/>
            <w:bottom w:val="none" w:sz="0" w:space="0" w:color="auto"/>
            <w:right w:val="none" w:sz="0" w:space="0" w:color="auto"/>
          </w:divBdr>
        </w:div>
        <w:div w:id="2100978284">
          <w:marLeft w:val="0"/>
          <w:marRight w:val="0"/>
          <w:marTop w:val="0"/>
          <w:marBottom w:val="0"/>
          <w:divBdr>
            <w:top w:val="none" w:sz="0" w:space="0" w:color="auto"/>
            <w:left w:val="none" w:sz="0" w:space="0" w:color="auto"/>
            <w:bottom w:val="none" w:sz="0" w:space="0" w:color="auto"/>
            <w:right w:val="none" w:sz="0" w:space="0" w:color="auto"/>
          </w:divBdr>
        </w:div>
        <w:div w:id="1989555118">
          <w:marLeft w:val="0"/>
          <w:marRight w:val="0"/>
          <w:marTop w:val="0"/>
          <w:marBottom w:val="0"/>
          <w:divBdr>
            <w:top w:val="none" w:sz="0" w:space="0" w:color="auto"/>
            <w:left w:val="none" w:sz="0" w:space="0" w:color="auto"/>
            <w:bottom w:val="none" w:sz="0" w:space="0" w:color="auto"/>
            <w:right w:val="none" w:sz="0" w:space="0" w:color="auto"/>
          </w:divBdr>
        </w:div>
        <w:div w:id="1015376446">
          <w:marLeft w:val="0"/>
          <w:marRight w:val="0"/>
          <w:marTop w:val="0"/>
          <w:marBottom w:val="0"/>
          <w:divBdr>
            <w:top w:val="none" w:sz="0" w:space="0" w:color="auto"/>
            <w:left w:val="none" w:sz="0" w:space="0" w:color="auto"/>
            <w:bottom w:val="none" w:sz="0" w:space="0" w:color="auto"/>
            <w:right w:val="none" w:sz="0" w:space="0" w:color="auto"/>
          </w:divBdr>
        </w:div>
      </w:divsChild>
    </w:div>
    <w:div w:id="1923946739">
      <w:bodyDiv w:val="1"/>
      <w:marLeft w:val="0"/>
      <w:marRight w:val="0"/>
      <w:marTop w:val="0"/>
      <w:marBottom w:val="0"/>
      <w:divBdr>
        <w:top w:val="none" w:sz="0" w:space="0" w:color="auto"/>
        <w:left w:val="none" w:sz="0" w:space="0" w:color="auto"/>
        <w:bottom w:val="none" w:sz="0" w:space="0" w:color="auto"/>
        <w:right w:val="none" w:sz="0" w:space="0" w:color="auto"/>
      </w:divBdr>
      <w:divsChild>
        <w:div w:id="662853087">
          <w:marLeft w:val="0"/>
          <w:marRight w:val="0"/>
          <w:marTop w:val="0"/>
          <w:marBottom w:val="0"/>
          <w:divBdr>
            <w:top w:val="none" w:sz="0" w:space="0" w:color="auto"/>
            <w:left w:val="none" w:sz="0" w:space="0" w:color="auto"/>
            <w:bottom w:val="none" w:sz="0" w:space="0" w:color="auto"/>
            <w:right w:val="none" w:sz="0" w:space="0" w:color="auto"/>
          </w:divBdr>
          <w:divsChild>
            <w:div w:id="1275479219">
              <w:marLeft w:val="0"/>
              <w:marRight w:val="0"/>
              <w:marTop w:val="0"/>
              <w:marBottom w:val="0"/>
              <w:divBdr>
                <w:top w:val="none" w:sz="0" w:space="0" w:color="auto"/>
                <w:left w:val="none" w:sz="0" w:space="0" w:color="auto"/>
                <w:bottom w:val="none" w:sz="0" w:space="0" w:color="auto"/>
                <w:right w:val="none" w:sz="0" w:space="0" w:color="auto"/>
              </w:divBdr>
              <w:divsChild>
                <w:div w:id="21138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5195">
      <w:bodyDiv w:val="1"/>
      <w:marLeft w:val="0"/>
      <w:marRight w:val="0"/>
      <w:marTop w:val="0"/>
      <w:marBottom w:val="0"/>
      <w:divBdr>
        <w:top w:val="none" w:sz="0" w:space="0" w:color="auto"/>
        <w:left w:val="none" w:sz="0" w:space="0" w:color="auto"/>
        <w:bottom w:val="none" w:sz="0" w:space="0" w:color="auto"/>
        <w:right w:val="none" w:sz="0" w:space="0" w:color="auto"/>
      </w:divBdr>
    </w:div>
    <w:div w:id="2044402158">
      <w:bodyDiv w:val="1"/>
      <w:marLeft w:val="0"/>
      <w:marRight w:val="0"/>
      <w:marTop w:val="0"/>
      <w:marBottom w:val="0"/>
      <w:divBdr>
        <w:top w:val="none" w:sz="0" w:space="0" w:color="auto"/>
        <w:left w:val="none" w:sz="0" w:space="0" w:color="auto"/>
        <w:bottom w:val="none" w:sz="0" w:space="0" w:color="auto"/>
        <w:right w:val="none" w:sz="0" w:space="0" w:color="auto"/>
      </w:divBdr>
    </w:div>
    <w:div w:id="20901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3.png@01D07774.1E4A6C9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FE8A-9FF5-4757-9117-06E56E96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7297</Words>
  <Characters>39040</Characters>
  <Application>Microsoft Office Word</Application>
  <DocSecurity>0</DocSecurity>
  <Lines>1346</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2022-11-28T10:36:00Z</dcterms:created>
  <dcterms:modified xsi:type="dcterms:W3CDTF">2022-11-29T04:27:00Z</dcterms:modified>
</cp:coreProperties>
</file>