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77777777"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38F2996F" w:rsidR="006C43D7" w:rsidRPr="006C43D7" w:rsidRDefault="006C43D7" w:rsidP="006C43D7">
      <w:pPr>
        <w:spacing w:line="360" w:lineRule="auto"/>
        <w:jc w:val="right"/>
        <w:rPr>
          <w:b/>
        </w:rPr>
      </w:pPr>
      <w:r w:rsidRPr="006C43D7">
        <w:rPr>
          <w:b/>
        </w:rPr>
        <w:t xml:space="preserve">CASE NO: </w:t>
      </w:r>
      <w:r w:rsidR="00C460A0">
        <w:rPr>
          <w:b/>
        </w:rPr>
        <w:t>2019/34367</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657EDA" w:rsidRPr="00913F95" w:rsidRDefault="00657EDA" w:rsidP="006C43D7">
                            <w:pPr>
                              <w:jc w:val="center"/>
                              <w:rPr>
                                <w:rFonts w:ascii="Century Gothic" w:hAnsi="Century Gothic"/>
                                <w:b/>
                                <w:sz w:val="20"/>
                                <w:szCs w:val="20"/>
                              </w:rPr>
                            </w:pPr>
                          </w:p>
                          <w:p w14:paraId="01FDAE28" w14:textId="4822CA58" w:rsidR="00657EDA" w:rsidRDefault="001A7A60" w:rsidP="001A7A6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C460A0">
                              <w:rPr>
                                <w:rFonts w:ascii="Century Gothic" w:hAnsi="Century Gothic"/>
                                <w:sz w:val="20"/>
                                <w:szCs w:val="20"/>
                              </w:rPr>
                              <w:t>NO</w:t>
                            </w:r>
                          </w:p>
                          <w:p w14:paraId="3A4C7296" w14:textId="2EFA01C6" w:rsidR="00657EDA" w:rsidRPr="001D3CC2" w:rsidRDefault="001A7A60" w:rsidP="001A7A6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xml:space="preserve">: </w:t>
                            </w:r>
                            <w:r w:rsidR="00C460A0">
                              <w:rPr>
                                <w:rFonts w:ascii="Century Gothic" w:hAnsi="Century Gothic"/>
                                <w:sz w:val="20"/>
                                <w:szCs w:val="20"/>
                              </w:rPr>
                              <w:t>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657EDA" w:rsidRPr="00913F95" w:rsidRDefault="00657EDA" w:rsidP="006C43D7">
                      <w:pPr>
                        <w:jc w:val="center"/>
                        <w:rPr>
                          <w:rFonts w:ascii="Century Gothic" w:hAnsi="Century Gothic"/>
                          <w:b/>
                          <w:sz w:val="20"/>
                          <w:szCs w:val="20"/>
                        </w:rPr>
                      </w:pPr>
                    </w:p>
                    <w:p w14:paraId="01FDAE28" w14:textId="4822CA58" w:rsidR="00657EDA" w:rsidRDefault="001A7A60" w:rsidP="001A7A6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C460A0">
                        <w:rPr>
                          <w:rFonts w:ascii="Century Gothic" w:hAnsi="Century Gothic"/>
                          <w:sz w:val="20"/>
                          <w:szCs w:val="20"/>
                        </w:rPr>
                        <w:t>NO</w:t>
                      </w:r>
                    </w:p>
                    <w:p w14:paraId="3A4C7296" w14:textId="2EFA01C6" w:rsidR="00657EDA" w:rsidRPr="001D3CC2" w:rsidRDefault="001A7A60" w:rsidP="001A7A6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xml:space="preserve">: </w:t>
                      </w:r>
                      <w:r w:rsidR="00C460A0">
                        <w:rPr>
                          <w:rFonts w:ascii="Century Gothic" w:hAnsi="Century Gothic"/>
                          <w:sz w:val="20"/>
                          <w:szCs w:val="20"/>
                        </w:rPr>
                        <w:t>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2B6DE434" w:rsidR="001D3CC2" w:rsidRDefault="001D3CC2" w:rsidP="006C43D7">
      <w:pPr>
        <w:spacing w:line="480" w:lineRule="auto"/>
        <w:jc w:val="both"/>
        <w:rPr>
          <w:rFonts w:cs="Arial"/>
          <w:szCs w:val="22"/>
        </w:rPr>
      </w:pPr>
    </w:p>
    <w:p w14:paraId="6A0A2D73" w14:textId="6E803B8B" w:rsidR="00056571" w:rsidRPr="006C43D7" w:rsidRDefault="002E1F42" w:rsidP="00056571">
      <w:pPr>
        <w:spacing w:line="480" w:lineRule="auto"/>
        <w:jc w:val="both"/>
        <w:rPr>
          <w:rFonts w:cs="Arial"/>
          <w:szCs w:val="22"/>
        </w:rPr>
      </w:pPr>
      <w:r>
        <w:rPr>
          <w:rFonts w:cs="Arial"/>
          <w:szCs w:val="22"/>
        </w:rPr>
        <w:t>In</w:t>
      </w:r>
      <w:r w:rsidR="00056571" w:rsidRPr="006C43D7">
        <w:rPr>
          <w:rFonts w:cs="Arial"/>
          <w:szCs w:val="22"/>
        </w:rPr>
        <w:t xml:space="preserve"> the </w:t>
      </w:r>
      <w:r w:rsidR="00056571">
        <w:rPr>
          <w:rFonts w:cs="Arial"/>
          <w:szCs w:val="22"/>
        </w:rPr>
        <w:t>application bet</w:t>
      </w:r>
      <w:r w:rsidR="00056571" w:rsidRPr="006C43D7">
        <w:rPr>
          <w:rFonts w:cs="Arial"/>
          <w:szCs w:val="22"/>
        </w:rPr>
        <w: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070"/>
      </w:tblGrid>
      <w:tr w:rsidR="00056571" w14:paraId="2F8FC559" w14:textId="77777777" w:rsidTr="00A95B08">
        <w:tc>
          <w:tcPr>
            <w:tcW w:w="6232" w:type="dxa"/>
          </w:tcPr>
          <w:p w14:paraId="66E4D5A4" w14:textId="619C4A80" w:rsidR="00056571" w:rsidRDefault="00056571" w:rsidP="00A95B08">
            <w:pPr>
              <w:spacing w:line="480" w:lineRule="auto"/>
              <w:jc w:val="both"/>
              <w:rPr>
                <w:rFonts w:cs="Arial"/>
                <w:szCs w:val="22"/>
              </w:rPr>
            </w:pPr>
            <w:r>
              <w:rPr>
                <w:b/>
                <w:szCs w:val="22"/>
              </w:rPr>
              <w:t>CAJIAO, LUIS JAVIER</w:t>
            </w:r>
          </w:p>
        </w:tc>
        <w:tc>
          <w:tcPr>
            <w:tcW w:w="2070" w:type="dxa"/>
          </w:tcPr>
          <w:p w14:paraId="73E4E771" w14:textId="77777777" w:rsidR="00056571" w:rsidRDefault="00056571" w:rsidP="00A95B08">
            <w:pPr>
              <w:spacing w:line="480" w:lineRule="auto"/>
              <w:jc w:val="both"/>
              <w:rPr>
                <w:rFonts w:cs="Arial"/>
                <w:szCs w:val="22"/>
              </w:rPr>
            </w:pPr>
            <w:r>
              <w:rPr>
                <w:rFonts w:cs="Arial"/>
                <w:szCs w:val="22"/>
              </w:rPr>
              <w:t>Applicant</w:t>
            </w:r>
          </w:p>
        </w:tc>
      </w:tr>
      <w:tr w:rsidR="00056571" w14:paraId="7DE6DE4B" w14:textId="77777777" w:rsidTr="00A95B08">
        <w:tc>
          <w:tcPr>
            <w:tcW w:w="6232" w:type="dxa"/>
          </w:tcPr>
          <w:p w14:paraId="3992C55E" w14:textId="77777777" w:rsidR="00056571" w:rsidRDefault="00056571" w:rsidP="00A95B08">
            <w:pPr>
              <w:spacing w:line="480" w:lineRule="auto"/>
              <w:jc w:val="both"/>
              <w:rPr>
                <w:b/>
                <w:szCs w:val="22"/>
              </w:rPr>
            </w:pPr>
            <w:r>
              <w:rPr>
                <w:b/>
                <w:szCs w:val="22"/>
              </w:rPr>
              <w:t>and</w:t>
            </w:r>
          </w:p>
        </w:tc>
        <w:tc>
          <w:tcPr>
            <w:tcW w:w="2070" w:type="dxa"/>
          </w:tcPr>
          <w:p w14:paraId="4EAA7F6A" w14:textId="77777777" w:rsidR="00056571" w:rsidRDefault="00056571" w:rsidP="00A95B08">
            <w:pPr>
              <w:spacing w:line="480" w:lineRule="auto"/>
              <w:jc w:val="both"/>
              <w:rPr>
                <w:rFonts w:cs="Arial"/>
                <w:szCs w:val="22"/>
              </w:rPr>
            </w:pPr>
          </w:p>
        </w:tc>
      </w:tr>
      <w:tr w:rsidR="00056571" w14:paraId="3E5BBD80" w14:textId="77777777" w:rsidTr="00A95B08">
        <w:tc>
          <w:tcPr>
            <w:tcW w:w="6232" w:type="dxa"/>
          </w:tcPr>
          <w:p w14:paraId="1CEAECD1" w14:textId="1F963C84" w:rsidR="00056571" w:rsidRDefault="00056571" w:rsidP="00A95B08">
            <w:pPr>
              <w:spacing w:line="480" w:lineRule="auto"/>
              <w:jc w:val="both"/>
              <w:rPr>
                <w:b/>
                <w:szCs w:val="22"/>
              </w:rPr>
            </w:pPr>
            <w:r>
              <w:rPr>
                <w:b/>
                <w:szCs w:val="22"/>
              </w:rPr>
              <w:t xml:space="preserve">CAJIAO, LELANIE EMMARENTIA </w:t>
            </w:r>
          </w:p>
        </w:tc>
        <w:tc>
          <w:tcPr>
            <w:tcW w:w="2070" w:type="dxa"/>
          </w:tcPr>
          <w:p w14:paraId="7B8BD448" w14:textId="77777777" w:rsidR="00056571" w:rsidRDefault="00056571" w:rsidP="00A95B08">
            <w:pPr>
              <w:spacing w:line="480" w:lineRule="auto"/>
              <w:jc w:val="both"/>
              <w:rPr>
                <w:rFonts w:cs="Arial"/>
                <w:szCs w:val="22"/>
              </w:rPr>
            </w:pPr>
            <w:r>
              <w:rPr>
                <w:rFonts w:cs="Arial"/>
                <w:szCs w:val="22"/>
              </w:rPr>
              <w:t>Respondent</w:t>
            </w:r>
          </w:p>
        </w:tc>
      </w:tr>
    </w:tbl>
    <w:p w14:paraId="6F3DFABD" w14:textId="77777777" w:rsidR="002E1F42" w:rsidRDefault="002E1F42" w:rsidP="00AA7A76">
      <w:pPr>
        <w:spacing w:line="480" w:lineRule="auto"/>
        <w:jc w:val="both"/>
        <w:rPr>
          <w:rFonts w:cs="Arial"/>
          <w:i/>
          <w:iCs/>
          <w:szCs w:val="22"/>
        </w:rPr>
      </w:pPr>
    </w:p>
    <w:p w14:paraId="65EE98C6" w14:textId="4879444C" w:rsidR="00AA7A76" w:rsidRPr="006C43D7" w:rsidRDefault="00AA7A76" w:rsidP="00AA7A76">
      <w:pPr>
        <w:spacing w:line="480" w:lineRule="auto"/>
        <w:jc w:val="both"/>
        <w:rPr>
          <w:rFonts w:cs="Arial"/>
          <w:szCs w:val="22"/>
        </w:rPr>
      </w:pPr>
      <w:r w:rsidRPr="00056571">
        <w:rPr>
          <w:rFonts w:cs="Arial"/>
          <w:i/>
          <w:iCs/>
          <w:szCs w:val="22"/>
        </w:rPr>
        <w:t>In</w:t>
      </w:r>
      <w:r w:rsidR="00056571" w:rsidRPr="00056571">
        <w:rPr>
          <w:rFonts w:cs="Arial"/>
          <w:i/>
          <w:iCs/>
          <w:szCs w:val="22"/>
        </w:rPr>
        <w:t xml:space="preserve"> re</w:t>
      </w:r>
      <w:r w:rsidRPr="006C43D7">
        <w:rPr>
          <w:rFonts w:cs="Arial"/>
          <w:szCs w:val="22"/>
        </w:rPr>
        <w:t xml:space="preserve">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070"/>
      </w:tblGrid>
      <w:tr w:rsidR="002104BF" w14:paraId="4E86F7E7" w14:textId="77777777" w:rsidTr="002104BF">
        <w:tc>
          <w:tcPr>
            <w:tcW w:w="6232" w:type="dxa"/>
          </w:tcPr>
          <w:p w14:paraId="74EE3EDE" w14:textId="1CED9BE2" w:rsidR="002104BF" w:rsidRDefault="002104BF" w:rsidP="00AA7A76">
            <w:pPr>
              <w:spacing w:line="480" w:lineRule="auto"/>
              <w:jc w:val="both"/>
              <w:rPr>
                <w:rFonts w:cs="Arial"/>
                <w:szCs w:val="22"/>
              </w:rPr>
            </w:pPr>
            <w:r>
              <w:rPr>
                <w:b/>
                <w:szCs w:val="22"/>
              </w:rPr>
              <w:t>CAJIAO, LELANIE EMMARENTIA</w:t>
            </w:r>
          </w:p>
        </w:tc>
        <w:tc>
          <w:tcPr>
            <w:tcW w:w="2070" w:type="dxa"/>
          </w:tcPr>
          <w:p w14:paraId="72EECEF8" w14:textId="11B75D3A" w:rsidR="002104BF" w:rsidRDefault="002104BF" w:rsidP="00AA7A76">
            <w:pPr>
              <w:spacing w:line="480" w:lineRule="auto"/>
              <w:jc w:val="both"/>
              <w:rPr>
                <w:rFonts w:cs="Arial"/>
                <w:szCs w:val="22"/>
              </w:rPr>
            </w:pPr>
            <w:r>
              <w:rPr>
                <w:rFonts w:cs="Arial"/>
                <w:szCs w:val="22"/>
              </w:rPr>
              <w:t>Applicant</w:t>
            </w:r>
          </w:p>
        </w:tc>
      </w:tr>
      <w:tr w:rsidR="002104BF" w14:paraId="64E42908" w14:textId="77777777" w:rsidTr="002104BF">
        <w:tc>
          <w:tcPr>
            <w:tcW w:w="6232" w:type="dxa"/>
          </w:tcPr>
          <w:p w14:paraId="6E1E5BEB" w14:textId="24690245" w:rsidR="002104BF" w:rsidRDefault="002104BF" w:rsidP="00AA7A76">
            <w:pPr>
              <w:spacing w:line="480" w:lineRule="auto"/>
              <w:jc w:val="both"/>
              <w:rPr>
                <w:b/>
                <w:szCs w:val="22"/>
              </w:rPr>
            </w:pPr>
            <w:r>
              <w:rPr>
                <w:b/>
                <w:szCs w:val="22"/>
              </w:rPr>
              <w:t>and</w:t>
            </w:r>
          </w:p>
        </w:tc>
        <w:tc>
          <w:tcPr>
            <w:tcW w:w="2070" w:type="dxa"/>
          </w:tcPr>
          <w:p w14:paraId="1DB932F2" w14:textId="77777777" w:rsidR="002104BF" w:rsidRDefault="002104BF" w:rsidP="00AA7A76">
            <w:pPr>
              <w:spacing w:line="480" w:lineRule="auto"/>
              <w:jc w:val="both"/>
              <w:rPr>
                <w:rFonts w:cs="Arial"/>
                <w:szCs w:val="22"/>
              </w:rPr>
            </w:pPr>
          </w:p>
        </w:tc>
      </w:tr>
      <w:tr w:rsidR="002104BF" w14:paraId="3BCAF70A" w14:textId="77777777" w:rsidTr="002104BF">
        <w:tc>
          <w:tcPr>
            <w:tcW w:w="6232" w:type="dxa"/>
          </w:tcPr>
          <w:p w14:paraId="0E8BF73D" w14:textId="4C858E39" w:rsidR="002104BF" w:rsidRDefault="002104BF" w:rsidP="00AA7A76">
            <w:pPr>
              <w:spacing w:line="480" w:lineRule="auto"/>
              <w:jc w:val="both"/>
              <w:rPr>
                <w:b/>
                <w:szCs w:val="22"/>
              </w:rPr>
            </w:pPr>
            <w:r>
              <w:rPr>
                <w:b/>
                <w:szCs w:val="22"/>
              </w:rPr>
              <w:t>CAJIAO, LUIS JAVIER</w:t>
            </w:r>
          </w:p>
        </w:tc>
        <w:tc>
          <w:tcPr>
            <w:tcW w:w="2070" w:type="dxa"/>
          </w:tcPr>
          <w:p w14:paraId="2A989CFA" w14:textId="13068AEF" w:rsidR="002104BF" w:rsidRDefault="002104BF" w:rsidP="00AA7A76">
            <w:pPr>
              <w:spacing w:line="480" w:lineRule="auto"/>
              <w:jc w:val="both"/>
              <w:rPr>
                <w:rFonts w:cs="Arial"/>
                <w:szCs w:val="22"/>
              </w:rPr>
            </w:pPr>
            <w:r>
              <w:rPr>
                <w:rFonts w:cs="Arial"/>
                <w:szCs w:val="22"/>
              </w:rPr>
              <w:t>Respondent</w:t>
            </w:r>
          </w:p>
        </w:tc>
      </w:tr>
    </w:tbl>
    <w:p w14:paraId="387BBDD6" w14:textId="1E7AA91B" w:rsidR="00BF086D"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5BD82EFE" w14:textId="36A151C3" w:rsidR="00BE6AB8" w:rsidRPr="00BE6AB8" w:rsidRDefault="002E1F42" w:rsidP="00BE6AB8">
      <w:pPr>
        <w:spacing w:after="480" w:line="480" w:lineRule="auto"/>
        <w:jc w:val="both"/>
        <w:rPr>
          <w:rFonts w:cs="Arial"/>
          <w:b/>
          <w:szCs w:val="22"/>
        </w:rPr>
      </w:pPr>
      <w:r>
        <w:rPr>
          <w:rFonts w:cs="Arial"/>
          <w:b/>
          <w:szCs w:val="22"/>
        </w:rPr>
        <w:t>M</w:t>
      </w:r>
      <w:r w:rsidR="00C676F3">
        <w:rPr>
          <w:rFonts w:cs="Arial"/>
          <w:b/>
          <w:szCs w:val="22"/>
        </w:rPr>
        <w:t>OORCROFT</w:t>
      </w:r>
      <w:r w:rsidR="006C43D7" w:rsidRPr="006C43D7">
        <w:rPr>
          <w:rFonts w:cs="Arial"/>
          <w:b/>
          <w:szCs w:val="22"/>
        </w:rPr>
        <w:t xml:space="preserve"> AJ:</w:t>
      </w:r>
    </w:p>
    <w:p w14:paraId="09239A78" w14:textId="09A71187" w:rsidR="00C460A0" w:rsidRPr="006A438B" w:rsidRDefault="00C460A0" w:rsidP="00653BA4">
      <w:pPr>
        <w:keepNext/>
        <w:spacing w:after="480" w:line="480" w:lineRule="auto"/>
        <w:jc w:val="both"/>
        <w:rPr>
          <w:rFonts w:cs="Arial"/>
          <w:bCs/>
          <w:i/>
          <w:iCs/>
          <w:sz w:val="20"/>
          <w:szCs w:val="20"/>
          <w:u w:val="single"/>
        </w:rPr>
      </w:pPr>
      <w:r w:rsidRPr="006A438B">
        <w:rPr>
          <w:rFonts w:cs="Arial"/>
          <w:bCs/>
          <w:i/>
          <w:iCs/>
          <w:sz w:val="20"/>
          <w:szCs w:val="20"/>
          <w:u w:val="single"/>
        </w:rPr>
        <w:lastRenderedPageBreak/>
        <w:t>Summary</w:t>
      </w:r>
    </w:p>
    <w:p w14:paraId="441492A8" w14:textId="7DCA58F6" w:rsidR="00C9310B" w:rsidRPr="002E1F42" w:rsidRDefault="00E56012" w:rsidP="00653BA4">
      <w:pPr>
        <w:keepNext/>
        <w:spacing w:after="480" w:line="480" w:lineRule="auto"/>
        <w:jc w:val="both"/>
        <w:rPr>
          <w:rFonts w:cs="Arial"/>
          <w:bCs/>
          <w:i/>
          <w:iCs/>
          <w:sz w:val="20"/>
          <w:szCs w:val="20"/>
        </w:rPr>
      </w:pPr>
      <w:r>
        <w:rPr>
          <w:rFonts w:cs="Arial"/>
          <w:bCs/>
          <w:i/>
          <w:iCs/>
          <w:sz w:val="20"/>
          <w:szCs w:val="20"/>
        </w:rPr>
        <w:t>Application for leave to app</w:t>
      </w:r>
      <w:r w:rsidRPr="002E1F42">
        <w:rPr>
          <w:rFonts w:cs="Arial"/>
          <w:bCs/>
          <w:i/>
          <w:iCs/>
          <w:sz w:val="20"/>
          <w:szCs w:val="20"/>
        </w:rPr>
        <w:t xml:space="preserve">eal - </w:t>
      </w:r>
      <w:r w:rsidR="002E1F42" w:rsidRPr="002E1F42">
        <w:rPr>
          <w:rFonts w:eastAsia="Calibri" w:cs="Arial"/>
          <w:i/>
          <w:iCs/>
          <w:sz w:val="20"/>
          <w:szCs w:val="20"/>
        </w:rPr>
        <w:t>Section 17(1)(a)(</w:t>
      </w:r>
      <w:proofErr w:type="spellStart"/>
      <w:r w:rsidR="002E1F42" w:rsidRPr="002E1F42">
        <w:rPr>
          <w:rFonts w:eastAsia="Calibri" w:cs="Arial"/>
          <w:i/>
          <w:iCs/>
          <w:sz w:val="20"/>
          <w:szCs w:val="20"/>
        </w:rPr>
        <w:t>i</w:t>
      </w:r>
      <w:proofErr w:type="spellEnd"/>
      <w:r w:rsidR="002E1F42" w:rsidRPr="002E1F42">
        <w:rPr>
          <w:rFonts w:eastAsia="Calibri" w:cs="Arial"/>
          <w:i/>
          <w:iCs/>
          <w:sz w:val="20"/>
          <w:szCs w:val="20"/>
        </w:rPr>
        <w:t>) and (ii) of the Superior Courts Act, 10 of 2013</w:t>
      </w:r>
      <w:r w:rsidR="002E1F42">
        <w:rPr>
          <w:rFonts w:eastAsia="Calibri" w:cs="Arial"/>
          <w:i/>
          <w:iCs/>
          <w:sz w:val="20"/>
          <w:szCs w:val="20"/>
        </w:rPr>
        <w:t xml:space="preserve"> – Reasonable prospects of success – section 173 of the Constitution</w:t>
      </w:r>
      <w:r w:rsidR="0060531B">
        <w:rPr>
          <w:rFonts w:eastAsia="Calibri" w:cs="Arial"/>
          <w:i/>
          <w:iCs/>
          <w:sz w:val="20"/>
          <w:szCs w:val="20"/>
        </w:rPr>
        <w:t xml:space="preserve"> of the Republic of South Africa, 1996</w:t>
      </w: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14F25029" w:rsidR="00313056" w:rsidRDefault="001A7A60" w:rsidP="001A7A60">
      <w:pPr>
        <w:tabs>
          <w:tab w:val="left" w:pos="567"/>
        </w:tabs>
        <w:spacing w:after="480" w:line="480" w:lineRule="auto"/>
        <w:jc w:val="both"/>
        <w:rPr>
          <w:rFonts w:cs="Arial"/>
          <w:bCs/>
          <w:szCs w:val="22"/>
        </w:rPr>
      </w:pPr>
      <w:r>
        <w:rPr>
          <w:rFonts w:cs="Arial"/>
          <w:bCs/>
          <w:szCs w:val="22"/>
        </w:rPr>
        <w:t>[1]</w:t>
      </w:r>
      <w:r>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make the following order:</w:t>
      </w:r>
    </w:p>
    <w:p w14:paraId="098221F0" w14:textId="0954CABC" w:rsidR="00E56012" w:rsidRPr="001A7A60" w:rsidRDefault="001A7A60" w:rsidP="001A7A60">
      <w:pPr>
        <w:spacing w:after="240"/>
        <w:ind w:left="924" w:hanging="564"/>
        <w:jc w:val="both"/>
        <w:rPr>
          <w:rFonts w:cs="Arial"/>
          <w:bCs/>
          <w:i/>
          <w:sz w:val="20"/>
          <w:szCs w:val="22"/>
        </w:rPr>
      </w:pPr>
      <w:r>
        <w:rPr>
          <w:rFonts w:cs="Arial"/>
          <w:bCs/>
          <w:i/>
          <w:sz w:val="20"/>
          <w:szCs w:val="22"/>
        </w:rPr>
        <w:t>1.</w:t>
      </w:r>
      <w:r>
        <w:rPr>
          <w:rFonts w:cs="Arial"/>
          <w:bCs/>
          <w:i/>
          <w:sz w:val="20"/>
          <w:szCs w:val="22"/>
        </w:rPr>
        <w:tab/>
      </w:r>
      <w:r w:rsidR="00912F58" w:rsidRPr="001A7A60">
        <w:rPr>
          <w:rFonts w:cs="Arial"/>
          <w:bCs/>
          <w:i/>
          <w:sz w:val="20"/>
          <w:szCs w:val="22"/>
        </w:rPr>
        <w:t xml:space="preserve">The application for leave to appeal is </w:t>
      </w:r>
      <w:proofErr w:type="gramStart"/>
      <w:r w:rsidR="00912F58" w:rsidRPr="001A7A60">
        <w:rPr>
          <w:rFonts w:cs="Arial"/>
          <w:bCs/>
          <w:i/>
          <w:sz w:val="20"/>
          <w:szCs w:val="22"/>
        </w:rPr>
        <w:t>dismissed;</w:t>
      </w:r>
      <w:proofErr w:type="gramEnd"/>
    </w:p>
    <w:p w14:paraId="3FDF8FCE" w14:textId="47E46995" w:rsidR="00751452" w:rsidRPr="001A7A60" w:rsidRDefault="001A7A60" w:rsidP="001A7A60">
      <w:pPr>
        <w:spacing w:after="240"/>
        <w:ind w:left="924" w:hanging="564"/>
        <w:jc w:val="both"/>
        <w:rPr>
          <w:rFonts w:cs="Arial"/>
          <w:bCs/>
          <w:i/>
          <w:sz w:val="20"/>
          <w:szCs w:val="22"/>
        </w:rPr>
      </w:pPr>
      <w:r>
        <w:rPr>
          <w:rFonts w:cs="Arial"/>
          <w:bCs/>
          <w:i/>
          <w:sz w:val="20"/>
          <w:szCs w:val="22"/>
        </w:rPr>
        <w:t>2.</w:t>
      </w:r>
      <w:r>
        <w:rPr>
          <w:rFonts w:cs="Arial"/>
          <w:bCs/>
          <w:i/>
          <w:sz w:val="20"/>
          <w:szCs w:val="22"/>
        </w:rPr>
        <w:tab/>
      </w:r>
      <w:r w:rsidR="00912F58" w:rsidRPr="001A7A60">
        <w:rPr>
          <w:rFonts w:cs="Arial"/>
          <w:bCs/>
          <w:i/>
          <w:sz w:val="20"/>
          <w:szCs w:val="22"/>
        </w:rPr>
        <w:t>The applicant for leave to appeal is ordered to pay the costs of the application.</w:t>
      </w:r>
    </w:p>
    <w:p w14:paraId="3242EFE5" w14:textId="77777777" w:rsidR="00912F58" w:rsidRPr="00912F58" w:rsidRDefault="00912F58" w:rsidP="00912F58">
      <w:pPr>
        <w:spacing w:after="240"/>
        <w:ind w:left="360"/>
        <w:jc w:val="both"/>
        <w:rPr>
          <w:rFonts w:cs="Arial"/>
          <w:bCs/>
          <w:i/>
          <w:sz w:val="20"/>
          <w:szCs w:val="22"/>
        </w:rPr>
      </w:pPr>
    </w:p>
    <w:p w14:paraId="450A90C9" w14:textId="77C0977D" w:rsidR="002E1F42" w:rsidRPr="00585C4E" w:rsidRDefault="001A7A60" w:rsidP="00585C4E">
      <w:pPr>
        <w:tabs>
          <w:tab w:val="left" w:pos="567"/>
        </w:tabs>
        <w:spacing w:after="240"/>
        <w:jc w:val="both"/>
        <w:rPr>
          <w:rFonts w:cs="Arial"/>
          <w:bCs/>
          <w:szCs w:val="22"/>
        </w:rPr>
      </w:pPr>
      <w:r w:rsidRPr="00573FF9">
        <w:rPr>
          <w:rFonts w:cs="Arial"/>
          <w:bCs/>
          <w:szCs w:val="22"/>
        </w:rPr>
        <w:t>[2]</w:t>
      </w:r>
      <w:proofErr w:type="gramStart"/>
      <w:r w:rsidRPr="00573FF9">
        <w:rPr>
          <w:rFonts w:cs="Arial"/>
          <w:bCs/>
          <w:szCs w:val="22"/>
        </w:rPr>
        <w:tab/>
      </w:r>
      <w:r w:rsidR="00573FF9" w:rsidRPr="001A7A60">
        <w:rPr>
          <w:rFonts w:cs="Arial"/>
          <w:bCs/>
          <w:i/>
          <w:sz w:val="20"/>
          <w:szCs w:val="22"/>
        </w:rPr>
        <w:t xml:space="preserve">  </w:t>
      </w:r>
      <w:r w:rsidR="00573FF9" w:rsidRPr="001A7A60">
        <w:rPr>
          <w:rFonts w:cs="Arial"/>
          <w:bCs/>
          <w:szCs w:val="22"/>
        </w:rPr>
        <w:t>The</w:t>
      </w:r>
      <w:proofErr w:type="gramEnd"/>
      <w:r w:rsidR="00573FF9" w:rsidRPr="001A7A60">
        <w:rPr>
          <w:rFonts w:cs="Arial"/>
          <w:bCs/>
          <w:szCs w:val="22"/>
        </w:rPr>
        <w:t xml:space="preserve"> reasons for the order follow below.</w:t>
      </w:r>
    </w:p>
    <w:p w14:paraId="3658C913" w14:textId="42049666" w:rsidR="00573FF9" w:rsidRPr="00573FF9" w:rsidRDefault="00573FF9" w:rsidP="00C9310B">
      <w:pPr>
        <w:widowControl w:val="0"/>
        <w:spacing w:before="480" w:after="480" w:line="480" w:lineRule="auto"/>
        <w:jc w:val="both"/>
        <w:rPr>
          <w:rFonts w:cs="Arial"/>
          <w:bCs/>
          <w:szCs w:val="22"/>
          <w:u w:val="single"/>
        </w:rPr>
      </w:pPr>
      <w:r w:rsidRPr="00573FF9">
        <w:rPr>
          <w:rFonts w:cs="Arial"/>
          <w:bCs/>
          <w:szCs w:val="22"/>
          <w:u w:val="single"/>
        </w:rPr>
        <w:t>INTRODUCTION</w:t>
      </w:r>
    </w:p>
    <w:p w14:paraId="719CFB03" w14:textId="2F7C3494" w:rsidR="00E56012" w:rsidRDefault="001A7A60" w:rsidP="001A7A60">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4C0CE3">
        <w:rPr>
          <w:rFonts w:cs="Arial"/>
          <w:bCs/>
          <w:szCs w:val="22"/>
        </w:rPr>
        <w:t xml:space="preserve">This is an application for </w:t>
      </w:r>
      <w:r w:rsidR="00E56012">
        <w:rPr>
          <w:rFonts w:cs="Arial"/>
          <w:bCs/>
          <w:szCs w:val="22"/>
        </w:rPr>
        <w:t xml:space="preserve">leave to appeal against the judgment and </w:t>
      </w:r>
      <w:r w:rsidR="00C3603D">
        <w:rPr>
          <w:rFonts w:cs="Arial"/>
          <w:bCs/>
          <w:szCs w:val="22"/>
        </w:rPr>
        <w:t xml:space="preserve">paragraphs 3 to 7 of the </w:t>
      </w:r>
      <w:r w:rsidR="00E56012">
        <w:rPr>
          <w:rFonts w:cs="Arial"/>
          <w:bCs/>
          <w:szCs w:val="22"/>
        </w:rPr>
        <w:t>order that I made on 11 October 2023. The order read as follows:</w:t>
      </w:r>
    </w:p>
    <w:p w14:paraId="74B54EAB"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1. The late filing of the respondent’s answering affidavit is </w:t>
      </w:r>
      <w:proofErr w:type="gramStart"/>
      <w:r w:rsidRPr="0008581A">
        <w:rPr>
          <w:i/>
          <w:iCs/>
          <w:sz w:val="20"/>
          <w:szCs w:val="20"/>
        </w:rPr>
        <w:t>condoned;</w:t>
      </w:r>
      <w:proofErr w:type="gramEnd"/>
      <w:r w:rsidRPr="0008581A">
        <w:rPr>
          <w:i/>
          <w:iCs/>
          <w:sz w:val="20"/>
          <w:szCs w:val="20"/>
        </w:rPr>
        <w:t xml:space="preserve"> </w:t>
      </w:r>
    </w:p>
    <w:p w14:paraId="60BAF7F4"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2. The applicant is ordered to pay the costs of the respondent’s application for </w:t>
      </w:r>
      <w:proofErr w:type="gramStart"/>
      <w:r w:rsidRPr="0008581A">
        <w:rPr>
          <w:i/>
          <w:iCs/>
          <w:sz w:val="20"/>
          <w:szCs w:val="20"/>
        </w:rPr>
        <w:t>condonation;</w:t>
      </w:r>
      <w:proofErr w:type="gramEnd"/>
      <w:r w:rsidRPr="0008581A">
        <w:rPr>
          <w:i/>
          <w:iCs/>
          <w:sz w:val="20"/>
          <w:szCs w:val="20"/>
        </w:rPr>
        <w:t xml:space="preserve"> </w:t>
      </w:r>
    </w:p>
    <w:p w14:paraId="16D30766"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3. The respondent is found in contempt of court for failing to comply with the order of the Gauteng Division, Johannesburg under case number 34367 of 2019 granted on 28 November </w:t>
      </w:r>
      <w:proofErr w:type="gramStart"/>
      <w:r w:rsidRPr="0008581A">
        <w:rPr>
          <w:i/>
          <w:iCs/>
          <w:sz w:val="20"/>
          <w:szCs w:val="20"/>
        </w:rPr>
        <w:t>2019;</w:t>
      </w:r>
      <w:proofErr w:type="gramEnd"/>
      <w:r w:rsidRPr="0008581A">
        <w:rPr>
          <w:i/>
          <w:iCs/>
          <w:sz w:val="20"/>
          <w:szCs w:val="20"/>
        </w:rPr>
        <w:t xml:space="preserve"> </w:t>
      </w:r>
    </w:p>
    <w:p w14:paraId="10B10E7D" w14:textId="66E86BDF"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4. The respondent is committed for to imprisonment for contempt of court for a period of thirty days, which committal is suspended on condition that </w:t>
      </w:r>
      <w:r w:rsidR="00FE198D" w:rsidRPr="0008581A">
        <w:rPr>
          <w:i/>
          <w:iCs/>
          <w:sz w:val="20"/>
          <w:szCs w:val="20"/>
        </w:rPr>
        <w:t>–</w:t>
      </w:r>
      <w:r w:rsidRPr="0008581A">
        <w:rPr>
          <w:i/>
          <w:iCs/>
          <w:sz w:val="20"/>
          <w:szCs w:val="20"/>
        </w:rPr>
        <w:t xml:space="preserve"> </w:t>
      </w:r>
    </w:p>
    <w:p w14:paraId="16747B7C"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a. the respondent complies with paragraph 5 of the order of 28 November 2019 and makes payment of the arrears maintenance that amounted to R1 301 930 as at 1 March 2022, in monthly instalments of R30 000 commencing on 1 </w:t>
      </w:r>
      <w:r w:rsidRPr="0008581A">
        <w:rPr>
          <w:i/>
          <w:iCs/>
          <w:sz w:val="20"/>
          <w:szCs w:val="20"/>
        </w:rPr>
        <w:lastRenderedPageBreak/>
        <w:t xml:space="preserve">January 2023 until the full outstanding amount payable in terms of the order of 28 November 2019, together with mora interest at the prescribed rate of 9% per annum calculated from the date of this order to date of payment, has been paid and provided that in the event that the order of 28 November 2019 is varied retrospectively by order of court then the amount payable in terms of this order shall be adjusted accordingly; </w:t>
      </w:r>
    </w:p>
    <w:p w14:paraId="7752D170"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b. the respondent complies with paragraph 8 of the order of 28 November 2019 by making a contribution towards the legal costs of the applicant in the amount of R150</w:t>
      </w:r>
      <w:r w:rsidR="00FE198D" w:rsidRPr="0008581A">
        <w:rPr>
          <w:i/>
          <w:iCs/>
          <w:sz w:val="20"/>
          <w:szCs w:val="20"/>
        </w:rPr>
        <w:t> </w:t>
      </w:r>
      <w:r w:rsidRPr="0008581A">
        <w:rPr>
          <w:i/>
          <w:iCs/>
          <w:sz w:val="20"/>
          <w:szCs w:val="20"/>
        </w:rPr>
        <w:t xml:space="preserve">000.00, together with mora interest at the prescribed rate of 9% per annum calculated from the date of this order to date of payment, before or on 1 November </w:t>
      </w:r>
      <w:proofErr w:type="gramStart"/>
      <w:r w:rsidRPr="0008581A">
        <w:rPr>
          <w:i/>
          <w:iCs/>
          <w:sz w:val="20"/>
          <w:szCs w:val="20"/>
        </w:rPr>
        <w:t>2022;</w:t>
      </w:r>
      <w:proofErr w:type="gramEnd"/>
      <w:r w:rsidRPr="0008581A">
        <w:rPr>
          <w:i/>
          <w:iCs/>
          <w:sz w:val="20"/>
          <w:szCs w:val="20"/>
        </w:rPr>
        <w:t xml:space="preserve"> </w:t>
      </w:r>
    </w:p>
    <w:p w14:paraId="221553D2"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5. Nothing in this order shall detract from the continued operation and efficacy of the court order granted on 28 November 2019 and any amounts payable by the respondent in terms of such order, including any amounts payable as from April </w:t>
      </w:r>
      <w:proofErr w:type="gramStart"/>
      <w:r w:rsidRPr="0008581A">
        <w:rPr>
          <w:i/>
          <w:iCs/>
          <w:sz w:val="20"/>
          <w:szCs w:val="20"/>
        </w:rPr>
        <w:t>2022;</w:t>
      </w:r>
      <w:proofErr w:type="gramEnd"/>
      <w:r w:rsidRPr="0008581A">
        <w:rPr>
          <w:i/>
          <w:iCs/>
          <w:sz w:val="20"/>
          <w:szCs w:val="20"/>
        </w:rPr>
        <w:t xml:space="preserve"> </w:t>
      </w:r>
    </w:p>
    <w:p w14:paraId="7A547011" w14:textId="77777777" w:rsidR="00FE198D" w:rsidRPr="0008581A" w:rsidRDefault="00E56012" w:rsidP="00FE198D">
      <w:pPr>
        <w:spacing w:before="240" w:after="240" w:line="360" w:lineRule="auto"/>
        <w:ind w:left="1440"/>
        <w:jc w:val="both"/>
        <w:rPr>
          <w:i/>
          <w:iCs/>
          <w:sz w:val="20"/>
          <w:szCs w:val="20"/>
        </w:rPr>
      </w:pPr>
      <w:r w:rsidRPr="0008581A">
        <w:rPr>
          <w:i/>
          <w:iCs/>
          <w:sz w:val="20"/>
          <w:szCs w:val="20"/>
        </w:rPr>
        <w:t xml:space="preserve">6. Should the respondent fail to comply with this order as set out of in paragraph 4 the applicant may approach this Court on the same papers, </w:t>
      </w:r>
      <w:proofErr w:type="gramStart"/>
      <w:r w:rsidRPr="0008581A">
        <w:rPr>
          <w:i/>
          <w:iCs/>
          <w:sz w:val="20"/>
          <w:szCs w:val="20"/>
        </w:rPr>
        <w:t>amplified</w:t>
      </w:r>
      <w:proofErr w:type="gramEnd"/>
      <w:r w:rsidRPr="0008581A">
        <w:rPr>
          <w:i/>
          <w:iCs/>
          <w:sz w:val="20"/>
          <w:szCs w:val="20"/>
        </w:rPr>
        <w:t xml:space="preserve"> if necessary, for an order committing the respondent to imprisonment; </w:t>
      </w:r>
    </w:p>
    <w:p w14:paraId="3DE136CF" w14:textId="32807DE3" w:rsidR="0078642A" w:rsidRPr="00585C4E" w:rsidRDefault="00E56012" w:rsidP="00585C4E">
      <w:pPr>
        <w:spacing w:before="240" w:after="240" w:line="360" w:lineRule="auto"/>
        <w:ind w:left="1440"/>
        <w:jc w:val="both"/>
        <w:rPr>
          <w:rFonts w:cs="Arial"/>
          <w:bCs/>
          <w:i/>
          <w:iCs/>
          <w:sz w:val="20"/>
          <w:szCs w:val="20"/>
        </w:rPr>
      </w:pPr>
      <w:r w:rsidRPr="0008581A">
        <w:rPr>
          <w:i/>
          <w:iCs/>
          <w:sz w:val="20"/>
          <w:szCs w:val="20"/>
        </w:rPr>
        <w:t xml:space="preserve">7. The respondent is ordered to pay the costs of the main </w:t>
      </w:r>
      <w:proofErr w:type="gramStart"/>
      <w:r w:rsidRPr="0008581A">
        <w:rPr>
          <w:i/>
          <w:iCs/>
          <w:sz w:val="20"/>
          <w:szCs w:val="20"/>
        </w:rPr>
        <w:t>application.</w:t>
      </w:r>
      <w:r w:rsidRPr="0008581A">
        <w:rPr>
          <w:rFonts w:cs="Arial"/>
          <w:bCs/>
          <w:i/>
          <w:iCs/>
          <w:sz w:val="20"/>
          <w:szCs w:val="20"/>
        </w:rPr>
        <w:t>.</w:t>
      </w:r>
      <w:proofErr w:type="gramEnd"/>
    </w:p>
    <w:p w14:paraId="3B92F760" w14:textId="20B088C8" w:rsidR="00056571" w:rsidRDefault="001A7A60" w:rsidP="001A7A60">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056571">
        <w:rPr>
          <w:rFonts w:cs="Arial"/>
          <w:bCs/>
          <w:szCs w:val="22"/>
        </w:rPr>
        <w:t>I refer to the parties as they were referred to in the main application.</w:t>
      </w:r>
      <w:r w:rsidR="00912F58">
        <w:rPr>
          <w:rFonts w:cs="Arial"/>
          <w:bCs/>
          <w:szCs w:val="22"/>
        </w:rPr>
        <w:t xml:space="preserve"> The applicant for leave to appeal is thus referred to as the respondent, and the respondent in this application is the applicant in the main application</w:t>
      </w:r>
      <w:r w:rsidR="00A96B95">
        <w:rPr>
          <w:rFonts w:cs="Arial"/>
          <w:bCs/>
          <w:szCs w:val="22"/>
        </w:rPr>
        <w:t xml:space="preserve"> and referred to as </w:t>
      </w:r>
      <w:r w:rsidR="00FE5060">
        <w:rPr>
          <w:rFonts w:cs="Arial"/>
          <w:bCs/>
          <w:szCs w:val="22"/>
        </w:rPr>
        <w:t>the applicant</w:t>
      </w:r>
      <w:r w:rsidR="00912F58">
        <w:rPr>
          <w:rFonts w:cs="Arial"/>
          <w:bCs/>
          <w:szCs w:val="22"/>
        </w:rPr>
        <w:t>.</w:t>
      </w:r>
    </w:p>
    <w:p w14:paraId="45810826" w14:textId="48146DE9" w:rsidR="00D577C1" w:rsidRPr="00056571" w:rsidRDefault="002E1F42" w:rsidP="00056571">
      <w:pPr>
        <w:widowControl w:val="0"/>
        <w:spacing w:before="480" w:after="480" w:line="480" w:lineRule="auto"/>
        <w:jc w:val="both"/>
        <w:rPr>
          <w:rFonts w:cs="Arial"/>
          <w:bCs/>
          <w:szCs w:val="22"/>
          <w:u w:val="single"/>
        </w:rPr>
      </w:pPr>
      <w:r>
        <w:rPr>
          <w:rFonts w:cs="Arial"/>
          <w:bCs/>
          <w:szCs w:val="22"/>
          <w:u w:val="single"/>
        </w:rPr>
        <w:t>T</w:t>
      </w:r>
      <w:r w:rsidRPr="00056571">
        <w:rPr>
          <w:rFonts w:cs="Arial"/>
          <w:bCs/>
          <w:szCs w:val="22"/>
          <w:u w:val="single"/>
        </w:rPr>
        <w:t>HE GROUNDS OF APPEAL</w:t>
      </w:r>
    </w:p>
    <w:p w14:paraId="0144F564" w14:textId="3767B5A7" w:rsidR="00D577C1" w:rsidRDefault="001A7A60" w:rsidP="001A7A60">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78642A">
        <w:rPr>
          <w:rFonts w:cs="Arial"/>
          <w:bCs/>
          <w:szCs w:val="22"/>
        </w:rPr>
        <w:t>The respondent’s case is that the application for committal ought to have been dismissed, or that the parties ought to have been directed to file further affidavits in terms of Rule 6(5)(e), or ought to have directed that the application be postponed until after the finalisation of the respondent’s pending Rule 43(6) application.</w:t>
      </w:r>
    </w:p>
    <w:p w14:paraId="41904AA5" w14:textId="5951EFC1" w:rsidR="00D577C1" w:rsidRDefault="001A7A60" w:rsidP="001A7A60">
      <w:pPr>
        <w:widowControl w:val="0"/>
        <w:tabs>
          <w:tab w:val="left" w:pos="567"/>
        </w:tabs>
        <w:spacing w:before="480" w:after="480" w:line="480" w:lineRule="auto"/>
        <w:jc w:val="both"/>
        <w:rPr>
          <w:rFonts w:cs="Arial"/>
          <w:bCs/>
          <w:szCs w:val="22"/>
        </w:rPr>
      </w:pPr>
      <w:r>
        <w:rPr>
          <w:rFonts w:cs="Arial"/>
          <w:bCs/>
          <w:szCs w:val="22"/>
        </w:rPr>
        <w:lastRenderedPageBreak/>
        <w:t>[6]</w:t>
      </w:r>
      <w:r>
        <w:rPr>
          <w:rFonts w:cs="Arial"/>
          <w:bCs/>
          <w:szCs w:val="22"/>
        </w:rPr>
        <w:tab/>
      </w:r>
      <w:r w:rsidR="0078642A">
        <w:rPr>
          <w:rFonts w:cs="Arial"/>
          <w:bCs/>
          <w:szCs w:val="22"/>
        </w:rPr>
        <w:t>The remaining grounds read as follows:</w:t>
      </w:r>
    </w:p>
    <w:p w14:paraId="4AAE032F" w14:textId="77777777" w:rsidR="002E1F42" w:rsidRDefault="0078642A" w:rsidP="002E1F42">
      <w:pPr>
        <w:widowControl w:val="0"/>
        <w:spacing w:after="480" w:line="480" w:lineRule="auto"/>
        <w:jc w:val="both"/>
        <w:rPr>
          <w:rFonts w:cs="Arial"/>
          <w:bCs/>
          <w:szCs w:val="22"/>
          <w:u w:val="single"/>
        </w:rPr>
      </w:pPr>
      <w:r w:rsidRPr="0078642A">
        <w:rPr>
          <w:noProof/>
          <w:lang w:eastAsia="en-ZA"/>
        </w:rPr>
        <w:drawing>
          <wp:inline distT="0" distB="0" distL="0" distR="0" wp14:anchorId="7EDD5491" wp14:editId="75176E35">
            <wp:extent cx="5278120" cy="602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6026150"/>
                    </a:xfrm>
                    <a:prstGeom prst="rect">
                      <a:avLst/>
                    </a:prstGeom>
                    <a:noFill/>
                    <a:ln>
                      <a:noFill/>
                    </a:ln>
                  </pic:spPr>
                </pic:pic>
              </a:graphicData>
            </a:graphic>
          </wp:inline>
        </w:drawing>
      </w:r>
      <w:r w:rsidRPr="0078642A">
        <w:t xml:space="preserve"> </w:t>
      </w:r>
      <w:r w:rsidRPr="0078642A">
        <w:rPr>
          <w:noProof/>
          <w:lang w:eastAsia="en-ZA"/>
        </w:rPr>
        <w:drawing>
          <wp:inline distT="0" distB="0" distL="0" distR="0" wp14:anchorId="360BAFE7" wp14:editId="7D6DF3AE">
            <wp:extent cx="5278120" cy="862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120" cy="862330"/>
                    </a:xfrm>
                    <a:prstGeom prst="rect">
                      <a:avLst/>
                    </a:prstGeom>
                    <a:noFill/>
                    <a:ln>
                      <a:noFill/>
                    </a:ln>
                  </pic:spPr>
                </pic:pic>
              </a:graphicData>
            </a:graphic>
          </wp:inline>
        </w:drawing>
      </w:r>
      <w:r w:rsidRPr="0078642A">
        <w:t xml:space="preserve"> </w:t>
      </w:r>
      <w:r w:rsidRPr="0078642A">
        <w:rPr>
          <w:noProof/>
          <w:lang w:eastAsia="en-ZA"/>
        </w:rPr>
        <w:lastRenderedPageBreak/>
        <w:drawing>
          <wp:inline distT="0" distB="0" distL="0" distR="0" wp14:anchorId="606D4D12" wp14:editId="4394416E">
            <wp:extent cx="5278120" cy="1664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8120" cy="1664335"/>
                    </a:xfrm>
                    <a:prstGeom prst="rect">
                      <a:avLst/>
                    </a:prstGeom>
                    <a:noFill/>
                    <a:ln>
                      <a:noFill/>
                    </a:ln>
                  </pic:spPr>
                </pic:pic>
              </a:graphicData>
            </a:graphic>
          </wp:inline>
        </w:drawing>
      </w:r>
      <w:r w:rsidR="002E1F42" w:rsidRPr="002E1F42">
        <w:rPr>
          <w:rFonts w:cs="Arial"/>
          <w:bCs/>
          <w:szCs w:val="22"/>
          <w:u w:val="single"/>
        </w:rPr>
        <w:t xml:space="preserve"> </w:t>
      </w:r>
    </w:p>
    <w:p w14:paraId="18333E76" w14:textId="6A2E55F9" w:rsidR="002E1F42" w:rsidRPr="00056571" w:rsidRDefault="002E1F42" w:rsidP="002E1F42">
      <w:pPr>
        <w:widowControl w:val="0"/>
        <w:spacing w:after="480" w:line="480" w:lineRule="auto"/>
        <w:jc w:val="both"/>
        <w:rPr>
          <w:rFonts w:cs="Arial"/>
          <w:bCs/>
          <w:szCs w:val="22"/>
          <w:u w:val="single"/>
        </w:rPr>
      </w:pPr>
      <w:r w:rsidRPr="00056571">
        <w:rPr>
          <w:rFonts w:cs="Arial"/>
          <w:bCs/>
          <w:szCs w:val="22"/>
          <w:u w:val="single"/>
        </w:rPr>
        <w:t>THE TEST IN AN APPLICATION FOR LEAVE TO APPEAL</w:t>
      </w:r>
    </w:p>
    <w:p w14:paraId="00EFF310" w14:textId="5FB90DC4" w:rsidR="002E1F42" w:rsidRPr="00B6596D" w:rsidRDefault="001A7A60" w:rsidP="001A7A60">
      <w:pPr>
        <w:widowControl w:val="0"/>
        <w:tabs>
          <w:tab w:val="left" w:pos="567"/>
        </w:tabs>
        <w:spacing w:before="480" w:after="480" w:line="480" w:lineRule="auto"/>
        <w:jc w:val="both"/>
        <w:rPr>
          <w:rFonts w:cs="Arial"/>
          <w:bCs/>
          <w:szCs w:val="22"/>
        </w:rPr>
      </w:pPr>
      <w:r w:rsidRPr="00B6596D">
        <w:rPr>
          <w:rFonts w:cs="Arial"/>
          <w:bCs/>
          <w:szCs w:val="22"/>
        </w:rPr>
        <w:t>[7]</w:t>
      </w:r>
      <w:r w:rsidRPr="00B6596D">
        <w:rPr>
          <w:rFonts w:cs="Arial"/>
          <w:bCs/>
          <w:szCs w:val="22"/>
        </w:rPr>
        <w:tab/>
      </w:r>
      <w:r w:rsidR="002E1F42" w:rsidRPr="00B6596D">
        <w:rPr>
          <w:rFonts w:cs="Arial"/>
          <w:bCs/>
          <w:szCs w:val="22"/>
        </w:rPr>
        <w:t xml:space="preserve">In </w:t>
      </w:r>
      <w:proofErr w:type="spellStart"/>
      <w:r w:rsidR="002E1F42" w:rsidRPr="00B6596D">
        <w:rPr>
          <w:rFonts w:cs="Arial"/>
          <w:i/>
          <w:iCs/>
          <w:color w:val="000000"/>
          <w:szCs w:val="22"/>
          <w:shd w:val="clear" w:color="auto" w:fill="FFFFFF"/>
        </w:rPr>
        <w:t>Dexgroup</w:t>
      </w:r>
      <w:proofErr w:type="spellEnd"/>
      <w:r w:rsidR="002E1F42" w:rsidRPr="00B6596D">
        <w:rPr>
          <w:rFonts w:cs="Arial"/>
          <w:i/>
          <w:iCs/>
          <w:color w:val="000000"/>
          <w:szCs w:val="22"/>
          <w:shd w:val="clear" w:color="auto" w:fill="FFFFFF"/>
        </w:rPr>
        <w:t xml:space="preserve"> (Pty) Ltd v Trustco Group International (Pty) Ltd</w:t>
      </w:r>
      <w:r w:rsidR="002E1F42" w:rsidRPr="00B6596D">
        <w:rPr>
          <w:rStyle w:val="FootnoteReference"/>
          <w:rFonts w:cs="Arial"/>
          <w:bCs/>
          <w:szCs w:val="22"/>
        </w:rPr>
        <w:footnoteReference w:id="1"/>
      </w:r>
      <w:r w:rsidR="002E1F42" w:rsidRPr="00B6596D">
        <w:rPr>
          <w:rFonts w:cs="Arial"/>
          <w:bCs/>
          <w:szCs w:val="22"/>
        </w:rPr>
        <w:t xml:space="preserve"> Wallis JA said:</w:t>
      </w:r>
    </w:p>
    <w:p w14:paraId="104C5726" w14:textId="77777777" w:rsidR="002E1F42" w:rsidRDefault="002E1F42" w:rsidP="002E1F42">
      <w:pPr>
        <w:widowControl w:val="0"/>
        <w:spacing w:before="480" w:after="480" w:line="480" w:lineRule="auto"/>
        <w:ind w:left="1440"/>
        <w:jc w:val="both"/>
        <w:rPr>
          <w:rFonts w:cs="Arial"/>
          <w:bCs/>
          <w:i/>
          <w:iCs/>
          <w:color w:val="000000"/>
          <w:szCs w:val="22"/>
        </w:rPr>
      </w:pPr>
      <w:r w:rsidRPr="00B6596D">
        <w:rPr>
          <w:rFonts w:cs="Arial"/>
          <w:bCs/>
          <w:i/>
          <w:iCs/>
          <w:color w:val="000000"/>
          <w:szCs w:val="22"/>
        </w:rPr>
        <w:t>“T</w:t>
      </w:r>
      <w:r w:rsidRPr="00B6596D">
        <w:rPr>
          <w:rFonts w:cs="Arial"/>
          <w:i/>
          <w:iCs/>
          <w:color w:val="000000"/>
          <w:szCs w:val="22"/>
          <w:shd w:val="clear" w:color="auto" w:fill="FFFFFF"/>
        </w:rPr>
        <w:t>he need to obtain leave to appeal is a valuable tool in ensuring that scarce judicial resources are not spent on appeals that lack merit</w:t>
      </w:r>
      <w:proofErr w:type="gramStart"/>
      <w:r w:rsidRPr="00B6596D">
        <w:rPr>
          <w:rFonts w:cs="Arial"/>
          <w:i/>
          <w:iCs/>
          <w:color w:val="000000"/>
          <w:szCs w:val="22"/>
          <w:shd w:val="clear" w:color="auto" w:fill="FFFFFF"/>
        </w:rPr>
        <w:t>. </w:t>
      </w:r>
      <w:r w:rsidRPr="00B6596D">
        <w:rPr>
          <w:rFonts w:cs="Arial"/>
          <w:bCs/>
          <w:i/>
          <w:iCs/>
          <w:color w:val="000000"/>
          <w:szCs w:val="22"/>
        </w:rPr>
        <w:t>”</w:t>
      </w:r>
      <w:proofErr w:type="gramEnd"/>
    </w:p>
    <w:p w14:paraId="5BB81855" w14:textId="244AAC19" w:rsidR="002E1F42" w:rsidRPr="00B6596D" w:rsidRDefault="001A7A60" w:rsidP="001A7A60">
      <w:pPr>
        <w:widowControl w:val="0"/>
        <w:tabs>
          <w:tab w:val="left" w:pos="567"/>
        </w:tabs>
        <w:spacing w:before="480" w:after="480" w:line="480" w:lineRule="auto"/>
        <w:jc w:val="both"/>
        <w:rPr>
          <w:rFonts w:cs="Arial"/>
          <w:bCs/>
          <w:szCs w:val="22"/>
        </w:rPr>
      </w:pPr>
      <w:r w:rsidRPr="00B6596D">
        <w:rPr>
          <w:rFonts w:cs="Arial"/>
          <w:bCs/>
          <w:szCs w:val="22"/>
        </w:rPr>
        <w:t>[8]</w:t>
      </w:r>
      <w:r w:rsidRPr="00B6596D">
        <w:rPr>
          <w:rFonts w:cs="Arial"/>
          <w:bCs/>
          <w:szCs w:val="22"/>
        </w:rPr>
        <w:tab/>
      </w:r>
      <w:r w:rsidR="002E1F42" w:rsidRPr="00B6596D">
        <w:rPr>
          <w:rFonts w:eastAsia="Calibri" w:cs="Arial"/>
          <w:szCs w:val="22"/>
        </w:rPr>
        <w:t>Section 17(1)(a)(</w:t>
      </w:r>
      <w:proofErr w:type="spellStart"/>
      <w:r w:rsidR="002E1F42" w:rsidRPr="00B6596D">
        <w:rPr>
          <w:rFonts w:eastAsia="Calibri" w:cs="Arial"/>
          <w:szCs w:val="22"/>
        </w:rPr>
        <w:t>i</w:t>
      </w:r>
      <w:proofErr w:type="spellEnd"/>
      <w:r w:rsidR="002E1F42" w:rsidRPr="00B6596D">
        <w:rPr>
          <w:rFonts w:eastAsia="Calibri" w:cs="Arial"/>
          <w:szCs w:val="22"/>
        </w:rPr>
        <w:t>) and (ii) of the Superior Courts Act, 10 of 2013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2E1F42" w:rsidRPr="00B6596D">
        <w:rPr>
          <w:rFonts w:cs="Arial"/>
          <w:szCs w:val="22"/>
        </w:rPr>
        <w:t xml:space="preserve"> Once such an opinion is formed leave may not be refused.</w:t>
      </w:r>
    </w:p>
    <w:p w14:paraId="408A5DD1" w14:textId="2DBF7079" w:rsidR="002E1F42" w:rsidRPr="00B6596D" w:rsidRDefault="001A7A60" w:rsidP="001A7A60">
      <w:pPr>
        <w:widowControl w:val="0"/>
        <w:tabs>
          <w:tab w:val="left" w:pos="567"/>
        </w:tabs>
        <w:spacing w:before="480" w:after="480" w:line="480" w:lineRule="auto"/>
        <w:jc w:val="both"/>
        <w:rPr>
          <w:rFonts w:cs="Arial"/>
          <w:bCs/>
          <w:szCs w:val="22"/>
        </w:rPr>
      </w:pPr>
      <w:r w:rsidRPr="00B6596D">
        <w:rPr>
          <w:rFonts w:cs="Arial"/>
          <w:bCs/>
          <w:szCs w:val="22"/>
        </w:rPr>
        <w:t>[9]</w:t>
      </w:r>
      <w:r w:rsidRPr="00B6596D">
        <w:rPr>
          <w:rFonts w:cs="Arial"/>
          <w:bCs/>
          <w:szCs w:val="22"/>
        </w:rPr>
        <w:tab/>
      </w:r>
      <w:r w:rsidR="002E1F42" w:rsidRPr="00B6596D">
        <w:rPr>
          <w:rFonts w:eastAsia="Calibri" w:cs="Arial"/>
          <w:szCs w:val="22"/>
        </w:rPr>
        <w:t xml:space="preserve">In </w:t>
      </w:r>
      <w:r w:rsidR="002E1F42" w:rsidRPr="00B6596D">
        <w:rPr>
          <w:rFonts w:eastAsia="Calibri" w:cs="Arial"/>
          <w:i/>
          <w:iCs/>
          <w:szCs w:val="22"/>
        </w:rPr>
        <w:t>KwaZulu-Natal Law Society v Sharma</w:t>
      </w:r>
      <w:r w:rsidR="002E1F42" w:rsidRPr="00B6596D">
        <w:rPr>
          <w:rStyle w:val="FootnoteReference"/>
          <w:rFonts w:eastAsia="Calibri" w:cs="Arial"/>
          <w:i/>
          <w:iCs/>
          <w:szCs w:val="22"/>
        </w:rPr>
        <w:footnoteReference w:id="2"/>
      </w:r>
      <w:r w:rsidR="002E1F42" w:rsidRPr="00B6596D">
        <w:rPr>
          <w:rFonts w:eastAsia="Calibri" w:cs="Arial"/>
          <w:szCs w:val="22"/>
        </w:rPr>
        <w:t xml:space="preserve"> Van Zyl J held that the test enunciated in </w:t>
      </w:r>
      <w:r w:rsidR="002E1F42" w:rsidRPr="00B6596D">
        <w:rPr>
          <w:rFonts w:eastAsia="Calibri" w:cs="Arial"/>
          <w:i/>
          <w:iCs/>
          <w:szCs w:val="22"/>
        </w:rPr>
        <w:t xml:space="preserve">S v Smith </w:t>
      </w:r>
      <w:r w:rsidR="002E1F42" w:rsidRPr="00B6596D">
        <w:rPr>
          <w:rStyle w:val="FootnoteReference"/>
          <w:rFonts w:eastAsia="Calibri" w:cs="Arial"/>
          <w:i/>
          <w:iCs/>
          <w:szCs w:val="22"/>
        </w:rPr>
        <w:footnoteReference w:id="3"/>
      </w:r>
      <w:r w:rsidR="002E1F42" w:rsidRPr="00B6596D">
        <w:rPr>
          <w:rFonts w:eastAsia="Calibri" w:cs="Arial"/>
          <w:szCs w:val="22"/>
        </w:rPr>
        <w:t xml:space="preserve"> still holds good:</w:t>
      </w:r>
    </w:p>
    <w:p w14:paraId="173DF07F" w14:textId="77777777" w:rsidR="002E1F42" w:rsidRPr="00B6596D" w:rsidRDefault="002E1F42" w:rsidP="002E1F42">
      <w:pPr>
        <w:widowControl w:val="0"/>
        <w:spacing w:before="480" w:after="480" w:line="360" w:lineRule="auto"/>
        <w:ind w:left="1440"/>
        <w:jc w:val="both"/>
        <w:rPr>
          <w:rFonts w:eastAsia="Calibri" w:cs="Arial"/>
          <w:i/>
          <w:iCs/>
          <w:szCs w:val="22"/>
        </w:rPr>
      </w:pPr>
      <w:r w:rsidRPr="00B6596D">
        <w:rPr>
          <w:rFonts w:eastAsia="Calibri" w:cs="Arial"/>
          <w:i/>
          <w:iCs/>
          <w:szCs w:val="22"/>
        </w:rPr>
        <w:t xml:space="preserve">“In order to succeed, therefore, the appellant must convince this court on proper grounds that he has prospects of success on appeal and that those prospects are not </w:t>
      </w:r>
      <w:proofErr w:type="gramStart"/>
      <w:r w:rsidRPr="00B6596D">
        <w:rPr>
          <w:rFonts w:eastAsia="Calibri" w:cs="Arial"/>
          <w:i/>
          <w:iCs/>
          <w:szCs w:val="22"/>
        </w:rPr>
        <w:t>remote, but</w:t>
      </w:r>
      <w:proofErr w:type="gramEnd"/>
      <w:r w:rsidRPr="00B6596D">
        <w:rPr>
          <w:rFonts w:eastAsia="Calibri" w:cs="Arial"/>
          <w:i/>
          <w:iCs/>
          <w:szCs w:val="22"/>
        </w:rPr>
        <w:t xml:space="preserve"> have a realistic chance of </w:t>
      </w:r>
      <w:r w:rsidRPr="00B6596D">
        <w:rPr>
          <w:rFonts w:eastAsia="Calibri" w:cs="Arial"/>
          <w:i/>
          <w:iCs/>
          <w:szCs w:val="22"/>
        </w:rPr>
        <w:lastRenderedPageBreak/>
        <w:t>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3E3FFC3F" w14:textId="00D95C88" w:rsidR="002E1F42" w:rsidRPr="00B6596D" w:rsidRDefault="001A7A60" w:rsidP="001A7A60">
      <w:pPr>
        <w:widowControl w:val="0"/>
        <w:tabs>
          <w:tab w:val="left" w:pos="567"/>
        </w:tabs>
        <w:spacing w:before="480" w:after="480" w:line="480" w:lineRule="auto"/>
        <w:jc w:val="both"/>
        <w:rPr>
          <w:rFonts w:cs="Arial"/>
          <w:bCs/>
          <w:szCs w:val="22"/>
        </w:rPr>
      </w:pPr>
      <w:r w:rsidRPr="00B6596D">
        <w:rPr>
          <w:rFonts w:cs="Arial"/>
          <w:bCs/>
          <w:szCs w:val="22"/>
        </w:rPr>
        <w:t>[10]</w:t>
      </w:r>
      <w:r w:rsidRPr="00B6596D">
        <w:rPr>
          <w:rFonts w:cs="Arial"/>
          <w:bCs/>
          <w:szCs w:val="22"/>
        </w:rPr>
        <w:tab/>
      </w:r>
      <w:r w:rsidR="002E1F42" w:rsidRPr="00B6596D">
        <w:rPr>
          <w:rFonts w:eastAsia="Calibri" w:cs="Arial"/>
          <w:szCs w:val="22"/>
        </w:rPr>
        <w:t>The test for leave to appeal is more stringent under the Superior Courts Act of 2013 than it was under the repealed Supreme Court Act, 59 of 1959.</w:t>
      </w:r>
      <w:r w:rsidR="002E1F42" w:rsidRPr="00B6596D">
        <w:rPr>
          <w:rStyle w:val="FootnoteReference"/>
          <w:rFonts w:eastAsia="Calibri" w:cs="Arial"/>
          <w:i/>
          <w:iCs/>
          <w:szCs w:val="22"/>
        </w:rPr>
        <w:footnoteReference w:id="4"/>
      </w:r>
      <w:r w:rsidR="002E1F42" w:rsidRPr="00B6596D">
        <w:rPr>
          <w:rFonts w:eastAsia="Calibri" w:cs="Arial"/>
          <w:szCs w:val="22"/>
        </w:rPr>
        <w:t xml:space="preserve"> </w:t>
      </w:r>
    </w:p>
    <w:p w14:paraId="332CC50B" w14:textId="77777777" w:rsidR="0060531B" w:rsidRDefault="0060531B" w:rsidP="0078642A">
      <w:pPr>
        <w:rPr>
          <w:u w:val="single"/>
        </w:rPr>
      </w:pPr>
    </w:p>
    <w:p w14:paraId="162323D1" w14:textId="56C3DE1C" w:rsidR="0078642A" w:rsidRPr="002E1F42" w:rsidRDefault="002E1F42" w:rsidP="0078642A">
      <w:pPr>
        <w:rPr>
          <w:u w:val="single"/>
        </w:rPr>
      </w:pPr>
      <w:r w:rsidRPr="002E1F42">
        <w:rPr>
          <w:u w:val="single"/>
        </w:rPr>
        <w:t>THE MERITS OF THE APPLICATION</w:t>
      </w:r>
      <w:r>
        <w:rPr>
          <w:u w:val="single"/>
        </w:rPr>
        <w:t xml:space="preserve"> FOR LEAVE TO APPEAL</w:t>
      </w:r>
    </w:p>
    <w:p w14:paraId="4F7E9BA5" w14:textId="4A357BC0" w:rsidR="004042C8" w:rsidRDefault="001A7A60" w:rsidP="001A7A60">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4042C8">
        <w:rPr>
          <w:rFonts w:cs="Arial"/>
          <w:bCs/>
          <w:szCs w:val="22"/>
        </w:rPr>
        <w:t>For the sake of clarity I deal with the arguments presented under different headings.</w:t>
      </w:r>
    </w:p>
    <w:p w14:paraId="21C28CA3" w14:textId="168CC646" w:rsidR="004042C8" w:rsidRPr="004042C8" w:rsidRDefault="004042C8" w:rsidP="004042C8">
      <w:pPr>
        <w:widowControl w:val="0"/>
        <w:spacing w:before="480" w:after="480" w:line="480" w:lineRule="auto"/>
        <w:jc w:val="both"/>
        <w:rPr>
          <w:rFonts w:cs="Arial"/>
          <w:bCs/>
          <w:i/>
          <w:iCs/>
          <w:szCs w:val="22"/>
          <w:u w:val="single"/>
        </w:rPr>
      </w:pPr>
      <w:r w:rsidRPr="004042C8">
        <w:rPr>
          <w:rFonts w:cs="Arial"/>
          <w:bCs/>
          <w:i/>
          <w:iCs/>
          <w:szCs w:val="22"/>
          <w:u w:val="single"/>
        </w:rPr>
        <w:t>The respondent’s criticism of the applicant’s calculations of what was paid</w:t>
      </w:r>
    </w:p>
    <w:p w14:paraId="15FCB4D0" w14:textId="709CCB70" w:rsidR="00DE0944" w:rsidRDefault="001A7A60" w:rsidP="001A7A60">
      <w:pPr>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C257F7">
        <w:rPr>
          <w:rFonts w:cs="Arial"/>
          <w:bCs/>
          <w:szCs w:val="22"/>
        </w:rPr>
        <w:t>In paragraph 11 of the judgment I dealt with the fact that the amounts that have been paid by the respondent in terms of the order were not disputed save for a bald denial</w:t>
      </w:r>
      <w:r w:rsidR="00DE0944">
        <w:rPr>
          <w:rFonts w:cs="Arial"/>
          <w:bCs/>
          <w:szCs w:val="22"/>
        </w:rPr>
        <w:t>. T</w:t>
      </w:r>
      <w:r w:rsidR="00C257F7">
        <w:rPr>
          <w:rFonts w:cs="Arial"/>
          <w:bCs/>
          <w:szCs w:val="22"/>
        </w:rPr>
        <w:t xml:space="preserve">he amounts alleged by the applicant could be evaluated with reference to the annexures to the founding affidavit. </w:t>
      </w:r>
    </w:p>
    <w:p w14:paraId="3F5D885E" w14:textId="24FF48E9" w:rsidR="004042C8" w:rsidRDefault="001A7A60" w:rsidP="001A7A60">
      <w:pPr>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4042C8">
        <w:rPr>
          <w:rFonts w:cs="Arial"/>
          <w:bCs/>
          <w:szCs w:val="22"/>
        </w:rPr>
        <w:t>The respondent on the other hand made no attempt to deal with the actual payments made.</w:t>
      </w:r>
      <w:r w:rsidR="00716888">
        <w:rPr>
          <w:rFonts w:cs="Arial"/>
          <w:bCs/>
          <w:szCs w:val="22"/>
        </w:rPr>
        <w:t xml:space="preserve"> I held that the applicant’s calculations are therefore established.</w:t>
      </w:r>
    </w:p>
    <w:p w14:paraId="41026B25" w14:textId="5CBE39D7" w:rsidR="004042C8" w:rsidRPr="004042C8" w:rsidRDefault="004042C8" w:rsidP="004042C8">
      <w:pPr>
        <w:widowControl w:val="0"/>
        <w:spacing w:before="480" w:after="480" w:line="480" w:lineRule="auto"/>
        <w:jc w:val="both"/>
        <w:rPr>
          <w:rFonts w:cs="Arial"/>
          <w:bCs/>
          <w:i/>
          <w:iCs/>
          <w:szCs w:val="22"/>
          <w:u w:val="single"/>
        </w:rPr>
      </w:pPr>
      <w:r w:rsidRPr="004042C8">
        <w:rPr>
          <w:rFonts w:cs="Arial"/>
          <w:bCs/>
          <w:i/>
          <w:iCs/>
          <w:szCs w:val="22"/>
          <w:u w:val="single"/>
        </w:rPr>
        <w:lastRenderedPageBreak/>
        <w:t>The discrepancies in the respondent’s evidence of his income</w:t>
      </w:r>
    </w:p>
    <w:p w14:paraId="147646E2" w14:textId="2954604E" w:rsidR="00D80E75" w:rsidRDefault="001A7A60" w:rsidP="001A7A60">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C257F7">
        <w:rPr>
          <w:rFonts w:cs="Arial"/>
          <w:bCs/>
          <w:szCs w:val="22"/>
        </w:rPr>
        <w:t>In paragraph 14 of the judgment I set out certain discrepancies and contradictions in the evidence presented by the respondent and these discrepancies remain unexplained</w:t>
      </w:r>
      <w:r w:rsidR="004042C8">
        <w:rPr>
          <w:rFonts w:cs="Arial"/>
          <w:bCs/>
          <w:szCs w:val="22"/>
        </w:rPr>
        <w:t xml:space="preserve"> despite an invitation during argument to deal with this aspect.</w:t>
      </w:r>
    </w:p>
    <w:p w14:paraId="48255A6A" w14:textId="4D0890B6" w:rsidR="004042C8" w:rsidRPr="004042C8" w:rsidRDefault="004042C8" w:rsidP="004042C8">
      <w:pPr>
        <w:widowControl w:val="0"/>
        <w:spacing w:before="480" w:after="480" w:line="480" w:lineRule="auto"/>
        <w:jc w:val="both"/>
        <w:rPr>
          <w:rFonts w:cs="Arial"/>
          <w:bCs/>
          <w:i/>
          <w:iCs/>
          <w:szCs w:val="22"/>
          <w:u w:val="single"/>
        </w:rPr>
      </w:pPr>
      <w:r w:rsidRPr="004042C8">
        <w:rPr>
          <w:rFonts w:cs="Arial"/>
          <w:bCs/>
          <w:i/>
          <w:iCs/>
          <w:szCs w:val="22"/>
          <w:u w:val="single"/>
        </w:rPr>
        <w:t>The respondent’s evidence of incom</w:t>
      </w:r>
      <w:r w:rsidR="00A37E2E">
        <w:rPr>
          <w:rFonts w:cs="Arial"/>
          <w:bCs/>
          <w:i/>
          <w:iCs/>
          <w:szCs w:val="22"/>
          <w:u w:val="single"/>
        </w:rPr>
        <w:t xml:space="preserve">e, expenditure, </w:t>
      </w:r>
      <w:proofErr w:type="gramStart"/>
      <w:r w:rsidR="00A37E2E">
        <w:rPr>
          <w:rFonts w:cs="Arial"/>
          <w:bCs/>
          <w:i/>
          <w:iCs/>
          <w:szCs w:val="22"/>
          <w:u w:val="single"/>
        </w:rPr>
        <w:t>assets</w:t>
      </w:r>
      <w:proofErr w:type="gramEnd"/>
      <w:r w:rsidR="00A37E2E">
        <w:rPr>
          <w:rFonts w:cs="Arial"/>
          <w:bCs/>
          <w:i/>
          <w:iCs/>
          <w:szCs w:val="22"/>
          <w:u w:val="single"/>
        </w:rPr>
        <w:t xml:space="preserve"> and liabilities</w:t>
      </w:r>
    </w:p>
    <w:p w14:paraId="3458EE13" w14:textId="7DF13392" w:rsidR="00CB2375" w:rsidRDefault="001A7A60" w:rsidP="001A7A60">
      <w:pPr>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A37E2E">
        <w:rPr>
          <w:rFonts w:cs="Arial"/>
          <w:bCs/>
          <w:szCs w:val="22"/>
        </w:rPr>
        <w:t xml:space="preserve">I pointed out in </w:t>
      </w:r>
      <w:r w:rsidR="00C257F7">
        <w:rPr>
          <w:rFonts w:cs="Arial"/>
          <w:bCs/>
          <w:szCs w:val="22"/>
        </w:rPr>
        <w:t xml:space="preserve">paragraph 15 </w:t>
      </w:r>
      <w:r w:rsidR="00A37E2E">
        <w:rPr>
          <w:rFonts w:cs="Arial"/>
          <w:bCs/>
          <w:szCs w:val="22"/>
        </w:rPr>
        <w:t xml:space="preserve">to the judgment that the respondent failed to definitively set out all his income, expenses, </w:t>
      </w:r>
      <w:proofErr w:type="gramStart"/>
      <w:r w:rsidR="00A37E2E">
        <w:rPr>
          <w:rFonts w:cs="Arial"/>
          <w:bCs/>
          <w:szCs w:val="22"/>
        </w:rPr>
        <w:t>assets</w:t>
      </w:r>
      <w:proofErr w:type="gramEnd"/>
      <w:r w:rsidR="00A37E2E">
        <w:rPr>
          <w:rFonts w:cs="Arial"/>
          <w:bCs/>
          <w:szCs w:val="22"/>
        </w:rPr>
        <w:t xml:space="preserve"> and liabilities</w:t>
      </w:r>
      <w:r w:rsidR="00716888">
        <w:rPr>
          <w:rFonts w:cs="Arial"/>
          <w:bCs/>
          <w:szCs w:val="22"/>
        </w:rPr>
        <w:t>.</w:t>
      </w:r>
      <w:r w:rsidR="00A37E2E">
        <w:rPr>
          <w:rFonts w:cs="Arial"/>
          <w:bCs/>
          <w:szCs w:val="22"/>
        </w:rPr>
        <w:t xml:space="preserve"> </w:t>
      </w:r>
      <w:r w:rsidR="00CB2375">
        <w:rPr>
          <w:rFonts w:cs="Arial"/>
          <w:bCs/>
          <w:szCs w:val="22"/>
        </w:rPr>
        <w:t xml:space="preserve">It is in this context that Rule 6(5)(e) of the Uniform Rules and section 19(b) of the </w:t>
      </w:r>
      <w:r w:rsidR="00CB2375" w:rsidRPr="004042C8">
        <w:rPr>
          <w:rFonts w:cs="Arial"/>
          <w:bCs/>
          <w:szCs w:val="22"/>
        </w:rPr>
        <w:t>Superior Courts Act, 10 of 2013</w:t>
      </w:r>
      <w:r w:rsidR="00CB2375">
        <w:rPr>
          <w:rStyle w:val="FootnoteReference"/>
          <w:rFonts w:cs="Arial"/>
          <w:bCs/>
          <w:szCs w:val="22"/>
        </w:rPr>
        <w:footnoteReference w:id="5"/>
      </w:r>
      <w:r w:rsidR="00CB2375">
        <w:rPr>
          <w:rFonts w:cs="Arial"/>
          <w:bCs/>
          <w:szCs w:val="22"/>
        </w:rPr>
        <w:t xml:space="preserve"> are important.</w:t>
      </w:r>
    </w:p>
    <w:p w14:paraId="7A2E4439" w14:textId="01BAFFBA" w:rsidR="00CB2375" w:rsidRDefault="001A7A60" w:rsidP="001A7A60">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4042C8" w:rsidRPr="004042C8">
        <w:rPr>
          <w:rFonts w:cs="Arial"/>
          <w:bCs/>
          <w:szCs w:val="22"/>
        </w:rPr>
        <w:t xml:space="preserve">One of the grounds of appeal are that the Court should have directed the respondent to file further affidavits in terms of Rule 6(5)(e). </w:t>
      </w:r>
      <w:r w:rsidR="004042C8">
        <w:rPr>
          <w:rFonts w:cs="Arial"/>
          <w:bCs/>
          <w:szCs w:val="22"/>
        </w:rPr>
        <w:t xml:space="preserve">No attempt was made however to seek the leave of the Court to file further affidavits when the matter was argued in October 2022. </w:t>
      </w:r>
    </w:p>
    <w:p w14:paraId="658F4E78" w14:textId="1D73E23D" w:rsidR="00DF7F7E" w:rsidRDefault="001A7A60" w:rsidP="001A7A60">
      <w:pPr>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CB2375">
        <w:rPr>
          <w:rFonts w:cs="Arial"/>
          <w:bCs/>
          <w:szCs w:val="22"/>
        </w:rPr>
        <w:t>Rule 6(5)(e) permits the filing of further affidavits when leave to do so is applied for by a party.</w:t>
      </w:r>
      <w:r w:rsidR="00CB2375">
        <w:rPr>
          <w:rStyle w:val="FootnoteReference"/>
          <w:rFonts w:cs="Arial"/>
          <w:bCs/>
          <w:szCs w:val="22"/>
        </w:rPr>
        <w:footnoteReference w:id="6"/>
      </w:r>
      <w:r w:rsidR="00CB2375">
        <w:rPr>
          <w:rFonts w:cs="Arial"/>
          <w:bCs/>
          <w:szCs w:val="22"/>
        </w:rPr>
        <w:t xml:space="preserve"> It is not a mechanism by which the Court will order parties to file further affidavits</w:t>
      </w:r>
      <w:r w:rsidR="00734A10">
        <w:rPr>
          <w:rFonts w:cs="Arial"/>
          <w:bCs/>
          <w:szCs w:val="22"/>
        </w:rPr>
        <w:t xml:space="preserve"> because the Court believes that the parties will </w:t>
      </w:r>
      <w:r w:rsidR="00DF7F7E">
        <w:rPr>
          <w:rFonts w:cs="Arial"/>
          <w:bCs/>
          <w:szCs w:val="22"/>
        </w:rPr>
        <w:t xml:space="preserve">or may </w:t>
      </w:r>
      <w:r w:rsidR="00734A10">
        <w:rPr>
          <w:rFonts w:cs="Arial"/>
          <w:bCs/>
          <w:szCs w:val="22"/>
        </w:rPr>
        <w:t>benefit from a fourth and fifth set of affidavits</w:t>
      </w:r>
      <w:r w:rsidR="00CB2375">
        <w:rPr>
          <w:rFonts w:cs="Arial"/>
          <w:bCs/>
          <w:szCs w:val="22"/>
        </w:rPr>
        <w:t>.</w:t>
      </w:r>
      <w:r w:rsidR="00CB2375" w:rsidRPr="00CB2375">
        <w:rPr>
          <w:rFonts w:cs="Arial"/>
          <w:bCs/>
          <w:szCs w:val="22"/>
        </w:rPr>
        <w:t xml:space="preserve"> </w:t>
      </w:r>
    </w:p>
    <w:p w14:paraId="7A1BF053" w14:textId="2A47BEEA" w:rsidR="00CB2375" w:rsidRDefault="001A7A60" w:rsidP="001A7A60">
      <w:pPr>
        <w:widowControl w:val="0"/>
        <w:tabs>
          <w:tab w:val="left" w:pos="567"/>
        </w:tabs>
        <w:spacing w:before="480" w:after="480" w:line="480" w:lineRule="auto"/>
        <w:jc w:val="both"/>
        <w:rPr>
          <w:rFonts w:cs="Arial"/>
          <w:bCs/>
          <w:szCs w:val="22"/>
        </w:rPr>
      </w:pPr>
      <w:r>
        <w:rPr>
          <w:rFonts w:cs="Arial"/>
          <w:bCs/>
          <w:szCs w:val="22"/>
        </w:rPr>
        <w:lastRenderedPageBreak/>
        <w:t>[18]</w:t>
      </w:r>
      <w:r>
        <w:rPr>
          <w:rFonts w:cs="Arial"/>
          <w:bCs/>
          <w:szCs w:val="22"/>
        </w:rPr>
        <w:tab/>
      </w:r>
      <w:r w:rsidR="00CB2375">
        <w:rPr>
          <w:rFonts w:cs="Arial"/>
          <w:bCs/>
          <w:szCs w:val="22"/>
        </w:rPr>
        <w:t xml:space="preserve">When the respondent’s counsel submitted that the Court should order the parties to file further affidavits, it was not clear what those affidavits </w:t>
      </w:r>
      <w:r w:rsidR="00DF7F7E">
        <w:rPr>
          <w:rFonts w:cs="Arial"/>
          <w:bCs/>
          <w:szCs w:val="22"/>
        </w:rPr>
        <w:t>would be</w:t>
      </w:r>
      <w:r w:rsidR="00CB2375">
        <w:rPr>
          <w:rFonts w:cs="Arial"/>
          <w:bCs/>
          <w:szCs w:val="22"/>
        </w:rPr>
        <w:t xml:space="preserve"> intended to achieve.</w:t>
      </w:r>
    </w:p>
    <w:p w14:paraId="07B37E05" w14:textId="19BAB1E8" w:rsidR="00654B72" w:rsidRDefault="001A7A60" w:rsidP="001A7A60">
      <w:pPr>
        <w:widowControl w:val="0"/>
        <w:tabs>
          <w:tab w:val="left" w:pos="567"/>
        </w:tabs>
        <w:spacing w:before="480" w:after="480" w:line="480" w:lineRule="auto"/>
        <w:jc w:val="both"/>
        <w:rPr>
          <w:rFonts w:cs="Arial"/>
          <w:bCs/>
          <w:szCs w:val="22"/>
        </w:rPr>
      </w:pPr>
      <w:r>
        <w:rPr>
          <w:rFonts w:cs="Arial"/>
          <w:bCs/>
          <w:szCs w:val="22"/>
        </w:rPr>
        <w:t>[19]</w:t>
      </w:r>
      <w:r>
        <w:rPr>
          <w:rFonts w:cs="Arial"/>
          <w:bCs/>
          <w:szCs w:val="22"/>
        </w:rPr>
        <w:tab/>
      </w:r>
      <w:r w:rsidR="00D80E75" w:rsidRPr="004042C8">
        <w:rPr>
          <w:rFonts w:cs="Arial"/>
          <w:bCs/>
          <w:szCs w:val="22"/>
        </w:rPr>
        <w:t>Ms van der Westhuizen who appeared for the respondent indicated</w:t>
      </w:r>
      <w:r w:rsidR="004042C8">
        <w:rPr>
          <w:rFonts w:cs="Arial"/>
          <w:bCs/>
          <w:szCs w:val="22"/>
        </w:rPr>
        <w:t xml:space="preserve"> at leave to appeal stage</w:t>
      </w:r>
      <w:r w:rsidR="00D80E75" w:rsidRPr="004042C8">
        <w:rPr>
          <w:rFonts w:cs="Arial"/>
          <w:bCs/>
          <w:szCs w:val="22"/>
        </w:rPr>
        <w:t xml:space="preserve"> that the respondent</w:t>
      </w:r>
      <w:r w:rsidR="00734A10">
        <w:rPr>
          <w:rFonts w:cs="Arial"/>
          <w:bCs/>
          <w:szCs w:val="22"/>
        </w:rPr>
        <w:t xml:space="preserve"> now</w:t>
      </w:r>
      <w:r w:rsidR="00D80E75" w:rsidRPr="004042C8">
        <w:rPr>
          <w:rFonts w:cs="Arial"/>
          <w:bCs/>
          <w:szCs w:val="22"/>
        </w:rPr>
        <w:t xml:space="preserve"> intended to seek leave to present further evidence on appeal in terms of section 19(b) of the </w:t>
      </w:r>
      <w:r w:rsidR="00CB2375">
        <w:rPr>
          <w:rFonts w:cs="Arial"/>
          <w:bCs/>
          <w:szCs w:val="22"/>
        </w:rPr>
        <w:t>Superior Courts Act.</w:t>
      </w:r>
    </w:p>
    <w:p w14:paraId="29FFADD4" w14:textId="2809C441" w:rsidR="00A66AF4" w:rsidRPr="004042C8" w:rsidRDefault="001A7A60" w:rsidP="001A7A60">
      <w:pPr>
        <w:widowControl w:val="0"/>
        <w:tabs>
          <w:tab w:val="left" w:pos="567"/>
        </w:tabs>
        <w:spacing w:before="480" w:after="480" w:line="480" w:lineRule="auto"/>
        <w:jc w:val="both"/>
        <w:rPr>
          <w:rFonts w:cs="Arial"/>
          <w:bCs/>
          <w:szCs w:val="22"/>
        </w:rPr>
      </w:pPr>
      <w:r w:rsidRPr="004042C8">
        <w:rPr>
          <w:rFonts w:cs="Arial"/>
          <w:bCs/>
          <w:szCs w:val="22"/>
        </w:rPr>
        <w:t>[20]</w:t>
      </w:r>
      <w:r w:rsidRPr="004042C8">
        <w:rPr>
          <w:rFonts w:cs="Arial"/>
          <w:bCs/>
          <w:szCs w:val="22"/>
        </w:rPr>
        <w:tab/>
      </w:r>
      <w:r w:rsidR="0025196E" w:rsidRPr="004042C8">
        <w:rPr>
          <w:rFonts w:cs="Arial"/>
          <w:bCs/>
          <w:szCs w:val="22"/>
        </w:rPr>
        <w:t xml:space="preserve">The Supreme Court of Appeal has laid down the requirements for the admission of new evidence in a series of decisions, and a Court of Appeal may generally be disposed to admit new evidence when it is material, </w:t>
      </w:r>
      <w:r w:rsidR="0025196E" w:rsidRPr="004042C8">
        <w:rPr>
          <w:rFonts w:cs="Arial"/>
          <w:bCs/>
          <w:i/>
          <w:iCs/>
          <w:szCs w:val="22"/>
        </w:rPr>
        <w:t>prima facie</w:t>
      </w:r>
      <w:r w:rsidR="0025196E" w:rsidRPr="004042C8">
        <w:rPr>
          <w:rFonts w:cs="Arial"/>
          <w:bCs/>
          <w:szCs w:val="22"/>
        </w:rPr>
        <w:t xml:space="preserve"> true, and there is an explanation as to why the evidence was not relied </w:t>
      </w:r>
      <w:r w:rsidR="00516556">
        <w:rPr>
          <w:rFonts w:cs="Arial"/>
          <w:bCs/>
          <w:szCs w:val="22"/>
        </w:rPr>
        <w:t>upon</w:t>
      </w:r>
      <w:r w:rsidR="0025196E" w:rsidRPr="004042C8">
        <w:rPr>
          <w:rFonts w:cs="Arial"/>
          <w:bCs/>
          <w:szCs w:val="22"/>
        </w:rPr>
        <w:t xml:space="preserve"> at the hearing.</w:t>
      </w:r>
      <w:r w:rsidR="0025196E">
        <w:rPr>
          <w:rStyle w:val="FootnoteReference"/>
          <w:rFonts w:cs="Arial"/>
          <w:bCs/>
          <w:szCs w:val="22"/>
        </w:rPr>
        <w:footnoteReference w:id="7"/>
      </w:r>
      <w:r w:rsidR="00A66AF4" w:rsidRPr="004042C8">
        <w:rPr>
          <w:rFonts w:cs="Arial"/>
          <w:bCs/>
          <w:szCs w:val="22"/>
        </w:rPr>
        <w:t xml:space="preserve"> </w:t>
      </w:r>
    </w:p>
    <w:p w14:paraId="00584B5D" w14:textId="4B9180DF" w:rsidR="00D80E75" w:rsidRDefault="001A7A60" w:rsidP="001A7A60">
      <w:pPr>
        <w:widowControl w:val="0"/>
        <w:tabs>
          <w:tab w:val="left" w:pos="567"/>
        </w:tabs>
        <w:spacing w:before="480" w:after="480" w:line="480" w:lineRule="auto"/>
        <w:jc w:val="both"/>
        <w:rPr>
          <w:rFonts w:cs="Arial"/>
          <w:bCs/>
          <w:szCs w:val="22"/>
        </w:rPr>
      </w:pPr>
      <w:r>
        <w:rPr>
          <w:rFonts w:cs="Arial"/>
          <w:bCs/>
          <w:szCs w:val="22"/>
        </w:rPr>
        <w:t>[21]</w:t>
      </w:r>
      <w:r>
        <w:rPr>
          <w:rFonts w:cs="Arial"/>
          <w:bCs/>
          <w:szCs w:val="22"/>
        </w:rPr>
        <w:tab/>
      </w:r>
      <w:r w:rsidR="00A66AF4">
        <w:rPr>
          <w:rFonts w:cs="Arial"/>
          <w:bCs/>
          <w:szCs w:val="22"/>
        </w:rPr>
        <w:t>It was not the case for the respondent that new evidence that was</w:t>
      </w:r>
      <w:r w:rsidR="004042C8">
        <w:rPr>
          <w:rFonts w:cs="Arial"/>
          <w:bCs/>
          <w:szCs w:val="22"/>
        </w:rPr>
        <w:t xml:space="preserve"> not</w:t>
      </w:r>
      <w:r w:rsidR="00A66AF4">
        <w:rPr>
          <w:rFonts w:cs="Arial"/>
          <w:bCs/>
          <w:szCs w:val="22"/>
        </w:rPr>
        <w:t xml:space="preserve"> available </w:t>
      </w:r>
      <w:r w:rsidR="004042C8">
        <w:rPr>
          <w:rFonts w:cs="Arial"/>
          <w:bCs/>
          <w:szCs w:val="22"/>
        </w:rPr>
        <w:t>earlier</w:t>
      </w:r>
      <w:r w:rsidR="00A66AF4">
        <w:rPr>
          <w:rFonts w:cs="Arial"/>
          <w:bCs/>
          <w:szCs w:val="22"/>
        </w:rPr>
        <w:t xml:space="preserve">, had come to light </w:t>
      </w:r>
      <w:r w:rsidR="004042C8">
        <w:rPr>
          <w:rFonts w:cs="Arial"/>
          <w:bCs/>
          <w:szCs w:val="22"/>
        </w:rPr>
        <w:t xml:space="preserve">at a later stage </w:t>
      </w:r>
      <w:r w:rsidR="00A66AF4">
        <w:rPr>
          <w:rFonts w:cs="Arial"/>
          <w:bCs/>
          <w:szCs w:val="22"/>
        </w:rPr>
        <w:t>and that the failure to present the evidence to court was not due to the negligence or lack of care of the respondent.</w:t>
      </w:r>
      <w:r w:rsidR="00A66AF4">
        <w:rPr>
          <w:rStyle w:val="FootnoteReference"/>
          <w:rFonts w:cs="Arial"/>
          <w:bCs/>
          <w:szCs w:val="22"/>
        </w:rPr>
        <w:footnoteReference w:id="8"/>
      </w:r>
      <w:r w:rsidR="00516556">
        <w:rPr>
          <w:rFonts w:cs="Arial"/>
          <w:bCs/>
          <w:szCs w:val="22"/>
        </w:rPr>
        <w:t xml:space="preserve"> </w:t>
      </w:r>
    </w:p>
    <w:p w14:paraId="44D27A95" w14:textId="50B8964F" w:rsidR="00A37E2E" w:rsidRPr="00A37E2E" w:rsidRDefault="00A37E2E" w:rsidP="00A37E2E">
      <w:pPr>
        <w:widowControl w:val="0"/>
        <w:spacing w:before="480" w:after="480" w:line="480" w:lineRule="auto"/>
        <w:jc w:val="both"/>
        <w:rPr>
          <w:rFonts w:cs="Arial"/>
          <w:bCs/>
          <w:i/>
          <w:iCs/>
          <w:szCs w:val="22"/>
          <w:u w:val="single"/>
        </w:rPr>
      </w:pPr>
      <w:r w:rsidRPr="00A37E2E">
        <w:rPr>
          <w:rFonts w:cs="Arial"/>
          <w:bCs/>
          <w:i/>
          <w:iCs/>
          <w:szCs w:val="22"/>
          <w:u w:val="single"/>
        </w:rPr>
        <w:t xml:space="preserve">The </w:t>
      </w:r>
      <w:r w:rsidR="005451DA">
        <w:rPr>
          <w:rFonts w:cs="Arial"/>
          <w:bCs/>
          <w:i/>
          <w:iCs/>
          <w:szCs w:val="22"/>
          <w:u w:val="single"/>
        </w:rPr>
        <w:t>pending</w:t>
      </w:r>
      <w:r w:rsidRPr="00A37E2E">
        <w:rPr>
          <w:rFonts w:cs="Arial"/>
          <w:bCs/>
          <w:i/>
          <w:iCs/>
          <w:szCs w:val="22"/>
          <w:u w:val="single"/>
        </w:rPr>
        <w:t xml:space="preserve"> Rule 43(6) application</w:t>
      </w:r>
    </w:p>
    <w:p w14:paraId="491C5AF7" w14:textId="7265EF12" w:rsidR="00A37E2E" w:rsidRDefault="001A7A60" w:rsidP="001A7A60">
      <w:pPr>
        <w:widowControl w:val="0"/>
        <w:tabs>
          <w:tab w:val="left" w:pos="567"/>
        </w:tabs>
        <w:spacing w:before="480" w:after="480" w:line="480" w:lineRule="auto"/>
        <w:jc w:val="both"/>
        <w:rPr>
          <w:rFonts w:cs="Arial"/>
          <w:bCs/>
          <w:szCs w:val="22"/>
        </w:rPr>
      </w:pPr>
      <w:r>
        <w:rPr>
          <w:rFonts w:cs="Arial"/>
          <w:bCs/>
          <w:szCs w:val="22"/>
        </w:rPr>
        <w:t>[22]</w:t>
      </w:r>
      <w:r>
        <w:rPr>
          <w:rFonts w:cs="Arial"/>
          <w:bCs/>
          <w:szCs w:val="22"/>
        </w:rPr>
        <w:tab/>
      </w:r>
      <w:r w:rsidR="00A37E2E">
        <w:rPr>
          <w:rFonts w:cs="Arial"/>
          <w:bCs/>
          <w:szCs w:val="22"/>
        </w:rPr>
        <w:t xml:space="preserve">I referred in paragraph 17 of the judgment to the long delay between the initial order by </w:t>
      </w:r>
      <w:proofErr w:type="spellStart"/>
      <w:r w:rsidR="00A37E2E">
        <w:rPr>
          <w:rFonts w:cs="Arial"/>
          <w:bCs/>
          <w:szCs w:val="22"/>
        </w:rPr>
        <w:t>Budlender</w:t>
      </w:r>
      <w:proofErr w:type="spellEnd"/>
      <w:r w:rsidR="00A37E2E">
        <w:rPr>
          <w:rFonts w:cs="Arial"/>
          <w:bCs/>
          <w:szCs w:val="22"/>
        </w:rPr>
        <w:t xml:space="preserve"> AJ in 2019 and the respondent’s application in terms of Rule 43(6) launched </w:t>
      </w:r>
      <w:r w:rsidR="00516556">
        <w:rPr>
          <w:rFonts w:cs="Arial"/>
          <w:bCs/>
          <w:szCs w:val="22"/>
        </w:rPr>
        <w:t xml:space="preserve">at the end of </w:t>
      </w:r>
      <w:r w:rsidR="00A37E2E">
        <w:rPr>
          <w:rFonts w:cs="Arial"/>
          <w:bCs/>
          <w:szCs w:val="22"/>
        </w:rPr>
        <w:t>September 2022 a few days before argument in this matter commenced on 3 October 2022.</w:t>
      </w:r>
    </w:p>
    <w:p w14:paraId="47413A47" w14:textId="28878780" w:rsidR="00734A10" w:rsidRDefault="001A7A60" w:rsidP="001A7A60">
      <w:pPr>
        <w:widowControl w:val="0"/>
        <w:tabs>
          <w:tab w:val="left" w:pos="567"/>
        </w:tabs>
        <w:spacing w:before="480" w:after="480" w:line="480" w:lineRule="auto"/>
        <w:jc w:val="both"/>
        <w:rPr>
          <w:rFonts w:cs="Arial"/>
          <w:bCs/>
          <w:szCs w:val="22"/>
        </w:rPr>
      </w:pPr>
      <w:r>
        <w:rPr>
          <w:rFonts w:cs="Arial"/>
          <w:bCs/>
          <w:szCs w:val="22"/>
        </w:rPr>
        <w:t>[23]</w:t>
      </w:r>
      <w:r>
        <w:rPr>
          <w:rFonts w:cs="Arial"/>
          <w:bCs/>
          <w:szCs w:val="22"/>
        </w:rPr>
        <w:tab/>
      </w:r>
      <w:r w:rsidR="00A37E2E">
        <w:rPr>
          <w:rFonts w:cs="Arial"/>
          <w:bCs/>
          <w:szCs w:val="22"/>
        </w:rPr>
        <w:t xml:space="preserve">The pending Rule 43(6) application is subject to case management and further affidavits are to be filed. The order I made cater for the possibility that the order by </w:t>
      </w:r>
      <w:proofErr w:type="spellStart"/>
      <w:r w:rsidR="00A37E2E">
        <w:rPr>
          <w:rFonts w:cs="Arial"/>
          <w:bCs/>
          <w:szCs w:val="22"/>
        </w:rPr>
        <w:lastRenderedPageBreak/>
        <w:t>Budlender</w:t>
      </w:r>
      <w:proofErr w:type="spellEnd"/>
      <w:r w:rsidR="00A37E2E">
        <w:rPr>
          <w:rFonts w:cs="Arial"/>
          <w:bCs/>
          <w:szCs w:val="22"/>
        </w:rPr>
        <w:t xml:space="preserve"> AJ may be amended retrospectively</w:t>
      </w:r>
      <w:r w:rsidR="005451DA">
        <w:rPr>
          <w:rFonts w:cs="Arial"/>
          <w:bCs/>
          <w:szCs w:val="22"/>
        </w:rPr>
        <w:t>, a question I express</w:t>
      </w:r>
      <w:r w:rsidR="00DF7F7E">
        <w:rPr>
          <w:rFonts w:cs="Arial"/>
          <w:bCs/>
          <w:szCs w:val="22"/>
        </w:rPr>
        <w:t>ed</w:t>
      </w:r>
      <w:r w:rsidR="005451DA">
        <w:rPr>
          <w:rFonts w:cs="Arial"/>
          <w:bCs/>
          <w:szCs w:val="22"/>
        </w:rPr>
        <w:t xml:space="preserve"> no view on.</w:t>
      </w:r>
    </w:p>
    <w:p w14:paraId="2C1AAE86" w14:textId="386C29AC" w:rsidR="00A37E2E" w:rsidRDefault="001A7A60" w:rsidP="001A7A60">
      <w:pPr>
        <w:widowControl w:val="0"/>
        <w:tabs>
          <w:tab w:val="left" w:pos="567"/>
        </w:tabs>
        <w:spacing w:before="480" w:after="480" w:line="480" w:lineRule="auto"/>
        <w:jc w:val="both"/>
        <w:rPr>
          <w:rFonts w:cs="Arial"/>
          <w:bCs/>
          <w:szCs w:val="22"/>
        </w:rPr>
      </w:pPr>
      <w:r>
        <w:rPr>
          <w:rFonts w:cs="Arial"/>
          <w:bCs/>
          <w:szCs w:val="22"/>
        </w:rPr>
        <w:t>[24]</w:t>
      </w:r>
      <w:r>
        <w:rPr>
          <w:rFonts w:cs="Arial"/>
          <w:bCs/>
          <w:szCs w:val="22"/>
        </w:rPr>
        <w:tab/>
      </w:r>
      <w:r w:rsidR="00734A10">
        <w:rPr>
          <w:rFonts w:cs="Arial"/>
          <w:bCs/>
          <w:szCs w:val="22"/>
        </w:rPr>
        <w:t xml:space="preserve">The application was argued a few days after the launch of the Rule 43(6) application but no substantive application for a postponement pending the application was made at the hearing on 3 October 2022. The respondent </w:t>
      </w:r>
      <w:proofErr w:type="spellStart"/>
      <w:r w:rsidR="00734A10">
        <w:rPr>
          <w:rFonts w:cs="Arial"/>
          <w:bCs/>
          <w:szCs w:val="22"/>
        </w:rPr>
        <w:t>can not</w:t>
      </w:r>
      <w:proofErr w:type="spellEnd"/>
      <w:r w:rsidR="00734A10">
        <w:rPr>
          <w:rFonts w:cs="Arial"/>
          <w:bCs/>
          <w:szCs w:val="22"/>
        </w:rPr>
        <w:t xml:space="preserve"> now rely on the failure</w:t>
      </w:r>
      <w:r w:rsidR="009A12A9">
        <w:rPr>
          <w:rStyle w:val="FootnoteReference"/>
          <w:rFonts w:cs="Arial"/>
          <w:bCs/>
          <w:szCs w:val="22"/>
        </w:rPr>
        <w:footnoteReference w:id="9"/>
      </w:r>
      <w:r w:rsidR="00734A10">
        <w:rPr>
          <w:rFonts w:cs="Arial"/>
          <w:bCs/>
          <w:szCs w:val="22"/>
        </w:rPr>
        <w:t xml:space="preserve"> of the Court to </w:t>
      </w:r>
      <w:proofErr w:type="spellStart"/>
      <w:r w:rsidR="00734A10" w:rsidRPr="00DF7F7E">
        <w:rPr>
          <w:rFonts w:cs="Arial"/>
          <w:bCs/>
          <w:i/>
          <w:iCs/>
          <w:szCs w:val="22"/>
        </w:rPr>
        <w:t>mero</w:t>
      </w:r>
      <w:proofErr w:type="spellEnd"/>
      <w:r w:rsidR="00734A10" w:rsidRPr="00DF7F7E">
        <w:rPr>
          <w:rFonts w:cs="Arial"/>
          <w:bCs/>
          <w:i/>
          <w:iCs/>
          <w:szCs w:val="22"/>
        </w:rPr>
        <w:t xml:space="preserve"> motu</w:t>
      </w:r>
      <w:r w:rsidR="00734A10">
        <w:rPr>
          <w:rFonts w:cs="Arial"/>
          <w:bCs/>
          <w:szCs w:val="22"/>
        </w:rPr>
        <w:t xml:space="preserve"> postpone the application</w:t>
      </w:r>
      <w:r w:rsidR="004E704C">
        <w:rPr>
          <w:rFonts w:cs="Arial"/>
          <w:bCs/>
          <w:szCs w:val="22"/>
        </w:rPr>
        <w:t>.</w:t>
      </w:r>
    </w:p>
    <w:p w14:paraId="196518AF" w14:textId="73B92563" w:rsidR="00C118D5" w:rsidRPr="00C118D5" w:rsidRDefault="00C118D5" w:rsidP="00C118D5">
      <w:pPr>
        <w:widowControl w:val="0"/>
        <w:spacing w:before="480" w:after="480" w:line="480" w:lineRule="auto"/>
        <w:jc w:val="both"/>
        <w:rPr>
          <w:rFonts w:cs="Arial"/>
          <w:bCs/>
          <w:i/>
          <w:iCs/>
          <w:szCs w:val="22"/>
          <w:u w:val="single"/>
        </w:rPr>
      </w:pPr>
      <w:r>
        <w:rPr>
          <w:rFonts w:cs="Arial"/>
          <w:bCs/>
          <w:i/>
          <w:iCs/>
          <w:szCs w:val="22"/>
          <w:u w:val="single"/>
        </w:rPr>
        <w:t>Section 173 of the Constitution</w:t>
      </w:r>
    </w:p>
    <w:p w14:paraId="3FC79CBD" w14:textId="11F328AD" w:rsidR="0078642A" w:rsidRDefault="001A7A60" w:rsidP="001A7A60">
      <w:pPr>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proofErr w:type="gramStart"/>
      <w:r w:rsidR="00DE0944">
        <w:rPr>
          <w:rFonts w:cs="Arial"/>
          <w:bCs/>
          <w:szCs w:val="22"/>
        </w:rPr>
        <w:t>Ms  van</w:t>
      </w:r>
      <w:proofErr w:type="gramEnd"/>
      <w:r w:rsidR="00DE0944">
        <w:rPr>
          <w:rFonts w:cs="Arial"/>
          <w:bCs/>
          <w:szCs w:val="22"/>
        </w:rPr>
        <w:t xml:space="preserve"> der Westhuizen </w:t>
      </w:r>
      <w:r w:rsidR="0060531B">
        <w:rPr>
          <w:rFonts w:cs="Arial"/>
          <w:bCs/>
          <w:szCs w:val="22"/>
        </w:rPr>
        <w:t>relied</w:t>
      </w:r>
      <w:r w:rsidR="00C118D5">
        <w:rPr>
          <w:rFonts w:cs="Arial"/>
          <w:bCs/>
          <w:szCs w:val="22"/>
        </w:rPr>
        <w:t xml:space="preserve"> in argument</w:t>
      </w:r>
      <w:r w:rsidR="0060531B">
        <w:rPr>
          <w:rFonts w:cs="Arial"/>
          <w:bCs/>
          <w:szCs w:val="22"/>
        </w:rPr>
        <w:t xml:space="preserve"> on </w:t>
      </w:r>
      <w:r w:rsidR="00DE0944">
        <w:rPr>
          <w:rFonts w:cs="Arial"/>
          <w:bCs/>
          <w:szCs w:val="22"/>
        </w:rPr>
        <w:t>section 173 of the Constitution</w:t>
      </w:r>
      <w:r w:rsidR="0060531B">
        <w:rPr>
          <w:rFonts w:cs="Arial"/>
          <w:bCs/>
          <w:szCs w:val="22"/>
        </w:rPr>
        <w:t xml:space="preserve"> of the Republic of South Africa, 1996</w:t>
      </w:r>
      <w:r w:rsidR="00DE0944">
        <w:rPr>
          <w:rFonts w:cs="Arial"/>
          <w:bCs/>
          <w:szCs w:val="22"/>
        </w:rPr>
        <w:t>. The section reads as follows:</w:t>
      </w:r>
    </w:p>
    <w:p w14:paraId="741AA7C9" w14:textId="77777777" w:rsidR="0060531B" w:rsidRPr="0060531B" w:rsidRDefault="0060531B" w:rsidP="00734A10">
      <w:pPr>
        <w:shd w:val="clear" w:color="auto" w:fill="FFFFFF"/>
        <w:spacing w:before="240"/>
        <w:ind w:left="1440"/>
        <w:jc w:val="both"/>
        <w:rPr>
          <w:rFonts w:cs="Arial"/>
          <w:b/>
          <w:bCs/>
          <w:i/>
          <w:iCs/>
          <w:color w:val="000000" w:themeColor="text1"/>
          <w:sz w:val="20"/>
          <w:szCs w:val="20"/>
          <w:lang w:eastAsia="en-ZA"/>
        </w:rPr>
      </w:pPr>
      <w:proofErr w:type="gramStart"/>
      <w:r w:rsidRPr="0060531B">
        <w:rPr>
          <w:rFonts w:cs="Arial"/>
          <w:b/>
          <w:bCs/>
          <w:i/>
          <w:iCs/>
          <w:color w:val="000000" w:themeColor="text1"/>
          <w:sz w:val="20"/>
          <w:szCs w:val="20"/>
        </w:rPr>
        <w:t>173  Inherent</w:t>
      </w:r>
      <w:proofErr w:type="gramEnd"/>
      <w:r w:rsidRPr="0060531B">
        <w:rPr>
          <w:rFonts w:cs="Arial"/>
          <w:b/>
          <w:bCs/>
          <w:i/>
          <w:iCs/>
          <w:color w:val="000000" w:themeColor="text1"/>
          <w:sz w:val="20"/>
          <w:szCs w:val="20"/>
        </w:rPr>
        <w:t xml:space="preserve"> power</w:t>
      </w:r>
    </w:p>
    <w:p w14:paraId="3DA3BCCF" w14:textId="77777777" w:rsidR="0060531B" w:rsidRPr="0060531B" w:rsidRDefault="0060531B" w:rsidP="00734A10">
      <w:pPr>
        <w:spacing w:before="120"/>
        <w:ind w:left="1440"/>
        <w:jc w:val="both"/>
        <w:rPr>
          <w:rFonts w:cs="Arial"/>
          <w:i/>
          <w:iCs/>
          <w:color w:val="000000" w:themeColor="text1"/>
          <w:sz w:val="20"/>
          <w:szCs w:val="20"/>
        </w:rPr>
      </w:pPr>
      <w:r w:rsidRPr="0060531B">
        <w:rPr>
          <w:rFonts w:cs="Arial"/>
          <w:i/>
          <w:iCs/>
          <w:color w:val="000000" w:themeColor="text1"/>
          <w:sz w:val="20"/>
          <w:szCs w:val="20"/>
        </w:rPr>
        <w:t xml:space="preserve">The Constitutional Court, the Supreme Court of </w:t>
      </w:r>
      <w:proofErr w:type="gramStart"/>
      <w:r w:rsidRPr="0060531B">
        <w:rPr>
          <w:rFonts w:cs="Arial"/>
          <w:i/>
          <w:iCs/>
          <w:color w:val="000000" w:themeColor="text1"/>
          <w:sz w:val="20"/>
          <w:szCs w:val="20"/>
        </w:rPr>
        <w:t>Appeal</w:t>
      </w:r>
      <w:proofErr w:type="gramEnd"/>
      <w:r w:rsidRPr="0060531B">
        <w:rPr>
          <w:rFonts w:cs="Arial"/>
          <w:i/>
          <w:iCs/>
          <w:color w:val="000000" w:themeColor="text1"/>
          <w:sz w:val="20"/>
          <w:szCs w:val="20"/>
        </w:rPr>
        <w:t xml:space="preserve"> and the High Court of South Africa each has the inherent power to protect and regulate their own process, and to develop the common law, taking into account the interests of justice.</w:t>
      </w:r>
    </w:p>
    <w:p w14:paraId="4D8F3587" w14:textId="77777777" w:rsidR="0060531B" w:rsidRPr="0060531B" w:rsidRDefault="0060531B" w:rsidP="00734A10">
      <w:pPr>
        <w:shd w:val="clear" w:color="auto" w:fill="FFFFFF"/>
        <w:spacing w:before="20" w:after="20"/>
        <w:ind w:left="1440" w:right="567"/>
        <w:jc w:val="both"/>
        <w:rPr>
          <w:rFonts w:ascii="Verdana" w:hAnsi="Verdana"/>
          <w:i/>
          <w:iCs/>
          <w:color w:val="2C3E50"/>
          <w:sz w:val="16"/>
          <w:szCs w:val="16"/>
        </w:rPr>
      </w:pPr>
      <w:r w:rsidRPr="0060531B">
        <w:rPr>
          <w:rFonts w:cs="Arial"/>
          <w:i/>
          <w:iCs/>
          <w:color w:val="000000" w:themeColor="text1"/>
          <w:sz w:val="16"/>
          <w:szCs w:val="16"/>
        </w:rPr>
        <w:t>[S. 173 substituted by s. 8 of the </w:t>
      </w:r>
      <w:hyperlink r:id="rId12" w:history="1">
        <w:r w:rsidRPr="0060531B">
          <w:rPr>
            <w:rStyle w:val="Hyperlink"/>
            <w:rFonts w:cs="Arial"/>
            <w:i/>
            <w:iCs/>
            <w:color w:val="000000" w:themeColor="text1"/>
            <w:sz w:val="16"/>
            <w:szCs w:val="16"/>
            <w:u w:val="none"/>
          </w:rPr>
          <w:t>Constitution Seventeenth Amendment Act of 2012</w:t>
        </w:r>
      </w:hyperlink>
      <w:r w:rsidRPr="0060531B">
        <w:rPr>
          <w:rFonts w:ascii="Verdana" w:hAnsi="Verdana"/>
          <w:i/>
          <w:iCs/>
          <w:color w:val="000000" w:themeColor="text1"/>
          <w:sz w:val="16"/>
          <w:szCs w:val="16"/>
        </w:rPr>
        <w:t> (</w:t>
      </w:r>
      <w:proofErr w:type="spellStart"/>
      <w:r w:rsidRPr="0060531B">
        <w:rPr>
          <w:rFonts w:ascii="Verdana" w:hAnsi="Verdana"/>
          <w:i/>
          <w:iCs/>
          <w:color w:val="000000" w:themeColor="text1"/>
          <w:sz w:val="16"/>
          <w:szCs w:val="16"/>
        </w:rPr>
        <w:t>wef</w:t>
      </w:r>
      <w:proofErr w:type="spellEnd"/>
      <w:r w:rsidRPr="0060531B">
        <w:rPr>
          <w:rFonts w:ascii="Verdana" w:hAnsi="Verdana"/>
          <w:i/>
          <w:iCs/>
          <w:color w:val="000000" w:themeColor="text1"/>
          <w:sz w:val="16"/>
          <w:szCs w:val="16"/>
        </w:rPr>
        <w:t xml:space="preserve"> 23 August 2013).]</w:t>
      </w:r>
    </w:p>
    <w:p w14:paraId="00BDB4D4" w14:textId="667AD967" w:rsidR="00121BE3" w:rsidRDefault="001A7A60" w:rsidP="001A7A60">
      <w:pPr>
        <w:widowControl w:val="0"/>
        <w:tabs>
          <w:tab w:val="left" w:pos="567"/>
        </w:tabs>
        <w:spacing w:before="480" w:after="480" w:line="480" w:lineRule="auto"/>
        <w:jc w:val="both"/>
        <w:rPr>
          <w:rFonts w:cs="Arial"/>
          <w:bCs/>
          <w:szCs w:val="22"/>
        </w:rPr>
      </w:pPr>
      <w:r>
        <w:rPr>
          <w:rFonts w:cs="Arial"/>
          <w:bCs/>
          <w:szCs w:val="22"/>
        </w:rPr>
        <w:t>[26]</w:t>
      </w:r>
      <w:r>
        <w:rPr>
          <w:rFonts w:cs="Arial"/>
          <w:bCs/>
          <w:szCs w:val="22"/>
        </w:rPr>
        <w:tab/>
      </w:r>
      <w:r w:rsidR="0060531B">
        <w:rPr>
          <w:rFonts w:cs="Arial"/>
          <w:bCs/>
          <w:szCs w:val="22"/>
        </w:rPr>
        <w:t>Section 173 must be read in the context of Chapter 8</w:t>
      </w:r>
      <w:r w:rsidR="0060531B">
        <w:rPr>
          <w:rStyle w:val="FootnoteReference"/>
          <w:rFonts w:cs="Arial"/>
          <w:bCs/>
          <w:szCs w:val="22"/>
        </w:rPr>
        <w:footnoteReference w:id="10"/>
      </w:r>
      <w:r w:rsidR="0060531B">
        <w:rPr>
          <w:rFonts w:cs="Arial"/>
          <w:bCs/>
          <w:szCs w:val="22"/>
        </w:rPr>
        <w:t xml:space="preserve"> of the Constitution, and of course the whole of the Constitution with </w:t>
      </w:r>
      <w:proofErr w:type="gramStart"/>
      <w:r w:rsidR="0060531B">
        <w:rPr>
          <w:rFonts w:cs="Arial"/>
          <w:bCs/>
          <w:szCs w:val="22"/>
        </w:rPr>
        <w:t>particular reference</w:t>
      </w:r>
      <w:proofErr w:type="gramEnd"/>
      <w:r w:rsidR="0060531B">
        <w:rPr>
          <w:rFonts w:cs="Arial"/>
          <w:bCs/>
          <w:szCs w:val="22"/>
        </w:rPr>
        <w:t xml:space="preserve"> to section 2 that entrenches the supremacy of the Constitution, and the Bill of Rights in Chapter 2</w:t>
      </w:r>
      <w:r w:rsidR="00DE0944">
        <w:rPr>
          <w:rFonts w:cs="Arial"/>
          <w:bCs/>
          <w:szCs w:val="22"/>
        </w:rPr>
        <w:t>.</w:t>
      </w:r>
    </w:p>
    <w:p w14:paraId="38DD2084" w14:textId="04164C54" w:rsidR="00485E88" w:rsidRPr="00485E88" w:rsidRDefault="001A7A60" w:rsidP="001A7A60">
      <w:pPr>
        <w:widowControl w:val="0"/>
        <w:tabs>
          <w:tab w:val="left" w:pos="567"/>
        </w:tabs>
        <w:spacing w:before="480" w:after="480" w:line="480" w:lineRule="auto"/>
        <w:jc w:val="both"/>
        <w:rPr>
          <w:rFonts w:cs="Arial"/>
          <w:bCs/>
          <w:color w:val="000000" w:themeColor="text1"/>
          <w:szCs w:val="22"/>
        </w:rPr>
      </w:pPr>
      <w:r w:rsidRPr="00485E88">
        <w:rPr>
          <w:rFonts w:cs="Arial"/>
          <w:bCs/>
          <w:szCs w:val="22"/>
        </w:rPr>
        <w:t>[27]</w:t>
      </w:r>
      <w:r w:rsidRPr="00485E88">
        <w:rPr>
          <w:rFonts w:cs="Arial"/>
          <w:bCs/>
          <w:szCs w:val="22"/>
        </w:rPr>
        <w:tab/>
      </w:r>
      <w:r w:rsidR="00121BE3">
        <w:rPr>
          <w:rFonts w:cs="Arial"/>
          <w:bCs/>
          <w:szCs w:val="22"/>
        </w:rPr>
        <w:t>South African courts have been successful in fulfilling the obligation imposed by section 173</w:t>
      </w:r>
      <w:r w:rsidR="00A10C5E">
        <w:rPr>
          <w:rFonts w:cs="Arial"/>
          <w:bCs/>
          <w:szCs w:val="22"/>
        </w:rPr>
        <w:t xml:space="preserve"> to develop the common law</w:t>
      </w:r>
      <w:r w:rsidR="00121BE3">
        <w:rPr>
          <w:rFonts w:cs="Arial"/>
          <w:bCs/>
          <w:szCs w:val="22"/>
        </w:rPr>
        <w:t>.</w:t>
      </w:r>
      <w:r w:rsidR="007D015D">
        <w:rPr>
          <w:rStyle w:val="FootnoteReference"/>
          <w:rFonts w:cs="Arial"/>
          <w:bCs/>
          <w:szCs w:val="22"/>
        </w:rPr>
        <w:footnoteReference w:id="11"/>
      </w:r>
      <w:r w:rsidR="007D015D">
        <w:rPr>
          <w:rFonts w:cs="Arial"/>
          <w:bCs/>
          <w:szCs w:val="22"/>
        </w:rPr>
        <w:t xml:space="preserve"> </w:t>
      </w:r>
      <w:r w:rsidR="00734A10">
        <w:rPr>
          <w:rFonts w:cs="Arial"/>
          <w:bCs/>
          <w:szCs w:val="22"/>
        </w:rPr>
        <w:t>In doing so t</w:t>
      </w:r>
      <w:r w:rsidR="00485E88">
        <w:rPr>
          <w:rFonts w:cs="Arial"/>
          <w:bCs/>
          <w:szCs w:val="22"/>
        </w:rPr>
        <w:t xml:space="preserve">he courts are guided by the </w:t>
      </w:r>
      <w:r w:rsidR="00485E88">
        <w:rPr>
          <w:rFonts w:cs="Arial"/>
          <w:bCs/>
          <w:szCs w:val="22"/>
        </w:rPr>
        <w:lastRenderedPageBreak/>
        <w:t>interests of justice.</w:t>
      </w:r>
      <w:r w:rsidR="00485E88">
        <w:rPr>
          <w:rStyle w:val="FootnoteReference"/>
          <w:rFonts w:cs="Arial"/>
          <w:bCs/>
          <w:szCs w:val="22"/>
        </w:rPr>
        <w:footnoteReference w:id="12"/>
      </w:r>
      <w:r w:rsidR="00485E88">
        <w:rPr>
          <w:rFonts w:cs="Arial"/>
          <w:bCs/>
          <w:szCs w:val="22"/>
        </w:rPr>
        <w:t xml:space="preserve"> </w:t>
      </w:r>
    </w:p>
    <w:p w14:paraId="57BCCA09" w14:textId="66311598" w:rsidR="003A00C8" w:rsidRPr="003A00C8" w:rsidRDefault="001A7A60" w:rsidP="001A7A60">
      <w:pPr>
        <w:widowControl w:val="0"/>
        <w:tabs>
          <w:tab w:val="left" w:pos="567"/>
        </w:tabs>
        <w:spacing w:before="480" w:after="480" w:line="480" w:lineRule="auto"/>
        <w:jc w:val="both"/>
        <w:rPr>
          <w:rFonts w:cs="Arial"/>
          <w:bCs/>
          <w:color w:val="000000" w:themeColor="text1"/>
          <w:szCs w:val="22"/>
        </w:rPr>
      </w:pPr>
      <w:r w:rsidRPr="003A00C8">
        <w:rPr>
          <w:rFonts w:cs="Arial"/>
          <w:bCs/>
          <w:szCs w:val="22"/>
        </w:rPr>
        <w:t>[28]</w:t>
      </w:r>
      <w:r w:rsidRPr="003A00C8">
        <w:rPr>
          <w:rFonts w:cs="Arial"/>
          <w:bCs/>
          <w:szCs w:val="22"/>
        </w:rPr>
        <w:tab/>
      </w:r>
      <w:r w:rsidR="007D015D">
        <w:rPr>
          <w:rFonts w:cs="Arial"/>
          <w:bCs/>
          <w:szCs w:val="22"/>
        </w:rPr>
        <w:t>The case for developing the common law should be properly pleaded at the first available opportunity.</w:t>
      </w:r>
      <w:r w:rsidR="007D015D">
        <w:rPr>
          <w:rStyle w:val="FootnoteReference"/>
          <w:rFonts w:cs="Arial"/>
          <w:bCs/>
          <w:szCs w:val="22"/>
        </w:rPr>
        <w:footnoteReference w:id="13"/>
      </w:r>
      <w:r w:rsidR="007D015D">
        <w:rPr>
          <w:rFonts w:cs="Arial"/>
          <w:bCs/>
          <w:szCs w:val="22"/>
        </w:rPr>
        <w:t xml:space="preserve"> </w:t>
      </w:r>
      <w:r w:rsidR="001509BE">
        <w:rPr>
          <w:rFonts w:cs="Arial"/>
          <w:bCs/>
          <w:szCs w:val="22"/>
        </w:rPr>
        <w:t xml:space="preserve">This the respondent has not </w:t>
      </w:r>
      <w:proofErr w:type="gramStart"/>
      <w:r w:rsidR="001509BE">
        <w:rPr>
          <w:rFonts w:cs="Arial"/>
          <w:bCs/>
          <w:szCs w:val="22"/>
        </w:rPr>
        <w:t>done</w:t>
      </w:r>
      <w:proofErr w:type="gramEnd"/>
      <w:r w:rsidR="00DF7F7E">
        <w:rPr>
          <w:rFonts w:cs="Arial"/>
          <w:bCs/>
          <w:szCs w:val="22"/>
        </w:rPr>
        <w:t xml:space="preserve"> and it is not clear what development is envisaged</w:t>
      </w:r>
      <w:r w:rsidR="001509BE">
        <w:rPr>
          <w:rFonts w:cs="Arial"/>
          <w:bCs/>
          <w:szCs w:val="22"/>
        </w:rPr>
        <w:t>.</w:t>
      </w:r>
      <w:r w:rsidR="003A00C8">
        <w:rPr>
          <w:rFonts w:cs="Arial"/>
          <w:bCs/>
          <w:szCs w:val="22"/>
        </w:rPr>
        <w:t xml:space="preserve"> </w:t>
      </w:r>
    </w:p>
    <w:p w14:paraId="572A5EA6" w14:textId="1331525B" w:rsidR="00DE0944" w:rsidRPr="001F4691" w:rsidRDefault="001A7A60" w:rsidP="001A7A60">
      <w:pPr>
        <w:widowControl w:val="0"/>
        <w:tabs>
          <w:tab w:val="left" w:pos="567"/>
        </w:tabs>
        <w:spacing w:before="480" w:after="480" w:line="480" w:lineRule="auto"/>
        <w:jc w:val="both"/>
        <w:rPr>
          <w:rFonts w:cs="Arial"/>
          <w:bCs/>
          <w:color w:val="000000" w:themeColor="text1"/>
          <w:szCs w:val="22"/>
        </w:rPr>
      </w:pPr>
      <w:r w:rsidRPr="001F4691">
        <w:rPr>
          <w:rFonts w:cs="Arial"/>
          <w:bCs/>
          <w:szCs w:val="22"/>
        </w:rPr>
        <w:t>[29]</w:t>
      </w:r>
      <w:r w:rsidRPr="001F4691">
        <w:rPr>
          <w:rFonts w:cs="Arial"/>
          <w:bCs/>
          <w:szCs w:val="22"/>
        </w:rPr>
        <w:tab/>
      </w:r>
      <w:r w:rsidR="003A00C8">
        <w:rPr>
          <w:rFonts w:cs="Arial"/>
          <w:bCs/>
          <w:szCs w:val="22"/>
        </w:rPr>
        <w:t xml:space="preserve">Section 173 is not authority for the view that a Court </w:t>
      </w:r>
      <w:r w:rsidR="001F4691">
        <w:rPr>
          <w:rFonts w:cs="Arial"/>
          <w:bCs/>
          <w:szCs w:val="22"/>
        </w:rPr>
        <w:t>should deviate from the rules of court</w:t>
      </w:r>
      <w:r w:rsidR="00DF7F7E">
        <w:rPr>
          <w:rStyle w:val="FootnoteReference"/>
          <w:rFonts w:cs="Arial"/>
          <w:bCs/>
          <w:szCs w:val="22"/>
        </w:rPr>
        <w:footnoteReference w:id="14"/>
      </w:r>
      <w:r w:rsidR="001F4691">
        <w:rPr>
          <w:rFonts w:cs="Arial"/>
          <w:bCs/>
          <w:szCs w:val="22"/>
        </w:rPr>
        <w:t xml:space="preserve"> or </w:t>
      </w:r>
      <w:r w:rsidR="003A00C8">
        <w:rPr>
          <w:rFonts w:cs="Arial"/>
          <w:bCs/>
          <w:szCs w:val="22"/>
        </w:rPr>
        <w:t>should</w:t>
      </w:r>
      <w:r w:rsidR="00485E88">
        <w:rPr>
          <w:rFonts w:cs="Arial"/>
          <w:bCs/>
          <w:szCs w:val="22"/>
        </w:rPr>
        <w:t xml:space="preserve"> descend into the arena during application proceedings </w:t>
      </w:r>
      <w:proofErr w:type="gramStart"/>
      <w:r w:rsidR="00485E88">
        <w:rPr>
          <w:rFonts w:cs="Arial"/>
          <w:bCs/>
          <w:szCs w:val="22"/>
        </w:rPr>
        <w:t>in order to</w:t>
      </w:r>
      <w:proofErr w:type="gramEnd"/>
      <w:r w:rsidR="00485E88">
        <w:rPr>
          <w:rFonts w:cs="Arial"/>
          <w:bCs/>
          <w:szCs w:val="22"/>
        </w:rPr>
        <w:t xml:space="preserve"> advise parties that the evidence presented might not sufficient, and that they should file further affidavits. Parties take advice from their attorneys and if the attorneys and counsel are of the view that further evidence is required, the</w:t>
      </w:r>
      <w:r w:rsidR="00CB2375">
        <w:rPr>
          <w:rFonts w:cs="Arial"/>
          <w:bCs/>
          <w:szCs w:val="22"/>
        </w:rPr>
        <w:t xml:space="preserve"> parties</w:t>
      </w:r>
      <w:r w:rsidR="00485E88">
        <w:rPr>
          <w:rFonts w:cs="Arial"/>
          <w:bCs/>
          <w:szCs w:val="22"/>
        </w:rPr>
        <w:t xml:space="preserve"> should apply in the normal fashion for leave to present such evidence. The application can then be considered on its own merits</w:t>
      </w:r>
      <w:r w:rsidR="00654B72">
        <w:rPr>
          <w:rFonts w:cs="Arial"/>
          <w:bCs/>
          <w:szCs w:val="22"/>
        </w:rPr>
        <w:t xml:space="preserve"> and the necessary machinery is already provided for in the Uniform Rules of Court</w:t>
      </w:r>
      <w:r w:rsidR="00485E88">
        <w:rPr>
          <w:rFonts w:cs="Arial"/>
          <w:bCs/>
          <w:szCs w:val="22"/>
        </w:rPr>
        <w:t>.</w:t>
      </w:r>
      <w:r w:rsidR="00516556">
        <w:rPr>
          <w:rFonts w:cs="Arial"/>
          <w:bCs/>
          <w:szCs w:val="22"/>
        </w:rPr>
        <w:t xml:space="preserve"> In this context the following dictum by Jafta J in</w:t>
      </w:r>
      <w:r w:rsidR="00516556" w:rsidRPr="00516556">
        <w:rPr>
          <w:rFonts w:cs="Arial"/>
          <w:bCs/>
          <w:color w:val="000000" w:themeColor="text1"/>
          <w:szCs w:val="22"/>
        </w:rPr>
        <w:t xml:space="preserve"> </w:t>
      </w:r>
      <w:proofErr w:type="spellStart"/>
      <w:r w:rsidR="00516556" w:rsidRPr="00516556">
        <w:rPr>
          <w:rFonts w:cs="Arial"/>
          <w:i/>
          <w:iCs/>
          <w:color w:val="000000" w:themeColor="text1"/>
          <w:szCs w:val="22"/>
          <w:shd w:val="clear" w:color="auto" w:fill="FFFFFF"/>
        </w:rPr>
        <w:t>Mukaddam</w:t>
      </w:r>
      <w:proofErr w:type="spellEnd"/>
      <w:r w:rsidR="00516556" w:rsidRPr="00516556">
        <w:rPr>
          <w:rFonts w:cs="Arial"/>
          <w:i/>
          <w:iCs/>
          <w:color w:val="000000" w:themeColor="text1"/>
          <w:szCs w:val="22"/>
          <w:shd w:val="clear" w:color="auto" w:fill="FFFFFF"/>
        </w:rPr>
        <w:t xml:space="preserve"> v Pioneer Foods (Pty) Ltd</w:t>
      </w:r>
      <w:r w:rsidR="00516556">
        <w:rPr>
          <w:rStyle w:val="FootnoteReference"/>
          <w:rFonts w:cs="Arial"/>
          <w:i/>
          <w:iCs/>
          <w:color w:val="000000" w:themeColor="text1"/>
          <w:szCs w:val="22"/>
          <w:shd w:val="clear" w:color="auto" w:fill="FFFFFF"/>
        </w:rPr>
        <w:footnoteReference w:id="15"/>
      </w:r>
      <w:r w:rsidR="00516556">
        <w:rPr>
          <w:rFonts w:cs="Arial"/>
          <w:i/>
          <w:iCs/>
          <w:color w:val="000000" w:themeColor="text1"/>
          <w:szCs w:val="22"/>
          <w:shd w:val="clear" w:color="auto" w:fill="FFFFFF"/>
        </w:rPr>
        <w:t xml:space="preserve"> </w:t>
      </w:r>
      <w:r w:rsidR="001F4691">
        <w:rPr>
          <w:rFonts w:cs="Arial"/>
          <w:color w:val="000000" w:themeColor="text1"/>
          <w:szCs w:val="22"/>
          <w:shd w:val="clear" w:color="auto" w:fill="FFFFFF"/>
        </w:rPr>
        <w:t>is informative.</w:t>
      </w:r>
    </w:p>
    <w:p w14:paraId="7CAAB9D3" w14:textId="364CDF8C" w:rsidR="001F4691" w:rsidRPr="001F4691" w:rsidRDefault="001F4691" w:rsidP="00734A10">
      <w:pPr>
        <w:pStyle w:val="lrpara"/>
        <w:shd w:val="clear" w:color="auto" w:fill="FFFFFF"/>
        <w:spacing w:before="180" w:beforeAutospacing="0" w:after="0" w:afterAutospacing="0"/>
        <w:ind w:left="1418"/>
        <w:jc w:val="both"/>
        <w:rPr>
          <w:rFonts w:ascii="Arial" w:hAnsi="Arial" w:cs="Arial"/>
          <w:i/>
          <w:iCs/>
          <w:color w:val="000000" w:themeColor="text1"/>
          <w:sz w:val="20"/>
          <w:szCs w:val="20"/>
        </w:rPr>
      </w:pPr>
      <w:r>
        <w:rPr>
          <w:rFonts w:ascii="Arial" w:hAnsi="Arial" w:cs="Arial"/>
          <w:i/>
          <w:iCs/>
          <w:color w:val="000000" w:themeColor="text1"/>
          <w:sz w:val="20"/>
          <w:szCs w:val="20"/>
        </w:rPr>
        <w:t>“</w:t>
      </w:r>
      <w:r w:rsidRPr="001F4691">
        <w:rPr>
          <w:rFonts w:ascii="Arial" w:hAnsi="Arial" w:cs="Arial"/>
          <w:i/>
          <w:iCs/>
          <w:color w:val="000000" w:themeColor="text1"/>
          <w:sz w:val="20"/>
          <w:szCs w:val="20"/>
        </w:rPr>
        <w:t xml:space="preserve">[29] Access to courts is fundamentally important to our democratic order. It is not only a cornerstone of the democratic architecture but also a vehicle through which the protection of the Constitution itself may be achieved. It also facilitates an orderly resolution of disputes </w:t>
      </w:r>
      <w:proofErr w:type="gramStart"/>
      <w:r w:rsidRPr="001F4691">
        <w:rPr>
          <w:rFonts w:ascii="Arial" w:hAnsi="Arial" w:cs="Arial"/>
          <w:i/>
          <w:iCs/>
          <w:color w:val="000000" w:themeColor="text1"/>
          <w:sz w:val="20"/>
          <w:szCs w:val="20"/>
        </w:rPr>
        <w:t>so as to</w:t>
      </w:r>
      <w:proofErr w:type="gramEnd"/>
      <w:r w:rsidRPr="001F4691">
        <w:rPr>
          <w:rFonts w:ascii="Arial" w:hAnsi="Arial" w:cs="Arial"/>
          <w:i/>
          <w:iCs/>
          <w:color w:val="000000" w:themeColor="text1"/>
          <w:sz w:val="20"/>
          <w:szCs w:val="20"/>
        </w:rPr>
        <w:t xml:space="preserve"> do justice between individuals and between private parties and the state</w:t>
      </w:r>
      <w:r>
        <w:rPr>
          <w:rFonts w:ascii="Arial" w:hAnsi="Arial" w:cs="Arial"/>
          <w:i/>
          <w:iCs/>
          <w:color w:val="000000" w:themeColor="text1"/>
          <w:sz w:val="20"/>
          <w:szCs w:val="20"/>
        </w:rPr>
        <w:t>….</w:t>
      </w:r>
    </w:p>
    <w:p w14:paraId="3CA7C2C6" w14:textId="7E73049D" w:rsidR="001F4691" w:rsidRPr="001F4691" w:rsidRDefault="001F4691" w:rsidP="00734A10">
      <w:pPr>
        <w:pStyle w:val="lrpara"/>
        <w:shd w:val="clear" w:color="auto" w:fill="FFFFFF"/>
        <w:spacing w:before="180" w:beforeAutospacing="0" w:after="0" w:afterAutospacing="0"/>
        <w:ind w:left="1418"/>
        <w:jc w:val="both"/>
        <w:rPr>
          <w:rFonts w:ascii="Arial" w:hAnsi="Arial" w:cs="Arial"/>
          <w:i/>
          <w:iCs/>
          <w:color w:val="000000" w:themeColor="text1"/>
          <w:sz w:val="20"/>
          <w:szCs w:val="20"/>
        </w:rPr>
      </w:pPr>
      <w:r w:rsidRPr="001F4691">
        <w:rPr>
          <w:rFonts w:ascii="Arial" w:hAnsi="Arial" w:cs="Arial"/>
          <w:i/>
          <w:iCs/>
          <w:color w:val="000000" w:themeColor="text1"/>
          <w:sz w:val="20"/>
          <w:szCs w:val="20"/>
        </w:rPr>
        <w:t xml:space="preserve">[30] In Chief </w:t>
      </w:r>
      <w:proofErr w:type="spellStart"/>
      <w:r w:rsidRPr="001F4691">
        <w:rPr>
          <w:rFonts w:ascii="Arial" w:hAnsi="Arial" w:cs="Arial"/>
          <w:i/>
          <w:iCs/>
          <w:color w:val="000000" w:themeColor="text1"/>
          <w:sz w:val="20"/>
          <w:szCs w:val="20"/>
        </w:rPr>
        <w:t>Lesapo</w:t>
      </w:r>
      <w:proofErr w:type="spellEnd"/>
      <w:r w:rsidRPr="001F4691">
        <w:rPr>
          <w:rFonts w:ascii="Arial" w:hAnsi="Arial" w:cs="Arial"/>
          <w:i/>
          <w:iCs/>
          <w:color w:val="000000" w:themeColor="text1"/>
          <w:sz w:val="20"/>
          <w:szCs w:val="20"/>
        </w:rPr>
        <w:t xml:space="preserve"> v North West Agricultural Bank and Another,</w:t>
      </w:r>
      <w:r>
        <w:rPr>
          <w:rStyle w:val="FootnoteReference"/>
          <w:rFonts w:ascii="Arial" w:hAnsi="Arial" w:cs="Arial"/>
          <w:i/>
          <w:iCs/>
          <w:color w:val="000000" w:themeColor="text1"/>
          <w:sz w:val="20"/>
          <w:szCs w:val="20"/>
        </w:rPr>
        <w:footnoteReference w:id="16"/>
      </w:r>
      <w:r w:rsidRPr="001F4691">
        <w:rPr>
          <w:rFonts w:ascii="Arial" w:hAnsi="Arial" w:cs="Arial"/>
          <w:i/>
          <w:iCs/>
          <w:color w:val="000000" w:themeColor="text1"/>
          <w:sz w:val="20"/>
          <w:szCs w:val="20"/>
        </w:rPr>
        <w:t> this court underscored the importance of access to courts in these terms:</w:t>
      </w:r>
    </w:p>
    <w:p w14:paraId="0AE7E7CC" w14:textId="0D17CC7D" w:rsidR="001F4691" w:rsidRPr="001F4691" w:rsidRDefault="001F4691" w:rsidP="00734A10">
      <w:pPr>
        <w:pStyle w:val="lrquote"/>
        <w:shd w:val="clear" w:color="auto" w:fill="FFFFFF"/>
        <w:spacing w:before="90" w:beforeAutospacing="0" w:after="0" w:afterAutospacing="0"/>
        <w:ind w:left="2160"/>
        <w:jc w:val="both"/>
        <w:rPr>
          <w:rFonts w:ascii="Arial" w:hAnsi="Arial" w:cs="Arial"/>
          <w:i/>
          <w:iCs/>
          <w:color w:val="000000" w:themeColor="text1"/>
          <w:sz w:val="20"/>
          <w:szCs w:val="20"/>
        </w:rPr>
      </w:pPr>
      <w:r w:rsidRPr="001F4691">
        <w:rPr>
          <w:rFonts w:ascii="Arial" w:hAnsi="Arial" w:cs="Arial"/>
          <w:i/>
          <w:iCs/>
          <w:color w:val="000000" w:themeColor="text1"/>
          <w:sz w:val="20"/>
          <w:szCs w:val="20"/>
        </w:rPr>
        <w:t xml:space="preserve">'The right of access to court is indeed foundational to the stability of an orderly society. It ensures the peaceful, </w:t>
      </w:r>
      <w:proofErr w:type="gramStart"/>
      <w:r w:rsidRPr="001F4691">
        <w:rPr>
          <w:rFonts w:ascii="Arial" w:hAnsi="Arial" w:cs="Arial"/>
          <w:i/>
          <w:iCs/>
          <w:color w:val="000000" w:themeColor="text1"/>
          <w:sz w:val="20"/>
          <w:szCs w:val="20"/>
        </w:rPr>
        <w:t>regulated</w:t>
      </w:r>
      <w:proofErr w:type="gramEnd"/>
      <w:r w:rsidRPr="001F4691">
        <w:rPr>
          <w:rFonts w:ascii="Arial" w:hAnsi="Arial" w:cs="Arial"/>
          <w:i/>
          <w:iCs/>
          <w:color w:val="000000" w:themeColor="text1"/>
          <w:sz w:val="20"/>
          <w:szCs w:val="20"/>
        </w:rPr>
        <w:t xml:space="preserve"> and institutionalised mechanisms to resolve disputes, without resorting to </w:t>
      </w:r>
      <w:proofErr w:type="spellStart"/>
      <w:r w:rsidRPr="001F4691">
        <w:rPr>
          <w:rFonts w:ascii="Arial" w:hAnsi="Arial" w:cs="Arial"/>
          <w:i/>
          <w:iCs/>
          <w:color w:val="000000" w:themeColor="text1"/>
          <w:sz w:val="20"/>
          <w:szCs w:val="20"/>
        </w:rPr>
        <w:t>self help</w:t>
      </w:r>
      <w:proofErr w:type="spellEnd"/>
      <w:r w:rsidRPr="001F4691">
        <w:rPr>
          <w:rFonts w:ascii="Arial" w:hAnsi="Arial" w:cs="Arial"/>
          <w:i/>
          <w:iCs/>
          <w:color w:val="000000" w:themeColor="text1"/>
          <w:sz w:val="20"/>
          <w:szCs w:val="20"/>
        </w:rPr>
        <w:t xml:space="preserve">. The right of access to court is a bulwark against vigilantism, and the chaos and anarchy which it causes. Construed in this context of the rule of law and the principle against </w:t>
      </w:r>
      <w:proofErr w:type="spellStart"/>
      <w:r w:rsidRPr="001F4691">
        <w:rPr>
          <w:rFonts w:ascii="Arial" w:hAnsi="Arial" w:cs="Arial"/>
          <w:i/>
          <w:iCs/>
          <w:color w:val="000000" w:themeColor="text1"/>
          <w:sz w:val="20"/>
          <w:szCs w:val="20"/>
        </w:rPr>
        <w:t>self help</w:t>
      </w:r>
      <w:proofErr w:type="spellEnd"/>
      <w:r w:rsidRPr="001F4691">
        <w:rPr>
          <w:rFonts w:ascii="Arial" w:hAnsi="Arial" w:cs="Arial"/>
          <w:i/>
          <w:iCs/>
          <w:color w:val="000000" w:themeColor="text1"/>
          <w:sz w:val="20"/>
          <w:szCs w:val="20"/>
        </w:rPr>
        <w:t xml:space="preserve"> in particular, access to court is indeed of cardinal importance. As a result, very powerful considerations would be required for its limitation to be reasonable and justifiable.' [Footnote omitted.]</w:t>
      </w:r>
    </w:p>
    <w:p w14:paraId="7DB4239E" w14:textId="50F8D193" w:rsidR="001F4691" w:rsidRPr="001F4691" w:rsidRDefault="001F4691" w:rsidP="00734A10">
      <w:pPr>
        <w:pStyle w:val="lrpara"/>
        <w:shd w:val="clear" w:color="auto" w:fill="FFFFFF"/>
        <w:spacing w:before="180" w:beforeAutospacing="0" w:after="0" w:afterAutospacing="0"/>
        <w:ind w:left="1418"/>
        <w:jc w:val="both"/>
        <w:rPr>
          <w:rFonts w:ascii="Arial" w:hAnsi="Arial" w:cs="Arial"/>
          <w:i/>
          <w:iCs/>
          <w:color w:val="000000" w:themeColor="text1"/>
          <w:sz w:val="20"/>
          <w:szCs w:val="20"/>
        </w:rPr>
      </w:pPr>
      <w:r w:rsidRPr="001F4691">
        <w:rPr>
          <w:rFonts w:ascii="Arial" w:hAnsi="Arial" w:cs="Arial"/>
          <w:i/>
          <w:iCs/>
          <w:color w:val="000000" w:themeColor="text1"/>
          <w:sz w:val="20"/>
          <w:szCs w:val="20"/>
        </w:rPr>
        <w:t xml:space="preserve">[31] However, a litigant who wishes to exercise the right of access to courts is required to follow certain defined procedures to enable the court to adjudicate </w:t>
      </w:r>
      <w:r w:rsidRPr="001F4691">
        <w:rPr>
          <w:rFonts w:ascii="Arial" w:hAnsi="Arial" w:cs="Arial"/>
          <w:i/>
          <w:iCs/>
          <w:color w:val="000000" w:themeColor="text1"/>
          <w:sz w:val="20"/>
          <w:szCs w:val="20"/>
        </w:rPr>
        <w:lastRenderedPageBreak/>
        <w:t>a dispute. In the main these procedures are contained in the rules of each court. The Uniform Rules regulate form and process of the high cour</w:t>
      </w:r>
      <w:r>
        <w:rPr>
          <w:rFonts w:ascii="Arial" w:hAnsi="Arial" w:cs="Arial"/>
          <w:i/>
          <w:iCs/>
          <w:color w:val="000000" w:themeColor="text1"/>
          <w:sz w:val="20"/>
          <w:szCs w:val="20"/>
        </w:rPr>
        <w:t>t.</w:t>
      </w:r>
      <w:r w:rsidRPr="001F4691">
        <w:rPr>
          <w:rFonts w:ascii="Arial" w:hAnsi="Arial" w:cs="Arial"/>
          <w:i/>
          <w:iCs/>
          <w:color w:val="000000" w:themeColor="text1"/>
          <w:sz w:val="20"/>
          <w:szCs w:val="20"/>
        </w:rPr>
        <w:t xml:space="preserve"> The Supreme Court of Appeal and this court have their own rules. These rules confer procedural rights on litigants </w:t>
      </w:r>
      <w:proofErr w:type="gramStart"/>
      <w:r w:rsidRPr="001F4691">
        <w:rPr>
          <w:rFonts w:ascii="Arial" w:hAnsi="Arial" w:cs="Arial"/>
          <w:i/>
          <w:iCs/>
          <w:color w:val="000000" w:themeColor="text1"/>
          <w:sz w:val="20"/>
          <w:szCs w:val="20"/>
        </w:rPr>
        <w:t>and also</w:t>
      </w:r>
      <w:proofErr w:type="gramEnd"/>
      <w:r w:rsidRPr="001F4691">
        <w:rPr>
          <w:rFonts w:ascii="Arial" w:hAnsi="Arial" w:cs="Arial"/>
          <w:i/>
          <w:iCs/>
          <w:color w:val="000000" w:themeColor="text1"/>
          <w:sz w:val="20"/>
          <w:szCs w:val="20"/>
        </w:rPr>
        <w:t xml:space="preserve"> help in creating certainty in procedures to be followed if relief of a particular kind is sought.</w:t>
      </w:r>
    </w:p>
    <w:p w14:paraId="21514938" w14:textId="3CD076FB" w:rsidR="001F4691" w:rsidRPr="001F4691" w:rsidRDefault="001F4691" w:rsidP="00734A10">
      <w:pPr>
        <w:pStyle w:val="lrpara"/>
        <w:shd w:val="clear" w:color="auto" w:fill="FFFFFF"/>
        <w:spacing w:before="180" w:beforeAutospacing="0" w:after="0" w:afterAutospacing="0"/>
        <w:ind w:left="1418"/>
        <w:jc w:val="both"/>
        <w:rPr>
          <w:rFonts w:ascii="Arial" w:hAnsi="Arial" w:cs="Arial"/>
          <w:i/>
          <w:iCs/>
          <w:color w:val="000000" w:themeColor="text1"/>
          <w:sz w:val="20"/>
          <w:szCs w:val="20"/>
        </w:rPr>
      </w:pPr>
      <w:r w:rsidRPr="001F4691">
        <w:rPr>
          <w:rFonts w:ascii="Arial" w:hAnsi="Arial" w:cs="Arial"/>
          <w:i/>
          <w:iCs/>
          <w:color w:val="000000" w:themeColor="text1"/>
          <w:sz w:val="20"/>
          <w:szCs w:val="20"/>
        </w:rPr>
        <w:t>[32] It is important that the rules of courts are used as tools to facilitate access to courts rather than hindering it. Hence rules are made for courts and not that the courts are established for rules. Therefore, the primary function of the rules of courts is the attainment of justice. But sometimes circumstances arise which are not provided for in the rules. The proper</w:t>
      </w:r>
      <w:r>
        <w:rPr>
          <w:rFonts w:ascii="Arial" w:hAnsi="Arial" w:cs="Arial"/>
          <w:i/>
          <w:iCs/>
          <w:color w:val="000000" w:themeColor="text1"/>
          <w:sz w:val="20"/>
          <w:szCs w:val="20"/>
        </w:rPr>
        <w:t xml:space="preserve"> </w:t>
      </w:r>
      <w:r w:rsidRPr="001F4691">
        <w:rPr>
          <w:rFonts w:ascii="Arial" w:hAnsi="Arial" w:cs="Arial"/>
          <w:i/>
          <w:iCs/>
          <w:color w:val="000000" w:themeColor="text1"/>
          <w:sz w:val="20"/>
          <w:szCs w:val="20"/>
        </w:rPr>
        <w:t>course in those circumstances is to approach the court itself for guidance. After all, in terms of s 173 each superior court is the master of its process.</w:t>
      </w:r>
      <w:r>
        <w:rPr>
          <w:rFonts w:ascii="Arial" w:hAnsi="Arial" w:cs="Arial"/>
          <w:i/>
          <w:iCs/>
          <w:color w:val="000000" w:themeColor="text1"/>
          <w:sz w:val="20"/>
          <w:szCs w:val="20"/>
        </w:rPr>
        <w:t>”</w:t>
      </w:r>
    </w:p>
    <w:p w14:paraId="390AEB27" w14:textId="77777777" w:rsidR="001F4691" w:rsidRPr="00516556" w:rsidRDefault="001F4691" w:rsidP="001F4691">
      <w:pPr>
        <w:widowControl w:val="0"/>
        <w:spacing w:before="480" w:after="480" w:line="480" w:lineRule="auto"/>
        <w:jc w:val="both"/>
        <w:rPr>
          <w:rFonts w:cs="Arial"/>
          <w:bCs/>
          <w:color w:val="000000" w:themeColor="text1"/>
          <w:szCs w:val="22"/>
        </w:rPr>
      </w:pPr>
    </w:p>
    <w:p w14:paraId="5CC0BD99" w14:textId="460399D5" w:rsidR="00844D39" w:rsidRPr="00844D39" w:rsidRDefault="001A7A60" w:rsidP="001A7A60">
      <w:pPr>
        <w:widowControl w:val="0"/>
        <w:tabs>
          <w:tab w:val="left" w:pos="567"/>
        </w:tabs>
        <w:spacing w:before="480" w:after="480" w:line="480" w:lineRule="auto"/>
        <w:jc w:val="both"/>
        <w:rPr>
          <w:rFonts w:cs="Arial"/>
          <w:bCs/>
          <w:color w:val="000000" w:themeColor="text1"/>
          <w:szCs w:val="22"/>
        </w:rPr>
      </w:pPr>
      <w:r w:rsidRPr="00844D39">
        <w:rPr>
          <w:rFonts w:cs="Arial"/>
          <w:bCs/>
          <w:szCs w:val="22"/>
        </w:rPr>
        <w:t>[30]</w:t>
      </w:r>
      <w:r w:rsidRPr="00844D39">
        <w:rPr>
          <w:rFonts w:cs="Arial"/>
          <w:bCs/>
          <w:szCs w:val="22"/>
        </w:rPr>
        <w:tab/>
      </w:r>
      <w:r w:rsidR="00844D39">
        <w:rPr>
          <w:rFonts w:cs="Arial"/>
          <w:bCs/>
          <w:color w:val="000000" w:themeColor="text1"/>
          <w:szCs w:val="22"/>
        </w:rPr>
        <w:t xml:space="preserve">When circumstances arise that are not provided for in the rules, section 173 may be relied upon to allow the Court to regulate its own process. </w:t>
      </w:r>
      <w:r w:rsidR="00E1381E">
        <w:rPr>
          <w:rFonts w:cs="Arial"/>
          <w:bCs/>
          <w:color w:val="000000" w:themeColor="text1"/>
          <w:szCs w:val="22"/>
        </w:rPr>
        <w:t xml:space="preserve">This is not such a case. </w:t>
      </w:r>
      <w:r w:rsidR="00844D39">
        <w:rPr>
          <w:rFonts w:cs="Arial"/>
          <w:bCs/>
          <w:color w:val="000000" w:themeColor="text1"/>
          <w:szCs w:val="22"/>
        </w:rPr>
        <w:t xml:space="preserve">In the context of this matter the necessary machinery is provided for in Rule 6(5)(e) and (g), which must of course be read through the </w:t>
      </w:r>
      <w:r w:rsidR="00C3603D">
        <w:rPr>
          <w:rFonts w:cs="Arial"/>
          <w:bCs/>
          <w:color w:val="000000" w:themeColor="text1"/>
          <w:szCs w:val="22"/>
        </w:rPr>
        <w:t>lens</w:t>
      </w:r>
      <w:r w:rsidR="00844D39">
        <w:rPr>
          <w:rFonts w:cs="Arial"/>
          <w:bCs/>
          <w:color w:val="000000" w:themeColor="text1"/>
          <w:szCs w:val="22"/>
        </w:rPr>
        <w:t xml:space="preserve"> of the Constitution.</w:t>
      </w:r>
    </w:p>
    <w:p w14:paraId="6C3BFBD7" w14:textId="46C9C7D2" w:rsidR="002542D0" w:rsidRPr="0042376A" w:rsidRDefault="001A7A60" w:rsidP="001A7A60">
      <w:pPr>
        <w:widowControl w:val="0"/>
        <w:tabs>
          <w:tab w:val="left" w:pos="567"/>
        </w:tabs>
        <w:spacing w:before="480" w:after="480" w:line="480" w:lineRule="auto"/>
        <w:jc w:val="both"/>
        <w:rPr>
          <w:rFonts w:cs="Arial"/>
          <w:bCs/>
          <w:color w:val="000000" w:themeColor="text1"/>
          <w:szCs w:val="22"/>
        </w:rPr>
      </w:pPr>
      <w:r w:rsidRPr="0042376A">
        <w:rPr>
          <w:rFonts w:cs="Arial"/>
          <w:bCs/>
          <w:szCs w:val="22"/>
        </w:rPr>
        <w:t>[31]</w:t>
      </w:r>
      <w:r w:rsidRPr="0042376A">
        <w:rPr>
          <w:rFonts w:cs="Arial"/>
          <w:bCs/>
          <w:szCs w:val="22"/>
        </w:rPr>
        <w:tab/>
      </w:r>
      <w:r w:rsidR="00844D39">
        <w:rPr>
          <w:rFonts w:cs="Arial"/>
          <w:bCs/>
          <w:szCs w:val="22"/>
        </w:rPr>
        <w:t xml:space="preserve">I have dealt with Rule 6(5)(e) above. </w:t>
      </w:r>
      <w:r w:rsidR="002542D0">
        <w:rPr>
          <w:rFonts w:cs="Arial"/>
          <w:bCs/>
          <w:szCs w:val="22"/>
        </w:rPr>
        <w:t>In terms of Rule 6(5)(g)</w:t>
      </w:r>
      <w:r w:rsidR="007E4326">
        <w:rPr>
          <w:rFonts w:cs="Arial"/>
          <w:bCs/>
          <w:szCs w:val="22"/>
        </w:rPr>
        <w:t xml:space="preserve"> </w:t>
      </w:r>
      <w:r w:rsidR="002542D0">
        <w:rPr>
          <w:rFonts w:cs="Arial"/>
          <w:bCs/>
          <w:szCs w:val="22"/>
        </w:rPr>
        <w:t xml:space="preserve">the Court </w:t>
      </w:r>
      <w:r w:rsidR="002542D0">
        <w:t xml:space="preserve">may dismiss </w:t>
      </w:r>
      <w:r w:rsidR="002C2C5A">
        <w:t>an</w:t>
      </w:r>
      <w:r w:rsidR="002542D0">
        <w:t xml:space="preserve"> application or make such order as it deems fit with a view to ensuring a just and expeditious decision </w:t>
      </w:r>
      <w:r w:rsidR="007E4326">
        <w:t xml:space="preserve">under circumstances </w:t>
      </w:r>
      <w:r w:rsidR="002542D0">
        <w:t>whe</w:t>
      </w:r>
      <w:r w:rsidR="007E4326">
        <w:t>re</w:t>
      </w:r>
      <w:r w:rsidR="002542D0">
        <w:t xml:space="preserve"> it cannot properly be decided on affidavit.</w:t>
      </w:r>
      <w:r w:rsidR="007E4326">
        <w:t xml:space="preserve"> A court should be hesitant however to </w:t>
      </w:r>
      <w:proofErr w:type="spellStart"/>
      <w:r w:rsidR="007E4326" w:rsidRPr="001F37AC">
        <w:rPr>
          <w:i/>
          <w:iCs/>
        </w:rPr>
        <w:t>mero</w:t>
      </w:r>
      <w:proofErr w:type="spellEnd"/>
      <w:r w:rsidR="007E4326" w:rsidRPr="001F37AC">
        <w:rPr>
          <w:i/>
          <w:iCs/>
        </w:rPr>
        <w:t xml:space="preserve"> motu</w:t>
      </w:r>
      <w:r w:rsidR="007E4326">
        <w:t xml:space="preserve"> refer a matter to oral evidence.</w:t>
      </w:r>
      <w:r w:rsidR="007E4326">
        <w:rPr>
          <w:rStyle w:val="FootnoteReference"/>
        </w:rPr>
        <w:footnoteReference w:id="17"/>
      </w:r>
    </w:p>
    <w:p w14:paraId="45E4D83E" w14:textId="77777777" w:rsidR="00563761" w:rsidRDefault="00563761" w:rsidP="00563761">
      <w:pPr>
        <w:widowControl w:val="0"/>
        <w:spacing w:before="480" w:after="480" w:line="480" w:lineRule="auto"/>
        <w:jc w:val="both"/>
        <w:rPr>
          <w:rFonts w:cs="Arial"/>
          <w:bCs/>
          <w:szCs w:val="22"/>
        </w:rPr>
      </w:pPr>
      <w:r>
        <w:rPr>
          <w:rFonts w:cs="Arial"/>
          <w:bCs/>
          <w:szCs w:val="22"/>
        </w:rPr>
        <w:softHyphen/>
      </w:r>
      <w:r>
        <w:rPr>
          <w:rFonts w:cs="Arial"/>
          <w:bCs/>
          <w:szCs w:val="22"/>
        </w:rPr>
        <w:softHyphen/>
      </w:r>
      <w:r>
        <w:rPr>
          <w:rFonts w:cs="Arial"/>
          <w:bCs/>
          <w:szCs w:val="22"/>
        </w:rPr>
        <w:softHyphen/>
      </w:r>
      <w:r>
        <w:rPr>
          <w:rFonts w:cs="Arial"/>
          <w:bCs/>
          <w:szCs w:val="22"/>
        </w:rPr>
        <w:softHyphen/>
      </w:r>
    </w:p>
    <w:p w14:paraId="0DC80554" w14:textId="60D18237" w:rsidR="00F65DBD" w:rsidRPr="00F65DBD" w:rsidRDefault="00563761" w:rsidP="00DF7F7E">
      <w:pPr>
        <w:widowControl w:val="0"/>
        <w:spacing w:before="480" w:after="480" w:line="480" w:lineRule="auto"/>
        <w:jc w:val="both"/>
        <w:rPr>
          <w:rFonts w:cs="Arial"/>
          <w:bCs/>
          <w:szCs w:val="22"/>
          <w:u w:val="single"/>
        </w:rPr>
      </w:pPr>
      <w:r w:rsidRPr="00F65DBD">
        <w:rPr>
          <w:rFonts w:cs="Arial"/>
          <w:bCs/>
          <w:szCs w:val="22"/>
          <w:u w:val="single"/>
        </w:rPr>
        <w:t>COSTS</w:t>
      </w:r>
    </w:p>
    <w:p w14:paraId="75B0A92C" w14:textId="5C3733D0" w:rsidR="00C460A0" w:rsidRDefault="001A7A60" w:rsidP="001A7A60">
      <w:pPr>
        <w:widowControl w:val="0"/>
        <w:tabs>
          <w:tab w:val="left" w:pos="567"/>
        </w:tabs>
        <w:spacing w:before="480" w:after="480" w:line="480" w:lineRule="auto"/>
        <w:jc w:val="both"/>
        <w:rPr>
          <w:rFonts w:cs="Arial"/>
          <w:bCs/>
          <w:szCs w:val="22"/>
        </w:rPr>
      </w:pPr>
      <w:r>
        <w:rPr>
          <w:rFonts w:cs="Arial"/>
          <w:bCs/>
          <w:szCs w:val="22"/>
        </w:rPr>
        <w:t>[32]</w:t>
      </w:r>
      <w:r>
        <w:rPr>
          <w:rFonts w:cs="Arial"/>
          <w:bCs/>
          <w:szCs w:val="22"/>
        </w:rPr>
        <w:tab/>
      </w:r>
      <w:r w:rsidR="00AE287F">
        <w:rPr>
          <w:rFonts w:cs="Arial"/>
          <w:bCs/>
          <w:szCs w:val="22"/>
        </w:rPr>
        <w:t xml:space="preserve">There is no reason to deviate from the general principle that the cost should </w:t>
      </w:r>
      <w:r w:rsidR="00AE287F">
        <w:rPr>
          <w:rFonts w:cs="Arial"/>
          <w:bCs/>
          <w:szCs w:val="22"/>
        </w:rPr>
        <w:lastRenderedPageBreak/>
        <w:t>follow the result of the order.</w:t>
      </w:r>
    </w:p>
    <w:p w14:paraId="44F9CF15" w14:textId="485767D5" w:rsidR="00C460A0" w:rsidRDefault="001A7A60" w:rsidP="001A7A60">
      <w:pPr>
        <w:tabs>
          <w:tab w:val="left" w:pos="567"/>
        </w:tabs>
        <w:spacing w:before="480" w:after="480" w:line="480" w:lineRule="auto"/>
        <w:jc w:val="both"/>
        <w:rPr>
          <w:rFonts w:cs="Arial"/>
          <w:bCs/>
          <w:szCs w:val="22"/>
        </w:rPr>
      </w:pPr>
      <w:r>
        <w:rPr>
          <w:rFonts w:cs="Arial"/>
          <w:bCs/>
          <w:szCs w:val="22"/>
        </w:rPr>
        <w:t>[33]</w:t>
      </w:r>
      <w:r>
        <w:rPr>
          <w:rFonts w:cs="Arial"/>
          <w:bCs/>
          <w:szCs w:val="22"/>
        </w:rPr>
        <w:tab/>
      </w:r>
      <w:r w:rsidR="00AE287F">
        <w:rPr>
          <w:rFonts w:cs="Arial"/>
          <w:bCs/>
          <w:szCs w:val="22"/>
        </w:rPr>
        <w:t>I therefore make the order set out in paragraph 1 above.</w:t>
      </w:r>
    </w:p>
    <w:p w14:paraId="7301B79D" w14:textId="6116B005" w:rsidR="00E71CE6" w:rsidRDefault="00E71CE6" w:rsidP="006C43D7">
      <w:pPr>
        <w:tabs>
          <w:tab w:val="right" w:pos="0"/>
        </w:tabs>
        <w:spacing w:line="360" w:lineRule="auto"/>
        <w:contextualSpacing/>
        <w:jc w:val="right"/>
        <w:rPr>
          <w:rFonts w:cs="Arial"/>
          <w:b/>
        </w:rPr>
      </w:pPr>
    </w:p>
    <w:p w14:paraId="3E6BA7DA" w14:textId="43133B0D" w:rsidR="00AE287F" w:rsidRDefault="00AE287F" w:rsidP="006C43D7">
      <w:pPr>
        <w:tabs>
          <w:tab w:val="right" w:pos="0"/>
        </w:tabs>
        <w:spacing w:line="360" w:lineRule="auto"/>
        <w:contextualSpacing/>
        <w:jc w:val="right"/>
        <w:rPr>
          <w:rFonts w:cs="Arial"/>
          <w:b/>
        </w:rPr>
      </w:pPr>
    </w:p>
    <w:p w14:paraId="53CD27EE" w14:textId="77777777" w:rsidR="00AE287F" w:rsidRDefault="00AE287F" w:rsidP="006C43D7">
      <w:pPr>
        <w:tabs>
          <w:tab w:val="right" w:pos="0"/>
        </w:tabs>
        <w:spacing w:line="360" w:lineRule="auto"/>
        <w:contextualSpacing/>
        <w:jc w:val="right"/>
        <w:rPr>
          <w:rFonts w:cs="Arial"/>
          <w:b/>
        </w:rPr>
      </w:pP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0589B67B" w:rsidR="006C43D7" w:rsidRPr="00237FF9" w:rsidRDefault="006C43D7" w:rsidP="006C43D7">
      <w:pPr>
        <w:spacing w:after="200" w:line="360" w:lineRule="auto"/>
        <w:contextualSpacing/>
        <w:jc w:val="both"/>
        <w:rPr>
          <w:rFonts w:eastAsia="Arial Unicode MS" w:cs="Arial"/>
          <w:b/>
          <w:bCs/>
        </w:rPr>
      </w:pPr>
      <w:r w:rsidRPr="006C43D7">
        <w:rPr>
          <w:rFonts w:eastAsia="Arial Unicode MS" w:cs="Arial"/>
          <w:bCs/>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6C43D7">
        <w:rPr>
          <w:rFonts w:eastAsia="Arial Unicode MS" w:cs="Arial"/>
          <w:bCs/>
        </w:rPr>
        <w:t>CaseLines</w:t>
      </w:r>
      <w:proofErr w:type="spellEnd"/>
      <w:r w:rsidRPr="006C43D7">
        <w:rPr>
          <w:rFonts w:eastAsia="Arial Unicode MS" w:cs="Arial"/>
          <w:bCs/>
        </w:rPr>
        <w:t>. The date of the judgment is deemed to be</w:t>
      </w:r>
      <w:r w:rsidR="00C460A0">
        <w:rPr>
          <w:rFonts w:eastAsia="Arial Unicode MS" w:cs="Arial"/>
          <w:bCs/>
        </w:rPr>
        <w:t xml:space="preserve"> </w:t>
      </w:r>
      <w:r w:rsidR="00E1381E">
        <w:rPr>
          <w:rFonts w:eastAsia="Arial Unicode MS" w:cs="Arial"/>
          <w:b/>
          <w:bCs/>
        </w:rPr>
        <w:t>7</w:t>
      </w:r>
      <w:r w:rsidR="00563761">
        <w:rPr>
          <w:rFonts w:eastAsia="Arial Unicode MS" w:cs="Arial"/>
          <w:b/>
          <w:bCs/>
        </w:rPr>
        <w:t xml:space="preserve"> DECEMBER</w:t>
      </w:r>
      <w:r w:rsidR="00237FF9">
        <w:rPr>
          <w:rFonts w:eastAsia="Arial Unicode MS" w:cs="Arial"/>
          <w:b/>
          <w:bCs/>
        </w:rPr>
        <w:t xml:space="preserve"> 2022</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p w14:paraId="22E155F4" w14:textId="77777777" w:rsidR="006C43D7" w:rsidRPr="006C43D7" w:rsidRDefault="006C43D7" w:rsidP="006C43D7">
      <w:pPr>
        <w:tabs>
          <w:tab w:val="right" w:pos="0"/>
          <w:tab w:val="left" w:pos="4253"/>
        </w:tabs>
        <w:spacing w:line="36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38"/>
      </w:tblGrid>
      <w:tr w:rsidR="002A3DB7" w:rsidRPr="00860428" w14:paraId="3E7F01D7" w14:textId="77777777" w:rsidTr="00C12DEB">
        <w:tc>
          <w:tcPr>
            <w:tcW w:w="3964" w:type="dxa"/>
          </w:tcPr>
          <w:p w14:paraId="3CB366A5" w14:textId="54AD8A1D" w:rsidR="002A3DB7" w:rsidRPr="00860428" w:rsidRDefault="002A3DB7" w:rsidP="00C12DEB">
            <w:pPr>
              <w:tabs>
                <w:tab w:val="right" w:pos="0"/>
                <w:tab w:val="left" w:pos="4253"/>
              </w:tabs>
              <w:spacing w:before="120" w:after="120" w:line="360" w:lineRule="auto"/>
              <w:rPr>
                <w:rFonts w:cs="Arial"/>
                <w:sz w:val="20"/>
                <w:szCs w:val="20"/>
              </w:rPr>
            </w:pPr>
            <w:r>
              <w:rPr>
                <w:rFonts w:cs="Arial"/>
                <w:sz w:val="20"/>
                <w:szCs w:val="20"/>
              </w:rPr>
              <w:t>COUNSEL</w:t>
            </w:r>
            <w:r w:rsidRPr="00860428">
              <w:rPr>
                <w:rFonts w:cs="Arial"/>
                <w:sz w:val="20"/>
                <w:szCs w:val="20"/>
              </w:rPr>
              <w:t xml:space="preserve"> FOR THE APPLICANT</w:t>
            </w:r>
            <w:r w:rsidR="00341F92">
              <w:rPr>
                <w:rFonts w:cs="Arial"/>
                <w:sz w:val="20"/>
                <w:szCs w:val="20"/>
              </w:rPr>
              <w:t xml:space="preserve"> </w:t>
            </w:r>
            <w:r w:rsidR="00D1718D">
              <w:rPr>
                <w:rFonts w:cs="Arial"/>
                <w:sz w:val="20"/>
                <w:szCs w:val="20"/>
              </w:rPr>
              <w:t>/</w:t>
            </w:r>
            <w:r w:rsidR="00341F92">
              <w:rPr>
                <w:rFonts w:cs="Arial"/>
                <w:sz w:val="20"/>
                <w:szCs w:val="20"/>
              </w:rPr>
              <w:t xml:space="preserve"> </w:t>
            </w:r>
            <w:r w:rsidR="00D1718D">
              <w:rPr>
                <w:rFonts w:cs="Arial"/>
                <w:sz w:val="20"/>
                <w:szCs w:val="20"/>
              </w:rPr>
              <w:t>RESPONDENT IN APPLICATION FOR LEAVE TO APPEAL</w:t>
            </w:r>
            <w:r w:rsidRPr="00860428">
              <w:rPr>
                <w:rFonts w:cs="Arial"/>
                <w:sz w:val="20"/>
                <w:szCs w:val="20"/>
              </w:rPr>
              <w:t>:</w:t>
            </w:r>
          </w:p>
        </w:tc>
        <w:tc>
          <w:tcPr>
            <w:tcW w:w="4338" w:type="dxa"/>
          </w:tcPr>
          <w:p w14:paraId="4975926B" w14:textId="07BB2DA9" w:rsidR="002A3DB7" w:rsidRPr="00860428" w:rsidRDefault="002A3DB7" w:rsidP="002A3DB7">
            <w:pPr>
              <w:tabs>
                <w:tab w:val="right" w:pos="0"/>
                <w:tab w:val="left" w:pos="4253"/>
              </w:tabs>
              <w:spacing w:before="120" w:after="120" w:line="360" w:lineRule="auto"/>
              <w:jc w:val="right"/>
              <w:rPr>
                <w:rFonts w:cs="Arial"/>
                <w:sz w:val="20"/>
                <w:szCs w:val="20"/>
              </w:rPr>
            </w:pPr>
            <w:r>
              <w:rPr>
                <w:rFonts w:cs="Arial"/>
                <w:sz w:val="20"/>
                <w:szCs w:val="20"/>
              </w:rPr>
              <w:t>MS BRITZ</w:t>
            </w:r>
          </w:p>
        </w:tc>
      </w:tr>
      <w:tr w:rsidR="002A3DB7" w:rsidRPr="00860428" w14:paraId="7BA86455" w14:textId="77777777" w:rsidTr="00C12DEB">
        <w:tc>
          <w:tcPr>
            <w:tcW w:w="3964" w:type="dxa"/>
          </w:tcPr>
          <w:p w14:paraId="29766F52" w14:textId="77777777" w:rsidR="002A3DB7" w:rsidRPr="00860428" w:rsidRDefault="002A3DB7" w:rsidP="00C12DEB">
            <w:pPr>
              <w:tabs>
                <w:tab w:val="right" w:pos="0"/>
                <w:tab w:val="left" w:pos="4253"/>
              </w:tabs>
              <w:spacing w:before="120" w:after="120" w:line="360" w:lineRule="auto"/>
              <w:rPr>
                <w:rFonts w:cs="Arial"/>
                <w:sz w:val="20"/>
                <w:szCs w:val="20"/>
              </w:rPr>
            </w:pPr>
            <w:r>
              <w:rPr>
                <w:rFonts w:cs="Arial"/>
                <w:sz w:val="20"/>
                <w:szCs w:val="20"/>
              </w:rPr>
              <w:t>INSTRUCTED BY</w:t>
            </w:r>
          </w:p>
        </w:tc>
        <w:tc>
          <w:tcPr>
            <w:tcW w:w="4338" w:type="dxa"/>
          </w:tcPr>
          <w:p w14:paraId="3F996AF1" w14:textId="369126B9" w:rsidR="002A3DB7" w:rsidRPr="00860428" w:rsidRDefault="002A3DB7" w:rsidP="002A3DB7">
            <w:pPr>
              <w:tabs>
                <w:tab w:val="right" w:pos="0"/>
                <w:tab w:val="left" w:pos="4253"/>
              </w:tabs>
              <w:spacing w:before="120" w:after="120" w:line="360" w:lineRule="auto"/>
              <w:jc w:val="right"/>
              <w:rPr>
                <w:rFonts w:cs="Arial"/>
                <w:sz w:val="20"/>
                <w:szCs w:val="20"/>
              </w:rPr>
            </w:pPr>
            <w:proofErr w:type="spellStart"/>
            <w:r>
              <w:rPr>
                <w:rFonts w:cs="Arial"/>
                <w:sz w:val="20"/>
                <w:szCs w:val="20"/>
              </w:rPr>
              <w:t>McCORMICK</w:t>
            </w:r>
            <w:proofErr w:type="spellEnd"/>
            <w:r>
              <w:rPr>
                <w:rFonts w:cs="Arial"/>
                <w:sz w:val="20"/>
                <w:szCs w:val="20"/>
              </w:rPr>
              <w:t xml:space="preserve"> LONDT INC ATTORNEYS</w:t>
            </w:r>
          </w:p>
        </w:tc>
      </w:tr>
      <w:tr w:rsidR="002A3DB7" w:rsidRPr="00860428" w14:paraId="7DF89171" w14:textId="77777777" w:rsidTr="00C12DEB">
        <w:tc>
          <w:tcPr>
            <w:tcW w:w="3964" w:type="dxa"/>
          </w:tcPr>
          <w:p w14:paraId="061E0758" w14:textId="6188F971"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COUNSEL FOR RESPONDENT</w:t>
            </w:r>
            <w:r w:rsidR="00341F92">
              <w:rPr>
                <w:rFonts w:cs="Arial"/>
                <w:sz w:val="20"/>
                <w:szCs w:val="20"/>
              </w:rPr>
              <w:t xml:space="preserve"> / APPLICANT IN APPLICATION FOR LEAVE TO APPEAL</w:t>
            </w:r>
            <w:r w:rsidRPr="00860428">
              <w:rPr>
                <w:rFonts w:cs="Arial"/>
                <w:sz w:val="20"/>
                <w:szCs w:val="20"/>
              </w:rPr>
              <w:t>:</w:t>
            </w:r>
          </w:p>
        </w:tc>
        <w:tc>
          <w:tcPr>
            <w:tcW w:w="4338" w:type="dxa"/>
          </w:tcPr>
          <w:p w14:paraId="490C7530" w14:textId="1F62DF42" w:rsidR="002A3DB7" w:rsidRPr="00860428" w:rsidRDefault="002A3DB7" w:rsidP="002A3DB7">
            <w:pPr>
              <w:tabs>
                <w:tab w:val="right" w:pos="0"/>
                <w:tab w:val="left" w:pos="4253"/>
              </w:tabs>
              <w:spacing w:before="120" w:after="120" w:line="360" w:lineRule="auto"/>
              <w:jc w:val="right"/>
              <w:rPr>
                <w:rFonts w:cs="Arial"/>
                <w:sz w:val="20"/>
                <w:szCs w:val="20"/>
              </w:rPr>
            </w:pPr>
            <w:r>
              <w:rPr>
                <w:rFonts w:cs="Arial"/>
                <w:sz w:val="20"/>
                <w:szCs w:val="20"/>
              </w:rPr>
              <w:t>MS VAN DER WESTHUIZEN</w:t>
            </w:r>
          </w:p>
        </w:tc>
      </w:tr>
      <w:tr w:rsidR="002A3DB7" w:rsidRPr="00860428" w14:paraId="4FB8EED9" w14:textId="77777777" w:rsidTr="00C12DEB">
        <w:tc>
          <w:tcPr>
            <w:tcW w:w="3964" w:type="dxa"/>
          </w:tcPr>
          <w:p w14:paraId="43F0A88B"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INSTRUCTED BY:</w:t>
            </w:r>
          </w:p>
        </w:tc>
        <w:tc>
          <w:tcPr>
            <w:tcW w:w="4338" w:type="dxa"/>
          </w:tcPr>
          <w:p w14:paraId="027EA628" w14:textId="76828387" w:rsidR="002A3DB7" w:rsidRPr="00860428" w:rsidRDefault="002A3DB7" w:rsidP="00C12DEB">
            <w:pPr>
              <w:tabs>
                <w:tab w:val="right" w:pos="0"/>
                <w:tab w:val="left" w:pos="4253"/>
              </w:tabs>
              <w:spacing w:before="120" w:after="120" w:line="360" w:lineRule="auto"/>
              <w:jc w:val="right"/>
              <w:rPr>
                <w:rFonts w:cs="Arial"/>
                <w:sz w:val="20"/>
                <w:szCs w:val="20"/>
              </w:rPr>
            </w:pPr>
            <w:r>
              <w:rPr>
                <w:rFonts w:cs="Arial"/>
                <w:sz w:val="20"/>
                <w:szCs w:val="20"/>
              </w:rPr>
              <w:t>F VAN WYK ATTORNEYS</w:t>
            </w:r>
          </w:p>
        </w:tc>
      </w:tr>
      <w:tr w:rsidR="002A3DB7" w:rsidRPr="00860428" w14:paraId="16A08581" w14:textId="77777777" w:rsidTr="00C12DEB">
        <w:tc>
          <w:tcPr>
            <w:tcW w:w="3964" w:type="dxa"/>
          </w:tcPr>
          <w:p w14:paraId="04AFDC05"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DATE OF THE HEARING:</w:t>
            </w:r>
          </w:p>
        </w:tc>
        <w:tc>
          <w:tcPr>
            <w:tcW w:w="4338" w:type="dxa"/>
          </w:tcPr>
          <w:p w14:paraId="6998667C" w14:textId="068F309D" w:rsidR="002A3DB7" w:rsidRPr="00860428" w:rsidRDefault="00563761" w:rsidP="00C12DEB">
            <w:pPr>
              <w:tabs>
                <w:tab w:val="right" w:pos="0"/>
                <w:tab w:val="left" w:pos="4253"/>
              </w:tabs>
              <w:spacing w:before="120" w:after="120" w:line="360" w:lineRule="auto"/>
              <w:jc w:val="right"/>
              <w:rPr>
                <w:rFonts w:cs="Arial"/>
                <w:sz w:val="20"/>
                <w:szCs w:val="20"/>
              </w:rPr>
            </w:pPr>
            <w:r>
              <w:rPr>
                <w:rFonts w:cs="Arial"/>
                <w:sz w:val="20"/>
                <w:szCs w:val="20"/>
              </w:rPr>
              <w:t>5</w:t>
            </w:r>
            <w:r w:rsidR="002A3DB7" w:rsidRPr="00860428">
              <w:rPr>
                <w:rFonts w:cs="Arial"/>
                <w:sz w:val="20"/>
                <w:szCs w:val="20"/>
              </w:rPr>
              <w:t xml:space="preserve"> </w:t>
            </w:r>
            <w:r>
              <w:rPr>
                <w:rFonts w:cs="Arial"/>
                <w:sz w:val="20"/>
                <w:szCs w:val="20"/>
              </w:rPr>
              <w:t>DECEMBER</w:t>
            </w:r>
            <w:r w:rsidR="002A3DB7" w:rsidRPr="00860428">
              <w:rPr>
                <w:rFonts w:cs="Arial"/>
                <w:sz w:val="20"/>
                <w:szCs w:val="20"/>
              </w:rPr>
              <w:t xml:space="preserve"> 2022</w:t>
            </w:r>
          </w:p>
        </w:tc>
      </w:tr>
      <w:tr w:rsidR="002A3DB7" w:rsidRPr="00860428" w14:paraId="5738FC40" w14:textId="77777777" w:rsidTr="00C12DEB">
        <w:tc>
          <w:tcPr>
            <w:tcW w:w="3964" w:type="dxa"/>
          </w:tcPr>
          <w:p w14:paraId="7BBA5874"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DATE OF JUDGMENT:</w:t>
            </w:r>
          </w:p>
        </w:tc>
        <w:tc>
          <w:tcPr>
            <w:tcW w:w="4338" w:type="dxa"/>
          </w:tcPr>
          <w:p w14:paraId="36E05566" w14:textId="313A6267" w:rsidR="002A3DB7" w:rsidRPr="00860428" w:rsidRDefault="00E56012" w:rsidP="00E56012">
            <w:pPr>
              <w:tabs>
                <w:tab w:val="right" w:pos="0"/>
                <w:tab w:val="left" w:pos="1558"/>
                <w:tab w:val="right" w:pos="4122"/>
                <w:tab w:val="left" w:pos="4253"/>
              </w:tabs>
              <w:spacing w:before="120" w:after="120" w:line="360" w:lineRule="auto"/>
              <w:rPr>
                <w:rFonts w:cs="Arial"/>
                <w:sz w:val="20"/>
                <w:szCs w:val="20"/>
              </w:rPr>
            </w:pPr>
            <w:r>
              <w:rPr>
                <w:rFonts w:cs="Arial"/>
                <w:sz w:val="20"/>
                <w:szCs w:val="20"/>
              </w:rPr>
              <w:tab/>
            </w:r>
            <w:r>
              <w:rPr>
                <w:rFonts w:cs="Arial"/>
                <w:sz w:val="20"/>
                <w:szCs w:val="20"/>
              </w:rPr>
              <w:tab/>
            </w:r>
            <w:r w:rsidR="00E1381E">
              <w:rPr>
                <w:rFonts w:cs="Arial"/>
                <w:sz w:val="20"/>
                <w:szCs w:val="20"/>
              </w:rPr>
              <w:t>7</w:t>
            </w:r>
            <w:r w:rsidR="00563761">
              <w:rPr>
                <w:rFonts w:cs="Arial"/>
                <w:sz w:val="20"/>
                <w:szCs w:val="20"/>
              </w:rPr>
              <w:t xml:space="preserve"> DECEMBER</w:t>
            </w:r>
            <w:r w:rsidR="002A3DB7" w:rsidRPr="00860428">
              <w:rPr>
                <w:rFonts w:cs="Arial"/>
                <w:sz w:val="20"/>
                <w:szCs w:val="20"/>
              </w:rPr>
              <w:t xml:space="preserve"> 2022</w:t>
            </w:r>
          </w:p>
        </w:tc>
      </w:tr>
    </w:tbl>
    <w:p w14:paraId="39AB470F" w14:textId="77777777" w:rsidR="006C43D7" w:rsidRPr="006C43D7" w:rsidRDefault="006C43D7" w:rsidP="006C43D7">
      <w:pPr>
        <w:tabs>
          <w:tab w:val="right" w:pos="0"/>
          <w:tab w:val="left" w:pos="4253"/>
        </w:tabs>
        <w:spacing w:line="360" w:lineRule="auto"/>
        <w:contextualSpacing/>
        <w:jc w:val="both"/>
        <w:rPr>
          <w:rFonts w:cs="Arial"/>
        </w:rPr>
      </w:pPr>
    </w:p>
    <w:sectPr w:rsidR="006C43D7" w:rsidRPr="006C43D7" w:rsidSect="00237FF9">
      <w:headerReference w:type="default" r:id="rId13"/>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768F" w14:textId="77777777" w:rsidR="00911479" w:rsidRDefault="00911479">
      <w:r>
        <w:separator/>
      </w:r>
    </w:p>
  </w:endnote>
  <w:endnote w:type="continuationSeparator" w:id="0">
    <w:p w14:paraId="2947AC53" w14:textId="77777777" w:rsidR="00911479" w:rsidRDefault="009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3937" w14:textId="77777777" w:rsidR="00911479" w:rsidRDefault="00911479">
      <w:r>
        <w:separator/>
      </w:r>
    </w:p>
  </w:footnote>
  <w:footnote w:type="continuationSeparator" w:id="0">
    <w:p w14:paraId="0CF93211" w14:textId="77777777" w:rsidR="00911479" w:rsidRDefault="00911479">
      <w:r>
        <w:continuationSeparator/>
      </w:r>
    </w:p>
  </w:footnote>
  <w:footnote w:id="1">
    <w:p w14:paraId="632A47DE" w14:textId="7A3A049B" w:rsidR="002E1F42" w:rsidRPr="00B6596D" w:rsidRDefault="002E1F42" w:rsidP="00C3603D">
      <w:pPr>
        <w:pStyle w:val="FootnoteText"/>
        <w:jc w:val="both"/>
      </w:pPr>
      <w:r w:rsidRPr="00B6596D">
        <w:rPr>
          <w:rStyle w:val="FootnoteReference"/>
        </w:rPr>
        <w:footnoteRef/>
      </w:r>
      <w:r w:rsidRPr="00B6596D">
        <w:t xml:space="preserve"> </w:t>
      </w:r>
      <w:r w:rsidRPr="00B6596D">
        <w:tab/>
      </w:r>
      <w:r w:rsidRPr="00B6596D">
        <w:rPr>
          <w:rFonts w:cs="Arial"/>
          <w:color w:val="000000"/>
        </w:rPr>
        <w:t>2013</w:t>
      </w:r>
      <w:r w:rsidRPr="00B6596D">
        <w:rPr>
          <w:rFonts w:cs="Arial"/>
          <w:color w:val="000000"/>
          <w:shd w:val="clear" w:color="auto" w:fill="FFFFFF"/>
        </w:rPr>
        <w:t> (</w:t>
      </w:r>
      <w:r w:rsidRPr="00B6596D">
        <w:rPr>
          <w:rFonts w:cs="Arial"/>
          <w:color w:val="000000"/>
        </w:rPr>
        <w:t>6</w:t>
      </w:r>
      <w:r w:rsidRPr="00B6596D">
        <w:rPr>
          <w:rFonts w:cs="Arial"/>
          <w:color w:val="000000"/>
          <w:shd w:val="clear" w:color="auto" w:fill="FFFFFF"/>
        </w:rPr>
        <w:t>) </w:t>
      </w:r>
      <w:r w:rsidRPr="00B6596D">
        <w:rPr>
          <w:rFonts w:cs="Arial"/>
          <w:color w:val="000000"/>
        </w:rPr>
        <w:t>SA</w:t>
      </w:r>
      <w:r w:rsidRPr="00B6596D">
        <w:rPr>
          <w:rFonts w:cs="Arial"/>
          <w:color w:val="000000"/>
          <w:shd w:val="clear" w:color="auto" w:fill="FFFFFF"/>
        </w:rPr>
        <w:t> </w:t>
      </w:r>
      <w:r w:rsidRPr="00B6596D">
        <w:rPr>
          <w:rFonts w:cs="Arial"/>
          <w:color w:val="000000"/>
        </w:rPr>
        <w:t>520</w:t>
      </w:r>
      <w:r w:rsidRPr="00B6596D">
        <w:rPr>
          <w:rFonts w:cs="Arial"/>
          <w:color w:val="000000"/>
          <w:shd w:val="clear" w:color="auto" w:fill="FFFFFF"/>
        </w:rPr>
        <w:t xml:space="preserve"> (SCA) </w:t>
      </w:r>
      <w:r w:rsidR="00FE5060">
        <w:rPr>
          <w:rFonts w:cs="Arial"/>
          <w:color w:val="000000"/>
          <w:shd w:val="clear" w:color="auto" w:fill="FFFFFF"/>
        </w:rPr>
        <w:t>paragraph</w:t>
      </w:r>
      <w:r w:rsidRPr="00B6596D">
        <w:rPr>
          <w:rFonts w:cs="Arial"/>
          <w:color w:val="000000"/>
          <w:shd w:val="clear" w:color="auto" w:fill="FFFFFF"/>
        </w:rPr>
        <w:t xml:space="preserve"> 24.</w:t>
      </w:r>
    </w:p>
  </w:footnote>
  <w:footnote w:id="2">
    <w:p w14:paraId="68140AAE" w14:textId="1E755FCA" w:rsidR="002E1F42" w:rsidRPr="00B6596D" w:rsidRDefault="002E1F42" w:rsidP="00C3603D">
      <w:pPr>
        <w:pStyle w:val="FootnoteText"/>
        <w:jc w:val="both"/>
      </w:pPr>
      <w:r w:rsidRPr="00B6596D">
        <w:rPr>
          <w:rStyle w:val="FootnoteReference"/>
        </w:rPr>
        <w:footnoteRef/>
      </w:r>
      <w:r w:rsidRPr="00B6596D">
        <w:t xml:space="preserve"> </w:t>
      </w:r>
      <w:r w:rsidRPr="00B6596D">
        <w:tab/>
      </w:r>
      <w:r w:rsidRPr="00B6596D">
        <w:rPr>
          <w:rFonts w:cs="Arial"/>
        </w:rPr>
        <w:t>2017 JDR 0753 (KZP</w:t>
      </w:r>
      <w:proofErr w:type="gramStart"/>
      <w:r w:rsidRPr="00B6596D">
        <w:rPr>
          <w:rFonts w:cs="Arial"/>
        </w:rPr>
        <w:t xml:space="preserve">), </w:t>
      </w:r>
      <w:r w:rsidRPr="00B6596D">
        <w:rPr>
          <w:rFonts w:eastAsia="Calibri" w:cs="Arial"/>
          <w:color w:val="000000"/>
        </w:rPr>
        <w:t xml:space="preserve"> [</w:t>
      </w:r>
      <w:proofErr w:type="gramEnd"/>
      <w:r w:rsidRPr="00B6596D">
        <w:rPr>
          <w:rFonts w:eastAsia="Calibri" w:cs="Arial"/>
          <w:color w:val="000000"/>
        </w:rPr>
        <w:t xml:space="preserve">2017] JOL 37724 (KZP) </w:t>
      </w:r>
      <w:r w:rsidR="00FE5060">
        <w:rPr>
          <w:rFonts w:eastAsia="Calibri" w:cs="Arial"/>
          <w:color w:val="000000"/>
        </w:rPr>
        <w:t>paragraph</w:t>
      </w:r>
      <w:r w:rsidRPr="00B6596D">
        <w:rPr>
          <w:rFonts w:eastAsia="Calibri" w:cs="Arial"/>
          <w:color w:val="000000"/>
        </w:rPr>
        <w:t>s 29 to 30.</w:t>
      </w:r>
    </w:p>
  </w:footnote>
  <w:footnote w:id="3">
    <w:p w14:paraId="63EA98CA" w14:textId="761C6827" w:rsidR="002E1F42" w:rsidRPr="00B6596D" w:rsidRDefault="002E1F42" w:rsidP="00C3603D">
      <w:pPr>
        <w:pStyle w:val="FootnoteText"/>
        <w:jc w:val="both"/>
      </w:pPr>
      <w:r w:rsidRPr="00B6596D">
        <w:rPr>
          <w:rStyle w:val="FootnoteReference"/>
        </w:rPr>
        <w:footnoteRef/>
      </w:r>
      <w:r w:rsidRPr="00B6596D">
        <w:t xml:space="preserve"> </w:t>
      </w:r>
      <w:r w:rsidRPr="00B6596D">
        <w:tab/>
      </w:r>
      <w:r w:rsidRPr="00B6596D">
        <w:rPr>
          <w:rFonts w:eastAsia="Calibri" w:cs="Arial"/>
          <w:color w:val="000000"/>
        </w:rPr>
        <w:t>2012 (1) SACR 567 (SCA) para</w:t>
      </w:r>
      <w:r w:rsidR="00FE5060">
        <w:rPr>
          <w:rFonts w:eastAsia="Calibri" w:cs="Arial"/>
          <w:color w:val="000000"/>
        </w:rPr>
        <w:t>graph</w:t>
      </w:r>
      <w:r w:rsidRPr="00B6596D">
        <w:rPr>
          <w:rFonts w:eastAsia="Calibri" w:cs="Arial"/>
          <w:color w:val="000000"/>
        </w:rPr>
        <w:t xml:space="preserve"> 7.</w:t>
      </w:r>
    </w:p>
  </w:footnote>
  <w:footnote w:id="4">
    <w:p w14:paraId="39F46695" w14:textId="546EF58B" w:rsidR="002E1F42" w:rsidRPr="00B6596D" w:rsidRDefault="002E1F42" w:rsidP="00C3603D">
      <w:pPr>
        <w:pStyle w:val="FootnoteText"/>
        <w:jc w:val="both"/>
      </w:pPr>
      <w:r w:rsidRPr="00B6596D">
        <w:rPr>
          <w:rStyle w:val="FootnoteReference"/>
        </w:rPr>
        <w:footnoteRef/>
      </w:r>
      <w:r w:rsidRPr="00B6596D">
        <w:t xml:space="preserve"> </w:t>
      </w:r>
      <w:r w:rsidRPr="00B6596D">
        <w:tab/>
      </w:r>
      <w:r w:rsidRPr="00B6596D">
        <w:rPr>
          <w:rFonts w:eastAsia="Calibri" w:cs="Arial"/>
          <w:i/>
          <w:iCs/>
        </w:rPr>
        <w:t xml:space="preserve">Mont </w:t>
      </w:r>
      <w:proofErr w:type="spellStart"/>
      <w:r w:rsidRPr="00B6596D">
        <w:rPr>
          <w:rFonts w:eastAsia="Calibri" w:cs="Arial"/>
          <w:i/>
          <w:iCs/>
        </w:rPr>
        <w:t>Chevaux</w:t>
      </w:r>
      <w:proofErr w:type="spellEnd"/>
      <w:r w:rsidRPr="00B6596D">
        <w:rPr>
          <w:rFonts w:eastAsia="Calibri" w:cs="Arial"/>
          <w:i/>
          <w:iCs/>
        </w:rPr>
        <w:t xml:space="preserve"> Trust </w:t>
      </w:r>
      <w:r w:rsidRPr="00B6596D">
        <w:rPr>
          <w:rFonts w:cs="Arial"/>
          <w:i/>
          <w:iCs/>
        </w:rPr>
        <w:t xml:space="preserve">(IT 2012/28) </w:t>
      </w:r>
      <w:r w:rsidRPr="00B6596D">
        <w:rPr>
          <w:rFonts w:eastAsia="Calibri" w:cs="Arial"/>
          <w:i/>
          <w:iCs/>
        </w:rPr>
        <w:t xml:space="preserve">v Tina </w:t>
      </w:r>
      <w:proofErr w:type="spellStart"/>
      <w:r w:rsidRPr="00B6596D">
        <w:rPr>
          <w:rFonts w:eastAsia="Calibri" w:cs="Arial"/>
          <w:i/>
          <w:iCs/>
        </w:rPr>
        <w:t>Goosen</w:t>
      </w:r>
      <w:proofErr w:type="spellEnd"/>
      <w:r w:rsidRPr="00B6596D">
        <w:rPr>
          <w:rFonts w:eastAsia="Calibri" w:cs="Arial"/>
          <w:color w:val="000000"/>
        </w:rPr>
        <w:t xml:space="preserve"> 2014 JDR 2325 (LCC)</w:t>
      </w:r>
      <w:r w:rsidRPr="00B6596D">
        <w:rPr>
          <w:rFonts w:cs="Arial"/>
        </w:rPr>
        <w:t xml:space="preserve">, [2014] ZALCC 20 </w:t>
      </w:r>
      <w:r w:rsidR="00FE5060">
        <w:rPr>
          <w:rFonts w:cs="Arial"/>
        </w:rPr>
        <w:t>paragraph</w:t>
      </w:r>
      <w:r w:rsidRPr="00B6596D">
        <w:rPr>
          <w:rFonts w:cs="Arial"/>
        </w:rPr>
        <w:t xml:space="preserve"> 6; </w:t>
      </w:r>
      <w:r w:rsidRPr="00B6596D">
        <w:rPr>
          <w:rFonts w:eastAsia="Calibri" w:cs="Arial"/>
          <w:i/>
          <w:iCs/>
        </w:rPr>
        <w:t xml:space="preserve">S v </w:t>
      </w:r>
      <w:proofErr w:type="spellStart"/>
      <w:r w:rsidRPr="00B6596D">
        <w:rPr>
          <w:rFonts w:eastAsia="Calibri" w:cs="Arial"/>
          <w:i/>
          <w:iCs/>
        </w:rPr>
        <w:t>Notshokovu</w:t>
      </w:r>
      <w:proofErr w:type="spellEnd"/>
      <w:r w:rsidRPr="00B6596D">
        <w:rPr>
          <w:rFonts w:eastAsia="Calibri" w:cs="Arial"/>
          <w:i/>
          <w:iCs/>
        </w:rPr>
        <w:t xml:space="preserve"> </w:t>
      </w:r>
      <w:r w:rsidRPr="00B6596D">
        <w:rPr>
          <w:rFonts w:eastAsia="Calibri" w:cs="Arial"/>
          <w:color w:val="000000"/>
        </w:rPr>
        <w:t xml:space="preserve">[2016] ZASCA 112 </w:t>
      </w:r>
      <w:r w:rsidR="00FE5060">
        <w:rPr>
          <w:rFonts w:eastAsia="Calibri" w:cs="Arial"/>
          <w:color w:val="000000"/>
        </w:rPr>
        <w:t>paragraph</w:t>
      </w:r>
      <w:r w:rsidRPr="00B6596D">
        <w:rPr>
          <w:rFonts w:eastAsia="Calibri" w:cs="Arial"/>
          <w:color w:val="000000"/>
        </w:rPr>
        <w:t xml:space="preserve"> 2. See also</w:t>
      </w:r>
      <w:r w:rsidRPr="00B6596D">
        <w:rPr>
          <w:rFonts w:eastAsia="Calibri"/>
        </w:rPr>
        <w:t xml:space="preserve"> Van </w:t>
      </w:r>
      <w:proofErr w:type="spellStart"/>
      <w:r w:rsidRPr="00B6596D">
        <w:rPr>
          <w:rFonts w:eastAsia="Calibri"/>
        </w:rPr>
        <w:t>Loggerenberg</w:t>
      </w:r>
      <w:proofErr w:type="spellEnd"/>
      <w:r w:rsidRPr="00B6596D">
        <w:rPr>
          <w:rFonts w:eastAsia="Calibri"/>
        </w:rPr>
        <w:t xml:space="preserve"> and Bertelsmann </w:t>
      </w:r>
      <w:r w:rsidRPr="00B6596D">
        <w:rPr>
          <w:rFonts w:eastAsia="Calibri"/>
          <w:i/>
          <w:iCs/>
        </w:rPr>
        <w:t>Erasmus: Superior Court Practice</w:t>
      </w:r>
      <w:r w:rsidR="0025196E" w:rsidRPr="0025196E">
        <w:rPr>
          <w:rFonts w:eastAsia="Calibri"/>
        </w:rPr>
        <w:t xml:space="preserve"> RS</w:t>
      </w:r>
      <w:r w:rsidR="0025196E">
        <w:rPr>
          <w:rFonts w:eastAsia="Calibri"/>
        </w:rPr>
        <w:t> </w:t>
      </w:r>
      <w:r w:rsidR="0025196E" w:rsidRPr="0025196E">
        <w:rPr>
          <w:rFonts w:eastAsia="Calibri"/>
        </w:rPr>
        <w:t>16, 2022,</w:t>
      </w:r>
      <w:r w:rsidRPr="0025196E">
        <w:rPr>
          <w:rFonts w:eastAsia="Calibri"/>
        </w:rPr>
        <w:t xml:space="preserve"> A2-55</w:t>
      </w:r>
      <w:r w:rsidRPr="00B6596D">
        <w:rPr>
          <w:rFonts w:eastAsia="Calibri"/>
        </w:rPr>
        <w:t>;</w:t>
      </w:r>
      <w:r w:rsidRPr="00B6596D">
        <w:rPr>
          <w:rFonts w:eastAsia="Calibri" w:cs="Arial"/>
          <w:color w:val="000000"/>
        </w:rPr>
        <w:t xml:space="preserve"> </w:t>
      </w:r>
      <w:r w:rsidRPr="00B6596D">
        <w:rPr>
          <w:rFonts w:eastAsia="Calibri" w:cs="Arial"/>
          <w:i/>
          <w:iCs/>
          <w:color w:val="000000"/>
        </w:rPr>
        <w:t xml:space="preserve">The Acting National Director of Public Prosecution v Democratic Alliance </w:t>
      </w:r>
      <w:r w:rsidRPr="00B6596D">
        <w:rPr>
          <w:rFonts w:eastAsia="Calibri" w:cs="Arial"/>
          <w:color w:val="000000"/>
        </w:rPr>
        <w:t xml:space="preserve">[2016] ZAGPPHC 489, </w:t>
      </w:r>
      <w:r w:rsidRPr="00B6596D">
        <w:rPr>
          <w:rFonts w:eastAsia="Calibri"/>
        </w:rPr>
        <w:t xml:space="preserve">JOL 36123 (GP) </w:t>
      </w:r>
      <w:r w:rsidR="00FE5060">
        <w:rPr>
          <w:rFonts w:eastAsia="Calibri" w:cs="Arial"/>
          <w:color w:val="000000"/>
        </w:rPr>
        <w:t>paragraph</w:t>
      </w:r>
      <w:r w:rsidRPr="00B6596D">
        <w:rPr>
          <w:rFonts w:eastAsia="Calibri" w:cs="Arial"/>
          <w:color w:val="000000"/>
        </w:rPr>
        <w:t xml:space="preserve"> 25; </w:t>
      </w:r>
      <w:r w:rsidRPr="00B6596D">
        <w:rPr>
          <w:rFonts w:eastAsia="Calibri" w:cs="Arial"/>
          <w:i/>
          <w:iCs/>
          <w:color w:val="000000"/>
        </w:rPr>
        <w:t xml:space="preserve">South African Breweries (Pty) Ltd v Commissioner of the South African Revenue Services </w:t>
      </w:r>
      <w:r w:rsidRPr="00B6596D">
        <w:rPr>
          <w:rFonts w:eastAsia="Calibri" w:cs="Arial"/>
          <w:color w:val="000000"/>
        </w:rPr>
        <w:t xml:space="preserve">[2017] ZAGPPHC 340 </w:t>
      </w:r>
      <w:r w:rsidR="00FE5060">
        <w:rPr>
          <w:rFonts w:eastAsia="Calibri" w:cs="Arial"/>
          <w:color w:val="000000"/>
        </w:rPr>
        <w:t>paragraph</w:t>
      </w:r>
      <w:r w:rsidRPr="00B6596D">
        <w:rPr>
          <w:rFonts w:eastAsia="Calibri" w:cs="Arial"/>
          <w:color w:val="000000"/>
        </w:rPr>
        <w:t xml:space="preserve"> 5</w:t>
      </w:r>
      <w:r w:rsidRPr="00B6596D">
        <w:rPr>
          <w:rFonts w:eastAsia="Calibri"/>
        </w:rPr>
        <w:t xml:space="preserve">; </w:t>
      </w:r>
      <w:proofErr w:type="spellStart"/>
      <w:r w:rsidRPr="00B6596D">
        <w:rPr>
          <w:rFonts w:eastAsia="Calibri"/>
          <w:i/>
          <w:iCs/>
        </w:rPr>
        <w:t>Lakaje</w:t>
      </w:r>
      <w:proofErr w:type="spellEnd"/>
      <w:r w:rsidRPr="00B6596D">
        <w:rPr>
          <w:rFonts w:eastAsia="Calibri"/>
          <w:i/>
          <w:iCs/>
        </w:rPr>
        <w:t xml:space="preserve"> N.O v MEC: Department of Health</w:t>
      </w:r>
      <w:r w:rsidRPr="00B6596D">
        <w:rPr>
          <w:rFonts w:eastAsia="Calibri"/>
        </w:rPr>
        <w:t xml:space="preserve"> [2019] JOL 45564 (FB) </w:t>
      </w:r>
      <w:r w:rsidR="00FE5060">
        <w:rPr>
          <w:rFonts w:eastAsia="Calibri" w:cs="Arial"/>
          <w:color w:val="000000"/>
        </w:rPr>
        <w:t>paragraph</w:t>
      </w:r>
      <w:r w:rsidRPr="00B6596D">
        <w:rPr>
          <w:rFonts w:eastAsia="Calibri" w:cs="Arial"/>
          <w:color w:val="000000"/>
        </w:rPr>
        <w:t xml:space="preserve"> 5;</w:t>
      </w:r>
      <w:r w:rsidRPr="00B6596D">
        <w:rPr>
          <w:rFonts w:eastAsia="Calibri" w:cs="Arial"/>
          <w:i/>
          <w:iCs/>
          <w:color w:val="000000"/>
        </w:rPr>
        <w:t xml:space="preserve"> </w:t>
      </w:r>
      <w:proofErr w:type="spellStart"/>
      <w:r w:rsidRPr="00B6596D">
        <w:rPr>
          <w:rFonts w:eastAsia="Calibri" w:cs="Arial"/>
          <w:i/>
          <w:iCs/>
          <w:color w:val="000000"/>
        </w:rPr>
        <w:t>Nwafor</w:t>
      </w:r>
      <w:proofErr w:type="spellEnd"/>
      <w:r w:rsidRPr="00B6596D">
        <w:rPr>
          <w:rFonts w:eastAsia="Calibri" w:cs="Arial"/>
          <w:i/>
          <w:iCs/>
          <w:color w:val="000000"/>
        </w:rPr>
        <w:t xml:space="preserve"> v Minister of Home Affairs </w:t>
      </w:r>
      <w:r w:rsidRPr="00B6596D">
        <w:rPr>
          <w:rFonts w:eastAsia="Calibri" w:cs="Arial"/>
          <w:color w:val="000000"/>
        </w:rPr>
        <w:t>[2021] JOL 50310 (SCA),</w:t>
      </w:r>
      <w:r w:rsidRPr="00B6596D">
        <w:rPr>
          <w:rFonts w:cs="Arial"/>
          <w:color w:val="000000"/>
          <w:shd w:val="clear" w:color="auto" w:fill="FFFFFF"/>
        </w:rPr>
        <w:t xml:space="preserve"> 2021 JDR 0948 (SCA)</w:t>
      </w:r>
      <w:r w:rsidRPr="00B6596D">
        <w:rPr>
          <w:rFonts w:eastAsia="Calibri" w:cs="Arial"/>
          <w:color w:val="000000"/>
        </w:rPr>
        <w:t xml:space="preserve"> </w:t>
      </w:r>
      <w:r w:rsidR="00FE5060">
        <w:rPr>
          <w:rFonts w:eastAsia="Calibri" w:cs="Arial"/>
          <w:color w:val="000000"/>
        </w:rPr>
        <w:t>paragraph</w:t>
      </w:r>
      <w:r w:rsidRPr="00B6596D">
        <w:rPr>
          <w:rFonts w:eastAsia="Calibri" w:cs="Arial"/>
          <w:color w:val="000000"/>
        </w:rPr>
        <w:t>s 25 and 26.</w:t>
      </w:r>
    </w:p>
  </w:footnote>
  <w:footnote w:id="5">
    <w:p w14:paraId="143727B7" w14:textId="77777777" w:rsidR="00CB2375" w:rsidRDefault="00CB2375" w:rsidP="00C3603D">
      <w:pPr>
        <w:pStyle w:val="FootnoteText"/>
        <w:jc w:val="both"/>
      </w:pPr>
      <w:r>
        <w:rPr>
          <w:rStyle w:val="FootnoteReference"/>
        </w:rPr>
        <w:footnoteRef/>
      </w:r>
      <w:r>
        <w:t xml:space="preserve"> </w:t>
      </w:r>
      <w:r>
        <w:tab/>
      </w:r>
      <w:r w:rsidRPr="00F4665B">
        <w:rPr>
          <w:rFonts w:cs="Arial"/>
          <w:color w:val="000000" w:themeColor="text1"/>
        </w:rPr>
        <w:t>See</w:t>
      </w:r>
      <w:r w:rsidRPr="00F4665B">
        <w:rPr>
          <w:rFonts w:cs="Arial"/>
          <w:color w:val="000000" w:themeColor="text1"/>
          <w:shd w:val="clear" w:color="auto" w:fill="FFFFFF"/>
        </w:rPr>
        <w:t> </w:t>
      </w:r>
      <w:proofErr w:type="spellStart"/>
      <w:r w:rsidRPr="00F4665B">
        <w:rPr>
          <w:rFonts w:cs="Arial"/>
          <w:i/>
          <w:iCs/>
          <w:color w:val="000000" w:themeColor="text1"/>
          <w:shd w:val="clear" w:color="auto" w:fill="FFFFFF"/>
        </w:rPr>
        <w:t>Shedden</w:t>
      </w:r>
      <w:proofErr w:type="spellEnd"/>
      <w:r w:rsidRPr="00F4665B">
        <w:rPr>
          <w:rFonts w:cs="Arial"/>
          <w:i/>
          <w:iCs/>
          <w:color w:val="000000" w:themeColor="text1"/>
          <w:shd w:val="clear" w:color="auto" w:fill="FFFFFF"/>
        </w:rPr>
        <w:t xml:space="preserve"> v Patrick and Attorney-General </w:t>
      </w:r>
      <w:r w:rsidRPr="00F4665B">
        <w:rPr>
          <w:rFonts w:cs="Arial"/>
          <w:color w:val="000000" w:themeColor="text1"/>
        </w:rPr>
        <w:t>(1869) 22 LT 631 at 634; (1861–1873) All ER 724 (HL) 730</w:t>
      </w:r>
      <w:r w:rsidRPr="00F4665B">
        <w:rPr>
          <w:rFonts w:cs="Arial"/>
          <w:i/>
          <w:iCs/>
          <w:color w:val="000000" w:themeColor="text1"/>
        </w:rPr>
        <w:t xml:space="preserve">g–I; </w:t>
      </w:r>
      <w:proofErr w:type="spellStart"/>
      <w:r w:rsidRPr="00F4665B">
        <w:rPr>
          <w:rFonts w:cs="Arial"/>
          <w:i/>
          <w:iCs/>
          <w:color w:val="000000" w:themeColor="text1"/>
        </w:rPr>
        <w:t>Deintje</w:t>
      </w:r>
      <w:proofErr w:type="spellEnd"/>
      <w:r w:rsidRPr="00F4665B">
        <w:rPr>
          <w:rFonts w:cs="Arial"/>
          <w:i/>
          <w:iCs/>
          <w:color w:val="000000" w:themeColor="text1"/>
        </w:rPr>
        <w:t xml:space="preserve"> v </w:t>
      </w:r>
      <w:proofErr w:type="spellStart"/>
      <w:r w:rsidRPr="00F4665B">
        <w:rPr>
          <w:rFonts w:cs="Arial"/>
          <w:i/>
          <w:iCs/>
          <w:color w:val="000000" w:themeColor="text1"/>
        </w:rPr>
        <w:t>Gratus</w:t>
      </w:r>
      <w:proofErr w:type="spellEnd"/>
      <w:r w:rsidRPr="00F4665B">
        <w:rPr>
          <w:rFonts w:cs="Arial"/>
          <w:i/>
          <w:iCs/>
          <w:color w:val="000000" w:themeColor="text1"/>
        </w:rPr>
        <w:t xml:space="preserve"> &amp; </w:t>
      </w:r>
      <w:proofErr w:type="spellStart"/>
      <w:r w:rsidRPr="00F4665B">
        <w:rPr>
          <w:rFonts w:cs="Arial"/>
          <w:i/>
          <w:iCs/>
          <w:color w:val="000000" w:themeColor="text1"/>
        </w:rPr>
        <w:t>Gratus</w:t>
      </w:r>
      <w:proofErr w:type="spellEnd"/>
      <w:r w:rsidRPr="00F4665B">
        <w:rPr>
          <w:rFonts w:cs="Arial"/>
          <w:color w:val="000000" w:themeColor="text1"/>
        </w:rPr>
        <w:t> </w:t>
      </w:r>
      <w:hyperlink r:id="rId1" w:anchor="y1929ADpg1" w:history="1">
        <w:r w:rsidRPr="00F4665B">
          <w:rPr>
            <w:rStyle w:val="Hyperlink"/>
            <w:rFonts w:cs="Arial"/>
            <w:color w:val="000000" w:themeColor="text1"/>
            <w:u w:val="none"/>
          </w:rPr>
          <w:t>1929 AD 1</w:t>
        </w:r>
      </w:hyperlink>
      <w:r w:rsidRPr="00F4665B">
        <w:rPr>
          <w:rFonts w:cs="Arial"/>
          <w:color w:val="000000" w:themeColor="text1"/>
        </w:rPr>
        <w:t> at 6; </w:t>
      </w:r>
      <w:proofErr w:type="spellStart"/>
      <w:r w:rsidRPr="00F4665B">
        <w:rPr>
          <w:rFonts w:cs="Arial"/>
          <w:i/>
          <w:iCs/>
          <w:color w:val="000000" w:themeColor="text1"/>
        </w:rPr>
        <w:t>Staatspresident</w:t>
      </w:r>
      <w:proofErr w:type="spellEnd"/>
      <w:r w:rsidRPr="00F4665B">
        <w:rPr>
          <w:rFonts w:cs="Arial"/>
          <w:i/>
          <w:iCs/>
          <w:color w:val="000000" w:themeColor="text1"/>
        </w:rPr>
        <w:t xml:space="preserve"> v </w:t>
      </w:r>
      <w:proofErr w:type="spellStart"/>
      <w:r w:rsidRPr="00F4665B">
        <w:rPr>
          <w:rFonts w:cs="Arial"/>
          <w:i/>
          <w:iCs/>
          <w:color w:val="000000" w:themeColor="text1"/>
        </w:rPr>
        <w:t>Lefuo</w:t>
      </w:r>
      <w:proofErr w:type="spellEnd"/>
      <w:r w:rsidRPr="00F4665B">
        <w:rPr>
          <w:rFonts w:cs="Arial"/>
          <w:color w:val="000000" w:themeColor="text1"/>
        </w:rPr>
        <w:t> </w:t>
      </w:r>
      <w:hyperlink r:id="rId2" w:anchor="y1990v2SApg679" w:history="1">
        <w:r w:rsidRPr="00F4665B">
          <w:rPr>
            <w:rStyle w:val="Hyperlink"/>
            <w:rFonts w:cs="Arial"/>
            <w:color w:val="000000" w:themeColor="text1"/>
            <w:u w:val="none"/>
          </w:rPr>
          <w:t>1990 (2) SA 679 (A)</w:t>
        </w:r>
      </w:hyperlink>
      <w:r w:rsidRPr="00F4665B">
        <w:rPr>
          <w:rFonts w:cs="Arial"/>
          <w:color w:val="000000" w:themeColor="text1"/>
        </w:rPr>
        <w:t>  691I;  </w:t>
      </w:r>
      <w:r w:rsidRPr="00F4665B">
        <w:rPr>
          <w:rFonts w:cs="Arial"/>
          <w:i/>
          <w:iCs/>
          <w:color w:val="000000" w:themeColor="text1"/>
        </w:rPr>
        <w:t>MFV</w:t>
      </w:r>
      <w:r w:rsidRPr="00F4665B">
        <w:rPr>
          <w:rFonts w:cs="Arial"/>
          <w:color w:val="000000" w:themeColor="text1"/>
        </w:rPr>
        <w:t> </w:t>
      </w:r>
      <w:proofErr w:type="spellStart"/>
      <w:r w:rsidRPr="00F4665B">
        <w:rPr>
          <w:rFonts w:cs="Arial"/>
          <w:color w:val="000000" w:themeColor="text1"/>
        </w:rPr>
        <w:t>Kapitan</w:t>
      </w:r>
      <w:proofErr w:type="spellEnd"/>
      <w:r w:rsidRPr="00F4665B">
        <w:rPr>
          <w:rFonts w:cs="Arial"/>
          <w:color w:val="000000" w:themeColor="text1"/>
        </w:rPr>
        <w:t xml:space="preserve"> </w:t>
      </w:r>
      <w:proofErr w:type="spellStart"/>
      <w:r w:rsidRPr="00F4665B">
        <w:rPr>
          <w:rFonts w:cs="Arial"/>
          <w:color w:val="000000" w:themeColor="text1"/>
        </w:rPr>
        <w:t>Solyanik</w:t>
      </w:r>
      <w:proofErr w:type="spellEnd"/>
      <w:r w:rsidRPr="00F4665B">
        <w:rPr>
          <w:rFonts w:cs="Arial"/>
          <w:color w:val="000000" w:themeColor="text1"/>
        </w:rPr>
        <w:t> </w:t>
      </w:r>
      <w:r w:rsidRPr="00F4665B">
        <w:rPr>
          <w:rFonts w:cs="Arial"/>
          <w:i/>
          <w:iCs/>
          <w:color w:val="000000" w:themeColor="text1"/>
        </w:rPr>
        <w:t xml:space="preserve">Ukrainian-Cyprus Insurance Co v </w:t>
      </w:r>
      <w:proofErr w:type="spellStart"/>
      <w:r w:rsidRPr="00F4665B">
        <w:rPr>
          <w:rFonts w:cs="Arial"/>
          <w:i/>
          <w:iCs/>
          <w:color w:val="000000" w:themeColor="text1"/>
        </w:rPr>
        <w:t>Namack</w:t>
      </w:r>
      <w:proofErr w:type="spellEnd"/>
      <w:r w:rsidRPr="00F4665B">
        <w:rPr>
          <w:rFonts w:cs="Arial"/>
          <w:i/>
          <w:iCs/>
          <w:color w:val="000000" w:themeColor="text1"/>
        </w:rPr>
        <w:t xml:space="preserve"> International (Pty) Ltd</w:t>
      </w:r>
      <w:r w:rsidRPr="00F4665B">
        <w:rPr>
          <w:rFonts w:cs="Arial"/>
          <w:color w:val="000000" w:themeColor="text1"/>
        </w:rPr>
        <w:t> </w:t>
      </w:r>
      <w:hyperlink r:id="rId3" w:anchor="y1999v2SApg926" w:history="1">
        <w:r w:rsidRPr="00F4665B">
          <w:rPr>
            <w:rStyle w:val="Hyperlink"/>
            <w:rFonts w:cs="Arial"/>
            <w:color w:val="000000" w:themeColor="text1"/>
            <w:u w:val="none"/>
          </w:rPr>
          <w:t>1999 (2) SA 926 (</w:t>
        </w:r>
        <w:proofErr w:type="spellStart"/>
        <w:r w:rsidRPr="00F4665B">
          <w:rPr>
            <w:rStyle w:val="Hyperlink"/>
            <w:rFonts w:cs="Arial"/>
            <w:color w:val="000000" w:themeColor="text1"/>
            <w:u w:val="none"/>
          </w:rPr>
          <w:t>NmHC</w:t>
        </w:r>
        <w:proofErr w:type="spellEnd"/>
        <w:r w:rsidRPr="00F4665B">
          <w:rPr>
            <w:rStyle w:val="Hyperlink"/>
            <w:rFonts w:cs="Arial"/>
            <w:color w:val="000000" w:themeColor="text1"/>
            <w:u w:val="none"/>
          </w:rPr>
          <w:t>)</w:t>
        </w:r>
      </w:hyperlink>
      <w:r w:rsidRPr="00F4665B">
        <w:rPr>
          <w:rFonts w:cs="Arial"/>
          <w:color w:val="000000" w:themeColor="text1"/>
        </w:rPr>
        <w:t> 932B–C; </w:t>
      </w:r>
      <w:proofErr w:type="spellStart"/>
      <w:r w:rsidRPr="00F4665B">
        <w:rPr>
          <w:rFonts w:cs="Arial"/>
          <w:i/>
          <w:iCs/>
          <w:color w:val="000000" w:themeColor="text1"/>
        </w:rPr>
        <w:t>Cooperativa</w:t>
      </w:r>
      <w:proofErr w:type="spellEnd"/>
      <w:r w:rsidRPr="00F4665B">
        <w:rPr>
          <w:rFonts w:cs="Arial"/>
          <w:i/>
          <w:iCs/>
          <w:color w:val="000000" w:themeColor="text1"/>
        </w:rPr>
        <w:t xml:space="preserve"> </w:t>
      </w:r>
      <w:proofErr w:type="spellStart"/>
      <w:r w:rsidRPr="00F4665B">
        <w:rPr>
          <w:rFonts w:cs="Arial"/>
          <w:i/>
          <w:iCs/>
          <w:color w:val="000000" w:themeColor="text1"/>
        </w:rPr>
        <w:t>Muratori</w:t>
      </w:r>
      <w:proofErr w:type="spellEnd"/>
      <w:r w:rsidRPr="00F4665B">
        <w:rPr>
          <w:rFonts w:cs="Arial"/>
          <w:i/>
          <w:iCs/>
          <w:color w:val="000000" w:themeColor="text1"/>
        </w:rPr>
        <w:t xml:space="preserve"> &amp; </w:t>
      </w:r>
      <w:proofErr w:type="spellStart"/>
      <w:r w:rsidRPr="00F4665B">
        <w:rPr>
          <w:rFonts w:cs="Arial"/>
          <w:i/>
          <w:iCs/>
          <w:color w:val="000000" w:themeColor="text1"/>
        </w:rPr>
        <w:t>Cementisti</w:t>
      </w:r>
      <w:proofErr w:type="spellEnd"/>
      <w:r w:rsidRPr="00F4665B">
        <w:rPr>
          <w:rFonts w:cs="Arial"/>
          <w:i/>
          <w:iCs/>
          <w:color w:val="000000" w:themeColor="text1"/>
        </w:rPr>
        <w:t xml:space="preserve"> v Companies and Intellectual Property Commission</w:t>
      </w:r>
      <w:r w:rsidRPr="00F4665B">
        <w:rPr>
          <w:rFonts w:cs="Arial"/>
          <w:color w:val="000000" w:themeColor="text1"/>
        </w:rPr>
        <w:t> </w:t>
      </w:r>
      <w:hyperlink r:id="rId4" w:anchor="y2021v3SApg393" w:history="1">
        <w:r w:rsidRPr="00F4665B">
          <w:rPr>
            <w:rStyle w:val="Hyperlink"/>
            <w:rFonts w:cs="Arial"/>
            <w:color w:val="000000" w:themeColor="text1"/>
            <w:u w:val="none"/>
          </w:rPr>
          <w:t>2021 (3) SA 393 (SCA)</w:t>
        </w:r>
      </w:hyperlink>
      <w:r w:rsidRPr="00F4665B">
        <w:rPr>
          <w:rFonts w:cs="Arial"/>
          <w:color w:val="000000" w:themeColor="text1"/>
        </w:rPr>
        <w:t>  paragraphs 19 to 27.</w:t>
      </w:r>
    </w:p>
  </w:footnote>
  <w:footnote w:id="6">
    <w:p w14:paraId="1CDFA9F3" w14:textId="77777777" w:rsidR="00CB2375" w:rsidRDefault="00CB2375" w:rsidP="00C3603D">
      <w:pPr>
        <w:pStyle w:val="FootnoteText"/>
        <w:jc w:val="both"/>
      </w:pPr>
      <w:r>
        <w:rPr>
          <w:rStyle w:val="FootnoteReference"/>
        </w:rPr>
        <w:footnoteRef/>
      </w:r>
      <w:r>
        <w:t xml:space="preserve"> </w:t>
      </w:r>
      <w:r>
        <w:tab/>
      </w:r>
      <w:r w:rsidRPr="00B6596D">
        <w:rPr>
          <w:rFonts w:eastAsia="Calibri"/>
        </w:rPr>
        <w:t xml:space="preserve">Van </w:t>
      </w:r>
      <w:proofErr w:type="spellStart"/>
      <w:r w:rsidRPr="00B6596D">
        <w:rPr>
          <w:rFonts w:eastAsia="Calibri"/>
        </w:rPr>
        <w:t>Loggerenberg</w:t>
      </w:r>
      <w:proofErr w:type="spellEnd"/>
      <w:r w:rsidRPr="00B6596D">
        <w:rPr>
          <w:rFonts w:eastAsia="Calibri"/>
        </w:rPr>
        <w:t xml:space="preserve"> and Bertelsmann </w:t>
      </w:r>
      <w:r w:rsidRPr="00B6596D">
        <w:rPr>
          <w:rFonts w:eastAsia="Calibri"/>
          <w:i/>
          <w:iCs/>
        </w:rPr>
        <w:t>Erasmus: Superior Court Practice</w:t>
      </w:r>
      <w:r>
        <w:rPr>
          <w:rFonts w:eastAsia="Calibri"/>
          <w:i/>
          <w:iCs/>
        </w:rPr>
        <w:t xml:space="preserve"> </w:t>
      </w:r>
      <w:r>
        <w:rPr>
          <w:rFonts w:eastAsia="Calibri"/>
        </w:rPr>
        <w:t>RS 16, 2022,</w:t>
      </w:r>
      <w:r>
        <w:t xml:space="preserve"> A1-67 to 69.</w:t>
      </w:r>
    </w:p>
  </w:footnote>
  <w:footnote w:id="7">
    <w:p w14:paraId="0719D1EB" w14:textId="3D0FD35B" w:rsidR="0025196E" w:rsidRPr="0025196E" w:rsidRDefault="0025196E" w:rsidP="00C3603D">
      <w:pPr>
        <w:pStyle w:val="FootnoteText"/>
        <w:jc w:val="both"/>
      </w:pPr>
      <w:r>
        <w:rPr>
          <w:rStyle w:val="FootnoteReference"/>
        </w:rPr>
        <w:footnoteRef/>
      </w:r>
      <w:r>
        <w:t xml:space="preserve"> </w:t>
      </w:r>
      <w:r>
        <w:tab/>
      </w:r>
      <w:r w:rsidRPr="00B6596D">
        <w:rPr>
          <w:rFonts w:eastAsia="Calibri"/>
        </w:rPr>
        <w:t xml:space="preserve">Van </w:t>
      </w:r>
      <w:proofErr w:type="spellStart"/>
      <w:r w:rsidRPr="00B6596D">
        <w:rPr>
          <w:rFonts w:eastAsia="Calibri"/>
        </w:rPr>
        <w:t>Loggerenberg</w:t>
      </w:r>
      <w:proofErr w:type="spellEnd"/>
      <w:r w:rsidRPr="00B6596D">
        <w:rPr>
          <w:rFonts w:eastAsia="Calibri"/>
        </w:rPr>
        <w:t xml:space="preserve"> and Bertelsmann </w:t>
      </w:r>
      <w:r w:rsidRPr="00B6596D">
        <w:rPr>
          <w:rFonts w:eastAsia="Calibri"/>
          <w:i/>
          <w:iCs/>
        </w:rPr>
        <w:t>Erasmus: Superior Court Practice</w:t>
      </w:r>
      <w:r>
        <w:rPr>
          <w:rFonts w:eastAsia="Calibri"/>
          <w:i/>
          <w:iCs/>
        </w:rPr>
        <w:t xml:space="preserve"> </w:t>
      </w:r>
      <w:r>
        <w:rPr>
          <w:rFonts w:eastAsia="Calibri"/>
        </w:rPr>
        <w:t>RS 16, 2022, A2-71.</w:t>
      </w:r>
    </w:p>
  </w:footnote>
  <w:footnote w:id="8">
    <w:p w14:paraId="60A58965" w14:textId="27689F6F" w:rsidR="00A66AF4" w:rsidRPr="00A66AF4" w:rsidRDefault="00A66AF4" w:rsidP="00C3603D">
      <w:pPr>
        <w:pStyle w:val="FootnoteText"/>
        <w:jc w:val="both"/>
        <w:rPr>
          <w:rFonts w:cs="Arial"/>
          <w:color w:val="000000" w:themeColor="text1"/>
        </w:rPr>
      </w:pPr>
      <w:r>
        <w:rPr>
          <w:rStyle w:val="FootnoteReference"/>
        </w:rPr>
        <w:footnoteRef/>
      </w:r>
      <w:r>
        <w:t xml:space="preserve"> </w:t>
      </w:r>
      <w:r>
        <w:tab/>
      </w:r>
      <w:r w:rsidRPr="00A66AF4">
        <w:rPr>
          <w:rFonts w:cs="Arial"/>
          <w:color w:val="000000" w:themeColor="text1"/>
        </w:rPr>
        <w:t>See</w:t>
      </w:r>
      <w:r w:rsidRPr="00A66AF4">
        <w:rPr>
          <w:rFonts w:cs="Arial"/>
          <w:i/>
          <w:iCs/>
          <w:color w:val="000000" w:themeColor="text1"/>
          <w:shd w:val="clear" w:color="auto" w:fill="FFFFFF"/>
        </w:rPr>
        <w:t xml:space="preserve"> De Aguiar v Real People Housing (Pty) Ltd</w:t>
      </w:r>
      <w:r w:rsidRPr="00A66AF4">
        <w:rPr>
          <w:rFonts w:cs="Arial"/>
          <w:color w:val="000000" w:themeColor="text1"/>
          <w:shd w:val="clear" w:color="auto" w:fill="FFFFFF"/>
        </w:rPr>
        <w:t> </w:t>
      </w:r>
      <w:hyperlink r:id="rId5" w:anchor="y2011v1SApg16" w:history="1">
        <w:r w:rsidRPr="00A66AF4">
          <w:rPr>
            <w:rStyle w:val="Hyperlink"/>
            <w:rFonts w:cs="Arial"/>
            <w:color w:val="000000" w:themeColor="text1"/>
            <w:u w:val="none"/>
            <w:shd w:val="clear" w:color="auto" w:fill="FFFFFF"/>
          </w:rPr>
          <w:t>2011 (1) SA 16 (SCA)</w:t>
        </w:r>
      </w:hyperlink>
      <w:r w:rsidRPr="00A66AF4">
        <w:rPr>
          <w:rFonts w:cs="Arial"/>
          <w:color w:val="000000" w:themeColor="text1"/>
          <w:shd w:val="clear" w:color="auto" w:fill="FFFFFF"/>
        </w:rPr>
        <w:t> 19G–H</w:t>
      </w:r>
    </w:p>
  </w:footnote>
  <w:footnote w:id="9">
    <w:p w14:paraId="00530008" w14:textId="4436F204" w:rsidR="009A12A9" w:rsidRDefault="009A12A9" w:rsidP="00C3603D">
      <w:pPr>
        <w:pStyle w:val="FootnoteText"/>
        <w:jc w:val="both"/>
      </w:pPr>
      <w:r>
        <w:rPr>
          <w:rStyle w:val="FootnoteReference"/>
        </w:rPr>
        <w:footnoteRef/>
      </w:r>
      <w:r>
        <w:t xml:space="preserve"> </w:t>
      </w:r>
      <w:r>
        <w:tab/>
        <w:t>It is not necessary in this application to decide the nature of any discretion exercised in the judgment and I refrain from doing so.</w:t>
      </w:r>
    </w:p>
  </w:footnote>
  <w:footnote w:id="10">
    <w:p w14:paraId="11F67C3E" w14:textId="39C62FBA" w:rsidR="0060531B" w:rsidRDefault="0060531B" w:rsidP="00C3603D">
      <w:pPr>
        <w:pStyle w:val="FootnoteText"/>
        <w:jc w:val="both"/>
      </w:pPr>
      <w:r>
        <w:rPr>
          <w:rStyle w:val="FootnoteReference"/>
        </w:rPr>
        <w:footnoteRef/>
      </w:r>
      <w:r>
        <w:t xml:space="preserve"> </w:t>
      </w:r>
      <w:r>
        <w:tab/>
      </w:r>
      <w:r w:rsidR="00734A10">
        <w:t>Under</w:t>
      </w:r>
      <w:r>
        <w:t xml:space="preserve"> the heading </w:t>
      </w:r>
      <w:r w:rsidRPr="00734A10">
        <w:rPr>
          <w:i/>
          <w:iCs/>
        </w:rPr>
        <w:t>‘COURTS AND ADMINISTRATION OF JUSTICE (ss 165-180)’</w:t>
      </w:r>
      <w:r>
        <w:t>.</w:t>
      </w:r>
    </w:p>
  </w:footnote>
  <w:footnote w:id="11">
    <w:p w14:paraId="28A6D4D4" w14:textId="717DC84C" w:rsidR="007D015D" w:rsidRDefault="007D015D" w:rsidP="00C3603D">
      <w:pPr>
        <w:pStyle w:val="FootnoteText"/>
        <w:jc w:val="both"/>
      </w:pPr>
      <w:r>
        <w:rPr>
          <w:rStyle w:val="FootnoteReference"/>
        </w:rPr>
        <w:footnoteRef/>
      </w:r>
      <w:r>
        <w:t xml:space="preserve"> </w:t>
      </w:r>
      <w:r>
        <w:tab/>
        <w:t xml:space="preserve">See also </w:t>
      </w:r>
      <w:r w:rsidR="0025196E">
        <w:t>V</w:t>
      </w:r>
      <w:r>
        <w:t xml:space="preserve">an </w:t>
      </w:r>
      <w:proofErr w:type="spellStart"/>
      <w:r>
        <w:t>Loggerenberg</w:t>
      </w:r>
      <w:proofErr w:type="spellEnd"/>
      <w:r w:rsidR="0025196E">
        <w:t xml:space="preserve"> and </w:t>
      </w:r>
      <w:proofErr w:type="spellStart"/>
      <w:r w:rsidR="0025196E">
        <w:t>Bertelsman</w:t>
      </w:r>
      <w:proofErr w:type="spellEnd"/>
      <w:r>
        <w:t xml:space="preserve"> </w:t>
      </w:r>
      <w:r w:rsidRPr="0025252D">
        <w:rPr>
          <w:i/>
          <w:iCs/>
        </w:rPr>
        <w:t>Erasmus</w:t>
      </w:r>
      <w:r w:rsidR="0025196E">
        <w:rPr>
          <w:i/>
          <w:iCs/>
        </w:rPr>
        <w:t>:</w:t>
      </w:r>
      <w:r w:rsidRPr="0025252D">
        <w:rPr>
          <w:i/>
          <w:iCs/>
        </w:rPr>
        <w:t xml:space="preserve"> Superior Court Practic</w:t>
      </w:r>
      <w:r w:rsidRPr="00A10C5E">
        <w:rPr>
          <w:rFonts w:cs="Arial"/>
          <w:i/>
          <w:iCs/>
          <w:color w:val="000000" w:themeColor="text1"/>
        </w:rPr>
        <w:t>e</w:t>
      </w:r>
      <w:r w:rsidRPr="00A10C5E">
        <w:rPr>
          <w:rFonts w:cs="Arial"/>
          <w:color w:val="000000" w:themeColor="text1"/>
        </w:rPr>
        <w:t xml:space="preserve"> RS</w:t>
      </w:r>
      <w:r w:rsidR="0025196E">
        <w:rPr>
          <w:rFonts w:cs="Arial"/>
          <w:color w:val="000000" w:themeColor="text1"/>
        </w:rPr>
        <w:t> </w:t>
      </w:r>
      <w:r w:rsidRPr="00A10C5E">
        <w:rPr>
          <w:rFonts w:cs="Arial"/>
          <w:color w:val="000000" w:themeColor="text1"/>
        </w:rPr>
        <w:t xml:space="preserve">16, 2022, A1-50 et </w:t>
      </w:r>
      <w:proofErr w:type="spellStart"/>
      <w:r w:rsidRPr="00A10C5E">
        <w:rPr>
          <w:rFonts w:cs="Arial"/>
          <w:color w:val="000000" w:themeColor="text1"/>
        </w:rPr>
        <w:t>seq</w:t>
      </w:r>
      <w:proofErr w:type="spellEnd"/>
      <w:r w:rsidRPr="00A10C5E">
        <w:rPr>
          <w:rFonts w:cs="Arial"/>
          <w:color w:val="000000" w:themeColor="text1"/>
        </w:rPr>
        <w:t xml:space="preserve">; </w:t>
      </w:r>
      <w:r w:rsidRPr="00A10C5E">
        <w:rPr>
          <w:rFonts w:cs="Arial"/>
          <w:i/>
          <w:iCs/>
          <w:color w:val="000000" w:themeColor="text1"/>
        </w:rPr>
        <w:t xml:space="preserve">Eastern Cape Parks and Tourism Agency v </w:t>
      </w:r>
      <w:proofErr w:type="spellStart"/>
      <w:r w:rsidRPr="00A10C5E">
        <w:rPr>
          <w:rFonts w:cs="Arial"/>
          <w:i/>
          <w:iCs/>
          <w:color w:val="000000" w:themeColor="text1"/>
        </w:rPr>
        <w:t>Medbury</w:t>
      </w:r>
      <w:proofErr w:type="spellEnd"/>
      <w:r w:rsidRPr="00A10C5E">
        <w:rPr>
          <w:rFonts w:cs="Arial"/>
          <w:i/>
          <w:iCs/>
          <w:color w:val="000000" w:themeColor="text1"/>
        </w:rPr>
        <w:t xml:space="preserve"> (Pty) Ltd </w:t>
      </w:r>
      <w:r w:rsidRPr="00A10C5E">
        <w:rPr>
          <w:rFonts w:cs="Arial"/>
          <w:color w:val="000000" w:themeColor="text1"/>
          <w:shd w:val="clear" w:color="auto" w:fill="FFFFFF"/>
        </w:rPr>
        <w:t> </w:t>
      </w:r>
      <w:hyperlink r:id="rId6" w:anchor="y2016v4SApg457" w:history="1">
        <w:r w:rsidRPr="00A10C5E">
          <w:rPr>
            <w:rStyle w:val="Hyperlink"/>
            <w:rFonts w:cs="Arial"/>
            <w:color w:val="000000" w:themeColor="text1"/>
            <w:u w:val="none"/>
            <w:shd w:val="clear" w:color="auto" w:fill="FFFFFF"/>
          </w:rPr>
          <w:t>2016 (4) SA 457 (ECG)</w:t>
        </w:r>
      </w:hyperlink>
      <w:r w:rsidRPr="00A10C5E">
        <w:rPr>
          <w:rFonts w:cs="Arial"/>
          <w:color w:val="000000" w:themeColor="text1"/>
          <w:shd w:val="clear" w:color="auto" w:fill="FFFFFF"/>
        </w:rPr>
        <w:t xml:space="preserve">  </w:t>
      </w:r>
      <w:r>
        <w:rPr>
          <w:rFonts w:cs="Arial"/>
          <w:color w:val="000000" w:themeColor="text1"/>
          <w:shd w:val="clear" w:color="auto" w:fill="FFFFFF"/>
        </w:rPr>
        <w:t>paragraph 31;</w:t>
      </w:r>
      <w:r w:rsidRPr="00A10C5E">
        <w:rPr>
          <w:rFonts w:cs="Arial"/>
          <w:i/>
          <w:iCs/>
          <w:color w:val="000000" w:themeColor="text1"/>
          <w:shd w:val="clear" w:color="auto" w:fill="FFFFFF"/>
        </w:rPr>
        <w:t xml:space="preserve"> Eastern Cape Parks and Tourism Agency v </w:t>
      </w:r>
      <w:proofErr w:type="spellStart"/>
      <w:r w:rsidRPr="00A10C5E">
        <w:rPr>
          <w:rFonts w:cs="Arial"/>
          <w:i/>
          <w:iCs/>
          <w:color w:val="000000" w:themeColor="text1"/>
          <w:shd w:val="clear" w:color="auto" w:fill="FFFFFF"/>
        </w:rPr>
        <w:t>Medbury</w:t>
      </w:r>
      <w:proofErr w:type="spellEnd"/>
      <w:r w:rsidRPr="00A10C5E">
        <w:rPr>
          <w:rFonts w:cs="Arial"/>
          <w:i/>
          <w:iCs/>
          <w:color w:val="000000" w:themeColor="text1"/>
          <w:shd w:val="clear" w:color="auto" w:fill="FFFFFF"/>
        </w:rPr>
        <w:t xml:space="preserve"> (Pty) Ltd t/a Crown River Safari</w:t>
      </w:r>
      <w:r w:rsidRPr="00A10C5E">
        <w:rPr>
          <w:rFonts w:cs="Arial"/>
          <w:color w:val="000000" w:themeColor="text1"/>
          <w:shd w:val="clear" w:color="auto" w:fill="FFFFFF"/>
        </w:rPr>
        <w:t> </w:t>
      </w:r>
      <w:hyperlink r:id="rId7" w:anchor="y2018v4SApg206" w:history="1">
        <w:r w:rsidRPr="00DF7F7E">
          <w:rPr>
            <w:rStyle w:val="Hyperlink"/>
            <w:rFonts w:cs="Arial"/>
            <w:color w:val="000000" w:themeColor="text1"/>
            <w:u w:val="none"/>
            <w:shd w:val="clear" w:color="auto" w:fill="FFFFFF"/>
          </w:rPr>
          <w:t>2018 (4) SA 206 (SCA)</w:t>
        </w:r>
      </w:hyperlink>
      <w:r w:rsidRPr="00DF7F7E">
        <w:rPr>
          <w:rFonts w:cs="Arial"/>
          <w:color w:val="000000" w:themeColor="text1"/>
          <w:shd w:val="clear" w:color="auto" w:fill="FFFFFF"/>
        </w:rPr>
        <w:t xml:space="preserve">; </w:t>
      </w:r>
      <w:r w:rsidRPr="00DF7F7E">
        <w:rPr>
          <w:rFonts w:ascii="Verdana" w:hAnsi="Verdana"/>
          <w:i/>
          <w:iCs/>
          <w:color w:val="000000" w:themeColor="text1"/>
          <w:shd w:val="clear" w:color="auto" w:fill="FFFFFF"/>
        </w:rPr>
        <w:t>Mighty Solutions t/</w:t>
      </w:r>
      <w:r w:rsidRPr="00DF7F7E">
        <w:rPr>
          <w:rFonts w:cs="Arial"/>
          <w:i/>
          <w:iCs/>
          <w:color w:val="000000" w:themeColor="text1"/>
          <w:shd w:val="clear" w:color="auto" w:fill="FFFFFF"/>
        </w:rPr>
        <w:t>a Orlando Service Station v Engen Petroleum Ltd</w:t>
      </w:r>
      <w:r w:rsidRPr="00DF7F7E">
        <w:rPr>
          <w:rFonts w:cs="Arial"/>
          <w:color w:val="000000" w:themeColor="text1"/>
          <w:shd w:val="clear" w:color="auto" w:fill="FFFFFF"/>
        </w:rPr>
        <w:t> </w:t>
      </w:r>
      <w:r w:rsidRPr="00DF7F7E">
        <w:rPr>
          <w:rFonts w:cs="Arial"/>
          <w:color w:val="000000" w:themeColor="text1"/>
        </w:rPr>
        <w:t> </w:t>
      </w:r>
      <w:hyperlink r:id="rId8" w:anchor="y2016v1SApg621" w:history="1">
        <w:r w:rsidRPr="00DF7F7E">
          <w:rPr>
            <w:rStyle w:val="Hyperlink"/>
            <w:rFonts w:cs="Arial"/>
            <w:color w:val="000000" w:themeColor="text1"/>
            <w:u w:val="none"/>
          </w:rPr>
          <w:t>2016 (1) SA 621 (CC)</w:t>
        </w:r>
      </w:hyperlink>
      <w:r w:rsidRPr="00DF7F7E">
        <w:rPr>
          <w:rFonts w:cs="Arial"/>
          <w:color w:val="000000" w:themeColor="text1"/>
        </w:rPr>
        <w:t xml:space="preserve"> paragraphs </w:t>
      </w:r>
      <w:r w:rsidRPr="007D015D">
        <w:rPr>
          <w:rFonts w:cs="Arial"/>
          <w:color w:val="000000" w:themeColor="text1"/>
        </w:rPr>
        <w:t>39 &amp; 40; </w:t>
      </w:r>
      <w:r w:rsidRPr="007D015D">
        <w:rPr>
          <w:rFonts w:cs="Arial"/>
          <w:i/>
          <w:iCs/>
          <w:color w:val="000000" w:themeColor="text1"/>
        </w:rPr>
        <w:t>MEC for Health and Social Development, Gauteng v DZ obo WZ</w:t>
      </w:r>
      <w:r w:rsidRPr="007D015D">
        <w:rPr>
          <w:rFonts w:cs="Arial"/>
          <w:color w:val="000000" w:themeColor="text1"/>
        </w:rPr>
        <w:t> </w:t>
      </w:r>
      <w:hyperlink r:id="rId9" w:anchor="y2018v1SApg335" w:history="1">
        <w:r w:rsidRPr="007D015D">
          <w:rPr>
            <w:rStyle w:val="Hyperlink"/>
            <w:rFonts w:cs="Arial"/>
            <w:color w:val="000000" w:themeColor="text1"/>
            <w:u w:val="none"/>
          </w:rPr>
          <w:t>2018 (1) SA 335 (CC)</w:t>
        </w:r>
      </w:hyperlink>
      <w:r w:rsidRPr="007D015D">
        <w:rPr>
          <w:rFonts w:cs="Arial"/>
          <w:color w:val="000000" w:themeColor="text1"/>
        </w:rPr>
        <w:t> paragraph 32; </w:t>
      </w:r>
      <w:r w:rsidRPr="007D015D">
        <w:rPr>
          <w:rFonts w:cs="Arial"/>
          <w:i/>
          <w:iCs/>
          <w:color w:val="000000" w:themeColor="text1"/>
        </w:rPr>
        <w:t>Economic Freedom Fighters v Manuel</w:t>
      </w:r>
      <w:r w:rsidRPr="007D015D">
        <w:rPr>
          <w:rFonts w:cs="Arial"/>
          <w:color w:val="000000" w:themeColor="text1"/>
        </w:rPr>
        <w:t> </w:t>
      </w:r>
      <w:hyperlink r:id="rId10" w:anchor="y2021v3SApg425" w:history="1">
        <w:r w:rsidRPr="007D015D">
          <w:rPr>
            <w:rStyle w:val="Hyperlink"/>
            <w:rFonts w:cs="Arial"/>
            <w:color w:val="000000" w:themeColor="text1"/>
            <w:u w:val="none"/>
          </w:rPr>
          <w:t>2021 (3) SA 425 (SCA)</w:t>
        </w:r>
      </w:hyperlink>
      <w:r w:rsidRPr="007D015D">
        <w:rPr>
          <w:rFonts w:cs="Arial"/>
          <w:color w:val="000000" w:themeColor="text1"/>
        </w:rPr>
        <w:t> paragraphs 58 to 61</w:t>
      </w:r>
      <w:r>
        <w:rPr>
          <w:rFonts w:ascii="Verdana" w:hAnsi="Verdana"/>
          <w:color w:val="2C3E50"/>
          <w:sz w:val="16"/>
          <w:szCs w:val="16"/>
        </w:rPr>
        <w:t>.</w:t>
      </w:r>
    </w:p>
  </w:footnote>
  <w:footnote w:id="12">
    <w:p w14:paraId="11135DFC" w14:textId="44617354" w:rsidR="00485E88" w:rsidRDefault="00485E88" w:rsidP="00C3603D">
      <w:pPr>
        <w:pStyle w:val="FootnoteText"/>
        <w:jc w:val="both"/>
      </w:pPr>
      <w:r>
        <w:rPr>
          <w:rStyle w:val="FootnoteReference"/>
        </w:rPr>
        <w:footnoteRef/>
      </w:r>
      <w:r>
        <w:t xml:space="preserve"> </w:t>
      </w:r>
      <w:r>
        <w:tab/>
      </w:r>
      <w:proofErr w:type="spellStart"/>
      <w:r w:rsidRPr="00485E88">
        <w:rPr>
          <w:rFonts w:cs="Arial"/>
          <w:i/>
          <w:iCs/>
          <w:color w:val="000000" w:themeColor="text1"/>
          <w:shd w:val="clear" w:color="auto" w:fill="FFFFFF"/>
        </w:rPr>
        <w:t>Mukaddam</w:t>
      </w:r>
      <w:proofErr w:type="spellEnd"/>
      <w:r w:rsidRPr="00485E88">
        <w:rPr>
          <w:rFonts w:cs="Arial"/>
          <w:i/>
          <w:iCs/>
          <w:color w:val="000000" w:themeColor="text1"/>
          <w:shd w:val="clear" w:color="auto" w:fill="FFFFFF"/>
        </w:rPr>
        <w:t xml:space="preserve"> v Pioneer Foods (Pty) Ltd</w:t>
      </w:r>
      <w:r w:rsidRPr="00485E88">
        <w:rPr>
          <w:rFonts w:cs="Arial"/>
          <w:color w:val="000000" w:themeColor="text1"/>
          <w:shd w:val="clear" w:color="auto" w:fill="FFFFFF"/>
        </w:rPr>
        <w:t> </w:t>
      </w:r>
      <w:hyperlink r:id="rId11" w:anchor="y2013v5SApg89" w:history="1">
        <w:r w:rsidRPr="00485E88">
          <w:rPr>
            <w:rFonts w:cs="Arial"/>
            <w:color w:val="000000" w:themeColor="text1"/>
            <w:shd w:val="clear" w:color="auto" w:fill="FFFFFF"/>
          </w:rPr>
          <w:t>2013 (5) SA 89 (CC)</w:t>
        </w:r>
      </w:hyperlink>
      <w:r w:rsidRPr="00485E88">
        <w:rPr>
          <w:rFonts w:cs="Arial"/>
          <w:color w:val="000000" w:themeColor="text1"/>
          <w:shd w:val="clear" w:color="auto" w:fill="FFFFFF"/>
        </w:rPr>
        <w:t xml:space="preserve"> para</w:t>
      </w:r>
      <w:r>
        <w:rPr>
          <w:rFonts w:cs="Arial"/>
          <w:color w:val="000000" w:themeColor="text1"/>
          <w:shd w:val="clear" w:color="auto" w:fill="FFFFFF"/>
        </w:rPr>
        <w:t>graph</w:t>
      </w:r>
      <w:r w:rsidRPr="00485E88">
        <w:rPr>
          <w:rFonts w:cs="Arial"/>
          <w:color w:val="000000" w:themeColor="text1"/>
          <w:shd w:val="clear" w:color="auto" w:fill="FFFFFF"/>
        </w:rPr>
        <w:t xml:space="preserve"> 34.</w:t>
      </w:r>
    </w:p>
  </w:footnote>
  <w:footnote w:id="13">
    <w:p w14:paraId="37BF4F1C" w14:textId="71340ED6" w:rsidR="007D015D" w:rsidRDefault="007D015D" w:rsidP="00C3603D">
      <w:pPr>
        <w:pStyle w:val="FootnoteText"/>
        <w:jc w:val="both"/>
      </w:pPr>
      <w:r>
        <w:rPr>
          <w:rStyle w:val="FootnoteReference"/>
        </w:rPr>
        <w:footnoteRef/>
      </w:r>
      <w:r>
        <w:t xml:space="preserve"> </w:t>
      </w:r>
      <w:r>
        <w:tab/>
      </w:r>
      <w:proofErr w:type="spellStart"/>
      <w:r w:rsidRPr="005044DD">
        <w:rPr>
          <w:rFonts w:cs="Arial"/>
          <w:i/>
          <w:iCs/>
          <w:lang w:eastAsia="en-ZA"/>
        </w:rPr>
        <w:t>Everfresh</w:t>
      </w:r>
      <w:proofErr w:type="spellEnd"/>
      <w:r w:rsidRPr="005044DD">
        <w:rPr>
          <w:rFonts w:cs="Arial"/>
          <w:i/>
          <w:iCs/>
          <w:lang w:eastAsia="en-ZA"/>
        </w:rPr>
        <w:t xml:space="preserve"> Market Virginia (Pty) Ltd v Shoprite Checkers (Pty) Ltd</w:t>
      </w:r>
      <w:r w:rsidRPr="003836BC">
        <w:rPr>
          <w:rFonts w:cs="Arial"/>
          <w:lang w:eastAsia="en-ZA"/>
        </w:rPr>
        <w:t xml:space="preserve"> </w:t>
      </w:r>
      <w:r w:rsidRPr="005044DD">
        <w:rPr>
          <w:rFonts w:cs="Arial"/>
          <w:lang w:eastAsia="en-ZA"/>
        </w:rPr>
        <w:t>2012 (1) SA 256 (CC)</w:t>
      </w:r>
      <w:r>
        <w:rPr>
          <w:rFonts w:cs="Arial"/>
          <w:lang w:eastAsia="en-ZA"/>
        </w:rPr>
        <w:t>.</w:t>
      </w:r>
    </w:p>
  </w:footnote>
  <w:footnote w:id="14">
    <w:p w14:paraId="4A61138E" w14:textId="79936F3B" w:rsidR="00DF7F7E" w:rsidRDefault="00DF7F7E">
      <w:pPr>
        <w:pStyle w:val="FootnoteText"/>
      </w:pPr>
      <w:r>
        <w:rPr>
          <w:rStyle w:val="FootnoteReference"/>
        </w:rPr>
        <w:footnoteRef/>
      </w:r>
      <w:r>
        <w:t xml:space="preserve"> </w:t>
      </w:r>
      <w:r>
        <w:tab/>
        <w:t>The Rules themselves provide much- needed flexibility. See Rule 27.</w:t>
      </w:r>
    </w:p>
  </w:footnote>
  <w:footnote w:id="15">
    <w:p w14:paraId="23A49E42" w14:textId="60A44F9D" w:rsidR="00516556" w:rsidRDefault="00516556" w:rsidP="00C3603D">
      <w:pPr>
        <w:pStyle w:val="FootnoteText"/>
        <w:jc w:val="both"/>
      </w:pPr>
      <w:r>
        <w:rPr>
          <w:rStyle w:val="FootnoteReference"/>
        </w:rPr>
        <w:footnoteRef/>
      </w:r>
      <w:r>
        <w:t xml:space="preserve"> </w:t>
      </w:r>
      <w:r>
        <w:tab/>
      </w:r>
      <w:r w:rsidR="001F4691" w:rsidRPr="00F531A6">
        <w:t>2013 (5) SA 89 (CC)</w:t>
      </w:r>
      <w:r w:rsidR="001F4691">
        <w:t>.</w:t>
      </w:r>
    </w:p>
  </w:footnote>
  <w:footnote w:id="16">
    <w:p w14:paraId="5EE2BA70" w14:textId="3C225B5D" w:rsidR="001F4691" w:rsidRPr="001F4691" w:rsidRDefault="001F4691" w:rsidP="00C3603D">
      <w:pPr>
        <w:pStyle w:val="FootnoteText"/>
        <w:jc w:val="both"/>
        <w:rPr>
          <w:rFonts w:cs="Arial"/>
          <w:color w:val="000000" w:themeColor="text1"/>
        </w:rPr>
      </w:pPr>
      <w:r>
        <w:rPr>
          <w:rStyle w:val="FootnoteReference"/>
        </w:rPr>
        <w:footnoteRef/>
      </w:r>
      <w:r>
        <w:t xml:space="preserve"> </w:t>
      </w:r>
      <w:r>
        <w:tab/>
      </w:r>
      <w:hyperlink r:id="rId12" w:history="1">
        <w:r w:rsidRPr="001F4691">
          <w:rPr>
            <w:rStyle w:val="Hyperlink"/>
            <w:rFonts w:cs="Arial"/>
            <w:color w:val="000000" w:themeColor="text1"/>
            <w:u w:val="none"/>
            <w:shd w:val="clear" w:color="auto" w:fill="FFFFFF"/>
          </w:rPr>
          <w:t>2000 (1) SA 409 (CC)</w:t>
        </w:r>
      </w:hyperlink>
      <w:r>
        <w:rPr>
          <w:rFonts w:cs="Arial"/>
          <w:color w:val="000000" w:themeColor="text1"/>
        </w:rPr>
        <w:t xml:space="preserve"> paragraph 22</w:t>
      </w:r>
      <w:r>
        <w:rPr>
          <w:rFonts w:cs="Arial"/>
          <w:color w:val="000000" w:themeColor="text1"/>
          <w:shd w:val="clear" w:color="auto" w:fill="FFFFFF"/>
        </w:rPr>
        <w:t>.</w:t>
      </w:r>
    </w:p>
  </w:footnote>
  <w:footnote w:id="17">
    <w:p w14:paraId="2F4876CB" w14:textId="64F5445D" w:rsidR="007E4326" w:rsidRDefault="007E4326" w:rsidP="00C3603D">
      <w:pPr>
        <w:pStyle w:val="FootnoteText"/>
        <w:jc w:val="both"/>
      </w:pPr>
      <w:r>
        <w:rPr>
          <w:rStyle w:val="FootnoteReference"/>
        </w:rPr>
        <w:footnoteRef/>
      </w:r>
      <w:r>
        <w:t xml:space="preserve"> </w:t>
      </w:r>
      <w:r>
        <w:tab/>
      </w:r>
      <w:r w:rsidRPr="007E4326">
        <w:rPr>
          <w:rFonts w:cs="Arial"/>
          <w:i/>
          <w:iCs/>
          <w:color w:val="000000" w:themeColor="text1"/>
          <w:shd w:val="clear" w:color="auto" w:fill="FFFFFF"/>
        </w:rPr>
        <w:t>Joh-Air (Pty) Ltd v Rudman</w:t>
      </w:r>
      <w:r w:rsidRPr="007E4326">
        <w:rPr>
          <w:rFonts w:cs="Arial"/>
          <w:color w:val="000000" w:themeColor="text1"/>
          <w:shd w:val="clear" w:color="auto" w:fill="FFFFFF"/>
        </w:rPr>
        <w:t> </w:t>
      </w:r>
      <w:hyperlink r:id="rId13" w:anchor="y1980v2SApg420" w:history="1">
        <w:r w:rsidRPr="007E4326">
          <w:rPr>
            <w:rStyle w:val="Hyperlink"/>
            <w:rFonts w:cs="Arial"/>
            <w:color w:val="000000" w:themeColor="text1"/>
            <w:u w:val="none"/>
            <w:shd w:val="clear" w:color="auto" w:fill="FFFFFF"/>
          </w:rPr>
          <w:t>1980 (2) SA 420 (T)</w:t>
        </w:r>
      </w:hyperlink>
      <w:r w:rsidRPr="007E4326">
        <w:rPr>
          <w:rFonts w:cs="Arial"/>
          <w:color w:val="000000" w:themeColor="text1"/>
          <w:shd w:val="clear" w:color="auto" w:fill="FFFFFF"/>
        </w:rPr>
        <w:t> 428–9; </w:t>
      </w:r>
      <w:r w:rsidRPr="007E4326">
        <w:rPr>
          <w:rFonts w:cs="Arial"/>
          <w:i/>
          <w:iCs/>
          <w:color w:val="000000" w:themeColor="text1"/>
          <w:shd w:val="clear" w:color="auto" w:fill="FFFFFF"/>
        </w:rPr>
        <w:t xml:space="preserve">Santino Publishers CC v </w:t>
      </w:r>
      <w:proofErr w:type="spellStart"/>
      <w:r w:rsidRPr="007E4326">
        <w:rPr>
          <w:rFonts w:cs="Arial"/>
          <w:i/>
          <w:iCs/>
          <w:color w:val="000000" w:themeColor="text1"/>
          <w:shd w:val="clear" w:color="auto" w:fill="FFFFFF"/>
        </w:rPr>
        <w:t>Waylite</w:t>
      </w:r>
      <w:proofErr w:type="spellEnd"/>
      <w:r w:rsidRPr="007E4326">
        <w:rPr>
          <w:rFonts w:cs="Arial"/>
          <w:i/>
          <w:iCs/>
          <w:color w:val="000000" w:themeColor="text1"/>
          <w:shd w:val="clear" w:color="auto" w:fill="FFFFFF"/>
        </w:rPr>
        <w:t xml:space="preserve"> Marketing CC</w:t>
      </w:r>
      <w:r w:rsidRPr="007E4326">
        <w:rPr>
          <w:rFonts w:cs="Arial"/>
          <w:color w:val="000000" w:themeColor="text1"/>
          <w:shd w:val="clear" w:color="auto" w:fill="FFFFFF"/>
        </w:rPr>
        <w:t> </w:t>
      </w:r>
      <w:hyperlink r:id="rId14" w:anchor="y2010v2SApg53" w:history="1">
        <w:r w:rsidRPr="007E4326">
          <w:rPr>
            <w:rStyle w:val="Hyperlink"/>
            <w:rFonts w:cs="Arial"/>
            <w:color w:val="000000" w:themeColor="text1"/>
            <w:u w:val="none"/>
            <w:shd w:val="clear" w:color="auto" w:fill="FFFFFF"/>
          </w:rPr>
          <w:t>2010 (2) SA 53 (GSJ)</w:t>
        </w:r>
      </w:hyperlink>
      <w:r w:rsidRPr="007E4326">
        <w:rPr>
          <w:rFonts w:cs="Arial"/>
          <w:color w:val="000000" w:themeColor="text1"/>
          <w:shd w:val="clear" w:color="auto" w:fill="FFFFFF"/>
        </w:rPr>
        <w:t> 56F–57B.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1ECC6E2B" w:rsidR="00657EDA" w:rsidRPr="006C43D7" w:rsidRDefault="00657EDA"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943375">
      <w:rPr>
        <w:rFonts w:cs="Arial"/>
        <w:noProof/>
        <w:sz w:val="20"/>
        <w:szCs w:val="20"/>
        <w:lang w:val="en-GB"/>
      </w:rPr>
      <w:t>12</w:t>
    </w:r>
    <w:r w:rsidRPr="006C43D7">
      <w:rPr>
        <w:rFonts w:cs="Arial"/>
        <w:sz w:val="20"/>
        <w:szCs w:val="20"/>
        <w:lang w:val="en-GB"/>
      </w:rPr>
      <w:fldChar w:fldCharType="end"/>
    </w:r>
  </w:p>
  <w:p w14:paraId="08C008E5" w14:textId="77777777" w:rsidR="00657EDA" w:rsidRPr="006C43D7" w:rsidRDefault="00657EDA" w:rsidP="006C43D7">
    <w:pPr>
      <w:tabs>
        <w:tab w:val="center" w:pos="4153"/>
        <w:tab w:val="right" w:pos="8306"/>
      </w:tabs>
      <w:spacing w:line="276" w:lineRule="auto"/>
      <w:jc w:val="right"/>
      <w:rPr>
        <w:rFonts w:cs="Arial"/>
        <w:lang w:val="en-US"/>
      </w:rPr>
    </w:pPr>
  </w:p>
  <w:p w14:paraId="4A21EF97" w14:textId="77777777" w:rsidR="00657EDA" w:rsidRPr="006C43D7" w:rsidRDefault="00657EDA"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 w15:restartNumberingAfterBreak="0">
    <w:nsid w:val="3F8F0C59"/>
    <w:multiLevelType w:val="hybridMultilevel"/>
    <w:tmpl w:val="FCCCA750"/>
    <w:lvl w:ilvl="0" w:tplc="F6887E70">
      <w:start w:val="1"/>
      <w:numFmt w:val="decimal"/>
      <w:lvlText w:val="%1."/>
      <w:lvlJc w:val="left"/>
      <w:pPr>
        <w:ind w:left="924" w:hanging="564"/>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793406606">
    <w:abstractNumId w:val="2"/>
  </w:num>
  <w:num w:numId="2" w16cid:durableId="1467745123">
    <w:abstractNumId w:val="1"/>
  </w:num>
  <w:num w:numId="3" w16cid:durableId="596866175">
    <w:abstractNumId w:val="8"/>
  </w:num>
  <w:num w:numId="4" w16cid:durableId="209153194">
    <w:abstractNumId w:val="3"/>
  </w:num>
  <w:num w:numId="5" w16cid:durableId="2114783977">
    <w:abstractNumId w:val="7"/>
  </w:num>
  <w:num w:numId="6" w16cid:durableId="1734040335">
    <w:abstractNumId w:val="6"/>
  </w:num>
  <w:num w:numId="7" w16cid:durableId="1472565">
    <w:abstractNumId w:val="0"/>
  </w:num>
  <w:num w:numId="8" w16cid:durableId="63630179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6080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6113"/>
    <w:rsid w:val="0001111B"/>
    <w:rsid w:val="0001140A"/>
    <w:rsid w:val="00011522"/>
    <w:rsid w:val="00013B7F"/>
    <w:rsid w:val="00015D74"/>
    <w:rsid w:val="00024A29"/>
    <w:rsid w:val="000262B3"/>
    <w:rsid w:val="000325E2"/>
    <w:rsid w:val="00047F26"/>
    <w:rsid w:val="00050086"/>
    <w:rsid w:val="000504F1"/>
    <w:rsid w:val="00056571"/>
    <w:rsid w:val="00063F7B"/>
    <w:rsid w:val="000737E1"/>
    <w:rsid w:val="00073E30"/>
    <w:rsid w:val="000833BB"/>
    <w:rsid w:val="0008581A"/>
    <w:rsid w:val="0009488C"/>
    <w:rsid w:val="00097968"/>
    <w:rsid w:val="000A6AD8"/>
    <w:rsid w:val="000B21DA"/>
    <w:rsid w:val="000D5760"/>
    <w:rsid w:val="000D7D6A"/>
    <w:rsid w:val="000F59F8"/>
    <w:rsid w:val="00103E1B"/>
    <w:rsid w:val="00104142"/>
    <w:rsid w:val="00120FB1"/>
    <w:rsid w:val="00121BE3"/>
    <w:rsid w:val="00130253"/>
    <w:rsid w:val="00133E81"/>
    <w:rsid w:val="00140CED"/>
    <w:rsid w:val="00147FF5"/>
    <w:rsid w:val="001509BE"/>
    <w:rsid w:val="00152899"/>
    <w:rsid w:val="00155A21"/>
    <w:rsid w:val="0016383C"/>
    <w:rsid w:val="001671C1"/>
    <w:rsid w:val="00185ACF"/>
    <w:rsid w:val="00190579"/>
    <w:rsid w:val="00196E14"/>
    <w:rsid w:val="001A522A"/>
    <w:rsid w:val="001A7A60"/>
    <w:rsid w:val="001B1D39"/>
    <w:rsid w:val="001B4217"/>
    <w:rsid w:val="001B5D3E"/>
    <w:rsid w:val="001B606B"/>
    <w:rsid w:val="001D3CC2"/>
    <w:rsid w:val="001E2EED"/>
    <w:rsid w:val="001F0A29"/>
    <w:rsid w:val="001F37AC"/>
    <w:rsid w:val="001F3DBD"/>
    <w:rsid w:val="001F4691"/>
    <w:rsid w:val="001F648A"/>
    <w:rsid w:val="00201620"/>
    <w:rsid w:val="00205392"/>
    <w:rsid w:val="002104BF"/>
    <w:rsid w:val="00215824"/>
    <w:rsid w:val="00216BC8"/>
    <w:rsid w:val="0022218D"/>
    <w:rsid w:val="00226926"/>
    <w:rsid w:val="00227CF2"/>
    <w:rsid w:val="00232528"/>
    <w:rsid w:val="00237FF9"/>
    <w:rsid w:val="00240E1B"/>
    <w:rsid w:val="0025196E"/>
    <w:rsid w:val="0025252D"/>
    <w:rsid w:val="00253F38"/>
    <w:rsid w:val="002542D0"/>
    <w:rsid w:val="00262819"/>
    <w:rsid w:val="00285040"/>
    <w:rsid w:val="00285062"/>
    <w:rsid w:val="002A030C"/>
    <w:rsid w:val="002A3DB7"/>
    <w:rsid w:val="002C15AC"/>
    <w:rsid w:val="002C2C5A"/>
    <w:rsid w:val="002C4687"/>
    <w:rsid w:val="002D47B3"/>
    <w:rsid w:val="002E1F42"/>
    <w:rsid w:val="002E5B57"/>
    <w:rsid w:val="002E6CD7"/>
    <w:rsid w:val="002F1C4D"/>
    <w:rsid w:val="002F72D3"/>
    <w:rsid w:val="00302290"/>
    <w:rsid w:val="00302C31"/>
    <w:rsid w:val="003047C2"/>
    <w:rsid w:val="0030653F"/>
    <w:rsid w:val="003102C8"/>
    <w:rsid w:val="0031117B"/>
    <w:rsid w:val="00312EBC"/>
    <w:rsid w:val="00313056"/>
    <w:rsid w:val="00337135"/>
    <w:rsid w:val="0034147B"/>
    <w:rsid w:val="00341F92"/>
    <w:rsid w:val="00342E02"/>
    <w:rsid w:val="003463D6"/>
    <w:rsid w:val="00346D31"/>
    <w:rsid w:val="00346DE6"/>
    <w:rsid w:val="003543C5"/>
    <w:rsid w:val="00354EF2"/>
    <w:rsid w:val="00357081"/>
    <w:rsid w:val="00357D35"/>
    <w:rsid w:val="00363FCD"/>
    <w:rsid w:val="00364C43"/>
    <w:rsid w:val="00367720"/>
    <w:rsid w:val="0037029D"/>
    <w:rsid w:val="00373181"/>
    <w:rsid w:val="00381213"/>
    <w:rsid w:val="003840EC"/>
    <w:rsid w:val="00390C3F"/>
    <w:rsid w:val="00393127"/>
    <w:rsid w:val="003A00C8"/>
    <w:rsid w:val="003A7864"/>
    <w:rsid w:val="003B4100"/>
    <w:rsid w:val="003C1A16"/>
    <w:rsid w:val="003C1E91"/>
    <w:rsid w:val="003D36F9"/>
    <w:rsid w:val="003D77F1"/>
    <w:rsid w:val="003F1F49"/>
    <w:rsid w:val="003F7448"/>
    <w:rsid w:val="004042C8"/>
    <w:rsid w:val="00407F28"/>
    <w:rsid w:val="0041100A"/>
    <w:rsid w:val="004131C5"/>
    <w:rsid w:val="0042376A"/>
    <w:rsid w:val="0042423E"/>
    <w:rsid w:val="004271F2"/>
    <w:rsid w:val="004339E6"/>
    <w:rsid w:val="0043683A"/>
    <w:rsid w:val="00441422"/>
    <w:rsid w:val="00445DCB"/>
    <w:rsid w:val="00460495"/>
    <w:rsid w:val="004630B6"/>
    <w:rsid w:val="00474607"/>
    <w:rsid w:val="00474910"/>
    <w:rsid w:val="004749AF"/>
    <w:rsid w:val="00475410"/>
    <w:rsid w:val="00484116"/>
    <w:rsid w:val="0048424E"/>
    <w:rsid w:val="00485E88"/>
    <w:rsid w:val="00486F42"/>
    <w:rsid w:val="00487D14"/>
    <w:rsid w:val="004A2C7E"/>
    <w:rsid w:val="004A7DFE"/>
    <w:rsid w:val="004B21D9"/>
    <w:rsid w:val="004B33CB"/>
    <w:rsid w:val="004C0CE3"/>
    <w:rsid w:val="004C2585"/>
    <w:rsid w:val="004C368B"/>
    <w:rsid w:val="004C7210"/>
    <w:rsid w:val="004D1A31"/>
    <w:rsid w:val="004D262A"/>
    <w:rsid w:val="004D2C6F"/>
    <w:rsid w:val="004D2E01"/>
    <w:rsid w:val="004E568C"/>
    <w:rsid w:val="004E5AD8"/>
    <w:rsid w:val="004E704C"/>
    <w:rsid w:val="004F12D8"/>
    <w:rsid w:val="004F22A6"/>
    <w:rsid w:val="00504B53"/>
    <w:rsid w:val="0051015D"/>
    <w:rsid w:val="0051292D"/>
    <w:rsid w:val="0051622D"/>
    <w:rsid w:val="00516556"/>
    <w:rsid w:val="005262C2"/>
    <w:rsid w:val="0052705A"/>
    <w:rsid w:val="00537A72"/>
    <w:rsid w:val="005451DA"/>
    <w:rsid w:val="00563761"/>
    <w:rsid w:val="00570A89"/>
    <w:rsid w:val="00571E81"/>
    <w:rsid w:val="00573FF9"/>
    <w:rsid w:val="00576B16"/>
    <w:rsid w:val="00585C4E"/>
    <w:rsid w:val="00592B6A"/>
    <w:rsid w:val="005A313A"/>
    <w:rsid w:val="005A680F"/>
    <w:rsid w:val="005B07CB"/>
    <w:rsid w:val="005B2FF9"/>
    <w:rsid w:val="005B6D81"/>
    <w:rsid w:val="005B7DD3"/>
    <w:rsid w:val="005C7FC2"/>
    <w:rsid w:val="005D2408"/>
    <w:rsid w:val="005D6122"/>
    <w:rsid w:val="005D6E80"/>
    <w:rsid w:val="005E2F7B"/>
    <w:rsid w:val="005E3C94"/>
    <w:rsid w:val="005E5C01"/>
    <w:rsid w:val="005E7118"/>
    <w:rsid w:val="005F37A4"/>
    <w:rsid w:val="00602403"/>
    <w:rsid w:val="006041A4"/>
    <w:rsid w:val="0060531B"/>
    <w:rsid w:val="006109EC"/>
    <w:rsid w:val="00611D8A"/>
    <w:rsid w:val="006150CE"/>
    <w:rsid w:val="006165F4"/>
    <w:rsid w:val="00642664"/>
    <w:rsid w:val="00644BBE"/>
    <w:rsid w:val="00647DDD"/>
    <w:rsid w:val="00653BA4"/>
    <w:rsid w:val="00654B72"/>
    <w:rsid w:val="00657EDA"/>
    <w:rsid w:val="006609A2"/>
    <w:rsid w:val="00660C84"/>
    <w:rsid w:val="0066194B"/>
    <w:rsid w:val="00666D4D"/>
    <w:rsid w:val="006858DA"/>
    <w:rsid w:val="006902F1"/>
    <w:rsid w:val="006918E9"/>
    <w:rsid w:val="006951CE"/>
    <w:rsid w:val="006A438B"/>
    <w:rsid w:val="006B514A"/>
    <w:rsid w:val="006C4213"/>
    <w:rsid w:val="006C43D7"/>
    <w:rsid w:val="006C5694"/>
    <w:rsid w:val="006C7A9C"/>
    <w:rsid w:val="006E1883"/>
    <w:rsid w:val="006E68E6"/>
    <w:rsid w:val="006F25E5"/>
    <w:rsid w:val="006F2FCE"/>
    <w:rsid w:val="006F415C"/>
    <w:rsid w:val="00700C6C"/>
    <w:rsid w:val="00716888"/>
    <w:rsid w:val="007205BF"/>
    <w:rsid w:val="007241D4"/>
    <w:rsid w:val="00724D82"/>
    <w:rsid w:val="00732A6F"/>
    <w:rsid w:val="00734A10"/>
    <w:rsid w:val="0074214D"/>
    <w:rsid w:val="00742764"/>
    <w:rsid w:val="00745B4D"/>
    <w:rsid w:val="00751452"/>
    <w:rsid w:val="0075156A"/>
    <w:rsid w:val="00751F90"/>
    <w:rsid w:val="00753F4E"/>
    <w:rsid w:val="00761C35"/>
    <w:rsid w:val="00766026"/>
    <w:rsid w:val="00772025"/>
    <w:rsid w:val="00781AA0"/>
    <w:rsid w:val="0078642A"/>
    <w:rsid w:val="007B165A"/>
    <w:rsid w:val="007B2DAD"/>
    <w:rsid w:val="007B7246"/>
    <w:rsid w:val="007B78C2"/>
    <w:rsid w:val="007C5008"/>
    <w:rsid w:val="007D015D"/>
    <w:rsid w:val="007D1E79"/>
    <w:rsid w:val="007D27CF"/>
    <w:rsid w:val="007D4DAF"/>
    <w:rsid w:val="007E4326"/>
    <w:rsid w:val="007E468A"/>
    <w:rsid w:val="007E58FC"/>
    <w:rsid w:val="007F207F"/>
    <w:rsid w:val="007F5B91"/>
    <w:rsid w:val="00803CEC"/>
    <w:rsid w:val="00810CA3"/>
    <w:rsid w:val="00822050"/>
    <w:rsid w:val="00830952"/>
    <w:rsid w:val="008443A9"/>
    <w:rsid w:val="00844D39"/>
    <w:rsid w:val="008469B3"/>
    <w:rsid w:val="00860576"/>
    <w:rsid w:val="0086578F"/>
    <w:rsid w:val="008674AA"/>
    <w:rsid w:val="008675CC"/>
    <w:rsid w:val="0088094C"/>
    <w:rsid w:val="00881004"/>
    <w:rsid w:val="00882C40"/>
    <w:rsid w:val="008942FC"/>
    <w:rsid w:val="008A082A"/>
    <w:rsid w:val="008A4DF4"/>
    <w:rsid w:val="008B1DA9"/>
    <w:rsid w:val="008B6162"/>
    <w:rsid w:val="008C3EBC"/>
    <w:rsid w:val="008C57F6"/>
    <w:rsid w:val="008C6E43"/>
    <w:rsid w:val="008D33A3"/>
    <w:rsid w:val="008D4715"/>
    <w:rsid w:val="008F189C"/>
    <w:rsid w:val="008F1FE1"/>
    <w:rsid w:val="008F4486"/>
    <w:rsid w:val="008F4FC6"/>
    <w:rsid w:val="00911479"/>
    <w:rsid w:val="00912F58"/>
    <w:rsid w:val="0091544C"/>
    <w:rsid w:val="00921D03"/>
    <w:rsid w:val="00925CD2"/>
    <w:rsid w:val="00933065"/>
    <w:rsid w:val="00933569"/>
    <w:rsid w:val="009365B1"/>
    <w:rsid w:val="0093799C"/>
    <w:rsid w:val="00943375"/>
    <w:rsid w:val="00944804"/>
    <w:rsid w:val="009473D8"/>
    <w:rsid w:val="00960ADF"/>
    <w:rsid w:val="00963A0C"/>
    <w:rsid w:val="00974A92"/>
    <w:rsid w:val="00975270"/>
    <w:rsid w:val="00975BA1"/>
    <w:rsid w:val="009835E3"/>
    <w:rsid w:val="00987CDB"/>
    <w:rsid w:val="009A12A9"/>
    <w:rsid w:val="009A2726"/>
    <w:rsid w:val="009A30E0"/>
    <w:rsid w:val="009A3619"/>
    <w:rsid w:val="009B08AF"/>
    <w:rsid w:val="009B3DFC"/>
    <w:rsid w:val="009B793E"/>
    <w:rsid w:val="009C37B9"/>
    <w:rsid w:val="009C38E7"/>
    <w:rsid w:val="009D32BD"/>
    <w:rsid w:val="009D4486"/>
    <w:rsid w:val="009F211E"/>
    <w:rsid w:val="009F294E"/>
    <w:rsid w:val="009F30F1"/>
    <w:rsid w:val="009F37C7"/>
    <w:rsid w:val="009F50AB"/>
    <w:rsid w:val="00A005F6"/>
    <w:rsid w:val="00A0424F"/>
    <w:rsid w:val="00A10C5E"/>
    <w:rsid w:val="00A26214"/>
    <w:rsid w:val="00A37BA4"/>
    <w:rsid w:val="00A37E2E"/>
    <w:rsid w:val="00A402F6"/>
    <w:rsid w:val="00A43739"/>
    <w:rsid w:val="00A47A18"/>
    <w:rsid w:val="00A539CB"/>
    <w:rsid w:val="00A660AF"/>
    <w:rsid w:val="00A66AF4"/>
    <w:rsid w:val="00A70A95"/>
    <w:rsid w:val="00A7621E"/>
    <w:rsid w:val="00A93351"/>
    <w:rsid w:val="00A96B95"/>
    <w:rsid w:val="00AA0013"/>
    <w:rsid w:val="00AA26FF"/>
    <w:rsid w:val="00AA6E8C"/>
    <w:rsid w:val="00AA6F19"/>
    <w:rsid w:val="00AA79A8"/>
    <w:rsid w:val="00AA7A76"/>
    <w:rsid w:val="00AB0286"/>
    <w:rsid w:val="00AB4C6D"/>
    <w:rsid w:val="00AB5D57"/>
    <w:rsid w:val="00AC556A"/>
    <w:rsid w:val="00AD2631"/>
    <w:rsid w:val="00AE287F"/>
    <w:rsid w:val="00AE63BD"/>
    <w:rsid w:val="00AF0B2B"/>
    <w:rsid w:val="00AF2914"/>
    <w:rsid w:val="00AF363F"/>
    <w:rsid w:val="00AF3E4F"/>
    <w:rsid w:val="00B071FF"/>
    <w:rsid w:val="00B1103D"/>
    <w:rsid w:val="00B11505"/>
    <w:rsid w:val="00B11DC2"/>
    <w:rsid w:val="00B15142"/>
    <w:rsid w:val="00B1655F"/>
    <w:rsid w:val="00B42807"/>
    <w:rsid w:val="00B428A6"/>
    <w:rsid w:val="00B53913"/>
    <w:rsid w:val="00B554D4"/>
    <w:rsid w:val="00B56906"/>
    <w:rsid w:val="00B71CB5"/>
    <w:rsid w:val="00B72922"/>
    <w:rsid w:val="00B72A13"/>
    <w:rsid w:val="00B72ADA"/>
    <w:rsid w:val="00B73F72"/>
    <w:rsid w:val="00B84DD5"/>
    <w:rsid w:val="00B9487E"/>
    <w:rsid w:val="00B95910"/>
    <w:rsid w:val="00BA3A4C"/>
    <w:rsid w:val="00BB0F20"/>
    <w:rsid w:val="00BC415B"/>
    <w:rsid w:val="00BD2CDE"/>
    <w:rsid w:val="00BD41CF"/>
    <w:rsid w:val="00BE0164"/>
    <w:rsid w:val="00BE12BD"/>
    <w:rsid w:val="00BE2ED7"/>
    <w:rsid w:val="00BE6AB8"/>
    <w:rsid w:val="00BF086D"/>
    <w:rsid w:val="00BF2167"/>
    <w:rsid w:val="00C04139"/>
    <w:rsid w:val="00C118D5"/>
    <w:rsid w:val="00C21B3D"/>
    <w:rsid w:val="00C257F7"/>
    <w:rsid w:val="00C2788D"/>
    <w:rsid w:val="00C3603D"/>
    <w:rsid w:val="00C361F6"/>
    <w:rsid w:val="00C3669A"/>
    <w:rsid w:val="00C423E3"/>
    <w:rsid w:val="00C44BAC"/>
    <w:rsid w:val="00C45626"/>
    <w:rsid w:val="00C458AF"/>
    <w:rsid w:val="00C460A0"/>
    <w:rsid w:val="00C50068"/>
    <w:rsid w:val="00C676F3"/>
    <w:rsid w:val="00C75909"/>
    <w:rsid w:val="00C77EFD"/>
    <w:rsid w:val="00C81A10"/>
    <w:rsid w:val="00C829DF"/>
    <w:rsid w:val="00C84021"/>
    <w:rsid w:val="00C875AE"/>
    <w:rsid w:val="00C9310B"/>
    <w:rsid w:val="00CB1536"/>
    <w:rsid w:val="00CB2375"/>
    <w:rsid w:val="00CB3907"/>
    <w:rsid w:val="00CC0C54"/>
    <w:rsid w:val="00CC1016"/>
    <w:rsid w:val="00CD1721"/>
    <w:rsid w:val="00CE77B6"/>
    <w:rsid w:val="00CF2008"/>
    <w:rsid w:val="00CF4188"/>
    <w:rsid w:val="00CF4E9E"/>
    <w:rsid w:val="00CF7848"/>
    <w:rsid w:val="00D06213"/>
    <w:rsid w:val="00D10010"/>
    <w:rsid w:val="00D12BB7"/>
    <w:rsid w:val="00D1718D"/>
    <w:rsid w:val="00D31882"/>
    <w:rsid w:val="00D31BAB"/>
    <w:rsid w:val="00D35A03"/>
    <w:rsid w:val="00D37377"/>
    <w:rsid w:val="00D45B8C"/>
    <w:rsid w:val="00D567E0"/>
    <w:rsid w:val="00D577C1"/>
    <w:rsid w:val="00D630DE"/>
    <w:rsid w:val="00D65905"/>
    <w:rsid w:val="00D7327A"/>
    <w:rsid w:val="00D80E75"/>
    <w:rsid w:val="00D83ADE"/>
    <w:rsid w:val="00D94745"/>
    <w:rsid w:val="00D963D5"/>
    <w:rsid w:val="00DA41B2"/>
    <w:rsid w:val="00DA5D06"/>
    <w:rsid w:val="00DA7B20"/>
    <w:rsid w:val="00DC6A98"/>
    <w:rsid w:val="00DC7245"/>
    <w:rsid w:val="00DC730A"/>
    <w:rsid w:val="00DD12FC"/>
    <w:rsid w:val="00DE0944"/>
    <w:rsid w:val="00DE130A"/>
    <w:rsid w:val="00DE1F21"/>
    <w:rsid w:val="00DE38B2"/>
    <w:rsid w:val="00DF7F7E"/>
    <w:rsid w:val="00E05572"/>
    <w:rsid w:val="00E1381E"/>
    <w:rsid w:val="00E166FD"/>
    <w:rsid w:val="00E25706"/>
    <w:rsid w:val="00E264BB"/>
    <w:rsid w:val="00E276DF"/>
    <w:rsid w:val="00E30596"/>
    <w:rsid w:val="00E33434"/>
    <w:rsid w:val="00E43C23"/>
    <w:rsid w:val="00E451F9"/>
    <w:rsid w:val="00E45E6A"/>
    <w:rsid w:val="00E50A42"/>
    <w:rsid w:val="00E51CCF"/>
    <w:rsid w:val="00E56012"/>
    <w:rsid w:val="00E56D64"/>
    <w:rsid w:val="00E71CE6"/>
    <w:rsid w:val="00E76641"/>
    <w:rsid w:val="00E851E8"/>
    <w:rsid w:val="00E95703"/>
    <w:rsid w:val="00EA0297"/>
    <w:rsid w:val="00EA3F05"/>
    <w:rsid w:val="00EA5E85"/>
    <w:rsid w:val="00EB0B07"/>
    <w:rsid w:val="00EB1B82"/>
    <w:rsid w:val="00EB635D"/>
    <w:rsid w:val="00EC5A30"/>
    <w:rsid w:val="00EC70BC"/>
    <w:rsid w:val="00ED018E"/>
    <w:rsid w:val="00EE55F9"/>
    <w:rsid w:val="00EE62A5"/>
    <w:rsid w:val="00F11454"/>
    <w:rsid w:val="00F221FC"/>
    <w:rsid w:val="00F24108"/>
    <w:rsid w:val="00F57AFC"/>
    <w:rsid w:val="00F627E4"/>
    <w:rsid w:val="00F65DBD"/>
    <w:rsid w:val="00F669B9"/>
    <w:rsid w:val="00F86BC7"/>
    <w:rsid w:val="00F92AA4"/>
    <w:rsid w:val="00FB59A0"/>
    <w:rsid w:val="00FC42BD"/>
    <w:rsid w:val="00FD2E9B"/>
    <w:rsid w:val="00FE065B"/>
    <w:rsid w:val="00FE17D2"/>
    <w:rsid w:val="00FE198D"/>
    <w:rsid w:val="00FE5060"/>
    <w:rsid w:val="00FE6B4D"/>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77520E9A-8A17-4ED8-ACF4-6E4B0A01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otenum">
    <w:name w:val="fnotenum"/>
    <w:basedOn w:val="DefaultParagraphFont"/>
    <w:rsid w:val="00EC5A30"/>
  </w:style>
  <w:style w:type="character" w:customStyle="1" w:styleId="footnoteanchor">
    <w:name w:val="footnoteanchor"/>
    <w:basedOn w:val="DefaultParagraphFont"/>
    <w:rsid w:val="001F4691"/>
  </w:style>
  <w:style w:type="paragraph" w:customStyle="1" w:styleId="lrquote">
    <w:name w:val="lrquote"/>
    <w:basedOn w:val="Normal"/>
    <w:rsid w:val="001F4691"/>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977">
      <w:bodyDiv w:val="1"/>
      <w:marLeft w:val="0"/>
      <w:marRight w:val="0"/>
      <w:marTop w:val="0"/>
      <w:marBottom w:val="0"/>
      <w:divBdr>
        <w:top w:val="none" w:sz="0" w:space="0" w:color="auto"/>
        <w:left w:val="none" w:sz="0" w:space="0" w:color="auto"/>
        <w:bottom w:val="none" w:sz="0" w:space="0" w:color="auto"/>
        <w:right w:val="none" w:sz="0" w:space="0" w:color="auto"/>
      </w:divBdr>
    </w:div>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93352283">
      <w:bodyDiv w:val="1"/>
      <w:marLeft w:val="0"/>
      <w:marRight w:val="0"/>
      <w:marTop w:val="0"/>
      <w:marBottom w:val="0"/>
      <w:divBdr>
        <w:top w:val="none" w:sz="0" w:space="0" w:color="auto"/>
        <w:left w:val="none" w:sz="0" w:space="0" w:color="auto"/>
        <w:bottom w:val="none" w:sz="0" w:space="0" w:color="auto"/>
        <w:right w:val="none" w:sz="0" w:space="0" w:color="auto"/>
      </w:divBdr>
      <w:divsChild>
        <w:div w:id="1242562956">
          <w:marLeft w:val="567"/>
          <w:marRight w:val="0"/>
          <w:marTop w:val="40"/>
          <w:marBottom w:val="0"/>
          <w:divBdr>
            <w:top w:val="none" w:sz="0" w:space="0" w:color="auto"/>
            <w:left w:val="none" w:sz="0" w:space="0" w:color="auto"/>
            <w:bottom w:val="none" w:sz="0" w:space="0" w:color="auto"/>
            <w:right w:val="none" w:sz="0" w:space="0" w:color="auto"/>
          </w:divBdr>
        </w:div>
        <w:div w:id="1505244384">
          <w:marLeft w:val="567"/>
          <w:marRight w:val="0"/>
          <w:marTop w:val="40"/>
          <w:marBottom w:val="0"/>
          <w:divBdr>
            <w:top w:val="none" w:sz="0" w:space="0" w:color="auto"/>
            <w:left w:val="none" w:sz="0" w:space="0" w:color="auto"/>
            <w:bottom w:val="none" w:sz="0" w:space="0" w:color="auto"/>
            <w:right w:val="none" w:sz="0" w:space="0" w:color="auto"/>
          </w:divBdr>
        </w:div>
      </w:divsChild>
    </w:div>
    <w:div w:id="485753190">
      <w:bodyDiv w:val="1"/>
      <w:marLeft w:val="0"/>
      <w:marRight w:val="0"/>
      <w:marTop w:val="0"/>
      <w:marBottom w:val="0"/>
      <w:divBdr>
        <w:top w:val="none" w:sz="0" w:space="0" w:color="auto"/>
        <w:left w:val="none" w:sz="0" w:space="0" w:color="auto"/>
        <w:bottom w:val="none" w:sz="0" w:space="0" w:color="auto"/>
        <w:right w:val="none" w:sz="0" w:space="0" w:color="auto"/>
      </w:divBdr>
      <w:divsChild>
        <w:div w:id="2003198309">
          <w:marLeft w:val="0"/>
          <w:marRight w:val="0"/>
          <w:marTop w:val="240"/>
          <w:marBottom w:val="0"/>
          <w:divBdr>
            <w:top w:val="none" w:sz="0" w:space="0" w:color="auto"/>
            <w:left w:val="none" w:sz="0" w:space="0" w:color="auto"/>
            <w:bottom w:val="none" w:sz="0" w:space="0" w:color="auto"/>
            <w:right w:val="none" w:sz="0" w:space="0" w:color="auto"/>
          </w:divBdr>
        </w:div>
        <w:div w:id="167912222">
          <w:marLeft w:val="0"/>
          <w:marRight w:val="0"/>
          <w:marTop w:val="120"/>
          <w:marBottom w:val="0"/>
          <w:divBdr>
            <w:top w:val="none" w:sz="0" w:space="0" w:color="auto"/>
            <w:left w:val="none" w:sz="0" w:space="0" w:color="auto"/>
            <w:bottom w:val="none" w:sz="0" w:space="0" w:color="auto"/>
            <w:right w:val="none" w:sz="0" w:space="0" w:color="auto"/>
          </w:divBdr>
        </w:div>
        <w:div w:id="896744453">
          <w:marLeft w:val="567"/>
          <w:marRight w:val="567"/>
          <w:marTop w:val="20"/>
          <w:marBottom w:val="20"/>
          <w:divBdr>
            <w:top w:val="none" w:sz="0" w:space="0" w:color="auto"/>
            <w:left w:val="none" w:sz="0" w:space="0" w:color="auto"/>
            <w:bottom w:val="none" w:sz="0" w:space="0" w:color="auto"/>
            <w:right w:val="none" w:sz="0" w:space="0" w:color="auto"/>
          </w:divBdr>
        </w:div>
      </w:divsChild>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11230868">
      <w:bodyDiv w:val="1"/>
      <w:marLeft w:val="0"/>
      <w:marRight w:val="0"/>
      <w:marTop w:val="0"/>
      <w:marBottom w:val="0"/>
      <w:divBdr>
        <w:top w:val="none" w:sz="0" w:space="0" w:color="auto"/>
        <w:left w:val="none" w:sz="0" w:space="0" w:color="auto"/>
        <w:bottom w:val="none" w:sz="0" w:space="0" w:color="auto"/>
        <w:right w:val="none" w:sz="0" w:space="0" w:color="auto"/>
      </w:divBdr>
      <w:divsChild>
        <w:div w:id="1121143898">
          <w:marLeft w:val="567"/>
          <w:marRight w:val="0"/>
          <w:marTop w:val="40"/>
          <w:marBottom w:val="0"/>
          <w:divBdr>
            <w:top w:val="none" w:sz="0" w:space="0" w:color="auto"/>
            <w:left w:val="none" w:sz="0" w:space="0" w:color="auto"/>
            <w:bottom w:val="none" w:sz="0" w:space="0" w:color="auto"/>
            <w:right w:val="none" w:sz="0" w:space="0" w:color="auto"/>
          </w:divBdr>
        </w:div>
        <w:div w:id="773600888">
          <w:marLeft w:val="567"/>
          <w:marRight w:val="0"/>
          <w:marTop w:val="40"/>
          <w:marBottom w:val="0"/>
          <w:divBdr>
            <w:top w:val="none" w:sz="0" w:space="0" w:color="auto"/>
            <w:left w:val="none" w:sz="0" w:space="0" w:color="auto"/>
            <w:bottom w:val="none" w:sz="0" w:space="0" w:color="auto"/>
            <w:right w:val="none" w:sz="0" w:space="0" w:color="auto"/>
          </w:divBdr>
        </w:div>
      </w:divsChild>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jutastatevolve.co.za/const17y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6v1SApg621" TargetMode="External"/><Relationship Id="rId13" Type="http://schemas.openxmlformats.org/officeDocument/2006/relationships/hyperlink" Target="https://app.jutastatevolve.co.za/y1980v2SApg420" TargetMode="External"/><Relationship Id="rId3" Type="http://schemas.openxmlformats.org/officeDocument/2006/relationships/hyperlink" Target="https://app.jutastatevolve.co.za/y1999v2SApg926" TargetMode="External"/><Relationship Id="rId7" Type="http://schemas.openxmlformats.org/officeDocument/2006/relationships/hyperlink" Target="https://app.jutastatevolve.co.za/y2018v4SApg206" TargetMode="External"/><Relationship Id="rId12" Type="http://schemas.openxmlformats.org/officeDocument/2006/relationships/hyperlink" Target="https://app.jutastatevolve.co.za/y2000v1SApg409" TargetMode="External"/><Relationship Id="rId2" Type="http://schemas.openxmlformats.org/officeDocument/2006/relationships/hyperlink" Target="https://app.jutastatevolve.co.za/y1990v2SApg679" TargetMode="External"/><Relationship Id="rId1" Type="http://schemas.openxmlformats.org/officeDocument/2006/relationships/hyperlink" Target="https://app.jutastatevolve.co.za/y1929ADpg1" TargetMode="External"/><Relationship Id="rId6" Type="http://schemas.openxmlformats.org/officeDocument/2006/relationships/hyperlink" Target="https://app.jutastatevolve.co.za/y2016v4SApg457" TargetMode="External"/><Relationship Id="rId11" Type="http://schemas.openxmlformats.org/officeDocument/2006/relationships/hyperlink" Target="https://app.jutastatevolve.co.za/y2013v5SApg89" TargetMode="External"/><Relationship Id="rId5" Type="http://schemas.openxmlformats.org/officeDocument/2006/relationships/hyperlink" Target="https://app.jutastatevolve.co.za/y2011v1SApg16" TargetMode="External"/><Relationship Id="rId10" Type="http://schemas.openxmlformats.org/officeDocument/2006/relationships/hyperlink" Target="https://app.jutastatevolve.co.za/y2021v3SApg425" TargetMode="External"/><Relationship Id="rId4" Type="http://schemas.openxmlformats.org/officeDocument/2006/relationships/hyperlink" Target="https://app.jutastatevolve.co.za/y2021v3SApg393" TargetMode="External"/><Relationship Id="rId9" Type="http://schemas.openxmlformats.org/officeDocument/2006/relationships/hyperlink" Target="https://app.jutastatevolve.co.za/y2018v1SApg335" TargetMode="External"/><Relationship Id="rId14" Type="http://schemas.openxmlformats.org/officeDocument/2006/relationships/hyperlink" Target="https://app.jutastatevolve.co.za/y2010v2SApg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97C0-8C5E-450C-B970-EBA54CFF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6</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Mariana Anguelov</cp:lastModifiedBy>
  <cp:revision>5</cp:revision>
  <cp:lastPrinted>1900-12-31T22:00:00Z</cp:lastPrinted>
  <dcterms:created xsi:type="dcterms:W3CDTF">2022-12-12T07:30:00Z</dcterms:created>
  <dcterms:modified xsi:type="dcterms:W3CDTF">2022-12-13T18:51:00Z</dcterms:modified>
</cp:coreProperties>
</file>