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0B4788" w:rsidRDefault="00A60BC7" w:rsidP="00A60BC7">
      <w:pPr>
        <w:pStyle w:val="Title"/>
        <w:spacing w:after="120" w:line="360" w:lineRule="auto"/>
      </w:pPr>
      <w:r w:rsidRPr="000B4788">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49A22450" w:rsidR="00E519F2" w:rsidRPr="000B4788" w:rsidRDefault="00E519F2" w:rsidP="00E519F2">
      <w:pPr>
        <w:spacing w:line="240" w:lineRule="auto"/>
        <w:jc w:val="center"/>
        <w:rPr>
          <w:b/>
        </w:rPr>
      </w:pPr>
      <w:r w:rsidRPr="000B4788">
        <w:rPr>
          <w:b/>
        </w:rPr>
        <w:t>GAUTENG</w:t>
      </w:r>
      <w:r w:rsidR="00ED0F3E">
        <w:rPr>
          <w:b/>
        </w:rPr>
        <w:t xml:space="preserve"> LOCAL</w:t>
      </w:r>
      <w:r w:rsidRPr="000B4788">
        <w:rPr>
          <w:b/>
        </w:rPr>
        <w:t xml:space="preserve"> DIVISION, </w:t>
      </w:r>
      <w:r w:rsidR="00C644EB">
        <w:rPr>
          <w:b/>
        </w:rPr>
        <w:t>JOHANNESBURG</w:t>
      </w:r>
    </w:p>
    <w:p w14:paraId="60182ABA" w14:textId="77777777" w:rsidR="00E519F2" w:rsidRPr="000B4788" w:rsidRDefault="00E519F2" w:rsidP="00E519F2">
      <w:pPr>
        <w:spacing w:line="240" w:lineRule="auto"/>
        <w:rPr>
          <w:b/>
        </w:rPr>
      </w:pPr>
    </w:p>
    <w:p w14:paraId="759162E1" w14:textId="5FE2DB82" w:rsidR="002B1C11" w:rsidRDefault="0091146A" w:rsidP="00E519F2">
      <w:pPr>
        <w:jc w:val="right"/>
        <w:rPr>
          <w:b/>
        </w:rPr>
      </w:pPr>
      <w:r>
        <w:rPr>
          <w:b/>
        </w:rPr>
        <w:t>CASE NO: 30488/2019</w:t>
      </w:r>
    </w:p>
    <w:p w14:paraId="31CA93AA" w14:textId="038E152E" w:rsidR="00E519F2" w:rsidRPr="000B4788" w:rsidRDefault="00792993" w:rsidP="00647012">
      <w:pPr>
        <w:jc w:val="right"/>
      </w:pPr>
      <w:r w:rsidRPr="000B4788">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15006E" w:rsidRPr="00913F95" w:rsidRDefault="0015006E" w:rsidP="00E519F2">
                            <w:pPr>
                              <w:jc w:val="center"/>
                              <w:rPr>
                                <w:rFonts w:ascii="Century Gothic" w:hAnsi="Century Gothic"/>
                                <w:b/>
                                <w:sz w:val="20"/>
                                <w:szCs w:val="20"/>
                              </w:rPr>
                            </w:pPr>
                          </w:p>
                          <w:p w14:paraId="273920ED" w14:textId="1BF174DD" w:rsidR="0015006E" w:rsidRDefault="008B09D9" w:rsidP="008B09D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55269">
                              <w:rPr>
                                <w:rFonts w:ascii="Century Gothic" w:hAnsi="Century Gothic"/>
                                <w:sz w:val="20"/>
                                <w:szCs w:val="20"/>
                              </w:rPr>
                              <w:t>REPORTABLE:</w:t>
                            </w:r>
                            <w:r w:rsidR="0015006E">
                              <w:rPr>
                                <w:rFonts w:ascii="Century Gothic" w:hAnsi="Century Gothic"/>
                                <w:sz w:val="20"/>
                                <w:szCs w:val="20"/>
                              </w:rPr>
                              <w:t xml:space="preserve"> NO</w:t>
                            </w:r>
                          </w:p>
                          <w:p w14:paraId="55B0DC25" w14:textId="0A69E7E2" w:rsidR="0015006E" w:rsidRPr="00913F95" w:rsidRDefault="008B09D9" w:rsidP="008B09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006E" w:rsidRPr="00913F95">
                              <w:rPr>
                                <w:rFonts w:ascii="Century Gothic" w:hAnsi="Century Gothic"/>
                                <w:sz w:val="20"/>
                                <w:szCs w:val="20"/>
                              </w:rPr>
                              <w:t>OF INTEREST TO OTHER JUDGES</w:t>
                            </w:r>
                            <w:r w:rsidR="00C55269">
                              <w:rPr>
                                <w:rFonts w:ascii="Century Gothic" w:hAnsi="Century Gothic"/>
                                <w:sz w:val="20"/>
                                <w:szCs w:val="20"/>
                              </w:rPr>
                              <w:t xml:space="preserve">: </w:t>
                            </w:r>
                            <w:r w:rsidR="0015006E" w:rsidRPr="00913F95">
                              <w:rPr>
                                <w:rFonts w:ascii="Century Gothic" w:hAnsi="Century Gothic"/>
                                <w:sz w:val="20"/>
                                <w:szCs w:val="20"/>
                              </w:rPr>
                              <w:t>NO</w:t>
                            </w:r>
                          </w:p>
                          <w:p w14:paraId="7CFA632F" w14:textId="50F2B72C" w:rsidR="0015006E" w:rsidRPr="00913F95" w:rsidRDefault="008B09D9" w:rsidP="008B09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006E" w:rsidRPr="00913F95">
                              <w:rPr>
                                <w:rFonts w:ascii="Century Gothic" w:hAnsi="Century Gothic"/>
                                <w:sz w:val="20"/>
                                <w:szCs w:val="20"/>
                              </w:rPr>
                              <w:t>REVISED</w:t>
                            </w:r>
                            <w:r w:rsidR="0015006E">
                              <w:rPr>
                                <w:rFonts w:ascii="Century Gothic" w:hAnsi="Century Gothic"/>
                                <w:sz w:val="20"/>
                                <w:szCs w:val="20"/>
                              </w:rPr>
                              <w:t xml:space="preserve">. </w:t>
                            </w:r>
                          </w:p>
                          <w:p w14:paraId="2CBC09EC" w14:textId="77777777" w:rsidR="0015006E" w:rsidRDefault="0015006E" w:rsidP="00E519F2">
                            <w:pPr>
                              <w:rPr>
                                <w:rFonts w:ascii="Century Gothic" w:hAnsi="Century Gothic"/>
                                <w:b/>
                                <w:sz w:val="18"/>
                                <w:szCs w:val="18"/>
                              </w:rPr>
                            </w:pPr>
                          </w:p>
                          <w:p w14:paraId="44D56259" w14:textId="3F4BAA93" w:rsidR="0015006E" w:rsidRPr="00084341" w:rsidRDefault="008C66BA" w:rsidP="00E519F2">
                            <w:pPr>
                              <w:rPr>
                                <w:rFonts w:ascii="Century Gothic" w:hAnsi="Century Gothic"/>
                                <w:b/>
                                <w:sz w:val="18"/>
                                <w:szCs w:val="18"/>
                              </w:rPr>
                            </w:pPr>
                            <w:r>
                              <w:rPr>
                                <w:rFonts w:ascii="Century Gothic" w:hAnsi="Century Gothic"/>
                                <w:b/>
                                <w:sz w:val="18"/>
                                <w:szCs w:val="18"/>
                              </w:rPr>
                              <w:t xml:space="preserve">         12 October 2022</w:t>
                            </w:r>
                            <w:r w:rsidR="0015006E" w:rsidRPr="00084341">
                              <w:rPr>
                                <w:rFonts w:ascii="Century Gothic" w:hAnsi="Century Gothic"/>
                                <w:b/>
                                <w:sz w:val="18"/>
                                <w:szCs w:val="18"/>
                              </w:rPr>
                              <w:tab/>
                            </w:r>
                            <w:r w:rsidR="0015006E" w:rsidRPr="00084341">
                              <w:rPr>
                                <w:rFonts w:ascii="Century Gothic" w:hAnsi="Century Gothic"/>
                                <w:b/>
                                <w:sz w:val="18"/>
                                <w:szCs w:val="18"/>
                              </w:rPr>
                              <w:tab/>
                              <w:t>………………………...</w:t>
                            </w:r>
                          </w:p>
                          <w:p w14:paraId="492AD257" w14:textId="77777777" w:rsidR="0015006E" w:rsidRPr="00084341" w:rsidRDefault="0015006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15006E" w:rsidRPr="00913F95" w:rsidRDefault="0015006E" w:rsidP="00E519F2">
                      <w:pPr>
                        <w:jc w:val="center"/>
                        <w:rPr>
                          <w:rFonts w:ascii="Century Gothic" w:hAnsi="Century Gothic"/>
                          <w:b/>
                          <w:sz w:val="20"/>
                          <w:szCs w:val="20"/>
                        </w:rPr>
                      </w:pPr>
                    </w:p>
                    <w:p w14:paraId="273920ED" w14:textId="1BF174DD" w:rsidR="0015006E" w:rsidRDefault="008B09D9" w:rsidP="008B09D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55269">
                        <w:rPr>
                          <w:rFonts w:ascii="Century Gothic" w:hAnsi="Century Gothic"/>
                          <w:sz w:val="20"/>
                          <w:szCs w:val="20"/>
                        </w:rPr>
                        <w:t>REPORTABLE:</w:t>
                      </w:r>
                      <w:r w:rsidR="0015006E">
                        <w:rPr>
                          <w:rFonts w:ascii="Century Gothic" w:hAnsi="Century Gothic"/>
                          <w:sz w:val="20"/>
                          <w:szCs w:val="20"/>
                        </w:rPr>
                        <w:t xml:space="preserve"> NO</w:t>
                      </w:r>
                    </w:p>
                    <w:p w14:paraId="55B0DC25" w14:textId="0A69E7E2" w:rsidR="0015006E" w:rsidRPr="00913F95" w:rsidRDefault="008B09D9" w:rsidP="008B09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006E" w:rsidRPr="00913F95">
                        <w:rPr>
                          <w:rFonts w:ascii="Century Gothic" w:hAnsi="Century Gothic"/>
                          <w:sz w:val="20"/>
                          <w:szCs w:val="20"/>
                        </w:rPr>
                        <w:t>OF INTEREST TO OTHER JUDGES</w:t>
                      </w:r>
                      <w:r w:rsidR="00C55269">
                        <w:rPr>
                          <w:rFonts w:ascii="Century Gothic" w:hAnsi="Century Gothic"/>
                          <w:sz w:val="20"/>
                          <w:szCs w:val="20"/>
                        </w:rPr>
                        <w:t xml:space="preserve">: </w:t>
                      </w:r>
                      <w:r w:rsidR="0015006E" w:rsidRPr="00913F95">
                        <w:rPr>
                          <w:rFonts w:ascii="Century Gothic" w:hAnsi="Century Gothic"/>
                          <w:sz w:val="20"/>
                          <w:szCs w:val="20"/>
                        </w:rPr>
                        <w:t>NO</w:t>
                      </w:r>
                    </w:p>
                    <w:p w14:paraId="7CFA632F" w14:textId="50F2B72C" w:rsidR="0015006E" w:rsidRPr="00913F95" w:rsidRDefault="008B09D9" w:rsidP="008B09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006E" w:rsidRPr="00913F95">
                        <w:rPr>
                          <w:rFonts w:ascii="Century Gothic" w:hAnsi="Century Gothic"/>
                          <w:sz w:val="20"/>
                          <w:szCs w:val="20"/>
                        </w:rPr>
                        <w:t>REVISED</w:t>
                      </w:r>
                      <w:r w:rsidR="0015006E">
                        <w:rPr>
                          <w:rFonts w:ascii="Century Gothic" w:hAnsi="Century Gothic"/>
                          <w:sz w:val="20"/>
                          <w:szCs w:val="20"/>
                        </w:rPr>
                        <w:t xml:space="preserve">. </w:t>
                      </w:r>
                    </w:p>
                    <w:p w14:paraId="2CBC09EC" w14:textId="77777777" w:rsidR="0015006E" w:rsidRDefault="0015006E" w:rsidP="00E519F2">
                      <w:pPr>
                        <w:rPr>
                          <w:rFonts w:ascii="Century Gothic" w:hAnsi="Century Gothic"/>
                          <w:b/>
                          <w:sz w:val="18"/>
                          <w:szCs w:val="18"/>
                        </w:rPr>
                      </w:pPr>
                    </w:p>
                    <w:p w14:paraId="44D56259" w14:textId="3F4BAA93" w:rsidR="0015006E" w:rsidRPr="00084341" w:rsidRDefault="008C66BA" w:rsidP="00E519F2">
                      <w:pPr>
                        <w:rPr>
                          <w:rFonts w:ascii="Century Gothic" w:hAnsi="Century Gothic"/>
                          <w:b/>
                          <w:sz w:val="18"/>
                          <w:szCs w:val="18"/>
                        </w:rPr>
                      </w:pPr>
                      <w:r>
                        <w:rPr>
                          <w:rFonts w:ascii="Century Gothic" w:hAnsi="Century Gothic"/>
                          <w:b/>
                          <w:sz w:val="18"/>
                          <w:szCs w:val="18"/>
                        </w:rPr>
                        <w:t xml:space="preserve">         12 October 2022</w:t>
                      </w:r>
                      <w:r w:rsidR="0015006E" w:rsidRPr="00084341">
                        <w:rPr>
                          <w:rFonts w:ascii="Century Gothic" w:hAnsi="Century Gothic"/>
                          <w:b/>
                          <w:sz w:val="18"/>
                          <w:szCs w:val="18"/>
                        </w:rPr>
                        <w:tab/>
                      </w:r>
                      <w:r w:rsidR="0015006E" w:rsidRPr="00084341">
                        <w:rPr>
                          <w:rFonts w:ascii="Century Gothic" w:hAnsi="Century Gothic"/>
                          <w:b/>
                          <w:sz w:val="18"/>
                          <w:szCs w:val="18"/>
                        </w:rPr>
                        <w:tab/>
                        <w:t>………………………...</w:t>
                      </w:r>
                    </w:p>
                    <w:p w14:paraId="492AD257" w14:textId="77777777" w:rsidR="0015006E" w:rsidRPr="00084341" w:rsidRDefault="0015006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6179"/>
        <w:gridCol w:w="2372"/>
      </w:tblGrid>
      <w:tr w:rsidR="00647012" w:rsidRPr="000B4788" w14:paraId="62D6BDD3" w14:textId="77777777" w:rsidTr="00EF119D">
        <w:tc>
          <w:tcPr>
            <w:tcW w:w="6345" w:type="dxa"/>
          </w:tcPr>
          <w:p w14:paraId="1D80ED6A" w14:textId="6DF12BF6" w:rsidR="00FD3434" w:rsidRPr="000B4788" w:rsidRDefault="0017373B" w:rsidP="0017373B">
            <w:pPr>
              <w:spacing w:line="240" w:lineRule="auto"/>
              <w:jc w:val="left"/>
              <w:rPr>
                <w:rFonts w:cs="Arial"/>
                <w:b/>
                <w:bCs/>
                <w:szCs w:val="22"/>
              </w:rPr>
            </w:pPr>
            <w:r>
              <w:rPr>
                <w:rFonts w:cs="Arial"/>
                <w:b/>
                <w:bCs/>
                <w:szCs w:val="22"/>
              </w:rPr>
              <w:t>MICHELLE JANSE VAN RENSBURG</w:t>
            </w:r>
          </w:p>
        </w:tc>
        <w:tc>
          <w:tcPr>
            <w:tcW w:w="2410" w:type="dxa"/>
          </w:tcPr>
          <w:p w14:paraId="7620C948" w14:textId="2059A66E" w:rsidR="00FD3434" w:rsidRPr="000B4788" w:rsidRDefault="00ED0F3E" w:rsidP="00E910C7">
            <w:pPr>
              <w:spacing w:line="240" w:lineRule="auto"/>
              <w:jc w:val="right"/>
              <w:rPr>
                <w:rFonts w:cs="Arial"/>
                <w:szCs w:val="22"/>
              </w:rPr>
            </w:pPr>
            <w:r>
              <w:rPr>
                <w:rFonts w:cs="Arial"/>
                <w:szCs w:val="22"/>
              </w:rPr>
              <w:t>App</w:t>
            </w:r>
            <w:r w:rsidR="00E910C7">
              <w:rPr>
                <w:rFonts w:cs="Arial"/>
                <w:szCs w:val="22"/>
              </w:rPr>
              <w:t>lica</w:t>
            </w:r>
            <w:r>
              <w:rPr>
                <w:rFonts w:cs="Arial"/>
                <w:szCs w:val="22"/>
              </w:rPr>
              <w:t>nt</w:t>
            </w:r>
          </w:p>
        </w:tc>
      </w:tr>
      <w:tr w:rsidR="00647012" w:rsidRPr="000B4788" w14:paraId="7DC2C509" w14:textId="77777777" w:rsidTr="00EF119D">
        <w:tc>
          <w:tcPr>
            <w:tcW w:w="6345"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2410"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EF119D">
        <w:tc>
          <w:tcPr>
            <w:tcW w:w="6345"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2410"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EF119D">
        <w:tc>
          <w:tcPr>
            <w:tcW w:w="6345"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2410"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EF119D">
        <w:tc>
          <w:tcPr>
            <w:tcW w:w="6345" w:type="dxa"/>
          </w:tcPr>
          <w:p w14:paraId="37731CAA" w14:textId="3FDDF882" w:rsidR="004E2E02" w:rsidRPr="0017373B" w:rsidRDefault="0017373B" w:rsidP="00EC71A5">
            <w:pPr>
              <w:spacing w:line="240" w:lineRule="auto"/>
              <w:jc w:val="left"/>
              <w:rPr>
                <w:b/>
                <w:szCs w:val="22"/>
              </w:rPr>
            </w:pPr>
            <w:r>
              <w:rPr>
                <w:b/>
                <w:szCs w:val="22"/>
              </w:rPr>
              <w:t xml:space="preserve">JODY WAYNE </w:t>
            </w:r>
            <w:r w:rsidRPr="0017373B">
              <w:rPr>
                <w:b/>
                <w:szCs w:val="22"/>
              </w:rPr>
              <w:t>GERMISHUIZEN</w:t>
            </w:r>
          </w:p>
        </w:tc>
        <w:tc>
          <w:tcPr>
            <w:tcW w:w="2410" w:type="dxa"/>
          </w:tcPr>
          <w:p w14:paraId="561F7B8D" w14:textId="2A528D2C" w:rsidR="00647012" w:rsidRPr="000B4788" w:rsidRDefault="00ED0F3E" w:rsidP="00F9123D">
            <w:pPr>
              <w:spacing w:line="240" w:lineRule="auto"/>
              <w:jc w:val="right"/>
              <w:rPr>
                <w:rFonts w:cs="Arial"/>
                <w:szCs w:val="22"/>
              </w:rPr>
            </w:pPr>
            <w:r>
              <w:rPr>
                <w:rFonts w:cs="Arial"/>
                <w:szCs w:val="22"/>
              </w:rPr>
              <w:t>Respondent</w:t>
            </w:r>
          </w:p>
        </w:tc>
      </w:tr>
    </w:tbl>
    <w:p w14:paraId="6A749019" w14:textId="56E9DFCD" w:rsidR="00647012" w:rsidRPr="000B4788" w:rsidRDefault="00A45118" w:rsidP="00647012">
      <w:pPr>
        <w:rPr>
          <w:rFonts w:cs="Arial"/>
          <w:szCs w:val="22"/>
        </w:rPr>
      </w:pPr>
      <w:r>
        <w:rPr>
          <w:rFonts w:cs="Arial"/>
          <w:szCs w:val="22"/>
        </w:rPr>
        <w:t xml:space="preserve">  </w:t>
      </w:r>
    </w:p>
    <w:p w14:paraId="754B994D" w14:textId="77777777" w:rsidR="00E519F2" w:rsidRPr="000B4788" w:rsidRDefault="00E519F2" w:rsidP="00E519F2">
      <w:pPr>
        <w:pBdr>
          <w:bottom w:val="single" w:sz="4" w:space="1" w:color="auto"/>
        </w:pBdr>
        <w:rPr>
          <w:rFonts w:cs="Arial"/>
          <w:szCs w:val="22"/>
        </w:rPr>
      </w:pPr>
    </w:p>
    <w:p w14:paraId="14C90506" w14:textId="77777777" w:rsidR="00E519F2" w:rsidRPr="000B4788" w:rsidRDefault="00E519F2" w:rsidP="00E519F2">
      <w:pPr>
        <w:spacing w:line="276" w:lineRule="auto"/>
        <w:rPr>
          <w:rFonts w:cs="Arial"/>
          <w:szCs w:val="22"/>
        </w:rPr>
      </w:pPr>
    </w:p>
    <w:p w14:paraId="7ED266E8" w14:textId="4AFCE1B1" w:rsidR="00E519F2" w:rsidRPr="000B4788" w:rsidRDefault="005816B3" w:rsidP="00E519F2">
      <w:pPr>
        <w:pStyle w:val="Heading2"/>
        <w:spacing w:line="276" w:lineRule="auto"/>
        <w:rPr>
          <w:szCs w:val="22"/>
        </w:rPr>
      </w:pPr>
      <w:r>
        <w:rPr>
          <w:szCs w:val="22"/>
        </w:rPr>
        <w:t>JUDGMENT</w:t>
      </w:r>
    </w:p>
    <w:p w14:paraId="68C2C72B" w14:textId="77777777" w:rsidR="00E519F2" w:rsidRPr="000B4788" w:rsidRDefault="00E519F2" w:rsidP="00E519F2">
      <w:pPr>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110EEB04" w:rsidR="00E70877" w:rsidRPr="000B4788" w:rsidRDefault="00E519F2" w:rsidP="00E519F2">
      <w:pPr>
        <w:spacing w:after="480" w:line="480" w:lineRule="auto"/>
        <w:rPr>
          <w:rFonts w:cs="Arial"/>
          <w:b/>
          <w:szCs w:val="22"/>
        </w:rPr>
      </w:pPr>
      <w:r w:rsidRPr="000B4788">
        <w:rPr>
          <w:rFonts w:cs="Arial"/>
          <w:b/>
          <w:szCs w:val="22"/>
        </w:rPr>
        <w:t>CRUTCHFIELD J:</w:t>
      </w:r>
    </w:p>
    <w:p w14:paraId="0B9C45D3" w14:textId="03CFAB7E" w:rsidR="009F5925" w:rsidRPr="008B09D9" w:rsidRDefault="008B09D9" w:rsidP="008B09D9">
      <w:pPr>
        <w:tabs>
          <w:tab w:val="left" w:pos="567"/>
        </w:tabs>
        <w:spacing w:after="480" w:line="480" w:lineRule="auto"/>
        <w:rPr>
          <w:rFonts w:cs="Arial"/>
          <w:bCs/>
          <w:szCs w:val="22"/>
        </w:rPr>
      </w:pPr>
      <w:r>
        <w:rPr>
          <w:rFonts w:cs="Arial"/>
          <w:bCs/>
          <w:szCs w:val="22"/>
        </w:rPr>
        <w:t>[1]</w:t>
      </w:r>
      <w:r>
        <w:rPr>
          <w:rFonts w:cs="Arial"/>
          <w:bCs/>
          <w:szCs w:val="22"/>
        </w:rPr>
        <w:tab/>
      </w:r>
      <w:r w:rsidR="0017373B" w:rsidRPr="008B09D9">
        <w:rPr>
          <w:rFonts w:cs="Arial"/>
          <w:bCs/>
          <w:szCs w:val="22"/>
        </w:rPr>
        <w:t>The applicant</w:t>
      </w:r>
      <w:r w:rsidR="00F118F1" w:rsidRPr="008B09D9">
        <w:rPr>
          <w:rFonts w:cs="Arial"/>
          <w:bCs/>
          <w:szCs w:val="22"/>
        </w:rPr>
        <w:t>,</w:t>
      </w:r>
      <w:r w:rsidR="0017373B" w:rsidRPr="008B09D9">
        <w:rPr>
          <w:rFonts w:cs="Arial"/>
          <w:bCs/>
          <w:szCs w:val="22"/>
        </w:rPr>
        <w:t xml:space="preserve"> </w:t>
      </w:r>
      <w:r w:rsidR="00F118F1" w:rsidRPr="008B09D9">
        <w:rPr>
          <w:rFonts w:cs="Arial"/>
          <w:bCs/>
          <w:szCs w:val="22"/>
        </w:rPr>
        <w:t xml:space="preserve">Michelle </w:t>
      </w:r>
      <w:proofErr w:type="spellStart"/>
      <w:r w:rsidR="00F118F1" w:rsidRPr="008B09D9">
        <w:rPr>
          <w:rFonts w:cs="Arial"/>
          <w:bCs/>
          <w:szCs w:val="22"/>
        </w:rPr>
        <w:t>Janse</w:t>
      </w:r>
      <w:proofErr w:type="spellEnd"/>
      <w:r w:rsidR="00F118F1" w:rsidRPr="008B09D9">
        <w:rPr>
          <w:rFonts w:cs="Arial"/>
          <w:bCs/>
          <w:szCs w:val="22"/>
        </w:rPr>
        <w:t xml:space="preserve"> van Rensburg (‘the applicant’), </w:t>
      </w:r>
      <w:r w:rsidR="0017373B" w:rsidRPr="008B09D9">
        <w:rPr>
          <w:rFonts w:cs="Arial"/>
          <w:bCs/>
          <w:szCs w:val="22"/>
        </w:rPr>
        <w:t>claimed</w:t>
      </w:r>
      <w:r w:rsidR="00F118F1" w:rsidRPr="008B09D9">
        <w:rPr>
          <w:rFonts w:cs="Arial"/>
          <w:bCs/>
          <w:szCs w:val="22"/>
        </w:rPr>
        <w:t xml:space="preserve"> the</w:t>
      </w:r>
      <w:r w:rsidR="0017373B" w:rsidRPr="008B09D9">
        <w:rPr>
          <w:rFonts w:cs="Arial"/>
          <w:bCs/>
          <w:szCs w:val="22"/>
        </w:rPr>
        <w:t xml:space="preserve"> enforcement of an agreement o</w:t>
      </w:r>
      <w:r w:rsidR="00F118F1" w:rsidRPr="008B09D9">
        <w:rPr>
          <w:rFonts w:cs="Arial"/>
          <w:bCs/>
          <w:szCs w:val="22"/>
        </w:rPr>
        <w:t xml:space="preserve">f settlement concluded between </w:t>
      </w:r>
      <w:r w:rsidR="0017373B" w:rsidRPr="008B09D9">
        <w:rPr>
          <w:rFonts w:cs="Arial"/>
          <w:bCs/>
          <w:szCs w:val="22"/>
        </w:rPr>
        <w:t>he</w:t>
      </w:r>
      <w:r w:rsidR="00F118F1" w:rsidRPr="008B09D9">
        <w:rPr>
          <w:rFonts w:cs="Arial"/>
          <w:bCs/>
          <w:szCs w:val="22"/>
        </w:rPr>
        <w:t>r and the respondent,</w:t>
      </w:r>
      <w:r w:rsidR="0017373B" w:rsidRPr="008B09D9">
        <w:rPr>
          <w:rFonts w:cs="Arial"/>
          <w:bCs/>
          <w:szCs w:val="22"/>
        </w:rPr>
        <w:t xml:space="preserve"> </w:t>
      </w:r>
      <w:r w:rsidR="00F118F1" w:rsidRPr="008B09D9">
        <w:rPr>
          <w:rFonts w:cs="Arial"/>
          <w:bCs/>
          <w:szCs w:val="22"/>
        </w:rPr>
        <w:t xml:space="preserve">Jody Wayne </w:t>
      </w:r>
      <w:proofErr w:type="spellStart"/>
      <w:r w:rsidR="00F118F1" w:rsidRPr="008B09D9">
        <w:rPr>
          <w:rFonts w:cs="Arial"/>
          <w:bCs/>
          <w:szCs w:val="22"/>
        </w:rPr>
        <w:t>Germishuizen</w:t>
      </w:r>
      <w:proofErr w:type="spellEnd"/>
      <w:r w:rsidR="00F118F1" w:rsidRPr="008B09D9">
        <w:rPr>
          <w:rFonts w:cs="Arial"/>
          <w:bCs/>
          <w:szCs w:val="22"/>
        </w:rPr>
        <w:t xml:space="preserve"> (‘the respondent’), </w:t>
      </w:r>
      <w:r w:rsidR="009F5925" w:rsidRPr="008B09D9">
        <w:rPr>
          <w:rFonts w:cs="Arial"/>
          <w:bCs/>
          <w:szCs w:val="22"/>
        </w:rPr>
        <w:t xml:space="preserve">pursuant to action proceedings that arose </w:t>
      </w:r>
      <w:r w:rsidR="009F5925" w:rsidRPr="008B09D9">
        <w:rPr>
          <w:rFonts w:cs="Arial"/>
          <w:bCs/>
          <w:szCs w:val="22"/>
        </w:rPr>
        <w:lastRenderedPageBreak/>
        <w:t xml:space="preserve">out of </w:t>
      </w:r>
      <w:r w:rsidR="00F118F1" w:rsidRPr="008B09D9">
        <w:rPr>
          <w:rFonts w:cs="Arial"/>
          <w:bCs/>
          <w:szCs w:val="22"/>
        </w:rPr>
        <w:t>t</w:t>
      </w:r>
      <w:r w:rsidR="0017373B" w:rsidRPr="008B09D9">
        <w:rPr>
          <w:rFonts w:cs="Arial"/>
          <w:bCs/>
          <w:szCs w:val="22"/>
        </w:rPr>
        <w:t xml:space="preserve">he </w:t>
      </w:r>
      <w:r w:rsidR="00F118F1" w:rsidRPr="008B09D9">
        <w:rPr>
          <w:rFonts w:cs="Arial"/>
          <w:bCs/>
          <w:szCs w:val="22"/>
        </w:rPr>
        <w:t>termination of</w:t>
      </w:r>
      <w:r w:rsidR="0017373B" w:rsidRPr="008B09D9">
        <w:rPr>
          <w:rFonts w:cs="Arial"/>
          <w:bCs/>
          <w:szCs w:val="22"/>
        </w:rPr>
        <w:t xml:space="preserve"> a prior intimate relationship </w:t>
      </w:r>
      <w:r w:rsidR="00F118F1" w:rsidRPr="008B09D9">
        <w:rPr>
          <w:rFonts w:cs="Arial"/>
          <w:bCs/>
          <w:szCs w:val="22"/>
        </w:rPr>
        <w:t>between the</w:t>
      </w:r>
      <w:r w:rsidR="009F5925" w:rsidRPr="008B09D9">
        <w:rPr>
          <w:rFonts w:cs="Arial"/>
          <w:bCs/>
          <w:szCs w:val="22"/>
        </w:rPr>
        <w:t>m. The parties concluded the</w:t>
      </w:r>
      <w:r w:rsidR="0017373B" w:rsidRPr="008B09D9">
        <w:rPr>
          <w:rFonts w:cs="Arial"/>
          <w:bCs/>
          <w:szCs w:val="22"/>
        </w:rPr>
        <w:t xml:space="preserve"> </w:t>
      </w:r>
      <w:r w:rsidR="009F5925" w:rsidRPr="008B09D9">
        <w:rPr>
          <w:rFonts w:cs="Arial"/>
          <w:bCs/>
          <w:szCs w:val="22"/>
        </w:rPr>
        <w:t>written agreement of settlement</w:t>
      </w:r>
      <w:r w:rsidR="0017373B" w:rsidRPr="008B09D9">
        <w:rPr>
          <w:rFonts w:cs="Arial"/>
          <w:bCs/>
          <w:szCs w:val="22"/>
        </w:rPr>
        <w:t xml:space="preserve"> on 26 September 2018 </w:t>
      </w:r>
      <w:r w:rsidR="009F5925" w:rsidRPr="008B09D9">
        <w:rPr>
          <w:rFonts w:cs="Arial"/>
          <w:bCs/>
          <w:szCs w:val="22"/>
        </w:rPr>
        <w:t>(‘the settlement agreement’)</w:t>
      </w:r>
      <w:r w:rsidR="00A6620D" w:rsidRPr="008B09D9">
        <w:rPr>
          <w:rFonts w:cs="Arial"/>
          <w:bCs/>
          <w:szCs w:val="22"/>
        </w:rPr>
        <w:t>, under case number 6312/18.</w:t>
      </w:r>
    </w:p>
    <w:p w14:paraId="1C5F4C79" w14:textId="3BF2A70B" w:rsidR="0017373B" w:rsidRPr="008B09D9" w:rsidRDefault="008B09D9" w:rsidP="008B09D9">
      <w:pPr>
        <w:tabs>
          <w:tab w:val="left" w:pos="567"/>
        </w:tabs>
        <w:spacing w:after="480" w:line="480" w:lineRule="auto"/>
        <w:rPr>
          <w:rFonts w:cs="Arial"/>
          <w:bCs/>
          <w:szCs w:val="22"/>
        </w:rPr>
      </w:pPr>
      <w:r w:rsidRPr="009F5925">
        <w:rPr>
          <w:rFonts w:cs="Arial"/>
          <w:bCs/>
          <w:szCs w:val="22"/>
        </w:rPr>
        <w:t>[2]</w:t>
      </w:r>
      <w:r w:rsidRPr="009F5925">
        <w:rPr>
          <w:rFonts w:cs="Arial"/>
          <w:bCs/>
          <w:szCs w:val="22"/>
        </w:rPr>
        <w:tab/>
      </w:r>
      <w:r w:rsidR="009F5925" w:rsidRPr="008B09D9">
        <w:rPr>
          <w:rFonts w:cs="Arial"/>
          <w:bCs/>
          <w:szCs w:val="22"/>
        </w:rPr>
        <w:t xml:space="preserve"> The applicant sought an order that the settlement agreement be made an order of Court and costs of the application. </w:t>
      </w:r>
      <w:r w:rsidR="0017373B" w:rsidRPr="008B09D9">
        <w:rPr>
          <w:rFonts w:cs="Arial"/>
          <w:bCs/>
          <w:szCs w:val="22"/>
        </w:rPr>
        <w:t xml:space="preserve">The respondent opposed the </w:t>
      </w:r>
      <w:r w:rsidR="00A6620D" w:rsidRPr="008B09D9">
        <w:rPr>
          <w:rFonts w:cs="Arial"/>
          <w:bCs/>
          <w:szCs w:val="22"/>
        </w:rPr>
        <w:t>matter</w:t>
      </w:r>
      <w:r w:rsidR="009F5925" w:rsidRPr="008B09D9">
        <w:rPr>
          <w:rFonts w:cs="Arial"/>
          <w:bCs/>
          <w:szCs w:val="22"/>
        </w:rPr>
        <w:t xml:space="preserve"> and issued a counterapplication</w:t>
      </w:r>
      <w:r w:rsidR="0017373B" w:rsidRPr="008B09D9">
        <w:rPr>
          <w:rFonts w:cs="Arial"/>
          <w:bCs/>
          <w:szCs w:val="22"/>
        </w:rPr>
        <w:t xml:space="preserve"> in which he claimed </w:t>
      </w:r>
      <w:r w:rsidR="00A6620D" w:rsidRPr="008B09D9">
        <w:rPr>
          <w:rFonts w:cs="Arial"/>
          <w:bCs/>
          <w:szCs w:val="22"/>
        </w:rPr>
        <w:t xml:space="preserve">an order </w:t>
      </w:r>
      <w:r w:rsidR="0017373B" w:rsidRPr="008B09D9">
        <w:rPr>
          <w:rFonts w:cs="Arial"/>
          <w:bCs/>
          <w:szCs w:val="22"/>
        </w:rPr>
        <w:t xml:space="preserve">that the settlement agreement be declared void, alternatively voidable and costs. </w:t>
      </w:r>
    </w:p>
    <w:p w14:paraId="7A462047" w14:textId="71175881" w:rsidR="0017373B" w:rsidRPr="008B09D9" w:rsidRDefault="008B09D9" w:rsidP="008B09D9">
      <w:pPr>
        <w:tabs>
          <w:tab w:val="left" w:pos="567"/>
        </w:tabs>
        <w:spacing w:after="480" w:line="480" w:lineRule="auto"/>
        <w:rPr>
          <w:rFonts w:cs="Arial"/>
          <w:b/>
          <w:bCs/>
          <w:szCs w:val="22"/>
        </w:rPr>
      </w:pPr>
      <w:r w:rsidRPr="00A6620D">
        <w:rPr>
          <w:rFonts w:cs="Arial"/>
          <w:bCs/>
          <w:szCs w:val="22"/>
        </w:rPr>
        <w:t>[3]</w:t>
      </w:r>
      <w:r w:rsidRPr="00A6620D">
        <w:rPr>
          <w:rFonts w:cs="Arial"/>
          <w:bCs/>
          <w:szCs w:val="22"/>
        </w:rPr>
        <w:tab/>
      </w:r>
      <w:r w:rsidR="009F5925" w:rsidRPr="008B09D9">
        <w:rPr>
          <w:rFonts w:cs="Arial"/>
          <w:bCs/>
          <w:szCs w:val="22"/>
        </w:rPr>
        <w:t>The parties’ prior</w:t>
      </w:r>
      <w:r w:rsidR="0017373B" w:rsidRPr="008B09D9">
        <w:rPr>
          <w:rFonts w:cs="Arial"/>
          <w:bCs/>
          <w:szCs w:val="22"/>
        </w:rPr>
        <w:t xml:space="preserve"> relationship, allegedly </w:t>
      </w:r>
      <w:r w:rsidR="00517E23" w:rsidRPr="008B09D9">
        <w:rPr>
          <w:rFonts w:cs="Arial"/>
          <w:bCs/>
          <w:szCs w:val="22"/>
        </w:rPr>
        <w:t>a</w:t>
      </w:r>
      <w:r w:rsidR="0017373B" w:rsidRPr="008B09D9">
        <w:rPr>
          <w:rFonts w:cs="Arial"/>
          <w:bCs/>
          <w:szCs w:val="22"/>
        </w:rPr>
        <w:t xml:space="preserve"> universal partnership according to the applicant,</w:t>
      </w:r>
      <w:r w:rsidR="009F5925" w:rsidRPr="008B09D9">
        <w:rPr>
          <w:rFonts w:cs="Arial"/>
          <w:bCs/>
          <w:szCs w:val="22"/>
        </w:rPr>
        <w:t xml:space="preserve"> commenced in </w:t>
      </w:r>
      <w:r w:rsidR="0017373B" w:rsidRPr="008B09D9">
        <w:rPr>
          <w:rFonts w:cs="Arial"/>
          <w:bCs/>
          <w:szCs w:val="22"/>
        </w:rPr>
        <w:t>2000</w:t>
      </w:r>
      <w:r w:rsidR="009F5925" w:rsidRPr="008B09D9">
        <w:rPr>
          <w:rFonts w:cs="Arial"/>
          <w:bCs/>
          <w:szCs w:val="22"/>
        </w:rPr>
        <w:t xml:space="preserve"> or thereabouts</w:t>
      </w:r>
      <w:r w:rsidR="00A6620D" w:rsidRPr="008B09D9">
        <w:rPr>
          <w:rFonts w:cs="Arial"/>
          <w:bCs/>
          <w:szCs w:val="22"/>
        </w:rPr>
        <w:t>.</w:t>
      </w:r>
      <w:r w:rsidR="0017373B" w:rsidRPr="008B09D9">
        <w:rPr>
          <w:rFonts w:cs="Arial"/>
          <w:bCs/>
          <w:szCs w:val="22"/>
        </w:rPr>
        <w:t xml:space="preserve"> Children were born of the relationship. </w:t>
      </w:r>
      <w:r w:rsidR="00A6620D" w:rsidRPr="008B09D9">
        <w:rPr>
          <w:rFonts w:cs="Arial"/>
          <w:b/>
          <w:bCs/>
          <w:szCs w:val="22"/>
        </w:rPr>
        <w:t xml:space="preserve"> </w:t>
      </w:r>
    </w:p>
    <w:p w14:paraId="490E867F" w14:textId="3328B0AB" w:rsidR="0017373B" w:rsidRPr="008B09D9" w:rsidRDefault="008B09D9" w:rsidP="008B09D9">
      <w:pPr>
        <w:tabs>
          <w:tab w:val="left" w:pos="567"/>
        </w:tabs>
        <w:spacing w:after="480" w:line="480" w:lineRule="auto"/>
        <w:rPr>
          <w:rFonts w:cs="Arial"/>
          <w:bCs/>
          <w:szCs w:val="22"/>
        </w:rPr>
      </w:pPr>
      <w:r>
        <w:rPr>
          <w:rFonts w:cs="Arial"/>
          <w:bCs/>
          <w:szCs w:val="22"/>
        </w:rPr>
        <w:t>[4]</w:t>
      </w:r>
      <w:r>
        <w:rPr>
          <w:rFonts w:cs="Arial"/>
          <w:bCs/>
          <w:szCs w:val="22"/>
        </w:rPr>
        <w:tab/>
      </w:r>
      <w:r w:rsidR="0017373B" w:rsidRPr="008B09D9">
        <w:rPr>
          <w:rFonts w:cs="Arial"/>
          <w:bCs/>
          <w:szCs w:val="22"/>
        </w:rPr>
        <w:t>On a conspectus of the papers and arguments made by the parties’ legal representatives</w:t>
      </w:r>
      <w:r w:rsidR="00A6620D" w:rsidRPr="008B09D9">
        <w:rPr>
          <w:rFonts w:cs="Arial"/>
          <w:bCs/>
          <w:szCs w:val="22"/>
        </w:rPr>
        <w:t xml:space="preserve"> before me, the application did not deal </w:t>
      </w:r>
      <w:r w:rsidR="0017373B" w:rsidRPr="008B09D9">
        <w:rPr>
          <w:rFonts w:cs="Arial"/>
          <w:bCs/>
          <w:szCs w:val="22"/>
        </w:rPr>
        <w:t>with universal</w:t>
      </w:r>
      <w:r w:rsidR="00A6620D" w:rsidRPr="008B09D9">
        <w:rPr>
          <w:rFonts w:cs="Arial"/>
          <w:bCs/>
          <w:szCs w:val="22"/>
        </w:rPr>
        <w:t xml:space="preserve"> partnerships but rather with settlement </w:t>
      </w:r>
      <w:r w:rsidR="0017373B" w:rsidRPr="008B09D9">
        <w:rPr>
          <w:rFonts w:cs="Arial"/>
          <w:bCs/>
          <w:szCs w:val="22"/>
        </w:rPr>
        <w:t xml:space="preserve">agreements concluded between parties. </w:t>
      </w:r>
    </w:p>
    <w:p w14:paraId="16549726" w14:textId="18255F24" w:rsidR="00365A83" w:rsidRPr="008B09D9" w:rsidRDefault="008B09D9" w:rsidP="008B09D9">
      <w:pPr>
        <w:tabs>
          <w:tab w:val="left" w:pos="567"/>
        </w:tabs>
        <w:spacing w:after="480" w:line="480" w:lineRule="auto"/>
        <w:rPr>
          <w:rFonts w:cs="Arial"/>
          <w:bCs/>
          <w:szCs w:val="22"/>
        </w:rPr>
      </w:pPr>
      <w:r>
        <w:rPr>
          <w:rFonts w:cs="Arial"/>
          <w:bCs/>
          <w:szCs w:val="22"/>
        </w:rPr>
        <w:t>[5]</w:t>
      </w:r>
      <w:r>
        <w:rPr>
          <w:rFonts w:cs="Arial"/>
          <w:bCs/>
          <w:szCs w:val="22"/>
        </w:rPr>
        <w:tab/>
      </w:r>
      <w:r w:rsidR="00365A83" w:rsidRPr="008B09D9">
        <w:rPr>
          <w:rFonts w:cs="Arial"/>
          <w:bCs/>
          <w:szCs w:val="22"/>
        </w:rPr>
        <w:t>On 14 February 2018 under cas</w:t>
      </w:r>
      <w:r w:rsidR="00DB2DFE" w:rsidRPr="008B09D9">
        <w:rPr>
          <w:rFonts w:cs="Arial"/>
          <w:bCs/>
          <w:szCs w:val="22"/>
        </w:rPr>
        <w:t>e number 6312/18, the applicant</w:t>
      </w:r>
      <w:r w:rsidR="00365A83" w:rsidRPr="008B09D9">
        <w:rPr>
          <w:rFonts w:cs="Arial"/>
          <w:bCs/>
          <w:szCs w:val="22"/>
        </w:rPr>
        <w:t xml:space="preserve"> </w:t>
      </w:r>
      <w:r w:rsidR="00A6620D" w:rsidRPr="008B09D9">
        <w:rPr>
          <w:rFonts w:cs="Arial"/>
          <w:bCs/>
          <w:i/>
          <w:szCs w:val="22"/>
        </w:rPr>
        <w:t>qua</w:t>
      </w:r>
      <w:r w:rsidR="00365A83" w:rsidRPr="008B09D9">
        <w:rPr>
          <w:rFonts w:cs="Arial"/>
          <w:bCs/>
          <w:i/>
          <w:szCs w:val="22"/>
        </w:rPr>
        <w:t xml:space="preserve"> </w:t>
      </w:r>
      <w:r w:rsidR="00365A83" w:rsidRPr="008B09D9">
        <w:rPr>
          <w:rFonts w:cs="Arial"/>
          <w:bCs/>
          <w:szCs w:val="22"/>
        </w:rPr>
        <w:t xml:space="preserve">plaintiff, issued </w:t>
      </w:r>
      <w:r w:rsidR="00A6620D" w:rsidRPr="008B09D9">
        <w:rPr>
          <w:rFonts w:cs="Arial"/>
          <w:bCs/>
          <w:szCs w:val="22"/>
        </w:rPr>
        <w:t xml:space="preserve">the </w:t>
      </w:r>
      <w:r w:rsidR="00365A83" w:rsidRPr="008B09D9">
        <w:rPr>
          <w:rFonts w:cs="Arial"/>
          <w:bCs/>
          <w:szCs w:val="22"/>
        </w:rPr>
        <w:t>action proceedings</w:t>
      </w:r>
      <w:r w:rsidR="00A6620D" w:rsidRPr="008B09D9">
        <w:rPr>
          <w:rFonts w:cs="Arial"/>
          <w:b/>
          <w:bCs/>
          <w:szCs w:val="22"/>
        </w:rPr>
        <w:t xml:space="preserve"> </w:t>
      </w:r>
      <w:r w:rsidR="00A6620D" w:rsidRPr="008B09D9">
        <w:rPr>
          <w:rFonts w:cs="Arial"/>
          <w:bCs/>
          <w:szCs w:val="22"/>
        </w:rPr>
        <w:t>referred to afore,</w:t>
      </w:r>
      <w:r w:rsidR="00365A83" w:rsidRPr="008B09D9">
        <w:rPr>
          <w:rFonts w:cs="Arial"/>
          <w:bCs/>
          <w:szCs w:val="22"/>
        </w:rPr>
        <w:t xml:space="preserve"> </w:t>
      </w:r>
      <w:r w:rsidR="00AC38EE" w:rsidRPr="008B09D9">
        <w:rPr>
          <w:rFonts w:cs="Arial"/>
          <w:bCs/>
          <w:szCs w:val="22"/>
        </w:rPr>
        <w:t>claiming</w:t>
      </w:r>
      <w:r w:rsidR="00365A83" w:rsidRPr="008B09D9">
        <w:rPr>
          <w:rFonts w:cs="Arial"/>
          <w:bCs/>
          <w:szCs w:val="22"/>
        </w:rPr>
        <w:t xml:space="preserve"> judgment against the respondent for proprietary relief arising out of the parties’ relationship. </w:t>
      </w:r>
    </w:p>
    <w:p w14:paraId="30346977" w14:textId="16ACA4EC" w:rsidR="00365A83" w:rsidRPr="008B09D9" w:rsidRDefault="008B09D9" w:rsidP="008B09D9">
      <w:pPr>
        <w:tabs>
          <w:tab w:val="left" w:pos="567"/>
        </w:tabs>
        <w:spacing w:after="480" w:line="480" w:lineRule="auto"/>
        <w:rPr>
          <w:rFonts w:cs="Arial"/>
          <w:bCs/>
          <w:szCs w:val="22"/>
        </w:rPr>
      </w:pPr>
      <w:r>
        <w:rPr>
          <w:rFonts w:cs="Arial"/>
          <w:bCs/>
          <w:szCs w:val="22"/>
        </w:rPr>
        <w:t>[6]</w:t>
      </w:r>
      <w:r>
        <w:rPr>
          <w:rFonts w:cs="Arial"/>
          <w:bCs/>
          <w:szCs w:val="22"/>
        </w:rPr>
        <w:tab/>
      </w:r>
      <w:r w:rsidR="00AC38EE" w:rsidRPr="008B09D9">
        <w:rPr>
          <w:rFonts w:cs="Arial"/>
          <w:bCs/>
          <w:szCs w:val="22"/>
        </w:rPr>
        <w:t>The respondent opposed this</w:t>
      </w:r>
      <w:r w:rsidR="00365A83" w:rsidRPr="008B09D9">
        <w:rPr>
          <w:rFonts w:cs="Arial"/>
          <w:bCs/>
          <w:szCs w:val="22"/>
        </w:rPr>
        <w:t xml:space="preserve"> application (as well as the action pro</w:t>
      </w:r>
      <w:r w:rsidR="00AC38EE" w:rsidRPr="008B09D9">
        <w:rPr>
          <w:rFonts w:cs="Arial"/>
          <w:bCs/>
          <w:szCs w:val="22"/>
        </w:rPr>
        <w:t>ceedings), on various bases t</w:t>
      </w:r>
      <w:r w:rsidR="00365A83" w:rsidRPr="008B09D9">
        <w:rPr>
          <w:rFonts w:cs="Arial"/>
          <w:bCs/>
          <w:szCs w:val="22"/>
        </w:rPr>
        <w:t>h</w:t>
      </w:r>
      <w:r w:rsidR="00AC38EE" w:rsidRPr="008B09D9">
        <w:rPr>
          <w:rFonts w:cs="Arial"/>
          <w:bCs/>
          <w:szCs w:val="22"/>
        </w:rPr>
        <w:t>at</w:t>
      </w:r>
      <w:r w:rsidR="00365A83" w:rsidRPr="008B09D9">
        <w:rPr>
          <w:rFonts w:cs="Arial"/>
          <w:bCs/>
          <w:szCs w:val="22"/>
        </w:rPr>
        <w:t xml:space="preserve"> I shall deal with hereunder. Importantly, the respondent did not deny that he signed the settlement agreement but</w:t>
      </w:r>
      <w:r w:rsidR="00AC38EE" w:rsidRPr="008B09D9">
        <w:rPr>
          <w:rFonts w:cs="Arial"/>
          <w:bCs/>
          <w:szCs w:val="22"/>
        </w:rPr>
        <w:t xml:space="preserve"> alleged</w:t>
      </w:r>
      <w:r w:rsidR="00365A83" w:rsidRPr="008B09D9">
        <w:rPr>
          <w:rFonts w:cs="Arial"/>
          <w:bCs/>
          <w:szCs w:val="22"/>
        </w:rPr>
        <w:t xml:space="preserve"> that </w:t>
      </w:r>
      <w:r w:rsidR="00AC38EE" w:rsidRPr="008B09D9">
        <w:rPr>
          <w:rFonts w:cs="Arial"/>
          <w:bCs/>
          <w:szCs w:val="22"/>
        </w:rPr>
        <w:t>he</w:t>
      </w:r>
      <w:r w:rsidR="00DB2DFE" w:rsidRPr="008B09D9">
        <w:rPr>
          <w:rFonts w:cs="Arial"/>
          <w:bCs/>
          <w:szCs w:val="22"/>
        </w:rPr>
        <w:t xml:space="preserve"> did so</w:t>
      </w:r>
      <w:r w:rsidR="00AC38EE" w:rsidRPr="008B09D9">
        <w:rPr>
          <w:rFonts w:cs="Arial"/>
          <w:bCs/>
          <w:szCs w:val="22"/>
        </w:rPr>
        <w:t xml:space="preserve"> </w:t>
      </w:r>
      <w:proofErr w:type="gramStart"/>
      <w:r w:rsidR="00365A83" w:rsidRPr="008B09D9">
        <w:rPr>
          <w:rFonts w:cs="Arial"/>
          <w:bCs/>
          <w:szCs w:val="22"/>
        </w:rPr>
        <w:t>as a result of</w:t>
      </w:r>
      <w:proofErr w:type="gramEnd"/>
      <w:r w:rsidR="00365A83" w:rsidRPr="008B09D9">
        <w:rPr>
          <w:rFonts w:cs="Arial"/>
          <w:bCs/>
          <w:szCs w:val="22"/>
        </w:rPr>
        <w:t xml:space="preserve"> him being under duress at the time and acting under a material misrepresentation</w:t>
      </w:r>
      <w:r w:rsidR="00DB2DFE" w:rsidRPr="008B09D9">
        <w:rPr>
          <w:rFonts w:cs="Arial"/>
          <w:bCs/>
          <w:szCs w:val="22"/>
        </w:rPr>
        <w:t>,</w:t>
      </w:r>
      <w:r w:rsidR="00365A83" w:rsidRPr="008B09D9">
        <w:rPr>
          <w:rFonts w:cs="Arial"/>
          <w:bCs/>
          <w:szCs w:val="22"/>
        </w:rPr>
        <w:t xml:space="preserve"> made by the applicant a</w:t>
      </w:r>
      <w:r w:rsidR="00DB2DFE" w:rsidRPr="008B09D9">
        <w:rPr>
          <w:rFonts w:cs="Arial"/>
          <w:bCs/>
          <w:szCs w:val="22"/>
        </w:rPr>
        <w:t>s to the nature of the document,</w:t>
      </w:r>
      <w:r w:rsidR="00365A83" w:rsidRPr="008B09D9">
        <w:rPr>
          <w:rFonts w:cs="Arial"/>
          <w:bCs/>
          <w:szCs w:val="22"/>
        </w:rPr>
        <w:t xml:space="preserve"> the settlement agreement.</w:t>
      </w:r>
    </w:p>
    <w:p w14:paraId="5A6B23F7" w14:textId="6E2BBA4C" w:rsidR="00365A83" w:rsidRPr="008B09D9" w:rsidRDefault="008B09D9" w:rsidP="008B09D9">
      <w:pPr>
        <w:tabs>
          <w:tab w:val="left" w:pos="567"/>
        </w:tabs>
        <w:spacing w:after="480" w:line="480" w:lineRule="auto"/>
        <w:rPr>
          <w:rFonts w:cs="Arial"/>
          <w:bCs/>
          <w:szCs w:val="22"/>
        </w:rPr>
      </w:pPr>
      <w:r w:rsidRPr="00686E0C">
        <w:rPr>
          <w:rFonts w:cs="Arial"/>
          <w:bCs/>
          <w:szCs w:val="22"/>
        </w:rPr>
        <w:t>[7]</w:t>
      </w:r>
      <w:r w:rsidRPr="00686E0C">
        <w:rPr>
          <w:rFonts w:cs="Arial"/>
          <w:bCs/>
          <w:szCs w:val="22"/>
        </w:rPr>
        <w:tab/>
      </w:r>
      <w:r w:rsidR="00365A83" w:rsidRPr="008B09D9">
        <w:rPr>
          <w:rFonts w:cs="Arial"/>
          <w:bCs/>
          <w:szCs w:val="22"/>
        </w:rPr>
        <w:t>The respondent’s counsel, in argument before me, wisely did not rely on the alleged duress or the respondent’s allegation that the applicant refused to allow</w:t>
      </w:r>
      <w:r w:rsidR="00AC38EE" w:rsidRPr="008B09D9">
        <w:rPr>
          <w:rFonts w:cs="Arial"/>
          <w:bCs/>
          <w:szCs w:val="22"/>
        </w:rPr>
        <w:t xml:space="preserve"> him</w:t>
      </w:r>
      <w:r w:rsidR="00365A83" w:rsidRPr="008B09D9">
        <w:rPr>
          <w:rFonts w:cs="Arial"/>
          <w:bCs/>
          <w:szCs w:val="22"/>
        </w:rPr>
        <w:t xml:space="preserve"> to amend </w:t>
      </w:r>
      <w:r w:rsidR="00365A83" w:rsidRPr="008B09D9">
        <w:rPr>
          <w:rFonts w:cs="Arial"/>
          <w:bCs/>
          <w:szCs w:val="22"/>
        </w:rPr>
        <w:lastRenderedPageBreak/>
        <w:t>the settlement agreement. No case was made out by the respondent on the papers before me in respect of the alleged dur</w:t>
      </w:r>
      <w:r w:rsidR="00AC38EE" w:rsidRPr="008B09D9">
        <w:rPr>
          <w:rFonts w:cs="Arial"/>
          <w:bCs/>
          <w:szCs w:val="22"/>
        </w:rPr>
        <w:t>ess. T</w:t>
      </w:r>
      <w:r w:rsidR="00365A83" w:rsidRPr="008B09D9">
        <w:rPr>
          <w:rFonts w:cs="Arial"/>
          <w:bCs/>
          <w:szCs w:val="22"/>
        </w:rPr>
        <w:t>he averment that the respondent was not permitted by the applicant to make changes to the settlement agreement was disproved on the papers</w:t>
      </w:r>
      <w:r w:rsidR="00AC38EE" w:rsidRPr="008B09D9">
        <w:rPr>
          <w:rFonts w:cs="Arial"/>
          <w:bCs/>
          <w:szCs w:val="22"/>
        </w:rPr>
        <w:t>,</w:t>
      </w:r>
      <w:r w:rsidR="00365A83" w:rsidRPr="008B09D9">
        <w:rPr>
          <w:rFonts w:cs="Arial"/>
          <w:bCs/>
          <w:szCs w:val="22"/>
        </w:rPr>
        <w:t xml:space="preserve"> by the amendments that the respondent did </w:t>
      </w:r>
      <w:r w:rsidR="00AC38EE" w:rsidRPr="008B09D9">
        <w:rPr>
          <w:rFonts w:cs="Arial"/>
          <w:bCs/>
          <w:szCs w:val="22"/>
        </w:rPr>
        <w:t>in fact make to the settlement agreement.</w:t>
      </w:r>
    </w:p>
    <w:p w14:paraId="5CF57291" w14:textId="3FFCF73B" w:rsidR="00365A83" w:rsidRPr="008B09D9" w:rsidRDefault="008B09D9" w:rsidP="008B09D9">
      <w:pPr>
        <w:tabs>
          <w:tab w:val="left" w:pos="567"/>
        </w:tabs>
        <w:spacing w:after="480" w:line="480" w:lineRule="auto"/>
        <w:rPr>
          <w:rFonts w:cs="Arial"/>
          <w:bCs/>
          <w:szCs w:val="22"/>
        </w:rPr>
      </w:pPr>
      <w:r>
        <w:rPr>
          <w:rFonts w:cs="Arial"/>
          <w:bCs/>
          <w:szCs w:val="22"/>
        </w:rPr>
        <w:t>[8]</w:t>
      </w:r>
      <w:r>
        <w:rPr>
          <w:rFonts w:cs="Arial"/>
          <w:bCs/>
          <w:szCs w:val="22"/>
        </w:rPr>
        <w:tab/>
      </w:r>
      <w:r w:rsidR="00365A83" w:rsidRPr="008B09D9">
        <w:rPr>
          <w:rFonts w:cs="Arial"/>
          <w:bCs/>
          <w:szCs w:val="22"/>
        </w:rPr>
        <w:t>The respondent, who described himself as a ‘businessman</w:t>
      </w:r>
      <w:r w:rsidR="00686E0C" w:rsidRPr="008B09D9">
        <w:rPr>
          <w:rFonts w:cs="Arial"/>
          <w:bCs/>
          <w:szCs w:val="22"/>
        </w:rPr>
        <w:t>’</w:t>
      </w:r>
      <w:r w:rsidR="00365A83" w:rsidRPr="008B09D9">
        <w:rPr>
          <w:rFonts w:cs="Arial"/>
          <w:bCs/>
          <w:szCs w:val="22"/>
        </w:rPr>
        <w:t xml:space="preserve"> in his answering affidavit, did not have legal representation at the time that he signed the settlement agreement. The latter document was drafted by the applicant’s attorney at the time</w:t>
      </w:r>
      <w:r w:rsidR="00AC38EE" w:rsidRPr="008B09D9">
        <w:rPr>
          <w:rFonts w:cs="Arial"/>
          <w:bCs/>
          <w:szCs w:val="22"/>
        </w:rPr>
        <w:t>,</w:t>
      </w:r>
      <w:r w:rsidR="00365A83" w:rsidRPr="008B09D9">
        <w:rPr>
          <w:rFonts w:cs="Arial"/>
          <w:bCs/>
          <w:szCs w:val="22"/>
        </w:rPr>
        <w:t xml:space="preserve"> based upon proposals made by the respondent. </w:t>
      </w:r>
    </w:p>
    <w:p w14:paraId="5A431D21" w14:textId="03B47A88" w:rsidR="00365A83" w:rsidRPr="008B09D9" w:rsidRDefault="008B09D9" w:rsidP="008B09D9">
      <w:pPr>
        <w:tabs>
          <w:tab w:val="left" w:pos="567"/>
        </w:tabs>
        <w:spacing w:after="480" w:line="480" w:lineRule="auto"/>
        <w:rPr>
          <w:rFonts w:cs="Arial"/>
          <w:bCs/>
          <w:szCs w:val="22"/>
        </w:rPr>
      </w:pPr>
      <w:r>
        <w:rPr>
          <w:rFonts w:cs="Arial"/>
          <w:bCs/>
          <w:szCs w:val="22"/>
        </w:rPr>
        <w:t>[9]</w:t>
      </w:r>
      <w:r>
        <w:rPr>
          <w:rFonts w:cs="Arial"/>
          <w:bCs/>
          <w:szCs w:val="22"/>
        </w:rPr>
        <w:tab/>
      </w:r>
      <w:r w:rsidR="00365A83" w:rsidRPr="008B09D9">
        <w:rPr>
          <w:rFonts w:cs="Arial"/>
          <w:bCs/>
          <w:szCs w:val="22"/>
        </w:rPr>
        <w:t>The applicant explained that the parties concluded the settlement agreement after the issue of the summons in the action proceedings, that the settlement agreement dealt with the applicant’s claims against the immovable property, pension interest and company shareholding made</w:t>
      </w:r>
      <w:r w:rsidR="00AC38EE" w:rsidRPr="008B09D9">
        <w:rPr>
          <w:rFonts w:cs="Arial"/>
          <w:bCs/>
          <w:szCs w:val="22"/>
        </w:rPr>
        <w:t xml:space="preserve"> in the action proceedings. The settlement agreement</w:t>
      </w:r>
      <w:r w:rsidR="00365A83" w:rsidRPr="008B09D9">
        <w:rPr>
          <w:rFonts w:cs="Arial"/>
          <w:bCs/>
          <w:szCs w:val="22"/>
        </w:rPr>
        <w:t xml:space="preserve"> </w:t>
      </w:r>
      <w:r w:rsidR="00AC38EE" w:rsidRPr="008B09D9">
        <w:rPr>
          <w:rFonts w:cs="Arial"/>
          <w:bCs/>
          <w:szCs w:val="22"/>
        </w:rPr>
        <w:t>included provisions regarding</w:t>
      </w:r>
      <w:r w:rsidR="00365A83" w:rsidRPr="008B09D9">
        <w:rPr>
          <w:rFonts w:cs="Arial"/>
          <w:bCs/>
          <w:szCs w:val="22"/>
        </w:rPr>
        <w:t xml:space="preserve"> the responsibilities and rights relating to the children born of the</w:t>
      </w:r>
      <w:r w:rsidR="00AC38EE" w:rsidRPr="008B09D9">
        <w:rPr>
          <w:rFonts w:cs="Arial"/>
          <w:bCs/>
          <w:szCs w:val="22"/>
        </w:rPr>
        <w:t xml:space="preserve"> </w:t>
      </w:r>
      <w:r w:rsidR="00686E0C" w:rsidRPr="008B09D9">
        <w:rPr>
          <w:rFonts w:cs="Arial"/>
          <w:bCs/>
          <w:szCs w:val="22"/>
        </w:rPr>
        <w:t>parties’ prior relationship as well as</w:t>
      </w:r>
      <w:r w:rsidR="00AC38EE" w:rsidRPr="008B09D9">
        <w:rPr>
          <w:rFonts w:cs="Arial"/>
          <w:bCs/>
          <w:szCs w:val="22"/>
        </w:rPr>
        <w:t xml:space="preserve"> </w:t>
      </w:r>
      <w:r w:rsidR="00365A83" w:rsidRPr="008B09D9">
        <w:rPr>
          <w:rFonts w:cs="Arial"/>
          <w:bCs/>
          <w:szCs w:val="22"/>
        </w:rPr>
        <w:t>provisions for what w</w:t>
      </w:r>
      <w:r w:rsidR="00AC38EE" w:rsidRPr="008B09D9">
        <w:rPr>
          <w:rFonts w:cs="Arial"/>
          <w:bCs/>
          <w:szCs w:val="22"/>
        </w:rPr>
        <w:t xml:space="preserve">as termed ‘spousal maintenance’ </w:t>
      </w:r>
      <w:r w:rsidR="00365A83" w:rsidRPr="008B09D9">
        <w:rPr>
          <w:rFonts w:cs="Arial"/>
          <w:bCs/>
          <w:szCs w:val="22"/>
        </w:rPr>
        <w:t>but effectively amounted to payment of a monthly amount to the applicant</w:t>
      </w:r>
      <w:r w:rsidR="00686E0C" w:rsidRPr="008B09D9">
        <w:rPr>
          <w:rFonts w:cs="Arial"/>
          <w:bCs/>
          <w:szCs w:val="22"/>
        </w:rPr>
        <w:t>,</w:t>
      </w:r>
      <w:r w:rsidR="00365A83" w:rsidRPr="008B09D9">
        <w:rPr>
          <w:rFonts w:cs="Arial"/>
          <w:bCs/>
          <w:szCs w:val="22"/>
        </w:rPr>
        <w:t xml:space="preserve"> by the respondent.</w:t>
      </w:r>
    </w:p>
    <w:p w14:paraId="3B09CF0D" w14:textId="018B9598" w:rsidR="0017373B" w:rsidRPr="008B09D9" w:rsidRDefault="008B09D9" w:rsidP="008B09D9">
      <w:pPr>
        <w:tabs>
          <w:tab w:val="left" w:pos="567"/>
        </w:tabs>
        <w:spacing w:after="480" w:line="480" w:lineRule="auto"/>
        <w:rPr>
          <w:rFonts w:cs="Arial"/>
          <w:bCs/>
          <w:szCs w:val="22"/>
        </w:rPr>
      </w:pPr>
      <w:r>
        <w:rPr>
          <w:rFonts w:cs="Arial"/>
          <w:bCs/>
          <w:szCs w:val="22"/>
        </w:rPr>
        <w:t>[10]</w:t>
      </w:r>
      <w:r>
        <w:rPr>
          <w:rFonts w:cs="Arial"/>
          <w:bCs/>
          <w:szCs w:val="22"/>
        </w:rPr>
        <w:tab/>
      </w:r>
      <w:r w:rsidR="00365A83" w:rsidRPr="008B09D9">
        <w:rPr>
          <w:rFonts w:cs="Arial"/>
          <w:bCs/>
          <w:szCs w:val="22"/>
        </w:rPr>
        <w:t xml:space="preserve">The respondent’s counsel argued that because the particulars of claim in the action proceedings did not include claims in respect </w:t>
      </w:r>
      <w:r w:rsidR="00AC38EE" w:rsidRPr="008B09D9">
        <w:rPr>
          <w:rFonts w:cs="Arial"/>
          <w:bCs/>
          <w:szCs w:val="22"/>
        </w:rPr>
        <w:t xml:space="preserve">of the parties’ children or the </w:t>
      </w:r>
      <w:r w:rsidR="00365A83" w:rsidRPr="008B09D9">
        <w:rPr>
          <w:rFonts w:cs="Arial"/>
          <w:bCs/>
          <w:szCs w:val="22"/>
        </w:rPr>
        <w:t>so-called ‘spousal maintenance</w:t>
      </w:r>
      <w:r w:rsidR="00AC38EE" w:rsidRPr="008B09D9">
        <w:rPr>
          <w:rFonts w:cs="Arial"/>
          <w:bCs/>
          <w:szCs w:val="22"/>
        </w:rPr>
        <w:t>,</w:t>
      </w:r>
      <w:r w:rsidR="00365A83" w:rsidRPr="008B09D9">
        <w:rPr>
          <w:rFonts w:cs="Arial"/>
          <w:bCs/>
          <w:szCs w:val="22"/>
        </w:rPr>
        <w:t xml:space="preserve">’ </w:t>
      </w:r>
      <w:r w:rsidR="004946AF" w:rsidRPr="008B09D9">
        <w:rPr>
          <w:rFonts w:cs="Arial"/>
          <w:bCs/>
          <w:szCs w:val="22"/>
        </w:rPr>
        <w:t>and the application proceeded under a case number different from t</w:t>
      </w:r>
      <w:r w:rsidR="00AC38EE" w:rsidRPr="008B09D9">
        <w:rPr>
          <w:rFonts w:cs="Arial"/>
          <w:bCs/>
          <w:szCs w:val="22"/>
        </w:rPr>
        <w:t>hat allocated to the summons in</w:t>
      </w:r>
      <w:r w:rsidR="004946AF" w:rsidRPr="008B09D9">
        <w:rPr>
          <w:rFonts w:cs="Arial"/>
          <w:bCs/>
          <w:szCs w:val="22"/>
        </w:rPr>
        <w:t xml:space="preserve"> the action proceedings, I was precluded from making the settlement agreement an order of Court</w:t>
      </w:r>
      <w:r w:rsidR="00AC38EE" w:rsidRPr="008B09D9">
        <w:rPr>
          <w:rFonts w:cs="Arial"/>
          <w:bCs/>
          <w:szCs w:val="22"/>
        </w:rPr>
        <w:t xml:space="preserve">. </w:t>
      </w:r>
      <w:r w:rsidR="004946AF" w:rsidRPr="008B09D9">
        <w:rPr>
          <w:rFonts w:cs="Arial"/>
          <w:bCs/>
          <w:szCs w:val="22"/>
        </w:rPr>
        <w:t xml:space="preserve"> </w:t>
      </w:r>
      <w:r w:rsidR="00AC38EE" w:rsidRPr="008B09D9">
        <w:rPr>
          <w:rFonts w:cs="Arial"/>
          <w:bCs/>
          <w:szCs w:val="22"/>
        </w:rPr>
        <w:t xml:space="preserve">This was </w:t>
      </w:r>
      <w:r w:rsidR="004946AF" w:rsidRPr="008B09D9">
        <w:rPr>
          <w:rFonts w:cs="Arial"/>
          <w:bCs/>
          <w:szCs w:val="22"/>
        </w:rPr>
        <w:t xml:space="preserve">because there was no </w:t>
      </w:r>
      <w:proofErr w:type="spellStart"/>
      <w:r w:rsidR="004946AF" w:rsidRPr="008B09D9">
        <w:rPr>
          <w:rFonts w:cs="Arial"/>
          <w:bCs/>
          <w:i/>
          <w:szCs w:val="22"/>
        </w:rPr>
        <w:t>lis</w:t>
      </w:r>
      <w:proofErr w:type="spellEnd"/>
      <w:r w:rsidR="004946AF" w:rsidRPr="008B09D9">
        <w:rPr>
          <w:rFonts w:cs="Arial"/>
          <w:bCs/>
          <w:i/>
          <w:szCs w:val="22"/>
        </w:rPr>
        <w:t xml:space="preserve"> </w:t>
      </w:r>
      <w:r w:rsidR="004946AF" w:rsidRPr="008B09D9">
        <w:rPr>
          <w:rFonts w:cs="Arial"/>
          <w:bCs/>
          <w:szCs w:val="22"/>
        </w:rPr>
        <w:t xml:space="preserve">between the action and the application proceedings, and because our common law, at this stage of its development, does not permit of a claim for maintenance in </w:t>
      </w:r>
      <w:r w:rsidR="00686E0C" w:rsidRPr="008B09D9">
        <w:rPr>
          <w:rFonts w:cs="Arial"/>
          <w:bCs/>
          <w:szCs w:val="22"/>
        </w:rPr>
        <w:t xml:space="preserve">respect of a </w:t>
      </w:r>
      <w:r w:rsidR="00686E0C" w:rsidRPr="008B09D9">
        <w:rPr>
          <w:rFonts w:cs="Arial"/>
          <w:bCs/>
          <w:szCs w:val="22"/>
        </w:rPr>
        <w:lastRenderedPageBreak/>
        <w:t xml:space="preserve">partner </w:t>
      </w:r>
      <w:r w:rsidR="004946AF" w:rsidRPr="008B09D9">
        <w:rPr>
          <w:rFonts w:cs="Arial"/>
          <w:bCs/>
          <w:szCs w:val="22"/>
        </w:rPr>
        <w:t xml:space="preserve">to a universal partnership, being made after the termination of the universal partnership. </w:t>
      </w:r>
    </w:p>
    <w:p w14:paraId="07558BBB" w14:textId="5892893B" w:rsidR="004946AF" w:rsidRPr="008B09D9" w:rsidRDefault="008B09D9" w:rsidP="008B09D9">
      <w:pPr>
        <w:tabs>
          <w:tab w:val="left" w:pos="567"/>
        </w:tabs>
        <w:spacing w:after="480" w:line="480" w:lineRule="auto"/>
        <w:rPr>
          <w:rFonts w:cs="Arial"/>
          <w:bCs/>
          <w:szCs w:val="22"/>
        </w:rPr>
      </w:pPr>
      <w:r>
        <w:rPr>
          <w:rFonts w:cs="Arial"/>
          <w:bCs/>
          <w:szCs w:val="22"/>
        </w:rPr>
        <w:t>[11]</w:t>
      </w:r>
      <w:r>
        <w:rPr>
          <w:rFonts w:cs="Arial"/>
          <w:bCs/>
          <w:szCs w:val="22"/>
        </w:rPr>
        <w:tab/>
      </w:r>
      <w:r w:rsidR="004946AF" w:rsidRPr="008B09D9">
        <w:rPr>
          <w:rFonts w:cs="Arial"/>
          <w:bCs/>
          <w:szCs w:val="22"/>
        </w:rPr>
        <w:t>The respondent’s counsel is correct as regards the</w:t>
      </w:r>
      <w:r w:rsidR="005F569D" w:rsidRPr="008B09D9">
        <w:rPr>
          <w:rFonts w:cs="Arial"/>
          <w:bCs/>
          <w:szCs w:val="22"/>
        </w:rPr>
        <w:t xml:space="preserve"> development of the common law,</w:t>
      </w:r>
      <w:r w:rsidR="004946AF" w:rsidRPr="008B09D9">
        <w:rPr>
          <w:rFonts w:cs="Arial"/>
          <w:bCs/>
          <w:szCs w:val="22"/>
        </w:rPr>
        <w:t xml:space="preserve"> however, parking to one side for the moment the </w:t>
      </w:r>
      <w:r w:rsidR="005F569D" w:rsidRPr="008B09D9">
        <w:rPr>
          <w:rFonts w:cs="Arial"/>
          <w:bCs/>
          <w:szCs w:val="22"/>
        </w:rPr>
        <w:t>issue</w:t>
      </w:r>
      <w:r w:rsidR="004946AF" w:rsidRPr="008B09D9">
        <w:rPr>
          <w:rFonts w:cs="Arial"/>
          <w:bCs/>
          <w:szCs w:val="22"/>
        </w:rPr>
        <w:t xml:space="preserve"> of the settlement agreement being void, voidable or subject to a misrepresentation, </w:t>
      </w:r>
      <w:r w:rsidR="00722542" w:rsidRPr="008B09D9">
        <w:rPr>
          <w:rFonts w:cs="Arial"/>
          <w:bCs/>
          <w:szCs w:val="22"/>
        </w:rPr>
        <w:t>the parties concluded a settlement agreemen</w:t>
      </w:r>
      <w:r w:rsidR="005F569D" w:rsidRPr="008B09D9">
        <w:rPr>
          <w:rFonts w:cs="Arial"/>
          <w:bCs/>
          <w:szCs w:val="22"/>
        </w:rPr>
        <w:t>t. The settlement agreement did not contain matter that wa</w:t>
      </w:r>
      <w:r w:rsidR="00722542" w:rsidRPr="008B09D9">
        <w:rPr>
          <w:rFonts w:cs="Arial"/>
          <w:bCs/>
          <w:szCs w:val="22"/>
        </w:rPr>
        <w:t xml:space="preserve">s unlawful or illegal or </w:t>
      </w:r>
      <w:r w:rsidR="00722542" w:rsidRPr="008B09D9">
        <w:rPr>
          <w:rFonts w:cs="Arial"/>
          <w:bCs/>
          <w:i/>
          <w:szCs w:val="22"/>
        </w:rPr>
        <w:t xml:space="preserve">contra </w:t>
      </w:r>
      <w:proofErr w:type="spellStart"/>
      <w:r w:rsidR="00722542" w:rsidRPr="008B09D9">
        <w:rPr>
          <w:rFonts w:cs="Arial"/>
          <w:bCs/>
          <w:i/>
          <w:szCs w:val="22"/>
        </w:rPr>
        <w:t>bonis</w:t>
      </w:r>
      <w:proofErr w:type="spellEnd"/>
      <w:r w:rsidR="00722542" w:rsidRPr="008B09D9">
        <w:rPr>
          <w:rFonts w:cs="Arial"/>
          <w:bCs/>
          <w:i/>
          <w:szCs w:val="22"/>
        </w:rPr>
        <w:t xml:space="preserve"> mores</w:t>
      </w:r>
      <w:r w:rsidR="00722542" w:rsidRPr="008B09D9">
        <w:rPr>
          <w:rFonts w:cs="Arial"/>
          <w:bCs/>
          <w:szCs w:val="22"/>
        </w:rPr>
        <w:t xml:space="preserve"> and </w:t>
      </w:r>
      <w:r w:rsidR="005F569D" w:rsidRPr="008B09D9">
        <w:rPr>
          <w:rFonts w:cs="Arial"/>
          <w:bCs/>
          <w:szCs w:val="22"/>
        </w:rPr>
        <w:t xml:space="preserve">it </w:t>
      </w:r>
      <w:r w:rsidR="00722542" w:rsidRPr="008B09D9">
        <w:rPr>
          <w:rFonts w:cs="Arial"/>
          <w:bCs/>
          <w:szCs w:val="22"/>
        </w:rPr>
        <w:t>was signed by both parties</w:t>
      </w:r>
      <w:r w:rsidR="005F569D" w:rsidRPr="008B09D9">
        <w:rPr>
          <w:rFonts w:cs="Arial"/>
          <w:bCs/>
          <w:szCs w:val="22"/>
        </w:rPr>
        <w:t>,</w:t>
      </w:r>
      <w:r w:rsidR="00722542" w:rsidRPr="008B09D9">
        <w:rPr>
          <w:rFonts w:cs="Arial"/>
          <w:bCs/>
          <w:szCs w:val="22"/>
        </w:rPr>
        <w:t xml:space="preserve"> apparently free and voluntarily. </w:t>
      </w:r>
    </w:p>
    <w:p w14:paraId="44516845" w14:textId="47925EDB" w:rsidR="005F569D" w:rsidRPr="008B09D9" w:rsidRDefault="008B09D9" w:rsidP="008B09D9">
      <w:pPr>
        <w:tabs>
          <w:tab w:val="left" w:pos="567"/>
        </w:tabs>
        <w:spacing w:after="480" w:line="480" w:lineRule="auto"/>
        <w:rPr>
          <w:rFonts w:cs="Arial"/>
          <w:bCs/>
          <w:szCs w:val="22"/>
        </w:rPr>
      </w:pPr>
      <w:r w:rsidRPr="00686E0C">
        <w:rPr>
          <w:rFonts w:cs="Arial"/>
          <w:bCs/>
          <w:szCs w:val="22"/>
        </w:rPr>
        <w:t>[12]</w:t>
      </w:r>
      <w:r w:rsidRPr="00686E0C">
        <w:rPr>
          <w:rFonts w:cs="Arial"/>
          <w:bCs/>
          <w:szCs w:val="22"/>
        </w:rPr>
        <w:tab/>
      </w:r>
      <w:r w:rsidR="00722542" w:rsidRPr="008B09D9">
        <w:rPr>
          <w:rFonts w:cs="Arial"/>
          <w:bCs/>
          <w:szCs w:val="22"/>
        </w:rPr>
        <w:t>The parties were fully entitled to enter into a settlement agreement, as they did, aris</w:t>
      </w:r>
      <w:r w:rsidR="00686E0C" w:rsidRPr="008B09D9">
        <w:rPr>
          <w:rFonts w:cs="Arial"/>
          <w:bCs/>
          <w:szCs w:val="22"/>
        </w:rPr>
        <w:t>ing from the action proceedings,</w:t>
      </w:r>
      <w:r w:rsidR="00722542" w:rsidRPr="008B09D9">
        <w:rPr>
          <w:rFonts w:cs="Arial"/>
          <w:bCs/>
          <w:szCs w:val="22"/>
        </w:rPr>
        <w:t xml:space="preserve"> and</w:t>
      </w:r>
      <w:r w:rsidR="005F569D" w:rsidRPr="008B09D9">
        <w:rPr>
          <w:rFonts w:cs="Arial"/>
          <w:bCs/>
          <w:szCs w:val="22"/>
        </w:rPr>
        <w:t xml:space="preserve"> to</w:t>
      </w:r>
      <w:r w:rsidR="00722542" w:rsidRPr="008B09D9">
        <w:rPr>
          <w:rFonts w:cs="Arial"/>
          <w:bCs/>
          <w:szCs w:val="22"/>
        </w:rPr>
        <w:t xml:space="preserve"> include therein such matter as they both agreed to include on the agr</w:t>
      </w:r>
      <w:r w:rsidR="005F569D" w:rsidRPr="008B09D9">
        <w:rPr>
          <w:rFonts w:cs="Arial"/>
          <w:bCs/>
          <w:szCs w:val="22"/>
        </w:rPr>
        <w:t>eed terms, even if that matter wa</w:t>
      </w:r>
      <w:r w:rsidR="00722542" w:rsidRPr="008B09D9">
        <w:rPr>
          <w:rFonts w:cs="Arial"/>
          <w:bCs/>
          <w:szCs w:val="22"/>
        </w:rPr>
        <w:t>s not raised by the claims made in the action proceedings. Thus, the fact that the settlement agreement dealt with issue</w:t>
      </w:r>
      <w:r w:rsidR="005F569D" w:rsidRPr="008B09D9">
        <w:rPr>
          <w:rFonts w:cs="Arial"/>
          <w:bCs/>
          <w:szCs w:val="22"/>
        </w:rPr>
        <w:t>s</w:t>
      </w:r>
      <w:r w:rsidR="00722542" w:rsidRPr="008B09D9">
        <w:rPr>
          <w:rFonts w:cs="Arial"/>
          <w:bCs/>
          <w:szCs w:val="22"/>
        </w:rPr>
        <w:t xml:space="preserve"> not claimed in the action proceedings</w:t>
      </w:r>
      <w:r w:rsidR="005F569D" w:rsidRPr="008B09D9">
        <w:rPr>
          <w:rFonts w:cs="Arial"/>
          <w:bCs/>
          <w:szCs w:val="22"/>
        </w:rPr>
        <w:t>,</w:t>
      </w:r>
      <w:r w:rsidR="00722542" w:rsidRPr="008B09D9">
        <w:rPr>
          <w:rFonts w:cs="Arial"/>
          <w:bCs/>
          <w:szCs w:val="22"/>
        </w:rPr>
        <w:t xml:space="preserve"> being the issues in respect of the children and the applicant’s personal maintenance, to mention only two, is irrelevant to the validity of the settlement agreement. </w:t>
      </w:r>
    </w:p>
    <w:p w14:paraId="5EA893C2" w14:textId="7287B11A" w:rsidR="00722542" w:rsidRPr="008B09D9" w:rsidRDefault="008B09D9" w:rsidP="008B09D9">
      <w:pPr>
        <w:tabs>
          <w:tab w:val="left" w:pos="567"/>
        </w:tabs>
        <w:spacing w:after="480" w:line="480" w:lineRule="auto"/>
        <w:rPr>
          <w:rFonts w:cs="Arial"/>
          <w:bCs/>
          <w:szCs w:val="22"/>
        </w:rPr>
      </w:pPr>
      <w:r>
        <w:rPr>
          <w:rFonts w:cs="Arial"/>
          <w:bCs/>
          <w:szCs w:val="22"/>
        </w:rPr>
        <w:t>[13]</w:t>
      </w:r>
      <w:r>
        <w:rPr>
          <w:rFonts w:cs="Arial"/>
          <w:bCs/>
          <w:szCs w:val="22"/>
        </w:rPr>
        <w:tab/>
      </w:r>
      <w:r w:rsidR="006D5550" w:rsidRPr="008B09D9">
        <w:rPr>
          <w:rFonts w:cs="Arial"/>
          <w:bCs/>
          <w:szCs w:val="22"/>
        </w:rPr>
        <w:t xml:space="preserve">As to the fact that the common law does not allow for maintenance to be claimed by one party from another after the termination of the universal partnership, it matters not because the parties agreed to the </w:t>
      </w:r>
      <w:r w:rsidR="005F569D" w:rsidRPr="008B09D9">
        <w:rPr>
          <w:rFonts w:cs="Arial"/>
          <w:bCs/>
          <w:szCs w:val="22"/>
        </w:rPr>
        <w:t xml:space="preserve">relevant </w:t>
      </w:r>
      <w:r w:rsidR="006D5550" w:rsidRPr="008B09D9">
        <w:rPr>
          <w:rFonts w:cs="Arial"/>
          <w:bCs/>
          <w:szCs w:val="22"/>
        </w:rPr>
        <w:t>provision</w:t>
      </w:r>
      <w:r w:rsidR="005F569D" w:rsidRPr="008B09D9">
        <w:rPr>
          <w:rFonts w:cs="Arial"/>
          <w:bCs/>
          <w:szCs w:val="22"/>
        </w:rPr>
        <w:t>. They</w:t>
      </w:r>
      <w:r w:rsidR="006D5550" w:rsidRPr="008B09D9">
        <w:rPr>
          <w:rFonts w:cs="Arial"/>
          <w:bCs/>
          <w:szCs w:val="22"/>
        </w:rPr>
        <w:t xml:space="preserve"> incorporated w</w:t>
      </w:r>
      <w:r w:rsidR="005F569D" w:rsidRPr="008B09D9">
        <w:rPr>
          <w:rFonts w:cs="Arial"/>
          <w:bCs/>
          <w:szCs w:val="22"/>
        </w:rPr>
        <w:t xml:space="preserve">hat they considered to be the appropriate </w:t>
      </w:r>
      <w:r w:rsidR="006D5550" w:rsidRPr="008B09D9">
        <w:rPr>
          <w:rFonts w:cs="Arial"/>
          <w:bCs/>
          <w:szCs w:val="22"/>
        </w:rPr>
        <w:t xml:space="preserve">provision for a monthly payment for the applicant payable by the respondent, in the settlement agreement. </w:t>
      </w:r>
    </w:p>
    <w:p w14:paraId="5E0D347E" w14:textId="2262BED6" w:rsidR="006D5550" w:rsidRPr="008B09D9" w:rsidRDefault="008B09D9" w:rsidP="008B09D9">
      <w:pPr>
        <w:tabs>
          <w:tab w:val="left" w:pos="567"/>
        </w:tabs>
        <w:spacing w:after="480" w:line="480" w:lineRule="auto"/>
        <w:rPr>
          <w:rFonts w:cs="Arial"/>
          <w:bCs/>
          <w:szCs w:val="22"/>
        </w:rPr>
      </w:pPr>
      <w:r>
        <w:rPr>
          <w:rFonts w:cs="Arial"/>
          <w:bCs/>
          <w:szCs w:val="22"/>
        </w:rPr>
        <w:t>[14]</w:t>
      </w:r>
      <w:r>
        <w:rPr>
          <w:rFonts w:cs="Arial"/>
          <w:bCs/>
          <w:szCs w:val="22"/>
        </w:rPr>
        <w:tab/>
      </w:r>
      <w:r w:rsidR="006D5550" w:rsidRPr="008B09D9">
        <w:rPr>
          <w:rFonts w:cs="Arial"/>
          <w:b/>
          <w:bCs/>
          <w:szCs w:val="22"/>
        </w:rPr>
        <w:t>Insofar as the respondent allege</w:t>
      </w:r>
      <w:r w:rsidR="005F569D" w:rsidRPr="008B09D9">
        <w:rPr>
          <w:rFonts w:cs="Arial"/>
          <w:b/>
          <w:bCs/>
          <w:szCs w:val="22"/>
        </w:rPr>
        <w:t>d</w:t>
      </w:r>
      <w:r w:rsidR="006D5550" w:rsidRPr="008B09D9">
        <w:rPr>
          <w:rFonts w:cs="Arial"/>
          <w:b/>
          <w:bCs/>
          <w:szCs w:val="22"/>
        </w:rPr>
        <w:t xml:space="preserve"> that there was no consensu</w:t>
      </w:r>
      <w:r w:rsidR="000A18D4" w:rsidRPr="008B09D9">
        <w:rPr>
          <w:rFonts w:cs="Arial"/>
          <w:b/>
          <w:bCs/>
          <w:szCs w:val="22"/>
        </w:rPr>
        <w:t>s between the parties in respect of</w:t>
      </w:r>
      <w:r w:rsidR="006D5550" w:rsidRPr="008B09D9">
        <w:rPr>
          <w:rFonts w:cs="Arial"/>
          <w:b/>
          <w:bCs/>
          <w:szCs w:val="22"/>
        </w:rPr>
        <w:t xml:space="preserve"> the settlement agreement and that neither party considered </w:t>
      </w:r>
      <w:r w:rsidR="000A18D4" w:rsidRPr="008B09D9">
        <w:rPr>
          <w:rFonts w:cs="Arial"/>
          <w:b/>
          <w:bCs/>
          <w:szCs w:val="22"/>
        </w:rPr>
        <w:t>i</w:t>
      </w:r>
      <w:r w:rsidR="006D5550" w:rsidRPr="008B09D9">
        <w:rPr>
          <w:rFonts w:cs="Arial"/>
          <w:b/>
          <w:bCs/>
          <w:szCs w:val="22"/>
        </w:rPr>
        <w:t>t</w:t>
      </w:r>
      <w:r w:rsidR="000A18D4" w:rsidRPr="008B09D9">
        <w:rPr>
          <w:rFonts w:cs="Arial"/>
          <w:b/>
          <w:bCs/>
          <w:szCs w:val="22"/>
        </w:rPr>
        <w:t>self</w:t>
      </w:r>
      <w:r w:rsidR="006D5550" w:rsidRPr="008B09D9">
        <w:rPr>
          <w:rFonts w:cs="Arial"/>
          <w:b/>
          <w:bCs/>
          <w:szCs w:val="22"/>
        </w:rPr>
        <w:t xml:space="preserve"> bound by it, the respondent referred to the applicant failing to allow him contact to the</w:t>
      </w:r>
      <w:r w:rsidR="006D5550" w:rsidRPr="008B09D9">
        <w:rPr>
          <w:rFonts w:cs="Arial"/>
          <w:bCs/>
          <w:szCs w:val="22"/>
        </w:rPr>
        <w:t xml:space="preserve"> children in terms of the settlement agreement and that the applicant</w:t>
      </w:r>
      <w:r w:rsidR="000A18D4" w:rsidRPr="008B09D9">
        <w:rPr>
          <w:rFonts w:cs="Arial"/>
          <w:bCs/>
          <w:szCs w:val="22"/>
        </w:rPr>
        <w:t>,</w:t>
      </w:r>
      <w:r w:rsidR="006D5550" w:rsidRPr="008B09D9">
        <w:rPr>
          <w:rFonts w:cs="Arial"/>
          <w:bCs/>
          <w:szCs w:val="22"/>
        </w:rPr>
        <w:t xml:space="preserve"> </w:t>
      </w:r>
      <w:proofErr w:type="gramStart"/>
      <w:r w:rsidR="006D5550" w:rsidRPr="008B09D9">
        <w:rPr>
          <w:rFonts w:cs="Arial"/>
          <w:bCs/>
          <w:szCs w:val="22"/>
        </w:rPr>
        <w:t>subsequent to</w:t>
      </w:r>
      <w:proofErr w:type="gramEnd"/>
      <w:r w:rsidR="006D5550" w:rsidRPr="008B09D9">
        <w:rPr>
          <w:rFonts w:cs="Arial"/>
          <w:bCs/>
          <w:szCs w:val="22"/>
        </w:rPr>
        <w:t xml:space="preserve"> the signature by the parties of the settlement agreement, approached the </w:t>
      </w:r>
      <w:r w:rsidR="006D5550" w:rsidRPr="008B09D9">
        <w:rPr>
          <w:rFonts w:cs="Arial"/>
          <w:bCs/>
          <w:szCs w:val="22"/>
        </w:rPr>
        <w:lastRenderedPageBreak/>
        <w:t>Brakpan Maintenance Court</w:t>
      </w:r>
      <w:r w:rsidR="000A18D4" w:rsidRPr="008B09D9">
        <w:rPr>
          <w:rFonts w:cs="Arial"/>
          <w:bCs/>
          <w:szCs w:val="22"/>
        </w:rPr>
        <w:t>. The applicant</w:t>
      </w:r>
      <w:r w:rsidR="006D5550" w:rsidRPr="008B09D9">
        <w:rPr>
          <w:rFonts w:cs="Arial"/>
          <w:bCs/>
          <w:szCs w:val="22"/>
        </w:rPr>
        <w:t xml:space="preserve"> commenced proceedings in ter</w:t>
      </w:r>
      <w:r w:rsidR="000A18D4" w:rsidRPr="008B09D9">
        <w:rPr>
          <w:rFonts w:cs="Arial"/>
          <w:bCs/>
          <w:szCs w:val="22"/>
        </w:rPr>
        <w:t>ms of s</w:t>
      </w:r>
      <w:r w:rsidR="006D5550" w:rsidRPr="008B09D9">
        <w:rPr>
          <w:rFonts w:cs="Arial"/>
          <w:bCs/>
          <w:szCs w:val="22"/>
        </w:rPr>
        <w:t xml:space="preserve"> 6 of the Maintenance Act, 99 of 1998 (‘the Maintenance Act’), rather than seeking an order from that Court based on the provisions of the settlement agreement. The applicant, however, explained that she was advised that because the settlement agreement</w:t>
      </w:r>
      <w:r w:rsidR="000A18D4" w:rsidRPr="008B09D9">
        <w:rPr>
          <w:rFonts w:cs="Arial"/>
          <w:bCs/>
          <w:szCs w:val="22"/>
        </w:rPr>
        <w:t xml:space="preserve"> had not been made an order of c</w:t>
      </w:r>
      <w:r w:rsidR="006D5550" w:rsidRPr="008B09D9">
        <w:rPr>
          <w:rFonts w:cs="Arial"/>
          <w:bCs/>
          <w:szCs w:val="22"/>
        </w:rPr>
        <w:t>ourt, she was obliged to proceed in terms of the Maintenance Act, which she duly did.</w:t>
      </w:r>
    </w:p>
    <w:p w14:paraId="01EB9837" w14:textId="10A67346" w:rsidR="006D5550" w:rsidRPr="008B09D9" w:rsidRDefault="008B09D9" w:rsidP="008B09D9">
      <w:pPr>
        <w:tabs>
          <w:tab w:val="left" w:pos="567"/>
        </w:tabs>
        <w:spacing w:after="480" w:line="480" w:lineRule="auto"/>
        <w:rPr>
          <w:rFonts w:cs="Arial"/>
          <w:bCs/>
          <w:szCs w:val="22"/>
        </w:rPr>
      </w:pPr>
      <w:r>
        <w:rPr>
          <w:rFonts w:cs="Arial"/>
          <w:bCs/>
          <w:szCs w:val="22"/>
        </w:rPr>
        <w:t>[15]</w:t>
      </w:r>
      <w:r>
        <w:rPr>
          <w:rFonts w:cs="Arial"/>
          <w:bCs/>
          <w:szCs w:val="22"/>
        </w:rPr>
        <w:tab/>
      </w:r>
      <w:r w:rsidR="006D5550" w:rsidRPr="008B09D9">
        <w:rPr>
          <w:rFonts w:cs="Arial"/>
          <w:bCs/>
          <w:szCs w:val="22"/>
        </w:rPr>
        <w:t>The fact that the applicant invoked the Maintenance Act in circumstances where the settlement</w:t>
      </w:r>
      <w:r w:rsidR="000A18D4" w:rsidRPr="008B09D9">
        <w:rPr>
          <w:rFonts w:cs="Arial"/>
          <w:bCs/>
          <w:szCs w:val="22"/>
        </w:rPr>
        <w:t xml:space="preserve"> agreement was not an order of c</w:t>
      </w:r>
      <w:r w:rsidR="006D5550" w:rsidRPr="008B09D9">
        <w:rPr>
          <w:rFonts w:cs="Arial"/>
          <w:bCs/>
          <w:szCs w:val="22"/>
        </w:rPr>
        <w:t xml:space="preserve">ourt, absent anything more in that regard, does not provide a basis for this Court </w:t>
      </w:r>
      <w:r w:rsidR="000A18D4" w:rsidRPr="008B09D9">
        <w:rPr>
          <w:rFonts w:cs="Arial"/>
          <w:bCs/>
          <w:szCs w:val="22"/>
        </w:rPr>
        <w:t>to find</w:t>
      </w:r>
      <w:r w:rsidR="006D5550" w:rsidRPr="008B09D9">
        <w:rPr>
          <w:rFonts w:cs="Arial"/>
          <w:bCs/>
          <w:szCs w:val="22"/>
        </w:rPr>
        <w:t xml:space="preserve"> that the applicant did not consider herself bound by the provisions of the settlement agreement. Nor does the alleged contact issue in respect of the</w:t>
      </w:r>
      <w:r w:rsidR="000A18D4" w:rsidRPr="008B09D9">
        <w:rPr>
          <w:rFonts w:cs="Arial"/>
          <w:bCs/>
          <w:szCs w:val="22"/>
        </w:rPr>
        <w:t xml:space="preserve"> respondent and the children, or</w:t>
      </w:r>
      <w:r w:rsidR="006D5550" w:rsidRPr="008B09D9">
        <w:rPr>
          <w:rFonts w:cs="Arial"/>
          <w:bCs/>
          <w:szCs w:val="22"/>
        </w:rPr>
        <w:t xml:space="preserve"> the applicant’s sale of a motor vehicle immediately after signature of the agreement in circumstances where the settlement agreement </w:t>
      </w:r>
      <w:proofErr w:type="gramStart"/>
      <w:r w:rsidR="006D5550" w:rsidRPr="008B09D9">
        <w:rPr>
          <w:rFonts w:cs="Arial"/>
          <w:bCs/>
          <w:szCs w:val="22"/>
        </w:rPr>
        <w:t>provided that</w:t>
      </w:r>
      <w:proofErr w:type="gramEnd"/>
      <w:r w:rsidR="006D5550" w:rsidRPr="008B09D9">
        <w:rPr>
          <w:rFonts w:cs="Arial"/>
          <w:bCs/>
          <w:szCs w:val="22"/>
        </w:rPr>
        <w:t xml:space="preserve"> it be sold subsequent to the settlement agreement being made an order of Court. </w:t>
      </w:r>
    </w:p>
    <w:p w14:paraId="3FD6CF83" w14:textId="35E8237A" w:rsidR="002F5658" w:rsidRPr="008B09D9" w:rsidRDefault="008B09D9" w:rsidP="008B09D9">
      <w:pPr>
        <w:tabs>
          <w:tab w:val="left" w:pos="567"/>
        </w:tabs>
        <w:spacing w:after="480" w:line="480" w:lineRule="auto"/>
        <w:rPr>
          <w:rFonts w:cs="Arial"/>
          <w:bCs/>
          <w:szCs w:val="22"/>
        </w:rPr>
      </w:pPr>
      <w:r>
        <w:rPr>
          <w:rFonts w:cs="Arial"/>
          <w:bCs/>
          <w:szCs w:val="22"/>
        </w:rPr>
        <w:t>[16]</w:t>
      </w:r>
      <w:r>
        <w:rPr>
          <w:rFonts w:cs="Arial"/>
          <w:bCs/>
          <w:szCs w:val="22"/>
        </w:rPr>
        <w:tab/>
      </w:r>
      <w:r w:rsidR="006D5550" w:rsidRPr="008B09D9">
        <w:rPr>
          <w:rFonts w:cs="Arial"/>
          <w:bCs/>
          <w:szCs w:val="22"/>
        </w:rPr>
        <w:t>Turning to the issue of j</w:t>
      </w:r>
      <w:r w:rsidR="00DF12F3" w:rsidRPr="008B09D9">
        <w:rPr>
          <w:rFonts w:cs="Arial"/>
          <w:bCs/>
          <w:szCs w:val="22"/>
        </w:rPr>
        <w:t>oinder raised by the respondent;</w:t>
      </w:r>
      <w:r w:rsidR="006D5550" w:rsidRPr="008B09D9">
        <w:rPr>
          <w:rFonts w:cs="Arial"/>
          <w:bCs/>
          <w:szCs w:val="22"/>
        </w:rPr>
        <w:t xml:space="preserve"> that the application should be dismissed because of non-joinder of the bond holder, SA Home Loans Guarantee (‘the bond holder’) and the pension fund, </w:t>
      </w:r>
      <w:r w:rsidR="00840557" w:rsidRPr="008B09D9">
        <w:rPr>
          <w:rFonts w:cs="Arial"/>
          <w:bCs/>
          <w:szCs w:val="22"/>
        </w:rPr>
        <w:t xml:space="preserve">the respondent’s </w:t>
      </w:r>
      <w:r w:rsidR="00DF12F3" w:rsidRPr="008B09D9">
        <w:rPr>
          <w:rFonts w:cs="Arial"/>
          <w:bCs/>
          <w:szCs w:val="22"/>
        </w:rPr>
        <w:t>counsel</w:t>
      </w:r>
      <w:r w:rsidR="0072629C" w:rsidRPr="008B09D9">
        <w:rPr>
          <w:rFonts w:cs="Arial"/>
          <w:bCs/>
          <w:szCs w:val="22"/>
        </w:rPr>
        <w:t xml:space="preserve"> argued that the bond holde</w:t>
      </w:r>
      <w:r w:rsidR="002F5658" w:rsidRPr="008B09D9">
        <w:rPr>
          <w:rFonts w:cs="Arial"/>
          <w:bCs/>
          <w:szCs w:val="22"/>
        </w:rPr>
        <w:t>r ought to have been joined as</w:t>
      </w:r>
      <w:r w:rsidR="0072629C" w:rsidRPr="008B09D9">
        <w:rPr>
          <w:rFonts w:cs="Arial"/>
          <w:bCs/>
          <w:szCs w:val="22"/>
        </w:rPr>
        <w:t xml:space="preserve"> it had a material interest in the matter</w:t>
      </w:r>
      <w:r w:rsidR="002F5658" w:rsidRPr="008B09D9">
        <w:rPr>
          <w:rFonts w:cs="Arial"/>
          <w:bCs/>
          <w:szCs w:val="22"/>
        </w:rPr>
        <w:t>.</w:t>
      </w:r>
      <w:r w:rsidR="0072629C" w:rsidRPr="008B09D9">
        <w:rPr>
          <w:rFonts w:cs="Arial"/>
          <w:bCs/>
          <w:szCs w:val="22"/>
        </w:rPr>
        <w:t xml:space="preserve"> </w:t>
      </w:r>
    </w:p>
    <w:p w14:paraId="443C4F3E" w14:textId="7996AED7" w:rsidR="0072629C" w:rsidRPr="008B09D9" w:rsidRDefault="008B09D9" w:rsidP="008B09D9">
      <w:pPr>
        <w:tabs>
          <w:tab w:val="left" w:pos="567"/>
        </w:tabs>
        <w:spacing w:after="480" w:line="480" w:lineRule="auto"/>
        <w:rPr>
          <w:rFonts w:cs="Arial"/>
          <w:bCs/>
          <w:szCs w:val="22"/>
        </w:rPr>
      </w:pPr>
      <w:r w:rsidRPr="00840557">
        <w:rPr>
          <w:rFonts w:cs="Arial"/>
          <w:bCs/>
          <w:szCs w:val="22"/>
        </w:rPr>
        <w:t>[17]</w:t>
      </w:r>
      <w:r w:rsidRPr="00840557">
        <w:rPr>
          <w:rFonts w:cs="Arial"/>
          <w:bCs/>
          <w:szCs w:val="22"/>
        </w:rPr>
        <w:tab/>
      </w:r>
      <w:r w:rsidR="002F5658" w:rsidRPr="008B09D9">
        <w:rPr>
          <w:rFonts w:cs="Arial"/>
          <w:bCs/>
          <w:szCs w:val="22"/>
        </w:rPr>
        <w:t xml:space="preserve">This arose due to </w:t>
      </w:r>
      <w:r w:rsidR="0072629C" w:rsidRPr="008B09D9">
        <w:rPr>
          <w:rFonts w:cs="Arial"/>
          <w:bCs/>
          <w:szCs w:val="22"/>
        </w:rPr>
        <w:t xml:space="preserve">the </w:t>
      </w:r>
      <w:r w:rsidR="002F5658" w:rsidRPr="008B09D9">
        <w:rPr>
          <w:rFonts w:cs="Arial"/>
          <w:bCs/>
          <w:szCs w:val="22"/>
        </w:rPr>
        <w:t xml:space="preserve">provision in the settlement agreement </w:t>
      </w:r>
      <w:r w:rsidR="0072629C" w:rsidRPr="008B09D9">
        <w:rPr>
          <w:rFonts w:cs="Arial"/>
          <w:bCs/>
          <w:szCs w:val="22"/>
        </w:rPr>
        <w:t>that upon the settlement agreement being made an order of Court, the immovable property situat</w:t>
      </w:r>
      <w:r w:rsidR="002F5658" w:rsidRPr="008B09D9">
        <w:rPr>
          <w:rFonts w:cs="Arial"/>
          <w:bCs/>
          <w:szCs w:val="22"/>
        </w:rPr>
        <w:t>ed 6 Kirkpatrick Avenue, Brakpan</w:t>
      </w:r>
      <w:r w:rsidR="0072629C" w:rsidRPr="008B09D9">
        <w:rPr>
          <w:rFonts w:cs="Arial"/>
          <w:bCs/>
          <w:szCs w:val="22"/>
        </w:rPr>
        <w:t xml:space="preserve">-North (‘the immovable property’), “shall become the sole and exclusive property of the plaintiff at date of the Court order”. </w:t>
      </w:r>
      <w:r w:rsidR="00840557" w:rsidRPr="008B09D9">
        <w:rPr>
          <w:rFonts w:cs="Arial"/>
          <w:bCs/>
          <w:szCs w:val="22"/>
        </w:rPr>
        <w:t>Furthermore, that</w:t>
      </w:r>
      <w:r w:rsidR="0072629C" w:rsidRPr="008B09D9">
        <w:rPr>
          <w:rFonts w:cs="Arial"/>
          <w:bCs/>
          <w:szCs w:val="22"/>
        </w:rPr>
        <w:t xml:space="preserve"> “the defendant shall indemnify the plaintiff against non-payment to the aforesaid institutions. … The property shall be transferred into the plaintiff’s name once the full outstanding bond has been settled with the financial institution.” </w:t>
      </w:r>
    </w:p>
    <w:p w14:paraId="1654E973" w14:textId="31BEB38B" w:rsidR="006C331A" w:rsidRPr="008B09D9" w:rsidRDefault="008B09D9" w:rsidP="008B09D9">
      <w:pPr>
        <w:tabs>
          <w:tab w:val="left" w:pos="567"/>
        </w:tabs>
        <w:spacing w:after="480" w:line="480" w:lineRule="auto"/>
        <w:rPr>
          <w:rFonts w:cs="Arial"/>
          <w:bCs/>
          <w:szCs w:val="22"/>
        </w:rPr>
      </w:pPr>
      <w:r>
        <w:rPr>
          <w:rFonts w:cs="Arial"/>
          <w:bCs/>
          <w:szCs w:val="22"/>
        </w:rPr>
        <w:lastRenderedPageBreak/>
        <w:t>[18]</w:t>
      </w:r>
      <w:r>
        <w:rPr>
          <w:rFonts w:cs="Arial"/>
          <w:bCs/>
          <w:szCs w:val="22"/>
        </w:rPr>
        <w:tab/>
      </w:r>
      <w:r w:rsidR="00840557" w:rsidRPr="008B09D9">
        <w:rPr>
          <w:rFonts w:cs="Arial"/>
          <w:bCs/>
          <w:szCs w:val="22"/>
        </w:rPr>
        <w:t xml:space="preserve">The </w:t>
      </w:r>
      <w:r w:rsidR="0072629C" w:rsidRPr="008B09D9">
        <w:rPr>
          <w:rFonts w:cs="Arial"/>
          <w:bCs/>
          <w:szCs w:val="22"/>
        </w:rPr>
        <w:t>settlement agreement do</w:t>
      </w:r>
      <w:r w:rsidR="00840557" w:rsidRPr="008B09D9">
        <w:rPr>
          <w:rFonts w:cs="Arial"/>
          <w:bCs/>
          <w:szCs w:val="22"/>
        </w:rPr>
        <w:t>es not serve to bind</w:t>
      </w:r>
      <w:r w:rsidR="00840557" w:rsidRPr="008B09D9">
        <w:rPr>
          <w:rFonts w:cs="Arial"/>
        </w:rPr>
        <w:t xml:space="preserve"> or place obligations on third parties who are not parties (and signatories) to the settlement agreement.</w:t>
      </w:r>
      <w:r w:rsidR="00840557">
        <w:rPr>
          <w:rStyle w:val="FootnoteReference"/>
          <w:rFonts w:cs="Arial"/>
        </w:rPr>
        <w:footnoteReference w:id="2"/>
      </w:r>
      <w:r w:rsidR="00840557" w:rsidRPr="008B09D9">
        <w:rPr>
          <w:rFonts w:cs="Arial"/>
        </w:rPr>
        <w:t xml:space="preserve">  </w:t>
      </w:r>
      <w:r w:rsidR="0072629C" w:rsidRPr="008B09D9">
        <w:rPr>
          <w:rFonts w:cs="Arial"/>
          <w:bCs/>
          <w:szCs w:val="22"/>
        </w:rPr>
        <w:t xml:space="preserve"> The applicant’s right in respect of the immovable property in terms of the settlem</w:t>
      </w:r>
      <w:r w:rsidR="00840557" w:rsidRPr="008B09D9">
        <w:rPr>
          <w:rFonts w:cs="Arial"/>
          <w:bCs/>
          <w:szCs w:val="22"/>
        </w:rPr>
        <w:t>ent agreement, does not raise a legal</w:t>
      </w:r>
      <w:r w:rsidR="0072629C" w:rsidRPr="008B09D9">
        <w:rPr>
          <w:rFonts w:cs="Arial"/>
          <w:bCs/>
          <w:szCs w:val="22"/>
        </w:rPr>
        <w:t xml:space="preserve"> interest by the bond holder because transfer is to take place only upon full payment of the mortgage bond. In the interim, the respondent remains the registered owner of the immovable property and the rights </w:t>
      </w:r>
      <w:r w:rsidR="006C331A" w:rsidRPr="008B09D9">
        <w:rPr>
          <w:rFonts w:cs="Arial"/>
          <w:bCs/>
          <w:szCs w:val="22"/>
        </w:rPr>
        <w:t>of the bond holder over</w:t>
      </w:r>
      <w:r w:rsidR="0072629C" w:rsidRPr="008B09D9">
        <w:rPr>
          <w:rFonts w:cs="Arial"/>
          <w:bCs/>
          <w:szCs w:val="22"/>
        </w:rPr>
        <w:t xml:space="preserve"> the immovable property remain intact and unaffected by the provisions of the settlement agreement. </w:t>
      </w:r>
    </w:p>
    <w:p w14:paraId="7FCBD893" w14:textId="21911525" w:rsidR="0072629C" w:rsidRPr="008B09D9" w:rsidRDefault="008B09D9" w:rsidP="008B09D9">
      <w:pPr>
        <w:tabs>
          <w:tab w:val="left" w:pos="567"/>
        </w:tabs>
        <w:spacing w:after="480" w:line="480" w:lineRule="auto"/>
        <w:rPr>
          <w:rFonts w:cs="Arial"/>
          <w:bCs/>
          <w:szCs w:val="22"/>
        </w:rPr>
      </w:pPr>
      <w:r w:rsidRPr="006C331A">
        <w:rPr>
          <w:rFonts w:cs="Arial"/>
          <w:bCs/>
          <w:szCs w:val="22"/>
        </w:rPr>
        <w:t>[19]</w:t>
      </w:r>
      <w:r w:rsidRPr="006C331A">
        <w:rPr>
          <w:rFonts w:cs="Arial"/>
          <w:bCs/>
          <w:szCs w:val="22"/>
        </w:rPr>
        <w:tab/>
      </w:r>
      <w:r w:rsidR="0072629C" w:rsidRPr="008B09D9">
        <w:rPr>
          <w:rFonts w:cs="Arial"/>
          <w:bCs/>
          <w:szCs w:val="22"/>
        </w:rPr>
        <w:t>The applicant’s right in respect of the immovable property under the settlement agreement is, pending transfer of the immovable property into her name, a personal right enforceabl</w:t>
      </w:r>
      <w:r w:rsidR="006C331A" w:rsidRPr="008B09D9">
        <w:rPr>
          <w:rFonts w:cs="Arial"/>
          <w:bCs/>
          <w:szCs w:val="22"/>
        </w:rPr>
        <w:t>e against the respondent alone. It</w:t>
      </w:r>
      <w:r w:rsidR="0072629C" w:rsidRPr="008B09D9">
        <w:rPr>
          <w:rFonts w:cs="Arial"/>
          <w:bCs/>
          <w:szCs w:val="22"/>
        </w:rPr>
        <w:t xml:space="preserve"> is not enforceable against third parties </w:t>
      </w:r>
      <w:r w:rsidR="006C331A" w:rsidRPr="008B09D9">
        <w:rPr>
          <w:rFonts w:cs="Arial"/>
          <w:bCs/>
          <w:szCs w:val="22"/>
        </w:rPr>
        <w:t xml:space="preserve">such as the </w:t>
      </w:r>
      <w:proofErr w:type="gramStart"/>
      <w:r w:rsidR="006C331A" w:rsidRPr="008B09D9">
        <w:rPr>
          <w:rFonts w:cs="Arial"/>
          <w:bCs/>
          <w:szCs w:val="22"/>
        </w:rPr>
        <w:t>bond-holder</w:t>
      </w:r>
      <w:proofErr w:type="gramEnd"/>
      <w:r w:rsidR="006C331A" w:rsidRPr="008B09D9">
        <w:rPr>
          <w:rFonts w:cs="Arial"/>
          <w:bCs/>
          <w:szCs w:val="22"/>
        </w:rPr>
        <w:t xml:space="preserve"> </w:t>
      </w:r>
      <w:r w:rsidR="0072629C" w:rsidRPr="008B09D9">
        <w:rPr>
          <w:rFonts w:cs="Arial"/>
          <w:bCs/>
          <w:szCs w:val="22"/>
        </w:rPr>
        <w:t xml:space="preserve">and third parties are not bound by that personal right. </w:t>
      </w:r>
    </w:p>
    <w:p w14:paraId="7932C97F" w14:textId="3BBFA1B2" w:rsidR="0072629C" w:rsidRPr="008B09D9" w:rsidRDefault="008B09D9" w:rsidP="008B09D9">
      <w:pPr>
        <w:tabs>
          <w:tab w:val="left" w:pos="567"/>
        </w:tabs>
        <w:spacing w:after="480" w:line="480" w:lineRule="auto"/>
        <w:rPr>
          <w:rFonts w:cs="Arial"/>
          <w:bCs/>
          <w:szCs w:val="22"/>
        </w:rPr>
      </w:pPr>
      <w:r>
        <w:rPr>
          <w:rFonts w:cs="Arial"/>
          <w:bCs/>
          <w:szCs w:val="22"/>
        </w:rPr>
        <w:t>[20]</w:t>
      </w:r>
      <w:r>
        <w:rPr>
          <w:rFonts w:cs="Arial"/>
          <w:bCs/>
          <w:szCs w:val="22"/>
        </w:rPr>
        <w:tab/>
      </w:r>
      <w:r w:rsidR="0072629C" w:rsidRPr="008B09D9">
        <w:rPr>
          <w:rFonts w:cs="Arial"/>
          <w:bCs/>
          <w:szCs w:val="22"/>
        </w:rPr>
        <w:t xml:space="preserve">Insofar as the respondent’s counsel contended that the applicant received more in terms </w:t>
      </w:r>
      <w:r w:rsidR="006C331A" w:rsidRPr="008B09D9">
        <w:rPr>
          <w:rFonts w:cs="Arial"/>
          <w:bCs/>
          <w:szCs w:val="22"/>
        </w:rPr>
        <w:t>of the settlement agreement than</w:t>
      </w:r>
      <w:r w:rsidR="0072629C" w:rsidRPr="008B09D9">
        <w:rPr>
          <w:rFonts w:cs="Arial"/>
          <w:bCs/>
          <w:szCs w:val="22"/>
        </w:rPr>
        <w:t xml:space="preserve"> she claimed in the summons, that is correct. The a</w:t>
      </w:r>
      <w:r w:rsidR="006C331A" w:rsidRPr="008B09D9">
        <w:rPr>
          <w:rFonts w:cs="Arial"/>
          <w:bCs/>
          <w:szCs w:val="22"/>
        </w:rPr>
        <w:t>pplicant stands to receive more</w:t>
      </w:r>
      <w:r w:rsidR="0072629C" w:rsidRPr="008B09D9">
        <w:rPr>
          <w:rFonts w:cs="Arial"/>
          <w:bCs/>
          <w:szCs w:val="22"/>
        </w:rPr>
        <w:t xml:space="preserve"> because on the papers before me, the respondent agreed that she</w:t>
      </w:r>
      <w:r w:rsidR="006C331A" w:rsidRPr="008B09D9">
        <w:rPr>
          <w:rFonts w:cs="Arial"/>
          <w:bCs/>
          <w:szCs w:val="22"/>
        </w:rPr>
        <w:t xml:space="preserve"> be given more than she claimed in</w:t>
      </w:r>
      <w:r w:rsidR="0072629C" w:rsidRPr="008B09D9">
        <w:rPr>
          <w:rFonts w:cs="Arial"/>
          <w:bCs/>
          <w:szCs w:val="22"/>
        </w:rPr>
        <w:t xml:space="preserve"> the action proceedings</w:t>
      </w:r>
      <w:r w:rsidR="006C331A" w:rsidRPr="008B09D9">
        <w:rPr>
          <w:rFonts w:cs="Arial"/>
          <w:bCs/>
          <w:szCs w:val="22"/>
        </w:rPr>
        <w:t>.</w:t>
      </w:r>
      <w:r w:rsidR="0072629C" w:rsidRPr="008B09D9">
        <w:rPr>
          <w:rFonts w:cs="Arial"/>
          <w:bCs/>
          <w:szCs w:val="22"/>
        </w:rPr>
        <w:t xml:space="preserve"> The fact that the applic</w:t>
      </w:r>
      <w:r w:rsidR="006C331A" w:rsidRPr="008B09D9">
        <w:rPr>
          <w:rFonts w:cs="Arial"/>
          <w:bCs/>
          <w:szCs w:val="22"/>
        </w:rPr>
        <w:t>ant stands to receive more than she claimed</w:t>
      </w:r>
      <w:r w:rsidR="0072629C" w:rsidRPr="008B09D9">
        <w:rPr>
          <w:rFonts w:cs="Arial"/>
          <w:bCs/>
          <w:szCs w:val="22"/>
        </w:rPr>
        <w:t xml:space="preserve"> does not </w:t>
      </w:r>
      <w:r w:rsidR="006C331A" w:rsidRPr="008B09D9">
        <w:rPr>
          <w:rFonts w:cs="Arial"/>
          <w:bCs/>
          <w:szCs w:val="22"/>
        </w:rPr>
        <w:t xml:space="preserve">render </w:t>
      </w:r>
      <w:r w:rsidR="0072629C" w:rsidRPr="008B09D9">
        <w:rPr>
          <w:rFonts w:cs="Arial"/>
          <w:bCs/>
          <w:szCs w:val="22"/>
        </w:rPr>
        <w:t xml:space="preserve">the settlement agreement void or voidable. </w:t>
      </w:r>
    </w:p>
    <w:p w14:paraId="1AE6B260" w14:textId="11041928" w:rsidR="0072629C" w:rsidRPr="008B09D9" w:rsidRDefault="008B09D9" w:rsidP="008B09D9">
      <w:pPr>
        <w:tabs>
          <w:tab w:val="left" w:pos="567"/>
        </w:tabs>
        <w:spacing w:after="480" w:line="480" w:lineRule="auto"/>
        <w:rPr>
          <w:rFonts w:cs="Arial"/>
          <w:bCs/>
          <w:szCs w:val="22"/>
        </w:rPr>
      </w:pPr>
      <w:r>
        <w:rPr>
          <w:rFonts w:cs="Arial"/>
          <w:bCs/>
          <w:szCs w:val="22"/>
        </w:rPr>
        <w:t>[21]</w:t>
      </w:r>
      <w:r>
        <w:rPr>
          <w:rFonts w:cs="Arial"/>
          <w:bCs/>
          <w:szCs w:val="22"/>
        </w:rPr>
        <w:tab/>
      </w:r>
      <w:r w:rsidR="006C331A" w:rsidRPr="008B09D9">
        <w:rPr>
          <w:rFonts w:cs="Arial"/>
          <w:bCs/>
          <w:szCs w:val="22"/>
        </w:rPr>
        <w:t>As regards</w:t>
      </w:r>
      <w:r w:rsidR="0072629C" w:rsidRPr="008B09D9">
        <w:rPr>
          <w:rFonts w:cs="Arial"/>
          <w:bCs/>
          <w:szCs w:val="22"/>
        </w:rPr>
        <w:t xml:space="preserve"> the provision in the settlement agreement dealing with the respondent’s interest in the pension fund, th</w:t>
      </w:r>
      <w:r w:rsidR="006C331A" w:rsidRPr="008B09D9">
        <w:rPr>
          <w:rFonts w:cs="Arial"/>
          <w:bCs/>
          <w:szCs w:val="22"/>
        </w:rPr>
        <w:t>e respondent holds</w:t>
      </w:r>
      <w:r w:rsidR="0072629C" w:rsidRPr="008B09D9">
        <w:rPr>
          <w:rFonts w:cs="Arial"/>
          <w:bCs/>
          <w:szCs w:val="22"/>
        </w:rPr>
        <w:t xml:space="preserve"> a pension fund interest and is a member of the Baird Financial Services Pension Fund with policy number 4407955713</w:t>
      </w:r>
      <w:r w:rsidR="006C331A" w:rsidRPr="008B09D9">
        <w:rPr>
          <w:rFonts w:cs="Arial"/>
          <w:bCs/>
          <w:szCs w:val="22"/>
        </w:rPr>
        <w:t>,</w:t>
      </w:r>
      <w:r w:rsidR="0072629C" w:rsidRPr="008B09D9">
        <w:rPr>
          <w:rFonts w:cs="Arial"/>
          <w:bCs/>
          <w:szCs w:val="22"/>
        </w:rPr>
        <w:t xml:space="preserve"> administered by Sanlam. </w:t>
      </w:r>
      <w:r w:rsidR="007579DF" w:rsidRPr="008B09D9">
        <w:rPr>
          <w:rFonts w:cs="Arial"/>
          <w:bCs/>
          <w:szCs w:val="22"/>
        </w:rPr>
        <w:t>The respondent allege</w:t>
      </w:r>
      <w:r w:rsidR="006C331A" w:rsidRPr="008B09D9">
        <w:rPr>
          <w:rFonts w:cs="Arial"/>
          <w:bCs/>
          <w:szCs w:val="22"/>
        </w:rPr>
        <w:t>d</w:t>
      </w:r>
      <w:r w:rsidR="007579DF" w:rsidRPr="008B09D9">
        <w:rPr>
          <w:rFonts w:cs="Arial"/>
          <w:bCs/>
          <w:szCs w:val="22"/>
        </w:rPr>
        <w:t xml:space="preserve"> that the applicant’s failure to join the pe</w:t>
      </w:r>
      <w:r w:rsidR="006C331A" w:rsidRPr="008B09D9">
        <w:rPr>
          <w:rFonts w:cs="Arial"/>
          <w:bCs/>
          <w:szCs w:val="22"/>
        </w:rPr>
        <w:t>nsion fund administrator to</w:t>
      </w:r>
      <w:r w:rsidR="007579DF" w:rsidRPr="008B09D9">
        <w:rPr>
          <w:rFonts w:cs="Arial"/>
          <w:bCs/>
          <w:szCs w:val="22"/>
        </w:rPr>
        <w:t xml:space="preserve"> the application </w:t>
      </w:r>
      <w:r w:rsidR="006C331A" w:rsidRPr="008B09D9">
        <w:rPr>
          <w:rFonts w:cs="Arial"/>
          <w:bCs/>
          <w:szCs w:val="22"/>
        </w:rPr>
        <w:t xml:space="preserve">proceedings </w:t>
      </w:r>
      <w:r w:rsidR="007579DF" w:rsidRPr="008B09D9">
        <w:rPr>
          <w:rFonts w:cs="Arial"/>
          <w:bCs/>
          <w:szCs w:val="22"/>
        </w:rPr>
        <w:t xml:space="preserve">was fatal. The applicant’s </w:t>
      </w:r>
      <w:r w:rsidR="007579DF" w:rsidRPr="008B09D9">
        <w:rPr>
          <w:rFonts w:cs="Arial"/>
          <w:bCs/>
          <w:szCs w:val="22"/>
        </w:rPr>
        <w:lastRenderedPageBreak/>
        <w:t>counsel correctly conceded that the provisions of Section 37D of the Pension Funds Act, 51 of 1988 (‘the Pension Funds Act’)</w:t>
      </w:r>
      <w:r w:rsidR="00B20C81" w:rsidRPr="008B09D9">
        <w:rPr>
          <w:rFonts w:cs="Arial"/>
          <w:bCs/>
          <w:szCs w:val="22"/>
        </w:rPr>
        <w:t>,</w:t>
      </w:r>
      <w:r w:rsidR="007579DF" w:rsidRPr="008B09D9">
        <w:rPr>
          <w:rFonts w:cs="Arial"/>
          <w:bCs/>
          <w:szCs w:val="22"/>
        </w:rPr>
        <w:t xml:space="preserve"> apply only as between spouses. </w:t>
      </w:r>
    </w:p>
    <w:p w14:paraId="1E5411C0" w14:textId="13E268E0" w:rsidR="007579DF" w:rsidRPr="008B09D9" w:rsidRDefault="008B09D9" w:rsidP="008B09D9">
      <w:pPr>
        <w:tabs>
          <w:tab w:val="left" w:pos="567"/>
        </w:tabs>
        <w:spacing w:after="480" w:line="480" w:lineRule="auto"/>
        <w:rPr>
          <w:rFonts w:cs="Arial"/>
          <w:bCs/>
          <w:szCs w:val="22"/>
        </w:rPr>
      </w:pPr>
      <w:r>
        <w:rPr>
          <w:rFonts w:cs="Arial"/>
          <w:bCs/>
          <w:szCs w:val="22"/>
        </w:rPr>
        <w:t>[22]</w:t>
      </w:r>
      <w:r>
        <w:rPr>
          <w:rFonts w:cs="Arial"/>
          <w:bCs/>
          <w:szCs w:val="22"/>
        </w:rPr>
        <w:tab/>
      </w:r>
      <w:r w:rsidR="007579DF" w:rsidRPr="008B09D9">
        <w:rPr>
          <w:rFonts w:cs="Arial"/>
          <w:bCs/>
          <w:szCs w:val="22"/>
        </w:rPr>
        <w:t>The</w:t>
      </w:r>
      <w:r w:rsidR="006C331A" w:rsidRPr="008B09D9">
        <w:rPr>
          <w:rFonts w:cs="Arial"/>
          <w:bCs/>
          <w:szCs w:val="22"/>
        </w:rPr>
        <w:t xml:space="preserve"> respondent’s counsel </w:t>
      </w:r>
      <w:r w:rsidR="007579DF" w:rsidRPr="008B09D9">
        <w:rPr>
          <w:rFonts w:cs="Arial"/>
          <w:bCs/>
          <w:szCs w:val="22"/>
        </w:rPr>
        <w:t xml:space="preserve">argued </w:t>
      </w:r>
      <w:r w:rsidR="006C331A" w:rsidRPr="008B09D9">
        <w:rPr>
          <w:rFonts w:cs="Arial"/>
          <w:bCs/>
          <w:szCs w:val="22"/>
        </w:rPr>
        <w:t xml:space="preserve">cogently </w:t>
      </w:r>
      <w:r w:rsidR="007579DF" w:rsidRPr="008B09D9">
        <w:rPr>
          <w:rFonts w:cs="Arial"/>
          <w:bCs/>
          <w:szCs w:val="22"/>
        </w:rPr>
        <w:t xml:space="preserve">that absent the joinder of the pension fund, Baird Financial Services Pension Fund, consideration ought not </w:t>
      </w:r>
      <w:r w:rsidR="006C331A" w:rsidRPr="008B09D9">
        <w:rPr>
          <w:rFonts w:cs="Arial"/>
          <w:bCs/>
          <w:szCs w:val="22"/>
        </w:rPr>
        <w:t xml:space="preserve">to </w:t>
      </w:r>
      <w:r w:rsidR="007579DF" w:rsidRPr="008B09D9">
        <w:rPr>
          <w:rFonts w:cs="Arial"/>
          <w:bCs/>
          <w:szCs w:val="22"/>
        </w:rPr>
        <w:t>be given to augmenting the applicant’s rights, if any, in respect of the respondent’s pension fund</w:t>
      </w:r>
      <w:r w:rsidR="006C331A" w:rsidRPr="008B09D9">
        <w:rPr>
          <w:rFonts w:cs="Arial"/>
          <w:bCs/>
          <w:szCs w:val="22"/>
        </w:rPr>
        <w:t xml:space="preserve"> interest</w:t>
      </w:r>
      <w:r w:rsidR="007579DF" w:rsidRPr="008B09D9">
        <w:rPr>
          <w:rFonts w:cs="Arial"/>
          <w:bCs/>
          <w:szCs w:val="22"/>
        </w:rPr>
        <w:t xml:space="preserve"> by widening the </w:t>
      </w:r>
      <w:r w:rsidR="00587531" w:rsidRPr="008B09D9">
        <w:rPr>
          <w:rFonts w:cs="Arial"/>
          <w:bCs/>
          <w:szCs w:val="22"/>
        </w:rPr>
        <w:t>meaning of the word ‘spouse’ in</w:t>
      </w:r>
      <w:r w:rsidR="007579DF" w:rsidRPr="008B09D9">
        <w:rPr>
          <w:rFonts w:cs="Arial"/>
          <w:bCs/>
          <w:szCs w:val="22"/>
        </w:rPr>
        <w:t xml:space="preserve"> Sectio</w:t>
      </w:r>
      <w:r w:rsidR="00587531" w:rsidRPr="008B09D9">
        <w:rPr>
          <w:rFonts w:cs="Arial"/>
          <w:bCs/>
          <w:szCs w:val="22"/>
        </w:rPr>
        <w:t>n 37D of the Pension Funds Act. This</w:t>
      </w:r>
      <w:r w:rsidR="00B20C81" w:rsidRPr="008B09D9">
        <w:rPr>
          <w:rFonts w:cs="Arial"/>
          <w:bCs/>
          <w:szCs w:val="22"/>
        </w:rPr>
        <w:t xml:space="preserve">, potentially, </w:t>
      </w:r>
      <w:r w:rsidR="007579DF" w:rsidRPr="008B09D9">
        <w:rPr>
          <w:rFonts w:cs="Arial"/>
          <w:bCs/>
          <w:szCs w:val="22"/>
        </w:rPr>
        <w:t xml:space="preserve">would be new law, amounting to a change of the prevailing </w:t>
      </w:r>
      <w:r w:rsidR="00676996" w:rsidRPr="008B09D9">
        <w:rPr>
          <w:rFonts w:cs="Arial"/>
          <w:bCs/>
          <w:szCs w:val="22"/>
        </w:rPr>
        <w:t>legal position.</w:t>
      </w:r>
    </w:p>
    <w:p w14:paraId="744D7CBC" w14:textId="69621A92" w:rsidR="009D75A1" w:rsidRPr="008B09D9" w:rsidRDefault="008B09D9" w:rsidP="008B09D9">
      <w:pPr>
        <w:tabs>
          <w:tab w:val="left" w:pos="567"/>
        </w:tabs>
        <w:spacing w:after="480" w:line="480" w:lineRule="auto"/>
        <w:rPr>
          <w:rFonts w:cs="Arial"/>
          <w:bCs/>
          <w:szCs w:val="22"/>
        </w:rPr>
      </w:pPr>
      <w:r>
        <w:rPr>
          <w:rFonts w:cs="Arial"/>
          <w:bCs/>
          <w:szCs w:val="22"/>
        </w:rPr>
        <w:t>[23]</w:t>
      </w:r>
      <w:r>
        <w:rPr>
          <w:rFonts w:cs="Arial"/>
          <w:bCs/>
          <w:szCs w:val="22"/>
        </w:rPr>
        <w:tab/>
      </w:r>
      <w:r w:rsidR="009D75A1" w:rsidRPr="008B09D9">
        <w:rPr>
          <w:rFonts w:cs="Arial"/>
          <w:bCs/>
          <w:szCs w:val="22"/>
        </w:rPr>
        <w:t xml:space="preserve">Furthermore, counsel for the respondent </w:t>
      </w:r>
      <w:r w:rsidR="00587531" w:rsidRPr="008B09D9">
        <w:rPr>
          <w:rFonts w:cs="Arial"/>
          <w:bCs/>
          <w:szCs w:val="22"/>
        </w:rPr>
        <w:t>contended</w:t>
      </w:r>
      <w:r w:rsidR="009D75A1" w:rsidRPr="008B09D9">
        <w:rPr>
          <w:rFonts w:cs="Arial"/>
          <w:bCs/>
          <w:szCs w:val="22"/>
        </w:rPr>
        <w:t xml:space="preserve"> that </w:t>
      </w:r>
      <w:r w:rsidR="00676996" w:rsidRPr="008B09D9">
        <w:rPr>
          <w:rFonts w:cs="Arial"/>
          <w:bCs/>
          <w:szCs w:val="22"/>
        </w:rPr>
        <w:t xml:space="preserve">the respondent’s legal representatives invited the applicant to amend the </w:t>
      </w:r>
      <w:r w:rsidR="00587531" w:rsidRPr="008B09D9">
        <w:rPr>
          <w:rFonts w:cs="Arial"/>
          <w:bCs/>
          <w:szCs w:val="22"/>
        </w:rPr>
        <w:t>application</w:t>
      </w:r>
      <w:r w:rsidR="00676996" w:rsidRPr="008B09D9">
        <w:rPr>
          <w:rFonts w:cs="Arial"/>
          <w:bCs/>
          <w:szCs w:val="22"/>
        </w:rPr>
        <w:t xml:space="preserve"> and join the pension fund sometime before the matter was argued before me. </w:t>
      </w:r>
    </w:p>
    <w:p w14:paraId="711D34CB" w14:textId="728ABA7A" w:rsidR="00676996" w:rsidRPr="008B09D9" w:rsidRDefault="008B09D9" w:rsidP="008B09D9">
      <w:pPr>
        <w:tabs>
          <w:tab w:val="left" w:pos="567"/>
        </w:tabs>
        <w:spacing w:after="480" w:line="480" w:lineRule="auto"/>
        <w:rPr>
          <w:rFonts w:cs="Arial"/>
          <w:bCs/>
          <w:szCs w:val="22"/>
        </w:rPr>
      </w:pPr>
      <w:r>
        <w:rPr>
          <w:rFonts w:cs="Arial"/>
          <w:bCs/>
          <w:szCs w:val="22"/>
        </w:rPr>
        <w:t>[24]</w:t>
      </w:r>
      <w:r>
        <w:rPr>
          <w:rFonts w:cs="Arial"/>
          <w:bCs/>
          <w:szCs w:val="22"/>
        </w:rPr>
        <w:tab/>
      </w:r>
      <w:r w:rsidR="00676996" w:rsidRPr="008B09D9">
        <w:rPr>
          <w:rFonts w:cs="Arial"/>
          <w:bCs/>
          <w:szCs w:val="22"/>
        </w:rPr>
        <w:t>The intention of the parties as reflected in the p</w:t>
      </w:r>
      <w:r w:rsidR="00587531" w:rsidRPr="008B09D9">
        <w:rPr>
          <w:rFonts w:cs="Arial"/>
          <w:bCs/>
          <w:szCs w:val="22"/>
        </w:rPr>
        <w:t xml:space="preserve">rovisions </w:t>
      </w:r>
      <w:r w:rsidR="00676996" w:rsidRPr="008B09D9">
        <w:rPr>
          <w:rFonts w:cs="Arial"/>
          <w:bCs/>
          <w:szCs w:val="22"/>
        </w:rPr>
        <w:t>dealing with the respondent’s pension fund interest in the settlement agreement</w:t>
      </w:r>
      <w:r w:rsidR="00587531" w:rsidRPr="008B09D9">
        <w:rPr>
          <w:rFonts w:cs="Arial"/>
          <w:bCs/>
          <w:szCs w:val="22"/>
        </w:rPr>
        <w:t>,</w:t>
      </w:r>
      <w:r w:rsidR="00676996" w:rsidRPr="008B09D9">
        <w:rPr>
          <w:rFonts w:cs="Arial"/>
          <w:bCs/>
          <w:szCs w:val="22"/>
        </w:rPr>
        <w:t xml:space="preserve"> </w:t>
      </w:r>
      <w:r w:rsidR="00587531" w:rsidRPr="008B09D9">
        <w:rPr>
          <w:rFonts w:cs="Arial"/>
          <w:bCs/>
          <w:szCs w:val="22"/>
        </w:rPr>
        <w:t xml:space="preserve">demonstrate </w:t>
      </w:r>
      <w:r w:rsidR="00676996" w:rsidRPr="008B09D9">
        <w:rPr>
          <w:rFonts w:cs="Arial"/>
          <w:bCs/>
          <w:szCs w:val="22"/>
        </w:rPr>
        <w:t>an intention on the parties’ part that the respon</w:t>
      </w:r>
      <w:r w:rsidR="00587531" w:rsidRPr="008B09D9">
        <w:rPr>
          <w:rFonts w:cs="Arial"/>
          <w:bCs/>
          <w:szCs w:val="22"/>
        </w:rPr>
        <w:t>dent should permit payment of a monetary</w:t>
      </w:r>
      <w:r w:rsidR="00676996" w:rsidRPr="008B09D9">
        <w:rPr>
          <w:rFonts w:cs="Arial"/>
          <w:bCs/>
          <w:szCs w:val="22"/>
        </w:rPr>
        <w:t xml:space="preserve"> amount </w:t>
      </w:r>
      <w:r w:rsidR="00587531" w:rsidRPr="008B09D9">
        <w:rPr>
          <w:rFonts w:cs="Arial"/>
          <w:bCs/>
          <w:szCs w:val="22"/>
        </w:rPr>
        <w:t xml:space="preserve">equal </w:t>
      </w:r>
      <w:r w:rsidR="00676996" w:rsidRPr="008B09D9">
        <w:rPr>
          <w:rFonts w:cs="Arial"/>
          <w:bCs/>
          <w:szCs w:val="22"/>
        </w:rPr>
        <w:t>to 50% of the respondent’s pension fund interest</w:t>
      </w:r>
      <w:r w:rsidR="00587531" w:rsidRPr="008B09D9">
        <w:rPr>
          <w:rFonts w:cs="Arial"/>
          <w:bCs/>
          <w:szCs w:val="22"/>
        </w:rPr>
        <w:t>,</w:t>
      </w:r>
      <w:r w:rsidR="00676996" w:rsidRPr="008B09D9">
        <w:rPr>
          <w:rFonts w:cs="Arial"/>
          <w:bCs/>
          <w:szCs w:val="22"/>
        </w:rPr>
        <w:t xml:space="preserve"> to be m</w:t>
      </w:r>
      <w:r w:rsidR="00587531" w:rsidRPr="008B09D9">
        <w:rPr>
          <w:rFonts w:cs="Arial"/>
          <w:bCs/>
          <w:szCs w:val="22"/>
        </w:rPr>
        <w:t>ade to the applicant within 60 c</w:t>
      </w:r>
      <w:r w:rsidR="00676996" w:rsidRPr="008B09D9">
        <w:rPr>
          <w:rFonts w:cs="Arial"/>
          <w:bCs/>
          <w:szCs w:val="22"/>
        </w:rPr>
        <w:t xml:space="preserve">ourt days from </w:t>
      </w:r>
      <w:r w:rsidR="00587531" w:rsidRPr="008B09D9">
        <w:rPr>
          <w:rFonts w:cs="Arial"/>
          <w:bCs/>
          <w:szCs w:val="22"/>
        </w:rPr>
        <w:t>the date of the c</w:t>
      </w:r>
      <w:r w:rsidR="00676996" w:rsidRPr="008B09D9">
        <w:rPr>
          <w:rFonts w:cs="Arial"/>
          <w:bCs/>
          <w:szCs w:val="22"/>
        </w:rPr>
        <w:t xml:space="preserve">ourt order, being the date upon which the settlement </w:t>
      </w:r>
      <w:r w:rsidR="00587531" w:rsidRPr="008B09D9">
        <w:rPr>
          <w:rFonts w:cs="Arial"/>
          <w:bCs/>
          <w:szCs w:val="22"/>
        </w:rPr>
        <w:t>agreement was made an order of c</w:t>
      </w:r>
      <w:r w:rsidR="00676996" w:rsidRPr="008B09D9">
        <w:rPr>
          <w:rFonts w:cs="Arial"/>
          <w:bCs/>
          <w:szCs w:val="22"/>
        </w:rPr>
        <w:t xml:space="preserve">ourt. That much is apparent from the </w:t>
      </w:r>
      <w:r w:rsidR="00587531" w:rsidRPr="008B09D9">
        <w:rPr>
          <w:rFonts w:cs="Arial"/>
          <w:bCs/>
          <w:szCs w:val="22"/>
        </w:rPr>
        <w:t>contents of the pension fund provisions</w:t>
      </w:r>
      <w:r w:rsidR="00676996" w:rsidRPr="008B09D9">
        <w:rPr>
          <w:rFonts w:cs="Arial"/>
          <w:bCs/>
          <w:szCs w:val="22"/>
        </w:rPr>
        <w:t xml:space="preserve"> in the settlement agreement. </w:t>
      </w:r>
    </w:p>
    <w:p w14:paraId="690AA1F9" w14:textId="0223B0E9" w:rsidR="00676996" w:rsidRPr="008B09D9" w:rsidRDefault="008B09D9" w:rsidP="008B09D9">
      <w:pPr>
        <w:tabs>
          <w:tab w:val="left" w:pos="567"/>
        </w:tabs>
        <w:spacing w:after="480" w:line="480" w:lineRule="auto"/>
        <w:rPr>
          <w:rFonts w:cs="Arial"/>
          <w:bCs/>
          <w:szCs w:val="22"/>
        </w:rPr>
      </w:pPr>
      <w:r>
        <w:rPr>
          <w:rFonts w:cs="Arial"/>
          <w:bCs/>
          <w:szCs w:val="22"/>
        </w:rPr>
        <w:t>[25]</w:t>
      </w:r>
      <w:r>
        <w:rPr>
          <w:rFonts w:cs="Arial"/>
          <w:bCs/>
          <w:szCs w:val="22"/>
        </w:rPr>
        <w:tab/>
      </w:r>
      <w:r w:rsidR="00676996" w:rsidRPr="008B09D9">
        <w:rPr>
          <w:rFonts w:cs="Arial"/>
          <w:bCs/>
          <w:szCs w:val="22"/>
        </w:rPr>
        <w:t>Whi</w:t>
      </w:r>
      <w:r w:rsidR="00587531" w:rsidRPr="008B09D9">
        <w:rPr>
          <w:rFonts w:cs="Arial"/>
          <w:bCs/>
          <w:szCs w:val="22"/>
        </w:rPr>
        <w:t>lst the provisions regarding</w:t>
      </w:r>
      <w:r w:rsidR="00676996" w:rsidRPr="008B09D9">
        <w:rPr>
          <w:rFonts w:cs="Arial"/>
          <w:bCs/>
          <w:szCs w:val="22"/>
        </w:rPr>
        <w:t xml:space="preserve"> the pension fund</w:t>
      </w:r>
      <w:r w:rsidR="00587531" w:rsidRPr="008B09D9">
        <w:rPr>
          <w:rFonts w:cs="Arial"/>
          <w:bCs/>
          <w:szCs w:val="22"/>
        </w:rPr>
        <w:t xml:space="preserve"> interest are not enforceable in the form in which they appear in the settlement agreement, </w:t>
      </w:r>
      <w:r w:rsidR="00676996" w:rsidRPr="008B09D9">
        <w:rPr>
          <w:rFonts w:cs="Arial"/>
          <w:bCs/>
          <w:szCs w:val="22"/>
        </w:rPr>
        <w:t>the parties’ intention that the applicant should receive and benefit from an amount equal to 50% of the respon</w:t>
      </w:r>
      <w:r w:rsidR="00587531" w:rsidRPr="008B09D9">
        <w:rPr>
          <w:rFonts w:cs="Arial"/>
          <w:bCs/>
          <w:szCs w:val="22"/>
        </w:rPr>
        <w:t>dent’s pension fund interest, i</w:t>
      </w:r>
      <w:r w:rsidR="00676996" w:rsidRPr="008B09D9">
        <w:rPr>
          <w:rFonts w:cs="Arial"/>
          <w:bCs/>
          <w:szCs w:val="22"/>
        </w:rPr>
        <w:t xml:space="preserve">s evident from the </w:t>
      </w:r>
      <w:r w:rsidR="00587531" w:rsidRPr="008B09D9">
        <w:rPr>
          <w:rFonts w:cs="Arial"/>
          <w:bCs/>
          <w:szCs w:val="22"/>
        </w:rPr>
        <w:t xml:space="preserve">content </w:t>
      </w:r>
      <w:r w:rsidR="00676996" w:rsidRPr="008B09D9">
        <w:rPr>
          <w:rFonts w:cs="Arial"/>
          <w:bCs/>
          <w:szCs w:val="22"/>
        </w:rPr>
        <w:t xml:space="preserve">of the relevant </w:t>
      </w:r>
      <w:r w:rsidR="00587531" w:rsidRPr="008B09D9">
        <w:rPr>
          <w:rFonts w:cs="Arial"/>
          <w:bCs/>
          <w:szCs w:val="22"/>
        </w:rPr>
        <w:t>provisions.</w:t>
      </w:r>
      <w:r w:rsidR="00676996" w:rsidRPr="008B09D9">
        <w:rPr>
          <w:rFonts w:cs="Arial"/>
          <w:bCs/>
          <w:szCs w:val="22"/>
        </w:rPr>
        <w:t xml:space="preserve"> In the circumstances</w:t>
      </w:r>
      <w:r w:rsidR="00587531" w:rsidRPr="008B09D9">
        <w:rPr>
          <w:rFonts w:cs="Arial"/>
          <w:bCs/>
          <w:szCs w:val="22"/>
        </w:rPr>
        <w:t>,</w:t>
      </w:r>
      <w:r w:rsidR="00676996" w:rsidRPr="008B09D9">
        <w:rPr>
          <w:rFonts w:cs="Arial"/>
          <w:bCs/>
          <w:szCs w:val="22"/>
        </w:rPr>
        <w:t xml:space="preserve"> I intend to grant an order that </w:t>
      </w:r>
      <w:r w:rsidR="00587531" w:rsidRPr="008B09D9">
        <w:rPr>
          <w:rFonts w:cs="Arial"/>
          <w:bCs/>
          <w:szCs w:val="22"/>
        </w:rPr>
        <w:t>reflects the parties’ intention that the applicant benefit</w:t>
      </w:r>
      <w:r w:rsidR="00676996" w:rsidRPr="008B09D9">
        <w:rPr>
          <w:rFonts w:cs="Arial"/>
          <w:bCs/>
          <w:szCs w:val="22"/>
        </w:rPr>
        <w:t xml:space="preserve"> from a</w:t>
      </w:r>
      <w:r w:rsidR="005077D3" w:rsidRPr="008B09D9">
        <w:rPr>
          <w:rFonts w:cs="Arial"/>
          <w:bCs/>
          <w:szCs w:val="22"/>
        </w:rPr>
        <w:t xml:space="preserve"> mo</w:t>
      </w:r>
      <w:r w:rsidR="00676996" w:rsidRPr="008B09D9">
        <w:rPr>
          <w:rFonts w:cs="Arial"/>
          <w:bCs/>
          <w:szCs w:val="22"/>
        </w:rPr>
        <w:t>n</w:t>
      </w:r>
      <w:r w:rsidR="005077D3" w:rsidRPr="008B09D9">
        <w:rPr>
          <w:rFonts w:cs="Arial"/>
          <w:bCs/>
          <w:szCs w:val="22"/>
        </w:rPr>
        <w:t>etary</w:t>
      </w:r>
      <w:r w:rsidR="00676996" w:rsidRPr="008B09D9">
        <w:rPr>
          <w:rFonts w:cs="Arial"/>
          <w:bCs/>
          <w:szCs w:val="22"/>
        </w:rPr>
        <w:t xml:space="preserve"> </w:t>
      </w:r>
      <w:r w:rsidR="001D320E" w:rsidRPr="008B09D9">
        <w:rPr>
          <w:rFonts w:cs="Arial"/>
          <w:bCs/>
          <w:szCs w:val="22"/>
        </w:rPr>
        <w:t xml:space="preserve">amount equal to 50% of the defendant/respondent’s </w:t>
      </w:r>
      <w:r w:rsidR="001D320E" w:rsidRPr="008B09D9">
        <w:rPr>
          <w:rFonts w:cs="Arial"/>
          <w:bCs/>
          <w:szCs w:val="22"/>
        </w:rPr>
        <w:lastRenderedPageBreak/>
        <w:t xml:space="preserve">pension fund interest held with Baird Financial Services under </w:t>
      </w:r>
      <w:r w:rsidR="005077D3" w:rsidRPr="008B09D9">
        <w:rPr>
          <w:rFonts w:cs="Arial"/>
          <w:bCs/>
          <w:szCs w:val="22"/>
        </w:rPr>
        <w:t xml:space="preserve">the policy </w:t>
      </w:r>
      <w:proofErr w:type="gramStart"/>
      <w:r w:rsidR="005077D3" w:rsidRPr="008B09D9">
        <w:rPr>
          <w:rFonts w:cs="Arial"/>
          <w:bCs/>
          <w:szCs w:val="22"/>
        </w:rPr>
        <w:t>number aforementioned, as</w:t>
      </w:r>
      <w:proofErr w:type="gramEnd"/>
      <w:r w:rsidR="005077D3" w:rsidRPr="008B09D9">
        <w:rPr>
          <w:rFonts w:cs="Arial"/>
          <w:bCs/>
          <w:szCs w:val="22"/>
        </w:rPr>
        <w:t xml:space="preserve"> at date hereof.</w:t>
      </w:r>
      <w:r w:rsidR="001D320E" w:rsidRPr="008B09D9">
        <w:rPr>
          <w:rFonts w:cs="Arial"/>
          <w:bCs/>
          <w:szCs w:val="22"/>
        </w:rPr>
        <w:t xml:space="preserve"> </w:t>
      </w:r>
    </w:p>
    <w:p w14:paraId="5C9BF47E" w14:textId="2241FE4D" w:rsidR="001D320E" w:rsidRPr="008B09D9" w:rsidRDefault="008B09D9" w:rsidP="008B09D9">
      <w:pPr>
        <w:tabs>
          <w:tab w:val="left" w:pos="567"/>
        </w:tabs>
        <w:spacing w:after="480" w:line="480" w:lineRule="auto"/>
        <w:rPr>
          <w:rFonts w:cs="Arial"/>
          <w:bCs/>
          <w:szCs w:val="22"/>
        </w:rPr>
      </w:pPr>
      <w:r>
        <w:rPr>
          <w:rFonts w:cs="Arial"/>
          <w:bCs/>
          <w:szCs w:val="22"/>
        </w:rPr>
        <w:t>[26]</w:t>
      </w:r>
      <w:r>
        <w:rPr>
          <w:rFonts w:cs="Arial"/>
          <w:bCs/>
          <w:szCs w:val="22"/>
        </w:rPr>
        <w:tab/>
      </w:r>
      <w:r w:rsidR="001D320E" w:rsidRPr="008B09D9">
        <w:rPr>
          <w:rFonts w:cs="Arial"/>
          <w:bCs/>
          <w:szCs w:val="22"/>
        </w:rPr>
        <w:t>Insofar as the r</w:t>
      </w:r>
      <w:r w:rsidR="005077D3" w:rsidRPr="008B09D9">
        <w:rPr>
          <w:rFonts w:cs="Arial"/>
          <w:bCs/>
          <w:szCs w:val="22"/>
        </w:rPr>
        <w:t>espondent alleged that details in</w:t>
      </w:r>
      <w:r w:rsidR="001D320E" w:rsidRPr="008B09D9">
        <w:rPr>
          <w:rFonts w:cs="Arial"/>
          <w:bCs/>
          <w:szCs w:val="22"/>
        </w:rPr>
        <w:t xml:space="preserve"> the settlement agreement were inserted after signature</w:t>
      </w:r>
      <w:r w:rsidR="005077D3" w:rsidRPr="008B09D9">
        <w:rPr>
          <w:rFonts w:cs="Arial"/>
          <w:bCs/>
          <w:szCs w:val="22"/>
        </w:rPr>
        <w:t xml:space="preserve"> thereof</w:t>
      </w:r>
      <w:r w:rsidR="001D320E" w:rsidRPr="008B09D9">
        <w:rPr>
          <w:rFonts w:cs="Arial"/>
          <w:bCs/>
          <w:szCs w:val="22"/>
        </w:rPr>
        <w:t xml:space="preserve"> by him, the subsequent </w:t>
      </w:r>
      <w:r w:rsidR="005077D3" w:rsidRPr="008B09D9">
        <w:rPr>
          <w:rFonts w:cs="Arial"/>
          <w:bCs/>
          <w:szCs w:val="22"/>
        </w:rPr>
        <w:t xml:space="preserve">additions </w:t>
      </w:r>
      <w:r w:rsidR="001D320E" w:rsidRPr="008B09D9">
        <w:rPr>
          <w:rFonts w:cs="Arial"/>
          <w:bCs/>
          <w:szCs w:val="22"/>
        </w:rPr>
        <w:t xml:space="preserve">to the settlement agreement amounted only to the number of the respondent’s pension fund interest. </w:t>
      </w:r>
    </w:p>
    <w:p w14:paraId="2C33167B" w14:textId="33C30406" w:rsidR="001D320E" w:rsidRPr="008B09D9" w:rsidRDefault="008B09D9" w:rsidP="008B09D9">
      <w:pPr>
        <w:tabs>
          <w:tab w:val="left" w:pos="567"/>
        </w:tabs>
        <w:spacing w:after="480" w:line="480" w:lineRule="auto"/>
        <w:rPr>
          <w:rFonts w:cs="Arial"/>
          <w:bCs/>
          <w:szCs w:val="22"/>
        </w:rPr>
      </w:pPr>
      <w:r>
        <w:rPr>
          <w:rFonts w:cs="Arial"/>
          <w:bCs/>
          <w:szCs w:val="22"/>
        </w:rPr>
        <w:t>[27]</w:t>
      </w:r>
      <w:r>
        <w:rPr>
          <w:rFonts w:cs="Arial"/>
          <w:bCs/>
          <w:szCs w:val="22"/>
        </w:rPr>
        <w:tab/>
      </w:r>
      <w:r w:rsidR="005077D3" w:rsidRPr="008B09D9">
        <w:rPr>
          <w:rFonts w:cs="Arial"/>
          <w:bCs/>
          <w:szCs w:val="22"/>
        </w:rPr>
        <w:t>As regards the respondent’s life policy,</w:t>
      </w:r>
      <w:r w:rsidR="001D320E" w:rsidRPr="008B09D9">
        <w:rPr>
          <w:rFonts w:cs="Arial"/>
          <w:bCs/>
          <w:szCs w:val="22"/>
        </w:rPr>
        <w:t xml:space="preserve"> the respondent’s counsel </w:t>
      </w:r>
      <w:r w:rsidR="005077D3" w:rsidRPr="008B09D9">
        <w:rPr>
          <w:rFonts w:cs="Arial"/>
          <w:bCs/>
          <w:szCs w:val="22"/>
        </w:rPr>
        <w:t>correctly argued that the relevant provision in the settlement agreement should</w:t>
      </w:r>
      <w:r w:rsidR="001D320E" w:rsidRPr="008B09D9">
        <w:rPr>
          <w:rFonts w:cs="Arial"/>
          <w:bCs/>
          <w:szCs w:val="22"/>
        </w:rPr>
        <w:t xml:space="preserve"> have stated that the applicant and</w:t>
      </w:r>
      <w:r w:rsidR="005077D3" w:rsidRPr="008B09D9">
        <w:rPr>
          <w:rFonts w:cs="Arial"/>
          <w:bCs/>
          <w:szCs w:val="22"/>
        </w:rPr>
        <w:t xml:space="preserve"> the</w:t>
      </w:r>
      <w:r w:rsidR="001D320E" w:rsidRPr="008B09D9">
        <w:rPr>
          <w:rFonts w:cs="Arial"/>
          <w:bCs/>
          <w:szCs w:val="22"/>
        </w:rPr>
        <w:t xml:space="preserve"> children would remain as beneficiaries on the respondent’s life policy. </w:t>
      </w:r>
      <w:r w:rsidR="005077D3" w:rsidRPr="008B09D9">
        <w:rPr>
          <w:rFonts w:cs="Arial"/>
          <w:bCs/>
          <w:szCs w:val="22"/>
        </w:rPr>
        <w:t>Instead, the provision</w:t>
      </w:r>
      <w:r w:rsidR="001D320E" w:rsidRPr="008B09D9">
        <w:rPr>
          <w:rFonts w:cs="Arial"/>
          <w:bCs/>
          <w:szCs w:val="22"/>
        </w:rPr>
        <w:t xml:space="preserve"> provides that the applicant and three children will remain on the policy, the number of which is reflected in the settlement agreement. Once again</w:t>
      </w:r>
      <w:r w:rsidR="005077D3" w:rsidRPr="008B09D9">
        <w:rPr>
          <w:rFonts w:cs="Arial"/>
          <w:bCs/>
          <w:szCs w:val="22"/>
        </w:rPr>
        <w:t>,</w:t>
      </w:r>
      <w:r w:rsidR="001D320E" w:rsidRPr="008B09D9">
        <w:rPr>
          <w:rFonts w:cs="Arial"/>
          <w:bCs/>
          <w:szCs w:val="22"/>
        </w:rPr>
        <w:t xml:space="preserve"> the </w:t>
      </w:r>
      <w:r w:rsidR="005077D3" w:rsidRPr="008B09D9">
        <w:rPr>
          <w:rFonts w:cs="Arial"/>
          <w:bCs/>
          <w:szCs w:val="22"/>
        </w:rPr>
        <w:t>parties’ intention regarding</w:t>
      </w:r>
      <w:r w:rsidR="001D320E" w:rsidRPr="008B09D9">
        <w:rPr>
          <w:rFonts w:cs="Arial"/>
          <w:bCs/>
          <w:szCs w:val="22"/>
        </w:rPr>
        <w:t xml:space="preserve"> the applicant and </w:t>
      </w:r>
      <w:r w:rsidR="005077D3" w:rsidRPr="008B09D9">
        <w:rPr>
          <w:rFonts w:cs="Arial"/>
          <w:bCs/>
          <w:szCs w:val="22"/>
        </w:rPr>
        <w:t xml:space="preserve">the </w:t>
      </w:r>
      <w:r w:rsidR="001D320E" w:rsidRPr="008B09D9">
        <w:rPr>
          <w:rFonts w:cs="Arial"/>
          <w:bCs/>
          <w:szCs w:val="22"/>
        </w:rPr>
        <w:t>children benefiting from t</w:t>
      </w:r>
      <w:r w:rsidR="005077D3" w:rsidRPr="008B09D9">
        <w:rPr>
          <w:rFonts w:cs="Arial"/>
          <w:bCs/>
          <w:szCs w:val="22"/>
        </w:rPr>
        <w:t>he life policy is apparent. Accordingly, t</w:t>
      </w:r>
      <w:r w:rsidR="001D320E" w:rsidRPr="008B09D9">
        <w:rPr>
          <w:rFonts w:cs="Arial"/>
          <w:bCs/>
          <w:szCs w:val="22"/>
        </w:rPr>
        <w:t xml:space="preserve">here is no basis upon which the provision in respect of the life policy is not enforceable. </w:t>
      </w:r>
    </w:p>
    <w:p w14:paraId="15B1A3D8" w14:textId="3299351A" w:rsidR="00E86105" w:rsidRPr="008B09D9" w:rsidRDefault="008B09D9" w:rsidP="008B09D9">
      <w:pPr>
        <w:tabs>
          <w:tab w:val="left" w:pos="567"/>
        </w:tabs>
        <w:spacing w:after="480" w:line="480" w:lineRule="auto"/>
        <w:rPr>
          <w:rFonts w:cs="Arial"/>
          <w:bCs/>
          <w:szCs w:val="22"/>
        </w:rPr>
      </w:pPr>
      <w:r>
        <w:rPr>
          <w:rFonts w:cs="Arial"/>
          <w:bCs/>
          <w:szCs w:val="22"/>
        </w:rPr>
        <w:t>[28]</w:t>
      </w:r>
      <w:r>
        <w:rPr>
          <w:rFonts w:cs="Arial"/>
          <w:bCs/>
          <w:szCs w:val="22"/>
        </w:rPr>
        <w:tab/>
      </w:r>
      <w:r w:rsidR="001D320E" w:rsidRPr="008B09D9">
        <w:rPr>
          <w:rFonts w:cs="Arial"/>
          <w:bCs/>
          <w:szCs w:val="22"/>
        </w:rPr>
        <w:t>I</w:t>
      </w:r>
      <w:r w:rsidR="005077D3" w:rsidRPr="008B09D9">
        <w:rPr>
          <w:rFonts w:cs="Arial"/>
          <w:bCs/>
          <w:szCs w:val="22"/>
        </w:rPr>
        <w:t xml:space="preserve">n respect of the debts </w:t>
      </w:r>
      <w:r w:rsidR="00B20C81" w:rsidRPr="008B09D9">
        <w:rPr>
          <w:rFonts w:cs="Arial"/>
          <w:bCs/>
          <w:szCs w:val="22"/>
        </w:rPr>
        <w:t>referred</w:t>
      </w:r>
      <w:r w:rsidR="005077D3" w:rsidRPr="008B09D9">
        <w:rPr>
          <w:rFonts w:cs="Arial"/>
          <w:bCs/>
          <w:szCs w:val="22"/>
        </w:rPr>
        <w:t xml:space="preserve"> to</w:t>
      </w:r>
      <w:r w:rsidR="001D320E" w:rsidRPr="008B09D9">
        <w:rPr>
          <w:rFonts w:cs="Arial"/>
          <w:bCs/>
          <w:szCs w:val="22"/>
        </w:rPr>
        <w:t xml:space="preserve"> i</w:t>
      </w:r>
      <w:r w:rsidR="005077D3" w:rsidRPr="008B09D9">
        <w:rPr>
          <w:rFonts w:cs="Arial"/>
          <w:bCs/>
          <w:szCs w:val="22"/>
        </w:rPr>
        <w:t>n</w:t>
      </w:r>
      <w:r w:rsidR="00E86105" w:rsidRPr="008B09D9">
        <w:rPr>
          <w:rFonts w:cs="Arial"/>
          <w:bCs/>
          <w:szCs w:val="22"/>
        </w:rPr>
        <w:t xml:space="preserve"> the settlement agreement, that</w:t>
      </w:r>
      <w:r w:rsidR="001D320E" w:rsidRPr="008B09D9">
        <w:rPr>
          <w:rFonts w:cs="Arial"/>
          <w:bCs/>
          <w:szCs w:val="22"/>
        </w:rPr>
        <w:t xml:space="preserve"> provision is not drafted in the most elega</w:t>
      </w:r>
      <w:r w:rsidR="005077D3" w:rsidRPr="008B09D9">
        <w:rPr>
          <w:rFonts w:cs="Arial"/>
          <w:bCs/>
          <w:szCs w:val="22"/>
        </w:rPr>
        <w:t xml:space="preserve">nt of terms, but </w:t>
      </w:r>
      <w:r w:rsidR="00E86105" w:rsidRPr="008B09D9">
        <w:rPr>
          <w:rFonts w:cs="Arial"/>
          <w:bCs/>
          <w:szCs w:val="22"/>
        </w:rPr>
        <w:t xml:space="preserve">it is </w:t>
      </w:r>
      <w:r w:rsidR="001D320E" w:rsidRPr="008B09D9">
        <w:rPr>
          <w:rFonts w:cs="Arial"/>
          <w:bCs/>
          <w:szCs w:val="22"/>
        </w:rPr>
        <w:t>comprehensible and provide</w:t>
      </w:r>
      <w:r w:rsidR="00E86105" w:rsidRPr="008B09D9">
        <w:rPr>
          <w:rFonts w:cs="Arial"/>
          <w:bCs/>
          <w:szCs w:val="22"/>
        </w:rPr>
        <w:t>s in effect,</w:t>
      </w:r>
      <w:r w:rsidR="001D320E" w:rsidRPr="008B09D9">
        <w:rPr>
          <w:rFonts w:cs="Arial"/>
          <w:bCs/>
          <w:szCs w:val="22"/>
        </w:rPr>
        <w:t xml:space="preserve"> that the respondent will make payment of the arrear school fees, school fees presently owing, DSTV, cell phone contract, monthly rental derived from the property situated at 16 Holding Road, Benoni Orchards and all contracts currently concluded and/or in use. </w:t>
      </w:r>
    </w:p>
    <w:p w14:paraId="11D9CE2A" w14:textId="2FB16888" w:rsidR="001D320E" w:rsidRPr="008B09D9" w:rsidRDefault="008B09D9" w:rsidP="008B09D9">
      <w:pPr>
        <w:tabs>
          <w:tab w:val="left" w:pos="567"/>
        </w:tabs>
        <w:spacing w:after="480" w:line="480" w:lineRule="auto"/>
        <w:rPr>
          <w:rFonts w:cs="Arial"/>
          <w:bCs/>
          <w:szCs w:val="22"/>
        </w:rPr>
      </w:pPr>
      <w:r>
        <w:rPr>
          <w:rFonts w:cs="Arial"/>
          <w:bCs/>
          <w:szCs w:val="22"/>
        </w:rPr>
        <w:t>[29]</w:t>
      </w:r>
      <w:r>
        <w:rPr>
          <w:rFonts w:cs="Arial"/>
          <w:bCs/>
          <w:szCs w:val="22"/>
        </w:rPr>
        <w:tab/>
      </w:r>
      <w:r w:rsidR="00E86105" w:rsidRPr="008B09D9">
        <w:rPr>
          <w:rFonts w:cs="Arial"/>
          <w:bCs/>
          <w:szCs w:val="22"/>
        </w:rPr>
        <w:t>The parties know what they</w:t>
      </w:r>
      <w:r w:rsidR="001D320E" w:rsidRPr="008B09D9">
        <w:rPr>
          <w:rFonts w:cs="Arial"/>
          <w:bCs/>
          <w:szCs w:val="22"/>
        </w:rPr>
        <w:t xml:space="preserve"> intended in terms of the provision</w:t>
      </w:r>
      <w:r w:rsidR="00E86105" w:rsidRPr="008B09D9">
        <w:rPr>
          <w:rFonts w:cs="Arial"/>
          <w:bCs/>
          <w:szCs w:val="22"/>
        </w:rPr>
        <w:t>; namely</w:t>
      </w:r>
      <w:r w:rsidR="001D320E" w:rsidRPr="008B09D9">
        <w:rPr>
          <w:rFonts w:cs="Arial"/>
          <w:bCs/>
          <w:szCs w:val="22"/>
        </w:rPr>
        <w:t xml:space="preserve"> that the respondent pay certain debts listed in the settlement agreement and certain monthly obligations arising from contracts concluded in respect of the parties’ cohabitation as it previously existed. </w:t>
      </w:r>
    </w:p>
    <w:p w14:paraId="027CE44A" w14:textId="2EB8C59E" w:rsidR="003E47A5" w:rsidRPr="008B09D9" w:rsidRDefault="008B09D9" w:rsidP="008B09D9">
      <w:pPr>
        <w:tabs>
          <w:tab w:val="left" w:pos="567"/>
        </w:tabs>
        <w:spacing w:after="480" w:line="480" w:lineRule="auto"/>
        <w:rPr>
          <w:rFonts w:cs="Arial"/>
          <w:bCs/>
          <w:szCs w:val="22"/>
        </w:rPr>
      </w:pPr>
      <w:r w:rsidRPr="00063376">
        <w:rPr>
          <w:rFonts w:cs="Arial"/>
          <w:bCs/>
          <w:szCs w:val="22"/>
        </w:rPr>
        <w:lastRenderedPageBreak/>
        <w:t>[30]</w:t>
      </w:r>
      <w:r w:rsidRPr="00063376">
        <w:rPr>
          <w:rFonts w:cs="Arial"/>
          <w:bCs/>
          <w:szCs w:val="22"/>
        </w:rPr>
        <w:tab/>
      </w:r>
      <w:r w:rsidR="001D320E" w:rsidRPr="008B09D9">
        <w:rPr>
          <w:rFonts w:cs="Arial"/>
          <w:bCs/>
          <w:szCs w:val="22"/>
        </w:rPr>
        <w:t>Equally, a clause in respect of the respondent paying a 13</w:t>
      </w:r>
      <w:r w:rsidR="001D320E" w:rsidRPr="008B09D9">
        <w:rPr>
          <w:rFonts w:cs="Arial"/>
          <w:bCs/>
          <w:szCs w:val="22"/>
          <w:vertAlign w:val="superscript"/>
        </w:rPr>
        <w:t>th</w:t>
      </w:r>
      <w:r w:rsidR="001D320E" w:rsidRPr="008B09D9">
        <w:rPr>
          <w:rFonts w:cs="Arial"/>
          <w:bCs/>
          <w:szCs w:val="22"/>
        </w:rPr>
        <w:t xml:space="preserve"> cheque to the applicant that forms part of the provision in respect of the so-called </w:t>
      </w:r>
      <w:r w:rsidR="00696680" w:rsidRPr="008B09D9">
        <w:rPr>
          <w:rFonts w:cs="Arial"/>
          <w:bCs/>
          <w:szCs w:val="22"/>
        </w:rPr>
        <w:t>‘</w:t>
      </w:r>
      <w:r w:rsidR="001D320E" w:rsidRPr="008B09D9">
        <w:rPr>
          <w:rFonts w:cs="Arial"/>
          <w:bCs/>
          <w:szCs w:val="22"/>
        </w:rPr>
        <w:t>spousal maintenance</w:t>
      </w:r>
      <w:r w:rsidR="00696680" w:rsidRPr="008B09D9">
        <w:rPr>
          <w:rFonts w:cs="Arial"/>
          <w:bCs/>
          <w:szCs w:val="22"/>
        </w:rPr>
        <w:t>’</w:t>
      </w:r>
      <w:r w:rsidR="001D320E" w:rsidRPr="008B09D9">
        <w:rPr>
          <w:rFonts w:cs="Arial"/>
          <w:bCs/>
          <w:szCs w:val="22"/>
        </w:rPr>
        <w:t xml:space="preserve">, </w:t>
      </w:r>
      <w:r w:rsidR="002C166D" w:rsidRPr="008B09D9">
        <w:rPr>
          <w:rFonts w:cs="Arial"/>
          <w:bCs/>
          <w:szCs w:val="22"/>
        </w:rPr>
        <w:t xml:space="preserve">whilst it is not a provision that is ordinarily encountered in agreements </w:t>
      </w:r>
      <w:r w:rsidR="00696680" w:rsidRPr="008B09D9">
        <w:rPr>
          <w:rFonts w:cs="Arial"/>
          <w:bCs/>
          <w:szCs w:val="22"/>
        </w:rPr>
        <w:t>in the nature of</w:t>
      </w:r>
      <w:r w:rsidR="002C166D" w:rsidRPr="008B09D9">
        <w:rPr>
          <w:rFonts w:cs="Arial"/>
          <w:bCs/>
          <w:szCs w:val="22"/>
        </w:rPr>
        <w:t xml:space="preserve"> the settlement agreement or an agreement arising from the termination of a marriage relationship, it is not unenforceable</w:t>
      </w:r>
      <w:r w:rsidR="00696680" w:rsidRPr="008B09D9">
        <w:rPr>
          <w:rFonts w:cs="Arial"/>
          <w:bCs/>
          <w:szCs w:val="22"/>
        </w:rPr>
        <w:t xml:space="preserve">.  </w:t>
      </w:r>
    </w:p>
    <w:p w14:paraId="184088F7" w14:textId="03E48C35" w:rsidR="00517E23" w:rsidRPr="008B09D9" w:rsidRDefault="008B09D9" w:rsidP="008B09D9">
      <w:pPr>
        <w:tabs>
          <w:tab w:val="left" w:pos="567"/>
        </w:tabs>
        <w:spacing w:after="480" w:line="480" w:lineRule="auto"/>
        <w:rPr>
          <w:rFonts w:cs="Arial"/>
          <w:bCs/>
          <w:szCs w:val="22"/>
        </w:rPr>
      </w:pPr>
      <w:r>
        <w:rPr>
          <w:rFonts w:cs="Arial"/>
          <w:bCs/>
          <w:szCs w:val="22"/>
        </w:rPr>
        <w:t>[31]</w:t>
      </w:r>
      <w:r>
        <w:rPr>
          <w:rFonts w:cs="Arial"/>
          <w:bCs/>
          <w:szCs w:val="22"/>
        </w:rPr>
        <w:tab/>
      </w:r>
      <w:r w:rsidR="00517E23" w:rsidRPr="008B09D9">
        <w:rPr>
          <w:rFonts w:cs="Arial"/>
          <w:bCs/>
          <w:szCs w:val="22"/>
        </w:rPr>
        <w:t>The</w:t>
      </w:r>
      <w:r w:rsidR="00376643" w:rsidRPr="008B09D9">
        <w:rPr>
          <w:rFonts w:cs="Arial"/>
          <w:bCs/>
          <w:szCs w:val="22"/>
        </w:rPr>
        <w:t xml:space="preserve"> respondent is a businessman. He was content to engage</w:t>
      </w:r>
      <w:r w:rsidR="00517E23" w:rsidRPr="008B09D9">
        <w:rPr>
          <w:rFonts w:cs="Arial"/>
          <w:bCs/>
          <w:szCs w:val="22"/>
        </w:rPr>
        <w:t xml:space="preserve"> with the applicant in respect of the settlement agreement and the contents thereof</w:t>
      </w:r>
      <w:r w:rsidR="00376926" w:rsidRPr="008B09D9">
        <w:rPr>
          <w:rFonts w:cs="Arial"/>
          <w:bCs/>
          <w:szCs w:val="22"/>
        </w:rPr>
        <w:t>,</w:t>
      </w:r>
      <w:r w:rsidR="00517E23" w:rsidRPr="008B09D9">
        <w:rPr>
          <w:rFonts w:cs="Arial"/>
          <w:bCs/>
          <w:szCs w:val="22"/>
        </w:rPr>
        <w:t xml:space="preserve"> without </w:t>
      </w:r>
      <w:r w:rsidR="00376643" w:rsidRPr="008B09D9">
        <w:rPr>
          <w:rFonts w:cs="Arial"/>
          <w:bCs/>
          <w:szCs w:val="22"/>
        </w:rPr>
        <w:t xml:space="preserve">the need </w:t>
      </w:r>
      <w:r w:rsidR="00376926" w:rsidRPr="008B09D9">
        <w:rPr>
          <w:rFonts w:cs="Arial"/>
          <w:bCs/>
          <w:szCs w:val="22"/>
        </w:rPr>
        <w:t>to invoke</w:t>
      </w:r>
      <w:r w:rsidR="00517E23" w:rsidRPr="008B09D9">
        <w:rPr>
          <w:rFonts w:cs="Arial"/>
          <w:bCs/>
          <w:szCs w:val="22"/>
        </w:rPr>
        <w:t xml:space="preserve"> legal assistance. The respondent is the owner of at least one immovable property, shares in a company, a pension fund</w:t>
      </w:r>
      <w:r w:rsidR="00376926" w:rsidRPr="008B09D9">
        <w:rPr>
          <w:rFonts w:cs="Arial"/>
          <w:bCs/>
          <w:szCs w:val="22"/>
        </w:rPr>
        <w:t xml:space="preserve"> interest</w:t>
      </w:r>
      <w:r w:rsidR="00517E23" w:rsidRPr="008B09D9">
        <w:rPr>
          <w:rFonts w:cs="Arial"/>
          <w:bCs/>
          <w:szCs w:val="22"/>
        </w:rPr>
        <w:t xml:space="preserve"> and is well able to and doe</w:t>
      </w:r>
      <w:r w:rsidR="00376926" w:rsidRPr="008B09D9">
        <w:rPr>
          <w:rFonts w:cs="Arial"/>
          <w:bCs/>
          <w:szCs w:val="22"/>
        </w:rPr>
        <w:t>s engage in business and related activities</w:t>
      </w:r>
      <w:r w:rsidR="00376643" w:rsidRPr="008B09D9">
        <w:rPr>
          <w:rFonts w:cs="Arial"/>
          <w:bCs/>
          <w:szCs w:val="22"/>
        </w:rPr>
        <w:t xml:space="preserve"> in the outside world</w:t>
      </w:r>
      <w:r w:rsidR="00376926" w:rsidRPr="008B09D9">
        <w:rPr>
          <w:rFonts w:cs="Arial"/>
          <w:bCs/>
          <w:szCs w:val="22"/>
        </w:rPr>
        <w:t xml:space="preserve">. </w:t>
      </w:r>
      <w:r w:rsidR="00517E23" w:rsidRPr="008B09D9">
        <w:rPr>
          <w:rFonts w:cs="Arial"/>
          <w:bCs/>
          <w:szCs w:val="22"/>
        </w:rPr>
        <w:t>The</w:t>
      </w:r>
      <w:r w:rsidR="00376643" w:rsidRPr="008B09D9">
        <w:rPr>
          <w:rFonts w:cs="Arial"/>
          <w:bCs/>
          <w:szCs w:val="22"/>
        </w:rPr>
        <w:t xml:space="preserve"> </w:t>
      </w:r>
      <w:r w:rsidR="00517E23" w:rsidRPr="008B09D9">
        <w:rPr>
          <w:rFonts w:cs="Arial"/>
          <w:bCs/>
          <w:szCs w:val="22"/>
        </w:rPr>
        <w:t>settlement agreement</w:t>
      </w:r>
      <w:r w:rsidR="00376926" w:rsidRPr="008B09D9">
        <w:rPr>
          <w:rFonts w:cs="Arial"/>
          <w:bCs/>
          <w:szCs w:val="22"/>
        </w:rPr>
        <w:t xml:space="preserve"> is headed ‘</w:t>
      </w:r>
      <w:r w:rsidR="00517E23" w:rsidRPr="008B09D9">
        <w:rPr>
          <w:rFonts w:cs="Arial"/>
          <w:bCs/>
          <w:szCs w:val="22"/>
        </w:rPr>
        <w:t>agreement of settlement</w:t>
      </w:r>
      <w:r w:rsidR="00376926" w:rsidRPr="008B09D9">
        <w:rPr>
          <w:rFonts w:cs="Arial"/>
          <w:bCs/>
          <w:szCs w:val="22"/>
        </w:rPr>
        <w:t>’</w:t>
      </w:r>
      <w:r w:rsidR="00376643" w:rsidRPr="008B09D9">
        <w:rPr>
          <w:rFonts w:cs="Arial"/>
          <w:bCs/>
          <w:szCs w:val="22"/>
        </w:rPr>
        <w:t xml:space="preserve"> o</w:t>
      </w:r>
      <w:r w:rsidR="00517E23" w:rsidRPr="008B09D9">
        <w:rPr>
          <w:rFonts w:cs="Arial"/>
          <w:bCs/>
          <w:szCs w:val="22"/>
        </w:rPr>
        <w:t xml:space="preserve">n the </w:t>
      </w:r>
      <w:r w:rsidR="00376643" w:rsidRPr="008B09D9">
        <w:rPr>
          <w:rFonts w:cs="Arial"/>
          <w:bCs/>
          <w:szCs w:val="22"/>
        </w:rPr>
        <w:t>first page thereof</w:t>
      </w:r>
      <w:r w:rsidR="00376926" w:rsidRPr="008B09D9">
        <w:rPr>
          <w:rFonts w:cs="Arial"/>
          <w:bCs/>
          <w:szCs w:val="22"/>
        </w:rPr>
        <w:t>.</w:t>
      </w:r>
      <w:r w:rsidR="00517E23" w:rsidRPr="008B09D9">
        <w:rPr>
          <w:rFonts w:cs="Arial"/>
          <w:bCs/>
          <w:szCs w:val="22"/>
        </w:rPr>
        <w:t xml:space="preserve"> </w:t>
      </w:r>
      <w:r w:rsidR="00376926" w:rsidRPr="008B09D9">
        <w:rPr>
          <w:rFonts w:cs="Arial"/>
          <w:bCs/>
          <w:szCs w:val="22"/>
        </w:rPr>
        <w:t>The</w:t>
      </w:r>
      <w:r w:rsidR="00376643" w:rsidRPr="008B09D9">
        <w:rPr>
          <w:rFonts w:cs="Arial"/>
          <w:bCs/>
          <w:szCs w:val="22"/>
        </w:rPr>
        <w:t xml:space="preserve"> preamble</w:t>
      </w:r>
      <w:r w:rsidR="00376926" w:rsidRPr="008B09D9">
        <w:rPr>
          <w:rFonts w:cs="Arial"/>
          <w:bCs/>
          <w:szCs w:val="22"/>
        </w:rPr>
        <w:t xml:space="preserve"> repeats that the document is an agreement</w:t>
      </w:r>
      <w:r w:rsidR="00517E23" w:rsidRPr="008B09D9">
        <w:rPr>
          <w:rFonts w:cs="Arial"/>
          <w:bCs/>
          <w:szCs w:val="22"/>
        </w:rPr>
        <w:t xml:space="preserve"> </w:t>
      </w:r>
      <w:r w:rsidR="00376926" w:rsidRPr="008B09D9">
        <w:rPr>
          <w:rFonts w:cs="Arial"/>
          <w:bCs/>
          <w:szCs w:val="22"/>
        </w:rPr>
        <w:t>of settlement. Furthermore,</w:t>
      </w:r>
      <w:r w:rsidR="00517E23" w:rsidRPr="008B09D9">
        <w:rPr>
          <w:rFonts w:cs="Arial"/>
          <w:bCs/>
          <w:szCs w:val="22"/>
        </w:rPr>
        <w:t xml:space="preserve"> the preamble </w:t>
      </w:r>
      <w:r w:rsidR="00376643" w:rsidRPr="008B09D9">
        <w:rPr>
          <w:rFonts w:cs="Arial"/>
          <w:bCs/>
          <w:szCs w:val="22"/>
        </w:rPr>
        <w:t>provides</w:t>
      </w:r>
      <w:r w:rsidR="00376926" w:rsidRPr="008B09D9">
        <w:rPr>
          <w:rFonts w:cs="Arial"/>
          <w:bCs/>
          <w:szCs w:val="22"/>
        </w:rPr>
        <w:t xml:space="preserve"> unequivocally that</w:t>
      </w:r>
      <w:r w:rsidR="00517E23" w:rsidRPr="008B09D9">
        <w:rPr>
          <w:rFonts w:cs="Arial"/>
          <w:bCs/>
          <w:szCs w:val="22"/>
        </w:rPr>
        <w:t xml:space="preserve"> the content of </w:t>
      </w:r>
      <w:r w:rsidR="00376926" w:rsidRPr="008B09D9">
        <w:rPr>
          <w:rFonts w:cs="Arial"/>
          <w:bCs/>
          <w:szCs w:val="22"/>
        </w:rPr>
        <w:t>the settlement agreement relates</w:t>
      </w:r>
      <w:r w:rsidR="00517E23" w:rsidRPr="008B09D9">
        <w:rPr>
          <w:rFonts w:cs="Arial"/>
          <w:bCs/>
          <w:szCs w:val="22"/>
        </w:rPr>
        <w:t xml:space="preserve"> to the action proceedings instituted against the respondent </w:t>
      </w:r>
      <w:proofErr w:type="gramStart"/>
      <w:r w:rsidR="00517E23" w:rsidRPr="008B09D9">
        <w:rPr>
          <w:rFonts w:cs="Arial"/>
          <w:bCs/>
          <w:szCs w:val="22"/>
        </w:rPr>
        <w:t>in order to</w:t>
      </w:r>
      <w:proofErr w:type="gramEnd"/>
      <w:r w:rsidR="00517E23" w:rsidRPr="008B09D9">
        <w:rPr>
          <w:rFonts w:cs="Arial"/>
          <w:bCs/>
          <w:szCs w:val="22"/>
        </w:rPr>
        <w:t xml:space="preserve"> declare their previous relationship a universal partnership. </w:t>
      </w:r>
    </w:p>
    <w:p w14:paraId="27A97A4C" w14:textId="54247FD4" w:rsidR="00517E23" w:rsidRPr="008B09D9" w:rsidRDefault="008B09D9" w:rsidP="008B09D9">
      <w:pPr>
        <w:tabs>
          <w:tab w:val="left" w:pos="567"/>
        </w:tabs>
        <w:spacing w:after="480" w:line="480" w:lineRule="auto"/>
        <w:rPr>
          <w:rFonts w:cs="Arial"/>
          <w:bCs/>
          <w:szCs w:val="22"/>
        </w:rPr>
      </w:pPr>
      <w:r>
        <w:rPr>
          <w:rFonts w:cs="Arial"/>
          <w:bCs/>
          <w:szCs w:val="22"/>
        </w:rPr>
        <w:t>[32]</w:t>
      </w:r>
      <w:r>
        <w:rPr>
          <w:rFonts w:cs="Arial"/>
          <w:bCs/>
          <w:szCs w:val="22"/>
        </w:rPr>
        <w:tab/>
      </w:r>
      <w:r w:rsidR="00517E23" w:rsidRPr="008B09D9">
        <w:rPr>
          <w:rFonts w:cs="Arial"/>
          <w:bCs/>
          <w:szCs w:val="22"/>
        </w:rPr>
        <w:t xml:space="preserve">Furthermore, the second paragraph of the preamble states that the </w:t>
      </w:r>
      <w:proofErr w:type="gramStart"/>
      <w:r w:rsidR="00517E23" w:rsidRPr="008B09D9">
        <w:rPr>
          <w:rFonts w:cs="Arial"/>
          <w:bCs/>
          <w:szCs w:val="22"/>
        </w:rPr>
        <w:t>parties</w:t>
      </w:r>
      <w:proofErr w:type="gramEnd"/>
      <w:r w:rsidR="00517E23" w:rsidRPr="008B09D9">
        <w:rPr>
          <w:rFonts w:cs="Arial"/>
          <w:bCs/>
          <w:szCs w:val="22"/>
        </w:rPr>
        <w:t xml:space="preserve"> </w:t>
      </w:r>
      <w:r w:rsidR="000609D7" w:rsidRPr="008B09D9">
        <w:rPr>
          <w:rFonts w:cs="Arial"/>
          <w:bCs/>
          <w:szCs w:val="22"/>
        </w:rPr>
        <w:t>consent that their relationship was a</w:t>
      </w:r>
      <w:r w:rsidR="00517E23" w:rsidRPr="008B09D9">
        <w:rPr>
          <w:rFonts w:cs="Arial"/>
          <w:bCs/>
          <w:szCs w:val="22"/>
        </w:rPr>
        <w:t xml:space="preserve"> universal partnership and that the universal partnership had broken down irretrievably.</w:t>
      </w:r>
    </w:p>
    <w:p w14:paraId="37B22661" w14:textId="64AAD376" w:rsidR="000609D7" w:rsidRPr="008B09D9" w:rsidRDefault="008B09D9" w:rsidP="008B09D9">
      <w:pPr>
        <w:tabs>
          <w:tab w:val="left" w:pos="567"/>
        </w:tabs>
        <w:spacing w:after="480" w:line="480" w:lineRule="auto"/>
        <w:rPr>
          <w:rFonts w:cs="Arial"/>
          <w:bCs/>
          <w:szCs w:val="22"/>
        </w:rPr>
      </w:pPr>
      <w:r>
        <w:rPr>
          <w:rFonts w:cs="Arial"/>
          <w:bCs/>
          <w:szCs w:val="22"/>
        </w:rPr>
        <w:t>[33]</w:t>
      </w:r>
      <w:r>
        <w:rPr>
          <w:rFonts w:cs="Arial"/>
          <w:bCs/>
          <w:szCs w:val="22"/>
        </w:rPr>
        <w:tab/>
      </w:r>
      <w:r w:rsidR="00517E23" w:rsidRPr="008B09D9">
        <w:rPr>
          <w:rFonts w:cs="Arial"/>
          <w:bCs/>
          <w:szCs w:val="22"/>
        </w:rPr>
        <w:t>It is untenable for the respondent to argue</w:t>
      </w:r>
      <w:r w:rsidR="000609D7" w:rsidRPr="008B09D9">
        <w:rPr>
          <w:rFonts w:cs="Arial"/>
          <w:bCs/>
          <w:szCs w:val="22"/>
        </w:rPr>
        <w:t xml:space="preserve"> in these circumstances</w:t>
      </w:r>
      <w:r w:rsidR="00517E23" w:rsidRPr="008B09D9">
        <w:rPr>
          <w:rFonts w:cs="Arial"/>
          <w:bCs/>
          <w:szCs w:val="22"/>
        </w:rPr>
        <w:t xml:space="preserve"> that he acted under an alleged misrepresentation as to the nature of the </w:t>
      </w:r>
      <w:r w:rsidR="000609D7" w:rsidRPr="008B09D9">
        <w:rPr>
          <w:rFonts w:cs="Arial"/>
          <w:bCs/>
          <w:szCs w:val="22"/>
        </w:rPr>
        <w:t xml:space="preserve">settlement agreement </w:t>
      </w:r>
      <w:r w:rsidR="00517E23" w:rsidRPr="008B09D9">
        <w:rPr>
          <w:rFonts w:cs="Arial"/>
          <w:bCs/>
          <w:szCs w:val="22"/>
        </w:rPr>
        <w:t xml:space="preserve">that he was signing. He </w:t>
      </w:r>
      <w:r w:rsidR="000609D7" w:rsidRPr="008B09D9">
        <w:rPr>
          <w:rFonts w:cs="Arial"/>
          <w:bCs/>
          <w:szCs w:val="22"/>
        </w:rPr>
        <w:t xml:space="preserve">either </w:t>
      </w:r>
      <w:r w:rsidR="00517E23" w:rsidRPr="008B09D9">
        <w:rPr>
          <w:rFonts w:cs="Arial"/>
          <w:bCs/>
          <w:szCs w:val="22"/>
        </w:rPr>
        <w:t>signed or initialled each page of the document and signed in full as</w:t>
      </w:r>
      <w:r w:rsidR="000609D7" w:rsidRPr="008B09D9">
        <w:rPr>
          <w:rFonts w:cs="Arial"/>
          <w:bCs/>
          <w:szCs w:val="22"/>
        </w:rPr>
        <w:t xml:space="preserve"> the defendant on the last page thereof</w:t>
      </w:r>
      <w:r w:rsidR="00517E23" w:rsidRPr="008B09D9">
        <w:rPr>
          <w:rFonts w:cs="Arial"/>
          <w:bCs/>
          <w:szCs w:val="22"/>
        </w:rPr>
        <w:t xml:space="preserve"> </w:t>
      </w:r>
      <w:proofErr w:type="gramStart"/>
      <w:r w:rsidR="00517E23" w:rsidRPr="008B09D9">
        <w:rPr>
          <w:rFonts w:cs="Arial"/>
          <w:bCs/>
          <w:szCs w:val="22"/>
        </w:rPr>
        <w:t>The</w:t>
      </w:r>
      <w:proofErr w:type="gramEnd"/>
      <w:r w:rsidR="00517E23" w:rsidRPr="008B09D9">
        <w:rPr>
          <w:rFonts w:cs="Arial"/>
          <w:bCs/>
          <w:szCs w:val="22"/>
        </w:rPr>
        <w:t xml:space="preserve"> document comprising the settlement agreement consisted of 6 pages. Each page was signed or initialled by the respondent. </w:t>
      </w:r>
    </w:p>
    <w:p w14:paraId="644ACC25" w14:textId="2F1BEC32" w:rsidR="00517E23" w:rsidRPr="008B09D9" w:rsidRDefault="008B09D9" w:rsidP="008B09D9">
      <w:pPr>
        <w:tabs>
          <w:tab w:val="left" w:pos="567"/>
        </w:tabs>
        <w:spacing w:after="480" w:line="480" w:lineRule="auto"/>
        <w:rPr>
          <w:rFonts w:cs="Arial"/>
          <w:bCs/>
          <w:szCs w:val="22"/>
        </w:rPr>
      </w:pPr>
      <w:r>
        <w:rPr>
          <w:rFonts w:cs="Arial"/>
          <w:bCs/>
          <w:szCs w:val="22"/>
        </w:rPr>
        <w:lastRenderedPageBreak/>
        <w:t>[34]</w:t>
      </w:r>
      <w:r>
        <w:rPr>
          <w:rFonts w:cs="Arial"/>
          <w:bCs/>
          <w:szCs w:val="22"/>
        </w:rPr>
        <w:tab/>
      </w:r>
      <w:r w:rsidR="00517E23" w:rsidRPr="008B09D9">
        <w:rPr>
          <w:rFonts w:cs="Arial"/>
          <w:bCs/>
          <w:szCs w:val="22"/>
        </w:rPr>
        <w:t>In addition, the</w:t>
      </w:r>
      <w:r w:rsidR="000609D7" w:rsidRPr="008B09D9">
        <w:rPr>
          <w:rFonts w:cs="Arial"/>
          <w:bCs/>
          <w:szCs w:val="22"/>
        </w:rPr>
        <w:t xml:space="preserve"> respondent effected the</w:t>
      </w:r>
      <w:r w:rsidR="00517E23" w:rsidRPr="008B09D9">
        <w:rPr>
          <w:rFonts w:cs="Arial"/>
          <w:bCs/>
          <w:szCs w:val="22"/>
        </w:rPr>
        <w:t xml:space="preserve"> amendment referred to by me </w:t>
      </w:r>
      <w:r w:rsidR="000609D7" w:rsidRPr="008B09D9">
        <w:rPr>
          <w:rFonts w:cs="Arial"/>
          <w:bCs/>
          <w:szCs w:val="22"/>
        </w:rPr>
        <w:t>afore,</w:t>
      </w:r>
      <w:r w:rsidR="00517E23" w:rsidRPr="008B09D9">
        <w:rPr>
          <w:rFonts w:cs="Arial"/>
          <w:bCs/>
          <w:szCs w:val="22"/>
        </w:rPr>
        <w:t xml:space="preserve"> to the provision in respect of the monthly rental derived from the </w:t>
      </w:r>
      <w:r w:rsidR="000609D7" w:rsidRPr="008B09D9">
        <w:rPr>
          <w:rFonts w:cs="Arial"/>
          <w:bCs/>
          <w:szCs w:val="22"/>
        </w:rPr>
        <w:t xml:space="preserve">immovable </w:t>
      </w:r>
      <w:r w:rsidR="00517E23" w:rsidRPr="008B09D9">
        <w:rPr>
          <w:rFonts w:cs="Arial"/>
          <w:bCs/>
          <w:szCs w:val="22"/>
        </w:rPr>
        <w:t>property situated at 16 Holding Road, Benoni</w:t>
      </w:r>
      <w:r w:rsidR="000609D7" w:rsidRPr="008B09D9">
        <w:rPr>
          <w:rFonts w:cs="Arial"/>
          <w:bCs/>
          <w:szCs w:val="22"/>
        </w:rPr>
        <w:t>,</w:t>
      </w:r>
      <w:r w:rsidR="00517E23" w:rsidRPr="008B09D9">
        <w:rPr>
          <w:rFonts w:cs="Arial"/>
          <w:bCs/>
          <w:szCs w:val="22"/>
        </w:rPr>
        <w:t xml:space="preserve"> Orchards. In addition, the settlement agreement was based on proposals initially made by the respondent and the respondent, in the litigation</w:t>
      </w:r>
      <w:r w:rsidR="000609D7" w:rsidRPr="008B09D9">
        <w:rPr>
          <w:rFonts w:cs="Arial"/>
          <w:bCs/>
          <w:szCs w:val="22"/>
        </w:rPr>
        <w:t xml:space="preserve"> before me</w:t>
      </w:r>
      <w:r w:rsidR="00517E23" w:rsidRPr="008B09D9">
        <w:rPr>
          <w:rFonts w:cs="Arial"/>
          <w:bCs/>
          <w:szCs w:val="22"/>
        </w:rPr>
        <w:t xml:space="preserve">, made a </w:t>
      </w:r>
      <w:proofErr w:type="gramStart"/>
      <w:r w:rsidR="00517E23" w:rsidRPr="008B09D9">
        <w:rPr>
          <w:rFonts w:cs="Arial"/>
          <w:bCs/>
          <w:szCs w:val="22"/>
        </w:rPr>
        <w:t>co</w:t>
      </w:r>
      <w:r w:rsidR="000609D7" w:rsidRPr="008B09D9">
        <w:rPr>
          <w:rFonts w:cs="Arial"/>
          <w:bCs/>
          <w:szCs w:val="22"/>
        </w:rPr>
        <w:t>unter-proposal</w:t>
      </w:r>
      <w:proofErr w:type="gramEnd"/>
      <w:r w:rsidR="000609D7" w:rsidRPr="008B09D9">
        <w:rPr>
          <w:rFonts w:cs="Arial"/>
          <w:bCs/>
          <w:szCs w:val="22"/>
        </w:rPr>
        <w:t xml:space="preserve"> to the applicant, as a substitute to</w:t>
      </w:r>
      <w:r w:rsidR="00517E23" w:rsidRPr="008B09D9">
        <w:rPr>
          <w:rFonts w:cs="Arial"/>
          <w:bCs/>
          <w:szCs w:val="22"/>
        </w:rPr>
        <w:t xml:space="preserve"> the settlement agreement. </w:t>
      </w:r>
    </w:p>
    <w:p w14:paraId="0FF2C8D2" w14:textId="1A4D3A99" w:rsidR="003E47A5" w:rsidRPr="008B09D9" w:rsidRDefault="008B09D9" w:rsidP="008B09D9">
      <w:pPr>
        <w:tabs>
          <w:tab w:val="left" w:pos="567"/>
        </w:tabs>
        <w:spacing w:after="480" w:line="480" w:lineRule="auto"/>
        <w:rPr>
          <w:rFonts w:cs="Arial"/>
          <w:bCs/>
          <w:szCs w:val="22"/>
        </w:rPr>
      </w:pPr>
      <w:r>
        <w:rPr>
          <w:rFonts w:cs="Arial"/>
          <w:bCs/>
          <w:szCs w:val="22"/>
        </w:rPr>
        <w:t>[35]</w:t>
      </w:r>
      <w:r>
        <w:rPr>
          <w:rFonts w:cs="Arial"/>
          <w:bCs/>
          <w:szCs w:val="22"/>
        </w:rPr>
        <w:tab/>
      </w:r>
      <w:r w:rsidR="003E47A5" w:rsidRPr="008B09D9">
        <w:rPr>
          <w:rFonts w:cs="Arial"/>
          <w:bCs/>
          <w:szCs w:val="22"/>
        </w:rPr>
        <w:t xml:space="preserve">In respect of the applicant’s alleged material misrepresentation relied upon by the respondent, the respondent’s counsel argued that there was a dispute of fact in this regard, justifying the matter being referred to oral evidence. </w:t>
      </w:r>
    </w:p>
    <w:p w14:paraId="0309D4EB" w14:textId="709B2A22" w:rsidR="003E47A5" w:rsidRPr="008B09D9" w:rsidRDefault="008B09D9" w:rsidP="008B09D9">
      <w:pPr>
        <w:tabs>
          <w:tab w:val="left" w:pos="567"/>
        </w:tabs>
        <w:spacing w:after="480" w:line="480" w:lineRule="auto"/>
        <w:rPr>
          <w:rFonts w:cs="Arial"/>
          <w:bCs/>
          <w:szCs w:val="22"/>
        </w:rPr>
      </w:pPr>
      <w:r w:rsidRPr="003E47A5">
        <w:rPr>
          <w:rFonts w:cs="Arial"/>
          <w:bCs/>
          <w:szCs w:val="22"/>
        </w:rPr>
        <w:t>[36]</w:t>
      </w:r>
      <w:r w:rsidRPr="003E47A5">
        <w:rPr>
          <w:rFonts w:cs="Arial"/>
          <w:bCs/>
          <w:szCs w:val="22"/>
        </w:rPr>
        <w:tab/>
      </w:r>
      <w:r w:rsidR="003E47A5" w:rsidRPr="008B09D9">
        <w:rPr>
          <w:rFonts w:cs="Arial"/>
          <w:bCs/>
          <w:szCs w:val="22"/>
        </w:rPr>
        <w:t xml:space="preserve">It appears to me that there is no dispute of fact in respect of the alleged misrepresentation. Rather, this is a case of the respondent regretting the terms of the bargain made by him in terms of the settlement agreement. </w:t>
      </w:r>
    </w:p>
    <w:p w14:paraId="2D856CB7" w14:textId="398E6814" w:rsidR="006F3190" w:rsidRPr="008B09D9" w:rsidRDefault="008B09D9" w:rsidP="008B09D9">
      <w:pPr>
        <w:tabs>
          <w:tab w:val="left" w:pos="567"/>
        </w:tabs>
        <w:spacing w:after="480" w:line="480" w:lineRule="auto"/>
        <w:rPr>
          <w:rFonts w:cs="Arial"/>
          <w:bCs/>
          <w:szCs w:val="22"/>
        </w:rPr>
      </w:pPr>
      <w:r>
        <w:rPr>
          <w:rFonts w:cs="Arial"/>
          <w:bCs/>
          <w:szCs w:val="22"/>
        </w:rPr>
        <w:t>[37]</w:t>
      </w:r>
      <w:r>
        <w:rPr>
          <w:rFonts w:cs="Arial"/>
          <w:bCs/>
          <w:szCs w:val="22"/>
        </w:rPr>
        <w:tab/>
      </w:r>
      <w:r w:rsidR="00517E23" w:rsidRPr="008B09D9">
        <w:rPr>
          <w:rFonts w:cs="Arial"/>
          <w:bCs/>
          <w:szCs w:val="22"/>
        </w:rPr>
        <w:t>The respondent alleged that the applicant</w:t>
      </w:r>
      <w:r w:rsidR="000609D7" w:rsidRPr="008B09D9">
        <w:rPr>
          <w:rFonts w:cs="Arial"/>
          <w:bCs/>
          <w:szCs w:val="22"/>
        </w:rPr>
        <w:t xml:space="preserve"> misrepresented to him</w:t>
      </w:r>
      <w:r w:rsidR="00517E23" w:rsidRPr="008B09D9">
        <w:rPr>
          <w:rFonts w:cs="Arial"/>
          <w:bCs/>
          <w:szCs w:val="22"/>
        </w:rPr>
        <w:t xml:space="preserve"> that the settlement agreement would be determined finally by a Judge. That </w:t>
      </w:r>
      <w:r w:rsidR="000609D7" w:rsidRPr="008B09D9">
        <w:rPr>
          <w:rFonts w:cs="Arial"/>
          <w:bCs/>
          <w:szCs w:val="22"/>
        </w:rPr>
        <w:t>statement</w:t>
      </w:r>
      <w:r w:rsidR="008905CE" w:rsidRPr="008B09D9">
        <w:rPr>
          <w:rFonts w:cs="Arial"/>
          <w:bCs/>
          <w:szCs w:val="22"/>
        </w:rPr>
        <w:t xml:space="preserve"> </w:t>
      </w:r>
      <w:r w:rsidR="00F9274C" w:rsidRPr="008B09D9">
        <w:rPr>
          <w:rFonts w:cs="Arial"/>
          <w:bCs/>
          <w:szCs w:val="22"/>
        </w:rPr>
        <w:t>did</w:t>
      </w:r>
      <w:r w:rsidR="008905CE" w:rsidRPr="008B09D9">
        <w:rPr>
          <w:rFonts w:cs="Arial"/>
          <w:bCs/>
          <w:szCs w:val="22"/>
        </w:rPr>
        <w:t xml:space="preserve"> </w:t>
      </w:r>
      <w:r w:rsidR="000609D7" w:rsidRPr="008B09D9">
        <w:rPr>
          <w:rFonts w:cs="Arial"/>
          <w:bCs/>
          <w:szCs w:val="22"/>
        </w:rPr>
        <w:t xml:space="preserve">not </w:t>
      </w:r>
      <w:r w:rsidR="00F23288" w:rsidRPr="008B09D9">
        <w:rPr>
          <w:rFonts w:cs="Arial"/>
          <w:bCs/>
          <w:szCs w:val="22"/>
        </w:rPr>
        <w:t xml:space="preserve">amount to </w:t>
      </w:r>
      <w:r w:rsidR="000609D7" w:rsidRPr="008B09D9">
        <w:rPr>
          <w:rFonts w:cs="Arial"/>
          <w:bCs/>
          <w:szCs w:val="22"/>
        </w:rPr>
        <w:t>a misrepresentation</w:t>
      </w:r>
      <w:r w:rsidR="00F9274C" w:rsidRPr="008B09D9">
        <w:rPr>
          <w:rFonts w:cs="Arial"/>
          <w:bCs/>
          <w:szCs w:val="22"/>
        </w:rPr>
        <w:t xml:space="preserve">. </w:t>
      </w:r>
      <w:r w:rsidR="001538CB" w:rsidRPr="008B09D9">
        <w:rPr>
          <w:rFonts w:cs="Arial"/>
          <w:bCs/>
          <w:szCs w:val="22"/>
        </w:rPr>
        <w:t xml:space="preserve">The settlement agreement </w:t>
      </w:r>
      <w:proofErr w:type="gramStart"/>
      <w:r w:rsidR="006F3190" w:rsidRPr="008B09D9">
        <w:rPr>
          <w:rFonts w:cs="Arial"/>
          <w:bCs/>
          <w:szCs w:val="22"/>
        </w:rPr>
        <w:t>provided that</w:t>
      </w:r>
      <w:proofErr w:type="gramEnd"/>
      <w:r w:rsidR="006F3190" w:rsidRPr="008B09D9">
        <w:rPr>
          <w:rFonts w:cs="Arial"/>
          <w:bCs/>
          <w:szCs w:val="22"/>
        </w:rPr>
        <w:t xml:space="preserve"> </w:t>
      </w:r>
      <w:r w:rsidR="001538CB" w:rsidRPr="008B09D9">
        <w:rPr>
          <w:rFonts w:cs="Arial"/>
          <w:bCs/>
          <w:szCs w:val="22"/>
        </w:rPr>
        <w:t xml:space="preserve">it </w:t>
      </w:r>
      <w:r w:rsidR="006F3190" w:rsidRPr="008B09D9">
        <w:rPr>
          <w:rFonts w:cs="Arial"/>
          <w:bCs/>
          <w:szCs w:val="22"/>
        </w:rPr>
        <w:t>be subject to the approval of this Court and any addition</w:t>
      </w:r>
      <w:r w:rsidR="001538CB" w:rsidRPr="008B09D9">
        <w:rPr>
          <w:rFonts w:cs="Arial"/>
          <w:bCs/>
          <w:szCs w:val="22"/>
        </w:rPr>
        <w:t>s, omissions or changes that</w:t>
      </w:r>
      <w:r w:rsidR="006F3190" w:rsidRPr="008B09D9">
        <w:rPr>
          <w:rFonts w:cs="Arial"/>
          <w:bCs/>
          <w:szCs w:val="22"/>
        </w:rPr>
        <w:t xml:space="preserve"> the Court may deem appropriate</w:t>
      </w:r>
    </w:p>
    <w:p w14:paraId="58FD45BC" w14:textId="5C3E13AA" w:rsidR="00517E23" w:rsidRPr="008B09D9" w:rsidRDefault="008B09D9" w:rsidP="008B09D9">
      <w:pPr>
        <w:tabs>
          <w:tab w:val="left" w:pos="567"/>
        </w:tabs>
        <w:spacing w:after="480" w:line="480" w:lineRule="auto"/>
        <w:rPr>
          <w:rFonts w:cs="Arial"/>
          <w:bCs/>
          <w:szCs w:val="22"/>
        </w:rPr>
      </w:pPr>
      <w:r>
        <w:rPr>
          <w:rFonts w:cs="Arial"/>
          <w:bCs/>
          <w:szCs w:val="22"/>
        </w:rPr>
        <w:t>[38]</w:t>
      </w:r>
      <w:r>
        <w:rPr>
          <w:rFonts w:cs="Arial"/>
          <w:bCs/>
          <w:szCs w:val="22"/>
        </w:rPr>
        <w:tab/>
      </w:r>
      <w:r w:rsidR="00F9274C" w:rsidRPr="008B09D9">
        <w:rPr>
          <w:rFonts w:cs="Arial"/>
          <w:bCs/>
          <w:szCs w:val="22"/>
        </w:rPr>
        <w:t xml:space="preserve">Given that the parties provided in the </w:t>
      </w:r>
      <w:r w:rsidR="00F23288" w:rsidRPr="008B09D9">
        <w:rPr>
          <w:rFonts w:cs="Arial"/>
          <w:bCs/>
          <w:szCs w:val="22"/>
        </w:rPr>
        <w:t xml:space="preserve">settlement </w:t>
      </w:r>
      <w:r w:rsidR="00F9274C" w:rsidRPr="008B09D9">
        <w:rPr>
          <w:rFonts w:cs="Arial"/>
          <w:bCs/>
          <w:szCs w:val="22"/>
        </w:rPr>
        <w:t>agreement that</w:t>
      </w:r>
      <w:r w:rsidR="00F23288" w:rsidRPr="008B09D9">
        <w:rPr>
          <w:rFonts w:cs="Arial"/>
          <w:bCs/>
          <w:szCs w:val="22"/>
        </w:rPr>
        <w:t xml:space="preserve"> </w:t>
      </w:r>
      <w:r w:rsidR="00F9274C" w:rsidRPr="008B09D9">
        <w:rPr>
          <w:rFonts w:cs="Arial"/>
          <w:bCs/>
          <w:szCs w:val="22"/>
        </w:rPr>
        <w:t>it be made an order of c</w:t>
      </w:r>
      <w:r w:rsidR="008905CE" w:rsidRPr="008B09D9">
        <w:rPr>
          <w:rFonts w:cs="Arial"/>
          <w:bCs/>
          <w:szCs w:val="22"/>
        </w:rPr>
        <w:t>ourt</w:t>
      </w:r>
      <w:r w:rsidR="00F9274C" w:rsidRPr="008B09D9">
        <w:rPr>
          <w:rFonts w:cs="Arial"/>
          <w:bCs/>
          <w:szCs w:val="22"/>
        </w:rPr>
        <w:t xml:space="preserve">, the settlement agreement </w:t>
      </w:r>
      <w:r w:rsidR="008905CE" w:rsidRPr="008B09D9">
        <w:rPr>
          <w:rFonts w:cs="Arial"/>
          <w:bCs/>
          <w:szCs w:val="22"/>
        </w:rPr>
        <w:t>w</w:t>
      </w:r>
      <w:r w:rsidR="00F9274C" w:rsidRPr="008B09D9">
        <w:rPr>
          <w:rFonts w:cs="Arial"/>
          <w:bCs/>
          <w:szCs w:val="22"/>
        </w:rPr>
        <w:t>ould</w:t>
      </w:r>
      <w:r w:rsidR="008905CE" w:rsidRPr="008B09D9">
        <w:rPr>
          <w:rFonts w:cs="Arial"/>
          <w:bCs/>
          <w:szCs w:val="22"/>
        </w:rPr>
        <w:t xml:space="preserve"> </w:t>
      </w:r>
      <w:r w:rsidR="00F9274C" w:rsidRPr="008B09D9">
        <w:rPr>
          <w:rFonts w:cs="Arial"/>
          <w:bCs/>
          <w:szCs w:val="22"/>
        </w:rPr>
        <w:t xml:space="preserve">be </w:t>
      </w:r>
      <w:r w:rsidR="008905CE" w:rsidRPr="008B09D9">
        <w:rPr>
          <w:rFonts w:cs="Arial"/>
          <w:bCs/>
          <w:szCs w:val="22"/>
        </w:rPr>
        <w:t>considered</w:t>
      </w:r>
      <w:r w:rsidR="00F9274C" w:rsidRPr="008B09D9">
        <w:rPr>
          <w:rFonts w:cs="Arial"/>
          <w:bCs/>
          <w:szCs w:val="22"/>
        </w:rPr>
        <w:t xml:space="preserve"> and determined finally by a </w:t>
      </w:r>
      <w:r w:rsidR="001538CB" w:rsidRPr="008B09D9">
        <w:rPr>
          <w:rFonts w:cs="Arial"/>
          <w:bCs/>
          <w:szCs w:val="22"/>
        </w:rPr>
        <w:t>Judge.</w:t>
      </w:r>
      <w:r w:rsidR="00F9274C" w:rsidRPr="008B09D9">
        <w:rPr>
          <w:rFonts w:cs="Arial"/>
          <w:bCs/>
          <w:szCs w:val="22"/>
        </w:rPr>
        <w:t xml:space="preserve"> The applicant’s representation did</w:t>
      </w:r>
      <w:r w:rsidR="008905CE" w:rsidRPr="008B09D9">
        <w:rPr>
          <w:rFonts w:cs="Arial"/>
          <w:bCs/>
          <w:szCs w:val="22"/>
        </w:rPr>
        <w:t xml:space="preserve"> not amount to a misrepresentation and certainly </w:t>
      </w:r>
      <w:r w:rsidR="00F9274C" w:rsidRPr="008B09D9">
        <w:rPr>
          <w:rFonts w:cs="Arial"/>
          <w:bCs/>
          <w:szCs w:val="22"/>
        </w:rPr>
        <w:t xml:space="preserve">not </w:t>
      </w:r>
      <w:r w:rsidR="008905CE" w:rsidRPr="008B09D9">
        <w:rPr>
          <w:rFonts w:cs="Arial"/>
          <w:bCs/>
          <w:szCs w:val="22"/>
        </w:rPr>
        <w:t xml:space="preserve">to a material misrepresentation. </w:t>
      </w:r>
    </w:p>
    <w:p w14:paraId="16A1D5D6" w14:textId="4D6BB36C" w:rsidR="003E47A5" w:rsidRPr="008B09D9" w:rsidRDefault="008B09D9" w:rsidP="008B09D9">
      <w:pPr>
        <w:tabs>
          <w:tab w:val="left" w:pos="567"/>
        </w:tabs>
        <w:spacing w:after="480" w:line="480" w:lineRule="auto"/>
        <w:rPr>
          <w:rFonts w:cs="Arial"/>
          <w:bCs/>
          <w:szCs w:val="22"/>
        </w:rPr>
      </w:pPr>
      <w:r w:rsidRPr="003E47A5">
        <w:rPr>
          <w:rFonts w:cs="Arial"/>
          <w:bCs/>
          <w:szCs w:val="22"/>
        </w:rPr>
        <w:lastRenderedPageBreak/>
        <w:t>[39]</w:t>
      </w:r>
      <w:r w:rsidRPr="003E47A5">
        <w:rPr>
          <w:rFonts w:cs="Arial"/>
          <w:bCs/>
          <w:szCs w:val="22"/>
        </w:rPr>
        <w:tab/>
      </w:r>
      <w:r w:rsidR="008905CE" w:rsidRPr="008B09D9">
        <w:rPr>
          <w:rFonts w:cs="Arial"/>
          <w:bCs/>
          <w:szCs w:val="22"/>
        </w:rPr>
        <w:t xml:space="preserve">In the circumstances, I am of the view that the alleged dispute of fact can be rejected on the papers as they stand in accordance with </w:t>
      </w:r>
      <w:r w:rsidR="003E47A5" w:rsidRPr="008B09D9">
        <w:rPr>
          <w:rFonts w:cs="Arial"/>
          <w:bCs/>
          <w:i/>
          <w:szCs w:val="22"/>
        </w:rPr>
        <w:t>Wightman</w:t>
      </w:r>
      <w:r w:rsidR="008905CE" w:rsidRPr="008B09D9">
        <w:rPr>
          <w:rFonts w:cs="Arial"/>
          <w:bCs/>
          <w:i/>
          <w:szCs w:val="22"/>
        </w:rPr>
        <w:t xml:space="preserve"> t/a JW Construction v </w:t>
      </w:r>
      <w:proofErr w:type="spellStart"/>
      <w:r w:rsidR="008905CE" w:rsidRPr="008B09D9">
        <w:rPr>
          <w:rFonts w:cs="Arial"/>
          <w:bCs/>
          <w:i/>
          <w:szCs w:val="22"/>
        </w:rPr>
        <w:t>Headfour</w:t>
      </w:r>
      <w:proofErr w:type="spellEnd"/>
      <w:r w:rsidR="008905CE" w:rsidRPr="008B09D9">
        <w:rPr>
          <w:rFonts w:cs="Arial"/>
          <w:bCs/>
          <w:i/>
          <w:szCs w:val="22"/>
        </w:rPr>
        <w:t xml:space="preserve"> (Pty) Ltd</w:t>
      </w:r>
      <w:r w:rsidR="003E47A5" w:rsidRPr="008B09D9">
        <w:rPr>
          <w:rFonts w:cs="Arial"/>
          <w:bCs/>
          <w:i/>
          <w:szCs w:val="22"/>
        </w:rPr>
        <w:t xml:space="preserve"> and </w:t>
      </w:r>
      <w:proofErr w:type="spellStart"/>
      <w:r w:rsidR="003E47A5" w:rsidRPr="008B09D9">
        <w:rPr>
          <w:rFonts w:cs="Arial"/>
          <w:bCs/>
          <w:i/>
          <w:szCs w:val="22"/>
        </w:rPr>
        <w:t>Archar</w:t>
      </w:r>
      <w:proofErr w:type="spellEnd"/>
      <w:r w:rsidR="003E47A5" w:rsidRPr="008B09D9">
        <w:rPr>
          <w:rFonts w:cs="Arial"/>
          <w:bCs/>
          <w:i/>
          <w:szCs w:val="22"/>
        </w:rPr>
        <w:t xml:space="preserve"> Head.</w:t>
      </w:r>
      <w:r w:rsidR="008905CE" w:rsidRPr="008905CE">
        <w:rPr>
          <w:rStyle w:val="FootnoteReference"/>
          <w:rFonts w:cs="Arial"/>
          <w:bCs/>
          <w:szCs w:val="22"/>
        </w:rPr>
        <w:footnoteReference w:id="3"/>
      </w:r>
      <w:r w:rsidR="008905CE" w:rsidRPr="008B09D9">
        <w:rPr>
          <w:rFonts w:cs="Arial"/>
          <w:bCs/>
          <w:i/>
          <w:szCs w:val="22"/>
        </w:rPr>
        <w:t xml:space="preserve"> </w:t>
      </w:r>
    </w:p>
    <w:p w14:paraId="5D69E9BE" w14:textId="3C3990B6" w:rsidR="008905CE" w:rsidRPr="008B09D9" w:rsidRDefault="008B09D9" w:rsidP="008B09D9">
      <w:pPr>
        <w:tabs>
          <w:tab w:val="left" w:pos="567"/>
        </w:tabs>
        <w:spacing w:after="480" w:line="480" w:lineRule="auto"/>
        <w:rPr>
          <w:rFonts w:cs="Arial"/>
          <w:bCs/>
          <w:szCs w:val="22"/>
        </w:rPr>
      </w:pPr>
      <w:r>
        <w:rPr>
          <w:rFonts w:cs="Arial"/>
          <w:bCs/>
          <w:szCs w:val="22"/>
        </w:rPr>
        <w:t>[40]</w:t>
      </w:r>
      <w:r>
        <w:rPr>
          <w:rFonts w:cs="Arial"/>
          <w:bCs/>
          <w:szCs w:val="22"/>
        </w:rPr>
        <w:tab/>
      </w:r>
      <w:r w:rsidR="001538CB" w:rsidRPr="008B09D9">
        <w:rPr>
          <w:rFonts w:cs="Arial"/>
          <w:bCs/>
          <w:szCs w:val="22"/>
        </w:rPr>
        <w:t>Accordingly,</w:t>
      </w:r>
      <w:r w:rsidR="008905CE" w:rsidRPr="008B09D9">
        <w:rPr>
          <w:rFonts w:cs="Arial"/>
          <w:bCs/>
          <w:szCs w:val="22"/>
        </w:rPr>
        <w:t xml:space="preserve"> the contention </w:t>
      </w:r>
      <w:r w:rsidR="006F3190" w:rsidRPr="008B09D9">
        <w:rPr>
          <w:rFonts w:cs="Arial"/>
          <w:bCs/>
          <w:szCs w:val="22"/>
        </w:rPr>
        <w:t>that the settlement agreement i</w:t>
      </w:r>
      <w:r w:rsidR="008905CE" w:rsidRPr="008B09D9">
        <w:rPr>
          <w:rFonts w:cs="Arial"/>
          <w:bCs/>
          <w:szCs w:val="22"/>
        </w:rPr>
        <w:t xml:space="preserve">s void </w:t>
      </w:r>
      <w:r w:rsidR="008905CE" w:rsidRPr="008B09D9">
        <w:rPr>
          <w:rFonts w:cs="Arial"/>
          <w:bCs/>
          <w:i/>
          <w:szCs w:val="22"/>
        </w:rPr>
        <w:t>ab initio</w:t>
      </w:r>
      <w:r w:rsidR="006F3190" w:rsidRPr="008B09D9">
        <w:rPr>
          <w:rFonts w:cs="Arial"/>
          <w:bCs/>
          <w:szCs w:val="22"/>
        </w:rPr>
        <w:t>, alternatively voidable, i</w:t>
      </w:r>
      <w:r w:rsidR="008905CE" w:rsidRPr="008B09D9">
        <w:rPr>
          <w:rFonts w:cs="Arial"/>
          <w:bCs/>
          <w:szCs w:val="22"/>
        </w:rPr>
        <w:t xml:space="preserve">s without merit. </w:t>
      </w:r>
      <w:r w:rsidR="003E47A5" w:rsidRPr="008B09D9">
        <w:rPr>
          <w:rFonts w:cs="Arial"/>
          <w:bCs/>
          <w:szCs w:val="22"/>
        </w:rPr>
        <w:t>T</w:t>
      </w:r>
      <w:r w:rsidR="008905CE" w:rsidRPr="008B09D9">
        <w:rPr>
          <w:rFonts w:cs="Arial"/>
          <w:bCs/>
          <w:szCs w:val="22"/>
        </w:rPr>
        <w:t xml:space="preserve">he parties’ intention in </w:t>
      </w:r>
      <w:r w:rsidR="003E47A5" w:rsidRPr="008B09D9">
        <w:rPr>
          <w:rFonts w:cs="Arial"/>
          <w:bCs/>
          <w:szCs w:val="22"/>
        </w:rPr>
        <w:t>respect</w:t>
      </w:r>
      <w:r w:rsidR="006F3190" w:rsidRPr="008B09D9">
        <w:rPr>
          <w:rFonts w:cs="Arial"/>
          <w:bCs/>
          <w:szCs w:val="22"/>
        </w:rPr>
        <w:t xml:space="preserve"> of the various provisions </w:t>
      </w:r>
      <w:r w:rsidR="001538CB" w:rsidRPr="008B09D9">
        <w:rPr>
          <w:rFonts w:cs="Arial"/>
          <w:bCs/>
          <w:szCs w:val="22"/>
        </w:rPr>
        <w:t xml:space="preserve">in the settlement agreement is clearly discernible from the settlement agreement. </w:t>
      </w:r>
      <w:r w:rsidR="006F3190" w:rsidRPr="008B09D9">
        <w:rPr>
          <w:rFonts w:cs="Arial"/>
          <w:bCs/>
          <w:szCs w:val="22"/>
        </w:rPr>
        <w:t xml:space="preserve">This is </w:t>
      </w:r>
      <w:r w:rsidR="003E47A5" w:rsidRPr="008B09D9">
        <w:rPr>
          <w:rFonts w:cs="Arial"/>
          <w:bCs/>
          <w:szCs w:val="22"/>
        </w:rPr>
        <w:t>notwithstanding the settlement agreement not being a model of clarity.</w:t>
      </w:r>
    </w:p>
    <w:p w14:paraId="5825783A" w14:textId="39515396" w:rsidR="008905CE" w:rsidRPr="008B09D9" w:rsidRDefault="008B09D9" w:rsidP="008B09D9">
      <w:pPr>
        <w:tabs>
          <w:tab w:val="left" w:pos="567"/>
        </w:tabs>
        <w:spacing w:after="480" w:line="480" w:lineRule="auto"/>
        <w:rPr>
          <w:rFonts w:cs="Arial"/>
          <w:bCs/>
          <w:szCs w:val="22"/>
        </w:rPr>
      </w:pPr>
      <w:r>
        <w:rPr>
          <w:rFonts w:cs="Arial"/>
          <w:bCs/>
          <w:szCs w:val="22"/>
        </w:rPr>
        <w:t>[41]</w:t>
      </w:r>
      <w:r>
        <w:rPr>
          <w:rFonts w:cs="Arial"/>
          <w:bCs/>
          <w:szCs w:val="22"/>
        </w:rPr>
        <w:tab/>
      </w:r>
      <w:r w:rsidR="008905CE" w:rsidRPr="008B09D9">
        <w:rPr>
          <w:rFonts w:cs="Arial"/>
          <w:bCs/>
          <w:i/>
          <w:szCs w:val="22"/>
        </w:rPr>
        <w:t xml:space="preserve">Pacta sunt </w:t>
      </w:r>
      <w:proofErr w:type="spellStart"/>
      <w:r w:rsidR="008905CE" w:rsidRPr="008B09D9">
        <w:rPr>
          <w:rFonts w:cs="Arial"/>
          <w:bCs/>
          <w:i/>
          <w:szCs w:val="22"/>
        </w:rPr>
        <w:t>servanda</w:t>
      </w:r>
      <w:proofErr w:type="spellEnd"/>
      <w:r w:rsidR="008905CE" w:rsidRPr="008B09D9">
        <w:rPr>
          <w:rFonts w:cs="Arial"/>
          <w:bCs/>
          <w:i/>
          <w:szCs w:val="22"/>
        </w:rPr>
        <w:t xml:space="preserve"> </w:t>
      </w:r>
      <w:r w:rsidR="008905CE" w:rsidRPr="008B09D9">
        <w:rPr>
          <w:rFonts w:cs="Arial"/>
          <w:bCs/>
          <w:szCs w:val="22"/>
        </w:rPr>
        <w:t>remains a cornerstone of our law of contract and has been en</w:t>
      </w:r>
      <w:r w:rsidR="006F3190" w:rsidRPr="008B09D9">
        <w:rPr>
          <w:rFonts w:cs="Arial"/>
          <w:bCs/>
          <w:szCs w:val="22"/>
        </w:rPr>
        <w:t>dorsed and upheld by our highest Courts.</w:t>
      </w:r>
      <w:r w:rsidR="008905CE">
        <w:rPr>
          <w:rStyle w:val="FootnoteReference"/>
          <w:rFonts w:cs="Arial"/>
          <w:bCs/>
          <w:i/>
          <w:szCs w:val="22"/>
        </w:rPr>
        <w:footnoteReference w:id="4"/>
      </w:r>
      <w:r w:rsidR="00844E5C" w:rsidRPr="008B09D9">
        <w:rPr>
          <w:rFonts w:cs="Arial"/>
          <w:bCs/>
          <w:szCs w:val="22"/>
        </w:rPr>
        <w:t xml:space="preserve"> The fact that a contractual obligation voluntarily undertaken is onerous, does not result in it not being enforceable or a party not being held to it.</w:t>
      </w:r>
      <w:r w:rsidR="00844E5C" w:rsidRPr="00844E5C">
        <w:rPr>
          <w:rStyle w:val="FootnoteReference"/>
          <w:rFonts w:cs="Arial"/>
          <w:bCs/>
          <w:szCs w:val="22"/>
        </w:rPr>
        <w:footnoteReference w:id="5"/>
      </w:r>
      <w:r w:rsidR="00844E5C" w:rsidRPr="008B09D9">
        <w:rPr>
          <w:rFonts w:cs="Arial"/>
          <w:bCs/>
          <w:szCs w:val="22"/>
        </w:rPr>
        <w:t xml:space="preserve"> The respondent sig</w:t>
      </w:r>
      <w:r w:rsidR="006F3190" w:rsidRPr="008B09D9">
        <w:rPr>
          <w:rFonts w:cs="Arial"/>
          <w:bCs/>
          <w:szCs w:val="22"/>
        </w:rPr>
        <w:t>ned the settlement agreement. T</w:t>
      </w:r>
      <w:r w:rsidR="00844E5C" w:rsidRPr="008B09D9">
        <w:rPr>
          <w:rFonts w:cs="Arial"/>
          <w:bCs/>
          <w:szCs w:val="22"/>
        </w:rPr>
        <w:t>he circumstances of the matter demonstrate that he did so</w:t>
      </w:r>
      <w:r w:rsidR="006F3190" w:rsidRPr="008B09D9">
        <w:rPr>
          <w:rFonts w:cs="Arial"/>
          <w:bCs/>
          <w:szCs w:val="22"/>
        </w:rPr>
        <w:t xml:space="preserve"> voluntarily and knowingly. I</w:t>
      </w:r>
      <w:r w:rsidR="00844E5C" w:rsidRPr="008B09D9">
        <w:rPr>
          <w:rFonts w:cs="Arial"/>
          <w:bCs/>
          <w:szCs w:val="22"/>
        </w:rPr>
        <w:t xml:space="preserve">t is in keeping with the parties’ </w:t>
      </w:r>
      <w:r w:rsidR="006F3190" w:rsidRPr="008B09D9">
        <w:rPr>
          <w:rFonts w:cs="Arial"/>
          <w:bCs/>
          <w:szCs w:val="22"/>
        </w:rPr>
        <w:t>right</w:t>
      </w:r>
      <w:r w:rsidR="001538CB" w:rsidRPr="008B09D9">
        <w:rPr>
          <w:rFonts w:cs="Arial"/>
          <w:bCs/>
          <w:szCs w:val="22"/>
        </w:rPr>
        <w:t>s</w:t>
      </w:r>
      <w:r w:rsidR="006F3190" w:rsidRPr="008B09D9">
        <w:rPr>
          <w:rFonts w:cs="Arial"/>
          <w:bCs/>
          <w:szCs w:val="22"/>
        </w:rPr>
        <w:t xml:space="preserve"> to </w:t>
      </w:r>
      <w:r w:rsidR="00844E5C" w:rsidRPr="008B09D9">
        <w:rPr>
          <w:rFonts w:cs="Arial"/>
          <w:bCs/>
          <w:szCs w:val="22"/>
        </w:rPr>
        <w:t xml:space="preserve">dignity that the respondent should be held to his contractual undertakings and his obligations. </w:t>
      </w:r>
    </w:p>
    <w:p w14:paraId="693E6D3A" w14:textId="07FFAB65" w:rsidR="001538CB" w:rsidRPr="008B09D9" w:rsidRDefault="008B09D9" w:rsidP="008B09D9">
      <w:pPr>
        <w:tabs>
          <w:tab w:val="left" w:pos="567"/>
        </w:tabs>
        <w:spacing w:after="480" w:line="480" w:lineRule="auto"/>
        <w:rPr>
          <w:rFonts w:cs="Arial"/>
          <w:bCs/>
          <w:szCs w:val="22"/>
        </w:rPr>
      </w:pPr>
      <w:r>
        <w:rPr>
          <w:rFonts w:cs="Arial"/>
          <w:bCs/>
          <w:szCs w:val="22"/>
        </w:rPr>
        <w:t>[42]</w:t>
      </w:r>
      <w:r>
        <w:rPr>
          <w:rFonts w:cs="Arial"/>
          <w:bCs/>
          <w:szCs w:val="22"/>
        </w:rPr>
        <w:tab/>
      </w:r>
      <w:r w:rsidR="00844E5C" w:rsidRPr="008B09D9">
        <w:rPr>
          <w:rFonts w:cs="Arial"/>
          <w:bCs/>
          <w:szCs w:val="22"/>
        </w:rPr>
        <w:t xml:space="preserve">The respondent referred to </w:t>
      </w:r>
      <w:r w:rsidR="00844E5C" w:rsidRPr="008B09D9">
        <w:rPr>
          <w:rFonts w:cs="Arial"/>
          <w:bCs/>
          <w:i/>
          <w:szCs w:val="22"/>
        </w:rPr>
        <w:t>Mansell v Mansell</w:t>
      </w:r>
      <w:r w:rsidR="00844E5C" w:rsidRPr="008B09D9">
        <w:rPr>
          <w:rFonts w:cs="Arial"/>
          <w:bCs/>
          <w:szCs w:val="22"/>
        </w:rPr>
        <w:t xml:space="preserve"> as quoted in the matter</w:t>
      </w:r>
      <w:r w:rsidR="006F3190" w:rsidRPr="008B09D9">
        <w:rPr>
          <w:rFonts w:cs="Arial"/>
          <w:bCs/>
          <w:szCs w:val="22"/>
        </w:rPr>
        <w:t xml:space="preserve"> of</w:t>
      </w:r>
      <w:r w:rsidR="00844E5C" w:rsidRPr="008B09D9">
        <w:rPr>
          <w:rFonts w:cs="Arial"/>
          <w:bCs/>
          <w:szCs w:val="22"/>
        </w:rPr>
        <w:t xml:space="preserve"> </w:t>
      </w:r>
      <w:r w:rsidR="00844E5C" w:rsidRPr="008B09D9">
        <w:rPr>
          <w:rFonts w:cs="Arial"/>
          <w:bCs/>
          <w:i/>
          <w:szCs w:val="22"/>
        </w:rPr>
        <w:t>Eke v Parsons</w:t>
      </w:r>
      <w:r w:rsidR="00844E5C" w:rsidRPr="008B09D9">
        <w:rPr>
          <w:rFonts w:cs="Arial"/>
          <w:bCs/>
          <w:szCs w:val="22"/>
        </w:rPr>
        <w:t>, that</w:t>
      </w:r>
      <w:r w:rsidR="006F3190" w:rsidRPr="008B09D9">
        <w:rPr>
          <w:rFonts w:cs="Arial"/>
          <w:bCs/>
          <w:szCs w:val="22"/>
        </w:rPr>
        <w:t xml:space="preserve"> agreements are not to be made c</w:t>
      </w:r>
      <w:r w:rsidR="00844E5C" w:rsidRPr="008B09D9">
        <w:rPr>
          <w:rFonts w:cs="Arial"/>
          <w:bCs/>
          <w:szCs w:val="22"/>
        </w:rPr>
        <w:t>ourt order</w:t>
      </w:r>
      <w:r w:rsidR="006F3190" w:rsidRPr="008B09D9">
        <w:rPr>
          <w:rFonts w:cs="Arial"/>
          <w:bCs/>
          <w:szCs w:val="22"/>
        </w:rPr>
        <w:t>s</w:t>
      </w:r>
      <w:r w:rsidR="00844E5C" w:rsidRPr="008B09D9">
        <w:rPr>
          <w:rFonts w:cs="Arial"/>
          <w:bCs/>
          <w:szCs w:val="22"/>
        </w:rPr>
        <w:t xml:space="preserve"> simply for the asking. </w:t>
      </w:r>
      <w:r w:rsidR="00844E5C" w:rsidRPr="008B09D9">
        <w:rPr>
          <w:rFonts w:cs="Arial"/>
          <w:bCs/>
          <w:i/>
          <w:szCs w:val="22"/>
        </w:rPr>
        <w:t xml:space="preserve">Mansell </w:t>
      </w:r>
      <w:r w:rsidR="006F3190" w:rsidRPr="008B09D9">
        <w:rPr>
          <w:rFonts w:cs="Arial"/>
          <w:bCs/>
          <w:szCs w:val="22"/>
        </w:rPr>
        <w:t>emanated from that KwaZulu-Natal Division</w:t>
      </w:r>
      <w:r w:rsidR="00844E5C" w:rsidRPr="008B09D9">
        <w:rPr>
          <w:rFonts w:cs="Arial"/>
          <w:bCs/>
          <w:szCs w:val="22"/>
        </w:rPr>
        <w:t xml:space="preserve"> and is not </w:t>
      </w:r>
      <w:r w:rsidR="006F3190" w:rsidRPr="008B09D9">
        <w:rPr>
          <w:rFonts w:cs="Arial"/>
          <w:bCs/>
          <w:szCs w:val="22"/>
        </w:rPr>
        <w:t>a decision of this Court. This D</w:t>
      </w:r>
      <w:r w:rsidR="00844E5C" w:rsidRPr="008B09D9">
        <w:rPr>
          <w:rFonts w:cs="Arial"/>
          <w:bCs/>
          <w:szCs w:val="22"/>
        </w:rPr>
        <w:t>ivision considers it appropriate to make settlement agreements dealing with children, maintenance and issues arising from divorces and</w:t>
      </w:r>
      <w:r w:rsidR="006F3190" w:rsidRPr="008B09D9">
        <w:rPr>
          <w:rFonts w:cs="Arial"/>
          <w:bCs/>
          <w:szCs w:val="22"/>
        </w:rPr>
        <w:t xml:space="preserve"> similar litigation, orders of c</w:t>
      </w:r>
      <w:r w:rsidR="00844E5C" w:rsidRPr="008B09D9">
        <w:rPr>
          <w:rFonts w:cs="Arial"/>
          <w:bCs/>
          <w:szCs w:val="22"/>
        </w:rPr>
        <w:t xml:space="preserve">ourt </w:t>
      </w:r>
      <w:proofErr w:type="gramStart"/>
      <w:r w:rsidR="00844E5C" w:rsidRPr="008B09D9">
        <w:rPr>
          <w:rFonts w:cs="Arial"/>
          <w:bCs/>
          <w:szCs w:val="22"/>
        </w:rPr>
        <w:t>in the event that</w:t>
      </w:r>
      <w:proofErr w:type="gramEnd"/>
      <w:r w:rsidR="00844E5C" w:rsidRPr="008B09D9">
        <w:rPr>
          <w:rFonts w:cs="Arial"/>
          <w:bCs/>
          <w:szCs w:val="22"/>
        </w:rPr>
        <w:t xml:space="preserve"> the parties seek </w:t>
      </w:r>
      <w:r w:rsidR="006F3190" w:rsidRPr="008B09D9">
        <w:rPr>
          <w:rFonts w:cs="Arial"/>
          <w:bCs/>
          <w:szCs w:val="22"/>
        </w:rPr>
        <w:t xml:space="preserve">such an order, </w:t>
      </w:r>
      <w:r w:rsidR="00844E5C" w:rsidRPr="008B09D9">
        <w:rPr>
          <w:rFonts w:cs="Arial"/>
          <w:bCs/>
          <w:szCs w:val="22"/>
        </w:rPr>
        <w:t>as the parties</w:t>
      </w:r>
      <w:r w:rsidR="006F3190" w:rsidRPr="008B09D9">
        <w:rPr>
          <w:rFonts w:cs="Arial"/>
          <w:bCs/>
          <w:szCs w:val="22"/>
        </w:rPr>
        <w:t xml:space="preserve"> </w:t>
      </w:r>
      <w:r w:rsidR="001538CB" w:rsidRPr="008B09D9">
        <w:rPr>
          <w:rFonts w:cs="Arial"/>
          <w:bCs/>
          <w:szCs w:val="22"/>
        </w:rPr>
        <w:t>did. Furthermore,</w:t>
      </w:r>
      <w:r w:rsidR="00844E5C" w:rsidRPr="008B09D9">
        <w:rPr>
          <w:rFonts w:cs="Arial"/>
          <w:bCs/>
          <w:szCs w:val="22"/>
        </w:rPr>
        <w:t xml:space="preserve"> the applicant sought </w:t>
      </w:r>
      <w:r w:rsidR="001538CB" w:rsidRPr="008B09D9">
        <w:rPr>
          <w:rFonts w:cs="Arial"/>
          <w:bCs/>
          <w:szCs w:val="22"/>
        </w:rPr>
        <w:t xml:space="preserve">an order </w:t>
      </w:r>
      <w:r w:rsidR="00844E5C" w:rsidRPr="008B09D9">
        <w:rPr>
          <w:rFonts w:cs="Arial"/>
          <w:bCs/>
          <w:szCs w:val="22"/>
        </w:rPr>
        <w:t>that the settlement agreement be made an order of Court</w:t>
      </w:r>
      <w:r w:rsidR="001538CB" w:rsidRPr="008B09D9">
        <w:rPr>
          <w:rFonts w:cs="Arial"/>
          <w:bCs/>
          <w:szCs w:val="22"/>
        </w:rPr>
        <w:t xml:space="preserve"> in terms of the application proceedings.</w:t>
      </w:r>
      <w:r w:rsidR="00844E5C" w:rsidRPr="008B09D9">
        <w:rPr>
          <w:rFonts w:cs="Arial"/>
          <w:bCs/>
          <w:szCs w:val="22"/>
        </w:rPr>
        <w:t xml:space="preserve"> </w:t>
      </w:r>
    </w:p>
    <w:p w14:paraId="3C73C1E7" w14:textId="370500F9" w:rsidR="001538CB" w:rsidRPr="008B09D9" w:rsidRDefault="008B09D9" w:rsidP="008B09D9">
      <w:pPr>
        <w:tabs>
          <w:tab w:val="left" w:pos="567"/>
        </w:tabs>
        <w:spacing w:after="480" w:line="480" w:lineRule="auto"/>
        <w:rPr>
          <w:rFonts w:cs="Arial"/>
          <w:bCs/>
          <w:szCs w:val="22"/>
        </w:rPr>
      </w:pPr>
      <w:r w:rsidRPr="001538CB">
        <w:rPr>
          <w:rFonts w:cs="Arial"/>
          <w:bCs/>
          <w:szCs w:val="22"/>
        </w:rPr>
        <w:lastRenderedPageBreak/>
        <w:t>[43]</w:t>
      </w:r>
      <w:r w:rsidRPr="001538CB">
        <w:rPr>
          <w:rFonts w:cs="Arial"/>
          <w:bCs/>
          <w:szCs w:val="22"/>
        </w:rPr>
        <w:tab/>
      </w:r>
      <w:r w:rsidR="001538CB" w:rsidRPr="008B09D9">
        <w:rPr>
          <w:rFonts w:cs="Arial"/>
          <w:bCs/>
          <w:szCs w:val="22"/>
        </w:rPr>
        <w:t>The fact that the respondent denies that the settlement agreement should be enforceable against him is a reason</w:t>
      </w:r>
      <w:proofErr w:type="gramStart"/>
      <w:r w:rsidR="001538CB" w:rsidRPr="008B09D9">
        <w:rPr>
          <w:rFonts w:cs="Arial"/>
          <w:bCs/>
          <w:szCs w:val="22"/>
        </w:rPr>
        <w:t>, in itself, to</w:t>
      </w:r>
      <w:proofErr w:type="gramEnd"/>
      <w:r w:rsidR="001538CB" w:rsidRPr="008B09D9">
        <w:rPr>
          <w:rFonts w:cs="Arial"/>
          <w:bCs/>
          <w:szCs w:val="22"/>
        </w:rPr>
        <w:t xml:space="preserve"> order that the settlement agreement be made an order of Court. </w:t>
      </w:r>
    </w:p>
    <w:p w14:paraId="3897820F" w14:textId="0BA42C98" w:rsidR="00844E5C" w:rsidRPr="008B09D9" w:rsidRDefault="008B09D9" w:rsidP="008B09D9">
      <w:pPr>
        <w:tabs>
          <w:tab w:val="left" w:pos="567"/>
        </w:tabs>
        <w:spacing w:after="480" w:line="480" w:lineRule="auto"/>
        <w:rPr>
          <w:rFonts w:cs="Arial"/>
          <w:bCs/>
          <w:szCs w:val="22"/>
        </w:rPr>
      </w:pPr>
      <w:r w:rsidRPr="001538CB">
        <w:rPr>
          <w:rFonts w:cs="Arial"/>
          <w:bCs/>
          <w:szCs w:val="22"/>
        </w:rPr>
        <w:t>[44]</w:t>
      </w:r>
      <w:r w:rsidRPr="001538CB">
        <w:rPr>
          <w:rFonts w:cs="Arial"/>
          <w:bCs/>
          <w:szCs w:val="22"/>
        </w:rPr>
        <w:tab/>
      </w:r>
      <w:r w:rsidR="001538CB" w:rsidRPr="008B09D9">
        <w:rPr>
          <w:rFonts w:cs="Arial"/>
          <w:bCs/>
          <w:szCs w:val="22"/>
        </w:rPr>
        <w:t>T</w:t>
      </w:r>
      <w:r w:rsidR="00844E5C" w:rsidRPr="008B09D9">
        <w:rPr>
          <w:rFonts w:cs="Arial"/>
          <w:bCs/>
          <w:szCs w:val="22"/>
        </w:rPr>
        <w:t>he settlement agreement arose from litigation in this Court notwithstandin</w:t>
      </w:r>
      <w:r w:rsidR="001538CB" w:rsidRPr="008B09D9">
        <w:rPr>
          <w:rFonts w:cs="Arial"/>
          <w:bCs/>
          <w:szCs w:val="22"/>
        </w:rPr>
        <w:t>g that the case numbers in</w:t>
      </w:r>
      <w:r w:rsidR="00844E5C" w:rsidRPr="008B09D9">
        <w:rPr>
          <w:rFonts w:cs="Arial"/>
          <w:bCs/>
          <w:szCs w:val="22"/>
        </w:rPr>
        <w:t xml:space="preserve"> the t</w:t>
      </w:r>
      <w:r w:rsidR="001538CB" w:rsidRPr="008B09D9">
        <w:rPr>
          <w:rFonts w:cs="Arial"/>
          <w:bCs/>
          <w:szCs w:val="22"/>
        </w:rPr>
        <w:t>rial action and the application differed.</w:t>
      </w:r>
      <w:r w:rsidR="00844E5C" w:rsidRPr="008B09D9">
        <w:rPr>
          <w:rFonts w:cs="Arial"/>
          <w:bCs/>
          <w:szCs w:val="22"/>
        </w:rPr>
        <w:t xml:space="preserve"> </w:t>
      </w:r>
      <w:r w:rsidR="001538CB" w:rsidRPr="008B09D9">
        <w:rPr>
          <w:rFonts w:cs="Arial"/>
          <w:bCs/>
          <w:szCs w:val="22"/>
        </w:rPr>
        <w:t>The variance in the case numbers is not a reason not to order that the settlement agreement be made an order of court.</w:t>
      </w:r>
    </w:p>
    <w:p w14:paraId="4E93A291" w14:textId="2F47F664" w:rsidR="00844E5C" w:rsidRPr="008B09D9" w:rsidRDefault="008B09D9" w:rsidP="008B09D9">
      <w:pPr>
        <w:tabs>
          <w:tab w:val="left" w:pos="567"/>
        </w:tabs>
        <w:spacing w:after="480" w:line="480" w:lineRule="auto"/>
        <w:rPr>
          <w:rFonts w:cs="Arial"/>
          <w:bCs/>
          <w:szCs w:val="22"/>
        </w:rPr>
      </w:pPr>
      <w:r w:rsidRPr="00B20C81">
        <w:rPr>
          <w:rFonts w:cs="Arial"/>
          <w:bCs/>
          <w:szCs w:val="22"/>
        </w:rPr>
        <w:t>[45]</w:t>
      </w:r>
      <w:r w:rsidRPr="00B20C81">
        <w:rPr>
          <w:rFonts w:cs="Arial"/>
          <w:bCs/>
          <w:szCs w:val="22"/>
        </w:rPr>
        <w:tab/>
      </w:r>
      <w:r w:rsidR="00844E5C" w:rsidRPr="008B09D9">
        <w:rPr>
          <w:rFonts w:cs="Arial"/>
          <w:bCs/>
          <w:szCs w:val="22"/>
        </w:rPr>
        <w:t xml:space="preserve">By reason of </w:t>
      </w:r>
      <w:proofErr w:type="gramStart"/>
      <w:r w:rsidR="00844E5C" w:rsidRPr="008B09D9">
        <w:rPr>
          <w:rFonts w:cs="Arial"/>
          <w:bCs/>
          <w:szCs w:val="22"/>
        </w:rPr>
        <w:t>the aforementioned, there</w:t>
      </w:r>
      <w:proofErr w:type="gramEnd"/>
      <w:r w:rsidR="00844E5C" w:rsidRPr="008B09D9">
        <w:rPr>
          <w:rFonts w:cs="Arial"/>
          <w:bCs/>
          <w:szCs w:val="22"/>
        </w:rPr>
        <w:t xml:space="preserve"> is no basis upon which to decline to order that the settlement agreemen</w:t>
      </w:r>
      <w:r w:rsidR="000551F3" w:rsidRPr="008B09D9">
        <w:rPr>
          <w:rFonts w:cs="Arial"/>
          <w:bCs/>
          <w:szCs w:val="22"/>
        </w:rPr>
        <w:t>t be made an order of Court.</w:t>
      </w:r>
      <w:r w:rsidR="00B20C81" w:rsidRPr="008B09D9">
        <w:rPr>
          <w:rFonts w:cs="Arial"/>
          <w:bCs/>
          <w:szCs w:val="22"/>
        </w:rPr>
        <w:t xml:space="preserve"> Accordingly,</w:t>
      </w:r>
      <w:r w:rsidR="000551F3" w:rsidRPr="008B09D9">
        <w:rPr>
          <w:rFonts w:cs="Arial"/>
          <w:bCs/>
          <w:szCs w:val="22"/>
        </w:rPr>
        <w:t xml:space="preserve"> </w:t>
      </w:r>
      <w:r w:rsidR="00B20C81" w:rsidRPr="008B09D9">
        <w:rPr>
          <w:rFonts w:cs="Arial"/>
          <w:bCs/>
          <w:szCs w:val="22"/>
        </w:rPr>
        <w:t>I intend to grant such an order</w:t>
      </w:r>
      <w:r w:rsidR="00844E5C" w:rsidRPr="008B09D9">
        <w:rPr>
          <w:rFonts w:cs="Arial"/>
          <w:bCs/>
          <w:szCs w:val="22"/>
        </w:rPr>
        <w:t xml:space="preserve"> excluding the provisions in respect of the respondent’s pension fund interest</w:t>
      </w:r>
      <w:r w:rsidR="00B20C81" w:rsidRPr="008B09D9">
        <w:rPr>
          <w:rFonts w:cs="Arial"/>
          <w:bCs/>
          <w:szCs w:val="22"/>
        </w:rPr>
        <w:t>,</w:t>
      </w:r>
      <w:r w:rsidR="00844E5C" w:rsidRPr="008B09D9">
        <w:rPr>
          <w:rFonts w:cs="Arial"/>
          <w:bCs/>
          <w:szCs w:val="22"/>
        </w:rPr>
        <w:t xml:space="preserve"> in substitution of which I intend to order a monetary payment. </w:t>
      </w:r>
      <w:r w:rsidR="009A3CD9" w:rsidRPr="008B09D9">
        <w:rPr>
          <w:rFonts w:cs="Arial"/>
          <w:bCs/>
          <w:szCs w:val="22"/>
        </w:rPr>
        <w:t xml:space="preserve">Similarly, the appropriate order in respect of the respondent’s </w:t>
      </w:r>
      <w:proofErr w:type="gramStart"/>
      <w:r w:rsidR="009A3CD9" w:rsidRPr="008B09D9">
        <w:rPr>
          <w:rFonts w:cs="Arial"/>
          <w:bCs/>
          <w:szCs w:val="22"/>
        </w:rPr>
        <w:t>counter-application</w:t>
      </w:r>
      <w:proofErr w:type="gramEnd"/>
      <w:r w:rsidR="009A3CD9" w:rsidRPr="008B09D9">
        <w:rPr>
          <w:rFonts w:cs="Arial"/>
          <w:bCs/>
          <w:szCs w:val="22"/>
        </w:rPr>
        <w:t xml:space="preserve"> flowing from</w:t>
      </w:r>
      <w:r w:rsidR="00B20C81" w:rsidRPr="008B09D9">
        <w:rPr>
          <w:rFonts w:cs="Arial"/>
          <w:bCs/>
          <w:szCs w:val="22"/>
        </w:rPr>
        <w:t xml:space="preserve"> these proceedings, is that the</w:t>
      </w:r>
      <w:r w:rsidR="009A3CD9" w:rsidRPr="008B09D9">
        <w:rPr>
          <w:rFonts w:cs="Arial"/>
          <w:bCs/>
          <w:szCs w:val="22"/>
        </w:rPr>
        <w:t xml:space="preserve"> counter-application be dismissed with costs and I intend to make </w:t>
      </w:r>
      <w:r w:rsidR="002F05F9" w:rsidRPr="008B09D9">
        <w:rPr>
          <w:rFonts w:cs="Arial"/>
          <w:bCs/>
          <w:szCs w:val="22"/>
        </w:rPr>
        <w:t xml:space="preserve">such </w:t>
      </w:r>
      <w:r w:rsidR="009A3CD9" w:rsidRPr="008B09D9">
        <w:rPr>
          <w:rFonts w:cs="Arial"/>
          <w:bCs/>
          <w:szCs w:val="22"/>
        </w:rPr>
        <w:t>an orde</w:t>
      </w:r>
      <w:r w:rsidR="002F05F9" w:rsidRPr="008B09D9">
        <w:rPr>
          <w:rFonts w:cs="Arial"/>
          <w:bCs/>
          <w:szCs w:val="22"/>
        </w:rPr>
        <w:t>r.</w:t>
      </w:r>
    </w:p>
    <w:p w14:paraId="051F3438" w14:textId="5B20AE30" w:rsidR="009A3CD9" w:rsidRPr="008B09D9" w:rsidRDefault="008B09D9" w:rsidP="008B09D9">
      <w:pPr>
        <w:tabs>
          <w:tab w:val="left" w:pos="567"/>
        </w:tabs>
        <w:spacing w:after="480" w:line="480" w:lineRule="auto"/>
        <w:rPr>
          <w:rFonts w:cs="Arial"/>
          <w:bCs/>
          <w:szCs w:val="22"/>
        </w:rPr>
      </w:pPr>
      <w:r>
        <w:rPr>
          <w:rFonts w:cs="Arial"/>
          <w:bCs/>
          <w:szCs w:val="22"/>
        </w:rPr>
        <w:t>[46]</w:t>
      </w:r>
      <w:r>
        <w:rPr>
          <w:rFonts w:cs="Arial"/>
          <w:bCs/>
          <w:szCs w:val="22"/>
        </w:rPr>
        <w:tab/>
      </w:r>
      <w:r w:rsidR="009A3CD9" w:rsidRPr="008B09D9">
        <w:rPr>
          <w:rFonts w:cs="Arial"/>
          <w:bCs/>
          <w:szCs w:val="22"/>
        </w:rPr>
        <w:t>As regards the costs of this application, there is no reason why the order in respect of the costs should not follow the</w:t>
      </w:r>
      <w:r w:rsidR="000551F3" w:rsidRPr="008B09D9">
        <w:rPr>
          <w:rFonts w:cs="Arial"/>
          <w:bCs/>
          <w:szCs w:val="22"/>
        </w:rPr>
        <w:t xml:space="preserve"> determination of the</w:t>
      </w:r>
      <w:r w:rsidR="009A3CD9" w:rsidRPr="008B09D9">
        <w:rPr>
          <w:rFonts w:cs="Arial"/>
          <w:bCs/>
          <w:szCs w:val="22"/>
        </w:rPr>
        <w:t xml:space="preserve"> merits. </w:t>
      </w:r>
    </w:p>
    <w:p w14:paraId="6D40632D" w14:textId="767F1502" w:rsidR="009A3CD9" w:rsidRPr="008B09D9" w:rsidRDefault="008B09D9" w:rsidP="008B09D9">
      <w:pPr>
        <w:tabs>
          <w:tab w:val="left" w:pos="567"/>
        </w:tabs>
        <w:spacing w:after="480" w:line="480" w:lineRule="auto"/>
        <w:rPr>
          <w:rFonts w:cs="Arial"/>
          <w:bCs/>
          <w:szCs w:val="22"/>
        </w:rPr>
      </w:pPr>
      <w:r>
        <w:rPr>
          <w:rFonts w:cs="Arial"/>
          <w:bCs/>
          <w:szCs w:val="22"/>
        </w:rPr>
        <w:t>[47]</w:t>
      </w:r>
      <w:r>
        <w:rPr>
          <w:rFonts w:cs="Arial"/>
          <w:bCs/>
          <w:szCs w:val="22"/>
        </w:rPr>
        <w:tab/>
      </w:r>
      <w:r w:rsidR="009A3CD9" w:rsidRPr="008B09D9">
        <w:rPr>
          <w:rFonts w:cs="Arial"/>
          <w:bCs/>
          <w:szCs w:val="22"/>
        </w:rPr>
        <w:t>Accordingly, I grant the following order:</w:t>
      </w:r>
    </w:p>
    <w:p w14:paraId="23EF4AC3" w14:textId="2D742249" w:rsidR="000D3EE7" w:rsidRPr="008B09D9" w:rsidRDefault="008B09D9" w:rsidP="008B09D9">
      <w:pPr>
        <w:tabs>
          <w:tab w:val="left" w:pos="1134"/>
        </w:tabs>
        <w:spacing w:after="480" w:line="480" w:lineRule="auto"/>
        <w:ind w:left="1701" w:hanging="567"/>
        <w:rPr>
          <w:rFonts w:cs="Arial"/>
          <w:bCs/>
          <w:szCs w:val="22"/>
        </w:rPr>
      </w:pPr>
      <w:r>
        <w:rPr>
          <w:rFonts w:cs="Arial"/>
          <w:bCs/>
          <w:szCs w:val="22"/>
        </w:rPr>
        <w:t>1.</w:t>
      </w:r>
      <w:r>
        <w:rPr>
          <w:rFonts w:cs="Arial"/>
          <w:bCs/>
          <w:szCs w:val="22"/>
        </w:rPr>
        <w:tab/>
      </w:r>
      <w:r w:rsidR="009A3CD9" w:rsidRPr="008B09D9">
        <w:rPr>
          <w:rFonts w:cs="Arial"/>
          <w:bCs/>
          <w:szCs w:val="22"/>
        </w:rPr>
        <w:t>The agreement of settlement concluded between the parties on 26 September 2021 under case number 30488/2019, excluding the provisions in respect of the pension fund immediately below the heading ‘pension fund’ and above the heading ‘life policy’, is made an order of Court.</w:t>
      </w:r>
    </w:p>
    <w:p w14:paraId="4C00E8E0" w14:textId="01302E50" w:rsidR="009A3CD9" w:rsidRPr="008B09D9" w:rsidRDefault="008B09D9" w:rsidP="008B09D9">
      <w:pPr>
        <w:tabs>
          <w:tab w:val="left" w:pos="1134"/>
        </w:tabs>
        <w:spacing w:after="480" w:line="480" w:lineRule="auto"/>
        <w:ind w:left="1701" w:hanging="567"/>
        <w:rPr>
          <w:rFonts w:cs="Arial"/>
          <w:bCs/>
          <w:szCs w:val="22"/>
        </w:rPr>
      </w:pPr>
      <w:r>
        <w:rPr>
          <w:rFonts w:cs="Arial"/>
          <w:bCs/>
          <w:szCs w:val="22"/>
        </w:rPr>
        <w:lastRenderedPageBreak/>
        <w:t>2.</w:t>
      </w:r>
      <w:r>
        <w:rPr>
          <w:rFonts w:cs="Arial"/>
          <w:bCs/>
          <w:szCs w:val="22"/>
        </w:rPr>
        <w:tab/>
      </w:r>
      <w:r w:rsidR="009A3CD9" w:rsidRPr="008B09D9">
        <w:rPr>
          <w:rFonts w:cs="Arial"/>
          <w:bCs/>
          <w:szCs w:val="22"/>
        </w:rPr>
        <w:t xml:space="preserve">The respondent is ordered to pay to the applicant a monetary amount equivalent to 50% of the respondent’s pension fund interest held with Baird Financial Services under policy number 4407955743 administered by Sanlam, to the applicant within 60 days from the date of this Court order. </w:t>
      </w:r>
    </w:p>
    <w:p w14:paraId="45D578F0" w14:textId="1E58CF4D" w:rsidR="009A3CD9" w:rsidRPr="008B09D9" w:rsidRDefault="008B09D9" w:rsidP="008B09D9">
      <w:pPr>
        <w:tabs>
          <w:tab w:val="left" w:pos="1134"/>
        </w:tabs>
        <w:spacing w:after="480" w:line="480" w:lineRule="auto"/>
        <w:ind w:left="1701" w:hanging="567"/>
        <w:rPr>
          <w:rFonts w:cs="Arial"/>
          <w:bCs/>
          <w:szCs w:val="22"/>
        </w:rPr>
      </w:pPr>
      <w:r>
        <w:rPr>
          <w:rFonts w:cs="Arial"/>
          <w:bCs/>
          <w:szCs w:val="22"/>
        </w:rPr>
        <w:t>3.</w:t>
      </w:r>
      <w:r>
        <w:rPr>
          <w:rFonts w:cs="Arial"/>
          <w:bCs/>
          <w:szCs w:val="22"/>
        </w:rPr>
        <w:tab/>
      </w:r>
      <w:r w:rsidR="002F05F9" w:rsidRPr="008B09D9">
        <w:rPr>
          <w:rFonts w:cs="Arial"/>
          <w:bCs/>
          <w:szCs w:val="22"/>
        </w:rPr>
        <w:t>The</w:t>
      </w:r>
      <w:r w:rsidR="009A3CD9" w:rsidRPr="008B09D9">
        <w:rPr>
          <w:rFonts w:cs="Arial"/>
          <w:bCs/>
          <w:szCs w:val="22"/>
        </w:rPr>
        <w:t xml:space="preserve"> respondent is ordered to pay the costs of the application.</w:t>
      </w:r>
    </w:p>
    <w:p w14:paraId="76BC1BB0" w14:textId="24AB0AEB" w:rsidR="009A3CD9" w:rsidRPr="008B09D9" w:rsidRDefault="008B09D9" w:rsidP="008B09D9">
      <w:pPr>
        <w:tabs>
          <w:tab w:val="left" w:pos="1134"/>
        </w:tabs>
        <w:spacing w:after="480" w:line="480" w:lineRule="auto"/>
        <w:ind w:left="1701" w:hanging="567"/>
        <w:rPr>
          <w:rFonts w:cs="Arial"/>
          <w:bCs/>
          <w:szCs w:val="22"/>
        </w:rPr>
      </w:pPr>
      <w:r w:rsidRPr="006652DC">
        <w:rPr>
          <w:rFonts w:cs="Arial"/>
          <w:bCs/>
          <w:szCs w:val="22"/>
        </w:rPr>
        <w:t>4.</w:t>
      </w:r>
      <w:r w:rsidRPr="006652DC">
        <w:rPr>
          <w:rFonts w:cs="Arial"/>
          <w:bCs/>
          <w:szCs w:val="22"/>
        </w:rPr>
        <w:tab/>
      </w:r>
      <w:r w:rsidR="009A3CD9" w:rsidRPr="008B09D9">
        <w:rPr>
          <w:rFonts w:cs="Arial"/>
          <w:bCs/>
          <w:szCs w:val="22"/>
        </w:rPr>
        <w:t xml:space="preserve">The respondent’s </w:t>
      </w:r>
      <w:proofErr w:type="gramStart"/>
      <w:r w:rsidR="009A3CD9" w:rsidRPr="008B09D9">
        <w:rPr>
          <w:rFonts w:cs="Arial"/>
          <w:bCs/>
          <w:szCs w:val="22"/>
        </w:rPr>
        <w:t>counter-application</w:t>
      </w:r>
      <w:proofErr w:type="gramEnd"/>
      <w:r w:rsidR="009A3CD9" w:rsidRPr="008B09D9">
        <w:rPr>
          <w:rFonts w:cs="Arial"/>
          <w:bCs/>
          <w:szCs w:val="22"/>
        </w:rPr>
        <w:t xml:space="preserve"> is dismissed with costs.</w:t>
      </w:r>
    </w:p>
    <w:p w14:paraId="5386D909" w14:textId="0337886F" w:rsidR="00444B0A" w:rsidRPr="000B4788" w:rsidRDefault="006652DC" w:rsidP="00444B0A">
      <w:pPr>
        <w:spacing w:after="480" w:line="480" w:lineRule="auto"/>
        <w:rPr>
          <w:rFonts w:cs="Arial"/>
          <w:bCs/>
          <w:szCs w:val="22"/>
        </w:rPr>
      </w:pPr>
      <w:r>
        <w:rPr>
          <w:rFonts w:cs="Arial"/>
          <w:bCs/>
          <w:szCs w:val="22"/>
        </w:rPr>
        <w:t>I hand down the judgment.</w:t>
      </w:r>
    </w:p>
    <w:p w14:paraId="09B52B7F" w14:textId="548D436D" w:rsidR="00E81C17" w:rsidRPr="000B4788" w:rsidRDefault="00A413AD" w:rsidP="000C7D50">
      <w:pPr>
        <w:pStyle w:val="ListParagraph"/>
        <w:keepNext/>
        <w:tabs>
          <w:tab w:val="right" w:pos="0"/>
        </w:tabs>
        <w:ind w:left="0"/>
        <w:jc w:val="right"/>
        <w:rPr>
          <w:rFonts w:cs="Arial"/>
          <w:sz w:val="24"/>
        </w:rPr>
      </w:pPr>
      <w:r w:rsidRPr="000B4788">
        <w:rPr>
          <w:rFonts w:cs="Arial"/>
          <w:sz w:val="24"/>
        </w:rPr>
        <w:t>_____________________________________</w:t>
      </w:r>
    </w:p>
    <w:p w14:paraId="34D1410D" w14:textId="2C1E2F4A" w:rsidR="007A4557" w:rsidRPr="000B4788" w:rsidRDefault="00B20C81" w:rsidP="00A413AD">
      <w:pPr>
        <w:pStyle w:val="ListParagraph"/>
        <w:tabs>
          <w:tab w:val="right" w:pos="0"/>
        </w:tabs>
        <w:ind w:left="0"/>
        <w:jc w:val="right"/>
        <w:rPr>
          <w:rFonts w:cs="Arial"/>
          <w:b/>
          <w:sz w:val="24"/>
        </w:rPr>
      </w:pPr>
      <w:r>
        <w:rPr>
          <w:rFonts w:cs="Arial"/>
          <w:b/>
          <w:sz w:val="24"/>
        </w:rPr>
        <w:t xml:space="preserve">A </w:t>
      </w:r>
      <w:proofErr w:type="spellStart"/>
      <w:r w:rsidR="007A4557" w:rsidRPr="000B4788">
        <w:rPr>
          <w:rFonts w:cs="Arial"/>
          <w:b/>
          <w:sz w:val="24"/>
        </w:rPr>
        <w:t>A</w:t>
      </w:r>
      <w:proofErr w:type="spellEnd"/>
      <w:r w:rsidR="007A4557" w:rsidRPr="000B4788">
        <w:rPr>
          <w:rFonts w:cs="Arial"/>
          <w:b/>
          <w:sz w:val="24"/>
        </w:rPr>
        <w:t xml:space="preserve"> CRUTCHFIELD</w:t>
      </w:r>
    </w:p>
    <w:p w14:paraId="127314C2" w14:textId="5E3A8614" w:rsidR="007A4557" w:rsidRPr="000B4788" w:rsidRDefault="007A4557" w:rsidP="00A413AD">
      <w:pPr>
        <w:pStyle w:val="ListParagraph"/>
        <w:tabs>
          <w:tab w:val="right" w:pos="0"/>
        </w:tabs>
        <w:ind w:left="0"/>
        <w:jc w:val="right"/>
        <w:rPr>
          <w:rFonts w:cs="Arial"/>
          <w:b/>
          <w:sz w:val="24"/>
        </w:rPr>
      </w:pPr>
      <w:r w:rsidRPr="000B4788">
        <w:rPr>
          <w:rFonts w:cs="Arial"/>
          <w:b/>
          <w:sz w:val="24"/>
        </w:rPr>
        <w:t>JUDGE OF THE HIGH COURT OF SOUTH AFRICA</w:t>
      </w:r>
    </w:p>
    <w:p w14:paraId="7500A332" w14:textId="77777777" w:rsidR="00C65281" w:rsidRPr="000B4788" w:rsidRDefault="007A4557" w:rsidP="00A413AD">
      <w:pPr>
        <w:pStyle w:val="ListParagraph"/>
        <w:tabs>
          <w:tab w:val="right" w:pos="0"/>
          <w:tab w:val="left" w:pos="4253"/>
        </w:tabs>
        <w:ind w:left="0"/>
        <w:jc w:val="right"/>
        <w:rPr>
          <w:rFonts w:cs="Arial"/>
          <w:b/>
          <w:sz w:val="24"/>
        </w:rPr>
      </w:pPr>
      <w:r w:rsidRPr="000B4788">
        <w:rPr>
          <w:rFonts w:cs="Arial"/>
          <w:b/>
          <w:sz w:val="24"/>
        </w:rPr>
        <w:t>GAUTENG LOCAL DIVISION</w:t>
      </w:r>
    </w:p>
    <w:p w14:paraId="63F02440" w14:textId="0A843BCA" w:rsidR="007A4557" w:rsidRPr="000B4788" w:rsidRDefault="007A4557" w:rsidP="00A413AD">
      <w:pPr>
        <w:pStyle w:val="ListParagraph"/>
        <w:tabs>
          <w:tab w:val="right" w:pos="0"/>
          <w:tab w:val="left" w:pos="4253"/>
        </w:tabs>
        <w:ind w:left="0"/>
        <w:jc w:val="right"/>
        <w:rPr>
          <w:rFonts w:cs="Arial"/>
          <w:b/>
          <w:sz w:val="24"/>
        </w:rPr>
      </w:pPr>
      <w:r w:rsidRPr="000B4788">
        <w:rPr>
          <w:rFonts w:cs="Arial"/>
          <w:b/>
          <w:sz w:val="24"/>
        </w:rPr>
        <w:t>JOHANNESBURG</w:t>
      </w:r>
    </w:p>
    <w:p w14:paraId="0194BDB8" w14:textId="77777777" w:rsidR="00A413AD" w:rsidRPr="000B4788" w:rsidRDefault="00A413AD" w:rsidP="00A413AD">
      <w:pPr>
        <w:pStyle w:val="ListParagraph"/>
        <w:tabs>
          <w:tab w:val="right" w:pos="0"/>
          <w:tab w:val="left" w:pos="4253"/>
        </w:tabs>
        <w:ind w:left="0"/>
        <w:jc w:val="center"/>
        <w:rPr>
          <w:rFonts w:cs="Arial"/>
          <w:b/>
          <w:sz w:val="24"/>
        </w:rPr>
      </w:pPr>
    </w:p>
    <w:p w14:paraId="683CB113" w14:textId="77777777" w:rsidR="007A4557" w:rsidRPr="000B4788" w:rsidRDefault="007A4557" w:rsidP="007A4557">
      <w:pPr>
        <w:pStyle w:val="ListParagraph"/>
        <w:spacing w:after="200" w:line="480" w:lineRule="auto"/>
        <w:ind w:left="0"/>
        <w:jc w:val="right"/>
        <w:rPr>
          <w:rFonts w:cs="Arial"/>
          <w:b/>
          <w:i/>
          <w:iCs/>
        </w:rPr>
      </w:pPr>
      <w:r w:rsidRPr="000B4788">
        <w:rPr>
          <w:rFonts w:cs="Arial"/>
          <w:b/>
          <w:i/>
          <w:iCs/>
        </w:rPr>
        <w:t>Electronically submitted therefore unsigned</w:t>
      </w:r>
    </w:p>
    <w:p w14:paraId="7B620489" w14:textId="77777777" w:rsidR="007A4557" w:rsidRPr="000B4788" w:rsidRDefault="007A4557" w:rsidP="007A4557">
      <w:pPr>
        <w:pStyle w:val="ListParagraph"/>
        <w:spacing w:after="200"/>
        <w:ind w:left="0"/>
        <w:rPr>
          <w:rFonts w:eastAsia="Arial Unicode MS" w:cs="Arial"/>
          <w:bCs/>
        </w:rPr>
      </w:pPr>
    </w:p>
    <w:p w14:paraId="7A54E56A" w14:textId="77777777" w:rsidR="007A4557" w:rsidRPr="000B4788" w:rsidRDefault="007A4557" w:rsidP="007A4557">
      <w:pPr>
        <w:pStyle w:val="ListParagraph"/>
        <w:spacing w:after="200"/>
        <w:ind w:left="0"/>
        <w:rPr>
          <w:rFonts w:eastAsia="Arial Unicode MS" w:cs="Arial"/>
          <w:bCs/>
        </w:rPr>
      </w:pPr>
    </w:p>
    <w:p w14:paraId="33AE2986" w14:textId="5B90B4CE" w:rsidR="00131AB6" w:rsidRPr="000B4788" w:rsidRDefault="007A4557" w:rsidP="007A4557">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0B4788">
        <w:rPr>
          <w:rFonts w:eastAsia="Arial Unicode MS" w:cs="Arial"/>
          <w:bCs/>
        </w:rPr>
        <w:t>CaseLines</w:t>
      </w:r>
      <w:proofErr w:type="spellEnd"/>
      <w:r w:rsidRPr="000B4788">
        <w:rPr>
          <w:rFonts w:eastAsia="Arial Unicode MS" w:cs="Arial"/>
          <w:bCs/>
        </w:rPr>
        <w:t xml:space="preserve">. The date </w:t>
      </w:r>
      <w:r w:rsidR="008C66BA">
        <w:rPr>
          <w:rFonts w:eastAsia="Arial Unicode MS" w:cs="Arial"/>
          <w:bCs/>
        </w:rPr>
        <w:t>of the judgment is deemed to be 12</w:t>
      </w:r>
      <w:r w:rsidR="00111FA0">
        <w:rPr>
          <w:rFonts w:eastAsia="Arial Unicode MS" w:cs="Arial"/>
          <w:b/>
          <w:bCs/>
        </w:rPr>
        <w:t xml:space="preserve"> </w:t>
      </w:r>
      <w:r w:rsidR="008905CE" w:rsidRPr="008C66BA">
        <w:rPr>
          <w:rFonts w:eastAsia="Arial Unicode MS" w:cs="Arial"/>
          <w:bCs/>
        </w:rPr>
        <w:t>October</w:t>
      </w:r>
      <w:r w:rsidR="00032CBF" w:rsidRPr="008C66BA">
        <w:rPr>
          <w:rFonts w:eastAsia="Arial Unicode MS" w:cs="Arial"/>
          <w:bCs/>
        </w:rPr>
        <w:t xml:space="preserve"> 2022</w:t>
      </w:r>
      <w:r w:rsidRPr="008C66BA">
        <w:rPr>
          <w:rFonts w:eastAsia="Arial Unicode MS" w:cs="Arial"/>
          <w:bCs/>
        </w:rPr>
        <w:t>.</w:t>
      </w:r>
    </w:p>
    <w:p w14:paraId="5E34682F" w14:textId="5397771B" w:rsidR="003A1A6A" w:rsidRPr="000B4788" w:rsidRDefault="003A1A6A" w:rsidP="003A1A6A">
      <w:pPr>
        <w:pStyle w:val="ListParagraph"/>
        <w:tabs>
          <w:tab w:val="right" w:pos="0"/>
          <w:tab w:val="left" w:pos="4253"/>
        </w:tabs>
        <w:ind w:left="0"/>
        <w:jc w:val="center"/>
        <w:rPr>
          <w:rFonts w:cs="Arial"/>
          <w:b/>
          <w:sz w:val="24"/>
        </w:rPr>
      </w:pPr>
    </w:p>
    <w:p w14:paraId="086B28F7" w14:textId="77777777" w:rsidR="007A4557" w:rsidRPr="000B4788" w:rsidRDefault="007A4557" w:rsidP="003A1A6A">
      <w:pPr>
        <w:pStyle w:val="ListParagraph"/>
        <w:tabs>
          <w:tab w:val="right" w:pos="0"/>
          <w:tab w:val="left" w:pos="4253"/>
        </w:tabs>
        <w:ind w:left="0"/>
        <w:jc w:val="center"/>
        <w:rPr>
          <w:rFonts w:cs="Arial"/>
          <w:b/>
          <w:sz w:val="24"/>
        </w:rPr>
      </w:pPr>
    </w:p>
    <w:p w14:paraId="49B14233" w14:textId="77777777" w:rsidR="003A1A6A" w:rsidRPr="000B4788" w:rsidRDefault="003A1A6A" w:rsidP="003A1A6A">
      <w:pPr>
        <w:pStyle w:val="ListParagraph"/>
        <w:tabs>
          <w:tab w:val="right" w:pos="0"/>
          <w:tab w:val="left" w:pos="4253"/>
        </w:tabs>
        <w:ind w:left="0"/>
        <w:rPr>
          <w:rFonts w:cs="Arial"/>
          <w:sz w:val="24"/>
        </w:rPr>
      </w:pPr>
    </w:p>
    <w:p w14:paraId="30457FB6" w14:textId="01804406" w:rsidR="003A1A6A" w:rsidRDefault="00275735" w:rsidP="006E65CF">
      <w:pPr>
        <w:pStyle w:val="ListParagraph"/>
        <w:tabs>
          <w:tab w:val="right" w:pos="8647"/>
        </w:tabs>
        <w:ind w:left="0"/>
        <w:rPr>
          <w:rFonts w:cs="Arial"/>
          <w:sz w:val="24"/>
        </w:rPr>
      </w:pPr>
      <w:r w:rsidRPr="000B4788">
        <w:rPr>
          <w:rFonts w:cs="Arial"/>
          <w:sz w:val="24"/>
        </w:rPr>
        <w:t>COUNSEL</w:t>
      </w:r>
      <w:r w:rsidR="003A1A6A" w:rsidRPr="000B4788">
        <w:rPr>
          <w:rFonts w:cs="Arial"/>
          <w:sz w:val="24"/>
        </w:rPr>
        <w:t xml:space="preserve"> FOR THE </w:t>
      </w:r>
      <w:r w:rsidR="004F1F8E">
        <w:rPr>
          <w:rFonts w:cs="Arial"/>
          <w:sz w:val="24"/>
        </w:rPr>
        <w:t>APP</w:t>
      </w:r>
      <w:r w:rsidR="008905CE">
        <w:rPr>
          <w:rFonts w:cs="Arial"/>
          <w:sz w:val="24"/>
        </w:rPr>
        <w:t>LICANT</w:t>
      </w:r>
      <w:r w:rsidR="003A1A6A" w:rsidRPr="000B4788">
        <w:rPr>
          <w:rFonts w:cs="Arial"/>
          <w:sz w:val="24"/>
        </w:rPr>
        <w:t xml:space="preserve">: </w:t>
      </w:r>
      <w:r w:rsidR="00CA2C62">
        <w:rPr>
          <w:rFonts w:cs="Arial"/>
          <w:sz w:val="24"/>
        </w:rPr>
        <w:tab/>
        <w:t xml:space="preserve">Ms L </w:t>
      </w:r>
      <w:proofErr w:type="spellStart"/>
      <w:r w:rsidR="00CA2C62">
        <w:rPr>
          <w:rFonts w:cs="Arial"/>
          <w:sz w:val="24"/>
        </w:rPr>
        <w:t>L</w:t>
      </w:r>
      <w:proofErr w:type="spellEnd"/>
      <w:r w:rsidR="00CA2C62">
        <w:rPr>
          <w:rFonts w:cs="Arial"/>
          <w:sz w:val="24"/>
        </w:rPr>
        <w:t xml:space="preserve"> Norman.</w:t>
      </w:r>
      <w:r w:rsidR="003A1A6A" w:rsidRPr="000B4788">
        <w:rPr>
          <w:rFonts w:cs="Arial"/>
          <w:sz w:val="24"/>
        </w:rPr>
        <w:tab/>
      </w:r>
    </w:p>
    <w:p w14:paraId="75413325" w14:textId="77777777" w:rsidR="003A1A6A" w:rsidRPr="000B4788" w:rsidRDefault="003A1A6A" w:rsidP="006E65CF">
      <w:pPr>
        <w:pStyle w:val="ListParagraph"/>
        <w:tabs>
          <w:tab w:val="right" w:pos="0"/>
          <w:tab w:val="right" w:pos="8647"/>
        </w:tabs>
        <w:ind w:left="0"/>
        <w:rPr>
          <w:rFonts w:cs="Arial"/>
          <w:sz w:val="24"/>
        </w:rPr>
      </w:pPr>
    </w:p>
    <w:p w14:paraId="6153FDF6" w14:textId="3FB22C70" w:rsidR="003A1A6A" w:rsidRPr="000B4788" w:rsidRDefault="00654D50" w:rsidP="006E5FDA">
      <w:pPr>
        <w:pStyle w:val="ListParagraph"/>
        <w:tabs>
          <w:tab w:val="right" w:pos="8647"/>
        </w:tabs>
        <w:ind w:left="3119" w:hanging="3119"/>
        <w:jc w:val="left"/>
        <w:rPr>
          <w:rFonts w:cs="Arial"/>
          <w:sz w:val="24"/>
        </w:rPr>
      </w:pPr>
      <w:r>
        <w:rPr>
          <w:rFonts w:cs="Arial"/>
          <w:sz w:val="24"/>
        </w:rPr>
        <w:lastRenderedPageBreak/>
        <w:t>INSTRUCTED</w:t>
      </w:r>
      <w:r w:rsidR="003A1A6A" w:rsidRPr="000B4788">
        <w:rPr>
          <w:rFonts w:cs="Arial"/>
          <w:sz w:val="24"/>
        </w:rPr>
        <w:t xml:space="preserve"> BY: </w:t>
      </w:r>
      <w:r>
        <w:rPr>
          <w:rFonts w:cs="Arial"/>
          <w:sz w:val="24"/>
        </w:rPr>
        <w:tab/>
      </w:r>
      <w:r>
        <w:rPr>
          <w:rFonts w:cs="Arial"/>
          <w:sz w:val="24"/>
        </w:rPr>
        <w:tab/>
      </w:r>
      <w:proofErr w:type="spellStart"/>
      <w:r>
        <w:rPr>
          <w:rFonts w:cs="Arial"/>
          <w:sz w:val="24"/>
        </w:rPr>
        <w:t>Diemieniet</w:t>
      </w:r>
      <w:proofErr w:type="spellEnd"/>
      <w:r>
        <w:rPr>
          <w:rFonts w:cs="Arial"/>
          <w:sz w:val="24"/>
        </w:rPr>
        <w:t xml:space="preserve"> Attorneys.</w:t>
      </w:r>
      <w:r w:rsidR="003A1A6A" w:rsidRPr="000B4788">
        <w:rPr>
          <w:rFonts w:cs="Arial"/>
          <w:sz w:val="24"/>
        </w:rPr>
        <w:tab/>
      </w:r>
      <w:r w:rsidR="003A1A6A" w:rsidRPr="000B4788">
        <w:rPr>
          <w:rFonts w:cs="Arial"/>
          <w:sz w:val="24"/>
        </w:rPr>
        <w:tab/>
      </w:r>
    </w:p>
    <w:p w14:paraId="6E42B961" w14:textId="385508B5" w:rsidR="003A1A6A" w:rsidRPr="000B4788" w:rsidRDefault="003A1A6A" w:rsidP="006E65CF">
      <w:pPr>
        <w:pStyle w:val="ListParagraph"/>
        <w:tabs>
          <w:tab w:val="right" w:pos="0"/>
          <w:tab w:val="right" w:pos="8647"/>
        </w:tabs>
        <w:ind w:left="0"/>
        <w:rPr>
          <w:rFonts w:cs="Arial"/>
          <w:sz w:val="24"/>
        </w:rPr>
      </w:pPr>
    </w:p>
    <w:p w14:paraId="656172E6" w14:textId="1ACD3C97" w:rsidR="003A1A6A" w:rsidRDefault="004E2E02" w:rsidP="006E65CF">
      <w:pPr>
        <w:pStyle w:val="ListParagraph"/>
        <w:tabs>
          <w:tab w:val="right" w:pos="0"/>
          <w:tab w:val="right" w:pos="8647"/>
        </w:tabs>
        <w:ind w:left="0"/>
        <w:rPr>
          <w:rFonts w:cs="Arial"/>
          <w:sz w:val="24"/>
        </w:rPr>
      </w:pPr>
      <w:r>
        <w:rPr>
          <w:rFonts w:cs="Arial"/>
          <w:sz w:val="24"/>
        </w:rPr>
        <w:t>COUNSEL FOR THE</w:t>
      </w:r>
      <w:r w:rsidR="003A1A6A" w:rsidRPr="000B4788">
        <w:rPr>
          <w:rFonts w:cs="Arial"/>
          <w:sz w:val="24"/>
        </w:rPr>
        <w:t xml:space="preserve"> </w:t>
      </w:r>
      <w:r w:rsidR="002D4722">
        <w:rPr>
          <w:rFonts w:cs="Arial"/>
          <w:sz w:val="24"/>
        </w:rPr>
        <w:t>RESPONDENT</w:t>
      </w:r>
      <w:r w:rsidR="003A1A6A" w:rsidRPr="000B4788">
        <w:rPr>
          <w:rFonts w:cs="Arial"/>
          <w:sz w:val="24"/>
        </w:rPr>
        <w:t xml:space="preserve">: </w:t>
      </w:r>
      <w:r w:rsidR="00654D50">
        <w:rPr>
          <w:rFonts w:cs="Arial"/>
          <w:sz w:val="24"/>
        </w:rPr>
        <w:tab/>
        <w:t>Ms A Scott.</w:t>
      </w:r>
    </w:p>
    <w:p w14:paraId="4E9A2188" w14:textId="77777777" w:rsidR="00654D50" w:rsidRPr="000B4788" w:rsidRDefault="00654D50" w:rsidP="006E65CF">
      <w:pPr>
        <w:pStyle w:val="ListParagraph"/>
        <w:tabs>
          <w:tab w:val="right" w:pos="0"/>
          <w:tab w:val="right" w:pos="8647"/>
        </w:tabs>
        <w:ind w:left="0"/>
        <w:rPr>
          <w:rFonts w:cs="Arial"/>
          <w:sz w:val="24"/>
        </w:rPr>
      </w:pPr>
    </w:p>
    <w:p w14:paraId="6681C881" w14:textId="601F5C6C" w:rsidR="003A1A6A" w:rsidRPr="000B4788" w:rsidRDefault="003A1A6A" w:rsidP="006E65CF">
      <w:pPr>
        <w:pStyle w:val="ListParagraph"/>
        <w:tabs>
          <w:tab w:val="right" w:pos="8647"/>
        </w:tabs>
        <w:ind w:left="0"/>
        <w:rPr>
          <w:rFonts w:cs="Arial"/>
          <w:sz w:val="24"/>
        </w:rPr>
      </w:pPr>
      <w:r w:rsidRPr="000B4788">
        <w:rPr>
          <w:rFonts w:cs="Arial"/>
          <w:sz w:val="24"/>
        </w:rPr>
        <w:t xml:space="preserve">INSTRUCTED BY: </w:t>
      </w:r>
      <w:r w:rsidR="00654D50">
        <w:rPr>
          <w:rFonts w:cs="Arial"/>
          <w:sz w:val="24"/>
        </w:rPr>
        <w:tab/>
        <w:t>Stander Attorneys.</w:t>
      </w:r>
      <w:r w:rsidRPr="000B4788">
        <w:rPr>
          <w:rFonts w:cs="Arial"/>
          <w:sz w:val="24"/>
        </w:rPr>
        <w:tab/>
      </w:r>
    </w:p>
    <w:p w14:paraId="6843FC0D" w14:textId="77777777" w:rsidR="003301BC" w:rsidRPr="000B4788" w:rsidRDefault="003301BC" w:rsidP="006E65CF">
      <w:pPr>
        <w:pStyle w:val="ListParagraph"/>
        <w:tabs>
          <w:tab w:val="right" w:pos="8647"/>
        </w:tabs>
        <w:ind w:left="0"/>
        <w:rPr>
          <w:rFonts w:cs="Arial"/>
          <w:sz w:val="24"/>
        </w:rPr>
      </w:pPr>
    </w:p>
    <w:p w14:paraId="4487A30A" w14:textId="60A3B2C2" w:rsidR="003A1A6A" w:rsidRPr="000B4788" w:rsidRDefault="003A1A6A" w:rsidP="006E65CF">
      <w:pPr>
        <w:pStyle w:val="ListParagraph"/>
        <w:tabs>
          <w:tab w:val="right" w:pos="0"/>
          <w:tab w:val="right" w:pos="8647"/>
        </w:tabs>
        <w:ind w:left="0"/>
        <w:rPr>
          <w:rFonts w:cs="Arial"/>
          <w:sz w:val="24"/>
        </w:rPr>
      </w:pPr>
      <w:r w:rsidRPr="000B4788">
        <w:rPr>
          <w:rFonts w:cs="Arial"/>
          <w:sz w:val="24"/>
        </w:rPr>
        <w:t xml:space="preserve">DATE OF </w:t>
      </w:r>
      <w:r w:rsidR="00272BBF" w:rsidRPr="000B4788">
        <w:rPr>
          <w:rFonts w:cs="Arial"/>
          <w:sz w:val="24"/>
        </w:rPr>
        <w:t xml:space="preserve">THE </w:t>
      </w:r>
      <w:r w:rsidR="000C7D50" w:rsidRPr="000B4788">
        <w:rPr>
          <w:rFonts w:cs="Arial"/>
          <w:sz w:val="24"/>
        </w:rPr>
        <w:t>HEARING</w:t>
      </w:r>
      <w:r w:rsidRPr="000B4788">
        <w:rPr>
          <w:rFonts w:cs="Arial"/>
          <w:sz w:val="24"/>
        </w:rPr>
        <w:t>:</w:t>
      </w:r>
      <w:r w:rsidR="00CA2C62">
        <w:rPr>
          <w:rFonts w:cs="Arial"/>
          <w:sz w:val="24"/>
        </w:rPr>
        <w:t xml:space="preserve"> </w:t>
      </w:r>
      <w:r w:rsidR="00CA2C62">
        <w:rPr>
          <w:rFonts w:cs="Arial"/>
          <w:sz w:val="24"/>
        </w:rPr>
        <w:tab/>
      </w:r>
      <w:r w:rsidR="0091146A">
        <w:rPr>
          <w:rFonts w:cs="Arial"/>
          <w:sz w:val="24"/>
        </w:rPr>
        <w:t xml:space="preserve">26 </w:t>
      </w:r>
      <w:r w:rsidR="00CA2C62">
        <w:rPr>
          <w:rFonts w:cs="Arial"/>
          <w:sz w:val="24"/>
        </w:rPr>
        <w:t>April 2022.</w:t>
      </w:r>
      <w:r w:rsidRPr="000B4788">
        <w:rPr>
          <w:rFonts w:cs="Arial"/>
          <w:sz w:val="24"/>
        </w:rPr>
        <w:tab/>
      </w:r>
    </w:p>
    <w:p w14:paraId="2286A00F" w14:textId="77777777" w:rsidR="003A1A6A" w:rsidRPr="000B4788" w:rsidRDefault="003A1A6A" w:rsidP="006E65CF">
      <w:pPr>
        <w:pStyle w:val="ListParagraph"/>
        <w:tabs>
          <w:tab w:val="right" w:pos="0"/>
          <w:tab w:val="right" w:pos="8647"/>
        </w:tabs>
        <w:ind w:left="0"/>
        <w:rPr>
          <w:rFonts w:cs="Arial"/>
          <w:sz w:val="24"/>
        </w:rPr>
      </w:pPr>
    </w:p>
    <w:p w14:paraId="21B728BB" w14:textId="2E23B6F0" w:rsidR="003A1A6A" w:rsidRPr="000B4788" w:rsidRDefault="003A1A6A" w:rsidP="006E65CF">
      <w:pPr>
        <w:pStyle w:val="ListParagraph"/>
        <w:tabs>
          <w:tab w:val="right" w:pos="0"/>
          <w:tab w:val="right" w:pos="8647"/>
        </w:tabs>
        <w:ind w:left="0"/>
        <w:rPr>
          <w:rFonts w:cs="Arial"/>
          <w:sz w:val="24"/>
        </w:rPr>
      </w:pPr>
      <w:r w:rsidRPr="000B4788">
        <w:rPr>
          <w:rFonts w:cs="Arial"/>
          <w:sz w:val="24"/>
        </w:rPr>
        <w:t>DATE OF JUDGMENT:</w:t>
      </w:r>
      <w:r w:rsidR="0091146A">
        <w:rPr>
          <w:rFonts w:cs="Arial"/>
          <w:sz w:val="24"/>
        </w:rPr>
        <w:t xml:space="preserve"> </w:t>
      </w:r>
      <w:r w:rsidR="0091146A">
        <w:rPr>
          <w:rFonts w:cs="Arial"/>
          <w:sz w:val="24"/>
        </w:rPr>
        <w:tab/>
        <w:t>12 October 2022.</w:t>
      </w:r>
      <w:r w:rsidRPr="000B4788">
        <w:rPr>
          <w:rFonts w:cs="Arial"/>
          <w:sz w:val="24"/>
        </w:rPr>
        <w:tab/>
      </w:r>
    </w:p>
    <w:sectPr w:rsidR="003A1A6A" w:rsidRPr="000B4788"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D23F" w14:textId="77777777" w:rsidR="00F27944" w:rsidRDefault="00F27944">
      <w:r>
        <w:separator/>
      </w:r>
    </w:p>
  </w:endnote>
  <w:endnote w:type="continuationSeparator" w:id="0">
    <w:p w14:paraId="276AE40F" w14:textId="77777777" w:rsidR="00F27944" w:rsidRDefault="00F2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B457" w14:textId="77777777" w:rsidR="00F27944" w:rsidRDefault="00F27944" w:rsidP="00927532">
      <w:pPr>
        <w:spacing w:line="240" w:lineRule="auto"/>
      </w:pPr>
      <w:r>
        <w:separator/>
      </w:r>
    </w:p>
  </w:footnote>
  <w:footnote w:type="continuationSeparator" w:id="0">
    <w:p w14:paraId="6255D43A" w14:textId="77777777" w:rsidR="00F27944" w:rsidRDefault="00F27944" w:rsidP="00927532">
      <w:pPr>
        <w:spacing w:line="240" w:lineRule="auto"/>
      </w:pPr>
      <w:r>
        <w:continuationSeparator/>
      </w:r>
    </w:p>
  </w:footnote>
  <w:footnote w:type="continuationNotice" w:id="1">
    <w:p w14:paraId="6565FB4B" w14:textId="77777777" w:rsidR="00F27944" w:rsidRDefault="00F27944" w:rsidP="00927532">
      <w:pPr>
        <w:spacing w:line="240" w:lineRule="auto"/>
      </w:pPr>
    </w:p>
  </w:footnote>
  <w:footnote w:id="2">
    <w:p w14:paraId="3F58408B" w14:textId="77777777" w:rsidR="00840557" w:rsidRPr="00A26045" w:rsidRDefault="00840557" w:rsidP="00840557">
      <w:pPr>
        <w:pStyle w:val="FootnoteText"/>
        <w:rPr>
          <w:lang w:val="en-GB"/>
        </w:rPr>
      </w:pPr>
      <w:r>
        <w:rPr>
          <w:rStyle w:val="FootnoteReference"/>
        </w:rPr>
        <w:footnoteRef/>
      </w:r>
      <w:r>
        <w:t xml:space="preserve">     </w:t>
      </w:r>
      <w:r w:rsidRPr="00A26045">
        <w:rPr>
          <w:i/>
          <w:iCs/>
        </w:rPr>
        <w:t>Swatif (Pty) Ltd v Dykeno</w:t>
      </w:r>
      <w:r w:rsidRPr="00A26045">
        <w:t xml:space="preserve"> 1978 (1) SA 928 (A) at 945 (A).</w:t>
      </w:r>
      <w:r>
        <w:t xml:space="preserve">  </w:t>
      </w:r>
    </w:p>
  </w:footnote>
  <w:footnote w:id="3">
    <w:p w14:paraId="0E6FB238" w14:textId="641579BA" w:rsidR="008905CE" w:rsidRPr="008905CE" w:rsidRDefault="008905CE">
      <w:pPr>
        <w:pStyle w:val="FootnoteText"/>
      </w:pPr>
      <w:r>
        <w:rPr>
          <w:rStyle w:val="FootnoteReference"/>
        </w:rPr>
        <w:footnoteRef/>
      </w:r>
      <w:r>
        <w:t xml:space="preserve"> </w:t>
      </w:r>
      <w:r>
        <w:tab/>
      </w:r>
      <w:r>
        <w:rPr>
          <w:bCs/>
          <w:i/>
          <w:szCs w:val="22"/>
        </w:rPr>
        <w:t>Wightman t/a JW Constructio</w:t>
      </w:r>
      <w:r w:rsidR="003E47A5">
        <w:rPr>
          <w:bCs/>
          <w:i/>
          <w:szCs w:val="22"/>
        </w:rPr>
        <w:t xml:space="preserve">n v Headfour (Pty) Ltd &amp; Archar Head </w:t>
      </w:r>
      <w:r>
        <w:rPr>
          <w:bCs/>
          <w:szCs w:val="22"/>
        </w:rPr>
        <w:t>2008 (3) SA 371 (SCA)</w:t>
      </w:r>
      <w:r w:rsidR="003E47A5">
        <w:rPr>
          <w:bCs/>
          <w:szCs w:val="22"/>
        </w:rPr>
        <w:t>.</w:t>
      </w:r>
    </w:p>
  </w:footnote>
  <w:footnote w:id="4">
    <w:p w14:paraId="64D61C15" w14:textId="0F6C64B7" w:rsidR="008905CE" w:rsidRPr="008905CE" w:rsidRDefault="008905CE">
      <w:pPr>
        <w:pStyle w:val="FootnoteText"/>
      </w:pPr>
      <w:r>
        <w:rPr>
          <w:rStyle w:val="FootnoteReference"/>
        </w:rPr>
        <w:footnoteRef/>
      </w:r>
      <w:r>
        <w:t xml:space="preserve"> </w:t>
      </w:r>
      <w:r>
        <w:tab/>
      </w:r>
      <w:r>
        <w:rPr>
          <w:bCs/>
          <w:i/>
          <w:szCs w:val="22"/>
        </w:rPr>
        <w:t>Botha &amp; Another v Rich NO &amp; Others</w:t>
      </w:r>
      <w:r>
        <w:rPr>
          <w:bCs/>
          <w:szCs w:val="22"/>
        </w:rPr>
        <w:t xml:space="preserve"> 2014 (4) SA 121 (CC) (‘Botha’)</w:t>
      </w:r>
      <w:r w:rsidR="00844E5C">
        <w:rPr>
          <w:bCs/>
          <w:szCs w:val="22"/>
        </w:rPr>
        <w:t xml:space="preserve"> at para [23].</w:t>
      </w:r>
    </w:p>
  </w:footnote>
  <w:footnote w:id="5">
    <w:p w14:paraId="1EE28827" w14:textId="13BBAA62" w:rsidR="00844E5C" w:rsidRPr="00844E5C" w:rsidRDefault="00844E5C">
      <w:pPr>
        <w:pStyle w:val="FootnoteText"/>
      </w:pPr>
      <w:r>
        <w:rPr>
          <w:rStyle w:val="FootnoteReference"/>
        </w:rPr>
        <w:footnoteRef/>
      </w:r>
      <w:r>
        <w:t xml:space="preserve"> </w:t>
      </w:r>
      <w:r>
        <w:tab/>
      </w:r>
      <w:r>
        <w:rPr>
          <w:bCs/>
          <w:i/>
          <w:szCs w:val="22"/>
        </w:rPr>
        <w:t>Bock &amp; Others v Duburoro Investments (Pty) Ltd</w:t>
      </w:r>
      <w:r>
        <w:rPr>
          <w:bCs/>
          <w:szCs w:val="22"/>
        </w:rPr>
        <w:t xml:space="preserve"> 2004 (2) SA 242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2E1CFD09" w:rsidR="0015006E" w:rsidRPr="00787DAE" w:rsidRDefault="0015006E"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F4487">
      <w:rPr>
        <w:rStyle w:val="PageNumber"/>
        <w:rFonts w:cs="Arial"/>
        <w:noProof/>
        <w:sz w:val="20"/>
        <w:szCs w:val="20"/>
      </w:rPr>
      <w:t>2</w:t>
    </w:r>
    <w:r w:rsidRPr="00787DAE">
      <w:rPr>
        <w:rStyle w:val="PageNumber"/>
        <w:rFonts w:cs="Arial"/>
        <w:sz w:val="20"/>
        <w:szCs w:val="20"/>
      </w:rPr>
      <w:fldChar w:fldCharType="end"/>
    </w:r>
  </w:p>
  <w:p w14:paraId="71FC3EA3" w14:textId="77777777" w:rsidR="0015006E" w:rsidRDefault="0015006E"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108893435">
    <w:abstractNumId w:val="8"/>
  </w:num>
  <w:num w:numId="2" w16cid:durableId="726033703">
    <w:abstractNumId w:val="2"/>
  </w:num>
  <w:num w:numId="3" w16cid:durableId="1433669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814278">
    <w:abstractNumId w:val="3"/>
  </w:num>
  <w:num w:numId="5" w16cid:durableId="220098350">
    <w:abstractNumId w:val="10"/>
  </w:num>
  <w:num w:numId="6" w16cid:durableId="1999576285">
    <w:abstractNumId w:val="5"/>
  </w:num>
  <w:num w:numId="7" w16cid:durableId="1668943175">
    <w:abstractNumId w:val="9"/>
  </w:num>
  <w:num w:numId="8" w16cid:durableId="317000253">
    <w:abstractNumId w:val="1"/>
  </w:num>
  <w:num w:numId="9" w16cid:durableId="1444036553">
    <w:abstractNumId w:val="0"/>
  </w:num>
  <w:num w:numId="10" w16cid:durableId="652295798">
    <w:abstractNumId w:val="19"/>
  </w:num>
  <w:num w:numId="11" w16cid:durableId="1675186306">
    <w:abstractNumId w:val="14"/>
  </w:num>
  <w:num w:numId="12" w16cid:durableId="280721456">
    <w:abstractNumId w:val="7"/>
  </w:num>
  <w:num w:numId="13" w16cid:durableId="177933384">
    <w:abstractNumId w:val="11"/>
  </w:num>
  <w:num w:numId="14" w16cid:durableId="1201045105">
    <w:abstractNumId w:val="16"/>
  </w:num>
  <w:num w:numId="15" w16cid:durableId="206574447">
    <w:abstractNumId w:val="17"/>
  </w:num>
  <w:num w:numId="16" w16cid:durableId="1986885334">
    <w:abstractNumId w:val="15"/>
  </w:num>
  <w:num w:numId="17" w16cid:durableId="308949422">
    <w:abstractNumId w:val="4"/>
  </w:num>
  <w:num w:numId="18" w16cid:durableId="2093701783">
    <w:abstractNumId w:val="6"/>
  </w:num>
  <w:num w:numId="19" w16cid:durableId="1866405808">
    <w:abstractNumId w:val="13"/>
  </w:num>
  <w:num w:numId="20" w16cid:durableId="1163204876">
    <w:abstractNumId w:val="18"/>
  </w:num>
  <w:num w:numId="21" w16cid:durableId="817578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488"/>
    <w:rsid w:val="000067E8"/>
    <w:rsid w:val="00006B0B"/>
    <w:rsid w:val="00006EF4"/>
    <w:rsid w:val="00006FB0"/>
    <w:rsid w:val="000075E6"/>
    <w:rsid w:val="00007649"/>
    <w:rsid w:val="00007A49"/>
    <w:rsid w:val="00007F4C"/>
    <w:rsid w:val="00010555"/>
    <w:rsid w:val="0001097C"/>
    <w:rsid w:val="00011B90"/>
    <w:rsid w:val="00011DA0"/>
    <w:rsid w:val="00012122"/>
    <w:rsid w:val="00012338"/>
    <w:rsid w:val="000138E7"/>
    <w:rsid w:val="00013C41"/>
    <w:rsid w:val="00015564"/>
    <w:rsid w:val="000159D0"/>
    <w:rsid w:val="000159E3"/>
    <w:rsid w:val="00015DF2"/>
    <w:rsid w:val="00016CAE"/>
    <w:rsid w:val="00017ADC"/>
    <w:rsid w:val="00017F38"/>
    <w:rsid w:val="00017FBE"/>
    <w:rsid w:val="000201F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BEB"/>
    <w:rsid w:val="00032B62"/>
    <w:rsid w:val="00032B92"/>
    <w:rsid w:val="00032CBF"/>
    <w:rsid w:val="00033905"/>
    <w:rsid w:val="00033951"/>
    <w:rsid w:val="00033B8B"/>
    <w:rsid w:val="00033BB2"/>
    <w:rsid w:val="00033D80"/>
    <w:rsid w:val="00033E4B"/>
    <w:rsid w:val="00034750"/>
    <w:rsid w:val="00034CA4"/>
    <w:rsid w:val="000368F0"/>
    <w:rsid w:val="00036C6F"/>
    <w:rsid w:val="0003747A"/>
    <w:rsid w:val="00041412"/>
    <w:rsid w:val="000417FB"/>
    <w:rsid w:val="00042147"/>
    <w:rsid w:val="000424CF"/>
    <w:rsid w:val="00042F90"/>
    <w:rsid w:val="00043428"/>
    <w:rsid w:val="00043BD9"/>
    <w:rsid w:val="00043FBC"/>
    <w:rsid w:val="00044931"/>
    <w:rsid w:val="00045632"/>
    <w:rsid w:val="00045833"/>
    <w:rsid w:val="00045E98"/>
    <w:rsid w:val="00045F4F"/>
    <w:rsid w:val="000465C5"/>
    <w:rsid w:val="00046D39"/>
    <w:rsid w:val="00046D4B"/>
    <w:rsid w:val="00046DA1"/>
    <w:rsid w:val="00047CD9"/>
    <w:rsid w:val="00047D01"/>
    <w:rsid w:val="000504D1"/>
    <w:rsid w:val="00051CEC"/>
    <w:rsid w:val="00051E18"/>
    <w:rsid w:val="0005304A"/>
    <w:rsid w:val="000542E5"/>
    <w:rsid w:val="0005441F"/>
    <w:rsid w:val="000544E5"/>
    <w:rsid w:val="000548AD"/>
    <w:rsid w:val="000551F3"/>
    <w:rsid w:val="000552D2"/>
    <w:rsid w:val="00055739"/>
    <w:rsid w:val="00055DEE"/>
    <w:rsid w:val="00056201"/>
    <w:rsid w:val="00057567"/>
    <w:rsid w:val="00057638"/>
    <w:rsid w:val="00057700"/>
    <w:rsid w:val="000609D7"/>
    <w:rsid w:val="000610F7"/>
    <w:rsid w:val="00061E96"/>
    <w:rsid w:val="0006337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87F42"/>
    <w:rsid w:val="000901A0"/>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340"/>
    <w:rsid w:val="000A0765"/>
    <w:rsid w:val="000A14BA"/>
    <w:rsid w:val="000A18D4"/>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32E7"/>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459"/>
    <w:rsid w:val="000C7977"/>
    <w:rsid w:val="000C79C6"/>
    <w:rsid w:val="000C7D50"/>
    <w:rsid w:val="000C7F43"/>
    <w:rsid w:val="000D102B"/>
    <w:rsid w:val="000D132A"/>
    <w:rsid w:val="000D1ECD"/>
    <w:rsid w:val="000D2CEB"/>
    <w:rsid w:val="000D2F06"/>
    <w:rsid w:val="000D3A78"/>
    <w:rsid w:val="000D3EE7"/>
    <w:rsid w:val="000D40E2"/>
    <w:rsid w:val="000D4BC5"/>
    <w:rsid w:val="000D4D04"/>
    <w:rsid w:val="000D512A"/>
    <w:rsid w:val="000D5462"/>
    <w:rsid w:val="000D60CB"/>
    <w:rsid w:val="000D65C9"/>
    <w:rsid w:val="000D67EE"/>
    <w:rsid w:val="000D7188"/>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487"/>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6ED5"/>
    <w:rsid w:val="001074A3"/>
    <w:rsid w:val="00110198"/>
    <w:rsid w:val="00110911"/>
    <w:rsid w:val="00110B59"/>
    <w:rsid w:val="00110C9C"/>
    <w:rsid w:val="001119A7"/>
    <w:rsid w:val="00111FA0"/>
    <w:rsid w:val="0011232E"/>
    <w:rsid w:val="00112648"/>
    <w:rsid w:val="00112796"/>
    <w:rsid w:val="00112E3E"/>
    <w:rsid w:val="00112FA3"/>
    <w:rsid w:val="00113782"/>
    <w:rsid w:val="00113984"/>
    <w:rsid w:val="001145A5"/>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5F30"/>
    <w:rsid w:val="001277E1"/>
    <w:rsid w:val="001301CC"/>
    <w:rsid w:val="00130561"/>
    <w:rsid w:val="00130946"/>
    <w:rsid w:val="00131080"/>
    <w:rsid w:val="00131AB6"/>
    <w:rsid w:val="00131D0D"/>
    <w:rsid w:val="0013226D"/>
    <w:rsid w:val="0013320B"/>
    <w:rsid w:val="00133C40"/>
    <w:rsid w:val="00134210"/>
    <w:rsid w:val="00135CEF"/>
    <w:rsid w:val="00136787"/>
    <w:rsid w:val="00137139"/>
    <w:rsid w:val="00137B1B"/>
    <w:rsid w:val="00140568"/>
    <w:rsid w:val="00140FCD"/>
    <w:rsid w:val="001418F6"/>
    <w:rsid w:val="00141934"/>
    <w:rsid w:val="00143208"/>
    <w:rsid w:val="00143C72"/>
    <w:rsid w:val="0014511D"/>
    <w:rsid w:val="001454DF"/>
    <w:rsid w:val="00145C4D"/>
    <w:rsid w:val="00145F25"/>
    <w:rsid w:val="0014646E"/>
    <w:rsid w:val="0014686F"/>
    <w:rsid w:val="00146A5D"/>
    <w:rsid w:val="00146FE2"/>
    <w:rsid w:val="00147534"/>
    <w:rsid w:val="00147F0A"/>
    <w:rsid w:val="00147FCB"/>
    <w:rsid w:val="0015006E"/>
    <w:rsid w:val="0015043C"/>
    <w:rsid w:val="0015158E"/>
    <w:rsid w:val="001515C2"/>
    <w:rsid w:val="00151A5C"/>
    <w:rsid w:val="00152144"/>
    <w:rsid w:val="001521BF"/>
    <w:rsid w:val="001522F0"/>
    <w:rsid w:val="00152374"/>
    <w:rsid w:val="0015346F"/>
    <w:rsid w:val="001538CB"/>
    <w:rsid w:val="001539DC"/>
    <w:rsid w:val="001547DA"/>
    <w:rsid w:val="00154DFB"/>
    <w:rsid w:val="00155D72"/>
    <w:rsid w:val="001561ED"/>
    <w:rsid w:val="00156BE8"/>
    <w:rsid w:val="00156E6C"/>
    <w:rsid w:val="0015711A"/>
    <w:rsid w:val="00160C3A"/>
    <w:rsid w:val="00160CB0"/>
    <w:rsid w:val="00161306"/>
    <w:rsid w:val="00161774"/>
    <w:rsid w:val="001639B4"/>
    <w:rsid w:val="00165B65"/>
    <w:rsid w:val="00165F5A"/>
    <w:rsid w:val="001663F8"/>
    <w:rsid w:val="00166C64"/>
    <w:rsid w:val="001670E1"/>
    <w:rsid w:val="001677D4"/>
    <w:rsid w:val="00167C60"/>
    <w:rsid w:val="001705DD"/>
    <w:rsid w:val="00170657"/>
    <w:rsid w:val="001708A2"/>
    <w:rsid w:val="00170A01"/>
    <w:rsid w:val="00170EF1"/>
    <w:rsid w:val="00170FFC"/>
    <w:rsid w:val="00171EEF"/>
    <w:rsid w:val="0017249D"/>
    <w:rsid w:val="001725DC"/>
    <w:rsid w:val="0017293F"/>
    <w:rsid w:val="001735DD"/>
    <w:rsid w:val="0017373B"/>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3215"/>
    <w:rsid w:val="001C40D9"/>
    <w:rsid w:val="001C4D7F"/>
    <w:rsid w:val="001C508B"/>
    <w:rsid w:val="001C520D"/>
    <w:rsid w:val="001C53A3"/>
    <w:rsid w:val="001C5776"/>
    <w:rsid w:val="001C57B1"/>
    <w:rsid w:val="001C6472"/>
    <w:rsid w:val="001C6C89"/>
    <w:rsid w:val="001C749A"/>
    <w:rsid w:val="001D0863"/>
    <w:rsid w:val="001D0A15"/>
    <w:rsid w:val="001D0B41"/>
    <w:rsid w:val="001D0DC9"/>
    <w:rsid w:val="001D0F50"/>
    <w:rsid w:val="001D11CD"/>
    <w:rsid w:val="001D18EE"/>
    <w:rsid w:val="001D29C7"/>
    <w:rsid w:val="001D3140"/>
    <w:rsid w:val="001D320E"/>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3474"/>
    <w:rsid w:val="00203AE3"/>
    <w:rsid w:val="00204D01"/>
    <w:rsid w:val="0020513E"/>
    <w:rsid w:val="00205577"/>
    <w:rsid w:val="00205D02"/>
    <w:rsid w:val="00205DE8"/>
    <w:rsid w:val="00205FA5"/>
    <w:rsid w:val="00206393"/>
    <w:rsid w:val="00206E70"/>
    <w:rsid w:val="002070EB"/>
    <w:rsid w:val="00210399"/>
    <w:rsid w:val="002129DA"/>
    <w:rsid w:val="002130A3"/>
    <w:rsid w:val="002130F8"/>
    <w:rsid w:val="0021467E"/>
    <w:rsid w:val="002146A4"/>
    <w:rsid w:val="00214942"/>
    <w:rsid w:val="00214A36"/>
    <w:rsid w:val="0021536D"/>
    <w:rsid w:val="00215625"/>
    <w:rsid w:val="00215679"/>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102"/>
    <w:rsid w:val="0022643C"/>
    <w:rsid w:val="00226A78"/>
    <w:rsid w:val="0022707A"/>
    <w:rsid w:val="002275E5"/>
    <w:rsid w:val="00227EEF"/>
    <w:rsid w:val="00230A6E"/>
    <w:rsid w:val="00231AC4"/>
    <w:rsid w:val="00232827"/>
    <w:rsid w:val="00232E66"/>
    <w:rsid w:val="00233523"/>
    <w:rsid w:val="002338F0"/>
    <w:rsid w:val="00233934"/>
    <w:rsid w:val="00233A86"/>
    <w:rsid w:val="00233E2F"/>
    <w:rsid w:val="00234F5C"/>
    <w:rsid w:val="00235167"/>
    <w:rsid w:val="00237261"/>
    <w:rsid w:val="0024022C"/>
    <w:rsid w:val="002409CB"/>
    <w:rsid w:val="00240C58"/>
    <w:rsid w:val="00241548"/>
    <w:rsid w:val="00242C07"/>
    <w:rsid w:val="00243F62"/>
    <w:rsid w:val="00244131"/>
    <w:rsid w:val="002444AB"/>
    <w:rsid w:val="00244CBB"/>
    <w:rsid w:val="002458F9"/>
    <w:rsid w:val="00246840"/>
    <w:rsid w:val="002476ED"/>
    <w:rsid w:val="00247B9E"/>
    <w:rsid w:val="00250378"/>
    <w:rsid w:val="00250BD9"/>
    <w:rsid w:val="0025149A"/>
    <w:rsid w:val="002520C1"/>
    <w:rsid w:val="00252B87"/>
    <w:rsid w:val="00252ECC"/>
    <w:rsid w:val="0025308B"/>
    <w:rsid w:val="0025358C"/>
    <w:rsid w:val="00253DB2"/>
    <w:rsid w:val="00255177"/>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23E4"/>
    <w:rsid w:val="002725D0"/>
    <w:rsid w:val="00272BBF"/>
    <w:rsid w:val="00273767"/>
    <w:rsid w:val="002740B9"/>
    <w:rsid w:val="0027430B"/>
    <w:rsid w:val="0027521E"/>
    <w:rsid w:val="0027530E"/>
    <w:rsid w:val="00275735"/>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B9B"/>
    <w:rsid w:val="00295FBE"/>
    <w:rsid w:val="0029632B"/>
    <w:rsid w:val="002977A4"/>
    <w:rsid w:val="002A03BD"/>
    <w:rsid w:val="002A0C31"/>
    <w:rsid w:val="002A0D1A"/>
    <w:rsid w:val="002A19A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66D"/>
    <w:rsid w:val="002C1E67"/>
    <w:rsid w:val="002C2C33"/>
    <w:rsid w:val="002C385F"/>
    <w:rsid w:val="002C3CFF"/>
    <w:rsid w:val="002C419B"/>
    <w:rsid w:val="002C4732"/>
    <w:rsid w:val="002C5318"/>
    <w:rsid w:val="002D2DFD"/>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5F9"/>
    <w:rsid w:val="002F07FB"/>
    <w:rsid w:val="002F0C6B"/>
    <w:rsid w:val="002F0CD2"/>
    <w:rsid w:val="002F0DE8"/>
    <w:rsid w:val="002F12A0"/>
    <w:rsid w:val="002F1778"/>
    <w:rsid w:val="002F2397"/>
    <w:rsid w:val="002F3065"/>
    <w:rsid w:val="002F321E"/>
    <w:rsid w:val="002F36CF"/>
    <w:rsid w:val="002F39A0"/>
    <w:rsid w:val="002F5658"/>
    <w:rsid w:val="002F5B33"/>
    <w:rsid w:val="002F5F15"/>
    <w:rsid w:val="002F6FAE"/>
    <w:rsid w:val="002F71CA"/>
    <w:rsid w:val="002F7CD9"/>
    <w:rsid w:val="00300BF6"/>
    <w:rsid w:val="00302630"/>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80C"/>
    <w:rsid w:val="003108ED"/>
    <w:rsid w:val="00310CD3"/>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0A4"/>
    <w:rsid w:val="00321329"/>
    <w:rsid w:val="00321CC5"/>
    <w:rsid w:val="00322F66"/>
    <w:rsid w:val="00323AD5"/>
    <w:rsid w:val="00323B4E"/>
    <w:rsid w:val="00324159"/>
    <w:rsid w:val="0032458F"/>
    <w:rsid w:val="003249A7"/>
    <w:rsid w:val="00324CFA"/>
    <w:rsid w:val="00324FE9"/>
    <w:rsid w:val="00325E88"/>
    <w:rsid w:val="00326EEB"/>
    <w:rsid w:val="003301BC"/>
    <w:rsid w:val="00331104"/>
    <w:rsid w:val="0033204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161E"/>
    <w:rsid w:val="00342449"/>
    <w:rsid w:val="003426E4"/>
    <w:rsid w:val="0034341B"/>
    <w:rsid w:val="0034400D"/>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5B92"/>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A83"/>
    <w:rsid w:val="00365DF7"/>
    <w:rsid w:val="00365F7B"/>
    <w:rsid w:val="0036620A"/>
    <w:rsid w:val="00366A57"/>
    <w:rsid w:val="00367521"/>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643"/>
    <w:rsid w:val="00376926"/>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2812"/>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3A74"/>
    <w:rsid w:val="003B4214"/>
    <w:rsid w:val="003B4B09"/>
    <w:rsid w:val="003B4C4F"/>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47A5"/>
    <w:rsid w:val="003E52C0"/>
    <w:rsid w:val="003E552E"/>
    <w:rsid w:val="003E5E70"/>
    <w:rsid w:val="003E65FE"/>
    <w:rsid w:val="003E7D6D"/>
    <w:rsid w:val="003F04A8"/>
    <w:rsid w:val="003F1F55"/>
    <w:rsid w:val="003F2554"/>
    <w:rsid w:val="003F259D"/>
    <w:rsid w:val="003F279B"/>
    <w:rsid w:val="003F279F"/>
    <w:rsid w:val="003F3767"/>
    <w:rsid w:val="003F3B09"/>
    <w:rsid w:val="003F3CEF"/>
    <w:rsid w:val="003F4FD8"/>
    <w:rsid w:val="003F51B2"/>
    <w:rsid w:val="003F587A"/>
    <w:rsid w:val="003F5AE4"/>
    <w:rsid w:val="003F61EB"/>
    <w:rsid w:val="003F648F"/>
    <w:rsid w:val="003F6D53"/>
    <w:rsid w:val="003F7800"/>
    <w:rsid w:val="00400401"/>
    <w:rsid w:val="004008A7"/>
    <w:rsid w:val="00400B7E"/>
    <w:rsid w:val="00400B8F"/>
    <w:rsid w:val="00401281"/>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7828"/>
    <w:rsid w:val="0043796F"/>
    <w:rsid w:val="004406E0"/>
    <w:rsid w:val="00440A40"/>
    <w:rsid w:val="00440EAF"/>
    <w:rsid w:val="00441BBC"/>
    <w:rsid w:val="004427AA"/>
    <w:rsid w:val="00442BF2"/>
    <w:rsid w:val="004431C7"/>
    <w:rsid w:val="00443880"/>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52B6"/>
    <w:rsid w:val="00455D86"/>
    <w:rsid w:val="004561D0"/>
    <w:rsid w:val="00456252"/>
    <w:rsid w:val="00456273"/>
    <w:rsid w:val="00456993"/>
    <w:rsid w:val="00456CE3"/>
    <w:rsid w:val="0046071D"/>
    <w:rsid w:val="00460D14"/>
    <w:rsid w:val="00461170"/>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1DAA"/>
    <w:rsid w:val="004820C0"/>
    <w:rsid w:val="0048381F"/>
    <w:rsid w:val="0048453D"/>
    <w:rsid w:val="00484A7E"/>
    <w:rsid w:val="00485157"/>
    <w:rsid w:val="004855F7"/>
    <w:rsid w:val="004857D5"/>
    <w:rsid w:val="0048596A"/>
    <w:rsid w:val="00486104"/>
    <w:rsid w:val="00486A26"/>
    <w:rsid w:val="00486FDE"/>
    <w:rsid w:val="0049130E"/>
    <w:rsid w:val="00491F6F"/>
    <w:rsid w:val="00492346"/>
    <w:rsid w:val="004926F8"/>
    <w:rsid w:val="00492D8D"/>
    <w:rsid w:val="004939D7"/>
    <w:rsid w:val="004946AF"/>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A61"/>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362"/>
    <w:rsid w:val="004D29DB"/>
    <w:rsid w:val="004D2B43"/>
    <w:rsid w:val="004D2D98"/>
    <w:rsid w:val="004D390A"/>
    <w:rsid w:val="004D4141"/>
    <w:rsid w:val="004D459A"/>
    <w:rsid w:val="004D5E79"/>
    <w:rsid w:val="004D6A2C"/>
    <w:rsid w:val="004D6F93"/>
    <w:rsid w:val="004D7445"/>
    <w:rsid w:val="004D77E9"/>
    <w:rsid w:val="004D7A2C"/>
    <w:rsid w:val="004D7E2B"/>
    <w:rsid w:val="004E00CE"/>
    <w:rsid w:val="004E0600"/>
    <w:rsid w:val="004E06FF"/>
    <w:rsid w:val="004E2C88"/>
    <w:rsid w:val="004E2E02"/>
    <w:rsid w:val="004E31A2"/>
    <w:rsid w:val="004E33E4"/>
    <w:rsid w:val="004E39E0"/>
    <w:rsid w:val="004E4443"/>
    <w:rsid w:val="004E4520"/>
    <w:rsid w:val="004E4715"/>
    <w:rsid w:val="004E4733"/>
    <w:rsid w:val="004E57D8"/>
    <w:rsid w:val="004E7D8D"/>
    <w:rsid w:val="004F0C8E"/>
    <w:rsid w:val="004F0FDF"/>
    <w:rsid w:val="004F1301"/>
    <w:rsid w:val="004F1DA4"/>
    <w:rsid w:val="004F1F8E"/>
    <w:rsid w:val="004F254E"/>
    <w:rsid w:val="004F3121"/>
    <w:rsid w:val="004F344A"/>
    <w:rsid w:val="004F3706"/>
    <w:rsid w:val="004F3A4F"/>
    <w:rsid w:val="004F3C4D"/>
    <w:rsid w:val="004F476A"/>
    <w:rsid w:val="004F4E46"/>
    <w:rsid w:val="004F50C0"/>
    <w:rsid w:val="004F5FE6"/>
    <w:rsid w:val="004F6469"/>
    <w:rsid w:val="004F661A"/>
    <w:rsid w:val="004F6B91"/>
    <w:rsid w:val="004F765E"/>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077D3"/>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CFC"/>
    <w:rsid w:val="00517A9B"/>
    <w:rsid w:val="00517E23"/>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F08"/>
    <w:rsid w:val="00531F0A"/>
    <w:rsid w:val="005327D4"/>
    <w:rsid w:val="00533F0C"/>
    <w:rsid w:val="00534FAB"/>
    <w:rsid w:val="005361ED"/>
    <w:rsid w:val="00540028"/>
    <w:rsid w:val="00540C48"/>
    <w:rsid w:val="00540FC8"/>
    <w:rsid w:val="00541359"/>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477EC"/>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02F"/>
    <w:rsid w:val="00557DBB"/>
    <w:rsid w:val="00560390"/>
    <w:rsid w:val="0056096D"/>
    <w:rsid w:val="00560BDD"/>
    <w:rsid w:val="00560C1E"/>
    <w:rsid w:val="00561703"/>
    <w:rsid w:val="0056185A"/>
    <w:rsid w:val="00561ECA"/>
    <w:rsid w:val="00562E2A"/>
    <w:rsid w:val="00563F98"/>
    <w:rsid w:val="005673AA"/>
    <w:rsid w:val="00567644"/>
    <w:rsid w:val="00567C47"/>
    <w:rsid w:val="005705F4"/>
    <w:rsid w:val="0057273B"/>
    <w:rsid w:val="005736FF"/>
    <w:rsid w:val="00573E64"/>
    <w:rsid w:val="005747FA"/>
    <w:rsid w:val="005751AF"/>
    <w:rsid w:val="00575311"/>
    <w:rsid w:val="005754F4"/>
    <w:rsid w:val="00575B59"/>
    <w:rsid w:val="00577604"/>
    <w:rsid w:val="00577C90"/>
    <w:rsid w:val="00577D10"/>
    <w:rsid w:val="0058066D"/>
    <w:rsid w:val="005808CC"/>
    <w:rsid w:val="00580AD5"/>
    <w:rsid w:val="00580B32"/>
    <w:rsid w:val="00580B39"/>
    <w:rsid w:val="00581408"/>
    <w:rsid w:val="005816B3"/>
    <w:rsid w:val="00581CE4"/>
    <w:rsid w:val="00582D23"/>
    <w:rsid w:val="00582D83"/>
    <w:rsid w:val="00584315"/>
    <w:rsid w:val="00584445"/>
    <w:rsid w:val="00584582"/>
    <w:rsid w:val="00584F5B"/>
    <w:rsid w:val="0058562C"/>
    <w:rsid w:val="00585BCC"/>
    <w:rsid w:val="00585DA0"/>
    <w:rsid w:val="0058695A"/>
    <w:rsid w:val="00586BE3"/>
    <w:rsid w:val="00586CDC"/>
    <w:rsid w:val="00587531"/>
    <w:rsid w:val="0058778D"/>
    <w:rsid w:val="00587E14"/>
    <w:rsid w:val="00591155"/>
    <w:rsid w:val="00591948"/>
    <w:rsid w:val="00591DA5"/>
    <w:rsid w:val="00592E3C"/>
    <w:rsid w:val="005930E4"/>
    <w:rsid w:val="0059434F"/>
    <w:rsid w:val="00594466"/>
    <w:rsid w:val="005948E2"/>
    <w:rsid w:val="00594BCE"/>
    <w:rsid w:val="00594E81"/>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2ACC"/>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E0153"/>
    <w:rsid w:val="005E0406"/>
    <w:rsid w:val="005E0443"/>
    <w:rsid w:val="005E0578"/>
    <w:rsid w:val="005E08AC"/>
    <w:rsid w:val="005E0AB8"/>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04"/>
    <w:rsid w:val="005F4BC5"/>
    <w:rsid w:val="005F4D31"/>
    <w:rsid w:val="005F569D"/>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553B"/>
    <w:rsid w:val="006066F8"/>
    <w:rsid w:val="00606F84"/>
    <w:rsid w:val="0060703A"/>
    <w:rsid w:val="0061001F"/>
    <w:rsid w:val="00610473"/>
    <w:rsid w:val="0061179F"/>
    <w:rsid w:val="00611BDB"/>
    <w:rsid w:val="00611C3F"/>
    <w:rsid w:val="00611CF4"/>
    <w:rsid w:val="0061256F"/>
    <w:rsid w:val="00612A88"/>
    <w:rsid w:val="0061368A"/>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D0B"/>
    <w:rsid w:val="00626475"/>
    <w:rsid w:val="00627BF1"/>
    <w:rsid w:val="00627FB2"/>
    <w:rsid w:val="006308C0"/>
    <w:rsid w:val="006319DA"/>
    <w:rsid w:val="006323F3"/>
    <w:rsid w:val="006325EA"/>
    <w:rsid w:val="00632834"/>
    <w:rsid w:val="00632CC0"/>
    <w:rsid w:val="006333D3"/>
    <w:rsid w:val="00633FA9"/>
    <w:rsid w:val="0063401C"/>
    <w:rsid w:val="006345AA"/>
    <w:rsid w:val="00634D8F"/>
    <w:rsid w:val="006351F3"/>
    <w:rsid w:val="00635488"/>
    <w:rsid w:val="00635DF9"/>
    <w:rsid w:val="006369CA"/>
    <w:rsid w:val="00636C1A"/>
    <w:rsid w:val="00637023"/>
    <w:rsid w:val="00637293"/>
    <w:rsid w:val="0064131B"/>
    <w:rsid w:val="00642504"/>
    <w:rsid w:val="00642569"/>
    <w:rsid w:val="00642896"/>
    <w:rsid w:val="006430B9"/>
    <w:rsid w:val="00644114"/>
    <w:rsid w:val="006448CC"/>
    <w:rsid w:val="00644CD5"/>
    <w:rsid w:val="006455D3"/>
    <w:rsid w:val="00645BB7"/>
    <w:rsid w:val="00647012"/>
    <w:rsid w:val="00647840"/>
    <w:rsid w:val="00651D66"/>
    <w:rsid w:val="00654AEC"/>
    <w:rsid w:val="00654D50"/>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2DC"/>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751"/>
    <w:rsid w:val="00674B3E"/>
    <w:rsid w:val="0067517E"/>
    <w:rsid w:val="00675D9B"/>
    <w:rsid w:val="00676144"/>
    <w:rsid w:val="0067618A"/>
    <w:rsid w:val="00676996"/>
    <w:rsid w:val="00676A26"/>
    <w:rsid w:val="00676B2B"/>
    <w:rsid w:val="006807B1"/>
    <w:rsid w:val="00680814"/>
    <w:rsid w:val="0068096B"/>
    <w:rsid w:val="00680FE7"/>
    <w:rsid w:val="00682AA6"/>
    <w:rsid w:val="00682D11"/>
    <w:rsid w:val="00682D2D"/>
    <w:rsid w:val="00683E3C"/>
    <w:rsid w:val="00684930"/>
    <w:rsid w:val="00684B02"/>
    <w:rsid w:val="0068500B"/>
    <w:rsid w:val="0068515E"/>
    <w:rsid w:val="00685563"/>
    <w:rsid w:val="006858C8"/>
    <w:rsid w:val="006858C9"/>
    <w:rsid w:val="006862B7"/>
    <w:rsid w:val="0068649B"/>
    <w:rsid w:val="00686D54"/>
    <w:rsid w:val="00686E0C"/>
    <w:rsid w:val="00686F44"/>
    <w:rsid w:val="00686F4B"/>
    <w:rsid w:val="00687275"/>
    <w:rsid w:val="00690134"/>
    <w:rsid w:val="00690556"/>
    <w:rsid w:val="006906BA"/>
    <w:rsid w:val="0069071E"/>
    <w:rsid w:val="006913D6"/>
    <w:rsid w:val="00691448"/>
    <w:rsid w:val="00691EEC"/>
    <w:rsid w:val="00691FCB"/>
    <w:rsid w:val="006927A4"/>
    <w:rsid w:val="006935EB"/>
    <w:rsid w:val="006954F3"/>
    <w:rsid w:val="00696680"/>
    <w:rsid w:val="00696EB2"/>
    <w:rsid w:val="00697643"/>
    <w:rsid w:val="006A1AAD"/>
    <w:rsid w:val="006A1BF5"/>
    <w:rsid w:val="006A1FF0"/>
    <w:rsid w:val="006A2CF5"/>
    <w:rsid w:val="006A2FCE"/>
    <w:rsid w:val="006A2FEE"/>
    <w:rsid w:val="006A3237"/>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4232"/>
    <w:rsid w:val="006B55AA"/>
    <w:rsid w:val="006B637C"/>
    <w:rsid w:val="006B6829"/>
    <w:rsid w:val="006C0454"/>
    <w:rsid w:val="006C0938"/>
    <w:rsid w:val="006C0ADA"/>
    <w:rsid w:val="006C1F02"/>
    <w:rsid w:val="006C2326"/>
    <w:rsid w:val="006C331A"/>
    <w:rsid w:val="006C3672"/>
    <w:rsid w:val="006C367F"/>
    <w:rsid w:val="006C4A7D"/>
    <w:rsid w:val="006C4D91"/>
    <w:rsid w:val="006C5691"/>
    <w:rsid w:val="006C57A1"/>
    <w:rsid w:val="006C589B"/>
    <w:rsid w:val="006C6F01"/>
    <w:rsid w:val="006C7219"/>
    <w:rsid w:val="006C7927"/>
    <w:rsid w:val="006C7E39"/>
    <w:rsid w:val="006D090E"/>
    <w:rsid w:val="006D2252"/>
    <w:rsid w:val="006D26E0"/>
    <w:rsid w:val="006D2764"/>
    <w:rsid w:val="006D2D41"/>
    <w:rsid w:val="006D3B46"/>
    <w:rsid w:val="006D3F41"/>
    <w:rsid w:val="006D4A01"/>
    <w:rsid w:val="006D4B57"/>
    <w:rsid w:val="006D5550"/>
    <w:rsid w:val="006D5A9F"/>
    <w:rsid w:val="006D681E"/>
    <w:rsid w:val="006D6D8C"/>
    <w:rsid w:val="006D6FB2"/>
    <w:rsid w:val="006E0492"/>
    <w:rsid w:val="006E0A42"/>
    <w:rsid w:val="006E0C3C"/>
    <w:rsid w:val="006E1B89"/>
    <w:rsid w:val="006E2AFD"/>
    <w:rsid w:val="006E37C2"/>
    <w:rsid w:val="006E3F9E"/>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190"/>
    <w:rsid w:val="006F3B15"/>
    <w:rsid w:val="006F3EE3"/>
    <w:rsid w:val="006F43DE"/>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2542"/>
    <w:rsid w:val="007226A1"/>
    <w:rsid w:val="00722F63"/>
    <w:rsid w:val="0072551B"/>
    <w:rsid w:val="007256A8"/>
    <w:rsid w:val="0072629C"/>
    <w:rsid w:val="00726373"/>
    <w:rsid w:val="00726A05"/>
    <w:rsid w:val="00727B8B"/>
    <w:rsid w:val="007302D1"/>
    <w:rsid w:val="0073055E"/>
    <w:rsid w:val="00730596"/>
    <w:rsid w:val="007317DA"/>
    <w:rsid w:val="00731A9A"/>
    <w:rsid w:val="00732342"/>
    <w:rsid w:val="00732690"/>
    <w:rsid w:val="0073555E"/>
    <w:rsid w:val="00736331"/>
    <w:rsid w:val="007376BE"/>
    <w:rsid w:val="00740477"/>
    <w:rsid w:val="007404E2"/>
    <w:rsid w:val="00740AA5"/>
    <w:rsid w:val="00740D48"/>
    <w:rsid w:val="00740FB0"/>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2DD5"/>
    <w:rsid w:val="007547AC"/>
    <w:rsid w:val="00754B6C"/>
    <w:rsid w:val="00754C47"/>
    <w:rsid w:val="00754E8A"/>
    <w:rsid w:val="007552DD"/>
    <w:rsid w:val="00755498"/>
    <w:rsid w:val="00755996"/>
    <w:rsid w:val="0075627D"/>
    <w:rsid w:val="0075643D"/>
    <w:rsid w:val="007579DF"/>
    <w:rsid w:val="00761C4F"/>
    <w:rsid w:val="00761E37"/>
    <w:rsid w:val="00761FF5"/>
    <w:rsid w:val="00762E16"/>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105"/>
    <w:rsid w:val="00781B47"/>
    <w:rsid w:val="00781C01"/>
    <w:rsid w:val="00783051"/>
    <w:rsid w:val="00783A34"/>
    <w:rsid w:val="0078451D"/>
    <w:rsid w:val="00785333"/>
    <w:rsid w:val="00785756"/>
    <w:rsid w:val="00785ABF"/>
    <w:rsid w:val="00786417"/>
    <w:rsid w:val="00786865"/>
    <w:rsid w:val="0078691B"/>
    <w:rsid w:val="00786A7C"/>
    <w:rsid w:val="00786EC4"/>
    <w:rsid w:val="00787391"/>
    <w:rsid w:val="00787745"/>
    <w:rsid w:val="00787DAE"/>
    <w:rsid w:val="00787F22"/>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869"/>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3EA"/>
    <w:rsid w:val="007F2681"/>
    <w:rsid w:val="007F30E4"/>
    <w:rsid w:val="007F3E5E"/>
    <w:rsid w:val="007F4BF5"/>
    <w:rsid w:val="007F50E4"/>
    <w:rsid w:val="007F59FB"/>
    <w:rsid w:val="007F5B0B"/>
    <w:rsid w:val="007F60F7"/>
    <w:rsid w:val="007F6224"/>
    <w:rsid w:val="007F62D8"/>
    <w:rsid w:val="007F65A0"/>
    <w:rsid w:val="007F65EE"/>
    <w:rsid w:val="007F6997"/>
    <w:rsid w:val="007F6D72"/>
    <w:rsid w:val="007F6E3F"/>
    <w:rsid w:val="007F746F"/>
    <w:rsid w:val="008003F7"/>
    <w:rsid w:val="00800E26"/>
    <w:rsid w:val="008021CB"/>
    <w:rsid w:val="00802297"/>
    <w:rsid w:val="00803A46"/>
    <w:rsid w:val="00803BD9"/>
    <w:rsid w:val="00804795"/>
    <w:rsid w:val="008054E7"/>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12D6"/>
    <w:rsid w:val="008213CB"/>
    <w:rsid w:val="008217F1"/>
    <w:rsid w:val="008227F6"/>
    <w:rsid w:val="00823E76"/>
    <w:rsid w:val="00824224"/>
    <w:rsid w:val="00824228"/>
    <w:rsid w:val="00825089"/>
    <w:rsid w:val="008252E0"/>
    <w:rsid w:val="00825490"/>
    <w:rsid w:val="00825DB0"/>
    <w:rsid w:val="00827262"/>
    <w:rsid w:val="00827343"/>
    <w:rsid w:val="0082756D"/>
    <w:rsid w:val="00831586"/>
    <w:rsid w:val="00831927"/>
    <w:rsid w:val="00832677"/>
    <w:rsid w:val="00834083"/>
    <w:rsid w:val="0083435A"/>
    <w:rsid w:val="00834FDE"/>
    <w:rsid w:val="00836150"/>
    <w:rsid w:val="008366FA"/>
    <w:rsid w:val="00836C38"/>
    <w:rsid w:val="00837366"/>
    <w:rsid w:val="00837F23"/>
    <w:rsid w:val="00840557"/>
    <w:rsid w:val="00840B30"/>
    <w:rsid w:val="00840F49"/>
    <w:rsid w:val="008428C1"/>
    <w:rsid w:val="00842A65"/>
    <w:rsid w:val="00842CA9"/>
    <w:rsid w:val="0084350E"/>
    <w:rsid w:val="0084359E"/>
    <w:rsid w:val="008436D6"/>
    <w:rsid w:val="008442B3"/>
    <w:rsid w:val="00844318"/>
    <w:rsid w:val="00844677"/>
    <w:rsid w:val="00844CC1"/>
    <w:rsid w:val="00844E09"/>
    <w:rsid w:val="00844E5C"/>
    <w:rsid w:val="00845A88"/>
    <w:rsid w:val="008464DC"/>
    <w:rsid w:val="00846A0F"/>
    <w:rsid w:val="00851242"/>
    <w:rsid w:val="00851593"/>
    <w:rsid w:val="008518EA"/>
    <w:rsid w:val="00851B3D"/>
    <w:rsid w:val="00851B42"/>
    <w:rsid w:val="00851F06"/>
    <w:rsid w:val="0085295A"/>
    <w:rsid w:val="00853A99"/>
    <w:rsid w:val="008549B7"/>
    <w:rsid w:val="00855223"/>
    <w:rsid w:val="008565A3"/>
    <w:rsid w:val="008567C4"/>
    <w:rsid w:val="00856AC4"/>
    <w:rsid w:val="00856F27"/>
    <w:rsid w:val="008600DD"/>
    <w:rsid w:val="008601F3"/>
    <w:rsid w:val="00860AAC"/>
    <w:rsid w:val="00861367"/>
    <w:rsid w:val="00861DF4"/>
    <w:rsid w:val="008629E3"/>
    <w:rsid w:val="00863F39"/>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2FB2"/>
    <w:rsid w:val="0087340C"/>
    <w:rsid w:val="0087482B"/>
    <w:rsid w:val="00874A20"/>
    <w:rsid w:val="00874F62"/>
    <w:rsid w:val="008750ED"/>
    <w:rsid w:val="0087581D"/>
    <w:rsid w:val="0087720A"/>
    <w:rsid w:val="00877FF3"/>
    <w:rsid w:val="0088112A"/>
    <w:rsid w:val="008820B5"/>
    <w:rsid w:val="00882227"/>
    <w:rsid w:val="00882689"/>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6BFF"/>
    <w:rsid w:val="008872FF"/>
    <w:rsid w:val="0088733C"/>
    <w:rsid w:val="00887D5E"/>
    <w:rsid w:val="00890288"/>
    <w:rsid w:val="008905CE"/>
    <w:rsid w:val="00890ACF"/>
    <w:rsid w:val="00890C0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09D9"/>
    <w:rsid w:val="008B128D"/>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21C8"/>
    <w:rsid w:val="008C2431"/>
    <w:rsid w:val="008C281E"/>
    <w:rsid w:val="008C2C2D"/>
    <w:rsid w:val="008C2F29"/>
    <w:rsid w:val="008C336A"/>
    <w:rsid w:val="008C36D2"/>
    <w:rsid w:val="008C39B9"/>
    <w:rsid w:val="008C3D00"/>
    <w:rsid w:val="008C417C"/>
    <w:rsid w:val="008C5264"/>
    <w:rsid w:val="008C54BA"/>
    <w:rsid w:val="008C55B7"/>
    <w:rsid w:val="008C6233"/>
    <w:rsid w:val="008C6243"/>
    <w:rsid w:val="008C66BA"/>
    <w:rsid w:val="008C6E21"/>
    <w:rsid w:val="008C6F20"/>
    <w:rsid w:val="008C6F9E"/>
    <w:rsid w:val="008C737E"/>
    <w:rsid w:val="008C7452"/>
    <w:rsid w:val="008D0320"/>
    <w:rsid w:val="008D143D"/>
    <w:rsid w:val="008D145D"/>
    <w:rsid w:val="008D17D7"/>
    <w:rsid w:val="008D18B7"/>
    <w:rsid w:val="008D3955"/>
    <w:rsid w:val="008D3D19"/>
    <w:rsid w:val="008D3D31"/>
    <w:rsid w:val="008D5861"/>
    <w:rsid w:val="008D5ED6"/>
    <w:rsid w:val="008D6328"/>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51B5"/>
    <w:rsid w:val="0090539E"/>
    <w:rsid w:val="009055D2"/>
    <w:rsid w:val="0090564E"/>
    <w:rsid w:val="00905A7D"/>
    <w:rsid w:val="00905B00"/>
    <w:rsid w:val="00907A42"/>
    <w:rsid w:val="00907BCA"/>
    <w:rsid w:val="009112C0"/>
    <w:rsid w:val="0091146A"/>
    <w:rsid w:val="0091175B"/>
    <w:rsid w:val="009120C5"/>
    <w:rsid w:val="009126FC"/>
    <w:rsid w:val="009137AE"/>
    <w:rsid w:val="009139EB"/>
    <w:rsid w:val="009156AA"/>
    <w:rsid w:val="00915EC1"/>
    <w:rsid w:val="0091679F"/>
    <w:rsid w:val="00916FED"/>
    <w:rsid w:val="00920E25"/>
    <w:rsid w:val="00921377"/>
    <w:rsid w:val="00921764"/>
    <w:rsid w:val="00921F2A"/>
    <w:rsid w:val="009221B9"/>
    <w:rsid w:val="00922290"/>
    <w:rsid w:val="009225FD"/>
    <w:rsid w:val="0092260C"/>
    <w:rsid w:val="00922A97"/>
    <w:rsid w:val="00922DAC"/>
    <w:rsid w:val="009231EF"/>
    <w:rsid w:val="009238F5"/>
    <w:rsid w:val="00925726"/>
    <w:rsid w:val="00926F44"/>
    <w:rsid w:val="00927532"/>
    <w:rsid w:val="00927786"/>
    <w:rsid w:val="00927DA4"/>
    <w:rsid w:val="0093187A"/>
    <w:rsid w:val="009323AA"/>
    <w:rsid w:val="00932526"/>
    <w:rsid w:val="00932618"/>
    <w:rsid w:val="0093261A"/>
    <w:rsid w:val="0093278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4A4F"/>
    <w:rsid w:val="00954AEA"/>
    <w:rsid w:val="00954B6A"/>
    <w:rsid w:val="00957C19"/>
    <w:rsid w:val="00960C10"/>
    <w:rsid w:val="00960C59"/>
    <w:rsid w:val="00961EE7"/>
    <w:rsid w:val="00963B35"/>
    <w:rsid w:val="0096404E"/>
    <w:rsid w:val="009647C4"/>
    <w:rsid w:val="00964802"/>
    <w:rsid w:val="0096562C"/>
    <w:rsid w:val="00966DD9"/>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49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3CD9"/>
    <w:rsid w:val="009A4FD8"/>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67D"/>
    <w:rsid w:val="009B7AAF"/>
    <w:rsid w:val="009B7BD2"/>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D75A1"/>
    <w:rsid w:val="009D75D2"/>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E79F8"/>
    <w:rsid w:val="009F108F"/>
    <w:rsid w:val="009F14D6"/>
    <w:rsid w:val="009F1BCD"/>
    <w:rsid w:val="009F2796"/>
    <w:rsid w:val="009F3275"/>
    <w:rsid w:val="009F32A4"/>
    <w:rsid w:val="009F3A41"/>
    <w:rsid w:val="009F3FE6"/>
    <w:rsid w:val="009F46AF"/>
    <w:rsid w:val="009F4C50"/>
    <w:rsid w:val="009F523A"/>
    <w:rsid w:val="009F54FB"/>
    <w:rsid w:val="009F5925"/>
    <w:rsid w:val="009F5B47"/>
    <w:rsid w:val="009F5C11"/>
    <w:rsid w:val="009F6059"/>
    <w:rsid w:val="009F675E"/>
    <w:rsid w:val="009F6AAC"/>
    <w:rsid w:val="009F6AD3"/>
    <w:rsid w:val="009F6AD7"/>
    <w:rsid w:val="009F6DA9"/>
    <w:rsid w:val="00A006E9"/>
    <w:rsid w:val="00A01673"/>
    <w:rsid w:val="00A01D61"/>
    <w:rsid w:val="00A0253A"/>
    <w:rsid w:val="00A02FD6"/>
    <w:rsid w:val="00A03610"/>
    <w:rsid w:val="00A03C78"/>
    <w:rsid w:val="00A043F8"/>
    <w:rsid w:val="00A04690"/>
    <w:rsid w:val="00A05440"/>
    <w:rsid w:val="00A0595D"/>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0206"/>
    <w:rsid w:val="00A21BF1"/>
    <w:rsid w:val="00A222FF"/>
    <w:rsid w:val="00A2281D"/>
    <w:rsid w:val="00A23078"/>
    <w:rsid w:val="00A2319B"/>
    <w:rsid w:val="00A238E3"/>
    <w:rsid w:val="00A2531C"/>
    <w:rsid w:val="00A258C2"/>
    <w:rsid w:val="00A25960"/>
    <w:rsid w:val="00A261D0"/>
    <w:rsid w:val="00A2624A"/>
    <w:rsid w:val="00A2635E"/>
    <w:rsid w:val="00A263E1"/>
    <w:rsid w:val="00A271CD"/>
    <w:rsid w:val="00A2776F"/>
    <w:rsid w:val="00A27E5E"/>
    <w:rsid w:val="00A301D0"/>
    <w:rsid w:val="00A3187C"/>
    <w:rsid w:val="00A322E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21C4"/>
    <w:rsid w:val="00A42958"/>
    <w:rsid w:val="00A43F26"/>
    <w:rsid w:val="00A443D3"/>
    <w:rsid w:val="00A44D8D"/>
    <w:rsid w:val="00A44DB3"/>
    <w:rsid w:val="00A45118"/>
    <w:rsid w:val="00A45A0F"/>
    <w:rsid w:val="00A45FE0"/>
    <w:rsid w:val="00A4642A"/>
    <w:rsid w:val="00A469FA"/>
    <w:rsid w:val="00A476A6"/>
    <w:rsid w:val="00A47874"/>
    <w:rsid w:val="00A47F6A"/>
    <w:rsid w:val="00A5049B"/>
    <w:rsid w:val="00A505E6"/>
    <w:rsid w:val="00A509F8"/>
    <w:rsid w:val="00A511BB"/>
    <w:rsid w:val="00A512A4"/>
    <w:rsid w:val="00A52314"/>
    <w:rsid w:val="00A52FD2"/>
    <w:rsid w:val="00A5360F"/>
    <w:rsid w:val="00A53BE5"/>
    <w:rsid w:val="00A542A9"/>
    <w:rsid w:val="00A54938"/>
    <w:rsid w:val="00A54B34"/>
    <w:rsid w:val="00A553A7"/>
    <w:rsid w:val="00A5543E"/>
    <w:rsid w:val="00A556FA"/>
    <w:rsid w:val="00A56BDA"/>
    <w:rsid w:val="00A56D65"/>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620D"/>
    <w:rsid w:val="00A66C0E"/>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52F"/>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7A2"/>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8EE"/>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54"/>
    <w:rsid w:val="00AD3F4B"/>
    <w:rsid w:val="00AD45CE"/>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66DC"/>
    <w:rsid w:val="00AE79DF"/>
    <w:rsid w:val="00AE7C28"/>
    <w:rsid w:val="00AF056D"/>
    <w:rsid w:val="00AF059E"/>
    <w:rsid w:val="00AF0CDE"/>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4F7"/>
    <w:rsid w:val="00B17611"/>
    <w:rsid w:val="00B178E0"/>
    <w:rsid w:val="00B20568"/>
    <w:rsid w:val="00B20803"/>
    <w:rsid w:val="00B20C81"/>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5B27"/>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62D4"/>
    <w:rsid w:val="00B671BE"/>
    <w:rsid w:val="00B671EB"/>
    <w:rsid w:val="00B67612"/>
    <w:rsid w:val="00B67724"/>
    <w:rsid w:val="00B67D8D"/>
    <w:rsid w:val="00B7050D"/>
    <w:rsid w:val="00B707F0"/>
    <w:rsid w:val="00B70996"/>
    <w:rsid w:val="00B70A4D"/>
    <w:rsid w:val="00B71243"/>
    <w:rsid w:val="00B715A3"/>
    <w:rsid w:val="00B71BA9"/>
    <w:rsid w:val="00B7235B"/>
    <w:rsid w:val="00B728B3"/>
    <w:rsid w:val="00B73389"/>
    <w:rsid w:val="00B73B5C"/>
    <w:rsid w:val="00B745EF"/>
    <w:rsid w:val="00B74BED"/>
    <w:rsid w:val="00B7534B"/>
    <w:rsid w:val="00B76558"/>
    <w:rsid w:val="00B8051B"/>
    <w:rsid w:val="00B80BFE"/>
    <w:rsid w:val="00B81DD9"/>
    <w:rsid w:val="00B82AA2"/>
    <w:rsid w:val="00B830CC"/>
    <w:rsid w:val="00B832F6"/>
    <w:rsid w:val="00B842EF"/>
    <w:rsid w:val="00B849F6"/>
    <w:rsid w:val="00B85F3F"/>
    <w:rsid w:val="00B861C7"/>
    <w:rsid w:val="00B87315"/>
    <w:rsid w:val="00B873D4"/>
    <w:rsid w:val="00B87E5B"/>
    <w:rsid w:val="00B903BF"/>
    <w:rsid w:val="00B90A1B"/>
    <w:rsid w:val="00B91AF9"/>
    <w:rsid w:val="00B91C73"/>
    <w:rsid w:val="00B92321"/>
    <w:rsid w:val="00B92643"/>
    <w:rsid w:val="00B92B1C"/>
    <w:rsid w:val="00B95E60"/>
    <w:rsid w:val="00B961C5"/>
    <w:rsid w:val="00B96421"/>
    <w:rsid w:val="00B96921"/>
    <w:rsid w:val="00B97193"/>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D4F"/>
    <w:rsid w:val="00BA6807"/>
    <w:rsid w:val="00BA76C6"/>
    <w:rsid w:val="00BB00FC"/>
    <w:rsid w:val="00BB086B"/>
    <w:rsid w:val="00BB15F8"/>
    <w:rsid w:val="00BB18D4"/>
    <w:rsid w:val="00BB2274"/>
    <w:rsid w:val="00BB3595"/>
    <w:rsid w:val="00BB3B60"/>
    <w:rsid w:val="00BB3E23"/>
    <w:rsid w:val="00BB48D1"/>
    <w:rsid w:val="00BB49D7"/>
    <w:rsid w:val="00BB4F5C"/>
    <w:rsid w:val="00BB5809"/>
    <w:rsid w:val="00BB5A2B"/>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D03F4"/>
    <w:rsid w:val="00BD07EE"/>
    <w:rsid w:val="00BD0E8A"/>
    <w:rsid w:val="00BD0FAC"/>
    <w:rsid w:val="00BD1050"/>
    <w:rsid w:val="00BD2CF9"/>
    <w:rsid w:val="00BD2E18"/>
    <w:rsid w:val="00BD317F"/>
    <w:rsid w:val="00BD31AA"/>
    <w:rsid w:val="00BD41D7"/>
    <w:rsid w:val="00BD422C"/>
    <w:rsid w:val="00BD4C64"/>
    <w:rsid w:val="00BD582C"/>
    <w:rsid w:val="00BD5A58"/>
    <w:rsid w:val="00BD6074"/>
    <w:rsid w:val="00BD64BD"/>
    <w:rsid w:val="00BD6568"/>
    <w:rsid w:val="00BD6709"/>
    <w:rsid w:val="00BD6E66"/>
    <w:rsid w:val="00BD7678"/>
    <w:rsid w:val="00BD7DC8"/>
    <w:rsid w:val="00BE0334"/>
    <w:rsid w:val="00BE043A"/>
    <w:rsid w:val="00BE05C8"/>
    <w:rsid w:val="00BE0EFA"/>
    <w:rsid w:val="00BE0F32"/>
    <w:rsid w:val="00BE12D7"/>
    <w:rsid w:val="00BE2053"/>
    <w:rsid w:val="00BE254D"/>
    <w:rsid w:val="00BE257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BF6D14"/>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5578"/>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7C0"/>
    <w:rsid w:val="00C20F8D"/>
    <w:rsid w:val="00C2131A"/>
    <w:rsid w:val="00C220A2"/>
    <w:rsid w:val="00C23382"/>
    <w:rsid w:val="00C23811"/>
    <w:rsid w:val="00C23CDC"/>
    <w:rsid w:val="00C24023"/>
    <w:rsid w:val="00C24A56"/>
    <w:rsid w:val="00C25064"/>
    <w:rsid w:val="00C266D8"/>
    <w:rsid w:val="00C2775B"/>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76D"/>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1C6"/>
    <w:rsid w:val="00C53E36"/>
    <w:rsid w:val="00C54B37"/>
    <w:rsid w:val="00C55269"/>
    <w:rsid w:val="00C556CC"/>
    <w:rsid w:val="00C560B5"/>
    <w:rsid w:val="00C566BC"/>
    <w:rsid w:val="00C56776"/>
    <w:rsid w:val="00C56E17"/>
    <w:rsid w:val="00C57757"/>
    <w:rsid w:val="00C57A08"/>
    <w:rsid w:val="00C60A60"/>
    <w:rsid w:val="00C60EF2"/>
    <w:rsid w:val="00C6122C"/>
    <w:rsid w:val="00C61A90"/>
    <w:rsid w:val="00C61D34"/>
    <w:rsid w:val="00C62EAE"/>
    <w:rsid w:val="00C63B40"/>
    <w:rsid w:val="00C64452"/>
    <w:rsid w:val="00C644EB"/>
    <w:rsid w:val="00C647B9"/>
    <w:rsid w:val="00C65281"/>
    <w:rsid w:val="00C656FE"/>
    <w:rsid w:val="00C65FED"/>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C62"/>
    <w:rsid w:val="00CA2DAF"/>
    <w:rsid w:val="00CA2F0C"/>
    <w:rsid w:val="00CA39C2"/>
    <w:rsid w:val="00CA4382"/>
    <w:rsid w:val="00CA4482"/>
    <w:rsid w:val="00CA48B9"/>
    <w:rsid w:val="00CA4AF9"/>
    <w:rsid w:val="00CA4BC5"/>
    <w:rsid w:val="00CA4DAF"/>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26E"/>
    <w:rsid w:val="00CD4D8D"/>
    <w:rsid w:val="00CD5B02"/>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7B"/>
    <w:rsid w:val="00CE73DB"/>
    <w:rsid w:val="00CE7E82"/>
    <w:rsid w:val="00CF0A66"/>
    <w:rsid w:val="00CF0BE6"/>
    <w:rsid w:val="00CF0D66"/>
    <w:rsid w:val="00CF1D3A"/>
    <w:rsid w:val="00CF1D83"/>
    <w:rsid w:val="00CF275E"/>
    <w:rsid w:val="00CF2AEF"/>
    <w:rsid w:val="00CF3997"/>
    <w:rsid w:val="00CF3FA4"/>
    <w:rsid w:val="00CF46B7"/>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3A34"/>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4F92"/>
    <w:rsid w:val="00D2539A"/>
    <w:rsid w:val="00D2547E"/>
    <w:rsid w:val="00D25E35"/>
    <w:rsid w:val="00D26011"/>
    <w:rsid w:val="00D266E9"/>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63E2"/>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74FA"/>
    <w:rsid w:val="00D6051A"/>
    <w:rsid w:val="00D6078D"/>
    <w:rsid w:val="00D620EC"/>
    <w:rsid w:val="00D62A1A"/>
    <w:rsid w:val="00D63319"/>
    <w:rsid w:val="00D63AC5"/>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836"/>
    <w:rsid w:val="00DA08B9"/>
    <w:rsid w:val="00DA0A1D"/>
    <w:rsid w:val="00DA1235"/>
    <w:rsid w:val="00DA1E96"/>
    <w:rsid w:val="00DA217B"/>
    <w:rsid w:val="00DA3388"/>
    <w:rsid w:val="00DA351D"/>
    <w:rsid w:val="00DA3706"/>
    <w:rsid w:val="00DA5063"/>
    <w:rsid w:val="00DA5437"/>
    <w:rsid w:val="00DA5A7B"/>
    <w:rsid w:val="00DA7533"/>
    <w:rsid w:val="00DA767D"/>
    <w:rsid w:val="00DA792E"/>
    <w:rsid w:val="00DB0546"/>
    <w:rsid w:val="00DB0CB1"/>
    <w:rsid w:val="00DB162A"/>
    <w:rsid w:val="00DB173D"/>
    <w:rsid w:val="00DB2DFE"/>
    <w:rsid w:val="00DB30F0"/>
    <w:rsid w:val="00DB3B32"/>
    <w:rsid w:val="00DB3EC4"/>
    <w:rsid w:val="00DB44C1"/>
    <w:rsid w:val="00DB4622"/>
    <w:rsid w:val="00DB47D2"/>
    <w:rsid w:val="00DB4B27"/>
    <w:rsid w:val="00DB58CC"/>
    <w:rsid w:val="00DB5C82"/>
    <w:rsid w:val="00DB7DE2"/>
    <w:rsid w:val="00DC099E"/>
    <w:rsid w:val="00DC0A39"/>
    <w:rsid w:val="00DC15FD"/>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A0"/>
    <w:rsid w:val="00DD2BD4"/>
    <w:rsid w:val="00DD4980"/>
    <w:rsid w:val="00DD49E0"/>
    <w:rsid w:val="00DD5D95"/>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FEA"/>
    <w:rsid w:val="00DE6C28"/>
    <w:rsid w:val="00DE6DC2"/>
    <w:rsid w:val="00DF0230"/>
    <w:rsid w:val="00DF05D0"/>
    <w:rsid w:val="00DF0738"/>
    <w:rsid w:val="00DF07A8"/>
    <w:rsid w:val="00DF0950"/>
    <w:rsid w:val="00DF0C53"/>
    <w:rsid w:val="00DF11BE"/>
    <w:rsid w:val="00DF12F3"/>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5490"/>
    <w:rsid w:val="00E255AE"/>
    <w:rsid w:val="00E261D8"/>
    <w:rsid w:val="00E27969"/>
    <w:rsid w:val="00E27B88"/>
    <w:rsid w:val="00E27C60"/>
    <w:rsid w:val="00E30CB5"/>
    <w:rsid w:val="00E30DA2"/>
    <w:rsid w:val="00E31FD9"/>
    <w:rsid w:val="00E3293B"/>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3049"/>
    <w:rsid w:val="00E64772"/>
    <w:rsid w:val="00E647FB"/>
    <w:rsid w:val="00E64E24"/>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253"/>
    <w:rsid w:val="00E81AE3"/>
    <w:rsid w:val="00E81C17"/>
    <w:rsid w:val="00E83241"/>
    <w:rsid w:val="00E8361D"/>
    <w:rsid w:val="00E844EE"/>
    <w:rsid w:val="00E853D5"/>
    <w:rsid w:val="00E858C4"/>
    <w:rsid w:val="00E86105"/>
    <w:rsid w:val="00E862BB"/>
    <w:rsid w:val="00E8650C"/>
    <w:rsid w:val="00E86ACF"/>
    <w:rsid w:val="00E86BF7"/>
    <w:rsid w:val="00E8702D"/>
    <w:rsid w:val="00E905CD"/>
    <w:rsid w:val="00E90617"/>
    <w:rsid w:val="00E907D2"/>
    <w:rsid w:val="00E9099D"/>
    <w:rsid w:val="00E90B21"/>
    <w:rsid w:val="00E91030"/>
    <w:rsid w:val="00E910C7"/>
    <w:rsid w:val="00E9121B"/>
    <w:rsid w:val="00E91E18"/>
    <w:rsid w:val="00E9212C"/>
    <w:rsid w:val="00E92371"/>
    <w:rsid w:val="00E926CD"/>
    <w:rsid w:val="00E92C52"/>
    <w:rsid w:val="00E93A0C"/>
    <w:rsid w:val="00E93A23"/>
    <w:rsid w:val="00E9452F"/>
    <w:rsid w:val="00E95582"/>
    <w:rsid w:val="00E95C31"/>
    <w:rsid w:val="00E96C8E"/>
    <w:rsid w:val="00E96F2F"/>
    <w:rsid w:val="00E97196"/>
    <w:rsid w:val="00E97C2A"/>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7D4"/>
    <w:rsid w:val="00EA487D"/>
    <w:rsid w:val="00EA545D"/>
    <w:rsid w:val="00EA5B14"/>
    <w:rsid w:val="00EA5D04"/>
    <w:rsid w:val="00EA67B0"/>
    <w:rsid w:val="00EA6ADD"/>
    <w:rsid w:val="00EA6E19"/>
    <w:rsid w:val="00EA7F02"/>
    <w:rsid w:val="00EA7F72"/>
    <w:rsid w:val="00EB12F6"/>
    <w:rsid w:val="00EB200E"/>
    <w:rsid w:val="00EB2BDB"/>
    <w:rsid w:val="00EB3A59"/>
    <w:rsid w:val="00EB42D0"/>
    <w:rsid w:val="00EB4551"/>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248B"/>
    <w:rsid w:val="00ED2A07"/>
    <w:rsid w:val="00ED2F42"/>
    <w:rsid w:val="00ED3640"/>
    <w:rsid w:val="00ED3CF3"/>
    <w:rsid w:val="00ED3D0C"/>
    <w:rsid w:val="00ED4922"/>
    <w:rsid w:val="00ED4B29"/>
    <w:rsid w:val="00ED5065"/>
    <w:rsid w:val="00ED5489"/>
    <w:rsid w:val="00ED570E"/>
    <w:rsid w:val="00ED58D4"/>
    <w:rsid w:val="00ED58D9"/>
    <w:rsid w:val="00ED5C8B"/>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588"/>
    <w:rsid w:val="00EF1933"/>
    <w:rsid w:val="00EF1A69"/>
    <w:rsid w:val="00EF1BE7"/>
    <w:rsid w:val="00EF1F1B"/>
    <w:rsid w:val="00EF20D2"/>
    <w:rsid w:val="00EF27FF"/>
    <w:rsid w:val="00EF307B"/>
    <w:rsid w:val="00EF30D2"/>
    <w:rsid w:val="00EF328F"/>
    <w:rsid w:val="00EF36AE"/>
    <w:rsid w:val="00EF37DF"/>
    <w:rsid w:val="00EF5092"/>
    <w:rsid w:val="00EF524B"/>
    <w:rsid w:val="00EF54A6"/>
    <w:rsid w:val="00EF5755"/>
    <w:rsid w:val="00EF5924"/>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A62"/>
    <w:rsid w:val="00F04BCD"/>
    <w:rsid w:val="00F05426"/>
    <w:rsid w:val="00F0570D"/>
    <w:rsid w:val="00F05C6B"/>
    <w:rsid w:val="00F06274"/>
    <w:rsid w:val="00F10275"/>
    <w:rsid w:val="00F10417"/>
    <w:rsid w:val="00F1105C"/>
    <w:rsid w:val="00F118F1"/>
    <w:rsid w:val="00F119C9"/>
    <w:rsid w:val="00F11DEB"/>
    <w:rsid w:val="00F12A45"/>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288"/>
    <w:rsid w:val="00F2389A"/>
    <w:rsid w:val="00F23A8A"/>
    <w:rsid w:val="00F252F9"/>
    <w:rsid w:val="00F25362"/>
    <w:rsid w:val="00F259BE"/>
    <w:rsid w:val="00F266EE"/>
    <w:rsid w:val="00F277B7"/>
    <w:rsid w:val="00F27944"/>
    <w:rsid w:val="00F30006"/>
    <w:rsid w:val="00F30668"/>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91E"/>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59E"/>
    <w:rsid w:val="00F516F7"/>
    <w:rsid w:val="00F521A7"/>
    <w:rsid w:val="00F52C8C"/>
    <w:rsid w:val="00F52F24"/>
    <w:rsid w:val="00F52F94"/>
    <w:rsid w:val="00F5346E"/>
    <w:rsid w:val="00F53761"/>
    <w:rsid w:val="00F5408C"/>
    <w:rsid w:val="00F55681"/>
    <w:rsid w:val="00F56027"/>
    <w:rsid w:val="00F60AE3"/>
    <w:rsid w:val="00F6196F"/>
    <w:rsid w:val="00F61EF0"/>
    <w:rsid w:val="00F62B9B"/>
    <w:rsid w:val="00F62F2C"/>
    <w:rsid w:val="00F63404"/>
    <w:rsid w:val="00F635DA"/>
    <w:rsid w:val="00F637C6"/>
    <w:rsid w:val="00F63DE1"/>
    <w:rsid w:val="00F64E6D"/>
    <w:rsid w:val="00F6540D"/>
    <w:rsid w:val="00F65730"/>
    <w:rsid w:val="00F65B1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70B"/>
    <w:rsid w:val="00F74950"/>
    <w:rsid w:val="00F749D2"/>
    <w:rsid w:val="00F74AF1"/>
    <w:rsid w:val="00F7507B"/>
    <w:rsid w:val="00F7563C"/>
    <w:rsid w:val="00F765CC"/>
    <w:rsid w:val="00F773F5"/>
    <w:rsid w:val="00F77701"/>
    <w:rsid w:val="00F77721"/>
    <w:rsid w:val="00F7772C"/>
    <w:rsid w:val="00F806AA"/>
    <w:rsid w:val="00F80AC5"/>
    <w:rsid w:val="00F80DE1"/>
    <w:rsid w:val="00F81113"/>
    <w:rsid w:val="00F81708"/>
    <w:rsid w:val="00F81F3A"/>
    <w:rsid w:val="00F8226D"/>
    <w:rsid w:val="00F824CA"/>
    <w:rsid w:val="00F82BBC"/>
    <w:rsid w:val="00F82CC6"/>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274C"/>
    <w:rsid w:val="00F93FD1"/>
    <w:rsid w:val="00F94B8A"/>
    <w:rsid w:val="00F950B6"/>
    <w:rsid w:val="00F95286"/>
    <w:rsid w:val="00F955FA"/>
    <w:rsid w:val="00F95888"/>
    <w:rsid w:val="00F95BDD"/>
    <w:rsid w:val="00F96E0B"/>
    <w:rsid w:val="00F96E1C"/>
    <w:rsid w:val="00F96E47"/>
    <w:rsid w:val="00FA03B3"/>
    <w:rsid w:val="00FA03FE"/>
    <w:rsid w:val="00FA10CF"/>
    <w:rsid w:val="00FA2980"/>
    <w:rsid w:val="00FA3305"/>
    <w:rsid w:val="00FA37A4"/>
    <w:rsid w:val="00FA3CB2"/>
    <w:rsid w:val="00FA4F11"/>
    <w:rsid w:val="00FA727B"/>
    <w:rsid w:val="00FB04DE"/>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0046"/>
    <w:rsid w:val="00FC117B"/>
    <w:rsid w:val="00FC18B6"/>
    <w:rsid w:val="00FC21AA"/>
    <w:rsid w:val="00FC3CF8"/>
    <w:rsid w:val="00FC4651"/>
    <w:rsid w:val="00FC477D"/>
    <w:rsid w:val="00FC66AE"/>
    <w:rsid w:val="00FC6FD7"/>
    <w:rsid w:val="00FD1234"/>
    <w:rsid w:val="00FD3434"/>
    <w:rsid w:val="00FD377F"/>
    <w:rsid w:val="00FD3C2B"/>
    <w:rsid w:val="00FD4447"/>
    <w:rsid w:val="00FD45FA"/>
    <w:rsid w:val="00FD460D"/>
    <w:rsid w:val="00FD4A71"/>
    <w:rsid w:val="00FD4B25"/>
    <w:rsid w:val="00FD5422"/>
    <w:rsid w:val="00FD5B77"/>
    <w:rsid w:val="00FD5E00"/>
    <w:rsid w:val="00FD5F1D"/>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C8"/>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8BA988BB-890F-4422-BAD3-1152E32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E9AC-8EAF-44B3-94CE-752BA63B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TotalTime>
  <Pages>14</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cp:keywords>
  <cp:lastModifiedBy>Mariana Anguelov</cp:lastModifiedBy>
  <cp:revision>3</cp:revision>
  <cp:lastPrinted>2022-11-08T17:18:00Z</cp:lastPrinted>
  <dcterms:created xsi:type="dcterms:W3CDTF">2022-12-12T08:20:00Z</dcterms:created>
  <dcterms:modified xsi:type="dcterms:W3CDTF">2022-12-13T19:19:00Z</dcterms:modified>
</cp:coreProperties>
</file>