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16D" w14:textId="39B48483" w:rsidR="00BB117B" w:rsidRPr="006D0C59" w:rsidRDefault="00386CF6" w:rsidP="003D69CB">
      <w:pPr>
        <w:widowControl w:val="0"/>
        <w:spacing w:after="0" w:line="480" w:lineRule="auto"/>
        <w:jc w:val="center"/>
        <w:rPr>
          <w:rFonts w:ascii="Arial" w:hAnsi="Arial" w:cs="Arial"/>
          <w:sz w:val="25"/>
          <w:szCs w:val="25"/>
          <w:lang w:val="en-GB"/>
        </w:rPr>
      </w:pPr>
      <w:r w:rsidRPr="006D0C59">
        <w:rPr>
          <w:rFonts w:ascii="Arial" w:hAnsi="Arial" w:cs="Arial"/>
          <w:noProof/>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6D0C59" w:rsidRDefault="00386CF6" w:rsidP="003D69CB">
      <w:pPr>
        <w:widowControl w:val="0"/>
        <w:spacing w:after="0" w:line="480" w:lineRule="auto"/>
        <w:jc w:val="center"/>
        <w:rPr>
          <w:rFonts w:ascii="Verdana" w:hAnsi="Verdana" w:cs="Arial"/>
          <w:b/>
          <w:lang w:val="en-GB"/>
        </w:rPr>
      </w:pPr>
      <w:r w:rsidRPr="006D0C59">
        <w:rPr>
          <w:rFonts w:ascii="Verdana" w:hAnsi="Verdana" w:cs="Arial"/>
          <w:b/>
          <w:lang w:val="en-GB"/>
        </w:rPr>
        <w:t>IN THE HIGH COURT OF SOUTH AFRICA</w:t>
      </w:r>
    </w:p>
    <w:p w14:paraId="305AAA64" w14:textId="3A101DDC" w:rsidR="00386CF6" w:rsidRPr="006D0C59" w:rsidRDefault="00723BCA" w:rsidP="003D69CB">
      <w:pPr>
        <w:widowControl w:val="0"/>
        <w:spacing w:line="480" w:lineRule="auto"/>
        <w:jc w:val="center"/>
        <w:rPr>
          <w:rFonts w:ascii="Verdana" w:hAnsi="Verdana" w:cs="Arial"/>
          <w:b/>
          <w:lang w:val="en-GB"/>
        </w:rPr>
      </w:pPr>
      <w:r w:rsidRPr="006D0C59">
        <w:rPr>
          <w:rFonts w:ascii="Verdana" w:hAnsi="Verdana" w:cs="Arial"/>
          <w:b/>
          <w:lang w:val="en-GB"/>
        </w:rPr>
        <w:t>GAUTENG</w:t>
      </w:r>
      <w:r w:rsidR="0036664D" w:rsidRPr="006D0C59">
        <w:rPr>
          <w:rFonts w:ascii="Verdana" w:hAnsi="Verdana" w:cs="Arial"/>
          <w:b/>
          <w:lang w:val="en-GB"/>
        </w:rPr>
        <w:t xml:space="preserve"> </w:t>
      </w:r>
      <w:r w:rsidR="00386CF6" w:rsidRPr="006D0C59">
        <w:rPr>
          <w:rFonts w:ascii="Verdana" w:hAnsi="Verdana" w:cs="Arial"/>
          <w:b/>
          <w:lang w:val="en-GB"/>
        </w:rPr>
        <w:t xml:space="preserve">DIVISION, </w:t>
      </w:r>
      <w:r w:rsidR="0036664D" w:rsidRPr="006D0C59">
        <w:rPr>
          <w:rFonts w:ascii="Verdana" w:hAnsi="Verdana" w:cs="Arial"/>
          <w:b/>
          <w:lang w:val="en-GB"/>
        </w:rPr>
        <w:t>JOHANNESBURG</w:t>
      </w:r>
    </w:p>
    <w:p w14:paraId="21479878" w14:textId="6F968EB4" w:rsidR="00545AB4" w:rsidRPr="006D0C59" w:rsidRDefault="001567BA" w:rsidP="003D69CB">
      <w:pPr>
        <w:widowControl w:val="0"/>
        <w:spacing w:line="480" w:lineRule="auto"/>
        <w:jc w:val="right"/>
        <w:rPr>
          <w:rFonts w:ascii="Verdana" w:hAnsi="Verdana" w:cs="Arial"/>
          <w:b/>
          <w:lang w:val="en-GB"/>
        </w:rPr>
      </w:pPr>
      <w:r w:rsidRPr="006D0C59">
        <w:rPr>
          <w:rFonts w:ascii="Verdana" w:hAnsi="Verdana"/>
          <w:noProof/>
          <w:lang w:eastAsia="en-ZA"/>
        </w:rPr>
        <mc:AlternateContent>
          <mc:Choice Requires="wps">
            <w:drawing>
              <wp:anchor distT="0" distB="0" distL="114300" distR="114300" simplePos="0" relativeHeight="251659264" behindDoc="0" locked="0" layoutInCell="1" allowOverlap="1" wp14:anchorId="50FE586E" wp14:editId="56ED5847">
                <wp:simplePos x="0" y="0"/>
                <wp:positionH relativeFrom="column">
                  <wp:posOffset>0</wp:posOffset>
                </wp:positionH>
                <wp:positionV relativeFrom="paragraph">
                  <wp:posOffset>397510</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0AC0" w:rsidRDefault="00490AC0" w:rsidP="00386CF6">
                            <w:pPr>
                              <w:jc w:val="center"/>
                              <w:rPr>
                                <w:rFonts w:ascii="Century Gothic" w:hAnsi="Century Gothic"/>
                                <w:b/>
                                <w:sz w:val="20"/>
                                <w:szCs w:val="20"/>
                              </w:rPr>
                            </w:pPr>
                          </w:p>
                          <w:p w14:paraId="3FEDA994" w14:textId="2BE0D6DE" w:rsidR="00490AC0" w:rsidRDefault="00975B3A" w:rsidP="00975B3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6BB22275" w:rsidR="00490AC0" w:rsidRDefault="00975B3A" w:rsidP="00975B3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0397A56E" w:rsidR="00490AC0" w:rsidRDefault="00975B3A" w:rsidP="00975B3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p>
                          <w:p w14:paraId="75E0B5B2" w14:textId="5E539D5C" w:rsidR="00490AC0" w:rsidRDefault="00490AC0" w:rsidP="00650EFA">
                            <w:pPr>
                              <w:spacing w:after="0" w:line="240" w:lineRule="auto"/>
                              <w:ind w:left="180"/>
                              <w:rPr>
                                <w:noProof/>
                                <w:lang w:eastAsia="en-ZA"/>
                              </w:rPr>
                            </w:pPr>
                            <w:r>
                              <w:rPr>
                                <w:rFonts w:ascii="Century Gothic" w:hAnsi="Century Gothic"/>
                                <w:sz w:val="20"/>
                                <w:szCs w:val="20"/>
                              </w:rPr>
                              <w:t xml:space="preserve">DATE: </w:t>
                            </w:r>
                            <w:r w:rsidR="000773FA">
                              <w:rPr>
                                <w:rFonts w:ascii="Century Gothic" w:hAnsi="Century Gothic"/>
                                <w:sz w:val="20"/>
                                <w:szCs w:val="20"/>
                              </w:rPr>
                              <w:t>6</w:t>
                            </w:r>
                            <w:r w:rsidR="00FB5006">
                              <w:rPr>
                                <w:rFonts w:ascii="Century Gothic" w:hAnsi="Century Gothic"/>
                                <w:sz w:val="20"/>
                                <w:szCs w:val="20"/>
                              </w:rPr>
                              <w:t xml:space="preserve"> December</w:t>
                            </w:r>
                            <w:r w:rsidR="00603F5C">
                              <w:rPr>
                                <w:rFonts w:ascii="Century Gothic" w:hAnsi="Century Gothic"/>
                                <w:sz w:val="20"/>
                                <w:szCs w:val="20"/>
                              </w:rPr>
                              <w:t xml:space="preserve"> </w:t>
                            </w:r>
                            <w:r>
                              <w:rPr>
                                <w:rFonts w:ascii="Century Gothic" w:hAnsi="Century Gothic"/>
                                <w:sz w:val="20"/>
                                <w:szCs w:val="20"/>
                              </w:rPr>
                              <w:t>2022</w:t>
                            </w:r>
                          </w:p>
                          <w:p w14:paraId="48C8C211" w14:textId="77777777" w:rsidR="00DD0B05" w:rsidRDefault="00DD0B05" w:rsidP="00650EFA">
                            <w:pPr>
                              <w:spacing w:after="0" w:line="240" w:lineRule="auto"/>
                              <w:ind w:left="180"/>
                              <w:rPr>
                                <w:rFonts w:ascii="Century Gothic" w:hAnsi="Century Gothic"/>
                                <w:sz w:val="20"/>
                                <w:szCs w:val="20"/>
                              </w:rPr>
                            </w:pP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0;margin-top:31.3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">
                <v:textbox>
                  <w:txbxContent>
                    <w:p w14:paraId="7E208079" w14:textId="77777777" w:rsidR="00490AC0" w:rsidRDefault="00490AC0" w:rsidP="00386CF6">
                      <w:pPr>
                        <w:jc w:val="center"/>
                        <w:rPr>
                          <w:rFonts w:ascii="Century Gothic" w:hAnsi="Century Gothic"/>
                          <w:b/>
                          <w:sz w:val="20"/>
                          <w:szCs w:val="20"/>
                        </w:rPr>
                      </w:pPr>
                    </w:p>
                    <w:p w14:paraId="3FEDA994" w14:textId="2BE0D6DE" w:rsidR="00490AC0" w:rsidRDefault="00975B3A" w:rsidP="00975B3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6BB22275" w:rsidR="00490AC0" w:rsidRDefault="00975B3A" w:rsidP="00975B3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0397A56E" w:rsidR="00490AC0" w:rsidRDefault="00975B3A" w:rsidP="00975B3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p>
                    <w:p w14:paraId="75E0B5B2" w14:textId="5E539D5C" w:rsidR="00490AC0" w:rsidRDefault="00490AC0" w:rsidP="00650EFA">
                      <w:pPr>
                        <w:spacing w:after="0" w:line="240" w:lineRule="auto"/>
                        <w:ind w:left="180"/>
                        <w:rPr>
                          <w:noProof/>
                          <w:lang w:eastAsia="en-ZA"/>
                        </w:rPr>
                      </w:pPr>
                      <w:r>
                        <w:rPr>
                          <w:rFonts w:ascii="Century Gothic" w:hAnsi="Century Gothic"/>
                          <w:sz w:val="20"/>
                          <w:szCs w:val="20"/>
                        </w:rPr>
                        <w:t xml:space="preserve">DATE: </w:t>
                      </w:r>
                      <w:r w:rsidR="000773FA">
                        <w:rPr>
                          <w:rFonts w:ascii="Century Gothic" w:hAnsi="Century Gothic"/>
                          <w:sz w:val="20"/>
                          <w:szCs w:val="20"/>
                        </w:rPr>
                        <w:t>6</w:t>
                      </w:r>
                      <w:r w:rsidR="00FB5006">
                        <w:rPr>
                          <w:rFonts w:ascii="Century Gothic" w:hAnsi="Century Gothic"/>
                          <w:sz w:val="20"/>
                          <w:szCs w:val="20"/>
                        </w:rPr>
                        <w:t xml:space="preserve"> December</w:t>
                      </w:r>
                      <w:r w:rsidR="00603F5C">
                        <w:rPr>
                          <w:rFonts w:ascii="Century Gothic" w:hAnsi="Century Gothic"/>
                          <w:sz w:val="20"/>
                          <w:szCs w:val="20"/>
                        </w:rPr>
                        <w:t xml:space="preserve"> </w:t>
                      </w:r>
                      <w:r>
                        <w:rPr>
                          <w:rFonts w:ascii="Century Gothic" w:hAnsi="Century Gothic"/>
                          <w:sz w:val="20"/>
                          <w:szCs w:val="20"/>
                        </w:rPr>
                        <w:t>2022</w:t>
                      </w:r>
                    </w:p>
                    <w:p w14:paraId="48C8C211" w14:textId="77777777" w:rsidR="00DD0B05" w:rsidRDefault="00DD0B05" w:rsidP="00650EFA">
                      <w:pPr>
                        <w:spacing w:after="0" w:line="240" w:lineRule="auto"/>
                        <w:ind w:left="180"/>
                        <w:rPr>
                          <w:rFonts w:ascii="Century Gothic" w:hAnsi="Century Gothic"/>
                          <w:sz w:val="20"/>
                          <w:szCs w:val="20"/>
                        </w:rPr>
                      </w:pP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00545AB4" w:rsidRPr="006D0C59">
        <w:rPr>
          <w:rFonts w:ascii="Verdana" w:hAnsi="Verdana" w:cs="Arial"/>
          <w:b/>
          <w:lang w:val="en-GB"/>
        </w:rPr>
        <w:t>CASE N</w:t>
      </w:r>
      <w:r w:rsidR="000733E2" w:rsidRPr="006D0C59">
        <w:rPr>
          <w:rFonts w:ascii="Verdana" w:hAnsi="Verdana" w:cs="Arial"/>
          <w:b/>
          <w:lang w:val="en-GB"/>
        </w:rPr>
        <w:t>UMBER</w:t>
      </w:r>
      <w:r w:rsidR="00545AB4" w:rsidRPr="006D0C59">
        <w:rPr>
          <w:rFonts w:ascii="Verdana" w:hAnsi="Verdana" w:cs="Arial"/>
          <w:b/>
          <w:lang w:val="en-GB"/>
        </w:rPr>
        <w:t xml:space="preserve">: </w:t>
      </w:r>
      <w:r w:rsidR="0036664D" w:rsidRPr="006D0C59">
        <w:rPr>
          <w:rFonts w:ascii="Verdana" w:hAnsi="Verdana" w:cs="Arial"/>
          <w:b/>
          <w:lang w:val="en-GB"/>
        </w:rPr>
        <w:t xml:space="preserve"> </w:t>
      </w:r>
      <w:r w:rsidR="00603F5C">
        <w:rPr>
          <w:rFonts w:ascii="Verdana" w:hAnsi="Verdana" w:cs="Arial"/>
          <w:b/>
          <w:lang w:val="en-GB"/>
        </w:rPr>
        <w:t>20</w:t>
      </w:r>
      <w:r w:rsidR="00FA1B93">
        <w:rPr>
          <w:rFonts w:ascii="Verdana" w:hAnsi="Verdana" w:cs="Arial"/>
          <w:b/>
          <w:lang w:val="en-GB"/>
        </w:rPr>
        <w:t>2</w:t>
      </w:r>
      <w:r w:rsidR="00BA3AA2">
        <w:rPr>
          <w:rFonts w:ascii="Verdana" w:hAnsi="Verdana" w:cs="Arial"/>
          <w:b/>
          <w:lang w:val="en-GB"/>
        </w:rPr>
        <w:t>1</w:t>
      </w:r>
      <w:r w:rsidR="00603F5C">
        <w:rPr>
          <w:rFonts w:ascii="Verdana" w:hAnsi="Verdana" w:cs="Arial"/>
          <w:b/>
          <w:lang w:val="en-GB"/>
        </w:rPr>
        <w:t>/</w:t>
      </w:r>
      <w:r w:rsidR="00FA1B93">
        <w:rPr>
          <w:rFonts w:ascii="Verdana" w:hAnsi="Verdana" w:cs="Arial"/>
          <w:b/>
          <w:lang w:val="en-GB"/>
        </w:rPr>
        <w:t>38362</w:t>
      </w:r>
    </w:p>
    <w:p w14:paraId="52B0FAC6" w14:textId="6317EDC8" w:rsidR="00386CF6" w:rsidRPr="006D0C59" w:rsidRDefault="00386CF6" w:rsidP="003D69CB">
      <w:pPr>
        <w:widowControl w:val="0"/>
        <w:spacing w:line="480" w:lineRule="auto"/>
        <w:jc w:val="right"/>
        <w:rPr>
          <w:rFonts w:ascii="Verdana" w:hAnsi="Verdana" w:cs="Arial"/>
          <w:b/>
          <w:lang w:val="en-GB"/>
        </w:rPr>
      </w:pPr>
    </w:p>
    <w:p w14:paraId="6A916D32" w14:textId="77777777" w:rsidR="00386CF6" w:rsidRPr="006D0C59" w:rsidRDefault="00386CF6" w:rsidP="003D69CB">
      <w:pPr>
        <w:widowControl w:val="0"/>
        <w:spacing w:line="480" w:lineRule="auto"/>
        <w:jc w:val="center"/>
        <w:rPr>
          <w:rFonts w:ascii="Verdana" w:hAnsi="Verdana" w:cs="Arial"/>
          <w:b/>
          <w:lang w:val="en-GB"/>
        </w:rPr>
      </w:pPr>
    </w:p>
    <w:p w14:paraId="68170D40" w14:textId="77777777" w:rsidR="00386CF6" w:rsidRPr="006D0C59" w:rsidRDefault="00386CF6" w:rsidP="003D69CB">
      <w:pPr>
        <w:widowControl w:val="0"/>
        <w:spacing w:line="480" w:lineRule="auto"/>
        <w:jc w:val="center"/>
        <w:rPr>
          <w:rFonts w:ascii="Verdana" w:hAnsi="Verdana" w:cs="Arial"/>
          <w:b/>
          <w:lang w:val="en-GB"/>
        </w:rPr>
      </w:pPr>
    </w:p>
    <w:p w14:paraId="3A367471" w14:textId="1FA79A5F" w:rsidR="00FF68FE" w:rsidRDefault="00FF68FE" w:rsidP="00CE7685">
      <w:pPr>
        <w:widowControl w:val="0"/>
        <w:spacing w:after="0" w:line="240" w:lineRule="auto"/>
        <w:rPr>
          <w:rFonts w:ascii="Verdana" w:hAnsi="Verdana" w:cs="Arial"/>
          <w:lang w:val="en-GB"/>
        </w:rPr>
      </w:pPr>
    </w:p>
    <w:p w14:paraId="7BD9F5B1" w14:textId="77777777" w:rsidR="005F14E7" w:rsidRPr="006D0C59" w:rsidRDefault="005F14E7" w:rsidP="00CE7685">
      <w:pPr>
        <w:widowControl w:val="0"/>
        <w:spacing w:after="0" w:line="240" w:lineRule="auto"/>
        <w:rPr>
          <w:rFonts w:ascii="Verdana" w:hAnsi="Verdana" w:cs="Arial"/>
          <w:lang w:val="en-GB"/>
        </w:rPr>
      </w:pPr>
    </w:p>
    <w:p w14:paraId="561DD510" w14:textId="77777777" w:rsidR="00386CF6" w:rsidRPr="006D0C59" w:rsidRDefault="00386CF6" w:rsidP="002D2073">
      <w:pPr>
        <w:widowControl w:val="0"/>
        <w:spacing w:after="0" w:line="312" w:lineRule="auto"/>
        <w:rPr>
          <w:rFonts w:ascii="Verdana" w:hAnsi="Verdana" w:cs="Arial"/>
          <w:lang w:val="en-GB"/>
        </w:rPr>
      </w:pPr>
      <w:r w:rsidRPr="006D0C59">
        <w:rPr>
          <w:rFonts w:ascii="Verdana" w:hAnsi="Verdana" w:cs="Arial"/>
          <w:lang w:val="en-GB"/>
        </w:rPr>
        <w:t xml:space="preserve">In the </w:t>
      </w:r>
      <w:r w:rsidR="00545AB4" w:rsidRPr="006D0C59">
        <w:rPr>
          <w:rFonts w:ascii="Verdana" w:hAnsi="Verdana" w:cs="Arial"/>
          <w:lang w:val="en-GB"/>
        </w:rPr>
        <w:t xml:space="preserve">matter </w:t>
      </w:r>
      <w:r w:rsidRPr="006D0C59">
        <w:rPr>
          <w:rFonts w:ascii="Verdana" w:hAnsi="Verdana" w:cs="Arial"/>
          <w:lang w:val="en-GB"/>
        </w:rPr>
        <w:t>between:</w:t>
      </w:r>
      <w:r w:rsidR="003F5965" w:rsidRPr="006D0C59">
        <w:rPr>
          <w:rFonts w:ascii="Verdana" w:hAnsi="Verdana" w:cs="Arial"/>
          <w:lang w:val="en-GB"/>
        </w:rPr>
        <w:t xml:space="preserve"> -</w:t>
      </w:r>
    </w:p>
    <w:p w14:paraId="5183A1A0" w14:textId="77777777" w:rsidR="0036664D" w:rsidRPr="006D0C59" w:rsidRDefault="0036664D" w:rsidP="002D2073">
      <w:pPr>
        <w:widowControl w:val="0"/>
        <w:spacing w:after="0" w:line="312" w:lineRule="auto"/>
        <w:rPr>
          <w:rFonts w:ascii="Verdana" w:hAnsi="Verdana" w:cs="Arial"/>
          <w:lang w:val="en-GB"/>
        </w:rPr>
      </w:pPr>
    </w:p>
    <w:p w14:paraId="41DC56A9" w14:textId="6E9CCCD8" w:rsidR="003F5965" w:rsidRPr="006D0C59" w:rsidRDefault="00FA1B93" w:rsidP="002D2073">
      <w:pPr>
        <w:widowControl w:val="0"/>
        <w:tabs>
          <w:tab w:val="right" w:pos="9026"/>
        </w:tabs>
        <w:spacing w:after="0" w:line="312" w:lineRule="auto"/>
        <w:rPr>
          <w:rFonts w:ascii="Verdana" w:hAnsi="Verdana" w:cs="Arial"/>
          <w:lang w:val="en-GB"/>
        </w:rPr>
      </w:pPr>
      <w:r>
        <w:rPr>
          <w:rFonts w:ascii="Verdana" w:hAnsi="Verdana" w:cs="Arial"/>
          <w:b/>
          <w:lang w:val="en-GB"/>
        </w:rPr>
        <w:t>MMK KHUMALO TRADING &amp; PROJECTS (PTY) LTD</w:t>
      </w:r>
      <w:r w:rsidR="003F5965" w:rsidRPr="006D0C59">
        <w:rPr>
          <w:rFonts w:ascii="Verdana" w:hAnsi="Verdana" w:cs="Arial"/>
          <w:lang w:val="en-GB"/>
        </w:rPr>
        <w:tab/>
      </w:r>
      <w:r>
        <w:rPr>
          <w:rFonts w:ascii="Verdana" w:hAnsi="Verdana" w:cs="Arial"/>
          <w:lang w:val="en-GB"/>
        </w:rPr>
        <w:t>Plaintiff</w:t>
      </w:r>
      <w:r w:rsidR="000B37CB">
        <w:rPr>
          <w:rFonts w:ascii="Verdana" w:hAnsi="Verdana" w:cs="Arial"/>
          <w:lang w:val="en-GB"/>
        </w:rPr>
        <w:t>/Applicant</w:t>
      </w:r>
    </w:p>
    <w:p w14:paraId="32D55830" w14:textId="7AE843A1" w:rsidR="00603F5C" w:rsidRDefault="00FA1B93" w:rsidP="002D2073">
      <w:pPr>
        <w:widowControl w:val="0"/>
        <w:tabs>
          <w:tab w:val="right" w:pos="9026"/>
        </w:tabs>
        <w:spacing w:after="0" w:line="312" w:lineRule="auto"/>
        <w:rPr>
          <w:rFonts w:ascii="Verdana" w:hAnsi="Verdana" w:cs="Arial"/>
          <w:lang w:val="en-GB"/>
        </w:rPr>
      </w:pPr>
      <w:r>
        <w:rPr>
          <w:rFonts w:ascii="Verdana" w:hAnsi="Verdana" w:cs="Arial"/>
          <w:lang w:val="en-GB"/>
        </w:rPr>
        <w:t>(REGISTRATION NUMBER: 2016/272359/07)</w:t>
      </w:r>
    </w:p>
    <w:p w14:paraId="5D0C3DC6" w14:textId="77777777" w:rsidR="00FA1B93" w:rsidRPr="006D0C59" w:rsidRDefault="00FA1B93" w:rsidP="002D2073">
      <w:pPr>
        <w:widowControl w:val="0"/>
        <w:tabs>
          <w:tab w:val="right" w:pos="9026"/>
        </w:tabs>
        <w:spacing w:after="0" w:line="312" w:lineRule="auto"/>
        <w:rPr>
          <w:rFonts w:ascii="Verdana" w:hAnsi="Verdana" w:cs="Arial"/>
          <w:lang w:val="en-GB"/>
        </w:rPr>
      </w:pPr>
    </w:p>
    <w:p w14:paraId="08F897D7" w14:textId="36DD9BC8" w:rsidR="003F5965" w:rsidRPr="006D0C59" w:rsidRDefault="003F5965" w:rsidP="002D2073">
      <w:pPr>
        <w:widowControl w:val="0"/>
        <w:tabs>
          <w:tab w:val="right" w:pos="9026"/>
        </w:tabs>
        <w:spacing w:after="0" w:line="312" w:lineRule="auto"/>
        <w:rPr>
          <w:rFonts w:ascii="Verdana" w:hAnsi="Verdana" w:cs="Arial"/>
          <w:lang w:val="en-GB"/>
        </w:rPr>
      </w:pPr>
      <w:r w:rsidRPr="006D0C59">
        <w:rPr>
          <w:rFonts w:ascii="Verdana" w:hAnsi="Verdana" w:cs="Arial"/>
          <w:lang w:val="en-GB"/>
        </w:rPr>
        <w:t>and</w:t>
      </w:r>
    </w:p>
    <w:p w14:paraId="43E5B965" w14:textId="66F32A2A" w:rsidR="0036664D" w:rsidRPr="006D0C59" w:rsidRDefault="0036664D" w:rsidP="002D2073">
      <w:pPr>
        <w:widowControl w:val="0"/>
        <w:tabs>
          <w:tab w:val="right" w:pos="9026"/>
        </w:tabs>
        <w:spacing w:after="0" w:line="312" w:lineRule="auto"/>
        <w:rPr>
          <w:rFonts w:ascii="Verdana" w:hAnsi="Verdana" w:cs="Arial"/>
          <w:b/>
          <w:lang w:val="en-GB"/>
        </w:rPr>
      </w:pPr>
    </w:p>
    <w:p w14:paraId="5F062A8F" w14:textId="7426FD6A" w:rsidR="003F5965" w:rsidRDefault="00FA1B93" w:rsidP="00FA1B93">
      <w:pPr>
        <w:widowControl w:val="0"/>
        <w:tabs>
          <w:tab w:val="right" w:pos="9026"/>
        </w:tabs>
        <w:spacing w:after="0" w:line="312" w:lineRule="auto"/>
        <w:rPr>
          <w:rFonts w:ascii="Verdana" w:hAnsi="Verdana" w:cs="Arial"/>
          <w:lang w:val="en-GB"/>
        </w:rPr>
      </w:pPr>
      <w:r>
        <w:rPr>
          <w:rFonts w:ascii="Verdana" w:hAnsi="Verdana" w:cs="Arial"/>
          <w:b/>
          <w:lang w:val="en-GB"/>
        </w:rPr>
        <w:t>MAOPENG ELECTRICAL (PTY) LTD</w:t>
      </w:r>
      <w:r w:rsidR="003F5965" w:rsidRPr="006D0C59">
        <w:rPr>
          <w:rFonts w:ascii="Verdana" w:hAnsi="Verdana" w:cs="Arial"/>
          <w:b/>
          <w:lang w:val="en-GB"/>
        </w:rPr>
        <w:tab/>
      </w:r>
      <w:r>
        <w:rPr>
          <w:rFonts w:ascii="Verdana" w:hAnsi="Verdana" w:cs="Arial"/>
          <w:lang w:val="en-GB"/>
        </w:rPr>
        <w:t>Defendant</w:t>
      </w:r>
      <w:r w:rsidR="000B37CB">
        <w:rPr>
          <w:rFonts w:ascii="Verdana" w:hAnsi="Verdana" w:cs="Arial"/>
          <w:lang w:val="en-GB"/>
        </w:rPr>
        <w:t>/Respondent</w:t>
      </w:r>
    </w:p>
    <w:p w14:paraId="2B6C0B69" w14:textId="09710533" w:rsidR="00BA2550" w:rsidRPr="00FA1B93" w:rsidRDefault="00FA1B93" w:rsidP="00FA1B93">
      <w:pPr>
        <w:widowControl w:val="0"/>
        <w:tabs>
          <w:tab w:val="right" w:pos="9026"/>
        </w:tabs>
        <w:spacing w:after="0" w:line="312" w:lineRule="auto"/>
        <w:rPr>
          <w:rFonts w:ascii="Verdana" w:hAnsi="Verdana" w:cs="Arial"/>
          <w:lang w:val="en-GB"/>
        </w:rPr>
      </w:pPr>
      <w:r>
        <w:rPr>
          <w:rFonts w:ascii="Verdana" w:hAnsi="Verdana" w:cs="Arial"/>
          <w:lang w:val="en-GB"/>
        </w:rPr>
        <w:t>(REGISTRATION NUMBER: 2012/106264/07)</w:t>
      </w:r>
    </w:p>
    <w:p w14:paraId="4B2AB4B4" w14:textId="127BCA9C" w:rsidR="00BA3AA2" w:rsidRDefault="00BA3AA2" w:rsidP="003D69CB">
      <w:pPr>
        <w:widowControl w:val="0"/>
        <w:tabs>
          <w:tab w:val="right" w:pos="9026"/>
        </w:tabs>
        <w:spacing w:after="0" w:line="360" w:lineRule="auto"/>
        <w:rPr>
          <w:rFonts w:ascii="Verdana" w:hAnsi="Verdana" w:cs="Arial"/>
          <w:lang w:val="en-GB"/>
        </w:rPr>
      </w:pPr>
    </w:p>
    <w:p w14:paraId="32188F40" w14:textId="77777777" w:rsidR="00BA3AA2" w:rsidRPr="006D0C59" w:rsidRDefault="00BA3AA2" w:rsidP="003D69CB">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6D0C59" w14:paraId="20EB356B" w14:textId="77777777" w:rsidTr="00AE6AE3">
        <w:tc>
          <w:tcPr>
            <w:tcW w:w="9242" w:type="dxa"/>
          </w:tcPr>
          <w:p w14:paraId="4CD84C12" w14:textId="4C5666F6" w:rsidR="00AE6AE3" w:rsidRPr="006D0C59" w:rsidRDefault="00AE6AE3" w:rsidP="003D69CB">
            <w:pPr>
              <w:widowControl w:val="0"/>
              <w:spacing w:before="360" w:after="120" w:line="480" w:lineRule="auto"/>
              <w:jc w:val="center"/>
              <w:rPr>
                <w:rFonts w:ascii="Verdana" w:hAnsi="Verdana" w:cs="Arial"/>
                <w:b/>
                <w:sz w:val="24"/>
                <w:szCs w:val="24"/>
                <w:lang w:val="en-GB"/>
              </w:rPr>
            </w:pPr>
            <w:r w:rsidRPr="006D0C59">
              <w:rPr>
                <w:rFonts w:ascii="Verdana" w:hAnsi="Verdana" w:cs="Arial"/>
                <w:b/>
                <w:sz w:val="24"/>
                <w:szCs w:val="24"/>
                <w:lang w:val="en-GB"/>
              </w:rPr>
              <w:t>J</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U</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D</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G</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M</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E</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N</w:t>
            </w:r>
            <w:r w:rsidR="008F1271" w:rsidRPr="006D0C59">
              <w:rPr>
                <w:rFonts w:ascii="Verdana" w:hAnsi="Verdana" w:cs="Arial"/>
                <w:b/>
                <w:sz w:val="24"/>
                <w:szCs w:val="24"/>
                <w:lang w:val="en-GB"/>
              </w:rPr>
              <w:t xml:space="preserve"> </w:t>
            </w:r>
            <w:r w:rsidRPr="006D0C59">
              <w:rPr>
                <w:rFonts w:ascii="Verdana" w:hAnsi="Verdana" w:cs="Arial"/>
                <w:b/>
                <w:sz w:val="24"/>
                <w:szCs w:val="24"/>
                <w:lang w:val="en-GB"/>
              </w:rPr>
              <w:t>T</w:t>
            </w:r>
          </w:p>
        </w:tc>
      </w:tr>
    </w:tbl>
    <w:p w14:paraId="776B82AA" w14:textId="107FAA42" w:rsidR="00E4432D" w:rsidRPr="006D0C59" w:rsidRDefault="00E4432D" w:rsidP="00FA1B93">
      <w:pPr>
        <w:widowControl w:val="0"/>
        <w:spacing w:before="480" w:after="240" w:line="360" w:lineRule="auto"/>
        <w:jc w:val="both"/>
        <w:rPr>
          <w:rFonts w:ascii="Verdana" w:hAnsi="Verdana" w:cs="Arial"/>
          <w:b/>
          <w:bCs/>
          <w:lang w:val="en-GB"/>
        </w:rPr>
      </w:pPr>
      <w:r w:rsidRPr="006D0C59">
        <w:rPr>
          <w:rFonts w:ascii="Verdana" w:hAnsi="Verdana" w:cs="Arial"/>
          <w:b/>
          <w:bCs/>
          <w:u w:val="single"/>
          <w:lang w:val="en-GB"/>
        </w:rPr>
        <w:t>DELIVERED</w:t>
      </w:r>
      <w:r w:rsidRPr="006D0C59">
        <w:rPr>
          <w:rFonts w:ascii="Verdana" w:hAnsi="Verdana" w:cs="Arial"/>
          <w:b/>
          <w:bCs/>
          <w:lang w:val="en-GB"/>
        </w:rPr>
        <w:t xml:space="preserve">: </w:t>
      </w:r>
      <w:r w:rsidR="001356F3" w:rsidRPr="006D0C59">
        <w:rPr>
          <w:rFonts w:ascii="Verdana" w:hAnsi="Verdana" w:cs="Arial"/>
          <w:b/>
          <w:bCs/>
          <w:lang w:val="en-GB"/>
        </w:rPr>
        <w:t xml:space="preserve"> </w:t>
      </w:r>
      <w:r w:rsidRPr="006D0C59">
        <w:rPr>
          <w:rFonts w:ascii="Verdana" w:hAnsi="Verdana"/>
          <w:lang w:val="en-GB"/>
        </w:rPr>
        <w:t>This judgment was handed down electronically by circulation to the parties’ legal representatives by e</w:t>
      </w:r>
      <w:r w:rsidR="001356F3" w:rsidRPr="006D0C59">
        <w:rPr>
          <w:rFonts w:ascii="Verdana" w:hAnsi="Verdana"/>
          <w:lang w:val="en-GB"/>
        </w:rPr>
        <w:noBreakHyphen/>
      </w:r>
      <w:r w:rsidRPr="006D0C59">
        <w:rPr>
          <w:rFonts w:ascii="Verdana" w:hAnsi="Verdana"/>
          <w:lang w:val="en-GB"/>
        </w:rPr>
        <w:t xml:space="preserve">mail and publication on </w:t>
      </w:r>
      <w:proofErr w:type="spellStart"/>
      <w:r w:rsidRPr="006D0C59">
        <w:rPr>
          <w:rFonts w:ascii="Verdana" w:hAnsi="Verdana"/>
          <w:lang w:val="en-GB"/>
        </w:rPr>
        <w:t>CaseLines</w:t>
      </w:r>
      <w:proofErr w:type="spellEnd"/>
      <w:r w:rsidRPr="006D0C59">
        <w:rPr>
          <w:rFonts w:ascii="Verdana" w:hAnsi="Verdana"/>
          <w:lang w:val="en-GB"/>
        </w:rPr>
        <w:t xml:space="preserve">. </w:t>
      </w:r>
      <w:r w:rsidR="001356F3" w:rsidRPr="006D0C59">
        <w:rPr>
          <w:rFonts w:ascii="Verdana" w:hAnsi="Verdana"/>
          <w:lang w:val="en-GB"/>
        </w:rPr>
        <w:t xml:space="preserve"> </w:t>
      </w:r>
      <w:r w:rsidRPr="006D0C59">
        <w:rPr>
          <w:rFonts w:ascii="Verdana" w:hAnsi="Verdana"/>
          <w:lang w:val="en-GB"/>
        </w:rPr>
        <w:t xml:space="preserve">The date and time for hand-down is deemed to be </w:t>
      </w:r>
      <w:r w:rsidR="0000665E">
        <w:rPr>
          <w:rFonts w:ascii="Verdana" w:hAnsi="Verdana"/>
          <w:lang w:val="en-GB"/>
        </w:rPr>
        <w:t xml:space="preserve">10h00 </w:t>
      </w:r>
      <w:r w:rsidRPr="006D0C59">
        <w:rPr>
          <w:rFonts w:ascii="Verdana" w:hAnsi="Verdana"/>
          <w:lang w:val="en-GB"/>
        </w:rPr>
        <w:t>on</w:t>
      </w:r>
      <w:r w:rsidR="000773FA">
        <w:rPr>
          <w:rFonts w:ascii="Verdana" w:hAnsi="Verdana"/>
          <w:lang w:val="en-GB"/>
        </w:rPr>
        <w:t xml:space="preserve"> 6 December </w:t>
      </w:r>
      <w:r w:rsidRPr="006D0C59">
        <w:rPr>
          <w:rFonts w:ascii="Verdana" w:hAnsi="Verdana"/>
          <w:lang w:val="en-GB"/>
        </w:rPr>
        <w:t>202</w:t>
      </w:r>
      <w:r w:rsidR="001567BA">
        <w:rPr>
          <w:rFonts w:ascii="Verdana" w:hAnsi="Verdana"/>
          <w:lang w:val="en-GB"/>
        </w:rPr>
        <w:t>2</w:t>
      </w:r>
      <w:r w:rsidR="00335840" w:rsidRPr="006D0C59">
        <w:rPr>
          <w:rFonts w:ascii="Verdana" w:hAnsi="Verdana"/>
          <w:lang w:val="en-GB"/>
        </w:rPr>
        <w:t>.</w:t>
      </w:r>
    </w:p>
    <w:p w14:paraId="4481D702" w14:textId="3C5D9D8D" w:rsidR="00386CF6" w:rsidRPr="006D0C59" w:rsidRDefault="00CC79D8" w:rsidP="003D69CB">
      <w:pPr>
        <w:keepNext/>
        <w:widowControl w:val="0"/>
        <w:spacing w:after="320" w:line="432" w:lineRule="auto"/>
        <w:rPr>
          <w:rFonts w:ascii="Verdana" w:hAnsi="Verdana" w:cs="Arial"/>
          <w:u w:val="single"/>
          <w:lang w:val="en-GB"/>
        </w:rPr>
      </w:pPr>
      <w:r w:rsidRPr="006D0C59">
        <w:rPr>
          <w:rFonts w:ascii="Verdana" w:hAnsi="Verdana" w:cs="Arial"/>
          <w:u w:val="single"/>
          <w:lang w:val="en-GB"/>
        </w:rPr>
        <w:lastRenderedPageBreak/>
        <w:t xml:space="preserve">F. </w:t>
      </w:r>
      <w:r w:rsidR="00F46B89" w:rsidRPr="006D0C59">
        <w:rPr>
          <w:rFonts w:ascii="Verdana" w:hAnsi="Verdana" w:cs="Arial"/>
          <w:u w:val="single"/>
          <w:lang w:val="en-GB"/>
        </w:rPr>
        <w:t xml:space="preserve">BEZUIDENHOUT </w:t>
      </w:r>
      <w:r w:rsidR="00225130" w:rsidRPr="006D0C59">
        <w:rPr>
          <w:rFonts w:ascii="Verdana" w:hAnsi="Verdana" w:cs="Arial"/>
          <w:u w:val="single"/>
          <w:lang w:val="en-GB"/>
        </w:rPr>
        <w:t>AJ:</w:t>
      </w:r>
    </w:p>
    <w:p w14:paraId="57C37267" w14:textId="694A7ED3" w:rsidR="008F1271" w:rsidRPr="006D0C59" w:rsidRDefault="00ED7EA1" w:rsidP="003D69CB">
      <w:pPr>
        <w:pStyle w:val="Indent"/>
        <w:keepNext/>
        <w:widowControl w:val="0"/>
        <w:numPr>
          <w:ilvl w:val="0"/>
          <w:numId w:val="0"/>
        </w:numPr>
        <w:spacing w:after="320" w:line="432" w:lineRule="auto"/>
        <w:jc w:val="both"/>
        <w:rPr>
          <w:rFonts w:ascii="Verdana" w:hAnsi="Verdana" w:cs="Arial"/>
          <w:b/>
          <w:sz w:val="22"/>
          <w:szCs w:val="22"/>
          <w:lang w:val="en-GB"/>
        </w:rPr>
      </w:pPr>
      <w:r>
        <w:rPr>
          <w:rFonts w:ascii="Verdana" w:hAnsi="Verdana" w:cs="Arial"/>
          <w:b/>
          <w:sz w:val="22"/>
          <w:szCs w:val="22"/>
          <w:lang w:val="en-GB"/>
        </w:rPr>
        <w:t>THE APPLICATION</w:t>
      </w:r>
    </w:p>
    <w:p w14:paraId="4A3BD44D" w14:textId="1DB35384" w:rsidR="00603F5C"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w:t>
      </w:r>
      <w:r>
        <w:rPr>
          <w:rFonts w:ascii="Verdana" w:hAnsi="Verdana" w:cs="Arial"/>
          <w:sz w:val="22"/>
          <w:szCs w:val="22"/>
          <w:lang w:val="en-GB"/>
        </w:rPr>
        <w:tab/>
      </w:r>
      <w:r w:rsidR="00ED7EA1">
        <w:rPr>
          <w:rFonts w:ascii="Verdana" w:hAnsi="Verdana" w:cs="Arial"/>
          <w:sz w:val="22"/>
          <w:szCs w:val="22"/>
          <w:lang w:val="en-GB"/>
        </w:rPr>
        <w:t>This is an application for summary judgment where the applicant</w:t>
      </w:r>
      <w:r w:rsidR="000B37CB">
        <w:rPr>
          <w:rFonts w:ascii="Verdana" w:hAnsi="Verdana" w:cs="Arial"/>
          <w:sz w:val="22"/>
          <w:szCs w:val="22"/>
          <w:lang w:val="en-GB"/>
        </w:rPr>
        <w:t xml:space="preserve"> (plaintiff)</w:t>
      </w:r>
      <w:r w:rsidR="00ED7EA1">
        <w:rPr>
          <w:rFonts w:ascii="Verdana" w:hAnsi="Verdana" w:cs="Arial"/>
          <w:sz w:val="22"/>
          <w:szCs w:val="22"/>
          <w:lang w:val="en-GB"/>
        </w:rPr>
        <w:t xml:space="preserve"> seeks judgment against the respondent</w:t>
      </w:r>
      <w:r w:rsidR="000B37CB">
        <w:rPr>
          <w:rFonts w:ascii="Verdana" w:hAnsi="Verdana" w:cs="Arial"/>
          <w:sz w:val="22"/>
          <w:szCs w:val="22"/>
          <w:lang w:val="en-GB"/>
        </w:rPr>
        <w:t xml:space="preserve"> (defendant)</w:t>
      </w:r>
      <w:r w:rsidR="00ED7EA1">
        <w:rPr>
          <w:rFonts w:ascii="Verdana" w:hAnsi="Verdana" w:cs="Arial"/>
          <w:sz w:val="22"/>
          <w:szCs w:val="22"/>
          <w:lang w:val="en-GB"/>
        </w:rPr>
        <w:t xml:space="preserve"> </w:t>
      </w:r>
      <w:r w:rsidR="00E8422F">
        <w:rPr>
          <w:rFonts w:ascii="Verdana" w:hAnsi="Verdana" w:cs="Arial"/>
          <w:sz w:val="22"/>
          <w:szCs w:val="22"/>
          <w:lang w:val="en-GB"/>
        </w:rPr>
        <w:t>for payment of the amount of R973 356.92, together with interest and costs.</w:t>
      </w:r>
    </w:p>
    <w:p w14:paraId="25406402" w14:textId="6BF128B3" w:rsidR="00E8422F"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w:t>
      </w:r>
      <w:r>
        <w:rPr>
          <w:rFonts w:ascii="Verdana" w:hAnsi="Verdana" w:cs="Arial"/>
          <w:sz w:val="22"/>
          <w:szCs w:val="22"/>
          <w:lang w:val="en-GB"/>
        </w:rPr>
        <w:tab/>
      </w:r>
      <w:r w:rsidR="00E8422F">
        <w:rPr>
          <w:rFonts w:ascii="Verdana" w:hAnsi="Verdana" w:cs="Arial"/>
          <w:sz w:val="22"/>
          <w:szCs w:val="22"/>
          <w:lang w:val="en-GB"/>
        </w:rPr>
        <w:t xml:space="preserve">The respondent, although it served its answering affidavit resisting summary judgment, failed to file its affidavit. Condonation for its failure was granted. </w:t>
      </w:r>
    </w:p>
    <w:p w14:paraId="046675BC" w14:textId="1E2B0347" w:rsidR="00E8422F" w:rsidRPr="00E8422F" w:rsidRDefault="00E8422F" w:rsidP="00E8422F">
      <w:pPr>
        <w:pStyle w:val="Indent"/>
        <w:keepNex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PLEADINGS</w:t>
      </w:r>
    </w:p>
    <w:p w14:paraId="0BDAECAC" w14:textId="4CCCE81B" w:rsidR="00E8422F"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w:t>
      </w:r>
      <w:r>
        <w:rPr>
          <w:rFonts w:ascii="Verdana" w:hAnsi="Verdana" w:cs="Arial"/>
          <w:sz w:val="22"/>
          <w:szCs w:val="22"/>
          <w:lang w:val="en-GB"/>
        </w:rPr>
        <w:tab/>
      </w:r>
      <w:r w:rsidR="00E8422F">
        <w:rPr>
          <w:rFonts w:ascii="Verdana" w:hAnsi="Verdana" w:cs="Arial"/>
          <w:sz w:val="22"/>
          <w:szCs w:val="22"/>
          <w:lang w:val="en-GB"/>
        </w:rPr>
        <w:t>The applicant instituted an action against the defendant on the 26</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August 2021. On the 7</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September 2021 the respondent entered an appearance to defend the action. </w:t>
      </w:r>
      <w:r w:rsidR="00E8422F" w:rsidRPr="00E8422F">
        <w:rPr>
          <w:rFonts w:ascii="Verdana" w:hAnsi="Verdana" w:cs="Arial"/>
          <w:sz w:val="22"/>
          <w:szCs w:val="22"/>
          <w:lang w:val="en-GB"/>
        </w:rPr>
        <w:t>On the 21</w:t>
      </w:r>
      <w:r w:rsidR="00E8422F" w:rsidRPr="00E8422F">
        <w:rPr>
          <w:rFonts w:ascii="Verdana" w:hAnsi="Verdana" w:cs="Arial"/>
          <w:sz w:val="22"/>
          <w:szCs w:val="22"/>
          <w:vertAlign w:val="superscript"/>
          <w:lang w:val="en-GB"/>
        </w:rPr>
        <w:t>st</w:t>
      </w:r>
      <w:r w:rsidR="00E8422F" w:rsidRPr="00E8422F">
        <w:rPr>
          <w:rFonts w:ascii="Verdana" w:hAnsi="Verdana" w:cs="Arial"/>
          <w:sz w:val="22"/>
          <w:szCs w:val="22"/>
          <w:lang w:val="en-GB"/>
        </w:rPr>
        <w:t xml:space="preserve"> of September 2021 the respondent filed a notice to remove cause of complaint in terms of rule 23(1). A notice of exception was filed</w:t>
      </w:r>
      <w:r w:rsidR="00E8422F">
        <w:rPr>
          <w:rFonts w:ascii="Verdana" w:hAnsi="Verdana" w:cs="Arial"/>
          <w:sz w:val="22"/>
          <w:szCs w:val="22"/>
          <w:lang w:val="en-GB"/>
        </w:rPr>
        <w:t xml:space="preserve"> on the 18</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October 2021. </w:t>
      </w:r>
    </w:p>
    <w:p w14:paraId="55C18C00" w14:textId="66EDD338" w:rsidR="00E8422F"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[4]</w:t>
      </w:r>
      <w:r>
        <w:rPr>
          <w:rFonts w:ascii="Verdana" w:hAnsi="Verdana" w:cs="Arial"/>
          <w:sz w:val="22"/>
          <w:szCs w:val="22"/>
          <w:lang w:val="en-GB"/>
        </w:rPr>
        <w:tab/>
      </w:r>
      <w:r w:rsidR="00E8422F">
        <w:rPr>
          <w:rFonts w:ascii="Verdana" w:hAnsi="Verdana" w:cs="Arial"/>
          <w:sz w:val="22"/>
          <w:szCs w:val="22"/>
          <w:lang w:val="en-GB"/>
        </w:rPr>
        <w:t>Following the exception, the applicant filed a notice of intention to amend its particulars of claim on the 18</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October 2021. The respondent filed a notice of objection to the proposed amendment. The respondent repeated a complaint that the proposed amendment would render the particulars of claim </w:t>
      </w:r>
      <w:proofErr w:type="spellStart"/>
      <w:r w:rsidR="00E8422F">
        <w:rPr>
          <w:rFonts w:ascii="Verdana" w:hAnsi="Verdana" w:cs="Arial"/>
          <w:sz w:val="22"/>
          <w:szCs w:val="22"/>
          <w:lang w:val="en-GB"/>
        </w:rPr>
        <w:t>excipiable</w:t>
      </w:r>
      <w:proofErr w:type="spellEnd"/>
      <w:r w:rsidR="00E8422F">
        <w:rPr>
          <w:rFonts w:ascii="Verdana" w:hAnsi="Verdana" w:cs="Arial"/>
          <w:sz w:val="22"/>
          <w:szCs w:val="22"/>
          <w:lang w:val="en-GB"/>
        </w:rPr>
        <w:t xml:space="preserve">. </w:t>
      </w:r>
    </w:p>
    <w:p w14:paraId="2143669E" w14:textId="4B17B0FE" w:rsidR="00E8422F"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[5]</w:t>
      </w:r>
      <w:r>
        <w:rPr>
          <w:rFonts w:ascii="Verdana" w:hAnsi="Verdana" w:cs="Arial"/>
          <w:sz w:val="22"/>
          <w:szCs w:val="22"/>
          <w:lang w:val="en-GB"/>
        </w:rPr>
        <w:tab/>
      </w:r>
      <w:r w:rsidR="00E8422F">
        <w:rPr>
          <w:rFonts w:ascii="Verdana" w:hAnsi="Verdana" w:cs="Arial"/>
          <w:sz w:val="22"/>
          <w:szCs w:val="22"/>
          <w:lang w:val="en-GB"/>
        </w:rPr>
        <w:t>On the 13</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November 2021, the applicant filed a notice in terms of rule 30 on the basis that the respondent’s</w:t>
      </w:r>
      <w:r w:rsidR="000E7F9D">
        <w:rPr>
          <w:rFonts w:ascii="Verdana" w:hAnsi="Verdana" w:cs="Arial"/>
          <w:sz w:val="22"/>
          <w:szCs w:val="22"/>
          <w:lang w:val="en-GB"/>
        </w:rPr>
        <w:t xml:space="preserve"> notice</w:t>
      </w:r>
      <w:r w:rsidR="00E8422F">
        <w:rPr>
          <w:rFonts w:ascii="Verdana" w:hAnsi="Verdana" w:cs="Arial"/>
          <w:sz w:val="22"/>
          <w:szCs w:val="22"/>
          <w:lang w:val="en-GB"/>
        </w:rPr>
        <w:t xml:space="preserve"> of objection was served out of time. The rule 30 process was not pursued any further. </w:t>
      </w:r>
    </w:p>
    <w:p w14:paraId="19E06A49" w14:textId="6A2C9331" w:rsidR="00E8422F"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lastRenderedPageBreak/>
        <w:t>[6]</w:t>
      </w:r>
      <w:r>
        <w:rPr>
          <w:rFonts w:ascii="Verdana" w:hAnsi="Verdana" w:cs="Arial"/>
          <w:sz w:val="22"/>
          <w:szCs w:val="22"/>
          <w:lang w:val="en-GB"/>
        </w:rPr>
        <w:tab/>
      </w:r>
      <w:r w:rsidR="00E8422F">
        <w:rPr>
          <w:rFonts w:ascii="Verdana" w:hAnsi="Verdana" w:cs="Arial"/>
          <w:sz w:val="22"/>
          <w:szCs w:val="22"/>
          <w:lang w:val="en-GB"/>
        </w:rPr>
        <w:t>On the 12</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December 2021 the applicant filed a second proposed amendment to its particulars of claim. No objection was made and as a consequence, the amendment was </w:t>
      </w:r>
      <w:proofErr w:type="gramStart"/>
      <w:r w:rsidR="00E8422F">
        <w:rPr>
          <w:rFonts w:ascii="Verdana" w:hAnsi="Verdana" w:cs="Arial"/>
          <w:sz w:val="22"/>
          <w:szCs w:val="22"/>
          <w:lang w:val="en-GB"/>
        </w:rPr>
        <w:t>effected</w:t>
      </w:r>
      <w:proofErr w:type="gramEnd"/>
      <w:r w:rsidR="00E8422F">
        <w:rPr>
          <w:rFonts w:ascii="Verdana" w:hAnsi="Verdana" w:cs="Arial"/>
          <w:sz w:val="22"/>
          <w:szCs w:val="22"/>
          <w:lang w:val="en-GB"/>
        </w:rPr>
        <w:t xml:space="preserve"> on the 27</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January 2022. </w:t>
      </w:r>
    </w:p>
    <w:p w14:paraId="7A24533B" w14:textId="4F938A47" w:rsidR="00E8422F"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[7]</w:t>
      </w:r>
      <w:r>
        <w:rPr>
          <w:rFonts w:ascii="Verdana" w:hAnsi="Verdana" w:cs="Arial"/>
          <w:sz w:val="22"/>
          <w:szCs w:val="22"/>
          <w:lang w:val="en-GB"/>
        </w:rPr>
        <w:tab/>
      </w:r>
      <w:r w:rsidR="00E8422F">
        <w:rPr>
          <w:rFonts w:ascii="Verdana" w:hAnsi="Verdana" w:cs="Arial"/>
          <w:sz w:val="22"/>
          <w:szCs w:val="22"/>
          <w:lang w:val="en-GB"/>
        </w:rPr>
        <w:t>On the 28</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February 2022, the respondent filed its plea. The application for summary judgment was brought on the 22</w:t>
      </w:r>
      <w:r w:rsidR="00E8422F" w:rsidRPr="00E8422F">
        <w:rPr>
          <w:rFonts w:ascii="Verdana" w:hAnsi="Verdana" w:cs="Arial"/>
          <w:sz w:val="22"/>
          <w:szCs w:val="22"/>
          <w:vertAlign w:val="superscript"/>
          <w:lang w:val="en-GB"/>
        </w:rPr>
        <w:t>nd</w:t>
      </w:r>
      <w:r w:rsidR="00E8422F">
        <w:rPr>
          <w:rFonts w:ascii="Verdana" w:hAnsi="Verdana" w:cs="Arial"/>
          <w:sz w:val="22"/>
          <w:szCs w:val="22"/>
          <w:lang w:val="en-GB"/>
        </w:rPr>
        <w:t xml:space="preserve"> of March 2022. </w:t>
      </w:r>
    </w:p>
    <w:p w14:paraId="023E1E85" w14:textId="7626F50A" w:rsidR="00E8422F"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[8]</w:t>
      </w:r>
      <w:r>
        <w:rPr>
          <w:rFonts w:ascii="Verdana" w:hAnsi="Verdana" w:cs="Arial"/>
          <w:sz w:val="22"/>
          <w:szCs w:val="22"/>
          <w:lang w:val="en-GB"/>
        </w:rPr>
        <w:tab/>
      </w:r>
      <w:r w:rsidR="00E8422F">
        <w:rPr>
          <w:rFonts w:ascii="Verdana" w:hAnsi="Verdana" w:cs="Arial"/>
          <w:sz w:val="22"/>
          <w:szCs w:val="22"/>
          <w:lang w:val="en-GB"/>
        </w:rPr>
        <w:t>The respondent’s attorneys of record withdrew on the 9</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May 2022. The respondent failed to file an affidavit resisting the summary judgment and as a result, the application for enrolled for hearing on the unopposed </w:t>
      </w:r>
      <w:proofErr w:type="gramStart"/>
      <w:r w:rsidR="00E8422F">
        <w:rPr>
          <w:rFonts w:ascii="Verdana" w:hAnsi="Verdana" w:cs="Arial"/>
          <w:sz w:val="22"/>
          <w:szCs w:val="22"/>
          <w:lang w:val="en-GB"/>
        </w:rPr>
        <w:t>roll on</w:t>
      </w:r>
      <w:proofErr w:type="gramEnd"/>
      <w:r w:rsidR="00E8422F">
        <w:rPr>
          <w:rFonts w:ascii="Verdana" w:hAnsi="Verdana" w:cs="Arial"/>
          <w:sz w:val="22"/>
          <w:szCs w:val="22"/>
          <w:lang w:val="en-GB"/>
        </w:rPr>
        <w:t xml:space="preserve"> the 8</w:t>
      </w:r>
      <w:r w:rsidR="00E8422F" w:rsidRPr="00E8422F">
        <w:rPr>
          <w:rFonts w:ascii="Verdana" w:hAnsi="Verdana" w:cs="Arial"/>
          <w:sz w:val="22"/>
          <w:szCs w:val="22"/>
          <w:vertAlign w:val="superscript"/>
          <w:lang w:val="en-GB"/>
        </w:rPr>
        <w:t>th</w:t>
      </w:r>
      <w:r w:rsidR="00E8422F">
        <w:rPr>
          <w:rFonts w:ascii="Verdana" w:hAnsi="Verdana" w:cs="Arial"/>
          <w:sz w:val="22"/>
          <w:szCs w:val="22"/>
          <w:lang w:val="en-GB"/>
        </w:rPr>
        <w:t xml:space="preserve"> of September 2022. However, the application was removed from the unopposed roll </w:t>
      </w:r>
      <w:r w:rsidR="007A477C">
        <w:rPr>
          <w:rFonts w:ascii="Verdana" w:hAnsi="Verdana" w:cs="Arial"/>
          <w:sz w:val="22"/>
          <w:szCs w:val="22"/>
          <w:lang w:val="en-GB"/>
        </w:rPr>
        <w:t>once</w:t>
      </w:r>
      <w:r w:rsidR="00E8422F">
        <w:rPr>
          <w:rFonts w:ascii="Verdana" w:hAnsi="Verdana" w:cs="Arial"/>
          <w:sz w:val="22"/>
          <w:szCs w:val="22"/>
          <w:lang w:val="en-GB"/>
        </w:rPr>
        <w:t xml:space="preserve"> new attorneys were appointed for the respondent and the application for summary judgment became opposed. </w:t>
      </w:r>
    </w:p>
    <w:p w14:paraId="3075A0BF" w14:textId="56264D4F" w:rsidR="00E8422F" w:rsidRPr="00E8422F" w:rsidRDefault="00E8422F" w:rsidP="00E8422F">
      <w:pPr>
        <w:pStyle w:val="Indent"/>
        <w:keepNex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THE APPLICANT’S CASE</w:t>
      </w:r>
    </w:p>
    <w:p w14:paraId="3D55893C" w14:textId="45AC1824" w:rsidR="00ED7EA1"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[9]</w:t>
      </w:r>
      <w:r>
        <w:rPr>
          <w:rFonts w:ascii="Verdana" w:hAnsi="Verdana" w:cs="Arial"/>
          <w:sz w:val="22"/>
          <w:szCs w:val="22"/>
          <w:lang w:val="en-GB"/>
        </w:rPr>
        <w:tab/>
      </w:r>
      <w:r w:rsidR="00740B30">
        <w:rPr>
          <w:rFonts w:ascii="Verdana" w:hAnsi="Verdana" w:cs="Arial"/>
          <w:sz w:val="22"/>
          <w:szCs w:val="22"/>
          <w:lang w:val="en-GB"/>
        </w:rPr>
        <w:t xml:space="preserve">The applicant’s cause of action is founded on an oral subcontract agreement concluded between the applicant and the respondent. The respondent secured a tender project with City Power to attend to the auditing of retail metering services within its jurisdiction. The applicant and the respondent agreed that the respondent would subcontract to the applicant to attend to the auditing of the retail metering as the applicant has the requisite expertise and capacity. </w:t>
      </w:r>
    </w:p>
    <w:p w14:paraId="5B22C11F" w14:textId="059F271C" w:rsidR="00740B30"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[10]</w:t>
      </w:r>
      <w:r>
        <w:rPr>
          <w:rFonts w:ascii="Verdana" w:hAnsi="Verdana" w:cs="Arial"/>
          <w:sz w:val="22"/>
          <w:szCs w:val="22"/>
          <w:lang w:val="en-GB"/>
        </w:rPr>
        <w:tab/>
      </w:r>
      <w:r w:rsidR="00740B30">
        <w:rPr>
          <w:rFonts w:ascii="Verdana" w:hAnsi="Verdana" w:cs="Arial"/>
          <w:sz w:val="22"/>
          <w:szCs w:val="22"/>
          <w:lang w:val="en-GB"/>
        </w:rPr>
        <w:t>The applicant alleges at paragraph 5.3 of its amended particulars of claim that in exchange for the rendering of these retail auditing services, it would be entitled to receive a f</w:t>
      </w:r>
      <w:r w:rsidR="00C21A0B">
        <w:rPr>
          <w:rFonts w:ascii="Verdana" w:hAnsi="Verdana" w:cs="Arial"/>
          <w:sz w:val="22"/>
          <w:szCs w:val="22"/>
          <w:lang w:val="en-GB"/>
        </w:rPr>
        <w:t>ee</w:t>
      </w:r>
      <w:r w:rsidR="00740B30">
        <w:rPr>
          <w:rFonts w:ascii="Verdana" w:hAnsi="Verdana" w:cs="Arial"/>
          <w:sz w:val="22"/>
          <w:szCs w:val="22"/>
          <w:lang w:val="en-GB"/>
        </w:rPr>
        <w:t xml:space="preserve"> equal to 60 % of the fees invoiced by the respondent to City Power. The applicant would be paid within 48 hours after </w:t>
      </w:r>
      <w:r w:rsidR="00740B30">
        <w:rPr>
          <w:rFonts w:ascii="Verdana" w:hAnsi="Verdana" w:cs="Arial"/>
          <w:sz w:val="22"/>
          <w:szCs w:val="22"/>
          <w:lang w:val="en-GB"/>
        </w:rPr>
        <w:lastRenderedPageBreak/>
        <w:t xml:space="preserve">the respondent had received payment from City Power. </w:t>
      </w:r>
    </w:p>
    <w:p w14:paraId="44A7CCBB" w14:textId="74B9592E" w:rsidR="00740B30"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[11]</w:t>
      </w:r>
      <w:r>
        <w:rPr>
          <w:rFonts w:ascii="Verdana" w:hAnsi="Verdana" w:cs="Arial"/>
          <w:sz w:val="22"/>
          <w:szCs w:val="22"/>
          <w:lang w:val="en-GB"/>
        </w:rPr>
        <w:tab/>
      </w:r>
      <w:r w:rsidR="00740B30">
        <w:rPr>
          <w:rFonts w:ascii="Verdana" w:hAnsi="Verdana" w:cs="Arial"/>
          <w:sz w:val="22"/>
          <w:szCs w:val="22"/>
          <w:lang w:val="en-GB"/>
        </w:rPr>
        <w:t xml:space="preserve">At paragraph 5.5 of the particulars of claim, the applicant pleads that it was a tacit, alternatively, an implied term of the oral agreement that the applicant would perform the retail auditing services on behalf of the respondent on the City Power account and upon completion, a completion certificate would be issued by City Power to the respondent before payment of the services rendered had been </w:t>
      </w:r>
      <w:proofErr w:type="gramStart"/>
      <w:r w:rsidR="00740B30">
        <w:rPr>
          <w:rFonts w:ascii="Verdana" w:hAnsi="Verdana" w:cs="Arial"/>
          <w:sz w:val="22"/>
          <w:szCs w:val="22"/>
          <w:lang w:val="en-GB"/>
        </w:rPr>
        <w:t>effected</w:t>
      </w:r>
      <w:proofErr w:type="gramEnd"/>
      <w:r w:rsidR="00740B30">
        <w:rPr>
          <w:rFonts w:ascii="Verdana" w:hAnsi="Verdana" w:cs="Arial"/>
          <w:sz w:val="22"/>
          <w:szCs w:val="22"/>
          <w:lang w:val="en-GB"/>
        </w:rPr>
        <w:t xml:space="preserve">. </w:t>
      </w:r>
    </w:p>
    <w:p w14:paraId="11308AB2" w14:textId="2F1932A9" w:rsidR="00740B30"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[12]</w:t>
      </w:r>
      <w:r>
        <w:rPr>
          <w:rFonts w:ascii="Verdana" w:hAnsi="Verdana" w:cs="Arial"/>
          <w:sz w:val="22"/>
          <w:szCs w:val="22"/>
          <w:lang w:val="en-GB"/>
        </w:rPr>
        <w:tab/>
      </w:r>
      <w:r w:rsidR="00740B30">
        <w:rPr>
          <w:rFonts w:ascii="Verdana" w:hAnsi="Verdana" w:cs="Arial"/>
          <w:sz w:val="22"/>
          <w:szCs w:val="22"/>
          <w:lang w:val="en-GB"/>
        </w:rPr>
        <w:t xml:space="preserve">The oral agreement between the applicant and the respondent </w:t>
      </w:r>
      <w:r w:rsidR="007F7E72">
        <w:rPr>
          <w:rFonts w:ascii="Verdana" w:hAnsi="Verdana" w:cs="Arial"/>
          <w:sz w:val="22"/>
          <w:szCs w:val="22"/>
          <w:lang w:val="en-GB"/>
        </w:rPr>
        <w:t>w</w:t>
      </w:r>
      <w:r w:rsidR="00740B30">
        <w:rPr>
          <w:rFonts w:ascii="Verdana" w:hAnsi="Verdana" w:cs="Arial"/>
          <w:sz w:val="22"/>
          <w:szCs w:val="22"/>
          <w:lang w:val="en-GB"/>
        </w:rPr>
        <w:t xml:space="preserve">as confirmed by the respondent in a letter attached to the particulars of claim as annexure “MMK1”. </w:t>
      </w:r>
      <w:r w:rsidR="007F7E72">
        <w:rPr>
          <w:rFonts w:ascii="Verdana" w:hAnsi="Verdana" w:cs="Arial"/>
          <w:sz w:val="22"/>
          <w:szCs w:val="22"/>
          <w:lang w:val="en-GB"/>
        </w:rPr>
        <w:t>It</w:t>
      </w:r>
      <w:r w:rsidR="00740B30">
        <w:rPr>
          <w:rFonts w:ascii="Verdana" w:hAnsi="Verdana" w:cs="Arial"/>
          <w:sz w:val="22"/>
          <w:szCs w:val="22"/>
          <w:lang w:val="en-GB"/>
        </w:rPr>
        <w:t xml:space="preserve"> confirms that the applicant would be the subcontractor on City Power contracts numbered 4600002441 and 4600002440, and that it would be entitled to a 60 % share in the invoiced amount rendered to City Power. </w:t>
      </w:r>
      <w:r w:rsidR="00C63FD0">
        <w:rPr>
          <w:rFonts w:ascii="Verdana" w:hAnsi="Verdana" w:cs="Arial"/>
          <w:sz w:val="22"/>
          <w:szCs w:val="22"/>
          <w:lang w:val="en-GB"/>
        </w:rPr>
        <w:t xml:space="preserve">It furthermore confirmed that the applicant would be paid by the respondent within 48 hours after having been paid by City Power. </w:t>
      </w:r>
    </w:p>
    <w:p w14:paraId="4F60811F" w14:textId="0A2E5901" w:rsidR="00C63FD0"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[13]</w:t>
      </w:r>
      <w:r>
        <w:rPr>
          <w:rFonts w:ascii="Verdana" w:hAnsi="Verdana" w:cs="Arial"/>
          <w:sz w:val="22"/>
          <w:szCs w:val="22"/>
          <w:lang w:val="en-GB"/>
        </w:rPr>
        <w:tab/>
      </w:r>
      <w:r w:rsidR="00C63FD0">
        <w:rPr>
          <w:rFonts w:ascii="Verdana" w:hAnsi="Verdana" w:cs="Arial"/>
          <w:sz w:val="22"/>
          <w:szCs w:val="22"/>
          <w:lang w:val="en-GB"/>
        </w:rPr>
        <w:t xml:space="preserve">It is the applicant’s case that </w:t>
      </w:r>
      <w:proofErr w:type="gramStart"/>
      <w:r w:rsidR="00C63FD0">
        <w:rPr>
          <w:rFonts w:ascii="Verdana" w:hAnsi="Verdana" w:cs="Arial"/>
          <w:sz w:val="22"/>
          <w:szCs w:val="22"/>
          <w:lang w:val="en-GB"/>
        </w:rPr>
        <w:t>subsequent to</w:t>
      </w:r>
      <w:proofErr w:type="gramEnd"/>
      <w:r w:rsidR="00C63FD0">
        <w:rPr>
          <w:rFonts w:ascii="Verdana" w:hAnsi="Verdana" w:cs="Arial"/>
          <w:sz w:val="22"/>
          <w:szCs w:val="22"/>
          <w:lang w:val="en-GB"/>
        </w:rPr>
        <w:t xml:space="preserve"> the applicant’s performance and the rendering of satisfactory services to City Power, City Power issued certificates of work completion to the respondent, whereafter the respondent instructed the applicant to invoice for services rendered, which was done on the 28</w:t>
      </w:r>
      <w:r w:rsidR="00C63FD0" w:rsidRPr="00C63FD0">
        <w:rPr>
          <w:rFonts w:ascii="Verdana" w:hAnsi="Verdana" w:cs="Arial"/>
          <w:sz w:val="22"/>
          <w:szCs w:val="22"/>
          <w:vertAlign w:val="superscript"/>
          <w:lang w:val="en-GB"/>
        </w:rPr>
        <w:t>th</w:t>
      </w:r>
      <w:r w:rsidR="00C63FD0">
        <w:rPr>
          <w:rFonts w:ascii="Verdana" w:hAnsi="Verdana" w:cs="Arial"/>
          <w:sz w:val="22"/>
          <w:szCs w:val="22"/>
          <w:lang w:val="en-GB"/>
        </w:rPr>
        <w:t xml:space="preserve"> of June 2021. The amount due and payable as </w:t>
      </w:r>
      <w:proofErr w:type="gramStart"/>
      <w:r w:rsidR="00C63FD0">
        <w:rPr>
          <w:rFonts w:ascii="Verdana" w:hAnsi="Verdana" w:cs="Arial"/>
          <w:sz w:val="22"/>
          <w:szCs w:val="22"/>
          <w:lang w:val="en-GB"/>
        </w:rPr>
        <w:t>at</w:t>
      </w:r>
      <w:proofErr w:type="gramEnd"/>
      <w:r w:rsidR="00C63FD0">
        <w:rPr>
          <w:rFonts w:ascii="Verdana" w:hAnsi="Verdana" w:cs="Arial"/>
          <w:sz w:val="22"/>
          <w:szCs w:val="22"/>
          <w:lang w:val="en-GB"/>
        </w:rPr>
        <w:t xml:space="preserve"> the 21</w:t>
      </w:r>
      <w:r w:rsidR="00C63FD0" w:rsidRPr="00C63FD0">
        <w:rPr>
          <w:rFonts w:ascii="Verdana" w:hAnsi="Verdana" w:cs="Arial"/>
          <w:sz w:val="22"/>
          <w:szCs w:val="22"/>
          <w:vertAlign w:val="superscript"/>
          <w:lang w:val="en-GB"/>
        </w:rPr>
        <w:t>st</w:t>
      </w:r>
      <w:r w:rsidR="00C63FD0">
        <w:rPr>
          <w:rFonts w:ascii="Verdana" w:hAnsi="Verdana" w:cs="Arial"/>
          <w:sz w:val="22"/>
          <w:szCs w:val="22"/>
          <w:lang w:val="en-GB"/>
        </w:rPr>
        <w:t xml:space="preserve"> of July 2021 was the sum of R973 356.92. </w:t>
      </w:r>
    </w:p>
    <w:p w14:paraId="14A864B2" w14:textId="4E14AC99" w:rsidR="00C63FD0"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[14]</w:t>
      </w:r>
      <w:r>
        <w:rPr>
          <w:rFonts w:ascii="Verdana" w:hAnsi="Verdana" w:cs="Arial"/>
          <w:sz w:val="22"/>
          <w:szCs w:val="22"/>
          <w:lang w:val="en-GB"/>
        </w:rPr>
        <w:tab/>
      </w:r>
      <w:r w:rsidR="00C63FD0">
        <w:rPr>
          <w:rFonts w:ascii="Verdana" w:hAnsi="Verdana" w:cs="Arial"/>
          <w:sz w:val="22"/>
          <w:szCs w:val="22"/>
          <w:lang w:val="en-GB"/>
        </w:rPr>
        <w:t>The applicant pleads that the respondent received payment from City Power on the 21</w:t>
      </w:r>
      <w:r w:rsidR="00C63FD0" w:rsidRPr="00C63FD0">
        <w:rPr>
          <w:rFonts w:ascii="Verdana" w:hAnsi="Verdana" w:cs="Arial"/>
          <w:sz w:val="22"/>
          <w:szCs w:val="22"/>
          <w:vertAlign w:val="superscript"/>
          <w:lang w:val="en-GB"/>
        </w:rPr>
        <w:t>st</w:t>
      </w:r>
      <w:r w:rsidR="00C63FD0">
        <w:rPr>
          <w:rFonts w:ascii="Verdana" w:hAnsi="Verdana" w:cs="Arial"/>
          <w:sz w:val="22"/>
          <w:szCs w:val="22"/>
          <w:lang w:val="en-GB"/>
        </w:rPr>
        <w:t xml:space="preserve"> of July 2021 and was accordingly obliged to make payment to </w:t>
      </w:r>
      <w:r w:rsidR="00C63FD0">
        <w:rPr>
          <w:rFonts w:ascii="Verdana" w:hAnsi="Verdana" w:cs="Arial"/>
          <w:sz w:val="22"/>
          <w:szCs w:val="22"/>
          <w:lang w:val="en-GB"/>
        </w:rPr>
        <w:lastRenderedPageBreak/>
        <w:t>the applicant of its 60 % share within 48 hours from receipt of such payment. Notwithstanding demand made on the 26</w:t>
      </w:r>
      <w:r w:rsidR="00C63FD0" w:rsidRPr="00C63FD0">
        <w:rPr>
          <w:rFonts w:ascii="Verdana" w:hAnsi="Verdana" w:cs="Arial"/>
          <w:sz w:val="22"/>
          <w:szCs w:val="22"/>
          <w:vertAlign w:val="superscript"/>
          <w:lang w:val="en-GB"/>
        </w:rPr>
        <w:t>th</w:t>
      </w:r>
      <w:r w:rsidR="00C63FD0">
        <w:rPr>
          <w:rFonts w:ascii="Verdana" w:hAnsi="Verdana" w:cs="Arial"/>
          <w:sz w:val="22"/>
          <w:szCs w:val="22"/>
          <w:lang w:val="en-GB"/>
        </w:rPr>
        <w:t xml:space="preserve"> of July 2021, the respondent has failed to make payment of any portion of the amount owing and payable. </w:t>
      </w:r>
    </w:p>
    <w:p w14:paraId="56268802" w14:textId="1B80B36A" w:rsidR="00C63FD0" w:rsidRPr="00C63FD0" w:rsidRDefault="00C63FD0" w:rsidP="00C63FD0">
      <w:pPr>
        <w:pStyle w:val="Indent"/>
        <w:keepNex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THE RESPONDENT’S CASE</w:t>
      </w:r>
    </w:p>
    <w:p w14:paraId="74E15B23" w14:textId="41FAD045" w:rsidR="00C63FD0"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[15]</w:t>
      </w:r>
      <w:r>
        <w:rPr>
          <w:rFonts w:ascii="Verdana" w:hAnsi="Verdana" w:cs="Arial"/>
          <w:sz w:val="22"/>
          <w:szCs w:val="22"/>
          <w:lang w:val="en-GB"/>
        </w:rPr>
        <w:tab/>
      </w:r>
      <w:r w:rsidR="00C63FD0">
        <w:rPr>
          <w:rFonts w:ascii="Verdana" w:hAnsi="Verdana" w:cs="Arial"/>
          <w:sz w:val="22"/>
          <w:szCs w:val="22"/>
          <w:lang w:val="en-GB"/>
        </w:rPr>
        <w:t xml:space="preserve">The respondent admits that annexure “MMK1” to the particulars of claim records the terms of the subcontract agreement concluded between the applicant and the respondent. </w:t>
      </w:r>
    </w:p>
    <w:p w14:paraId="430374E1" w14:textId="2F9D560C" w:rsidR="00C63FD0"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[16]</w:t>
      </w:r>
      <w:r>
        <w:rPr>
          <w:rFonts w:ascii="Verdana" w:hAnsi="Verdana" w:cs="Arial"/>
          <w:sz w:val="22"/>
          <w:szCs w:val="22"/>
          <w:lang w:val="en-GB"/>
        </w:rPr>
        <w:tab/>
      </w:r>
      <w:r w:rsidR="00C63FD0">
        <w:rPr>
          <w:rFonts w:ascii="Verdana" w:hAnsi="Verdana" w:cs="Arial"/>
          <w:sz w:val="22"/>
          <w:szCs w:val="22"/>
          <w:lang w:val="en-GB"/>
        </w:rPr>
        <w:t xml:space="preserve">The respondent denies that the applicant </w:t>
      </w:r>
      <w:r w:rsidR="00617C59">
        <w:rPr>
          <w:rFonts w:ascii="Verdana" w:hAnsi="Verdana" w:cs="Arial"/>
          <w:sz w:val="22"/>
          <w:szCs w:val="22"/>
          <w:lang w:val="en-GB"/>
        </w:rPr>
        <w:t>performed</w:t>
      </w:r>
      <w:r w:rsidR="00C63FD0">
        <w:rPr>
          <w:rFonts w:ascii="Verdana" w:hAnsi="Verdana" w:cs="Arial"/>
          <w:sz w:val="22"/>
          <w:szCs w:val="22"/>
          <w:lang w:val="en-GB"/>
        </w:rPr>
        <w:t xml:space="preserve"> in terms of the oral agreement. In amplification of its denial, the respondent pleads that the applicant has </w:t>
      </w:r>
      <w:r w:rsidR="00EE45C5">
        <w:rPr>
          <w:rFonts w:ascii="Verdana" w:hAnsi="Verdana" w:cs="Arial"/>
          <w:sz w:val="22"/>
          <w:szCs w:val="22"/>
          <w:lang w:val="en-GB"/>
        </w:rPr>
        <w:t xml:space="preserve">failed to plead when, where and how it performed under the agreement. The respondent pleads further that the respondent has not rendered any services to the applicant for which the respondent has not been paid (paragraph 8.2 of the plea). </w:t>
      </w:r>
    </w:p>
    <w:p w14:paraId="6D0E7C07" w14:textId="325CDD2A" w:rsidR="00EE45C5"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[17]</w:t>
      </w:r>
      <w:r>
        <w:rPr>
          <w:rFonts w:ascii="Verdana" w:hAnsi="Verdana" w:cs="Arial"/>
          <w:sz w:val="22"/>
          <w:szCs w:val="22"/>
          <w:lang w:val="en-GB"/>
        </w:rPr>
        <w:tab/>
      </w:r>
      <w:r w:rsidR="00EE45C5">
        <w:rPr>
          <w:rFonts w:ascii="Verdana" w:hAnsi="Verdana" w:cs="Arial"/>
          <w:sz w:val="22"/>
          <w:szCs w:val="22"/>
          <w:lang w:val="en-GB"/>
        </w:rPr>
        <w:t xml:space="preserve">The respondent baldly denies the applicant’s allegation that City Power issued certificates of work completion to the respondent and that the respondent in turn instructed the applicant to render its invoice (paragraph 9 of the plea). </w:t>
      </w:r>
    </w:p>
    <w:p w14:paraId="727E79EC" w14:textId="18A94F88" w:rsidR="00EE45C5"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[18]</w:t>
      </w:r>
      <w:r>
        <w:rPr>
          <w:rFonts w:ascii="Verdana" w:hAnsi="Verdana" w:cs="Arial"/>
          <w:sz w:val="22"/>
          <w:szCs w:val="22"/>
          <w:lang w:val="en-GB"/>
        </w:rPr>
        <w:tab/>
      </w:r>
      <w:r w:rsidR="00EE45C5">
        <w:rPr>
          <w:rFonts w:ascii="Verdana" w:hAnsi="Verdana" w:cs="Arial"/>
          <w:sz w:val="22"/>
          <w:szCs w:val="22"/>
          <w:lang w:val="en-GB"/>
        </w:rPr>
        <w:t xml:space="preserve">It also baldly denies that the respondent is indebted to the applicant, although it admits receipt of the invoice rendered by the applicant. </w:t>
      </w:r>
    </w:p>
    <w:p w14:paraId="6650B2AB" w14:textId="4368704F" w:rsidR="00EE45C5"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[19]</w:t>
      </w:r>
      <w:r>
        <w:rPr>
          <w:rFonts w:ascii="Verdana" w:hAnsi="Verdana" w:cs="Arial"/>
          <w:sz w:val="22"/>
          <w:szCs w:val="22"/>
          <w:lang w:val="en-GB"/>
        </w:rPr>
        <w:tab/>
      </w:r>
      <w:r w:rsidR="00EE45C5">
        <w:rPr>
          <w:rFonts w:ascii="Verdana" w:hAnsi="Verdana" w:cs="Arial"/>
          <w:sz w:val="22"/>
          <w:szCs w:val="22"/>
          <w:lang w:val="en-GB"/>
        </w:rPr>
        <w:t xml:space="preserve">To the specific averment contained in the particulars of claim that the respondent received payment from City Power and failed or refused to make </w:t>
      </w:r>
      <w:r w:rsidR="00EE45C5">
        <w:rPr>
          <w:rFonts w:ascii="Verdana" w:hAnsi="Verdana" w:cs="Arial"/>
          <w:sz w:val="22"/>
          <w:szCs w:val="22"/>
          <w:lang w:val="en-GB"/>
        </w:rPr>
        <w:lastRenderedPageBreak/>
        <w:t>payment to the applicant, the respondent does not plead at all. It merely states as follows at paragraph 12 of its plea: -</w:t>
      </w:r>
    </w:p>
    <w:p w14:paraId="1AE9FBA2" w14:textId="3FAF7130" w:rsidR="00EE45C5" w:rsidRPr="00EE45C5" w:rsidRDefault="00EE45C5" w:rsidP="00EE45C5">
      <w:pPr>
        <w:pStyle w:val="Indent"/>
        <w:widowControl w:val="0"/>
        <w:numPr>
          <w:ilvl w:val="0"/>
          <w:numId w:val="0"/>
        </w:numPr>
        <w:spacing w:after="480" w:line="360" w:lineRule="auto"/>
        <w:ind w:left="2160" w:hanging="720"/>
        <w:jc w:val="both"/>
        <w:rPr>
          <w:rFonts w:ascii="Verdana" w:hAnsi="Verdana" w:cs="Arial"/>
          <w:i/>
          <w:iCs/>
          <w:sz w:val="22"/>
          <w:szCs w:val="22"/>
          <w:lang w:val="en-GB"/>
        </w:rPr>
      </w:pPr>
      <w:r>
        <w:rPr>
          <w:rFonts w:ascii="Verdana" w:hAnsi="Verdana" w:cs="Arial"/>
          <w:i/>
          <w:iCs/>
          <w:sz w:val="22"/>
          <w:szCs w:val="22"/>
          <w:lang w:val="en-GB"/>
        </w:rPr>
        <w:t xml:space="preserve">“12. </w:t>
      </w:r>
      <w:r>
        <w:rPr>
          <w:rFonts w:ascii="Verdana" w:hAnsi="Verdana" w:cs="Arial"/>
          <w:i/>
          <w:iCs/>
          <w:sz w:val="22"/>
          <w:szCs w:val="22"/>
          <w:lang w:val="en-GB"/>
        </w:rPr>
        <w:tab/>
        <w:t>The Defendant admits demand but denied that it is indebted to the Plaintiff in the amount as claimed or in any amount at all.”</w:t>
      </w:r>
    </w:p>
    <w:p w14:paraId="76A3CDDC" w14:textId="5AC9A32A" w:rsidR="00C63FD0" w:rsidRPr="00EE45C5" w:rsidRDefault="00EE45C5" w:rsidP="00EE45C5">
      <w:pPr>
        <w:pStyle w:val="Indent"/>
        <w:keepNex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ANALYSIS OF RESPONDENT’S DEFENCE</w:t>
      </w:r>
    </w:p>
    <w:p w14:paraId="1F9B55BE" w14:textId="22AF8AB1" w:rsidR="00EE45C5"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[20]</w:t>
      </w:r>
      <w:r>
        <w:rPr>
          <w:rFonts w:ascii="Verdana" w:hAnsi="Verdana" w:cs="Arial"/>
          <w:sz w:val="22"/>
          <w:szCs w:val="22"/>
          <w:lang w:val="en-GB"/>
        </w:rPr>
        <w:tab/>
      </w:r>
      <w:r w:rsidR="00EE45C5">
        <w:rPr>
          <w:rFonts w:ascii="Verdana" w:hAnsi="Verdana" w:cs="Arial"/>
          <w:sz w:val="22"/>
          <w:szCs w:val="22"/>
          <w:lang w:val="en-GB"/>
        </w:rPr>
        <w:t>The respondent admitted the terms of the subcontract as pleaded by the applicant. A material term of the subcontract is that the applicant would render the retail auditing services, whereafter City Power would issue completion certificates. Thereafter the applicant would render an invoice to the respondent. Annexure “MMK2” to the particulars of claim is a tax invoice rendered by the applicant to the respondent on the 21</w:t>
      </w:r>
      <w:r w:rsidR="00EE45C5" w:rsidRPr="00EE45C5">
        <w:rPr>
          <w:rFonts w:ascii="Verdana" w:hAnsi="Verdana" w:cs="Arial"/>
          <w:sz w:val="22"/>
          <w:szCs w:val="22"/>
          <w:vertAlign w:val="superscript"/>
          <w:lang w:val="en-GB"/>
        </w:rPr>
        <w:t>st</w:t>
      </w:r>
      <w:r w:rsidR="00EE45C5">
        <w:rPr>
          <w:rFonts w:ascii="Verdana" w:hAnsi="Verdana" w:cs="Arial"/>
          <w:sz w:val="22"/>
          <w:szCs w:val="22"/>
          <w:lang w:val="en-GB"/>
        </w:rPr>
        <w:t xml:space="preserve"> of July 2021. The rendering of an invoice is all that is required. It is not a material term of the agreement that the applicant must state when, where and how it performed under the subcontract agreement. </w:t>
      </w:r>
    </w:p>
    <w:p w14:paraId="4C3DF136" w14:textId="26D70A36" w:rsidR="00EE45C5"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[21]</w:t>
      </w:r>
      <w:r>
        <w:rPr>
          <w:rFonts w:ascii="Verdana" w:hAnsi="Verdana" w:cs="Arial"/>
          <w:sz w:val="22"/>
          <w:szCs w:val="22"/>
          <w:lang w:val="en-GB"/>
        </w:rPr>
        <w:tab/>
      </w:r>
      <w:r w:rsidR="00EE45C5">
        <w:rPr>
          <w:rFonts w:ascii="Verdana" w:hAnsi="Verdana" w:cs="Arial"/>
          <w:sz w:val="22"/>
          <w:szCs w:val="22"/>
          <w:lang w:val="en-GB"/>
        </w:rPr>
        <w:t xml:space="preserve">During argument Ms Crisp, the legal representative for the applicant, referred me to certain annexures attached to the first proposed amendment of the particulars of claim that was not pursued. Mr Matlala for the respondent recorded that he had no objection to a reference to these annexures. </w:t>
      </w:r>
    </w:p>
    <w:p w14:paraId="322900E9" w14:textId="0B71C674" w:rsidR="009F647B"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[22]</w:t>
      </w:r>
      <w:r>
        <w:rPr>
          <w:rFonts w:ascii="Verdana" w:hAnsi="Verdana" w:cs="Arial"/>
          <w:sz w:val="22"/>
          <w:szCs w:val="22"/>
          <w:lang w:val="en-GB"/>
        </w:rPr>
        <w:tab/>
      </w:r>
      <w:r w:rsidR="00EE45C5">
        <w:rPr>
          <w:rFonts w:ascii="Verdana" w:hAnsi="Verdana" w:cs="Arial"/>
          <w:sz w:val="22"/>
          <w:szCs w:val="22"/>
          <w:lang w:val="en-GB"/>
        </w:rPr>
        <w:t>The three annexures that the court was referred to are work completion certificates issued by City Power to the defendant on the 28</w:t>
      </w:r>
      <w:r w:rsidR="00EE45C5" w:rsidRPr="00EE45C5">
        <w:rPr>
          <w:rFonts w:ascii="Verdana" w:hAnsi="Verdana" w:cs="Arial"/>
          <w:sz w:val="22"/>
          <w:szCs w:val="22"/>
          <w:vertAlign w:val="superscript"/>
          <w:lang w:val="en-GB"/>
        </w:rPr>
        <w:t>th</w:t>
      </w:r>
      <w:r w:rsidR="00EE45C5">
        <w:rPr>
          <w:rFonts w:ascii="Verdana" w:hAnsi="Verdana" w:cs="Arial"/>
          <w:sz w:val="22"/>
          <w:szCs w:val="22"/>
          <w:lang w:val="en-GB"/>
        </w:rPr>
        <w:t xml:space="preserve"> of June 2021. </w:t>
      </w:r>
      <w:r w:rsidR="009F647B">
        <w:rPr>
          <w:rFonts w:ascii="Verdana" w:hAnsi="Verdana" w:cs="Arial"/>
          <w:sz w:val="22"/>
          <w:szCs w:val="22"/>
          <w:lang w:val="en-GB"/>
        </w:rPr>
        <w:t>The certificates reflect the following purchase order numbers:</w:t>
      </w:r>
      <w:r w:rsidR="008304E6">
        <w:rPr>
          <w:rFonts w:ascii="Verdana" w:hAnsi="Verdana" w:cs="Arial"/>
          <w:sz w:val="22"/>
          <w:szCs w:val="22"/>
          <w:lang w:val="en-GB"/>
        </w:rPr>
        <w:t xml:space="preserve"> </w:t>
      </w:r>
      <w:r w:rsidR="008304E6" w:rsidRPr="008304E6">
        <w:rPr>
          <w:rFonts w:ascii="Verdana" w:hAnsi="Verdana" w:cs="Arial"/>
          <w:sz w:val="22"/>
          <w:szCs w:val="22"/>
          <w:lang w:val="en-GB"/>
        </w:rPr>
        <w:t xml:space="preserve">4501351428, </w:t>
      </w:r>
      <w:r w:rsidR="008304E6" w:rsidRPr="008304E6">
        <w:rPr>
          <w:rFonts w:ascii="Verdana" w:hAnsi="Verdana" w:cs="Arial"/>
          <w:sz w:val="22"/>
          <w:szCs w:val="22"/>
          <w:lang w:val="en-GB"/>
        </w:rPr>
        <w:lastRenderedPageBreak/>
        <w:t>4501351422</w:t>
      </w:r>
      <w:r w:rsidR="00410C9B">
        <w:rPr>
          <w:rFonts w:ascii="Verdana" w:hAnsi="Verdana" w:cs="Arial"/>
          <w:sz w:val="22"/>
          <w:szCs w:val="22"/>
          <w:lang w:val="en-GB"/>
        </w:rPr>
        <w:t>,</w:t>
      </w:r>
      <w:r w:rsidR="008304E6" w:rsidRPr="008304E6">
        <w:rPr>
          <w:rFonts w:ascii="Verdana" w:hAnsi="Verdana" w:cs="Arial"/>
          <w:sz w:val="22"/>
          <w:szCs w:val="22"/>
          <w:lang w:val="en-GB"/>
        </w:rPr>
        <w:t xml:space="preserve"> 4501351426</w:t>
      </w:r>
      <w:r w:rsidR="00410C9B">
        <w:rPr>
          <w:rFonts w:ascii="Verdana" w:hAnsi="Verdana" w:cs="Arial"/>
          <w:sz w:val="22"/>
          <w:szCs w:val="22"/>
          <w:lang w:val="en-GB"/>
        </w:rPr>
        <w:t xml:space="preserve"> and 4501351430</w:t>
      </w:r>
      <w:r w:rsidR="008304E6" w:rsidRPr="008304E6">
        <w:rPr>
          <w:rFonts w:ascii="Verdana" w:hAnsi="Verdana" w:cs="Arial"/>
          <w:sz w:val="22"/>
          <w:szCs w:val="22"/>
          <w:lang w:val="en-GB"/>
        </w:rPr>
        <w:t xml:space="preserve">. </w:t>
      </w:r>
      <w:r w:rsidR="008304E6">
        <w:rPr>
          <w:rFonts w:ascii="Verdana" w:hAnsi="Verdana" w:cs="Arial"/>
          <w:sz w:val="22"/>
          <w:szCs w:val="22"/>
          <w:lang w:val="en-GB"/>
        </w:rPr>
        <w:t xml:space="preserve">These certificates </w:t>
      </w:r>
      <w:r w:rsidR="004375FD">
        <w:rPr>
          <w:rFonts w:ascii="Verdana" w:hAnsi="Verdana" w:cs="Arial"/>
          <w:sz w:val="22"/>
          <w:szCs w:val="22"/>
          <w:lang w:val="en-GB"/>
        </w:rPr>
        <w:t>emanated from</w:t>
      </w:r>
      <w:r w:rsidR="002E55C8">
        <w:rPr>
          <w:rFonts w:ascii="Verdana" w:hAnsi="Verdana" w:cs="Arial"/>
          <w:sz w:val="22"/>
          <w:szCs w:val="22"/>
          <w:lang w:val="en-GB"/>
        </w:rPr>
        <w:t xml:space="preserve"> City Power, was sent to</w:t>
      </w:r>
      <w:r w:rsidR="004375FD">
        <w:rPr>
          <w:rFonts w:ascii="Verdana" w:hAnsi="Verdana" w:cs="Arial"/>
          <w:sz w:val="22"/>
          <w:szCs w:val="22"/>
          <w:lang w:val="en-GB"/>
        </w:rPr>
        <w:t xml:space="preserve"> the </w:t>
      </w:r>
      <w:r w:rsidR="008304E6">
        <w:rPr>
          <w:rFonts w:ascii="Verdana" w:hAnsi="Verdana" w:cs="Arial"/>
          <w:sz w:val="22"/>
          <w:szCs w:val="22"/>
          <w:lang w:val="en-GB"/>
        </w:rPr>
        <w:t>respondent’s representative, Mr Sam </w:t>
      </w:r>
      <w:proofErr w:type="spellStart"/>
      <w:r w:rsidR="008304E6">
        <w:rPr>
          <w:rFonts w:ascii="Verdana" w:hAnsi="Verdana" w:cs="Arial"/>
          <w:sz w:val="22"/>
          <w:szCs w:val="22"/>
          <w:lang w:val="en-GB"/>
        </w:rPr>
        <w:t>Moerane</w:t>
      </w:r>
      <w:proofErr w:type="spellEnd"/>
      <w:r w:rsidR="008304E6">
        <w:rPr>
          <w:rFonts w:ascii="Verdana" w:hAnsi="Verdana" w:cs="Arial"/>
          <w:sz w:val="22"/>
          <w:szCs w:val="22"/>
          <w:lang w:val="en-GB"/>
        </w:rPr>
        <w:t xml:space="preserve">, </w:t>
      </w:r>
      <w:r w:rsidR="004375FD">
        <w:rPr>
          <w:rFonts w:ascii="Verdana" w:hAnsi="Verdana" w:cs="Arial"/>
          <w:sz w:val="22"/>
          <w:szCs w:val="22"/>
          <w:lang w:val="en-GB"/>
        </w:rPr>
        <w:t xml:space="preserve">who </w:t>
      </w:r>
      <w:r w:rsidR="002E55C8">
        <w:rPr>
          <w:rFonts w:ascii="Verdana" w:hAnsi="Verdana" w:cs="Arial"/>
          <w:sz w:val="22"/>
          <w:szCs w:val="22"/>
          <w:lang w:val="en-GB"/>
        </w:rPr>
        <w:t>forwarded</w:t>
      </w:r>
      <w:r w:rsidR="00781D38">
        <w:rPr>
          <w:rFonts w:ascii="Verdana" w:hAnsi="Verdana" w:cs="Arial"/>
          <w:sz w:val="22"/>
          <w:szCs w:val="22"/>
          <w:lang w:val="en-GB"/>
        </w:rPr>
        <w:t xml:space="preserve"> it </w:t>
      </w:r>
      <w:r w:rsidR="002E55C8">
        <w:rPr>
          <w:rFonts w:ascii="Verdana" w:hAnsi="Verdana" w:cs="Arial"/>
          <w:sz w:val="22"/>
          <w:szCs w:val="22"/>
          <w:lang w:val="en-GB"/>
        </w:rPr>
        <w:t xml:space="preserve">on to </w:t>
      </w:r>
      <w:r w:rsidR="008304E6">
        <w:rPr>
          <w:rFonts w:ascii="Verdana" w:hAnsi="Verdana" w:cs="Arial"/>
          <w:sz w:val="22"/>
          <w:szCs w:val="22"/>
          <w:lang w:val="en-GB"/>
        </w:rPr>
        <w:t xml:space="preserve">the applicant’s representative, Ms Paulus. </w:t>
      </w:r>
    </w:p>
    <w:p w14:paraId="5F4094FE" w14:textId="493B8533" w:rsidR="008304E6"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[23]</w:t>
      </w:r>
      <w:r>
        <w:rPr>
          <w:rFonts w:ascii="Verdana" w:hAnsi="Verdana" w:cs="Arial"/>
          <w:sz w:val="22"/>
          <w:szCs w:val="22"/>
          <w:lang w:val="en-GB"/>
        </w:rPr>
        <w:tab/>
      </w:r>
      <w:r w:rsidR="00410C9B">
        <w:rPr>
          <w:rFonts w:ascii="Verdana" w:hAnsi="Verdana" w:cs="Arial"/>
          <w:sz w:val="22"/>
          <w:szCs w:val="22"/>
          <w:lang w:val="en-GB"/>
        </w:rPr>
        <w:t xml:space="preserve">The purchase order numbers appearing on the work completion certificates correspond with the purchase order numbers appearing under the heading </w:t>
      </w:r>
      <w:r w:rsidR="00410C9B" w:rsidRPr="00410C9B">
        <w:rPr>
          <w:rFonts w:ascii="Verdana" w:hAnsi="Verdana" w:cs="Arial"/>
          <w:i/>
          <w:iCs/>
          <w:sz w:val="22"/>
          <w:szCs w:val="22"/>
          <w:lang w:val="en-GB"/>
        </w:rPr>
        <w:t>“description”</w:t>
      </w:r>
      <w:r w:rsidR="00410C9B">
        <w:rPr>
          <w:rFonts w:ascii="Verdana" w:hAnsi="Verdana" w:cs="Arial"/>
          <w:sz w:val="22"/>
          <w:szCs w:val="22"/>
          <w:lang w:val="en-GB"/>
        </w:rPr>
        <w:t xml:space="preserve"> on the applicant’s tax invoice attached to the particulars of claim as annexure “MMK2”. </w:t>
      </w:r>
    </w:p>
    <w:p w14:paraId="0206AD92" w14:textId="0CD101B7" w:rsidR="009F647B" w:rsidRPr="00E35B05"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sidRPr="00E35B05">
        <w:rPr>
          <w:rFonts w:ascii="Verdana" w:hAnsi="Verdana" w:cs="Arial"/>
          <w:sz w:val="22"/>
          <w:szCs w:val="22"/>
          <w:lang w:val="en-GB"/>
        </w:rPr>
        <w:t>[24]</w:t>
      </w:r>
      <w:r w:rsidRPr="00E35B05">
        <w:rPr>
          <w:rFonts w:ascii="Verdana" w:hAnsi="Verdana" w:cs="Arial"/>
          <w:sz w:val="22"/>
          <w:szCs w:val="22"/>
          <w:lang w:val="en-GB"/>
        </w:rPr>
        <w:tab/>
      </w:r>
      <w:r w:rsidR="00410C9B" w:rsidRPr="00410C9B">
        <w:rPr>
          <w:rFonts w:ascii="Verdana" w:hAnsi="Verdana" w:cs="Arial"/>
          <w:sz w:val="22"/>
          <w:szCs w:val="22"/>
          <w:lang w:val="en-GB"/>
        </w:rPr>
        <w:t xml:space="preserve">The work completion </w:t>
      </w:r>
      <w:r w:rsidR="00410C9B">
        <w:rPr>
          <w:rFonts w:ascii="Verdana" w:hAnsi="Verdana" w:cs="Arial"/>
          <w:sz w:val="22"/>
          <w:szCs w:val="22"/>
          <w:lang w:val="en-GB"/>
        </w:rPr>
        <w:t xml:space="preserve">certificates </w:t>
      </w:r>
      <w:r w:rsidR="002E55C8">
        <w:rPr>
          <w:rFonts w:ascii="Verdana" w:hAnsi="Verdana" w:cs="Arial"/>
          <w:sz w:val="22"/>
          <w:szCs w:val="22"/>
          <w:lang w:val="en-GB"/>
        </w:rPr>
        <w:t>were received</w:t>
      </w:r>
      <w:r w:rsidR="00410C9B">
        <w:rPr>
          <w:rFonts w:ascii="Verdana" w:hAnsi="Verdana" w:cs="Arial"/>
          <w:sz w:val="22"/>
          <w:szCs w:val="22"/>
          <w:lang w:val="en-GB"/>
        </w:rPr>
        <w:t xml:space="preserve"> from the respondent</w:t>
      </w:r>
      <w:r w:rsidR="002E55C8">
        <w:rPr>
          <w:rFonts w:ascii="Verdana" w:hAnsi="Verdana" w:cs="Arial"/>
          <w:sz w:val="22"/>
          <w:szCs w:val="22"/>
          <w:lang w:val="en-GB"/>
        </w:rPr>
        <w:t xml:space="preserve"> and were issued to the respondent</w:t>
      </w:r>
      <w:r w:rsidR="00410C9B">
        <w:rPr>
          <w:rFonts w:ascii="Verdana" w:hAnsi="Verdana" w:cs="Arial"/>
          <w:sz w:val="22"/>
          <w:szCs w:val="22"/>
          <w:lang w:val="en-GB"/>
        </w:rPr>
        <w:t xml:space="preserve">. The purchase order numbers reflected on the work completion certificates correspond with the purchase order numbers appearing on the applicant’s tax invoice. </w:t>
      </w:r>
      <w:r w:rsidR="00E35B05">
        <w:rPr>
          <w:rFonts w:ascii="Verdana" w:hAnsi="Verdana" w:cs="Arial"/>
          <w:sz w:val="22"/>
          <w:szCs w:val="22"/>
          <w:lang w:val="en-GB"/>
        </w:rPr>
        <w:t xml:space="preserve">These documents </w:t>
      </w:r>
      <w:proofErr w:type="gramStart"/>
      <w:r w:rsidR="00E35B05">
        <w:rPr>
          <w:rFonts w:ascii="Verdana" w:hAnsi="Verdana" w:cs="Arial"/>
          <w:sz w:val="22"/>
          <w:szCs w:val="22"/>
          <w:lang w:val="en-GB"/>
        </w:rPr>
        <w:t>have to</w:t>
      </w:r>
      <w:proofErr w:type="gramEnd"/>
      <w:r w:rsidR="00E35B05">
        <w:rPr>
          <w:rFonts w:ascii="Verdana" w:hAnsi="Verdana" w:cs="Arial"/>
          <w:sz w:val="22"/>
          <w:szCs w:val="22"/>
          <w:lang w:val="en-GB"/>
        </w:rPr>
        <w:t xml:space="preserve"> be considered against the backdrop of the plea where the respondent does not deny that it received payment from City Power.</w:t>
      </w:r>
    </w:p>
    <w:p w14:paraId="21947AC5" w14:textId="2405C7DC" w:rsidR="00093073"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[25]</w:t>
      </w:r>
      <w:r>
        <w:rPr>
          <w:rFonts w:ascii="Verdana" w:hAnsi="Verdana" w:cs="Arial"/>
          <w:sz w:val="22"/>
          <w:szCs w:val="22"/>
          <w:lang w:val="en-GB"/>
        </w:rPr>
        <w:tab/>
      </w:r>
      <w:r w:rsidR="00093073">
        <w:rPr>
          <w:rFonts w:ascii="Verdana" w:hAnsi="Verdana" w:cs="Arial"/>
          <w:sz w:val="22"/>
          <w:szCs w:val="22"/>
          <w:lang w:val="en-GB"/>
        </w:rPr>
        <w:t xml:space="preserve">The respondent seems to change its tune in the affidavit residing summary judgment. </w:t>
      </w:r>
      <w:r w:rsidR="00410C9B">
        <w:rPr>
          <w:rFonts w:ascii="Verdana" w:hAnsi="Verdana" w:cs="Arial"/>
          <w:sz w:val="22"/>
          <w:szCs w:val="22"/>
          <w:lang w:val="en-GB"/>
        </w:rPr>
        <w:t xml:space="preserve">Mr Samuel </w:t>
      </w:r>
      <w:proofErr w:type="spellStart"/>
      <w:r w:rsidR="00410C9B">
        <w:rPr>
          <w:rFonts w:ascii="Verdana" w:hAnsi="Verdana" w:cs="Arial"/>
          <w:sz w:val="22"/>
          <w:szCs w:val="22"/>
          <w:lang w:val="en-GB"/>
        </w:rPr>
        <w:t>Moerane</w:t>
      </w:r>
      <w:proofErr w:type="spellEnd"/>
      <w:r w:rsidR="00410C9B">
        <w:rPr>
          <w:rFonts w:ascii="Verdana" w:hAnsi="Verdana" w:cs="Arial"/>
          <w:sz w:val="22"/>
          <w:szCs w:val="22"/>
          <w:lang w:val="en-GB"/>
        </w:rPr>
        <w:t xml:space="preserve"> is the deponent</w:t>
      </w:r>
      <w:r w:rsidR="00093073">
        <w:rPr>
          <w:rFonts w:ascii="Verdana" w:hAnsi="Verdana" w:cs="Arial"/>
          <w:sz w:val="22"/>
          <w:szCs w:val="22"/>
          <w:lang w:val="en-GB"/>
        </w:rPr>
        <w:t xml:space="preserve">. </w:t>
      </w:r>
      <w:r w:rsidR="00410C9B">
        <w:rPr>
          <w:rFonts w:ascii="Verdana" w:hAnsi="Verdana" w:cs="Arial"/>
          <w:sz w:val="22"/>
          <w:szCs w:val="22"/>
          <w:lang w:val="en-GB"/>
        </w:rPr>
        <w:t xml:space="preserve">At paragraph 6 of the answering affidavit the deponent denies that annexure “MMK1” constitutes a valid agreement or alternatively a confirmation of the oral agreement. In support, the respondent refers to the wording of annexure “MMK1” and places specific emphasis on the words </w:t>
      </w:r>
      <w:r w:rsidR="00410C9B">
        <w:rPr>
          <w:rFonts w:ascii="Verdana" w:hAnsi="Verdana" w:cs="Arial"/>
          <w:i/>
          <w:iCs/>
          <w:sz w:val="22"/>
          <w:szCs w:val="22"/>
          <w:lang w:val="en-GB"/>
        </w:rPr>
        <w:t>“I would like to subcontract…”</w:t>
      </w:r>
      <w:r w:rsidR="00410C9B">
        <w:rPr>
          <w:rFonts w:ascii="Verdana" w:hAnsi="Verdana" w:cs="Arial"/>
          <w:sz w:val="22"/>
          <w:szCs w:val="22"/>
          <w:lang w:val="en-GB"/>
        </w:rPr>
        <w:t xml:space="preserve">, thereby implying that the wording of the aforesaid letter does not confirm the conclusion of the subcontract agreement. Accordingly, so the respondent argues, </w:t>
      </w:r>
      <w:r w:rsidR="007D17C2">
        <w:rPr>
          <w:rFonts w:ascii="Verdana" w:hAnsi="Verdana" w:cs="Arial"/>
          <w:sz w:val="22"/>
          <w:szCs w:val="22"/>
          <w:lang w:val="en-GB"/>
        </w:rPr>
        <w:t xml:space="preserve">evidence must be led to confirm whether a valid agreement was concluded between the parties. </w:t>
      </w:r>
    </w:p>
    <w:p w14:paraId="566B385C" w14:textId="2FD1F08B" w:rsidR="00410C9B"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lastRenderedPageBreak/>
        <w:t>[26]</w:t>
      </w:r>
      <w:r>
        <w:rPr>
          <w:rFonts w:ascii="Verdana" w:hAnsi="Verdana" w:cs="Arial"/>
          <w:sz w:val="22"/>
          <w:szCs w:val="22"/>
          <w:lang w:val="en-GB"/>
        </w:rPr>
        <w:tab/>
      </w:r>
      <w:r w:rsidR="007D17C2">
        <w:rPr>
          <w:rFonts w:ascii="Verdana" w:hAnsi="Verdana" w:cs="Arial"/>
          <w:sz w:val="22"/>
          <w:szCs w:val="22"/>
          <w:lang w:val="en-GB"/>
        </w:rPr>
        <w:t>Mr </w:t>
      </w:r>
      <w:proofErr w:type="spellStart"/>
      <w:r w:rsidR="007D17C2">
        <w:rPr>
          <w:rFonts w:ascii="Verdana" w:hAnsi="Verdana" w:cs="Arial"/>
          <w:sz w:val="22"/>
          <w:szCs w:val="22"/>
          <w:lang w:val="en-GB"/>
        </w:rPr>
        <w:t>Moerane</w:t>
      </w:r>
      <w:proofErr w:type="spellEnd"/>
      <w:r w:rsidR="007D17C2">
        <w:rPr>
          <w:rFonts w:ascii="Verdana" w:hAnsi="Verdana" w:cs="Arial"/>
          <w:sz w:val="22"/>
          <w:szCs w:val="22"/>
          <w:lang w:val="en-GB"/>
        </w:rPr>
        <w:t>, the deponent, states further at paragraph 9 of the answering affidavit that: -</w:t>
      </w:r>
    </w:p>
    <w:p w14:paraId="569E78E2" w14:textId="72ED5F8B" w:rsidR="007D17C2" w:rsidRPr="007D17C2" w:rsidRDefault="007D17C2" w:rsidP="007D17C2">
      <w:pPr>
        <w:pStyle w:val="Indent"/>
        <w:widowControl w:val="0"/>
        <w:numPr>
          <w:ilvl w:val="0"/>
          <w:numId w:val="0"/>
        </w:numPr>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“Though a proposal of the agreement was made, there was never acceptance or performance on the part of the applicant, as a result, I deny that I am liable for the sum as claimed by the applicant.”</w:t>
      </w:r>
    </w:p>
    <w:p w14:paraId="3241297F" w14:textId="75F76B07" w:rsidR="007D17C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[27]</w:t>
      </w:r>
      <w:r>
        <w:rPr>
          <w:rFonts w:ascii="Verdana" w:hAnsi="Verdana" w:cs="Arial"/>
          <w:sz w:val="22"/>
          <w:szCs w:val="22"/>
          <w:lang w:val="en-GB"/>
        </w:rPr>
        <w:tab/>
      </w:r>
      <w:r w:rsidR="007D17C2">
        <w:rPr>
          <w:rFonts w:ascii="Verdana" w:hAnsi="Verdana" w:cs="Arial"/>
          <w:sz w:val="22"/>
          <w:szCs w:val="22"/>
          <w:lang w:val="en-GB"/>
        </w:rPr>
        <w:t>At paragraph 21 of the answering affidavit, the deponent makes the following allegation: -</w:t>
      </w:r>
    </w:p>
    <w:p w14:paraId="05F3F46D" w14:textId="73DABBE8" w:rsidR="007D17C2" w:rsidRPr="007D17C2" w:rsidRDefault="007D17C2" w:rsidP="007D17C2">
      <w:pPr>
        <w:pStyle w:val="Indent"/>
        <w:widowControl w:val="0"/>
        <w:numPr>
          <w:ilvl w:val="0"/>
          <w:numId w:val="0"/>
        </w:numPr>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“Simply put, the respondent has no knowledge that the applicant has rendered services at its special instance and request, as a result, the applicant must prove the same by leading evidence.”</w:t>
      </w:r>
    </w:p>
    <w:p w14:paraId="68AEA583" w14:textId="443D1264" w:rsidR="007D17C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[28]</w:t>
      </w:r>
      <w:r>
        <w:rPr>
          <w:rFonts w:ascii="Verdana" w:hAnsi="Verdana" w:cs="Arial"/>
          <w:sz w:val="22"/>
          <w:szCs w:val="22"/>
          <w:lang w:val="en-GB"/>
        </w:rPr>
        <w:tab/>
      </w:r>
      <w:r w:rsidR="007D17C2">
        <w:rPr>
          <w:rFonts w:ascii="Verdana" w:hAnsi="Verdana" w:cs="Arial"/>
          <w:sz w:val="22"/>
          <w:szCs w:val="22"/>
          <w:lang w:val="en-GB"/>
        </w:rPr>
        <w:t xml:space="preserve">The version put forward in the respondent’s affidavit resisting summary judgment materially contradicts the plea. The respondent seeks to withdraw an admission of the existence of a validly concluded oral subcontract agreement. The respondent has not indicated that it intends to amend its plea and has failed to explain the material contradiction. </w:t>
      </w:r>
    </w:p>
    <w:p w14:paraId="138884DA" w14:textId="5DC98400" w:rsidR="007D17C2" w:rsidRPr="007D17C2" w:rsidRDefault="007D17C2" w:rsidP="007D17C2">
      <w:pPr>
        <w:pStyle w:val="Indent"/>
        <w:keepNex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THE LAW</w:t>
      </w:r>
    </w:p>
    <w:p w14:paraId="60A636FF" w14:textId="5A81E50D" w:rsidR="007D17C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[29]</w:t>
      </w:r>
      <w:r>
        <w:rPr>
          <w:rFonts w:ascii="Verdana" w:hAnsi="Verdana" w:cs="Arial"/>
          <w:sz w:val="22"/>
          <w:szCs w:val="22"/>
          <w:lang w:val="en-GB"/>
        </w:rPr>
        <w:tab/>
      </w:r>
      <w:r w:rsidR="007D17C2">
        <w:rPr>
          <w:rFonts w:ascii="Verdana" w:hAnsi="Verdana" w:cs="Arial"/>
          <w:sz w:val="22"/>
          <w:szCs w:val="22"/>
          <w:lang w:val="en-GB"/>
        </w:rPr>
        <w:t xml:space="preserve">In </w:t>
      </w:r>
      <w:r w:rsidR="007D17C2">
        <w:rPr>
          <w:rFonts w:ascii="Verdana" w:hAnsi="Verdana" w:cs="Arial"/>
          <w:i/>
          <w:iCs/>
          <w:sz w:val="22"/>
          <w:szCs w:val="22"/>
          <w:lang w:val="en-GB"/>
        </w:rPr>
        <w:t xml:space="preserve">Standard Bank v </w:t>
      </w:r>
      <w:proofErr w:type="spellStart"/>
      <w:r w:rsidR="007D17C2">
        <w:rPr>
          <w:rFonts w:ascii="Verdana" w:hAnsi="Verdana" w:cs="Arial"/>
          <w:i/>
          <w:iCs/>
          <w:sz w:val="22"/>
          <w:szCs w:val="22"/>
          <w:lang w:val="en-GB"/>
        </w:rPr>
        <w:t>Rahme</w:t>
      </w:r>
      <w:proofErr w:type="spellEnd"/>
      <w:r w:rsidR="007D17C2">
        <w:rPr>
          <w:rFonts w:ascii="Verdana" w:hAnsi="Verdana" w:cs="Arial"/>
          <w:i/>
          <w:iCs/>
          <w:sz w:val="22"/>
          <w:szCs w:val="22"/>
          <w:lang w:val="en-GB"/>
        </w:rPr>
        <w:t xml:space="preserve"> and Another</w:t>
      </w:r>
      <w:r w:rsidR="007D17C2" w:rsidRPr="007D17C2">
        <w:rPr>
          <w:rStyle w:val="FootnoteReference"/>
          <w:rFonts w:ascii="Verdana" w:hAnsi="Verdana" w:cs="Arial"/>
          <w:sz w:val="22"/>
          <w:szCs w:val="22"/>
          <w:lang w:val="en-GB"/>
        </w:rPr>
        <w:footnoteReference w:id="1"/>
      </w:r>
      <w:r w:rsidR="007D17C2">
        <w:rPr>
          <w:rFonts w:ascii="Verdana" w:hAnsi="Verdana" w:cs="Arial"/>
          <w:sz w:val="22"/>
          <w:szCs w:val="22"/>
          <w:lang w:val="en-GB"/>
        </w:rPr>
        <w:t xml:space="preserve"> the court held that the amended rule 32 appears to have raised the bar and onus for securing summary judgment. By implication a plaintiff must satisfy the court that the defendant has no defence on the merits, whereas under the old rule it was </w:t>
      </w:r>
      <w:r w:rsidR="007D17C2">
        <w:rPr>
          <w:rFonts w:ascii="Verdana" w:hAnsi="Verdana" w:cs="Arial"/>
          <w:sz w:val="22"/>
          <w:szCs w:val="22"/>
          <w:lang w:val="en-GB"/>
        </w:rPr>
        <w:lastRenderedPageBreak/>
        <w:t xml:space="preserve">sufficient to show that a defendant lacked a </w:t>
      </w:r>
      <w:r w:rsidR="007D17C2">
        <w:rPr>
          <w:rFonts w:ascii="Verdana" w:hAnsi="Verdana" w:cs="Arial"/>
          <w:i/>
          <w:iCs/>
          <w:sz w:val="22"/>
          <w:szCs w:val="22"/>
          <w:lang w:val="en-GB"/>
        </w:rPr>
        <w:t>bona fide</w:t>
      </w:r>
      <w:r w:rsidR="007D17C2">
        <w:rPr>
          <w:rFonts w:ascii="Verdana" w:hAnsi="Verdana" w:cs="Arial"/>
          <w:sz w:val="22"/>
          <w:szCs w:val="22"/>
          <w:lang w:val="en-GB"/>
        </w:rPr>
        <w:t xml:space="preserve"> defence.</w:t>
      </w:r>
      <w:r w:rsidR="007D17C2">
        <w:rPr>
          <w:rStyle w:val="FootnoteReference"/>
          <w:rFonts w:ascii="Verdana" w:hAnsi="Verdana" w:cs="Arial"/>
          <w:sz w:val="22"/>
          <w:szCs w:val="22"/>
          <w:lang w:val="en-GB"/>
        </w:rPr>
        <w:footnoteReference w:id="2"/>
      </w:r>
    </w:p>
    <w:p w14:paraId="579EE719" w14:textId="4A8E91F3" w:rsidR="007D17C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[30]</w:t>
      </w:r>
      <w:r>
        <w:rPr>
          <w:rFonts w:ascii="Verdana" w:hAnsi="Verdana" w:cs="Arial"/>
          <w:sz w:val="22"/>
          <w:szCs w:val="22"/>
          <w:lang w:val="en-GB"/>
        </w:rPr>
        <w:tab/>
      </w:r>
      <w:r w:rsidR="007D17C2">
        <w:rPr>
          <w:rFonts w:ascii="Verdana" w:hAnsi="Verdana" w:cs="Arial"/>
          <w:sz w:val="22"/>
          <w:szCs w:val="22"/>
          <w:lang w:val="en-GB"/>
        </w:rPr>
        <w:t>T</w:t>
      </w:r>
      <w:r w:rsidR="004C1C21">
        <w:rPr>
          <w:rFonts w:ascii="Verdana" w:hAnsi="Verdana" w:cs="Arial"/>
          <w:sz w:val="22"/>
          <w:szCs w:val="22"/>
          <w:lang w:val="en-GB"/>
        </w:rPr>
        <w:t>he Supreme Court of Appeal describes the rationale for summary judgment proceedings as follows:</w:t>
      </w:r>
      <w:r w:rsidR="004C1C21">
        <w:rPr>
          <w:rStyle w:val="FootnoteReference"/>
          <w:rFonts w:ascii="Verdana" w:hAnsi="Verdana" w:cs="Arial"/>
          <w:sz w:val="22"/>
          <w:szCs w:val="22"/>
          <w:lang w:val="en-GB"/>
        </w:rPr>
        <w:footnoteReference w:id="3"/>
      </w:r>
      <w:r w:rsidR="004C1C21">
        <w:rPr>
          <w:rFonts w:ascii="Verdana" w:hAnsi="Verdana" w:cs="Arial"/>
          <w:sz w:val="22"/>
          <w:szCs w:val="22"/>
          <w:lang w:val="en-GB"/>
        </w:rPr>
        <w:t> -</w:t>
      </w:r>
    </w:p>
    <w:p w14:paraId="172F9FA1" w14:textId="77777777" w:rsidR="006A3EAB" w:rsidRDefault="004C1C21" w:rsidP="006A3EAB">
      <w:pPr>
        <w:pStyle w:val="Indent"/>
        <w:widowControl w:val="0"/>
        <w:numPr>
          <w:ilvl w:val="0"/>
          <w:numId w:val="0"/>
        </w:numPr>
        <w:spacing w:after="240" w:line="360" w:lineRule="auto"/>
        <w:ind w:left="1440"/>
        <w:jc w:val="both"/>
        <w:rPr>
          <w:rFonts w:ascii="Verdana" w:hAnsi="Verdana" w:cs="Arial"/>
          <w:i/>
          <w:iCs/>
          <w:sz w:val="22"/>
          <w:szCs w:val="22"/>
          <w:lang w:val="en-GB"/>
        </w:rPr>
      </w:pPr>
      <w:r>
        <w:rPr>
          <w:rFonts w:ascii="Verdana" w:hAnsi="Verdana" w:cs="Arial"/>
          <w:i/>
          <w:iCs/>
          <w:sz w:val="22"/>
          <w:szCs w:val="22"/>
          <w:lang w:val="en-GB"/>
        </w:rPr>
        <w:t>“</w:t>
      </w:r>
      <w:r w:rsidR="006A3EAB">
        <w:rPr>
          <w:rFonts w:ascii="Verdana" w:hAnsi="Verdana" w:cs="Arial"/>
          <w:i/>
          <w:iCs/>
          <w:sz w:val="22"/>
          <w:szCs w:val="22"/>
          <w:lang w:val="en-GB"/>
        </w:rPr>
        <w:t xml:space="preserve">[32] </w:t>
      </w:r>
      <w:r w:rsidR="006A3EAB">
        <w:rPr>
          <w:rFonts w:ascii="Verdana" w:hAnsi="Verdana" w:cs="Arial"/>
          <w:i/>
          <w:iCs/>
          <w:sz w:val="22"/>
          <w:szCs w:val="22"/>
          <w:lang w:val="en-GB"/>
        </w:rPr>
        <w:tab/>
        <w:t xml:space="preserv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w:t>
      </w:r>
      <w:r w:rsidR="006A3EAB" w:rsidRPr="006A3EAB">
        <w:rPr>
          <w:i/>
          <w:iCs/>
          <w:szCs w:val="24"/>
          <w:lang w:val="en-GB"/>
        </w:rPr>
        <w:t>Maharaj</w:t>
      </w:r>
      <w:r w:rsidR="006A3EAB">
        <w:rPr>
          <w:rFonts w:ascii="Verdana" w:hAnsi="Verdana" w:cs="Arial"/>
          <w:i/>
          <w:iCs/>
          <w:sz w:val="22"/>
          <w:szCs w:val="22"/>
          <w:lang w:val="en-GB"/>
        </w:rPr>
        <w:t xml:space="preserve"> case at 425G </w:t>
      </w:r>
      <w:r w:rsidR="006A3EAB">
        <w:rPr>
          <w:rFonts w:ascii="Verdana" w:hAnsi="Verdana" w:cs="Arial"/>
          <w:i/>
          <w:iCs/>
          <w:sz w:val="22"/>
          <w:szCs w:val="22"/>
          <w:lang w:val="en-GB"/>
        </w:rPr>
        <w:noBreakHyphen/>
        <w:t> 426E, Corbett JA was keen to ensure, first, an examination of whether there has been sufficient disclosure by a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requiring of a defendant the precision apposite to pleadings. However, the learned judge was equally astute to ensure that recalcitrant debtors pay what is due to a creditor.</w:t>
      </w:r>
    </w:p>
    <w:p w14:paraId="0836454F" w14:textId="0EC057AF" w:rsidR="004C1C21" w:rsidRPr="004C1C21" w:rsidRDefault="006A3EAB" w:rsidP="006A3EAB">
      <w:pPr>
        <w:pStyle w:val="Indent"/>
        <w:widowControl w:val="0"/>
        <w:numPr>
          <w:ilvl w:val="0"/>
          <w:numId w:val="0"/>
        </w:numPr>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[33]</w:t>
      </w:r>
      <w:r>
        <w:rPr>
          <w:rFonts w:ascii="Verdana" w:hAnsi="Verdana" w:cs="Arial"/>
          <w:i/>
          <w:iCs/>
          <w:sz w:val="22"/>
          <w:szCs w:val="22"/>
          <w:lang w:val="en-GB"/>
        </w:rPr>
        <w:tab/>
        <w:t xml:space="preserve">Having regard to its purpose and its proper application, summary judgment proceedings only hold terrors and are drastic for a defendant who has no defence. Perhaps the time has come to discard these labels and to concentrate rather on the proper application of the rule, as set out with customary clarity and elegance by Corbett JA in the </w:t>
      </w:r>
      <w:r w:rsidRPr="006A3EAB">
        <w:rPr>
          <w:i/>
          <w:iCs/>
          <w:szCs w:val="24"/>
          <w:lang w:val="en-GB"/>
        </w:rPr>
        <w:t>Maharaj</w:t>
      </w:r>
      <w:r>
        <w:rPr>
          <w:rFonts w:ascii="Verdana" w:hAnsi="Verdana" w:cs="Arial"/>
          <w:i/>
          <w:iCs/>
          <w:sz w:val="22"/>
          <w:szCs w:val="22"/>
          <w:lang w:val="en-GB"/>
        </w:rPr>
        <w:t xml:space="preserve"> case at 425G – 426E.”</w:t>
      </w:r>
    </w:p>
    <w:p w14:paraId="6F3727E0" w14:textId="332C6E41" w:rsidR="004C1C21" w:rsidRPr="006A3EAB"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sidRPr="006A3EAB">
        <w:rPr>
          <w:rFonts w:ascii="Verdana" w:hAnsi="Verdana" w:cs="Arial"/>
          <w:sz w:val="22"/>
          <w:szCs w:val="22"/>
          <w:lang w:val="en-GB"/>
        </w:rPr>
        <w:lastRenderedPageBreak/>
        <w:t>[31]</w:t>
      </w:r>
      <w:r w:rsidRPr="006A3EAB">
        <w:rPr>
          <w:rFonts w:ascii="Verdana" w:hAnsi="Verdana" w:cs="Arial"/>
          <w:sz w:val="22"/>
          <w:szCs w:val="22"/>
          <w:lang w:val="en-GB"/>
        </w:rPr>
        <w:tab/>
      </w:r>
      <w:r w:rsidR="006A3EAB">
        <w:rPr>
          <w:rFonts w:ascii="Verdana" w:hAnsi="Verdana" w:cs="Arial"/>
          <w:sz w:val="22"/>
          <w:szCs w:val="22"/>
          <w:lang w:val="en-GB"/>
        </w:rPr>
        <w:t xml:space="preserve">This court in </w:t>
      </w:r>
      <w:proofErr w:type="spellStart"/>
      <w:r w:rsidR="006A3EAB">
        <w:rPr>
          <w:rFonts w:ascii="Verdana" w:hAnsi="Verdana" w:cs="Arial"/>
          <w:i/>
          <w:iCs/>
          <w:sz w:val="22"/>
          <w:szCs w:val="22"/>
          <w:lang w:val="en-GB"/>
        </w:rPr>
        <w:t>Raumix</w:t>
      </w:r>
      <w:proofErr w:type="spellEnd"/>
      <w:r w:rsidR="006A3EAB">
        <w:rPr>
          <w:rFonts w:ascii="Verdana" w:hAnsi="Verdana" w:cs="Arial"/>
          <w:i/>
          <w:iCs/>
          <w:sz w:val="22"/>
          <w:szCs w:val="22"/>
          <w:lang w:val="en-GB"/>
        </w:rPr>
        <w:t xml:space="preserve"> Aggregates (Pty) Ltd</w:t>
      </w:r>
      <w:r w:rsidR="006A3EAB" w:rsidRPr="006A3EAB">
        <w:rPr>
          <w:rStyle w:val="FootnoteReference"/>
          <w:rFonts w:ascii="Verdana" w:hAnsi="Verdana" w:cs="Arial"/>
          <w:sz w:val="22"/>
          <w:szCs w:val="22"/>
          <w:lang w:val="en-GB"/>
        </w:rPr>
        <w:footnoteReference w:id="4"/>
      </w:r>
      <w:r w:rsidR="006A3EAB" w:rsidRPr="006A3EAB">
        <w:rPr>
          <w:rFonts w:ascii="Verdana" w:hAnsi="Verdana" w:cs="Arial"/>
          <w:sz w:val="22"/>
          <w:szCs w:val="22"/>
          <w:lang w:val="en-GB"/>
        </w:rPr>
        <w:t xml:space="preserve"> </w:t>
      </w:r>
      <w:r w:rsidR="006A3EAB" w:rsidRPr="006A3EAB">
        <w:rPr>
          <w:rFonts w:ascii="Verdana" w:hAnsi="Verdana" w:cs="Arial"/>
          <w:sz w:val="22"/>
          <w:szCs w:val="22"/>
          <w:lang w:val="en-ZA"/>
        </w:rPr>
        <w:t>had occasion to scrutinise the purpose of summary judgment proceedings after the promulgation of the amended rule</w:t>
      </w:r>
      <w:r w:rsidR="006A3EAB">
        <w:rPr>
          <w:rFonts w:ascii="Verdana" w:hAnsi="Verdana" w:cs="Arial"/>
          <w:sz w:val="22"/>
          <w:szCs w:val="22"/>
          <w:lang w:val="en-ZA"/>
        </w:rPr>
        <w:t>: -</w:t>
      </w:r>
    </w:p>
    <w:p w14:paraId="3EFE6E13" w14:textId="4336ECFE" w:rsidR="006A3EAB" w:rsidRPr="006A3EAB" w:rsidRDefault="006A3EAB" w:rsidP="006A3EAB">
      <w:pPr>
        <w:pStyle w:val="Indent"/>
        <w:widowControl w:val="0"/>
        <w:numPr>
          <w:ilvl w:val="0"/>
          <w:numId w:val="0"/>
        </w:numPr>
        <w:spacing w:after="360" w:line="360" w:lineRule="auto"/>
        <w:ind w:left="1440"/>
        <w:jc w:val="both"/>
        <w:rPr>
          <w:rFonts w:ascii="Verdana" w:hAnsi="Verdana" w:cs="Arial"/>
          <w:i/>
          <w:iCs/>
          <w:sz w:val="22"/>
          <w:szCs w:val="22"/>
          <w:lang w:val="en-GB"/>
        </w:rPr>
      </w:pPr>
      <w:r>
        <w:rPr>
          <w:rFonts w:ascii="Verdana" w:hAnsi="Verdana" w:cs="Arial"/>
          <w:i/>
          <w:iCs/>
          <w:sz w:val="22"/>
          <w:szCs w:val="22"/>
          <w:lang w:val="en-ZA"/>
        </w:rPr>
        <w:t>“The purpose of a summary judgment application is to allow the court to summarily dispense with actions that ought not to proceed to trial because they do not raise a genuine triable issue, thereby conserving scare judicial resources and improving access to justice. Once an application for summary judgment is brought, the applicant obtains a substantive right for that application to be heard, and, bearing in mind the purpose of summary judgment, that hearing should be as soon as possible. That right is protected under section 34 of the Constitution.”</w:t>
      </w:r>
    </w:p>
    <w:p w14:paraId="68BE6B90" w14:textId="78823712" w:rsidR="006A3EAB" w:rsidRPr="006A3EAB" w:rsidRDefault="006A3EAB" w:rsidP="006A3EAB">
      <w:pPr>
        <w:pStyle w:val="Indent"/>
        <w:keepNex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DELIBERATION</w:t>
      </w:r>
    </w:p>
    <w:p w14:paraId="7BFA287B" w14:textId="5F329935" w:rsidR="006A3EAB"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[32]</w:t>
      </w:r>
      <w:r>
        <w:rPr>
          <w:rFonts w:ascii="Verdana" w:hAnsi="Verdana" w:cs="Arial"/>
          <w:sz w:val="22"/>
          <w:szCs w:val="22"/>
          <w:lang w:val="en-GB"/>
        </w:rPr>
        <w:tab/>
      </w:r>
      <w:r w:rsidR="006A3EAB">
        <w:rPr>
          <w:rFonts w:ascii="Verdana" w:hAnsi="Verdana" w:cs="Arial"/>
          <w:sz w:val="22"/>
          <w:szCs w:val="22"/>
          <w:lang w:val="en-GB"/>
        </w:rPr>
        <w:t xml:space="preserve">I am satisfied that the applicant’s affidavit in support of the application for summary judgment complies with the provisions of the amended rule 32. The applicant has done more than present a </w:t>
      </w:r>
      <w:r w:rsidR="006A3EAB" w:rsidRPr="006A3EAB">
        <w:rPr>
          <w:rFonts w:ascii="Verdana" w:hAnsi="Verdana" w:cs="Arial"/>
          <w:i/>
          <w:iCs/>
          <w:sz w:val="22"/>
          <w:szCs w:val="22"/>
          <w:lang w:val="en-GB"/>
        </w:rPr>
        <w:t>“formul</w:t>
      </w:r>
      <w:r w:rsidR="006A3EAB">
        <w:rPr>
          <w:rFonts w:ascii="Verdana" w:hAnsi="Verdana" w:cs="Arial"/>
          <w:i/>
          <w:iCs/>
          <w:sz w:val="22"/>
          <w:szCs w:val="22"/>
          <w:lang w:val="en-GB"/>
        </w:rPr>
        <w:t>aic</w:t>
      </w:r>
      <w:r w:rsidR="006A3EAB" w:rsidRPr="006A3EAB">
        <w:rPr>
          <w:rFonts w:ascii="Verdana" w:hAnsi="Verdana" w:cs="Arial"/>
          <w:i/>
          <w:iCs/>
          <w:sz w:val="22"/>
          <w:szCs w:val="22"/>
          <w:lang w:val="en-GB"/>
        </w:rPr>
        <w:t>”</w:t>
      </w:r>
      <w:r w:rsidR="006A3EAB">
        <w:rPr>
          <w:rStyle w:val="FootnoteReference"/>
          <w:rFonts w:ascii="Verdana" w:hAnsi="Verdana" w:cs="Arial"/>
          <w:i/>
          <w:iCs/>
          <w:sz w:val="22"/>
          <w:szCs w:val="22"/>
          <w:lang w:val="en-GB"/>
        </w:rPr>
        <w:footnoteReference w:id="5"/>
      </w:r>
      <w:r w:rsidR="006A3EAB" w:rsidRPr="006A3EAB">
        <w:rPr>
          <w:rFonts w:ascii="Verdana" w:hAnsi="Verdana" w:cs="Arial"/>
          <w:sz w:val="22"/>
          <w:szCs w:val="22"/>
          <w:lang w:val="en-GB"/>
        </w:rPr>
        <w:t xml:space="preserve"> affidavit and has engaged with the content of the plea </w:t>
      </w:r>
      <w:proofErr w:type="gramStart"/>
      <w:r w:rsidR="006A3EAB" w:rsidRPr="006A3EAB">
        <w:rPr>
          <w:rFonts w:ascii="Verdana" w:hAnsi="Verdana" w:cs="Arial"/>
          <w:sz w:val="22"/>
          <w:szCs w:val="22"/>
          <w:lang w:val="en-GB"/>
        </w:rPr>
        <w:t>in order to</w:t>
      </w:r>
      <w:proofErr w:type="gramEnd"/>
      <w:r w:rsidR="006A3EAB" w:rsidRPr="006A3EAB">
        <w:rPr>
          <w:rFonts w:ascii="Verdana" w:hAnsi="Verdana" w:cs="Arial"/>
          <w:sz w:val="22"/>
          <w:szCs w:val="22"/>
          <w:lang w:val="en-GB"/>
        </w:rPr>
        <w:t xml:space="preserve"> substantiate its averment that the defence is not </w:t>
      </w:r>
      <w:r w:rsidR="006A3EAB" w:rsidRPr="006A3EAB">
        <w:rPr>
          <w:rFonts w:ascii="Verdana" w:hAnsi="Verdana" w:cs="Arial"/>
          <w:i/>
          <w:iCs/>
          <w:sz w:val="22"/>
          <w:szCs w:val="22"/>
          <w:lang w:val="en-GB"/>
        </w:rPr>
        <w:t>bona fide</w:t>
      </w:r>
      <w:r w:rsidR="006A3EAB" w:rsidRPr="006A3EAB">
        <w:rPr>
          <w:rFonts w:ascii="Verdana" w:hAnsi="Verdana" w:cs="Arial"/>
          <w:sz w:val="22"/>
          <w:szCs w:val="22"/>
          <w:lang w:val="en-GB"/>
        </w:rPr>
        <w:t xml:space="preserve"> and has been raised only to delay </w:t>
      </w:r>
      <w:r w:rsidR="006A3EAB">
        <w:rPr>
          <w:rFonts w:ascii="Verdana" w:hAnsi="Verdana" w:cs="Arial"/>
          <w:sz w:val="22"/>
          <w:szCs w:val="22"/>
          <w:lang w:val="en-GB"/>
        </w:rPr>
        <w:t xml:space="preserve">the claim. </w:t>
      </w:r>
    </w:p>
    <w:p w14:paraId="3D2AE5E1" w14:textId="68C4C125" w:rsidR="00D36EB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[33]</w:t>
      </w:r>
      <w:r>
        <w:rPr>
          <w:rFonts w:ascii="Verdana" w:hAnsi="Verdana" w:cs="Arial"/>
          <w:sz w:val="22"/>
          <w:szCs w:val="22"/>
          <w:lang w:val="en-GB"/>
        </w:rPr>
        <w:tab/>
      </w:r>
      <w:r w:rsidR="00D36EB2">
        <w:rPr>
          <w:rFonts w:ascii="Verdana" w:hAnsi="Verdana" w:cs="Arial"/>
          <w:sz w:val="22"/>
          <w:szCs w:val="22"/>
          <w:lang w:val="en-GB"/>
        </w:rPr>
        <w:t xml:space="preserve">On the other hand, the respondent failed to engage meaningfully with the additional material now required to be dealt with by the applicant in the affidavit for summary judgment. Considering the contradiction in the </w:t>
      </w:r>
      <w:r w:rsidR="00D36EB2">
        <w:rPr>
          <w:rFonts w:ascii="Verdana" w:hAnsi="Verdana" w:cs="Arial"/>
          <w:sz w:val="22"/>
          <w:szCs w:val="22"/>
          <w:lang w:val="en-GB"/>
        </w:rPr>
        <w:lastRenderedPageBreak/>
        <w:t xml:space="preserve">answering affidavit and the plea and the absence of any explanation for such contradiction, I am of the view that the bare denial of the applicant’s claim is not </w:t>
      </w:r>
      <w:proofErr w:type="gramStart"/>
      <w:r w:rsidR="00D36EB2">
        <w:rPr>
          <w:rFonts w:ascii="Verdana" w:hAnsi="Verdana" w:cs="Arial"/>
          <w:i/>
          <w:iCs/>
          <w:sz w:val="22"/>
          <w:szCs w:val="22"/>
          <w:lang w:val="en-GB"/>
        </w:rPr>
        <w:t>bona fide</w:t>
      </w:r>
      <w:proofErr w:type="gramEnd"/>
      <w:r w:rsidR="00D36EB2">
        <w:rPr>
          <w:rFonts w:ascii="Verdana" w:hAnsi="Verdana" w:cs="Arial"/>
          <w:sz w:val="22"/>
          <w:szCs w:val="22"/>
          <w:lang w:val="en-GB"/>
        </w:rPr>
        <w:t xml:space="preserve"> and that the respondent has failed to raise any triable issues. </w:t>
      </w:r>
    </w:p>
    <w:p w14:paraId="2E5FE213" w14:textId="3A3A470E" w:rsidR="00D36EB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[34]</w:t>
      </w:r>
      <w:r>
        <w:rPr>
          <w:rFonts w:ascii="Verdana" w:hAnsi="Verdana" w:cs="Arial"/>
          <w:sz w:val="22"/>
          <w:szCs w:val="22"/>
          <w:lang w:val="en-GB"/>
        </w:rPr>
        <w:tab/>
      </w:r>
      <w:r w:rsidR="00D36EB2">
        <w:rPr>
          <w:rFonts w:ascii="Verdana" w:hAnsi="Verdana" w:cs="Arial"/>
          <w:sz w:val="22"/>
          <w:szCs w:val="22"/>
          <w:lang w:val="en-GB"/>
        </w:rPr>
        <w:t xml:space="preserve">In the circumstances, summary judgment should be granted. </w:t>
      </w:r>
    </w:p>
    <w:p w14:paraId="064B9ADD" w14:textId="36DFD3C5" w:rsidR="00D36EB2" w:rsidRPr="00D36EB2" w:rsidRDefault="00D36EB2" w:rsidP="00D36EB2">
      <w:pPr>
        <w:pStyle w:val="Indent"/>
        <w:keepNext/>
        <w:widowControl w:val="0"/>
        <w:numPr>
          <w:ilvl w:val="0"/>
          <w:numId w:val="0"/>
        </w:numPr>
        <w:spacing w:after="360" w:line="480" w:lineRule="auto"/>
        <w:jc w:val="both"/>
        <w:rPr>
          <w:rFonts w:ascii="Verdana" w:hAnsi="Verdana" w:cs="Arial"/>
          <w:b/>
          <w:bCs/>
          <w:sz w:val="22"/>
          <w:szCs w:val="22"/>
          <w:lang w:val="en-GB"/>
        </w:rPr>
      </w:pPr>
      <w:r>
        <w:rPr>
          <w:rFonts w:ascii="Verdana" w:hAnsi="Verdana" w:cs="Arial"/>
          <w:b/>
          <w:bCs/>
          <w:sz w:val="22"/>
          <w:szCs w:val="22"/>
          <w:lang w:val="en-GB"/>
        </w:rPr>
        <w:t>COSTS</w:t>
      </w:r>
    </w:p>
    <w:p w14:paraId="3A44EAEE" w14:textId="41000E88" w:rsidR="00603F5C"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[35]</w:t>
      </w:r>
      <w:r>
        <w:rPr>
          <w:rFonts w:ascii="Verdana" w:hAnsi="Verdana" w:cs="Arial"/>
          <w:sz w:val="22"/>
          <w:szCs w:val="22"/>
          <w:lang w:val="en-GB"/>
        </w:rPr>
        <w:tab/>
      </w:r>
      <w:r w:rsidR="00D36EB2">
        <w:rPr>
          <w:rFonts w:ascii="Verdana" w:hAnsi="Verdana" w:cs="Arial"/>
          <w:sz w:val="22"/>
          <w:szCs w:val="22"/>
          <w:lang w:val="en-GB"/>
        </w:rPr>
        <w:t>The general rule is that costs follow the result and that this rule should not be deviated from, except where there are good grounds advanced to do so.</w:t>
      </w:r>
      <w:r w:rsidR="00D36EB2">
        <w:rPr>
          <w:rStyle w:val="FootnoteReference"/>
          <w:rFonts w:ascii="Verdana" w:hAnsi="Verdana" w:cs="Arial"/>
          <w:sz w:val="22"/>
          <w:szCs w:val="22"/>
          <w:lang w:val="en-GB"/>
        </w:rPr>
        <w:footnoteReference w:id="6"/>
      </w:r>
      <w:r w:rsidR="00D36EB2">
        <w:rPr>
          <w:rFonts w:ascii="Verdana" w:hAnsi="Verdana" w:cs="Arial"/>
          <w:sz w:val="22"/>
          <w:szCs w:val="22"/>
          <w:lang w:val="en-GB"/>
        </w:rPr>
        <w:t xml:space="preserve"> </w:t>
      </w:r>
    </w:p>
    <w:p w14:paraId="77F376AF" w14:textId="5642DDDB" w:rsidR="00D36EB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[36]</w:t>
      </w:r>
      <w:r>
        <w:rPr>
          <w:rFonts w:ascii="Verdana" w:hAnsi="Verdana" w:cs="Arial"/>
          <w:sz w:val="22"/>
          <w:szCs w:val="22"/>
          <w:lang w:val="en-GB"/>
        </w:rPr>
        <w:tab/>
      </w:r>
      <w:r w:rsidR="00D36EB2">
        <w:rPr>
          <w:rFonts w:ascii="Verdana" w:hAnsi="Verdana" w:cs="Arial"/>
          <w:sz w:val="22"/>
          <w:szCs w:val="22"/>
          <w:lang w:val="en-GB"/>
        </w:rPr>
        <w:t xml:space="preserve">The subcontract concluded between the parties does not provide for attorney and client costs. In my view no facts in support of a punitive costs order have been advanced in either the particulars of claim or the affidavit in support of the summary judgment application. </w:t>
      </w:r>
    </w:p>
    <w:p w14:paraId="61B2FD6A" w14:textId="2D815912" w:rsidR="00D36EB2" w:rsidRDefault="00975B3A" w:rsidP="00975B3A">
      <w:pPr>
        <w:pStyle w:val="Indent"/>
        <w:widowControl w:val="0"/>
        <w:numPr>
          <w:ilvl w:val="0"/>
          <w:numId w:val="0"/>
        </w:numPr>
        <w:spacing w:after="360" w:line="480" w:lineRule="auto"/>
        <w:ind w:left="720" w:hanging="720"/>
        <w:jc w:val="both"/>
        <w:rPr>
          <w:rFonts w:ascii="Verdana" w:hAnsi="Verdana" w:cs="Arial"/>
          <w:sz w:val="22"/>
          <w:szCs w:val="22"/>
          <w:lang w:val="en-GB"/>
        </w:rPr>
      </w:pPr>
      <w:r>
        <w:rPr>
          <w:rFonts w:ascii="Verdana" w:hAnsi="Verdana" w:cs="Arial"/>
          <w:sz w:val="22"/>
          <w:szCs w:val="22"/>
          <w:lang w:val="en-GB"/>
        </w:rPr>
        <w:t>[37]</w:t>
      </w:r>
      <w:r>
        <w:rPr>
          <w:rFonts w:ascii="Verdana" w:hAnsi="Verdana" w:cs="Arial"/>
          <w:sz w:val="22"/>
          <w:szCs w:val="22"/>
          <w:lang w:val="en-GB"/>
        </w:rPr>
        <w:tab/>
      </w:r>
      <w:r w:rsidR="00D36EB2">
        <w:rPr>
          <w:rFonts w:ascii="Verdana" w:hAnsi="Verdana" w:cs="Arial"/>
          <w:sz w:val="22"/>
          <w:szCs w:val="22"/>
          <w:lang w:val="en-GB"/>
        </w:rPr>
        <w:t xml:space="preserve">Accordingly, I am not inclined to grant a costs order as prayed for. </w:t>
      </w:r>
    </w:p>
    <w:p w14:paraId="6B89A59A" w14:textId="30E7F2CA" w:rsidR="00CF5EF4" w:rsidRPr="00CF5EF4" w:rsidRDefault="00CF5EF4" w:rsidP="00CF5EF4">
      <w:pPr>
        <w:pStyle w:val="Indent"/>
        <w:keepNext/>
        <w:widowControl w:val="0"/>
        <w:numPr>
          <w:ilvl w:val="0"/>
          <w:numId w:val="0"/>
        </w:numPr>
        <w:shd w:val="clear" w:color="auto" w:fill="FFFFFF" w:themeFill="background1"/>
        <w:spacing w:after="360" w:line="480" w:lineRule="auto"/>
        <w:jc w:val="both"/>
        <w:rPr>
          <w:rFonts w:ascii="Verdana" w:hAnsi="Verdana"/>
          <w:b/>
          <w:sz w:val="22"/>
          <w:szCs w:val="22"/>
          <w:lang w:val="en-GB"/>
        </w:rPr>
      </w:pPr>
      <w:r w:rsidRPr="00CF5EF4">
        <w:rPr>
          <w:rFonts w:ascii="Verdana" w:hAnsi="Verdana"/>
          <w:b/>
          <w:sz w:val="22"/>
          <w:szCs w:val="22"/>
          <w:lang w:val="en-GB"/>
        </w:rPr>
        <w:t>ORDER</w:t>
      </w:r>
    </w:p>
    <w:p w14:paraId="3BBEC366" w14:textId="33570C58" w:rsidR="00F02BDF" w:rsidRDefault="00975B3A" w:rsidP="00975B3A">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Pr>
          <w:rFonts w:ascii="Verdana" w:hAnsi="Verdana"/>
          <w:sz w:val="22"/>
          <w:szCs w:val="22"/>
          <w:lang w:val="en-GB"/>
        </w:rPr>
        <w:t>[38]</w:t>
      </w:r>
      <w:r>
        <w:rPr>
          <w:rFonts w:ascii="Verdana" w:hAnsi="Verdana"/>
          <w:sz w:val="22"/>
          <w:szCs w:val="22"/>
          <w:lang w:val="en-GB"/>
        </w:rPr>
        <w:tab/>
      </w:r>
      <w:r w:rsidR="00CF5EF4">
        <w:rPr>
          <w:rFonts w:ascii="Verdana" w:hAnsi="Verdana"/>
          <w:sz w:val="22"/>
          <w:szCs w:val="22"/>
          <w:lang w:val="en-GB"/>
        </w:rPr>
        <w:t>I</w:t>
      </w:r>
      <w:r w:rsidR="00D36EB2">
        <w:rPr>
          <w:rFonts w:ascii="Verdana" w:hAnsi="Verdana"/>
          <w:sz w:val="22"/>
          <w:szCs w:val="22"/>
          <w:lang w:val="en-GB"/>
        </w:rPr>
        <w:t xml:space="preserve"> therefore </w:t>
      </w:r>
      <w:r w:rsidR="00CF5EF4">
        <w:rPr>
          <w:rFonts w:ascii="Verdana" w:hAnsi="Verdana"/>
          <w:sz w:val="22"/>
          <w:szCs w:val="22"/>
          <w:lang w:val="en-GB"/>
        </w:rPr>
        <w:t>make the following order: -</w:t>
      </w:r>
    </w:p>
    <w:p w14:paraId="3D68838C" w14:textId="2028C54D" w:rsidR="00D36EB2" w:rsidRDefault="00CF5EF4" w:rsidP="00CF5EF4">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w:t>
      </w:r>
      <w:r w:rsidR="00D36EB2">
        <w:rPr>
          <w:rFonts w:ascii="Verdana" w:hAnsi="Verdana"/>
          <w:i/>
          <w:sz w:val="22"/>
          <w:szCs w:val="22"/>
          <w:lang w:val="en-GB"/>
        </w:rPr>
        <w:t>Summary judgment is granted against the defendant for: -</w:t>
      </w:r>
    </w:p>
    <w:p w14:paraId="457F403A" w14:textId="7ED45893" w:rsidR="00D36EB2" w:rsidRDefault="00975B3A" w:rsidP="00975B3A">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1.</w:t>
      </w:r>
      <w:r>
        <w:rPr>
          <w:rFonts w:ascii="Verdana" w:hAnsi="Verdana"/>
          <w:i/>
          <w:sz w:val="22"/>
          <w:szCs w:val="22"/>
          <w:lang w:val="en-GB"/>
        </w:rPr>
        <w:tab/>
      </w:r>
      <w:r w:rsidR="00D36EB2">
        <w:rPr>
          <w:rFonts w:ascii="Verdana" w:hAnsi="Verdana"/>
          <w:i/>
          <w:sz w:val="22"/>
          <w:szCs w:val="22"/>
          <w:lang w:val="en-GB"/>
        </w:rPr>
        <w:t>Payment of the amount of R973 </w:t>
      </w:r>
      <w:proofErr w:type="gramStart"/>
      <w:r w:rsidR="00D36EB2">
        <w:rPr>
          <w:rFonts w:ascii="Verdana" w:hAnsi="Verdana"/>
          <w:i/>
          <w:sz w:val="22"/>
          <w:szCs w:val="22"/>
          <w:lang w:val="en-GB"/>
        </w:rPr>
        <w:t>356.92;</w:t>
      </w:r>
      <w:proofErr w:type="gramEnd"/>
    </w:p>
    <w:p w14:paraId="0864B914" w14:textId="34280854" w:rsidR="00603F5C" w:rsidRDefault="00975B3A" w:rsidP="00975B3A">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2.</w:t>
      </w:r>
      <w:r>
        <w:rPr>
          <w:rFonts w:ascii="Verdana" w:hAnsi="Verdana"/>
          <w:i/>
          <w:sz w:val="22"/>
          <w:szCs w:val="22"/>
          <w:lang w:val="en-GB"/>
        </w:rPr>
        <w:tab/>
      </w:r>
      <w:r w:rsidR="00D36EB2" w:rsidRPr="00D36EB2">
        <w:rPr>
          <w:rFonts w:ascii="Verdana" w:hAnsi="Verdana"/>
          <w:i/>
          <w:sz w:val="22"/>
          <w:szCs w:val="22"/>
          <w:lang w:val="en-GB"/>
        </w:rPr>
        <w:t xml:space="preserve">Interest on the amount of R973 356.92 at the rate of 7.75 % per annum from 26 August 2021, being the date of service of </w:t>
      </w:r>
      <w:r w:rsidR="00D36EB2" w:rsidRPr="00D36EB2">
        <w:rPr>
          <w:rFonts w:ascii="Verdana" w:hAnsi="Verdana"/>
          <w:i/>
          <w:sz w:val="22"/>
          <w:szCs w:val="22"/>
          <w:lang w:val="en-GB"/>
        </w:rPr>
        <w:lastRenderedPageBreak/>
        <w:t>summons, until payment in full.</w:t>
      </w:r>
    </w:p>
    <w:p w14:paraId="0550A2AC" w14:textId="435BCF2F" w:rsidR="00CF5EF4" w:rsidRPr="00D36EB2" w:rsidRDefault="00975B3A" w:rsidP="00975B3A">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sidRPr="00D36EB2">
        <w:rPr>
          <w:rFonts w:ascii="Verdana" w:hAnsi="Verdana"/>
          <w:i/>
          <w:sz w:val="22"/>
          <w:szCs w:val="22"/>
          <w:lang w:val="en-GB"/>
        </w:rPr>
        <w:t>3.</w:t>
      </w:r>
      <w:r w:rsidRPr="00D36EB2">
        <w:rPr>
          <w:rFonts w:ascii="Verdana" w:hAnsi="Verdana"/>
          <w:i/>
          <w:sz w:val="22"/>
          <w:szCs w:val="22"/>
          <w:lang w:val="en-GB"/>
        </w:rPr>
        <w:tab/>
      </w:r>
      <w:r w:rsidR="00D36EB2" w:rsidRPr="00D36EB2">
        <w:rPr>
          <w:rFonts w:ascii="Verdana" w:hAnsi="Verdana"/>
          <w:i/>
          <w:sz w:val="22"/>
          <w:szCs w:val="22"/>
          <w:lang w:val="en-GB"/>
        </w:rPr>
        <w:t>Costs of suit on the scale as between party and party.”</w:t>
      </w:r>
    </w:p>
    <w:p w14:paraId="6AC6D7F1" w14:textId="77777777" w:rsidR="00143B46" w:rsidRDefault="00143B46" w:rsidP="003D69CB">
      <w:pPr>
        <w:keepNext/>
        <w:widowControl w:val="0"/>
        <w:spacing w:after="0" w:line="360" w:lineRule="auto"/>
        <w:ind w:left="3600" w:firstLine="720"/>
        <w:rPr>
          <w:rFonts w:ascii="Verdana" w:hAnsi="Verdana" w:cs="Arial"/>
          <w:lang w:val="en-GB"/>
        </w:rPr>
      </w:pPr>
    </w:p>
    <w:p w14:paraId="1E96BEAD" w14:textId="0061B7D3" w:rsidR="00D16AA1" w:rsidRDefault="00CD05FE" w:rsidP="003D69CB">
      <w:pPr>
        <w:keepNext/>
        <w:widowControl w:val="0"/>
        <w:spacing w:after="0" w:line="360" w:lineRule="auto"/>
        <w:ind w:left="3600" w:firstLine="720"/>
        <w:rPr>
          <w:noProof/>
          <w:lang w:eastAsia="en-ZA"/>
        </w:rPr>
      </w:pPr>
      <w:r w:rsidRPr="006D0C59">
        <w:rPr>
          <w:rFonts w:ascii="Verdana" w:hAnsi="Verdana" w:cs="Arial"/>
          <w:lang w:val="en-GB"/>
        </w:rPr>
        <w:t xml:space="preserve">      </w:t>
      </w:r>
    </w:p>
    <w:p w14:paraId="3FD5D9F1" w14:textId="77777777" w:rsidR="00DD0B05" w:rsidRPr="006D0C59" w:rsidRDefault="00DD0B05" w:rsidP="003D69CB">
      <w:pPr>
        <w:keepNext/>
        <w:widowControl w:val="0"/>
        <w:spacing w:after="0" w:line="360" w:lineRule="auto"/>
        <w:ind w:left="3600" w:firstLine="720"/>
        <w:rPr>
          <w:rFonts w:ascii="Verdana" w:hAnsi="Verdana" w:cs="Arial"/>
          <w:lang w:val="en-GB"/>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386CF6" w:rsidRPr="006D0C59" w14:paraId="78DE0AC8" w14:textId="77777777" w:rsidTr="00386CF6">
        <w:tc>
          <w:tcPr>
            <w:tcW w:w="4598" w:type="dxa"/>
            <w:tcBorders>
              <w:top w:val="single" w:sz="4" w:space="0" w:color="auto"/>
            </w:tcBorders>
          </w:tcPr>
          <w:p w14:paraId="2FAC1CEA" w14:textId="77777777" w:rsidR="00386CF6" w:rsidRPr="006D0C59" w:rsidRDefault="00386CF6" w:rsidP="003D69CB">
            <w:pPr>
              <w:keepNext/>
              <w:widowControl w:val="0"/>
              <w:jc w:val="center"/>
              <w:rPr>
                <w:rFonts w:ascii="Verdana" w:hAnsi="Verdana" w:cs="Arial"/>
                <w:b/>
                <w:lang w:val="en-GB"/>
              </w:rPr>
            </w:pPr>
          </w:p>
        </w:tc>
      </w:tr>
      <w:tr w:rsidR="00386CF6" w:rsidRPr="006D0C59" w14:paraId="21B119EF" w14:textId="77777777" w:rsidTr="00386CF6">
        <w:tc>
          <w:tcPr>
            <w:tcW w:w="4598" w:type="dxa"/>
          </w:tcPr>
          <w:p w14:paraId="79508952" w14:textId="6B57DA6E" w:rsidR="00386CF6" w:rsidRPr="006D0C59" w:rsidRDefault="00CA7DFE" w:rsidP="003D69CB">
            <w:pPr>
              <w:keepNext/>
              <w:widowControl w:val="0"/>
              <w:jc w:val="center"/>
              <w:rPr>
                <w:rFonts w:ascii="Verdana" w:hAnsi="Verdana" w:cs="Arial"/>
                <w:b/>
                <w:lang w:val="en-GB"/>
              </w:rPr>
            </w:pPr>
            <w:r w:rsidRPr="006D0C59">
              <w:rPr>
                <w:rFonts w:ascii="Verdana" w:hAnsi="Verdana" w:cs="Arial"/>
                <w:b/>
                <w:lang w:val="en-GB"/>
              </w:rPr>
              <w:t>F BEZUIDENHOUT</w:t>
            </w:r>
          </w:p>
        </w:tc>
      </w:tr>
      <w:tr w:rsidR="00386CF6" w:rsidRPr="006D0C59" w14:paraId="0B981C37" w14:textId="77777777" w:rsidTr="00386CF6">
        <w:tc>
          <w:tcPr>
            <w:tcW w:w="4598" w:type="dxa"/>
          </w:tcPr>
          <w:p w14:paraId="223CA524" w14:textId="77777777" w:rsidR="00386CF6" w:rsidRPr="006D0C59" w:rsidRDefault="00386CF6" w:rsidP="003D69CB">
            <w:pPr>
              <w:keepNext/>
              <w:widowControl w:val="0"/>
              <w:jc w:val="center"/>
              <w:rPr>
                <w:rFonts w:ascii="Verdana" w:hAnsi="Verdana" w:cs="Arial"/>
                <w:b/>
                <w:lang w:val="en-GB"/>
              </w:rPr>
            </w:pPr>
          </w:p>
        </w:tc>
      </w:tr>
      <w:tr w:rsidR="00386CF6" w:rsidRPr="006D0C59" w14:paraId="14E05DDE" w14:textId="77777777" w:rsidTr="00386CF6">
        <w:tc>
          <w:tcPr>
            <w:tcW w:w="4598" w:type="dxa"/>
          </w:tcPr>
          <w:p w14:paraId="657F1E0E" w14:textId="77777777" w:rsidR="00E478FD" w:rsidRPr="006D0C59" w:rsidRDefault="00E478FD" w:rsidP="003D69CB">
            <w:pPr>
              <w:keepNext/>
              <w:widowControl w:val="0"/>
              <w:jc w:val="center"/>
              <w:rPr>
                <w:rFonts w:ascii="Verdana" w:hAnsi="Verdana" w:cs="Arial"/>
                <w:b/>
                <w:lang w:val="en-GB"/>
              </w:rPr>
            </w:pPr>
            <w:r w:rsidRPr="006D0C59">
              <w:rPr>
                <w:rFonts w:ascii="Verdana" w:hAnsi="Verdana" w:cs="Arial"/>
                <w:b/>
                <w:lang w:val="en-GB"/>
              </w:rPr>
              <w:t xml:space="preserve">ACTING </w:t>
            </w:r>
            <w:r w:rsidR="00386CF6" w:rsidRPr="006D0C59">
              <w:rPr>
                <w:rFonts w:ascii="Verdana" w:hAnsi="Verdana" w:cs="Arial"/>
                <w:b/>
                <w:lang w:val="en-GB"/>
              </w:rPr>
              <w:t xml:space="preserve">JUDGE OF </w:t>
            </w:r>
          </w:p>
          <w:p w14:paraId="58B0E224" w14:textId="77777777" w:rsidR="00386CF6" w:rsidRPr="006D0C59" w:rsidRDefault="00386CF6" w:rsidP="003D69CB">
            <w:pPr>
              <w:keepNext/>
              <w:widowControl w:val="0"/>
              <w:jc w:val="center"/>
              <w:rPr>
                <w:rFonts w:ascii="Verdana" w:hAnsi="Verdana" w:cs="Arial"/>
                <w:lang w:val="en-GB"/>
              </w:rPr>
            </w:pPr>
            <w:r w:rsidRPr="006D0C59">
              <w:rPr>
                <w:rFonts w:ascii="Verdana" w:hAnsi="Verdana" w:cs="Arial"/>
                <w:b/>
                <w:lang w:val="en-GB"/>
              </w:rPr>
              <w:t>THE HIGH COURT</w:t>
            </w:r>
          </w:p>
        </w:tc>
      </w:tr>
    </w:tbl>
    <w:p w14:paraId="6B1048F6" w14:textId="630F310A" w:rsidR="00BC696C" w:rsidRDefault="00BC696C" w:rsidP="003D69CB">
      <w:pPr>
        <w:widowControl w:val="0"/>
        <w:spacing w:after="360" w:line="240" w:lineRule="auto"/>
        <w:rPr>
          <w:rFonts w:ascii="Verdana" w:hAnsi="Verdana" w:cs="Arial"/>
          <w:b/>
          <w:lang w:val="en-GB"/>
        </w:rPr>
      </w:pPr>
    </w:p>
    <w:p w14:paraId="58D934C8" w14:textId="77777777" w:rsidR="00410D25" w:rsidRPr="006D0C59" w:rsidRDefault="00410D25" w:rsidP="003D69CB">
      <w:pPr>
        <w:widowControl w:val="0"/>
        <w:spacing w:after="360" w:line="240" w:lineRule="auto"/>
        <w:rPr>
          <w:rFonts w:ascii="Verdana" w:hAnsi="Verdana" w:cs="Arial"/>
          <w:b/>
          <w:lang w:val="en-GB"/>
        </w:rPr>
      </w:pPr>
    </w:p>
    <w:p w14:paraId="7C344E2A" w14:textId="2304CC71" w:rsidR="005E68B0" w:rsidRPr="006D0C59" w:rsidRDefault="005E68B0" w:rsidP="00C96C10">
      <w:pPr>
        <w:keepNext/>
        <w:widowControl w:val="0"/>
        <w:tabs>
          <w:tab w:val="left" w:pos="3969"/>
        </w:tabs>
        <w:spacing w:after="360" w:line="240" w:lineRule="auto"/>
        <w:rPr>
          <w:rFonts w:ascii="Verdana" w:hAnsi="Verdana" w:cs="Arial"/>
          <w:b/>
          <w:lang w:val="en-GB"/>
        </w:rPr>
      </w:pPr>
      <w:r w:rsidRPr="006D0C59">
        <w:rPr>
          <w:rFonts w:ascii="Verdana" w:hAnsi="Verdana" w:cs="Arial"/>
          <w:b/>
          <w:lang w:val="en-GB"/>
        </w:rPr>
        <w:t>DATE OF HEARING:</w:t>
      </w:r>
      <w:r w:rsidRPr="006D0C59">
        <w:rPr>
          <w:rFonts w:ascii="Verdana" w:hAnsi="Verdana" w:cs="Arial"/>
          <w:b/>
          <w:lang w:val="en-GB"/>
        </w:rPr>
        <w:tab/>
      </w:r>
      <w:r w:rsidR="00267371">
        <w:rPr>
          <w:rFonts w:ascii="Verdana" w:hAnsi="Verdana" w:cs="Arial"/>
          <w:b/>
          <w:lang w:val="en-GB"/>
        </w:rPr>
        <w:t>1</w:t>
      </w:r>
      <w:r w:rsidR="003638D4">
        <w:rPr>
          <w:rFonts w:ascii="Verdana" w:hAnsi="Verdana" w:cs="Arial"/>
          <w:b/>
          <w:lang w:val="en-GB"/>
        </w:rPr>
        <w:t>4</w:t>
      </w:r>
      <w:r w:rsidR="00603F5C">
        <w:rPr>
          <w:rFonts w:ascii="Verdana" w:hAnsi="Verdana" w:cs="Arial"/>
          <w:b/>
          <w:lang w:val="en-GB"/>
        </w:rPr>
        <w:t xml:space="preserve"> November 2022</w:t>
      </w:r>
    </w:p>
    <w:p w14:paraId="33BAE81D" w14:textId="59689A88" w:rsidR="005F12F1" w:rsidRPr="006D0C59" w:rsidRDefault="005F12F1" w:rsidP="005E68B0">
      <w:pPr>
        <w:widowControl w:val="0"/>
        <w:tabs>
          <w:tab w:val="left" w:pos="3969"/>
        </w:tabs>
        <w:spacing w:after="360" w:line="240" w:lineRule="auto"/>
        <w:rPr>
          <w:rFonts w:ascii="Verdana" w:hAnsi="Verdana" w:cs="Arial"/>
          <w:b/>
          <w:lang w:val="en-GB"/>
        </w:rPr>
      </w:pPr>
      <w:r w:rsidRPr="006D0C59">
        <w:rPr>
          <w:rFonts w:ascii="Verdana" w:hAnsi="Verdana" w:cs="Arial"/>
          <w:b/>
          <w:lang w:val="en-GB"/>
        </w:rPr>
        <w:t>DATE OF JUDGMENT:</w:t>
      </w:r>
      <w:r w:rsidR="00AF2115">
        <w:rPr>
          <w:rFonts w:ascii="Verdana" w:hAnsi="Verdana" w:cs="Arial"/>
          <w:b/>
          <w:lang w:val="en-GB"/>
        </w:rPr>
        <w:tab/>
        <w:t>6 December</w:t>
      </w:r>
      <w:r w:rsidR="00603F5C">
        <w:rPr>
          <w:rFonts w:ascii="Verdana" w:hAnsi="Verdana" w:cs="Arial"/>
          <w:b/>
          <w:lang w:val="en-GB"/>
        </w:rPr>
        <w:t xml:space="preserve"> </w:t>
      </w:r>
      <w:r w:rsidR="00650EFA" w:rsidRPr="006D0C59">
        <w:rPr>
          <w:rFonts w:ascii="Verdana" w:hAnsi="Verdana" w:cs="Arial"/>
          <w:b/>
          <w:lang w:val="en-GB"/>
        </w:rPr>
        <w:t>202</w:t>
      </w:r>
      <w:r w:rsidR="00C96C10">
        <w:rPr>
          <w:rFonts w:ascii="Verdana" w:hAnsi="Verdana" w:cs="Arial"/>
          <w:b/>
          <w:lang w:val="en-GB"/>
        </w:rPr>
        <w:t>2</w:t>
      </w:r>
    </w:p>
    <w:p w14:paraId="60684066" w14:textId="32EE8490" w:rsidR="00C4685D" w:rsidRDefault="00C4685D" w:rsidP="003D69CB">
      <w:pPr>
        <w:widowControl w:val="0"/>
        <w:spacing w:after="360" w:line="240" w:lineRule="auto"/>
        <w:rPr>
          <w:rFonts w:ascii="Verdana" w:hAnsi="Verdana" w:cs="Arial"/>
          <w:b/>
          <w:lang w:val="en-GB"/>
        </w:rPr>
      </w:pPr>
    </w:p>
    <w:p w14:paraId="036055A4" w14:textId="77777777" w:rsidR="00410D25" w:rsidRPr="006D0C59" w:rsidRDefault="00410D25" w:rsidP="003D69CB">
      <w:pPr>
        <w:widowControl w:val="0"/>
        <w:spacing w:after="360" w:line="240" w:lineRule="auto"/>
        <w:rPr>
          <w:rFonts w:ascii="Verdana" w:hAnsi="Verdana" w:cs="Arial"/>
          <w:b/>
          <w:lang w:val="en-GB"/>
        </w:rPr>
      </w:pPr>
    </w:p>
    <w:p w14:paraId="32B78198" w14:textId="38653DC4" w:rsidR="00386CF6" w:rsidRDefault="00386CF6" w:rsidP="00410D25">
      <w:pPr>
        <w:keepNext/>
        <w:widowControl w:val="0"/>
        <w:spacing w:after="120" w:line="240" w:lineRule="auto"/>
        <w:rPr>
          <w:rFonts w:ascii="Verdana" w:hAnsi="Verdana" w:cs="Arial"/>
          <w:b/>
          <w:lang w:val="en-GB"/>
        </w:rPr>
      </w:pPr>
      <w:r w:rsidRPr="006D0C59">
        <w:rPr>
          <w:rFonts w:ascii="Verdana" w:hAnsi="Verdana" w:cs="Arial"/>
          <w:b/>
          <w:lang w:val="en-GB"/>
        </w:rPr>
        <w:t>APPEARANCES</w:t>
      </w:r>
      <w:r w:rsidR="00857F8F" w:rsidRPr="006D0C59">
        <w:rPr>
          <w:rFonts w:ascii="Verdana" w:hAnsi="Verdana" w:cs="Arial"/>
          <w:b/>
          <w:lang w:val="en-GB"/>
        </w:rPr>
        <w:t>:</w:t>
      </w:r>
    </w:p>
    <w:p w14:paraId="1EFF4B6B" w14:textId="77777777" w:rsidR="00410D25" w:rsidRPr="006D0C59" w:rsidRDefault="00410D25" w:rsidP="00410D25">
      <w:pPr>
        <w:keepNext/>
        <w:widowControl w:val="0"/>
        <w:spacing w:after="120" w:line="240" w:lineRule="auto"/>
        <w:rPr>
          <w:rFonts w:ascii="Verdana" w:hAnsi="Verdana" w:cs="Arial"/>
          <w:b/>
          <w:lang w:val="en-GB"/>
        </w:rPr>
      </w:pPr>
    </w:p>
    <w:p w14:paraId="44F369FA" w14:textId="57B9D5E0" w:rsidR="001226BB" w:rsidRDefault="00386CF6" w:rsidP="00410D25">
      <w:pPr>
        <w:keepNext/>
        <w:widowControl w:val="0"/>
        <w:tabs>
          <w:tab w:val="left" w:pos="3969"/>
        </w:tabs>
        <w:spacing w:after="120" w:line="240" w:lineRule="auto"/>
        <w:rPr>
          <w:rFonts w:ascii="Verdana" w:hAnsi="Verdana" w:cs="Arial"/>
          <w:lang w:val="en-GB"/>
        </w:rPr>
      </w:pPr>
      <w:r w:rsidRPr="006D0C59">
        <w:rPr>
          <w:rFonts w:ascii="Verdana" w:hAnsi="Verdana" w:cs="Arial"/>
          <w:b/>
          <w:lang w:val="en-GB"/>
        </w:rPr>
        <w:t xml:space="preserve">On </w:t>
      </w:r>
      <w:r w:rsidR="00D136E5" w:rsidRPr="006D0C59">
        <w:rPr>
          <w:rFonts w:ascii="Verdana" w:hAnsi="Verdana" w:cs="Arial"/>
          <w:b/>
          <w:lang w:val="en-GB"/>
        </w:rPr>
        <w:t>b</w:t>
      </w:r>
      <w:r w:rsidRPr="006D0C59">
        <w:rPr>
          <w:rFonts w:ascii="Verdana" w:hAnsi="Verdana" w:cs="Arial"/>
          <w:b/>
          <w:lang w:val="en-GB"/>
        </w:rPr>
        <w:t xml:space="preserve">ehalf of </w:t>
      </w:r>
      <w:r w:rsidR="00825361">
        <w:rPr>
          <w:rFonts w:ascii="Verdana" w:hAnsi="Verdana" w:cs="Arial"/>
          <w:b/>
          <w:lang w:val="en-GB"/>
        </w:rPr>
        <w:t>plaintiff</w:t>
      </w:r>
      <w:r w:rsidRPr="006D0C59">
        <w:rPr>
          <w:rFonts w:ascii="Verdana" w:hAnsi="Verdana" w:cs="Arial"/>
          <w:b/>
          <w:lang w:val="en-GB"/>
        </w:rPr>
        <w:t xml:space="preserve">: </w:t>
      </w:r>
      <w:r w:rsidRPr="006D0C59">
        <w:rPr>
          <w:rFonts w:ascii="Verdana" w:hAnsi="Verdana" w:cs="Arial"/>
          <w:b/>
          <w:lang w:val="en-GB"/>
        </w:rPr>
        <w:tab/>
      </w:r>
      <w:r w:rsidR="00825361">
        <w:rPr>
          <w:rFonts w:ascii="Verdana" w:hAnsi="Verdana" w:cs="Arial"/>
          <w:lang w:val="en-GB"/>
        </w:rPr>
        <w:t>Ms R Crisp</w:t>
      </w:r>
    </w:p>
    <w:p w14:paraId="5979FA63" w14:textId="7F19354A" w:rsidR="00267371" w:rsidRDefault="00825361" w:rsidP="00267371">
      <w:pPr>
        <w:keepNext/>
        <w:widowControl w:val="0"/>
        <w:tabs>
          <w:tab w:val="left" w:pos="3969"/>
        </w:tabs>
        <w:spacing w:after="120" w:line="240" w:lineRule="auto"/>
        <w:ind w:firstLine="720"/>
        <w:rPr>
          <w:rFonts w:ascii="Verdana" w:hAnsi="Verdana" w:cs="Arial"/>
          <w:lang w:val="en-GB"/>
        </w:rPr>
      </w:pPr>
      <w:r>
        <w:rPr>
          <w:rFonts w:ascii="Verdana" w:hAnsi="Verdana" w:cs="Arial"/>
          <w:lang w:val="en-GB"/>
        </w:rPr>
        <w:tab/>
      </w:r>
      <w:r w:rsidR="003638D4">
        <w:rPr>
          <w:rFonts w:ascii="Verdana" w:hAnsi="Verdana" w:cs="Arial"/>
          <w:lang w:val="en-GB"/>
        </w:rPr>
        <w:t>R</w:t>
      </w:r>
      <w:r>
        <w:rPr>
          <w:rFonts w:ascii="Verdana" w:hAnsi="Verdana" w:cs="Arial"/>
          <w:lang w:val="en-GB"/>
        </w:rPr>
        <w:t xml:space="preserve"> Crisp </w:t>
      </w:r>
      <w:r w:rsidR="003638D4">
        <w:rPr>
          <w:rFonts w:ascii="Verdana" w:hAnsi="Verdana" w:cs="Arial"/>
          <w:lang w:val="en-GB"/>
        </w:rPr>
        <w:t>Attorneys</w:t>
      </w:r>
    </w:p>
    <w:p w14:paraId="37878507" w14:textId="5E998960" w:rsidR="00267371" w:rsidRPr="006D0C59" w:rsidRDefault="00825361" w:rsidP="00267371">
      <w:pPr>
        <w:keepNext/>
        <w:widowControl w:val="0"/>
        <w:tabs>
          <w:tab w:val="left" w:pos="3969"/>
        </w:tabs>
        <w:spacing w:after="120" w:line="240" w:lineRule="auto"/>
        <w:ind w:left="3600" w:firstLine="369"/>
        <w:rPr>
          <w:rFonts w:ascii="Verdana" w:hAnsi="Verdana" w:cs="Arial"/>
          <w:lang w:val="en-GB"/>
        </w:rPr>
      </w:pPr>
      <w:r>
        <w:rPr>
          <w:rFonts w:ascii="Verdana" w:hAnsi="Verdana" w:cs="Arial"/>
          <w:lang w:val="en-GB"/>
        </w:rPr>
        <w:t>082-880-0641</w:t>
      </w:r>
    </w:p>
    <w:p w14:paraId="51ABCC16" w14:textId="1593B5D9" w:rsidR="00267371" w:rsidRDefault="00000000" w:rsidP="00267371">
      <w:pPr>
        <w:keepNext/>
        <w:widowControl w:val="0"/>
        <w:tabs>
          <w:tab w:val="left" w:pos="3969"/>
        </w:tabs>
        <w:spacing w:after="120" w:line="240" w:lineRule="auto"/>
        <w:ind w:left="3600" w:firstLine="369"/>
        <w:rPr>
          <w:rFonts w:ascii="Verdana" w:hAnsi="Verdana" w:cs="Arial"/>
          <w:lang w:val="en-GB"/>
        </w:rPr>
      </w:pPr>
      <w:hyperlink r:id="rId9" w:history="1">
        <w:r w:rsidR="00825361" w:rsidRPr="00A83855">
          <w:rPr>
            <w:rStyle w:val="Hyperlink"/>
            <w:rFonts w:ascii="Verdana" w:hAnsi="Verdana" w:cs="Arial"/>
            <w:lang w:val="en-GB"/>
          </w:rPr>
          <w:t>ruth@rcrispattorneys.co.za</w:t>
        </w:r>
      </w:hyperlink>
      <w:r w:rsidR="00825361">
        <w:rPr>
          <w:rFonts w:ascii="Verdana" w:hAnsi="Verdana" w:cs="Arial"/>
          <w:lang w:val="en-GB"/>
        </w:rPr>
        <w:t xml:space="preserve"> </w:t>
      </w:r>
    </w:p>
    <w:p w14:paraId="3B4BE232" w14:textId="77777777" w:rsidR="005D7F7B" w:rsidRPr="006D0C59" w:rsidRDefault="005D7F7B" w:rsidP="00410D25">
      <w:pPr>
        <w:widowControl w:val="0"/>
        <w:tabs>
          <w:tab w:val="left" w:pos="3969"/>
        </w:tabs>
        <w:spacing w:after="240" w:line="240" w:lineRule="auto"/>
        <w:rPr>
          <w:rFonts w:ascii="Verdana" w:hAnsi="Verdana" w:cs="Arial"/>
          <w:lang w:val="en-GB"/>
        </w:rPr>
      </w:pPr>
    </w:p>
    <w:p w14:paraId="76DE37F5" w14:textId="613C7390" w:rsidR="00AC20D2" w:rsidRDefault="00386CF6" w:rsidP="00410D25">
      <w:pPr>
        <w:keepNext/>
        <w:widowControl w:val="0"/>
        <w:tabs>
          <w:tab w:val="left" w:pos="3969"/>
        </w:tabs>
        <w:spacing w:after="120" w:line="240" w:lineRule="auto"/>
        <w:rPr>
          <w:rFonts w:ascii="Verdana" w:hAnsi="Verdana" w:cs="Arial"/>
          <w:lang w:val="en-GB"/>
        </w:rPr>
      </w:pPr>
      <w:r w:rsidRPr="006D0C59">
        <w:rPr>
          <w:rFonts w:ascii="Verdana" w:hAnsi="Verdana" w:cs="Arial"/>
          <w:b/>
          <w:lang w:val="en-GB"/>
        </w:rPr>
        <w:t xml:space="preserve">On </w:t>
      </w:r>
      <w:r w:rsidR="00D136E5" w:rsidRPr="006D0C59">
        <w:rPr>
          <w:rFonts w:ascii="Verdana" w:hAnsi="Verdana" w:cs="Arial"/>
          <w:b/>
          <w:lang w:val="en-GB"/>
        </w:rPr>
        <w:t>b</w:t>
      </w:r>
      <w:r w:rsidRPr="006D0C59">
        <w:rPr>
          <w:rFonts w:ascii="Verdana" w:hAnsi="Verdana" w:cs="Arial"/>
          <w:b/>
          <w:lang w:val="en-GB"/>
        </w:rPr>
        <w:t xml:space="preserve">ehalf of </w:t>
      </w:r>
      <w:r w:rsidR="00825361">
        <w:rPr>
          <w:rFonts w:ascii="Verdana" w:hAnsi="Verdana" w:cs="Arial"/>
          <w:b/>
          <w:lang w:val="en-GB"/>
        </w:rPr>
        <w:t>defendant</w:t>
      </w:r>
      <w:r w:rsidRPr="006D0C59">
        <w:rPr>
          <w:rFonts w:ascii="Verdana" w:hAnsi="Verdana" w:cs="Arial"/>
          <w:b/>
          <w:lang w:val="en-GB"/>
        </w:rPr>
        <w:t xml:space="preserve">: </w:t>
      </w:r>
      <w:r w:rsidR="0006790C" w:rsidRPr="006D0C59">
        <w:rPr>
          <w:rFonts w:ascii="Verdana" w:hAnsi="Verdana" w:cs="Arial"/>
          <w:lang w:val="en-GB"/>
        </w:rPr>
        <w:t xml:space="preserve"> </w:t>
      </w:r>
      <w:r w:rsidR="00D136E5" w:rsidRPr="006D0C59">
        <w:rPr>
          <w:rFonts w:ascii="Verdana" w:hAnsi="Verdana" w:cs="Arial"/>
          <w:lang w:val="en-GB"/>
        </w:rPr>
        <w:tab/>
      </w:r>
      <w:r w:rsidR="00AC20D2">
        <w:rPr>
          <w:rFonts w:ascii="Verdana" w:hAnsi="Verdana" w:cs="Arial"/>
          <w:lang w:val="en-GB"/>
        </w:rPr>
        <w:t xml:space="preserve">Adv </w:t>
      </w:r>
      <w:r w:rsidR="00825361">
        <w:rPr>
          <w:rFonts w:ascii="Verdana" w:hAnsi="Verdana" w:cs="Arial"/>
          <w:lang w:val="en-GB"/>
        </w:rPr>
        <w:t>T P Matlala</w:t>
      </w:r>
    </w:p>
    <w:p w14:paraId="4A7BAC35" w14:textId="77777777" w:rsidR="001768C6" w:rsidRPr="006D0C59" w:rsidRDefault="001768C6" w:rsidP="00410D25">
      <w:pPr>
        <w:keepNext/>
        <w:widowControl w:val="0"/>
        <w:tabs>
          <w:tab w:val="left" w:pos="3969"/>
        </w:tabs>
        <w:spacing w:after="120" w:line="240" w:lineRule="auto"/>
        <w:ind w:left="3969"/>
        <w:rPr>
          <w:rFonts w:ascii="Verdana" w:hAnsi="Verdana" w:cs="Arial"/>
          <w:bCs/>
          <w:lang w:val="en-GB"/>
        </w:rPr>
      </w:pPr>
    </w:p>
    <w:p w14:paraId="35E3F298" w14:textId="377C67C3" w:rsidR="003638D4" w:rsidRDefault="00AC20D2" w:rsidP="003638D4">
      <w:pPr>
        <w:keepNext/>
        <w:widowControl w:val="0"/>
        <w:tabs>
          <w:tab w:val="left" w:pos="3969"/>
        </w:tabs>
        <w:spacing w:after="120" w:line="240" w:lineRule="auto"/>
        <w:ind w:firstLine="720"/>
        <w:rPr>
          <w:rFonts w:ascii="Verdana" w:hAnsi="Verdana" w:cs="Arial"/>
          <w:lang w:val="en-GB"/>
        </w:rPr>
      </w:pPr>
      <w:r w:rsidRPr="006D0C59">
        <w:rPr>
          <w:rFonts w:ascii="Verdana" w:hAnsi="Verdana" w:cs="Arial"/>
          <w:b/>
          <w:lang w:val="en-GB"/>
        </w:rPr>
        <w:t>Instructed by:</w:t>
      </w:r>
      <w:r w:rsidRPr="006D0C59">
        <w:rPr>
          <w:rFonts w:ascii="Verdana" w:hAnsi="Verdana" w:cs="Arial"/>
          <w:lang w:val="en-GB"/>
        </w:rPr>
        <w:t xml:space="preserve"> </w:t>
      </w:r>
      <w:r w:rsidRPr="006D0C59">
        <w:rPr>
          <w:rFonts w:ascii="Verdana" w:hAnsi="Verdana" w:cs="Arial"/>
          <w:lang w:val="en-GB"/>
        </w:rPr>
        <w:tab/>
      </w:r>
      <w:proofErr w:type="spellStart"/>
      <w:r w:rsidR="00825361">
        <w:rPr>
          <w:rFonts w:ascii="Verdana" w:hAnsi="Verdana" w:cs="Arial"/>
          <w:lang w:val="en-GB"/>
        </w:rPr>
        <w:t>Chauke</w:t>
      </w:r>
      <w:proofErr w:type="spellEnd"/>
      <w:r w:rsidR="00825361">
        <w:rPr>
          <w:rFonts w:ascii="Verdana" w:hAnsi="Verdana" w:cs="Arial"/>
          <w:lang w:val="en-GB"/>
        </w:rPr>
        <w:t xml:space="preserve"> &amp; </w:t>
      </w:r>
      <w:proofErr w:type="spellStart"/>
      <w:r w:rsidR="00825361">
        <w:rPr>
          <w:rFonts w:ascii="Verdana" w:hAnsi="Verdana" w:cs="Arial"/>
          <w:lang w:val="en-GB"/>
        </w:rPr>
        <w:t>Mazibuko</w:t>
      </w:r>
      <w:proofErr w:type="spellEnd"/>
      <w:r w:rsidR="00825361">
        <w:rPr>
          <w:rFonts w:ascii="Verdana" w:hAnsi="Verdana" w:cs="Arial"/>
          <w:lang w:val="en-GB"/>
        </w:rPr>
        <w:t xml:space="preserve"> Attorneys</w:t>
      </w:r>
    </w:p>
    <w:p w14:paraId="50FED01B" w14:textId="47F9205B" w:rsidR="00267371" w:rsidRDefault="00825361" w:rsidP="00410D25">
      <w:pPr>
        <w:keepNext/>
        <w:widowControl w:val="0"/>
        <w:tabs>
          <w:tab w:val="left" w:pos="3969"/>
        </w:tabs>
        <w:spacing w:after="120" w:line="240" w:lineRule="auto"/>
        <w:ind w:left="3969"/>
        <w:rPr>
          <w:rFonts w:ascii="Verdana" w:hAnsi="Verdana" w:cs="Arial"/>
          <w:lang w:val="en-GB"/>
        </w:rPr>
      </w:pPr>
      <w:r>
        <w:rPr>
          <w:rFonts w:ascii="Verdana" w:hAnsi="Verdana" w:cs="Arial"/>
          <w:lang w:val="en-GB"/>
        </w:rPr>
        <w:t>071-095-9951</w:t>
      </w:r>
    </w:p>
    <w:p w14:paraId="0F0CD87E" w14:textId="157BBCC9" w:rsidR="00267371" w:rsidRPr="006D0C59" w:rsidRDefault="00000000" w:rsidP="003638D4">
      <w:pPr>
        <w:widowControl w:val="0"/>
        <w:tabs>
          <w:tab w:val="left" w:pos="3969"/>
        </w:tabs>
        <w:spacing w:after="120" w:line="240" w:lineRule="auto"/>
        <w:ind w:left="3969"/>
        <w:rPr>
          <w:rFonts w:ascii="Verdana" w:hAnsi="Verdana" w:cs="Arial"/>
          <w:lang w:val="en-GB"/>
        </w:rPr>
      </w:pPr>
      <w:hyperlink r:id="rId10" w:history="1">
        <w:r w:rsidR="00825361" w:rsidRPr="00A83855">
          <w:rPr>
            <w:rStyle w:val="Hyperlink"/>
            <w:rFonts w:ascii="Verdana" w:hAnsi="Verdana" w:cs="Arial"/>
            <w:lang w:val="en-GB"/>
          </w:rPr>
          <w:t>vumbhonichauke@gmail.com</w:t>
        </w:r>
      </w:hyperlink>
      <w:r w:rsidR="00825361">
        <w:rPr>
          <w:rFonts w:ascii="Verdana" w:hAnsi="Verdana" w:cs="Arial"/>
          <w:lang w:val="en-GB"/>
        </w:rPr>
        <w:t xml:space="preserve"> </w:t>
      </w:r>
    </w:p>
    <w:sectPr w:rsidR="00267371" w:rsidRPr="006D0C59" w:rsidSect="00F46B89">
      <w:headerReference w:type="default" r:id="rId11"/>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39F6" w14:textId="77777777" w:rsidR="00FB614C" w:rsidRDefault="00FB614C" w:rsidP="009760D6">
      <w:pPr>
        <w:spacing w:after="0" w:line="240" w:lineRule="auto"/>
      </w:pPr>
      <w:r>
        <w:separator/>
      </w:r>
    </w:p>
  </w:endnote>
  <w:endnote w:type="continuationSeparator" w:id="0">
    <w:p w14:paraId="5AAE6145" w14:textId="77777777" w:rsidR="00FB614C" w:rsidRDefault="00FB614C"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1ACF" w14:textId="77777777" w:rsidR="00FB614C" w:rsidRDefault="00FB614C" w:rsidP="009760D6">
      <w:pPr>
        <w:spacing w:after="0" w:line="240" w:lineRule="auto"/>
      </w:pPr>
      <w:r>
        <w:separator/>
      </w:r>
    </w:p>
  </w:footnote>
  <w:footnote w:type="continuationSeparator" w:id="0">
    <w:p w14:paraId="224A440E" w14:textId="77777777" w:rsidR="00FB614C" w:rsidRDefault="00FB614C" w:rsidP="009760D6">
      <w:pPr>
        <w:spacing w:after="0" w:line="240" w:lineRule="auto"/>
      </w:pPr>
      <w:r>
        <w:continuationSeparator/>
      </w:r>
    </w:p>
  </w:footnote>
  <w:footnote w:id="1">
    <w:p w14:paraId="56747121" w14:textId="1184F553" w:rsidR="007D17C2" w:rsidRDefault="007D17C2">
      <w:pPr>
        <w:pStyle w:val="FootnoteText"/>
      </w:pPr>
      <w:r>
        <w:rPr>
          <w:rStyle w:val="FootnoteReference"/>
        </w:rPr>
        <w:footnoteRef/>
      </w:r>
      <w:r>
        <w:t xml:space="preserve"> </w:t>
      </w:r>
      <w:r>
        <w:tab/>
        <w:t xml:space="preserve">[2019] ZAGPJHC 287 (3 September 2019). </w:t>
      </w:r>
    </w:p>
  </w:footnote>
  <w:footnote w:id="2">
    <w:p w14:paraId="353FCC17" w14:textId="5F6F76D3" w:rsidR="007D17C2" w:rsidRPr="007D17C2" w:rsidRDefault="007D17C2" w:rsidP="007D17C2">
      <w:pPr>
        <w:pStyle w:val="FootnoteText"/>
        <w:ind w:left="720" w:hanging="720"/>
      </w:pPr>
      <w:r>
        <w:rPr>
          <w:rStyle w:val="FootnoteReference"/>
        </w:rPr>
        <w:footnoteRef/>
      </w:r>
      <w:r>
        <w:t xml:space="preserve"> </w:t>
      </w:r>
      <w:r>
        <w:tab/>
        <w:t xml:space="preserve">See also </w:t>
      </w:r>
      <w:proofErr w:type="spellStart"/>
      <w:r>
        <w:rPr>
          <w:i/>
          <w:iCs/>
        </w:rPr>
        <w:t>Saglo</w:t>
      </w:r>
      <w:proofErr w:type="spellEnd"/>
      <w:r>
        <w:rPr>
          <w:i/>
          <w:iCs/>
        </w:rPr>
        <w:t xml:space="preserve"> Auto (Pty) Ltd v Black Shades Investments (Pty) Ltd </w:t>
      </w:r>
      <w:r>
        <w:t xml:space="preserve">2021 (2) SA 587 (GP), paragraph [40]. </w:t>
      </w:r>
    </w:p>
  </w:footnote>
  <w:footnote w:id="3">
    <w:p w14:paraId="3C64FD05" w14:textId="3B4CDCF7" w:rsidR="004C1C21" w:rsidRPr="004C1C21" w:rsidRDefault="004C1C21" w:rsidP="004C1C21">
      <w:pPr>
        <w:pStyle w:val="FootnoteText"/>
        <w:ind w:left="720" w:hanging="720"/>
        <w:jc w:val="both"/>
      </w:pPr>
      <w:r>
        <w:rPr>
          <w:rStyle w:val="FootnoteReference"/>
        </w:rPr>
        <w:footnoteRef/>
      </w:r>
      <w:r>
        <w:t xml:space="preserve"> </w:t>
      </w:r>
      <w:r>
        <w:tab/>
      </w:r>
      <w:proofErr w:type="spellStart"/>
      <w:r w:rsidR="006A3EAB">
        <w:rPr>
          <w:i/>
          <w:iCs/>
        </w:rPr>
        <w:t>Jo</w:t>
      </w:r>
      <w:r w:rsidRPr="004C1C21">
        <w:rPr>
          <w:i/>
          <w:iCs/>
        </w:rPr>
        <w:t>ob</w:t>
      </w:r>
      <w:proofErr w:type="spellEnd"/>
      <w:r>
        <w:rPr>
          <w:i/>
          <w:iCs/>
        </w:rPr>
        <w:t xml:space="preserve"> </w:t>
      </w:r>
      <w:proofErr w:type="spellStart"/>
      <w:r w:rsidR="006A3EAB">
        <w:rPr>
          <w:i/>
          <w:iCs/>
        </w:rPr>
        <w:t>Jo</w:t>
      </w:r>
      <w:r>
        <w:rPr>
          <w:i/>
          <w:iCs/>
        </w:rPr>
        <w:t>ob</w:t>
      </w:r>
      <w:proofErr w:type="spellEnd"/>
      <w:r>
        <w:rPr>
          <w:i/>
          <w:iCs/>
        </w:rPr>
        <w:t xml:space="preserve"> Investments (Pty) Ltd v Stocks </w:t>
      </w:r>
      <w:proofErr w:type="spellStart"/>
      <w:r>
        <w:rPr>
          <w:i/>
          <w:iCs/>
        </w:rPr>
        <w:t>Mavundla</w:t>
      </w:r>
      <w:proofErr w:type="spellEnd"/>
      <w:r>
        <w:rPr>
          <w:i/>
          <w:iCs/>
        </w:rPr>
        <w:t xml:space="preserve"> Zek Joint Venture </w:t>
      </w:r>
      <w:r>
        <w:t>2009 (5) SA 1 (SCA).</w:t>
      </w:r>
    </w:p>
  </w:footnote>
  <w:footnote w:id="4">
    <w:p w14:paraId="00BD5B8E" w14:textId="433ECC22" w:rsidR="006A3EAB" w:rsidRDefault="006A3EAB" w:rsidP="006A3EAB">
      <w:pPr>
        <w:pStyle w:val="FootnoteText"/>
        <w:ind w:left="720" w:hanging="720"/>
        <w:jc w:val="both"/>
      </w:pPr>
      <w:r>
        <w:rPr>
          <w:rStyle w:val="FootnoteReference"/>
        </w:rPr>
        <w:footnoteRef/>
      </w:r>
      <w:r>
        <w:t xml:space="preserve"> </w:t>
      </w:r>
      <w:r>
        <w:tab/>
      </w:r>
      <w:proofErr w:type="spellStart"/>
      <w:r w:rsidRPr="006A3EAB">
        <w:rPr>
          <w:i/>
          <w:iCs/>
        </w:rPr>
        <w:t>Raumix</w:t>
      </w:r>
      <w:proofErr w:type="spellEnd"/>
      <w:r w:rsidRPr="006A3EAB">
        <w:rPr>
          <w:i/>
          <w:iCs/>
        </w:rPr>
        <w:t xml:space="preserve"> Aggregates (Pty) Ltd</w:t>
      </w:r>
      <w:r>
        <w:rPr>
          <w:i/>
          <w:iCs/>
        </w:rPr>
        <w:t xml:space="preserve"> v Richter Sand CC and Another, and similar matters</w:t>
      </w:r>
      <w:r>
        <w:t xml:space="preserve"> 2020 (1) SA 623 (GJ). </w:t>
      </w:r>
    </w:p>
  </w:footnote>
  <w:footnote w:id="5">
    <w:p w14:paraId="674F9106" w14:textId="492FD4DD" w:rsidR="006A3EAB" w:rsidRPr="006A3EAB" w:rsidRDefault="006A3EAB" w:rsidP="006A3EAB">
      <w:pPr>
        <w:pStyle w:val="FootnoteText"/>
        <w:ind w:left="720" w:hanging="720"/>
        <w:jc w:val="both"/>
      </w:pPr>
      <w:r>
        <w:rPr>
          <w:rStyle w:val="FootnoteReference"/>
        </w:rPr>
        <w:footnoteRef/>
      </w:r>
      <w:r>
        <w:t xml:space="preserve"> </w:t>
      </w:r>
      <w:r>
        <w:tab/>
      </w:r>
      <w:r>
        <w:rPr>
          <w:i/>
          <w:iCs/>
        </w:rPr>
        <w:t>Standard Bank Ltd and Another v Five Strand Media (Pty) Ltd and Others</w:t>
      </w:r>
      <w:r>
        <w:t xml:space="preserve"> [2020] ZAECPEHC 33 (7 September 2020); </w:t>
      </w:r>
      <w:proofErr w:type="spellStart"/>
      <w:r>
        <w:rPr>
          <w:i/>
          <w:iCs/>
        </w:rPr>
        <w:t>Tumil</w:t>
      </w:r>
      <w:r w:rsidR="00D36EB2">
        <w:rPr>
          <w:i/>
          <w:iCs/>
        </w:rPr>
        <w:t>eng</w:t>
      </w:r>
      <w:proofErr w:type="spellEnd"/>
      <w:r w:rsidR="00D36EB2">
        <w:rPr>
          <w:i/>
          <w:iCs/>
        </w:rPr>
        <w:t xml:space="preserve"> Trading CC v National Security and Fire (Pty) Ltd</w:t>
      </w:r>
      <w:r w:rsidR="00D36EB2">
        <w:t xml:space="preserve"> 2020 (6) SA 624 (WCC)</w:t>
      </w:r>
      <w:r>
        <w:t xml:space="preserve">. </w:t>
      </w:r>
    </w:p>
  </w:footnote>
  <w:footnote w:id="6">
    <w:p w14:paraId="27185CFB" w14:textId="0EC87338" w:rsidR="00D36EB2" w:rsidRPr="00D36EB2" w:rsidRDefault="00D36EB2">
      <w:pPr>
        <w:pStyle w:val="FootnoteText"/>
      </w:pPr>
      <w:r>
        <w:rPr>
          <w:rStyle w:val="FootnoteReference"/>
        </w:rPr>
        <w:footnoteRef/>
      </w:r>
      <w:r>
        <w:t xml:space="preserve"> </w:t>
      </w:r>
      <w:r>
        <w:tab/>
      </w:r>
      <w:r>
        <w:rPr>
          <w:i/>
          <w:iCs/>
        </w:rPr>
        <w:t>Myers v Abramson</w:t>
      </w:r>
      <w:r>
        <w:t xml:space="preserve"> 1951 (3) SA 438 (C) at 455.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5847"/>
      <w:docPartObj>
        <w:docPartGallery w:val="Page Numbers (Top of Page)"/>
        <w:docPartUnique/>
      </w:docPartObj>
    </w:sdtPr>
    <w:sdtEndPr>
      <w:rPr>
        <w:noProof/>
      </w:rPr>
    </w:sdtEndPr>
    <w:sdtContent>
      <w:p w14:paraId="07CE8E0A" w14:textId="7008A974" w:rsidR="00490AC0" w:rsidRDefault="00490AC0">
        <w:pPr>
          <w:pStyle w:val="Header"/>
          <w:jc w:val="center"/>
          <w:rPr>
            <w:noProof/>
          </w:rPr>
        </w:pPr>
        <w:r>
          <w:fldChar w:fldCharType="begin"/>
        </w:r>
        <w:r>
          <w:instrText xml:space="preserve"> PAGE   \* MERGEFORMAT </w:instrText>
        </w:r>
        <w:r>
          <w:fldChar w:fldCharType="separate"/>
        </w:r>
        <w:r w:rsidR="00DD0B05">
          <w:rPr>
            <w:noProof/>
          </w:rPr>
          <w:t>12</w:t>
        </w:r>
        <w:r>
          <w:rPr>
            <w:noProof/>
          </w:rPr>
          <w:fldChar w:fldCharType="end"/>
        </w:r>
      </w:p>
      <w:p w14:paraId="1A2BCE82" w14:textId="77777777" w:rsidR="00490AC0" w:rsidRDefault="00000000">
        <w:pPr>
          <w:pStyle w:val="Header"/>
          <w:jc w:val="center"/>
        </w:pPr>
      </w:p>
    </w:sdtContent>
  </w:sdt>
  <w:p w14:paraId="1D9DFF89" w14:textId="77777777" w:rsidR="00490AC0" w:rsidRDefault="0049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1057022D"/>
    <w:multiLevelType w:val="multilevel"/>
    <w:tmpl w:val="12CA164C"/>
    <w:lvl w:ilvl="0">
      <w:start w:val="1"/>
      <w:numFmt w:val="decimal"/>
      <w:pStyle w:val="Indent"/>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6"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9"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0"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2C434B22"/>
    <w:multiLevelType w:val="hybridMultilevel"/>
    <w:tmpl w:val="9AD0CE00"/>
    <w:lvl w:ilvl="0" w:tplc="093EEC0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F9B2FFF"/>
    <w:multiLevelType w:val="multilevel"/>
    <w:tmpl w:val="12CA164C"/>
    <w:styleLink w:val="CurrentList1"/>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7"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99607C1"/>
    <w:multiLevelType w:val="multilevel"/>
    <w:tmpl w:val="4790D4D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0"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2"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4"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6"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8"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29"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1"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16cid:durableId="1871994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325882">
    <w:abstractNumId w:val="14"/>
  </w:num>
  <w:num w:numId="3" w16cid:durableId="281573283">
    <w:abstractNumId w:val="28"/>
  </w:num>
  <w:num w:numId="4" w16cid:durableId="2066945215">
    <w:abstractNumId w:val="2"/>
  </w:num>
  <w:num w:numId="5" w16cid:durableId="204290565">
    <w:abstractNumId w:val="6"/>
  </w:num>
  <w:num w:numId="6" w16cid:durableId="49963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7290289">
    <w:abstractNumId w:val="5"/>
  </w:num>
  <w:num w:numId="8" w16cid:durableId="66196355">
    <w:abstractNumId w:val="9"/>
  </w:num>
  <w:num w:numId="9" w16cid:durableId="44717989">
    <w:abstractNumId w:val="17"/>
  </w:num>
  <w:num w:numId="10" w16cid:durableId="435515976">
    <w:abstractNumId w:val="21"/>
  </w:num>
  <w:num w:numId="11" w16cid:durableId="1270967304">
    <w:abstractNumId w:val="26"/>
  </w:num>
  <w:num w:numId="12" w16cid:durableId="1646160262">
    <w:abstractNumId w:val="18"/>
  </w:num>
  <w:num w:numId="13" w16cid:durableId="2113233671">
    <w:abstractNumId w:val="0"/>
  </w:num>
  <w:num w:numId="14" w16cid:durableId="1406225878">
    <w:abstractNumId w:val="25"/>
  </w:num>
  <w:num w:numId="15" w16cid:durableId="1525366761">
    <w:abstractNumId w:val="30"/>
  </w:num>
  <w:num w:numId="16" w16cid:durableId="497615235">
    <w:abstractNumId w:val="15"/>
  </w:num>
  <w:num w:numId="17" w16cid:durableId="1748261074">
    <w:abstractNumId w:val="27"/>
  </w:num>
  <w:num w:numId="18" w16cid:durableId="966936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5890483">
    <w:abstractNumId w:val="24"/>
  </w:num>
  <w:num w:numId="20" w16cid:durableId="976570486">
    <w:abstractNumId w:val="3"/>
  </w:num>
  <w:num w:numId="21" w16cid:durableId="172494191">
    <w:abstractNumId w:val="20"/>
  </w:num>
  <w:num w:numId="22" w16cid:durableId="1330251174">
    <w:abstractNumId w:val="8"/>
  </w:num>
  <w:num w:numId="23" w16cid:durableId="1234043650">
    <w:abstractNumId w:val="12"/>
  </w:num>
  <w:num w:numId="24" w16cid:durableId="1864586063">
    <w:abstractNumId w:val="13"/>
  </w:num>
  <w:num w:numId="25" w16cid:durableId="217404332">
    <w:abstractNumId w:val="29"/>
  </w:num>
  <w:num w:numId="26" w16cid:durableId="1300568477">
    <w:abstractNumId w:val="10"/>
  </w:num>
  <w:num w:numId="27" w16cid:durableId="623000139">
    <w:abstractNumId w:val="22"/>
  </w:num>
  <w:num w:numId="28" w16cid:durableId="1764297695">
    <w:abstractNumId w:val="31"/>
  </w:num>
  <w:num w:numId="29" w16cid:durableId="361172728">
    <w:abstractNumId w:val="7"/>
  </w:num>
  <w:num w:numId="30" w16cid:durableId="1787892519">
    <w:abstractNumId w:val="23"/>
  </w:num>
  <w:num w:numId="31" w16cid:durableId="2037195760">
    <w:abstractNumId w:val="1"/>
  </w:num>
  <w:num w:numId="32" w16cid:durableId="398672902">
    <w:abstractNumId w:val="16"/>
  </w:num>
  <w:num w:numId="33" w16cid:durableId="2000113435">
    <w:abstractNumId w:val="19"/>
  </w:num>
  <w:num w:numId="34" w16cid:durableId="1386955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17"/>
    <w:rsid w:val="00000B51"/>
    <w:rsid w:val="000036DC"/>
    <w:rsid w:val="00005071"/>
    <w:rsid w:val="00005A42"/>
    <w:rsid w:val="000065EB"/>
    <w:rsid w:val="0000665E"/>
    <w:rsid w:val="00006D75"/>
    <w:rsid w:val="0001066B"/>
    <w:rsid w:val="00013159"/>
    <w:rsid w:val="00013828"/>
    <w:rsid w:val="00026B84"/>
    <w:rsid w:val="00027707"/>
    <w:rsid w:val="000309D1"/>
    <w:rsid w:val="00034C30"/>
    <w:rsid w:val="000413C6"/>
    <w:rsid w:val="00043456"/>
    <w:rsid w:val="000442F6"/>
    <w:rsid w:val="0004658E"/>
    <w:rsid w:val="00050546"/>
    <w:rsid w:val="00050CB2"/>
    <w:rsid w:val="00061555"/>
    <w:rsid w:val="000633E6"/>
    <w:rsid w:val="00063BCA"/>
    <w:rsid w:val="00066329"/>
    <w:rsid w:val="0006790C"/>
    <w:rsid w:val="00072C59"/>
    <w:rsid w:val="000733E2"/>
    <w:rsid w:val="00073600"/>
    <w:rsid w:val="00074EC4"/>
    <w:rsid w:val="000760C8"/>
    <w:rsid w:val="000773FA"/>
    <w:rsid w:val="000809BC"/>
    <w:rsid w:val="00081A1A"/>
    <w:rsid w:val="00084528"/>
    <w:rsid w:val="00087B9E"/>
    <w:rsid w:val="00093073"/>
    <w:rsid w:val="00093A25"/>
    <w:rsid w:val="000952A1"/>
    <w:rsid w:val="0009619E"/>
    <w:rsid w:val="00096674"/>
    <w:rsid w:val="000A12D2"/>
    <w:rsid w:val="000A17B0"/>
    <w:rsid w:val="000A569F"/>
    <w:rsid w:val="000A74A1"/>
    <w:rsid w:val="000B0272"/>
    <w:rsid w:val="000B1280"/>
    <w:rsid w:val="000B37CB"/>
    <w:rsid w:val="000B426A"/>
    <w:rsid w:val="000B5D7B"/>
    <w:rsid w:val="000B742D"/>
    <w:rsid w:val="000B7CDB"/>
    <w:rsid w:val="000C14B7"/>
    <w:rsid w:val="000C4BB1"/>
    <w:rsid w:val="000C644E"/>
    <w:rsid w:val="000C6DFA"/>
    <w:rsid w:val="000C7F8B"/>
    <w:rsid w:val="000D233F"/>
    <w:rsid w:val="000D37B6"/>
    <w:rsid w:val="000D3BCB"/>
    <w:rsid w:val="000D3ED5"/>
    <w:rsid w:val="000E4DAB"/>
    <w:rsid w:val="000E661B"/>
    <w:rsid w:val="000E7F9D"/>
    <w:rsid w:val="000F1D4E"/>
    <w:rsid w:val="000F4970"/>
    <w:rsid w:val="000F4A64"/>
    <w:rsid w:val="000F53D1"/>
    <w:rsid w:val="000F7427"/>
    <w:rsid w:val="00101D55"/>
    <w:rsid w:val="001025BA"/>
    <w:rsid w:val="00103202"/>
    <w:rsid w:val="0010425B"/>
    <w:rsid w:val="001047CF"/>
    <w:rsid w:val="00106258"/>
    <w:rsid w:val="00107604"/>
    <w:rsid w:val="00110047"/>
    <w:rsid w:val="00114C78"/>
    <w:rsid w:val="001171F0"/>
    <w:rsid w:val="0011765A"/>
    <w:rsid w:val="001206E9"/>
    <w:rsid w:val="001226BB"/>
    <w:rsid w:val="00123728"/>
    <w:rsid w:val="001308C7"/>
    <w:rsid w:val="00131E0E"/>
    <w:rsid w:val="00134AA0"/>
    <w:rsid w:val="001356F3"/>
    <w:rsid w:val="0013584A"/>
    <w:rsid w:val="00135E37"/>
    <w:rsid w:val="00136B08"/>
    <w:rsid w:val="00137B73"/>
    <w:rsid w:val="00140ED4"/>
    <w:rsid w:val="0014164A"/>
    <w:rsid w:val="001435D7"/>
    <w:rsid w:val="00143B46"/>
    <w:rsid w:val="00146CBA"/>
    <w:rsid w:val="001477EC"/>
    <w:rsid w:val="00150061"/>
    <w:rsid w:val="00152AEC"/>
    <w:rsid w:val="00152C73"/>
    <w:rsid w:val="00153B91"/>
    <w:rsid w:val="00155981"/>
    <w:rsid w:val="001567BA"/>
    <w:rsid w:val="0015744E"/>
    <w:rsid w:val="00157ADF"/>
    <w:rsid w:val="001624F2"/>
    <w:rsid w:val="00162F9C"/>
    <w:rsid w:val="00163B86"/>
    <w:rsid w:val="001664B0"/>
    <w:rsid w:val="00171847"/>
    <w:rsid w:val="00175A74"/>
    <w:rsid w:val="001768C6"/>
    <w:rsid w:val="001800B1"/>
    <w:rsid w:val="00180D5D"/>
    <w:rsid w:val="00185D78"/>
    <w:rsid w:val="0018685A"/>
    <w:rsid w:val="00190A4F"/>
    <w:rsid w:val="001944BB"/>
    <w:rsid w:val="001A69C7"/>
    <w:rsid w:val="001B07F4"/>
    <w:rsid w:val="001B5DAC"/>
    <w:rsid w:val="001C2696"/>
    <w:rsid w:val="001C4E4D"/>
    <w:rsid w:val="001C648E"/>
    <w:rsid w:val="001C686D"/>
    <w:rsid w:val="001D2694"/>
    <w:rsid w:val="001D3D4F"/>
    <w:rsid w:val="001D41D1"/>
    <w:rsid w:val="001D4298"/>
    <w:rsid w:val="001D52D8"/>
    <w:rsid w:val="001D719B"/>
    <w:rsid w:val="001E256F"/>
    <w:rsid w:val="001E2685"/>
    <w:rsid w:val="001E4C66"/>
    <w:rsid w:val="001E68AE"/>
    <w:rsid w:val="001F044B"/>
    <w:rsid w:val="001F4AA4"/>
    <w:rsid w:val="002004FA"/>
    <w:rsid w:val="00201123"/>
    <w:rsid w:val="00201AF2"/>
    <w:rsid w:val="00206115"/>
    <w:rsid w:val="0020776E"/>
    <w:rsid w:val="002122ED"/>
    <w:rsid w:val="00214580"/>
    <w:rsid w:val="0021739E"/>
    <w:rsid w:val="00224629"/>
    <w:rsid w:val="00225130"/>
    <w:rsid w:val="002254BC"/>
    <w:rsid w:val="00233130"/>
    <w:rsid w:val="00243CAF"/>
    <w:rsid w:val="002441D3"/>
    <w:rsid w:val="00246C7C"/>
    <w:rsid w:val="00247D5E"/>
    <w:rsid w:val="00263471"/>
    <w:rsid w:val="00263F5E"/>
    <w:rsid w:val="002650D6"/>
    <w:rsid w:val="00265676"/>
    <w:rsid w:val="00267371"/>
    <w:rsid w:val="002676B8"/>
    <w:rsid w:val="00267A86"/>
    <w:rsid w:val="00272943"/>
    <w:rsid w:val="00273FDC"/>
    <w:rsid w:val="0027463B"/>
    <w:rsid w:val="002751C2"/>
    <w:rsid w:val="00276C02"/>
    <w:rsid w:val="002778B3"/>
    <w:rsid w:val="00281683"/>
    <w:rsid w:val="0028691F"/>
    <w:rsid w:val="00287736"/>
    <w:rsid w:val="00287E7C"/>
    <w:rsid w:val="00287E9F"/>
    <w:rsid w:val="0029062F"/>
    <w:rsid w:val="00291E45"/>
    <w:rsid w:val="0029250F"/>
    <w:rsid w:val="00293AA9"/>
    <w:rsid w:val="002944F0"/>
    <w:rsid w:val="00294A9D"/>
    <w:rsid w:val="00294FB1"/>
    <w:rsid w:val="00297DE3"/>
    <w:rsid w:val="002A07EE"/>
    <w:rsid w:val="002A1540"/>
    <w:rsid w:val="002A18EB"/>
    <w:rsid w:val="002A3B0E"/>
    <w:rsid w:val="002A3DFA"/>
    <w:rsid w:val="002B01A6"/>
    <w:rsid w:val="002B6CA1"/>
    <w:rsid w:val="002B722F"/>
    <w:rsid w:val="002C2076"/>
    <w:rsid w:val="002C22F2"/>
    <w:rsid w:val="002C2FDB"/>
    <w:rsid w:val="002C3424"/>
    <w:rsid w:val="002C3974"/>
    <w:rsid w:val="002C40C0"/>
    <w:rsid w:val="002C6183"/>
    <w:rsid w:val="002C6694"/>
    <w:rsid w:val="002C71D8"/>
    <w:rsid w:val="002C78FD"/>
    <w:rsid w:val="002D090F"/>
    <w:rsid w:val="002D2073"/>
    <w:rsid w:val="002D4B8F"/>
    <w:rsid w:val="002E3181"/>
    <w:rsid w:val="002E55C8"/>
    <w:rsid w:val="002F0412"/>
    <w:rsid w:val="002F0730"/>
    <w:rsid w:val="002F1C9C"/>
    <w:rsid w:val="002F2D81"/>
    <w:rsid w:val="002F35E3"/>
    <w:rsid w:val="002F648F"/>
    <w:rsid w:val="00300131"/>
    <w:rsid w:val="00300D21"/>
    <w:rsid w:val="00301C94"/>
    <w:rsid w:val="003028A5"/>
    <w:rsid w:val="0030333C"/>
    <w:rsid w:val="00305AC6"/>
    <w:rsid w:val="00305C9E"/>
    <w:rsid w:val="00306F0A"/>
    <w:rsid w:val="003102F5"/>
    <w:rsid w:val="00311A05"/>
    <w:rsid w:val="00312ABF"/>
    <w:rsid w:val="00313FF0"/>
    <w:rsid w:val="003151CC"/>
    <w:rsid w:val="00315E14"/>
    <w:rsid w:val="0032067C"/>
    <w:rsid w:val="003207B3"/>
    <w:rsid w:val="00322364"/>
    <w:rsid w:val="003238F6"/>
    <w:rsid w:val="00323F46"/>
    <w:rsid w:val="003240E7"/>
    <w:rsid w:val="00324AC1"/>
    <w:rsid w:val="00330E68"/>
    <w:rsid w:val="003315E1"/>
    <w:rsid w:val="00333B12"/>
    <w:rsid w:val="00335840"/>
    <w:rsid w:val="003370EE"/>
    <w:rsid w:val="0034360B"/>
    <w:rsid w:val="00344CFC"/>
    <w:rsid w:val="00345545"/>
    <w:rsid w:val="00354917"/>
    <w:rsid w:val="003638D4"/>
    <w:rsid w:val="00363C53"/>
    <w:rsid w:val="0036664D"/>
    <w:rsid w:val="00370530"/>
    <w:rsid w:val="00372017"/>
    <w:rsid w:val="00372784"/>
    <w:rsid w:val="00377EF5"/>
    <w:rsid w:val="00381233"/>
    <w:rsid w:val="003812AC"/>
    <w:rsid w:val="00382328"/>
    <w:rsid w:val="003831C0"/>
    <w:rsid w:val="003868E0"/>
    <w:rsid w:val="00386CBB"/>
    <w:rsid w:val="00386CF6"/>
    <w:rsid w:val="00387263"/>
    <w:rsid w:val="00387C80"/>
    <w:rsid w:val="00391362"/>
    <w:rsid w:val="00394DCB"/>
    <w:rsid w:val="003974EF"/>
    <w:rsid w:val="00397CA3"/>
    <w:rsid w:val="00397E16"/>
    <w:rsid w:val="003A1A70"/>
    <w:rsid w:val="003A3A3E"/>
    <w:rsid w:val="003A50CA"/>
    <w:rsid w:val="003A5E99"/>
    <w:rsid w:val="003B493E"/>
    <w:rsid w:val="003B5284"/>
    <w:rsid w:val="003C0B89"/>
    <w:rsid w:val="003C0D3A"/>
    <w:rsid w:val="003C3042"/>
    <w:rsid w:val="003C7AF3"/>
    <w:rsid w:val="003D17B4"/>
    <w:rsid w:val="003D4233"/>
    <w:rsid w:val="003D64BB"/>
    <w:rsid w:val="003D68B9"/>
    <w:rsid w:val="003D68D4"/>
    <w:rsid w:val="003D69CB"/>
    <w:rsid w:val="003D7C8B"/>
    <w:rsid w:val="003E04FB"/>
    <w:rsid w:val="003E2973"/>
    <w:rsid w:val="003E2FBD"/>
    <w:rsid w:val="003E7039"/>
    <w:rsid w:val="003F0BC0"/>
    <w:rsid w:val="003F2B58"/>
    <w:rsid w:val="003F2E06"/>
    <w:rsid w:val="003F41F0"/>
    <w:rsid w:val="003F5965"/>
    <w:rsid w:val="00400342"/>
    <w:rsid w:val="0040068E"/>
    <w:rsid w:val="00401A0F"/>
    <w:rsid w:val="00401FC4"/>
    <w:rsid w:val="0040336E"/>
    <w:rsid w:val="00404B57"/>
    <w:rsid w:val="00404C53"/>
    <w:rsid w:val="00410C9B"/>
    <w:rsid w:val="00410D25"/>
    <w:rsid w:val="004153A5"/>
    <w:rsid w:val="00416357"/>
    <w:rsid w:val="00416496"/>
    <w:rsid w:val="004214EF"/>
    <w:rsid w:val="00424F9E"/>
    <w:rsid w:val="00425E6A"/>
    <w:rsid w:val="004348BD"/>
    <w:rsid w:val="00436423"/>
    <w:rsid w:val="004375FD"/>
    <w:rsid w:val="00437B2C"/>
    <w:rsid w:val="004429CE"/>
    <w:rsid w:val="00445736"/>
    <w:rsid w:val="00445D79"/>
    <w:rsid w:val="00445FCA"/>
    <w:rsid w:val="00446F53"/>
    <w:rsid w:val="004471F0"/>
    <w:rsid w:val="0045128A"/>
    <w:rsid w:val="004536BE"/>
    <w:rsid w:val="00453B97"/>
    <w:rsid w:val="004568E6"/>
    <w:rsid w:val="00457904"/>
    <w:rsid w:val="0046015C"/>
    <w:rsid w:val="004609AD"/>
    <w:rsid w:val="00462B15"/>
    <w:rsid w:val="004630D9"/>
    <w:rsid w:val="0046515D"/>
    <w:rsid w:val="00465779"/>
    <w:rsid w:val="004748F3"/>
    <w:rsid w:val="00475812"/>
    <w:rsid w:val="0047785C"/>
    <w:rsid w:val="00481CF6"/>
    <w:rsid w:val="0048240E"/>
    <w:rsid w:val="0048307D"/>
    <w:rsid w:val="0048439D"/>
    <w:rsid w:val="004846D1"/>
    <w:rsid w:val="00484F67"/>
    <w:rsid w:val="00490AC0"/>
    <w:rsid w:val="004928B5"/>
    <w:rsid w:val="004968B1"/>
    <w:rsid w:val="004A1490"/>
    <w:rsid w:val="004A200B"/>
    <w:rsid w:val="004A33AD"/>
    <w:rsid w:val="004A6929"/>
    <w:rsid w:val="004B20DB"/>
    <w:rsid w:val="004B3ABA"/>
    <w:rsid w:val="004B584A"/>
    <w:rsid w:val="004B62F8"/>
    <w:rsid w:val="004C0D2C"/>
    <w:rsid w:val="004C1C21"/>
    <w:rsid w:val="004C2634"/>
    <w:rsid w:val="004C3228"/>
    <w:rsid w:val="004C34FC"/>
    <w:rsid w:val="004C448B"/>
    <w:rsid w:val="004D0E50"/>
    <w:rsid w:val="004D5220"/>
    <w:rsid w:val="004D6741"/>
    <w:rsid w:val="004D71E6"/>
    <w:rsid w:val="004D7935"/>
    <w:rsid w:val="004E238B"/>
    <w:rsid w:val="004E320E"/>
    <w:rsid w:val="004E3D04"/>
    <w:rsid w:val="004E5097"/>
    <w:rsid w:val="004F1F8D"/>
    <w:rsid w:val="004F3125"/>
    <w:rsid w:val="004F7163"/>
    <w:rsid w:val="005011B8"/>
    <w:rsid w:val="00510081"/>
    <w:rsid w:val="005138AD"/>
    <w:rsid w:val="00514564"/>
    <w:rsid w:val="005177E3"/>
    <w:rsid w:val="00524CAA"/>
    <w:rsid w:val="00526A82"/>
    <w:rsid w:val="00526E28"/>
    <w:rsid w:val="0053295D"/>
    <w:rsid w:val="00533CAD"/>
    <w:rsid w:val="0053492C"/>
    <w:rsid w:val="00534C37"/>
    <w:rsid w:val="00541206"/>
    <w:rsid w:val="00541229"/>
    <w:rsid w:val="00543511"/>
    <w:rsid w:val="005448FC"/>
    <w:rsid w:val="00545AB4"/>
    <w:rsid w:val="00545BD2"/>
    <w:rsid w:val="00560ECD"/>
    <w:rsid w:val="005643C6"/>
    <w:rsid w:val="00565386"/>
    <w:rsid w:val="00565D87"/>
    <w:rsid w:val="00566341"/>
    <w:rsid w:val="0056645D"/>
    <w:rsid w:val="00572926"/>
    <w:rsid w:val="0057355B"/>
    <w:rsid w:val="00573DEC"/>
    <w:rsid w:val="00574158"/>
    <w:rsid w:val="00574ED8"/>
    <w:rsid w:val="00577F42"/>
    <w:rsid w:val="00580FDE"/>
    <w:rsid w:val="00581684"/>
    <w:rsid w:val="00584706"/>
    <w:rsid w:val="00584FBA"/>
    <w:rsid w:val="00585B3A"/>
    <w:rsid w:val="0059123A"/>
    <w:rsid w:val="00593702"/>
    <w:rsid w:val="005A2220"/>
    <w:rsid w:val="005A22F4"/>
    <w:rsid w:val="005A3D28"/>
    <w:rsid w:val="005A6F8E"/>
    <w:rsid w:val="005B2541"/>
    <w:rsid w:val="005B39A2"/>
    <w:rsid w:val="005B3B13"/>
    <w:rsid w:val="005B47FC"/>
    <w:rsid w:val="005B5D94"/>
    <w:rsid w:val="005B64CD"/>
    <w:rsid w:val="005C6001"/>
    <w:rsid w:val="005C7381"/>
    <w:rsid w:val="005C7A27"/>
    <w:rsid w:val="005D5065"/>
    <w:rsid w:val="005D64CC"/>
    <w:rsid w:val="005D70A5"/>
    <w:rsid w:val="005D7F7B"/>
    <w:rsid w:val="005E19C0"/>
    <w:rsid w:val="005E6148"/>
    <w:rsid w:val="005E6780"/>
    <w:rsid w:val="005E68B0"/>
    <w:rsid w:val="005F024F"/>
    <w:rsid w:val="005F12F1"/>
    <w:rsid w:val="005F14E7"/>
    <w:rsid w:val="005F481A"/>
    <w:rsid w:val="005F54C0"/>
    <w:rsid w:val="005F6CEB"/>
    <w:rsid w:val="005F7BC7"/>
    <w:rsid w:val="005F7F9D"/>
    <w:rsid w:val="006023C9"/>
    <w:rsid w:val="00603F5C"/>
    <w:rsid w:val="00605101"/>
    <w:rsid w:val="00607DF0"/>
    <w:rsid w:val="00610AF7"/>
    <w:rsid w:val="0061570E"/>
    <w:rsid w:val="00616347"/>
    <w:rsid w:val="00617261"/>
    <w:rsid w:val="00617C59"/>
    <w:rsid w:val="00621DDA"/>
    <w:rsid w:val="00625CAA"/>
    <w:rsid w:val="00625F6F"/>
    <w:rsid w:val="006266F7"/>
    <w:rsid w:val="00627B69"/>
    <w:rsid w:val="00632E58"/>
    <w:rsid w:val="006339CF"/>
    <w:rsid w:val="006354B6"/>
    <w:rsid w:val="006369E5"/>
    <w:rsid w:val="00643885"/>
    <w:rsid w:val="00644741"/>
    <w:rsid w:val="00645344"/>
    <w:rsid w:val="00650EFA"/>
    <w:rsid w:val="00652801"/>
    <w:rsid w:val="006578F2"/>
    <w:rsid w:val="00657C00"/>
    <w:rsid w:val="0066162E"/>
    <w:rsid w:val="00661893"/>
    <w:rsid w:val="006628F0"/>
    <w:rsid w:val="0066331F"/>
    <w:rsid w:val="00666DDC"/>
    <w:rsid w:val="00667241"/>
    <w:rsid w:val="006705E0"/>
    <w:rsid w:val="006767A0"/>
    <w:rsid w:val="006806ED"/>
    <w:rsid w:val="00680837"/>
    <w:rsid w:val="00691758"/>
    <w:rsid w:val="00691837"/>
    <w:rsid w:val="00694610"/>
    <w:rsid w:val="00695B92"/>
    <w:rsid w:val="006A02F3"/>
    <w:rsid w:val="006A188A"/>
    <w:rsid w:val="006A1C99"/>
    <w:rsid w:val="006A286D"/>
    <w:rsid w:val="006A3026"/>
    <w:rsid w:val="006A3EAB"/>
    <w:rsid w:val="006A4AA8"/>
    <w:rsid w:val="006C0416"/>
    <w:rsid w:val="006C47BA"/>
    <w:rsid w:val="006C5988"/>
    <w:rsid w:val="006C6384"/>
    <w:rsid w:val="006D0C59"/>
    <w:rsid w:val="006D28DC"/>
    <w:rsid w:val="006D2C1D"/>
    <w:rsid w:val="006E2294"/>
    <w:rsid w:val="006E53C6"/>
    <w:rsid w:val="006E62C6"/>
    <w:rsid w:val="006E6908"/>
    <w:rsid w:val="006E71BB"/>
    <w:rsid w:val="006E7535"/>
    <w:rsid w:val="006F19E8"/>
    <w:rsid w:val="006F5E01"/>
    <w:rsid w:val="00703C42"/>
    <w:rsid w:val="00705BB7"/>
    <w:rsid w:val="007100D5"/>
    <w:rsid w:val="00711128"/>
    <w:rsid w:val="0071370A"/>
    <w:rsid w:val="00713B69"/>
    <w:rsid w:val="00715BD0"/>
    <w:rsid w:val="00716987"/>
    <w:rsid w:val="00720CA5"/>
    <w:rsid w:val="0072368D"/>
    <w:rsid w:val="00723BCA"/>
    <w:rsid w:val="0072458D"/>
    <w:rsid w:val="00734F75"/>
    <w:rsid w:val="0073549B"/>
    <w:rsid w:val="00740B30"/>
    <w:rsid w:val="0074165F"/>
    <w:rsid w:val="00742076"/>
    <w:rsid w:val="00742CD3"/>
    <w:rsid w:val="00745928"/>
    <w:rsid w:val="00746FCD"/>
    <w:rsid w:val="00747737"/>
    <w:rsid w:val="007536BD"/>
    <w:rsid w:val="007558FB"/>
    <w:rsid w:val="007571FE"/>
    <w:rsid w:val="00765686"/>
    <w:rsid w:val="00772EA0"/>
    <w:rsid w:val="0077428B"/>
    <w:rsid w:val="007746D3"/>
    <w:rsid w:val="00777651"/>
    <w:rsid w:val="00781D38"/>
    <w:rsid w:val="00782B05"/>
    <w:rsid w:val="00783696"/>
    <w:rsid w:val="00784D5D"/>
    <w:rsid w:val="007852F0"/>
    <w:rsid w:val="00785389"/>
    <w:rsid w:val="00787C2C"/>
    <w:rsid w:val="007A28D0"/>
    <w:rsid w:val="007A477C"/>
    <w:rsid w:val="007B2F9C"/>
    <w:rsid w:val="007B4695"/>
    <w:rsid w:val="007B5138"/>
    <w:rsid w:val="007B5B10"/>
    <w:rsid w:val="007B6412"/>
    <w:rsid w:val="007B7D71"/>
    <w:rsid w:val="007C4050"/>
    <w:rsid w:val="007C620D"/>
    <w:rsid w:val="007D090B"/>
    <w:rsid w:val="007D17C2"/>
    <w:rsid w:val="007D1F2A"/>
    <w:rsid w:val="007D2DF5"/>
    <w:rsid w:val="007E019C"/>
    <w:rsid w:val="007E0396"/>
    <w:rsid w:val="007E0A01"/>
    <w:rsid w:val="007E5891"/>
    <w:rsid w:val="007E5D9D"/>
    <w:rsid w:val="007E7797"/>
    <w:rsid w:val="007E7EFB"/>
    <w:rsid w:val="007F0A3D"/>
    <w:rsid w:val="007F2DDC"/>
    <w:rsid w:val="007F46C9"/>
    <w:rsid w:val="007F6A06"/>
    <w:rsid w:val="007F755E"/>
    <w:rsid w:val="007F7E72"/>
    <w:rsid w:val="008001A6"/>
    <w:rsid w:val="008045B8"/>
    <w:rsid w:val="00804A2E"/>
    <w:rsid w:val="00805FFE"/>
    <w:rsid w:val="0080717D"/>
    <w:rsid w:val="0081021D"/>
    <w:rsid w:val="008109A0"/>
    <w:rsid w:val="008117EA"/>
    <w:rsid w:val="00811E6B"/>
    <w:rsid w:val="0081556A"/>
    <w:rsid w:val="00815E05"/>
    <w:rsid w:val="00820348"/>
    <w:rsid w:val="00821145"/>
    <w:rsid w:val="00822B05"/>
    <w:rsid w:val="00824762"/>
    <w:rsid w:val="00825361"/>
    <w:rsid w:val="00826444"/>
    <w:rsid w:val="00826978"/>
    <w:rsid w:val="008304E6"/>
    <w:rsid w:val="00832A22"/>
    <w:rsid w:val="00840050"/>
    <w:rsid w:val="0084035F"/>
    <w:rsid w:val="008442AC"/>
    <w:rsid w:val="00851B08"/>
    <w:rsid w:val="0085228A"/>
    <w:rsid w:val="00855B2E"/>
    <w:rsid w:val="008566DC"/>
    <w:rsid w:val="00856C0B"/>
    <w:rsid w:val="00856E63"/>
    <w:rsid w:val="00857F8F"/>
    <w:rsid w:val="00860199"/>
    <w:rsid w:val="008615F0"/>
    <w:rsid w:val="008705B3"/>
    <w:rsid w:val="00871694"/>
    <w:rsid w:val="008748E9"/>
    <w:rsid w:val="00874EEF"/>
    <w:rsid w:val="00874F12"/>
    <w:rsid w:val="00876724"/>
    <w:rsid w:val="0088384C"/>
    <w:rsid w:val="00890432"/>
    <w:rsid w:val="008915F5"/>
    <w:rsid w:val="008925B1"/>
    <w:rsid w:val="008957EC"/>
    <w:rsid w:val="008A38C5"/>
    <w:rsid w:val="008A6649"/>
    <w:rsid w:val="008A6664"/>
    <w:rsid w:val="008A7D52"/>
    <w:rsid w:val="008B1429"/>
    <w:rsid w:val="008B3BBC"/>
    <w:rsid w:val="008B45F2"/>
    <w:rsid w:val="008D2D79"/>
    <w:rsid w:val="008D2DD4"/>
    <w:rsid w:val="008D3171"/>
    <w:rsid w:val="008D4475"/>
    <w:rsid w:val="008E07FE"/>
    <w:rsid w:val="008E1CBE"/>
    <w:rsid w:val="008E2389"/>
    <w:rsid w:val="008E5030"/>
    <w:rsid w:val="008E7352"/>
    <w:rsid w:val="008F0FA1"/>
    <w:rsid w:val="008F1271"/>
    <w:rsid w:val="008F2334"/>
    <w:rsid w:val="008F7DF3"/>
    <w:rsid w:val="009024F7"/>
    <w:rsid w:val="009025FC"/>
    <w:rsid w:val="0090639B"/>
    <w:rsid w:val="00907804"/>
    <w:rsid w:val="00907FB5"/>
    <w:rsid w:val="00913544"/>
    <w:rsid w:val="0091585F"/>
    <w:rsid w:val="00916000"/>
    <w:rsid w:val="00920C13"/>
    <w:rsid w:val="00924657"/>
    <w:rsid w:val="0092541F"/>
    <w:rsid w:val="00926603"/>
    <w:rsid w:val="009277E8"/>
    <w:rsid w:val="009301AC"/>
    <w:rsid w:val="00930FC3"/>
    <w:rsid w:val="00934C98"/>
    <w:rsid w:val="00935FE8"/>
    <w:rsid w:val="00936B81"/>
    <w:rsid w:val="00940646"/>
    <w:rsid w:val="00946E35"/>
    <w:rsid w:val="0095038D"/>
    <w:rsid w:val="00952A79"/>
    <w:rsid w:val="00953017"/>
    <w:rsid w:val="0095458D"/>
    <w:rsid w:val="0095793F"/>
    <w:rsid w:val="00963053"/>
    <w:rsid w:val="009634C5"/>
    <w:rsid w:val="00964313"/>
    <w:rsid w:val="00964590"/>
    <w:rsid w:val="0096527D"/>
    <w:rsid w:val="00967B21"/>
    <w:rsid w:val="00971D1D"/>
    <w:rsid w:val="00972737"/>
    <w:rsid w:val="00972B8F"/>
    <w:rsid w:val="00975B3A"/>
    <w:rsid w:val="009760D6"/>
    <w:rsid w:val="00977986"/>
    <w:rsid w:val="009779F2"/>
    <w:rsid w:val="00977E3F"/>
    <w:rsid w:val="009825E8"/>
    <w:rsid w:val="00987AAD"/>
    <w:rsid w:val="00992407"/>
    <w:rsid w:val="00994D06"/>
    <w:rsid w:val="0099540D"/>
    <w:rsid w:val="00997B66"/>
    <w:rsid w:val="00997FD1"/>
    <w:rsid w:val="009A2697"/>
    <w:rsid w:val="009A3630"/>
    <w:rsid w:val="009A4C27"/>
    <w:rsid w:val="009A679C"/>
    <w:rsid w:val="009A77CE"/>
    <w:rsid w:val="009A7A47"/>
    <w:rsid w:val="009B08AA"/>
    <w:rsid w:val="009B1D55"/>
    <w:rsid w:val="009B645B"/>
    <w:rsid w:val="009C05AB"/>
    <w:rsid w:val="009C0F88"/>
    <w:rsid w:val="009C4F73"/>
    <w:rsid w:val="009D0776"/>
    <w:rsid w:val="009D101F"/>
    <w:rsid w:val="009D1B13"/>
    <w:rsid w:val="009D3DC1"/>
    <w:rsid w:val="009D4DD5"/>
    <w:rsid w:val="009D4FF3"/>
    <w:rsid w:val="009F01A0"/>
    <w:rsid w:val="009F088B"/>
    <w:rsid w:val="009F5EF5"/>
    <w:rsid w:val="009F647B"/>
    <w:rsid w:val="009F6615"/>
    <w:rsid w:val="009F7732"/>
    <w:rsid w:val="00A027C7"/>
    <w:rsid w:val="00A0288F"/>
    <w:rsid w:val="00A038A6"/>
    <w:rsid w:val="00A06374"/>
    <w:rsid w:val="00A100A7"/>
    <w:rsid w:val="00A13CA4"/>
    <w:rsid w:val="00A157E6"/>
    <w:rsid w:val="00A20807"/>
    <w:rsid w:val="00A22D83"/>
    <w:rsid w:val="00A231B1"/>
    <w:rsid w:val="00A3035C"/>
    <w:rsid w:val="00A30A30"/>
    <w:rsid w:val="00A30E54"/>
    <w:rsid w:val="00A31FA9"/>
    <w:rsid w:val="00A3228B"/>
    <w:rsid w:val="00A32E5F"/>
    <w:rsid w:val="00A335AF"/>
    <w:rsid w:val="00A35857"/>
    <w:rsid w:val="00A35EE4"/>
    <w:rsid w:val="00A36080"/>
    <w:rsid w:val="00A363AD"/>
    <w:rsid w:val="00A37E01"/>
    <w:rsid w:val="00A4280A"/>
    <w:rsid w:val="00A46078"/>
    <w:rsid w:val="00A47250"/>
    <w:rsid w:val="00A47E4D"/>
    <w:rsid w:val="00A5018A"/>
    <w:rsid w:val="00A5451E"/>
    <w:rsid w:val="00A60CE5"/>
    <w:rsid w:val="00A6428E"/>
    <w:rsid w:val="00A64957"/>
    <w:rsid w:val="00A64DE5"/>
    <w:rsid w:val="00A65C74"/>
    <w:rsid w:val="00A6624E"/>
    <w:rsid w:val="00A67E16"/>
    <w:rsid w:val="00A73F9B"/>
    <w:rsid w:val="00A744ED"/>
    <w:rsid w:val="00A7511E"/>
    <w:rsid w:val="00A765E1"/>
    <w:rsid w:val="00A831CA"/>
    <w:rsid w:val="00A83DDE"/>
    <w:rsid w:val="00A8434B"/>
    <w:rsid w:val="00A8621B"/>
    <w:rsid w:val="00A87720"/>
    <w:rsid w:val="00A96869"/>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2E96"/>
    <w:rsid w:val="00AD3327"/>
    <w:rsid w:val="00AD487F"/>
    <w:rsid w:val="00AD7E6F"/>
    <w:rsid w:val="00AE2D42"/>
    <w:rsid w:val="00AE6AE3"/>
    <w:rsid w:val="00AE6FCA"/>
    <w:rsid w:val="00AF03EA"/>
    <w:rsid w:val="00AF2115"/>
    <w:rsid w:val="00AF3219"/>
    <w:rsid w:val="00AF3F09"/>
    <w:rsid w:val="00AF5F95"/>
    <w:rsid w:val="00B107BD"/>
    <w:rsid w:val="00B149BE"/>
    <w:rsid w:val="00B21824"/>
    <w:rsid w:val="00B247CF"/>
    <w:rsid w:val="00B25D1A"/>
    <w:rsid w:val="00B26CAF"/>
    <w:rsid w:val="00B3024A"/>
    <w:rsid w:val="00B318F2"/>
    <w:rsid w:val="00B34825"/>
    <w:rsid w:val="00B35F1B"/>
    <w:rsid w:val="00B40104"/>
    <w:rsid w:val="00B4227A"/>
    <w:rsid w:val="00B51B59"/>
    <w:rsid w:val="00B51D5B"/>
    <w:rsid w:val="00B53512"/>
    <w:rsid w:val="00B54836"/>
    <w:rsid w:val="00B55450"/>
    <w:rsid w:val="00B5641B"/>
    <w:rsid w:val="00B57673"/>
    <w:rsid w:val="00B57C72"/>
    <w:rsid w:val="00B628F7"/>
    <w:rsid w:val="00B64501"/>
    <w:rsid w:val="00B66BD7"/>
    <w:rsid w:val="00B66EC7"/>
    <w:rsid w:val="00B73180"/>
    <w:rsid w:val="00B74F15"/>
    <w:rsid w:val="00B754BA"/>
    <w:rsid w:val="00B77FC4"/>
    <w:rsid w:val="00B807C4"/>
    <w:rsid w:val="00B815CD"/>
    <w:rsid w:val="00B832B7"/>
    <w:rsid w:val="00B841D3"/>
    <w:rsid w:val="00B874F1"/>
    <w:rsid w:val="00B877EF"/>
    <w:rsid w:val="00B97263"/>
    <w:rsid w:val="00BA08D5"/>
    <w:rsid w:val="00BA2550"/>
    <w:rsid w:val="00BA3AA2"/>
    <w:rsid w:val="00BA44A5"/>
    <w:rsid w:val="00BA6A5A"/>
    <w:rsid w:val="00BB06C6"/>
    <w:rsid w:val="00BB117B"/>
    <w:rsid w:val="00BB16BA"/>
    <w:rsid w:val="00BB1B72"/>
    <w:rsid w:val="00BC2977"/>
    <w:rsid w:val="00BC3822"/>
    <w:rsid w:val="00BC49DF"/>
    <w:rsid w:val="00BC696C"/>
    <w:rsid w:val="00BC6C45"/>
    <w:rsid w:val="00BC6FA3"/>
    <w:rsid w:val="00BD02B0"/>
    <w:rsid w:val="00BD11A9"/>
    <w:rsid w:val="00BD1A23"/>
    <w:rsid w:val="00BD1DD6"/>
    <w:rsid w:val="00BD1FCC"/>
    <w:rsid w:val="00BD23CC"/>
    <w:rsid w:val="00BD3FA4"/>
    <w:rsid w:val="00BD6342"/>
    <w:rsid w:val="00BE0DC0"/>
    <w:rsid w:val="00BE13C2"/>
    <w:rsid w:val="00BE3593"/>
    <w:rsid w:val="00BE45FF"/>
    <w:rsid w:val="00BE698D"/>
    <w:rsid w:val="00BE7CAA"/>
    <w:rsid w:val="00BF25F5"/>
    <w:rsid w:val="00BF29E9"/>
    <w:rsid w:val="00BF568B"/>
    <w:rsid w:val="00BF5BD4"/>
    <w:rsid w:val="00BF6435"/>
    <w:rsid w:val="00BF6C4E"/>
    <w:rsid w:val="00C02119"/>
    <w:rsid w:val="00C02D91"/>
    <w:rsid w:val="00C05839"/>
    <w:rsid w:val="00C05FB1"/>
    <w:rsid w:val="00C10C95"/>
    <w:rsid w:val="00C13AE9"/>
    <w:rsid w:val="00C16361"/>
    <w:rsid w:val="00C169BE"/>
    <w:rsid w:val="00C21A0B"/>
    <w:rsid w:val="00C21DA0"/>
    <w:rsid w:val="00C235EC"/>
    <w:rsid w:val="00C240A5"/>
    <w:rsid w:val="00C26A75"/>
    <w:rsid w:val="00C272E5"/>
    <w:rsid w:val="00C27EB8"/>
    <w:rsid w:val="00C31641"/>
    <w:rsid w:val="00C32024"/>
    <w:rsid w:val="00C32A5D"/>
    <w:rsid w:val="00C32DF2"/>
    <w:rsid w:val="00C3621E"/>
    <w:rsid w:val="00C36302"/>
    <w:rsid w:val="00C37F9F"/>
    <w:rsid w:val="00C40125"/>
    <w:rsid w:val="00C4074B"/>
    <w:rsid w:val="00C40884"/>
    <w:rsid w:val="00C4202A"/>
    <w:rsid w:val="00C42795"/>
    <w:rsid w:val="00C43D4E"/>
    <w:rsid w:val="00C44D66"/>
    <w:rsid w:val="00C4685D"/>
    <w:rsid w:val="00C47A2D"/>
    <w:rsid w:val="00C50496"/>
    <w:rsid w:val="00C50EAE"/>
    <w:rsid w:val="00C540B7"/>
    <w:rsid w:val="00C57257"/>
    <w:rsid w:val="00C57A59"/>
    <w:rsid w:val="00C61B9B"/>
    <w:rsid w:val="00C626C0"/>
    <w:rsid w:val="00C63D8D"/>
    <w:rsid w:val="00C63FD0"/>
    <w:rsid w:val="00C64627"/>
    <w:rsid w:val="00C66BCC"/>
    <w:rsid w:val="00C67371"/>
    <w:rsid w:val="00C67A4B"/>
    <w:rsid w:val="00C70683"/>
    <w:rsid w:val="00C72B96"/>
    <w:rsid w:val="00C732C3"/>
    <w:rsid w:val="00C76DD1"/>
    <w:rsid w:val="00C90423"/>
    <w:rsid w:val="00C90E55"/>
    <w:rsid w:val="00C91F6B"/>
    <w:rsid w:val="00C927E4"/>
    <w:rsid w:val="00C93FAE"/>
    <w:rsid w:val="00C96C10"/>
    <w:rsid w:val="00CA049F"/>
    <w:rsid w:val="00CA4BA8"/>
    <w:rsid w:val="00CA6258"/>
    <w:rsid w:val="00CA7DFE"/>
    <w:rsid w:val="00CB14BB"/>
    <w:rsid w:val="00CB4369"/>
    <w:rsid w:val="00CC128D"/>
    <w:rsid w:val="00CC34EB"/>
    <w:rsid w:val="00CC3626"/>
    <w:rsid w:val="00CC40CF"/>
    <w:rsid w:val="00CC43A0"/>
    <w:rsid w:val="00CC574A"/>
    <w:rsid w:val="00CC79D8"/>
    <w:rsid w:val="00CD040F"/>
    <w:rsid w:val="00CD05FE"/>
    <w:rsid w:val="00CD1E2B"/>
    <w:rsid w:val="00CD1EC8"/>
    <w:rsid w:val="00CE18EC"/>
    <w:rsid w:val="00CE5C46"/>
    <w:rsid w:val="00CE7685"/>
    <w:rsid w:val="00CF5EF4"/>
    <w:rsid w:val="00CF7DBF"/>
    <w:rsid w:val="00D02D13"/>
    <w:rsid w:val="00D06143"/>
    <w:rsid w:val="00D12C4A"/>
    <w:rsid w:val="00D136E5"/>
    <w:rsid w:val="00D1534A"/>
    <w:rsid w:val="00D16AA1"/>
    <w:rsid w:val="00D25FE0"/>
    <w:rsid w:val="00D2666C"/>
    <w:rsid w:val="00D27D47"/>
    <w:rsid w:val="00D31E76"/>
    <w:rsid w:val="00D36EB2"/>
    <w:rsid w:val="00D37358"/>
    <w:rsid w:val="00D376DF"/>
    <w:rsid w:val="00D37D16"/>
    <w:rsid w:val="00D40798"/>
    <w:rsid w:val="00D43074"/>
    <w:rsid w:val="00D4345B"/>
    <w:rsid w:val="00D43E31"/>
    <w:rsid w:val="00D44D18"/>
    <w:rsid w:val="00D519AB"/>
    <w:rsid w:val="00D52574"/>
    <w:rsid w:val="00D53C73"/>
    <w:rsid w:val="00D56006"/>
    <w:rsid w:val="00D56765"/>
    <w:rsid w:val="00D56F05"/>
    <w:rsid w:val="00D576B7"/>
    <w:rsid w:val="00D57DC9"/>
    <w:rsid w:val="00D616A9"/>
    <w:rsid w:val="00D624FF"/>
    <w:rsid w:val="00D63CB6"/>
    <w:rsid w:val="00D649E4"/>
    <w:rsid w:val="00D70436"/>
    <w:rsid w:val="00D71DEA"/>
    <w:rsid w:val="00D73478"/>
    <w:rsid w:val="00D76391"/>
    <w:rsid w:val="00D773F5"/>
    <w:rsid w:val="00D82614"/>
    <w:rsid w:val="00D829BE"/>
    <w:rsid w:val="00D83C22"/>
    <w:rsid w:val="00D910A0"/>
    <w:rsid w:val="00D96A2A"/>
    <w:rsid w:val="00DA42F6"/>
    <w:rsid w:val="00DA593D"/>
    <w:rsid w:val="00DB17E9"/>
    <w:rsid w:val="00DB3A65"/>
    <w:rsid w:val="00DB5DFF"/>
    <w:rsid w:val="00DC1B48"/>
    <w:rsid w:val="00DC4B54"/>
    <w:rsid w:val="00DC5E44"/>
    <w:rsid w:val="00DC658F"/>
    <w:rsid w:val="00DC7144"/>
    <w:rsid w:val="00DD0B05"/>
    <w:rsid w:val="00DD1D2C"/>
    <w:rsid w:val="00DD2FA9"/>
    <w:rsid w:val="00DE2F64"/>
    <w:rsid w:val="00DE7F68"/>
    <w:rsid w:val="00DF145E"/>
    <w:rsid w:val="00DF155D"/>
    <w:rsid w:val="00DF1EA3"/>
    <w:rsid w:val="00DF6DB0"/>
    <w:rsid w:val="00DF73BB"/>
    <w:rsid w:val="00E0094B"/>
    <w:rsid w:val="00E011F5"/>
    <w:rsid w:val="00E01415"/>
    <w:rsid w:val="00E02267"/>
    <w:rsid w:val="00E03070"/>
    <w:rsid w:val="00E0683D"/>
    <w:rsid w:val="00E113D6"/>
    <w:rsid w:val="00E11565"/>
    <w:rsid w:val="00E12DB4"/>
    <w:rsid w:val="00E26620"/>
    <w:rsid w:val="00E31DD5"/>
    <w:rsid w:val="00E32A7D"/>
    <w:rsid w:val="00E346ED"/>
    <w:rsid w:val="00E34B60"/>
    <w:rsid w:val="00E359FC"/>
    <w:rsid w:val="00E35A65"/>
    <w:rsid w:val="00E35B05"/>
    <w:rsid w:val="00E375B6"/>
    <w:rsid w:val="00E40344"/>
    <w:rsid w:val="00E42A07"/>
    <w:rsid w:val="00E4432D"/>
    <w:rsid w:val="00E456B3"/>
    <w:rsid w:val="00E465B9"/>
    <w:rsid w:val="00E478FD"/>
    <w:rsid w:val="00E47ADB"/>
    <w:rsid w:val="00E507E9"/>
    <w:rsid w:val="00E53691"/>
    <w:rsid w:val="00E55518"/>
    <w:rsid w:val="00E5594F"/>
    <w:rsid w:val="00E62774"/>
    <w:rsid w:val="00E649AA"/>
    <w:rsid w:val="00E66175"/>
    <w:rsid w:val="00E672F3"/>
    <w:rsid w:val="00E723A4"/>
    <w:rsid w:val="00E73E75"/>
    <w:rsid w:val="00E75F7B"/>
    <w:rsid w:val="00E81123"/>
    <w:rsid w:val="00E8422F"/>
    <w:rsid w:val="00E8498D"/>
    <w:rsid w:val="00E86BE9"/>
    <w:rsid w:val="00E91E52"/>
    <w:rsid w:val="00E97EF2"/>
    <w:rsid w:val="00EA1BD3"/>
    <w:rsid w:val="00EA2D84"/>
    <w:rsid w:val="00EB0FD9"/>
    <w:rsid w:val="00EB1EA5"/>
    <w:rsid w:val="00EB3C65"/>
    <w:rsid w:val="00EB45FD"/>
    <w:rsid w:val="00EB48A1"/>
    <w:rsid w:val="00EB49D7"/>
    <w:rsid w:val="00EB52CC"/>
    <w:rsid w:val="00EB54F9"/>
    <w:rsid w:val="00EC53CE"/>
    <w:rsid w:val="00EC555B"/>
    <w:rsid w:val="00EC5E3B"/>
    <w:rsid w:val="00ED03AB"/>
    <w:rsid w:val="00ED07D7"/>
    <w:rsid w:val="00ED3ED5"/>
    <w:rsid w:val="00ED4F83"/>
    <w:rsid w:val="00ED648B"/>
    <w:rsid w:val="00ED7EA1"/>
    <w:rsid w:val="00EE0037"/>
    <w:rsid w:val="00EE0505"/>
    <w:rsid w:val="00EE28F0"/>
    <w:rsid w:val="00EE3AB8"/>
    <w:rsid w:val="00EE3F75"/>
    <w:rsid w:val="00EE45C5"/>
    <w:rsid w:val="00EF3517"/>
    <w:rsid w:val="00EF5C8E"/>
    <w:rsid w:val="00F02BDF"/>
    <w:rsid w:val="00F036F6"/>
    <w:rsid w:val="00F05915"/>
    <w:rsid w:val="00F06C8A"/>
    <w:rsid w:val="00F10BEF"/>
    <w:rsid w:val="00F10C31"/>
    <w:rsid w:val="00F161FE"/>
    <w:rsid w:val="00F23A8C"/>
    <w:rsid w:val="00F23D63"/>
    <w:rsid w:val="00F25542"/>
    <w:rsid w:val="00F2711B"/>
    <w:rsid w:val="00F2736C"/>
    <w:rsid w:val="00F335F7"/>
    <w:rsid w:val="00F42190"/>
    <w:rsid w:val="00F46B89"/>
    <w:rsid w:val="00F47386"/>
    <w:rsid w:val="00F53FEC"/>
    <w:rsid w:val="00F54AFD"/>
    <w:rsid w:val="00F55FF3"/>
    <w:rsid w:val="00F5769F"/>
    <w:rsid w:val="00F57891"/>
    <w:rsid w:val="00F612A7"/>
    <w:rsid w:val="00F633E6"/>
    <w:rsid w:val="00F67675"/>
    <w:rsid w:val="00F70386"/>
    <w:rsid w:val="00F71A0F"/>
    <w:rsid w:val="00F71BDD"/>
    <w:rsid w:val="00F76DDB"/>
    <w:rsid w:val="00F7730B"/>
    <w:rsid w:val="00F81797"/>
    <w:rsid w:val="00F81831"/>
    <w:rsid w:val="00F83DCA"/>
    <w:rsid w:val="00F8522A"/>
    <w:rsid w:val="00F85D43"/>
    <w:rsid w:val="00F87916"/>
    <w:rsid w:val="00F93BAA"/>
    <w:rsid w:val="00FA1657"/>
    <w:rsid w:val="00FA1B93"/>
    <w:rsid w:val="00FB117D"/>
    <w:rsid w:val="00FB1A60"/>
    <w:rsid w:val="00FB25B4"/>
    <w:rsid w:val="00FB2E68"/>
    <w:rsid w:val="00FB4618"/>
    <w:rsid w:val="00FB48A7"/>
    <w:rsid w:val="00FB5006"/>
    <w:rsid w:val="00FB614C"/>
    <w:rsid w:val="00FB6950"/>
    <w:rsid w:val="00FC3526"/>
    <w:rsid w:val="00FC47E5"/>
    <w:rsid w:val="00FC63BE"/>
    <w:rsid w:val="00FC793D"/>
    <w:rsid w:val="00FC7AE0"/>
    <w:rsid w:val="00FC7B8E"/>
    <w:rsid w:val="00FC7CC0"/>
    <w:rsid w:val="00FD3262"/>
    <w:rsid w:val="00FD3ED4"/>
    <w:rsid w:val="00FD43BF"/>
    <w:rsid w:val="00FD6E47"/>
    <w:rsid w:val="00FD6F72"/>
    <w:rsid w:val="00FE011F"/>
    <w:rsid w:val="00FE158C"/>
    <w:rsid w:val="00FE2D12"/>
    <w:rsid w:val="00FE49F1"/>
    <w:rsid w:val="00FE6A8A"/>
    <w:rsid w:val="00FF0050"/>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numPr>
        <w:numId w:val="7"/>
      </w:num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2">
    <w:name w:val="Unresolved Mention2"/>
    <w:basedOn w:val="DefaultParagraphFont"/>
    <w:uiPriority w:val="99"/>
    <w:semiHidden/>
    <w:unhideWhenUsed/>
    <w:rsid w:val="00603F5C"/>
    <w:rPr>
      <w:color w:val="605E5C"/>
      <w:shd w:val="clear" w:color="auto" w:fill="E1DFDD"/>
    </w:rPr>
  </w:style>
  <w:style w:type="numbering" w:customStyle="1" w:styleId="CurrentList1">
    <w:name w:val="Current List1"/>
    <w:uiPriority w:val="99"/>
    <w:rsid w:val="00410C9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umbhonichauke@gmail.com" TargetMode="External"/><Relationship Id="rId4" Type="http://schemas.openxmlformats.org/officeDocument/2006/relationships/settings" Target="settings.xml"/><Relationship Id="rId9" Type="http://schemas.openxmlformats.org/officeDocument/2006/relationships/hyperlink" Target="mailto:ruth@rcrispattorney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6840-06FA-42E6-B970-E76BC9F6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12</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Mariana Anguelov</cp:lastModifiedBy>
  <cp:revision>3</cp:revision>
  <cp:lastPrinted>2021-09-02T14:27:00Z</cp:lastPrinted>
  <dcterms:created xsi:type="dcterms:W3CDTF">2022-12-12T09:27:00Z</dcterms:created>
  <dcterms:modified xsi:type="dcterms:W3CDTF">2022-12-17T17:54:00Z</dcterms:modified>
</cp:coreProperties>
</file>