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1283" w14:textId="6B904DC8" w:rsidR="00AE39D3" w:rsidRPr="00C71BA3" w:rsidRDefault="00842028" w:rsidP="00BC3FB8">
      <w:pPr>
        <w:spacing w:line="360" w:lineRule="auto"/>
        <w:jc w:val="center"/>
        <w:rPr>
          <w:rFonts w:ascii="Arial" w:hAnsi="Arial" w:cs="Arial"/>
          <w:b/>
        </w:rPr>
      </w:pPr>
      <w:bookmarkStart w:id="0" w:name="_GoBack"/>
      <w:bookmarkEnd w:id="0"/>
      <w:r w:rsidRPr="00C71BA3">
        <w:rPr>
          <w:rFonts w:ascii="Arial" w:hAnsi="Arial" w:cs="Arial"/>
          <w:b/>
          <w:noProof/>
          <w:lang w:val="en-ZA"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3E4992E"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w:t>
                                  </w:r>
                                  <w:r w:rsidR="005E479D">
                                    <w:rPr>
                                      <w:rFonts w:ascii="Arial" w:hAnsi="Arial" w:cs="Arial"/>
                                      <w:sz w:val="20"/>
                                      <w:szCs w:val="20"/>
                                    </w:rPr>
                                    <w:t>2 December</w:t>
                                  </w:r>
                                  <w:r w:rsidR="003962D2">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3E4992E"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962D2">
                              <w:rPr>
                                <w:rFonts w:ascii="Arial" w:hAnsi="Arial" w:cs="Arial"/>
                                <w:sz w:val="20"/>
                                <w:szCs w:val="20"/>
                              </w:rPr>
                              <w:t>1</w:t>
                            </w:r>
                            <w:r w:rsidR="005E479D">
                              <w:rPr>
                                <w:rFonts w:ascii="Arial" w:hAnsi="Arial" w:cs="Arial"/>
                                <w:sz w:val="20"/>
                                <w:szCs w:val="20"/>
                              </w:rPr>
                              <w:t>2 December</w:t>
                            </w:r>
                            <w:r w:rsidR="003962D2">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7C997EB6"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5E479D">
              <w:rPr>
                <w:rFonts w:cs="Arial"/>
                <w:b/>
                <w:sz w:val="24"/>
                <w:szCs w:val="24"/>
              </w:rPr>
              <w:t>43250</w:t>
            </w:r>
            <w:r w:rsidR="003962D2">
              <w:rPr>
                <w:rFonts w:cs="Arial"/>
                <w:b/>
                <w:sz w:val="24"/>
                <w:szCs w:val="24"/>
              </w:rPr>
              <w:t>/202</w:t>
            </w:r>
            <w:r w:rsidR="005E479D">
              <w:rPr>
                <w:rFonts w:cs="Arial"/>
                <w:b/>
                <w:sz w:val="24"/>
                <w:szCs w:val="24"/>
              </w:rPr>
              <w:t>0</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361D3157" w14:textId="427DBCE9" w:rsidR="00E34223" w:rsidRDefault="00E342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KAWASAKI ROBOTICS GmbH</w:t>
      </w:r>
      <w:r>
        <w:rPr>
          <w:rFonts w:ascii="Arial" w:eastAsia="Times New Roman" w:hAnsi="Arial" w:cs="Arial"/>
          <w:b/>
          <w:lang w:val="en-ZA" w:eastAsia="en-GB"/>
        </w:rPr>
        <w:tab/>
        <w:t>1</w:t>
      </w:r>
      <w:r w:rsidRPr="00E34223">
        <w:rPr>
          <w:rFonts w:ascii="Arial" w:eastAsia="Times New Roman" w:hAnsi="Arial" w:cs="Arial"/>
          <w:b/>
          <w:vertAlign w:val="superscript"/>
          <w:lang w:val="en-ZA" w:eastAsia="en-GB"/>
        </w:rPr>
        <w:t>st</w:t>
      </w:r>
      <w:r>
        <w:rPr>
          <w:rFonts w:ascii="Arial" w:eastAsia="Times New Roman" w:hAnsi="Arial" w:cs="Arial"/>
          <w:b/>
          <w:lang w:val="en-ZA" w:eastAsia="en-GB"/>
        </w:rPr>
        <w:tab/>
        <w:t>APPLICANT</w:t>
      </w:r>
    </w:p>
    <w:p w14:paraId="6A6CCBF4" w14:textId="2AEC4E29" w:rsidR="00E34223" w:rsidRDefault="00E34223" w:rsidP="00574219">
      <w:pPr>
        <w:tabs>
          <w:tab w:val="left" w:pos="5868"/>
        </w:tabs>
        <w:spacing w:line="360" w:lineRule="auto"/>
        <w:ind w:left="936" w:hanging="936"/>
        <w:jc w:val="both"/>
        <w:rPr>
          <w:rFonts w:ascii="Arial" w:eastAsia="Times New Roman" w:hAnsi="Arial" w:cs="Arial"/>
          <w:bCs/>
          <w:lang w:val="en-ZA" w:eastAsia="en-GB"/>
        </w:rPr>
      </w:pPr>
      <w:r>
        <w:rPr>
          <w:rFonts w:ascii="Arial" w:eastAsia="Times New Roman" w:hAnsi="Arial" w:cs="Arial"/>
          <w:bCs/>
          <w:lang w:val="en-ZA" w:eastAsia="en-GB"/>
        </w:rPr>
        <w:t>(A Subsidiary of Kawasaki Jukogyo Kabushiki Kaisha</w:t>
      </w:r>
    </w:p>
    <w:p w14:paraId="1FAC2AA2" w14:textId="04F8781B" w:rsidR="00E34223" w:rsidRDefault="00E34223" w:rsidP="00574219">
      <w:pPr>
        <w:tabs>
          <w:tab w:val="left" w:pos="5868"/>
        </w:tabs>
        <w:spacing w:line="360" w:lineRule="auto"/>
        <w:ind w:left="936" w:hanging="936"/>
        <w:jc w:val="both"/>
        <w:rPr>
          <w:rFonts w:ascii="Arial" w:eastAsia="Times New Roman" w:hAnsi="Arial" w:cs="Arial"/>
          <w:bCs/>
          <w:lang w:val="en-ZA" w:eastAsia="en-GB"/>
        </w:rPr>
      </w:pPr>
      <w:r>
        <w:rPr>
          <w:rFonts w:ascii="Arial" w:eastAsia="Times New Roman" w:hAnsi="Arial" w:cs="Arial"/>
          <w:bCs/>
          <w:lang w:val="en-ZA" w:eastAsia="en-GB"/>
        </w:rPr>
        <w:t>d/b/a Kawasaki Heavy Industries, Ltd)</w:t>
      </w:r>
    </w:p>
    <w:p w14:paraId="4B24532A" w14:textId="4B659410" w:rsidR="00E34223" w:rsidRDefault="00E342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KAWASAKI JUKOGYO KUBUSHI KAISHA</w:t>
      </w:r>
      <w:r>
        <w:rPr>
          <w:rFonts w:ascii="Arial" w:eastAsia="Times New Roman" w:hAnsi="Arial" w:cs="Arial"/>
          <w:b/>
          <w:lang w:val="en-ZA" w:eastAsia="en-GB"/>
        </w:rPr>
        <w:tab/>
        <w:t>2</w:t>
      </w:r>
      <w:r w:rsidRPr="00E34223">
        <w:rPr>
          <w:rFonts w:ascii="Arial" w:eastAsia="Times New Roman" w:hAnsi="Arial" w:cs="Arial"/>
          <w:b/>
          <w:vertAlign w:val="superscript"/>
          <w:lang w:val="en-ZA" w:eastAsia="en-GB"/>
        </w:rPr>
        <w:t>nd</w:t>
      </w:r>
      <w:r>
        <w:rPr>
          <w:rFonts w:ascii="Arial" w:eastAsia="Times New Roman" w:hAnsi="Arial" w:cs="Arial"/>
          <w:b/>
          <w:lang w:val="en-ZA" w:eastAsia="en-GB"/>
        </w:rPr>
        <w:tab/>
        <w:t>APPLICANT</w:t>
      </w:r>
    </w:p>
    <w:p w14:paraId="12EDFAF7" w14:textId="70B3E078" w:rsidR="00E34223" w:rsidRPr="00E34223" w:rsidRDefault="00E34223" w:rsidP="00574219">
      <w:pPr>
        <w:tabs>
          <w:tab w:val="left" w:pos="5868"/>
        </w:tabs>
        <w:spacing w:line="360" w:lineRule="auto"/>
        <w:ind w:left="936" w:hanging="936"/>
        <w:jc w:val="both"/>
        <w:rPr>
          <w:rFonts w:ascii="Arial" w:eastAsia="Times New Roman" w:hAnsi="Arial" w:cs="Arial"/>
          <w:b/>
          <w:lang w:val="en-ZA" w:eastAsia="en-GB"/>
        </w:rPr>
      </w:pPr>
      <w:r w:rsidRPr="00E34223">
        <w:rPr>
          <w:rFonts w:ascii="Arial" w:eastAsia="Times New Roman" w:hAnsi="Arial" w:cs="Arial"/>
          <w:b/>
          <w:lang w:val="en-ZA" w:eastAsia="en-GB"/>
        </w:rPr>
        <w:t>d/b/a</w:t>
      </w:r>
      <w:r>
        <w:rPr>
          <w:rFonts w:ascii="Arial" w:eastAsia="Times New Roman" w:hAnsi="Arial" w:cs="Arial"/>
          <w:b/>
          <w:lang w:val="en-ZA" w:eastAsia="en-GB"/>
        </w:rPr>
        <w:t xml:space="preserve"> KAWASAKI HEAVY INDUSTRIES, LTD</w:t>
      </w:r>
      <w:r w:rsidRPr="00E34223">
        <w:rPr>
          <w:rFonts w:ascii="Arial" w:eastAsia="Times New Roman" w:hAnsi="Arial" w:cs="Arial"/>
          <w:b/>
          <w:lang w:val="en-ZA" w:eastAsia="en-GB"/>
        </w:rPr>
        <w:t xml:space="preserve"> </w:t>
      </w:r>
    </w:p>
    <w:p w14:paraId="029FE8A5" w14:textId="24580BF1" w:rsidR="00574219" w:rsidRDefault="00574219"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ab/>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6D4DBB73" w14:textId="2631DD93" w:rsidR="001C0076" w:rsidRDefault="00DD4CAF"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DIRECTECH</w:t>
      </w:r>
      <w:r>
        <w:rPr>
          <w:rFonts w:ascii="Arial" w:eastAsia="Times New Roman" w:hAnsi="Arial" w:cs="Arial"/>
          <w:b/>
          <w:lang w:val="en-ZA" w:eastAsia="en-GB"/>
        </w:rPr>
        <w:tab/>
        <w:t>RESPONDENT</w:t>
      </w:r>
    </w:p>
    <w:p w14:paraId="4EF5087E" w14:textId="77777777" w:rsidR="005A17DB" w:rsidRDefault="005A17DB" w:rsidP="005A17DB">
      <w:pPr>
        <w:tabs>
          <w:tab w:val="left" w:pos="5868"/>
        </w:tabs>
        <w:spacing w:line="360" w:lineRule="auto"/>
        <w:ind w:left="936" w:hanging="936"/>
        <w:jc w:val="both"/>
        <w:rPr>
          <w:rFonts w:ascii="Arial" w:eastAsia="Times New Roman" w:hAnsi="Arial" w:cs="Arial"/>
          <w:b/>
          <w:lang w:val="en-ZA" w:eastAsia="en-GB"/>
        </w:rPr>
      </w:pPr>
    </w:p>
    <w:p w14:paraId="5A1D17CC" w14:textId="77777777" w:rsidR="00574219" w:rsidRDefault="00574219" w:rsidP="00574219">
      <w:pPr>
        <w:tabs>
          <w:tab w:val="left" w:pos="5868"/>
        </w:tabs>
        <w:spacing w:line="360" w:lineRule="auto"/>
        <w:ind w:left="936" w:hanging="936"/>
        <w:jc w:val="both"/>
        <w:rPr>
          <w:rFonts w:ascii="Arial" w:eastAsia="Times New Roman" w:hAnsi="Arial" w:cs="Arial"/>
          <w:b/>
          <w:lang w:val="en-ZA" w:eastAsia="en-GB"/>
        </w:rPr>
      </w:pPr>
    </w:p>
    <w:p w14:paraId="2926D20A" w14:textId="77777777" w:rsidR="00041F40" w:rsidRPr="00AD3B10" w:rsidRDefault="00041F40" w:rsidP="00574219">
      <w:pPr>
        <w:tabs>
          <w:tab w:val="left" w:pos="5868"/>
        </w:tabs>
        <w:spacing w:line="360" w:lineRule="auto"/>
        <w:ind w:left="936" w:hanging="936"/>
        <w:jc w:val="both"/>
        <w:rPr>
          <w:rFonts w:ascii="Arial" w:eastAsia="Times New Roman" w:hAnsi="Arial" w:cs="Arial"/>
          <w:b/>
          <w:lang w:val="en-ZA" w:eastAsia="en-GB"/>
        </w:rPr>
      </w:pP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2DC65BC3"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37A54620" w14:textId="23683E48" w:rsidR="00574219"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lastRenderedPageBreak/>
        <w:t>ALLY AJ</w:t>
      </w:r>
    </w:p>
    <w:p w14:paraId="712A1CCE" w14:textId="77A00411" w:rsidR="00AA7BEE" w:rsidRDefault="00AA7BEE" w:rsidP="00E56817">
      <w:pPr>
        <w:tabs>
          <w:tab w:val="left" w:pos="5868"/>
        </w:tabs>
        <w:spacing w:line="360" w:lineRule="auto"/>
        <w:jc w:val="both"/>
        <w:rPr>
          <w:rFonts w:ascii="Arial" w:eastAsia="Times New Roman" w:hAnsi="Arial" w:cs="Arial"/>
          <w:b/>
          <w:u w:val="single"/>
          <w:lang w:val="en-ZA" w:eastAsia="en-GB"/>
        </w:rPr>
      </w:pPr>
    </w:p>
    <w:p w14:paraId="50C8FC7B" w14:textId="29E4CDAB" w:rsidR="00AA7BEE" w:rsidRPr="00AA7BEE" w:rsidRDefault="00AA7BEE"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5A7FFCD6" w14:textId="77777777" w:rsidR="00E56817" w:rsidRPr="00E56817" w:rsidRDefault="00E56817" w:rsidP="00E56817">
      <w:pPr>
        <w:tabs>
          <w:tab w:val="left" w:pos="5868"/>
        </w:tabs>
        <w:spacing w:line="360" w:lineRule="auto"/>
        <w:jc w:val="both"/>
        <w:rPr>
          <w:rFonts w:ascii="Arial" w:eastAsia="Times New Roman" w:hAnsi="Arial" w:cs="Arial"/>
          <w:b/>
          <w:u w:val="single"/>
          <w:lang w:val="en-ZA" w:eastAsia="en-GB"/>
        </w:rPr>
      </w:pPr>
    </w:p>
    <w:p w14:paraId="576B427D" w14:textId="77777777" w:rsidR="00A90AE3" w:rsidRDefault="00574219" w:rsidP="00036640">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A90AE3">
        <w:rPr>
          <w:rFonts w:ascii="Arial" w:eastAsia="Calibri" w:hAnsi="Arial" w:cs="Arial"/>
          <w:lang w:val="en-ZA"/>
        </w:rPr>
        <w:t>This is an opposed application in terms of which the Applicant claims:</w:t>
      </w:r>
    </w:p>
    <w:p w14:paraId="57588977" w14:textId="69AF2118"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1.1.</w:t>
      </w:r>
      <w:r>
        <w:rPr>
          <w:rFonts w:ascii="Arial" w:eastAsia="Calibri" w:hAnsi="Arial" w:cs="Arial"/>
          <w:lang w:val="en-ZA"/>
        </w:rPr>
        <w:tab/>
        <w:t xml:space="preserve">Interdicting the Respondent from infringing the Applicants’ rights acquired by the registration of the following </w:t>
      </w:r>
      <w:r w:rsidR="00AA5646">
        <w:rPr>
          <w:rFonts w:ascii="Arial" w:eastAsia="Calibri" w:hAnsi="Arial" w:cs="Arial"/>
          <w:lang w:val="en-ZA"/>
        </w:rPr>
        <w:t>trademarks</w:t>
      </w:r>
      <w:r>
        <w:rPr>
          <w:rFonts w:ascii="Arial" w:eastAsia="Calibri" w:hAnsi="Arial" w:cs="Arial"/>
          <w:lang w:val="en-ZA"/>
        </w:rPr>
        <w:t xml:space="preserve"> (“the </w:t>
      </w:r>
      <w:r w:rsidR="00AA5646">
        <w:rPr>
          <w:rFonts w:ascii="Arial" w:eastAsia="Calibri" w:hAnsi="Arial" w:cs="Arial"/>
          <w:lang w:val="en-ZA"/>
        </w:rPr>
        <w:t>Trademarks</w:t>
      </w:r>
      <w:r>
        <w:rPr>
          <w:rFonts w:ascii="Arial" w:eastAsia="Calibri" w:hAnsi="Arial" w:cs="Arial"/>
          <w:lang w:val="en-ZA"/>
        </w:rPr>
        <w:t>”);</w:t>
      </w:r>
    </w:p>
    <w:p w14:paraId="6F217178"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1.1.1.</w:t>
      </w:r>
      <w:r>
        <w:rPr>
          <w:rFonts w:ascii="Arial" w:eastAsia="Calibri" w:hAnsi="Arial" w:cs="Arial"/>
          <w:lang w:val="en-ZA"/>
        </w:rPr>
        <w:tab/>
        <w:t>Nr. 2013/04900 (Class 7)</w:t>
      </w:r>
    </w:p>
    <w:p w14:paraId="23932E70"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1.1.2.</w:t>
      </w:r>
      <w:r>
        <w:rPr>
          <w:rFonts w:ascii="Arial" w:eastAsia="Calibri" w:hAnsi="Arial" w:cs="Arial"/>
          <w:lang w:val="en-ZA"/>
        </w:rPr>
        <w:tab/>
        <w:t>Nr. 2013/10064 (Class 7)</w:t>
      </w:r>
    </w:p>
    <w:p w14:paraId="364B1C6C"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1.1.3.</w:t>
      </w:r>
      <w:r>
        <w:rPr>
          <w:rFonts w:ascii="Arial" w:eastAsia="Calibri" w:hAnsi="Arial" w:cs="Arial"/>
          <w:lang w:val="en-ZA"/>
        </w:rPr>
        <w:tab/>
        <w:t>Nr. 2013/04903 (Class 7)</w:t>
      </w:r>
    </w:p>
    <w:p w14:paraId="6A62C7AD" w14:textId="34916948"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 xml:space="preserve">by using, in relation to any goods in respect of which the said </w:t>
      </w:r>
      <w:r w:rsidR="00AA5646">
        <w:rPr>
          <w:rFonts w:ascii="Arial" w:eastAsia="Calibri" w:hAnsi="Arial" w:cs="Arial"/>
          <w:lang w:val="en-ZA"/>
        </w:rPr>
        <w:t>trademarks</w:t>
      </w:r>
      <w:r>
        <w:rPr>
          <w:rFonts w:ascii="Arial" w:eastAsia="Calibri" w:hAnsi="Arial" w:cs="Arial"/>
          <w:lang w:val="en-ZA"/>
        </w:rPr>
        <w:t xml:space="preserve"> is registered, the </w:t>
      </w:r>
      <w:r w:rsidR="00AA5646">
        <w:rPr>
          <w:rFonts w:ascii="Arial" w:eastAsia="Calibri" w:hAnsi="Arial" w:cs="Arial"/>
          <w:lang w:val="en-ZA"/>
        </w:rPr>
        <w:t>Trademarks</w:t>
      </w:r>
      <w:r>
        <w:rPr>
          <w:rFonts w:ascii="Arial" w:eastAsia="Calibri" w:hAnsi="Arial" w:cs="Arial"/>
          <w:lang w:val="en-ZA"/>
        </w:rPr>
        <w:t xml:space="preserve"> or any mark so nearly resembling the </w:t>
      </w:r>
      <w:r w:rsidR="00AA5646">
        <w:rPr>
          <w:rFonts w:ascii="Arial" w:eastAsia="Calibri" w:hAnsi="Arial" w:cs="Arial"/>
          <w:lang w:val="en-ZA"/>
        </w:rPr>
        <w:t>trademarks</w:t>
      </w:r>
      <w:r>
        <w:rPr>
          <w:rFonts w:ascii="Arial" w:eastAsia="Calibri" w:hAnsi="Arial" w:cs="Arial"/>
          <w:lang w:val="en-ZA"/>
        </w:rPr>
        <w:t xml:space="preserve"> as to be likely to deceive or confuse.</w:t>
      </w:r>
    </w:p>
    <w:p w14:paraId="4963360A" w14:textId="187DAB10"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1.2.</w:t>
      </w:r>
      <w:r>
        <w:rPr>
          <w:rFonts w:ascii="Arial" w:eastAsia="Calibri" w:hAnsi="Arial" w:cs="Arial"/>
          <w:lang w:val="en-ZA"/>
        </w:rPr>
        <w:tab/>
        <w:t xml:space="preserve">Compelling the Respondent to erase the offending mark, bearing the following </w:t>
      </w:r>
      <w:r w:rsidR="00AA5646">
        <w:rPr>
          <w:rFonts w:ascii="Arial" w:eastAsia="Calibri" w:hAnsi="Arial" w:cs="Arial"/>
          <w:lang w:val="en-ZA"/>
        </w:rPr>
        <w:t>trademarks</w:t>
      </w:r>
      <w:r>
        <w:rPr>
          <w:rFonts w:ascii="Arial" w:eastAsia="Calibri" w:hAnsi="Arial" w:cs="Arial"/>
          <w:lang w:val="en-ZA"/>
        </w:rPr>
        <w:t>:</w:t>
      </w:r>
    </w:p>
    <w:p w14:paraId="07193564"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1.2.1.</w:t>
      </w:r>
      <w:r>
        <w:rPr>
          <w:rFonts w:ascii="Arial" w:eastAsia="Calibri" w:hAnsi="Arial" w:cs="Arial"/>
          <w:lang w:val="en-ZA"/>
        </w:rPr>
        <w:tab/>
        <w:t>Nr. 2013/04900 (Class 7)</w:t>
      </w:r>
    </w:p>
    <w:p w14:paraId="6225938D"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1.2.2.</w:t>
      </w:r>
      <w:r>
        <w:rPr>
          <w:rFonts w:ascii="Arial" w:eastAsia="Calibri" w:hAnsi="Arial" w:cs="Arial"/>
          <w:lang w:val="en-ZA"/>
        </w:rPr>
        <w:tab/>
        <w:t>Nr. 2013/10064 (Class 7)</w:t>
      </w:r>
    </w:p>
    <w:p w14:paraId="3FD04C71" w14:textId="77777777" w:rsidR="00A90AE3" w:rsidRDefault="00A90AE3" w:rsidP="00A90AE3">
      <w:pPr>
        <w:spacing w:after="200"/>
        <w:ind w:left="1440" w:hanging="720"/>
        <w:rPr>
          <w:rFonts w:ascii="Arial" w:eastAsia="Calibri" w:hAnsi="Arial" w:cs="Arial"/>
          <w:lang w:val="en-ZA"/>
        </w:rPr>
      </w:pPr>
      <w:r>
        <w:rPr>
          <w:rFonts w:ascii="Arial" w:eastAsia="Calibri" w:hAnsi="Arial" w:cs="Arial"/>
          <w:lang w:val="en-ZA"/>
        </w:rPr>
        <w:tab/>
        <w:t>1.2.3.</w:t>
      </w:r>
      <w:r>
        <w:rPr>
          <w:rFonts w:ascii="Arial" w:eastAsia="Calibri" w:hAnsi="Arial" w:cs="Arial"/>
          <w:lang w:val="en-ZA"/>
        </w:rPr>
        <w:tab/>
        <w:t>Nr. 2013/04903 (Class 7)</w:t>
      </w:r>
    </w:p>
    <w:p w14:paraId="2CE4353B" w14:textId="77777777" w:rsidR="00DB6D65" w:rsidRDefault="00A90AE3" w:rsidP="00A90AE3">
      <w:pPr>
        <w:spacing w:after="200"/>
        <w:ind w:left="1440" w:hanging="720"/>
        <w:rPr>
          <w:rFonts w:ascii="Arial" w:eastAsia="Calibri" w:hAnsi="Arial" w:cs="Arial"/>
          <w:lang w:val="en-ZA"/>
        </w:rPr>
      </w:pPr>
      <w:r>
        <w:rPr>
          <w:rFonts w:ascii="Arial" w:eastAsia="Calibri" w:hAnsi="Arial" w:cs="Arial"/>
          <w:lang w:val="en-ZA"/>
        </w:rPr>
        <w:tab/>
        <w:t>from all goods, containers, packages, labels</w:t>
      </w:r>
      <w:r w:rsidR="00DB6D65">
        <w:rPr>
          <w:rFonts w:ascii="Arial" w:eastAsia="Calibri" w:hAnsi="Arial" w:cs="Arial"/>
          <w:lang w:val="en-ZA"/>
        </w:rPr>
        <w:t>, advertising matter and other documents of whatever sort, which may be in the Respondent’s possession or under its control</w:t>
      </w:r>
    </w:p>
    <w:p w14:paraId="61A8882E" w14:textId="4D2F48C7" w:rsidR="00DB6D65" w:rsidRDefault="00DB6D65" w:rsidP="00A90AE3">
      <w:pPr>
        <w:spacing w:after="200"/>
        <w:ind w:left="1440" w:hanging="720"/>
        <w:rPr>
          <w:rFonts w:ascii="Arial" w:eastAsia="Calibri" w:hAnsi="Arial" w:cs="Arial"/>
          <w:lang w:val="en-ZA"/>
        </w:rPr>
      </w:pPr>
      <w:r>
        <w:rPr>
          <w:rFonts w:ascii="Arial" w:eastAsia="Calibri" w:hAnsi="Arial" w:cs="Arial"/>
          <w:lang w:val="en-ZA"/>
        </w:rPr>
        <w:lastRenderedPageBreak/>
        <w:tab/>
        <w:t xml:space="preserve">by using the mark in relation to goods in respect of which the </w:t>
      </w:r>
      <w:r w:rsidR="00AA5646">
        <w:rPr>
          <w:rFonts w:ascii="Arial" w:eastAsia="Calibri" w:hAnsi="Arial" w:cs="Arial"/>
          <w:lang w:val="en-ZA"/>
        </w:rPr>
        <w:t>trademarks</w:t>
      </w:r>
      <w:r>
        <w:rPr>
          <w:rFonts w:ascii="Arial" w:eastAsia="Calibri" w:hAnsi="Arial" w:cs="Arial"/>
          <w:lang w:val="en-ZA"/>
        </w:rPr>
        <w:t xml:space="preserve"> are registered.</w:t>
      </w:r>
      <w:r w:rsidR="00A90AE3">
        <w:rPr>
          <w:rFonts w:ascii="Arial" w:eastAsia="Calibri" w:hAnsi="Arial" w:cs="Arial"/>
          <w:lang w:val="en-ZA"/>
        </w:rPr>
        <w:t xml:space="preserve"> </w:t>
      </w:r>
    </w:p>
    <w:p w14:paraId="0F7ECCB2" w14:textId="0E7F874F" w:rsidR="00DB6D65" w:rsidRDefault="00DB6D65" w:rsidP="00DB6D65">
      <w:pPr>
        <w:spacing w:after="200"/>
        <w:rPr>
          <w:rFonts w:ascii="Arial" w:eastAsia="Calibri" w:hAnsi="Arial" w:cs="Arial"/>
          <w:lang w:val="en-ZA"/>
        </w:rPr>
      </w:pPr>
    </w:p>
    <w:p w14:paraId="4FC725EF" w14:textId="4CB4F2FE" w:rsidR="00DB6D65" w:rsidRDefault="00DB6D65" w:rsidP="00996C27">
      <w:pPr>
        <w:spacing w:after="200"/>
        <w:rPr>
          <w:rFonts w:ascii="Arial" w:eastAsia="Calibri" w:hAnsi="Arial" w:cs="Arial"/>
          <w:i/>
          <w:iCs/>
          <w:lang w:val="en-ZA"/>
        </w:rPr>
      </w:pPr>
      <w:r>
        <w:rPr>
          <w:rFonts w:ascii="Arial" w:eastAsia="Calibri" w:hAnsi="Arial" w:cs="Arial"/>
          <w:lang w:val="en-ZA"/>
        </w:rPr>
        <w:t>[2]</w:t>
      </w:r>
      <w:r>
        <w:rPr>
          <w:rFonts w:ascii="Arial" w:eastAsia="Calibri" w:hAnsi="Arial" w:cs="Arial"/>
          <w:lang w:val="en-ZA"/>
        </w:rPr>
        <w:tab/>
        <w:t xml:space="preserve">The Respondent has opposed this application and have raised certain points </w:t>
      </w:r>
      <w:r>
        <w:rPr>
          <w:rFonts w:ascii="Arial" w:eastAsia="Calibri" w:hAnsi="Arial" w:cs="Arial"/>
          <w:i/>
          <w:iCs/>
          <w:lang w:val="en-ZA"/>
        </w:rPr>
        <w:t>in limine</w:t>
      </w:r>
      <w:r w:rsidR="00B7674E">
        <w:rPr>
          <w:rFonts w:ascii="Arial" w:eastAsia="Calibri" w:hAnsi="Arial" w:cs="Arial"/>
          <w:i/>
          <w:iCs/>
          <w:lang w:val="en-ZA"/>
        </w:rPr>
        <w:t>:</w:t>
      </w:r>
    </w:p>
    <w:p w14:paraId="54DAE5DF" w14:textId="1F9DEFDA" w:rsidR="00B7674E" w:rsidRDefault="00B7674E" w:rsidP="00B7674E">
      <w:pPr>
        <w:spacing w:after="200"/>
        <w:ind w:left="1440" w:hanging="720"/>
        <w:rPr>
          <w:rFonts w:ascii="Arial" w:eastAsia="Calibri" w:hAnsi="Arial" w:cs="Arial"/>
          <w:lang w:val="en-ZA"/>
        </w:rPr>
      </w:pPr>
      <w:r>
        <w:rPr>
          <w:rFonts w:ascii="Arial" w:eastAsia="Calibri" w:hAnsi="Arial" w:cs="Arial"/>
          <w:lang w:val="en-ZA"/>
        </w:rPr>
        <w:t>2.1.</w:t>
      </w:r>
      <w:r>
        <w:rPr>
          <w:rFonts w:ascii="Arial" w:eastAsia="Calibri" w:hAnsi="Arial" w:cs="Arial"/>
          <w:lang w:val="en-ZA"/>
        </w:rPr>
        <w:tab/>
        <w:t xml:space="preserve">the Respondent takes issue with the fact that the application was served on its current attorney of record, Van Zyl Johnson Inc when no consent was given for said attorneys to accept same; this point was abandoned in the heads of argument of the Respondent on the basis that the application came to the </w:t>
      </w:r>
      <w:r w:rsidR="00360CB2">
        <w:rPr>
          <w:rFonts w:ascii="Arial" w:eastAsia="Calibri" w:hAnsi="Arial" w:cs="Arial"/>
          <w:lang w:val="en-ZA"/>
        </w:rPr>
        <w:t>attention of the Respondent;</w:t>
      </w:r>
      <w:r w:rsidR="005D4DB4">
        <w:rPr>
          <w:rFonts w:ascii="Arial" w:eastAsia="Calibri" w:hAnsi="Arial" w:cs="Arial"/>
          <w:lang w:val="en-ZA"/>
        </w:rPr>
        <w:t xml:space="preserve"> this point was rightly abandoned;</w:t>
      </w:r>
    </w:p>
    <w:p w14:paraId="48C63B0C" w14:textId="08352706" w:rsidR="00B7674E" w:rsidRPr="00360CB2" w:rsidRDefault="00B7674E" w:rsidP="00B7674E">
      <w:pPr>
        <w:spacing w:after="200"/>
        <w:ind w:left="1440" w:hanging="720"/>
        <w:rPr>
          <w:rFonts w:ascii="Arial" w:eastAsia="Calibri" w:hAnsi="Arial" w:cs="Arial"/>
          <w:lang w:val="en-ZA"/>
        </w:rPr>
      </w:pPr>
      <w:r>
        <w:rPr>
          <w:rFonts w:ascii="Arial" w:eastAsia="Calibri" w:hAnsi="Arial" w:cs="Arial"/>
          <w:lang w:val="en-ZA"/>
        </w:rPr>
        <w:t>2.2.</w:t>
      </w:r>
      <w:r>
        <w:rPr>
          <w:rFonts w:ascii="Arial" w:eastAsia="Calibri" w:hAnsi="Arial" w:cs="Arial"/>
          <w:lang w:val="en-ZA"/>
        </w:rPr>
        <w:tab/>
      </w:r>
      <w:r w:rsidR="00360CB2">
        <w:rPr>
          <w:rFonts w:ascii="Arial" w:eastAsia="Calibri" w:hAnsi="Arial" w:cs="Arial"/>
          <w:i/>
          <w:iCs/>
          <w:lang w:val="en-ZA"/>
        </w:rPr>
        <w:t xml:space="preserve">locus standi </w:t>
      </w:r>
      <w:r w:rsidR="00360CB2">
        <w:rPr>
          <w:rFonts w:ascii="Arial" w:eastAsia="Calibri" w:hAnsi="Arial" w:cs="Arial"/>
          <w:lang w:val="en-ZA"/>
        </w:rPr>
        <w:t>of the First Applicant in that the First Applicant is a subsidiary of the Second Applicant but does not vest First Applicant with authority to institute applications on behalf of the Second Applicant, as its holding company. In furtherance of this point the Respondent submits that the doctrine of separate legal personality within company law functions to facilitate the implementation of limited liability. Accordingly, so it submits, every member company within a group of companies, has its own separate personality.</w:t>
      </w:r>
    </w:p>
    <w:p w14:paraId="10A5EFD3" w14:textId="48EE27FA" w:rsidR="00B7674E" w:rsidRPr="00B7674E" w:rsidRDefault="00B7674E" w:rsidP="00DB6D65">
      <w:pPr>
        <w:spacing w:after="200"/>
        <w:rPr>
          <w:rFonts w:ascii="Arial" w:eastAsia="Calibri" w:hAnsi="Arial" w:cs="Arial"/>
          <w:lang w:val="en-ZA"/>
        </w:rPr>
      </w:pPr>
      <w:r>
        <w:rPr>
          <w:rFonts w:ascii="Arial" w:eastAsia="Calibri" w:hAnsi="Arial" w:cs="Arial"/>
          <w:lang w:val="en-ZA"/>
        </w:rPr>
        <w:tab/>
      </w:r>
    </w:p>
    <w:p w14:paraId="5D131589" w14:textId="77777777" w:rsidR="00DB6D65" w:rsidRDefault="00DB6D65" w:rsidP="00DB6D65">
      <w:pPr>
        <w:spacing w:after="200"/>
        <w:rPr>
          <w:rFonts w:ascii="Arial" w:eastAsia="Calibri" w:hAnsi="Arial" w:cs="Arial"/>
          <w:b/>
          <w:bCs/>
          <w:lang w:val="en-ZA"/>
        </w:rPr>
      </w:pPr>
      <w:r>
        <w:rPr>
          <w:rFonts w:ascii="Arial" w:eastAsia="Calibri" w:hAnsi="Arial" w:cs="Arial"/>
          <w:b/>
          <w:bCs/>
          <w:lang w:val="en-ZA"/>
        </w:rPr>
        <w:t>FACTUAL BACKGROUND</w:t>
      </w:r>
    </w:p>
    <w:p w14:paraId="595C86B6" w14:textId="64A8B708" w:rsidR="003D4190" w:rsidRDefault="00B7674E" w:rsidP="00DB6D65">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The </w:t>
      </w:r>
      <w:r w:rsidR="003D4190">
        <w:rPr>
          <w:rFonts w:ascii="Arial" w:eastAsia="Calibri" w:hAnsi="Arial" w:cs="Arial"/>
          <w:lang w:val="en-ZA"/>
        </w:rPr>
        <w:t xml:space="preserve">deponent to the Founding Affidavit, a certain Mr Marcus Bretschneider, alleges that the First Applicant is a subsidiary of the Second Applicant and that he </w:t>
      </w:r>
      <w:r w:rsidR="003D4190">
        <w:rPr>
          <w:rFonts w:ascii="Arial" w:eastAsia="Calibri" w:hAnsi="Arial" w:cs="Arial"/>
          <w:lang w:val="en-ZA"/>
        </w:rPr>
        <w:lastRenderedPageBreak/>
        <w:t xml:space="preserve">is duly authorised to depose to the affidavit on the basis of ‘Annexure A’ </w:t>
      </w:r>
      <w:r w:rsidR="005D4DB4">
        <w:rPr>
          <w:rFonts w:ascii="Arial" w:eastAsia="Calibri" w:hAnsi="Arial" w:cs="Arial"/>
          <w:lang w:val="en-ZA"/>
        </w:rPr>
        <w:t xml:space="preserve">read ‘Annexure B’ </w:t>
      </w:r>
      <w:r w:rsidR="003D4190">
        <w:rPr>
          <w:rFonts w:ascii="Arial" w:eastAsia="Calibri" w:hAnsi="Arial" w:cs="Arial"/>
          <w:lang w:val="en-ZA"/>
        </w:rPr>
        <w:t xml:space="preserve">annexed to the founding affidavit. </w:t>
      </w:r>
    </w:p>
    <w:p w14:paraId="6372D953" w14:textId="77777777" w:rsidR="003D4190" w:rsidRDefault="003D4190" w:rsidP="00DB6D65">
      <w:pPr>
        <w:spacing w:after="200"/>
        <w:rPr>
          <w:rFonts w:ascii="Arial" w:eastAsia="Calibri" w:hAnsi="Arial" w:cs="Arial"/>
          <w:lang w:val="en-ZA"/>
        </w:rPr>
      </w:pPr>
    </w:p>
    <w:p w14:paraId="24E66B65" w14:textId="70C6D139" w:rsidR="0045416C" w:rsidRDefault="003D4190" w:rsidP="00DB6D65">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‘Annexure A’ is a letter of authorisation written by a certain Noburu Takagi who is said to be a General Manager: Precision Machinery &amp; Robot Company, Kawasaki Heavy Industries Ltd</w:t>
      </w:r>
      <w:r w:rsidR="005D4DB4">
        <w:rPr>
          <w:rFonts w:ascii="Arial" w:eastAsia="Calibri" w:hAnsi="Arial" w:cs="Arial"/>
          <w:lang w:val="en-ZA"/>
        </w:rPr>
        <w:t xml:space="preserve"> and ‘Annexure B’ is a special resolution authorising Marcus Bretschneider to depose the founding affidavit. </w:t>
      </w:r>
    </w:p>
    <w:p w14:paraId="02EDEC80" w14:textId="77777777" w:rsidR="0045416C" w:rsidRDefault="0045416C" w:rsidP="00DB6D65">
      <w:pPr>
        <w:spacing w:after="200"/>
        <w:rPr>
          <w:rFonts w:ascii="Arial" w:eastAsia="Calibri" w:hAnsi="Arial" w:cs="Arial"/>
          <w:lang w:val="en-ZA"/>
        </w:rPr>
      </w:pPr>
    </w:p>
    <w:p w14:paraId="425DD1DB" w14:textId="77777777" w:rsidR="0045416C" w:rsidRDefault="0045416C" w:rsidP="00DB6D65">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The Second Applicant has also been cited as a party because of its interest in the matter, so it is alleged.</w:t>
      </w:r>
    </w:p>
    <w:p w14:paraId="100B52BB" w14:textId="77777777" w:rsidR="0045416C" w:rsidRDefault="0045416C" w:rsidP="00DB6D65">
      <w:pPr>
        <w:spacing w:after="200"/>
        <w:rPr>
          <w:rFonts w:ascii="Arial" w:eastAsia="Calibri" w:hAnsi="Arial" w:cs="Arial"/>
          <w:lang w:val="en-ZA"/>
        </w:rPr>
      </w:pPr>
    </w:p>
    <w:p w14:paraId="7A9B8F07" w14:textId="77777777" w:rsidR="0045416C" w:rsidRDefault="0045416C" w:rsidP="00DB6D65">
      <w:pPr>
        <w:spacing w:after="200"/>
        <w:rPr>
          <w:rFonts w:ascii="Arial" w:eastAsia="Calibri" w:hAnsi="Arial" w:cs="Arial"/>
          <w:lang w:val="en-ZA"/>
        </w:rPr>
      </w:pPr>
      <w:r>
        <w:rPr>
          <w:rFonts w:ascii="Arial" w:eastAsia="Calibri" w:hAnsi="Arial" w:cs="Arial"/>
          <w:lang w:val="en-ZA"/>
        </w:rPr>
        <w:t>[6]</w:t>
      </w:r>
      <w:r>
        <w:rPr>
          <w:rFonts w:ascii="Arial" w:eastAsia="Calibri" w:hAnsi="Arial" w:cs="Arial"/>
          <w:lang w:val="en-ZA"/>
        </w:rPr>
        <w:tab/>
        <w:t xml:space="preserve">The deponent to the founding affidavit also alleges that because of his position within the First Applicant he has personal knowledge of the contents of the affidavit as well as all the business dealings between the Applicants and the Respondent within the Republic of South Africa. </w:t>
      </w:r>
    </w:p>
    <w:p w14:paraId="51F8DD2F" w14:textId="77777777" w:rsidR="0045416C" w:rsidRDefault="0045416C" w:rsidP="00DB6D65">
      <w:pPr>
        <w:spacing w:after="200"/>
        <w:rPr>
          <w:rFonts w:ascii="Arial" w:eastAsia="Calibri" w:hAnsi="Arial" w:cs="Arial"/>
          <w:lang w:val="en-ZA"/>
        </w:rPr>
      </w:pPr>
    </w:p>
    <w:p w14:paraId="0565435A" w14:textId="257D8CD7" w:rsidR="000604FE" w:rsidRDefault="0045416C" w:rsidP="00DB6D65">
      <w:pPr>
        <w:spacing w:after="200"/>
        <w:rPr>
          <w:rFonts w:ascii="Arial" w:eastAsia="Calibri" w:hAnsi="Arial" w:cs="Arial"/>
          <w:lang w:val="en-ZA"/>
        </w:rPr>
      </w:pPr>
      <w:r>
        <w:rPr>
          <w:rFonts w:ascii="Arial" w:eastAsia="Calibri" w:hAnsi="Arial" w:cs="Arial"/>
          <w:lang w:val="en-ZA"/>
        </w:rPr>
        <w:t>[7]</w:t>
      </w:r>
      <w:r>
        <w:rPr>
          <w:rFonts w:ascii="Arial" w:eastAsia="Calibri" w:hAnsi="Arial" w:cs="Arial"/>
          <w:lang w:val="en-ZA"/>
        </w:rPr>
        <w:tab/>
        <w:t xml:space="preserve">The Applicants allege that the First Applicant and the Respondent conducted joint business activities in the past </w:t>
      </w:r>
      <w:r w:rsidR="000604FE">
        <w:rPr>
          <w:rFonts w:ascii="Arial" w:eastAsia="Calibri" w:hAnsi="Arial" w:cs="Arial"/>
          <w:lang w:val="en-ZA"/>
        </w:rPr>
        <w:t xml:space="preserve">and during this business relationship, the Respondent utilised the </w:t>
      </w:r>
      <w:r w:rsidR="00AA5646">
        <w:rPr>
          <w:rFonts w:ascii="Arial" w:eastAsia="Calibri" w:hAnsi="Arial" w:cs="Arial"/>
          <w:lang w:val="en-ZA"/>
        </w:rPr>
        <w:t>trademarks</w:t>
      </w:r>
      <w:r w:rsidR="000604FE">
        <w:rPr>
          <w:rFonts w:ascii="Arial" w:eastAsia="Calibri" w:hAnsi="Arial" w:cs="Arial"/>
          <w:lang w:val="en-ZA"/>
        </w:rPr>
        <w:t xml:space="preserve"> of the Applicants’ with the Applicants consent.</w:t>
      </w:r>
    </w:p>
    <w:p w14:paraId="530B7084" w14:textId="77777777" w:rsidR="000604FE" w:rsidRDefault="000604FE" w:rsidP="00DB6D65">
      <w:pPr>
        <w:spacing w:after="200"/>
        <w:rPr>
          <w:rFonts w:ascii="Arial" w:eastAsia="Calibri" w:hAnsi="Arial" w:cs="Arial"/>
          <w:lang w:val="en-ZA"/>
        </w:rPr>
      </w:pPr>
    </w:p>
    <w:p w14:paraId="2355B850" w14:textId="0D5B63B8" w:rsidR="000604FE" w:rsidRDefault="000604FE" w:rsidP="00DB6D65">
      <w:pPr>
        <w:spacing w:after="200"/>
        <w:rPr>
          <w:rFonts w:ascii="Arial" w:eastAsia="Calibri" w:hAnsi="Arial" w:cs="Arial"/>
          <w:lang w:val="en-ZA"/>
        </w:rPr>
      </w:pPr>
      <w:r>
        <w:rPr>
          <w:rFonts w:ascii="Arial" w:eastAsia="Calibri" w:hAnsi="Arial" w:cs="Arial"/>
          <w:lang w:val="en-ZA"/>
        </w:rPr>
        <w:t>[8]</w:t>
      </w:r>
      <w:r>
        <w:rPr>
          <w:rFonts w:ascii="Arial" w:eastAsia="Calibri" w:hAnsi="Arial" w:cs="Arial"/>
          <w:lang w:val="en-ZA"/>
        </w:rPr>
        <w:tab/>
        <w:t>The Applicants terminated the said business relationship with the Respondent on 18 June 2019.</w:t>
      </w:r>
    </w:p>
    <w:p w14:paraId="060D4E8F" w14:textId="77777777" w:rsidR="00AA5646" w:rsidRDefault="00AA5646" w:rsidP="00DB6D65">
      <w:pPr>
        <w:spacing w:after="200"/>
        <w:rPr>
          <w:rFonts w:ascii="Arial" w:eastAsia="Calibri" w:hAnsi="Arial" w:cs="Arial"/>
          <w:lang w:val="en-ZA"/>
        </w:rPr>
      </w:pPr>
    </w:p>
    <w:p w14:paraId="5DFAD30D" w14:textId="109A5FD7" w:rsidR="000604FE" w:rsidRDefault="000604FE" w:rsidP="00DB6D65">
      <w:pPr>
        <w:spacing w:after="200"/>
        <w:rPr>
          <w:rFonts w:ascii="Arial" w:eastAsia="Calibri" w:hAnsi="Arial" w:cs="Arial"/>
          <w:lang w:val="en-ZA"/>
        </w:rPr>
      </w:pPr>
      <w:r>
        <w:rPr>
          <w:rFonts w:ascii="Arial" w:eastAsia="Calibri" w:hAnsi="Arial" w:cs="Arial"/>
          <w:lang w:val="en-ZA"/>
        </w:rPr>
        <w:t>[9]</w:t>
      </w:r>
      <w:r>
        <w:rPr>
          <w:rFonts w:ascii="Arial" w:eastAsia="Calibri" w:hAnsi="Arial" w:cs="Arial"/>
          <w:lang w:val="en-ZA"/>
        </w:rPr>
        <w:tab/>
        <w:t xml:space="preserve">Subsequent to the termination of the business relationship between the parties, the Applicants allege that the Respondent continued to make use of their </w:t>
      </w:r>
      <w:r w:rsidR="00AA5646">
        <w:rPr>
          <w:rFonts w:ascii="Arial" w:eastAsia="Calibri" w:hAnsi="Arial" w:cs="Arial"/>
          <w:lang w:val="en-ZA"/>
        </w:rPr>
        <w:t>trademarks</w:t>
      </w:r>
      <w:r>
        <w:rPr>
          <w:rFonts w:ascii="Arial" w:eastAsia="Calibri" w:hAnsi="Arial" w:cs="Arial"/>
          <w:lang w:val="en-ZA"/>
        </w:rPr>
        <w:t xml:space="preserve"> even after requests to desist from doing same. </w:t>
      </w:r>
    </w:p>
    <w:p w14:paraId="0619B1A5" w14:textId="77777777" w:rsidR="000604FE" w:rsidRDefault="000604FE" w:rsidP="00DB6D65">
      <w:pPr>
        <w:spacing w:after="200"/>
        <w:rPr>
          <w:rFonts w:ascii="Arial" w:eastAsia="Calibri" w:hAnsi="Arial" w:cs="Arial"/>
          <w:lang w:val="en-ZA"/>
        </w:rPr>
      </w:pPr>
    </w:p>
    <w:p w14:paraId="53165737" w14:textId="12985F27" w:rsidR="000604FE" w:rsidRDefault="000604FE" w:rsidP="00DB6D65">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 xml:space="preserve">After several unsuccessful attempts by the Applicants to prevent the Respondent from using the </w:t>
      </w:r>
      <w:r w:rsidR="00AA5646">
        <w:rPr>
          <w:rFonts w:ascii="Arial" w:eastAsia="Calibri" w:hAnsi="Arial" w:cs="Arial"/>
          <w:lang w:val="en-ZA"/>
        </w:rPr>
        <w:t>trademarks</w:t>
      </w:r>
      <w:r>
        <w:rPr>
          <w:rFonts w:ascii="Arial" w:eastAsia="Calibri" w:hAnsi="Arial" w:cs="Arial"/>
          <w:lang w:val="en-ZA"/>
        </w:rPr>
        <w:t>, the Applicants allege that they were forced to launch these proceedings.</w:t>
      </w:r>
    </w:p>
    <w:p w14:paraId="39329ADF" w14:textId="77777777" w:rsidR="000604FE" w:rsidRDefault="000604FE" w:rsidP="00DB6D65">
      <w:pPr>
        <w:spacing w:after="200"/>
        <w:rPr>
          <w:rFonts w:ascii="Arial" w:eastAsia="Calibri" w:hAnsi="Arial" w:cs="Arial"/>
          <w:lang w:val="en-ZA"/>
        </w:rPr>
      </w:pPr>
    </w:p>
    <w:p w14:paraId="170EABE7" w14:textId="77777777" w:rsidR="000604FE" w:rsidRDefault="000604FE" w:rsidP="00DB6D65">
      <w:pPr>
        <w:spacing w:after="200"/>
        <w:rPr>
          <w:rFonts w:ascii="Arial" w:eastAsia="Calibri" w:hAnsi="Arial" w:cs="Arial"/>
          <w:lang w:val="en-ZA"/>
        </w:rPr>
      </w:pPr>
      <w:r>
        <w:rPr>
          <w:rFonts w:ascii="Arial" w:eastAsia="Calibri" w:hAnsi="Arial" w:cs="Arial"/>
          <w:lang w:val="en-ZA"/>
        </w:rPr>
        <w:t>[11]</w:t>
      </w:r>
      <w:r>
        <w:rPr>
          <w:rFonts w:ascii="Arial" w:eastAsia="Calibri" w:hAnsi="Arial" w:cs="Arial"/>
          <w:lang w:val="en-ZA"/>
        </w:rPr>
        <w:tab/>
        <w:t xml:space="preserve">Besides the points </w:t>
      </w:r>
      <w:r>
        <w:rPr>
          <w:rFonts w:ascii="Arial" w:eastAsia="Calibri" w:hAnsi="Arial" w:cs="Arial"/>
          <w:i/>
          <w:iCs/>
          <w:lang w:val="en-ZA"/>
        </w:rPr>
        <w:t xml:space="preserve">in limine </w:t>
      </w:r>
      <w:r>
        <w:rPr>
          <w:rFonts w:ascii="Arial" w:eastAsia="Calibri" w:hAnsi="Arial" w:cs="Arial"/>
          <w:lang w:val="en-ZA"/>
        </w:rPr>
        <w:t>mentioned above, the Respondent joins issue with the Applicants.</w:t>
      </w:r>
    </w:p>
    <w:p w14:paraId="0954337B" w14:textId="77777777" w:rsidR="000604FE" w:rsidRDefault="000604FE" w:rsidP="00DB6D65">
      <w:pPr>
        <w:spacing w:after="200"/>
        <w:rPr>
          <w:rFonts w:ascii="Arial" w:eastAsia="Calibri" w:hAnsi="Arial" w:cs="Arial"/>
          <w:lang w:val="en-ZA"/>
        </w:rPr>
      </w:pPr>
    </w:p>
    <w:p w14:paraId="38DA98FF" w14:textId="0771BDED" w:rsidR="00124876" w:rsidRDefault="000604FE" w:rsidP="00DB6D65">
      <w:pPr>
        <w:spacing w:after="200"/>
        <w:rPr>
          <w:rFonts w:ascii="Arial" w:eastAsia="Calibri" w:hAnsi="Arial" w:cs="Arial"/>
          <w:lang w:val="en-ZA"/>
        </w:rPr>
      </w:pPr>
      <w:r>
        <w:rPr>
          <w:rFonts w:ascii="Arial" w:eastAsia="Calibri" w:hAnsi="Arial" w:cs="Arial"/>
          <w:lang w:val="en-ZA"/>
        </w:rPr>
        <w:t>[12]</w:t>
      </w:r>
      <w:r>
        <w:rPr>
          <w:rFonts w:ascii="Arial" w:eastAsia="Calibri" w:hAnsi="Arial" w:cs="Arial"/>
          <w:lang w:val="en-ZA"/>
        </w:rPr>
        <w:tab/>
        <w:t xml:space="preserve"> </w:t>
      </w:r>
      <w:r w:rsidR="002713EE">
        <w:rPr>
          <w:rFonts w:ascii="Arial" w:eastAsia="Calibri" w:hAnsi="Arial" w:cs="Arial"/>
          <w:lang w:val="en-ZA"/>
        </w:rPr>
        <w:t xml:space="preserve">The Respondent </w:t>
      </w:r>
      <w:r w:rsidR="00124876">
        <w:rPr>
          <w:rFonts w:ascii="Arial" w:eastAsia="Calibri" w:hAnsi="Arial" w:cs="Arial"/>
          <w:lang w:val="en-ZA"/>
        </w:rPr>
        <w:t>indicates that the basis of Applicants’ relief is</w:t>
      </w:r>
      <w:r w:rsidR="004629CC">
        <w:rPr>
          <w:rFonts w:ascii="Arial" w:eastAsia="Calibri" w:hAnsi="Arial" w:cs="Arial"/>
          <w:lang w:val="en-ZA"/>
        </w:rPr>
        <w:t>,</w:t>
      </w:r>
      <w:r w:rsidR="00124876">
        <w:rPr>
          <w:rFonts w:ascii="Arial" w:eastAsia="Calibri" w:hAnsi="Arial" w:cs="Arial"/>
          <w:lang w:val="en-ZA"/>
        </w:rPr>
        <w:t xml:space="preserve"> 4 alleged infringements as contained in paragraph 20 of the founding affidavit read with annexures “F1 – F4”. </w:t>
      </w:r>
      <w:r w:rsidR="0097447B">
        <w:rPr>
          <w:rFonts w:ascii="Arial" w:eastAsia="Calibri" w:hAnsi="Arial" w:cs="Arial"/>
          <w:lang w:val="en-ZA"/>
        </w:rPr>
        <w:t>The Respondent alleges firstly, in relation to annexures “F1 and F2”, that the signboard complained about was removed prior to the launch of these proceedings. Secondly, the “</w:t>
      </w:r>
      <w:r w:rsidR="0097447B">
        <w:rPr>
          <w:rFonts w:ascii="Arial" w:eastAsia="Calibri" w:hAnsi="Arial" w:cs="Arial"/>
          <w:b/>
          <w:bCs/>
          <w:lang w:val="en-ZA"/>
        </w:rPr>
        <w:t>K Kawasaki Robotics</w:t>
      </w:r>
      <w:r w:rsidR="0097447B">
        <w:rPr>
          <w:rFonts w:ascii="Arial" w:eastAsia="Calibri" w:hAnsi="Arial" w:cs="Arial"/>
          <w:lang w:val="en-ZA"/>
        </w:rPr>
        <w:t xml:space="preserve">” device visible in the said annexures “F1 and F2”, is not a </w:t>
      </w:r>
      <w:r w:rsidR="00AA5646">
        <w:rPr>
          <w:rFonts w:ascii="Arial" w:eastAsia="Calibri" w:hAnsi="Arial" w:cs="Arial"/>
          <w:lang w:val="en-ZA"/>
        </w:rPr>
        <w:t>Trademarks</w:t>
      </w:r>
      <w:r w:rsidR="0097447B">
        <w:rPr>
          <w:rFonts w:ascii="Arial" w:eastAsia="Calibri" w:hAnsi="Arial" w:cs="Arial"/>
          <w:lang w:val="en-ZA"/>
        </w:rPr>
        <w:t xml:space="preserve"> of the Applicants, thus not infringing any </w:t>
      </w:r>
      <w:r w:rsidR="00AA5646">
        <w:rPr>
          <w:rFonts w:ascii="Arial" w:eastAsia="Calibri" w:hAnsi="Arial" w:cs="Arial"/>
          <w:lang w:val="en-ZA"/>
        </w:rPr>
        <w:t>trademarks</w:t>
      </w:r>
      <w:r w:rsidR="0097447B">
        <w:rPr>
          <w:rFonts w:ascii="Arial" w:eastAsia="Calibri" w:hAnsi="Arial" w:cs="Arial"/>
          <w:lang w:val="en-ZA"/>
        </w:rPr>
        <w:t xml:space="preserve"> of the Applicants.   </w:t>
      </w:r>
    </w:p>
    <w:p w14:paraId="7CC8DA4D" w14:textId="77777777" w:rsidR="00124876" w:rsidRDefault="00124876" w:rsidP="00DB6D65">
      <w:pPr>
        <w:spacing w:after="200"/>
        <w:rPr>
          <w:rFonts w:ascii="Arial" w:eastAsia="Calibri" w:hAnsi="Arial" w:cs="Arial"/>
          <w:lang w:val="en-ZA"/>
        </w:rPr>
      </w:pPr>
    </w:p>
    <w:p w14:paraId="51C1E76A" w14:textId="11D8D041" w:rsidR="00367120" w:rsidRDefault="00124876" w:rsidP="00367120">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 xml:space="preserve">The Respondent submits </w:t>
      </w:r>
      <w:r w:rsidR="00A0375B">
        <w:rPr>
          <w:rFonts w:ascii="Arial" w:eastAsia="Calibri" w:hAnsi="Arial" w:cs="Arial"/>
          <w:lang w:val="en-ZA"/>
        </w:rPr>
        <w:t>further that in respect of annexure “F3”</w:t>
      </w:r>
      <w:r w:rsidR="00367120">
        <w:rPr>
          <w:rFonts w:ascii="Arial" w:eastAsia="Calibri" w:hAnsi="Arial" w:cs="Arial"/>
          <w:lang w:val="en-ZA"/>
        </w:rPr>
        <w:t xml:space="preserve">, no infringement has been committed for the reason that “F3” makes no mention of a </w:t>
      </w:r>
      <w:r w:rsidR="00AA5646">
        <w:rPr>
          <w:rFonts w:ascii="Arial" w:eastAsia="Calibri" w:hAnsi="Arial" w:cs="Arial"/>
          <w:lang w:val="en-ZA"/>
        </w:rPr>
        <w:lastRenderedPageBreak/>
        <w:t>trademarks</w:t>
      </w:r>
      <w:r w:rsidR="00367120">
        <w:rPr>
          <w:rFonts w:ascii="Arial" w:eastAsia="Calibri" w:hAnsi="Arial" w:cs="Arial"/>
          <w:lang w:val="en-ZA"/>
        </w:rPr>
        <w:t xml:space="preserve"> and thus no infringement can occur. Alternatively, and only in the event of the Court finding that the word “Kawasaki” offends against the </w:t>
      </w:r>
      <w:r w:rsidR="00AA5646">
        <w:rPr>
          <w:rFonts w:ascii="Arial" w:eastAsia="Calibri" w:hAnsi="Arial" w:cs="Arial"/>
          <w:lang w:val="en-ZA"/>
        </w:rPr>
        <w:t>trademarks</w:t>
      </w:r>
      <w:r w:rsidR="00367120">
        <w:rPr>
          <w:rFonts w:ascii="Arial" w:eastAsia="Calibri" w:hAnsi="Arial" w:cs="Arial"/>
          <w:lang w:val="en-ZA"/>
        </w:rPr>
        <w:t xml:space="preserve"> then the Respondent submits that “F3” relates to work done historically and can therefore not be an infringement as made out by the Applicants.</w:t>
      </w:r>
    </w:p>
    <w:p w14:paraId="1F1DBF36" w14:textId="533D3729" w:rsidR="00367120" w:rsidRDefault="00367120" w:rsidP="00367120">
      <w:pPr>
        <w:spacing w:after="200"/>
        <w:rPr>
          <w:rFonts w:ascii="Arial" w:eastAsia="Calibri" w:hAnsi="Arial" w:cs="Arial"/>
          <w:lang w:val="en-ZA"/>
        </w:rPr>
      </w:pPr>
    </w:p>
    <w:p w14:paraId="4078BA94" w14:textId="77777777" w:rsidR="00996C27" w:rsidRDefault="00367120" w:rsidP="00367120">
      <w:pPr>
        <w:spacing w:after="200"/>
        <w:rPr>
          <w:rFonts w:ascii="Arial" w:eastAsia="Calibri" w:hAnsi="Arial" w:cs="Arial"/>
          <w:lang w:val="en-ZA"/>
        </w:rPr>
      </w:pPr>
      <w:r>
        <w:rPr>
          <w:rFonts w:ascii="Arial" w:eastAsia="Calibri" w:hAnsi="Arial" w:cs="Arial"/>
          <w:lang w:val="en-ZA"/>
        </w:rPr>
        <w:t>[14]</w:t>
      </w:r>
      <w:r>
        <w:rPr>
          <w:rFonts w:ascii="Arial" w:eastAsia="Calibri" w:hAnsi="Arial" w:cs="Arial"/>
          <w:lang w:val="en-ZA"/>
        </w:rPr>
        <w:tab/>
        <w:t xml:space="preserve">In respect of annexure “F4”, the Respondent alleges that </w:t>
      </w:r>
      <w:r w:rsidR="00996C27">
        <w:rPr>
          <w:rFonts w:ascii="Arial" w:eastAsia="Calibri" w:hAnsi="Arial" w:cs="Arial"/>
          <w:lang w:val="en-ZA"/>
        </w:rPr>
        <w:t>“F4” is also historical in nature because the screenshot refers to 13 May 2019 and, on the Applicants’ own case, consent was withdrawn after that date. Furthermore, the Respondent alleges that the screenshot relates to Germany and not within the boundaries of the Republic of South Africa and therefore cannot be an infringement of the Act as pleaded by the Applicants.</w:t>
      </w:r>
    </w:p>
    <w:p w14:paraId="31345346" w14:textId="77777777" w:rsidR="00996C27" w:rsidRDefault="00996C27" w:rsidP="00367120">
      <w:pPr>
        <w:spacing w:after="200"/>
        <w:rPr>
          <w:rFonts w:ascii="Arial" w:eastAsia="Calibri" w:hAnsi="Arial" w:cs="Arial"/>
          <w:lang w:val="en-ZA"/>
        </w:rPr>
      </w:pPr>
    </w:p>
    <w:p w14:paraId="03EB33AE" w14:textId="77777777" w:rsidR="00996C27" w:rsidRDefault="00996C27" w:rsidP="00367120">
      <w:pPr>
        <w:spacing w:after="200"/>
        <w:rPr>
          <w:rFonts w:ascii="Arial" w:eastAsia="Calibri" w:hAnsi="Arial" w:cs="Arial"/>
          <w:b/>
          <w:bCs/>
          <w:lang w:val="en-ZA"/>
        </w:rPr>
      </w:pPr>
      <w:r>
        <w:rPr>
          <w:rFonts w:ascii="Arial" w:eastAsia="Calibri" w:hAnsi="Arial" w:cs="Arial"/>
          <w:b/>
          <w:bCs/>
          <w:lang w:val="en-ZA"/>
        </w:rPr>
        <w:t>EVALUATION AND ANAYLSIS</w:t>
      </w:r>
    </w:p>
    <w:p w14:paraId="4F0750DD" w14:textId="77777777" w:rsidR="00465486" w:rsidRDefault="00996C27" w:rsidP="00367120">
      <w:pPr>
        <w:spacing w:after="200"/>
        <w:rPr>
          <w:rFonts w:ascii="Arial" w:eastAsia="Calibri" w:hAnsi="Arial" w:cs="Arial"/>
          <w:lang w:val="en-ZA"/>
        </w:rPr>
      </w:pPr>
      <w:r>
        <w:rPr>
          <w:rFonts w:ascii="Arial" w:eastAsia="Calibri" w:hAnsi="Arial" w:cs="Arial"/>
          <w:lang w:val="en-ZA"/>
        </w:rPr>
        <w:t>[15]</w:t>
      </w:r>
      <w:r>
        <w:rPr>
          <w:rFonts w:ascii="Arial" w:eastAsia="Calibri" w:hAnsi="Arial" w:cs="Arial"/>
          <w:lang w:val="en-ZA"/>
        </w:rPr>
        <w:tab/>
      </w:r>
      <w:r w:rsidR="00465486">
        <w:rPr>
          <w:rFonts w:ascii="Arial" w:eastAsia="Calibri" w:hAnsi="Arial" w:cs="Arial"/>
          <w:lang w:val="en-ZA"/>
        </w:rPr>
        <w:t>The Respondent has abandoned the point relating to service of the application and this Court therefore does not deal with the said point.</w:t>
      </w:r>
    </w:p>
    <w:p w14:paraId="731FFCBE" w14:textId="77777777" w:rsidR="00465486" w:rsidRDefault="00465486" w:rsidP="00367120">
      <w:pPr>
        <w:spacing w:after="200"/>
        <w:rPr>
          <w:rFonts w:ascii="Arial" w:eastAsia="Calibri" w:hAnsi="Arial" w:cs="Arial"/>
          <w:lang w:val="en-ZA"/>
        </w:rPr>
      </w:pPr>
    </w:p>
    <w:p w14:paraId="74A3E771" w14:textId="040E14F0" w:rsidR="003A2562" w:rsidRDefault="00465486" w:rsidP="00367120">
      <w:pPr>
        <w:spacing w:after="200"/>
        <w:rPr>
          <w:rFonts w:ascii="Arial" w:eastAsia="Calibri" w:hAnsi="Arial" w:cs="Arial"/>
          <w:lang w:val="en-ZA"/>
        </w:rPr>
      </w:pPr>
      <w:r>
        <w:rPr>
          <w:rFonts w:ascii="Arial" w:eastAsia="Calibri" w:hAnsi="Arial" w:cs="Arial"/>
          <w:lang w:val="en-ZA"/>
        </w:rPr>
        <w:t>[16]</w:t>
      </w:r>
      <w:r w:rsidR="003A2562">
        <w:rPr>
          <w:rFonts w:ascii="Arial" w:eastAsia="Calibri" w:hAnsi="Arial" w:cs="Arial"/>
          <w:lang w:val="en-ZA"/>
        </w:rPr>
        <w:tab/>
      </w:r>
      <w:r>
        <w:rPr>
          <w:rFonts w:ascii="Arial" w:eastAsia="Calibri" w:hAnsi="Arial" w:cs="Arial"/>
          <w:lang w:val="en-ZA"/>
        </w:rPr>
        <w:t xml:space="preserve">The Respondent, however, does persist with the second point </w:t>
      </w:r>
      <w:r>
        <w:rPr>
          <w:rFonts w:ascii="Arial" w:eastAsia="Calibri" w:hAnsi="Arial" w:cs="Arial"/>
          <w:i/>
          <w:iCs/>
          <w:lang w:val="en-ZA"/>
        </w:rPr>
        <w:t>in limine</w:t>
      </w:r>
      <w:r>
        <w:rPr>
          <w:rFonts w:ascii="Arial" w:eastAsia="Calibri" w:hAnsi="Arial" w:cs="Arial"/>
          <w:lang w:val="en-ZA"/>
        </w:rPr>
        <w:t xml:space="preserve">, which relates to </w:t>
      </w:r>
      <w:r>
        <w:rPr>
          <w:rFonts w:ascii="Arial" w:eastAsia="Calibri" w:hAnsi="Arial" w:cs="Arial"/>
          <w:i/>
          <w:iCs/>
          <w:lang w:val="en-ZA"/>
        </w:rPr>
        <w:t>locus standi in iudicio</w:t>
      </w:r>
      <w:r>
        <w:rPr>
          <w:rFonts w:ascii="Arial" w:eastAsia="Calibri" w:hAnsi="Arial" w:cs="Arial"/>
          <w:lang w:val="en-ZA"/>
        </w:rPr>
        <w:t>.</w:t>
      </w:r>
    </w:p>
    <w:p w14:paraId="541393B9" w14:textId="77777777" w:rsidR="003A2562" w:rsidRDefault="003A2562" w:rsidP="00367120">
      <w:pPr>
        <w:spacing w:after="200"/>
        <w:rPr>
          <w:rFonts w:ascii="Arial" w:eastAsia="Calibri" w:hAnsi="Arial" w:cs="Arial"/>
          <w:lang w:val="en-ZA"/>
        </w:rPr>
      </w:pPr>
    </w:p>
    <w:p w14:paraId="725FC6C0" w14:textId="77777777" w:rsidR="00FC3059" w:rsidRDefault="003A2562" w:rsidP="00367120">
      <w:pPr>
        <w:spacing w:after="200"/>
        <w:rPr>
          <w:rFonts w:ascii="Arial" w:eastAsia="Calibri" w:hAnsi="Arial" w:cs="Arial"/>
          <w:lang w:val="en-ZA"/>
        </w:rPr>
      </w:pPr>
      <w:r>
        <w:rPr>
          <w:rFonts w:ascii="Arial" w:eastAsia="Calibri" w:hAnsi="Arial" w:cs="Arial"/>
          <w:lang w:val="en-ZA"/>
        </w:rPr>
        <w:t>[17]</w:t>
      </w:r>
      <w:r w:rsidR="00993C96">
        <w:rPr>
          <w:rFonts w:ascii="Arial" w:eastAsia="Calibri" w:hAnsi="Arial" w:cs="Arial"/>
          <w:lang w:val="en-ZA"/>
        </w:rPr>
        <w:tab/>
        <w:t>As I understand this point</w:t>
      </w:r>
      <w:r w:rsidR="002415DC">
        <w:rPr>
          <w:rFonts w:ascii="Arial" w:eastAsia="Calibri" w:hAnsi="Arial" w:cs="Arial"/>
          <w:lang w:val="en-ZA"/>
        </w:rPr>
        <w:t xml:space="preserve"> as outlined in the issue of authorising the institution of these proceedings before this Court is placed in issue. Now it has </w:t>
      </w:r>
      <w:r w:rsidR="002415DC">
        <w:rPr>
          <w:rFonts w:ascii="Arial" w:eastAsia="Calibri" w:hAnsi="Arial" w:cs="Arial"/>
          <w:lang w:val="en-ZA"/>
        </w:rPr>
        <w:lastRenderedPageBreak/>
        <w:t>become settled law</w:t>
      </w:r>
      <w:r w:rsidR="002415DC">
        <w:rPr>
          <w:rStyle w:val="FootnoteReference"/>
          <w:rFonts w:ascii="Arial" w:eastAsia="Calibri" w:hAnsi="Arial" w:cs="Arial"/>
          <w:lang w:val="en-ZA"/>
        </w:rPr>
        <w:footnoteReference w:id="1"/>
      </w:r>
      <w:r w:rsidR="002415DC">
        <w:rPr>
          <w:rFonts w:ascii="Arial" w:eastAsia="Calibri" w:hAnsi="Arial" w:cs="Arial"/>
          <w:lang w:val="en-ZA"/>
        </w:rPr>
        <w:t xml:space="preserve"> that where a party raises an issue of authority to institute or prosecute proceedings before a Court of law, then and in that event, such party must make use of Rule 7 of the Uniform Rules of Court.</w:t>
      </w:r>
      <w:r w:rsidR="006924E2">
        <w:rPr>
          <w:rFonts w:ascii="Arial" w:eastAsia="Calibri" w:hAnsi="Arial" w:cs="Arial"/>
          <w:lang w:val="en-ZA"/>
        </w:rPr>
        <w:t xml:space="preserve"> The Respondent has not made use of Rule 7 and in the circumstances, this Court agrees with the submission by Counsel for the Applicants, that in the absence of a Rule 7, the whole point falls away. It must be mentioned furthermore, that annexures “A” and “B” of the founding affidavit, in my view, puts paid to this point conclusively.</w:t>
      </w:r>
      <w:r w:rsidR="002415DC">
        <w:rPr>
          <w:rFonts w:ascii="Arial" w:eastAsia="Calibri" w:hAnsi="Arial" w:cs="Arial"/>
          <w:lang w:val="en-ZA"/>
        </w:rPr>
        <w:t xml:space="preserve"> </w:t>
      </w:r>
    </w:p>
    <w:p w14:paraId="65E8CCD2" w14:textId="77777777" w:rsidR="00FC3059" w:rsidRDefault="00FC3059" w:rsidP="00367120">
      <w:pPr>
        <w:spacing w:after="200"/>
        <w:rPr>
          <w:rFonts w:ascii="Arial" w:eastAsia="Calibri" w:hAnsi="Arial" w:cs="Arial"/>
          <w:lang w:val="en-ZA"/>
        </w:rPr>
      </w:pPr>
    </w:p>
    <w:p w14:paraId="008A973E" w14:textId="3DFBFEFB" w:rsidR="00182061" w:rsidRDefault="00FC3059" w:rsidP="00367120">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r>
      <w:r w:rsidR="00182061">
        <w:rPr>
          <w:rFonts w:ascii="Arial" w:eastAsia="Calibri" w:hAnsi="Arial" w:cs="Arial"/>
          <w:lang w:val="en-ZA"/>
        </w:rPr>
        <w:t xml:space="preserve">In order to succeed in claiming protection in terms of the </w:t>
      </w:r>
      <w:r w:rsidR="00AA5646">
        <w:rPr>
          <w:rFonts w:ascii="Arial" w:eastAsia="Calibri" w:hAnsi="Arial" w:cs="Arial"/>
          <w:lang w:val="en-ZA"/>
        </w:rPr>
        <w:t>Trademarks</w:t>
      </w:r>
      <w:r w:rsidR="00182061">
        <w:rPr>
          <w:rFonts w:ascii="Arial" w:eastAsia="Calibri" w:hAnsi="Arial" w:cs="Arial"/>
          <w:lang w:val="en-ZA"/>
        </w:rPr>
        <w:t xml:space="preserve"> Act</w:t>
      </w:r>
      <w:r w:rsidR="00182061">
        <w:rPr>
          <w:rStyle w:val="FootnoteReference"/>
          <w:rFonts w:ascii="Arial" w:eastAsia="Calibri" w:hAnsi="Arial" w:cs="Arial"/>
          <w:lang w:val="en-ZA"/>
        </w:rPr>
        <w:footnoteReference w:id="2"/>
      </w:r>
      <w:r w:rsidR="00182061">
        <w:rPr>
          <w:rFonts w:ascii="Arial" w:eastAsia="Calibri" w:hAnsi="Arial" w:cs="Arial"/>
          <w:lang w:val="en-ZA"/>
        </w:rPr>
        <w:t xml:space="preserve"> [hereinafter referred to as ‘the Act’], it is incumbent on the Applicants to prove</w:t>
      </w:r>
      <w:r w:rsidR="00D16CC8">
        <w:rPr>
          <w:rStyle w:val="FootnoteReference"/>
          <w:rFonts w:ascii="Arial" w:eastAsia="Calibri" w:hAnsi="Arial" w:cs="Arial"/>
          <w:lang w:val="en-ZA"/>
        </w:rPr>
        <w:footnoteReference w:id="3"/>
      </w:r>
      <w:r w:rsidR="00182061">
        <w:rPr>
          <w:rFonts w:ascii="Arial" w:eastAsia="Calibri" w:hAnsi="Arial" w:cs="Arial"/>
          <w:lang w:val="en-ZA"/>
        </w:rPr>
        <w:t>:</w:t>
      </w:r>
    </w:p>
    <w:p w14:paraId="41468F67" w14:textId="4B2EDCC6" w:rsidR="00D16CC8" w:rsidRDefault="00D16CC8" w:rsidP="00367120">
      <w:pPr>
        <w:spacing w:after="200"/>
        <w:rPr>
          <w:rFonts w:ascii="Arial" w:eastAsia="Calibri" w:hAnsi="Arial" w:cs="Arial"/>
          <w:lang w:val="en-ZA"/>
        </w:rPr>
      </w:pPr>
      <w:r>
        <w:rPr>
          <w:rFonts w:ascii="Arial" w:eastAsia="Calibri" w:hAnsi="Arial" w:cs="Arial"/>
          <w:lang w:val="en-ZA"/>
        </w:rPr>
        <w:tab/>
        <w:t>18.1.</w:t>
      </w:r>
      <w:r>
        <w:rPr>
          <w:rFonts w:ascii="Arial" w:eastAsia="Calibri" w:hAnsi="Arial" w:cs="Arial"/>
          <w:lang w:val="en-ZA"/>
        </w:rPr>
        <w:tab/>
        <w:t xml:space="preserve">the </w:t>
      </w:r>
      <w:r w:rsidR="00AA5646">
        <w:rPr>
          <w:rFonts w:ascii="Arial" w:eastAsia="Calibri" w:hAnsi="Arial" w:cs="Arial"/>
          <w:lang w:val="en-ZA"/>
        </w:rPr>
        <w:t>trademarks</w:t>
      </w:r>
      <w:r>
        <w:rPr>
          <w:rFonts w:ascii="Arial" w:eastAsia="Calibri" w:hAnsi="Arial" w:cs="Arial"/>
          <w:lang w:val="en-ZA"/>
        </w:rPr>
        <w:t xml:space="preserve"> in question has been registered in terms of ‘the Act;</w:t>
      </w:r>
    </w:p>
    <w:p w14:paraId="2F5BFB9C" w14:textId="217BF99C" w:rsidR="00D16CC8" w:rsidRDefault="00D16CC8" w:rsidP="00D16CC8">
      <w:pPr>
        <w:spacing w:after="200"/>
        <w:ind w:left="1440" w:hanging="720"/>
        <w:rPr>
          <w:rFonts w:ascii="Arial" w:eastAsia="Calibri" w:hAnsi="Arial" w:cs="Arial"/>
          <w:lang w:val="en-ZA"/>
        </w:rPr>
      </w:pPr>
      <w:r>
        <w:rPr>
          <w:rFonts w:ascii="Arial" w:eastAsia="Calibri" w:hAnsi="Arial" w:cs="Arial"/>
          <w:lang w:val="en-ZA"/>
        </w:rPr>
        <w:t>18.2.</w:t>
      </w:r>
      <w:r>
        <w:rPr>
          <w:rFonts w:ascii="Arial" w:eastAsia="Calibri" w:hAnsi="Arial" w:cs="Arial"/>
          <w:lang w:val="en-ZA"/>
        </w:rPr>
        <w:tab/>
        <w:t xml:space="preserve">the Respondent has used the </w:t>
      </w:r>
      <w:r w:rsidR="00AA5646">
        <w:rPr>
          <w:rFonts w:ascii="Arial" w:eastAsia="Calibri" w:hAnsi="Arial" w:cs="Arial"/>
          <w:lang w:val="en-ZA"/>
        </w:rPr>
        <w:t>trademarks</w:t>
      </w:r>
      <w:r>
        <w:rPr>
          <w:rFonts w:ascii="Arial" w:eastAsia="Calibri" w:hAnsi="Arial" w:cs="Arial"/>
          <w:lang w:val="en-ZA"/>
        </w:rPr>
        <w:t xml:space="preserve"> without the consent or permission of the proprietor of the </w:t>
      </w:r>
      <w:r w:rsidR="00AA5646">
        <w:rPr>
          <w:rFonts w:ascii="Arial" w:eastAsia="Calibri" w:hAnsi="Arial" w:cs="Arial"/>
          <w:lang w:val="en-ZA"/>
        </w:rPr>
        <w:t>trademarks</w:t>
      </w:r>
      <w:r>
        <w:rPr>
          <w:rFonts w:ascii="Arial" w:eastAsia="Calibri" w:hAnsi="Arial" w:cs="Arial"/>
          <w:lang w:val="en-ZA"/>
        </w:rPr>
        <w:t>;</w:t>
      </w:r>
    </w:p>
    <w:p w14:paraId="20B24F77" w14:textId="77777777" w:rsidR="00D16CC8" w:rsidRDefault="00D16CC8" w:rsidP="00D16CC8">
      <w:pPr>
        <w:spacing w:after="200"/>
        <w:rPr>
          <w:rFonts w:ascii="Arial" w:eastAsia="Calibri" w:hAnsi="Arial" w:cs="Arial"/>
          <w:lang w:val="en-ZA"/>
        </w:rPr>
      </w:pPr>
    </w:p>
    <w:p w14:paraId="0C788B63" w14:textId="10D35ED0" w:rsidR="00D404F0" w:rsidRDefault="00D16CC8" w:rsidP="00D16CC8">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r>
      <w:r w:rsidR="00C37F91">
        <w:rPr>
          <w:rFonts w:ascii="Arial" w:eastAsia="Calibri" w:hAnsi="Arial" w:cs="Arial"/>
          <w:lang w:val="en-ZA"/>
        </w:rPr>
        <w:t xml:space="preserve">The Applicants annexed the registration of the </w:t>
      </w:r>
      <w:r w:rsidR="00AA5646">
        <w:rPr>
          <w:rFonts w:ascii="Arial" w:eastAsia="Calibri" w:hAnsi="Arial" w:cs="Arial"/>
          <w:lang w:val="en-ZA"/>
        </w:rPr>
        <w:t>trademarks</w:t>
      </w:r>
      <w:r w:rsidR="00C37F91">
        <w:rPr>
          <w:rFonts w:ascii="Arial" w:eastAsia="Calibri" w:hAnsi="Arial" w:cs="Arial"/>
          <w:lang w:val="en-ZA"/>
        </w:rPr>
        <w:t xml:space="preserve"> as annexures “C1 – C3”. Accordingly, it is clear from the available evidence that t</w:t>
      </w:r>
      <w:r>
        <w:rPr>
          <w:rFonts w:ascii="Arial" w:eastAsia="Calibri" w:hAnsi="Arial" w:cs="Arial"/>
          <w:lang w:val="en-ZA"/>
        </w:rPr>
        <w:t>he Applicants</w:t>
      </w:r>
      <w:r w:rsidR="00C37F91">
        <w:rPr>
          <w:rFonts w:ascii="Arial" w:eastAsia="Calibri" w:hAnsi="Arial" w:cs="Arial"/>
          <w:lang w:val="en-ZA"/>
        </w:rPr>
        <w:t xml:space="preserve"> have prove</w:t>
      </w:r>
      <w:r w:rsidR="00D404F0">
        <w:rPr>
          <w:rFonts w:ascii="Arial" w:eastAsia="Calibri" w:hAnsi="Arial" w:cs="Arial"/>
          <w:lang w:val="en-ZA"/>
        </w:rPr>
        <w:t>n</w:t>
      </w:r>
      <w:r w:rsidR="00C37F91">
        <w:rPr>
          <w:rFonts w:ascii="Arial" w:eastAsia="Calibri" w:hAnsi="Arial" w:cs="Arial"/>
          <w:lang w:val="en-ZA"/>
        </w:rPr>
        <w:t xml:space="preserve"> the registration of the </w:t>
      </w:r>
      <w:r w:rsidR="00AA5646">
        <w:rPr>
          <w:rFonts w:ascii="Arial" w:eastAsia="Calibri" w:hAnsi="Arial" w:cs="Arial"/>
          <w:lang w:val="en-ZA"/>
        </w:rPr>
        <w:t>trademarks</w:t>
      </w:r>
      <w:r w:rsidR="00C37F91">
        <w:rPr>
          <w:rFonts w:ascii="Arial" w:eastAsia="Calibri" w:hAnsi="Arial" w:cs="Arial"/>
          <w:lang w:val="en-ZA"/>
        </w:rPr>
        <w:t xml:space="preserve">. The specificity of the </w:t>
      </w:r>
      <w:r w:rsidR="00AA5646">
        <w:rPr>
          <w:rFonts w:ascii="Arial" w:eastAsia="Calibri" w:hAnsi="Arial" w:cs="Arial"/>
          <w:lang w:val="en-ZA"/>
        </w:rPr>
        <w:t>trademarks</w:t>
      </w:r>
      <w:r w:rsidR="00C37F91">
        <w:rPr>
          <w:rFonts w:ascii="Arial" w:eastAsia="Calibri" w:hAnsi="Arial" w:cs="Arial"/>
          <w:lang w:val="en-ZA"/>
        </w:rPr>
        <w:t xml:space="preserve"> in </w:t>
      </w:r>
      <w:r w:rsidR="00C37F91">
        <w:rPr>
          <w:rFonts w:ascii="Arial" w:eastAsia="Calibri" w:hAnsi="Arial" w:cs="Arial"/>
          <w:lang w:val="en-ZA"/>
        </w:rPr>
        <w:lastRenderedPageBreak/>
        <w:t>relation to each infringement alleged by the Applicants will be dealt with later in this judgment.</w:t>
      </w:r>
    </w:p>
    <w:p w14:paraId="51224204" w14:textId="205232EE" w:rsidR="00C37F91" w:rsidRDefault="00D16CC8" w:rsidP="00D16CC8">
      <w:pPr>
        <w:spacing w:after="200"/>
        <w:rPr>
          <w:rFonts w:ascii="Arial" w:eastAsia="Calibri" w:hAnsi="Arial" w:cs="Arial"/>
          <w:lang w:val="en-ZA"/>
        </w:rPr>
      </w:pPr>
      <w:r>
        <w:rPr>
          <w:rFonts w:ascii="Arial" w:eastAsia="Calibri" w:hAnsi="Arial" w:cs="Arial"/>
          <w:lang w:val="en-ZA"/>
        </w:rPr>
        <w:t xml:space="preserve"> </w:t>
      </w:r>
    </w:p>
    <w:p w14:paraId="74A51862" w14:textId="4D548195" w:rsidR="00D404F0" w:rsidRDefault="00D404F0" w:rsidP="00D16CC8">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t xml:space="preserve">The question that arises, however, is whether the First Applicant can make allegations as to the registration of the </w:t>
      </w:r>
      <w:r w:rsidR="00AA5646">
        <w:rPr>
          <w:rFonts w:ascii="Arial" w:eastAsia="Calibri" w:hAnsi="Arial" w:cs="Arial"/>
          <w:lang w:val="en-ZA"/>
        </w:rPr>
        <w:t>trademarks</w:t>
      </w:r>
      <w:r>
        <w:rPr>
          <w:rFonts w:ascii="Arial" w:eastAsia="Calibri" w:hAnsi="Arial" w:cs="Arial"/>
          <w:lang w:val="en-ZA"/>
        </w:rPr>
        <w:t xml:space="preserve"> and as a consequence thereof claim infringement of the </w:t>
      </w:r>
      <w:r w:rsidR="00AA5646">
        <w:rPr>
          <w:rFonts w:ascii="Arial" w:eastAsia="Calibri" w:hAnsi="Arial" w:cs="Arial"/>
          <w:lang w:val="en-ZA"/>
        </w:rPr>
        <w:t>trademarks</w:t>
      </w:r>
      <w:r>
        <w:rPr>
          <w:rFonts w:ascii="Arial" w:eastAsia="Calibri" w:hAnsi="Arial" w:cs="Arial"/>
          <w:lang w:val="en-ZA"/>
        </w:rPr>
        <w:t xml:space="preserve"> in circumstances where it is not the owner of the </w:t>
      </w:r>
      <w:r w:rsidR="00AA5646">
        <w:rPr>
          <w:rFonts w:ascii="Arial" w:eastAsia="Calibri" w:hAnsi="Arial" w:cs="Arial"/>
          <w:lang w:val="en-ZA"/>
        </w:rPr>
        <w:t>trademarks</w:t>
      </w:r>
      <w:r>
        <w:rPr>
          <w:rFonts w:ascii="Arial" w:eastAsia="Calibri" w:hAnsi="Arial" w:cs="Arial"/>
          <w:lang w:val="en-ZA"/>
        </w:rPr>
        <w:t xml:space="preserve"> but the Second Applicant is</w:t>
      </w:r>
      <w:r w:rsidR="005D4DB4">
        <w:rPr>
          <w:rFonts w:ascii="Arial" w:eastAsia="Calibri" w:hAnsi="Arial" w:cs="Arial"/>
          <w:lang w:val="en-ZA"/>
        </w:rPr>
        <w:t>?</w:t>
      </w:r>
    </w:p>
    <w:p w14:paraId="098A7F49" w14:textId="2141CC9E" w:rsidR="00D404F0" w:rsidRDefault="00D404F0" w:rsidP="00D16CC8">
      <w:pPr>
        <w:spacing w:after="200"/>
        <w:rPr>
          <w:rFonts w:ascii="Arial" w:eastAsia="Calibri" w:hAnsi="Arial" w:cs="Arial"/>
          <w:lang w:val="en-ZA"/>
        </w:rPr>
      </w:pPr>
    </w:p>
    <w:p w14:paraId="599AB73E" w14:textId="4055E8B9" w:rsidR="00932932" w:rsidRDefault="00D404F0" w:rsidP="00D16CC8">
      <w:pPr>
        <w:spacing w:after="200"/>
        <w:rPr>
          <w:rFonts w:ascii="Arial" w:eastAsia="Calibri" w:hAnsi="Arial" w:cs="Arial"/>
          <w:lang w:val="en-ZA"/>
        </w:rPr>
      </w:pPr>
      <w:r>
        <w:rPr>
          <w:rFonts w:ascii="Arial" w:eastAsia="Calibri" w:hAnsi="Arial" w:cs="Arial"/>
          <w:lang w:val="en-ZA"/>
        </w:rPr>
        <w:t>[21]</w:t>
      </w:r>
      <w:r>
        <w:rPr>
          <w:rFonts w:ascii="Arial" w:eastAsia="Calibri" w:hAnsi="Arial" w:cs="Arial"/>
          <w:lang w:val="en-ZA"/>
        </w:rPr>
        <w:tab/>
      </w:r>
      <w:r w:rsidR="005C334D">
        <w:rPr>
          <w:rFonts w:ascii="Arial" w:eastAsia="Calibri" w:hAnsi="Arial" w:cs="Arial"/>
          <w:lang w:val="en-ZA"/>
        </w:rPr>
        <w:t xml:space="preserve">Firstly, the First Applicant has attached annexure “A” indicating the authority of the First Applicant which </w:t>
      </w:r>
      <w:r w:rsidR="00570FB8">
        <w:rPr>
          <w:rFonts w:ascii="Arial" w:eastAsia="Calibri" w:hAnsi="Arial" w:cs="Arial"/>
          <w:lang w:val="en-ZA"/>
        </w:rPr>
        <w:t xml:space="preserve">includes authorising the First Applicant to protect the </w:t>
      </w:r>
      <w:r w:rsidR="00AA5646">
        <w:rPr>
          <w:rFonts w:ascii="Arial" w:eastAsia="Calibri" w:hAnsi="Arial" w:cs="Arial"/>
          <w:lang w:val="en-ZA"/>
        </w:rPr>
        <w:t>trademarks</w:t>
      </w:r>
      <w:r w:rsidR="00570FB8">
        <w:rPr>
          <w:rFonts w:ascii="Arial" w:eastAsia="Calibri" w:hAnsi="Arial" w:cs="Arial"/>
          <w:lang w:val="en-ZA"/>
        </w:rPr>
        <w:t xml:space="preserve"> of the Second Applicant. This circumstance in ‘the Act, is described as a permitted user</w:t>
      </w:r>
      <w:r w:rsidR="00570FB8">
        <w:rPr>
          <w:rStyle w:val="FootnoteReference"/>
          <w:rFonts w:ascii="Arial" w:eastAsia="Calibri" w:hAnsi="Arial" w:cs="Arial"/>
          <w:lang w:val="en-ZA"/>
        </w:rPr>
        <w:footnoteReference w:id="4"/>
      </w:r>
      <w:r w:rsidR="00570FB8">
        <w:rPr>
          <w:rFonts w:ascii="Arial" w:eastAsia="Calibri" w:hAnsi="Arial" w:cs="Arial"/>
          <w:lang w:val="en-ZA"/>
        </w:rPr>
        <w:t xml:space="preserve">. However, a permitted user is not a registered user and a person may only be described as a registered user where application has been made to the registrar for registration as a registered user. </w:t>
      </w:r>
    </w:p>
    <w:p w14:paraId="5A572A55" w14:textId="77777777" w:rsidR="00932932" w:rsidRDefault="00932932" w:rsidP="00D16CC8">
      <w:pPr>
        <w:spacing w:after="200"/>
        <w:rPr>
          <w:rFonts w:ascii="Arial" w:eastAsia="Calibri" w:hAnsi="Arial" w:cs="Arial"/>
          <w:lang w:val="en-ZA"/>
        </w:rPr>
      </w:pPr>
    </w:p>
    <w:p w14:paraId="2D810754" w14:textId="0481C23F" w:rsidR="00C37F91" w:rsidRDefault="00932932" w:rsidP="00D16CC8">
      <w:pPr>
        <w:spacing w:after="200"/>
        <w:rPr>
          <w:rFonts w:ascii="Arial" w:eastAsia="Calibri" w:hAnsi="Arial" w:cs="Arial"/>
          <w:lang w:val="en-ZA"/>
        </w:rPr>
      </w:pPr>
      <w:r>
        <w:rPr>
          <w:rFonts w:ascii="Arial" w:eastAsia="Calibri" w:hAnsi="Arial" w:cs="Arial"/>
          <w:lang w:val="en-ZA"/>
        </w:rPr>
        <w:t>[22]</w:t>
      </w:r>
      <w:r>
        <w:rPr>
          <w:rFonts w:ascii="Arial" w:eastAsia="Calibri" w:hAnsi="Arial" w:cs="Arial"/>
          <w:lang w:val="en-ZA"/>
        </w:rPr>
        <w:tab/>
        <w:t>The question remains, however, whether a permitted user, as described in ‘the Act’ may</w:t>
      </w:r>
      <w:r w:rsidR="00831E14">
        <w:rPr>
          <w:rFonts w:ascii="Arial" w:eastAsia="Calibri" w:hAnsi="Arial" w:cs="Arial"/>
          <w:lang w:val="en-ZA"/>
        </w:rPr>
        <w:t xml:space="preserve"> institute legal proceedings in respect of infringement of the </w:t>
      </w:r>
      <w:r w:rsidR="00AA5646">
        <w:rPr>
          <w:rFonts w:ascii="Arial" w:eastAsia="Calibri" w:hAnsi="Arial" w:cs="Arial"/>
          <w:lang w:val="en-ZA"/>
        </w:rPr>
        <w:t>trademarks</w:t>
      </w:r>
      <w:r w:rsidR="00831E14">
        <w:rPr>
          <w:rFonts w:ascii="Arial" w:eastAsia="Calibri" w:hAnsi="Arial" w:cs="Arial"/>
          <w:lang w:val="en-ZA"/>
        </w:rPr>
        <w:t xml:space="preserve"> relevant to this application. In normal circumstances, it is the owner that has that right, but in the circumstances of this case the First Applicant has been given specific authorisation to protect the </w:t>
      </w:r>
      <w:r w:rsidR="00AA5646">
        <w:rPr>
          <w:rFonts w:ascii="Arial" w:eastAsia="Calibri" w:hAnsi="Arial" w:cs="Arial"/>
          <w:lang w:val="en-ZA"/>
        </w:rPr>
        <w:t>trademarks</w:t>
      </w:r>
      <w:r w:rsidR="00831E14">
        <w:rPr>
          <w:rFonts w:ascii="Arial" w:eastAsia="Calibri" w:hAnsi="Arial" w:cs="Arial"/>
          <w:lang w:val="en-ZA"/>
        </w:rPr>
        <w:t xml:space="preserve"> and in any event Second Applicant is also a party to the proceedings. In my view, in the particular </w:t>
      </w:r>
      <w:r w:rsidR="00831E14">
        <w:rPr>
          <w:rFonts w:ascii="Arial" w:eastAsia="Calibri" w:hAnsi="Arial" w:cs="Arial"/>
          <w:lang w:val="en-ZA"/>
        </w:rPr>
        <w:lastRenderedPageBreak/>
        <w:t xml:space="preserve">circumstances of this case, the First Applicant has been enabled and empowered to launch these proceedings as stated above in dealing with the </w:t>
      </w:r>
      <w:r w:rsidR="00831E14">
        <w:rPr>
          <w:rFonts w:ascii="Arial" w:eastAsia="Calibri" w:hAnsi="Arial" w:cs="Arial"/>
          <w:i/>
          <w:iCs/>
          <w:lang w:val="en-ZA"/>
        </w:rPr>
        <w:t xml:space="preserve">locus standi </w:t>
      </w:r>
      <w:r w:rsidR="00831E14">
        <w:rPr>
          <w:rFonts w:ascii="Arial" w:eastAsia="Calibri" w:hAnsi="Arial" w:cs="Arial"/>
          <w:lang w:val="en-ZA"/>
        </w:rPr>
        <w:t>issue</w:t>
      </w:r>
      <w:r w:rsidR="005D4DB4">
        <w:rPr>
          <w:rFonts w:ascii="Arial" w:eastAsia="Calibri" w:hAnsi="Arial" w:cs="Arial"/>
          <w:lang w:val="en-ZA"/>
        </w:rPr>
        <w:t xml:space="preserve"> and the authority of the First Applicant.</w:t>
      </w:r>
      <w:r w:rsidR="00831E14">
        <w:rPr>
          <w:rFonts w:ascii="Arial" w:eastAsia="Calibri" w:hAnsi="Arial" w:cs="Arial"/>
          <w:lang w:val="en-ZA"/>
        </w:rPr>
        <w:t xml:space="preserve"> </w:t>
      </w:r>
      <w:r>
        <w:rPr>
          <w:rFonts w:ascii="Arial" w:eastAsia="Calibri" w:hAnsi="Arial" w:cs="Arial"/>
          <w:lang w:val="en-ZA"/>
        </w:rPr>
        <w:t xml:space="preserve"> </w:t>
      </w:r>
      <w:r w:rsidR="00570FB8">
        <w:rPr>
          <w:rFonts w:ascii="Arial" w:eastAsia="Calibri" w:hAnsi="Arial" w:cs="Arial"/>
          <w:lang w:val="en-ZA"/>
        </w:rPr>
        <w:t xml:space="preserve">  </w:t>
      </w:r>
    </w:p>
    <w:p w14:paraId="079F4795" w14:textId="77777777" w:rsidR="00831E14" w:rsidRDefault="00831E14" w:rsidP="00D16CC8">
      <w:pPr>
        <w:spacing w:after="200"/>
        <w:rPr>
          <w:rFonts w:ascii="Arial" w:eastAsia="Calibri" w:hAnsi="Arial" w:cs="Arial"/>
          <w:lang w:val="en-ZA"/>
        </w:rPr>
      </w:pPr>
    </w:p>
    <w:p w14:paraId="795614E0" w14:textId="01058F3B" w:rsidR="004629CC" w:rsidRDefault="00C37F91" w:rsidP="00D16CC8">
      <w:pPr>
        <w:spacing w:after="200"/>
        <w:rPr>
          <w:rFonts w:ascii="Arial" w:eastAsia="Calibri" w:hAnsi="Arial" w:cs="Arial"/>
          <w:lang w:val="en-ZA"/>
        </w:rPr>
      </w:pPr>
      <w:r>
        <w:rPr>
          <w:rFonts w:ascii="Arial" w:eastAsia="Calibri" w:hAnsi="Arial" w:cs="Arial"/>
          <w:lang w:val="en-ZA"/>
        </w:rPr>
        <w:t>[2</w:t>
      </w:r>
      <w:r w:rsidR="00831E14">
        <w:rPr>
          <w:rFonts w:ascii="Arial" w:eastAsia="Calibri" w:hAnsi="Arial" w:cs="Arial"/>
          <w:lang w:val="en-ZA"/>
        </w:rPr>
        <w:t>3</w:t>
      </w:r>
      <w:r>
        <w:rPr>
          <w:rFonts w:ascii="Arial" w:eastAsia="Calibri" w:hAnsi="Arial" w:cs="Arial"/>
          <w:lang w:val="en-ZA"/>
        </w:rPr>
        <w:t>]</w:t>
      </w:r>
      <w:r>
        <w:rPr>
          <w:rFonts w:ascii="Arial" w:eastAsia="Calibri" w:hAnsi="Arial" w:cs="Arial"/>
          <w:lang w:val="en-ZA"/>
        </w:rPr>
        <w:tab/>
        <w:t xml:space="preserve">The Applicants </w:t>
      </w:r>
      <w:r w:rsidR="00D16CC8">
        <w:rPr>
          <w:rFonts w:ascii="Arial" w:eastAsia="Calibri" w:hAnsi="Arial" w:cs="Arial"/>
          <w:lang w:val="en-ZA"/>
        </w:rPr>
        <w:t xml:space="preserve">maintain that the Respondent was notified in writing that usage of the </w:t>
      </w:r>
      <w:r w:rsidR="00AA5646">
        <w:rPr>
          <w:rFonts w:ascii="Arial" w:eastAsia="Calibri" w:hAnsi="Arial" w:cs="Arial"/>
          <w:lang w:val="en-ZA"/>
        </w:rPr>
        <w:t>trademarks</w:t>
      </w:r>
      <w:r w:rsidR="004629CC">
        <w:rPr>
          <w:rFonts w:ascii="Arial" w:eastAsia="Calibri" w:hAnsi="Arial" w:cs="Arial"/>
          <w:lang w:val="en-ZA"/>
        </w:rPr>
        <w:t xml:space="preserve"> was withdrawn and that the Respondent should desist from using same.</w:t>
      </w:r>
    </w:p>
    <w:p w14:paraId="0A23C16A" w14:textId="77777777" w:rsidR="00C37F91" w:rsidRDefault="00C37F91" w:rsidP="00D16CC8">
      <w:pPr>
        <w:spacing w:after="200"/>
        <w:rPr>
          <w:rFonts w:ascii="Arial" w:eastAsia="Calibri" w:hAnsi="Arial" w:cs="Arial"/>
          <w:lang w:val="en-ZA"/>
        </w:rPr>
      </w:pPr>
    </w:p>
    <w:p w14:paraId="72A8E44E" w14:textId="17E90E8F" w:rsidR="00F8397D" w:rsidRDefault="004629CC" w:rsidP="00D16CC8">
      <w:pPr>
        <w:spacing w:after="200"/>
        <w:rPr>
          <w:rFonts w:ascii="Arial" w:eastAsia="Calibri" w:hAnsi="Arial" w:cs="Arial"/>
          <w:lang w:val="en-ZA"/>
        </w:rPr>
      </w:pPr>
      <w:r>
        <w:rPr>
          <w:rFonts w:ascii="Arial" w:eastAsia="Calibri" w:hAnsi="Arial" w:cs="Arial"/>
          <w:lang w:val="en-ZA"/>
        </w:rPr>
        <w:t>[2</w:t>
      </w:r>
      <w:r w:rsidR="00831E14">
        <w:rPr>
          <w:rFonts w:ascii="Arial" w:eastAsia="Calibri" w:hAnsi="Arial" w:cs="Arial"/>
          <w:lang w:val="en-ZA"/>
        </w:rPr>
        <w:t>4</w:t>
      </w:r>
      <w:r>
        <w:rPr>
          <w:rFonts w:ascii="Arial" w:eastAsia="Calibri" w:hAnsi="Arial" w:cs="Arial"/>
          <w:lang w:val="en-ZA"/>
        </w:rPr>
        <w:t>]</w:t>
      </w:r>
      <w:r>
        <w:rPr>
          <w:rFonts w:ascii="Arial" w:eastAsia="Calibri" w:hAnsi="Arial" w:cs="Arial"/>
          <w:lang w:val="en-ZA"/>
        </w:rPr>
        <w:tab/>
      </w:r>
      <w:r w:rsidR="00F02718">
        <w:rPr>
          <w:rFonts w:ascii="Arial" w:eastAsia="Calibri" w:hAnsi="Arial" w:cs="Arial"/>
          <w:lang w:val="en-ZA"/>
        </w:rPr>
        <w:t>It is apposite at this point to deal with the specific allegations by the parties. The Applicants allege that the business relationship between the Respondent and the Applicants was terminated. The Respondent does not specifically deny receiving the termination letter dated 18 June 2019</w:t>
      </w:r>
      <w:r w:rsidR="00C37F91">
        <w:rPr>
          <w:rFonts w:ascii="Arial" w:eastAsia="Calibri" w:hAnsi="Arial" w:cs="Arial"/>
          <w:lang w:val="en-ZA"/>
        </w:rPr>
        <w:t xml:space="preserve"> and signed on 19 June 2019 </w:t>
      </w:r>
      <w:r w:rsidR="00F02718">
        <w:rPr>
          <w:rFonts w:ascii="Arial" w:eastAsia="Calibri" w:hAnsi="Arial" w:cs="Arial"/>
          <w:lang w:val="en-ZA"/>
        </w:rPr>
        <w:t>but provides certain context to the letter. For purposes of this judgment, the context is not germane, in my view, to the determination of whether consent or permission had been withdrawn by the Applicants.</w:t>
      </w:r>
      <w:r w:rsidR="00F8397D">
        <w:rPr>
          <w:rFonts w:ascii="Arial" w:eastAsia="Calibri" w:hAnsi="Arial" w:cs="Arial"/>
          <w:lang w:val="en-ZA"/>
        </w:rPr>
        <w:t xml:space="preserve"> In the result and on the basis of the uncontested averment of termination, this Court finds that the consent provided to the Respondent to make use of the </w:t>
      </w:r>
      <w:r w:rsidR="00AA5646">
        <w:rPr>
          <w:rFonts w:ascii="Arial" w:eastAsia="Calibri" w:hAnsi="Arial" w:cs="Arial"/>
          <w:lang w:val="en-ZA"/>
        </w:rPr>
        <w:t>trademarks</w:t>
      </w:r>
      <w:r w:rsidR="00F8397D">
        <w:rPr>
          <w:rFonts w:ascii="Arial" w:eastAsia="Calibri" w:hAnsi="Arial" w:cs="Arial"/>
          <w:lang w:val="en-ZA"/>
        </w:rPr>
        <w:t>, was withdrawn on 1</w:t>
      </w:r>
      <w:r w:rsidR="00C37F91">
        <w:rPr>
          <w:rFonts w:ascii="Arial" w:eastAsia="Calibri" w:hAnsi="Arial" w:cs="Arial"/>
          <w:lang w:val="en-ZA"/>
        </w:rPr>
        <w:t>9</w:t>
      </w:r>
      <w:r w:rsidR="00F8397D">
        <w:rPr>
          <w:rFonts w:ascii="Arial" w:eastAsia="Calibri" w:hAnsi="Arial" w:cs="Arial"/>
          <w:lang w:val="en-ZA"/>
        </w:rPr>
        <w:t xml:space="preserve"> June 2019</w:t>
      </w:r>
      <w:r w:rsidR="00C37F91">
        <w:rPr>
          <w:rFonts w:ascii="Arial" w:eastAsia="Calibri" w:hAnsi="Arial" w:cs="Arial"/>
          <w:lang w:val="en-ZA"/>
        </w:rPr>
        <w:t xml:space="preserve"> being the date on which the termination letter was signed</w:t>
      </w:r>
      <w:r w:rsidR="00F8397D">
        <w:rPr>
          <w:rFonts w:ascii="Arial" w:eastAsia="Calibri" w:hAnsi="Arial" w:cs="Arial"/>
          <w:lang w:val="en-ZA"/>
        </w:rPr>
        <w:t>.</w:t>
      </w:r>
    </w:p>
    <w:p w14:paraId="6E5C8892" w14:textId="77777777" w:rsidR="00F8397D" w:rsidRDefault="00F8397D" w:rsidP="00D16CC8">
      <w:pPr>
        <w:spacing w:after="200"/>
        <w:rPr>
          <w:rFonts w:ascii="Arial" w:eastAsia="Calibri" w:hAnsi="Arial" w:cs="Arial"/>
          <w:lang w:val="en-ZA"/>
        </w:rPr>
      </w:pPr>
    </w:p>
    <w:p w14:paraId="2C315D5C" w14:textId="4DE66BD7" w:rsidR="00B875FE" w:rsidRDefault="00F8397D" w:rsidP="00D16CC8">
      <w:pPr>
        <w:spacing w:after="200"/>
        <w:rPr>
          <w:rFonts w:ascii="Arial" w:eastAsia="Calibri" w:hAnsi="Arial" w:cs="Arial"/>
          <w:lang w:val="en-ZA"/>
        </w:rPr>
      </w:pPr>
      <w:r>
        <w:rPr>
          <w:rFonts w:ascii="Arial" w:eastAsia="Calibri" w:hAnsi="Arial" w:cs="Arial"/>
          <w:lang w:val="en-ZA"/>
        </w:rPr>
        <w:t>[2</w:t>
      </w:r>
      <w:r w:rsidR="00831E14">
        <w:rPr>
          <w:rFonts w:ascii="Arial" w:eastAsia="Calibri" w:hAnsi="Arial" w:cs="Arial"/>
          <w:lang w:val="en-ZA"/>
        </w:rPr>
        <w:t>5</w:t>
      </w:r>
      <w:r>
        <w:rPr>
          <w:rFonts w:ascii="Arial" w:eastAsia="Calibri" w:hAnsi="Arial" w:cs="Arial"/>
          <w:lang w:val="en-ZA"/>
        </w:rPr>
        <w:t>]</w:t>
      </w:r>
      <w:r w:rsidR="00831E14">
        <w:rPr>
          <w:rFonts w:ascii="Arial" w:eastAsia="Calibri" w:hAnsi="Arial" w:cs="Arial"/>
          <w:lang w:val="en-ZA"/>
        </w:rPr>
        <w:tab/>
        <w:t xml:space="preserve">Having found that approval or permission to use the </w:t>
      </w:r>
      <w:r w:rsidR="00AA5646">
        <w:rPr>
          <w:rFonts w:ascii="Arial" w:eastAsia="Calibri" w:hAnsi="Arial" w:cs="Arial"/>
          <w:lang w:val="en-ZA"/>
        </w:rPr>
        <w:t>trademarks</w:t>
      </w:r>
      <w:r w:rsidR="00831E14">
        <w:rPr>
          <w:rFonts w:ascii="Arial" w:eastAsia="Calibri" w:hAnsi="Arial" w:cs="Arial"/>
          <w:lang w:val="en-ZA"/>
        </w:rPr>
        <w:t xml:space="preserve"> was withdrawn, the next question to determine is whether the Respondent made use of the </w:t>
      </w:r>
      <w:r w:rsidR="00AA5646">
        <w:rPr>
          <w:rFonts w:ascii="Arial" w:eastAsia="Calibri" w:hAnsi="Arial" w:cs="Arial"/>
          <w:lang w:val="en-ZA"/>
        </w:rPr>
        <w:t>trademarks</w:t>
      </w:r>
      <w:r w:rsidR="00831E14">
        <w:rPr>
          <w:rFonts w:ascii="Arial" w:eastAsia="Calibri" w:hAnsi="Arial" w:cs="Arial"/>
          <w:lang w:val="en-ZA"/>
        </w:rPr>
        <w:t xml:space="preserve"> after withdrawal of permission, which use axiomatically would result in an infringement unless the Respondent is able to show otherwise.</w:t>
      </w:r>
    </w:p>
    <w:p w14:paraId="6E614385" w14:textId="77777777" w:rsidR="00B875FE" w:rsidRDefault="00B875FE" w:rsidP="00D16CC8">
      <w:pPr>
        <w:spacing w:after="200"/>
        <w:rPr>
          <w:rFonts w:ascii="Arial" w:eastAsia="Calibri" w:hAnsi="Arial" w:cs="Arial"/>
          <w:lang w:val="en-ZA"/>
        </w:rPr>
      </w:pPr>
    </w:p>
    <w:p w14:paraId="7BAC3880" w14:textId="1BC3EE8D" w:rsidR="00145DE7" w:rsidRDefault="00B875FE" w:rsidP="00D16CC8">
      <w:pPr>
        <w:spacing w:after="200"/>
        <w:rPr>
          <w:rFonts w:ascii="Arial" w:eastAsia="Calibri" w:hAnsi="Arial" w:cs="Arial"/>
          <w:lang w:val="en-ZA"/>
        </w:rPr>
      </w:pPr>
      <w:r>
        <w:rPr>
          <w:rFonts w:ascii="Arial" w:eastAsia="Calibri" w:hAnsi="Arial" w:cs="Arial"/>
          <w:lang w:val="en-ZA"/>
        </w:rPr>
        <w:t>[26]</w:t>
      </w:r>
      <w:r>
        <w:rPr>
          <w:rFonts w:ascii="Arial" w:eastAsia="Calibri" w:hAnsi="Arial" w:cs="Arial"/>
          <w:lang w:val="en-ZA"/>
        </w:rPr>
        <w:tab/>
        <w:t xml:space="preserve">Now the Respondent alleges that the </w:t>
      </w:r>
      <w:r w:rsidR="00145DE7">
        <w:rPr>
          <w:rFonts w:ascii="Arial" w:eastAsia="Calibri" w:hAnsi="Arial" w:cs="Arial"/>
          <w:lang w:val="en-ZA"/>
        </w:rPr>
        <w:t>signboard mentioned in annexure</w:t>
      </w:r>
      <w:r w:rsidR="001203D7">
        <w:rPr>
          <w:rFonts w:ascii="Arial" w:eastAsia="Calibri" w:hAnsi="Arial" w:cs="Arial"/>
          <w:lang w:val="en-ZA"/>
        </w:rPr>
        <w:t>s</w:t>
      </w:r>
      <w:r w:rsidR="00145DE7">
        <w:rPr>
          <w:rFonts w:ascii="Arial" w:eastAsia="Calibri" w:hAnsi="Arial" w:cs="Arial"/>
          <w:lang w:val="en-ZA"/>
        </w:rPr>
        <w:t xml:space="preserve"> “F1</w:t>
      </w:r>
      <w:r w:rsidR="001203D7">
        <w:rPr>
          <w:rFonts w:ascii="Arial" w:eastAsia="Calibri" w:hAnsi="Arial" w:cs="Arial"/>
          <w:lang w:val="en-ZA"/>
        </w:rPr>
        <w:t xml:space="preserve"> and F2</w:t>
      </w:r>
      <w:r w:rsidR="00145DE7">
        <w:rPr>
          <w:rFonts w:ascii="Arial" w:eastAsia="Calibri" w:hAnsi="Arial" w:cs="Arial"/>
          <w:lang w:val="en-ZA"/>
        </w:rPr>
        <w:t xml:space="preserve">” was removed prior to the launch of these proceedings. The Applicant contests this by alleging that in any event, the Respondent continued using the </w:t>
      </w:r>
      <w:r w:rsidR="00AA5646">
        <w:rPr>
          <w:rFonts w:ascii="Arial" w:eastAsia="Calibri" w:hAnsi="Arial" w:cs="Arial"/>
          <w:lang w:val="en-ZA"/>
        </w:rPr>
        <w:t>trademarks</w:t>
      </w:r>
      <w:r w:rsidR="00145DE7">
        <w:rPr>
          <w:rFonts w:ascii="Arial" w:eastAsia="Calibri" w:hAnsi="Arial" w:cs="Arial"/>
          <w:lang w:val="en-ZA"/>
        </w:rPr>
        <w:t xml:space="preserve"> unlawfully and refers the Court to annexure “MBR1”. This contestation, however, appears in the replying affidavit of the Applicants</w:t>
      </w:r>
      <w:r w:rsidR="003006A4">
        <w:rPr>
          <w:rFonts w:ascii="Arial" w:eastAsia="Calibri" w:hAnsi="Arial" w:cs="Arial"/>
          <w:lang w:val="en-ZA"/>
        </w:rPr>
        <w:t>,</w:t>
      </w:r>
      <w:r w:rsidR="00145DE7">
        <w:rPr>
          <w:rFonts w:ascii="Arial" w:eastAsia="Calibri" w:hAnsi="Arial" w:cs="Arial"/>
          <w:lang w:val="en-ZA"/>
        </w:rPr>
        <w:t xml:space="preserve"> and as with applications, the Respondent has not and normally has no opportunity to deal with the allegations in the replying affidavit.</w:t>
      </w:r>
    </w:p>
    <w:p w14:paraId="45DD464F" w14:textId="77777777" w:rsidR="00145DE7" w:rsidRDefault="00145DE7" w:rsidP="00D16CC8">
      <w:pPr>
        <w:spacing w:after="200"/>
        <w:rPr>
          <w:rFonts w:ascii="Arial" w:eastAsia="Calibri" w:hAnsi="Arial" w:cs="Arial"/>
          <w:lang w:val="en-ZA"/>
        </w:rPr>
      </w:pPr>
    </w:p>
    <w:p w14:paraId="466F78B8" w14:textId="77777777" w:rsidR="003006A4" w:rsidRDefault="00145DE7" w:rsidP="00D16CC8">
      <w:pPr>
        <w:spacing w:after="200"/>
        <w:rPr>
          <w:rFonts w:ascii="Arial" w:eastAsia="Calibri" w:hAnsi="Arial" w:cs="Arial"/>
          <w:lang w:val="en-ZA"/>
        </w:rPr>
      </w:pPr>
      <w:r>
        <w:rPr>
          <w:rFonts w:ascii="Arial" w:eastAsia="Calibri" w:hAnsi="Arial" w:cs="Arial"/>
          <w:lang w:val="en-ZA"/>
        </w:rPr>
        <w:t>[27]</w:t>
      </w:r>
      <w:r>
        <w:rPr>
          <w:rFonts w:ascii="Arial" w:eastAsia="Calibri" w:hAnsi="Arial" w:cs="Arial"/>
          <w:lang w:val="en-ZA"/>
        </w:rPr>
        <w:tab/>
      </w:r>
      <w:r w:rsidR="003006A4">
        <w:rPr>
          <w:rFonts w:ascii="Arial" w:eastAsia="Calibri" w:hAnsi="Arial" w:cs="Arial"/>
          <w:lang w:val="en-ZA"/>
        </w:rPr>
        <w:t xml:space="preserve">Whilst an Applicant is entitled to complete a cause of action in the replying affidavit, such as where the authority of the Applicant has been put in issue and the Applicant provides a copy of the resolution of authority in the replying affidavit. In this matter, however, I am of the view that this dispute of fact cannot be resolved on the papers and should rather be referred for oral evidence in order to be fair to both parties. </w:t>
      </w:r>
    </w:p>
    <w:p w14:paraId="1C90A181" w14:textId="77777777" w:rsidR="003006A4" w:rsidRDefault="003006A4" w:rsidP="00D16CC8">
      <w:pPr>
        <w:spacing w:after="200"/>
        <w:rPr>
          <w:rFonts w:ascii="Arial" w:eastAsia="Calibri" w:hAnsi="Arial" w:cs="Arial"/>
          <w:lang w:val="en-ZA"/>
        </w:rPr>
      </w:pPr>
    </w:p>
    <w:p w14:paraId="2BDD2A8F" w14:textId="77777777" w:rsidR="001203D7" w:rsidRDefault="003006A4" w:rsidP="00D16CC8">
      <w:pPr>
        <w:spacing w:after="200"/>
        <w:rPr>
          <w:rFonts w:ascii="Arial" w:eastAsia="Calibri" w:hAnsi="Arial" w:cs="Arial"/>
          <w:lang w:val="en-ZA"/>
        </w:rPr>
      </w:pPr>
      <w:r>
        <w:rPr>
          <w:rFonts w:ascii="Arial" w:eastAsia="Calibri" w:hAnsi="Arial" w:cs="Arial"/>
          <w:lang w:val="en-ZA"/>
        </w:rPr>
        <w:t>[28]</w:t>
      </w:r>
      <w:r>
        <w:rPr>
          <w:rFonts w:ascii="Arial" w:eastAsia="Calibri" w:hAnsi="Arial" w:cs="Arial"/>
          <w:lang w:val="en-ZA"/>
        </w:rPr>
        <w:tab/>
        <w:t xml:space="preserve">It should be noted that whilst, neither of the parties have requested a referral for oral evidence, it is my view, that in the interests of justice, this Court is entitled to </w:t>
      </w:r>
      <w:r w:rsidRPr="001203D7">
        <w:rPr>
          <w:rFonts w:ascii="Arial" w:eastAsia="Calibri" w:hAnsi="Arial" w:cs="Arial"/>
          <w:i/>
          <w:iCs/>
          <w:lang w:val="en-ZA"/>
        </w:rPr>
        <w:t>mero motu</w:t>
      </w:r>
      <w:r>
        <w:rPr>
          <w:rFonts w:ascii="Arial" w:eastAsia="Calibri" w:hAnsi="Arial" w:cs="Arial"/>
          <w:lang w:val="en-ZA"/>
        </w:rPr>
        <w:t xml:space="preserve"> refer disputes of fact for oral evidence</w:t>
      </w:r>
      <w:r>
        <w:rPr>
          <w:rStyle w:val="FootnoteReference"/>
          <w:rFonts w:ascii="Arial" w:eastAsia="Calibri" w:hAnsi="Arial" w:cs="Arial"/>
          <w:lang w:val="en-ZA"/>
        </w:rPr>
        <w:footnoteReference w:id="5"/>
      </w:r>
      <w:r>
        <w:rPr>
          <w:rFonts w:ascii="Arial" w:eastAsia="Calibri" w:hAnsi="Arial" w:cs="Arial"/>
          <w:lang w:val="en-ZA"/>
        </w:rPr>
        <w:t xml:space="preserve">. </w:t>
      </w:r>
    </w:p>
    <w:p w14:paraId="172231FD" w14:textId="77777777" w:rsidR="001203D7" w:rsidRDefault="001203D7" w:rsidP="00D16CC8">
      <w:pPr>
        <w:spacing w:after="200"/>
        <w:rPr>
          <w:rFonts w:ascii="Arial" w:eastAsia="Calibri" w:hAnsi="Arial" w:cs="Arial"/>
          <w:lang w:val="en-ZA"/>
        </w:rPr>
      </w:pPr>
    </w:p>
    <w:p w14:paraId="263F1F09" w14:textId="70D5C2F8" w:rsidR="00F63D22" w:rsidRDefault="001203D7" w:rsidP="00D16CC8">
      <w:pPr>
        <w:spacing w:after="200"/>
        <w:rPr>
          <w:rFonts w:ascii="Arial" w:eastAsia="Calibri" w:hAnsi="Arial" w:cs="Arial"/>
          <w:lang w:val="en-ZA"/>
        </w:rPr>
      </w:pPr>
      <w:r>
        <w:rPr>
          <w:rFonts w:ascii="Arial" w:eastAsia="Calibri" w:hAnsi="Arial" w:cs="Arial"/>
          <w:lang w:val="en-ZA"/>
        </w:rPr>
        <w:lastRenderedPageBreak/>
        <w:t>[29]</w:t>
      </w:r>
      <w:r w:rsidR="00B875FE">
        <w:rPr>
          <w:rFonts w:ascii="Arial" w:eastAsia="Calibri" w:hAnsi="Arial" w:cs="Arial"/>
          <w:lang w:val="en-ZA"/>
        </w:rPr>
        <w:tab/>
      </w:r>
      <w:r>
        <w:rPr>
          <w:rFonts w:ascii="Arial" w:eastAsia="Calibri" w:hAnsi="Arial" w:cs="Arial"/>
          <w:lang w:val="en-ZA"/>
        </w:rPr>
        <w:t xml:space="preserve">The Respondent also contests that it has infringed the </w:t>
      </w:r>
      <w:r w:rsidR="00AA5646">
        <w:rPr>
          <w:rFonts w:ascii="Arial" w:eastAsia="Calibri" w:hAnsi="Arial" w:cs="Arial"/>
          <w:lang w:val="en-ZA"/>
        </w:rPr>
        <w:t>trademarks</w:t>
      </w:r>
      <w:r>
        <w:rPr>
          <w:rFonts w:ascii="Arial" w:eastAsia="Calibri" w:hAnsi="Arial" w:cs="Arial"/>
          <w:lang w:val="en-ZA"/>
        </w:rPr>
        <w:t xml:space="preserve"> in relation to annexures “F3 and F4”. In my view, whilst a Court is called upon in certain </w:t>
      </w:r>
      <w:r w:rsidR="00F63D22">
        <w:rPr>
          <w:rFonts w:ascii="Arial" w:eastAsia="Calibri" w:hAnsi="Arial" w:cs="Arial"/>
          <w:lang w:val="en-ZA"/>
        </w:rPr>
        <w:t>circumstances to apply a robust approach in dealing with factual disputes, this case is not such a case and I am of the view that the disputes relating to all the infringements alleged by the Applicants, be referred for oral evidence.</w:t>
      </w:r>
    </w:p>
    <w:p w14:paraId="49416FC1" w14:textId="77777777" w:rsidR="00F63D22" w:rsidRDefault="00F63D22" w:rsidP="00D16CC8">
      <w:pPr>
        <w:spacing w:after="200"/>
        <w:rPr>
          <w:rFonts w:ascii="Arial" w:eastAsia="Calibri" w:hAnsi="Arial" w:cs="Arial"/>
          <w:lang w:val="en-ZA"/>
        </w:rPr>
      </w:pPr>
    </w:p>
    <w:p w14:paraId="393EE947" w14:textId="77777777" w:rsidR="00F63D22" w:rsidRDefault="00F63D22" w:rsidP="00D16CC8">
      <w:pPr>
        <w:spacing w:after="200"/>
        <w:rPr>
          <w:rFonts w:ascii="Arial" w:eastAsia="Calibri" w:hAnsi="Arial" w:cs="Arial"/>
          <w:lang w:val="en-ZA"/>
        </w:rPr>
      </w:pPr>
      <w:r>
        <w:rPr>
          <w:rFonts w:ascii="Arial" w:eastAsia="Calibri" w:hAnsi="Arial" w:cs="Arial"/>
          <w:lang w:val="en-ZA"/>
        </w:rPr>
        <w:t>[30]</w:t>
      </w:r>
      <w:r>
        <w:rPr>
          <w:rFonts w:ascii="Arial" w:eastAsia="Calibri" w:hAnsi="Arial" w:cs="Arial"/>
          <w:lang w:val="en-ZA"/>
        </w:rPr>
        <w:tab/>
        <w:t>Having found that disputes of fact exist in this case, it is not necessary for this, at this stage, to deal with the requirements of an interdict and whether the requirements therefor have been met.</w:t>
      </w:r>
    </w:p>
    <w:p w14:paraId="2B1B4D39" w14:textId="2ABE7687" w:rsidR="00F63D22" w:rsidRPr="00901C73" w:rsidRDefault="00F63D22" w:rsidP="00D16CC8">
      <w:pPr>
        <w:spacing w:after="200"/>
        <w:rPr>
          <w:rFonts w:ascii="Arial" w:eastAsia="Calibri" w:hAnsi="Arial" w:cs="Arial"/>
          <w:b/>
          <w:bCs/>
          <w:lang w:val="en-ZA"/>
        </w:rPr>
      </w:pPr>
    </w:p>
    <w:p w14:paraId="0D8BC59D" w14:textId="405673EB" w:rsidR="00F63D22" w:rsidRPr="00F63D22" w:rsidRDefault="00F63D22" w:rsidP="00D16CC8">
      <w:pPr>
        <w:spacing w:after="200"/>
        <w:rPr>
          <w:rFonts w:ascii="Arial" w:eastAsia="Calibri" w:hAnsi="Arial" w:cs="Arial"/>
          <w:lang w:val="en-ZA"/>
        </w:rPr>
      </w:pPr>
      <w:r>
        <w:rPr>
          <w:rFonts w:ascii="Arial" w:eastAsia="Calibri" w:hAnsi="Arial" w:cs="Arial"/>
          <w:b/>
          <w:bCs/>
          <w:lang w:val="en-ZA"/>
        </w:rPr>
        <w:t>COSTS</w:t>
      </w:r>
    </w:p>
    <w:p w14:paraId="110662F3" w14:textId="67D5D835" w:rsidR="00901C73" w:rsidRDefault="00F63D22" w:rsidP="00D16CC8">
      <w:pPr>
        <w:spacing w:after="200"/>
        <w:rPr>
          <w:rFonts w:ascii="Arial" w:eastAsia="Calibri" w:hAnsi="Arial" w:cs="Arial"/>
          <w:lang w:val="en-ZA"/>
        </w:rPr>
      </w:pPr>
      <w:r>
        <w:rPr>
          <w:rFonts w:ascii="Arial" w:eastAsia="Calibri" w:hAnsi="Arial" w:cs="Arial"/>
          <w:lang w:val="en-ZA"/>
        </w:rPr>
        <w:t>[31]</w:t>
      </w:r>
      <w:r>
        <w:rPr>
          <w:rFonts w:ascii="Arial" w:eastAsia="Calibri" w:hAnsi="Arial" w:cs="Arial"/>
          <w:lang w:val="en-ZA"/>
        </w:rPr>
        <w:tab/>
        <w:t xml:space="preserve">In circumstances such as this where the Court has </w:t>
      </w:r>
      <w:r>
        <w:rPr>
          <w:rFonts w:ascii="Arial" w:eastAsia="Calibri" w:hAnsi="Arial" w:cs="Arial"/>
          <w:i/>
          <w:iCs/>
          <w:lang w:val="en-ZA"/>
        </w:rPr>
        <w:t xml:space="preserve">mero motu </w:t>
      </w:r>
      <w:r>
        <w:rPr>
          <w:rFonts w:ascii="Arial" w:eastAsia="Calibri" w:hAnsi="Arial" w:cs="Arial"/>
          <w:lang w:val="en-ZA"/>
        </w:rPr>
        <w:t>referred a matter for oral evidence, it is in the interests of justice that costs be costs in the cause and that same be determined by the Court dealing with the oral evidence.</w:t>
      </w:r>
    </w:p>
    <w:p w14:paraId="11D447D1" w14:textId="17D3D93F" w:rsidR="00901C73" w:rsidRDefault="00901C73" w:rsidP="00D16CC8">
      <w:pPr>
        <w:spacing w:after="200"/>
        <w:rPr>
          <w:rFonts w:ascii="Arial" w:eastAsia="Calibri" w:hAnsi="Arial" w:cs="Arial"/>
          <w:lang w:val="en-ZA"/>
        </w:rPr>
      </w:pPr>
    </w:p>
    <w:p w14:paraId="354201D5" w14:textId="06C7F302" w:rsidR="00901C73" w:rsidRDefault="00901C73" w:rsidP="00D16CC8">
      <w:pPr>
        <w:spacing w:after="200"/>
        <w:rPr>
          <w:rFonts w:ascii="Arial" w:eastAsia="Calibri" w:hAnsi="Arial" w:cs="Arial"/>
          <w:b/>
          <w:bCs/>
          <w:lang w:val="en-ZA"/>
        </w:rPr>
      </w:pPr>
      <w:r>
        <w:rPr>
          <w:rFonts w:ascii="Arial" w:eastAsia="Calibri" w:hAnsi="Arial" w:cs="Arial"/>
          <w:b/>
          <w:bCs/>
          <w:lang w:val="en-ZA"/>
        </w:rPr>
        <w:t>CONCLUSION</w:t>
      </w:r>
    </w:p>
    <w:p w14:paraId="3FC25883" w14:textId="1DCA69B1" w:rsidR="00901C73" w:rsidRDefault="00901C73" w:rsidP="00D16CC8">
      <w:pPr>
        <w:spacing w:after="200"/>
        <w:rPr>
          <w:rFonts w:ascii="Arial" w:eastAsia="Calibri" w:hAnsi="Arial" w:cs="Arial"/>
          <w:b/>
          <w:bCs/>
          <w:lang w:val="en-ZA"/>
        </w:rPr>
      </w:pPr>
    </w:p>
    <w:p w14:paraId="79456571" w14:textId="53A58E44" w:rsidR="00901C73" w:rsidRDefault="00901C73" w:rsidP="00D16CC8">
      <w:pPr>
        <w:spacing w:after="200"/>
        <w:rPr>
          <w:rFonts w:ascii="Arial" w:eastAsia="Calibri" w:hAnsi="Arial" w:cs="Arial"/>
          <w:lang w:val="en-ZA"/>
        </w:rPr>
      </w:pPr>
      <w:r>
        <w:rPr>
          <w:rFonts w:ascii="Arial" w:eastAsia="Calibri" w:hAnsi="Arial" w:cs="Arial"/>
          <w:lang w:val="en-ZA"/>
        </w:rPr>
        <w:t>[32]</w:t>
      </w:r>
      <w:r>
        <w:rPr>
          <w:rFonts w:ascii="Arial" w:eastAsia="Calibri" w:hAnsi="Arial" w:cs="Arial"/>
          <w:lang w:val="en-ZA"/>
        </w:rPr>
        <w:tab/>
        <w:t xml:space="preserve">Having determined that disputes of fact exist in this matter, it is necessary, in the interests of justice, that the infringements of the </w:t>
      </w:r>
      <w:r w:rsidR="00AA5646">
        <w:rPr>
          <w:rFonts w:ascii="Arial" w:eastAsia="Calibri" w:hAnsi="Arial" w:cs="Arial"/>
          <w:lang w:val="en-ZA"/>
        </w:rPr>
        <w:t>trademarks</w:t>
      </w:r>
      <w:r>
        <w:rPr>
          <w:rFonts w:ascii="Arial" w:eastAsia="Calibri" w:hAnsi="Arial" w:cs="Arial"/>
          <w:lang w:val="en-ZA"/>
        </w:rPr>
        <w:t xml:space="preserve"> as alleged by the Applicant, be referred for oral evidence.</w:t>
      </w:r>
    </w:p>
    <w:p w14:paraId="315F46DF" w14:textId="2F2EABA9" w:rsidR="00901C73" w:rsidRDefault="00901C73" w:rsidP="00D16CC8">
      <w:pPr>
        <w:spacing w:after="200"/>
        <w:rPr>
          <w:rFonts w:ascii="Arial" w:eastAsia="Calibri" w:hAnsi="Arial" w:cs="Arial"/>
          <w:lang w:val="en-ZA"/>
        </w:rPr>
      </w:pPr>
    </w:p>
    <w:p w14:paraId="2C7C3349" w14:textId="1A4155E3" w:rsidR="00901C73" w:rsidRDefault="00901C73" w:rsidP="00D16CC8">
      <w:pPr>
        <w:spacing w:after="200"/>
        <w:rPr>
          <w:rFonts w:ascii="Arial" w:eastAsia="Calibri" w:hAnsi="Arial" w:cs="Arial"/>
          <w:lang w:val="en-ZA"/>
        </w:rPr>
      </w:pPr>
      <w:r>
        <w:rPr>
          <w:rFonts w:ascii="Arial" w:eastAsia="Calibri" w:hAnsi="Arial" w:cs="Arial"/>
          <w:b/>
          <w:bCs/>
          <w:lang w:val="en-ZA"/>
        </w:rPr>
        <w:lastRenderedPageBreak/>
        <w:t xml:space="preserve">Accordingly, </w:t>
      </w:r>
      <w:r>
        <w:rPr>
          <w:rFonts w:ascii="Arial" w:eastAsia="Calibri" w:hAnsi="Arial" w:cs="Arial"/>
          <w:lang w:val="en-ZA"/>
        </w:rPr>
        <w:t>the following Order shall issue:</w:t>
      </w:r>
    </w:p>
    <w:p w14:paraId="5788A0CF" w14:textId="2F8DF9A5" w:rsidR="00901C73" w:rsidRDefault="00901C73" w:rsidP="00D16CC8">
      <w:pPr>
        <w:spacing w:after="200"/>
        <w:rPr>
          <w:rFonts w:ascii="Arial" w:eastAsia="Calibri" w:hAnsi="Arial" w:cs="Arial"/>
          <w:lang w:val="en-ZA"/>
        </w:rPr>
      </w:pPr>
    </w:p>
    <w:p w14:paraId="74AEFD9D" w14:textId="114FAF62" w:rsidR="00901C73" w:rsidRDefault="00901C73" w:rsidP="00901C73">
      <w:pPr>
        <w:spacing w:after="200"/>
        <w:ind w:left="720" w:hanging="720"/>
        <w:rPr>
          <w:rFonts w:ascii="Arial" w:eastAsia="Calibri" w:hAnsi="Arial" w:cs="Arial"/>
          <w:lang w:val="en-ZA"/>
        </w:rPr>
      </w:pPr>
      <w:r>
        <w:rPr>
          <w:rFonts w:ascii="Arial" w:eastAsia="Calibri" w:hAnsi="Arial" w:cs="Arial"/>
          <w:lang w:val="en-ZA"/>
        </w:rPr>
        <w:t>a).</w:t>
      </w:r>
      <w:r>
        <w:rPr>
          <w:rFonts w:ascii="Arial" w:eastAsia="Calibri" w:hAnsi="Arial" w:cs="Arial"/>
          <w:lang w:val="en-ZA"/>
        </w:rPr>
        <w:tab/>
        <w:t xml:space="preserve">The question of whether the Respondent has infringed the </w:t>
      </w:r>
      <w:r w:rsidR="00AA5646">
        <w:rPr>
          <w:rFonts w:ascii="Arial" w:eastAsia="Calibri" w:hAnsi="Arial" w:cs="Arial"/>
          <w:lang w:val="en-ZA"/>
        </w:rPr>
        <w:t>trademarks</w:t>
      </w:r>
      <w:r>
        <w:rPr>
          <w:rFonts w:ascii="Arial" w:eastAsia="Calibri" w:hAnsi="Arial" w:cs="Arial"/>
          <w:lang w:val="en-ZA"/>
        </w:rPr>
        <w:t xml:space="preserve"> as alleged by the Applicant is hereby referred for oral evidence;</w:t>
      </w:r>
    </w:p>
    <w:p w14:paraId="6787C56D" w14:textId="4AAC8201" w:rsidR="00901C73" w:rsidRDefault="00901C73" w:rsidP="00901C73">
      <w:pPr>
        <w:spacing w:after="200"/>
        <w:ind w:left="720" w:hanging="72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costs of this application shall be costs in the cause</w:t>
      </w:r>
      <w:r w:rsidR="002C3120">
        <w:rPr>
          <w:rFonts w:ascii="Arial" w:eastAsia="Calibri" w:hAnsi="Arial" w:cs="Arial"/>
          <w:lang w:val="en-ZA"/>
        </w:rPr>
        <w:t>;</w:t>
      </w:r>
      <w:r>
        <w:rPr>
          <w:rFonts w:ascii="Arial" w:eastAsia="Calibri" w:hAnsi="Arial" w:cs="Arial"/>
          <w:lang w:val="en-ZA"/>
        </w:rPr>
        <w:t xml:space="preserve"> </w:t>
      </w:r>
    </w:p>
    <w:p w14:paraId="1DAE9E01" w14:textId="5AA64A24" w:rsidR="006E3B98" w:rsidRPr="00F04DF1" w:rsidRDefault="003A2562" w:rsidP="005D4DB4">
      <w:pPr>
        <w:spacing w:after="200"/>
        <w:rPr>
          <w:rFonts w:ascii="Arial" w:eastAsia="Calibri" w:hAnsi="Arial" w:cs="Arial"/>
          <w:lang w:val="en-ZA"/>
        </w:rPr>
      </w:pPr>
      <w:r>
        <w:rPr>
          <w:rFonts w:ascii="Arial" w:eastAsia="Calibri" w:hAnsi="Arial" w:cs="Arial"/>
          <w:lang w:val="en-ZA"/>
        </w:rPr>
        <w:tab/>
      </w:r>
      <w:r w:rsidR="00996C27">
        <w:rPr>
          <w:rFonts w:ascii="Arial" w:eastAsia="Calibri" w:hAnsi="Arial" w:cs="Arial"/>
          <w:lang w:val="en-ZA"/>
        </w:rPr>
        <w:t xml:space="preserve"> </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77777777"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GAUTENG DIVISION OF THE HIGH COURT, 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7A0461F7" w14:textId="77777777" w:rsidR="00C71BA3" w:rsidRDefault="00C71BA3" w:rsidP="00F86E29">
      <w:pPr>
        <w:pStyle w:val="ListParagraph"/>
        <w:spacing w:after="200"/>
        <w:ind w:left="0"/>
        <w:contextualSpacing/>
        <w:rPr>
          <w:rFonts w:ascii="Arial" w:eastAsia="Arial Unicode MS" w:hAnsi="Arial" w:cs="Arial"/>
          <w:bCs/>
        </w:rPr>
      </w:pPr>
    </w:p>
    <w:p w14:paraId="152F2C55" w14:textId="77777777" w:rsidR="00C71BA3" w:rsidRDefault="00C71BA3" w:rsidP="00F86E29">
      <w:pPr>
        <w:pStyle w:val="ListParagraph"/>
        <w:spacing w:after="200"/>
        <w:ind w:left="0"/>
        <w:contextualSpacing/>
        <w:rPr>
          <w:rFonts w:ascii="Arial" w:eastAsia="Arial Unicode MS" w:hAnsi="Arial" w:cs="Arial"/>
          <w:bCs/>
        </w:rPr>
      </w:pPr>
    </w:p>
    <w:p w14:paraId="4DC4660F" w14:textId="1DC0B44D"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5D4DB4">
        <w:rPr>
          <w:rFonts w:ascii="Arial" w:eastAsia="Arial Unicode MS" w:hAnsi="Arial" w:cs="Arial"/>
          <w:bCs/>
        </w:rPr>
        <w:t>12</w:t>
      </w:r>
      <w:r w:rsidR="00F04DF1">
        <w:rPr>
          <w:rFonts w:ascii="Arial" w:eastAsia="Arial Unicode MS" w:hAnsi="Arial" w:cs="Arial"/>
          <w:bCs/>
        </w:rPr>
        <w:t xml:space="preserve"> </w:t>
      </w:r>
      <w:r w:rsidR="005D4DB4">
        <w:rPr>
          <w:rFonts w:ascii="Arial" w:eastAsia="Arial Unicode MS" w:hAnsi="Arial" w:cs="Arial"/>
          <w:bCs/>
        </w:rPr>
        <w:t>December</w:t>
      </w:r>
      <w:r w:rsidRPr="00C71BA3">
        <w:rPr>
          <w:rFonts w:ascii="Arial" w:eastAsia="Arial Unicode MS" w:hAnsi="Arial" w:cs="Arial"/>
          <w:bCs/>
        </w:rPr>
        <w:t xml:space="preserve"> 202</w:t>
      </w:r>
      <w:r w:rsidR="00287A07">
        <w:rPr>
          <w:rFonts w:ascii="Arial" w:eastAsia="Arial Unicode MS" w:hAnsi="Arial" w:cs="Arial"/>
          <w:bCs/>
        </w:rPr>
        <w:t>2</w:t>
      </w:r>
      <w:r w:rsidR="00350F08" w:rsidRPr="00C71BA3">
        <w:rPr>
          <w:rFonts w:ascii="Arial" w:eastAsia="Arial Unicode MS" w:hAnsi="Arial" w:cs="Arial"/>
          <w:bCs/>
        </w:rPr>
        <w:t>.</w:t>
      </w:r>
    </w:p>
    <w:p w14:paraId="028C3B99" w14:textId="77777777" w:rsidR="00F86E29" w:rsidRPr="00C71BA3" w:rsidRDefault="00F86E29" w:rsidP="00AB16B4">
      <w:pPr>
        <w:pStyle w:val="ListParagraph"/>
        <w:spacing w:after="200"/>
        <w:ind w:left="0"/>
        <w:contextualSpacing/>
        <w:jc w:val="right"/>
        <w:rPr>
          <w:rFonts w:ascii="Arial" w:hAnsi="Arial" w:cs="Arial"/>
          <w:b/>
          <w:i/>
          <w:iCs/>
        </w:rPr>
      </w:pPr>
    </w:p>
    <w:p w14:paraId="58D71082" w14:textId="38773F44" w:rsidR="00FF2527" w:rsidRDefault="00FF2527" w:rsidP="004B0905">
      <w:pPr>
        <w:pStyle w:val="Default"/>
      </w:pPr>
    </w:p>
    <w:p w14:paraId="51C2D4AA" w14:textId="3A656A1B" w:rsidR="005D4DB4" w:rsidRDefault="005D4DB4" w:rsidP="004B0905">
      <w:pPr>
        <w:pStyle w:val="Default"/>
      </w:pPr>
    </w:p>
    <w:p w14:paraId="5FA45A4F" w14:textId="3F2973FF" w:rsidR="005D4DB4" w:rsidRDefault="005D4DB4" w:rsidP="004B0905">
      <w:pPr>
        <w:pStyle w:val="Default"/>
      </w:pPr>
    </w:p>
    <w:p w14:paraId="3453DBAC" w14:textId="101F2DC1" w:rsidR="005D4DB4" w:rsidRDefault="005D4DB4" w:rsidP="004B0905">
      <w:pPr>
        <w:pStyle w:val="Default"/>
      </w:pPr>
    </w:p>
    <w:p w14:paraId="172AF78B" w14:textId="66674C56" w:rsidR="005D4DB4" w:rsidRDefault="005D4DB4" w:rsidP="004B0905">
      <w:pPr>
        <w:pStyle w:val="Default"/>
      </w:pPr>
    </w:p>
    <w:p w14:paraId="23E86BF7" w14:textId="77777777" w:rsidR="005D4DB4" w:rsidRDefault="005D4DB4" w:rsidP="004B0905">
      <w:pPr>
        <w:pStyle w:val="Default"/>
      </w:pPr>
    </w:p>
    <w:p w14:paraId="4DA12059" w14:textId="5B68A0AC" w:rsidR="0014506E" w:rsidRPr="00C71BA3" w:rsidRDefault="0014506E" w:rsidP="004B0905">
      <w:pPr>
        <w:pStyle w:val="Default"/>
      </w:pPr>
      <w:r w:rsidRPr="00C71BA3">
        <w:lastRenderedPageBreak/>
        <w:t xml:space="preserve">Date of </w:t>
      </w:r>
      <w:r w:rsidR="00287A07">
        <w:t xml:space="preserve">virtual </w:t>
      </w:r>
      <w:r w:rsidRPr="00C71BA3">
        <w:t xml:space="preserve">hearing: </w:t>
      </w:r>
      <w:r w:rsidR="005D4DB4">
        <w:t>3</w:t>
      </w:r>
      <w:r w:rsidR="00F04DF1">
        <w:t xml:space="preserve"> </w:t>
      </w:r>
      <w:r w:rsidR="005D4DB4">
        <w:t>February</w:t>
      </w:r>
      <w:r w:rsidR="00287A07">
        <w:t xml:space="preserve"> 2022</w:t>
      </w:r>
    </w:p>
    <w:p w14:paraId="3962CE00" w14:textId="11EF4A82"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5D4DB4">
        <w:rPr>
          <w:rFonts w:ascii="Arial" w:hAnsi="Arial" w:cs="Arial"/>
        </w:rPr>
        <w:t>12</w:t>
      </w:r>
      <w:r w:rsidR="00B76203">
        <w:rPr>
          <w:rFonts w:ascii="Arial" w:hAnsi="Arial" w:cs="Arial"/>
        </w:rPr>
        <w:t xml:space="preserve"> </w:t>
      </w:r>
      <w:r w:rsidR="005D4DB4">
        <w:rPr>
          <w:rFonts w:ascii="Arial" w:hAnsi="Arial" w:cs="Arial"/>
        </w:rPr>
        <w:t>December</w:t>
      </w:r>
      <w:r w:rsidR="00287A07">
        <w:rPr>
          <w:rFonts w:ascii="Arial" w:hAnsi="Arial" w:cs="Arial"/>
        </w:rPr>
        <w:t xml:space="preserve"> 2022</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1F0B2574" w:rsidR="008C369D" w:rsidRPr="00332EC5" w:rsidRDefault="00C71BA3" w:rsidP="004B0905">
      <w:pPr>
        <w:pStyle w:val="Default"/>
        <w:rPr>
          <w:b/>
          <w:bCs/>
        </w:rPr>
      </w:pPr>
      <w:r>
        <w:t>Attorneys for the Applicant</w:t>
      </w:r>
      <w:r w:rsidR="007863A9">
        <w:t>:</w:t>
      </w:r>
      <w:r w:rsidR="007863A9">
        <w:tab/>
      </w:r>
      <w:r w:rsidR="0083204B">
        <w:tab/>
      </w:r>
      <w:r w:rsidR="003A0583">
        <w:rPr>
          <w:b/>
          <w:bCs/>
        </w:rPr>
        <w:t>ROXANNE BARNARD ATTORNEYS</w:t>
      </w:r>
    </w:p>
    <w:p w14:paraId="0509699B" w14:textId="5D03280B" w:rsidR="007863A9" w:rsidRDefault="007863A9" w:rsidP="004B0905">
      <w:pPr>
        <w:pStyle w:val="Default"/>
      </w:pPr>
      <w:r>
        <w:tab/>
      </w:r>
      <w:r>
        <w:tab/>
      </w:r>
      <w:r>
        <w:tab/>
      </w:r>
      <w:r>
        <w:tab/>
      </w:r>
      <w:r>
        <w:tab/>
      </w:r>
      <w:r w:rsidR="0083204B">
        <w:tab/>
      </w:r>
      <w:hyperlink r:id="rId9" w:history="1">
        <w:r w:rsidR="003A0583" w:rsidRPr="00383D2F">
          <w:rPr>
            <w:rStyle w:val="Hyperlink"/>
          </w:rPr>
          <w:t>roxanne@rbatt.co.za</w:t>
        </w:r>
      </w:hyperlink>
    </w:p>
    <w:p w14:paraId="56EC9189" w14:textId="51EED1CF" w:rsidR="003A0583" w:rsidRPr="007863A9" w:rsidRDefault="00C71BA3" w:rsidP="004B0905">
      <w:pPr>
        <w:pStyle w:val="Default"/>
        <w:rPr>
          <w:b/>
        </w:rPr>
      </w:pPr>
      <w:r>
        <w:t xml:space="preserve">Counsel for the Applicant:  </w:t>
      </w:r>
      <w:r w:rsidR="007863A9">
        <w:tab/>
      </w:r>
      <w:r w:rsidR="0083204B">
        <w:tab/>
      </w:r>
      <w:r w:rsidR="00322FCD">
        <w:rPr>
          <w:b/>
        </w:rPr>
        <w:t xml:space="preserve">Adv. </w:t>
      </w:r>
      <w:r w:rsidR="003A0583">
        <w:rPr>
          <w:b/>
        </w:rPr>
        <w:t>TP Kr</w:t>
      </w:r>
      <w:r w:rsidR="006766C4">
        <w:rPr>
          <w:b/>
        </w:rPr>
        <w:t>ϋ</w:t>
      </w:r>
      <w:r w:rsidR="003A0583">
        <w:rPr>
          <w:b/>
        </w:rPr>
        <w:t>ger SC</w:t>
      </w:r>
    </w:p>
    <w:p w14:paraId="0B0F1208" w14:textId="77777777" w:rsidR="008C369D" w:rsidRPr="00C71BA3" w:rsidRDefault="008C369D" w:rsidP="004B0905">
      <w:pPr>
        <w:pStyle w:val="Default"/>
      </w:pPr>
    </w:p>
    <w:p w14:paraId="5C33685D" w14:textId="137695A6" w:rsidR="00671F90" w:rsidRDefault="00AB1F4A" w:rsidP="007863A9">
      <w:pPr>
        <w:pStyle w:val="Default"/>
        <w:rPr>
          <w:b/>
        </w:rPr>
      </w:pPr>
      <w:r>
        <w:t>Attorneys for the</w:t>
      </w:r>
      <w:r w:rsidR="0083204B">
        <w:t xml:space="preserve"> Respondent:</w:t>
      </w:r>
      <w:r w:rsidR="0083204B">
        <w:tab/>
      </w:r>
      <w:r>
        <w:tab/>
      </w:r>
      <w:r w:rsidR="006766C4">
        <w:rPr>
          <w:b/>
        </w:rPr>
        <w:t>VAN ZYL JOHNSON INC</w:t>
      </w:r>
    </w:p>
    <w:p w14:paraId="3B379F1D" w14:textId="250A4CE3" w:rsidR="0083204B" w:rsidRDefault="0083204B" w:rsidP="007863A9">
      <w:pPr>
        <w:pStyle w:val="Default"/>
      </w:pPr>
      <w:r>
        <w:rPr>
          <w:b/>
        </w:rPr>
        <w:tab/>
      </w:r>
      <w:r>
        <w:rPr>
          <w:b/>
        </w:rPr>
        <w:tab/>
      </w:r>
      <w:r>
        <w:rPr>
          <w:b/>
        </w:rPr>
        <w:tab/>
      </w:r>
      <w:r>
        <w:rPr>
          <w:b/>
        </w:rPr>
        <w:tab/>
      </w:r>
      <w:r>
        <w:rPr>
          <w:b/>
        </w:rPr>
        <w:tab/>
      </w:r>
      <w:r>
        <w:rPr>
          <w:b/>
        </w:rPr>
        <w:tab/>
      </w:r>
      <w:hyperlink r:id="rId10" w:history="1">
        <w:r w:rsidR="006766C4" w:rsidRPr="00383D2F">
          <w:rPr>
            <w:rStyle w:val="Hyperlink"/>
          </w:rPr>
          <w:t>johan@vanzyljohnsonattorneys.co.za</w:t>
        </w:r>
      </w:hyperlink>
      <w:r w:rsidR="0032352D">
        <w:t xml:space="preserve"> </w:t>
      </w:r>
      <w:r w:rsidR="006E2DF1">
        <w:t xml:space="preserve"> </w:t>
      </w:r>
    </w:p>
    <w:p w14:paraId="5FDFE184" w14:textId="7C4AF46F" w:rsidR="0083204B" w:rsidRPr="0083204B" w:rsidRDefault="006E2DF1" w:rsidP="007863A9">
      <w:pPr>
        <w:pStyle w:val="Default"/>
        <w:rPr>
          <w:b/>
        </w:rPr>
      </w:pPr>
      <w:r>
        <w:t>Counsel for the</w:t>
      </w:r>
      <w:r w:rsidR="0083204B">
        <w:t xml:space="preserve"> Respondent:</w:t>
      </w:r>
      <w:r w:rsidR="0083204B">
        <w:tab/>
      </w:r>
      <w:r>
        <w:tab/>
      </w:r>
      <w:r w:rsidR="0083204B">
        <w:rPr>
          <w:b/>
        </w:rPr>
        <w:t xml:space="preserve">Adv. </w:t>
      </w:r>
      <w:r w:rsidR="006766C4">
        <w:rPr>
          <w:b/>
        </w:rPr>
        <w:t>N. Lombard</w:t>
      </w:r>
    </w:p>
    <w:sectPr w:rsidR="0083204B" w:rsidRPr="0083204B" w:rsidSect="002F56D1">
      <w:headerReference w:type="even" r:id="rId11"/>
      <w:headerReference w:type="default" r:id="rId12"/>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0160" w14:textId="77777777" w:rsidR="00132E42" w:rsidRDefault="00132E42">
      <w:r>
        <w:separator/>
      </w:r>
    </w:p>
  </w:endnote>
  <w:endnote w:type="continuationSeparator" w:id="0">
    <w:p w14:paraId="6D5A6032" w14:textId="77777777" w:rsidR="00132E42" w:rsidRDefault="0013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306D" w14:textId="77777777" w:rsidR="00132E42" w:rsidRDefault="00132E42">
      <w:r>
        <w:separator/>
      </w:r>
    </w:p>
  </w:footnote>
  <w:footnote w:type="continuationSeparator" w:id="0">
    <w:p w14:paraId="60B96F0F" w14:textId="77777777" w:rsidR="00132E42" w:rsidRDefault="00132E42">
      <w:r>
        <w:continuationSeparator/>
      </w:r>
    </w:p>
  </w:footnote>
  <w:footnote w:id="1">
    <w:p w14:paraId="06E61841" w14:textId="1553025B" w:rsidR="002415DC" w:rsidRDefault="002415DC">
      <w:pPr>
        <w:pStyle w:val="FootnoteText"/>
        <w:rPr>
          <w:rFonts w:ascii="Arial" w:hAnsi="Arial" w:cs="Arial"/>
        </w:rPr>
      </w:pPr>
      <w:r w:rsidRPr="002415DC">
        <w:rPr>
          <w:rStyle w:val="FootnoteReference"/>
          <w:rFonts w:ascii="Arial" w:hAnsi="Arial" w:cs="Arial"/>
        </w:rPr>
        <w:footnoteRef/>
      </w:r>
      <w:r w:rsidRPr="002415DC">
        <w:rPr>
          <w:rFonts w:ascii="Arial" w:hAnsi="Arial" w:cs="Arial"/>
        </w:rPr>
        <w:t xml:space="preserve"> </w:t>
      </w:r>
      <w:r w:rsidR="002C0C0B">
        <w:rPr>
          <w:rFonts w:ascii="Arial" w:hAnsi="Arial" w:cs="Arial"/>
        </w:rPr>
        <w:t>Ganes &amp; Another v Telecom Namibia Ltd 2004</w:t>
      </w:r>
      <w:r w:rsidR="006924E2">
        <w:rPr>
          <w:rFonts w:ascii="Arial" w:hAnsi="Arial" w:cs="Arial"/>
        </w:rPr>
        <w:t xml:space="preserve"> (3) SA 615 SCA @ para 19</w:t>
      </w:r>
    </w:p>
    <w:p w14:paraId="4D50C082" w14:textId="77777777" w:rsidR="006924E2" w:rsidRDefault="006924E2">
      <w:pPr>
        <w:pStyle w:val="FootnoteText"/>
        <w:rPr>
          <w:rFonts w:ascii="Arial" w:hAnsi="Arial" w:cs="Arial"/>
        </w:rPr>
      </w:pPr>
      <w:r>
        <w:rPr>
          <w:rFonts w:ascii="Arial" w:hAnsi="Arial" w:cs="Arial"/>
        </w:rPr>
        <w:t>The Unlawful Occupiers of the School Site v City of Johannesburg 2005 SCA @ para 14</w:t>
      </w:r>
    </w:p>
    <w:p w14:paraId="12CB67C1" w14:textId="4A0AA62B" w:rsidR="006924E2" w:rsidRPr="002415DC" w:rsidRDefault="006924E2">
      <w:pPr>
        <w:pStyle w:val="FootnoteText"/>
        <w:rPr>
          <w:rFonts w:ascii="Arial" w:hAnsi="Arial" w:cs="Arial"/>
        </w:rPr>
      </w:pPr>
      <w:r>
        <w:rPr>
          <w:rFonts w:ascii="Arial" w:hAnsi="Arial" w:cs="Arial"/>
        </w:rPr>
        <w:t xml:space="preserve">Eskom v Soweto City Council 1992 (2) SA 703 WLD </w:t>
      </w:r>
    </w:p>
  </w:footnote>
  <w:footnote w:id="2">
    <w:p w14:paraId="4DD65E5E" w14:textId="6D7A1743" w:rsidR="00182061" w:rsidRPr="00182061" w:rsidRDefault="00182061">
      <w:pPr>
        <w:pStyle w:val="FootnoteText"/>
        <w:rPr>
          <w:rFonts w:ascii="Arial" w:hAnsi="Arial" w:cs="Arial"/>
        </w:rPr>
      </w:pPr>
      <w:r w:rsidRPr="00182061">
        <w:rPr>
          <w:rStyle w:val="FootnoteReference"/>
          <w:rFonts w:ascii="Arial" w:hAnsi="Arial" w:cs="Arial"/>
        </w:rPr>
        <w:footnoteRef/>
      </w:r>
      <w:r w:rsidRPr="00182061">
        <w:rPr>
          <w:rFonts w:ascii="Arial" w:hAnsi="Arial" w:cs="Arial"/>
        </w:rPr>
        <w:t xml:space="preserve"> </w:t>
      </w:r>
      <w:r>
        <w:rPr>
          <w:rFonts w:ascii="Arial" w:hAnsi="Arial" w:cs="Arial"/>
        </w:rPr>
        <w:t>194 of 1993</w:t>
      </w:r>
    </w:p>
  </w:footnote>
  <w:footnote w:id="3">
    <w:p w14:paraId="1F7FCF7C" w14:textId="67996E1A" w:rsidR="00D16CC8" w:rsidRPr="00D16CC8" w:rsidRDefault="00D16CC8">
      <w:pPr>
        <w:pStyle w:val="FootnoteText"/>
        <w:rPr>
          <w:rFonts w:ascii="Arial" w:hAnsi="Arial" w:cs="Arial"/>
        </w:rPr>
      </w:pPr>
      <w:r w:rsidRPr="00D16CC8">
        <w:rPr>
          <w:rStyle w:val="FootnoteReference"/>
          <w:rFonts w:ascii="Arial" w:hAnsi="Arial" w:cs="Arial"/>
        </w:rPr>
        <w:footnoteRef/>
      </w:r>
      <w:r w:rsidRPr="00D16CC8">
        <w:rPr>
          <w:rFonts w:ascii="Arial" w:hAnsi="Arial" w:cs="Arial"/>
        </w:rPr>
        <w:t xml:space="preserve"> </w:t>
      </w:r>
      <w:r>
        <w:rPr>
          <w:rFonts w:ascii="Arial" w:hAnsi="Arial" w:cs="Arial"/>
        </w:rPr>
        <w:t>Section 34 of ‘the Act’</w:t>
      </w:r>
    </w:p>
  </w:footnote>
  <w:footnote w:id="4">
    <w:p w14:paraId="3C8E1DC7" w14:textId="541AA10A" w:rsidR="00570FB8" w:rsidRPr="00570FB8" w:rsidRDefault="00570FB8">
      <w:pPr>
        <w:pStyle w:val="FootnoteText"/>
        <w:rPr>
          <w:rFonts w:ascii="Arial" w:hAnsi="Arial" w:cs="Arial"/>
        </w:rPr>
      </w:pPr>
      <w:r w:rsidRPr="00570FB8">
        <w:rPr>
          <w:rStyle w:val="FootnoteReference"/>
          <w:rFonts w:ascii="Arial" w:hAnsi="Arial" w:cs="Arial"/>
        </w:rPr>
        <w:footnoteRef/>
      </w:r>
      <w:r w:rsidRPr="00570FB8">
        <w:rPr>
          <w:rFonts w:ascii="Arial" w:hAnsi="Arial" w:cs="Arial"/>
        </w:rPr>
        <w:t xml:space="preserve"> </w:t>
      </w:r>
      <w:r>
        <w:rPr>
          <w:rFonts w:ascii="Arial" w:hAnsi="Arial" w:cs="Arial"/>
        </w:rPr>
        <w:t>Section 38 (1) of ‘the Act’</w:t>
      </w:r>
    </w:p>
  </w:footnote>
  <w:footnote w:id="5">
    <w:p w14:paraId="75B852EF" w14:textId="7387DB82" w:rsidR="003006A4" w:rsidRDefault="003006A4">
      <w:pPr>
        <w:pStyle w:val="FootnoteText"/>
        <w:rPr>
          <w:rFonts w:ascii="Arial" w:hAnsi="Arial" w:cs="Arial"/>
        </w:rPr>
      </w:pPr>
      <w:r w:rsidRPr="003006A4">
        <w:rPr>
          <w:rStyle w:val="FootnoteReference"/>
          <w:rFonts w:ascii="Arial" w:hAnsi="Arial" w:cs="Arial"/>
        </w:rPr>
        <w:footnoteRef/>
      </w:r>
      <w:r w:rsidRPr="003006A4">
        <w:rPr>
          <w:rFonts w:ascii="Arial" w:hAnsi="Arial" w:cs="Arial"/>
        </w:rPr>
        <w:t xml:space="preserve"> </w:t>
      </w:r>
      <w:r w:rsidR="001203D7">
        <w:rPr>
          <w:rFonts w:ascii="Arial" w:hAnsi="Arial" w:cs="Arial"/>
        </w:rPr>
        <w:t>Room Hire Co (Pty) Ltd v Jeppe Street Mansions (Pty) Ltd 1949 (3) SA 1155 (T) @ 1165</w:t>
      </w:r>
    </w:p>
    <w:p w14:paraId="3DFD0269" w14:textId="6BFF32D6" w:rsidR="001203D7" w:rsidRPr="003006A4" w:rsidRDefault="001203D7">
      <w:pPr>
        <w:pStyle w:val="FootnoteText"/>
        <w:rPr>
          <w:rFonts w:ascii="Arial" w:hAnsi="Arial" w:cs="Arial"/>
        </w:rPr>
      </w:pPr>
      <w:r>
        <w:rPr>
          <w:rFonts w:ascii="Arial" w:hAnsi="Arial" w:cs="Arial"/>
        </w:rPr>
        <w:t>Oertel NO v Pieterse &amp; Others 1954 (3) SA 364 (O) @ 368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4E15BC0C"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AA5">
      <w:rPr>
        <w:rStyle w:val="PageNumber"/>
        <w:noProof/>
      </w:rPr>
      <w:t>2</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04FE"/>
    <w:rsid w:val="00063E38"/>
    <w:rsid w:val="00065794"/>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47A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2E42"/>
    <w:rsid w:val="0013334C"/>
    <w:rsid w:val="0013349B"/>
    <w:rsid w:val="00134545"/>
    <w:rsid w:val="001347BA"/>
    <w:rsid w:val="00137924"/>
    <w:rsid w:val="00142481"/>
    <w:rsid w:val="00143719"/>
    <w:rsid w:val="001439DB"/>
    <w:rsid w:val="0014425D"/>
    <w:rsid w:val="00144B80"/>
    <w:rsid w:val="0014506E"/>
    <w:rsid w:val="00145DE7"/>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16EC"/>
    <w:rsid w:val="00171B36"/>
    <w:rsid w:val="00174F8B"/>
    <w:rsid w:val="00181375"/>
    <w:rsid w:val="00182061"/>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808"/>
    <w:rsid w:val="001B646A"/>
    <w:rsid w:val="001C0076"/>
    <w:rsid w:val="001C05CC"/>
    <w:rsid w:val="001C40D7"/>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15DC"/>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72C1"/>
    <w:rsid w:val="002713EE"/>
    <w:rsid w:val="00271BFE"/>
    <w:rsid w:val="00272A1C"/>
    <w:rsid w:val="002734D3"/>
    <w:rsid w:val="002744BB"/>
    <w:rsid w:val="00274E28"/>
    <w:rsid w:val="002766FF"/>
    <w:rsid w:val="00277DE7"/>
    <w:rsid w:val="0028009C"/>
    <w:rsid w:val="0028108B"/>
    <w:rsid w:val="00281DC4"/>
    <w:rsid w:val="002825AB"/>
    <w:rsid w:val="00283AFC"/>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3059"/>
    <w:rsid w:val="002B407C"/>
    <w:rsid w:val="002B4B64"/>
    <w:rsid w:val="002B667D"/>
    <w:rsid w:val="002C0C0B"/>
    <w:rsid w:val="002C3120"/>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6A4"/>
    <w:rsid w:val="00300E0A"/>
    <w:rsid w:val="00301354"/>
    <w:rsid w:val="00301C77"/>
    <w:rsid w:val="00302413"/>
    <w:rsid w:val="00302BC4"/>
    <w:rsid w:val="003033FD"/>
    <w:rsid w:val="00310885"/>
    <w:rsid w:val="00311C7B"/>
    <w:rsid w:val="00315C3F"/>
    <w:rsid w:val="0032073D"/>
    <w:rsid w:val="00322FCD"/>
    <w:rsid w:val="0032352D"/>
    <w:rsid w:val="00323EFB"/>
    <w:rsid w:val="00323FA7"/>
    <w:rsid w:val="00324C28"/>
    <w:rsid w:val="00326524"/>
    <w:rsid w:val="003266CE"/>
    <w:rsid w:val="00326D5B"/>
    <w:rsid w:val="0032704A"/>
    <w:rsid w:val="00327C65"/>
    <w:rsid w:val="003303CB"/>
    <w:rsid w:val="00331B63"/>
    <w:rsid w:val="00332B8C"/>
    <w:rsid w:val="00332EC5"/>
    <w:rsid w:val="00337F63"/>
    <w:rsid w:val="003406CD"/>
    <w:rsid w:val="003418B5"/>
    <w:rsid w:val="00344470"/>
    <w:rsid w:val="0034483D"/>
    <w:rsid w:val="003476B3"/>
    <w:rsid w:val="00350F08"/>
    <w:rsid w:val="00354540"/>
    <w:rsid w:val="0035547B"/>
    <w:rsid w:val="0035716C"/>
    <w:rsid w:val="00360CB2"/>
    <w:rsid w:val="00360E31"/>
    <w:rsid w:val="00361A3D"/>
    <w:rsid w:val="00361D69"/>
    <w:rsid w:val="00363826"/>
    <w:rsid w:val="00363F18"/>
    <w:rsid w:val="00365760"/>
    <w:rsid w:val="00366132"/>
    <w:rsid w:val="00366343"/>
    <w:rsid w:val="00367120"/>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583"/>
    <w:rsid w:val="003A09D9"/>
    <w:rsid w:val="003A22F1"/>
    <w:rsid w:val="003A2562"/>
    <w:rsid w:val="003A3305"/>
    <w:rsid w:val="003A6677"/>
    <w:rsid w:val="003A6799"/>
    <w:rsid w:val="003A6BF8"/>
    <w:rsid w:val="003A6C33"/>
    <w:rsid w:val="003A7B36"/>
    <w:rsid w:val="003B0FB6"/>
    <w:rsid w:val="003B3D03"/>
    <w:rsid w:val="003B40F8"/>
    <w:rsid w:val="003B67C6"/>
    <w:rsid w:val="003B6D76"/>
    <w:rsid w:val="003C0F75"/>
    <w:rsid w:val="003C12C6"/>
    <w:rsid w:val="003C1DBC"/>
    <w:rsid w:val="003C248A"/>
    <w:rsid w:val="003C403B"/>
    <w:rsid w:val="003C6032"/>
    <w:rsid w:val="003C6D3D"/>
    <w:rsid w:val="003C7267"/>
    <w:rsid w:val="003C7B1A"/>
    <w:rsid w:val="003D39F8"/>
    <w:rsid w:val="003D3C6B"/>
    <w:rsid w:val="003D4190"/>
    <w:rsid w:val="003D5FB9"/>
    <w:rsid w:val="003D6AF1"/>
    <w:rsid w:val="003E3709"/>
    <w:rsid w:val="003E4B26"/>
    <w:rsid w:val="003E56B3"/>
    <w:rsid w:val="003E571E"/>
    <w:rsid w:val="003E6612"/>
    <w:rsid w:val="003E77AB"/>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6C"/>
    <w:rsid w:val="004541FE"/>
    <w:rsid w:val="004548FD"/>
    <w:rsid w:val="00460767"/>
    <w:rsid w:val="00461C80"/>
    <w:rsid w:val="004629CC"/>
    <w:rsid w:val="00462F44"/>
    <w:rsid w:val="00465486"/>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4986"/>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0AE"/>
    <w:rsid w:val="004E7EF7"/>
    <w:rsid w:val="004F110F"/>
    <w:rsid w:val="004F13CA"/>
    <w:rsid w:val="004F13DB"/>
    <w:rsid w:val="004F1CDD"/>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42D"/>
    <w:rsid w:val="005525B3"/>
    <w:rsid w:val="00555602"/>
    <w:rsid w:val="005575C8"/>
    <w:rsid w:val="00561ED7"/>
    <w:rsid w:val="00561FE4"/>
    <w:rsid w:val="00563790"/>
    <w:rsid w:val="00563D95"/>
    <w:rsid w:val="005640D9"/>
    <w:rsid w:val="00565114"/>
    <w:rsid w:val="00566788"/>
    <w:rsid w:val="00570338"/>
    <w:rsid w:val="00570FB8"/>
    <w:rsid w:val="00572D06"/>
    <w:rsid w:val="00574219"/>
    <w:rsid w:val="005751B9"/>
    <w:rsid w:val="005756A7"/>
    <w:rsid w:val="005779A8"/>
    <w:rsid w:val="00581B35"/>
    <w:rsid w:val="00582BB0"/>
    <w:rsid w:val="00582BB6"/>
    <w:rsid w:val="00584F6F"/>
    <w:rsid w:val="0059031F"/>
    <w:rsid w:val="00590AFF"/>
    <w:rsid w:val="00591785"/>
    <w:rsid w:val="0059690E"/>
    <w:rsid w:val="00597016"/>
    <w:rsid w:val="005974A2"/>
    <w:rsid w:val="0059767B"/>
    <w:rsid w:val="005A0758"/>
    <w:rsid w:val="005A17DB"/>
    <w:rsid w:val="005A30EE"/>
    <w:rsid w:val="005A4BF3"/>
    <w:rsid w:val="005A5805"/>
    <w:rsid w:val="005B06C7"/>
    <w:rsid w:val="005B09D0"/>
    <w:rsid w:val="005B1354"/>
    <w:rsid w:val="005B6CFB"/>
    <w:rsid w:val="005B775D"/>
    <w:rsid w:val="005C19F1"/>
    <w:rsid w:val="005C2242"/>
    <w:rsid w:val="005C266F"/>
    <w:rsid w:val="005C2B2E"/>
    <w:rsid w:val="005C334D"/>
    <w:rsid w:val="005C59A5"/>
    <w:rsid w:val="005C5CF1"/>
    <w:rsid w:val="005C6642"/>
    <w:rsid w:val="005C6721"/>
    <w:rsid w:val="005C7EC0"/>
    <w:rsid w:val="005D2920"/>
    <w:rsid w:val="005D324F"/>
    <w:rsid w:val="005D36BE"/>
    <w:rsid w:val="005D370B"/>
    <w:rsid w:val="005D3AC1"/>
    <w:rsid w:val="005D4DB4"/>
    <w:rsid w:val="005D5DE6"/>
    <w:rsid w:val="005D5FA9"/>
    <w:rsid w:val="005D6CC7"/>
    <w:rsid w:val="005E0005"/>
    <w:rsid w:val="005E24B9"/>
    <w:rsid w:val="005E31F5"/>
    <w:rsid w:val="005E479D"/>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33A2"/>
    <w:rsid w:val="00627832"/>
    <w:rsid w:val="00630413"/>
    <w:rsid w:val="00630EE1"/>
    <w:rsid w:val="006328ED"/>
    <w:rsid w:val="006350CD"/>
    <w:rsid w:val="00636CC4"/>
    <w:rsid w:val="00636F6D"/>
    <w:rsid w:val="006415B6"/>
    <w:rsid w:val="0065008E"/>
    <w:rsid w:val="00652566"/>
    <w:rsid w:val="006546FF"/>
    <w:rsid w:val="0065526A"/>
    <w:rsid w:val="00655FFB"/>
    <w:rsid w:val="006605D6"/>
    <w:rsid w:val="006615C6"/>
    <w:rsid w:val="00671F90"/>
    <w:rsid w:val="00675EA3"/>
    <w:rsid w:val="006766C4"/>
    <w:rsid w:val="0067711E"/>
    <w:rsid w:val="006779A6"/>
    <w:rsid w:val="0068081A"/>
    <w:rsid w:val="00680E1F"/>
    <w:rsid w:val="00680F77"/>
    <w:rsid w:val="0068490D"/>
    <w:rsid w:val="00685ABD"/>
    <w:rsid w:val="00690910"/>
    <w:rsid w:val="00690D25"/>
    <w:rsid w:val="006924E2"/>
    <w:rsid w:val="00693147"/>
    <w:rsid w:val="0069671E"/>
    <w:rsid w:val="006A0C61"/>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2BEB"/>
    <w:rsid w:val="007B3440"/>
    <w:rsid w:val="007B36C0"/>
    <w:rsid w:val="007B4A53"/>
    <w:rsid w:val="007B6181"/>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3439"/>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FFD"/>
    <w:rsid w:val="008117F5"/>
    <w:rsid w:val="00812EBA"/>
    <w:rsid w:val="00814492"/>
    <w:rsid w:val="0081468E"/>
    <w:rsid w:val="00814959"/>
    <w:rsid w:val="00814F3C"/>
    <w:rsid w:val="00815022"/>
    <w:rsid w:val="00816040"/>
    <w:rsid w:val="0082108A"/>
    <w:rsid w:val="0082172A"/>
    <w:rsid w:val="008249C0"/>
    <w:rsid w:val="0082569E"/>
    <w:rsid w:val="00826853"/>
    <w:rsid w:val="0082788D"/>
    <w:rsid w:val="00831E14"/>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3F28"/>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47A6"/>
    <w:rsid w:val="008E6718"/>
    <w:rsid w:val="008F2C95"/>
    <w:rsid w:val="008F30C3"/>
    <w:rsid w:val="008F450B"/>
    <w:rsid w:val="008F55A3"/>
    <w:rsid w:val="00900301"/>
    <w:rsid w:val="0090080B"/>
    <w:rsid w:val="00900839"/>
    <w:rsid w:val="0090125E"/>
    <w:rsid w:val="00901C73"/>
    <w:rsid w:val="009036C3"/>
    <w:rsid w:val="009046D3"/>
    <w:rsid w:val="00904806"/>
    <w:rsid w:val="00904DBF"/>
    <w:rsid w:val="00907202"/>
    <w:rsid w:val="00910A34"/>
    <w:rsid w:val="0091107D"/>
    <w:rsid w:val="009138BE"/>
    <w:rsid w:val="0091449E"/>
    <w:rsid w:val="00916AB4"/>
    <w:rsid w:val="00917366"/>
    <w:rsid w:val="00917C22"/>
    <w:rsid w:val="00920B7E"/>
    <w:rsid w:val="009220FE"/>
    <w:rsid w:val="00922B25"/>
    <w:rsid w:val="009232FB"/>
    <w:rsid w:val="00924358"/>
    <w:rsid w:val="009254CB"/>
    <w:rsid w:val="00927267"/>
    <w:rsid w:val="00932932"/>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1807"/>
    <w:rsid w:val="009532A1"/>
    <w:rsid w:val="0095333A"/>
    <w:rsid w:val="009533D5"/>
    <w:rsid w:val="009547DF"/>
    <w:rsid w:val="00956D56"/>
    <w:rsid w:val="00957F8A"/>
    <w:rsid w:val="0096046F"/>
    <w:rsid w:val="00963E70"/>
    <w:rsid w:val="00972138"/>
    <w:rsid w:val="009735D9"/>
    <w:rsid w:val="0097447B"/>
    <w:rsid w:val="0097571E"/>
    <w:rsid w:val="00975BE4"/>
    <w:rsid w:val="00976632"/>
    <w:rsid w:val="00977303"/>
    <w:rsid w:val="00977AA5"/>
    <w:rsid w:val="009808FF"/>
    <w:rsid w:val="009813FA"/>
    <w:rsid w:val="00990A02"/>
    <w:rsid w:val="00990CF8"/>
    <w:rsid w:val="00991E11"/>
    <w:rsid w:val="00993489"/>
    <w:rsid w:val="00993C96"/>
    <w:rsid w:val="00995AC4"/>
    <w:rsid w:val="0099643E"/>
    <w:rsid w:val="00996C27"/>
    <w:rsid w:val="009A08C1"/>
    <w:rsid w:val="009A133E"/>
    <w:rsid w:val="009A1723"/>
    <w:rsid w:val="009A247F"/>
    <w:rsid w:val="009A24B7"/>
    <w:rsid w:val="009A2540"/>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375B"/>
    <w:rsid w:val="00A04039"/>
    <w:rsid w:val="00A0610B"/>
    <w:rsid w:val="00A10E8A"/>
    <w:rsid w:val="00A1148A"/>
    <w:rsid w:val="00A12036"/>
    <w:rsid w:val="00A12AA3"/>
    <w:rsid w:val="00A1346D"/>
    <w:rsid w:val="00A14976"/>
    <w:rsid w:val="00A14A32"/>
    <w:rsid w:val="00A169A8"/>
    <w:rsid w:val="00A20E63"/>
    <w:rsid w:val="00A2123D"/>
    <w:rsid w:val="00A230F2"/>
    <w:rsid w:val="00A24C5C"/>
    <w:rsid w:val="00A26E9B"/>
    <w:rsid w:val="00A30D0B"/>
    <w:rsid w:val="00A32282"/>
    <w:rsid w:val="00A36D70"/>
    <w:rsid w:val="00A37048"/>
    <w:rsid w:val="00A44236"/>
    <w:rsid w:val="00A45935"/>
    <w:rsid w:val="00A47057"/>
    <w:rsid w:val="00A47737"/>
    <w:rsid w:val="00A47B15"/>
    <w:rsid w:val="00A502A5"/>
    <w:rsid w:val="00A51884"/>
    <w:rsid w:val="00A51A28"/>
    <w:rsid w:val="00A52A74"/>
    <w:rsid w:val="00A543F5"/>
    <w:rsid w:val="00A56E82"/>
    <w:rsid w:val="00A646D7"/>
    <w:rsid w:val="00A73041"/>
    <w:rsid w:val="00A77BCC"/>
    <w:rsid w:val="00A80BC0"/>
    <w:rsid w:val="00A810AE"/>
    <w:rsid w:val="00A816C5"/>
    <w:rsid w:val="00A8254D"/>
    <w:rsid w:val="00A87845"/>
    <w:rsid w:val="00A90AE3"/>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5646"/>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4640"/>
    <w:rsid w:val="00B054F1"/>
    <w:rsid w:val="00B06C6A"/>
    <w:rsid w:val="00B1181D"/>
    <w:rsid w:val="00B14735"/>
    <w:rsid w:val="00B160E9"/>
    <w:rsid w:val="00B17D44"/>
    <w:rsid w:val="00B23DA7"/>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670F4"/>
    <w:rsid w:val="00B706C9"/>
    <w:rsid w:val="00B70721"/>
    <w:rsid w:val="00B70AEE"/>
    <w:rsid w:val="00B71797"/>
    <w:rsid w:val="00B72ABC"/>
    <w:rsid w:val="00B744A2"/>
    <w:rsid w:val="00B758DB"/>
    <w:rsid w:val="00B76203"/>
    <w:rsid w:val="00B7674E"/>
    <w:rsid w:val="00B80510"/>
    <w:rsid w:val="00B827B6"/>
    <w:rsid w:val="00B862AB"/>
    <w:rsid w:val="00B875FE"/>
    <w:rsid w:val="00B932DE"/>
    <w:rsid w:val="00B934F2"/>
    <w:rsid w:val="00B94130"/>
    <w:rsid w:val="00B94552"/>
    <w:rsid w:val="00B945EE"/>
    <w:rsid w:val="00B94C44"/>
    <w:rsid w:val="00B95100"/>
    <w:rsid w:val="00B971EA"/>
    <w:rsid w:val="00BA322F"/>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0B90"/>
    <w:rsid w:val="00C2283F"/>
    <w:rsid w:val="00C22868"/>
    <w:rsid w:val="00C2386F"/>
    <w:rsid w:val="00C245D5"/>
    <w:rsid w:val="00C271EA"/>
    <w:rsid w:val="00C30FB4"/>
    <w:rsid w:val="00C32279"/>
    <w:rsid w:val="00C32FCA"/>
    <w:rsid w:val="00C37F91"/>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431"/>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D019BD"/>
    <w:rsid w:val="00D0249E"/>
    <w:rsid w:val="00D03E2F"/>
    <w:rsid w:val="00D0664B"/>
    <w:rsid w:val="00D07BCE"/>
    <w:rsid w:val="00D10D5D"/>
    <w:rsid w:val="00D1186C"/>
    <w:rsid w:val="00D139B0"/>
    <w:rsid w:val="00D14C42"/>
    <w:rsid w:val="00D16CC8"/>
    <w:rsid w:val="00D17480"/>
    <w:rsid w:val="00D3078E"/>
    <w:rsid w:val="00D32E06"/>
    <w:rsid w:val="00D350CB"/>
    <w:rsid w:val="00D36152"/>
    <w:rsid w:val="00D40456"/>
    <w:rsid w:val="00D404F0"/>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6D65"/>
    <w:rsid w:val="00DB7FCC"/>
    <w:rsid w:val="00DC1551"/>
    <w:rsid w:val="00DC30EC"/>
    <w:rsid w:val="00DC4593"/>
    <w:rsid w:val="00DC4CAF"/>
    <w:rsid w:val="00DD1351"/>
    <w:rsid w:val="00DD196B"/>
    <w:rsid w:val="00DD22AC"/>
    <w:rsid w:val="00DD31CA"/>
    <w:rsid w:val="00DD4CAF"/>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AB2"/>
    <w:rsid w:val="00E271DD"/>
    <w:rsid w:val="00E27630"/>
    <w:rsid w:val="00E3060D"/>
    <w:rsid w:val="00E31572"/>
    <w:rsid w:val="00E34223"/>
    <w:rsid w:val="00E344C7"/>
    <w:rsid w:val="00E34D84"/>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2718"/>
    <w:rsid w:val="00F03E2E"/>
    <w:rsid w:val="00F04DF1"/>
    <w:rsid w:val="00F07D34"/>
    <w:rsid w:val="00F1020A"/>
    <w:rsid w:val="00F1331D"/>
    <w:rsid w:val="00F15CF1"/>
    <w:rsid w:val="00F21884"/>
    <w:rsid w:val="00F2620A"/>
    <w:rsid w:val="00F26CC1"/>
    <w:rsid w:val="00F326BB"/>
    <w:rsid w:val="00F34609"/>
    <w:rsid w:val="00F350DB"/>
    <w:rsid w:val="00F372FA"/>
    <w:rsid w:val="00F37755"/>
    <w:rsid w:val="00F402B2"/>
    <w:rsid w:val="00F420F4"/>
    <w:rsid w:val="00F448AC"/>
    <w:rsid w:val="00F450F5"/>
    <w:rsid w:val="00F45406"/>
    <w:rsid w:val="00F45DA4"/>
    <w:rsid w:val="00F50453"/>
    <w:rsid w:val="00F51A7E"/>
    <w:rsid w:val="00F51D2F"/>
    <w:rsid w:val="00F53647"/>
    <w:rsid w:val="00F53CD2"/>
    <w:rsid w:val="00F54D14"/>
    <w:rsid w:val="00F55C32"/>
    <w:rsid w:val="00F55E06"/>
    <w:rsid w:val="00F567ED"/>
    <w:rsid w:val="00F56EBA"/>
    <w:rsid w:val="00F61EE0"/>
    <w:rsid w:val="00F63D22"/>
    <w:rsid w:val="00F66069"/>
    <w:rsid w:val="00F67223"/>
    <w:rsid w:val="00F678D9"/>
    <w:rsid w:val="00F732C5"/>
    <w:rsid w:val="00F74C2A"/>
    <w:rsid w:val="00F767F8"/>
    <w:rsid w:val="00F803FE"/>
    <w:rsid w:val="00F8397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059"/>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an@vanzyljohnsonattorneys.co.za" TargetMode="External"/><Relationship Id="rId4" Type="http://schemas.openxmlformats.org/officeDocument/2006/relationships/settings" Target="settings.xml"/><Relationship Id="rId9" Type="http://schemas.openxmlformats.org/officeDocument/2006/relationships/hyperlink" Target="mailto:roxanne@rbat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5EE4-F1FA-4824-9318-8C08229B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13541</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Lazarus Rakgwale</cp:lastModifiedBy>
  <cp:revision>2</cp:revision>
  <cp:lastPrinted>2022-12-09T11:05:00Z</cp:lastPrinted>
  <dcterms:created xsi:type="dcterms:W3CDTF">2022-12-14T08:33:00Z</dcterms:created>
  <dcterms:modified xsi:type="dcterms:W3CDTF">2022-12-14T08:33:00Z</dcterms:modified>
</cp:coreProperties>
</file>