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845E8" w14:textId="77777777" w:rsidR="00A60BC7" w:rsidRPr="000B4788" w:rsidRDefault="00A60BC7" w:rsidP="00A60BC7">
      <w:pPr>
        <w:pStyle w:val="Title"/>
        <w:spacing w:after="120" w:line="360" w:lineRule="auto"/>
      </w:pPr>
      <w:r w:rsidRPr="000B4788">
        <w:rPr>
          <w:noProof/>
          <w:lang w:eastAsia="en-ZA"/>
        </w:rPr>
        <w:drawing>
          <wp:inline distT="0" distB="0" distL="0" distR="0" wp14:anchorId="0AA25A24" wp14:editId="1168C024">
            <wp:extent cx="1536065" cy="1536065"/>
            <wp:effectExtent l="0" t="0" r="6985" b="698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A1E92B8" w14:textId="77777777" w:rsidR="00E519F2" w:rsidRPr="000B4788" w:rsidRDefault="00E519F2" w:rsidP="00E519F2">
      <w:pPr>
        <w:spacing w:line="240" w:lineRule="auto"/>
        <w:jc w:val="center"/>
        <w:rPr>
          <w:b/>
        </w:rPr>
      </w:pPr>
      <w:r w:rsidRPr="000B4788">
        <w:rPr>
          <w:b/>
        </w:rPr>
        <w:t xml:space="preserve">IN THE HIGH COURT OF SOUTH AFRICA, </w:t>
      </w:r>
    </w:p>
    <w:p w14:paraId="01EF9AF4" w14:textId="62C27612" w:rsidR="00E519F2" w:rsidRPr="000B4788" w:rsidRDefault="00E519F2" w:rsidP="00E519F2">
      <w:pPr>
        <w:spacing w:line="240" w:lineRule="auto"/>
        <w:jc w:val="center"/>
        <w:rPr>
          <w:b/>
        </w:rPr>
      </w:pPr>
      <w:r w:rsidRPr="000B4788">
        <w:rPr>
          <w:b/>
        </w:rPr>
        <w:t>GAUTENG</w:t>
      </w:r>
      <w:r w:rsidR="00417EAE">
        <w:rPr>
          <w:b/>
        </w:rPr>
        <w:t xml:space="preserve"> LOCAL </w:t>
      </w:r>
      <w:r w:rsidRPr="000B4788">
        <w:rPr>
          <w:b/>
        </w:rPr>
        <w:t xml:space="preserve">DIVISION, </w:t>
      </w:r>
      <w:r w:rsidR="00C644EB">
        <w:rPr>
          <w:b/>
        </w:rPr>
        <w:t>JOHANNESBURG</w:t>
      </w:r>
    </w:p>
    <w:p w14:paraId="60182ABA" w14:textId="77777777" w:rsidR="00E519F2" w:rsidRPr="000B4788" w:rsidRDefault="00E519F2" w:rsidP="00E519F2">
      <w:pPr>
        <w:spacing w:line="240" w:lineRule="auto"/>
        <w:rPr>
          <w:b/>
        </w:rPr>
      </w:pPr>
    </w:p>
    <w:p w14:paraId="759162E1" w14:textId="5D82173D" w:rsidR="002B1C11" w:rsidRDefault="002B1C11" w:rsidP="00E519F2">
      <w:pPr>
        <w:jc w:val="right"/>
        <w:rPr>
          <w:b/>
        </w:rPr>
      </w:pPr>
      <w:r w:rsidRPr="000B4788">
        <w:rPr>
          <w:b/>
        </w:rPr>
        <w:t xml:space="preserve">CASE NO:  </w:t>
      </w:r>
      <w:r w:rsidR="00417EAE">
        <w:rPr>
          <w:b/>
        </w:rPr>
        <w:t>2021/28086</w:t>
      </w:r>
    </w:p>
    <w:p w14:paraId="31CA93AA" w14:textId="038E152E" w:rsidR="00E519F2" w:rsidRPr="000B4788" w:rsidRDefault="00792993" w:rsidP="00647012">
      <w:pPr>
        <w:jc w:val="right"/>
      </w:pPr>
      <w:r w:rsidRPr="000B4788">
        <w:rPr>
          <w:noProof/>
          <w:lang w:eastAsia="en-ZA"/>
        </w:rPr>
        <mc:AlternateContent>
          <mc:Choice Requires="wps">
            <w:drawing>
              <wp:anchor distT="0" distB="0" distL="114300" distR="114300" simplePos="0" relativeHeight="251659264" behindDoc="0" locked="0" layoutInCell="1" allowOverlap="1" wp14:anchorId="7A9FED3B" wp14:editId="0BD8F069">
                <wp:simplePos x="0" y="0"/>
                <wp:positionH relativeFrom="column">
                  <wp:posOffset>-4445</wp:posOffset>
                </wp:positionH>
                <wp:positionV relativeFrom="paragraph">
                  <wp:posOffset>47189</wp:posOffset>
                </wp:positionV>
                <wp:extent cx="3314700" cy="13716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020C26CC" w14:textId="77777777" w:rsidR="0015006E" w:rsidRPr="00913F95" w:rsidRDefault="0015006E" w:rsidP="00E519F2">
                            <w:pPr>
                              <w:jc w:val="center"/>
                              <w:rPr>
                                <w:rFonts w:ascii="Century Gothic" w:hAnsi="Century Gothic"/>
                                <w:b/>
                                <w:sz w:val="20"/>
                                <w:szCs w:val="20"/>
                              </w:rPr>
                            </w:pPr>
                          </w:p>
                          <w:p w14:paraId="273920ED" w14:textId="19803C1E" w:rsidR="0015006E" w:rsidRDefault="008D0115" w:rsidP="008D0115">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C55269">
                              <w:rPr>
                                <w:rFonts w:ascii="Century Gothic" w:hAnsi="Century Gothic"/>
                                <w:sz w:val="20"/>
                                <w:szCs w:val="20"/>
                              </w:rPr>
                              <w:t>REPORTABLE:</w:t>
                            </w:r>
                            <w:r w:rsidR="0015006E">
                              <w:rPr>
                                <w:rFonts w:ascii="Century Gothic" w:hAnsi="Century Gothic"/>
                                <w:sz w:val="20"/>
                                <w:szCs w:val="20"/>
                              </w:rPr>
                              <w:t xml:space="preserve"> NO</w:t>
                            </w:r>
                          </w:p>
                          <w:p w14:paraId="55B0DC25" w14:textId="39D41D99" w:rsidR="0015006E" w:rsidRPr="00913F95" w:rsidRDefault="008D0115" w:rsidP="008D0115">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15006E" w:rsidRPr="00913F95">
                              <w:rPr>
                                <w:rFonts w:ascii="Century Gothic" w:hAnsi="Century Gothic"/>
                                <w:sz w:val="20"/>
                                <w:szCs w:val="20"/>
                              </w:rPr>
                              <w:t>OF INTEREST TO OTHER JUDGES</w:t>
                            </w:r>
                            <w:r w:rsidR="00C55269">
                              <w:rPr>
                                <w:rFonts w:ascii="Century Gothic" w:hAnsi="Century Gothic"/>
                                <w:sz w:val="20"/>
                                <w:szCs w:val="20"/>
                              </w:rPr>
                              <w:t xml:space="preserve">: </w:t>
                            </w:r>
                            <w:r w:rsidR="0015006E" w:rsidRPr="00913F95">
                              <w:rPr>
                                <w:rFonts w:ascii="Century Gothic" w:hAnsi="Century Gothic"/>
                                <w:sz w:val="20"/>
                                <w:szCs w:val="20"/>
                              </w:rPr>
                              <w:t>NO</w:t>
                            </w:r>
                          </w:p>
                          <w:p w14:paraId="7CFA632F" w14:textId="2D29DB70" w:rsidR="0015006E" w:rsidRPr="00913F95" w:rsidRDefault="008D0115" w:rsidP="008D0115">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15006E" w:rsidRPr="00913F95">
                              <w:rPr>
                                <w:rFonts w:ascii="Century Gothic" w:hAnsi="Century Gothic"/>
                                <w:sz w:val="20"/>
                                <w:szCs w:val="20"/>
                              </w:rPr>
                              <w:t>REVISED</w:t>
                            </w:r>
                            <w:r w:rsidR="0015006E">
                              <w:rPr>
                                <w:rFonts w:ascii="Century Gothic" w:hAnsi="Century Gothic"/>
                                <w:sz w:val="20"/>
                                <w:szCs w:val="20"/>
                              </w:rPr>
                              <w:t xml:space="preserve">. </w:t>
                            </w:r>
                          </w:p>
                          <w:p w14:paraId="2CBC09EC" w14:textId="77777777" w:rsidR="0015006E" w:rsidRDefault="0015006E" w:rsidP="00E519F2">
                            <w:pPr>
                              <w:rPr>
                                <w:rFonts w:ascii="Century Gothic" w:hAnsi="Century Gothic"/>
                                <w:b/>
                                <w:sz w:val="18"/>
                                <w:szCs w:val="18"/>
                              </w:rPr>
                            </w:pPr>
                          </w:p>
                          <w:p w14:paraId="44D56259" w14:textId="6486C02B" w:rsidR="0015006E" w:rsidRPr="00084341" w:rsidRDefault="0015006E" w:rsidP="00E519F2">
                            <w:pPr>
                              <w:rPr>
                                <w:rFonts w:ascii="Century Gothic" w:hAnsi="Century Gothic"/>
                                <w:b/>
                                <w:sz w:val="18"/>
                                <w:szCs w:val="18"/>
                              </w:rPr>
                            </w:pPr>
                            <w:r w:rsidRPr="00084341">
                              <w:rPr>
                                <w:rFonts w:ascii="Century Gothic" w:hAnsi="Century Gothic"/>
                                <w:b/>
                                <w:sz w:val="18"/>
                                <w:szCs w:val="18"/>
                              </w:rPr>
                              <w:t xml:space="preserve">        </w:t>
                            </w:r>
                            <w:r w:rsidR="00A16066">
                              <w:rPr>
                                <w:rFonts w:ascii="Century Gothic" w:hAnsi="Century Gothic"/>
                                <w:b/>
                                <w:sz w:val="18"/>
                                <w:szCs w:val="18"/>
                              </w:rPr>
                              <w:tab/>
                            </w:r>
                            <w:r w:rsidR="00A16066" w:rsidRPr="00A16066">
                              <w:rPr>
                                <w:rFonts w:ascii="Century Gothic" w:hAnsi="Century Gothic"/>
                                <w:sz w:val="18"/>
                                <w:szCs w:val="18"/>
                              </w:rPr>
                              <w:t>6.12.2022</w:t>
                            </w:r>
                            <w:r w:rsidRPr="00084341">
                              <w:rPr>
                                <w:rFonts w:ascii="Century Gothic" w:hAnsi="Century Gothic"/>
                                <w:b/>
                                <w:sz w:val="18"/>
                                <w:szCs w:val="18"/>
                              </w:rPr>
                              <w:tab/>
                            </w:r>
                            <w:r w:rsidRPr="00084341">
                              <w:rPr>
                                <w:rFonts w:ascii="Century Gothic" w:hAnsi="Century Gothic"/>
                                <w:b/>
                                <w:sz w:val="18"/>
                                <w:szCs w:val="18"/>
                              </w:rPr>
                              <w:tab/>
                              <w:t>………………………...</w:t>
                            </w:r>
                          </w:p>
                          <w:p w14:paraId="492AD257" w14:textId="77777777" w:rsidR="0015006E" w:rsidRPr="00084341" w:rsidRDefault="0015006E" w:rsidP="00E519F2">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FED3B" id="_x0000_t202" coordsize="21600,21600" o:spt="202" path="m,l,21600r21600,l21600,xe">
                <v:stroke joinstyle="miter"/>
                <v:path gradientshapeok="t" o:connecttype="rect"/>
              </v:shapetype>
              <v:shape id="Text Box 4" o:spid="_x0000_s1026" type="#_x0000_t202" style="position:absolute;left:0;text-align:left;margin-left:-.35pt;margin-top:3.7pt;width:26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">
                <v:textbox>
                  <w:txbxContent>
                    <w:p w14:paraId="020C26CC" w14:textId="77777777" w:rsidR="0015006E" w:rsidRPr="00913F95" w:rsidRDefault="0015006E" w:rsidP="00E519F2">
                      <w:pPr>
                        <w:jc w:val="center"/>
                        <w:rPr>
                          <w:rFonts w:ascii="Century Gothic" w:hAnsi="Century Gothic"/>
                          <w:b/>
                          <w:sz w:val="20"/>
                          <w:szCs w:val="20"/>
                        </w:rPr>
                      </w:pPr>
                    </w:p>
                    <w:p w14:paraId="273920ED" w14:textId="19803C1E" w:rsidR="0015006E" w:rsidRDefault="008D0115" w:rsidP="008D0115">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C55269">
                        <w:rPr>
                          <w:rFonts w:ascii="Century Gothic" w:hAnsi="Century Gothic"/>
                          <w:sz w:val="20"/>
                          <w:szCs w:val="20"/>
                        </w:rPr>
                        <w:t>REPORTABLE:</w:t>
                      </w:r>
                      <w:r w:rsidR="0015006E">
                        <w:rPr>
                          <w:rFonts w:ascii="Century Gothic" w:hAnsi="Century Gothic"/>
                          <w:sz w:val="20"/>
                          <w:szCs w:val="20"/>
                        </w:rPr>
                        <w:t xml:space="preserve"> NO</w:t>
                      </w:r>
                    </w:p>
                    <w:p w14:paraId="55B0DC25" w14:textId="39D41D99" w:rsidR="0015006E" w:rsidRPr="00913F95" w:rsidRDefault="008D0115" w:rsidP="008D0115">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15006E" w:rsidRPr="00913F95">
                        <w:rPr>
                          <w:rFonts w:ascii="Century Gothic" w:hAnsi="Century Gothic"/>
                          <w:sz w:val="20"/>
                          <w:szCs w:val="20"/>
                        </w:rPr>
                        <w:t>OF INTEREST TO OTHER JUDGES</w:t>
                      </w:r>
                      <w:r w:rsidR="00C55269">
                        <w:rPr>
                          <w:rFonts w:ascii="Century Gothic" w:hAnsi="Century Gothic"/>
                          <w:sz w:val="20"/>
                          <w:szCs w:val="20"/>
                        </w:rPr>
                        <w:t xml:space="preserve">: </w:t>
                      </w:r>
                      <w:r w:rsidR="0015006E" w:rsidRPr="00913F95">
                        <w:rPr>
                          <w:rFonts w:ascii="Century Gothic" w:hAnsi="Century Gothic"/>
                          <w:sz w:val="20"/>
                          <w:szCs w:val="20"/>
                        </w:rPr>
                        <w:t>NO</w:t>
                      </w:r>
                    </w:p>
                    <w:p w14:paraId="7CFA632F" w14:textId="2D29DB70" w:rsidR="0015006E" w:rsidRPr="00913F95" w:rsidRDefault="008D0115" w:rsidP="008D0115">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15006E" w:rsidRPr="00913F95">
                        <w:rPr>
                          <w:rFonts w:ascii="Century Gothic" w:hAnsi="Century Gothic"/>
                          <w:sz w:val="20"/>
                          <w:szCs w:val="20"/>
                        </w:rPr>
                        <w:t>REVISED</w:t>
                      </w:r>
                      <w:r w:rsidR="0015006E">
                        <w:rPr>
                          <w:rFonts w:ascii="Century Gothic" w:hAnsi="Century Gothic"/>
                          <w:sz w:val="20"/>
                          <w:szCs w:val="20"/>
                        </w:rPr>
                        <w:t xml:space="preserve">. </w:t>
                      </w:r>
                    </w:p>
                    <w:p w14:paraId="2CBC09EC" w14:textId="77777777" w:rsidR="0015006E" w:rsidRDefault="0015006E" w:rsidP="00E519F2">
                      <w:pPr>
                        <w:rPr>
                          <w:rFonts w:ascii="Century Gothic" w:hAnsi="Century Gothic"/>
                          <w:b/>
                          <w:sz w:val="18"/>
                          <w:szCs w:val="18"/>
                        </w:rPr>
                      </w:pPr>
                    </w:p>
                    <w:p w14:paraId="44D56259" w14:textId="6486C02B" w:rsidR="0015006E" w:rsidRPr="00084341" w:rsidRDefault="0015006E" w:rsidP="00E519F2">
                      <w:pPr>
                        <w:rPr>
                          <w:rFonts w:ascii="Century Gothic" w:hAnsi="Century Gothic"/>
                          <w:b/>
                          <w:sz w:val="18"/>
                          <w:szCs w:val="18"/>
                        </w:rPr>
                      </w:pPr>
                      <w:r w:rsidRPr="00084341">
                        <w:rPr>
                          <w:rFonts w:ascii="Century Gothic" w:hAnsi="Century Gothic"/>
                          <w:b/>
                          <w:sz w:val="18"/>
                          <w:szCs w:val="18"/>
                        </w:rPr>
                        <w:t xml:space="preserve">        </w:t>
                      </w:r>
                      <w:r w:rsidR="00A16066">
                        <w:rPr>
                          <w:rFonts w:ascii="Century Gothic" w:hAnsi="Century Gothic"/>
                          <w:b/>
                          <w:sz w:val="18"/>
                          <w:szCs w:val="18"/>
                        </w:rPr>
                        <w:tab/>
                      </w:r>
                      <w:r w:rsidR="00A16066" w:rsidRPr="00A16066">
                        <w:rPr>
                          <w:rFonts w:ascii="Century Gothic" w:hAnsi="Century Gothic"/>
                          <w:sz w:val="18"/>
                          <w:szCs w:val="18"/>
                        </w:rPr>
                        <w:t>6.12.2022</w:t>
                      </w:r>
                      <w:r w:rsidRPr="00084341">
                        <w:rPr>
                          <w:rFonts w:ascii="Century Gothic" w:hAnsi="Century Gothic"/>
                          <w:b/>
                          <w:sz w:val="18"/>
                          <w:szCs w:val="18"/>
                        </w:rPr>
                        <w:tab/>
                      </w:r>
                      <w:r w:rsidRPr="00084341">
                        <w:rPr>
                          <w:rFonts w:ascii="Century Gothic" w:hAnsi="Century Gothic"/>
                          <w:b/>
                          <w:sz w:val="18"/>
                          <w:szCs w:val="18"/>
                        </w:rPr>
                        <w:tab/>
                        <w:t>………………………...</w:t>
                      </w:r>
                    </w:p>
                    <w:p w14:paraId="492AD257" w14:textId="77777777" w:rsidR="0015006E" w:rsidRPr="00084341" w:rsidRDefault="0015006E" w:rsidP="00E519F2">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p>
    <w:p w14:paraId="438FAB89" w14:textId="77777777" w:rsidR="00F9123D" w:rsidRPr="000B4788" w:rsidRDefault="00F9123D" w:rsidP="00E519F2"/>
    <w:p w14:paraId="79B48B3F" w14:textId="77777777" w:rsidR="00E519F2" w:rsidRPr="000B4788" w:rsidRDefault="00E519F2" w:rsidP="00E519F2"/>
    <w:p w14:paraId="1E4EDFFB" w14:textId="77777777" w:rsidR="00E519F2" w:rsidRPr="000B4788" w:rsidRDefault="00E519F2" w:rsidP="00E519F2"/>
    <w:p w14:paraId="52F36FD5" w14:textId="77777777" w:rsidR="00E519F2" w:rsidRPr="000B4788" w:rsidRDefault="00E519F2" w:rsidP="00E519F2">
      <w:pPr>
        <w:spacing w:line="480" w:lineRule="auto"/>
      </w:pPr>
    </w:p>
    <w:p w14:paraId="60161B70" w14:textId="77777777" w:rsidR="00E519F2" w:rsidRPr="000B4788" w:rsidRDefault="00E519F2" w:rsidP="00E519F2">
      <w:pPr>
        <w:spacing w:line="480" w:lineRule="auto"/>
      </w:pPr>
    </w:p>
    <w:p w14:paraId="4B278874" w14:textId="047270B7" w:rsidR="00E519F2" w:rsidRPr="000B4788" w:rsidRDefault="00E519F2" w:rsidP="00E519F2">
      <w:pPr>
        <w:spacing w:line="480" w:lineRule="auto"/>
        <w:rPr>
          <w:rFonts w:cs="Arial"/>
          <w:szCs w:val="22"/>
        </w:rPr>
      </w:pPr>
      <w:r w:rsidRPr="000B4788">
        <w:rPr>
          <w:rFonts w:cs="Arial"/>
          <w:szCs w:val="22"/>
        </w:rPr>
        <w:t>In the</w:t>
      </w:r>
      <w:r w:rsidR="005103BA" w:rsidRPr="000B4788">
        <w:rPr>
          <w:rFonts w:cs="Arial"/>
          <w:szCs w:val="22"/>
        </w:rPr>
        <w:t xml:space="preserve"> </w:t>
      </w:r>
      <w:r w:rsidR="002B1C11" w:rsidRPr="000B4788">
        <w:rPr>
          <w:rFonts w:cs="Arial"/>
          <w:szCs w:val="22"/>
        </w:rPr>
        <w:t>matter</w:t>
      </w:r>
      <w:r w:rsidRPr="000B4788">
        <w:rPr>
          <w:rFonts w:cs="Arial"/>
          <w:szCs w:val="22"/>
        </w:rPr>
        <w:t xml:space="preserve"> between:</w:t>
      </w:r>
    </w:p>
    <w:p w14:paraId="46AAB224" w14:textId="77777777" w:rsidR="00E519F2" w:rsidRPr="000B4788" w:rsidRDefault="00E519F2" w:rsidP="00E519F2">
      <w:pPr>
        <w:spacing w:line="480" w:lineRule="auto"/>
        <w:rPr>
          <w:rFonts w:cs="Arial"/>
          <w:szCs w:val="22"/>
        </w:rPr>
      </w:pPr>
    </w:p>
    <w:tbl>
      <w:tblPr>
        <w:tblW w:w="0" w:type="auto"/>
        <w:tblLook w:val="0000" w:firstRow="0" w:lastRow="0" w:firstColumn="0" w:lastColumn="0" w:noHBand="0" w:noVBand="0"/>
      </w:tblPr>
      <w:tblGrid>
        <w:gridCol w:w="6179"/>
        <w:gridCol w:w="2372"/>
      </w:tblGrid>
      <w:tr w:rsidR="00647012" w:rsidRPr="000B4788" w14:paraId="62D6BDD3" w14:textId="77777777" w:rsidTr="00EF119D">
        <w:tc>
          <w:tcPr>
            <w:tcW w:w="6345" w:type="dxa"/>
          </w:tcPr>
          <w:p w14:paraId="1D80ED6A" w14:textId="0193D50D" w:rsidR="00FD3434" w:rsidRPr="000B4788" w:rsidRDefault="00417EAE" w:rsidP="004E2E02">
            <w:pPr>
              <w:spacing w:line="240" w:lineRule="auto"/>
              <w:jc w:val="left"/>
              <w:rPr>
                <w:rFonts w:cs="Arial"/>
                <w:b/>
                <w:bCs/>
                <w:szCs w:val="22"/>
              </w:rPr>
            </w:pPr>
            <w:r>
              <w:rPr>
                <w:rFonts w:cs="Arial"/>
                <w:b/>
                <w:bCs/>
                <w:szCs w:val="22"/>
              </w:rPr>
              <w:t>WINGS TRAVEL MANAGEMENT (PTY) LTD</w:t>
            </w:r>
          </w:p>
        </w:tc>
        <w:tc>
          <w:tcPr>
            <w:tcW w:w="2410" w:type="dxa"/>
          </w:tcPr>
          <w:p w14:paraId="7620C948" w14:textId="3E9E9502" w:rsidR="00FD3434" w:rsidRPr="000B4788" w:rsidRDefault="00417EAE" w:rsidP="00F9123D">
            <w:pPr>
              <w:spacing w:line="240" w:lineRule="auto"/>
              <w:jc w:val="right"/>
              <w:rPr>
                <w:rFonts w:cs="Arial"/>
                <w:szCs w:val="22"/>
              </w:rPr>
            </w:pPr>
            <w:r>
              <w:rPr>
                <w:rFonts w:cs="Arial"/>
                <w:szCs w:val="22"/>
              </w:rPr>
              <w:t>Applicant</w:t>
            </w:r>
          </w:p>
        </w:tc>
      </w:tr>
      <w:tr w:rsidR="00647012" w:rsidRPr="000B4788" w14:paraId="7DC2C509" w14:textId="77777777" w:rsidTr="00EF119D">
        <w:tc>
          <w:tcPr>
            <w:tcW w:w="6345" w:type="dxa"/>
          </w:tcPr>
          <w:p w14:paraId="4C1C2BF6" w14:textId="77777777" w:rsidR="00647012" w:rsidRPr="000B4788" w:rsidRDefault="00647012" w:rsidP="000F05C4">
            <w:pPr>
              <w:spacing w:line="240" w:lineRule="auto"/>
              <w:jc w:val="left"/>
              <w:rPr>
                <w:szCs w:val="22"/>
              </w:rPr>
            </w:pPr>
          </w:p>
          <w:p w14:paraId="05BFF3FB" w14:textId="77777777" w:rsidR="00647012" w:rsidRPr="000B4788" w:rsidRDefault="00647012" w:rsidP="00F9123D">
            <w:pPr>
              <w:spacing w:line="240" w:lineRule="auto"/>
              <w:jc w:val="left"/>
              <w:rPr>
                <w:szCs w:val="22"/>
              </w:rPr>
            </w:pPr>
          </w:p>
        </w:tc>
        <w:tc>
          <w:tcPr>
            <w:tcW w:w="2410" w:type="dxa"/>
          </w:tcPr>
          <w:p w14:paraId="2FFFA752" w14:textId="77777777" w:rsidR="00647012" w:rsidRPr="000B4788" w:rsidRDefault="00647012" w:rsidP="00F9123D">
            <w:pPr>
              <w:spacing w:line="240" w:lineRule="auto"/>
              <w:jc w:val="right"/>
              <w:rPr>
                <w:rFonts w:cs="Arial"/>
                <w:szCs w:val="22"/>
              </w:rPr>
            </w:pPr>
          </w:p>
        </w:tc>
      </w:tr>
      <w:tr w:rsidR="00647012" w:rsidRPr="000B4788" w14:paraId="12B7EC8E" w14:textId="77777777" w:rsidTr="00EF119D">
        <w:tc>
          <w:tcPr>
            <w:tcW w:w="6345" w:type="dxa"/>
          </w:tcPr>
          <w:p w14:paraId="47849FCA" w14:textId="6FCF5082" w:rsidR="00647012" w:rsidRPr="000B4788" w:rsidRDefault="00647012" w:rsidP="00F9123D">
            <w:pPr>
              <w:spacing w:line="240" w:lineRule="auto"/>
              <w:jc w:val="left"/>
              <w:rPr>
                <w:szCs w:val="22"/>
              </w:rPr>
            </w:pPr>
            <w:r w:rsidRPr="000B4788">
              <w:rPr>
                <w:szCs w:val="22"/>
              </w:rPr>
              <w:t xml:space="preserve">and  </w:t>
            </w:r>
          </w:p>
        </w:tc>
        <w:tc>
          <w:tcPr>
            <w:tcW w:w="2410" w:type="dxa"/>
          </w:tcPr>
          <w:p w14:paraId="45F2E7EB" w14:textId="77777777" w:rsidR="00647012" w:rsidRPr="000B4788" w:rsidRDefault="00647012" w:rsidP="00F9123D">
            <w:pPr>
              <w:spacing w:line="240" w:lineRule="auto"/>
              <w:jc w:val="right"/>
              <w:rPr>
                <w:rFonts w:cs="Arial"/>
                <w:szCs w:val="22"/>
              </w:rPr>
            </w:pPr>
          </w:p>
        </w:tc>
      </w:tr>
      <w:tr w:rsidR="00647012" w:rsidRPr="000B4788" w14:paraId="2803DE47" w14:textId="77777777" w:rsidTr="00EF119D">
        <w:tc>
          <w:tcPr>
            <w:tcW w:w="6345" w:type="dxa"/>
          </w:tcPr>
          <w:p w14:paraId="7F508AC0" w14:textId="77777777" w:rsidR="00647012" w:rsidRPr="000B4788" w:rsidRDefault="00647012" w:rsidP="000F05C4">
            <w:pPr>
              <w:spacing w:line="240" w:lineRule="auto"/>
              <w:jc w:val="left"/>
              <w:rPr>
                <w:szCs w:val="22"/>
              </w:rPr>
            </w:pPr>
          </w:p>
          <w:p w14:paraId="34FAB052" w14:textId="77777777" w:rsidR="00647012" w:rsidRPr="000B4788" w:rsidRDefault="00647012" w:rsidP="00F9123D">
            <w:pPr>
              <w:spacing w:line="240" w:lineRule="auto"/>
              <w:jc w:val="left"/>
              <w:rPr>
                <w:szCs w:val="22"/>
              </w:rPr>
            </w:pPr>
          </w:p>
        </w:tc>
        <w:tc>
          <w:tcPr>
            <w:tcW w:w="2410" w:type="dxa"/>
          </w:tcPr>
          <w:p w14:paraId="104AFE20" w14:textId="77777777" w:rsidR="00647012" w:rsidRPr="000B4788" w:rsidRDefault="00647012" w:rsidP="00F9123D">
            <w:pPr>
              <w:spacing w:line="240" w:lineRule="auto"/>
              <w:jc w:val="right"/>
              <w:rPr>
                <w:rFonts w:cs="Arial"/>
                <w:szCs w:val="22"/>
              </w:rPr>
            </w:pPr>
          </w:p>
        </w:tc>
      </w:tr>
      <w:tr w:rsidR="00647012" w:rsidRPr="000B4788" w14:paraId="10D3A93E" w14:textId="77777777" w:rsidTr="00EF119D">
        <w:tc>
          <w:tcPr>
            <w:tcW w:w="6345" w:type="dxa"/>
          </w:tcPr>
          <w:p w14:paraId="37731CAA" w14:textId="7952132D" w:rsidR="004E2E02" w:rsidRPr="004E2E02" w:rsidRDefault="00417EAE" w:rsidP="00EC71A5">
            <w:pPr>
              <w:spacing w:line="240" w:lineRule="auto"/>
              <w:jc w:val="left"/>
              <w:rPr>
                <w:szCs w:val="22"/>
              </w:rPr>
            </w:pPr>
            <w:r>
              <w:rPr>
                <w:b/>
                <w:szCs w:val="22"/>
              </w:rPr>
              <w:t>EGON ZEHNDER INTERNATIONAL SA (PTY) LTD</w:t>
            </w:r>
          </w:p>
        </w:tc>
        <w:tc>
          <w:tcPr>
            <w:tcW w:w="2410" w:type="dxa"/>
          </w:tcPr>
          <w:p w14:paraId="561F7B8D" w14:textId="2701E4CF" w:rsidR="00647012" w:rsidRPr="000B4788" w:rsidRDefault="00417EAE" w:rsidP="00F9123D">
            <w:pPr>
              <w:spacing w:line="240" w:lineRule="auto"/>
              <w:jc w:val="right"/>
              <w:rPr>
                <w:rFonts w:cs="Arial"/>
                <w:szCs w:val="22"/>
              </w:rPr>
            </w:pPr>
            <w:r>
              <w:rPr>
                <w:rFonts w:cs="Arial"/>
                <w:szCs w:val="22"/>
              </w:rPr>
              <w:t>Respondent</w:t>
            </w:r>
          </w:p>
        </w:tc>
      </w:tr>
    </w:tbl>
    <w:p w14:paraId="6A749019" w14:textId="7045138F" w:rsidR="00647012" w:rsidRPr="000B4788" w:rsidRDefault="00647012" w:rsidP="00647012">
      <w:pPr>
        <w:rPr>
          <w:rFonts w:cs="Arial"/>
          <w:szCs w:val="22"/>
        </w:rPr>
      </w:pPr>
    </w:p>
    <w:p w14:paraId="754B994D" w14:textId="77777777" w:rsidR="00E519F2" w:rsidRPr="000B4788" w:rsidRDefault="00E519F2" w:rsidP="00E519F2">
      <w:pPr>
        <w:pBdr>
          <w:bottom w:val="single" w:sz="4" w:space="1" w:color="auto"/>
        </w:pBdr>
        <w:rPr>
          <w:rFonts w:cs="Arial"/>
          <w:szCs w:val="22"/>
        </w:rPr>
      </w:pPr>
    </w:p>
    <w:p w14:paraId="14C90506" w14:textId="77777777" w:rsidR="00E519F2" w:rsidRPr="000B4788" w:rsidRDefault="00E519F2" w:rsidP="00E519F2">
      <w:pPr>
        <w:spacing w:line="276" w:lineRule="auto"/>
        <w:rPr>
          <w:rFonts w:cs="Arial"/>
          <w:szCs w:val="22"/>
        </w:rPr>
      </w:pPr>
    </w:p>
    <w:p w14:paraId="7ED266E8" w14:textId="4AFCE1B1" w:rsidR="00E519F2" w:rsidRPr="000B4788" w:rsidRDefault="005816B3" w:rsidP="00E519F2">
      <w:pPr>
        <w:pStyle w:val="Heading2"/>
        <w:spacing w:line="276" w:lineRule="auto"/>
        <w:rPr>
          <w:szCs w:val="22"/>
        </w:rPr>
      </w:pPr>
      <w:r>
        <w:rPr>
          <w:szCs w:val="22"/>
        </w:rPr>
        <w:t>JUDGMENT</w:t>
      </w:r>
    </w:p>
    <w:p w14:paraId="68C2C72B" w14:textId="77777777" w:rsidR="00E519F2" w:rsidRPr="000B4788" w:rsidRDefault="00E519F2" w:rsidP="00E519F2">
      <w:pPr>
        <w:pBdr>
          <w:bottom w:val="single" w:sz="4" w:space="1" w:color="auto"/>
        </w:pBdr>
        <w:spacing w:line="240" w:lineRule="auto"/>
        <w:rPr>
          <w:rFonts w:cs="Arial"/>
          <w:szCs w:val="22"/>
        </w:rPr>
      </w:pPr>
    </w:p>
    <w:p w14:paraId="135FA440" w14:textId="77777777" w:rsidR="00E519F2" w:rsidRPr="000B4788" w:rsidRDefault="00E519F2" w:rsidP="00E519F2">
      <w:pPr>
        <w:spacing w:after="480" w:line="480" w:lineRule="auto"/>
        <w:rPr>
          <w:rFonts w:cs="Arial"/>
          <w:szCs w:val="22"/>
        </w:rPr>
      </w:pPr>
    </w:p>
    <w:p w14:paraId="430F56CE" w14:textId="110EEB04" w:rsidR="00E70877" w:rsidRPr="000B4788" w:rsidRDefault="00E519F2" w:rsidP="00E519F2">
      <w:pPr>
        <w:spacing w:after="480" w:line="480" w:lineRule="auto"/>
        <w:rPr>
          <w:rFonts w:cs="Arial"/>
          <w:b/>
          <w:szCs w:val="22"/>
        </w:rPr>
      </w:pPr>
      <w:r w:rsidRPr="000B4788">
        <w:rPr>
          <w:rFonts w:cs="Arial"/>
          <w:b/>
          <w:szCs w:val="22"/>
        </w:rPr>
        <w:t>CRUTCHFIELD J:</w:t>
      </w:r>
    </w:p>
    <w:p w14:paraId="2495144B" w14:textId="51E3D9DD" w:rsidR="00535790" w:rsidRPr="008D0115" w:rsidRDefault="008D0115" w:rsidP="008D0115">
      <w:pPr>
        <w:tabs>
          <w:tab w:val="left" w:pos="567"/>
        </w:tabs>
        <w:spacing w:after="480" w:line="480" w:lineRule="auto"/>
        <w:rPr>
          <w:rFonts w:cs="Arial"/>
          <w:bCs/>
          <w:szCs w:val="22"/>
        </w:rPr>
      </w:pPr>
      <w:r>
        <w:rPr>
          <w:rFonts w:cs="Arial"/>
          <w:bCs/>
          <w:szCs w:val="22"/>
        </w:rPr>
        <w:t>[1]</w:t>
      </w:r>
      <w:r>
        <w:rPr>
          <w:rFonts w:cs="Arial"/>
          <w:bCs/>
          <w:szCs w:val="22"/>
        </w:rPr>
        <w:tab/>
      </w:r>
      <w:r w:rsidR="00535790" w:rsidRPr="008D0115">
        <w:rPr>
          <w:rFonts w:cs="Arial"/>
          <w:bCs/>
          <w:szCs w:val="22"/>
        </w:rPr>
        <w:t>This application concerns the interpretation of one clause in an agreement concluded between the applicant, Wings Travel Management (Pty) Ltd, and the respondent, Egon Zehnder International SA (Pty) Ltd (</w:t>
      </w:r>
      <w:r w:rsidR="00A16066" w:rsidRPr="008D0115">
        <w:rPr>
          <w:rFonts w:cs="Arial"/>
          <w:bCs/>
          <w:szCs w:val="22"/>
        </w:rPr>
        <w:t xml:space="preserve">‘the </w:t>
      </w:r>
      <w:r w:rsidR="00535790" w:rsidRPr="008D0115">
        <w:rPr>
          <w:rFonts w:cs="Arial"/>
          <w:bCs/>
          <w:szCs w:val="22"/>
        </w:rPr>
        <w:t>agreement’).</w:t>
      </w:r>
    </w:p>
    <w:p w14:paraId="7790F00B" w14:textId="2C6E4D25" w:rsidR="00A564B1" w:rsidRPr="008D0115" w:rsidRDefault="008D0115" w:rsidP="008D0115">
      <w:pPr>
        <w:tabs>
          <w:tab w:val="left" w:pos="567"/>
        </w:tabs>
        <w:spacing w:after="480" w:line="480" w:lineRule="auto"/>
        <w:rPr>
          <w:rFonts w:cs="Arial"/>
          <w:bCs/>
          <w:szCs w:val="22"/>
        </w:rPr>
      </w:pPr>
      <w:r>
        <w:rPr>
          <w:rFonts w:cs="Arial"/>
          <w:bCs/>
          <w:szCs w:val="22"/>
        </w:rPr>
        <w:lastRenderedPageBreak/>
        <w:t>[2]</w:t>
      </w:r>
      <w:r>
        <w:rPr>
          <w:rFonts w:cs="Arial"/>
          <w:bCs/>
          <w:szCs w:val="22"/>
        </w:rPr>
        <w:tab/>
      </w:r>
      <w:r w:rsidR="0011218E" w:rsidRPr="008D0115">
        <w:rPr>
          <w:rFonts w:cs="Arial"/>
          <w:bCs/>
          <w:szCs w:val="22"/>
        </w:rPr>
        <w:t>The issue</w:t>
      </w:r>
      <w:r w:rsidR="00082BBC" w:rsidRPr="008D0115">
        <w:rPr>
          <w:rFonts w:cs="Arial"/>
          <w:bCs/>
          <w:szCs w:val="22"/>
        </w:rPr>
        <w:t xml:space="preserve"> </w:t>
      </w:r>
      <w:r w:rsidR="00AC63B9" w:rsidRPr="008D0115">
        <w:rPr>
          <w:rFonts w:cs="Arial"/>
          <w:bCs/>
          <w:szCs w:val="22"/>
        </w:rPr>
        <w:t xml:space="preserve">for determination </w:t>
      </w:r>
      <w:r w:rsidR="00082BBC" w:rsidRPr="008D0115">
        <w:rPr>
          <w:rFonts w:cs="Arial"/>
          <w:bCs/>
          <w:szCs w:val="22"/>
        </w:rPr>
        <w:t>i</w:t>
      </w:r>
      <w:r w:rsidR="00BB17E3" w:rsidRPr="008D0115">
        <w:rPr>
          <w:rFonts w:cs="Arial"/>
          <w:bCs/>
          <w:szCs w:val="22"/>
        </w:rPr>
        <w:t>s whether</w:t>
      </w:r>
      <w:r w:rsidR="00851F6F" w:rsidRPr="008D0115">
        <w:rPr>
          <w:rFonts w:cs="Arial"/>
          <w:bCs/>
          <w:szCs w:val="22"/>
        </w:rPr>
        <w:t xml:space="preserve"> the relevant clause</w:t>
      </w:r>
      <w:r w:rsidR="005D5CF6" w:rsidRPr="008D0115">
        <w:rPr>
          <w:rFonts w:cs="Arial"/>
          <w:bCs/>
          <w:szCs w:val="22"/>
        </w:rPr>
        <w:t xml:space="preserve"> </w:t>
      </w:r>
      <w:r w:rsidR="00AC63B9" w:rsidRPr="008D0115">
        <w:rPr>
          <w:rFonts w:cs="Arial"/>
          <w:bCs/>
          <w:szCs w:val="22"/>
        </w:rPr>
        <w:t xml:space="preserve">in the agreement (‘the </w:t>
      </w:r>
      <w:r w:rsidR="00851F6F" w:rsidRPr="008D0115">
        <w:rPr>
          <w:rFonts w:cs="Arial"/>
          <w:bCs/>
          <w:szCs w:val="22"/>
        </w:rPr>
        <w:t xml:space="preserve">clause’), </w:t>
      </w:r>
      <w:r w:rsidR="005D5CF6" w:rsidRPr="008D0115">
        <w:rPr>
          <w:rFonts w:cs="Arial"/>
          <w:bCs/>
          <w:szCs w:val="22"/>
        </w:rPr>
        <w:t xml:space="preserve">obliged the respondent </w:t>
      </w:r>
      <w:r w:rsidR="00BB17E3" w:rsidRPr="008D0115">
        <w:rPr>
          <w:rFonts w:cs="Arial"/>
          <w:bCs/>
          <w:szCs w:val="22"/>
        </w:rPr>
        <w:t>to replace the candidate</w:t>
      </w:r>
      <w:r w:rsidR="005D5CF6" w:rsidRPr="008D0115">
        <w:rPr>
          <w:rFonts w:cs="Arial"/>
          <w:bCs/>
          <w:szCs w:val="22"/>
        </w:rPr>
        <w:t xml:space="preserve"> the respondent</w:t>
      </w:r>
      <w:r w:rsidR="00BB17E3" w:rsidRPr="008D0115">
        <w:rPr>
          <w:rFonts w:cs="Arial"/>
          <w:bCs/>
          <w:szCs w:val="22"/>
        </w:rPr>
        <w:t xml:space="preserve"> recommended for employment with the </w:t>
      </w:r>
      <w:r w:rsidR="005D5CF6" w:rsidRPr="008D0115">
        <w:rPr>
          <w:rFonts w:cs="Arial"/>
          <w:bCs/>
          <w:szCs w:val="22"/>
        </w:rPr>
        <w:t xml:space="preserve">applicant. </w:t>
      </w:r>
      <w:r w:rsidR="00BA458A" w:rsidRPr="008D0115">
        <w:rPr>
          <w:rFonts w:cs="Arial"/>
          <w:bCs/>
          <w:szCs w:val="22"/>
        </w:rPr>
        <w:t xml:space="preserve">The </w:t>
      </w:r>
      <w:r w:rsidR="00851F6F" w:rsidRPr="008D0115">
        <w:rPr>
          <w:rFonts w:cs="Arial"/>
          <w:bCs/>
          <w:szCs w:val="22"/>
        </w:rPr>
        <w:t xml:space="preserve">latter, the applicant, </w:t>
      </w:r>
      <w:r w:rsidR="00BA458A" w:rsidRPr="008D0115">
        <w:rPr>
          <w:rFonts w:cs="Arial"/>
          <w:bCs/>
          <w:szCs w:val="22"/>
        </w:rPr>
        <w:t>contended that the</w:t>
      </w:r>
      <w:r w:rsidR="00082BBC" w:rsidRPr="008D0115">
        <w:rPr>
          <w:rFonts w:cs="Arial"/>
          <w:bCs/>
          <w:szCs w:val="22"/>
        </w:rPr>
        <w:t xml:space="preserve"> clause </w:t>
      </w:r>
      <w:r w:rsidR="00AC63B9" w:rsidRPr="008D0115">
        <w:rPr>
          <w:rFonts w:cs="Arial"/>
          <w:bCs/>
          <w:szCs w:val="22"/>
        </w:rPr>
        <w:t>did so oblige</w:t>
      </w:r>
      <w:r w:rsidR="00082BBC" w:rsidRPr="008D0115">
        <w:rPr>
          <w:rFonts w:cs="Arial"/>
          <w:bCs/>
          <w:szCs w:val="22"/>
        </w:rPr>
        <w:t xml:space="preserve"> the</w:t>
      </w:r>
      <w:r w:rsidR="00BA458A" w:rsidRPr="008D0115">
        <w:rPr>
          <w:rFonts w:cs="Arial"/>
          <w:bCs/>
          <w:szCs w:val="22"/>
        </w:rPr>
        <w:t xml:space="preserve"> respondent and that the respondent’s refusal to </w:t>
      </w:r>
      <w:r w:rsidR="00082BBC" w:rsidRPr="008D0115">
        <w:rPr>
          <w:rFonts w:cs="Arial"/>
          <w:bCs/>
          <w:szCs w:val="22"/>
        </w:rPr>
        <w:t>comply</w:t>
      </w:r>
      <w:r w:rsidR="00BA458A" w:rsidRPr="008D0115">
        <w:rPr>
          <w:rFonts w:cs="Arial"/>
          <w:bCs/>
          <w:szCs w:val="22"/>
        </w:rPr>
        <w:t xml:space="preserve"> constituted a repudiation of the agreement.   </w:t>
      </w:r>
    </w:p>
    <w:p w14:paraId="33C227D2" w14:textId="5BB986A7" w:rsidR="00F12D7E" w:rsidRPr="008D0115" w:rsidRDefault="008D0115" w:rsidP="008D0115">
      <w:pPr>
        <w:tabs>
          <w:tab w:val="left" w:pos="567"/>
        </w:tabs>
        <w:spacing w:after="480" w:line="480" w:lineRule="auto"/>
        <w:rPr>
          <w:rFonts w:cs="Arial"/>
          <w:bCs/>
          <w:szCs w:val="22"/>
        </w:rPr>
      </w:pPr>
      <w:r w:rsidRPr="00A564B1">
        <w:rPr>
          <w:rFonts w:cs="Arial"/>
          <w:bCs/>
          <w:szCs w:val="22"/>
        </w:rPr>
        <w:t>[3]</w:t>
      </w:r>
      <w:r w:rsidRPr="00A564B1">
        <w:rPr>
          <w:rFonts w:cs="Arial"/>
          <w:bCs/>
          <w:szCs w:val="22"/>
        </w:rPr>
        <w:tab/>
      </w:r>
      <w:r w:rsidR="00BA458A" w:rsidRPr="008D0115">
        <w:rPr>
          <w:rFonts w:cs="Arial"/>
          <w:bCs/>
          <w:szCs w:val="22"/>
        </w:rPr>
        <w:t xml:space="preserve">As a </w:t>
      </w:r>
      <w:r w:rsidR="00C05EB7" w:rsidRPr="008D0115">
        <w:rPr>
          <w:rFonts w:cs="Arial"/>
          <w:bCs/>
          <w:szCs w:val="22"/>
        </w:rPr>
        <w:t>result</w:t>
      </w:r>
      <w:r w:rsidR="00A564B1" w:rsidRPr="008D0115">
        <w:rPr>
          <w:rFonts w:cs="Arial"/>
          <w:bCs/>
          <w:szCs w:val="22"/>
        </w:rPr>
        <w:t xml:space="preserve"> of the respondent’s alleged repudiation</w:t>
      </w:r>
      <w:r w:rsidR="00C05EB7" w:rsidRPr="008D0115">
        <w:rPr>
          <w:rFonts w:cs="Arial"/>
          <w:bCs/>
          <w:szCs w:val="22"/>
        </w:rPr>
        <w:t xml:space="preserve">, the applicant </w:t>
      </w:r>
      <w:r w:rsidR="00A564B1" w:rsidRPr="008D0115">
        <w:rPr>
          <w:rFonts w:cs="Arial"/>
          <w:bCs/>
          <w:szCs w:val="22"/>
        </w:rPr>
        <w:t>cancelled</w:t>
      </w:r>
      <w:r w:rsidR="00BA458A" w:rsidRPr="008D0115">
        <w:rPr>
          <w:rFonts w:cs="Arial"/>
          <w:bCs/>
          <w:szCs w:val="22"/>
        </w:rPr>
        <w:t xml:space="preserve"> the agreement and sought restitution of its</w:t>
      </w:r>
      <w:r w:rsidR="00082BBC" w:rsidRPr="008D0115">
        <w:rPr>
          <w:rFonts w:cs="Arial"/>
          <w:bCs/>
          <w:szCs w:val="22"/>
        </w:rPr>
        <w:t xml:space="preserve"> </w:t>
      </w:r>
      <w:r w:rsidR="00851F6F" w:rsidRPr="008D0115">
        <w:rPr>
          <w:rFonts w:cs="Arial"/>
          <w:bCs/>
          <w:szCs w:val="22"/>
        </w:rPr>
        <w:t>performance under the agreement</w:t>
      </w:r>
      <w:r w:rsidR="00A564B1" w:rsidRPr="008D0115">
        <w:rPr>
          <w:rFonts w:cs="Arial"/>
          <w:bCs/>
          <w:szCs w:val="22"/>
        </w:rPr>
        <w:t xml:space="preserve"> at that stage, being the applicant’</w:t>
      </w:r>
      <w:r w:rsidR="00851F6F" w:rsidRPr="008D0115">
        <w:rPr>
          <w:rFonts w:cs="Arial"/>
          <w:bCs/>
          <w:szCs w:val="22"/>
        </w:rPr>
        <w:t>s</w:t>
      </w:r>
      <w:r w:rsidR="00082BBC" w:rsidRPr="008D0115">
        <w:rPr>
          <w:rFonts w:cs="Arial"/>
          <w:bCs/>
          <w:szCs w:val="22"/>
        </w:rPr>
        <w:t xml:space="preserve"> </w:t>
      </w:r>
      <w:r w:rsidR="00D31DC7" w:rsidRPr="008D0115">
        <w:rPr>
          <w:rFonts w:cs="Arial"/>
          <w:bCs/>
          <w:szCs w:val="22"/>
        </w:rPr>
        <w:t>claim</w:t>
      </w:r>
      <w:r w:rsidR="00851F6F" w:rsidRPr="008D0115">
        <w:rPr>
          <w:rFonts w:cs="Arial"/>
          <w:bCs/>
          <w:szCs w:val="22"/>
        </w:rPr>
        <w:t xml:space="preserve">s for </w:t>
      </w:r>
      <w:r w:rsidR="0090739A" w:rsidRPr="008D0115">
        <w:rPr>
          <w:rFonts w:cs="Arial"/>
          <w:bCs/>
          <w:szCs w:val="22"/>
        </w:rPr>
        <w:t xml:space="preserve">payment </w:t>
      </w:r>
      <w:r w:rsidR="00F12D7E" w:rsidRPr="008D0115">
        <w:rPr>
          <w:rFonts w:cs="Arial"/>
          <w:bCs/>
          <w:szCs w:val="22"/>
        </w:rPr>
        <w:t>of R1 150 000.00 (one million one hundred and fifty thousand rand), interest</w:t>
      </w:r>
      <w:r w:rsidR="00A564B1" w:rsidRPr="008D0115">
        <w:rPr>
          <w:rFonts w:cs="Arial"/>
          <w:bCs/>
          <w:szCs w:val="22"/>
        </w:rPr>
        <w:t xml:space="preserve"> </w:t>
      </w:r>
      <w:r w:rsidR="00F12D7E" w:rsidRPr="008D0115">
        <w:rPr>
          <w:rFonts w:cs="Arial"/>
          <w:bCs/>
          <w:szCs w:val="22"/>
        </w:rPr>
        <w:t>and costs of the application.</w:t>
      </w:r>
    </w:p>
    <w:p w14:paraId="3A7E811A" w14:textId="215D0FC2" w:rsidR="00F12D7E" w:rsidRPr="008D0115" w:rsidRDefault="008D0115" w:rsidP="008D0115">
      <w:pPr>
        <w:tabs>
          <w:tab w:val="left" w:pos="567"/>
        </w:tabs>
        <w:spacing w:after="480" w:line="480" w:lineRule="auto"/>
        <w:rPr>
          <w:rFonts w:cs="Arial"/>
          <w:bCs/>
          <w:szCs w:val="22"/>
        </w:rPr>
      </w:pPr>
      <w:r>
        <w:rPr>
          <w:rFonts w:cs="Arial"/>
          <w:bCs/>
          <w:szCs w:val="22"/>
        </w:rPr>
        <w:t>[4]</w:t>
      </w:r>
      <w:r>
        <w:rPr>
          <w:rFonts w:cs="Arial"/>
          <w:bCs/>
          <w:szCs w:val="22"/>
        </w:rPr>
        <w:tab/>
      </w:r>
      <w:r w:rsidR="00A564B1" w:rsidRPr="008D0115">
        <w:rPr>
          <w:rFonts w:cs="Arial"/>
          <w:bCs/>
          <w:szCs w:val="22"/>
        </w:rPr>
        <w:t>The respondent opposed this</w:t>
      </w:r>
      <w:r w:rsidR="00F12D7E" w:rsidRPr="008D0115">
        <w:rPr>
          <w:rFonts w:cs="Arial"/>
          <w:bCs/>
          <w:szCs w:val="22"/>
        </w:rPr>
        <w:t xml:space="preserve"> application.  </w:t>
      </w:r>
    </w:p>
    <w:p w14:paraId="113A3C6E" w14:textId="41289A22" w:rsidR="00082BBC" w:rsidRPr="008D0115" w:rsidRDefault="008D0115" w:rsidP="008D0115">
      <w:pPr>
        <w:tabs>
          <w:tab w:val="left" w:pos="567"/>
        </w:tabs>
        <w:spacing w:after="480" w:line="480" w:lineRule="auto"/>
        <w:rPr>
          <w:rFonts w:cs="Arial"/>
          <w:bCs/>
          <w:szCs w:val="22"/>
        </w:rPr>
      </w:pPr>
      <w:r w:rsidRPr="00FD261D">
        <w:rPr>
          <w:rFonts w:cs="Arial"/>
          <w:bCs/>
          <w:szCs w:val="22"/>
        </w:rPr>
        <w:t>[5]</w:t>
      </w:r>
      <w:r w:rsidRPr="00FD261D">
        <w:rPr>
          <w:rFonts w:cs="Arial"/>
          <w:bCs/>
          <w:szCs w:val="22"/>
        </w:rPr>
        <w:tab/>
      </w:r>
      <w:r w:rsidR="00082BBC" w:rsidRPr="008D0115">
        <w:rPr>
          <w:rFonts w:cs="Arial"/>
          <w:bCs/>
          <w:szCs w:val="22"/>
        </w:rPr>
        <w:t>The respondent denied that the clause obliged it to replace the recommended candidate and alleged that it had performed fully under the agreement. In addition, the respondent contended that restitution</w:t>
      </w:r>
      <w:r w:rsidR="00926C8B" w:rsidRPr="008D0115">
        <w:rPr>
          <w:rFonts w:cs="Arial"/>
          <w:bCs/>
          <w:szCs w:val="22"/>
        </w:rPr>
        <w:t>, claimed by the applicant,</w:t>
      </w:r>
      <w:r w:rsidR="00082BBC" w:rsidRPr="008D0115">
        <w:rPr>
          <w:rFonts w:cs="Arial"/>
          <w:bCs/>
          <w:szCs w:val="22"/>
        </w:rPr>
        <w:t xml:space="preserve"> was not a</w:t>
      </w:r>
      <w:r w:rsidR="002339FA" w:rsidRPr="008D0115">
        <w:rPr>
          <w:rFonts w:cs="Arial"/>
          <w:bCs/>
          <w:szCs w:val="22"/>
        </w:rPr>
        <w:t xml:space="preserve"> competent form of relief in the circumstances of this matter.  </w:t>
      </w:r>
    </w:p>
    <w:p w14:paraId="651DD617" w14:textId="3302B54E" w:rsidR="00354430" w:rsidRPr="008D0115" w:rsidRDefault="008D0115" w:rsidP="008D0115">
      <w:pPr>
        <w:tabs>
          <w:tab w:val="left" w:pos="567"/>
        </w:tabs>
        <w:spacing w:after="480" w:line="480" w:lineRule="auto"/>
        <w:rPr>
          <w:rFonts w:cs="Arial"/>
          <w:b/>
          <w:bCs/>
          <w:szCs w:val="22"/>
        </w:rPr>
      </w:pPr>
      <w:r w:rsidRPr="00354430">
        <w:rPr>
          <w:rFonts w:cs="Arial"/>
          <w:bCs/>
          <w:szCs w:val="22"/>
        </w:rPr>
        <w:t>[6]</w:t>
      </w:r>
      <w:r w:rsidRPr="00354430">
        <w:rPr>
          <w:rFonts w:cs="Arial"/>
          <w:bCs/>
          <w:szCs w:val="22"/>
        </w:rPr>
        <w:tab/>
      </w:r>
      <w:r w:rsidR="00417EAE" w:rsidRPr="008D0115">
        <w:rPr>
          <w:rFonts w:cs="Arial"/>
          <w:bCs/>
          <w:szCs w:val="22"/>
        </w:rPr>
        <w:t>The</w:t>
      </w:r>
      <w:r w:rsidR="00C55716" w:rsidRPr="008D0115">
        <w:rPr>
          <w:rFonts w:cs="Arial"/>
          <w:bCs/>
          <w:szCs w:val="22"/>
        </w:rPr>
        <w:t xml:space="preserve"> facts relevant to</w:t>
      </w:r>
      <w:r w:rsidR="00BB06DA" w:rsidRPr="008D0115">
        <w:rPr>
          <w:rFonts w:cs="Arial"/>
          <w:bCs/>
          <w:szCs w:val="22"/>
        </w:rPr>
        <w:t xml:space="preserve"> the main application</w:t>
      </w:r>
      <w:r w:rsidR="006241FD" w:rsidRPr="008D0115">
        <w:rPr>
          <w:rFonts w:cs="Arial"/>
          <w:bCs/>
          <w:szCs w:val="22"/>
        </w:rPr>
        <w:t xml:space="preserve"> were</w:t>
      </w:r>
      <w:r w:rsidR="00C55716" w:rsidRPr="008D0115">
        <w:rPr>
          <w:rFonts w:cs="Arial"/>
          <w:bCs/>
          <w:szCs w:val="22"/>
        </w:rPr>
        <w:t xml:space="preserve"> </w:t>
      </w:r>
      <w:r w:rsidR="006241FD" w:rsidRPr="008D0115">
        <w:rPr>
          <w:rFonts w:cs="Arial"/>
          <w:bCs/>
          <w:szCs w:val="22"/>
        </w:rPr>
        <w:t xml:space="preserve">largely </w:t>
      </w:r>
      <w:r w:rsidR="00C55716" w:rsidRPr="008D0115">
        <w:rPr>
          <w:rFonts w:cs="Arial"/>
          <w:bCs/>
          <w:szCs w:val="22"/>
        </w:rPr>
        <w:t xml:space="preserve">common cause between the </w:t>
      </w:r>
      <w:r w:rsidR="00417EAE" w:rsidRPr="008D0115">
        <w:rPr>
          <w:rFonts w:cs="Arial"/>
          <w:bCs/>
          <w:szCs w:val="22"/>
        </w:rPr>
        <w:t>parties</w:t>
      </w:r>
      <w:r w:rsidR="00C55716" w:rsidRPr="008D0115">
        <w:rPr>
          <w:rFonts w:cs="Arial"/>
          <w:bCs/>
          <w:szCs w:val="22"/>
        </w:rPr>
        <w:t xml:space="preserve">. </w:t>
      </w:r>
    </w:p>
    <w:p w14:paraId="27DECAB1" w14:textId="08D2CCA9" w:rsidR="00E754D9" w:rsidRPr="008D0115" w:rsidRDefault="008D0115" w:rsidP="008D0115">
      <w:pPr>
        <w:tabs>
          <w:tab w:val="left" w:pos="567"/>
        </w:tabs>
        <w:spacing w:after="480" w:line="480" w:lineRule="auto"/>
        <w:rPr>
          <w:rFonts w:cs="Arial"/>
          <w:bCs/>
          <w:szCs w:val="22"/>
        </w:rPr>
      </w:pPr>
      <w:r>
        <w:rPr>
          <w:rFonts w:cs="Arial"/>
          <w:bCs/>
          <w:szCs w:val="22"/>
        </w:rPr>
        <w:t>[7]</w:t>
      </w:r>
      <w:r>
        <w:rPr>
          <w:rFonts w:cs="Arial"/>
          <w:bCs/>
          <w:szCs w:val="22"/>
        </w:rPr>
        <w:tab/>
      </w:r>
      <w:r w:rsidR="00BB06DA" w:rsidRPr="008D0115">
        <w:rPr>
          <w:rFonts w:cs="Arial"/>
          <w:bCs/>
          <w:szCs w:val="22"/>
        </w:rPr>
        <w:t>The applicant mandate</w:t>
      </w:r>
      <w:r w:rsidR="00354430" w:rsidRPr="008D0115">
        <w:rPr>
          <w:rFonts w:cs="Arial"/>
          <w:bCs/>
          <w:szCs w:val="22"/>
        </w:rPr>
        <w:t xml:space="preserve">d </w:t>
      </w:r>
      <w:r w:rsidR="00BB06DA" w:rsidRPr="008D0115">
        <w:rPr>
          <w:rFonts w:cs="Arial"/>
          <w:bCs/>
          <w:szCs w:val="22"/>
        </w:rPr>
        <w:t>the respondent</w:t>
      </w:r>
      <w:r w:rsidR="00417EAE" w:rsidRPr="008D0115">
        <w:rPr>
          <w:rFonts w:cs="Arial"/>
          <w:bCs/>
          <w:szCs w:val="22"/>
        </w:rPr>
        <w:t xml:space="preserve"> </w:t>
      </w:r>
      <w:r w:rsidR="00354430" w:rsidRPr="008D0115">
        <w:rPr>
          <w:rFonts w:cs="Arial"/>
          <w:bCs/>
          <w:szCs w:val="22"/>
        </w:rPr>
        <w:t xml:space="preserve">to </w:t>
      </w:r>
      <w:r w:rsidR="00417EAE" w:rsidRPr="008D0115">
        <w:rPr>
          <w:rFonts w:cs="Arial"/>
          <w:bCs/>
          <w:szCs w:val="22"/>
        </w:rPr>
        <w:t>pro</w:t>
      </w:r>
      <w:r w:rsidR="00354430" w:rsidRPr="008D0115">
        <w:rPr>
          <w:rFonts w:cs="Arial"/>
          <w:bCs/>
          <w:szCs w:val="22"/>
        </w:rPr>
        <w:t>cure a managing d</w:t>
      </w:r>
      <w:r w:rsidR="00BB06DA" w:rsidRPr="008D0115">
        <w:rPr>
          <w:rFonts w:cs="Arial"/>
          <w:bCs/>
          <w:szCs w:val="22"/>
        </w:rPr>
        <w:t>irector for the applicant’s</w:t>
      </w:r>
      <w:r w:rsidR="00417EAE" w:rsidRPr="008D0115">
        <w:rPr>
          <w:rFonts w:cs="Arial"/>
          <w:bCs/>
          <w:szCs w:val="22"/>
        </w:rPr>
        <w:t xml:space="preserve"> operations in South Africa. </w:t>
      </w:r>
      <w:r w:rsidR="00192A71" w:rsidRPr="008D0115">
        <w:rPr>
          <w:rFonts w:cs="Arial"/>
          <w:bCs/>
          <w:szCs w:val="22"/>
        </w:rPr>
        <w:t>The mandate comprised</w:t>
      </w:r>
      <w:r w:rsidR="00417EAE" w:rsidRPr="008D0115">
        <w:rPr>
          <w:rFonts w:cs="Arial"/>
          <w:bCs/>
          <w:szCs w:val="22"/>
        </w:rPr>
        <w:t xml:space="preserve"> a </w:t>
      </w:r>
      <w:r w:rsidR="006241FD" w:rsidRPr="008D0115">
        <w:rPr>
          <w:rFonts w:cs="Arial"/>
          <w:bCs/>
          <w:szCs w:val="22"/>
        </w:rPr>
        <w:t>let</w:t>
      </w:r>
      <w:r w:rsidR="00192A71" w:rsidRPr="008D0115">
        <w:rPr>
          <w:rFonts w:cs="Arial"/>
          <w:bCs/>
          <w:szCs w:val="22"/>
        </w:rPr>
        <w:t xml:space="preserve">ter </w:t>
      </w:r>
      <w:r w:rsidR="00417EAE" w:rsidRPr="008D0115">
        <w:rPr>
          <w:rFonts w:cs="Arial"/>
          <w:bCs/>
          <w:szCs w:val="22"/>
        </w:rPr>
        <w:t>written</w:t>
      </w:r>
      <w:r w:rsidR="00192A71" w:rsidRPr="008D0115">
        <w:rPr>
          <w:rFonts w:cs="Arial"/>
          <w:bCs/>
          <w:szCs w:val="22"/>
        </w:rPr>
        <w:t xml:space="preserve"> and</w:t>
      </w:r>
      <w:r w:rsidR="00417EAE" w:rsidRPr="008D0115">
        <w:rPr>
          <w:rFonts w:cs="Arial"/>
          <w:bCs/>
          <w:szCs w:val="22"/>
        </w:rPr>
        <w:t xml:space="preserve"> sent </w:t>
      </w:r>
      <w:r w:rsidR="00192A71" w:rsidRPr="008D0115">
        <w:rPr>
          <w:rFonts w:cs="Arial"/>
          <w:bCs/>
          <w:szCs w:val="22"/>
        </w:rPr>
        <w:t>on behalf of</w:t>
      </w:r>
      <w:r w:rsidR="00417EAE" w:rsidRPr="008D0115">
        <w:rPr>
          <w:rFonts w:cs="Arial"/>
          <w:bCs/>
          <w:szCs w:val="22"/>
        </w:rPr>
        <w:t xml:space="preserve"> </w:t>
      </w:r>
      <w:r w:rsidR="00192A71" w:rsidRPr="008D0115">
        <w:rPr>
          <w:rFonts w:cs="Arial"/>
          <w:bCs/>
          <w:szCs w:val="22"/>
        </w:rPr>
        <w:t xml:space="preserve">the respondent to the applicant. </w:t>
      </w:r>
      <w:r w:rsidR="00417EAE" w:rsidRPr="008D0115">
        <w:rPr>
          <w:rFonts w:cs="Arial"/>
          <w:bCs/>
          <w:szCs w:val="22"/>
        </w:rPr>
        <w:t xml:space="preserve">The letter contained the terms and conditions of the respondent’s appointment for the purpose of sourcing a suitable </w:t>
      </w:r>
      <w:r w:rsidR="00C05EB7" w:rsidRPr="008D0115">
        <w:rPr>
          <w:rFonts w:cs="Arial"/>
          <w:bCs/>
          <w:szCs w:val="22"/>
        </w:rPr>
        <w:t>candidate for employm</w:t>
      </w:r>
      <w:r w:rsidR="00417EAE" w:rsidRPr="008D0115">
        <w:rPr>
          <w:rFonts w:cs="Arial"/>
          <w:bCs/>
          <w:szCs w:val="22"/>
        </w:rPr>
        <w:t>e</w:t>
      </w:r>
      <w:r w:rsidR="00C05EB7" w:rsidRPr="008D0115">
        <w:rPr>
          <w:rFonts w:cs="Arial"/>
          <w:bCs/>
          <w:szCs w:val="22"/>
        </w:rPr>
        <w:t>nt by</w:t>
      </w:r>
      <w:r w:rsidR="00192A71" w:rsidRPr="008D0115">
        <w:rPr>
          <w:rFonts w:cs="Arial"/>
          <w:bCs/>
          <w:szCs w:val="22"/>
        </w:rPr>
        <w:t xml:space="preserve"> the applicant</w:t>
      </w:r>
      <w:r w:rsidR="00417EAE" w:rsidRPr="008D0115">
        <w:rPr>
          <w:rFonts w:cs="Arial"/>
          <w:bCs/>
          <w:szCs w:val="22"/>
        </w:rPr>
        <w:t xml:space="preserve">. </w:t>
      </w:r>
      <w:r w:rsidR="00192A71" w:rsidRPr="008D0115">
        <w:rPr>
          <w:rFonts w:cs="Arial"/>
          <w:bCs/>
          <w:szCs w:val="22"/>
        </w:rPr>
        <w:t xml:space="preserve"> The</w:t>
      </w:r>
      <w:r w:rsidR="00FD261D" w:rsidRPr="008D0115">
        <w:rPr>
          <w:rFonts w:cs="Arial"/>
          <w:bCs/>
          <w:szCs w:val="22"/>
        </w:rPr>
        <w:t xml:space="preserve"> applicant’s representatives</w:t>
      </w:r>
      <w:r w:rsidR="00192A71" w:rsidRPr="008D0115">
        <w:rPr>
          <w:rFonts w:cs="Arial"/>
          <w:bCs/>
          <w:szCs w:val="22"/>
        </w:rPr>
        <w:t xml:space="preserve"> agreed to and countersigned </w:t>
      </w:r>
      <w:r w:rsidR="00FD261D" w:rsidRPr="008D0115">
        <w:rPr>
          <w:rFonts w:cs="Arial"/>
          <w:bCs/>
          <w:szCs w:val="22"/>
        </w:rPr>
        <w:t>the letter.</w:t>
      </w:r>
      <w:r w:rsidR="00E754D9" w:rsidRPr="008D0115">
        <w:rPr>
          <w:rFonts w:cs="Arial"/>
          <w:bCs/>
          <w:szCs w:val="22"/>
        </w:rPr>
        <w:t xml:space="preserve"> </w:t>
      </w:r>
    </w:p>
    <w:p w14:paraId="5AFEA043" w14:textId="05836B5D" w:rsidR="00E754D9" w:rsidRPr="008D0115" w:rsidRDefault="008D0115" w:rsidP="008D0115">
      <w:pPr>
        <w:tabs>
          <w:tab w:val="left" w:pos="567"/>
        </w:tabs>
        <w:spacing w:after="480" w:line="480" w:lineRule="auto"/>
        <w:rPr>
          <w:rFonts w:cs="Arial"/>
          <w:bCs/>
          <w:szCs w:val="22"/>
        </w:rPr>
      </w:pPr>
      <w:r>
        <w:rPr>
          <w:rFonts w:cs="Arial"/>
          <w:bCs/>
          <w:szCs w:val="22"/>
        </w:rPr>
        <w:lastRenderedPageBreak/>
        <w:t>[8]</w:t>
      </w:r>
      <w:r>
        <w:rPr>
          <w:rFonts w:cs="Arial"/>
          <w:bCs/>
          <w:szCs w:val="22"/>
        </w:rPr>
        <w:tab/>
      </w:r>
      <w:r w:rsidR="00E754D9" w:rsidRPr="008D0115">
        <w:rPr>
          <w:rFonts w:cs="Arial"/>
          <w:bCs/>
          <w:szCs w:val="22"/>
        </w:rPr>
        <w:t>The respondent’s professional fe</w:t>
      </w:r>
      <w:r w:rsidR="006241FD" w:rsidRPr="008D0115">
        <w:rPr>
          <w:rFonts w:cs="Arial"/>
          <w:bCs/>
          <w:szCs w:val="22"/>
        </w:rPr>
        <w:t>e</w:t>
      </w:r>
      <w:r w:rsidR="00FD261D" w:rsidRPr="008D0115">
        <w:rPr>
          <w:rFonts w:cs="Arial"/>
          <w:bCs/>
          <w:szCs w:val="22"/>
        </w:rPr>
        <w:t xml:space="preserve"> </w:t>
      </w:r>
      <w:r w:rsidR="00E754D9" w:rsidRPr="008D0115">
        <w:rPr>
          <w:rFonts w:cs="Arial"/>
          <w:bCs/>
          <w:szCs w:val="22"/>
        </w:rPr>
        <w:t>to source a</w:t>
      </w:r>
      <w:r w:rsidR="00C05EB7" w:rsidRPr="008D0115">
        <w:rPr>
          <w:rFonts w:cs="Arial"/>
          <w:bCs/>
          <w:szCs w:val="22"/>
        </w:rPr>
        <w:t xml:space="preserve"> suitable candidate for the position was</w:t>
      </w:r>
      <w:r w:rsidR="00E754D9" w:rsidRPr="008D0115">
        <w:rPr>
          <w:rFonts w:cs="Arial"/>
          <w:bCs/>
          <w:szCs w:val="22"/>
        </w:rPr>
        <w:t xml:space="preserve"> the sum of R1 250 000.00 (one million two hundred and fifty thousand rand) plus VAT. The</w:t>
      </w:r>
      <w:r w:rsidR="00FD261D" w:rsidRPr="008D0115">
        <w:rPr>
          <w:rFonts w:cs="Arial"/>
          <w:bCs/>
          <w:szCs w:val="22"/>
        </w:rPr>
        <w:t xml:space="preserve"> amount of the fee was </w:t>
      </w:r>
      <w:r w:rsidR="00E754D9" w:rsidRPr="008D0115">
        <w:rPr>
          <w:rFonts w:cs="Arial"/>
          <w:bCs/>
          <w:szCs w:val="22"/>
        </w:rPr>
        <w:t xml:space="preserve">not based on </w:t>
      </w:r>
      <w:r w:rsidR="00FD261D" w:rsidRPr="008D0115">
        <w:rPr>
          <w:rFonts w:cs="Arial"/>
          <w:bCs/>
          <w:szCs w:val="22"/>
        </w:rPr>
        <w:t>or linked to the amount of th</w:t>
      </w:r>
      <w:r w:rsidR="00E754D9" w:rsidRPr="008D0115">
        <w:rPr>
          <w:rFonts w:cs="Arial"/>
          <w:bCs/>
          <w:szCs w:val="22"/>
        </w:rPr>
        <w:t>e successful candidate</w:t>
      </w:r>
      <w:r w:rsidR="006241FD" w:rsidRPr="008D0115">
        <w:rPr>
          <w:rFonts w:cs="Arial"/>
          <w:bCs/>
          <w:szCs w:val="22"/>
        </w:rPr>
        <w:t>’s</w:t>
      </w:r>
      <w:r w:rsidR="00E754D9" w:rsidRPr="008D0115">
        <w:rPr>
          <w:rFonts w:cs="Arial"/>
          <w:bCs/>
          <w:szCs w:val="22"/>
        </w:rPr>
        <w:t xml:space="preserve"> </w:t>
      </w:r>
      <w:r w:rsidR="00C05EB7" w:rsidRPr="008D0115">
        <w:rPr>
          <w:rFonts w:cs="Arial"/>
          <w:bCs/>
          <w:szCs w:val="22"/>
        </w:rPr>
        <w:t xml:space="preserve">envisaged remuneration by </w:t>
      </w:r>
      <w:r w:rsidR="00FD261D" w:rsidRPr="008D0115">
        <w:rPr>
          <w:rFonts w:cs="Arial"/>
          <w:bCs/>
          <w:szCs w:val="22"/>
        </w:rPr>
        <w:t>the applicant.</w:t>
      </w:r>
      <w:r w:rsidR="00E754D9" w:rsidRPr="008D0115">
        <w:rPr>
          <w:rFonts w:cs="Arial"/>
          <w:bCs/>
          <w:szCs w:val="22"/>
        </w:rPr>
        <w:t xml:space="preserve"> </w:t>
      </w:r>
    </w:p>
    <w:p w14:paraId="1494C386" w14:textId="0F00F62E" w:rsidR="00417EAE" w:rsidRPr="008D0115" w:rsidRDefault="008D0115" w:rsidP="008D0115">
      <w:pPr>
        <w:tabs>
          <w:tab w:val="left" w:pos="567"/>
        </w:tabs>
        <w:spacing w:after="480" w:line="480" w:lineRule="auto"/>
        <w:rPr>
          <w:rFonts w:cs="Arial"/>
          <w:bCs/>
          <w:szCs w:val="22"/>
        </w:rPr>
      </w:pPr>
      <w:r w:rsidRPr="00E754D9">
        <w:rPr>
          <w:rFonts w:cs="Arial"/>
          <w:bCs/>
          <w:szCs w:val="22"/>
        </w:rPr>
        <w:t>[9]</w:t>
      </w:r>
      <w:r w:rsidRPr="00E754D9">
        <w:rPr>
          <w:rFonts w:cs="Arial"/>
          <w:bCs/>
          <w:szCs w:val="22"/>
        </w:rPr>
        <w:tab/>
      </w:r>
      <w:r w:rsidR="00192A71" w:rsidRPr="008D0115">
        <w:rPr>
          <w:rFonts w:cs="Arial"/>
          <w:bCs/>
          <w:szCs w:val="22"/>
        </w:rPr>
        <w:t>The clause provided</w:t>
      </w:r>
      <w:r w:rsidR="00417EAE" w:rsidRPr="008D0115">
        <w:rPr>
          <w:rFonts w:cs="Arial"/>
          <w:bCs/>
          <w:szCs w:val="22"/>
        </w:rPr>
        <w:t xml:space="preserve"> the following:</w:t>
      </w:r>
    </w:p>
    <w:p w14:paraId="2BFEC08A" w14:textId="18C9F957" w:rsidR="00417EAE" w:rsidRPr="00417EAE" w:rsidRDefault="00417EAE" w:rsidP="00417EAE">
      <w:pPr>
        <w:pStyle w:val="ListParagraph"/>
        <w:spacing w:after="480" w:line="240" w:lineRule="auto"/>
        <w:ind w:left="0"/>
        <w:contextualSpacing w:val="0"/>
        <w:rPr>
          <w:rFonts w:cs="Arial"/>
          <w:bCs/>
          <w:sz w:val="20"/>
          <w:szCs w:val="22"/>
        </w:rPr>
      </w:pPr>
      <w:r w:rsidRPr="00417EAE">
        <w:rPr>
          <w:rFonts w:cs="Arial"/>
          <w:bCs/>
          <w:sz w:val="20"/>
          <w:szCs w:val="22"/>
        </w:rPr>
        <w:t>“If the candidate departs or is asked to leave up to 12 months after commencing employment due to reasons directly linked to his/her performance in the role, he/she will be replaced at no extra cost.”</w:t>
      </w:r>
    </w:p>
    <w:p w14:paraId="2F760901" w14:textId="37485613" w:rsidR="00F46EB6" w:rsidRPr="008D0115" w:rsidRDefault="008D0115" w:rsidP="008D0115">
      <w:pPr>
        <w:tabs>
          <w:tab w:val="left" w:pos="567"/>
        </w:tabs>
        <w:spacing w:after="480" w:line="480" w:lineRule="auto"/>
        <w:rPr>
          <w:rFonts w:cs="Arial"/>
          <w:bCs/>
          <w:szCs w:val="22"/>
        </w:rPr>
      </w:pPr>
      <w:r w:rsidRPr="00D748AD">
        <w:rPr>
          <w:rFonts w:cs="Arial"/>
          <w:bCs/>
          <w:szCs w:val="22"/>
        </w:rPr>
        <w:t>[10]</w:t>
      </w:r>
      <w:r w:rsidRPr="00D748AD">
        <w:rPr>
          <w:rFonts w:cs="Arial"/>
          <w:bCs/>
          <w:szCs w:val="22"/>
        </w:rPr>
        <w:tab/>
      </w:r>
      <w:r w:rsidR="00192A71" w:rsidRPr="008D0115">
        <w:rPr>
          <w:rFonts w:cs="Arial"/>
          <w:bCs/>
          <w:szCs w:val="22"/>
        </w:rPr>
        <w:t>The</w:t>
      </w:r>
      <w:r w:rsidR="00C05EB7" w:rsidRPr="008D0115">
        <w:rPr>
          <w:rFonts w:cs="Arial"/>
          <w:bCs/>
          <w:szCs w:val="22"/>
        </w:rPr>
        <w:t xml:space="preserve"> applicant did not dispute that the</w:t>
      </w:r>
      <w:r w:rsidR="00192A71" w:rsidRPr="008D0115">
        <w:rPr>
          <w:rFonts w:cs="Arial"/>
          <w:bCs/>
          <w:szCs w:val="22"/>
        </w:rPr>
        <w:t xml:space="preserve"> respondent recommended</w:t>
      </w:r>
      <w:r w:rsidR="00FD261D" w:rsidRPr="008D0115">
        <w:rPr>
          <w:rFonts w:cs="Arial"/>
          <w:bCs/>
          <w:szCs w:val="22"/>
        </w:rPr>
        <w:t xml:space="preserve"> </w:t>
      </w:r>
      <w:r w:rsidR="00C05EB7" w:rsidRPr="008D0115">
        <w:rPr>
          <w:rFonts w:cs="Arial"/>
          <w:bCs/>
          <w:szCs w:val="22"/>
        </w:rPr>
        <w:t xml:space="preserve">a suitable candidate, </w:t>
      </w:r>
      <w:r w:rsidR="00FD261D" w:rsidRPr="008D0115">
        <w:rPr>
          <w:rFonts w:cs="Arial"/>
          <w:bCs/>
          <w:szCs w:val="22"/>
        </w:rPr>
        <w:t>one</w:t>
      </w:r>
      <w:r w:rsidR="00192A71" w:rsidRPr="008D0115">
        <w:rPr>
          <w:rFonts w:cs="Arial"/>
          <w:bCs/>
          <w:szCs w:val="22"/>
        </w:rPr>
        <w:t xml:space="preserve"> </w:t>
      </w:r>
      <w:r w:rsidR="00FD261D" w:rsidRPr="008D0115">
        <w:rPr>
          <w:rFonts w:cs="Arial"/>
          <w:bCs/>
          <w:szCs w:val="22"/>
        </w:rPr>
        <w:t>Mr Kevin Lomax (‘Mr Lomax’)</w:t>
      </w:r>
      <w:r w:rsidR="00C05EB7" w:rsidRPr="008D0115">
        <w:rPr>
          <w:rFonts w:cs="Arial"/>
          <w:bCs/>
          <w:szCs w:val="22"/>
        </w:rPr>
        <w:t>,</w:t>
      </w:r>
      <w:r w:rsidR="00FD261D" w:rsidRPr="008D0115">
        <w:rPr>
          <w:rFonts w:cs="Arial"/>
          <w:b/>
          <w:bCs/>
          <w:szCs w:val="22"/>
        </w:rPr>
        <w:t xml:space="preserve"> </w:t>
      </w:r>
      <w:r w:rsidR="00D748AD" w:rsidRPr="008D0115">
        <w:rPr>
          <w:rFonts w:cs="Arial"/>
          <w:bCs/>
          <w:szCs w:val="22"/>
        </w:rPr>
        <w:t xml:space="preserve">for the position of managing director with the applicant. </w:t>
      </w:r>
      <w:r w:rsidR="007C218B" w:rsidRPr="008D0115">
        <w:rPr>
          <w:rFonts w:cs="Arial"/>
          <w:bCs/>
          <w:szCs w:val="22"/>
        </w:rPr>
        <w:t>T</w:t>
      </w:r>
      <w:r w:rsidR="00192A71" w:rsidRPr="008D0115">
        <w:rPr>
          <w:rFonts w:cs="Arial"/>
          <w:bCs/>
          <w:szCs w:val="22"/>
        </w:rPr>
        <w:t xml:space="preserve">he latter </w:t>
      </w:r>
      <w:r w:rsidR="007C218B" w:rsidRPr="008D0115">
        <w:rPr>
          <w:rFonts w:cs="Arial"/>
          <w:bCs/>
          <w:szCs w:val="22"/>
        </w:rPr>
        <w:t>accepted</w:t>
      </w:r>
      <w:r w:rsidR="00417EAE" w:rsidRPr="008D0115">
        <w:rPr>
          <w:rFonts w:cs="Arial"/>
          <w:bCs/>
          <w:szCs w:val="22"/>
        </w:rPr>
        <w:t xml:space="preserve"> Mr Lomax </w:t>
      </w:r>
      <w:r w:rsidR="007C218B" w:rsidRPr="008D0115">
        <w:rPr>
          <w:rFonts w:cs="Arial"/>
          <w:bCs/>
          <w:szCs w:val="22"/>
        </w:rPr>
        <w:t xml:space="preserve">and offered him </w:t>
      </w:r>
      <w:r w:rsidR="00417EAE" w:rsidRPr="008D0115">
        <w:rPr>
          <w:rFonts w:cs="Arial"/>
          <w:bCs/>
          <w:szCs w:val="22"/>
        </w:rPr>
        <w:t>the</w:t>
      </w:r>
      <w:r w:rsidR="00D748AD" w:rsidRPr="008D0115">
        <w:rPr>
          <w:rFonts w:cs="Arial"/>
          <w:bCs/>
          <w:szCs w:val="22"/>
        </w:rPr>
        <w:t xml:space="preserve"> position, </w:t>
      </w:r>
      <w:r w:rsidR="00192A71" w:rsidRPr="008D0115">
        <w:rPr>
          <w:rFonts w:cs="Arial"/>
          <w:bCs/>
          <w:szCs w:val="22"/>
        </w:rPr>
        <w:t>which Mr Lomax accepted</w:t>
      </w:r>
      <w:r w:rsidR="00781B77" w:rsidRPr="008D0115">
        <w:rPr>
          <w:rFonts w:cs="Arial"/>
          <w:bCs/>
          <w:szCs w:val="22"/>
        </w:rPr>
        <w:t>. T</w:t>
      </w:r>
      <w:r w:rsidR="00192A71" w:rsidRPr="008D0115">
        <w:rPr>
          <w:rFonts w:cs="Arial"/>
          <w:bCs/>
          <w:szCs w:val="22"/>
        </w:rPr>
        <w:t>he applicant and Mr L</w:t>
      </w:r>
      <w:r w:rsidR="00781B77" w:rsidRPr="008D0115">
        <w:rPr>
          <w:rFonts w:cs="Arial"/>
          <w:bCs/>
          <w:szCs w:val="22"/>
        </w:rPr>
        <w:t>omax</w:t>
      </w:r>
      <w:r w:rsidR="00192A71" w:rsidRPr="008D0115">
        <w:rPr>
          <w:rFonts w:cs="Arial"/>
          <w:bCs/>
          <w:szCs w:val="22"/>
        </w:rPr>
        <w:t xml:space="preserve"> </w:t>
      </w:r>
      <w:r w:rsidR="00781B77" w:rsidRPr="008D0115">
        <w:rPr>
          <w:rFonts w:cs="Arial"/>
          <w:bCs/>
          <w:szCs w:val="22"/>
        </w:rPr>
        <w:t>concluded an employment contract in</w:t>
      </w:r>
      <w:r w:rsidR="00192A71" w:rsidRPr="008D0115">
        <w:rPr>
          <w:rFonts w:cs="Arial"/>
          <w:bCs/>
          <w:szCs w:val="22"/>
        </w:rPr>
        <w:t xml:space="preserve"> </w:t>
      </w:r>
      <w:r w:rsidR="00417EAE" w:rsidRPr="008D0115">
        <w:rPr>
          <w:rFonts w:cs="Arial"/>
          <w:bCs/>
          <w:szCs w:val="22"/>
        </w:rPr>
        <w:t xml:space="preserve">terms of </w:t>
      </w:r>
      <w:r w:rsidR="00781B77" w:rsidRPr="008D0115">
        <w:rPr>
          <w:rFonts w:cs="Arial"/>
          <w:bCs/>
          <w:szCs w:val="22"/>
        </w:rPr>
        <w:t xml:space="preserve">which </w:t>
      </w:r>
      <w:r w:rsidR="00417EAE" w:rsidRPr="008D0115">
        <w:rPr>
          <w:rFonts w:cs="Arial"/>
          <w:bCs/>
          <w:szCs w:val="22"/>
        </w:rPr>
        <w:t>Mr Lomax</w:t>
      </w:r>
      <w:r w:rsidR="00781B77" w:rsidRPr="008D0115">
        <w:rPr>
          <w:rFonts w:cs="Arial"/>
          <w:bCs/>
          <w:szCs w:val="22"/>
        </w:rPr>
        <w:t xml:space="preserve"> woul</w:t>
      </w:r>
      <w:r w:rsidR="00417EAE" w:rsidRPr="008D0115">
        <w:rPr>
          <w:rFonts w:cs="Arial"/>
          <w:bCs/>
          <w:szCs w:val="22"/>
        </w:rPr>
        <w:t>d commence employmen</w:t>
      </w:r>
      <w:r w:rsidR="006241FD" w:rsidRPr="008D0115">
        <w:rPr>
          <w:rFonts w:cs="Arial"/>
          <w:bCs/>
          <w:szCs w:val="22"/>
        </w:rPr>
        <w:t xml:space="preserve">t with the applicant on 10 April </w:t>
      </w:r>
      <w:r w:rsidR="007C218B" w:rsidRPr="008D0115">
        <w:rPr>
          <w:rFonts w:cs="Arial"/>
          <w:bCs/>
          <w:szCs w:val="22"/>
        </w:rPr>
        <w:t>2020 (‘the employment contract’).</w:t>
      </w:r>
    </w:p>
    <w:p w14:paraId="7131812D" w14:textId="7EDB0312" w:rsidR="00DF5E21" w:rsidRPr="008D0115" w:rsidRDefault="008D0115" w:rsidP="008D0115">
      <w:pPr>
        <w:tabs>
          <w:tab w:val="left" w:pos="567"/>
        </w:tabs>
        <w:spacing w:after="480" w:line="480" w:lineRule="auto"/>
        <w:rPr>
          <w:rFonts w:cs="Arial"/>
          <w:bCs/>
          <w:szCs w:val="22"/>
        </w:rPr>
      </w:pPr>
      <w:r w:rsidRPr="00F46EB6">
        <w:rPr>
          <w:rFonts w:cs="Arial"/>
          <w:bCs/>
          <w:szCs w:val="22"/>
        </w:rPr>
        <w:t>[11]</w:t>
      </w:r>
      <w:r w:rsidRPr="00F46EB6">
        <w:rPr>
          <w:rFonts w:cs="Arial"/>
          <w:bCs/>
          <w:szCs w:val="22"/>
        </w:rPr>
        <w:tab/>
      </w:r>
      <w:r w:rsidR="00DF5E21" w:rsidRPr="008D0115">
        <w:rPr>
          <w:rFonts w:cs="Arial"/>
          <w:bCs/>
          <w:szCs w:val="22"/>
        </w:rPr>
        <w:t>The national lockdown pu</w:t>
      </w:r>
      <w:r w:rsidR="00D748AD" w:rsidRPr="008D0115">
        <w:rPr>
          <w:rFonts w:cs="Arial"/>
          <w:bCs/>
          <w:szCs w:val="22"/>
        </w:rPr>
        <w:t>rsuant to the c</w:t>
      </w:r>
      <w:r w:rsidR="00DF5E21" w:rsidRPr="008D0115">
        <w:rPr>
          <w:rFonts w:cs="Arial"/>
          <w:bCs/>
          <w:szCs w:val="22"/>
        </w:rPr>
        <w:t xml:space="preserve">ovid </w:t>
      </w:r>
      <w:r w:rsidR="00323ED5" w:rsidRPr="008D0115">
        <w:rPr>
          <w:rFonts w:cs="Arial"/>
          <w:bCs/>
          <w:szCs w:val="22"/>
        </w:rPr>
        <w:t xml:space="preserve">19 </w:t>
      </w:r>
      <w:r w:rsidR="00DF5E21" w:rsidRPr="008D0115">
        <w:rPr>
          <w:rFonts w:cs="Arial"/>
          <w:bCs/>
          <w:szCs w:val="22"/>
        </w:rPr>
        <w:t xml:space="preserve">pandemic </w:t>
      </w:r>
      <w:r w:rsidR="006241FD" w:rsidRPr="008D0115">
        <w:rPr>
          <w:rFonts w:cs="Arial"/>
          <w:bCs/>
          <w:szCs w:val="22"/>
        </w:rPr>
        <w:t>(‘</w:t>
      </w:r>
      <w:r w:rsidR="008B1E7A" w:rsidRPr="008D0115">
        <w:rPr>
          <w:rFonts w:cs="Arial"/>
          <w:bCs/>
          <w:szCs w:val="22"/>
        </w:rPr>
        <w:t xml:space="preserve">the </w:t>
      </w:r>
      <w:r w:rsidR="006241FD" w:rsidRPr="008D0115">
        <w:rPr>
          <w:rFonts w:cs="Arial"/>
          <w:bCs/>
          <w:szCs w:val="22"/>
        </w:rPr>
        <w:t xml:space="preserve">pandemic’), </w:t>
      </w:r>
      <w:r w:rsidR="00781B77" w:rsidRPr="008D0115">
        <w:rPr>
          <w:rFonts w:cs="Arial"/>
          <w:bCs/>
          <w:szCs w:val="22"/>
        </w:rPr>
        <w:t>commenced</w:t>
      </w:r>
      <w:r w:rsidR="00DF5E21" w:rsidRPr="008D0115">
        <w:rPr>
          <w:rFonts w:cs="Arial"/>
          <w:bCs/>
          <w:szCs w:val="22"/>
        </w:rPr>
        <w:t xml:space="preserve"> on 28 March 2020. As a res</w:t>
      </w:r>
      <w:r w:rsidR="00151B60" w:rsidRPr="008D0115">
        <w:rPr>
          <w:rFonts w:cs="Arial"/>
          <w:bCs/>
          <w:szCs w:val="22"/>
        </w:rPr>
        <w:t xml:space="preserve">ult, </w:t>
      </w:r>
      <w:r w:rsidR="006241FD" w:rsidRPr="008D0115">
        <w:rPr>
          <w:rFonts w:cs="Arial"/>
          <w:bCs/>
          <w:szCs w:val="22"/>
        </w:rPr>
        <w:t xml:space="preserve">on 1 April 2020, Mr Lomax </w:t>
      </w:r>
      <w:r w:rsidR="00323ED5" w:rsidRPr="008D0115">
        <w:rPr>
          <w:rFonts w:cs="Arial"/>
          <w:bCs/>
          <w:szCs w:val="22"/>
        </w:rPr>
        <w:t xml:space="preserve">requested the applicant to release him from the </w:t>
      </w:r>
      <w:r w:rsidR="007C218B" w:rsidRPr="008D0115">
        <w:rPr>
          <w:rFonts w:cs="Arial"/>
          <w:bCs/>
          <w:szCs w:val="22"/>
        </w:rPr>
        <w:t xml:space="preserve">employment contract. </w:t>
      </w:r>
      <w:r w:rsidR="006241FD" w:rsidRPr="008D0115">
        <w:rPr>
          <w:rFonts w:cs="Arial"/>
          <w:bCs/>
          <w:szCs w:val="22"/>
        </w:rPr>
        <w:t xml:space="preserve">In the light of the envisaged adverse effect of the pandemic on the travel industry, </w:t>
      </w:r>
      <w:r w:rsidR="00323ED5" w:rsidRPr="008D0115">
        <w:rPr>
          <w:rFonts w:cs="Arial"/>
          <w:bCs/>
          <w:szCs w:val="22"/>
        </w:rPr>
        <w:t xml:space="preserve">the </w:t>
      </w:r>
      <w:r w:rsidR="00151B60" w:rsidRPr="008D0115">
        <w:rPr>
          <w:rFonts w:cs="Arial"/>
          <w:bCs/>
          <w:szCs w:val="22"/>
        </w:rPr>
        <w:t>applicant agreed</w:t>
      </w:r>
      <w:r w:rsidR="006241FD" w:rsidRPr="008D0115">
        <w:rPr>
          <w:rFonts w:cs="Arial"/>
          <w:bCs/>
          <w:szCs w:val="22"/>
        </w:rPr>
        <w:t xml:space="preserve"> do so</w:t>
      </w:r>
      <w:r w:rsidR="00151B60" w:rsidRPr="008D0115">
        <w:rPr>
          <w:rFonts w:cs="Arial"/>
          <w:bCs/>
          <w:szCs w:val="22"/>
        </w:rPr>
        <w:t xml:space="preserve">. </w:t>
      </w:r>
      <w:r w:rsidR="00E754D9" w:rsidRPr="008D0115">
        <w:rPr>
          <w:rFonts w:cs="Arial"/>
          <w:bCs/>
          <w:szCs w:val="22"/>
        </w:rPr>
        <w:t>Mr Lomax</w:t>
      </w:r>
      <w:r w:rsidR="00DF5E21" w:rsidRPr="008D0115">
        <w:rPr>
          <w:rFonts w:cs="Arial"/>
          <w:bCs/>
          <w:szCs w:val="22"/>
        </w:rPr>
        <w:t xml:space="preserve"> sought to resume </w:t>
      </w:r>
      <w:r w:rsidR="00D748AD" w:rsidRPr="008D0115">
        <w:rPr>
          <w:rFonts w:cs="Arial"/>
          <w:bCs/>
          <w:szCs w:val="22"/>
        </w:rPr>
        <w:t xml:space="preserve">his </w:t>
      </w:r>
      <w:r w:rsidR="00DF5E21" w:rsidRPr="008D0115">
        <w:rPr>
          <w:rFonts w:cs="Arial"/>
          <w:bCs/>
          <w:szCs w:val="22"/>
        </w:rPr>
        <w:t xml:space="preserve">employment </w:t>
      </w:r>
      <w:r w:rsidR="00D748AD" w:rsidRPr="008D0115">
        <w:rPr>
          <w:rFonts w:cs="Arial"/>
          <w:bCs/>
          <w:szCs w:val="22"/>
        </w:rPr>
        <w:t>position with</w:t>
      </w:r>
      <w:r w:rsidR="008B1E7A" w:rsidRPr="008D0115">
        <w:rPr>
          <w:rFonts w:cs="Arial"/>
          <w:bCs/>
          <w:szCs w:val="22"/>
        </w:rPr>
        <w:t xml:space="preserve"> his previous employer.</w:t>
      </w:r>
      <w:r w:rsidR="00DF5E21" w:rsidRPr="008D0115">
        <w:rPr>
          <w:rFonts w:cs="Arial"/>
          <w:bCs/>
          <w:szCs w:val="22"/>
        </w:rPr>
        <w:t xml:space="preserve"> </w:t>
      </w:r>
      <w:r w:rsidR="008B1E7A" w:rsidRPr="008D0115">
        <w:rPr>
          <w:rFonts w:cs="Arial"/>
          <w:bCs/>
          <w:szCs w:val="22"/>
        </w:rPr>
        <w:t xml:space="preserve"> </w:t>
      </w:r>
    </w:p>
    <w:p w14:paraId="7BF6EEEA" w14:textId="6717635F" w:rsidR="00DF5E21" w:rsidRPr="008D0115" w:rsidRDefault="008D0115" w:rsidP="008D0115">
      <w:pPr>
        <w:tabs>
          <w:tab w:val="left" w:pos="567"/>
        </w:tabs>
        <w:spacing w:after="480" w:line="480" w:lineRule="auto"/>
        <w:rPr>
          <w:rFonts w:cs="Arial"/>
          <w:bCs/>
          <w:szCs w:val="22"/>
        </w:rPr>
      </w:pPr>
      <w:r w:rsidRPr="00151B60">
        <w:rPr>
          <w:rFonts w:cs="Arial"/>
          <w:bCs/>
          <w:szCs w:val="22"/>
        </w:rPr>
        <w:t>[12]</w:t>
      </w:r>
      <w:r w:rsidRPr="00151B60">
        <w:rPr>
          <w:rFonts w:cs="Arial"/>
          <w:bCs/>
          <w:szCs w:val="22"/>
        </w:rPr>
        <w:tab/>
      </w:r>
      <w:r w:rsidR="00DF5E21" w:rsidRPr="008D0115">
        <w:rPr>
          <w:rFonts w:cs="Arial"/>
          <w:bCs/>
          <w:szCs w:val="22"/>
        </w:rPr>
        <w:t>The</w:t>
      </w:r>
      <w:r w:rsidR="00E754D9" w:rsidRPr="008D0115">
        <w:rPr>
          <w:rFonts w:cs="Arial"/>
          <w:bCs/>
          <w:szCs w:val="22"/>
        </w:rPr>
        <w:t xml:space="preserve">reafter, the applicant </w:t>
      </w:r>
      <w:r w:rsidR="00DF5E21" w:rsidRPr="008D0115">
        <w:rPr>
          <w:rFonts w:cs="Arial"/>
          <w:bCs/>
          <w:szCs w:val="22"/>
        </w:rPr>
        <w:t xml:space="preserve">approached the respondent to source an alternate </w:t>
      </w:r>
      <w:r w:rsidR="00D748AD" w:rsidRPr="008D0115">
        <w:rPr>
          <w:rFonts w:cs="Arial"/>
          <w:bCs/>
          <w:szCs w:val="22"/>
        </w:rPr>
        <w:t xml:space="preserve">candidate for its </w:t>
      </w:r>
      <w:r w:rsidR="006241FD" w:rsidRPr="008D0115">
        <w:rPr>
          <w:rFonts w:cs="Arial"/>
          <w:bCs/>
          <w:szCs w:val="22"/>
        </w:rPr>
        <w:t xml:space="preserve">managing director </w:t>
      </w:r>
      <w:r w:rsidR="00DF5E21" w:rsidRPr="008D0115">
        <w:rPr>
          <w:rFonts w:cs="Arial"/>
          <w:bCs/>
          <w:szCs w:val="22"/>
        </w:rPr>
        <w:t>position</w:t>
      </w:r>
      <w:r w:rsidR="00E754D9" w:rsidRPr="008D0115">
        <w:rPr>
          <w:rFonts w:cs="Arial"/>
          <w:bCs/>
          <w:szCs w:val="22"/>
        </w:rPr>
        <w:t xml:space="preserve"> at no </w:t>
      </w:r>
      <w:r w:rsidR="006241FD" w:rsidRPr="008D0115">
        <w:rPr>
          <w:rFonts w:cs="Arial"/>
          <w:bCs/>
          <w:szCs w:val="22"/>
        </w:rPr>
        <w:t xml:space="preserve">additional </w:t>
      </w:r>
      <w:r w:rsidR="00E754D9" w:rsidRPr="008D0115">
        <w:rPr>
          <w:rFonts w:cs="Arial"/>
          <w:bCs/>
          <w:szCs w:val="22"/>
        </w:rPr>
        <w:t>cost to the applicant</w:t>
      </w:r>
      <w:r w:rsidR="006241FD" w:rsidRPr="008D0115">
        <w:rPr>
          <w:rFonts w:cs="Arial"/>
          <w:bCs/>
          <w:szCs w:val="22"/>
        </w:rPr>
        <w:t>,</w:t>
      </w:r>
      <w:r w:rsidR="00E754D9" w:rsidRPr="008D0115">
        <w:rPr>
          <w:rFonts w:cs="Arial"/>
          <w:bCs/>
          <w:szCs w:val="22"/>
        </w:rPr>
        <w:t xml:space="preserve"> based on</w:t>
      </w:r>
      <w:r w:rsidR="0090739A" w:rsidRPr="008D0115">
        <w:rPr>
          <w:rFonts w:cs="Arial"/>
          <w:bCs/>
          <w:szCs w:val="22"/>
        </w:rPr>
        <w:t xml:space="preserve"> the</w:t>
      </w:r>
      <w:r w:rsidR="00E754D9" w:rsidRPr="008D0115">
        <w:rPr>
          <w:rFonts w:cs="Arial"/>
          <w:bCs/>
          <w:szCs w:val="22"/>
        </w:rPr>
        <w:t xml:space="preserve"> clause.</w:t>
      </w:r>
    </w:p>
    <w:p w14:paraId="66B5A1D6" w14:textId="24D6E1AF" w:rsidR="00F12D7E" w:rsidRPr="008D0115" w:rsidRDefault="008D0115" w:rsidP="008D0115">
      <w:pPr>
        <w:tabs>
          <w:tab w:val="left" w:pos="567"/>
        </w:tabs>
        <w:spacing w:after="480" w:line="480" w:lineRule="auto"/>
        <w:rPr>
          <w:rFonts w:cs="Arial"/>
          <w:bCs/>
          <w:szCs w:val="22"/>
        </w:rPr>
      </w:pPr>
      <w:r>
        <w:rPr>
          <w:rFonts w:cs="Arial"/>
          <w:bCs/>
          <w:szCs w:val="22"/>
        </w:rPr>
        <w:t>[13]</w:t>
      </w:r>
      <w:r>
        <w:rPr>
          <w:rFonts w:cs="Arial"/>
          <w:bCs/>
          <w:szCs w:val="22"/>
        </w:rPr>
        <w:tab/>
      </w:r>
      <w:r w:rsidR="007C218B" w:rsidRPr="008D0115">
        <w:rPr>
          <w:rFonts w:cs="Arial"/>
          <w:bCs/>
          <w:szCs w:val="22"/>
        </w:rPr>
        <w:t>On t</w:t>
      </w:r>
      <w:r w:rsidR="00DF5E21" w:rsidRPr="008D0115">
        <w:rPr>
          <w:rFonts w:cs="Arial"/>
          <w:bCs/>
          <w:szCs w:val="22"/>
        </w:rPr>
        <w:t xml:space="preserve">he </w:t>
      </w:r>
      <w:r w:rsidR="00151B60" w:rsidRPr="008D0115">
        <w:rPr>
          <w:rFonts w:cs="Arial"/>
          <w:bCs/>
          <w:szCs w:val="22"/>
        </w:rPr>
        <w:t>applicant’s</w:t>
      </w:r>
      <w:r w:rsidR="00DF5E21" w:rsidRPr="008D0115">
        <w:rPr>
          <w:rFonts w:cs="Arial"/>
          <w:bCs/>
          <w:szCs w:val="22"/>
        </w:rPr>
        <w:t xml:space="preserve"> int</w:t>
      </w:r>
      <w:r w:rsidR="00027525" w:rsidRPr="008D0115">
        <w:rPr>
          <w:rFonts w:cs="Arial"/>
          <w:bCs/>
          <w:szCs w:val="22"/>
        </w:rPr>
        <w:t>erpretation of the clause</w:t>
      </w:r>
      <w:r w:rsidR="007C218B" w:rsidRPr="008D0115">
        <w:rPr>
          <w:rFonts w:cs="Arial"/>
          <w:bCs/>
          <w:szCs w:val="22"/>
        </w:rPr>
        <w:t>,</w:t>
      </w:r>
      <w:r w:rsidR="00DF5E21" w:rsidRPr="008D0115">
        <w:rPr>
          <w:rFonts w:cs="Arial"/>
          <w:bCs/>
          <w:szCs w:val="22"/>
        </w:rPr>
        <w:t xml:space="preserve"> the candidate </w:t>
      </w:r>
      <w:r w:rsidR="006241FD" w:rsidRPr="008D0115">
        <w:rPr>
          <w:rFonts w:cs="Arial"/>
          <w:bCs/>
          <w:szCs w:val="22"/>
        </w:rPr>
        <w:t>recommended by the respondent departed within</w:t>
      </w:r>
      <w:r w:rsidR="00DF5E21" w:rsidRPr="008D0115">
        <w:rPr>
          <w:rFonts w:cs="Arial"/>
          <w:bCs/>
          <w:szCs w:val="22"/>
        </w:rPr>
        <w:t xml:space="preserve"> </w:t>
      </w:r>
      <w:r w:rsidR="0090739A" w:rsidRPr="008D0115">
        <w:rPr>
          <w:rFonts w:cs="Arial"/>
          <w:bCs/>
          <w:szCs w:val="22"/>
        </w:rPr>
        <w:t xml:space="preserve">twelve </w:t>
      </w:r>
      <w:r w:rsidR="00DF5E21" w:rsidRPr="008D0115">
        <w:rPr>
          <w:rFonts w:cs="Arial"/>
          <w:bCs/>
          <w:szCs w:val="22"/>
        </w:rPr>
        <w:t xml:space="preserve">months after commencing employment. Thus, the </w:t>
      </w:r>
      <w:r w:rsidR="00DF5E21" w:rsidRPr="008D0115">
        <w:rPr>
          <w:rFonts w:cs="Arial"/>
          <w:bCs/>
          <w:szCs w:val="22"/>
        </w:rPr>
        <w:lastRenderedPageBreak/>
        <w:t>applicant contended that the respondent was liable to rep</w:t>
      </w:r>
      <w:r w:rsidR="00E754D9" w:rsidRPr="008D0115">
        <w:rPr>
          <w:rFonts w:cs="Arial"/>
          <w:bCs/>
          <w:szCs w:val="22"/>
        </w:rPr>
        <w:t xml:space="preserve">lace Mr Lomax at no extra cost to the applicant. </w:t>
      </w:r>
    </w:p>
    <w:p w14:paraId="186E29C2" w14:textId="63D0D329" w:rsidR="00964D89" w:rsidRPr="008D0115" w:rsidRDefault="008D0115" w:rsidP="008D0115">
      <w:pPr>
        <w:tabs>
          <w:tab w:val="left" w:pos="567"/>
        </w:tabs>
        <w:spacing w:after="480" w:line="480" w:lineRule="auto"/>
        <w:rPr>
          <w:rFonts w:cs="Arial"/>
          <w:bCs/>
          <w:szCs w:val="22"/>
        </w:rPr>
      </w:pPr>
      <w:r w:rsidRPr="00964D89">
        <w:rPr>
          <w:rFonts w:cs="Arial"/>
          <w:bCs/>
          <w:szCs w:val="22"/>
        </w:rPr>
        <w:t>[14]</w:t>
      </w:r>
      <w:r w:rsidRPr="00964D89">
        <w:rPr>
          <w:rFonts w:cs="Arial"/>
          <w:bCs/>
          <w:szCs w:val="22"/>
        </w:rPr>
        <w:tab/>
      </w:r>
      <w:r w:rsidR="00DF5E21" w:rsidRPr="008D0115">
        <w:rPr>
          <w:rFonts w:cs="Arial"/>
          <w:bCs/>
          <w:szCs w:val="22"/>
        </w:rPr>
        <w:t xml:space="preserve">The respondent refused to </w:t>
      </w:r>
      <w:r w:rsidR="00E754D9" w:rsidRPr="008D0115">
        <w:rPr>
          <w:rFonts w:cs="Arial"/>
          <w:bCs/>
          <w:szCs w:val="22"/>
        </w:rPr>
        <w:t>do so</w:t>
      </w:r>
      <w:r w:rsidR="00E7127F" w:rsidRPr="008D0115">
        <w:rPr>
          <w:rFonts w:cs="Arial"/>
          <w:bCs/>
          <w:szCs w:val="22"/>
        </w:rPr>
        <w:t xml:space="preserve"> and denied that it repudiated the agreement.  The respondent submitted that the clause did not find application as the requirements of the clause were not engaged by the facts of the matter. Mr Lomax’s suitability as a candidate for the p</w:t>
      </w:r>
      <w:r w:rsidR="00033D58" w:rsidRPr="008D0115">
        <w:rPr>
          <w:rFonts w:cs="Arial"/>
          <w:bCs/>
          <w:szCs w:val="22"/>
        </w:rPr>
        <w:t>osition was not in dispute. Furthermore,</w:t>
      </w:r>
      <w:r w:rsidR="00E7127F" w:rsidRPr="008D0115">
        <w:rPr>
          <w:rFonts w:cs="Arial"/>
          <w:bCs/>
          <w:szCs w:val="22"/>
        </w:rPr>
        <w:t xml:space="preserve"> Mr Lomax did not leave the applicant’s employ due to reasons directly linked to his performance in the role. </w:t>
      </w:r>
      <w:r w:rsidR="00964D89" w:rsidRPr="008D0115">
        <w:rPr>
          <w:rFonts w:cs="Arial"/>
          <w:bCs/>
          <w:szCs w:val="22"/>
        </w:rPr>
        <w:t>as required on the respondent’s interpretation of the clause.</w:t>
      </w:r>
    </w:p>
    <w:p w14:paraId="6529AF98" w14:textId="3A75D850" w:rsidR="00E7127F" w:rsidRPr="008D0115" w:rsidRDefault="008D0115" w:rsidP="008D0115">
      <w:pPr>
        <w:tabs>
          <w:tab w:val="left" w:pos="567"/>
        </w:tabs>
        <w:spacing w:after="480" w:line="480" w:lineRule="auto"/>
        <w:rPr>
          <w:rFonts w:cs="Arial"/>
          <w:bCs/>
          <w:szCs w:val="22"/>
        </w:rPr>
      </w:pPr>
      <w:r w:rsidRPr="00964D89">
        <w:rPr>
          <w:rFonts w:cs="Arial"/>
          <w:bCs/>
          <w:szCs w:val="22"/>
        </w:rPr>
        <w:t>[15]</w:t>
      </w:r>
      <w:r w:rsidRPr="00964D89">
        <w:rPr>
          <w:rFonts w:cs="Arial"/>
          <w:bCs/>
          <w:szCs w:val="22"/>
        </w:rPr>
        <w:tab/>
      </w:r>
      <w:r w:rsidR="00E7127F" w:rsidRPr="008D0115">
        <w:rPr>
          <w:rFonts w:cs="Arial"/>
          <w:bCs/>
          <w:szCs w:val="22"/>
        </w:rPr>
        <w:t>Furthermore, the respondent contended that even if its construction of the clause w</w:t>
      </w:r>
      <w:r w:rsidR="00964D89" w:rsidRPr="008D0115">
        <w:rPr>
          <w:rFonts w:cs="Arial"/>
          <w:bCs/>
          <w:szCs w:val="22"/>
        </w:rPr>
        <w:t xml:space="preserve">as wrong, </w:t>
      </w:r>
      <w:r w:rsidR="00E7127F" w:rsidRPr="008D0115">
        <w:rPr>
          <w:rFonts w:cs="Arial"/>
          <w:bCs/>
          <w:szCs w:val="22"/>
        </w:rPr>
        <w:t>the applicant</w:t>
      </w:r>
      <w:r w:rsidR="008B1E7A" w:rsidRPr="008D0115">
        <w:rPr>
          <w:rFonts w:cs="Arial"/>
          <w:bCs/>
          <w:szCs w:val="22"/>
        </w:rPr>
        <w:t>’</w:t>
      </w:r>
      <w:r w:rsidR="00964D89" w:rsidRPr="008D0115">
        <w:rPr>
          <w:rFonts w:cs="Arial"/>
          <w:bCs/>
          <w:szCs w:val="22"/>
        </w:rPr>
        <w:t>s claim for</w:t>
      </w:r>
      <w:r w:rsidR="00E7127F" w:rsidRPr="008D0115">
        <w:rPr>
          <w:rFonts w:cs="Arial"/>
          <w:bCs/>
          <w:szCs w:val="22"/>
        </w:rPr>
        <w:t xml:space="preserve"> </w:t>
      </w:r>
      <w:r w:rsidR="00964D89" w:rsidRPr="008D0115">
        <w:rPr>
          <w:rFonts w:cs="Arial"/>
          <w:bCs/>
          <w:szCs w:val="22"/>
        </w:rPr>
        <w:t xml:space="preserve">restitution </w:t>
      </w:r>
      <w:r w:rsidR="00E7127F" w:rsidRPr="008D0115">
        <w:rPr>
          <w:rFonts w:cs="Arial"/>
          <w:bCs/>
          <w:szCs w:val="22"/>
        </w:rPr>
        <w:t>was inappropriate as the applicant rece</w:t>
      </w:r>
      <w:r w:rsidR="00964D89" w:rsidRPr="008D0115">
        <w:rPr>
          <w:rFonts w:cs="Arial"/>
          <w:bCs/>
          <w:szCs w:val="22"/>
        </w:rPr>
        <w:t>ive</w:t>
      </w:r>
      <w:r w:rsidR="008155B6" w:rsidRPr="008D0115">
        <w:rPr>
          <w:rFonts w:cs="Arial"/>
          <w:bCs/>
          <w:szCs w:val="22"/>
        </w:rPr>
        <w:t>d value under the agreement. This because the</w:t>
      </w:r>
      <w:r w:rsidR="00E7127F" w:rsidRPr="008D0115">
        <w:rPr>
          <w:rFonts w:cs="Arial"/>
          <w:bCs/>
          <w:szCs w:val="22"/>
        </w:rPr>
        <w:t xml:space="preserve"> respondent recommended a suitable candidate</w:t>
      </w:r>
      <w:r w:rsidR="00964D89" w:rsidRPr="008D0115">
        <w:rPr>
          <w:rFonts w:cs="Arial"/>
          <w:bCs/>
          <w:szCs w:val="22"/>
        </w:rPr>
        <w:t xml:space="preserve">. </w:t>
      </w:r>
      <w:r w:rsidR="00E7127F" w:rsidRPr="008D0115">
        <w:rPr>
          <w:rFonts w:cs="Arial"/>
          <w:bCs/>
          <w:szCs w:val="22"/>
        </w:rPr>
        <w:t xml:space="preserve">In effect, the applicant received the bargain that it sought in terms of the agreement. </w:t>
      </w:r>
    </w:p>
    <w:p w14:paraId="0D1EAF38" w14:textId="75B26FEC" w:rsidR="00E7127F" w:rsidRPr="008D0115" w:rsidRDefault="008D0115" w:rsidP="008D0115">
      <w:pPr>
        <w:tabs>
          <w:tab w:val="left" w:pos="567"/>
        </w:tabs>
        <w:spacing w:after="480" w:line="480" w:lineRule="auto"/>
        <w:rPr>
          <w:rFonts w:cs="Arial"/>
          <w:bCs/>
          <w:szCs w:val="22"/>
        </w:rPr>
      </w:pPr>
      <w:r w:rsidRPr="00964D89">
        <w:rPr>
          <w:rFonts w:cs="Arial"/>
          <w:bCs/>
          <w:szCs w:val="22"/>
        </w:rPr>
        <w:t>[16]</w:t>
      </w:r>
      <w:r w:rsidRPr="00964D89">
        <w:rPr>
          <w:rFonts w:cs="Arial"/>
          <w:bCs/>
          <w:szCs w:val="22"/>
        </w:rPr>
        <w:tab/>
      </w:r>
      <w:r w:rsidR="00E7127F" w:rsidRPr="008D0115">
        <w:rPr>
          <w:rFonts w:cs="Arial"/>
          <w:bCs/>
          <w:szCs w:val="22"/>
        </w:rPr>
        <w:t>Accordingly,</w:t>
      </w:r>
      <w:r w:rsidR="00964D89" w:rsidRPr="008D0115">
        <w:rPr>
          <w:rFonts w:cs="Arial"/>
          <w:bCs/>
          <w:szCs w:val="22"/>
        </w:rPr>
        <w:t xml:space="preserve"> the respondent argued that it met each of its obligations under the agreement and was not obliged to replace the recommended candidate.</w:t>
      </w:r>
    </w:p>
    <w:p w14:paraId="42B690F8" w14:textId="52E6AB68" w:rsidR="009306D1" w:rsidRPr="008D0115" w:rsidRDefault="008D0115" w:rsidP="008D0115">
      <w:pPr>
        <w:tabs>
          <w:tab w:val="left" w:pos="567"/>
        </w:tabs>
        <w:spacing w:after="480" w:line="480" w:lineRule="auto"/>
        <w:rPr>
          <w:rFonts w:cs="Arial"/>
          <w:bCs/>
          <w:szCs w:val="22"/>
        </w:rPr>
      </w:pPr>
      <w:r w:rsidRPr="00F46EB6">
        <w:rPr>
          <w:rFonts w:cs="Arial"/>
          <w:bCs/>
          <w:szCs w:val="22"/>
        </w:rPr>
        <w:t>[17]</w:t>
      </w:r>
      <w:r w:rsidRPr="00F46EB6">
        <w:rPr>
          <w:rFonts w:cs="Arial"/>
          <w:bCs/>
          <w:szCs w:val="22"/>
        </w:rPr>
        <w:tab/>
      </w:r>
      <w:r w:rsidR="007C0EC7" w:rsidRPr="008D0115">
        <w:rPr>
          <w:rFonts w:cs="Arial"/>
          <w:bCs/>
          <w:szCs w:val="22"/>
        </w:rPr>
        <w:t xml:space="preserve">Subsequent to the hearing of the application, </w:t>
      </w:r>
      <w:r w:rsidR="009306D1" w:rsidRPr="008D0115">
        <w:rPr>
          <w:rFonts w:cs="Arial"/>
          <w:bCs/>
          <w:szCs w:val="22"/>
        </w:rPr>
        <w:t>the respondent approached me for leave to de</w:t>
      </w:r>
      <w:r w:rsidR="007C0EC7" w:rsidRPr="008D0115">
        <w:rPr>
          <w:rFonts w:cs="Arial"/>
          <w:bCs/>
          <w:szCs w:val="22"/>
        </w:rPr>
        <w:t>liver a supplementary affidavit (‘the interlocutory application’).</w:t>
      </w:r>
      <w:r w:rsidR="009306D1" w:rsidRPr="008D0115">
        <w:rPr>
          <w:rFonts w:cs="Arial"/>
          <w:bCs/>
          <w:szCs w:val="22"/>
        </w:rPr>
        <w:t xml:space="preserve"> The applicant opposed the interlocutory application and I agreed to hear the </w:t>
      </w:r>
      <w:r w:rsidR="00C50603" w:rsidRPr="008D0115">
        <w:rPr>
          <w:rFonts w:cs="Arial"/>
          <w:bCs/>
          <w:szCs w:val="22"/>
        </w:rPr>
        <w:t xml:space="preserve">parties on the issues. I heard </w:t>
      </w:r>
      <w:r w:rsidR="0090739A" w:rsidRPr="008D0115">
        <w:rPr>
          <w:rFonts w:cs="Arial"/>
          <w:bCs/>
          <w:szCs w:val="22"/>
        </w:rPr>
        <w:t xml:space="preserve">argument </w:t>
      </w:r>
      <w:r w:rsidR="009306D1" w:rsidRPr="008D0115">
        <w:rPr>
          <w:rFonts w:cs="Arial"/>
          <w:bCs/>
          <w:szCs w:val="22"/>
        </w:rPr>
        <w:t>o</w:t>
      </w:r>
      <w:r w:rsidR="0090739A" w:rsidRPr="008D0115">
        <w:rPr>
          <w:rFonts w:cs="Arial"/>
          <w:bCs/>
          <w:szCs w:val="22"/>
        </w:rPr>
        <w:t>n</w:t>
      </w:r>
      <w:r w:rsidR="009306D1" w:rsidRPr="008D0115">
        <w:rPr>
          <w:rFonts w:cs="Arial"/>
          <w:bCs/>
          <w:szCs w:val="22"/>
        </w:rPr>
        <w:t xml:space="preserve"> whether or not I should allow the supplementary affidavit and the applicant’s answer t</w:t>
      </w:r>
      <w:r w:rsidR="007C0EC7" w:rsidRPr="008D0115">
        <w:rPr>
          <w:rFonts w:cs="Arial"/>
          <w:bCs/>
          <w:szCs w:val="22"/>
        </w:rPr>
        <w:t xml:space="preserve">o it </w:t>
      </w:r>
      <w:r w:rsidR="009306D1" w:rsidRPr="008D0115">
        <w:rPr>
          <w:rFonts w:cs="Arial"/>
          <w:bCs/>
          <w:szCs w:val="22"/>
        </w:rPr>
        <w:t xml:space="preserve">and, if so, the effect </w:t>
      </w:r>
      <w:r w:rsidR="0090739A" w:rsidRPr="008D0115">
        <w:rPr>
          <w:rFonts w:cs="Arial"/>
          <w:bCs/>
          <w:szCs w:val="22"/>
        </w:rPr>
        <w:t xml:space="preserve">of </w:t>
      </w:r>
      <w:r w:rsidR="009306D1" w:rsidRPr="008D0115">
        <w:rPr>
          <w:rFonts w:cs="Arial"/>
          <w:bCs/>
          <w:szCs w:val="22"/>
        </w:rPr>
        <w:t>the</w:t>
      </w:r>
      <w:r w:rsidR="0090739A" w:rsidRPr="008D0115">
        <w:rPr>
          <w:rFonts w:cs="Arial"/>
          <w:bCs/>
          <w:szCs w:val="22"/>
        </w:rPr>
        <w:t xml:space="preserve"> supplementary affidavits</w:t>
      </w:r>
      <w:r w:rsidR="00F46EB6" w:rsidRPr="008D0115">
        <w:rPr>
          <w:rFonts w:cs="Arial"/>
          <w:bCs/>
          <w:szCs w:val="22"/>
        </w:rPr>
        <w:t xml:space="preserve"> on the</w:t>
      </w:r>
      <w:r w:rsidR="009306D1" w:rsidRPr="008D0115">
        <w:rPr>
          <w:rFonts w:cs="Arial"/>
          <w:bCs/>
          <w:szCs w:val="22"/>
        </w:rPr>
        <w:t xml:space="preserve"> application. </w:t>
      </w:r>
      <w:r w:rsidR="007C0EC7" w:rsidRPr="008D0115">
        <w:rPr>
          <w:rFonts w:cs="Arial"/>
          <w:bCs/>
          <w:szCs w:val="22"/>
        </w:rPr>
        <w:t xml:space="preserve">  </w:t>
      </w:r>
    </w:p>
    <w:p w14:paraId="751B8762" w14:textId="6A3D0595" w:rsidR="009306D1" w:rsidRPr="008D0115" w:rsidRDefault="008D0115" w:rsidP="008D0115">
      <w:pPr>
        <w:tabs>
          <w:tab w:val="left" w:pos="567"/>
        </w:tabs>
        <w:spacing w:after="480" w:line="480" w:lineRule="auto"/>
        <w:rPr>
          <w:rFonts w:cs="Arial"/>
          <w:bCs/>
          <w:szCs w:val="22"/>
        </w:rPr>
      </w:pPr>
      <w:r w:rsidRPr="00F46EB6">
        <w:rPr>
          <w:rFonts w:cs="Arial"/>
          <w:bCs/>
          <w:szCs w:val="22"/>
        </w:rPr>
        <w:t>[18]</w:t>
      </w:r>
      <w:r w:rsidRPr="00F46EB6">
        <w:rPr>
          <w:rFonts w:cs="Arial"/>
          <w:bCs/>
          <w:szCs w:val="22"/>
        </w:rPr>
        <w:tab/>
      </w:r>
      <w:r w:rsidR="009306D1" w:rsidRPr="008D0115">
        <w:rPr>
          <w:rFonts w:cs="Arial"/>
          <w:bCs/>
          <w:szCs w:val="22"/>
        </w:rPr>
        <w:t xml:space="preserve">The essence of the respondent’s supplementary affidavit, and the </w:t>
      </w:r>
      <w:r w:rsidR="00F46EB6" w:rsidRPr="008D0115">
        <w:rPr>
          <w:rFonts w:cs="Arial"/>
          <w:bCs/>
          <w:szCs w:val="22"/>
        </w:rPr>
        <w:t>reason the respondent submitted</w:t>
      </w:r>
      <w:r w:rsidR="007C0EC7" w:rsidRPr="008D0115">
        <w:rPr>
          <w:rFonts w:cs="Arial"/>
          <w:bCs/>
          <w:szCs w:val="22"/>
        </w:rPr>
        <w:t xml:space="preserve"> it</w:t>
      </w:r>
      <w:r w:rsidR="00F46EB6" w:rsidRPr="008D0115">
        <w:rPr>
          <w:rFonts w:cs="Arial"/>
          <w:bCs/>
          <w:szCs w:val="22"/>
        </w:rPr>
        <w:t xml:space="preserve"> was relevant to the</w:t>
      </w:r>
      <w:r w:rsidR="009306D1" w:rsidRPr="008D0115">
        <w:rPr>
          <w:rFonts w:cs="Arial"/>
          <w:bCs/>
          <w:szCs w:val="22"/>
        </w:rPr>
        <w:t xml:space="preserve"> application</w:t>
      </w:r>
      <w:r w:rsidR="00F46EB6" w:rsidRPr="008D0115">
        <w:rPr>
          <w:rFonts w:cs="Arial"/>
          <w:bCs/>
          <w:szCs w:val="22"/>
        </w:rPr>
        <w:t>,</w:t>
      </w:r>
      <w:r w:rsidR="009306D1" w:rsidRPr="008D0115">
        <w:rPr>
          <w:rFonts w:cs="Arial"/>
          <w:bCs/>
          <w:szCs w:val="22"/>
        </w:rPr>
        <w:t xml:space="preserve"> was that the </w:t>
      </w:r>
      <w:r w:rsidR="007C0EC7" w:rsidRPr="008D0115">
        <w:rPr>
          <w:rFonts w:cs="Arial"/>
          <w:bCs/>
          <w:szCs w:val="22"/>
        </w:rPr>
        <w:t xml:space="preserve">respondent became </w:t>
      </w:r>
      <w:r w:rsidR="007C0EC7" w:rsidRPr="008D0115">
        <w:rPr>
          <w:rFonts w:cs="Arial"/>
          <w:bCs/>
          <w:szCs w:val="22"/>
        </w:rPr>
        <w:lastRenderedPageBreak/>
        <w:t>aware</w:t>
      </w:r>
      <w:r w:rsidR="00F46EB6" w:rsidRPr="008D0115">
        <w:rPr>
          <w:rFonts w:cs="Arial"/>
          <w:bCs/>
          <w:szCs w:val="22"/>
        </w:rPr>
        <w:t>,</w:t>
      </w:r>
      <w:r w:rsidR="009306D1" w:rsidRPr="008D0115">
        <w:rPr>
          <w:rFonts w:cs="Arial"/>
          <w:bCs/>
          <w:szCs w:val="22"/>
        </w:rPr>
        <w:t xml:space="preserve"> af</w:t>
      </w:r>
      <w:r w:rsidR="00F46EB6" w:rsidRPr="008D0115">
        <w:rPr>
          <w:rFonts w:cs="Arial"/>
          <w:bCs/>
          <w:szCs w:val="22"/>
        </w:rPr>
        <w:t xml:space="preserve">ter the parties argued the </w:t>
      </w:r>
      <w:r w:rsidR="009306D1" w:rsidRPr="008D0115">
        <w:rPr>
          <w:rFonts w:cs="Arial"/>
          <w:bCs/>
          <w:szCs w:val="22"/>
        </w:rPr>
        <w:t xml:space="preserve">application, that the </w:t>
      </w:r>
      <w:r w:rsidR="00F46EB6" w:rsidRPr="008D0115">
        <w:rPr>
          <w:rFonts w:cs="Arial"/>
          <w:bCs/>
          <w:szCs w:val="22"/>
        </w:rPr>
        <w:t>applicant</w:t>
      </w:r>
      <w:r w:rsidR="00D748AD" w:rsidRPr="008D0115">
        <w:rPr>
          <w:rFonts w:cs="Arial"/>
          <w:bCs/>
          <w:szCs w:val="22"/>
        </w:rPr>
        <w:t xml:space="preserve"> had </w:t>
      </w:r>
      <w:r w:rsidR="009306D1" w:rsidRPr="008D0115">
        <w:rPr>
          <w:rFonts w:cs="Arial"/>
          <w:bCs/>
          <w:szCs w:val="22"/>
        </w:rPr>
        <w:t>re-employed Mr Lomax who</w:t>
      </w:r>
      <w:r w:rsidR="007C0EC7" w:rsidRPr="008D0115">
        <w:rPr>
          <w:rFonts w:cs="Arial"/>
          <w:bCs/>
          <w:szCs w:val="22"/>
        </w:rPr>
        <w:t xml:space="preserve"> </w:t>
      </w:r>
      <w:r w:rsidR="008E6541" w:rsidRPr="008D0115">
        <w:rPr>
          <w:rFonts w:cs="Arial"/>
          <w:bCs/>
          <w:szCs w:val="22"/>
        </w:rPr>
        <w:t>continued</w:t>
      </w:r>
      <w:r w:rsidR="007C0EC7" w:rsidRPr="008D0115">
        <w:rPr>
          <w:rFonts w:cs="Arial"/>
          <w:bCs/>
          <w:szCs w:val="22"/>
        </w:rPr>
        <w:t xml:space="preserve"> in the applicant’s employ.</w:t>
      </w:r>
    </w:p>
    <w:p w14:paraId="6E2E25A3" w14:textId="14404346" w:rsidR="009306D1" w:rsidRPr="008D0115" w:rsidRDefault="008D0115" w:rsidP="008D0115">
      <w:pPr>
        <w:tabs>
          <w:tab w:val="left" w:pos="567"/>
        </w:tabs>
        <w:spacing w:after="480" w:line="480" w:lineRule="auto"/>
        <w:rPr>
          <w:rFonts w:cs="Arial"/>
          <w:bCs/>
          <w:szCs w:val="22"/>
        </w:rPr>
      </w:pPr>
      <w:r>
        <w:rPr>
          <w:rFonts w:cs="Arial"/>
          <w:bCs/>
          <w:szCs w:val="22"/>
        </w:rPr>
        <w:t>[19]</w:t>
      </w:r>
      <w:r>
        <w:rPr>
          <w:rFonts w:cs="Arial"/>
          <w:bCs/>
          <w:szCs w:val="22"/>
        </w:rPr>
        <w:tab/>
      </w:r>
      <w:r w:rsidR="009306D1" w:rsidRPr="008D0115">
        <w:rPr>
          <w:rFonts w:cs="Arial"/>
          <w:bCs/>
          <w:szCs w:val="22"/>
        </w:rPr>
        <w:t>The</w:t>
      </w:r>
      <w:r w:rsidR="007C0EC7" w:rsidRPr="008D0115">
        <w:rPr>
          <w:rFonts w:cs="Arial"/>
          <w:bCs/>
          <w:szCs w:val="22"/>
        </w:rPr>
        <w:t xml:space="preserve"> applicant</w:t>
      </w:r>
      <w:r w:rsidR="009306D1" w:rsidRPr="008D0115">
        <w:rPr>
          <w:rFonts w:cs="Arial"/>
          <w:bCs/>
          <w:szCs w:val="22"/>
        </w:rPr>
        <w:t xml:space="preserve"> contended that th</w:t>
      </w:r>
      <w:r w:rsidR="008E6541" w:rsidRPr="008D0115">
        <w:rPr>
          <w:rFonts w:cs="Arial"/>
          <w:bCs/>
          <w:szCs w:val="22"/>
        </w:rPr>
        <w:t xml:space="preserve">e fact of Mr Lomax’s employment, </w:t>
      </w:r>
      <w:r w:rsidR="009306D1" w:rsidRPr="008D0115">
        <w:rPr>
          <w:rFonts w:cs="Arial"/>
          <w:bCs/>
          <w:szCs w:val="22"/>
        </w:rPr>
        <w:t xml:space="preserve">subsequent to </w:t>
      </w:r>
      <w:r w:rsidR="007C0EC7" w:rsidRPr="008D0115">
        <w:rPr>
          <w:rFonts w:cs="Arial"/>
          <w:bCs/>
          <w:szCs w:val="22"/>
        </w:rPr>
        <w:t xml:space="preserve">completion of </w:t>
      </w:r>
      <w:r w:rsidR="009306D1" w:rsidRPr="008D0115">
        <w:rPr>
          <w:rFonts w:cs="Arial"/>
          <w:bCs/>
          <w:szCs w:val="22"/>
        </w:rPr>
        <w:t xml:space="preserve">the cause of </w:t>
      </w:r>
      <w:r w:rsidR="007C0EC7" w:rsidRPr="008D0115">
        <w:rPr>
          <w:rFonts w:cs="Arial"/>
          <w:bCs/>
          <w:szCs w:val="22"/>
        </w:rPr>
        <w:t>action in the application</w:t>
      </w:r>
      <w:r w:rsidR="008E6541" w:rsidRPr="008D0115">
        <w:rPr>
          <w:rFonts w:cs="Arial"/>
          <w:bCs/>
          <w:szCs w:val="22"/>
        </w:rPr>
        <w:t>,</w:t>
      </w:r>
      <w:r w:rsidR="007C0EC7" w:rsidRPr="008D0115">
        <w:rPr>
          <w:rFonts w:cs="Arial"/>
          <w:bCs/>
          <w:szCs w:val="22"/>
        </w:rPr>
        <w:t xml:space="preserve"> </w:t>
      </w:r>
      <w:r w:rsidR="008E6541" w:rsidRPr="008D0115">
        <w:rPr>
          <w:rFonts w:cs="Arial"/>
          <w:bCs/>
          <w:szCs w:val="22"/>
        </w:rPr>
        <w:t xml:space="preserve">was irrelevant, </w:t>
      </w:r>
      <w:r w:rsidR="009306D1" w:rsidRPr="008D0115">
        <w:rPr>
          <w:rFonts w:cs="Arial"/>
          <w:bCs/>
          <w:szCs w:val="22"/>
        </w:rPr>
        <w:t>that I should disallow the respondent</w:t>
      </w:r>
      <w:r w:rsidR="00F46EB6" w:rsidRPr="008D0115">
        <w:rPr>
          <w:rFonts w:cs="Arial"/>
          <w:bCs/>
          <w:szCs w:val="22"/>
        </w:rPr>
        <w:t>’s</w:t>
      </w:r>
      <w:r w:rsidR="009306D1" w:rsidRPr="008D0115">
        <w:rPr>
          <w:rFonts w:cs="Arial"/>
          <w:bCs/>
          <w:szCs w:val="22"/>
        </w:rPr>
        <w:t xml:space="preserve"> supplementary affida</w:t>
      </w:r>
      <w:r w:rsidR="00F46EB6" w:rsidRPr="008D0115">
        <w:rPr>
          <w:rFonts w:cs="Arial"/>
          <w:bCs/>
          <w:szCs w:val="22"/>
        </w:rPr>
        <w:t xml:space="preserve">vit and order the costs of the </w:t>
      </w:r>
      <w:r w:rsidR="00D748AD" w:rsidRPr="008D0115">
        <w:rPr>
          <w:rFonts w:cs="Arial"/>
          <w:bCs/>
          <w:szCs w:val="22"/>
        </w:rPr>
        <w:t>interlocutory</w:t>
      </w:r>
      <w:r w:rsidR="00F46EB6" w:rsidRPr="008D0115">
        <w:rPr>
          <w:rFonts w:cs="Arial"/>
          <w:bCs/>
          <w:szCs w:val="22"/>
        </w:rPr>
        <w:t xml:space="preserve"> </w:t>
      </w:r>
      <w:r w:rsidR="009306D1" w:rsidRPr="008D0115">
        <w:rPr>
          <w:rFonts w:cs="Arial"/>
          <w:bCs/>
          <w:szCs w:val="22"/>
        </w:rPr>
        <w:t xml:space="preserve">application against the respondent. </w:t>
      </w:r>
    </w:p>
    <w:p w14:paraId="12C588E4" w14:textId="41730B11" w:rsidR="00BE0654" w:rsidRPr="008D0115" w:rsidRDefault="008D0115" w:rsidP="008D0115">
      <w:pPr>
        <w:tabs>
          <w:tab w:val="left" w:pos="567"/>
        </w:tabs>
        <w:spacing w:after="480" w:line="480" w:lineRule="auto"/>
        <w:rPr>
          <w:rFonts w:cs="Arial"/>
          <w:bCs/>
          <w:szCs w:val="22"/>
        </w:rPr>
      </w:pPr>
      <w:r w:rsidRPr="00992D3F">
        <w:rPr>
          <w:rFonts w:cs="Arial"/>
          <w:bCs/>
          <w:szCs w:val="22"/>
        </w:rPr>
        <w:t>[20]</w:t>
      </w:r>
      <w:r w:rsidRPr="00992D3F">
        <w:rPr>
          <w:rFonts w:cs="Arial"/>
          <w:bCs/>
          <w:szCs w:val="22"/>
        </w:rPr>
        <w:tab/>
      </w:r>
      <w:r w:rsidR="00721E0C" w:rsidRPr="008D0115">
        <w:rPr>
          <w:rFonts w:cs="Arial"/>
          <w:bCs/>
          <w:szCs w:val="22"/>
        </w:rPr>
        <w:t xml:space="preserve">The respondent became aware on 9 March 2022, that Mr Lomax had commenced employment with the applicant </w:t>
      </w:r>
      <w:r w:rsidR="00992D3F" w:rsidRPr="008D0115">
        <w:rPr>
          <w:rFonts w:cs="Arial"/>
          <w:bCs/>
          <w:szCs w:val="22"/>
        </w:rPr>
        <w:t>on 1 February 2022 or thereabouts.</w:t>
      </w:r>
    </w:p>
    <w:p w14:paraId="46C10374" w14:textId="3AE64DA4" w:rsidR="00BE0654" w:rsidRPr="008D0115" w:rsidRDefault="008D0115" w:rsidP="008D0115">
      <w:pPr>
        <w:tabs>
          <w:tab w:val="left" w:pos="567"/>
        </w:tabs>
        <w:spacing w:after="480" w:line="480" w:lineRule="auto"/>
        <w:rPr>
          <w:rFonts w:cs="Arial"/>
          <w:bCs/>
          <w:szCs w:val="22"/>
        </w:rPr>
      </w:pPr>
      <w:r w:rsidRPr="00992D3F">
        <w:rPr>
          <w:rFonts w:cs="Arial"/>
          <w:bCs/>
          <w:szCs w:val="22"/>
        </w:rPr>
        <w:t>[21]</w:t>
      </w:r>
      <w:r w:rsidRPr="00992D3F">
        <w:rPr>
          <w:rFonts w:cs="Arial"/>
          <w:bCs/>
          <w:szCs w:val="22"/>
        </w:rPr>
        <w:tab/>
      </w:r>
      <w:r w:rsidR="00992D3F" w:rsidRPr="008D0115">
        <w:rPr>
          <w:rFonts w:cs="Arial"/>
          <w:bCs/>
          <w:szCs w:val="22"/>
        </w:rPr>
        <w:t xml:space="preserve">One of the issues raised by the respondent was that the applicant, on 24 January 2022, when I heard the application, </w:t>
      </w:r>
      <w:r w:rsidR="006E3E8A" w:rsidRPr="008D0115">
        <w:rPr>
          <w:rFonts w:cs="Arial"/>
          <w:bCs/>
          <w:szCs w:val="22"/>
        </w:rPr>
        <w:t>must have kno</w:t>
      </w:r>
      <w:r w:rsidR="00992D3F" w:rsidRPr="008D0115">
        <w:rPr>
          <w:rFonts w:cs="Arial"/>
          <w:bCs/>
          <w:szCs w:val="22"/>
        </w:rPr>
        <w:t>w</w:t>
      </w:r>
      <w:r w:rsidR="006E3E8A" w:rsidRPr="008D0115">
        <w:rPr>
          <w:rFonts w:cs="Arial"/>
          <w:bCs/>
          <w:szCs w:val="22"/>
        </w:rPr>
        <w:t>n</w:t>
      </w:r>
      <w:r w:rsidR="00992D3F" w:rsidRPr="008D0115">
        <w:rPr>
          <w:rFonts w:cs="Arial"/>
          <w:bCs/>
          <w:szCs w:val="22"/>
        </w:rPr>
        <w:t xml:space="preserve"> that it had signed a fresh emplo</w:t>
      </w:r>
      <w:r w:rsidR="008E6541" w:rsidRPr="008D0115">
        <w:rPr>
          <w:rFonts w:cs="Arial"/>
          <w:bCs/>
          <w:szCs w:val="22"/>
        </w:rPr>
        <w:t>yment contract with Mr Lomax but</w:t>
      </w:r>
      <w:r w:rsidR="00992D3F" w:rsidRPr="008D0115">
        <w:rPr>
          <w:rFonts w:cs="Arial"/>
          <w:bCs/>
          <w:szCs w:val="22"/>
        </w:rPr>
        <w:t xml:space="preserve"> elected to stay silent on the </w:t>
      </w:r>
      <w:r w:rsidR="00D748AD" w:rsidRPr="008D0115">
        <w:rPr>
          <w:rFonts w:cs="Arial"/>
          <w:bCs/>
          <w:szCs w:val="22"/>
        </w:rPr>
        <w:t xml:space="preserve">issue.  </w:t>
      </w:r>
      <w:r w:rsidR="00992D3F" w:rsidRPr="008D0115">
        <w:rPr>
          <w:rFonts w:cs="Arial"/>
          <w:bCs/>
          <w:szCs w:val="22"/>
        </w:rPr>
        <w:t xml:space="preserve">  </w:t>
      </w:r>
    </w:p>
    <w:p w14:paraId="722E9C42" w14:textId="6689B4EB" w:rsidR="00BE0654" w:rsidRPr="008D0115" w:rsidRDefault="008D0115" w:rsidP="008D0115">
      <w:pPr>
        <w:tabs>
          <w:tab w:val="left" w:pos="567"/>
        </w:tabs>
        <w:spacing w:after="480" w:line="480" w:lineRule="auto"/>
        <w:rPr>
          <w:rFonts w:cs="Arial"/>
          <w:bCs/>
          <w:szCs w:val="22"/>
        </w:rPr>
      </w:pPr>
      <w:r>
        <w:rPr>
          <w:rFonts w:cs="Arial"/>
          <w:bCs/>
          <w:szCs w:val="22"/>
        </w:rPr>
        <w:t>[22]</w:t>
      </w:r>
      <w:r>
        <w:rPr>
          <w:rFonts w:cs="Arial"/>
          <w:bCs/>
          <w:szCs w:val="22"/>
        </w:rPr>
        <w:tab/>
      </w:r>
      <w:r w:rsidR="00C50603" w:rsidRPr="008D0115">
        <w:rPr>
          <w:rFonts w:cs="Arial"/>
          <w:bCs/>
          <w:szCs w:val="22"/>
        </w:rPr>
        <w:t>T</w:t>
      </w:r>
      <w:r w:rsidR="00BE0654" w:rsidRPr="008D0115">
        <w:rPr>
          <w:rFonts w:cs="Arial"/>
          <w:bCs/>
          <w:szCs w:val="22"/>
        </w:rPr>
        <w:t>he applicant’s senior counsel informed me that he had no knowledge of the applicant’s pending re-employm</w:t>
      </w:r>
      <w:r w:rsidR="00027525" w:rsidRPr="008D0115">
        <w:rPr>
          <w:rFonts w:cs="Arial"/>
          <w:bCs/>
          <w:szCs w:val="22"/>
        </w:rPr>
        <w:t xml:space="preserve">ent of Mr Lomax when the parties argued the application. </w:t>
      </w:r>
      <w:r w:rsidR="00BE0654" w:rsidRPr="008D0115">
        <w:rPr>
          <w:rFonts w:cs="Arial"/>
          <w:bCs/>
          <w:szCs w:val="22"/>
        </w:rPr>
        <w:t>I accept</w:t>
      </w:r>
      <w:r w:rsidR="00027525" w:rsidRPr="008D0115">
        <w:rPr>
          <w:rFonts w:cs="Arial"/>
          <w:bCs/>
          <w:szCs w:val="22"/>
        </w:rPr>
        <w:t>ed</w:t>
      </w:r>
      <w:r w:rsidR="00C50603" w:rsidRPr="008D0115">
        <w:rPr>
          <w:rFonts w:cs="Arial"/>
          <w:bCs/>
          <w:szCs w:val="22"/>
        </w:rPr>
        <w:t>,</w:t>
      </w:r>
      <w:r w:rsidR="00027525" w:rsidRPr="008D0115">
        <w:rPr>
          <w:rFonts w:cs="Arial"/>
          <w:bCs/>
          <w:szCs w:val="22"/>
        </w:rPr>
        <w:t xml:space="preserve"> as did the respondent’s counsel,</w:t>
      </w:r>
      <w:r w:rsidR="009D4CBB" w:rsidRPr="008D0115">
        <w:rPr>
          <w:rFonts w:cs="Arial"/>
          <w:bCs/>
          <w:szCs w:val="22"/>
        </w:rPr>
        <w:t xml:space="preserve"> </w:t>
      </w:r>
      <w:r w:rsidR="00027525" w:rsidRPr="008D0115">
        <w:rPr>
          <w:rFonts w:cs="Arial"/>
          <w:bCs/>
          <w:szCs w:val="22"/>
        </w:rPr>
        <w:t>the applicant’s senior counsel</w:t>
      </w:r>
      <w:r w:rsidR="006E3E8A" w:rsidRPr="008D0115">
        <w:rPr>
          <w:rFonts w:cs="Arial"/>
          <w:bCs/>
          <w:szCs w:val="22"/>
        </w:rPr>
        <w:t>’s statement</w:t>
      </w:r>
      <w:r w:rsidR="00C50603" w:rsidRPr="008D0115">
        <w:rPr>
          <w:rFonts w:cs="Arial"/>
          <w:bCs/>
          <w:szCs w:val="22"/>
        </w:rPr>
        <w:t xml:space="preserve"> in that regard.</w:t>
      </w:r>
      <w:r w:rsidR="00BE0654" w:rsidRPr="008D0115">
        <w:rPr>
          <w:rFonts w:cs="Arial"/>
          <w:bCs/>
          <w:szCs w:val="22"/>
        </w:rPr>
        <w:t xml:space="preserve"> </w:t>
      </w:r>
    </w:p>
    <w:p w14:paraId="4C462E94" w14:textId="180A24AE" w:rsidR="00BE0654" w:rsidRPr="008D0115" w:rsidRDefault="008D0115" w:rsidP="008D0115">
      <w:pPr>
        <w:tabs>
          <w:tab w:val="left" w:pos="567"/>
        </w:tabs>
        <w:spacing w:after="480" w:line="480" w:lineRule="auto"/>
        <w:rPr>
          <w:rFonts w:cs="Arial"/>
          <w:b/>
          <w:bCs/>
          <w:szCs w:val="22"/>
        </w:rPr>
      </w:pPr>
      <w:r w:rsidRPr="008E6541">
        <w:rPr>
          <w:rFonts w:cs="Arial"/>
          <w:bCs/>
          <w:szCs w:val="22"/>
        </w:rPr>
        <w:t>[23]</w:t>
      </w:r>
      <w:r w:rsidRPr="008E6541">
        <w:rPr>
          <w:rFonts w:cs="Arial"/>
          <w:bCs/>
          <w:szCs w:val="22"/>
        </w:rPr>
        <w:tab/>
      </w:r>
      <w:r w:rsidR="008E6541" w:rsidRPr="008D0115">
        <w:rPr>
          <w:rFonts w:cs="Arial"/>
          <w:bCs/>
          <w:szCs w:val="22"/>
        </w:rPr>
        <w:t xml:space="preserve">This judgment deals with the issues in the application together with those in the interlocutory application, in so far as it is necessary to do so in the light of my findings in the application.  </w:t>
      </w:r>
    </w:p>
    <w:p w14:paraId="4402C284" w14:textId="53685852" w:rsidR="00E7127F" w:rsidRPr="008D0115" w:rsidRDefault="008D0115" w:rsidP="008D0115">
      <w:pPr>
        <w:tabs>
          <w:tab w:val="left" w:pos="567"/>
        </w:tabs>
        <w:spacing w:after="480" w:line="480" w:lineRule="auto"/>
        <w:rPr>
          <w:rFonts w:cs="Arial"/>
          <w:bCs/>
          <w:szCs w:val="22"/>
        </w:rPr>
      </w:pPr>
      <w:r w:rsidRPr="008E6541">
        <w:rPr>
          <w:rFonts w:cs="Arial"/>
          <w:bCs/>
          <w:szCs w:val="22"/>
        </w:rPr>
        <w:t>[24]</w:t>
      </w:r>
      <w:r w:rsidRPr="008E6541">
        <w:rPr>
          <w:rFonts w:cs="Arial"/>
          <w:bCs/>
          <w:szCs w:val="22"/>
        </w:rPr>
        <w:tab/>
      </w:r>
      <w:r w:rsidR="00D56B76" w:rsidRPr="008D0115">
        <w:rPr>
          <w:rFonts w:cs="Arial"/>
          <w:bCs/>
          <w:szCs w:val="22"/>
        </w:rPr>
        <w:t>I turn to deal with the application.</w:t>
      </w:r>
    </w:p>
    <w:p w14:paraId="2BA19415" w14:textId="206AE8A0" w:rsidR="00A2071A" w:rsidRPr="008D0115" w:rsidRDefault="008D0115" w:rsidP="008D0115">
      <w:pPr>
        <w:tabs>
          <w:tab w:val="left" w:pos="567"/>
        </w:tabs>
        <w:spacing w:after="480" w:line="480" w:lineRule="auto"/>
        <w:rPr>
          <w:rFonts w:cs="Arial"/>
          <w:bCs/>
          <w:szCs w:val="22"/>
        </w:rPr>
      </w:pPr>
      <w:r>
        <w:rPr>
          <w:rFonts w:cs="Arial"/>
          <w:bCs/>
          <w:szCs w:val="22"/>
        </w:rPr>
        <w:t>[25]</w:t>
      </w:r>
      <w:r>
        <w:rPr>
          <w:rFonts w:cs="Arial"/>
          <w:bCs/>
          <w:szCs w:val="22"/>
        </w:rPr>
        <w:tab/>
      </w:r>
      <w:r w:rsidR="008E6541" w:rsidRPr="008D0115">
        <w:rPr>
          <w:rFonts w:cs="Arial"/>
          <w:bCs/>
          <w:szCs w:val="22"/>
        </w:rPr>
        <w:t xml:space="preserve">The respondent’s counsel </w:t>
      </w:r>
      <w:r w:rsidR="00A2071A" w:rsidRPr="008D0115">
        <w:rPr>
          <w:rFonts w:cs="Arial"/>
          <w:bCs/>
          <w:szCs w:val="22"/>
        </w:rPr>
        <w:t>raised three facts ag</w:t>
      </w:r>
      <w:r w:rsidR="00DA6EAD" w:rsidRPr="008D0115">
        <w:rPr>
          <w:rFonts w:cs="Arial"/>
          <w:bCs/>
          <w:szCs w:val="22"/>
        </w:rPr>
        <w:t>ainst the background of which he</w:t>
      </w:r>
      <w:r w:rsidR="00A2071A" w:rsidRPr="008D0115">
        <w:rPr>
          <w:rFonts w:cs="Arial"/>
          <w:bCs/>
          <w:szCs w:val="22"/>
        </w:rPr>
        <w:t xml:space="preserve"> submitted the interpretive exercise should take place. These </w:t>
      </w:r>
      <w:r w:rsidR="008E6541" w:rsidRPr="008D0115">
        <w:rPr>
          <w:rFonts w:cs="Arial"/>
          <w:bCs/>
          <w:szCs w:val="22"/>
        </w:rPr>
        <w:t xml:space="preserve">facts </w:t>
      </w:r>
      <w:r w:rsidR="00A2071A" w:rsidRPr="008D0115">
        <w:rPr>
          <w:rFonts w:cs="Arial"/>
          <w:bCs/>
          <w:szCs w:val="22"/>
        </w:rPr>
        <w:t xml:space="preserve">were that the </w:t>
      </w:r>
      <w:r w:rsidR="00A2071A" w:rsidRPr="008D0115">
        <w:rPr>
          <w:rFonts w:cs="Arial"/>
          <w:bCs/>
          <w:szCs w:val="22"/>
        </w:rPr>
        <w:lastRenderedPageBreak/>
        <w:t xml:space="preserve">respondent did everything it was obliged to </w:t>
      </w:r>
      <w:r w:rsidR="00027A20" w:rsidRPr="008D0115">
        <w:rPr>
          <w:rFonts w:cs="Arial"/>
          <w:bCs/>
          <w:szCs w:val="22"/>
        </w:rPr>
        <w:t xml:space="preserve">do in terms of the contract, </w:t>
      </w:r>
      <w:r w:rsidR="002B6742" w:rsidRPr="008D0115">
        <w:rPr>
          <w:rFonts w:cs="Arial"/>
          <w:bCs/>
          <w:szCs w:val="22"/>
        </w:rPr>
        <w:t>expended</w:t>
      </w:r>
      <w:r w:rsidR="00DC6FD1" w:rsidRPr="008D0115">
        <w:rPr>
          <w:rFonts w:cs="Arial"/>
          <w:bCs/>
          <w:szCs w:val="22"/>
        </w:rPr>
        <w:t xml:space="preserve"> time and </w:t>
      </w:r>
      <w:r w:rsidR="00027A20" w:rsidRPr="008D0115">
        <w:rPr>
          <w:rFonts w:cs="Arial"/>
          <w:bCs/>
          <w:szCs w:val="22"/>
        </w:rPr>
        <w:t>resources</w:t>
      </w:r>
      <w:r w:rsidR="008E6541" w:rsidRPr="008D0115">
        <w:rPr>
          <w:rFonts w:cs="Arial"/>
          <w:bCs/>
          <w:szCs w:val="22"/>
        </w:rPr>
        <w:t xml:space="preserve"> o</w:t>
      </w:r>
      <w:r w:rsidR="00DC6FD1" w:rsidRPr="008D0115">
        <w:rPr>
          <w:rFonts w:cs="Arial"/>
          <w:bCs/>
          <w:szCs w:val="22"/>
        </w:rPr>
        <w:t xml:space="preserve">n an exhaustive </w:t>
      </w:r>
      <w:r w:rsidR="008E6541" w:rsidRPr="008D0115">
        <w:rPr>
          <w:rFonts w:cs="Arial"/>
          <w:bCs/>
          <w:szCs w:val="22"/>
        </w:rPr>
        <w:t>selection process</w:t>
      </w:r>
      <w:r w:rsidR="00A2071A" w:rsidRPr="008D0115">
        <w:rPr>
          <w:rFonts w:cs="Arial"/>
          <w:bCs/>
          <w:szCs w:val="22"/>
        </w:rPr>
        <w:t xml:space="preserve"> and ultimately, recomme</w:t>
      </w:r>
      <w:r w:rsidR="00DC6FD1" w:rsidRPr="008D0115">
        <w:rPr>
          <w:rFonts w:cs="Arial"/>
          <w:bCs/>
          <w:szCs w:val="22"/>
        </w:rPr>
        <w:t xml:space="preserve">nded Mr Lomax to the applicant. The latter </w:t>
      </w:r>
      <w:r w:rsidR="00A2071A" w:rsidRPr="008D0115">
        <w:rPr>
          <w:rFonts w:cs="Arial"/>
          <w:bCs/>
          <w:szCs w:val="22"/>
        </w:rPr>
        <w:t xml:space="preserve">accepted Mr Lomax and concluded an employment contract with him. </w:t>
      </w:r>
    </w:p>
    <w:p w14:paraId="170CEC10" w14:textId="195C5AE2" w:rsidR="00027A20" w:rsidRPr="008D0115" w:rsidRDefault="008D0115" w:rsidP="008D0115">
      <w:pPr>
        <w:tabs>
          <w:tab w:val="left" w:pos="567"/>
        </w:tabs>
        <w:spacing w:after="480" w:line="480" w:lineRule="auto"/>
        <w:rPr>
          <w:rFonts w:cs="Arial"/>
          <w:bCs/>
          <w:szCs w:val="22"/>
        </w:rPr>
      </w:pPr>
      <w:r>
        <w:rPr>
          <w:rFonts w:cs="Arial"/>
          <w:bCs/>
          <w:szCs w:val="22"/>
        </w:rPr>
        <w:t>[26]</w:t>
      </w:r>
      <w:r>
        <w:rPr>
          <w:rFonts w:cs="Arial"/>
          <w:bCs/>
          <w:szCs w:val="22"/>
        </w:rPr>
        <w:tab/>
      </w:r>
      <w:r w:rsidR="00A2071A" w:rsidRPr="008D0115">
        <w:rPr>
          <w:rFonts w:cs="Arial"/>
          <w:bCs/>
          <w:szCs w:val="22"/>
        </w:rPr>
        <w:t>There was no dispute in respect of Mr Lomax’s</w:t>
      </w:r>
      <w:r w:rsidR="00027A20" w:rsidRPr="008D0115">
        <w:rPr>
          <w:rFonts w:cs="Arial"/>
          <w:bCs/>
          <w:szCs w:val="22"/>
        </w:rPr>
        <w:t xml:space="preserve"> suitability for the position with</w:t>
      </w:r>
      <w:r w:rsidR="00A2071A" w:rsidRPr="008D0115">
        <w:rPr>
          <w:rFonts w:cs="Arial"/>
          <w:bCs/>
          <w:szCs w:val="22"/>
        </w:rPr>
        <w:t xml:space="preserve"> the applicant. </w:t>
      </w:r>
      <w:r w:rsidR="00027A20" w:rsidRPr="008D0115">
        <w:rPr>
          <w:rFonts w:cs="Arial"/>
          <w:bCs/>
          <w:szCs w:val="22"/>
        </w:rPr>
        <w:t xml:space="preserve">Mr Lomax was the </w:t>
      </w:r>
      <w:r w:rsidR="00A2071A" w:rsidRPr="008D0115">
        <w:rPr>
          <w:rFonts w:cs="Arial"/>
          <w:bCs/>
          <w:szCs w:val="22"/>
        </w:rPr>
        <w:t>appropri</w:t>
      </w:r>
      <w:r w:rsidR="002B6742" w:rsidRPr="008D0115">
        <w:rPr>
          <w:rFonts w:cs="Arial"/>
          <w:bCs/>
          <w:szCs w:val="22"/>
        </w:rPr>
        <w:t>ate and most sui</w:t>
      </w:r>
      <w:r w:rsidR="008E6541" w:rsidRPr="008D0115">
        <w:rPr>
          <w:rFonts w:cs="Arial"/>
          <w:bCs/>
          <w:szCs w:val="22"/>
        </w:rPr>
        <w:t>table candidate for the job</w:t>
      </w:r>
      <w:r w:rsidR="002B6742" w:rsidRPr="008D0115">
        <w:rPr>
          <w:rFonts w:cs="Arial"/>
          <w:bCs/>
          <w:szCs w:val="22"/>
        </w:rPr>
        <w:t>.</w:t>
      </w:r>
    </w:p>
    <w:p w14:paraId="35AF9257" w14:textId="0B18CC4D" w:rsidR="00A2071A" w:rsidRPr="008D0115" w:rsidRDefault="008D0115" w:rsidP="008D0115">
      <w:pPr>
        <w:tabs>
          <w:tab w:val="left" w:pos="567"/>
        </w:tabs>
        <w:spacing w:after="480" w:line="480" w:lineRule="auto"/>
        <w:rPr>
          <w:rFonts w:cs="Arial"/>
          <w:bCs/>
          <w:szCs w:val="22"/>
        </w:rPr>
      </w:pPr>
      <w:r w:rsidRPr="00027A20">
        <w:rPr>
          <w:rFonts w:cs="Arial"/>
          <w:bCs/>
          <w:szCs w:val="22"/>
        </w:rPr>
        <w:t>[27]</w:t>
      </w:r>
      <w:r w:rsidRPr="00027A20">
        <w:rPr>
          <w:rFonts w:cs="Arial"/>
          <w:bCs/>
          <w:szCs w:val="22"/>
        </w:rPr>
        <w:tab/>
      </w:r>
      <w:r w:rsidR="00027A20" w:rsidRPr="008D0115">
        <w:rPr>
          <w:rFonts w:cs="Arial"/>
          <w:bCs/>
          <w:szCs w:val="22"/>
        </w:rPr>
        <w:t>Secondly,</w:t>
      </w:r>
      <w:r w:rsidR="00A2071A" w:rsidRPr="008D0115">
        <w:rPr>
          <w:rFonts w:cs="Arial"/>
          <w:bCs/>
          <w:szCs w:val="22"/>
        </w:rPr>
        <w:t xml:space="preserve"> Mr Lomax</w:t>
      </w:r>
      <w:r w:rsidR="00027A20" w:rsidRPr="008D0115">
        <w:rPr>
          <w:rFonts w:cs="Arial"/>
          <w:bCs/>
          <w:szCs w:val="22"/>
        </w:rPr>
        <w:t>’s</w:t>
      </w:r>
      <w:r w:rsidR="00A2071A" w:rsidRPr="008D0115">
        <w:rPr>
          <w:rFonts w:cs="Arial"/>
          <w:bCs/>
          <w:szCs w:val="22"/>
        </w:rPr>
        <w:t xml:space="preserve"> depart</w:t>
      </w:r>
      <w:r w:rsidR="00027A20" w:rsidRPr="008D0115">
        <w:rPr>
          <w:rFonts w:cs="Arial"/>
          <w:bCs/>
          <w:szCs w:val="22"/>
        </w:rPr>
        <w:t>ure from the applicant</w:t>
      </w:r>
      <w:r w:rsidR="00A2071A" w:rsidRPr="008D0115">
        <w:rPr>
          <w:rFonts w:cs="Arial"/>
          <w:bCs/>
          <w:szCs w:val="22"/>
        </w:rPr>
        <w:t xml:space="preserve"> had nothing to do with his perfor</w:t>
      </w:r>
      <w:r w:rsidR="00DA6EAD" w:rsidRPr="008D0115">
        <w:rPr>
          <w:rFonts w:cs="Arial"/>
          <w:bCs/>
          <w:szCs w:val="22"/>
        </w:rPr>
        <w:t>mance in the role or any breach</w:t>
      </w:r>
      <w:r w:rsidR="00027A20" w:rsidRPr="008D0115">
        <w:rPr>
          <w:rFonts w:cs="Arial"/>
          <w:bCs/>
          <w:szCs w:val="22"/>
        </w:rPr>
        <w:t xml:space="preserve"> on the respondent’s part of the agreement.</w:t>
      </w:r>
      <w:r w:rsidR="00A2071A" w:rsidRPr="008D0115">
        <w:rPr>
          <w:rFonts w:cs="Arial"/>
          <w:bCs/>
          <w:szCs w:val="22"/>
        </w:rPr>
        <w:t xml:space="preserve"> The </w:t>
      </w:r>
      <w:r w:rsidR="00027A20" w:rsidRPr="008D0115">
        <w:rPr>
          <w:rFonts w:cs="Arial"/>
          <w:bCs/>
          <w:szCs w:val="22"/>
        </w:rPr>
        <w:t>respondent did not fail</w:t>
      </w:r>
      <w:r w:rsidR="00A2071A" w:rsidRPr="008D0115">
        <w:rPr>
          <w:rFonts w:cs="Arial"/>
          <w:bCs/>
          <w:szCs w:val="22"/>
        </w:rPr>
        <w:t xml:space="preserve"> to perform any of the oblig</w:t>
      </w:r>
      <w:r w:rsidR="00DA6EAD" w:rsidRPr="008D0115">
        <w:rPr>
          <w:rFonts w:cs="Arial"/>
          <w:bCs/>
          <w:szCs w:val="22"/>
        </w:rPr>
        <w:t>ations resting on it under</w:t>
      </w:r>
      <w:r w:rsidR="00A2071A" w:rsidRPr="008D0115">
        <w:rPr>
          <w:rFonts w:cs="Arial"/>
          <w:bCs/>
          <w:szCs w:val="22"/>
        </w:rPr>
        <w:t xml:space="preserve"> the agreement. </w:t>
      </w:r>
      <w:r w:rsidR="00027A20" w:rsidRPr="008D0115">
        <w:rPr>
          <w:rFonts w:cs="Arial"/>
          <w:bCs/>
          <w:szCs w:val="22"/>
        </w:rPr>
        <w:t xml:space="preserve"> </w:t>
      </w:r>
    </w:p>
    <w:p w14:paraId="5E2FFDC5" w14:textId="4631C40F" w:rsidR="00A2071A" w:rsidRPr="008D0115" w:rsidRDefault="008D0115" w:rsidP="008D0115">
      <w:pPr>
        <w:tabs>
          <w:tab w:val="left" w:pos="567"/>
        </w:tabs>
        <w:spacing w:after="480" w:line="480" w:lineRule="auto"/>
        <w:rPr>
          <w:rFonts w:cs="Arial"/>
          <w:bCs/>
          <w:szCs w:val="22"/>
        </w:rPr>
      </w:pPr>
      <w:r>
        <w:rPr>
          <w:rFonts w:cs="Arial"/>
          <w:bCs/>
          <w:szCs w:val="22"/>
        </w:rPr>
        <w:t>[28]</w:t>
      </w:r>
      <w:r>
        <w:rPr>
          <w:rFonts w:cs="Arial"/>
          <w:bCs/>
          <w:szCs w:val="22"/>
        </w:rPr>
        <w:tab/>
      </w:r>
      <w:r w:rsidR="002B6742" w:rsidRPr="008D0115">
        <w:rPr>
          <w:rFonts w:cs="Arial"/>
          <w:bCs/>
          <w:szCs w:val="22"/>
        </w:rPr>
        <w:t>Lastly, Mr Lomax</w:t>
      </w:r>
      <w:r w:rsidR="00A2071A" w:rsidRPr="008D0115">
        <w:rPr>
          <w:rFonts w:cs="Arial"/>
          <w:bCs/>
          <w:szCs w:val="22"/>
        </w:rPr>
        <w:t xml:space="preserve"> declining to take up the position wi</w:t>
      </w:r>
      <w:r w:rsidR="002B6742" w:rsidRPr="008D0115">
        <w:rPr>
          <w:rFonts w:cs="Arial"/>
          <w:bCs/>
          <w:szCs w:val="22"/>
        </w:rPr>
        <w:t xml:space="preserve">th the applicant was the result, effectively, </w:t>
      </w:r>
      <w:r w:rsidR="00A2071A" w:rsidRPr="008D0115">
        <w:rPr>
          <w:rFonts w:cs="Arial"/>
          <w:bCs/>
          <w:szCs w:val="22"/>
        </w:rPr>
        <w:t>of a common consensus betwee</w:t>
      </w:r>
      <w:r w:rsidR="008E6541" w:rsidRPr="008D0115">
        <w:rPr>
          <w:rFonts w:cs="Arial"/>
          <w:bCs/>
          <w:szCs w:val="22"/>
        </w:rPr>
        <w:t>n the applicant and Mr Lomax. T</w:t>
      </w:r>
      <w:r w:rsidR="00A2071A" w:rsidRPr="008D0115">
        <w:rPr>
          <w:rFonts w:cs="Arial"/>
          <w:bCs/>
          <w:szCs w:val="22"/>
        </w:rPr>
        <w:t>he respondent played no p</w:t>
      </w:r>
      <w:r w:rsidR="00027A20" w:rsidRPr="008D0115">
        <w:rPr>
          <w:rFonts w:cs="Arial"/>
          <w:bCs/>
          <w:szCs w:val="22"/>
        </w:rPr>
        <w:t>art in that common consensus or</w:t>
      </w:r>
      <w:r w:rsidR="00A2071A" w:rsidRPr="008D0115">
        <w:rPr>
          <w:rFonts w:cs="Arial"/>
          <w:bCs/>
          <w:szCs w:val="22"/>
        </w:rPr>
        <w:t xml:space="preserve"> </w:t>
      </w:r>
      <w:r w:rsidR="00DA6EAD" w:rsidRPr="008D0115">
        <w:rPr>
          <w:rFonts w:cs="Arial"/>
          <w:bCs/>
          <w:szCs w:val="22"/>
        </w:rPr>
        <w:t xml:space="preserve">in </w:t>
      </w:r>
      <w:r w:rsidR="00A2071A" w:rsidRPr="008D0115">
        <w:rPr>
          <w:rFonts w:cs="Arial"/>
          <w:bCs/>
          <w:szCs w:val="22"/>
        </w:rPr>
        <w:t xml:space="preserve">Mr </w:t>
      </w:r>
      <w:r w:rsidR="00027A20" w:rsidRPr="008D0115">
        <w:rPr>
          <w:rFonts w:cs="Arial"/>
          <w:bCs/>
          <w:szCs w:val="22"/>
        </w:rPr>
        <w:t>Lomax’s decision to return to</w:t>
      </w:r>
      <w:r w:rsidR="00A2071A" w:rsidRPr="008D0115">
        <w:rPr>
          <w:rFonts w:cs="Arial"/>
          <w:bCs/>
          <w:szCs w:val="22"/>
        </w:rPr>
        <w:t xml:space="preserve"> his previous employment</w:t>
      </w:r>
      <w:r w:rsidR="00027A20" w:rsidRPr="008D0115">
        <w:rPr>
          <w:rFonts w:cs="Arial"/>
          <w:bCs/>
          <w:szCs w:val="22"/>
        </w:rPr>
        <w:t xml:space="preserve">. Mr Lomax’s </w:t>
      </w:r>
      <w:r w:rsidR="00DA6EAD" w:rsidRPr="008D0115">
        <w:rPr>
          <w:rFonts w:cs="Arial"/>
          <w:bCs/>
          <w:szCs w:val="22"/>
        </w:rPr>
        <w:t>actions</w:t>
      </w:r>
      <w:r w:rsidR="00027A20" w:rsidRPr="008D0115">
        <w:rPr>
          <w:rFonts w:cs="Arial"/>
          <w:bCs/>
          <w:szCs w:val="22"/>
        </w:rPr>
        <w:t xml:space="preserve"> </w:t>
      </w:r>
      <w:r w:rsidR="00A2071A" w:rsidRPr="008D0115">
        <w:rPr>
          <w:rFonts w:cs="Arial"/>
          <w:bCs/>
          <w:szCs w:val="22"/>
        </w:rPr>
        <w:t>had nothing to do with the respondent.</w:t>
      </w:r>
    </w:p>
    <w:p w14:paraId="6AA512E0" w14:textId="04D3C56B" w:rsidR="00A2071A" w:rsidRPr="008D0115" w:rsidRDefault="008D0115" w:rsidP="008D0115">
      <w:pPr>
        <w:tabs>
          <w:tab w:val="left" w:pos="567"/>
        </w:tabs>
        <w:spacing w:after="480" w:line="480" w:lineRule="auto"/>
        <w:rPr>
          <w:rFonts w:cs="Arial"/>
          <w:bCs/>
          <w:szCs w:val="22"/>
        </w:rPr>
      </w:pPr>
      <w:r>
        <w:rPr>
          <w:rFonts w:cs="Arial"/>
          <w:bCs/>
          <w:szCs w:val="22"/>
        </w:rPr>
        <w:t>[29]</w:t>
      </w:r>
      <w:r>
        <w:rPr>
          <w:rFonts w:cs="Arial"/>
          <w:bCs/>
          <w:szCs w:val="22"/>
        </w:rPr>
        <w:tab/>
      </w:r>
      <w:r w:rsidR="00A2071A" w:rsidRPr="008D0115">
        <w:rPr>
          <w:rFonts w:cs="Arial"/>
          <w:bCs/>
          <w:szCs w:val="22"/>
        </w:rPr>
        <w:t xml:space="preserve">The respondent </w:t>
      </w:r>
      <w:r w:rsidR="006E6890" w:rsidRPr="008D0115">
        <w:rPr>
          <w:rFonts w:cs="Arial"/>
          <w:bCs/>
          <w:szCs w:val="22"/>
        </w:rPr>
        <w:t>pointed to the drastic cost reduction exercise undertaken by the applicant pur</w:t>
      </w:r>
      <w:r w:rsidR="00027A20" w:rsidRPr="008D0115">
        <w:rPr>
          <w:rFonts w:cs="Arial"/>
          <w:bCs/>
          <w:szCs w:val="22"/>
        </w:rPr>
        <w:t>suant to the envisaged consequences of the pandemic.</w:t>
      </w:r>
      <w:r w:rsidR="006E6890" w:rsidRPr="008D0115">
        <w:rPr>
          <w:rFonts w:cs="Arial"/>
          <w:bCs/>
          <w:szCs w:val="22"/>
        </w:rPr>
        <w:t xml:space="preserve"> The common consensus forged between the applicant and Mr Lomax, ultimately, was a commercial arrangement between the two o</w:t>
      </w:r>
      <w:r w:rsidR="002B6742" w:rsidRPr="008D0115">
        <w:rPr>
          <w:rFonts w:cs="Arial"/>
          <w:bCs/>
          <w:szCs w:val="22"/>
        </w:rPr>
        <w:t xml:space="preserve">f them pursuant to the circumstances at </w:t>
      </w:r>
      <w:r w:rsidR="006E6890" w:rsidRPr="008D0115">
        <w:rPr>
          <w:rFonts w:cs="Arial"/>
          <w:bCs/>
          <w:szCs w:val="22"/>
        </w:rPr>
        <w:t xml:space="preserve">the time. </w:t>
      </w:r>
    </w:p>
    <w:p w14:paraId="7007302A" w14:textId="2F34E315" w:rsidR="006E6890" w:rsidRPr="008D0115" w:rsidRDefault="008D0115" w:rsidP="008D0115">
      <w:pPr>
        <w:tabs>
          <w:tab w:val="left" w:pos="567"/>
        </w:tabs>
        <w:spacing w:after="480" w:line="480" w:lineRule="auto"/>
        <w:rPr>
          <w:rFonts w:cs="Arial"/>
          <w:bCs/>
          <w:szCs w:val="22"/>
        </w:rPr>
      </w:pPr>
      <w:r>
        <w:rPr>
          <w:rFonts w:cs="Arial"/>
          <w:bCs/>
          <w:szCs w:val="22"/>
        </w:rPr>
        <w:t>[30]</w:t>
      </w:r>
      <w:r>
        <w:rPr>
          <w:rFonts w:cs="Arial"/>
          <w:bCs/>
          <w:szCs w:val="22"/>
        </w:rPr>
        <w:tab/>
      </w:r>
      <w:r w:rsidR="006E6890" w:rsidRPr="008D0115">
        <w:rPr>
          <w:rFonts w:cs="Arial"/>
          <w:bCs/>
          <w:szCs w:val="22"/>
        </w:rPr>
        <w:t>The respondent, however, complied with its obligations in their entirety</w:t>
      </w:r>
      <w:r w:rsidR="004522B4" w:rsidRPr="008D0115">
        <w:rPr>
          <w:rFonts w:cs="Arial"/>
          <w:bCs/>
          <w:szCs w:val="22"/>
        </w:rPr>
        <w:t>. O</w:t>
      </w:r>
      <w:r w:rsidR="006E6890" w:rsidRPr="008D0115">
        <w:rPr>
          <w:rFonts w:cs="Arial"/>
          <w:bCs/>
          <w:szCs w:val="22"/>
        </w:rPr>
        <w:t xml:space="preserve">ther than Mr Lomax’s failure to take up and remain in the employment position, no fault was raised by the applicant in respect of the respondent’s performance. </w:t>
      </w:r>
    </w:p>
    <w:p w14:paraId="1F04614F" w14:textId="55606903" w:rsidR="006E6890" w:rsidRPr="008D0115" w:rsidRDefault="008D0115" w:rsidP="008D0115">
      <w:pPr>
        <w:tabs>
          <w:tab w:val="left" w:pos="567"/>
        </w:tabs>
        <w:spacing w:after="480" w:line="480" w:lineRule="auto"/>
        <w:rPr>
          <w:rFonts w:cs="Arial"/>
          <w:bCs/>
          <w:szCs w:val="22"/>
        </w:rPr>
      </w:pPr>
      <w:r w:rsidRPr="00831AC4">
        <w:rPr>
          <w:rFonts w:cs="Arial"/>
          <w:bCs/>
          <w:szCs w:val="22"/>
        </w:rPr>
        <w:lastRenderedPageBreak/>
        <w:t>[31]</w:t>
      </w:r>
      <w:r w:rsidRPr="00831AC4">
        <w:rPr>
          <w:rFonts w:cs="Arial"/>
          <w:bCs/>
          <w:szCs w:val="22"/>
        </w:rPr>
        <w:tab/>
      </w:r>
      <w:r w:rsidR="002B6742" w:rsidRPr="008D0115">
        <w:rPr>
          <w:rFonts w:cs="Arial"/>
          <w:bCs/>
          <w:szCs w:val="22"/>
        </w:rPr>
        <w:t>The applicant argued that</w:t>
      </w:r>
      <w:r w:rsidR="00924B5D" w:rsidRPr="008D0115">
        <w:rPr>
          <w:rFonts w:cs="Arial"/>
          <w:bCs/>
          <w:szCs w:val="22"/>
        </w:rPr>
        <w:t xml:space="preserve"> for it</w:t>
      </w:r>
      <w:r w:rsidR="002B6742" w:rsidRPr="008D0115">
        <w:rPr>
          <w:rFonts w:cs="Arial"/>
          <w:bCs/>
          <w:szCs w:val="22"/>
        </w:rPr>
        <w:t xml:space="preserve"> to insist on</w:t>
      </w:r>
      <w:r w:rsidR="006E6890" w:rsidRPr="008D0115">
        <w:rPr>
          <w:rFonts w:cs="Arial"/>
          <w:bCs/>
          <w:szCs w:val="22"/>
        </w:rPr>
        <w:t xml:space="preserve"> Mr Lomax</w:t>
      </w:r>
      <w:r w:rsidR="00DA6EAD" w:rsidRPr="008D0115">
        <w:rPr>
          <w:rFonts w:cs="Arial"/>
          <w:bCs/>
          <w:szCs w:val="22"/>
        </w:rPr>
        <w:t xml:space="preserve"> </w:t>
      </w:r>
      <w:r w:rsidR="00831AC4" w:rsidRPr="008D0115">
        <w:rPr>
          <w:rFonts w:cs="Arial"/>
          <w:bCs/>
          <w:szCs w:val="22"/>
        </w:rPr>
        <w:t>taking up the employment position would be akin to servitude or slavery, which we do not allow</w:t>
      </w:r>
      <w:r w:rsidR="00924B5D" w:rsidRPr="008D0115">
        <w:rPr>
          <w:rFonts w:cs="Arial"/>
          <w:bCs/>
          <w:szCs w:val="22"/>
        </w:rPr>
        <w:t>.</w:t>
      </w:r>
      <w:r w:rsidR="00831AC4" w:rsidRPr="008D0115">
        <w:rPr>
          <w:rFonts w:cs="Arial"/>
          <w:bCs/>
          <w:szCs w:val="22"/>
        </w:rPr>
        <w:t xml:space="preserve"> Accordingly, the applicant had no alternative but to accept Mr Lomax’s election.  </w:t>
      </w:r>
      <w:r w:rsidR="00DA6EAD" w:rsidRPr="008D0115">
        <w:rPr>
          <w:rFonts w:cs="Arial"/>
          <w:bCs/>
          <w:szCs w:val="22"/>
        </w:rPr>
        <w:t xml:space="preserve"> </w:t>
      </w:r>
    </w:p>
    <w:p w14:paraId="24597F3A" w14:textId="0B0C956A" w:rsidR="008446EF" w:rsidRPr="008D0115" w:rsidRDefault="008D0115" w:rsidP="008D0115">
      <w:pPr>
        <w:tabs>
          <w:tab w:val="left" w:pos="567"/>
        </w:tabs>
        <w:spacing w:after="480" w:line="480" w:lineRule="auto"/>
        <w:rPr>
          <w:rFonts w:cs="Arial"/>
          <w:bCs/>
          <w:szCs w:val="22"/>
        </w:rPr>
      </w:pPr>
      <w:r w:rsidRPr="004522B4">
        <w:rPr>
          <w:rFonts w:cs="Arial"/>
          <w:bCs/>
          <w:szCs w:val="22"/>
        </w:rPr>
        <w:t>[32]</w:t>
      </w:r>
      <w:r w:rsidRPr="004522B4">
        <w:rPr>
          <w:rFonts w:cs="Arial"/>
          <w:bCs/>
          <w:szCs w:val="22"/>
        </w:rPr>
        <w:tab/>
      </w:r>
      <w:r w:rsidR="00DA6EAD" w:rsidRPr="008D0115">
        <w:rPr>
          <w:rFonts w:cs="Arial"/>
          <w:bCs/>
          <w:szCs w:val="22"/>
        </w:rPr>
        <w:t xml:space="preserve">The applicant </w:t>
      </w:r>
      <w:r w:rsidR="008446EF" w:rsidRPr="008D0115">
        <w:rPr>
          <w:rFonts w:cs="Arial"/>
          <w:bCs/>
          <w:szCs w:val="22"/>
        </w:rPr>
        <w:t>referred,</w:t>
      </w:r>
      <w:r w:rsidR="00831AC4" w:rsidRPr="008D0115">
        <w:rPr>
          <w:rFonts w:cs="Arial"/>
          <w:bCs/>
          <w:szCs w:val="22"/>
        </w:rPr>
        <w:t xml:space="preserve"> with reference to </w:t>
      </w:r>
      <w:r w:rsidR="008446EF" w:rsidRPr="008D0115">
        <w:rPr>
          <w:rFonts w:cs="Arial"/>
          <w:bCs/>
          <w:szCs w:val="22"/>
        </w:rPr>
        <w:t xml:space="preserve">the </w:t>
      </w:r>
      <w:r w:rsidR="009569EE" w:rsidRPr="008D0115">
        <w:rPr>
          <w:rFonts w:cs="Arial"/>
          <w:bCs/>
          <w:szCs w:val="22"/>
        </w:rPr>
        <w:t>context</w:t>
      </w:r>
      <w:r w:rsidR="0067729C" w:rsidRPr="008D0115">
        <w:rPr>
          <w:rFonts w:cs="Arial"/>
          <w:bCs/>
          <w:szCs w:val="22"/>
        </w:rPr>
        <w:t xml:space="preserve"> of the clause</w:t>
      </w:r>
      <w:r w:rsidR="009569EE" w:rsidRPr="008D0115">
        <w:rPr>
          <w:rFonts w:cs="Arial"/>
          <w:bCs/>
          <w:szCs w:val="22"/>
        </w:rPr>
        <w:t>,</w:t>
      </w:r>
      <w:r w:rsidR="00DA6EAD" w:rsidRPr="008D0115">
        <w:rPr>
          <w:rFonts w:cs="Arial"/>
          <w:bCs/>
          <w:szCs w:val="22"/>
        </w:rPr>
        <w:t xml:space="preserve"> </w:t>
      </w:r>
      <w:r w:rsidR="008446EF" w:rsidRPr="008D0115">
        <w:rPr>
          <w:rFonts w:cs="Arial"/>
          <w:bCs/>
          <w:szCs w:val="22"/>
        </w:rPr>
        <w:t>t</w:t>
      </w:r>
      <w:r w:rsidR="0067729C" w:rsidRPr="008D0115">
        <w:rPr>
          <w:rFonts w:cs="Arial"/>
          <w:bCs/>
          <w:szCs w:val="22"/>
        </w:rPr>
        <w:t>o</w:t>
      </w:r>
      <w:r w:rsidR="008446EF" w:rsidRPr="008D0115">
        <w:rPr>
          <w:rFonts w:cs="Arial"/>
          <w:bCs/>
          <w:szCs w:val="22"/>
        </w:rPr>
        <w:t xml:space="preserve"> the fact that Mr Lomax</w:t>
      </w:r>
      <w:r w:rsidR="00E25B92" w:rsidRPr="008D0115">
        <w:rPr>
          <w:rFonts w:cs="Arial"/>
          <w:bCs/>
          <w:szCs w:val="22"/>
        </w:rPr>
        <w:t xml:space="preserve"> did not remain in the position with the applicant. L</w:t>
      </w:r>
      <w:r w:rsidR="00DA6EAD" w:rsidRPr="008D0115">
        <w:rPr>
          <w:rFonts w:cs="Arial"/>
          <w:bCs/>
          <w:szCs w:val="22"/>
        </w:rPr>
        <w:t>ongev</w:t>
      </w:r>
      <w:r w:rsidR="0067729C" w:rsidRPr="008D0115">
        <w:rPr>
          <w:rFonts w:cs="Arial"/>
          <w:bCs/>
          <w:szCs w:val="22"/>
        </w:rPr>
        <w:t xml:space="preserve">ity in the </w:t>
      </w:r>
      <w:r w:rsidR="00924B5D" w:rsidRPr="008D0115">
        <w:rPr>
          <w:rFonts w:cs="Arial"/>
          <w:bCs/>
          <w:szCs w:val="22"/>
        </w:rPr>
        <w:t xml:space="preserve">role </w:t>
      </w:r>
      <w:r w:rsidR="00E25B92" w:rsidRPr="008D0115">
        <w:rPr>
          <w:rFonts w:cs="Arial"/>
          <w:bCs/>
          <w:szCs w:val="22"/>
        </w:rPr>
        <w:t xml:space="preserve">was </w:t>
      </w:r>
      <w:r w:rsidR="00DA6EAD" w:rsidRPr="008D0115">
        <w:rPr>
          <w:rFonts w:cs="Arial"/>
          <w:bCs/>
          <w:szCs w:val="22"/>
        </w:rPr>
        <w:t xml:space="preserve">one of the applicant’s requirements </w:t>
      </w:r>
      <w:r w:rsidR="0067729C" w:rsidRPr="008D0115">
        <w:rPr>
          <w:rFonts w:cs="Arial"/>
          <w:bCs/>
          <w:szCs w:val="22"/>
        </w:rPr>
        <w:t>of</w:t>
      </w:r>
      <w:r w:rsidR="00DA6EAD" w:rsidRPr="008D0115">
        <w:rPr>
          <w:rFonts w:cs="Arial"/>
          <w:bCs/>
          <w:szCs w:val="22"/>
        </w:rPr>
        <w:t xml:space="preserve"> the</w:t>
      </w:r>
      <w:r w:rsidR="00D3724D" w:rsidRPr="008D0115">
        <w:rPr>
          <w:rFonts w:cs="Arial"/>
          <w:bCs/>
          <w:szCs w:val="22"/>
        </w:rPr>
        <w:t xml:space="preserve"> recommended</w:t>
      </w:r>
      <w:r w:rsidR="00DA6EAD" w:rsidRPr="008D0115">
        <w:rPr>
          <w:rFonts w:cs="Arial"/>
          <w:bCs/>
          <w:szCs w:val="22"/>
        </w:rPr>
        <w:t xml:space="preserve"> candi</w:t>
      </w:r>
      <w:r w:rsidR="008446EF" w:rsidRPr="008D0115">
        <w:rPr>
          <w:rFonts w:cs="Arial"/>
          <w:bCs/>
          <w:szCs w:val="22"/>
        </w:rPr>
        <w:t>date.</w:t>
      </w:r>
      <w:r w:rsidR="00924B5D" w:rsidRPr="008D0115">
        <w:rPr>
          <w:rFonts w:cs="Arial"/>
          <w:bCs/>
          <w:szCs w:val="22"/>
        </w:rPr>
        <w:t xml:space="preserve"> </w:t>
      </w:r>
      <w:r w:rsidR="008446EF" w:rsidRPr="008D0115">
        <w:rPr>
          <w:rFonts w:cs="Arial"/>
          <w:bCs/>
          <w:szCs w:val="22"/>
        </w:rPr>
        <w:t xml:space="preserve">The applicant referred to documentation attached to the agreement, in terms of which the respondent undertook to “find someone who will perform in the role, stay in the firm, and grow over time”. In addition, the respondent undertook to “focus on the long-term success of a candidate”. </w:t>
      </w:r>
    </w:p>
    <w:p w14:paraId="70FD557E" w14:textId="6EE5A7CB" w:rsidR="008446EF" w:rsidRPr="008D0115" w:rsidRDefault="008D0115" w:rsidP="008D0115">
      <w:pPr>
        <w:tabs>
          <w:tab w:val="left" w:pos="567"/>
        </w:tabs>
        <w:spacing w:after="480" w:line="480" w:lineRule="auto"/>
        <w:rPr>
          <w:rFonts w:cs="Arial"/>
          <w:bCs/>
          <w:szCs w:val="22"/>
        </w:rPr>
      </w:pPr>
      <w:r>
        <w:rPr>
          <w:rFonts w:cs="Arial"/>
          <w:bCs/>
          <w:szCs w:val="22"/>
        </w:rPr>
        <w:t>[33]</w:t>
      </w:r>
      <w:r>
        <w:rPr>
          <w:rFonts w:cs="Arial"/>
          <w:bCs/>
          <w:szCs w:val="22"/>
        </w:rPr>
        <w:tab/>
      </w:r>
      <w:r w:rsidR="00E25B92" w:rsidRPr="008D0115">
        <w:rPr>
          <w:rFonts w:cs="Arial"/>
          <w:bCs/>
          <w:szCs w:val="22"/>
        </w:rPr>
        <w:t>The clause, according to the applicant, had to be interpreted within the context of the applicant’s requirements, one of which was longevity</w:t>
      </w:r>
      <w:r w:rsidR="008446EF" w:rsidRPr="008D0115">
        <w:rPr>
          <w:rFonts w:cs="Arial"/>
          <w:bCs/>
          <w:szCs w:val="22"/>
        </w:rPr>
        <w:t xml:space="preserve"> by the recommended candidate</w:t>
      </w:r>
      <w:r w:rsidR="00E25B92" w:rsidRPr="008D0115">
        <w:rPr>
          <w:rFonts w:cs="Arial"/>
          <w:bCs/>
          <w:szCs w:val="22"/>
        </w:rPr>
        <w:t xml:space="preserve"> in the position of </w:t>
      </w:r>
      <w:r w:rsidR="00D3724D" w:rsidRPr="008D0115">
        <w:rPr>
          <w:rFonts w:cs="Arial"/>
          <w:bCs/>
          <w:szCs w:val="22"/>
        </w:rPr>
        <w:t xml:space="preserve">the applicant’s </w:t>
      </w:r>
      <w:r w:rsidR="00E25B92" w:rsidRPr="008D0115">
        <w:rPr>
          <w:rFonts w:cs="Arial"/>
          <w:bCs/>
          <w:szCs w:val="22"/>
        </w:rPr>
        <w:t>managing director.</w:t>
      </w:r>
    </w:p>
    <w:p w14:paraId="55FFF81E" w14:textId="00A1EF9C" w:rsidR="00E25B92" w:rsidRPr="008D0115" w:rsidRDefault="008D0115" w:rsidP="008D0115">
      <w:pPr>
        <w:tabs>
          <w:tab w:val="left" w:pos="567"/>
        </w:tabs>
        <w:spacing w:after="480" w:line="480" w:lineRule="auto"/>
        <w:rPr>
          <w:rFonts w:cs="Arial"/>
          <w:bCs/>
          <w:szCs w:val="22"/>
        </w:rPr>
      </w:pPr>
      <w:r w:rsidRPr="008446EF">
        <w:rPr>
          <w:rFonts w:cs="Arial"/>
          <w:bCs/>
          <w:szCs w:val="22"/>
        </w:rPr>
        <w:t>[34]</w:t>
      </w:r>
      <w:r w:rsidRPr="008446EF">
        <w:rPr>
          <w:rFonts w:cs="Arial"/>
          <w:bCs/>
          <w:szCs w:val="22"/>
        </w:rPr>
        <w:tab/>
      </w:r>
      <w:r w:rsidR="00E25B92" w:rsidRPr="008D0115">
        <w:rPr>
          <w:rFonts w:cs="Arial"/>
          <w:bCs/>
          <w:szCs w:val="22"/>
        </w:rPr>
        <w:t>Accordingly, the applicant submitted that in so far as Mr Lomax fail</w:t>
      </w:r>
      <w:r w:rsidR="0067729C" w:rsidRPr="008D0115">
        <w:rPr>
          <w:rFonts w:cs="Arial"/>
          <w:bCs/>
          <w:szCs w:val="22"/>
        </w:rPr>
        <w:t>e</w:t>
      </w:r>
      <w:r w:rsidR="00E25B92" w:rsidRPr="008D0115">
        <w:rPr>
          <w:rFonts w:cs="Arial"/>
          <w:bCs/>
          <w:szCs w:val="22"/>
        </w:rPr>
        <w:t>d</w:t>
      </w:r>
      <w:r w:rsidR="0067729C" w:rsidRPr="008D0115">
        <w:rPr>
          <w:rFonts w:cs="Arial"/>
          <w:bCs/>
          <w:szCs w:val="22"/>
        </w:rPr>
        <w:t xml:space="preserve"> to remain in the position for which </w:t>
      </w:r>
      <w:r w:rsidR="00E25B92" w:rsidRPr="008D0115">
        <w:rPr>
          <w:rFonts w:cs="Arial"/>
          <w:bCs/>
          <w:szCs w:val="22"/>
        </w:rPr>
        <w:t>t</w:t>
      </w:r>
      <w:r w:rsidR="0067729C" w:rsidRPr="008D0115">
        <w:rPr>
          <w:rFonts w:cs="Arial"/>
          <w:bCs/>
          <w:szCs w:val="22"/>
        </w:rPr>
        <w:t xml:space="preserve">he </w:t>
      </w:r>
      <w:r w:rsidR="00E25B92" w:rsidRPr="008D0115">
        <w:rPr>
          <w:rFonts w:cs="Arial"/>
          <w:bCs/>
          <w:szCs w:val="22"/>
        </w:rPr>
        <w:t xml:space="preserve">respondent recommended him, the respondent, to that limited extent, failed to comply with its obligations.   </w:t>
      </w:r>
    </w:p>
    <w:p w14:paraId="03498B06" w14:textId="0D0CE3B5" w:rsidR="00D3724D" w:rsidRPr="008D0115" w:rsidRDefault="008D0115" w:rsidP="008D0115">
      <w:pPr>
        <w:tabs>
          <w:tab w:val="left" w:pos="567"/>
        </w:tabs>
        <w:spacing w:after="480" w:line="480" w:lineRule="auto"/>
        <w:rPr>
          <w:rFonts w:cs="Arial"/>
          <w:bCs/>
          <w:szCs w:val="22"/>
        </w:rPr>
      </w:pPr>
      <w:r>
        <w:rPr>
          <w:rFonts w:cs="Arial"/>
          <w:bCs/>
          <w:szCs w:val="22"/>
        </w:rPr>
        <w:t>[35]</w:t>
      </w:r>
      <w:r>
        <w:rPr>
          <w:rFonts w:cs="Arial"/>
          <w:bCs/>
          <w:szCs w:val="22"/>
        </w:rPr>
        <w:tab/>
      </w:r>
      <w:r w:rsidR="008446EF" w:rsidRPr="008D0115">
        <w:rPr>
          <w:rFonts w:cs="Arial"/>
          <w:bCs/>
          <w:szCs w:val="22"/>
        </w:rPr>
        <w:t xml:space="preserve">Whilst I agree with the applicant that </w:t>
      </w:r>
      <w:r w:rsidR="00D3724D" w:rsidRPr="008D0115">
        <w:rPr>
          <w:rFonts w:cs="Arial"/>
          <w:bCs/>
          <w:szCs w:val="22"/>
        </w:rPr>
        <w:t>i</w:t>
      </w:r>
      <w:r w:rsidR="008446EF" w:rsidRPr="008D0115">
        <w:rPr>
          <w:rFonts w:cs="Arial"/>
          <w:bCs/>
          <w:szCs w:val="22"/>
        </w:rPr>
        <w:t xml:space="preserve">t had to accept Mr Lomax’s decision and could not hold him to the employment contract, </w:t>
      </w:r>
      <w:r w:rsidR="004522B4" w:rsidRPr="008D0115">
        <w:rPr>
          <w:rFonts w:cs="Arial"/>
          <w:bCs/>
          <w:szCs w:val="22"/>
        </w:rPr>
        <w:t>t</w:t>
      </w:r>
      <w:r w:rsidR="0067729C" w:rsidRPr="008D0115">
        <w:rPr>
          <w:rFonts w:cs="Arial"/>
          <w:bCs/>
          <w:szCs w:val="22"/>
        </w:rPr>
        <w:t xml:space="preserve">he </w:t>
      </w:r>
      <w:r w:rsidR="004522B4" w:rsidRPr="008D0115">
        <w:rPr>
          <w:rFonts w:cs="Arial"/>
          <w:bCs/>
          <w:szCs w:val="22"/>
        </w:rPr>
        <w:t xml:space="preserve">fact remains that Mr Lomax did not depart because he was not suitable for the </w:t>
      </w:r>
      <w:r w:rsidR="00D3724D" w:rsidRPr="008D0115">
        <w:rPr>
          <w:rFonts w:cs="Arial"/>
          <w:bCs/>
          <w:szCs w:val="22"/>
        </w:rPr>
        <w:t>position.</w:t>
      </w:r>
      <w:r w:rsidR="004522B4" w:rsidRPr="008D0115">
        <w:rPr>
          <w:rFonts w:cs="Arial"/>
          <w:bCs/>
          <w:szCs w:val="22"/>
        </w:rPr>
        <w:t xml:space="preserve"> Furthermore, Mr Lomax did not d</w:t>
      </w:r>
      <w:r w:rsidR="00D3724D" w:rsidRPr="008D0115">
        <w:rPr>
          <w:rFonts w:cs="Arial"/>
          <w:bCs/>
          <w:szCs w:val="22"/>
        </w:rPr>
        <w:t>o so</w:t>
      </w:r>
      <w:r w:rsidR="004522B4" w:rsidRPr="008D0115">
        <w:rPr>
          <w:rFonts w:cs="Arial"/>
          <w:bCs/>
          <w:szCs w:val="22"/>
        </w:rPr>
        <w:t xml:space="preserve"> due to any fault on the respondent’s part. Mr Lomax was, by all accounts, eminently suitable to the position.</w:t>
      </w:r>
      <w:r w:rsidR="0067729C" w:rsidRPr="008D0115">
        <w:rPr>
          <w:rFonts w:cs="Arial"/>
          <w:bCs/>
          <w:szCs w:val="22"/>
        </w:rPr>
        <w:t xml:space="preserve"> In the circumstances, the fact that Mr Lomax failed to remain in the </w:t>
      </w:r>
      <w:r w:rsidR="004522B4" w:rsidRPr="008D0115">
        <w:rPr>
          <w:rFonts w:cs="Arial"/>
          <w:bCs/>
          <w:szCs w:val="22"/>
        </w:rPr>
        <w:t xml:space="preserve">position was not due to </w:t>
      </w:r>
      <w:r w:rsidR="0067729C" w:rsidRPr="008D0115">
        <w:rPr>
          <w:rFonts w:cs="Arial"/>
          <w:bCs/>
          <w:szCs w:val="22"/>
        </w:rPr>
        <w:t>the respondent failing to select the corre</w:t>
      </w:r>
      <w:r w:rsidR="004522B4" w:rsidRPr="008D0115">
        <w:rPr>
          <w:rFonts w:cs="Arial"/>
          <w:bCs/>
          <w:szCs w:val="22"/>
        </w:rPr>
        <w:t>ct candidate for the</w:t>
      </w:r>
      <w:r w:rsidR="00D3724D" w:rsidRPr="008D0115">
        <w:rPr>
          <w:rFonts w:cs="Arial"/>
          <w:bCs/>
          <w:szCs w:val="22"/>
        </w:rPr>
        <w:t xml:space="preserve"> r</w:t>
      </w:r>
      <w:r w:rsidR="0067729C" w:rsidRPr="008D0115">
        <w:rPr>
          <w:rFonts w:cs="Arial"/>
          <w:bCs/>
          <w:szCs w:val="22"/>
        </w:rPr>
        <w:t>o</w:t>
      </w:r>
      <w:r w:rsidR="00D3724D" w:rsidRPr="008D0115">
        <w:rPr>
          <w:rFonts w:cs="Arial"/>
          <w:bCs/>
          <w:szCs w:val="22"/>
        </w:rPr>
        <w:t xml:space="preserve">le. </w:t>
      </w:r>
    </w:p>
    <w:p w14:paraId="16129A2C" w14:textId="52D599C1" w:rsidR="006E6890" w:rsidRPr="008D0115" w:rsidRDefault="008D0115" w:rsidP="008D0115">
      <w:pPr>
        <w:tabs>
          <w:tab w:val="left" w:pos="567"/>
        </w:tabs>
        <w:spacing w:after="480" w:line="480" w:lineRule="auto"/>
        <w:rPr>
          <w:rFonts w:cs="Arial"/>
          <w:bCs/>
          <w:szCs w:val="22"/>
        </w:rPr>
      </w:pPr>
      <w:r w:rsidRPr="00D3724D">
        <w:rPr>
          <w:rFonts w:cs="Arial"/>
          <w:bCs/>
          <w:szCs w:val="22"/>
        </w:rPr>
        <w:t>[36]</w:t>
      </w:r>
      <w:r w:rsidRPr="00D3724D">
        <w:rPr>
          <w:rFonts w:cs="Arial"/>
          <w:bCs/>
          <w:szCs w:val="22"/>
        </w:rPr>
        <w:tab/>
      </w:r>
      <w:r w:rsidR="006E6890" w:rsidRPr="008D0115">
        <w:rPr>
          <w:rFonts w:cs="Arial"/>
          <w:bCs/>
          <w:szCs w:val="22"/>
        </w:rPr>
        <w:t xml:space="preserve">It is against </w:t>
      </w:r>
      <w:r w:rsidR="00DA6EAD" w:rsidRPr="008D0115">
        <w:rPr>
          <w:rFonts w:cs="Arial"/>
          <w:bCs/>
          <w:szCs w:val="22"/>
        </w:rPr>
        <w:t>the background a</w:t>
      </w:r>
      <w:r w:rsidR="00D3724D" w:rsidRPr="008D0115">
        <w:rPr>
          <w:rFonts w:cs="Arial"/>
          <w:bCs/>
          <w:szCs w:val="22"/>
        </w:rPr>
        <w:t>fore</w:t>
      </w:r>
      <w:r w:rsidR="00DA6EAD" w:rsidRPr="008D0115">
        <w:rPr>
          <w:rFonts w:cs="Arial"/>
          <w:bCs/>
          <w:szCs w:val="22"/>
        </w:rPr>
        <w:t>-mentioned,</w:t>
      </w:r>
      <w:r w:rsidR="00D3724D" w:rsidRPr="008D0115">
        <w:rPr>
          <w:rFonts w:cs="Arial"/>
          <w:bCs/>
          <w:szCs w:val="22"/>
        </w:rPr>
        <w:t xml:space="preserve"> that I</w:t>
      </w:r>
      <w:r w:rsidR="006E6890" w:rsidRPr="008D0115">
        <w:rPr>
          <w:rFonts w:cs="Arial"/>
          <w:bCs/>
          <w:szCs w:val="22"/>
        </w:rPr>
        <w:t xml:space="preserve"> consider the interpretation and appropriate meaning to be </w:t>
      </w:r>
      <w:r w:rsidR="00D3724D" w:rsidRPr="008D0115">
        <w:rPr>
          <w:rFonts w:cs="Arial"/>
          <w:bCs/>
          <w:szCs w:val="22"/>
        </w:rPr>
        <w:t xml:space="preserve">afforded </w:t>
      </w:r>
      <w:r w:rsidR="006E6890" w:rsidRPr="008D0115">
        <w:rPr>
          <w:rFonts w:cs="Arial"/>
          <w:bCs/>
          <w:szCs w:val="22"/>
        </w:rPr>
        <w:t>to the clause</w:t>
      </w:r>
      <w:r w:rsidR="009569EE" w:rsidRPr="008D0115">
        <w:rPr>
          <w:rFonts w:cs="Arial"/>
          <w:bCs/>
          <w:szCs w:val="22"/>
        </w:rPr>
        <w:t xml:space="preserve">. </w:t>
      </w:r>
    </w:p>
    <w:p w14:paraId="7AF9E31C" w14:textId="0E8DECAA" w:rsidR="002B6742" w:rsidRPr="008D0115" w:rsidRDefault="008D0115" w:rsidP="008D0115">
      <w:pPr>
        <w:tabs>
          <w:tab w:val="left" w:pos="567"/>
        </w:tabs>
        <w:spacing w:after="480" w:line="480" w:lineRule="auto"/>
        <w:rPr>
          <w:rFonts w:cs="Arial"/>
          <w:bCs/>
          <w:szCs w:val="22"/>
        </w:rPr>
      </w:pPr>
      <w:r w:rsidRPr="008E67FC">
        <w:rPr>
          <w:rFonts w:cs="Arial"/>
          <w:bCs/>
          <w:szCs w:val="22"/>
        </w:rPr>
        <w:lastRenderedPageBreak/>
        <w:t>[37]</w:t>
      </w:r>
      <w:r w:rsidRPr="008E67FC">
        <w:rPr>
          <w:rFonts w:cs="Arial"/>
          <w:bCs/>
          <w:szCs w:val="22"/>
        </w:rPr>
        <w:tab/>
      </w:r>
      <w:r w:rsidR="002B6742" w:rsidRPr="008D0115">
        <w:rPr>
          <w:rFonts w:cs="Arial"/>
          <w:bCs/>
          <w:szCs w:val="22"/>
        </w:rPr>
        <w:t>The principles rel</w:t>
      </w:r>
      <w:r w:rsidR="009569EE" w:rsidRPr="008D0115">
        <w:rPr>
          <w:rFonts w:cs="Arial"/>
          <w:bCs/>
          <w:szCs w:val="22"/>
        </w:rPr>
        <w:t>evant to the interpretation of the clause,</w:t>
      </w:r>
      <w:r w:rsidR="00D3724D" w:rsidRPr="008D0115">
        <w:rPr>
          <w:rFonts w:cs="Arial"/>
          <w:bCs/>
          <w:szCs w:val="22"/>
        </w:rPr>
        <w:t xml:space="preserve"> the agreement, </w:t>
      </w:r>
      <w:r w:rsidR="009569EE" w:rsidRPr="008D0115">
        <w:rPr>
          <w:rFonts w:cs="Arial"/>
          <w:bCs/>
          <w:szCs w:val="22"/>
        </w:rPr>
        <w:t xml:space="preserve">a contract, a statute </w:t>
      </w:r>
      <w:r w:rsidR="002B6742" w:rsidRPr="008D0115">
        <w:rPr>
          <w:rFonts w:cs="Arial"/>
          <w:bCs/>
          <w:szCs w:val="22"/>
        </w:rPr>
        <w:t>or a court order are the same and have been articulated and referred to extensively in recent case law</w:t>
      </w:r>
      <w:r w:rsidR="00D3724D" w:rsidRPr="008D0115">
        <w:rPr>
          <w:rFonts w:cs="Arial"/>
          <w:bCs/>
          <w:szCs w:val="22"/>
        </w:rPr>
        <w:t xml:space="preserve"> pursuant to</w:t>
      </w:r>
      <w:r w:rsidR="002B6742" w:rsidRPr="008D0115">
        <w:rPr>
          <w:rFonts w:cs="Arial"/>
          <w:bCs/>
          <w:szCs w:val="22"/>
        </w:rPr>
        <w:t xml:space="preserve">  </w:t>
      </w:r>
      <w:r w:rsidR="002B6742" w:rsidRPr="008D0115">
        <w:rPr>
          <w:rFonts w:cs="Arial"/>
          <w:bCs/>
          <w:i/>
          <w:szCs w:val="22"/>
        </w:rPr>
        <w:t>Natal Joint Municipal Pension Fund v Endumeni Municipality</w:t>
      </w:r>
      <w:r w:rsidR="002B6742" w:rsidRPr="008D0115">
        <w:rPr>
          <w:rFonts w:cs="Arial"/>
          <w:bCs/>
          <w:szCs w:val="22"/>
        </w:rPr>
        <w:t>.</w:t>
      </w:r>
      <w:r w:rsidR="002B6742" w:rsidRPr="008E67FC">
        <w:rPr>
          <w:rStyle w:val="FootnoteReference"/>
          <w:rFonts w:cs="Arial"/>
          <w:bCs/>
          <w:szCs w:val="22"/>
        </w:rPr>
        <w:footnoteReference w:id="2"/>
      </w:r>
      <w:r w:rsidR="002B6742" w:rsidRPr="008D0115">
        <w:rPr>
          <w:rFonts w:cs="Arial"/>
          <w:bCs/>
          <w:szCs w:val="22"/>
        </w:rPr>
        <w:t xml:space="preserve"> I do not intend to restate those principl</w:t>
      </w:r>
      <w:r w:rsidR="00D3724D" w:rsidRPr="008D0115">
        <w:rPr>
          <w:rFonts w:cs="Arial"/>
          <w:bCs/>
          <w:szCs w:val="22"/>
        </w:rPr>
        <w:t>es save as absolutely necessary hereunder.</w:t>
      </w:r>
    </w:p>
    <w:p w14:paraId="3E42EA93" w14:textId="49D6B8EA" w:rsidR="00B40421" w:rsidRPr="008D0115" w:rsidRDefault="008D0115" w:rsidP="008D0115">
      <w:pPr>
        <w:tabs>
          <w:tab w:val="left" w:pos="567"/>
        </w:tabs>
        <w:spacing w:after="480" w:line="480" w:lineRule="auto"/>
        <w:rPr>
          <w:rFonts w:cs="Arial"/>
          <w:bCs/>
          <w:szCs w:val="22"/>
        </w:rPr>
      </w:pPr>
      <w:r w:rsidRPr="00B40421">
        <w:rPr>
          <w:rFonts w:cs="Arial"/>
          <w:bCs/>
          <w:szCs w:val="22"/>
        </w:rPr>
        <w:t>[38]</w:t>
      </w:r>
      <w:r w:rsidRPr="00B40421">
        <w:rPr>
          <w:rFonts w:cs="Arial"/>
          <w:bCs/>
          <w:szCs w:val="22"/>
        </w:rPr>
        <w:tab/>
      </w:r>
      <w:r w:rsidR="002B6742" w:rsidRPr="008D0115">
        <w:rPr>
          <w:rFonts w:cs="Arial"/>
          <w:bCs/>
          <w:szCs w:val="22"/>
        </w:rPr>
        <w:t>The parties agreed on the appropriate test for interpreting the clause, being the “objective process of at</w:t>
      </w:r>
      <w:r w:rsidR="00D3724D" w:rsidRPr="008D0115">
        <w:rPr>
          <w:rFonts w:cs="Arial"/>
          <w:bCs/>
          <w:szCs w:val="22"/>
        </w:rPr>
        <w:t>tributing meaning to words used</w:t>
      </w:r>
      <w:r w:rsidR="002B6742" w:rsidRPr="008D0115">
        <w:rPr>
          <w:rFonts w:cs="Arial"/>
          <w:bCs/>
          <w:szCs w:val="22"/>
        </w:rPr>
        <w:t>…”</w:t>
      </w:r>
      <w:r w:rsidR="009569EE">
        <w:rPr>
          <w:rStyle w:val="FootnoteReference"/>
          <w:rFonts w:cs="Arial"/>
          <w:bCs/>
          <w:szCs w:val="22"/>
        </w:rPr>
        <w:footnoteReference w:id="3"/>
      </w:r>
      <w:r w:rsidR="002B6742" w:rsidRPr="008D0115">
        <w:rPr>
          <w:rFonts w:cs="Arial"/>
          <w:bCs/>
          <w:szCs w:val="22"/>
        </w:rPr>
        <w:t>.</w:t>
      </w:r>
      <w:r w:rsidR="009569EE" w:rsidRPr="008D0115">
        <w:rPr>
          <w:rFonts w:cs="Arial"/>
          <w:bCs/>
          <w:szCs w:val="22"/>
        </w:rPr>
        <w:t xml:space="preserve"> </w:t>
      </w:r>
      <w:r w:rsidR="00C574A4" w:rsidRPr="008D0115">
        <w:rPr>
          <w:rFonts w:cs="Arial"/>
          <w:bCs/>
          <w:szCs w:val="22"/>
        </w:rPr>
        <w:t xml:space="preserve">The interpretive procedure </w:t>
      </w:r>
      <w:r w:rsidR="00D3724D" w:rsidRPr="008D0115">
        <w:rPr>
          <w:rFonts w:cs="Arial"/>
          <w:bCs/>
          <w:szCs w:val="22"/>
        </w:rPr>
        <w:t xml:space="preserve">comprises </w:t>
      </w:r>
      <w:r w:rsidR="00311241" w:rsidRPr="008D0115">
        <w:rPr>
          <w:rFonts w:cs="Arial"/>
          <w:bCs/>
          <w:szCs w:val="22"/>
        </w:rPr>
        <w:t>a “unitary” exercise or</w:t>
      </w:r>
      <w:r w:rsidR="009569EE" w:rsidRPr="008D0115">
        <w:rPr>
          <w:rFonts w:cs="Arial"/>
          <w:bCs/>
          <w:szCs w:val="22"/>
        </w:rPr>
        <w:t xml:space="preserve"> simultaneous consideration of the</w:t>
      </w:r>
      <w:r w:rsidR="00C574A4" w:rsidRPr="008D0115">
        <w:rPr>
          <w:rFonts w:cs="Arial"/>
          <w:bCs/>
          <w:szCs w:val="22"/>
        </w:rPr>
        <w:t xml:space="preserve"> relevant</w:t>
      </w:r>
      <w:r w:rsidR="009569EE" w:rsidRPr="008D0115">
        <w:rPr>
          <w:rFonts w:cs="Arial"/>
          <w:bCs/>
          <w:szCs w:val="22"/>
        </w:rPr>
        <w:t xml:space="preserve"> text, context and purpose.</w:t>
      </w:r>
      <w:r w:rsidR="009569EE">
        <w:rPr>
          <w:rStyle w:val="FootnoteReference"/>
          <w:rFonts w:cs="Arial"/>
          <w:bCs/>
          <w:szCs w:val="22"/>
        </w:rPr>
        <w:footnoteReference w:id="4"/>
      </w:r>
      <w:r w:rsidR="009569EE" w:rsidRPr="008D0115">
        <w:rPr>
          <w:rFonts w:cs="Arial"/>
          <w:bCs/>
          <w:szCs w:val="22"/>
        </w:rPr>
        <w:t xml:space="preserve"> </w:t>
      </w:r>
      <w:r w:rsidR="00311241" w:rsidRPr="008D0115">
        <w:rPr>
          <w:rFonts w:cs="Arial"/>
          <w:bCs/>
          <w:szCs w:val="22"/>
        </w:rPr>
        <w:t xml:space="preserve">The text </w:t>
      </w:r>
      <w:r w:rsidR="00BB45A6" w:rsidRPr="008D0115">
        <w:rPr>
          <w:rFonts w:cs="Arial"/>
          <w:bCs/>
          <w:szCs w:val="22"/>
        </w:rPr>
        <w:t>and its structure however</w:t>
      </w:r>
      <w:r w:rsidR="00D3724D" w:rsidRPr="008D0115">
        <w:rPr>
          <w:rFonts w:cs="Arial"/>
          <w:bCs/>
          <w:szCs w:val="22"/>
        </w:rPr>
        <w:t xml:space="preserve"> </w:t>
      </w:r>
      <w:r w:rsidR="00C574A4" w:rsidRPr="008D0115">
        <w:rPr>
          <w:rFonts w:cs="Arial"/>
          <w:bCs/>
          <w:szCs w:val="22"/>
        </w:rPr>
        <w:t>remain the starting point</w:t>
      </w:r>
      <w:r w:rsidR="00BB45A6" w:rsidRPr="008D0115">
        <w:rPr>
          <w:rFonts w:cs="Arial"/>
          <w:bCs/>
          <w:szCs w:val="22"/>
        </w:rPr>
        <w:t>.</w:t>
      </w:r>
      <w:r w:rsidR="00BB45A6" w:rsidRPr="00BB45A6">
        <w:rPr>
          <w:rStyle w:val="FootnoteReference"/>
          <w:rFonts w:cs="Arial"/>
          <w:bCs/>
          <w:szCs w:val="22"/>
        </w:rPr>
        <w:footnoteReference w:id="5"/>
      </w:r>
      <w:r w:rsidR="00C574A4" w:rsidRPr="008D0115">
        <w:rPr>
          <w:rFonts w:cs="Arial"/>
          <w:bCs/>
          <w:szCs w:val="22"/>
        </w:rPr>
        <w:t xml:space="preserve"> The test is objective.</w:t>
      </w:r>
      <w:r w:rsidR="00B40421" w:rsidRPr="008D0115">
        <w:rPr>
          <w:rFonts w:cs="Arial"/>
          <w:bCs/>
          <w:i/>
          <w:szCs w:val="22"/>
        </w:rPr>
        <w:t xml:space="preserve">  </w:t>
      </w:r>
      <w:r w:rsidR="00B40421" w:rsidRPr="008D0115">
        <w:rPr>
          <w:rFonts w:cs="Arial"/>
          <w:bCs/>
          <w:szCs w:val="22"/>
        </w:rPr>
        <w:t xml:space="preserve"> </w:t>
      </w:r>
    </w:p>
    <w:p w14:paraId="779192A7" w14:textId="175E07D0" w:rsidR="00B40421" w:rsidRPr="008D0115" w:rsidRDefault="008D0115" w:rsidP="008D0115">
      <w:pPr>
        <w:tabs>
          <w:tab w:val="left" w:pos="567"/>
        </w:tabs>
        <w:spacing w:after="480" w:line="480" w:lineRule="auto"/>
        <w:rPr>
          <w:rFonts w:cs="Arial"/>
          <w:bCs/>
          <w:szCs w:val="22"/>
        </w:rPr>
      </w:pPr>
      <w:r w:rsidRPr="00B40421">
        <w:rPr>
          <w:rFonts w:cs="Arial"/>
          <w:bCs/>
          <w:szCs w:val="22"/>
        </w:rPr>
        <w:t>[39]</w:t>
      </w:r>
      <w:r w:rsidRPr="00B40421">
        <w:rPr>
          <w:rFonts w:cs="Arial"/>
          <w:bCs/>
          <w:szCs w:val="22"/>
        </w:rPr>
        <w:tab/>
      </w:r>
      <w:r w:rsidR="009569EE" w:rsidRPr="008D0115">
        <w:rPr>
          <w:rFonts w:cs="Arial"/>
          <w:bCs/>
          <w:szCs w:val="22"/>
        </w:rPr>
        <w:t>W</w:t>
      </w:r>
      <w:r w:rsidR="002B6742" w:rsidRPr="008D0115">
        <w:rPr>
          <w:rFonts w:cs="Arial"/>
          <w:bCs/>
          <w:szCs w:val="22"/>
        </w:rPr>
        <w:t>ords must be given the</w:t>
      </w:r>
      <w:r w:rsidR="00C574A4" w:rsidRPr="008D0115">
        <w:rPr>
          <w:rFonts w:cs="Arial"/>
          <w:bCs/>
          <w:szCs w:val="22"/>
        </w:rPr>
        <w:t>ir ordinary grammatical meaning</w:t>
      </w:r>
      <w:r w:rsidR="002B6742" w:rsidRPr="008D0115">
        <w:rPr>
          <w:rFonts w:cs="Arial"/>
          <w:bCs/>
          <w:szCs w:val="22"/>
        </w:rPr>
        <w:t xml:space="preserve"> in the light of the ordinary rules of grammar and syntax, unless to do s</w:t>
      </w:r>
      <w:r w:rsidR="00C574A4" w:rsidRPr="008D0115">
        <w:rPr>
          <w:rFonts w:cs="Arial"/>
          <w:bCs/>
          <w:szCs w:val="22"/>
        </w:rPr>
        <w:t xml:space="preserve">o would result in an absurdity, </w:t>
      </w:r>
      <w:r w:rsidR="002B6742" w:rsidRPr="008D0115">
        <w:rPr>
          <w:rFonts w:cs="Arial"/>
          <w:bCs/>
          <w:szCs w:val="22"/>
        </w:rPr>
        <w:t>simultaneous</w:t>
      </w:r>
      <w:r w:rsidR="00C574A4" w:rsidRPr="008D0115">
        <w:rPr>
          <w:rFonts w:cs="Arial"/>
          <w:bCs/>
          <w:szCs w:val="22"/>
        </w:rPr>
        <w:t>ly with a</w:t>
      </w:r>
      <w:r w:rsidR="002B6742" w:rsidRPr="008D0115">
        <w:rPr>
          <w:rFonts w:cs="Arial"/>
          <w:bCs/>
          <w:szCs w:val="22"/>
        </w:rPr>
        <w:t xml:space="preserve"> consideration of the context in which the </w:t>
      </w:r>
      <w:r w:rsidR="00C574A4" w:rsidRPr="008D0115">
        <w:rPr>
          <w:rFonts w:cs="Arial"/>
          <w:bCs/>
          <w:szCs w:val="22"/>
        </w:rPr>
        <w:t>words appear</w:t>
      </w:r>
      <w:r w:rsidR="002B6742" w:rsidRPr="008D0115">
        <w:rPr>
          <w:rFonts w:cs="Arial"/>
          <w:bCs/>
          <w:szCs w:val="22"/>
        </w:rPr>
        <w:t xml:space="preserve"> and the</w:t>
      </w:r>
      <w:r w:rsidR="00C574A4" w:rsidRPr="008D0115">
        <w:rPr>
          <w:rFonts w:cs="Arial"/>
          <w:bCs/>
          <w:szCs w:val="22"/>
        </w:rPr>
        <w:t xml:space="preserve"> apparent purpose to which they are</w:t>
      </w:r>
      <w:r w:rsidR="002B6742" w:rsidRPr="008D0115">
        <w:rPr>
          <w:rFonts w:cs="Arial"/>
          <w:bCs/>
          <w:szCs w:val="22"/>
        </w:rPr>
        <w:t xml:space="preserve"> directed</w:t>
      </w:r>
      <w:r w:rsidR="008C69F8" w:rsidRPr="008D0115">
        <w:rPr>
          <w:rFonts w:cs="Arial"/>
          <w:bCs/>
          <w:szCs w:val="22"/>
        </w:rPr>
        <w:t>.”</w:t>
      </w:r>
      <w:r w:rsidR="00B40421" w:rsidRPr="008D0115">
        <w:rPr>
          <w:rFonts w:cs="Arial"/>
          <w:bCs/>
          <w:i/>
          <w:szCs w:val="22"/>
        </w:rPr>
        <w:t xml:space="preserve"> </w:t>
      </w:r>
    </w:p>
    <w:p w14:paraId="5CC8E379" w14:textId="0D8F78F9" w:rsidR="00BB45A6" w:rsidRPr="008D0115" w:rsidRDefault="008D0115" w:rsidP="008D0115">
      <w:pPr>
        <w:tabs>
          <w:tab w:val="left" w:pos="567"/>
        </w:tabs>
        <w:spacing w:after="480" w:line="480" w:lineRule="auto"/>
        <w:rPr>
          <w:rFonts w:cs="Arial"/>
          <w:bCs/>
          <w:szCs w:val="22"/>
        </w:rPr>
      </w:pPr>
      <w:r w:rsidRPr="00B40421">
        <w:rPr>
          <w:rFonts w:cs="Arial"/>
          <w:bCs/>
          <w:szCs w:val="22"/>
        </w:rPr>
        <w:t>[40]</w:t>
      </w:r>
      <w:r w:rsidRPr="00B40421">
        <w:rPr>
          <w:rFonts w:cs="Arial"/>
          <w:bCs/>
          <w:szCs w:val="22"/>
        </w:rPr>
        <w:tab/>
      </w:r>
      <w:r w:rsidR="00C574A4" w:rsidRPr="008D0115">
        <w:rPr>
          <w:rFonts w:cs="Arial"/>
          <w:bCs/>
          <w:szCs w:val="22"/>
        </w:rPr>
        <w:t xml:space="preserve">A </w:t>
      </w:r>
      <w:r w:rsidR="00BB45A6" w:rsidRPr="008D0115">
        <w:rPr>
          <w:rFonts w:cs="Arial"/>
          <w:bCs/>
          <w:szCs w:val="22"/>
        </w:rPr>
        <w:t>commercially sensible and business-like interpretation</w:t>
      </w:r>
      <w:r w:rsidR="00B40421" w:rsidRPr="008D0115">
        <w:rPr>
          <w:rFonts w:cs="Arial"/>
          <w:bCs/>
          <w:szCs w:val="22"/>
        </w:rPr>
        <w:t xml:space="preserve"> that avoids absurdity </w:t>
      </w:r>
      <w:r w:rsidR="003249F9" w:rsidRPr="008D0115">
        <w:rPr>
          <w:rFonts w:cs="Arial"/>
          <w:bCs/>
          <w:szCs w:val="22"/>
        </w:rPr>
        <w:t>will always be preferred by a c</w:t>
      </w:r>
      <w:r w:rsidR="00BB45A6" w:rsidRPr="008D0115">
        <w:rPr>
          <w:rFonts w:cs="Arial"/>
          <w:bCs/>
          <w:szCs w:val="22"/>
        </w:rPr>
        <w:t>ourt.</w:t>
      </w:r>
      <w:r w:rsidR="00BB45A6">
        <w:rPr>
          <w:rStyle w:val="FootnoteReference"/>
          <w:rFonts w:cs="Arial"/>
          <w:bCs/>
          <w:szCs w:val="22"/>
        </w:rPr>
        <w:footnoteReference w:id="6"/>
      </w:r>
      <w:r w:rsidR="00BB45A6" w:rsidRPr="008D0115">
        <w:rPr>
          <w:rFonts w:cs="Arial"/>
          <w:bCs/>
          <w:szCs w:val="22"/>
        </w:rPr>
        <w:t xml:space="preserve"> </w:t>
      </w:r>
    </w:p>
    <w:p w14:paraId="53D2A83C" w14:textId="249637B2" w:rsidR="002B6742" w:rsidRPr="008D0115" w:rsidRDefault="008D0115" w:rsidP="008D0115">
      <w:pPr>
        <w:tabs>
          <w:tab w:val="left" w:pos="567"/>
        </w:tabs>
        <w:spacing w:after="480" w:line="480" w:lineRule="auto"/>
        <w:rPr>
          <w:rFonts w:cs="Arial"/>
          <w:bCs/>
          <w:szCs w:val="22"/>
        </w:rPr>
      </w:pPr>
      <w:r w:rsidRPr="00BB45A6">
        <w:rPr>
          <w:rFonts w:cs="Arial"/>
          <w:bCs/>
          <w:szCs w:val="22"/>
        </w:rPr>
        <w:lastRenderedPageBreak/>
        <w:t>[41]</w:t>
      </w:r>
      <w:r w:rsidRPr="00BB45A6">
        <w:rPr>
          <w:rFonts w:cs="Arial"/>
          <w:bCs/>
          <w:szCs w:val="22"/>
        </w:rPr>
        <w:tab/>
      </w:r>
      <w:r w:rsidR="002B6742" w:rsidRPr="008D0115">
        <w:rPr>
          <w:rFonts w:cs="Arial"/>
          <w:bCs/>
          <w:szCs w:val="22"/>
        </w:rPr>
        <w:t xml:space="preserve">The applicant referred in addition to </w:t>
      </w:r>
      <w:r w:rsidR="00311241" w:rsidRPr="008D0115">
        <w:rPr>
          <w:rFonts w:cs="Arial"/>
          <w:bCs/>
          <w:i/>
          <w:szCs w:val="22"/>
        </w:rPr>
        <w:t>The City of Tshwane Metropolitan Municipality v Blair</w:t>
      </w:r>
      <w:r w:rsidR="002B6742" w:rsidRPr="008D0115">
        <w:rPr>
          <w:rFonts w:cs="Arial"/>
          <w:bCs/>
          <w:i/>
          <w:szCs w:val="22"/>
        </w:rPr>
        <w:t xml:space="preserve"> Atho</w:t>
      </w:r>
      <w:r w:rsidR="00311241" w:rsidRPr="008D0115">
        <w:rPr>
          <w:rFonts w:cs="Arial"/>
          <w:bCs/>
          <w:i/>
          <w:szCs w:val="22"/>
        </w:rPr>
        <w:t>l</w:t>
      </w:r>
      <w:r w:rsidR="002B6742" w:rsidRPr="008D0115">
        <w:rPr>
          <w:rFonts w:cs="Arial"/>
          <w:bCs/>
          <w:i/>
          <w:szCs w:val="22"/>
        </w:rPr>
        <w:t>l Homeowners Association</w:t>
      </w:r>
      <w:r w:rsidR="002B6742">
        <w:rPr>
          <w:rStyle w:val="FootnoteReference"/>
          <w:rFonts w:cs="Arial"/>
          <w:bCs/>
          <w:i/>
          <w:szCs w:val="22"/>
        </w:rPr>
        <w:footnoteReference w:id="7"/>
      </w:r>
      <w:r w:rsidR="002B6742" w:rsidRPr="008D0115">
        <w:rPr>
          <w:rFonts w:cs="Arial"/>
          <w:bCs/>
          <w:szCs w:val="22"/>
        </w:rPr>
        <w:t xml:space="preserve"> to the effect that “evidence of the intention of the parties of their prior negotiations is inadmissible”.</w:t>
      </w:r>
      <w:r w:rsidR="002B6742">
        <w:rPr>
          <w:rStyle w:val="FootnoteReference"/>
          <w:rFonts w:cs="Arial"/>
          <w:bCs/>
          <w:szCs w:val="22"/>
        </w:rPr>
        <w:footnoteReference w:id="8"/>
      </w:r>
      <w:r w:rsidR="002B6742" w:rsidRPr="008D0115">
        <w:rPr>
          <w:rFonts w:cs="Arial"/>
          <w:bCs/>
          <w:szCs w:val="22"/>
        </w:rPr>
        <w:t xml:space="preserve"> </w:t>
      </w:r>
    </w:p>
    <w:p w14:paraId="68105B77" w14:textId="4C308EDA" w:rsidR="000C1BCC" w:rsidRPr="008D0115" w:rsidRDefault="008D0115" w:rsidP="008D0115">
      <w:pPr>
        <w:tabs>
          <w:tab w:val="left" w:pos="567"/>
        </w:tabs>
        <w:spacing w:after="480" w:line="480" w:lineRule="auto"/>
        <w:rPr>
          <w:rFonts w:cs="Arial"/>
          <w:bCs/>
          <w:szCs w:val="22"/>
        </w:rPr>
      </w:pPr>
      <w:r w:rsidRPr="00B40421">
        <w:rPr>
          <w:rFonts w:cs="Arial"/>
          <w:bCs/>
          <w:szCs w:val="22"/>
        </w:rPr>
        <w:t>[42]</w:t>
      </w:r>
      <w:r w:rsidRPr="00B40421">
        <w:rPr>
          <w:rFonts w:cs="Arial"/>
          <w:bCs/>
          <w:szCs w:val="22"/>
        </w:rPr>
        <w:tab/>
      </w:r>
      <w:r w:rsidR="002B6742" w:rsidRPr="008D0115">
        <w:rPr>
          <w:rFonts w:cs="Arial"/>
          <w:bCs/>
          <w:szCs w:val="22"/>
        </w:rPr>
        <w:t xml:space="preserve"> According to the applicant, a co</w:t>
      </w:r>
      <w:r w:rsidR="00C574A4" w:rsidRPr="008D0115">
        <w:rPr>
          <w:rFonts w:cs="Arial"/>
          <w:bCs/>
          <w:szCs w:val="22"/>
        </w:rPr>
        <w:t>nsideration of the words of</w:t>
      </w:r>
      <w:r w:rsidR="002B6742" w:rsidRPr="008D0115">
        <w:rPr>
          <w:rFonts w:cs="Arial"/>
          <w:bCs/>
          <w:szCs w:val="22"/>
        </w:rPr>
        <w:t xml:space="preserve"> the clause gave rise to two distinct alternatives; firstly, the departure of the recommended candidate from the applicant’s employ within twelve months of commencing </w:t>
      </w:r>
      <w:r w:rsidR="00B40421" w:rsidRPr="008D0115">
        <w:rPr>
          <w:rFonts w:cs="Arial"/>
          <w:bCs/>
          <w:szCs w:val="22"/>
        </w:rPr>
        <w:t xml:space="preserve">the </w:t>
      </w:r>
      <w:r w:rsidR="002B6742" w:rsidRPr="008D0115">
        <w:rPr>
          <w:rFonts w:cs="Arial"/>
          <w:bCs/>
          <w:szCs w:val="22"/>
        </w:rPr>
        <w:t>employment, and, secondly, the recommended candidate being asked to leave the applicant’s employ due to r</w:t>
      </w:r>
      <w:r w:rsidR="00B40421" w:rsidRPr="008D0115">
        <w:rPr>
          <w:rFonts w:cs="Arial"/>
          <w:bCs/>
          <w:szCs w:val="22"/>
        </w:rPr>
        <w:t xml:space="preserve">easons directly linked to </w:t>
      </w:r>
      <w:r w:rsidR="002B6742" w:rsidRPr="008D0115">
        <w:rPr>
          <w:rFonts w:cs="Arial"/>
          <w:bCs/>
          <w:szCs w:val="22"/>
        </w:rPr>
        <w:t>his</w:t>
      </w:r>
      <w:r w:rsidR="00B40421" w:rsidRPr="008D0115">
        <w:rPr>
          <w:rFonts w:cs="Arial"/>
          <w:bCs/>
          <w:szCs w:val="22"/>
        </w:rPr>
        <w:t xml:space="preserve"> / her</w:t>
      </w:r>
      <w:r w:rsidR="002B6742" w:rsidRPr="008D0115">
        <w:rPr>
          <w:rFonts w:cs="Arial"/>
          <w:bCs/>
          <w:szCs w:val="22"/>
        </w:rPr>
        <w:t xml:space="preserve"> performance in the role, within twelve months of commencing the employment. </w:t>
      </w:r>
    </w:p>
    <w:p w14:paraId="0F3364AB" w14:textId="6516BA82" w:rsidR="002B6742" w:rsidRPr="008D0115" w:rsidRDefault="008D0115" w:rsidP="008D0115">
      <w:pPr>
        <w:tabs>
          <w:tab w:val="left" w:pos="567"/>
        </w:tabs>
        <w:spacing w:after="480" w:line="480" w:lineRule="auto"/>
        <w:rPr>
          <w:rFonts w:cs="Arial"/>
          <w:bCs/>
          <w:szCs w:val="22"/>
        </w:rPr>
      </w:pPr>
      <w:r>
        <w:rPr>
          <w:rFonts w:cs="Arial"/>
          <w:bCs/>
          <w:szCs w:val="22"/>
        </w:rPr>
        <w:t>[43]</w:t>
      </w:r>
      <w:r>
        <w:rPr>
          <w:rFonts w:cs="Arial"/>
          <w:bCs/>
          <w:szCs w:val="22"/>
        </w:rPr>
        <w:tab/>
      </w:r>
      <w:r w:rsidR="002B6742" w:rsidRPr="008D0115">
        <w:rPr>
          <w:rFonts w:cs="Arial"/>
          <w:bCs/>
          <w:szCs w:val="22"/>
        </w:rPr>
        <w:t xml:space="preserve">The applicant </w:t>
      </w:r>
      <w:r w:rsidR="00B40421" w:rsidRPr="008D0115">
        <w:rPr>
          <w:rFonts w:cs="Arial"/>
          <w:bCs/>
          <w:szCs w:val="22"/>
        </w:rPr>
        <w:t>argued that a commercially sound</w:t>
      </w:r>
      <w:r w:rsidR="002B6742" w:rsidRPr="008D0115">
        <w:rPr>
          <w:rFonts w:cs="Arial"/>
          <w:bCs/>
          <w:szCs w:val="22"/>
        </w:rPr>
        <w:t xml:space="preserve"> interpretation of the clause required the qualification of “up to 12 months after commencing employment” to apply to both alternatives, notwithstanding the placement of the phrase after the words “if the candidate …. is asked to leave”.  </w:t>
      </w:r>
    </w:p>
    <w:p w14:paraId="41A9A4E6" w14:textId="4C3A1959" w:rsidR="002B6742" w:rsidRPr="008D0115" w:rsidRDefault="008D0115" w:rsidP="008D0115">
      <w:pPr>
        <w:tabs>
          <w:tab w:val="left" w:pos="567"/>
        </w:tabs>
        <w:spacing w:after="480" w:line="480" w:lineRule="auto"/>
        <w:rPr>
          <w:rFonts w:cs="Arial"/>
          <w:bCs/>
          <w:szCs w:val="22"/>
        </w:rPr>
      </w:pPr>
      <w:r>
        <w:rPr>
          <w:rFonts w:cs="Arial"/>
          <w:bCs/>
          <w:szCs w:val="22"/>
        </w:rPr>
        <w:t>[44]</w:t>
      </w:r>
      <w:r>
        <w:rPr>
          <w:rFonts w:cs="Arial"/>
          <w:bCs/>
          <w:szCs w:val="22"/>
        </w:rPr>
        <w:tab/>
      </w:r>
      <w:r w:rsidR="002B6742" w:rsidRPr="008D0115">
        <w:rPr>
          <w:rFonts w:cs="Arial"/>
          <w:bCs/>
          <w:szCs w:val="22"/>
        </w:rPr>
        <w:t xml:space="preserve">The </w:t>
      </w:r>
      <w:r w:rsidR="00311241" w:rsidRPr="008D0115">
        <w:rPr>
          <w:rFonts w:cs="Arial"/>
          <w:bCs/>
          <w:szCs w:val="22"/>
        </w:rPr>
        <w:t xml:space="preserve">clause, according to the </w:t>
      </w:r>
      <w:r w:rsidR="002B6742" w:rsidRPr="008D0115">
        <w:rPr>
          <w:rFonts w:cs="Arial"/>
          <w:bCs/>
          <w:szCs w:val="22"/>
        </w:rPr>
        <w:t>applicant</w:t>
      </w:r>
      <w:r w:rsidR="00311241" w:rsidRPr="008D0115">
        <w:rPr>
          <w:rFonts w:cs="Arial"/>
          <w:bCs/>
          <w:szCs w:val="22"/>
        </w:rPr>
        <w:t>,</w:t>
      </w:r>
      <w:r w:rsidR="002B6742" w:rsidRPr="008D0115">
        <w:rPr>
          <w:rFonts w:cs="Arial"/>
          <w:bCs/>
          <w:szCs w:val="22"/>
        </w:rPr>
        <w:t xml:space="preserve"> was poorly drafted and had to be </w:t>
      </w:r>
      <w:r w:rsidR="00B40421" w:rsidRPr="008D0115">
        <w:rPr>
          <w:rFonts w:cs="Arial"/>
          <w:bCs/>
          <w:szCs w:val="22"/>
        </w:rPr>
        <w:t xml:space="preserve">redrafted or </w:t>
      </w:r>
      <w:r w:rsidR="002B6742" w:rsidRPr="008D0115">
        <w:rPr>
          <w:rFonts w:cs="Arial"/>
          <w:bCs/>
          <w:szCs w:val="22"/>
        </w:rPr>
        <w:t xml:space="preserve">reconstructed in order to afford it </w:t>
      </w:r>
      <w:r w:rsidR="00311241" w:rsidRPr="008D0115">
        <w:rPr>
          <w:rFonts w:cs="Arial"/>
          <w:bCs/>
          <w:szCs w:val="22"/>
        </w:rPr>
        <w:t xml:space="preserve">a </w:t>
      </w:r>
      <w:r w:rsidR="002B6742" w:rsidRPr="008D0115">
        <w:rPr>
          <w:rFonts w:cs="Arial"/>
          <w:bCs/>
          <w:szCs w:val="22"/>
        </w:rPr>
        <w:t>commercial</w:t>
      </w:r>
      <w:r w:rsidR="00311241" w:rsidRPr="008D0115">
        <w:rPr>
          <w:rFonts w:cs="Arial"/>
          <w:bCs/>
          <w:szCs w:val="22"/>
        </w:rPr>
        <w:t>ly sensible meaning</w:t>
      </w:r>
      <w:r w:rsidR="002B6742" w:rsidRPr="008D0115">
        <w:rPr>
          <w:rFonts w:cs="Arial"/>
          <w:bCs/>
          <w:szCs w:val="22"/>
        </w:rPr>
        <w:t>, by reading the words “up to 12 months after commencing employment” at the end of the clause, in order</w:t>
      </w:r>
      <w:r w:rsidR="00B40421" w:rsidRPr="008D0115">
        <w:rPr>
          <w:rFonts w:cs="Arial"/>
          <w:bCs/>
          <w:szCs w:val="22"/>
        </w:rPr>
        <w:t xml:space="preserve"> that the twelve-month limitation applied </w:t>
      </w:r>
      <w:r w:rsidR="002B6742" w:rsidRPr="008D0115">
        <w:rPr>
          <w:rFonts w:cs="Arial"/>
          <w:bCs/>
          <w:szCs w:val="22"/>
        </w:rPr>
        <w:t xml:space="preserve">to both alternatives.  </w:t>
      </w:r>
    </w:p>
    <w:p w14:paraId="01CCC24B" w14:textId="114D7D6D" w:rsidR="002B6742" w:rsidRPr="008D0115" w:rsidRDefault="008D0115" w:rsidP="008D0115">
      <w:pPr>
        <w:tabs>
          <w:tab w:val="left" w:pos="567"/>
        </w:tabs>
        <w:spacing w:after="480" w:line="480" w:lineRule="auto"/>
        <w:rPr>
          <w:rFonts w:cs="Arial"/>
          <w:bCs/>
          <w:szCs w:val="22"/>
        </w:rPr>
      </w:pPr>
      <w:r w:rsidRPr="00BB45A6">
        <w:rPr>
          <w:rFonts w:cs="Arial"/>
          <w:bCs/>
          <w:szCs w:val="22"/>
        </w:rPr>
        <w:t>[45]</w:t>
      </w:r>
      <w:r w:rsidRPr="00BB45A6">
        <w:rPr>
          <w:rFonts w:cs="Arial"/>
          <w:bCs/>
          <w:szCs w:val="22"/>
        </w:rPr>
        <w:tab/>
      </w:r>
      <w:r w:rsidR="002B6742" w:rsidRPr="008D0115">
        <w:rPr>
          <w:rFonts w:cs="Arial"/>
          <w:bCs/>
          <w:szCs w:val="22"/>
        </w:rPr>
        <w:t xml:space="preserve">Hence, </w:t>
      </w:r>
      <w:r w:rsidR="00BB45A6" w:rsidRPr="008D0115">
        <w:rPr>
          <w:rFonts w:cs="Arial"/>
          <w:bCs/>
          <w:szCs w:val="22"/>
        </w:rPr>
        <w:t>on the applicant’s construction of the clause, i</w:t>
      </w:r>
      <w:r w:rsidR="002B6742" w:rsidRPr="008D0115">
        <w:rPr>
          <w:rFonts w:cs="Arial"/>
          <w:bCs/>
          <w:szCs w:val="22"/>
        </w:rPr>
        <w:t xml:space="preserve">f the recommended candidate departed within twelve months of commencing employment, whatever the reason for </w:t>
      </w:r>
      <w:r w:rsidR="00831AC4" w:rsidRPr="008D0115">
        <w:rPr>
          <w:rFonts w:cs="Arial"/>
          <w:bCs/>
          <w:szCs w:val="22"/>
        </w:rPr>
        <w:t>the</w:t>
      </w:r>
      <w:r w:rsidR="002B6742" w:rsidRPr="008D0115">
        <w:rPr>
          <w:rFonts w:cs="Arial"/>
          <w:bCs/>
          <w:szCs w:val="22"/>
        </w:rPr>
        <w:t xml:space="preserve"> candidate’s departure,</w:t>
      </w:r>
      <w:r w:rsidR="00BB45A6" w:rsidRPr="008D0115">
        <w:rPr>
          <w:rFonts w:cs="Arial"/>
          <w:bCs/>
          <w:szCs w:val="22"/>
        </w:rPr>
        <w:t xml:space="preserve"> or the candidate was asked to leave for reasons linked to his </w:t>
      </w:r>
      <w:r w:rsidR="00BB45A6" w:rsidRPr="008D0115">
        <w:rPr>
          <w:rFonts w:cs="Arial"/>
          <w:bCs/>
          <w:szCs w:val="22"/>
        </w:rPr>
        <w:lastRenderedPageBreak/>
        <w:t>performance in the role within twelve months of commencing employment, the</w:t>
      </w:r>
      <w:r w:rsidR="002B6742" w:rsidRPr="008D0115">
        <w:rPr>
          <w:rFonts w:cs="Arial"/>
          <w:bCs/>
          <w:szCs w:val="22"/>
        </w:rPr>
        <w:t xml:space="preserve"> respondent had to replace the candidate at no additional cost to the applicant.</w:t>
      </w:r>
    </w:p>
    <w:p w14:paraId="27466853" w14:textId="2292BC99" w:rsidR="002B6742" w:rsidRPr="008D0115" w:rsidRDefault="008D0115" w:rsidP="008D0115">
      <w:pPr>
        <w:tabs>
          <w:tab w:val="left" w:pos="567"/>
        </w:tabs>
        <w:spacing w:after="480" w:line="480" w:lineRule="auto"/>
        <w:rPr>
          <w:rFonts w:cs="Arial"/>
          <w:bCs/>
          <w:szCs w:val="22"/>
        </w:rPr>
      </w:pPr>
      <w:r w:rsidRPr="004F3A17">
        <w:rPr>
          <w:rFonts w:cs="Arial"/>
          <w:bCs/>
          <w:szCs w:val="22"/>
        </w:rPr>
        <w:t>[46]</w:t>
      </w:r>
      <w:r w:rsidRPr="004F3A17">
        <w:rPr>
          <w:rFonts w:cs="Arial"/>
          <w:bCs/>
          <w:szCs w:val="22"/>
        </w:rPr>
        <w:tab/>
      </w:r>
      <w:r w:rsidR="002B6742" w:rsidRPr="008D0115">
        <w:rPr>
          <w:rFonts w:cs="Arial"/>
          <w:bCs/>
          <w:szCs w:val="22"/>
        </w:rPr>
        <w:t>The second leg of the applicant’s argument was that the phrase “due to reasons directly linked to his / her performance in the role” applied only to the second alternative, to the candidate being asked to leave the employment.</w:t>
      </w:r>
    </w:p>
    <w:p w14:paraId="6E986F63" w14:textId="06012D8F" w:rsidR="00D46766" w:rsidRPr="008D0115" w:rsidRDefault="008D0115" w:rsidP="008D0115">
      <w:pPr>
        <w:tabs>
          <w:tab w:val="left" w:pos="567"/>
        </w:tabs>
        <w:spacing w:after="480" w:line="480" w:lineRule="auto"/>
        <w:rPr>
          <w:rFonts w:cs="Arial"/>
          <w:bCs/>
          <w:szCs w:val="22"/>
        </w:rPr>
      </w:pPr>
      <w:r>
        <w:rPr>
          <w:rFonts w:cs="Arial"/>
          <w:bCs/>
          <w:szCs w:val="22"/>
        </w:rPr>
        <w:t>[47]</w:t>
      </w:r>
      <w:r>
        <w:rPr>
          <w:rFonts w:cs="Arial"/>
          <w:bCs/>
          <w:szCs w:val="22"/>
        </w:rPr>
        <w:tab/>
      </w:r>
      <w:r w:rsidR="002B6742" w:rsidRPr="008D0115">
        <w:rPr>
          <w:rFonts w:cs="Arial"/>
          <w:bCs/>
          <w:szCs w:val="22"/>
        </w:rPr>
        <w:t>Performance, argued the applicant, was measured and acted on by an employer.</w:t>
      </w:r>
      <w:r w:rsidR="00D46766" w:rsidRPr="008D0115">
        <w:rPr>
          <w:rFonts w:cs="Arial"/>
          <w:bCs/>
          <w:szCs w:val="22"/>
        </w:rPr>
        <w:t xml:space="preserve"> It was something within the employer’s power and control. Thus, i</w:t>
      </w:r>
      <w:r w:rsidR="002B6742" w:rsidRPr="008D0115">
        <w:rPr>
          <w:rFonts w:cs="Arial"/>
          <w:bCs/>
          <w:szCs w:val="22"/>
        </w:rPr>
        <w:t xml:space="preserve">t was highly unlikely that an employee, enticed to a new employment position by the salary and prospects of the position, would depart due to concerns in respect of his / her own performance. </w:t>
      </w:r>
    </w:p>
    <w:p w14:paraId="0CDE0828" w14:textId="734C5BB6" w:rsidR="00611832" w:rsidRPr="008D0115" w:rsidRDefault="008D0115" w:rsidP="008D0115">
      <w:pPr>
        <w:tabs>
          <w:tab w:val="left" w:pos="567"/>
        </w:tabs>
        <w:spacing w:after="480" w:line="480" w:lineRule="auto"/>
        <w:rPr>
          <w:rFonts w:cs="Arial"/>
          <w:bCs/>
          <w:szCs w:val="22"/>
        </w:rPr>
      </w:pPr>
      <w:r>
        <w:rPr>
          <w:rFonts w:cs="Arial"/>
          <w:bCs/>
          <w:szCs w:val="22"/>
        </w:rPr>
        <w:t>[48]</w:t>
      </w:r>
      <w:r>
        <w:rPr>
          <w:rFonts w:cs="Arial"/>
          <w:bCs/>
          <w:szCs w:val="22"/>
        </w:rPr>
        <w:tab/>
      </w:r>
      <w:r w:rsidR="002B6742" w:rsidRPr="008D0115">
        <w:rPr>
          <w:rFonts w:cs="Arial"/>
          <w:bCs/>
          <w:szCs w:val="22"/>
        </w:rPr>
        <w:t>The respondent contended that the applicant’s submissions in this regard were speculative and incorrect. This was because managing director positions were high</w:t>
      </w:r>
      <w:r w:rsidR="00D46766" w:rsidRPr="008D0115">
        <w:rPr>
          <w:rFonts w:cs="Arial"/>
          <w:bCs/>
          <w:szCs w:val="22"/>
        </w:rPr>
        <w:t>ly</w:t>
      </w:r>
      <w:r w:rsidR="002B6742" w:rsidRPr="008D0115">
        <w:rPr>
          <w:rFonts w:cs="Arial"/>
          <w:bCs/>
          <w:szCs w:val="22"/>
        </w:rPr>
        <w:t xml:space="preserve"> </w:t>
      </w:r>
      <w:r w:rsidR="00D46766" w:rsidRPr="008D0115">
        <w:rPr>
          <w:rFonts w:cs="Arial"/>
          <w:bCs/>
          <w:szCs w:val="22"/>
        </w:rPr>
        <w:t>stressful</w:t>
      </w:r>
      <w:r w:rsidR="002B6742" w:rsidRPr="008D0115">
        <w:rPr>
          <w:rFonts w:cs="Arial"/>
          <w:bCs/>
          <w:szCs w:val="22"/>
        </w:rPr>
        <w:t xml:space="preserve"> and demand</w:t>
      </w:r>
      <w:r w:rsidR="00D46766" w:rsidRPr="008D0115">
        <w:rPr>
          <w:rFonts w:cs="Arial"/>
          <w:bCs/>
          <w:szCs w:val="22"/>
        </w:rPr>
        <w:t>ing positions. I</w:t>
      </w:r>
      <w:r w:rsidR="002B6742" w:rsidRPr="008D0115">
        <w:rPr>
          <w:rFonts w:cs="Arial"/>
          <w:bCs/>
          <w:szCs w:val="22"/>
        </w:rPr>
        <w:t>t was feasible for an employee holding</w:t>
      </w:r>
      <w:r w:rsidR="00BB45A6" w:rsidRPr="008D0115">
        <w:rPr>
          <w:rFonts w:cs="Arial"/>
          <w:bCs/>
          <w:szCs w:val="22"/>
        </w:rPr>
        <w:t xml:space="preserve"> such a position to depart</w:t>
      </w:r>
      <w:r w:rsidR="002B6742" w:rsidRPr="008D0115">
        <w:rPr>
          <w:rFonts w:cs="Arial"/>
          <w:bCs/>
          <w:szCs w:val="22"/>
        </w:rPr>
        <w:t xml:space="preserve"> </w:t>
      </w:r>
      <w:r w:rsidR="00D46766" w:rsidRPr="008D0115">
        <w:rPr>
          <w:rFonts w:cs="Arial"/>
          <w:bCs/>
          <w:szCs w:val="22"/>
        </w:rPr>
        <w:t xml:space="preserve">of his / her own accord voluntarily </w:t>
      </w:r>
      <w:r w:rsidR="002B6742" w:rsidRPr="008D0115">
        <w:rPr>
          <w:rFonts w:cs="Arial"/>
          <w:bCs/>
          <w:szCs w:val="22"/>
        </w:rPr>
        <w:t xml:space="preserve">for reasons linked to performance. Ultimately, little turned on the longevity or otherwise of an employee in a managing director’s role.  </w:t>
      </w:r>
    </w:p>
    <w:p w14:paraId="7E4B1893" w14:textId="1AE8686C" w:rsidR="000C1BCC" w:rsidRPr="008D0115" w:rsidRDefault="008D0115" w:rsidP="008D0115">
      <w:pPr>
        <w:tabs>
          <w:tab w:val="left" w:pos="567"/>
        </w:tabs>
        <w:spacing w:after="480" w:line="480" w:lineRule="auto"/>
        <w:rPr>
          <w:rFonts w:cs="Arial"/>
          <w:bCs/>
          <w:szCs w:val="22"/>
        </w:rPr>
      </w:pPr>
      <w:r w:rsidRPr="00611832">
        <w:rPr>
          <w:rFonts w:cs="Arial"/>
          <w:bCs/>
          <w:szCs w:val="22"/>
        </w:rPr>
        <w:t>[49]</w:t>
      </w:r>
      <w:r w:rsidRPr="00611832">
        <w:rPr>
          <w:rFonts w:cs="Arial"/>
          <w:bCs/>
          <w:szCs w:val="22"/>
        </w:rPr>
        <w:tab/>
      </w:r>
      <w:r w:rsidR="000C1BCC" w:rsidRPr="008D0115">
        <w:rPr>
          <w:rFonts w:cs="Arial"/>
          <w:bCs/>
          <w:szCs w:val="22"/>
        </w:rPr>
        <w:t>In respect of the context of the clause, the applicant referred to the fee charged by the respondent, the applicant’s requirement that the recommended candidate remain in the position for a reasonable period of time as articulated in the documents aforementioned and that performance was linked to</w:t>
      </w:r>
      <w:r w:rsidR="00D46766" w:rsidRPr="008D0115">
        <w:rPr>
          <w:rFonts w:cs="Arial"/>
          <w:bCs/>
          <w:szCs w:val="22"/>
        </w:rPr>
        <w:t xml:space="preserve"> a situation where a candidate wa</w:t>
      </w:r>
      <w:r w:rsidR="000C1BCC" w:rsidRPr="008D0115">
        <w:rPr>
          <w:rFonts w:cs="Arial"/>
          <w:bCs/>
          <w:szCs w:val="22"/>
        </w:rPr>
        <w:t>s asked to leave by the employer, the applicant, and not related to the candidate departing voluntarily.</w:t>
      </w:r>
    </w:p>
    <w:p w14:paraId="3F5D5C57" w14:textId="4A59ADE8" w:rsidR="00831AC4" w:rsidRPr="008D0115" w:rsidRDefault="008D0115" w:rsidP="008D0115">
      <w:pPr>
        <w:tabs>
          <w:tab w:val="left" w:pos="567"/>
        </w:tabs>
        <w:spacing w:after="480" w:line="480" w:lineRule="auto"/>
        <w:rPr>
          <w:rFonts w:cs="Arial"/>
          <w:bCs/>
          <w:szCs w:val="22"/>
        </w:rPr>
      </w:pPr>
      <w:r w:rsidRPr="000C1BCC">
        <w:rPr>
          <w:rFonts w:cs="Arial"/>
          <w:bCs/>
          <w:szCs w:val="22"/>
        </w:rPr>
        <w:t>[50]</w:t>
      </w:r>
      <w:r w:rsidRPr="000C1BCC">
        <w:rPr>
          <w:rFonts w:cs="Arial"/>
          <w:bCs/>
          <w:szCs w:val="22"/>
        </w:rPr>
        <w:tab/>
      </w:r>
      <w:r w:rsidR="00831AC4" w:rsidRPr="008D0115">
        <w:rPr>
          <w:rFonts w:cs="Arial"/>
          <w:bCs/>
          <w:szCs w:val="22"/>
        </w:rPr>
        <w:t xml:space="preserve">The respondent </w:t>
      </w:r>
      <w:r w:rsidR="000C1BCC" w:rsidRPr="008D0115">
        <w:rPr>
          <w:rFonts w:cs="Arial"/>
          <w:bCs/>
          <w:szCs w:val="22"/>
        </w:rPr>
        <w:t xml:space="preserve">submitted </w:t>
      </w:r>
      <w:r w:rsidR="00831AC4" w:rsidRPr="008D0115">
        <w:rPr>
          <w:rFonts w:cs="Arial"/>
          <w:bCs/>
          <w:szCs w:val="22"/>
        </w:rPr>
        <w:t>that</w:t>
      </w:r>
      <w:r w:rsidR="00741D72" w:rsidRPr="008D0115">
        <w:rPr>
          <w:rFonts w:cs="Arial"/>
          <w:bCs/>
          <w:szCs w:val="22"/>
        </w:rPr>
        <w:t xml:space="preserve"> on a </w:t>
      </w:r>
      <w:r w:rsidR="00D46766" w:rsidRPr="008D0115">
        <w:rPr>
          <w:rFonts w:cs="Arial"/>
          <w:bCs/>
          <w:szCs w:val="22"/>
        </w:rPr>
        <w:t xml:space="preserve">grammatical </w:t>
      </w:r>
      <w:r w:rsidR="00741D72" w:rsidRPr="008D0115">
        <w:rPr>
          <w:rFonts w:cs="Arial"/>
          <w:bCs/>
          <w:szCs w:val="22"/>
        </w:rPr>
        <w:t>consideration of the text</w:t>
      </w:r>
      <w:r w:rsidR="00D46766" w:rsidRPr="008D0115">
        <w:rPr>
          <w:rFonts w:cs="Arial"/>
          <w:bCs/>
          <w:szCs w:val="22"/>
        </w:rPr>
        <w:t xml:space="preserve"> of the clause</w:t>
      </w:r>
      <w:r w:rsidR="00741D72" w:rsidRPr="008D0115">
        <w:rPr>
          <w:rFonts w:cs="Arial"/>
          <w:bCs/>
          <w:szCs w:val="22"/>
        </w:rPr>
        <w:t>,</w:t>
      </w:r>
      <w:r w:rsidR="00831AC4" w:rsidRPr="008D0115">
        <w:rPr>
          <w:rFonts w:cs="Arial"/>
          <w:bCs/>
          <w:szCs w:val="22"/>
        </w:rPr>
        <w:t xml:space="preserve"> the qualification of “due to reasons directly related to his/her performance” applied </w:t>
      </w:r>
      <w:r w:rsidR="00831AC4" w:rsidRPr="008D0115">
        <w:rPr>
          <w:rFonts w:cs="Arial"/>
          <w:bCs/>
          <w:szCs w:val="22"/>
        </w:rPr>
        <w:lastRenderedPageBreak/>
        <w:t xml:space="preserve">to both alternatives raised by the clause, to the candidate departing and to the candidate being asked to leave the employment. </w:t>
      </w:r>
    </w:p>
    <w:p w14:paraId="32CB9086" w14:textId="6CB54545" w:rsidR="003249F9" w:rsidRPr="008D0115" w:rsidRDefault="008D0115" w:rsidP="008D0115">
      <w:pPr>
        <w:tabs>
          <w:tab w:val="left" w:pos="567"/>
        </w:tabs>
        <w:spacing w:after="480" w:line="480" w:lineRule="auto"/>
        <w:rPr>
          <w:rFonts w:cs="Arial"/>
          <w:bCs/>
          <w:szCs w:val="22"/>
        </w:rPr>
      </w:pPr>
      <w:r>
        <w:rPr>
          <w:rFonts w:cs="Arial"/>
          <w:bCs/>
          <w:szCs w:val="22"/>
        </w:rPr>
        <w:t>[51]</w:t>
      </w:r>
      <w:r>
        <w:rPr>
          <w:rFonts w:cs="Arial"/>
          <w:bCs/>
          <w:szCs w:val="22"/>
        </w:rPr>
        <w:tab/>
      </w:r>
      <w:r w:rsidR="004476BE" w:rsidRPr="008D0115">
        <w:rPr>
          <w:rFonts w:cs="Arial"/>
          <w:bCs/>
          <w:szCs w:val="22"/>
        </w:rPr>
        <w:t>In respect of the applicant’s submission that the words “wit</w:t>
      </w:r>
      <w:r w:rsidR="003249F9" w:rsidRPr="008D0115">
        <w:rPr>
          <w:rFonts w:cs="Arial"/>
          <w:bCs/>
          <w:szCs w:val="22"/>
        </w:rPr>
        <w:t>hin 12 months” had to be removed</w:t>
      </w:r>
      <w:r w:rsidR="004476BE" w:rsidRPr="008D0115">
        <w:rPr>
          <w:rFonts w:cs="Arial"/>
          <w:bCs/>
          <w:szCs w:val="22"/>
        </w:rPr>
        <w:t xml:space="preserve"> from their current position in the claus</w:t>
      </w:r>
      <w:r w:rsidR="003249F9" w:rsidRPr="008D0115">
        <w:rPr>
          <w:rFonts w:cs="Arial"/>
          <w:bCs/>
          <w:szCs w:val="22"/>
        </w:rPr>
        <w:t>e and rewritten at the end of the clause</w:t>
      </w:r>
      <w:r w:rsidR="004476BE" w:rsidRPr="008D0115">
        <w:rPr>
          <w:rFonts w:cs="Arial"/>
          <w:bCs/>
          <w:szCs w:val="22"/>
        </w:rPr>
        <w:t>,</w:t>
      </w:r>
      <w:r w:rsidR="003249F9" w:rsidRPr="008D0115">
        <w:rPr>
          <w:rFonts w:cs="Arial"/>
          <w:bCs/>
          <w:szCs w:val="22"/>
        </w:rPr>
        <w:t xml:space="preserve"> the court in </w:t>
      </w:r>
      <w:r w:rsidR="004476BE" w:rsidRPr="008D0115">
        <w:rPr>
          <w:rFonts w:cs="Arial"/>
          <w:bCs/>
          <w:i/>
          <w:szCs w:val="22"/>
        </w:rPr>
        <w:t>Endumeni</w:t>
      </w:r>
      <w:r w:rsidR="004476BE" w:rsidRPr="008D0115">
        <w:rPr>
          <w:rFonts w:cs="Arial"/>
          <w:bCs/>
          <w:szCs w:val="22"/>
        </w:rPr>
        <w:t xml:space="preserve"> found that </w:t>
      </w:r>
      <w:r w:rsidR="00831AC4" w:rsidRPr="008D0115">
        <w:rPr>
          <w:rFonts w:cs="Arial"/>
          <w:bCs/>
          <w:szCs w:val="22"/>
        </w:rPr>
        <w:t xml:space="preserve">courts </w:t>
      </w:r>
      <w:r w:rsidR="003249F9" w:rsidRPr="008D0115">
        <w:rPr>
          <w:rFonts w:cs="Arial"/>
          <w:bCs/>
          <w:szCs w:val="22"/>
        </w:rPr>
        <w:t xml:space="preserve">“… </w:t>
      </w:r>
      <w:r w:rsidR="004476BE" w:rsidRPr="008D0115">
        <w:rPr>
          <w:rFonts w:cs="Arial"/>
          <w:bCs/>
          <w:szCs w:val="22"/>
        </w:rPr>
        <w:t>must be alert to and guard against, the temptation to substitute what they regard as r</w:t>
      </w:r>
      <w:r w:rsidR="00D46766" w:rsidRPr="008D0115">
        <w:rPr>
          <w:rFonts w:cs="Arial"/>
          <w:bCs/>
          <w:szCs w:val="22"/>
        </w:rPr>
        <w:t>easonable, sensible or business-</w:t>
      </w:r>
      <w:r w:rsidR="004476BE" w:rsidRPr="008D0115">
        <w:rPr>
          <w:rFonts w:cs="Arial"/>
          <w:bCs/>
          <w:szCs w:val="22"/>
        </w:rPr>
        <w:t xml:space="preserve">like for the words actually used. </w:t>
      </w:r>
      <w:r w:rsidR="00D27672" w:rsidRPr="008D0115">
        <w:rPr>
          <w:rFonts w:cs="Arial"/>
          <w:bCs/>
          <w:szCs w:val="22"/>
        </w:rPr>
        <w:t>That caution would incorporate changing the syntax of the clause.</w:t>
      </w:r>
    </w:p>
    <w:p w14:paraId="108E5BA8" w14:textId="5858AB07" w:rsidR="00A40782" w:rsidRPr="008D0115" w:rsidRDefault="008D0115" w:rsidP="008D0115">
      <w:pPr>
        <w:tabs>
          <w:tab w:val="left" w:pos="567"/>
        </w:tabs>
        <w:spacing w:after="480" w:line="480" w:lineRule="auto"/>
        <w:rPr>
          <w:rFonts w:cs="Arial"/>
          <w:bCs/>
          <w:szCs w:val="22"/>
        </w:rPr>
      </w:pPr>
      <w:r>
        <w:rPr>
          <w:rFonts w:cs="Arial"/>
          <w:bCs/>
          <w:szCs w:val="22"/>
        </w:rPr>
        <w:t>[52]</w:t>
      </w:r>
      <w:r>
        <w:rPr>
          <w:rFonts w:cs="Arial"/>
          <w:bCs/>
          <w:szCs w:val="22"/>
        </w:rPr>
        <w:tab/>
      </w:r>
      <w:r w:rsidR="003249F9" w:rsidRPr="008D0115">
        <w:rPr>
          <w:rFonts w:cs="Arial"/>
          <w:bCs/>
          <w:szCs w:val="22"/>
        </w:rPr>
        <w:t xml:space="preserve">On a reading of the </w:t>
      </w:r>
      <w:r w:rsidR="00D27672" w:rsidRPr="008D0115">
        <w:rPr>
          <w:rFonts w:cs="Arial"/>
          <w:bCs/>
          <w:szCs w:val="22"/>
        </w:rPr>
        <w:t xml:space="preserve">plain </w:t>
      </w:r>
      <w:r w:rsidR="003249F9" w:rsidRPr="008D0115">
        <w:rPr>
          <w:rFonts w:cs="Arial"/>
          <w:bCs/>
          <w:szCs w:val="22"/>
        </w:rPr>
        <w:t>text of the clause, there is no ambiguity or absurdity in the language or in the meaning conveyed by th</w:t>
      </w:r>
      <w:r w:rsidR="00D27672" w:rsidRPr="008D0115">
        <w:rPr>
          <w:rFonts w:cs="Arial"/>
          <w:bCs/>
          <w:szCs w:val="22"/>
        </w:rPr>
        <w:t xml:space="preserve">e words used.  </w:t>
      </w:r>
      <w:r w:rsidR="003249F9" w:rsidRPr="008D0115">
        <w:rPr>
          <w:rFonts w:cs="Arial"/>
          <w:bCs/>
          <w:szCs w:val="22"/>
        </w:rPr>
        <w:t xml:space="preserve"> </w:t>
      </w:r>
    </w:p>
    <w:p w14:paraId="05AF7C87" w14:textId="2316C45F" w:rsidR="00A40782" w:rsidRPr="008D0115" w:rsidRDefault="008D0115" w:rsidP="008D0115">
      <w:pPr>
        <w:tabs>
          <w:tab w:val="left" w:pos="567"/>
        </w:tabs>
        <w:spacing w:after="480" w:line="480" w:lineRule="auto"/>
        <w:rPr>
          <w:rFonts w:cs="Arial"/>
          <w:b/>
          <w:bCs/>
          <w:szCs w:val="22"/>
        </w:rPr>
      </w:pPr>
      <w:r w:rsidRPr="009C2821">
        <w:rPr>
          <w:rFonts w:cs="Arial"/>
          <w:bCs/>
          <w:szCs w:val="22"/>
        </w:rPr>
        <w:t>[53]</w:t>
      </w:r>
      <w:r w:rsidRPr="009C2821">
        <w:rPr>
          <w:rFonts w:cs="Arial"/>
          <w:bCs/>
          <w:szCs w:val="22"/>
        </w:rPr>
        <w:tab/>
      </w:r>
      <w:r w:rsidR="00A40782" w:rsidRPr="008D0115">
        <w:rPr>
          <w:rFonts w:cs="Arial"/>
          <w:bCs/>
          <w:szCs w:val="22"/>
        </w:rPr>
        <w:t xml:space="preserve">Furthermore, a consideration of the ordinary grammatical meaning and </w:t>
      </w:r>
      <w:r w:rsidR="000C1BCC" w:rsidRPr="008D0115">
        <w:rPr>
          <w:rFonts w:cs="Arial"/>
          <w:bCs/>
          <w:szCs w:val="22"/>
        </w:rPr>
        <w:t>construction</w:t>
      </w:r>
      <w:r w:rsidR="00D27672" w:rsidRPr="008D0115">
        <w:rPr>
          <w:rFonts w:cs="Arial"/>
          <w:bCs/>
          <w:szCs w:val="22"/>
        </w:rPr>
        <w:t xml:space="preserve"> of the text,</w:t>
      </w:r>
      <w:r w:rsidR="00A40782" w:rsidRPr="008D0115">
        <w:rPr>
          <w:rFonts w:cs="Arial"/>
          <w:bCs/>
          <w:szCs w:val="22"/>
        </w:rPr>
        <w:t xml:space="preserve"> does not give rise to absurdity or ambiguity. In those circumstances, there is no basis for the rewriting or reconstruction of the clause, which must be considered as it stands.</w:t>
      </w:r>
    </w:p>
    <w:p w14:paraId="240D4E68" w14:textId="76A14F19" w:rsidR="006E6890" w:rsidRPr="008D0115" w:rsidRDefault="008D0115" w:rsidP="008D0115">
      <w:pPr>
        <w:tabs>
          <w:tab w:val="left" w:pos="567"/>
        </w:tabs>
        <w:spacing w:after="480" w:line="480" w:lineRule="auto"/>
        <w:rPr>
          <w:rFonts w:cs="Arial"/>
          <w:bCs/>
          <w:szCs w:val="22"/>
        </w:rPr>
      </w:pPr>
      <w:r>
        <w:rPr>
          <w:rFonts w:cs="Arial"/>
          <w:bCs/>
          <w:szCs w:val="22"/>
        </w:rPr>
        <w:t>[54]</w:t>
      </w:r>
      <w:r>
        <w:rPr>
          <w:rFonts w:cs="Arial"/>
          <w:bCs/>
          <w:szCs w:val="22"/>
        </w:rPr>
        <w:tab/>
      </w:r>
      <w:r w:rsidR="003249F9" w:rsidRPr="008D0115">
        <w:rPr>
          <w:rFonts w:cs="Arial"/>
          <w:bCs/>
          <w:szCs w:val="22"/>
        </w:rPr>
        <w:t>Accordingly,</w:t>
      </w:r>
      <w:r w:rsidR="00D27672" w:rsidRPr="008D0115">
        <w:rPr>
          <w:rFonts w:cs="Arial"/>
          <w:bCs/>
          <w:szCs w:val="22"/>
        </w:rPr>
        <w:t xml:space="preserve"> rearranging the text of </w:t>
      </w:r>
      <w:r w:rsidR="003249F9" w:rsidRPr="008D0115">
        <w:rPr>
          <w:rFonts w:cs="Arial"/>
          <w:bCs/>
          <w:szCs w:val="22"/>
        </w:rPr>
        <w:t>the clause as proffered by the applicant,</w:t>
      </w:r>
      <w:r w:rsidR="00A37F69" w:rsidRPr="008D0115">
        <w:rPr>
          <w:rFonts w:cs="Arial"/>
          <w:bCs/>
          <w:szCs w:val="22"/>
        </w:rPr>
        <w:t xml:space="preserve"> would, given the absence o</w:t>
      </w:r>
      <w:r w:rsidR="003249F9" w:rsidRPr="008D0115">
        <w:rPr>
          <w:rFonts w:cs="Arial"/>
          <w:bCs/>
          <w:szCs w:val="22"/>
        </w:rPr>
        <w:t>f ambiguity or absurdity</w:t>
      </w:r>
      <w:r w:rsidR="009C2821" w:rsidRPr="008D0115">
        <w:rPr>
          <w:rFonts w:cs="Arial"/>
          <w:bCs/>
          <w:szCs w:val="22"/>
        </w:rPr>
        <w:t xml:space="preserve"> in the text</w:t>
      </w:r>
      <w:r w:rsidR="00E66911" w:rsidRPr="008D0115">
        <w:rPr>
          <w:rFonts w:cs="Arial"/>
          <w:bCs/>
          <w:szCs w:val="22"/>
        </w:rPr>
        <w:t xml:space="preserve">, result in this Court </w:t>
      </w:r>
      <w:r w:rsidR="00D27672" w:rsidRPr="008D0115">
        <w:rPr>
          <w:rFonts w:cs="Arial"/>
          <w:bCs/>
          <w:szCs w:val="22"/>
        </w:rPr>
        <w:t>reconstructing</w:t>
      </w:r>
      <w:r w:rsidR="00E66911" w:rsidRPr="008D0115">
        <w:rPr>
          <w:rFonts w:cs="Arial"/>
          <w:bCs/>
          <w:szCs w:val="22"/>
        </w:rPr>
        <w:t xml:space="preserve"> the clause, in effect </w:t>
      </w:r>
      <w:r w:rsidR="00D27672" w:rsidRPr="008D0115">
        <w:rPr>
          <w:rFonts w:cs="Arial"/>
          <w:bCs/>
          <w:szCs w:val="22"/>
        </w:rPr>
        <w:t xml:space="preserve">redrafting </w:t>
      </w:r>
      <w:r w:rsidR="003249F9" w:rsidRPr="008D0115">
        <w:rPr>
          <w:rFonts w:cs="Arial"/>
          <w:bCs/>
          <w:szCs w:val="22"/>
        </w:rPr>
        <w:t xml:space="preserve">the parties’ agreement, something courts are not permitted to do. </w:t>
      </w:r>
      <w:r w:rsidR="00E66911" w:rsidRPr="008D0115">
        <w:rPr>
          <w:rFonts w:cs="Arial"/>
          <w:bCs/>
          <w:szCs w:val="22"/>
        </w:rPr>
        <w:t xml:space="preserve"> </w:t>
      </w:r>
      <w:r w:rsidR="003249F9" w:rsidRPr="008D0115">
        <w:rPr>
          <w:rFonts w:cs="Arial"/>
          <w:bCs/>
          <w:szCs w:val="22"/>
        </w:rPr>
        <w:t xml:space="preserve"> </w:t>
      </w:r>
    </w:p>
    <w:p w14:paraId="3426428F" w14:textId="7FF5695D" w:rsidR="009C2821" w:rsidRPr="008D0115" w:rsidRDefault="008D0115" w:rsidP="008D0115">
      <w:pPr>
        <w:tabs>
          <w:tab w:val="left" w:pos="567"/>
        </w:tabs>
        <w:spacing w:after="480" w:line="480" w:lineRule="auto"/>
        <w:rPr>
          <w:rFonts w:cs="Arial"/>
          <w:bCs/>
          <w:szCs w:val="22"/>
        </w:rPr>
      </w:pPr>
      <w:r>
        <w:rPr>
          <w:rFonts w:cs="Arial"/>
          <w:bCs/>
          <w:szCs w:val="22"/>
        </w:rPr>
        <w:t>[55]</w:t>
      </w:r>
      <w:r>
        <w:rPr>
          <w:rFonts w:cs="Arial"/>
          <w:bCs/>
          <w:szCs w:val="22"/>
        </w:rPr>
        <w:tab/>
      </w:r>
      <w:r w:rsidR="008C69F8" w:rsidRPr="008D0115">
        <w:rPr>
          <w:rFonts w:cs="Arial"/>
          <w:bCs/>
          <w:szCs w:val="22"/>
        </w:rPr>
        <w:t xml:space="preserve">In </w:t>
      </w:r>
      <w:r w:rsidR="008C69F8" w:rsidRPr="008D0115">
        <w:rPr>
          <w:rFonts w:cs="Arial"/>
          <w:bCs/>
          <w:i/>
          <w:szCs w:val="22"/>
        </w:rPr>
        <w:t>Capitec</w:t>
      </w:r>
      <w:r w:rsidR="00D27672" w:rsidRPr="008D0115">
        <w:rPr>
          <w:rFonts w:cs="Arial"/>
          <w:bCs/>
          <w:i/>
          <w:szCs w:val="22"/>
        </w:rPr>
        <w:t xml:space="preserve">  Bank Holdings Ltd and another v Coral Lagoon Investments 194 (Pty) Ltd and Others</w:t>
      </w:r>
      <w:r w:rsidR="008C69F8">
        <w:rPr>
          <w:rStyle w:val="FootnoteReference"/>
          <w:rFonts w:cs="Arial"/>
          <w:bCs/>
          <w:i/>
          <w:szCs w:val="22"/>
        </w:rPr>
        <w:footnoteReference w:id="9"/>
      </w:r>
      <w:r w:rsidR="008C69F8" w:rsidRPr="008D0115">
        <w:rPr>
          <w:rFonts w:cs="Arial"/>
          <w:bCs/>
          <w:szCs w:val="22"/>
        </w:rPr>
        <w:t xml:space="preserve"> the </w:t>
      </w:r>
      <w:r w:rsidR="000C1BCC" w:rsidRPr="008D0115">
        <w:rPr>
          <w:rFonts w:cs="Arial"/>
          <w:bCs/>
          <w:szCs w:val="22"/>
        </w:rPr>
        <w:t xml:space="preserve">Supreme </w:t>
      </w:r>
      <w:r w:rsidR="008C69F8" w:rsidRPr="008D0115">
        <w:rPr>
          <w:rFonts w:cs="Arial"/>
          <w:bCs/>
          <w:szCs w:val="22"/>
        </w:rPr>
        <w:t>Court</w:t>
      </w:r>
      <w:r w:rsidR="000C1BCC" w:rsidRPr="008D0115">
        <w:rPr>
          <w:rFonts w:cs="Arial"/>
          <w:bCs/>
          <w:szCs w:val="22"/>
        </w:rPr>
        <w:t xml:space="preserve"> of Appeal</w:t>
      </w:r>
      <w:r w:rsidR="008C69F8" w:rsidRPr="008D0115">
        <w:rPr>
          <w:rFonts w:cs="Arial"/>
          <w:bCs/>
          <w:szCs w:val="22"/>
        </w:rPr>
        <w:t xml:space="preserve"> reiterated that the text and the grammatical meaning </w:t>
      </w:r>
      <w:r w:rsidR="009C2821" w:rsidRPr="008D0115">
        <w:rPr>
          <w:rFonts w:cs="Arial"/>
          <w:bCs/>
          <w:szCs w:val="22"/>
        </w:rPr>
        <w:t>thereof</w:t>
      </w:r>
      <w:r w:rsidR="008C69F8" w:rsidRPr="008D0115">
        <w:rPr>
          <w:rFonts w:cs="Arial"/>
          <w:bCs/>
          <w:szCs w:val="22"/>
        </w:rPr>
        <w:t xml:space="preserve"> remain the starting point o</w:t>
      </w:r>
      <w:r w:rsidR="000C1BCC" w:rsidRPr="008D0115">
        <w:rPr>
          <w:rFonts w:cs="Arial"/>
          <w:bCs/>
          <w:szCs w:val="22"/>
        </w:rPr>
        <w:t>f the interpretive exercise. A c</w:t>
      </w:r>
      <w:r w:rsidR="008C69F8" w:rsidRPr="008D0115">
        <w:rPr>
          <w:rFonts w:cs="Arial"/>
          <w:bCs/>
          <w:szCs w:val="22"/>
        </w:rPr>
        <w:t xml:space="preserve">ourt must </w:t>
      </w:r>
      <w:r w:rsidR="008C69F8" w:rsidRPr="008D0115">
        <w:rPr>
          <w:rFonts w:cs="Arial"/>
          <w:bCs/>
          <w:szCs w:val="22"/>
        </w:rPr>
        <w:lastRenderedPageBreak/>
        <w:t xml:space="preserve">consider the </w:t>
      </w:r>
      <w:r w:rsidR="00BD683D" w:rsidRPr="008D0115">
        <w:rPr>
          <w:rFonts w:cs="Arial"/>
          <w:bCs/>
          <w:szCs w:val="22"/>
        </w:rPr>
        <w:t xml:space="preserve">words as they stand in the text and </w:t>
      </w:r>
      <w:r w:rsidR="00E66911" w:rsidRPr="008D0115">
        <w:rPr>
          <w:rFonts w:cs="Arial"/>
          <w:bCs/>
          <w:szCs w:val="22"/>
        </w:rPr>
        <w:t xml:space="preserve">may not reconstruct or rewrite the text in order to give rise to a predetermined outcome of the interpretation. </w:t>
      </w:r>
    </w:p>
    <w:p w14:paraId="2FC5F430" w14:textId="22427641" w:rsidR="009C2821" w:rsidRPr="008D0115" w:rsidRDefault="008D0115" w:rsidP="008D0115">
      <w:pPr>
        <w:tabs>
          <w:tab w:val="left" w:pos="567"/>
        </w:tabs>
        <w:spacing w:after="480" w:line="480" w:lineRule="auto"/>
        <w:rPr>
          <w:rFonts w:cs="Arial"/>
          <w:bCs/>
          <w:szCs w:val="22"/>
        </w:rPr>
      </w:pPr>
      <w:r w:rsidRPr="004522B4">
        <w:rPr>
          <w:rFonts w:cs="Arial"/>
          <w:bCs/>
          <w:szCs w:val="22"/>
        </w:rPr>
        <w:t>[56]</w:t>
      </w:r>
      <w:r w:rsidRPr="004522B4">
        <w:rPr>
          <w:rFonts w:cs="Arial"/>
          <w:bCs/>
          <w:szCs w:val="22"/>
        </w:rPr>
        <w:tab/>
      </w:r>
      <w:r w:rsidR="00E66911" w:rsidRPr="008D0115">
        <w:rPr>
          <w:rFonts w:cs="Arial"/>
          <w:bCs/>
          <w:szCs w:val="22"/>
        </w:rPr>
        <w:t>Ultimately, what the applicant sought to achieve was to apply the words “due to reasons directly linked to his/her perform</w:t>
      </w:r>
      <w:r w:rsidR="008C69F8" w:rsidRPr="008D0115">
        <w:rPr>
          <w:rFonts w:cs="Arial"/>
          <w:bCs/>
          <w:szCs w:val="22"/>
        </w:rPr>
        <w:t>ance in the role” to the</w:t>
      </w:r>
      <w:r w:rsidR="00E66911" w:rsidRPr="008D0115">
        <w:rPr>
          <w:rFonts w:cs="Arial"/>
          <w:bCs/>
          <w:szCs w:val="22"/>
        </w:rPr>
        <w:t xml:space="preserve"> c</w:t>
      </w:r>
      <w:r w:rsidR="008C69F8" w:rsidRPr="008D0115">
        <w:rPr>
          <w:rFonts w:cs="Arial"/>
          <w:bCs/>
          <w:szCs w:val="22"/>
        </w:rPr>
        <w:t>andidate being “asked to leave” only. T</w:t>
      </w:r>
      <w:r w:rsidR="009C2821" w:rsidRPr="008D0115">
        <w:rPr>
          <w:rFonts w:cs="Arial"/>
          <w:bCs/>
          <w:szCs w:val="22"/>
        </w:rPr>
        <w:t>hat</w:t>
      </w:r>
      <w:r w:rsidR="00A40782" w:rsidRPr="008D0115">
        <w:rPr>
          <w:rFonts w:cs="Arial"/>
          <w:bCs/>
          <w:szCs w:val="22"/>
        </w:rPr>
        <w:t xml:space="preserve"> required</w:t>
      </w:r>
      <w:r w:rsidR="008C69F8" w:rsidRPr="008D0115">
        <w:rPr>
          <w:rFonts w:cs="Arial"/>
          <w:bCs/>
          <w:szCs w:val="22"/>
        </w:rPr>
        <w:t xml:space="preserve"> that the words “up to 12 months after commencing employment” be </w:t>
      </w:r>
      <w:r w:rsidR="009C2821" w:rsidRPr="008D0115">
        <w:rPr>
          <w:rFonts w:cs="Arial"/>
          <w:bCs/>
          <w:szCs w:val="22"/>
        </w:rPr>
        <w:t xml:space="preserve">moved to the end of the clause in order for the clause to </w:t>
      </w:r>
      <w:r w:rsidR="00E00AE7" w:rsidRPr="008D0115">
        <w:rPr>
          <w:rFonts w:cs="Arial"/>
          <w:bCs/>
          <w:szCs w:val="22"/>
        </w:rPr>
        <w:t>provide</w:t>
      </w:r>
      <w:r w:rsidR="009C2821" w:rsidRPr="008D0115">
        <w:rPr>
          <w:rFonts w:cs="Arial"/>
          <w:bCs/>
          <w:szCs w:val="22"/>
        </w:rPr>
        <w:t>:</w:t>
      </w:r>
    </w:p>
    <w:p w14:paraId="6F2E5287" w14:textId="012222C4" w:rsidR="008C69F8" w:rsidRPr="009C2821" w:rsidRDefault="009C2821" w:rsidP="009C2821">
      <w:pPr>
        <w:pStyle w:val="ListParagraph"/>
        <w:spacing w:after="480" w:line="240" w:lineRule="auto"/>
        <w:ind w:left="0"/>
        <w:contextualSpacing w:val="0"/>
        <w:rPr>
          <w:rFonts w:cs="Arial"/>
          <w:bCs/>
          <w:sz w:val="20"/>
          <w:szCs w:val="22"/>
        </w:rPr>
      </w:pPr>
      <w:r>
        <w:rPr>
          <w:rFonts w:cs="Arial"/>
          <w:b/>
          <w:bCs/>
          <w:szCs w:val="22"/>
        </w:rPr>
        <w:t xml:space="preserve"> </w:t>
      </w:r>
      <w:r w:rsidRPr="00417EAE">
        <w:rPr>
          <w:rFonts w:cs="Arial"/>
          <w:bCs/>
          <w:sz w:val="20"/>
          <w:szCs w:val="22"/>
        </w:rPr>
        <w:t>“If the candidate departs or is asked to leave due to reasons directly linked to his/her performance in the role,</w:t>
      </w:r>
      <w:r w:rsidRPr="009C2821">
        <w:rPr>
          <w:rFonts w:cs="Arial"/>
          <w:bCs/>
          <w:sz w:val="20"/>
          <w:szCs w:val="22"/>
        </w:rPr>
        <w:t xml:space="preserve"> </w:t>
      </w:r>
      <w:r w:rsidRPr="00417EAE">
        <w:rPr>
          <w:rFonts w:cs="Arial"/>
          <w:bCs/>
          <w:sz w:val="20"/>
          <w:szCs w:val="22"/>
        </w:rPr>
        <w:t>up to 12 months after commencing employment he/she will be replaced at no extra cost.”</w:t>
      </w:r>
    </w:p>
    <w:p w14:paraId="23FD1B76" w14:textId="01815558" w:rsidR="008C69F8" w:rsidRPr="008D0115" w:rsidRDefault="008D0115" w:rsidP="008D0115">
      <w:pPr>
        <w:tabs>
          <w:tab w:val="left" w:pos="567"/>
        </w:tabs>
        <w:spacing w:after="480" w:line="480" w:lineRule="auto"/>
        <w:rPr>
          <w:rFonts w:cs="Arial"/>
          <w:bCs/>
          <w:szCs w:val="22"/>
        </w:rPr>
      </w:pPr>
      <w:r w:rsidRPr="000C1BCC">
        <w:rPr>
          <w:rFonts w:cs="Arial"/>
          <w:bCs/>
          <w:szCs w:val="22"/>
        </w:rPr>
        <w:t>[57]</w:t>
      </w:r>
      <w:r w:rsidRPr="000C1BCC">
        <w:rPr>
          <w:rFonts w:cs="Arial"/>
          <w:bCs/>
          <w:szCs w:val="22"/>
        </w:rPr>
        <w:tab/>
      </w:r>
      <w:r w:rsidR="000C1BCC" w:rsidRPr="008D0115">
        <w:rPr>
          <w:rFonts w:cs="Arial"/>
          <w:bCs/>
          <w:szCs w:val="22"/>
        </w:rPr>
        <w:t xml:space="preserve"> </w:t>
      </w:r>
      <w:r w:rsidR="00365AAB" w:rsidRPr="008D0115">
        <w:rPr>
          <w:rFonts w:cs="Arial"/>
          <w:bCs/>
          <w:szCs w:val="22"/>
        </w:rPr>
        <w:t xml:space="preserve">The respondent </w:t>
      </w:r>
      <w:r w:rsidR="004522B4" w:rsidRPr="008D0115">
        <w:rPr>
          <w:rFonts w:cs="Arial"/>
          <w:bCs/>
          <w:szCs w:val="22"/>
        </w:rPr>
        <w:t>submitted</w:t>
      </w:r>
      <w:r w:rsidR="00365AAB" w:rsidRPr="008D0115">
        <w:rPr>
          <w:rFonts w:cs="Arial"/>
          <w:bCs/>
          <w:szCs w:val="22"/>
        </w:rPr>
        <w:t xml:space="preserve"> that </w:t>
      </w:r>
      <w:r w:rsidR="00741D72" w:rsidRPr="008D0115">
        <w:rPr>
          <w:rFonts w:cs="Arial"/>
          <w:bCs/>
          <w:szCs w:val="22"/>
        </w:rPr>
        <w:t xml:space="preserve">given the prevailing context of the matter, </w:t>
      </w:r>
      <w:r w:rsidR="00365AAB" w:rsidRPr="008D0115">
        <w:rPr>
          <w:rFonts w:cs="Arial"/>
          <w:bCs/>
          <w:szCs w:val="22"/>
        </w:rPr>
        <w:t xml:space="preserve">to reconstruct the </w:t>
      </w:r>
      <w:r w:rsidR="009C2821" w:rsidRPr="008D0115">
        <w:rPr>
          <w:rFonts w:cs="Arial"/>
          <w:bCs/>
          <w:szCs w:val="22"/>
        </w:rPr>
        <w:t>text</w:t>
      </w:r>
      <w:r w:rsidR="00365AAB" w:rsidRPr="008D0115">
        <w:rPr>
          <w:rFonts w:cs="Arial"/>
          <w:bCs/>
          <w:szCs w:val="22"/>
        </w:rPr>
        <w:t xml:space="preserve"> in the manner that the applicant sought to do was artificial i</w:t>
      </w:r>
      <w:r w:rsidR="009C2821" w:rsidRPr="008D0115">
        <w:rPr>
          <w:rFonts w:cs="Arial"/>
          <w:bCs/>
          <w:szCs w:val="22"/>
        </w:rPr>
        <w:t>n that it resulted in the text stating</w:t>
      </w:r>
      <w:r w:rsidR="00E00AE7" w:rsidRPr="008D0115">
        <w:rPr>
          <w:rFonts w:cs="Arial"/>
          <w:bCs/>
          <w:szCs w:val="22"/>
        </w:rPr>
        <w:t xml:space="preserve"> that if the candidate departed</w:t>
      </w:r>
      <w:r w:rsidR="00365AAB" w:rsidRPr="008D0115">
        <w:rPr>
          <w:rFonts w:cs="Arial"/>
          <w:bCs/>
          <w:szCs w:val="22"/>
        </w:rPr>
        <w:t xml:space="preserve"> (of </w:t>
      </w:r>
      <w:r w:rsidR="008C69F8" w:rsidRPr="008D0115">
        <w:rPr>
          <w:rFonts w:cs="Arial"/>
          <w:bCs/>
          <w:szCs w:val="22"/>
        </w:rPr>
        <w:t xml:space="preserve">his own volition) </w:t>
      </w:r>
      <w:r w:rsidR="00E00AE7" w:rsidRPr="008D0115">
        <w:rPr>
          <w:rFonts w:cs="Arial"/>
          <w:bCs/>
          <w:szCs w:val="22"/>
        </w:rPr>
        <w:t xml:space="preserve">for any reason whatsoever </w:t>
      </w:r>
      <w:r w:rsidR="008C69F8" w:rsidRPr="008D0115">
        <w:rPr>
          <w:rFonts w:cs="Arial"/>
          <w:bCs/>
          <w:szCs w:val="22"/>
        </w:rPr>
        <w:t xml:space="preserve">during the twelve </w:t>
      </w:r>
      <w:r w:rsidR="00365AAB" w:rsidRPr="008D0115">
        <w:rPr>
          <w:rFonts w:cs="Arial"/>
          <w:bCs/>
          <w:szCs w:val="22"/>
        </w:rPr>
        <w:t xml:space="preserve">months after commencing employment, </w:t>
      </w:r>
      <w:r w:rsidR="008C69F8" w:rsidRPr="008D0115">
        <w:rPr>
          <w:rFonts w:cs="Arial"/>
          <w:bCs/>
          <w:szCs w:val="22"/>
        </w:rPr>
        <w:t>the respondent wa</w:t>
      </w:r>
      <w:r w:rsidR="00365AAB" w:rsidRPr="008D0115">
        <w:rPr>
          <w:rFonts w:cs="Arial"/>
          <w:bCs/>
          <w:szCs w:val="22"/>
        </w:rPr>
        <w:t xml:space="preserve">s obliged to replace the candidate at no cost to the employer. </w:t>
      </w:r>
      <w:r w:rsidR="008C69F8" w:rsidRPr="008D0115">
        <w:rPr>
          <w:rFonts w:cs="Arial"/>
          <w:bCs/>
          <w:szCs w:val="22"/>
        </w:rPr>
        <w:t>Stated differently, the clause had to be reconstructed in order for the applicant to achieve its preferred and predetermined outco</w:t>
      </w:r>
      <w:r w:rsidR="00E00AE7" w:rsidRPr="008D0115">
        <w:rPr>
          <w:rFonts w:cs="Arial"/>
          <w:bCs/>
          <w:szCs w:val="22"/>
        </w:rPr>
        <w:t>me, something that</w:t>
      </w:r>
      <w:r w:rsidR="008C69F8" w:rsidRPr="008D0115">
        <w:rPr>
          <w:rFonts w:cs="Arial"/>
          <w:bCs/>
          <w:szCs w:val="22"/>
        </w:rPr>
        <w:t xml:space="preserve"> </w:t>
      </w:r>
      <w:r w:rsidR="000E7126" w:rsidRPr="008D0115">
        <w:rPr>
          <w:rFonts w:cs="Arial"/>
          <w:bCs/>
          <w:szCs w:val="22"/>
        </w:rPr>
        <w:t>courts</w:t>
      </w:r>
      <w:r w:rsidR="00C22004">
        <w:rPr>
          <w:rStyle w:val="FootnoteReference"/>
          <w:rFonts w:cs="Arial"/>
          <w:bCs/>
          <w:szCs w:val="22"/>
        </w:rPr>
        <w:footnoteReference w:id="10"/>
      </w:r>
      <w:r w:rsidR="008C69F8" w:rsidRPr="008D0115">
        <w:rPr>
          <w:rFonts w:cs="Arial"/>
          <w:bCs/>
          <w:szCs w:val="22"/>
        </w:rPr>
        <w:t xml:space="preserve"> caution against.</w:t>
      </w:r>
      <w:r w:rsidR="00E00AE7" w:rsidRPr="008D0115">
        <w:rPr>
          <w:rFonts w:cs="Arial"/>
          <w:bCs/>
          <w:i/>
          <w:szCs w:val="22"/>
        </w:rPr>
        <w:t xml:space="preserve"> </w:t>
      </w:r>
    </w:p>
    <w:p w14:paraId="14A6C3C1" w14:textId="7ADCB18C" w:rsidR="00A1277E" w:rsidRPr="008D0115" w:rsidRDefault="008D0115" w:rsidP="008D0115">
      <w:pPr>
        <w:tabs>
          <w:tab w:val="left" w:pos="567"/>
        </w:tabs>
        <w:spacing w:after="480" w:line="480" w:lineRule="auto"/>
        <w:rPr>
          <w:rFonts w:cs="Arial"/>
          <w:b/>
          <w:bCs/>
          <w:szCs w:val="22"/>
        </w:rPr>
      </w:pPr>
      <w:r w:rsidRPr="00A1277E">
        <w:rPr>
          <w:rFonts w:cs="Arial"/>
          <w:bCs/>
          <w:szCs w:val="22"/>
        </w:rPr>
        <w:t>[58]</w:t>
      </w:r>
      <w:r w:rsidRPr="00A1277E">
        <w:rPr>
          <w:rFonts w:cs="Arial"/>
          <w:bCs/>
          <w:szCs w:val="22"/>
        </w:rPr>
        <w:tab/>
      </w:r>
      <w:r w:rsidR="00365AAB" w:rsidRPr="008D0115">
        <w:rPr>
          <w:rFonts w:cs="Arial"/>
          <w:bCs/>
          <w:szCs w:val="22"/>
        </w:rPr>
        <w:t>The respondent demonstrated effectively</w:t>
      </w:r>
      <w:r w:rsidR="00F41521" w:rsidRPr="008D0115">
        <w:rPr>
          <w:rFonts w:cs="Arial"/>
          <w:bCs/>
          <w:szCs w:val="22"/>
        </w:rPr>
        <w:t xml:space="preserve"> with reference to</w:t>
      </w:r>
      <w:r w:rsidR="000E7126" w:rsidRPr="008D0115">
        <w:rPr>
          <w:rFonts w:cs="Arial"/>
          <w:bCs/>
          <w:szCs w:val="22"/>
        </w:rPr>
        <w:t xml:space="preserve"> the context,</w:t>
      </w:r>
      <w:r w:rsidR="00741D72" w:rsidRPr="008D0115">
        <w:rPr>
          <w:rFonts w:cs="Arial"/>
          <w:bCs/>
          <w:szCs w:val="22"/>
        </w:rPr>
        <w:t xml:space="preserve"> the language and grammar </w:t>
      </w:r>
      <w:r w:rsidR="009C2821" w:rsidRPr="008D0115">
        <w:rPr>
          <w:rFonts w:cs="Arial"/>
          <w:bCs/>
          <w:szCs w:val="22"/>
        </w:rPr>
        <w:t>of the clause</w:t>
      </w:r>
      <w:r w:rsidR="00741D72" w:rsidRPr="008D0115">
        <w:rPr>
          <w:rFonts w:cs="Arial"/>
          <w:bCs/>
          <w:szCs w:val="22"/>
        </w:rPr>
        <w:t>,</w:t>
      </w:r>
      <w:r w:rsidR="00365AAB" w:rsidRPr="008D0115">
        <w:rPr>
          <w:rFonts w:cs="Arial"/>
          <w:bCs/>
          <w:szCs w:val="22"/>
        </w:rPr>
        <w:t xml:space="preserve"> why </w:t>
      </w:r>
      <w:r w:rsidR="00F41521" w:rsidRPr="008D0115">
        <w:rPr>
          <w:rFonts w:cs="Arial"/>
          <w:bCs/>
          <w:szCs w:val="22"/>
        </w:rPr>
        <w:t>the applicant’s</w:t>
      </w:r>
      <w:r w:rsidR="00365AAB" w:rsidRPr="008D0115">
        <w:rPr>
          <w:rFonts w:cs="Arial"/>
          <w:bCs/>
          <w:szCs w:val="22"/>
        </w:rPr>
        <w:t xml:space="preserve"> </w:t>
      </w:r>
      <w:r w:rsidR="00A1277E" w:rsidRPr="008D0115">
        <w:rPr>
          <w:rFonts w:cs="Arial"/>
          <w:bCs/>
          <w:szCs w:val="22"/>
        </w:rPr>
        <w:t>re</w:t>
      </w:r>
      <w:r w:rsidR="00365AAB" w:rsidRPr="008D0115">
        <w:rPr>
          <w:rFonts w:cs="Arial"/>
          <w:bCs/>
          <w:szCs w:val="22"/>
        </w:rPr>
        <w:t>construction of the clause was unreasonab</w:t>
      </w:r>
      <w:r w:rsidR="00F41521" w:rsidRPr="008D0115">
        <w:rPr>
          <w:rFonts w:cs="Arial"/>
          <w:bCs/>
          <w:szCs w:val="22"/>
        </w:rPr>
        <w:t>le</w:t>
      </w:r>
      <w:r w:rsidR="00E00AE7" w:rsidRPr="008D0115">
        <w:rPr>
          <w:rFonts w:cs="Arial"/>
          <w:bCs/>
          <w:szCs w:val="22"/>
        </w:rPr>
        <w:t xml:space="preserve"> and unsustainable</w:t>
      </w:r>
      <w:r w:rsidR="00F41521" w:rsidRPr="008D0115">
        <w:rPr>
          <w:rFonts w:cs="Arial"/>
          <w:bCs/>
          <w:szCs w:val="22"/>
        </w:rPr>
        <w:t>. One such example</w:t>
      </w:r>
      <w:r w:rsidR="00A1277E" w:rsidRPr="008D0115">
        <w:rPr>
          <w:rFonts w:cs="Arial"/>
          <w:bCs/>
          <w:szCs w:val="22"/>
        </w:rPr>
        <w:t xml:space="preserve"> was if </w:t>
      </w:r>
      <w:r w:rsidR="00365AAB" w:rsidRPr="008D0115">
        <w:rPr>
          <w:rFonts w:cs="Arial"/>
          <w:bCs/>
          <w:szCs w:val="22"/>
        </w:rPr>
        <w:t>the candidate departed on the last day of the</w:t>
      </w:r>
      <w:r w:rsidR="00A1277E" w:rsidRPr="008D0115">
        <w:rPr>
          <w:rFonts w:cs="Arial"/>
          <w:bCs/>
          <w:szCs w:val="22"/>
        </w:rPr>
        <w:t xml:space="preserve"> twelve-</w:t>
      </w:r>
      <w:r w:rsidR="00F41521" w:rsidRPr="008D0115">
        <w:rPr>
          <w:rFonts w:cs="Arial"/>
          <w:bCs/>
          <w:szCs w:val="22"/>
        </w:rPr>
        <w:t>month period pursuant to</w:t>
      </w:r>
      <w:r w:rsidR="00365AAB" w:rsidRPr="008D0115">
        <w:rPr>
          <w:rFonts w:cs="Arial"/>
          <w:bCs/>
          <w:szCs w:val="22"/>
        </w:rPr>
        <w:t xml:space="preserve"> being head-hunted by another </w:t>
      </w:r>
      <w:r w:rsidR="00A1277E" w:rsidRPr="008D0115">
        <w:rPr>
          <w:rFonts w:cs="Arial"/>
          <w:bCs/>
          <w:szCs w:val="22"/>
        </w:rPr>
        <w:t xml:space="preserve">employer. </w:t>
      </w:r>
      <w:r w:rsidR="00365AAB" w:rsidRPr="008D0115">
        <w:rPr>
          <w:rFonts w:cs="Arial"/>
          <w:bCs/>
          <w:szCs w:val="22"/>
        </w:rPr>
        <w:t xml:space="preserve"> Why, in those circumstances</w:t>
      </w:r>
      <w:r w:rsidR="00A1277E" w:rsidRPr="008D0115">
        <w:rPr>
          <w:rFonts w:cs="Arial"/>
          <w:bCs/>
          <w:szCs w:val="22"/>
        </w:rPr>
        <w:t>,</w:t>
      </w:r>
      <w:r w:rsidR="00365AAB" w:rsidRPr="008D0115">
        <w:rPr>
          <w:rFonts w:cs="Arial"/>
          <w:bCs/>
          <w:szCs w:val="22"/>
        </w:rPr>
        <w:t xml:space="preserve"> and others in which the respondent </w:t>
      </w:r>
      <w:r w:rsidR="00F41521" w:rsidRPr="008D0115">
        <w:rPr>
          <w:rFonts w:cs="Arial"/>
          <w:bCs/>
          <w:szCs w:val="22"/>
        </w:rPr>
        <w:t>had performed fully by recommending a suitable candidate</w:t>
      </w:r>
      <w:r w:rsidR="009C2821" w:rsidRPr="008D0115">
        <w:rPr>
          <w:rFonts w:cs="Arial"/>
          <w:bCs/>
          <w:szCs w:val="22"/>
        </w:rPr>
        <w:t xml:space="preserve"> </w:t>
      </w:r>
      <w:r w:rsidR="00A1277E" w:rsidRPr="008D0115">
        <w:rPr>
          <w:rFonts w:cs="Arial"/>
          <w:bCs/>
          <w:szCs w:val="22"/>
        </w:rPr>
        <w:t xml:space="preserve">and the respondent </w:t>
      </w:r>
      <w:r w:rsidR="00365AAB" w:rsidRPr="008D0115">
        <w:rPr>
          <w:rFonts w:cs="Arial"/>
          <w:bCs/>
          <w:szCs w:val="22"/>
        </w:rPr>
        <w:t xml:space="preserve">was </w:t>
      </w:r>
      <w:r w:rsidR="00F41521" w:rsidRPr="008D0115">
        <w:rPr>
          <w:rFonts w:cs="Arial"/>
          <w:bCs/>
          <w:szCs w:val="22"/>
        </w:rPr>
        <w:t>not at</w:t>
      </w:r>
      <w:r w:rsidR="00A1277E" w:rsidRPr="008D0115">
        <w:rPr>
          <w:rFonts w:cs="Arial"/>
          <w:bCs/>
          <w:szCs w:val="22"/>
        </w:rPr>
        <w:t xml:space="preserve"> </w:t>
      </w:r>
      <w:r w:rsidR="00A1277E" w:rsidRPr="008D0115">
        <w:rPr>
          <w:rFonts w:cs="Arial"/>
          <w:bCs/>
          <w:szCs w:val="22"/>
        </w:rPr>
        <w:lastRenderedPageBreak/>
        <w:t>fault, should the respondent be obliged to recommence the entire process of procuring a</w:t>
      </w:r>
      <w:r w:rsidR="00741D72" w:rsidRPr="008D0115">
        <w:rPr>
          <w:rFonts w:cs="Arial"/>
          <w:bCs/>
          <w:szCs w:val="22"/>
        </w:rPr>
        <w:t>n alternate</w:t>
      </w:r>
      <w:r w:rsidR="00A1277E" w:rsidRPr="008D0115">
        <w:rPr>
          <w:rFonts w:cs="Arial"/>
          <w:bCs/>
          <w:szCs w:val="22"/>
        </w:rPr>
        <w:t xml:space="preserve"> suitable candidate at no cost to the employer.</w:t>
      </w:r>
    </w:p>
    <w:p w14:paraId="421E0611" w14:textId="30E23DAB" w:rsidR="00365AAB" w:rsidRPr="008D0115" w:rsidRDefault="008D0115" w:rsidP="008D0115">
      <w:pPr>
        <w:tabs>
          <w:tab w:val="left" w:pos="567"/>
        </w:tabs>
        <w:spacing w:after="480" w:line="480" w:lineRule="auto"/>
        <w:rPr>
          <w:rFonts w:cs="Arial"/>
          <w:b/>
          <w:bCs/>
          <w:szCs w:val="22"/>
        </w:rPr>
      </w:pPr>
      <w:r w:rsidRPr="00741D72">
        <w:rPr>
          <w:rFonts w:cs="Arial"/>
          <w:bCs/>
          <w:szCs w:val="22"/>
        </w:rPr>
        <w:t>[59]</w:t>
      </w:r>
      <w:r w:rsidRPr="00741D72">
        <w:rPr>
          <w:rFonts w:cs="Arial"/>
          <w:bCs/>
          <w:szCs w:val="22"/>
        </w:rPr>
        <w:tab/>
      </w:r>
      <w:r w:rsidR="00BD683D" w:rsidRPr="008D0115">
        <w:rPr>
          <w:rFonts w:cs="Arial"/>
          <w:bCs/>
          <w:szCs w:val="22"/>
        </w:rPr>
        <w:t>Hence,</w:t>
      </w:r>
      <w:r w:rsidR="00741D72" w:rsidRPr="008D0115">
        <w:rPr>
          <w:rFonts w:cs="Arial"/>
          <w:bCs/>
          <w:szCs w:val="22"/>
        </w:rPr>
        <w:t xml:space="preserve"> it makes</w:t>
      </w:r>
      <w:r w:rsidR="00365AAB" w:rsidRPr="008D0115">
        <w:rPr>
          <w:rFonts w:cs="Arial"/>
          <w:bCs/>
          <w:szCs w:val="22"/>
        </w:rPr>
        <w:t xml:space="preserve"> sense that the respondent’s obligation to replace the recommended candidate</w:t>
      </w:r>
      <w:r w:rsidR="00A1277E" w:rsidRPr="008D0115">
        <w:rPr>
          <w:rFonts w:cs="Arial"/>
          <w:bCs/>
          <w:szCs w:val="22"/>
        </w:rPr>
        <w:t xml:space="preserve"> applies</w:t>
      </w:r>
      <w:r w:rsidR="00365AAB" w:rsidRPr="008D0115">
        <w:rPr>
          <w:rFonts w:cs="Arial"/>
          <w:bCs/>
          <w:szCs w:val="22"/>
        </w:rPr>
        <w:t xml:space="preserve"> if the</w:t>
      </w:r>
      <w:r w:rsidR="00A1277E" w:rsidRPr="008D0115">
        <w:rPr>
          <w:rFonts w:cs="Arial"/>
          <w:bCs/>
          <w:szCs w:val="22"/>
        </w:rPr>
        <w:t xml:space="preserve"> candidate’s performance in </w:t>
      </w:r>
      <w:r w:rsidR="000E7126" w:rsidRPr="008D0115">
        <w:rPr>
          <w:rFonts w:cs="Arial"/>
          <w:bCs/>
          <w:szCs w:val="22"/>
        </w:rPr>
        <w:t xml:space="preserve">the role does </w:t>
      </w:r>
      <w:r w:rsidR="00A1277E" w:rsidRPr="008D0115">
        <w:rPr>
          <w:rFonts w:cs="Arial"/>
          <w:bCs/>
          <w:szCs w:val="22"/>
        </w:rPr>
        <w:t>not meet the</w:t>
      </w:r>
      <w:r w:rsidR="00365AAB" w:rsidRPr="008D0115">
        <w:rPr>
          <w:rFonts w:cs="Arial"/>
          <w:bCs/>
          <w:szCs w:val="22"/>
        </w:rPr>
        <w:t xml:space="preserve"> required standard. Accord</w:t>
      </w:r>
      <w:r w:rsidR="00A1277E" w:rsidRPr="008D0115">
        <w:rPr>
          <w:rFonts w:cs="Arial"/>
          <w:bCs/>
          <w:szCs w:val="22"/>
        </w:rPr>
        <w:t xml:space="preserve">ingly, </w:t>
      </w:r>
      <w:r w:rsidR="00A40782" w:rsidRPr="008D0115">
        <w:rPr>
          <w:rFonts w:cs="Arial"/>
          <w:bCs/>
          <w:szCs w:val="22"/>
        </w:rPr>
        <w:t xml:space="preserve">an interpretation </w:t>
      </w:r>
      <w:r w:rsidR="009C2821" w:rsidRPr="008D0115">
        <w:rPr>
          <w:rFonts w:cs="Arial"/>
          <w:bCs/>
          <w:szCs w:val="22"/>
        </w:rPr>
        <w:t xml:space="preserve">of the clause </w:t>
      </w:r>
      <w:r w:rsidR="00A40782" w:rsidRPr="008D0115">
        <w:rPr>
          <w:rFonts w:cs="Arial"/>
          <w:bCs/>
          <w:szCs w:val="22"/>
        </w:rPr>
        <w:t xml:space="preserve">whereby </w:t>
      </w:r>
      <w:r w:rsidR="00A1277E" w:rsidRPr="008D0115">
        <w:rPr>
          <w:rFonts w:cs="Arial"/>
          <w:bCs/>
          <w:szCs w:val="22"/>
        </w:rPr>
        <w:t>the phrase</w:t>
      </w:r>
      <w:r w:rsidR="00365AAB" w:rsidRPr="008D0115">
        <w:rPr>
          <w:rFonts w:cs="Arial"/>
          <w:bCs/>
          <w:szCs w:val="22"/>
        </w:rPr>
        <w:t xml:space="preserve"> “due to reasons directly linked to his/her performance in the role” </w:t>
      </w:r>
      <w:r w:rsidR="00A1277E" w:rsidRPr="008D0115">
        <w:rPr>
          <w:rFonts w:cs="Arial"/>
          <w:bCs/>
          <w:szCs w:val="22"/>
        </w:rPr>
        <w:t>applies to both alternatives</w:t>
      </w:r>
      <w:r w:rsidR="00A40782" w:rsidRPr="008D0115">
        <w:rPr>
          <w:rFonts w:cs="Arial"/>
          <w:bCs/>
          <w:szCs w:val="22"/>
        </w:rPr>
        <w:t>, to the candidate departing or being asked to leave, results in a</w:t>
      </w:r>
      <w:r w:rsidR="00365AAB" w:rsidRPr="008D0115">
        <w:rPr>
          <w:rFonts w:cs="Arial"/>
          <w:bCs/>
          <w:szCs w:val="22"/>
        </w:rPr>
        <w:t xml:space="preserve"> sensible</w:t>
      </w:r>
      <w:r w:rsidR="00A40782" w:rsidRPr="008D0115">
        <w:rPr>
          <w:rFonts w:cs="Arial"/>
          <w:bCs/>
          <w:szCs w:val="22"/>
        </w:rPr>
        <w:t xml:space="preserve"> and commercially sound outcome</w:t>
      </w:r>
      <w:r w:rsidR="00741D72" w:rsidRPr="008D0115">
        <w:rPr>
          <w:rFonts w:cs="Arial"/>
          <w:bCs/>
          <w:szCs w:val="22"/>
        </w:rPr>
        <w:t>.</w:t>
      </w:r>
    </w:p>
    <w:p w14:paraId="2E1B1A8B" w14:textId="5E21D3EE" w:rsidR="000E7126" w:rsidRPr="008D0115" w:rsidRDefault="008D0115" w:rsidP="008D0115">
      <w:pPr>
        <w:tabs>
          <w:tab w:val="left" w:pos="567"/>
        </w:tabs>
        <w:spacing w:after="480" w:line="480" w:lineRule="auto"/>
        <w:rPr>
          <w:rFonts w:cs="Arial"/>
          <w:bCs/>
          <w:szCs w:val="22"/>
        </w:rPr>
      </w:pPr>
      <w:r>
        <w:rPr>
          <w:rFonts w:cs="Arial"/>
          <w:bCs/>
          <w:szCs w:val="22"/>
        </w:rPr>
        <w:t>[60]</w:t>
      </w:r>
      <w:r>
        <w:rPr>
          <w:rFonts w:cs="Arial"/>
          <w:bCs/>
          <w:szCs w:val="22"/>
        </w:rPr>
        <w:tab/>
      </w:r>
      <w:r w:rsidR="00741D72" w:rsidRPr="008D0115">
        <w:rPr>
          <w:rFonts w:cs="Arial"/>
          <w:bCs/>
          <w:szCs w:val="22"/>
        </w:rPr>
        <w:t>Furthermore, on a consideration of the langu</w:t>
      </w:r>
      <w:r w:rsidR="00E00AE7" w:rsidRPr="008D0115">
        <w:rPr>
          <w:rFonts w:cs="Arial"/>
          <w:bCs/>
          <w:szCs w:val="22"/>
        </w:rPr>
        <w:t>age and the grammar of the text</w:t>
      </w:r>
      <w:r w:rsidR="000E7126" w:rsidRPr="008D0115">
        <w:rPr>
          <w:rFonts w:cs="Arial"/>
          <w:bCs/>
          <w:szCs w:val="22"/>
        </w:rPr>
        <w:t xml:space="preserve"> </w:t>
      </w:r>
      <w:r w:rsidR="00741D72" w:rsidRPr="008D0115">
        <w:rPr>
          <w:rFonts w:cs="Arial"/>
          <w:bCs/>
          <w:szCs w:val="22"/>
        </w:rPr>
        <w:t>in the context of the matter, the</w:t>
      </w:r>
      <w:r w:rsidR="00E00AE7" w:rsidRPr="008D0115">
        <w:rPr>
          <w:rFonts w:cs="Arial"/>
          <w:bCs/>
          <w:szCs w:val="22"/>
        </w:rPr>
        <w:t xml:space="preserve"> plain</w:t>
      </w:r>
      <w:r w:rsidR="00741D72" w:rsidRPr="008D0115">
        <w:rPr>
          <w:rFonts w:cs="Arial"/>
          <w:bCs/>
          <w:szCs w:val="22"/>
        </w:rPr>
        <w:t xml:space="preserve"> meaning of the text is commercially sensible. T</w:t>
      </w:r>
      <w:r w:rsidR="000E7126" w:rsidRPr="008D0115">
        <w:rPr>
          <w:rFonts w:cs="Arial"/>
          <w:bCs/>
          <w:szCs w:val="22"/>
        </w:rPr>
        <w:t>he</w:t>
      </w:r>
      <w:r w:rsidR="00741D72" w:rsidRPr="008D0115">
        <w:rPr>
          <w:rFonts w:cs="Arial"/>
          <w:bCs/>
          <w:szCs w:val="22"/>
        </w:rPr>
        <w:t xml:space="preserve"> qualification of the candidate leaving “up to 12 months after commencing employment” applies to both the candidate departing and be</w:t>
      </w:r>
      <w:r w:rsidR="009D0519" w:rsidRPr="008D0115">
        <w:rPr>
          <w:rFonts w:cs="Arial"/>
          <w:bCs/>
          <w:szCs w:val="22"/>
        </w:rPr>
        <w:t>ing asked to leave. In addition,</w:t>
      </w:r>
      <w:r w:rsidR="00741D72" w:rsidRPr="008D0115">
        <w:rPr>
          <w:rFonts w:cs="Arial"/>
          <w:bCs/>
          <w:szCs w:val="22"/>
        </w:rPr>
        <w:t xml:space="preserve"> given the position of the ‘or’ between the words “if the candidate departs” and “is asked to leave”, </w:t>
      </w:r>
      <w:r w:rsidR="000E7126" w:rsidRPr="008D0115">
        <w:rPr>
          <w:rFonts w:cs="Arial"/>
          <w:bCs/>
          <w:szCs w:val="22"/>
        </w:rPr>
        <w:t xml:space="preserve">they cannot be read disjunctively as the applicant </w:t>
      </w:r>
      <w:r w:rsidR="009D0519" w:rsidRPr="008D0115">
        <w:rPr>
          <w:rFonts w:cs="Arial"/>
          <w:bCs/>
          <w:szCs w:val="22"/>
        </w:rPr>
        <w:t xml:space="preserve">sought to do. </w:t>
      </w:r>
    </w:p>
    <w:p w14:paraId="372B9A7E" w14:textId="21A9EB22" w:rsidR="00741D72" w:rsidRPr="008D0115" w:rsidRDefault="008D0115" w:rsidP="008D0115">
      <w:pPr>
        <w:tabs>
          <w:tab w:val="left" w:pos="567"/>
        </w:tabs>
        <w:spacing w:after="480" w:line="480" w:lineRule="auto"/>
        <w:rPr>
          <w:rFonts w:cs="Arial"/>
          <w:bCs/>
          <w:szCs w:val="22"/>
        </w:rPr>
      </w:pPr>
      <w:r w:rsidRPr="00BD683D">
        <w:rPr>
          <w:rFonts w:cs="Arial"/>
          <w:bCs/>
          <w:szCs w:val="22"/>
        </w:rPr>
        <w:t>[61]</w:t>
      </w:r>
      <w:r w:rsidRPr="00BD683D">
        <w:rPr>
          <w:rFonts w:cs="Arial"/>
          <w:bCs/>
          <w:szCs w:val="22"/>
        </w:rPr>
        <w:tab/>
      </w:r>
      <w:r w:rsidR="000E7126" w:rsidRPr="008D0115">
        <w:rPr>
          <w:rFonts w:cs="Arial"/>
          <w:bCs/>
          <w:szCs w:val="22"/>
        </w:rPr>
        <w:t>T</w:t>
      </w:r>
      <w:r w:rsidR="00741D72" w:rsidRPr="008D0115">
        <w:rPr>
          <w:rFonts w:cs="Arial"/>
          <w:bCs/>
          <w:szCs w:val="22"/>
        </w:rPr>
        <w:t xml:space="preserve">he </w:t>
      </w:r>
      <w:r w:rsidR="000E7126" w:rsidRPr="008D0115">
        <w:rPr>
          <w:rFonts w:cs="Arial"/>
          <w:bCs/>
          <w:szCs w:val="22"/>
        </w:rPr>
        <w:t xml:space="preserve">two </w:t>
      </w:r>
      <w:r w:rsidR="00741D72" w:rsidRPr="008D0115">
        <w:rPr>
          <w:rFonts w:cs="Arial"/>
          <w:bCs/>
          <w:szCs w:val="22"/>
        </w:rPr>
        <w:t xml:space="preserve">phrases “up to 12 months after commencing employment” and “due to reasons directly linked to his/her performance in the role”, </w:t>
      </w:r>
      <w:r w:rsidR="000E7126" w:rsidRPr="008D0115">
        <w:rPr>
          <w:rFonts w:cs="Arial"/>
          <w:bCs/>
          <w:szCs w:val="22"/>
        </w:rPr>
        <w:t xml:space="preserve">both appear in the text after the words “if the </w:t>
      </w:r>
      <w:r w:rsidR="00BD683D" w:rsidRPr="008D0115">
        <w:rPr>
          <w:rFonts w:cs="Arial"/>
          <w:bCs/>
          <w:szCs w:val="22"/>
        </w:rPr>
        <w:t>candidate</w:t>
      </w:r>
      <w:r w:rsidR="000E7126" w:rsidRPr="008D0115">
        <w:rPr>
          <w:rFonts w:cs="Arial"/>
          <w:bCs/>
          <w:szCs w:val="22"/>
        </w:rPr>
        <w:t xml:space="preserve"> departs” and “is asked to leave”. Thus, the two phrases “up to 12 months after commencing employment” and “due to reasons directly linked to his/her performance in the role”, </w:t>
      </w:r>
      <w:r w:rsidR="00DC41DE" w:rsidRPr="008D0115">
        <w:rPr>
          <w:rFonts w:cs="Arial"/>
          <w:bCs/>
          <w:szCs w:val="22"/>
        </w:rPr>
        <w:t xml:space="preserve">both apply to </w:t>
      </w:r>
      <w:r w:rsidR="00741D72" w:rsidRPr="008D0115">
        <w:rPr>
          <w:rFonts w:cs="Arial"/>
          <w:bCs/>
          <w:szCs w:val="22"/>
        </w:rPr>
        <w:t>th</w:t>
      </w:r>
      <w:r w:rsidR="00DC41DE" w:rsidRPr="008D0115">
        <w:rPr>
          <w:rFonts w:cs="Arial"/>
          <w:bCs/>
          <w:szCs w:val="22"/>
        </w:rPr>
        <w:t>e two</w:t>
      </w:r>
      <w:r w:rsidR="00741D72" w:rsidRPr="008D0115">
        <w:rPr>
          <w:rFonts w:cs="Arial"/>
          <w:bCs/>
          <w:szCs w:val="22"/>
        </w:rPr>
        <w:t xml:space="preserve"> alternatives, to the candidate departing and to the candidate being asked to leave.  </w:t>
      </w:r>
    </w:p>
    <w:p w14:paraId="0A3B3E8F" w14:textId="1BA8C87A" w:rsidR="000C1BCC" w:rsidRPr="008D0115" w:rsidRDefault="008D0115" w:rsidP="008D0115">
      <w:pPr>
        <w:tabs>
          <w:tab w:val="left" w:pos="567"/>
        </w:tabs>
        <w:spacing w:after="480" w:line="480" w:lineRule="auto"/>
        <w:rPr>
          <w:rFonts w:cs="Arial"/>
          <w:bCs/>
          <w:szCs w:val="22"/>
        </w:rPr>
      </w:pPr>
      <w:r>
        <w:rPr>
          <w:rFonts w:cs="Arial"/>
          <w:bCs/>
          <w:szCs w:val="22"/>
        </w:rPr>
        <w:t>[62]</w:t>
      </w:r>
      <w:r>
        <w:rPr>
          <w:rFonts w:cs="Arial"/>
          <w:bCs/>
          <w:szCs w:val="22"/>
        </w:rPr>
        <w:tab/>
      </w:r>
      <w:r w:rsidR="000C1BCC" w:rsidRPr="008D0115">
        <w:rPr>
          <w:rFonts w:cs="Arial"/>
          <w:bCs/>
          <w:szCs w:val="22"/>
        </w:rPr>
        <w:t>As to the purpose of the clause,</w:t>
      </w:r>
      <w:r w:rsidR="002E6D7D" w:rsidRPr="008D0115">
        <w:rPr>
          <w:rFonts w:cs="Arial"/>
          <w:bCs/>
          <w:szCs w:val="22"/>
        </w:rPr>
        <w:t xml:space="preserve"> it functioned as a guarantee by</w:t>
      </w:r>
      <w:r w:rsidR="000C1BCC" w:rsidRPr="008D0115">
        <w:rPr>
          <w:rFonts w:cs="Arial"/>
          <w:bCs/>
          <w:szCs w:val="22"/>
        </w:rPr>
        <w:t xml:space="preserve"> the respondent </w:t>
      </w:r>
      <w:r w:rsidR="002E6D7D" w:rsidRPr="008D0115">
        <w:rPr>
          <w:rFonts w:cs="Arial"/>
          <w:bCs/>
          <w:szCs w:val="22"/>
        </w:rPr>
        <w:t>of the respondent’s selection of the recommended candidate. T</w:t>
      </w:r>
      <w:r w:rsidR="000C1BCC" w:rsidRPr="008D0115">
        <w:rPr>
          <w:rFonts w:cs="Arial"/>
          <w:bCs/>
          <w:szCs w:val="22"/>
        </w:rPr>
        <w:t xml:space="preserve">he clause was a standard inclusion in all of </w:t>
      </w:r>
      <w:r w:rsidR="002E6D7D" w:rsidRPr="008D0115">
        <w:rPr>
          <w:rFonts w:cs="Arial"/>
          <w:bCs/>
          <w:szCs w:val="22"/>
        </w:rPr>
        <w:t>the respondent’s</w:t>
      </w:r>
      <w:r w:rsidR="000C1BCC" w:rsidRPr="008D0115">
        <w:rPr>
          <w:rFonts w:cs="Arial"/>
          <w:bCs/>
          <w:szCs w:val="22"/>
        </w:rPr>
        <w:t xml:space="preserve"> agreements</w:t>
      </w:r>
      <w:r w:rsidR="002E6D7D" w:rsidRPr="008D0115">
        <w:rPr>
          <w:rFonts w:cs="Arial"/>
          <w:bCs/>
          <w:szCs w:val="22"/>
        </w:rPr>
        <w:t xml:space="preserve"> with</w:t>
      </w:r>
      <w:r w:rsidR="009D0519" w:rsidRPr="008D0115">
        <w:rPr>
          <w:rFonts w:cs="Arial"/>
          <w:bCs/>
          <w:szCs w:val="22"/>
        </w:rPr>
        <w:t xml:space="preserve"> its</w:t>
      </w:r>
      <w:r w:rsidR="002E6D7D" w:rsidRPr="008D0115">
        <w:rPr>
          <w:rFonts w:cs="Arial"/>
          <w:bCs/>
          <w:szCs w:val="22"/>
        </w:rPr>
        <w:t xml:space="preserve"> clients</w:t>
      </w:r>
      <w:r w:rsidR="000C1BCC" w:rsidRPr="008D0115">
        <w:rPr>
          <w:rFonts w:cs="Arial"/>
          <w:bCs/>
          <w:szCs w:val="22"/>
        </w:rPr>
        <w:t>. The respondent guaranteed its performance</w:t>
      </w:r>
      <w:r w:rsidR="009D0519" w:rsidRPr="008D0115">
        <w:rPr>
          <w:rFonts w:cs="Arial"/>
          <w:bCs/>
          <w:szCs w:val="22"/>
        </w:rPr>
        <w:t xml:space="preserve"> in selecting the appropriate candidates</w:t>
      </w:r>
      <w:r w:rsidR="000C1BCC" w:rsidRPr="008D0115">
        <w:rPr>
          <w:rFonts w:cs="Arial"/>
          <w:bCs/>
          <w:szCs w:val="22"/>
        </w:rPr>
        <w:t xml:space="preserve"> </w:t>
      </w:r>
      <w:r w:rsidR="002E6D7D" w:rsidRPr="008D0115">
        <w:rPr>
          <w:rFonts w:cs="Arial"/>
          <w:bCs/>
          <w:szCs w:val="22"/>
        </w:rPr>
        <w:t xml:space="preserve">in terms of the clause. </w:t>
      </w:r>
      <w:r w:rsidR="002E6D7D" w:rsidRPr="008D0115">
        <w:rPr>
          <w:rFonts w:cs="Arial"/>
          <w:bCs/>
          <w:szCs w:val="22"/>
        </w:rPr>
        <w:lastRenderedPageBreak/>
        <w:t>I</w:t>
      </w:r>
      <w:r w:rsidR="000C1BCC" w:rsidRPr="008D0115">
        <w:rPr>
          <w:rFonts w:cs="Arial"/>
          <w:bCs/>
          <w:szCs w:val="22"/>
        </w:rPr>
        <w:t>n the event that the reco</w:t>
      </w:r>
      <w:r w:rsidR="00BD683D" w:rsidRPr="008D0115">
        <w:rPr>
          <w:rFonts w:cs="Arial"/>
          <w:bCs/>
          <w:szCs w:val="22"/>
        </w:rPr>
        <w:t>mmended candidate wa</w:t>
      </w:r>
      <w:r w:rsidR="000C1BCC" w:rsidRPr="008D0115">
        <w:rPr>
          <w:rFonts w:cs="Arial"/>
          <w:bCs/>
          <w:szCs w:val="22"/>
        </w:rPr>
        <w:t xml:space="preserve">s not </w:t>
      </w:r>
      <w:r w:rsidR="00BD683D" w:rsidRPr="008D0115">
        <w:rPr>
          <w:rFonts w:cs="Arial"/>
          <w:bCs/>
          <w:szCs w:val="22"/>
        </w:rPr>
        <w:t>suitable</w:t>
      </w:r>
      <w:r w:rsidR="002E6D7D" w:rsidRPr="008D0115">
        <w:rPr>
          <w:rFonts w:cs="Arial"/>
          <w:bCs/>
          <w:szCs w:val="22"/>
        </w:rPr>
        <w:t xml:space="preserve"> to the position</w:t>
      </w:r>
      <w:r w:rsidR="00BD683D" w:rsidRPr="008D0115">
        <w:rPr>
          <w:rFonts w:cs="Arial"/>
          <w:bCs/>
          <w:szCs w:val="22"/>
        </w:rPr>
        <w:t xml:space="preserve"> and left </w:t>
      </w:r>
      <w:r w:rsidR="000C1BCC" w:rsidRPr="008D0115">
        <w:rPr>
          <w:rFonts w:cs="Arial"/>
          <w:bCs/>
          <w:szCs w:val="22"/>
        </w:rPr>
        <w:t>for reasons linked to his</w:t>
      </w:r>
      <w:r w:rsidR="002E6D7D" w:rsidRPr="008D0115">
        <w:rPr>
          <w:rFonts w:cs="Arial"/>
          <w:bCs/>
          <w:szCs w:val="22"/>
        </w:rPr>
        <w:t xml:space="preserve"> / her</w:t>
      </w:r>
      <w:r w:rsidR="000C1BCC" w:rsidRPr="008D0115">
        <w:rPr>
          <w:rFonts w:cs="Arial"/>
          <w:bCs/>
          <w:szCs w:val="22"/>
        </w:rPr>
        <w:t xml:space="preserve"> performance in the</w:t>
      </w:r>
      <w:r w:rsidR="00BD683D" w:rsidRPr="008D0115">
        <w:rPr>
          <w:rFonts w:cs="Arial"/>
          <w:bCs/>
          <w:szCs w:val="22"/>
        </w:rPr>
        <w:t xml:space="preserve"> role, then the respondent would replace the</w:t>
      </w:r>
      <w:r w:rsidR="000C1BCC" w:rsidRPr="008D0115">
        <w:rPr>
          <w:rFonts w:cs="Arial"/>
          <w:bCs/>
          <w:szCs w:val="22"/>
        </w:rPr>
        <w:t xml:space="preserve"> candidate</w:t>
      </w:r>
      <w:r w:rsidR="00BD683D" w:rsidRPr="008D0115">
        <w:rPr>
          <w:rFonts w:cs="Arial"/>
          <w:bCs/>
          <w:szCs w:val="22"/>
        </w:rPr>
        <w:t xml:space="preserve"> at no additional cost</w:t>
      </w:r>
      <w:r w:rsidR="000C1BCC" w:rsidRPr="008D0115">
        <w:rPr>
          <w:rFonts w:cs="Arial"/>
          <w:bCs/>
          <w:szCs w:val="22"/>
        </w:rPr>
        <w:t xml:space="preserve">. In the event that the candidate did not perform in the role or there were issues related </w:t>
      </w:r>
      <w:r w:rsidR="00BD683D" w:rsidRPr="008D0115">
        <w:rPr>
          <w:rFonts w:cs="Arial"/>
          <w:bCs/>
          <w:szCs w:val="22"/>
        </w:rPr>
        <w:t>there</w:t>
      </w:r>
      <w:r w:rsidR="000C1BCC" w:rsidRPr="008D0115">
        <w:rPr>
          <w:rFonts w:cs="Arial"/>
          <w:bCs/>
          <w:szCs w:val="22"/>
        </w:rPr>
        <w:t>to</w:t>
      </w:r>
      <w:r w:rsidR="00BD683D" w:rsidRPr="008D0115">
        <w:rPr>
          <w:rFonts w:cs="Arial"/>
          <w:bCs/>
          <w:szCs w:val="22"/>
        </w:rPr>
        <w:t>,</w:t>
      </w:r>
      <w:r w:rsidR="000C1BCC" w:rsidRPr="008D0115">
        <w:rPr>
          <w:rFonts w:cs="Arial"/>
          <w:bCs/>
          <w:szCs w:val="22"/>
        </w:rPr>
        <w:t xml:space="preserve"> then the respondent would replace the candidate </w:t>
      </w:r>
      <w:r w:rsidR="009D0519" w:rsidRPr="008D0115">
        <w:rPr>
          <w:rFonts w:cs="Arial"/>
          <w:bCs/>
          <w:szCs w:val="22"/>
        </w:rPr>
        <w:t xml:space="preserve">because the respondent did not select a suitable employee.  </w:t>
      </w:r>
      <w:r w:rsidR="002E6D7D" w:rsidRPr="008D0115">
        <w:rPr>
          <w:rFonts w:cs="Arial"/>
          <w:bCs/>
          <w:szCs w:val="22"/>
        </w:rPr>
        <w:t xml:space="preserve">  </w:t>
      </w:r>
    </w:p>
    <w:p w14:paraId="1DDBBA76" w14:textId="65F97F15" w:rsidR="000C1BCC" w:rsidRPr="008D0115" w:rsidRDefault="008D0115" w:rsidP="008D0115">
      <w:pPr>
        <w:tabs>
          <w:tab w:val="left" w:pos="567"/>
        </w:tabs>
        <w:spacing w:after="480" w:line="480" w:lineRule="auto"/>
        <w:rPr>
          <w:rFonts w:cs="Arial"/>
          <w:bCs/>
          <w:szCs w:val="22"/>
        </w:rPr>
      </w:pPr>
      <w:r>
        <w:rPr>
          <w:rFonts w:cs="Arial"/>
          <w:bCs/>
          <w:szCs w:val="22"/>
        </w:rPr>
        <w:t>[63]</w:t>
      </w:r>
      <w:r>
        <w:rPr>
          <w:rFonts w:cs="Arial"/>
          <w:bCs/>
          <w:szCs w:val="22"/>
        </w:rPr>
        <w:tab/>
      </w:r>
      <w:r w:rsidR="00BD683D" w:rsidRPr="008D0115">
        <w:rPr>
          <w:rFonts w:cs="Arial"/>
          <w:bCs/>
          <w:szCs w:val="22"/>
        </w:rPr>
        <w:t xml:space="preserve"> As regards Mr Lomax, however,</w:t>
      </w:r>
      <w:r w:rsidR="000C1BCC" w:rsidRPr="008D0115">
        <w:rPr>
          <w:rFonts w:cs="Arial"/>
          <w:bCs/>
          <w:szCs w:val="22"/>
        </w:rPr>
        <w:t xml:space="preserve"> there was </w:t>
      </w:r>
      <w:r w:rsidR="00BD683D" w:rsidRPr="008D0115">
        <w:rPr>
          <w:rFonts w:cs="Arial"/>
          <w:bCs/>
          <w:szCs w:val="22"/>
        </w:rPr>
        <w:t xml:space="preserve">no averment that he was not a suitable </w:t>
      </w:r>
      <w:r w:rsidR="000C1BCC" w:rsidRPr="008D0115">
        <w:rPr>
          <w:rFonts w:cs="Arial"/>
          <w:bCs/>
          <w:szCs w:val="22"/>
        </w:rPr>
        <w:t>candidate. There was no sugge</w:t>
      </w:r>
      <w:r w:rsidR="009D0519" w:rsidRPr="008D0115">
        <w:rPr>
          <w:rFonts w:cs="Arial"/>
          <w:bCs/>
          <w:szCs w:val="22"/>
        </w:rPr>
        <w:t>stion that he was not</w:t>
      </w:r>
      <w:r w:rsidR="00BD683D" w:rsidRPr="008D0115">
        <w:rPr>
          <w:rFonts w:cs="Arial"/>
          <w:bCs/>
          <w:szCs w:val="22"/>
        </w:rPr>
        <w:t xml:space="preserve"> suited</w:t>
      </w:r>
      <w:r w:rsidR="009D0519" w:rsidRPr="008D0115">
        <w:rPr>
          <w:rFonts w:cs="Arial"/>
          <w:bCs/>
          <w:szCs w:val="22"/>
        </w:rPr>
        <w:t>, eminently so,</w:t>
      </w:r>
      <w:r w:rsidR="00BD683D" w:rsidRPr="008D0115">
        <w:rPr>
          <w:rFonts w:cs="Arial"/>
          <w:bCs/>
          <w:szCs w:val="22"/>
        </w:rPr>
        <w:t xml:space="preserve"> </w:t>
      </w:r>
      <w:r w:rsidR="000C1BCC" w:rsidRPr="008D0115">
        <w:rPr>
          <w:rFonts w:cs="Arial"/>
          <w:bCs/>
          <w:szCs w:val="22"/>
        </w:rPr>
        <w:t xml:space="preserve">to the </w:t>
      </w:r>
      <w:r w:rsidR="00BD683D" w:rsidRPr="008D0115">
        <w:rPr>
          <w:rFonts w:cs="Arial"/>
          <w:bCs/>
          <w:szCs w:val="22"/>
        </w:rPr>
        <w:t>position.</w:t>
      </w:r>
      <w:r w:rsidR="000C1BCC" w:rsidRPr="008D0115">
        <w:rPr>
          <w:rFonts w:cs="Arial"/>
          <w:bCs/>
          <w:szCs w:val="22"/>
        </w:rPr>
        <w:t xml:space="preserve"> In those circumstances, the respondent’s guarantee of its performance </w:t>
      </w:r>
      <w:r w:rsidR="00BD683D" w:rsidRPr="008D0115">
        <w:rPr>
          <w:rFonts w:cs="Arial"/>
          <w:bCs/>
          <w:szCs w:val="22"/>
        </w:rPr>
        <w:t xml:space="preserve">did not apply.  </w:t>
      </w:r>
    </w:p>
    <w:p w14:paraId="6026CAB6" w14:textId="0433B01C" w:rsidR="00DC41DE" w:rsidRPr="008D0115" w:rsidRDefault="008D0115" w:rsidP="008D0115">
      <w:pPr>
        <w:tabs>
          <w:tab w:val="left" w:pos="567"/>
        </w:tabs>
        <w:spacing w:after="480" w:line="480" w:lineRule="auto"/>
        <w:rPr>
          <w:rFonts w:cs="Arial"/>
          <w:bCs/>
          <w:color w:val="C00000"/>
          <w:szCs w:val="22"/>
        </w:rPr>
      </w:pPr>
      <w:r w:rsidRPr="00BD683D">
        <w:rPr>
          <w:rFonts w:cs="Arial"/>
          <w:bCs/>
          <w:szCs w:val="22"/>
        </w:rPr>
        <w:t>[64]</w:t>
      </w:r>
      <w:r w:rsidRPr="00BD683D">
        <w:rPr>
          <w:rFonts w:cs="Arial"/>
          <w:bCs/>
          <w:szCs w:val="22"/>
        </w:rPr>
        <w:tab/>
      </w:r>
      <w:r w:rsidR="006065D5" w:rsidRPr="008D0115">
        <w:rPr>
          <w:rFonts w:cs="Arial"/>
          <w:bCs/>
          <w:szCs w:val="22"/>
        </w:rPr>
        <w:t>The respondent based its fee on</w:t>
      </w:r>
      <w:r w:rsidR="00002019" w:rsidRPr="008D0115">
        <w:rPr>
          <w:rFonts w:cs="Arial"/>
          <w:bCs/>
          <w:szCs w:val="22"/>
        </w:rPr>
        <w:t xml:space="preserve"> the extensive proce</w:t>
      </w:r>
      <w:r w:rsidR="00DC41DE" w:rsidRPr="008D0115">
        <w:rPr>
          <w:rFonts w:cs="Arial"/>
          <w:bCs/>
          <w:szCs w:val="22"/>
        </w:rPr>
        <w:t>dure</w:t>
      </w:r>
      <w:r w:rsidR="00002019" w:rsidRPr="008D0115">
        <w:rPr>
          <w:rFonts w:cs="Arial"/>
          <w:bCs/>
          <w:szCs w:val="22"/>
        </w:rPr>
        <w:t xml:space="preserve">s and work undertaken by </w:t>
      </w:r>
      <w:r w:rsidR="006065D5" w:rsidRPr="008D0115">
        <w:rPr>
          <w:rFonts w:cs="Arial"/>
          <w:bCs/>
          <w:szCs w:val="22"/>
        </w:rPr>
        <w:t>i</w:t>
      </w:r>
      <w:r w:rsidR="00DC41DE" w:rsidRPr="008D0115">
        <w:rPr>
          <w:rFonts w:cs="Arial"/>
          <w:bCs/>
          <w:szCs w:val="22"/>
        </w:rPr>
        <w:t>t</w:t>
      </w:r>
      <w:r w:rsidR="00002019" w:rsidRPr="008D0115">
        <w:rPr>
          <w:rFonts w:cs="Arial"/>
          <w:bCs/>
          <w:szCs w:val="22"/>
        </w:rPr>
        <w:t xml:space="preserve"> in selecting the most suitable candidate</w:t>
      </w:r>
      <w:r w:rsidR="009D0519" w:rsidRPr="008D0115">
        <w:rPr>
          <w:rFonts w:cs="Arial"/>
          <w:bCs/>
          <w:szCs w:val="22"/>
        </w:rPr>
        <w:t xml:space="preserve"> for the role</w:t>
      </w:r>
      <w:r w:rsidR="006065D5" w:rsidRPr="008D0115">
        <w:rPr>
          <w:rFonts w:cs="Arial"/>
          <w:bCs/>
          <w:szCs w:val="22"/>
        </w:rPr>
        <w:t>. Moreover, the respondent effectively</w:t>
      </w:r>
      <w:r w:rsidR="00DC41DE" w:rsidRPr="008D0115">
        <w:rPr>
          <w:rFonts w:cs="Arial"/>
          <w:bCs/>
          <w:szCs w:val="22"/>
        </w:rPr>
        <w:t xml:space="preserve"> guaranteed its work by way of the inclusion of the clause. </w:t>
      </w:r>
      <w:r w:rsidR="00002019" w:rsidRPr="008D0115">
        <w:rPr>
          <w:rFonts w:cs="Arial"/>
          <w:bCs/>
          <w:szCs w:val="22"/>
        </w:rPr>
        <w:t xml:space="preserve"> </w:t>
      </w:r>
      <w:r w:rsidR="00DC41DE" w:rsidRPr="008D0115">
        <w:rPr>
          <w:rFonts w:cs="Arial"/>
          <w:bCs/>
          <w:szCs w:val="22"/>
        </w:rPr>
        <w:t xml:space="preserve"> </w:t>
      </w:r>
      <w:r w:rsidR="00002019" w:rsidRPr="008D0115">
        <w:rPr>
          <w:rFonts w:cs="Arial"/>
          <w:bCs/>
          <w:szCs w:val="22"/>
        </w:rPr>
        <w:t xml:space="preserve"> </w:t>
      </w:r>
    </w:p>
    <w:p w14:paraId="308EB2FF" w14:textId="5AA3CCBD" w:rsidR="00234A8F" w:rsidRPr="008D0115" w:rsidRDefault="008D0115" w:rsidP="008D0115">
      <w:pPr>
        <w:tabs>
          <w:tab w:val="left" w:pos="567"/>
        </w:tabs>
        <w:spacing w:after="480" w:line="480" w:lineRule="auto"/>
        <w:rPr>
          <w:rFonts w:cs="Arial"/>
          <w:bCs/>
          <w:szCs w:val="22"/>
        </w:rPr>
      </w:pPr>
      <w:r>
        <w:rPr>
          <w:rFonts w:cs="Arial"/>
          <w:bCs/>
          <w:szCs w:val="22"/>
        </w:rPr>
        <w:t>[65]</w:t>
      </w:r>
      <w:r>
        <w:rPr>
          <w:rFonts w:cs="Arial"/>
          <w:bCs/>
          <w:szCs w:val="22"/>
        </w:rPr>
        <w:tab/>
      </w:r>
      <w:r w:rsidR="002E6D7D" w:rsidRPr="008D0115">
        <w:rPr>
          <w:rFonts w:cs="Arial"/>
          <w:bCs/>
          <w:szCs w:val="22"/>
        </w:rPr>
        <w:t>The text of the clause, on a plain reading thereof in the context of the agreement and in the light of the purpose of the clause, is</w:t>
      </w:r>
      <w:r w:rsidR="00836FC4" w:rsidRPr="008D0115">
        <w:rPr>
          <w:rFonts w:cs="Arial"/>
          <w:bCs/>
          <w:szCs w:val="22"/>
        </w:rPr>
        <w:t xml:space="preserve"> </w:t>
      </w:r>
      <w:r w:rsidR="008879F4" w:rsidRPr="008D0115">
        <w:rPr>
          <w:rFonts w:cs="Arial"/>
          <w:bCs/>
          <w:szCs w:val="22"/>
        </w:rPr>
        <w:t xml:space="preserve">unequivocal and unambiguous. It means </w:t>
      </w:r>
      <w:r w:rsidR="00836FC4" w:rsidRPr="008D0115">
        <w:rPr>
          <w:rFonts w:cs="Arial"/>
          <w:bCs/>
          <w:szCs w:val="22"/>
        </w:rPr>
        <w:t>what it says.  I</w:t>
      </w:r>
      <w:r w:rsidR="008879F4" w:rsidRPr="008D0115">
        <w:rPr>
          <w:rFonts w:cs="Arial"/>
          <w:bCs/>
          <w:szCs w:val="22"/>
        </w:rPr>
        <w:t>f a candidat</w:t>
      </w:r>
      <w:r w:rsidR="00836FC4" w:rsidRPr="008D0115">
        <w:rPr>
          <w:rFonts w:cs="Arial"/>
          <w:bCs/>
          <w:szCs w:val="22"/>
        </w:rPr>
        <w:t>e de</w:t>
      </w:r>
      <w:r w:rsidR="009D0519" w:rsidRPr="008D0115">
        <w:rPr>
          <w:rFonts w:cs="Arial"/>
          <w:bCs/>
          <w:szCs w:val="22"/>
        </w:rPr>
        <w:t>parts or is asked to leave,</w:t>
      </w:r>
      <w:r w:rsidR="00836FC4" w:rsidRPr="008D0115">
        <w:rPr>
          <w:rFonts w:cs="Arial"/>
          <w:bCs/>
          <w:szCs w:val="22"/>
        </w:rPr>
        <w:t xml:space="preserve"> within twelve months of commencing</w:t>
      </w:r>
      <w:r w:rsidR="00234A8F" w:rsidRPr="008D0115">
        <w:rPr>
          <w:rFonts w:cs="Arial"/>
          <w:bCs/>
          <w:szCs w:val="22"/>
        </w:rPr>
        <w:t xml:space="preserve"> in</w:t>
      </w:r>
      <w:r w:rsidR="00836FC4" w:rsidRPr="008D0115">
        <w:rPr>
          <w:rFonts w:cs="Arial"/>
          <w:bCs/>
          <w:szCs w:val="22"/>
        </w:rPr>
        <w:t xml:space="preserve"> the employment</w:t>
      </w:r>
      <w:r w:rsidR="00234A8F" w:rsidRPr="008D0115">
        <w:rPr>
          <w:rFonts w:cs="Arial"/>
          <w:bCs/>
          <w:szCs w:val="22"/>
        </w:rPr>
        <w:t xml:space="preserve"> position</w:t>
      </w:r>
      <w:r w:rsidR="00836FC4" w:rsidRPr="008D0115">
        <w:rPr>
          <w:rFonts w:cs="Arial"/>
          <w:bCs/>
          <w:szCs w:val="22"/>
        </w:rPr>
        <w:t xml:space="preserve">, </w:t>
      </w:r>
      <w:r w:rsidR="008879F4" w:rsidRPr="008D0115">
        <w:rPr>
          <w:rFonts w:cs="Arial"/>
          <w:bCs/>
          <w:szCs w:val="22"/>
        </w:rPr>
        <w:t>the respondent’s guarantee</w:t>
      </w:r>
      <w:r w:rsidR="00836FC4" w:rsidRPr="008D0115">
        <w:rPr>
          <w:rFonts w:cs="Arial"/>
          <w:bCs/>
          <w:szCs w:val="22"/>
        </w:rPr>
        <w:t xml:space="preserve"> to replace the candidate arises if the reason for either alternative is</w:t>
      </w:r>
      <w:r w:rsidR="008879F4" w:rsidRPr="008D0115">
        <w:rPr>
          <w:rFonts w:cs="Arial"/>
          <w:bCs/>
          <w:szCs w:val="22"/>
        </w:rPr>
        <w:t xml:space="preserve"> </w:t>
      </w:r>
      <w:r w:rsidR="00836FC4" w:rsidRPr="008D0115">
        <w:rPr>
          <w:rFonts w:cs="Arial"/>
          <w:bCs/>
          <w:szCs w:val="22"/>
        </w:rPr>
        <w:t>“</w:t>
      </w:r>
      <w:r w:rsidR="008879F4" w:rsidRPr="008D0115">
        <w:rPr>
          <w:rFonts w:cs="Arial"/>
          <w:bCs/>
          <w:szCs w:val="22"/>
        </w:rPr>
        <w:t>linked to</w:t>
      </w:r>
      <w:r w:rsidR="009D0519" w:rsidRPr="008D0115">
        <w:rPr>
          <w:rFonts w:cs="Arial"/>
          <w:bCs/>
          <w:szCs w:val="22"/>
        </w:rPr>
        <w:t xml:space="preserve"> (the candidate’s)</w:t>
      </w:r>
      <w:r w:rsidR="008879F4" w:rsidRPr="008D0115">
        <w:rPr>
          <w:rFonts w:cs="Arial"/>
          <w:bCs/>
          <w:szCs w:val="22"/>
        </w:rPr>
        <w:t xml:space="preserve"> performance in the role”</w:t>
      </w:r>
      <w:r w:rsidR="00234A8F" w:rsidRPr="008D0115">
        <w:rPr>
          <w:rFonts w:cs="Arial"/>
          <w:bCs/>
          <w:szCs w:val="22"/>
        </w:rPr>
        <w:t xml:space="preserve">. </w:t>
      </w:r>
    </w:p>
    <w:p w14:paraId="4C0AB3BF" w14:textId="02A171C3" w:rsidR="00A3460E" w:rsidRPr="008D0115" w:rsidRDefault="008D0115" w:rsidP="008D0115">
      <w:pPr>
        <w:tabs>
          <w:tab w:val="left" w:pos="567"/>
        </w:tabs>
        <w:spacing w:after="480" w:line="480" w:lineRule="auto"/>
        <w:rPr>
          <w:rFonts w:cs="Arial"/>
          <w:bCs/>
          <w:szCs w:val="22"/>
        </w:rPr>
      </w:pPr>
      <w:r w:rsidRPr="00234A8F">
        <w:rPr>
          <w:rFonts w:cs="Arial"/>
          <w:bCs/>
          <w:szCs w:val="22"/>
        </w:rPr>
        <w:t>[66]</w:t>
      </w:r>
      <w:r w:rsidRPr="00234A8F">
        <w:rPr>
          <w:rFonts w:cs="Arial"/>
          <w:bCs/>
          <w:szCs w:val="22"/>
        </w:rPr>
        <w:tab/>
      </w:r>
      <w:r w:rsidR="008879F4" w:rsidRPr="008D0115">
        <w:rPr>
          <w:rFonts w:cs="Arial"/>
          <w:bCs/>
          <w:szCs w:val="22"/>
        </w:rPr>
        <w:t xml:space="preserve"> </w:t>
      </w:r>
      <w:r w:rsidR="00FA7C57" w:rsidRPr="008D0115">
        <w:rPr>
          <w:rFonts w:cs="Arial"/>
          <w:bCs/>
          <w:szCs w:val="22"/>
        </w:rPr>
        <w:t xml:space="preserve">The position of the words “up to 12 months after commencing employment” </w:t>
      </w:r>
      <w:r w:rsidR="00234A8F" w:rsidRPr="008D0115">
        <w:rPr>
          <w:rFonts w:cs="Arial"/>
          <w:bCs/>
          <w:szCs w:val="22"/>
        </w:rPr>
        <w:t xml:space="preserve">in the text renders the time limitation </w:t>
      </w:r>
      <w:r w:rsidR="00FA7C57" w:rsidRPr="008D0115">
        <w:rPr>
          <w:rFonts w:cs="Arial"/>
          <w:bCs/>
          <w:szCs w:val="22"/>
        </w:rPr>
        <w:t>appli</w:t>
      </w:r>
      <w:r w:rsidR="00234A8F" w:rsidRPr="008D0115">
        <w:rPr>
          <w:rFonts w:cs="Arial"/>
          <w:bCs/>
          <w:szCs w:val="22"/>
        </w:rPr>
        <w:t>cable</w:t>
      </w:r>
      <w:r w:rsidR="00FA7C57" w:rsidRPr="008D0115">
        <w:rPr>
          <w:rFonts w:cs="Arial"/>
          <w:bCs/>
          <w:szCs w:val="22"/>
        </w:rPr>
        <w:t xml:space="preserve"> to both</w:t>
      </w:r>
      <w:r w:rsidR="00234A8F" w:rsidRPr="008D0115">
        <w:rPr>
          <w:rFonts w:cs="Arial"/>
          <w:bCs/>
          <w:szCs w:val="22"/>
        </w:rPr>
        <w:t xml:space="preserve"> alternatives without the phrase having to be moved to the end of the clause. So</w:t>
      </w:r>
      <w:r w:rsidR="009D0519" w:rsidRPr="008D0115">
        <w:rPr>
          <w:rFonts w:cs="Arial"/>
          <w:bCs/>
          <w:szCs w:val="22"/>
        </w:rPr>
        <w:t xml:space="preserve"> too does the text</w:t>
      </w:r>
      <w:r w:rsidR="00234A8F" w:rsidRPr="008D0115">
        <w:rPr>
          <w:rFonts w:cs="Arial"/>
          <w:bCs/>
          <w:szCs w:val="22"/>
        </w:rPr>
        <w:t xml:space="preserve"> render the qualification regarding performance</w:t>
      </w:r>
      <w:r w:rsidR="00FA7C57" w:rsidRPr="008D0115">
        <w:rPr>
          <w:rFonts w:cs="Arial"/>
          <w:bCs/>
          <w:szCs w:val="22"/>
        </w:rPr>
        <w:t xml:space="preserve"> </w:t>
      </w:r>
      <w:r w:rsidR="00234A8F" w:rsidRPr="008D0115">
        <w:rPr>
          <w:rFonts w:cs="Arial"/>
          <w:bCs/>
          <w:szCs w:val="22"/>
        </w:rPr>
        <w:t>applicable to both alternatives</w:t>
      </w:r>
      <w:r w:rsidR="00FA7C57" w:rsidRPr="008D0115">
        <w:rPr>
          <w:rFonts w:cs="Arial"/>
          <w:bCs/>
          <w:szCs w:val="22"/>
        </w:rPr>
        <w:t xml:space="preserve">. </w:t>
      </w:r>
      <w:r w:rsidR="00234A8F" w:rsidRPr="008D0115">
        <w:rPr>
          <w:rFonts w:cs="Arial"/>
          <w:bCs/>
          <w:szCs w:val="22"/>
        </w:rPr>
        <w:t xml:space="preserve"> </w:t>
      </w:r>
    </w:p>
    <w:p w14:paraId="7ABC0A27" w14:textId="585D7403" w:rsidR="00FA7C57" w:rsidRPr="008D0115" w:rsidRDefault="008D0115" w:rsidP="008D0115">
      <w:pPr>
        <w:tabs>
          <w:tab w:val="left" w:pos="567"/>
        </w:tabs>
        <w:spacing w:after="480" w:line="480" w:lineRule="auto"/>
        <w:rPr>
          <w:rFonts w:cs="Arial"/>
          <w:bCs/>
          <w:szCs w:val="22"/>
        </w:rPr>
      </w:pPr>
      <w:r>
        <w:rPr>
          <w:rFonts w:cs="Arial"/>
          <w:bCs/>
          <w:szCs w:val="22"/>
        </w:rPr>
        <w:t>[67]</w:t>
      </w:r>
      <w:r>
        <w:rPr>
          <w:rFonts w:cs="Arial"/>
          <w:bCs/>
          <w:szCs w:val="22"/>
        </w:rPr>
        <w:tab/>
      </w:r>
      <w:r w:rsidR="00FA7C57" w:rsidRPr="008D0115">
        <w:rPr>
          <w:rFonts w:cs="Arial"/>
          <w:bCs/>
          <w:szCs w:val="22"/>
        </w:rPr>
        <w:t>Given the respondent’s guarantee of its performance in selecting the most suitable candidate, it makes logical and commercial sense that the guarantee incepts and applies</w:t>
      </w:r>
      <w:r w:rsidR="00234A8F" w:rsidRPr="008D0115">
        <w:rPr>
          <w:rFonts w:cs="Arial"/>
          <w:bCs/>
          <w:szCs w:val="22"/>
        </w:rPr>
        <w:t xml:space="preserve"> </w:t>
      </w:r>
      <w:r w:rsidR="00234A8F" w:rsidRPr="008D0115">
        <w:rPr>
          <w:rFonts w:cs="Arial"/>
          <w:bCs/>
          <w:szCs w:val="22"/>
        </w:rPr>
        <w:lastRenderedPageBreak/>
        <w:t xml:space="preserve">when a recommended candidate departs </w:t>
      </w:r>
      <w:r w:rsidR="009D0519" w:rsidRPr="008D0115">
        <w:rPr>
          <w:rFonts w:cs="Arial"/>
          <w:bCs/>
          <w:szCs w:val="22"/>
        </w:rPr>
        <w:t xml:space="preserve">the employment </w:t>
      </w:r>
      <w:r w:rsidR="00234A8F" w:rsidRPr="008D0115">
        <w:rPr>
          <w:rFonts w:cs="Arial"/>
          <w:bCs/>
          <w:szCs w:val="22"/>
        </w:rPr>
        <w:t xml:space="preserve">or is </w:t>
      </w:r>
      <w:r w:rsidR="00FA7C57" w:rsidRPr="008D0115">
        <w:rPr>
          <w:rFonts w:cs="Arial"/>
          <w:bCs/>
          <w:szCs w:val="22"/>
        </w:rPr>
        <w:t xml:space="preserve">asked to leave for reasons related to performance in the role. Stated differently, in the event that the </w:t>
      </w:r>
      <w:r w:rsidR="00670ECC" w:rsidRPr="008D0115">
        <w:rPr>
          <w:rFonts w:cs="Arial"/>
          <w:bCs/>
          <w:szCs w:val="22"/>
        </w:rPr>
        <w:t>respondent selects the wrong candidate and that candidate departs or is asked to</w:t>
      </w:r>
      <w:r w:rsidR="00FB5C6E" w:rsidRPr="008D0115">
        <w:rPr>
          <w:rFonts w:cs="Arial"/>
          <w:bCs/>
          <w:szCs w:val="22"/>
        </w:rPr>
        <w:t xml:space="preserve"> leave as a result of an inappropriate </w:t>
      </w:r>
      <w:r w:rsidR="00670ECC" w:rsidRPr="008D0115">
        <w:rPr>
          <w:rFonts w:cs="Arial"/>
          <w:bCs/>
          <w:szCs w:val="22"/>
        </w:rPr>
        <w:t>selection, being reasons linked to his performance in the role, the respondent’s guarantee applies and the respondent will replace the candidate.</w:t>
      </w:r>
    </w:p>
    <w:p w14:paraId="5BCCF781" w14:textId="5DD88FCB" w:rsidR="00670ECC" w:rsidRPr="008D0115" w:rsidRDefault="008D0115" w:rsidP="008D0115">
      <w:pPr>
        <w:tabs>
          <w:tab w:val="left" w:pos="567"/>
        </w:tabs>
        <w:spacing w:after="480" w:line="480" w:lineRule="auto"/>
        <w:rPr>
          <w:rFonts w:cs="Arial"/>
          <w:bCs/>
          <w:szCs w:val="22"/>
        </w:rPr>
      </w:pPr>
      <w:r>
        <w:rPr>
          <w:rFonts w:cs="Arial"/>
          <w:bCs/>
          <w:szCs w:val="22"/>
        </w:rPr>
        <w:t>[68]</w:t>
      </w:r>
      <w:r>
        <w:rPr>
          <w:rFonts w:cs="Arial"/>
          <w:bCs/>
          <w:szCs w:val="22"/>
        </w:rPr>
        <w:tab/>
      </w:r>
      <w:r w:rsidR="00670ECC" w:rsidRPr="008D0115">
        <w:rPr>
          <w:rFonts w:cs="Arial"/>
          <w:bCs/>
          <w:szCs w:val="22"/>
        </w:rPr>
        <w:t>The respondent’s interpretation of the clause arises from the text itself and it accords with the purpose of the clause being included in the agreement, being that the respondent sought t</w:t>
      </w:r>
      <w:r w:rsidR="007D46EE" w:rsidRPr="008D0115">
        <w:rPr>
          <w:rFonts w:cs="Arial"/>
          <w:bCs/>
          <w:szCs w:val="22"/>
        </w:rPr>
        <w:t>o ensure and guarantee that the recommended candidate</w:t>
      </w:r>
      <w:r w:rsidR="00670ECC" w:rsidRPr="008D0115">
        <w:rPr>
          <w:rFonts w:cs="Arial"/>
          <w:bCs/>
          <w:szCs w:val="22"/>
        </w:rPr>
        <w:t xml:space="preserve"> was </w:t>
      </w:r>
      <w:r w:rsidR="007D46EE" w:rsidRPr="008D0115">
        <w:rPr>
          <w:rFonts w:cs="Arial"/>
          <w:bCs/>
          <w:szCs w:val="22"/>
        </w:rPr>
        <w:t xml:space="preserve">the </w:t>
      </w:r>
      <w:r w:rsidR="00FB5C6E" w:rsidRPr="008D0115">
        <w:rPr>
          <w:rFonts w:cs="Arial"/>
          <w:bCs/>
          <w:szCs w:val="22"/>
        </w:rPr>
        <w:t>best</w:t>
      </w:r>
      <w:r w:rsidR="007D46EE" w:rsidRPr="008D0115">
        <w:rPr>
          <w:rFonts w:cs="Arial"/>
          <w:bCs/>
          <w:szCs w:val="22"/>
        </w:rPr>
        <w:t xml:space="preserve"> candidate for</w:t>
      </w:r>
      <w:r w:rsidR="00670ECC" w:rsidRPr="008D0115">
        <w:rPr>
          <w:rFonts w:cs="Arial"/>
          <w:bCs/>
          <w:szCs w:val="22"/>
        </w:rPr>
        <w:t xml:space="preserve"> the job</w:t>
      </w:r>
      <w:r w:rsidR="007D46EE" w:rsidRPr="008D0115">
        <w:rPr>
          <w:rFonts w:cs="Arial"/>
          <w:bCs/>
          <w:szCs w:val="22"/>
        </w:rPr>
        <w:t>.</w:t>
      </w:r>
    </w:p>
    <w:p w14:paraId="33881798" w14:textId="5F53B431" w:rsidR="00670ECC" w:rsidRPr="008D0115" w:rsidRDefault="008D0115" w:rsidP="008D0115">
      <w:pPr>
        <w:tabs>
          <w:tab w:val="left" w:pos="567"/>
        </w:tabs>
        <w:spacing w:after="480" w:line="480" w:lineRule="auto"/>
        <w:rPr>
          <w:rFonts w:cs="Arial"/>
          <w:bCs/>
          <w:szCs w:val="22"/>
        </w:rPr>
      </w:pPr>
      <w:r>
        <w:rPr>
          <w:rFonts w:cs="Arial"/>
          <w:bCs/>
          <w:szCs w:val="22"/>
        </w:rPr>
        <w:t>[69]</w:t>
      </w:r>
      <w:r>
        <w:rPr>
          <w:rFonts w:cs="Arial"/>
          <w:bCs/>
          <w:szCs w:val="22"/>
        </w:rPr>
        <w:tab/>
      </w:r>
      <w:r w:rsidR="00670ECC" w:rsidRPr="008D0115">
        <w:rPr>
          <w:rFonts w:cs="Arial"/>
          <w:bCs/>
          <w:szCs w:val="22"/>
        </w:rPr>
        <w:t>The text, the context and the purpose of the clause all point to the respondent’s interpretation of the clause.</w:t>
      </w:r>
    </w:p>
    <w:p w14:paraId="5E7A8D7C" w14:textId="35F881C8" w:rsidR="00670ECC" w:rsidRPr="008D0115" w:rsidRDefault="008D0115" w:rsidP="008D0115">
      <w:pPr>
        <w:tabs>
          <w:tab w:val="left" w:pos="567"/>
        </w:tabs>
        <w:spacing w:after="480" w:line="480" w:lineRule="auto"/>
        <w:rPr>
          <w:rFonts w:cs="Arial"/>
          <w:bCs/>
          <w:szCs w:val="22"/>
        </w:rPr>
      </w:pPr>
      <w:r>
        <w:rPr>
          <w:rFonts w:cs="Arial"/>
          <w:bCs/>
          <w:szCs w:val="22"/>
        </w:rPr>
        <w:t>[70]</w:t>
      </w:r>
      <w:r>
        <w:rPr>
          <w:rFonts w:cs="Arial"/>
          <w:bCs/>
          <w:szCs w:val="22"/>
        </w:rPr>
        <w:tab/>
      </w:r>
      <w:r w:rsidR="00FB5C6E" w:rsidRPr="008D0115">
        <w:rPr>
          <w:rFonts w:cs="Arial"/>
          <w:bCs/>
          <w:szCs w:val="22"/>
        </w:rPr>
        <w:t>T</w:t>
      </w:r>
      <w:r w:rsidR="00670ECC" w:rsidRPr="008D0115">
        <w:rPr>
          <w:rFonts w:cs="Arial"/>
          <w:bCs/>
          <w:szCs w:val="22"/>
        </w:rPr>
        <w:t xml:space="preserve">he applicant’s interpretation </w:t>
      </w:r>
      <w:r w:rsidR="00FB5C6E" w:rsidRPr="008D0115">
        <w:rPr>
          <w:rFonts w:cs="Arial"/>
          <w:bCs/>
          <w:szCs w:val="22"/>
        </w:rPr>
        <w:t>requires</w:t>
      </w:r>
      <w:r w:rsidR="00670ECC" w:rsidRPr="008D0115">
        <w:rPr>
          <w:rFonts w:cs="Arial"/>
          <w:bCs/>
          <w:szCs w:val="22"/>
        </w:rPr>
        <w:t xml:space="preserve"> the rewriting of the c</w:t>
      </w:r>
      <w:r w:rsidR="007D46EE" w:rsidRPr="008D0115">
        <w:rPr>
          <w:rFonts w:cs="Arial"/>
          <w:bCs/>
          <w:szCs w:val="22"/>
        </w:rPr>
        <w:t xml:space="preserve">lause in circumstances where a court may not do so. The applicant’s stance will </w:t>
      </w:r>
      <w:r w:rsidR="00670ECC" w:rsidRPr="008D0115">
        <w:rPr>
          <w:rFonts w:cs="Arial"/>
          <w:bCs/>
          <w:szCs w:val="22"/>
        </w:rPr>
        <w:t xml:space="preserve">undermine the purpose of the clause and lead </w:t>
      </w:r>
      <w:r w:rsidR="007D46EE" w:rsidRPr="008D0115">
        <w:rPr>
          <w:rFonts w:cs="Arial"/>
          <w:bCs/>
          <w:szCs w:val="22"/>
        </w:rPr>
        <w:t xml:space="preserve">to an </w:t>
      </w:r>
      <w:r w:rsidR="00670ECC" w:rsidRPr="008D0115">
        <w:rPr>
          <w:rFonts w:cs="Arial"/>
          <w:bCs/>
          <w:szCs w:val="22"/>
        </w:rPr>
        <w:t xml:space="preserve">interpretation </w:t>
      </w:r>
      <w:r w:rsidR="007D46EE" w:rsidRPr="008D0115">
        <w:rPr>
          <w:rFonts w:cs="Arial"/>
          <w:bCs/>
          <w:szCs w:val="22"/>
        </w:rPr>
        <w:t>that is not commercially sustainable, being</w:t>
      </w:r>
      <w:r w:rsidR="00670ECC" w:rsidRPr="008D0115">
        <w:rPr>
          <w:rFonts w:cs="Arial"/>
          <w:bCs/>
          <w:szCs w:val="22"/>
        </w:rPr>
        <w:t xml:space="preserve"> the respondent havi</w:t>
      </w:r>
      <w:r w:rsidR="00FB5C6E" w:rsidRPr="008D0115">
        <w:rPr>
          <w:rFonts w:cs="Arial"/>
          <w:bCs/>
          <w:szCs w:val="22"/>
        </w:rPr>
        <w:t>ng to replace the candidate who</w:t>
      </w:r>
      <w:r w:rsidR="00670ECC" w:rsidRPr="008D0115">
        <w:rPr>
          <w:rFonts w:cs="Arial"/>
          <w:bCs/>
          <w:szCs w:val="22"/>
        </w:rPr>
        <w:t xml:space="preserve"> departs for any</w:t>
      </w:r>
      <w:r w:rsidR="007D46EE" w:rsidRPr="008D0115">
        <w:rPr>
          <w:rFonts w:cs="Arial"/>
          <w:bCs/>
          <w:szCs w:val="22"/>
        </w:rPr>
        <w:t xml:space="preserve"> reason whatsoever within the twelve</w:t>
      </w:r>
      <w:r w:rsidR="00670ECC" w:rsidRPr="008D0115">
        <w:rPr>
          <w:rFonts w:cs="Arial"/>
          <w:bCs/>
          <w:szCs w:val="22"/>
        </w:rPr>
        <w:t xml:space="preserve">-month period. </w:t>
      </w:r>
    </w:p>
    <w:p w14:paraId="7DB70C33" w14:textId="2F6420C4" w:rsidR="00670ECC" w:rsidRPr="008D0115" w:rsidRDefault="008D0115" w:rsidP="008D0115">
      <w:pPr>
        <w:tabs>
          <w:tab w:val="left" w:pos="567"/>
        </w:tabs>
        <w:spacing w:after="480" w:line="480" w:lineRule="auto"/>
        <w:rPr>
          <w:rFonts w:cs="Arial"/>
          <w:bCs/>
          <w:szCs w:val="22"/>
        </w:rPr>
      </w:pPr>
      <w:r>
        <w:rPr>
          <w:rFonts w:cs="Arial"/>
          <w:bCs/>
          <w:szCs w:val="22"/>
        </w:rPr>
        <w:t>[71]</w:t>
      </w:r>
      <w:r>
        <w:rPr>
          <w:rFonts w:cs="Arial"/>
          <w:bCs/>
          <w:szCs w:val="22"/>
        </w:rPr>
        <w:tab/>
      </w:r>
      <w:r w:rsidR="00670ECC" w:rsidRPr="008D0115">
        <w:rPr>
          <w:rFonts w:cs="Arial"/>
          <w:bCs/>
          <w:szCs w:val="22"/>
        </w:rPr>
        <w:t xml:space="preserve">In the circumstances, the applicant’s </w:t>
      </w:r>
      <w:r w:rsidR="00FB5C6E" w:rsidRPr="008D0115">
        <w:rPr>
          <w:rFonts w:cs="Arial"/>
          <w:bCs/>
          <w:szCs w:val="22"/>
        </w:rPr>
        <w:t xml:space="preserve">interpretation </w:t>
      </w:r>
      <w:r w:rsidR="00670ECC" w:rsidRPr="008D0115">
        <w:rPr>
          <w:rFonts w:cs="Arial"/>
          <w:bCs/>
          <w:szCs w:val="22"/>
        </w:rPr>
        <w:t>cannot be upheld and an appropriate order will follow hereunder.</w:t>
      </w:r>
    </w:p>
    <w:p w14:paraId="307D670C" w14:textId="6F0B2173" w:rsidR="007D46EE" w:rsidRPr="008D0115" w:rsidRDefault="008D0115" w:rsidP="008D0115">
      <w:pPr>
        <w:tabs>
          <w:tab w:val="left" w:pos="567"/>
        </w:tabs>
        <w:spacing w:after="480" w:line="480" w:lineRule="auto"/>
        <w:rPr>
          <w:rFonts w:cs="Arial"/>
          <w:bCs/>
          <w:szCs w:val="22"/>
        </w:rPr>
      </w:pPr>
      <w:r w:rsidRPr="00FB5C6E">
        <w:rPr>
          <w:rFonts w:cs="Arial"/>
          <w:bCs/>
          <w:szCs w:val="22"/>
        </w:rPr>
        <w:t>[72]</w:t>
      </w:r>
      <w:r w:rsidRPr="00FB5C6E">
        <w:rPr>
          <w:rFonts w:cs="Arial"/>
          <w:bCs/>
          <w:szCs w:val="22"/>
        </w:rPr>
        <w:tab/>
      </w:r>
      <w:r w:rsidR="00670ECC" w:rsidRPr="008D0115">
        <w:rPr>
          <w:rFonts w:cs="Arial"/>
          <w:bCs/>
          <w:szCs w:val="22"/>
        </w:rPr>
        <w:t>The parties agreed at</w:t>
      </w:r>
      <w:r w:rsidR="007D46EE" w:rsidRPr="008D0115">
        <w:rPr>
          <w:rFonts w:cs="Arial"/>
          <w:bCs/>
          <w:szCs w:val="22"/>
        </w:rPr>
        <w:t xml:space="preserve"> the hearing that the outcome of</w:t>
      </w:r>
      <w:r w:rsidR="00670ECC" w:rsidRPr="008D0115">
        <w:rPr>
          <w:rFonts w:cs="Arial"/>
          <w:bCs/>
          <w:szCs w:val="22"/>
        </w:rPr>
        <w:t xml:space="preserve"> the interpretati</w:t>
      </w:r>
      <w:r w:rsidR="007D46EE" w:rsidRPr="008D0115">
        <w:rPr>
          <w:rFonts w:cs="Arial"/>
          <w:bCs/>
          <w:szCs w:val="22"/>
        </w:rPr>
        <w:t>ve exercise, if it favoured the respondent,</w:t>
      </w:r>
      <w:r w:rsidR="00FB5C6E" w:rsidRPr="008D0115">
        <w:rPr>
          <w:rFonts w:cs="Arial"/>
          <w:bCs/>
          <w:szCs w:val="22"/>
        </w:rPr>
        <w:t xml:space="preserve"> would be</w:t>
      </w:r>
      <w:r w:rsidR="00670ECC" w:rsidRPr="008D0115">
        <w:rPr>
          <w:rFonts w:cs="Arial"/>
          <w:bCs/>
          <w:szCs w:val="22"/>
        </w:rPr>
        <w:t xml:space="preserve"> dispo</w:t>
      </w:r>
      <w:r w:rsidR="007D46EE" w:rsidRPr="008D0115">
        <w:rPr>
          <w:rFonts w:cs="Arial"/>
          <w:bCs/>
          <w:szCs w:val="22"/>
        </w:rPr>
        <w:t xml:space="preserve">sitive of the issues regarding </w:t>
      </w:r>
      <w:r w:rsidR="00FB5C6E" w:rsidRPr="008D0115">
        <w:rPr>
          <w:rFonts w:cs="Arial"/>
          <w:bCs/>
          <w:szCs w:val="22"/>
        </w:rPr>
        <w:t>restitution and that the</w:t>
      </w:r>
      <w:r w:rsidR="007D46EE" w:rsidRPr="008D0115">
        <w:rPr>
          <w:rFonts w:cs="Arial"/>
          <w:bCs/>
          <w:szCs w:val="22"/>
        </w:rPr>
        <w:t xml:space="preserve"> costs of the application should</w:t>
      </w:r>
      <w:r w:rsidR="00FB5C6E" w:rsidRPr="008D0115">
        <w:rPr>
          <w:rFonts w:cs="Arial"/>
          <w:bCs/>
          <w:szCs w:val="22"/>
        </w:rPr>
        <w:t xml:space="preserve"> follow the order on the merits.  </w:t>
      </w:r>
    </w:p>
    <w:p w14:paraId="349A490D" w14:textId="52FE151E" w:rsidR="007D46EE" w:rsidRPr="008D0115" w:rsidRDefault="008D0115" w:rsidP="008D0115">
      <w:pPr>
        <w:tabs>
          <w:tab w:val="left" w:pos="567"/>
        </w:tabs>
        <w:spacing w:after="480" w:line="480" w:lineRule="auto"/>
        <w:rPr>
          <w:rFonts w:cs="Arial"/>
          <w:bCs/>
          <w:szCs w:val="22"/>
        </w:rPr>
      </w:pPr>
      <w:r w:rsidRPr="007D46EE">
        <w:rPr>
          <w:rFonts w:cs="Arial"/>
          <w:bCs/>
          <w:szCs w:val="22"/>
        </w:rPr>
        <w:lastRenderedPageBreak/>
        <w:t>[73]</w:t>
      </w:r>
      <w:r w:rsidRPr="007D46EE">
        <w:rPr>
          <w:rFonts w:cs="Arial"/>
          <w:bCs/>
          <w:szCs w:val="22"/>
        </w:rPr>
        <w:tab/>
      </w:r>
      <w:r w:rsidR="00670ECC" w:rsidRPr="008D0115">
        <w:rPr>
          <w:rFonts w:cs="Arial"/>
          <w:bCs/>
          <w:szCs w:val="22"/>
        </w:rPr>
        <w:t>In respect of the respondent’s interlocutory application, that was rendered</w:t>
      </w:r>
      <w:r w:rsidR="007D46EE" w:rsidRPr="008D0115">
        <w:rPr>
          <w:rFonts w:cs="Arial"/>
          <w:bCs/>
          <w:szCs w:val="22"/>
        </w:rPr>
        <w:t xml:space="preserve"> moot by my finding on the </w:t>
      </w:r>
      <w:r w:rsidR="00FB5C6E" w:rsidRPr="008D0115">
        <w:rPr>
          <w:rFonts w:cs="Arial"/>
          <w:bCs/>
          <w:szCs w:val="22"/>
        </w:rPr>
        <w:t xml:space="preserve">merits of the </w:t>
      </w:r>
      <w:r w:rsidR="007D46EE" w:rsidRPr="008D0115">
        <w:rPr>
          <w:rFonts w:cs="Arial"/>
          <w:bCs/>
          <w:szCs w:val="22"/>
        </w:rPr>
        <w:t>application. In the circumstances,</w:t>
      </w:r>
      <w:r w:rsidR="00670ECC" w:rsidRPr="008D0115">
        <w:rPr>
          <w:rFonts w:cs="Arial"/>
          <w:bCs/>
          <w:szCs w:val="22"/>
        </w:rPr>
        <w:t xml:space="preserve"> </w:t>
      </w:r>
      <w:r w:rsidR="007D46EE" w:rsidRPr="008D0115">
        <w:rPr>
          <w:rFonts w:cs="Arial"/>
          <w:bCs/>
          <w:szCs w:val="22"/>
        </w:rPr>
        <w:t xml:space="preserve">it is appropriate that </w:t>
      </w:r>
      <w:r w:rsidR="00670ECC" w:rsidRPr="008D0115">
        <w:rPr>
          <w:rFonts w:cs="Arial"/>
          <w:bCs/>
          <w:szCs w:val="22"/>
        </w:rPr>
        <w:t>the costs of th</w:t>
      </w:r>
      <w:r w:rsidR="007D46EE" w:rsidRPr="008D0115">
        <w:rPr>
          <w:rFonts w:cs="Arial"/>
          <w:bCs/>
          <w:szCs w:val="22"/>
        </w:rPr>
        <w:t>e interlocutory application</w:t>
      </w:r>
      <w:r w:rsidR="00670ECC" w:rsidRPr="008D0115">
        <w:rPr>
          <w:rFonts w:cs="Arial"/>
          <w:bCs/>
          <w:szCs w:val="22"/>
        </w:rPr>
        <w:t xml:space="preserve"> be costs in the cause of the application. </w:t>
      </w:r>
    </w:p>
    <w:p w14:paraId="74C1745D" w14:textId="68F1A8B4" w:rsidR="007D46EE" w:rsidRPr="008D0115" w:rsidRDefault="008D0115" w:rsidP="008D0115">
      <w:pPr>
        <w:tabs>
          <w:tab w:val="left" w:pos="567"/>
        </w:tabs>
        <w:spacing w:after="480" w:line="480" w:lineRule="auto"/>
        <w:rPr>
          <w:rFonts w:cs="Arial"/>
          <w:bCs/>
          <w:szCs w:val="22"/>
        </w:rPr>
      </w:pPr>
      <w:r>
        <w:rPr>
          <w:rFonts w:cs="Arial"/>
          <w:bCs/>
          <w:szCs w:val="22"/>
        </w:rPr>
        <w:t>[74]</w:t>
      </w:r>
      <w:r>
        <w:rPr>
          <w:rFonts w:cs="Arial"/>
          <w:bCs/>
          <w:szCs w:val="22"/>
        </w:rPr>
        <w:tab/>
      </w:r>
      <w:r w:rsidR="00670ECC" w:rsidRPr="008D0115">
        <w:rPr>
          <w:rFonts w:cs="Arial"/>
          <w:bCs/>
          <w:szCs w:val="22"/>
        </w:rPr>
        <w:t xml:space="preserve">By reason of the aforementioned, </w:t>
      </w:r>
      <w:r w:rsidR="007D46EE" w:rsidRPr="008D0115">
        <w:rPr>
          <w:rFonts w:cs="Arial"/>
          <w:bCs/>
          <w:szCs w:val="22"/>
        </w:rPr>
        <w:t>I grant the following order:</w:t>
      </w:r>
    </w:p>
    <w:p w14:paraId="0597E842" w14:textId="351CDCA8" w:rsidR="00311241" w:rsidRPr="008D0115" w:rsidRDefault="008D0115" w:rsidP="008D0115">
      <w:pPr>
        <w:spacing w:after="480" w:line="480" w:lineRule="auto"/>
        <w:ind w:left="927" w:hanging="360"/>
        <w:rPr>
          <w:rFonts w:cs="Arial"/>
          <w:bCs/>
          <w:szCs w:val="22"/>
        </w:rPr>
      </w:pPr>
      <w:r w:rsidRPr="007D46EE">
        <w:rPr>
          <w:rFonts w:cs="Arial"/>
          <w:bCs/>
          <w:szCs w:val="22"/>
        </w:rPr>
        <w:t>1.</w:t>
      </w:r>
      <w:r w:rsidRPr="007D46EE">
        <w:rPr>
          <w:rFonts w:cs="Arial"/>
          <w:bCs/>
          <w:szCs w:val="22"/>
        </w:rPr>
        <w:tab/>
      </w:r>
      <w:r w:rsidR="007D46EE" w:rsidRPr="008D0115">
        <w:rPr>
          <w:rFonts w:cs="Arial"/>
          <w:bCs/>
          <w:szCs w:val="22"/>
        </w:rPr>
        <w:t>T</w:t>
      </w:r>
      <w:r w:rsidR="00670ECC" w:rsidRPr="008D0115">
        <w:rPr>
          <w:rFonts w:cs="Arial"/>
          <w:bCs/>
          <w:szCs w:val="22"/>
        </w:rPr>
        <w:t xml:space="preserve">he application is dismissed with costs, such costs to include the costs of the </w:t>
      </w:r>
      <w:r w:rsidR="00FB5C6E" w:rsidRPr="008D0115">
        <w:rPr>
          <w:rFonts w:cs="Arial"/>
          <w:bCs/>
          <w:szCs w:val="22"/>
        </w:rPr>
        <w:t xml:space="preserve">respondent’s </w:t>
      </w:r>
      <w:r w:rsidR="00670ECC" w:rsidRPr="008D0115">
        <w:rPr>
          <w:rFonts w:cs="Arial"/>
          <w:bCs/>
          <w:szCs w:val="22"/>
        </w:rPr>
        <w:t>interlocutory application.</w:t>
      </w:r>
    </w:p>
    <w:p w14:paraId="156E12F9" w14:textId="77777777" w:rsidR="00311241" w:rsidRPr="000B4788" w:rsidRDefault="00311241" w:rsidP="00311241">
      <w:pPr>
        <w:spacing w:after="480" w:line="480" w:lineRule="auto"/>
        <w:rPr>
          <w:rFonts w:cs="Arial"/>
          <w:bCs/>
          <w:szCs w:val="22"/>
        </w:rPr>
      </w:pPr>
    </w:p>
    <w:p w14:paraId="09B52B7F" w14:textId="548D436D" w:rsidR="00E81C17" w:rsidRPr="000B4788" w:rsidRDefault="00A413AD" w:rsidP="000C7D50">
      <w:pPr>
        <w:pStyle w:val="ListParagraph"/>
        <w:keepNext/>
        <w:tabs>
          <w:tab w:val="right" w:pos="0"/>
        </w:tabs>
        <w:ind w:left="0"/>
        <w:jc w:val="right"/>
        <w:rPr>
          <w:rFonts w:cs="Arial"/>
          <w:sz w:val="24"/>
        </w:rPr>
      </w:pPr>
      <w:r w:rsidRPr="000B4788">
        <w:rPr>
          <w:rFonts w:cs="Arial"/>
          <w:sz w:val="24"/>
        </w:rPr>
        <w:t>_____________________________________</w:t>
      </w:r>
    </w:p>
    <w:p w14:paraId="34D1410D" w14:textId="123033A9" w:rsidR="007A4557" w:rsidRPr="000B4788" w:rsidRDefault="007A4557" w:rsidP="00A413AD">
      <w:pPr>
        <w:pStyle w:val="ListParagraph"/>
        <w:tabs>
          <w:tab w:val="right" w:pos="0"/>
        </w:tabs>
        <w:ind w:left="0"/>
        <w:jc w:val="right"/>
        <w:rPr>
          <w:rFonts w:cs="Arial"/>
          <w:b/>
          <w:sz w:val="24"/>
        </w:rPr>
      </w:pPr>
      <w:r w:rsidRPr="000B4788">
        <w:rPr>
          <w:rFonts w:cs="Arial"/>
          <w:b/>
          <w:sz w:val="24"/>
        </w:rPr>
        <w:t>A A CRUTCHFIELD</w:t>
      </w:r>
    </w:p>
    <w:p w14:paraId="127314C2" w14:textId="5E3A8614" w:rsidR="007A4557" w:rsidRPr="000B4788" w:rsidRDefault="007A4557" w:rsidP="00A413AD">
      <w:pPr>
        <w:pStyle w:val="ListParagraph"/>
        <w:tabs>
          <w:tab w:val="right" w:pos="0"/>
        </w:tabs>
        <w:ind w:left="0"/>
        <w:jc w:val="right"/>
        <w:rPr>
          <w:rFonts w:cs="Arial"/>
          <w:b/>
          <w:sz w:val="24"/>
        </w:rPr>
      </w:pPr>
      <w:r w:rsidRPr="000B4788">
        <w:rPr>
          <w:rFonts w:cs="Arial"/>
          <w:b/>
          <w:sz w:val="24"/>
        </w:rPr>
        <w:t>JUDGE OF THE HIGH COURT OF SOUTH AFRICA</w:t>
      </w:r>
    </w:p>
    <w:p w14:paraId="7500A332" w14:textId="77777777" w:rsidR="00C65281" w:rsidRPr="000B4788" w:rsidRDefault="007A4557" w:rsidP="00A413AD">
      <w:pPr>
        <w:pStyle w:val="ListParagraph"/>
        <w:tabs>
          <w:tab w:val="right" w:pos="0"/>
          <w:tab w:val="left" w:pos="4253"/>
        </w:tabs>
        <w:ind w:left="0"/>
        <w:jc w:val="right"/>
        <w:rPr>
          <w:rFonts w:cs="Arial"/>
          <w:b/>
          <w:sz w:val="24"/>
        </w:rPr>
      </w:pPr>
      <w:r w:rsidRPr="000B4788">
        <w:rPr>
          <w:rFonts w:cs="Arial"/>
          <w:b/>
          <w:sz w:val="24"/>
        </w:rPr>
        <w:t>GAUTENG LOCAL DIVISION</w:t>
      </w:r>
    </w:p>
    <w:p w14:paraId="683CB113" w14:textId="58F65DC1" w:rsidR="007A4557" w:rsidRPr="00FB5C6E" w:rsidRDefault="00FB5C6E" w:rsidP="00FB5C6E">
      <w:pPr>
        <w:pStyle w:val="ListParagraph"/>
        <w:tabs>
          <w:tab w:val="right" w:pos="0"/>
          <w:tab w:val="left" w:pos="4253"/>
        </w:tabs>
        <w:ind w:left="0"/>
        <w:jc w:val="right"/>
        <w:rPr>
          <w:rFonts w:cs="Arial"/>
          <w:b/>
          <w:sz w:val="24"/>
        </w:rPr>
      </w:pPr>
      <w:r>
        <w:rPr>
          <w:rFonts w:cs="Arial"/>
          <w:b/>
          <w:sz w:val="24"/>
        </w:rPr>
        <w:t>JOHANNESBURG</w:t>
      </w:r>
    </w:p>
    <w:p w14:paraId="7B620489" w14:textId="77777777" w:rsidR="007A4557" w:rsidRPr="000B4788" w:rsidRDefault="007A4557" w:rsidP="007A4557">
      <w:pPr>
        <w:pStyle w:val="ListParagraph"/>
        <w:spacing w:after="200"/>
        <w:ind w:left="0"/>
        <w:rPr>
          <w:rFonts w:eastAsia="Arial Unicode MS" w:cs="Arial"/>
          <w:bCs/>
        </w:rPr>
      </w:pPr>
    </w:p>
    <w:p w14:paraId="7A54E56A" w14:textId="77777777" w:rsidR="007A4557" w:rsidRPr="000B4788" w:rsidRDefault="007A4557" w:rsidP="007A4557">
      <w:pPr>
        <w:pStyle w:val="ListParagraph"/>
        <w:spacing w:after="200"/>
        <w:ind w:left="0"/>
        <w:rPr>
          <w:rFonts w:eastAsia="Arial Unicode MS" w:cs="Arial"/>
          <w:bCs/>
        </w:rPr>
      </w:pPr>
    </w:p>
    <w:p w14:paraId="33AE2986" w14:textId="2D2CCA45" w:rsidR="00131AB6" w:rsidRPr="000B4788" w:rsidRDefault="007A4557" w:rsidP="007A4557">
      <w:pPr>
        <w:pStyle w:val="ListParagraph"/>
        <w:spacing w:after="200"/>
        <w:ind w:left="0"/>
        <w:rPr>
          <w:rFonts w:eastAsia="Arial Unicode MS" w:cs="Arial"/>
          <w:bCs/>
        </w:rPr>
      </w:pPr>
      <w:r w:rsidRPr="000B4788">
        <w:rPr>
          <w:rFonts w:eastAsia="Arial Unicode MS" w:cs="Arial"/>
          <w:bCs/>
        </w:rPr>
        <w:t xml:space="preserve">Delivered: This judgment was prepared and authored by the Judge whose name is reflected and is handed down electronically by circulation to the Parties / their legal representatives by email and by uploading it to the electronic file of this matter on CaseLines. The date of the judgment is deemed to be </w:t>
      </w:r>
      <w:r w:rsidR="007D46EE" w:rsidRPr="00FB5C6E">
        <w:rPr>
          <w:rFonts w:eastAsia="Arial Unicode MS" w:cs="Arial"/>
          <w:bCs/>
        </w:rPr>
        <w:t>6</w:t>
      </w:r>
      <w:r w:rsidR="00670ECC" w:rsidRPr="00FB5C6E">
        <w:rPr>
          <w:rFonts w:eastAsia="Arial Unicode MS" w:cs="Arial"/>
          <w:bCs/>
        </w:rPr>
        <w:t xml:space="preserve"> December</w:t>
      </w:r>
      <w:r w:rsidR="00111FA0" w:rsidRPr="00FB5C6E">
        <w:rPr>
          <w:rFonts w:eastAsia="Arial Unicode MS" w:cs="Arial"/>
          <w:bCs/>
        </w:rPr>
        <w:t xml:space="preserve"> </w:t>
      </w:r>
      <w:r w:rsidR="00032CBF" w:rsidRPr="00FB5C6E">
        <w:rPr>
          <w:rFonts w:eastAsia="Arial Unicode MS" w:cs="Arial"/>
          <w:bCs/>
        </w:rPr>
        <w:t>2022</w:t>
      </w:r>
      <w:r w:rsidRPr="00FB5C6E">
        <w:rPr>
          <w:rFonts w:eastAsia="Arial Unicode MS" w:cs="Arial"/>
          <w:bCs/>
        </w:rPr>
        <w:t>.</w:t>
      </w:r>
    </w:p>
    <w:p w14:paraId="5E34682F" w14:textId="5397771B" w:rsidR="003A1A6A" w:rsidRPr="000B4788" w:rsidRDefault="003A1A6A" w:rsidP="003A1A6A">
      <w:pPr>
        <w:pStyle w:val="ListParagraph"/>
        <w:tabs>
          <w:tab w:val="right" w:pos="0"/>
          <w:tab w:val="left" w:pos="4253"/>
        </w:tabs>
        <w:ind w:left="0"/>
        <w:jc w:val="center"/>
        <w:rPr>
          <w:rFonts w:cs="Arial"/>
          <w:b/>
          <w:sz w:val="24"/>
        </w:rPr>
      </w:pPr>
    </w:p>
    <w:p w14:paraId="086B28F7" w14:textId="77777777" w:rsidR="007A4557" w:rsidRPr="000B4788" w:rsidRDefault="007A4557" w:rsidP="003A1A6A">
      <w:pPr>
        <w:pStyle w:val="ListParagraph"/>
        <w:tabs>
          <w:tab w:val="right" w:pos="0"/>
          <w:tab w:val="left" w:pos="4253"/>
        </w:tabs>
        <w:ind w:left="0"/>
        <w:jc w:val="center"/>
        <w:rPr>
          <w:rFonts w:cs="Arial"/>
          <w:b/>
          <w:sz w:val="24"/>
        </w:rPr>
      </w:pPr>
    </w:p>
    <w:p w14:paraId="49B14233" w14:textId="77777777" w:rsidR="003A1A6A" w:rsidRPr="000B4788" w:rsidRDefault="003A1A6A" w:rsidP="003A1A6A">
      <w:pPr>
        <w:pStyle w:val="ListParagraph"/>
        <w:tabs>
          <w:tab w:val="right" w:pos="0"/>
          <w:tab w:val="left" w:pos="4253"/>
        </w:tabs>
        <w:ind w:left="0"/>
        <w:rPr>
          <w:rFonts w:cs="Arial"/>
          <w:sz w:val="24"/>
        </w:rPr>
      </w:pPr>
    </w:p>
    <w:p w14:paraId="30457FB6" w14:textId="36B97B0A" w:rsidR="003A1A6A" w:rsidRDefault="00275735" w:rsidP="006E65CF">
      <w:pPr>
        <w:pStyle w:val="ListParagraph"/>
        <w:tabs>
          <w:tab w:val="right" w:pos="8647"/>
        </w:tabs>
        <w:ind w:left="0"/>
        <w:rPr>
          <w:rFonts w:cs="Arial"/>
          <w:sz w:val="24"/>
        </w:rPr>
      </w:pPr>
      <w:r w:rsidRPr="000B4788">
        <w:rPr>
          <w:rFonts w:cs="Arial"/>
          <w:sz w:val="24"/>
        </w:rPr>
        <w:t>COUNSEL</w:t>
      </w:r>
      <w:r w:rsidR="003A1A6A" w:rsidRPr="000B4788">
        <w:rPr>
          <w:rFonts w:cs="Arial"/>
          <w:sz w:val="24"/>
        </w:rPr>
        <w:t xml:space="preserve"> FOR THE </w:t>
      </w:r>
      <w:r w:rsidR="004F1F8E">
        <w:rPr>
          <w:rFonts w:cs="Arial"/>
          <w:sz w:val="24"/>
        </w:rPr>
        <w:t>APP</w:t>
      </w:r>
      <w:r w:rsidR="00C21B73">
        <w:rPr>
          <w:rFonts w:cs="Arial"/>
          <w:sz w:val="24"/>
        </w:rPr>
        <w:t>LIC</w:t>
      </w:r>
      <w:r w:rsidR="004F1F8E">
        <w:rPr>
          <w:rFonts w:cs="Arial"/>
          <w:sz w:val="24"/>
        </w:rPr>
        <w:t>ANT</w:t>
      </w:r>
      <w:r w:rsidR="003A1A6A" w:rsidRPr="000B4788">
        <w:rPr>
          <w:rFonts w:cs="Arial"/>
          <w:sz w:val="24"/>
        </w:rPr>
        <w:t xml:space="preserve">: </w:t>
      </w:r>
      <w:r w:rsidR="003A1A6A" w:rsidRPr="000B4788">
        <w:rPr>
          <w:rFonts w:cs="Arial"/>
          <w:sz w:val="24"/>
        </w:rPr>
        <w:tab/>
      </w:r>
      <w:r w:rsidR="00670ECC">
        <w:rPr>
          <w:rFonts w:cs="Arial"/>
          <w:sz w:val="24"/>
        </w:rPr>
        <w:t>Mr G Kairinos SC</w:t>
      </w:r>
      <w:r w:rsidR="00AE5193">
        <w:rPr>
          <w:rFonts w:cs="Arial"/>
          <w:sz w:val="24"/>
        </w:rPr>
        <w:t>.</w:t>
      </w:r>
    </w:p>
    <w:p w14:paraId="75413325" w14:textId="77777777" w:rsidR="003A1A6A" w:rsidRPr="000B4788" w:rsidRDefault="003A1A6A" w:rsidP="006E65CF">
      <w:pPr>
        <w:pStyle w:val="ListParagraph"/>
        <w:tabs>
          <w:tab w:val="right" w:pos="0"/>
          <w:tab w:val="right" w:pos="8647"/>
        </w:tabs>
        <w:ind w:left="0"/>
        <w:rPr>
          <w:rFonts w:cs="Arial"/>
          <w:sz w:val="24"/>
        </w:rPr>
      </w:pPr>
    </w:p>
    <w:p w14:paraId="6153FDF6" w14:textId="2F74F67E" w:rsidR="003A1A6A" w:rsidRPr="000B4788" w:rsidRDefault="003A1A6A" w:rsidP="006E5FDA">
      <w:pPr>
        <w:pStyle w:val="ListParagraph"/>
        <w:tabs>
          <w:tab w:val="right" w:pos="8647"/>
        </w:tabs>
        <w:ind w:left="3119" w:hanging="3119"/>
        <w:jc w:val="left"/>
        <w:rPr>
          <w:rFonts w:cs="Arial"/>
          <w:sz w:val="24"/>
        </w:rPr>
      </w:pPr>
      <w:r w:rsidRPr="000B4788">
        <w:rPr>
          <w:rFonts w:cs="Arial"/>
          <w:sz w:val="24"/>
        </w:rPr>
        <w:t xml:space="preserve">INSTRUCTED BY: </w:t>
      </w:r>
      <w:r w:rsidRPr="000B4788">
        <w:rPr>
          <w:rFonts w:cs="Arial"/>
          <w:sz w:val="24"/>
        </w:rPr>
        <w:tab/>
      </w:r>
      <w:r w:rsidRPr="000B4788">
        <w:rPr>
          <w:rFonts w:cs="Arial"/>
          <w:sz w:val="24"/>
        </w:rPr>
        <w:tab/>
      </w:r>
      <w:r w:rsidR="00670ECC">
        <w:rPr>
          <w:rFonts w:cs="Arial"/>
          <w:sz w:val="24"/>
        </w:rPr>
        <w:t>Biccari Bollo Mariano Inc</w:t>
      </w:r>
      <w:r w:rsidR="00AE5193">
        <w:rPr>
          <w:rFonts w:cs="Arial"/>
          <w:sz w:val="24"/>
        </w:rPr>
        <w:t>.</w:t>
      </w:r>
    </w:p>
    <w:p w14:paraId="6E42B961" w14:textId="61B627F6" w:rsidR="003A1A6A" w:rsidRPr="000B4788" w:rsidRDefault="00AE5193" w:rsidP="006E65CF">
      <w:pPr>
        <w:pStyle w:val="ListParagraph"/>
        <w:tabs>
          <w:tab w:val="right" w:pos="0"/>
          <w:tab w:val="right" w:pos="8647"/>
        </w:tabs>
        <w:ind w:left="0"/>
        <w:rPr>
          <w:rFonts w:cs="Arial"/>
          <w:sz w:val="24"/>
        </w:rPr>
      </w:pPr>
      <w:r>
        <w:rPr>
          <w:rFonts w:cs="Arial"/>
          <w:sz w:val="24"/>
        </w:rPr>
        <w:t>.</w:t>
      </w:r>
    </w:p>
    <w:p w14:paraId="10CEB77A" w14:textId="6B664FFA" w:rsidR="003A1A6A" w:rsidRDefault="004E2E02" w:rsidP="006E65CF">
      <w:pPr>
        <w:pStyle w:val="ListParagraph"/>
        <w:tabs>
          <w:tab w:val="right" w:pos="0"/>
          <w:tab w:val="right" w:pos="8647"/>
        </w:tabs>
        <w:ind w:left="0"/>
        <w:rPr>
          <w:rFonts w:cs="Arial"/>
          <w:sz w:val="24"/>
        </w:rPr>
      </w:pPr>
      <w:r>
        <w:rPr>
          <w:rFonts w:cs="Arial"/>
          <w:sz w:val="24"/>
        </w:rPr>
        <w:t>COUNSEL FOR THE</w:t>
      </w:r>
      <w:r w:rsidR="003A1A6A" w:rsidRPr="000B4788">
        <w:rPr>
          <w:rFonts w:cs="Arial"/>
          <w:sz w:val="24"/>
        </w:rPr>
        <w:t xml:space="preserve"> </w:t>
      </w:r>
      <w:r w:rsidR="002D4722">
        <w:rPr>
          <w:rFonts w:cs="Arial"/>
          <w:sz w:val="24"/>
        </w:rPr>
        <w:t>RESPONDENT</w:t>
      </w:r>
      <w:r w:rsidR="003A1A6A" w:rsidRPr="000B4788">
        <w:rPr>
          <w:rFonts w:cs="Arial"/>
          <w:sz w:val="24"/>
        </w:rPr>
        <w:t xml:space="preserve">: </w:t>
      </w:r>
      <w:r w:rsidR="003A1A6A" w:rsidRPr="000B4788">
        <w:rPr>
          <w:rFonts w:cs="Arial"/>
          <w:sz w:val="24"/>
        </w:rPr>
        <w:tab/>
      </w:r>
      <w:r w:rsidR="00670ECC">
        <w:rPr>
          <w:rFonts w:cs="Arial"/>
          <w:sz w:val="24"/>
        </w:rPr>
        <w:t>Mr J M Hoffman</w:t>
      </w:r>
      <w:r w:rsidR="00AE5193">
        <w:rPr>
          <w:rFonts w:cs="Arial"/>
          <w:sz w:val="24"/>
        </w:rPr>
        <w:t>.</w:t>
      </w:r>
    </w:p>
    <w:p w14:paraId="656172E6" w14:textId="1EA327E8" w:rsidR="003A1A6A" w:rsidRPr="000B4788" w:rsidRDefault="003A1A6A" w:rsidP="006E65CF">
      <w:pPr>
        <w:pStyle w:val="ListParagraph"/>
        <w:tabs>
          <w:tab w:val="right" w:pos="0"/>
          <w:tab w:val="right" w:pos="8647"/>
        </w:tabs>
        <w:ind w:left="0"/>
        <w:rPr>
          <w:rFonts w:cs="Arial"/>
          <w:sz w:val="24"/>
        </w:rPr>
      </w:pPr>
    </w:p>
    <w:p w14:paraId="6681C881" w14:textId="294689F6" w:rsidR="003A1A6A" w:rsidRPr="000B4788" w:rsidRDefault="003A1A6A" w:rsidP="006E65CF">
      <w:pPr>
        <w:pStyle w:val="ListParagraph"/>
        <w:tabs>
          <w:tab w:val="right" w:pos="8647"/>
        </w:tabs>
        <w:ind w:left="0"/>
        <w:rPr>
          <w:rFonts w:cs="Arial"/>
          <w:sz w:val="24"/>
        </w:rPr>
      </w:pPr>
      <w:r w:rsidRPr="000B4788">
        <w:rPr>
          <w:rFonts w:cs="Arial"/>
          <w:sz w:val="24"/>
        </w:rPr>
        <w:t xml:space="preserve">INSTRUCTED BY: </w:t>
      </w:r>
      <w:r w:rsidRPr="000B4788">
        <w:rPr>
          <w:rFonts w:cs="Arial"/>
          <w:sz w:val="24"/>
        </w:rPr>
        <w:tab/>
      </w:r>
      <w:r w:rsidR="00670ECC">
        <w:rPr>
          <w:rFonts w:cs="Arial"/>
          <w:sz w:val="24"/>
        </w:rPr>
        <w:t>Swartz Weil Van der Merwe Greenberg Inc</w:t>
      </w:r>
      <w:r w:rsidR="00AE5193">
        <w:rPr>
          <w:rFonts w:cs="Arial"/>
          <w:sz w:val="24"/>
        </w:rPr>
        <w:t>.</w:t>
      </w:r>
    </w:p>
    <w:p w14:paraId="6843FC0D" w14:textId="77777777" w:rsidR="003301BC" w:rsidRPr="000B4788" w:rsidRDefault="003301BC" w:rsidP="006E65CF">
      <w:pPr>
        <w:pStyle w:val="ListParagraph"/>
        <w:tabs>
          <w:tab w:val="right" w:pos="8647"/>
        </w:tabs>
        <w:ind w:left="0"/>
        <w:rPr>
          <w:rFonts w:cs="Arial"/>
          <w:sz w:val="24"/>
        </w:rPr>
      </w:pPr>
    </w:p>
    <w:p w14:paraId="4487A30A" w14:textId="765F245E" w:rsidR="003A1A6A" w:rsidRPr="000B4788" w:rsidRDefault="003A1A6A" w:rsidP="006E65CF">
      <w:pPr>
        <w:pStyle w:val="ListParagraph"/>
        <w:tabs>
          <w:tab w:val="right" w:pos="0"/>
          <w:tab w:val="right" w:pos="8647"/>
        </w:tabs>
        <w:ind w:left="0"/>
        <w:rPr>
          <w:rFonts w:cs="Arial"/>
          <w:sz w:val="24"/>
        </w:rPr>
      </w:pPr>
      <w:r w:rsidRPr="000B4788">
        <w:rPr>
          <w:rFonts w:cs="Arial"/>
          <w:sz w:val="24"/>
        </w:rPr>
        <w:t xml:space="preserve">DATE OF </w:t>
      </w:r>
      <w:r w:rsidR="00272BBF" w:rsidRPr="000B4788">
        <w:rPr>
          <w:rFonts w:cs="Arial"/>
          <w:sz w:val="24"/>
        </w:rPr>
        <w:t xml:space="preserve">THE </w:t>
      </w:r>
      <w:r w:rsidR="000C7D50" w:rsidRPr="000B4788">
        <w:rPr>
          <w:rFonts w:cs="Arial"/>
          <w:sz w:val="24"/>
        </w:rPr>
        <w:t>HEARING</w:t>
      </w:r>
      <w:r w:rsidRPr="000B4788">
        <w:rPr>
          <w:rFonts w:cs="Arial"/>
          <w:sz w:val="24"/>
        </w:rPr>
        <w:t>:</w:t>
      </w:r>
      <w:r w:rsidRPr="000B4788">
        <w:rPr>
          <w:rFonts w:cs="Arial"/>
          <w:sz w:val="24"/>
        </w:rPr>
        <w:tab/>
      </w:r>
      <w:r w:rsidR="00670ECC">
        <w:rPr>
          <w:rFonts w:cs="Arial"/>
          <w:sz w:val="24"/>
        </w:rPr>
        <w:t>24 January 2022 &amp; 6 May 2022</w:t>
      </w:r>
      <w:r w:rsidR="00AE5193">
        <w:rPr>
          <w:rFonts w:cs="Arial"/>
          <w:sz w:val="24"/>
        </w:rPr>
        <w:t>.</w:t>
      </w:r>
    </w:p>
    <w:p w14:paraId="2286A00F" w14:textId="77777777" w:rsidR="003A1A6A" w:rsidRPr="000B4788" w:rsidRDefault="003A1A6A" w:rsidP="006E65CF">
      <w:pPr>
        <w:pStyle w:val="ListParagraph"/>
        <w:tabs>
          <w:tab w:val="right" w:pos="0"/>
          <w:tab w:val="right" w:pos="8647"/>
        </w:tabs>
        <w:ind w:left="0"/>
        <w:rPr>
          <w:rFonts w:cs="Arial"/>
          <w:sz w:val="24"/>
        </w:rPr>
      </w:pPr>
    </w:p>
    <w:p w14:paraId="21B728BB" w14:textId="793C4214" w:rsidR="003A1A6A" w:rsidRPr="000B4788" w:rsidRDefault="003A1A6A" w:rsidP="006E65CF">
      <w:pPr>
        <w:pStyle w:val="ListParagraph"/>
        <w:tabs>
          <w:tab w:val="right" w:pos="0"/>
          <w:tab w:val="right" w:pos="8647"/>
        </w:tabs>
        <w:ind w:left="0"/>
        <w:rPr>
          <w:rFonts w:cs="Arial"/>
          <w:sz w:val="24"/>
        </w:rPr>
      </w:pPr>
      <w:r w:rsidRPr="000B4788">
        <w:rPr>
          <w:rFonts w:cs="Arial"/>
          <w:sz w:val="24"/>
        </w:rPr>
        <w:t>DATE OF JUDGMENT:</w:t>
      </w:r>
      <w:r w:rsidRPr="000B4788">
        <w:rPr>
          <w:rFonts w:cs="Arial"/>
          <w:sz w:val="24"/>
        </w:rPr>
        <w:tab/>
      </w:r>
      <w:r w:rsidR="00AE5193">
        <w:rPr>
          <w:rFonts w:cs="Arial"/>
          <w:sz w:val="24"/>
        </w:rPr>
        <w:t>6</w:t>
      </w:r>
      <w:r w:rsidR="00670ECC">
        <w:rPr>
          <w:rFonts w:cs="Arial"/>
          <w:sz w:val="24"/>
        </w:rPr>
        <w:t xml:space="preserve"> December 2022</w:t>
      </w:r>
      <w:r w:rsidR="00AE5193">
        <w:rPr>
          <w:rFonts w:cs="Arial"/>
          <w:sz w:val="24"/>
        </w:rPr>
        <w:t>.</w:t>
      </w:r>
    </w:p>
    <w:sectPr w:rsidR="003A1A6A" w:rsidRPr="000B4788" w:rsidSect="00787DAE">
      <w:headerReference w:type="default" r:id="rId9"/>
      <w:pgSz w:w="11906" w:h="16838"/>
      <w:pgMar w:top="1440" w:right="1558"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676BB" w14:textId="77777777" w:rsidR="003E7CCF" w:rsidRDefault="003E7CCF">
      <w:r>
        <w:separator/>
      </w:r>
    </w:p>
  </w:endnote>
  <w:endnote w:type="continuationSeparator" w:id="0">
    <w:p w14:paraId="2C4013DE" w14:textId="77777777" w:rsidR="003E7CCF" w:rsidRDefault="003E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D377B" w14:textId="77777777" w:rsidR="003E7CCF" w:rsidRDefault="003E7CCF" w:rsidP="00927532">
      <w:pPr>
        <w:spacing w:line="240" w:lineRule="auto"/>
      </w:pPr>
      <w:r>
        <w:separator/>
      </w:r>
    </w:p>
  </w:footnote>
  <w:footnote w:type="continuationSeparator" w:id="0">
    <w:p w14:paraId="5DE89FDD" w14:textId="77777777" w:rsidR="003E7CCF" w:rsidRDefault="003E7CCF" w:rsidP="00927532">
      <w:pPr>
        <w:spacing w:line="240" w:lineRule="auto"/>
      </w:pPr>
      <w:r>
        <w:continuationSeparator/>
      </w:r>
    </w:p>
  </w:footnote>
  <w:footnote w:type="continuationNotice" w:id="1">
    <w:p w14:paraId="6A76AB72" w14:textId="77777777" w:rsidR="003E7CCF" w:rsidRDefault="003E7CCF" w:rsidP="00927532">
      <w:pPr>
        <w:spacing w:line="240" w:lineRule="auto"/>
      </w:pPr>
    </w:p>
  </w:footnote>
  <w:footnote w:id="2">
    <w:p w14:paraId="5A514B05" w14:textId="27E0A77C" w:rsidR="002B6742" w:rsidRPr="00C620B0" w:rsidRDefault="002B6742" w:rsidP="002B6742">
      <w:pPr>
        <w:pStyle w:val="FootnoteText"/>
        <w:rPr>
          <w:bCs/>
          <w:szCs w:val="22"/>
        </w:rPr>
      </w:pPr>
      <w:r>
        <w:rPr>
          <w:rStyle w:val="FootnoteReference"/>
        </w:rPr>
        <w:footnoteRef/>
      </w:r>
      <w:r>
        <w:t xml:space="preserve"> </w:t>
      </w:r>
      <w:r>
        <w:tab/>
      </w:r>
      <w:r>
        <w:rPr>
          <w:bCs/>
          <w:i/>
          <w:szCs w:val="22"/>
        </w:rPr>
        <w:t xml:space="preserve">Natal Joint Municipal Pension Fund v Endumeni Municipality </w:t>
      </w:r>
      <w:r>
        <w:rPr>
          <w:bCs/>
          <w:szCs w:val="22"/>
        </w:rPr>
        <w:t>2012 (4) SA 593 (SCA) (‘</w:t>
      </w:r>
      <w:r w:rsidRPr="00C620B0">
        <w:rPr>
          <w:bCs/>
          <w:i/>
          <w:szCs w:val="22"/>
        </w:rPr>
        <w:t>Endumeni</w:t>
      </w:r>
      <w:r w:rsidR="005C041B">
        <w:rPr>
          <w:bCs/>
          <w:szCs w:val="22"/>
        </w:rPr>
        <w:t>’) at paras 18 and 25 to 26</w:t>
      </w:r>
      <w:r w:rsidR="00B40421">
        <w:rPr>
          <w:bCs/>
          <w:szCs w:val="22"/>
        </w:rPr>
        <w:t>;</w:t>
      </w:r>
      <w:r w:rsidR="00B40421" w:rsidRPr="00B40421">
        <w:rPr>
          <w:bCs/>
          <w:i/>
          <w:szCs w:val="22"/>
        </w:rPr>
        <w:t xml:space="preserve"> </w:t>
      </w:r>
      <w:r w:rsidR="00B40421">
        <w:rPr>
          <w:bCs/>
          <w:i/>
          <w:szCs w:val="22"/>
        </w:rPr>
        <w:t xml:space="preserve">Road Traffic Management Corporation v Waymark Infotech (Pty) Ltd </w:t>
      </w:r>
      <w:r w:rsidR="00B40421">
        <w:rPr>
          <w:bCs/>
          <w:szCs w:val="22"/>
        </w:rPr>
        <w:t>2019 (5) SA 29 (CC)</w:t>
      </w:r>
      <w:r w:rsidR="00B40421">
        <w:rPr>
          <w:bCs/>
          <w:i/>
          <w:szCs w:val="22"/>
        </w:rPr>
        <w:t xml:space="preserve"> (‘Waymark’);</w:t>
      </w:r>
      <w:r w:rsidR="00B40421" w:rsidRPr="00B40421">
        <w:rPr>
          <w:bCs/>
          <w:i/>
          <w:szCs w:val="22"/>
        </w:rPr>
        <w:t xml:space="preserve"> </w:t>
      </w:r>
      <w:r w:rsidR="00B40421">
        <w:rPr>
          <w:bCs/>
          <w:i/>
          <w:szCs w:val="22"/>
        </w:rPr>
        <w:t xml:space="preserve">Airports Company South Africa v Big Five Duty Free (Pty) Ltd &amp; Others </w:t>
      </w:r>
      <w:r w:rsidR="00B40421">
        <w:rPr>
          <w:bCs/>
          <w:szCs w:val="22"/>
        </w:rPr>
        <w:t>2019 (5) SA 1 (CC) (‘</w:t>
      </w:r>
      <w:r w:rsidR="00B40421">
        <w:rPr>
          <w:bCs/>
          <w:i/>
          <w:szCs w:val="22"/>
        </w:rPr>
        <w:t>Big Five</w:t>
      </w:r>
      <w:r w:rsidR="005C041B">
        <w:rPr>
          <w:bCs/>
          <w:szCs w:val="22"/>
        </w:rPr>
        <w:t>’) at paras 29 and 30</w:t>
      </w:r>
      <w:r w:rsidR="00B40421">
        <w:rPr>
          <w:bCs/>
          <w:szCs w:val="22"/>
        </w:rPr>
        <w:t>.</w:t>
      </w:r>
    </w:p>
  </w:footnote>
  <w:footnote w:id="3">
    <w:p w14:paraId="6DAAC1C2" w14:textId="35C99EAB" w:rsidR="009569EE" w:rsidRPr="009569EE" w:rsidRDefault="009569EE">
      <w:pPr>
        <w:pStyle w:val="FootnoteText"/>
        <w:rPr>
          <w:lang w:val="en-GB"/>
        </w:rPr>
      </w:pPr>
      <w:r>
        <w:rPr>
          <w:rStyle w:val="FootnoteReference"/>
        </w:rPr>
        <w:footnoteRef/>
      </w:r>
      <w:r>
        <w:t xml:space="preserve"> </w:t>
      </w:r>
      <w:r>
        <w:rPr>
          <w:lang w:val="en-GB"/>
        </w:rPr>
        <w:tab/>
        <w:t>Id.</w:t>
      </w:r>
    </w:p>
  </w:footnote>
  <w:footnote w:id="4">
    <w:p w14:paraId="411793DD" w14:textId="1B9E9971" w:rsidR="009569EE" w:rsidRPr="00A2071A" w:rsidRDefault="009569EE" w:rsidP="009569EE">
      <w:pPr>
        <w:pStyle w:val="FootnoteText"/>
      </w:pPr>
      <w:r>
        <w:rPr>
          <w:rStyle w:val="FootnoteReference"/>
        </w:rPr>
        <w:footnoteRef/>
      </w:r>
      <w:r>
        <w:t xml:space="preserve"> </w:t>
      </w:r>
      <w:r>
        <w:tab/>
      </w:r>
      <w:r w:rsidR="00311241">
        <w:rPr>
          <w:bCs/>
          <w:i/>
          <w:szCs w:val="22"/>
        </w:rPr>
        <w:t xml:space="preserve">University of Johannesburg v Auckland Park Theological Seminary &amp; Another </w:t>
      </w:r>
      <w:r w:rsidR="00311241">
        <w:rPr>
          <w:bCs/>
          <w:szCs w:val="22"/>
        </w:rPr>
        <w:t>[2021] JDR 1151 (CC)</w:t>
      </w:r>
      <w:r w:rsidR="00311241" w:rsidRPr="00DA6EAD">
        <w:rPr>
          <w:i/>
        </w:rPr>
        <w:t xml:space="preserve"> </w:t>
      </w:r>
      <w:r w:rsidR="00311241">
        <w:rPr>
          <w:i/>
        </w:rPr>
        <w:t>(‘University of Johannesburg’)</w:t>
      </w:r>
      <w:r w:rsidR="00311241">
        <w:rPr>
          <w:bCs/>
          <w:szCs w:val="22"/>
        </w:rPr>
        <w:t xml:space="preserve"> </w:t>
      </w:r>
      <w:r w:rsidR="005C041B">
        <w:t>at para 65</w:t>
      </w:r>
      <w:r>
        <w:t>.</w:t>
      </w:r>
    </w:p>
  </w:footnote>
  <w:footnote w:id="5">
    <w:p w14:paraId="7F9B9EBA" w14:textId="177B119E" w:rsidR="00BB45A6" w:rsidRPr="00BB45A6" w:rsidRDefault="00BB45A6">
      <w:pPr>
        <w:pStyle w:val="FootnoteText"/>
        <w:rPr>
          <w:lang w:val="en-GB"/>
        </w:rPr>
      </w:pPr>
      <w:r>
        <w:rPr>
          <w:rStyle w:val="FootnoteReference"/>
        </w:rPr>
        <w:footnoteRef/>
      </w:r>
      <w:r>
        <w:t xml:space="preserve"> </w:t>
      </w:r>
      <w:r>
        <w:tab/>
      </w:r>
      <w:r>
        <w:rPr>
          <w:i/>
        </w:rPr>
        <w:t xml:space="preserve">University of Johannesburg </w:t>
      </w:r>
      <w:r w:rsidR="00741D72">
        <w:rPr>
          <w:i/>
        </w:rPr>
        <w:t>i</w:t>
      </w:r>
      <w:r>
        <w:rPr>
          <w:i/>
        </w:rPr>
        <w:t xml:space="preserve">d </w:t>
      </w:r>
      <w:r w:rsidR="005C041B">
        <w:t>at para 51</w:t>
      </w:r>
      <w:r>
        <w:t>.</w:t>
      </w:r>
    </w:p>
  </w:footnote>
  <w:footnote w:id="6">
    <w:p w14:paraId="18BA22D9" w14:textId="4AEB62BD" w:rsidR="00BB45A6" w:rsidRPr="004476BE" w:rsidRDefault="00BB45A6" w:rsidP="00BB45A6">
      <w:pPr>
        <w:pStyle w:val="FootnoteText"/>
      </w:pPr>
      <w:r>
        <w:rPr>
          <w:rStyle w:val="FootnoteReference"/>
        </w:rPr>
        <w:footnoteRef/>
      </w:r>
      <w:r>
        <w:t xml:space="preserve"> </w:t>
      </w:r>
      <w:r>
        <w:tab/>
      </w:r>
      <w:r>
        <w:rPr>
          <w:i/>
        </w:rPr>
        <w:t xml:space="preserve">Endumeni </w:t>
      </w:r>
      <w:r w:rsidR="00741D72">
        <w:t>note 1 above</w:t>
      </w:r>
      <w:r w:rsidR="00FB5C6E">
        <w:t xml:space="preserve"> at para 181</w:t>
      </w:r>
      <w:r>
        <w:t xml:space="preserve">; </w:t>
      </w:r>
      <w:r>
        <w:rPr>
          <w:i/>
        </w:rPr>
        <w:t xml:space="preserve">Gouws NNO &amp; Another v BBH Petroleum (Pty) Ltd </w:t>
      </w:r>
      <w:r w:rsidR="00FB5C6E">
        <w:t>2020 (4) SA 203 (GP) at para 32</w:t>
      </w:r>
      <w:r>
        <w:t>.</w:t>
      </w:r>
    </w:p>
  </w:footnote>
  <w:footnote w:id="7">
    <w:p w14:paraId="5A666F84" w14:textId="7CB8DE09" w:rsidR="002B6742" w:rsidRPr="0046759B" w:rsidRDefault="002B6742" w:rsidP="002B6742">
      <w:pPr>
        <w:pStyle w:val="FootnoteText"/>
      </w:pPr>
      <w:r>
        <w:rPr>
          <w:rStyle w:val="FootnoteReference"/>
        </w:rPr>
        <w:footnoteRef/>
      </w:r>
      <w:r>
        <w:t xml:space="preserve"> </w:t>
      </w:r>
      <w:r>
        <w:tab/>
      </w:r>
      <w:r>
        <w:rPr>
          <w:i/>
        </w:rPr>
        <w:t xml:space="preserve">The City of </w:t>
      </w:r>
      <w:r w:rsidRPr="0046759B">
        <w:rPr>
          <w:bCs/>
          <w:i/>
          <w:szCs w:val="22"/>
        </w:rPr>
        <w:t xml:space="preserve">Tshwane </w:t>
      </w:r>
      <w:r>
        <w:rPr>
          <w:bCs/>
          <w:i/>
          <w:szCs w:val="22"/>
        </w:rPr>
        <w:t>Metropolitan</w:t>
      </w:r>
      <w:r w:rsidR="00311241">
        <w:rPr>
          <w:bCs/>
          <w:i/>
          <w:szCs w:val="22"/>
        </w:rPr>
        <w:t xml:space="preserve"> Municipality</w:t>
      </w:r>
      <w:r w:rsidRPr="0046759B">
        <w:rPr>
          <w:bCs/>
          <w:i/>
          <w:szCs w:val="22"/>
        </w:rPr>
        <w:t xml:space="preserve"> v Bla</w:t>
      </w:r>
      <w:r>
        <w:rPr>
          <w:bCs/>
          <w:i/>
          <w:szCs w:val="22"/>
        </w:rPr>
        <w:t>i</w:t>
      </w:r>
      <w:r w:rsidRPr="0046759B">
        <w:rPr>
          <w:bCs/>
          <w:i/>
          <w:szCs w:val="22"/>
        </w:rPr>
        <w:t>r Athol</w:t>
      </w:r>
      <w:r>
        <w:rPr>
          <w:bCs/>
          <w:i/>
          <w:szCs w:val="22"/>
        </w:rPr>
        <w:t>l</w:t>
      </w:r>
      <w:r w:rsidRPr="0046759B">
        <w:rPr>
          <w:bCs/>
          <w:i/>
          <w:szCs w:val="22"/>
        </w:rPr>
        <w:t xml:space="preserve"> Homeowners Association</w:t>
      </w:r>
      <w:r>
        <w:rPr>
          <w:bCs/>
          <w:i/>
          <w:szCs w:val="22"/>
        </w:rPr>
        <w:t xml:space="preserve"> </w:t>
      </w:r>
      <w:r w:rsidR="00FB5C6E">
        <w:rPr>
          <w:bCs/>
          <w:szCs w:val="22"/>
        </w:rPr>
        <w:t>2019 (3) SA 398 (SCA) at paras 76 and 77.</w:t>
      </w:r>
    </w:p>
  </w:footnote>
  <w:footnote w:id="8">
    <w:p w14:paraId="26D105BA" w14:textId="5DAAEE9C" w:rsidR="002B6742" w:rsidRDefault="002B6742" w:rsidP="002B6742">
      <w:pPr>
        <w:pStyle w:val="FootnoteText"/>
      </w:pPr>
      <w:r>
        <w:rPr>
          <w:rStyle w:val="FootnoteReference"/>
        </w:rPr>
        <w:footnoteRef/>
      </w:r>
      <w:r>
        <w:t xml:space="preserve"> </w:t>
      </w:r>
      <w:r>
        <w:tab/>
      </w:r>
      <w:r w:rsidR="00741D72">
        <w:t>Id a</w:t>
      </w:r>
      <w:r w:rsidR="00FB5C6E">
        <w:t>t para 76.</w:t>
      </w:r>
    </w:p>
  </w:footnote>
  <w:footnote w:id="9">
    <w:p w14:paraId="5EB0B659" w14:textId="662FCFB9" w:rsidR="008C69F8" w:rsidRPr="00E66911" w:rsidRDefault="008C69F8" w:rsidP="008C69F8">
      <w:pPr>
        <w:pStyle w:val="FootnoteText"/>
        <w:rPr>
          <w:lang w:val="en-GB"/>
        </w:rPr>
      </w:pPr>
      <w:r>
        <w:rPr>
          <w:rStyle w:val="FootnoteReference"/>
        </w:rPr>
        <w:footnoteRef/>
      </w:r>
      <w:r>
        <w:t xml:space="preserve"> </w:t>
      </w:r>
      <w:r>
        <w:rPr>
          <w:lang w:val="en-GB"/>
        </w:rPr>
        <w:tab/>
      </w:r>
      <w:r w:rsidR="00E00AE7" w:rsidRPr="00E00AE7">
        <w:rPr>
          <w:bCs/>
          <w:i/>
        </w:rPr>
        <w:t>Capitec</w:t>
      </w:r>
      <w:r w:rsidR="00E00AE7">
        <w:rPr>
          <w:bCs/>
          <w:i/>
        </w:rPr>
        <w:t xml:space="preserve"> </w:t>
      </w:r>
      <w:r w:rsidR="00E00AE7" w:rsidRPr="00E00AE7">
        <w:rPr>
          <w:bCs/>
          <w:i/>
        </w:rPr>
        <w:t>Bank Holdings Ltd and another v Coral Lagoon Investments 194 (Pty) Ltd and Others</w:t>
      </w:r>
      <w:r w:rsidR="00E00AE7">
        <w:rPr>
          <w:bCs/>
          <w:i/>
        </w:rPr>
        <w:t xml:space="preserve"> </w:t>
      </w:r>
      <w:r w:rsidR="00E00AE7" w:rsidRPr="00E00AE7">
        <w:rPr>
          <w:bCs/>
        </w:rPr>
        <w:t>[2021] ZASCA 99 (09 July 2021) (‘</w:t>
      </w:r>
      <w:r w:rsidR="00E00AE7" w:rsidRPr="00E00AE7">
        <w:rPr>
          <w:bCs/>
          <w:i/>
        </w:rPr>
        <w:t>Capitec’</w:t>
      </w:r>
      <w:r w:rsidR="00E00AE7">
        <w:rPr>
          <w:bCs/>
          <w:i/>
        </w:rPr>
        <w:t>)</w:t>
      </w:r>
      <w:r w:rsidR="00E00AE7">
        <w:rPr>
          <w:lang w:val="en-GB"/>
        </w:rPr>
        <w:t xml:space="preserve"> </w:t>
      </w:r>
      <w:r w:rsidR="00BD683D">
        <w:rPr>
          <w:lang w:val="en-GB"/>
        </w:rPr>
        <w:t>at para 51.</w:t>
      </w:r>
    </w:p>
  </w:footnote>
  <w:footnote w:id="10">
    <w:p w14:paraId="7ED8DE17" w14:textId="625F2D32" w:rsidR="00C22004" w:rsidRPr="00C22004" w:rsidRDefault="00C22004">
      <w:pPr>
        <w:pStyle w:val="FootnoteText"/>
        <w:rPr>
          <w:lang w:val="en-GB"/>
        </w:rPr>
      </w:pPr>
      <w:r>
        <w:rPr>
          <w:rStyle w:val="FootnoteReference"/>
        </w:rPr>
        <w:footnoteRef/>
      </w:r>
      <w:r>
        <w:t xml:space="preserve"> </w:t>
      </w:r>
      <w:r w:rsidR="00BD683D">
        <w:tab/>
      </w:r>
      <w:r w:rsidR="00E00AE7" w:rsidRPr="00E00AE7">
        <w:t xml:space="preserve">Id </w:t>
      </w:r>
      <w:r w:rsidR="000E7126" w:rsidRPr="00E00AE7">
        <w:t>at para 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D9EA7" w14:textId="15096345" w:rsidR="0015006E" w:rsidRPr="00787DAE" w:rsidRDefault="0015006E" w:rsidP="00AB10F6">
    <w:pPr>
      <w:pStyle w:val="Header"/>
      <w:spacing w:line="276" w:lineRule="auto"/>
      <w:jc w:val="center"/>
      <w:rPr>
        <w:rStyle w:val="PageNumber"/>
        <w:rFonts w:cs="Arial"/>
        <w:sz w:val="20"/>
        <w:szCs w:val="20"/>
      </w:rPr>
    </w:pPr>
    <w:r w:rsidRPr="00787DAE">
      <w:rPr>
        <w:rStyle w:val="PageNumber"/>
        <w:rFonts w:cs="Arial"/>
        <w:sz w:val="20"/>
        <w:szCs w:val="20"/>
      </w:rPr>
      <w:fldChar w:fldCharType="begin"/>
    </w:r>
    <w:r w:rsidRPr="00787DAE">
      <w:rPr>
        <w:rStyle w:val="PageNumber"/>
        <w:rFonts w:cs="Arial"/>
        <w:sz w:val="20"/>
        <w:szCs w:val="20"/>
      </w:rPr>
      <w:instrText xml:space="preserve"> PAGE </w:instrText>
    </w:r>
    <w:r w:rsidRPr="00787DAE">
      <w:rPr>
        <w:rStyle w:val="PageNumber"/>
        <w:rFonts w:cs="Arial"/>
        <w:sz w:val="20"/>
        <w:szCs w:val="20"/>
      </w:rPr>
      <w:fldChar w:fldCharType="separate"/>
    </w:r>
    <w:r w:rsidR="001D0AD4">
      <w:rPr>
        <w:rStyle w:val="PageNumber"/>
        <w:rFonts w:cs="Arial"/>
        <w:noProof/>
        <w:sz w:val="20"/>
        <w:szCs w:val="20"/>
      </w:rPr>
      <w:t>8</w:t>
    </w:r>
    <w:r w:rsidRPr="00787DAE">
      <w:rPr>
        <w:rStyle w:val="PageNumber"/>
        <w:rFonts w:cs="Arial"/>
        <w:sz w:val="20"/>
        <w:szCs w:val="20"/>
      </w:rPr>
      <w:fldChar w:fldCharType="end"/>
    </w:r>
  </w:p>
  <w:p w14:paraId="71FC3EA3" w14:textId="77777777" w:rsidR="0015006E" w:rsidRDefault="0015006E" w:rsidP="00787DAE">
    <w:pPr>
      <w:pStyle w:val="Header"/>
      <w:spacing w:line="276" w:lineRule="auto"/>
      <w:jc w:val="right"/>
      <w:rPr>
        <w:rFonts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7171"/>
    <w:multiLevelType w:val="hybridMultilevel"/>
    <w:tmpl w:val="F1EEE7A4"/>
    <w:lvl w:ilvl="0" w:tplc="062C0F44">
      <w:start w:val="1"/>
      <w:numFmt w:val="decimal"/>
      <w:lvlText w:val="%1."/>
      <w:lvlJc w:val="left"/>
      <w:pPr>
        <w:ind w:left="2295" w:hanging="855"/>
      </w:pPr>
      <w:rPr>
        <w:rFonts w:hint="default"/>
      </w:r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04E20156"/>
    <w:multiLevelType w:val="multilevel"/>
    <w:tmpl w:val="447A6CB2"/>
    <w:lvl w:ilvl="0">
      <w:start w:val="1"/>
      <w:numFmt w:val="decimal"/>
      <w:lvlText w:val="%1."/>
      <w:lvlJc w:val="left"/>
      <w:pPr>
        <w:tabs>
          <w:tab w:val="num" w:pos="1440"/>
        </w:tabs>
        <w:ind w:left="1440" w:hanging="720"/>
      </w:pPr>
      <w:rPr>
        <w:rFonts w:ascii="Arial" w:hAnsi="Arial" w:hint="default"/>
        <w:b w:val="0"/>
        <w:i w:val="0"/>
        <w:caps w:val="0"/>
        <w:strike w:val="0"/>
        <w:dstrike w:val="0"/>
        <w:vanish w:val="0"/>
        <w:color w:val="auto"/>
        <w:sz w:val="24"/>
        <w:vertAlign w:val="baseline"/>
      </w:rPr>
    </w:lvl>
    <w:lvl w:ilvl="1">
      <w:start w:val="1"/>
      <w:numFmt w:val="decimal"/>
      <w:lvlText w:val="%1.%2."/>
      <w:lvlJc w:val="left"/>
      <w:pPr>
        <w:tabs>
          <w:tab w:val="num" w:pos="2160"/>
        </w:tabs>
        <w:ind w:left="2160" w:hanging="720"/>
      </w:pPr>
      <w:rPr>
        <w:rFonts w:ascii="Arial" w:hAnsi="Arial" w:hint="default"/>
        <w:b w:val="0"/>
        <w:i w:val="0"/>
        <w:sz w:val="24"/>
      </w:rPr>
    </w:lvl>
    <w:lvl w:ilvl="2">
      <w:start w:val="1"/>
      <w:numFmt w:val="decimal"/>
      <w:lvlText w:val="%1.%2.%3."/>
      <w:lvlJc w:val="left"/>
      <w:pPr>
        <w:tabs>
          <w:tab w:val="num" w:pos="3168"/>
        </w:tabs>
        <w:ind w:left="3168" w:hanging="1008"/>
      </w:pPr>
      <w:rPr>
        <w:rFonts w:hint="default"/>
        <w:b w:val="0"/>
        <w:i w:val="0"/>
        <w:color w:val="auto"/>
      </w:rPr>
    </w:lvl>
    <w:lvl w:ilvl="3">
      <w:start w:val="1"/>
      <w:numFmt w:val="decimal"/>
      <w:lvlText w:val="%1.%2.%3.%4."/>
      <w:lvlJc w:val="left"/>
      <w:pPr>
        <w:tabs>
          <w:tab w:val="num" w:pos="4320"/>
        </w:tabs>
        <w:ind w:left="4320" w:hanging="1152"/>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0C8A3626"/>
    <w:multiLevelType w:val="hybridMultilevel"/>
    <w:tmpl w:val="584A79DC"/>
    <w:lvl w:ilvl="0" w:tplc="17D2194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16B95E41"/>
    <w:multiLevelType w:val="hybridMultilevel"/>
    <w:tmpl w:val="E1541700"/>
    <w:lvl w:ilvl="0" w:tplc="C324D438">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5" w15:restartNumberingAfterBreak="0">
    <w:nsid w:val="1C7C685E"/>
    <w:multiLevelType w:val="hybridMultilevel"/>
    <w:tmpl w:val="7AD0225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2942F82"/>
    <w:multiLevelType w:val="hybridMultilevel"/>
    <w:tmpl w:val="B2BC4AF4"/>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26956DF0"/>
    <w:multiLevelType w:val="multilevel"/>
    <w:tmpl w:val="13B0865E"/>
    <w:lvl w:ilvl="0">
      <w:start w:val="1"/>
      <w:numFmt w:val="decimal"/>
      <w:lvlText w:val="%1."/>
      <w:lvlJc w:val="left"/>
      <w:pPr>
        <w:tabs>
          <w:tab w:val="num" w:pos="1418"/>
        </w:tabs>
        <w:ind w:left="1418" w:hanging="567"/>
      </w:pPr>
      <w:rPr>
        <w:rFonts w:hint="default"/>
      </w:rPr>
    </w:lvl>
    <w:lvl w:ilvl="1">
      <w:start w:val="1"/>
      <w:numFmt w:val="decimal"/>
      <w:lvlText w:val="%1.%2."/>
      <w:lvlJc w:val="left"/>
      <w:pPr>
        <w:tabs>
          <w:tab w:val="num" w:pos="2268"/>
        </w:tabs>
        <w:ind w:left="2268" w:hanging="850"/>
      </w:pPr>
      <w:rPr>
        <w:rFonts w:hint="default"/>
      </w:rPr>
    </w:lvl>
    <w:lvl w:ilvl="2">
      <w:start w:val="1"/>
      <w:numFmt w:val="decimal"/>
      <w:lvlText w:val="%1.%2.%3."/>
      <w:lvlJc w:val="left"/>
      <w:pPr>
        <w:ind w:left="3402"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7DC65C1"/>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FFC1874"/>
    <w:multiLevelType w:val="multilevel"/>
    <w:tmpl w:val="C66CA29C"/>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31A4254C"/>
    <w:multiLevelType w:val="multilevel"/>
    <w:tmpl w:val="1C09001F"/>
    <w:lvl w:ilvl="0">
      <w:start w:val="1"/>
      <w:numFmt w:val="decimal"/>
      <w:lvlText w:val="%1."/>
      <w:lvlJc w:val="left"/>
      <w:pPr>
        <w:ind w:left="1080" w:hanging="360"/>
      </w:pPr>
      <w:rPr>
        <w:rFonts w:hint="default"/>
        <w:b w:val="0"/>
        <w:i w:val="0"/>
        <w:caps w:val="0"/>
        <w:strike w:val="0"/>
        <w:dstrike w:val="0"/>
        <w:vanish w:val="0"/>
        <w:color w:val="auto"/>
        <w:sz w:val="24"/>
        <w:vertAlign w:val="baseline"/>
      </w:rPr>
    </w:lvl>
    <w:lvl w:ilvl="1">
      <w:start w:val="1"/>
      <w:numFmt w:val="decimal"/>
      <w:lvlText w:val="%1.%2."/>
      <w:lvlJc w:val="left"/>
      <w:pPr>
        <w:ind w:left="1512" w:hanging="432"/>
      </w:pPr>
      <w:rPr>
        <w:rFonts w:hint="default"/>
        <w:b w:val="0"/>
        <w:i w:val="0"/>
        <w:sz w:val="24"/>
      </w:rPr>
    </w:lvl>
    <w:lvl w:ilvl="2">
      <w:start w:val="1"/>
      <w:numFmt w:val="decimal"/>
      <w:lvlText w:val="%1.%2.%3."/>
      <w:lvlJc w:val="left"/>
      <w:pPr>
        <w:ind w:left="1944" w:hanging="504"/>
      </w:pPr>
      <w:rPr>
        <w:rFonts w:hint="default"/>
        <w:b w:val="0"/>
        <w:i w:val="0"/>
        <w:color w:val="auto"/>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1" w15:restartNumberingAfterBreak="0">
    <w:nsid w:val="3CC33A30"/>
    <w:multiLevelType w:val="multilevel"/>
    <w:tmpl w:val="AAB09DC2"/>
    <w:lvl w:ilvl="0">
      <w:start w:val="1"/>
      <w:numFmt w:val="decimal"/>
      <w:lvlText w:val="[%1]"/>
      <w:lvlJc w:val="left"/>
      <w:pPr>
        <w:tabs>
          <w:tab w:val="num" w:pos="567"/>
        </w:tabs>
        <w:ind w:left="0" w:firstLine="0"/>
      </w:pPr>
      <w:rPr>
        <w:rFonts w:hint="default"/>
        <w:b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3D2D2F04"/>
    <w:multiLevelType w:val="multilevel"/>
    <w:tmpl w:val="EA405ECC"/>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3" w15:restartNumberingAfterBreak="0">
    <w:nsid w:val="4BB345E5"/>
    <w:multiLevelType w:val="multilevel"/>
    <w:tmpl w:val="5E5A0D06"/>
    <w:lvl w:ilvl="0">
      <w:start w:val="1"/>
      <w:numFmt w:val="decimal"/>
      <w:lvlText w:val="%1."/>
      <w:lvlJc w:val="left"/>
      <w:pPr>
        <w:tabs>
          <w:tab w:val="num" w:pos="1134"/>
        </w:tabs>
        <w:ind w:left="1701" w:hanging="567"/>
      </w:pPr>
      <w:rPr>
        <w:rFonts w:hint="default"/>
      </w:rPr>
    </w:lvl>
    <w:lvl w:ilvl="1">
      <w:start w:val="1"/>
      <w:numFmt w:val="decimal"/>
      <w:lvlText w:val="%1.%2."/>
      <w:lvlJc w:val="left"/>
      <w:pPr>
        <w:tabs>
          <w:tab w:val="num" w:pos="1701"/>
        </w:tabs>
        <w:ind w:left="2552" w:hanging="851"/>
      </w:pPr>
      <w:rPr>
        <w:rFonts w:hint="default"/>
      </w:rPr>
    </w:lvl>
    <w:lvl w:ilvl="2">
      <w:start w:val="1"/>
      <w:numFmt w:val="decimal"/>
      <w:lvlText w:val="%1.%2.%3."/>
      <w:lvlJc w:val="left"/>
      <w:pPr>
        <w:ind w:left="3402" w:hanging="85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12B7E4E"/>
    <w:multiLevelType w:val="multilevel"/>
    <w:tmpl w:val="1C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5" w15:restartNumberingAfterBreak="0">
    <w:nsid w:val="69EC6303"/>
    <w:multiLevelType w:val="multilevel"/>
    <w:tmpl w:val="F536B12A"/>
    <w:lvl w:ilvl="0">
      <w:start w:val="1"/>
      <w:numFmt w:val="decimal"/>
      <w:lvlText w:val="%1."/>
      <w:lvlJc w:val="left"/>
      <w:pPr>
        <w:ind w:left="1418" w:hanging="491"/>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6" w15:restartNumberingAfterBreak="0">
    <w:nsid w:val="6A365E77"/>
    <w:multiLevelType w:val="multilevel"/>
    <w:tmpl w:val="53A0B3D6"/>
    <w:lvl w:ilvl="0">
      <w:start w:val="1"/>
      <w:numFmt w:val="decimal"/>
      <w:lvlText w:val="%1."/>
      <w:lvlJc w:val="left"/>
      <w:pPr>
        <w:ind w:left="1701"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F927E5D"/>
    <w:multiLevelType w:val="hybridMultilevel"/>
    <w:tmpl w:val="A6383A18"/>
    <w:lvl w:ilvl="0" w:tplc="81145B1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75DB1773"/>
    <w:multiLevelType w:val="hybridMultilevel"/>
    <w:tmpl w:val="B64630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D9B0310"/>
    <w:multiLevelType w:val="multilevel"/>
    <w:tmpl w:val="2F5A01A6"/>
    <w:lvl w:ilvl="0">
      <w:start w:val="1"/>
      <w:numFmt w:val="decimal"/>
      <w:lvlText w:val="%1."/>
      <w:lvlJc w:val="left"/>
      <w:pPr>
        <w:tabs>
          <w:tab w:val="num" w:pos="1134"/>
        </w:tabs>
        <w:ind w:left="1701" w:hanging="567"/>
      </w:pPr>
      <w:rPr>
        <w:rFonts w:hint="default"/>
      </w:rPr>
    </w:lvl>
    <w:lvl w:ilvl="1">
      <w:start w:val="1"/>
      <w:numFmt w:val="lowerLetter"/>
      <w:lvlText w:val="%2."/>
      <w:lvlJc w:val="left"/>
      <w:pPr>
        <w:ind w:left="2268"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DC12D02"/>
    <w:multiLevelType w:val="multilevel"/>
    <w:tmpl w:val="535ED770"/>
    <w:lvl w:ilvl="0">
      <w:start w:val="1"/>
      <w:numFmt w:val="decimal"/>
      <w:lvlText w:val="%1."/>
      <w:lvlJc w:val="left"/>
      <w:pPr>
        <w:ind w:left="1134" w:hanging="414"/>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num w:numId="1" w16cid:durableId="1089698098">
    <w:abstractNumId w:val="9"/>
  </w:num>
  <w:num w:numId="2" w16cid:durableId="954405009">
    <w:abstractNumId w:val="2"/>
  </w:num>
  <w:num w:numId="3" w16cid:durableId="13361804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36073604">
    <w:abstractNumId w:val="3"/>
  </w:num>
  <w:num w:numId="5" w16cid:durableId="964039070">
    <w:abstractNumId w:val="11"/>
  </w:num>
  <w:num w:numId="6" w16cid:durableId="1099713143">
    <w:abstractNumId w:val="6"/>
  </w:num>
  <w:num w:numId="7" w16cid:durableId="284848883">
    <w:abstractNumId w:val="10"/>
  </w:num>
  <w:num w:numId="8" w16cid:durableId="1926064190">
    <w:abstractNumId w:val="1"/>
  </w:num>
  <w:num w:numId="9" w16cid:durableId="531499165">
    <w:abstractNumId w:val="0"/>
  </w:num>
  <w:num w:numId="10" w16cid:durableId="1876230566">
    <w:abstractNumId w:val="20"/>
  </w:num>
  <w:num w:numId="11" w16cid:durableId="615716366">
    <w:abstractNumId w:val="15"/>
  </w:num>
  <w:num w:numId="12" w16cid:durableId="41906585">
    <w:abstractNumId w:val="8"/>
  </w:num>
  <w:num w:numId="13" w16cid:durableId="268238899">
    <w:abstractNumId w:val="12"/>
  </w:num>
  <w:num w:numId="14" w16cid:durableId="939991917">
    <w:abstractNumId w:val="17"/>
  </w:num>
  <w:num w:numId="15" w16cid:durableId="1624341002">
    <w:abstractNumId w:val="18"/>
  </w:num>
  <w:num w:numId="16" w16cid:durableId="1709912475">
    <w:abstractNumId w:val="16"/>
  </w:num>
  <w:num w:numId="17" w16cid:durableId="1204714487">
    <w:abstractNumId w:val="5"/>
  </w:num>
  <w:num w:numId="18" w16cid:durableId="765229371">
    <w:abstractNumId w:val="7"/>
  </w:num>
  <w:num w:numId="19" w16cid:durableId="1311863198">
    <w:abstractNumId w:val="14"/>
  </w:num>
  <w:num w:numId="20" w16cid:durableId="1402830108">
    <w:abstractNumId w:val="19"/>
  </w:num>
  <w:num w:numId="21" w16cid:durableId="1380400643">
    <w:abstractNumId w:val="13"/>
  </w:num>
  <w:num w:numId="22" w16cid:durableId="11380651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62D"/>
    <w:rsid w:val="000008C8"/>
    <w:rsid w:val="00000A42"/>
    <w:rsid w:val="00000EF8"/>
    <w:rsid w:val="000014AB"/>
    <w:rsid w:val="00001C2B"/>
    <w:rsid w:val="00001D87"/>
    <w:rsid w:val="00001ED1"/>
    <w:rsid w:val="00001F37"/>
    <w:rsid w:val="00001F4A"/>
    <w:rsid w:val="00002019"/>
    <w:rsid w:val="00002A5A"/>
    <w:rsid w:val="00003B22"/>
    <w:rsid w:val="00004DCC"/>
    <w:rsid w:val="00005098"/>
    <w:rsid w:val="000054B3"/>
    <w:rsid w:val="00005559"/>
    <w:rsid w:val="00005FB2"/>
    <w:rsid w:val="00006217"/>
    <w:rsid w:val="00006488"/>
    <w:rsid w:val="000067E8"/>
    <w:rsid w:val="00006B0B"/>
    <w:rsid w:val="00006EF4"/>
    <w:rsid w:val="00006FB0"/>
    <w:rsid w:val="000075E6"/>
    <w:rsid w:val="00007649"/>
    <w:rsid w:val="00007A49"/>
    <w:rsid w:val="00007F4C"/>
    <w:rsid w:val="00010555"/>
    <w:rsid w:val="0001097C"/>
    <w:rsid w:val="00011B90"/>
    <w:rsid w:val="00011DA0"/>
    <w:rsid w:val="00012122"/>
    <w:rsid w:val="00012338"/>
    <w:rsid w:val="000138E7"/>
    <w:rsid w:val="00013C41"/>
    <w:rsid w:val="00015564"/>
    <w:rsid w:val="000159D0"/>
    <w:rsid w:val="000159E3"/>
    <w:rsid w:val="00015DF2"/>
    <w:rsid w:val="00016CAE"/>
    <w:rsid w:val="00017ADC"/>
    <w:rsid w:val="00017F38"/>
    <w:rsid w:val="00017FBE"/>
    <w:rsid w:val="000201F3"/>
    <w:rsid w:val="0002183E"/>
    <w:rsid w:val="000218D9"/>
    <w:rsid w:val="00022137"/>
    <w:rsid w:val="00022755"/>
    <w:rsid w:val="00022DBD"/>
    <w:rsid w:val="0002339D"/>
    <w:rsid w:val="0002429D"/>
    <w:rsid w:val="00024D9F"/>
    <w:rsid w:val="00025230"/>
    <w:rsid w:val="000257BF"/>
    <w:rsid w:val="00025F74"/>
    <w:rsid w:val="00027525"/>
    <w:rsid w:val="0002779C"/>
    <w:rsid w:val="00027A20"/>
    <w:rsid w:val="00027F96"/>
    <w:rsid w:val="0003016A"/>
    <w:rsid w:val="00030771"/>
    <w:rsid w:val="00031BEB"/>
    <w:rsid w:val="00032B62"/>
    <w:rsid w:val="00032B92"/>
    <w:rsid w:val="00032CBF"/>
    <w:rsid w:val="00033905"/>
    <w:rsid w:val="00033951"/>
    <w:rsid w:val="00033B8B"/>
    <w:rsid w:val="00033BB2"/>
    <w:rsid w:val="00033D58"/>
    <w:rsid w:val="00033D80"/>
    <w:rsid w:val="00033E4B"/>
    <w:rsid w:val="00034750"/>
    <w:rsid w:val="00034CA4"/>
    <w:rsid w:val="000368F0"/>
    <w:rsid w:val="00036C6F"/>
    <w:rsid w:val="0003747A"/>
    <w:rsid w:val="00040849"/>
    <w:rsid w:val="00041412"/>
    <w:rsid w:val="000417FB"/>
    <w:rsid w:val="00042147"/>
    <w:rsid w:val="000424CF"/>
    <w:rsid w:val="00042F90"/>
    <w:rsid w:val="00043428"/>
    <w:rsid w:val="00043BD9"/>
    <w:rsid w:val="00043FBC"/>
    <w:rsid w:val="00044931"/>
    <w:rsid w:val="00045632"/>
    <w:rsid w:val="00045833"/>
    <w:rsid w:val="00045E98"/>
    <w:rsid w:val="00045F4F"/>
    <w:rsid w:val="000465C5"/>
    <w:rsid w:val="00046D39"/>
    <w:rsid w:val="00046D4B"/>
    <w:rsid w:val="00046DA1"/>
    <w:rsid w:val="00047CD9"/>
    <w:rsid w:val="00047D01"/>
    <w:rsid w:val="000504D1"/>
    <w:rsid w:val="00051CEC"/>
    <w:rsid w:val="00051E18"/>
    <w:rsid w:val="0005304A"/>
    <w:rsid w:val="000542E5"/>
    <w:rsid w:val="0005441F"/>
    <w:rsid w:val="000544E5"/>
    <w:rsid w:val="000548AD"/>
    <w:rsid w:val="000552D2"/>
    <w:rsid w:val="00055739"/>
    <w:rsid w:val="00055DEE"/>
    <w:rsid w:val="00056201"/>
    <w:rsid w:val="00057567"/>
    <w:rsid w:val="00057638"/>
    <w:rsid w:val="00057700"/>
    <w:rsid w:val="000610F7"/>
    <w:rsid w:val="00061E96"/>
    <w:rsid w:val="00063810"/>
    <w:rsid w:val="00063A5A"/>
    <w:rsid w:val="00063EDD"/>
    <w:rsid w:val="0006492B"/>
    <w:rsid w:val="00064C10"/>
    <w:rsid w:val="000656D7"/>
    <w:rsid w:val="000659AD"/>
    <w:rsid w:val="00065BC7"/>
    <w:rsid w:val="00066475"/>
    <w:rsid w:val="00066521"/>
    <w:rsid w:val="00066C39"/>
    <w:rsid w:val="00066D38"/>
    <w:rsid w:val="00067676"/>
    <w:rsid w:val="0006773F"/>
    <w:rsid w:val="000677A9"/>
    <w:rsid w:val="000678A4"/>
    <w:rsid w:val="00067B41"/>
    <w:rsid w:val="000701D2"/>
    <w:rsid w:val="000705F3"/>
    <w:rsid w:val="0007071E"/>
    <w:rsid w:val="00070B87"/>
    <w:rsid w:val="00071C87"/>
    <w:rsid w:val="00071CED"/>
    <w:rsid w:val="00072209"/>
    <w:rsid w:val="00072880"/>
    <w:rsid w:val="00072E6A"/>
    <w:rsid w:val="00073083"/>
    <w:rsid w:val="00073173"/>
    <w:rsid w:val="000736CC"/>
    <w:rsid w:val="00073A15"/>
    <w:rsid w:val="00073B67"/>
    <w:rsid w:val="00074EFC"/>
    <w:rsid w:val="00075846"/>
    <w:rsid w:val="00075E90"/>
    <w:rsid w:val="00075EF8"/>
    <w:rsid w:val="00076993"/>
    <w:rsid w:val="00076B87"/>
    <w:rsid w:val="00076FDD"/>
    <w:rsid w:val="000774B9"/>
    <w:rsid w:val="00077825"/>
    <w:rsid w:val="00077BE9"/>
    <w:rsid w:val="00080236"/>
    <w:rsid w:val="000807CA"/>
    <w:rsid w:val="00080D72"/>
    <w:rsid w:val="000815CC"/>
    <w:rsid w:val="000818E4"/>
    <w:rsid w:val="00082591"/>
    <w:rsid w:val="00082BBC"/>
    <w:rsid w:val="000846A3"/>
    <w:rsid w:val="00084DB1"/>
    <w:rsid w:val="000859AD"/>
    <w:rsid w:val="00085B09"/>
    <w:rsid w:val="00085F9F"/>
    <w:rsid w:val="00085FC0"/>
    <w:rsid w:val="00086D96"/>
    <w:rsid w:val="00087F42"/>
    <w:rsid w:val="000901A0"/>
    <w:rsid w:val="00091291"/>
    <w:rsid w:val="000920BA"/>
    <w:rsid w:val="00092D66"/>
    <w:rsid w:val="00093F4D"/>
    <w:rsid w:val="00093FBF"/>
    <w:rsid w:val="000942F8"/>
    <w:rsid w:val="0009496E"/>
    <w:rsid w:val="00094BC0"/>
    <w:rsid w:val="000958D3"/>
    <w:rsid w:val="000966A1"/>
    <w:rsid w:val="00096978"/>
    <w:rsid w:val="00096B38"/>
    <w:rsid w:val="00096E35"/>
    <w:rsid w:val="000971D5"/>
    <w:rsid w:val="00097375"/>
    <w:rsid w:val="0009746F"/>
    <w:rsid w:val="000974D9"/>
    <w:rsid w:val="00097B28"/>
    <w:rsid w:val="00097D61"/>
    <w:rsid w:val="000A01D1"/>
    <w:rsid w:val="000A0340"/>
    <w:rsid w:val="000A0765"/>
    <w:rsid w:val="000A14BA"/>
    <w:rsid w:val="000A304C"/>
    <w:rsid w:val="000A326D"/>
    <w:rsid w:val="000A3705"/>
    <w:rsid w:val="000A3911"/>
    <w:rsid w:val="000A3992"/>
    <w:rsid w:val="000A3BE6"/>
    <w:rsid w:val="000A43C8"/>
    <w:rsid w:val="000A4BCE"/>
    <w:rsid w:val="000A5083"/>
    <w:rsid w:val="000A5310"/>
    <w:rsid w:val="000A5691"/>
    <w:rsid w:val="000A5902"/>
    <w:rsid w:val="000A5CFF"/>
    <w:rsid w:val="000A5F6C"/>
    <w:rsid w:val="000A674D"/>
    <w:rsid w:val="000A75E3"/>
    <w:rsid w:val="000A7B46"/>
    <w:rsid w:val="000A7DB6"/>
    <w:rsid w:val="000B077F"/>
    <w:rsid w:val="000B1BB9"/>
    <w:rsid w:val="000B1D38"/>
    <w:rsid w:val="000B20BE"/>
    <w:rsid w:val="000B2260"/>
    <w:rsid w:val="000B233E"/>
    <w:rsid w:val="000B32E7"/>
    <w:rsid w:val="000B3AD7"/>
    <w:rsid w:val="000B4664"/>
    <w:rsid w:val="000B4788"/>
    <w:rsid w:val="000B5120"/>
    <w:rsid w:val="000B60D0"/>
    <w:rsid w:val="000B62E1"/>
    <w:rsid w:val="000B66C8"/>
    <w:rsid w:val="000B6AB6"/>
    <w:rsid w:val="000B73E6"/>
    <w:rsid w:val="000B7560"/>
    <w:rsid w:val="000B7740"/>
    <w:rsid w:val="000B7F2F"/>
    <w:rsid w:val="000C0E4C"/>
    <w:rsid w:val="000C11A2"/>
    <w:rsid w:val="000C1BCC"/>
    <w:rsid w:val="000C1C64"/>
    <w:rsid w:val="000C23CE"/>
    <w:rsid w:val="000C2F7E"/>
    <w:rsid w:val="000C340C"/>
    <w:rsid w:val="000C37A9"/>
    <w:rsid w:val="000C37B9"/>
    <w:rsid w:val="000C3E6D"/>
    <w:rsid w:val="000C54B8"/>
    <w:rsid w:val="000C6187"/>
    <w:rsid w:val="000C6459"/>
    <w:rsid w:val="000C671C"/>
    <w:rsid w:val="000C6929"/>
    <w:rsid w:val="000C7459"/>
    <w:rsid w:val="000C7977"/>
    <w:rsid w:val="000C79C6"/>
    <w:rsid w:val="000C7D50"/>
    <w:rsid w:val="000C7F43"/>
    <w:rsid w:val="000D102B"/>
    <w:rsid w:val="000D132A"/>
    <w:rsid w:val="000D1ECD"/>
    <w:rsid w:val="000D2CEB"/>
    <w:rsid w:val="000D2F06"/>
    <w:rsid w:val="000D3A78"/>
    <w:rsid w:val="000D3EE7"/>
    <w:rsid w:val="000D40E2"/>
    <w:rsid w:val="000D4BC5"/>
    <w:rsid w:val="000D4D04"/>
    <w:rsid w:val="000D512A"/>
    <w:rsid w:val="000D5462"/>
    <w:rsid w:val="000D60CB"/>
    <w:rsid w:val="000D65C9"/>
    <w:rsid w:val="000D67EE"/>
    <w:rsid w:val="000D7188"/>
    <w:rsid w:val="000D7AD3"/>
    <w:rsid w:val="000E0869"/>
    <w:rsid w:val="000E0B6E"/>
    <w:rsid w:val="000E0CCE"/>
    <w:rsid w:val="000E0F0F"/>
    <w:rsid w:val="000E110F"/>
    <w:rsid w:val="000E117E"/>
    <w:rsid w:val="000E1B5D"/>
    <w:rsid w:val="000E1B61"/>
    <w:rsid w:val="000E21A8"/>
    <w:rsid w:val="000E22D9"/>
    <w:rsid w:val="000E28D4"/>
    <w:rsid w:val="000E3933"/>
    <w:rsid w:val="000E462D"/>
    <w:rsid w:val="000E481A"/>
    <w:rsid w:val="000E4A0E"/>
    <w:rsid w:val="000E4BD3"/>
    <w:rsid w:val="000E4EE7"/>
    <w:rsid w:val="000E5617"/>
    <w:rsid w:val="000E5D15"/>
    <w:rsid w:val="000E5E2A"/>
    <w:rsid w:val="000E6538"/>
    <w:rsid w:val="000E6CFF"/>
    <w:rsid w:val="000E7126"/>
    <w:rsid w:val="000E7553"/>
    <w:rsid w:val="000E75BA"/>
    <w:rsid w:val="000E7B93"/>
    <w:rsid w:val="000E7BD3"/>
    <w:rsid w:val="000F041B"/>
    <w:rsid w:val="000F05C4"/>
    <w:rsid w:val="000F0969"/>
    <w:rsid w:val="000F1075"/>
    <w:rsid w:val="000F1C11"/>
    <w:rsid w:val="000F29F1"/>
    <w:rsid w:val="000F2AF9"/>
    <w:rsid w:val="000F2BA3"/>
    <w:rsid w:val="000F2EEA"/>
    <w:rsid w:val="000F2FE0"/>
    <w:rsid w:val="000F3157"/>
    <w:rsid w:val="000F3A4C"/>
    <w:rsid w:val="000F3E2A"/>
    <w:rsid w:val="000F4586"/>
    <w:rsid w:val="000F4B56"/>
    <w:rsid w:val="000F50ED"/>
    <w:rsid w:val="000F54D3"/>
    <w:rsid w:val="000F57D6"/>
    <w:rsid w:val="000F5D8D"/>
    <w:rsid w:val="000F66CF"/>
    <w:rsid w:val="000F686D"/>
    <w:rsid w:val="000F6ED1"/>
    <w:rsid w:val="000F75ED"/>
    <w:rsid w:val="0010088E"/>
    <w:rsid w:val="001017AA"/>
    <w:rsid w:val="00101811"/>
    <w:rsid w:val="0010191A"/>
    <w:rsid w:val="001026AC"/>
    <w:rsid w:val="00102832"/>
    <w:rsid w:val="00102A45"/>
    <w:rsid w:val="0010452B"/>
    <w:rsid w:val="00104818"/>
    <w:rsid w:val="00105D5A"/>
    <w:rsid w:val="001061C2"/>
    <w:rsid w:val="00106ED5"/>
    <w:rsid w:val="001074A3"/>
    <w:rsid w:val="00110198"/>
    <w:rsid w:val="00110911"/>
    <w:rsid w:val="00110B59"/>
    <w:rsid w:val="00110C9C"/>
    <w:rsid w:val="001119A7"/>
    <w:rsid w:val="00111FA0"/>
    <w:rsid w:val="0011218E"/>
    <w:rsid w:val="0011232E"/>
    <w:rsid w:val="00112648"/>
    <w:rsid w:val="00112796"/>
    <w:rsid w:val="00112E3E"/>
    <w:rsid w:val="00112FA3"/>
    <w:rsid w:val="00113782"/>
    <w:rsid w:val="00113984"/>
    <w:rsid w:val="001145A5"/>
    <w:rsid w:val="001164AF"/>
    <w:rsid w:val="00117303"/>
    <w:rsid w:val="00117F01"/>
    <w:rsid w:val="00120A5D"/>
    <w:rsid w:val="00120B19"/>
    <w:rsid w:val="001211F9"/>
    <w:rsid w:val="0012138A"/>
    <w:rsid w:val="00122AF9"/>
    <w:rsid w:val="001236DB"/>
    <w:rsid w:val="00124028"/>
    <w:rsid w:val="00124235"/>
    <w:rsid w:val="001246AF"/>
    <w:rsid w:val="001249F8"/>
    <w:rsid w:val="00124A80"/>
    <w:rsid w:val="00125C9C"/>
    <w:rsid w:val="00125F30"/>
    <w:rsid w:val="001277E1"/>
    <w:rsid w:val="001301CC"/>
    <w:rsid w:val="00130561"/>
    <w:rsid w:val="00130946"/>
    <w:rsid w:val="00131080"/>
    <w:rsid w:val="00131AB6"/>
    <w:rsid w:val="00131D0D"/>
    <w:rsid w:val="0013226D"/>
    <w:rsid w:val="0013320B"/>
    <w:rsid w:val="00133C40"/>
    <w:rsid w:val="00134210"/>
    <w:rsid w:val="00135CEF"/>
    <w:rsid w:val="00136787"/>
    <w:rsid w:val="00137139"/>
    <w:rsid w:val="00137B1B"/>
    <w:rsid w:val="00140568"/>
    <w:rsid w:val="00140FCD"/>
    <w:rsid w:val="001418F6"/>
    <w:rsid w:val="00141934"/>
    <w:rsid w:val="00143208"/>
    <w:rsid w:val="00143C72"/>
    <w:rsid w:val="0014511D"/>
    <w:rsid w:val="001454DF"/>
    <w:rsid w:val="00145C4D"/>
    <w:rsid w:val="00145F25"/>
    <w:rsid w:val="0014646E"/>
    <w:rsid w:val="0014686F"/>
    <w:rsid w:val="00146A5D"/>
    <w:rsid w:val="00146FE2"/>
    <w:rsid w:val="00147534"/>
    <w:rsid w:val="00147F0A"/>
    <w:rsid w:val="00147FCB"/>
    <w:rsid w:val="0015006E"/>
    <w:rsid w:val="0015043C"/>
    <w:rsid w:val="0015158E"/>
    <w:rsid w:val="001515C2"/>
    <w:rsid w:val="00151A5C"/>
    <w:rsid w:val="00151B60"/>
    <w:rsid w:val="00152144"/>
    <w:rsid w:val="001521BF"/>
    <w:rsid w:val="001522F0"/>
    <w:rsid w:val="00152374"/>
    <w:rsid w:val="0015346F"/>
    <w:rsid w:val="001539DC"/>
    <w:rsid w:val="001547DA"/>
    <w:rsid w:val="00154DFB"/>
    <w:rsid w:val="00155D72"/>
    <w:rsid w:val="001561ED"/>
    <w:rsid w:val="00156BE8"/>
    <w:rsid w:val="00156E6C"/>
    <w:rsid w:val="0015711A"/>
    <w:rsid w:val="00160C3A"/>
    <w:rsid w:val="00160CB0"/>
    <w:rsid w:val="00161306"/>
    <w:rsid w:val="00161774"/>
    <w:rsid w:val="00161DA6"/>
    <w:rsid w:val="001639B4"/>
    <w:rsid w:val="001659D0"/>
    <w:rsid w:val="00165B65"/>
    <w:rsid w:val="00165F5A"/>
    <w:rsid w:val="001663F8"/>
    <w:rsid w:val="00166C64"/>
    <w:rsid w:val="001670E1"/>
    <w:rsid w:val="001677D4"/>
    <w:rsid w:val="00167C60"/>
    <w:rsid w:val="001705DD"/>
    <w:rsid w:val="00170657"/>
    <w:rsid w:val="001708A2"/>
    <w:rsid w:val="00170A01"/>
    <w:rsid w:val="00170EF1"/>
    <w:rsid w:val="00170FFC"/>
    <w:rsid w:val="00171EEF"/>
    <w:rsid w:val="0017249D"/>
    <w:rsid w:val="001725DC"/>
    <w:rsid w:val="0017293F"/>
    <w:rsid w:val="001735DD"/>
    <w:rsid w:val="00174292"/>
    <w:rsid w:val="0017471E"/>
    <w:rsid w:val="00174FD4"/>
    <w:rsid w:val="0017613A"/>
    <w:rsid w:val="00176392"/>
    <w:rsid w:val="00176D66"/>
    <w:rsid w:val="001772A5"/>
    <w:rsid w:val="0017735D"/>
    <w:rsid w:val="001777F9"/>
    <w:rsid w:val="001801F6"/>
    <w:rsid w:val="00181867"/>
    <w:rsid w:val="00181A7A"/>
    <w:rsid w:val="00181D65"/>
    <w:rsid w:val="001820DE"/>
    <w:rsid w:val="001824A5"/>
    <w:rsid w:val="001824F4"/>
    <w:rsid w:val="00182B17"/>
    <w:rsid w:val="00182EE2"/>
    <w:rsid w:val="001833E3"/>
    <w:rsid w:val="00183791"/>
    <w:rsid w:val="00183EFE"/>
    <w:rsid w:val="00184B94"/>
    <w:rsid w:val="0018589B"/>
    <w:rsid w:val="00185948"/>
    <w:rsid w:val="00185EB4"/>
    <w:rsid w:val="001860A4"/>
    <w:rsid w:val="00186E6A"/>
    <w:rsid w:val="00187065"/>
    <w:rsid w:val="0018712C"/>
    <w:rsid w:val="0018731B"/>
    <w:rsid w:val="00187A23"/>
    <w:rsid w:val="001900C0"/>
    <w:rsid w:val="0019118A"/>
    <w:rsid w:val="0019145F"/>
    <w:rsid w:val="001920EA"/>
    <w:rsid w:val="00192438"/>
    <w:rsid w:val="001928D0"/>
    <w:rsid w:val="00192A71"/>
    <w:rsid w:val="00192CEE"/>
    <w:rsid w:val="00192D3B"/>
    <w:rsid w:val="00192FB3"/>
    <w:rsid w:val="001936C6"/>
    <w:rsid w:val="00193817"/>
    <w:rsid w:val="00193F44"/>
    <w:rsid w:val="0019591C"/>
    <w:rsid w:val="00196531"/>
    <w:rsid w:val="001978CD"/>
    <w:rsid w:val="00197E9D"/>
    <w:rsid w:val="001A0D6D"/>
    <w:rsid w:val="001A181F"/>
    <w:rsid w:val="001A185D"/>
    <w:rsid w:val="001A1F5C"/>
    <w:rsid w:val="001A211A"/>
    <w:rsid w:val="001A29BA"/>
    <w:rsid w:val="001A3F92"/>
    <w:rsid w:val="001A4019"/>
    <w:rsid w:val="001A4417"/>
    <w:rsid w:val="001A4535"/>
    <w:rsid w:val="001A677B"/>
    <w:rsid w:val="001A6CA8"/>
    <w:rsid w:val="001A7257"/>
    <w:rsid w:val="001B05B4"/>
    <w:rsid w:val="001B0826"/>
    <w:rsid w:val="001B087A"/>
    <w:rsid w:val="001B0DF5"/>
    <w:rsid w:val="001B0E6E"/>
    <w:rsid w:val="001B0ED8"/>
    <w:rsid w:val="001B118F"/>
    <w:rsid w:val="001B11A3"/>
    <w:rsid w:val="001B1D83"/>
    <w:rsid w:val="001B1EF2"/>
    <w:rsid w:val="001B2103"/>
    <w:rsid w:val="001B30EE"/>
    <w:rsid w:val="001B3D65"/>
    <w:rsid w:val="001B3E1D"/>
    <w:rsid w:val="001B6735"/>
    <w:rsid w:val="001B7144"/>
    <w:rsid w:val="001B78E5"/>
    <w:rsid w:val="001B7B42"/>
    <w:rsid w:val="001C0207"/>
    <w:rsid w:val="001C0390"/>
    <w:rsid w:val="001C0640"/>
    <w:rsid w:val="001C066F"/>
    <w:rsid w:val="001C06E4"/>
    <w:rsid w:val="001C0DA5"/>
    <w:rsid w:val="001C186E"/>
    <w:rsid w:val="001C1FBB"/>
    <w:rsid w:val="001C20ED"/>
    <w:rsid w:val="001C2207"/>
    <w:rsid w:val="001C264B"/>
    <w:rsid w:val="001C2908"/>
    <w:rsid w:val="001C3215"/>
    <w:rsid w:val="001C40D9"/>
    <w:rsid w:val="001C4D7F"/>
    <w:rsid w:val="001C508B"/>
    <w:rsid w:val="001C520D"/>
    <w:rsid w:val="001C53A3"/>
    <w:rsid w:val="001C5776"/>
    <w:rsid w:val="001C57B1"/>
    <w:rsid w:val="001C6472"/>
    <w:rsid w:val="001C6C89"/>
    <w:rsid w:val="001C749A"/>
    <w:rsid w:val="001D0863"/>
    <w:rsid w:val="001D0A15"/>
    <w:rsid w:val="001D0AD4"/>
    <w:rsid w:val="001D0B41"/>
    <w:rsid w:val="001D0DC9"/>
    <w:rsid w:val="001D0F50"/>
    <w:rsid w:val="001D11CD"/>
    <w:rsid w:val="001D12E9"/>
    <w:rsid w:val="001D18EE"/>
    <w:rsid w:val="001D29C7"/>
    <w:rsid w:val="001D3140"/>
    <w:rsid w:val="001D4425"/>
    <w:rsid w:val="001D470B"/>
    <w:rsid w:val="001D47C8"/>
    <w:rsid w:val="001D4E67"/>
    <w:rsid w:val="001D546C"/>
    <w:rsid w:val="001D5D3E"/>
    <w:rsid w:val="001D6026"/>
    <w:rsid w:val="001D6341"/>
    <w:rsid w:val="001D67A8"/>
    <w:rsid w:val="001D7B87"/>
    <w:rsid w:val="001E021E"/>
    <w:rsid w:val="001E03C3"/>
    <w:rsid w:val="001E143C"/>
    <w:rsid w:val="001E156C"/>
    <w:rsid w:val="001E221F"/>
    <w:rsid w:val="001E2530"/>
    <w:rsid w:val="001E316D"/>
    <w:rsid w:val="001E382C"/>
    <w:rsid w:val="001E394B"/>
    <w:rsid w:val="001E3C31"/>
    <w:rsid w:val="001E3E1F"/>
    <w:rsid w:val="001E4134"/>
    <w:rsid w:val="001E4B2F"/>
    <w:rsid w:val="001E4DB4"/>
    <w:rsid w:val="001E4E87"/>
    <w:rsid w:val="001E5E97"/>
    <w:rsid w:val="001E694F"/>
    <w:rsid w:val="001E714A"/>
    <w:rsid w:val="001E72B0"/>
    <w:rsid w:val="001E791E"/>
    <w:rsid w:val="001F044D"/>
    <w:rsid w:val="001F0548"/>
    <w:rsid w:val="001F07C9"/>
    <w:rsid w:val="001F0C9D"/>
    <w:rsid w:val="001F1401"/>
    <w:rsid w:val="001F1FAB"/>
    <w:rsid w:val="001F2002"/>
    <w:rsid w:val="001F25DE"/>
    <w:rsid w:val="001F29CC"/>
    <w:rsid w:val="001F2B93"/>
    <w:rsid w:val="001F326A"/>
    <w:rsid w:val="001F41B9"/>
    <w:rsid w:val="001F43F3"/>
    <w:rsid w:val="001F45A3"/>
    <w:rsid w:val="001F4D08"/>
    <w:rsid w:val="001F577B"/>
    <w:rsid w:val="001F5A15"/>
    <w:rsid w:val="001F5CEA"/>
    <w:rsid w:val="001F5D1C"/>
    <w:rsid w:val="001F6491"/>
    <w:rsid w:val="001F6807"/>
    <w:rsid w:val="001F7F7B"/>
    <w:rsid w:val="00202075"/>
    <w:rsid w:val="00203474"/>
    <w:rsid w:val="00203AE3"/>
    <w:rsid w:val="00204D01"/>
    <w:rsid w:val="0020513E"/>
    <w:rsid w:val="00205577"/>
    <w:rsid w:val="00205C6E"/>
    <w:rsid w:val="00205D02"/>
    <w:rsid w:val="00205DE8"/>
    <w:rsid w:val="00205FA5"/>
    <w:rsid w:val="00206393"/>
    <w:rsid w:val="00206E70"/>
    <w:rsid w:val="002070EB"/>
    <w:rsid w:val="00210399"/>
    <w:rsid w:val="002129DA"/>
    <w:rsid w:val="002130A3"/>
    <w:rsid w:val="002130F8"/>
    <w:rsid w:val="0021467E"/>
    <w:rsid w:val="002146A4"/>
    <w:rsid w:val="00214942"/>
    <w:rsid w:val="00214A36"/>
    <w:rsid w:val="0021536D"/>
    <w:rsid w:val="00215625"/>
    <w:rsid w:val="00215679"/>
    <w:rsid w:val="0021667B"/>
    <w:rsid w:val="00216CB7"/>
    <w:rsid w:val="002171B3"/>
    <w:rsid w:val="00220401"/>
    <w:rsid w:val="0022062B"/>
    <w:rsid w:val="00220798"/>
    <w:rsid w:val="0022087F"/>
    <w:rsid w:val="0022168A"/>
    <w:rsid w:val="002217AB"/>
    <w:rsid w:val="00221B2D"/>
    <w:rsid w:val="002233C3"/>
    <w:rsid w:val="002233ED"/>
    <w:rsid w:val="00223AA7"/>
    <w:rsid w:val="00224AA8"/>
    <w:rsid w:val="00225102"/>
    <w:rsid w:val="0022587C"/>
    <w:rsid w:val="0022643C"/>
    <w:rsid w:val="00226A78"/>
    <w:rsid w:val="0022707A"/>
    <w:rsid w:val="002275E5"/>
    <w:rsid w:val="00227EEF"/>
    <w:rsid w:val="00230A6E"/>
    <w:rsid w:val="00231AC4"/>
    <w:rsid w:val="00232827"/>
    <w:rsid w:val="00232E66"/>
    <w:rsid w:val="00233523"/>
    <w:rsid w:val="002338F0"/>
    <w:rsid w:val="00233934"/>
    <w:rsid w:val="002339FA"/>
    <w:rsid w:val="00233A86"/>
    <w:rsid w:val="00233E2F"/>
    <w:rsid w:val="00234A8F"/>
    <w:rsid w:val="00234F5C"/>
    <w:rsid w:val="00235167"/>
    <w:rsid w:val="00237261"/>
    <w:rsid w:val="0024022C"/>
    <w:rsid w:val="002409CB"/>
    <w:rsid w:val="00240C58"/>
    <w:rsid w:val="00241548"/>
    <w:rsid w:val="0024251F"/>
    <w:rsid w:val="00243F62"/>
    <w:rsid w:val="00244131"/>
    <w:rsid w:val="002444AB"/>
    <w:rsid w:val="00244CBB"/>
    <w:rsid w:val="002458F9"/>
    <w:rsid w:val="00246840"/>
    <w:rsid w:val="002476ED"/>
    <w:rsid w:val="00247B9E"/>
    <w:rsid w:val="00250378"/>
    <w:rsid w:val="00250BD9"/>
    <w:rsid w:val="002520C1"/>
    <w:rsid w:val="00252B87"/>
    <w:rsid w:val="00252ECC"/>
    <w:rsid w:val="0025308B"/>
    <w:rsid w:val="0025358C"/>
    <w:rsid w:val="00253DB2"/>
    <w:rsid w:val="00255177"/>
    <w:rsid w:val="002600FF"/>
    <w:rsid w:val="002606AE"/>
    <w:rsid w:val="00261AC4"/>
    <w:rsid w:val="00261C0E"/>
    <w:rsid w:val="0026232A"/>
    <w:rsid w:val="00262D1B"/>
    <w:rsid w:val="002634E8"/>
    <w:rsid w:val="00264485"/>
    <w:rsid w:val="0026512D"/>
    <w:rsid w:val="00265BBC"/>
    <w:rsid w:val="00265BE4"/>
    <w:rsid w:val="00265D7D"/>
    <w:rsid w:val="00265DEC"/>
    <w:rsid w:val="00266592"/>
    <w:rsid w:val="00266956"/>
    <w:rsid w:val="0026732D"/>
    <w:rsid w:val="002673B6"/>
    <w:rsid w:val="002675F7"/>
    <w:rsid w:val="00270C3D"/>
    <w:rsid w:val="002723E4"/>
    <w:rsid w:val="002725D0"/>
    <w:rsid w:val="00272BBF"/>
    <w:rsid w:val="00273767"/>
    <w:rsid w:val="002740B9"/>
    <w:rsid w:val="0027430B"/>
    <w:rsid w:val="0027521E"/>
    <w:rsid w:val="0027530E"/>
    <w:rsid w:val="00275735"/>
    <w:rsid w:val="00277BCD"/>
    <w:rsid w:val="00277C59"/>
    <w:rsid w:val="0028107E"/>
    <w:rsid w:val="00281E81"/>
    <w:rsid w:val="00282FDA"/>
    <w:rsid w:val="00283115"/>
    <w:rsid w:val="002844A5"/>
    <w:rsid w:val="002844B8"/>
    <w:rsid w:val="00284B17"/>
    <w:rsid w:val="00284D69"/>
    <w:rsid w:val="00284DC8"/>
    <w:rsid w:val="00284EAD"/>
    <w:rsid w:val="00285406"/>
    <w:rsid w:val="00285831"/>
    <w:rsid w:val="00285913"/>
    <w:rsid w:val="00285E50"/>
    <w:rsid w:val="002868F6"/>
    <w:rsid w:val="002869C6"/>
    <w:rsid w:val="002870D3"/>
    <w:rsid w:val="00290804"/>
    <w:rsid w:val="00291B61"/>
    <w:rsid w:val="00291CD6"/>
    <w:rsid w:val="00292EEE"/>
    <w:rsid w:val="002934FF"/>
    <w:rsid w:val="00293BC0"/>
    <w:rsid w:val="0029444C"/>
    <w:rsid w:val="002946B2"/>
    <w:rsid w:val="00295461"/>
    <w:rsid w:val="00295B9B"/>
    <w:rsid w:val="00295FBE"/>
    <w:rsid w:val="0029632B"/>
    <w:rsid w:val="002977A4"/>
    <w:rsid w:val="002A03BD"/>
    <w:rsid w:val="002A0C31"/>
    <w:rsid w:val="002A0D1A"/>
    <w:rsid w:val="002A19AA"/>
    <w:rsid w:val="002A1F85"/>
    <w:rsid w:val="002A2EFA"/>
    <w:rsid w:val="002A3037"/>
    <w:rsid w:val="002A3124"/>
    <w:rsid w:val="002A3288"/>
    <w:rsid w:val="002A3952"/>
    <w:rsid w:val="002A3D79"/>
    <w:rsid w:val="002A511C"/>
    <w:rsid w:val="002A66C9"/>
    <w:rsid w:val="002A6DC1"/>
    <w:rsid w:val="002A72AB"/>
    <w:rsid w:val="002A7FCE"/>
    <w:rsid w:val="002B0A52"/>
    <w:rsid w:val="002B0E5E"/>
    <w:rsid w:val="002B1444"/>
    <w:rsid w:val="002B17EF"/>
    <w:rsid w:val="002B1B08"/>
    <w:rsid w:val="002B1C11"/>
    <w:rsid w:val="002B1F93"/>
    <w:rsid w:val="002B255C"/>
    <w:rsid w:val="002B33D1"/>
    <w:rsid w:val="002B3A89"/>
    <w:rsid w:val="002B3BF0"/>
    <w:rsid w:val="002B415D"/>
    <w:rsid w:val="002B4EA7"/>
    <w:rsid w:val="002B5804"/>
    <w:rsid w:val="002B6279"/>
    <w:rsid w:val="002B66F3"/>
    <w:rsid w:val="002B6742"/>
    <w:rsid w:val="002B6AEB"/>
    <w:rsid w:val="002B7B1D"/>
    <w:rsid w:val="002C0527"/>
    <w:rsid w:val="002C079B"/>
    <w:rsid w:val="002C1012"/>
    <w:rsid w:val="002C1E67"/>
    <w:rsid w:val="002C2C33"/>
    <w:rsid w:val="002C385F"/>
    <w:rsid w:val="002C3CFF"/>
    <w:rsid w:val="002C419B"/>
    <w:rsid w:val="002C4732"/>
    <w:rsid w:val="002C5318"/>
    <w:rsid w:val="002D2DFD"/>
    <w:rsid w:val="002D4722"/>
    <w:rsid w:val="002D4B08"/>
    <w:rsid w:val="002D5225"/>
    <w:rsid w:val="002D5A1F"/>
    <w:rsid w:val="002D5FBF"/>
    <w:rsid w:val="002D6185"/>
    <w:rsid w:val="002D6B99"/>
    <w:rsid w:val="002D7FF7"/>
    <w:rsid w:val="002E0ECC"/>
    <w:rsid w:val="002E1CF5"/>
    <w:rsid w:val="002E1ECF"/>
    <w:rsid w:val="002E20F8"/>
    <w:rsid w:val="002E2D65"/>
    <w:rsid w:val="002E378F"/>
    <w:rsid w:val="002E3B48"/>
    <w:rsid w:val="002E4005"/>
    <w:rsid w:val="002E42CE"/>
    <w:rsid w:val="002E59C4"/>
    <w:rsid w:val="002E5C4B"/>
    <w:rsid w:val="002E5EE7"/>
    <w:rsid w:val="002E6155"/>
    <w:rsid w:val="002E63D5"/>
    <w:rsid w:val="002E6473"/>
    <w:rsid w:val="002E6A1F"/>
    <w:rsid w:val="002E6D7D"/>
    <w:rsid w:val="002E791D"/>
    <w:rsid w:val="002E7EF0"/>
    <w:rsid w:val="002F07FB"/>
    <w:rsid w:val="002F0C6B"/>
    <w:rsid w:val="002F0CD2"/>
    <w:rsid w:val="002F0D60"/>
    <w:rsid w:val="002F0DE8"/>
    <w:rsid w:val="002F12A0"/>
    <w:rsid w:val="002F1778"/>
    <w:rsid w:val="002F2397"/>
    <w:rsid w:val="002F3065"/>
    <w:rsid w:val="002F321E"/>
    <w:rsid w:val="002F36CF"/>
    <w:rsid w:val="002F39A0"/>
    <w:rsid w:val="002F5B33"/>
    <w:rsid w:val="002F5F15"/>
    <w:rsid w:val="002F6FAE"/>
    <w:rsid w:val="002F71CA"/>
    <w:rsid w:val="002F7CD9"/>
    <w:rsid w:val="00300BF6"/>
    <w:rsid w:val="00302630"/>
    <w:rsid w:val="00302692"/>
    <w:rsid w:val="00302D6C"/>
    <w:rsid w:val="00302F7A"/>
    <w:rsid w:val="0030314B"/>
    <w:rsid w:val="00303A19"/>
    <w:rsid w:val="00304381"/>
    <w:rsid w:val="003043D5"/>
    <w:rsid w:val="003043DC"/>
    <w:rsid w:val="00304C08"/>
    <w:rsid w:val="00304DE0"/>
    <w:rsid w:val="00305047"/>
    <w:rsid w:val="00305E04"/>
    <w:rsid w:val="00305F2C"/>
    <w:rsid w:val="003062F8"/>
    <w:rsid w:val="00307224"/>
    <w:rsid w:val="003072D7"/>
    <w:rsid w:val="00307686"/>
    <w:rsid w:val="00307DB8"/>
    <w:rsid w:val="00307EBB"/>
    <w:rsid w:val="00307F09"/>
    <w:rsid w:val="003103AD"/>
    <w:rsid w:val="003105AD"/>
    <w:rsid w:val="0031080C"/>
    <w:rsid w:val="003108ED"/>
    <w:rsid w:val="00310CD3"/>
    <w:rsid w:val="00311241"/>
    <w:rsid w:val="003126A3"/>
    <w:rsid w:val="00313096"/>
    <w:rsid w:val="003140C1"/>
    <w:rsid w:val="0031415A"/>
    <w:rsid w:val="003142DD"/>
    <w:rsid w:val="00314507"/>
    <w:rsid w:val="00314A10"/>
    <w:rsid w:val="00314AFE"/>
    <w:rsid w:val="00314BC2"/>
    <w:rsid w:val="00314F33"/>
    <w:rsid w:val="00316206"/>
    <w:rsid w:val="00316E45"/>
    <w:rsid w:val="00317125"/>
    <w:rsid w:val="00317F6B"/>
    <w:rsid w:val="003208E1"/>
    <w:rsid w:val="003210A4"/>
    <w:rsid w:val="00321329"/>
    <w:rsid w:val="00321CC5"/>
    <w:rsid w:val="00322F66"/>
    <w:rsid w:val="00323AD5"/>
    <w:rsid w:val="00323B4E"/>
    <w:rsid w:val="00323ED5"/>
    <w:rsid w:val="00324159"/>
    <w:rsid w:val="0032458F"/>
    <w:rsid w:val="003249A7"/>
    <w:rsid w:val="003249F9"/>
    <w:rsid w:val="00324CFA"/>
    <w:rsid w:val="00324FE9"/>
    <w:rsid w:val="00325E88"/>
    <w:rsid w:val="00326EEB"/>
    <w:rsid w:val="003301BC"/>
    <w:rsid w:val="00331104"/>
    <w:rsid w:val="00332046"/>
    <w:rsid w:val="003321C0"/>
    <w:rsid w:val="00332DC2"/>
    <w:rsid w:val="00333640"/>
    <w:rsid w:val="0033385A"/>
    <w:rsid w:val="0033445E"/>
    <w:rsid w:val="00334FDF"/>
    <w:rsid w:val="0033509B"/>
    <w:rsid w:val="0033556F"/>
    <w:rsid w:val="00335999"/>
    <w:rsid w:val="00335B24"/>
    <w:rsid w:val="00336322"/>
    <w:rsid w:val="003366C6"/>
    <w:rsid w:val="00336A9E"/>
    <w:rsid w:val="00340D05"/>
    <w:rsid w:val="003413B0"/>
    <w:rsid w:val="0034161E"/>
    <w:rsid w:val="0034224F"/>
    <w:rsid w:val="00342449"/>
    <w:rsid w:val="003426E4"/>
    <w:rsid w:val="0034341B"/>
    <w:rsid w:val="0034400D"/>
    <w:rsid w:val="003444DE"/>
    <w:rsid w:val="00345324"/>
    <w:rsid w:val="003455C8"/>
    <w:rsid w:val="00346563"/>
    <w:rsid w:val="00346BCB"/>
    <w:rsid w:val="00346E7C"/>
    <w:rsid w:val="00347ECB"/>
    <w:rsid w:val="003500F3"/>
    <w:rsid w:val="0035089D"/>
    <w:rsid w:val="00350AEA"/>
    <w:rsid w:val="00350EFE"/>
    <w:rsid w:val="00351419"/>
    <w:rsid w:val="00352B6C"/>
    <w:rsid w:val="003534A4"/>
    <w:rsid w:val="003536E2"/>
    <w:rsid w:val="00354025"/>
    <w:rsid w:val="003542D4"/>
    <w:rsid w:val="0035432F"/>
    <w:rsid w:val="00354430"/>
    <w:rsid w:val="003546FF"/>
    <w:rsid w:val="00354877"/>
    <w:rsid w:val="00354EA6"/>
    <w:rsid w:val="00355474"/>
    <w:rsid w:val="0035569E"/>
    <w:rsid w:val="00356378"/>
    <w:rsid w:val="0035648A"/>
    <w:rsid w:val="00360557"/>
    <w:rsid w:val="00360AF9"/>
    <w:rsid w:val="003618EB"/>
    <w:rsid w:val="00362EE3"/>
    <w:rsid w:val="00363174"/>
    <w:rsid w:val="003638CA"/>
    <w:rsid w:val="0036399C"/>
    <w:rsid w:val="00364B3C"/>
    <w:rsid w:val="0036500E"/>
    <w:rsid w:val="003651ED"/>
    <w:rsid w:val="0036549E"/>
    <w:rsid w:val="0036591C"/>
    <w:rsid w:val="00365AAB"/>
    <w:rsid w:val="00365DF7"/>
    <w:rsid w:val="00365F7B"/>
    <w:rsid w:val="0036620A"/>
    <w:rsid w:val="00366A57"/>
    <w:rsid w:val="00367521"/>
    <w:rsid w:val="00367795"/>
    <w:rsid w:val="00367CAF"/>
    <w:rsid w:val="003710E5"/>
    <w:rsid w:val="003717F2"/>
    <w:rsid w:val="00371CB9"/>
    <w:rsid w:val="003720CF"/>
    <w:rsid w:val="00372C57"/>
    <w:rsid w:val="00373066"/>
    <w:rsid w:val="003731A8"/>
    <w:rsid w:val="003732A8"/>
    <w:rsid w:val="0037346D"/>
    <w:rsid w:val="00373F2E"/>
    <w:rsid w:val="003740D4"/>
    <w:rsid w:val="0037412E"/>
    <w:rsid w:val="00374240"/>
    <w:rsid w:val="00374FA8"/>
    <w:rsid w:val="00375AF8"/>
    <w:rsid w:val="00375CBF"/>
    <w:rsid w:val="00375E5B"/>
    <w:rsid w:val="003763AE"/>
    <w:rsid w:val="00376DCC"/>
    <w:rsid w:val="00380006"/>
    <w:rsid w:val="00380268"/>
    <w:rsid w:val="00380D14"/>
    <w:rsid w:val="00381068"/>
    <w:rsid w:val="00381359"/>
    <w:rsid w:val="003819A0"/>
    <w:rsid w:val="00381CE0"/>
    <w:rsid w:val="0038213A"/>
    <w:rsid w:val="0038225F"/>
    <w:rsid w:val="00382AE3"/>
    <w:rsid w:val="0038301C"/>
    <w:rsid w:val="00383E02"/>
    <w:rsid w:val="0038461A"/>
    <w:rsid w:val="00384662"/>
    <w:rsid w:val="0038487F"/>
    <w:rsid w:val="00384BD7"/>
    <w:rsid w:val="0038543F"/>
    <w:rsid w:val="003855D5"/>
    <w:rsid w:val="00385926"/>
    <w:rsid w:val="00385DFD"/>
    <w:rsid w:val="003871EF"/>
    <w:rsid w:val="0039090D"/>
    <w:rsid w:val="00391131"/>
    <w:rsid w:val="00392014"/>
    <w:rsid w:val="00392398"/>
    <w:rsid w:val="00392A26"/>
    <w:rsid w:val="0039373A"/>
    <w:rsid w:val="00394223"/>
    <w:rsid w:val="003945CB"/>
    <w:rsid w:val="003951DB"/>
    <w:rsid w:val="00395828"/>
    <w:rsid w:val="0039641E"/>
    <w:rsid w:val="0039683F"/>
    <w:rsid w:val="003969B1"/>
    <w:rsid w:val="00397D15"/>
    <w:rsid w:val="00397D48"/>
    <w:rsid w:val="00397EF3"/>
    <w:rsid w:val="003A1710"/>
    <w:rsid w:val="003A1A6A"/>
    <w:rsid w:val="003A1D8B"/>
    <w:rsid w:val="003A2812"/>
    <w:rsid w:val="003A3094"/>
    <w:rsid w:val="003A3466"/>
    <w:rsid w:val="003A4135"/>
    <w:rsid w:val="003A42B6"/>
    <w:rsid w:val="003A4F05"/>
    <w:rsid w:val="003A566F"/>
    <w:rsid w:val="003A57AA"/>
    <w:rsid w:val="003A6328"/>
    <w:rsid w:val="003A71B6"/>
    <w:rsid w:val="003B0788"/>
    <w:rsid w:val="003B13E2"/>
    <w:rsid w:val="003B1D7E"/>
    <w:rsid w:val="003B2DF6"/>
    <w:rsid w:val="003B3243"/>
    <w:rsid w:val="003B3610"/>
    <w:rsid w:val="003B3A74"/>
    <w:rsid w:val="003B4214"/>
    <w:rsid w:val="003B4B09"/>
    <w:rsid w:val="003B4C4F"/>
    <w:rsid w:val="003B512F"/>
    <w:rsid w:val="003B58E4"/>
    <w:rsid w:val="003B5942"/>
    <w:rsid w:val="003B6B32"/>
    <w:rsid w:val="003B6FBB"/>
    <w:rsid w:val="003B710D"/>
    <w:rsid w:val="003B7324"/>
    <w:rsid w:val="003B7D91"/>
    <w:rsid w:val="003C0B06"/>
    <w:rsid w:val="003C233D"/>
    <w:rsid w:val="003C2FDD"/>
    <w:rsid w:val="003C3981"/>
    <w:rsid w:val="003C4AD8"/>
    <w:rsid w:val="003C5AF6"/>
    <w:rsid w:val="003C5D34"/>
    <w:rsid w:val="003C65C7"/>
    <w:rsid w:val="003C6994"/>
    <w:rsid w:val="003C704E"/>
    <w:rsid w:val="003D0180"/>
    <w:rsid w:val="003D04E2"/>
    <w:rsid w:val="003D0E11"/>
    <w:rsid w:val="003D1711"/>
    <w:rsid w:val="003D19FB"/>
    <w:rsid w:val="003D218D"/>
    <w:rsid w:val="003D3E7E"/>
    <w:rsid w:val="003D471C"/>
    <w:rsid w:val="003D4AF3"/>
    <w:rsid w:val="003D4BCE"/>
    <w:rsid w:val="003D4F69"/>
    <w:rsid w:val="003D69CD"/>
    <w:rsid w:val="003D6A97"/>
    <w:rsid w:val="003D6FC7"/>
    <w:rsid w:val="003D7915"/>
    <w:rsid w:val="003E003A"/>
    <w:rsid w:val="003E0759"/>
    <w:rsid w:val="003E078B"/>
    <w:rsid w:val="003E0B7B"/>
    <w:rsid w:val="003E1298"/>
    <w:rsid w:val="003E19BA"/>
    <w:rsid w:val="003E1A0A"/>
    <w:rsid w:val="003E1C55"/>
    <w:rsid w:val="003E2311"/>
    <w:rsid w:val="003E27E6"/>
    <w:rsid w:val="003E282C"/>
    <w:rsid w:val="003E324A"/>
    <w:rsid w:val="003E3817"/>
    <w:rsid w:val="003E38C7"/>
    <w:rsid w:val="003E3B1C"/>
    <w:rsid w:val="003E3BEF"/>
    <w:rsid w:val="003E3CAE"/>
    <w:rsid w:val="003E3E0E"/>
    <w:rsid w:val="003E43F0"/>
    <w:rsid w:val="003E52C0"/>
    <w:rsid w:val="003E552E"/>
    <w:rsid w:val="003E5E70"/>
    <w:rsid w:val="003E65FE"/>
    <w:rsid w:val="003E7CCF"/>
    <w:rsid w:val="003E7D6D"/>
    <w:rsid w:val="003F04A8"/>
    <w:rsid w:val="003F1F55"/>
    <w:rsid w:val="003F2554"/>
    <w:rsid w:val="003F259D"/>
    <w:rsid w:val="003F279B"/>
    <w:rsid w:val="003F279F"/>
    <w:rsid w:val="003F3767"/>
    <w:rsid w:val="003F3B09"/>
    <w:rsid w:val="003F3CEF"/>
    <w:rsid w:val="003F4FD8"/>
    <w:rsid w:val="003F51B2"/>
    <w:rsid w:val="003F587A"/>
    <w:rsid w:val="003F5AE4"/>
    <w:rsid w:val="003F61EB"/>
    <w:rsid w:val="003F648F"/>
    <w:rsid w:val="003F6D53"/>
    <w:rsid w:val="003F7800"/>
    <w:rsid w:val="00400401"/>
    <w:rsid w:val="004008A7"/>
    <w:rsid w:val="00400B7E"/>
    <w:rsid w:val="00400B8F"/>
    <w:rsid w:val="00401281"/>
    <w:rsid w:val="004019DC"/>
    <w:rsid w:val="00401DC1"/>
    <w:rsid w:val="00401DF0"/>
    <w:rsid w:val="00403727"/>
    <w:rsid w:val="00403A20"/>
    <w:rsid w:val="00403AC5"/>
    <w:rsid w:val="00404C85"/>
    <w:rsid w:val="00406C91"/>
    <w:rsid w:val="00406E8D"/>
    <w:rsid w:val="00407855"/>
    <w:rsid w:val="00407E35"/>
    <w:rsid w:val="00410019"/>
    <w:rsid w:val="00410400"/>
    <w:rsid w:val="004115E0"/>
    <w:rsid w:val="00412100"/>
    <w:rsid w:val="00412BE3"/>
    <w:rsid w:val="00413AF3"/>
    <w:rsid w:val="00413E5B"/>
    <w:rsid w:val="00414941"/>
    <w:rsid w:val="00414976"/>
    <w:rsid w:val="004149C5"/>
    <w:rsid w:val="0041519E"/>
    <w:rsid w:val="004151DA"/>
    <w:rsid w:val="0041534A"/>
    <w:rsid w:val="00415B4E"/>
    <w:rsid w:val="0041603C"/>
    <w:rsid w:val="00416DFD"/>
    <w:rsid w:val="00417060"/>
    <w:rsid w:val="0041771D"/>
    <w:rsid w:val="00417C2A"/>
    <w:rsid w:val="00417EAE"/>
    <w:rsid w:val="00417FD9"/>
    <w:rsid w:val="00420962"/>
    <w:rsid w:val="004211A6"/>
    <w:rsid w:val="0042181B"/>
    <w:rsid w:val="00422A45"/>
    <w:rsid w:val="004235CA"/>
    <w:rsid w:val="004243BD"/>
    <w:rsid w:val="00424437"/>
    <w:rsid w:val="004245D2"/>
    <w:rsid w:val="00425370"/>
    <w:rsid w:val="004258D8"/>
    <w:rsid w:val="004262D5"/>
    <w:rsid w:val="00426919"/>
    <w:rsid w:val="0042698B"/>
    <w:rsid w:val="00426BE4"/>
    <w:rsid w:val="00426E39"/>
    <w:rsid w:val="00432668"/>
    <w:rsid w:val="004327E2"/>
    <w:rsid w:val="00432AE8"/>
    <w:rsid w:val="004331BE"/>
    <w:rsid w:val="004333F4"/>
    <w:rsid w:val="00434641"/>
    <w:rsid w:val="00434F13"/>
    <w:rsid w:val="00434F4D"/>
    <w:rsid w:val="00435324"/>
    <w:rsid w:val="00435A4F"/>
    <w:rsid w:val="00435A8C"/>
    <w:rsid w:val="00435AAF"/>
    <w:rsid w:val="00437828"/>
    <w:rsid w:val="0043796F"/>
    <w:rsid w:val="004406E0"/>
    <w:rsid w:val="00440A40"/>
    <w:rsid w:val="00440EAF"/>
    <w:rsid w:val="00441BBC"/>
    <w:rsid w:val="004427AA"/>
    <w:rsid w:val="00442BF2"/>
    <w:rsid w:val="004431C7"/>
    <w:rsid w:val="00443880"/>
    <w:rsid w:val="00444B0A"/>
    <w:rsid w:val="00444B32"/>
    <w:rsid w:val="00445816"/>
    <w:rsid w:val="004476BE"/>
    <w:rsid w:val="0044792B"/>
    <w:rsid w:val="004479AE"/>
    <w:rsid w:val="0045082F"/>
    <w:rsid w:val="004511FE"/>
    <w:rsid w:val="0045190F"/>
    <w:rsid w:val="00452064"/>
    <w:rsid w:val="004520E6"/>
    <w:rsid w:val="004522B4"/>
    <w:rsid w:val="00452720"/>
    <w:rsid w:val="00452814"/>
    <w:rsid w:val="00453B72"/>
    <w:rsid w:val="00454041"/>
    <w:rsid w:val="004545F2"/>
    <w:rsid w:val="00454D23"/>
    <w:rsid w:val="004552B6"/>
    <w:rsid w:val="00455D86"/>
    <w:rsid w:val="004561D0"/>
    <w:rsid w:val="00456252"/>
    <w:rsid w:val="00456273"/>
    <w:rsid w:val="00456993"/>
    <w:rsid w:val="00456CE3"/>
    <w:rsid w:val="0046071D"/>
    <w:rsid w:val="00460D14"/>
    <w:rsid w:val="00461170"/>
    <w:rsid w:val="004623B9"/>
    <w:rsid w:val="004624C9"/>
    <w:rsid w:val="00463135"/>
    <w:rsid w:val="00463734"/>
    <w:rsid w:val="004638A7"/>
    <w:rsid w:val="00463966"/>
    <w:rsid w:val="00463E05"/>
    <w:rsid w:val="00464BBD"/>
    <w:rsid w:val="00464F4F"/>
    <w:rsid w:val="00466100"/>
    <w:rsid w:val="0046713A"/>
    <w:rsid w:val="0046759B"/>
    <w:rsid w:val="00470226"/>
    <w:rsid w:val="004709CA"/>
    <w:rsid w:val="004711BC"/>
    <w:rsid w:val="00471429"/>
    <w:rsid w:val="00471E18"/>
    <w:rsid w:val="00472D4A"/>
    <w:rsid w:val="00473442"/>
    <w:rsid w:val="0047361A"/>
    <w:rsid w:val="00473A33"/>
    <w:rsid w:val="00474AEB"/>
    <w:rsid w:val="00475341"/>
    <w:rsid w:val="00475D47"/>
    <w:rsid w:val="00475FB1"/>
    <w:rsid w:val="004761C4"/>
    <w:rsid w:val="004762BD"/>
    <w:rsid w:val="004764E5"/>
    <w:rsid w:val="0047673B"/>
    <w:rsid w:val="004769E5"/>
    <w:rsid w:val="004771CA"/>
    <w:rsid w:val="00477A6D"/>
    <w:rsid w:val="00477A97"/>
    <w:rsid w:val="0048003B"/>
    <w:rsid w:val="004803AA"/>
    <w:rsid w:val="004806DA"/>
    <w:rsid w:val="00480B78"/>
    <w:rsid w:val="00480EDC"/>
    <w:rsid w:val="00481489"/>
    <w:rsid w:val="004820C0"/>
    <w:rsid w:val="0048381F"/>
    <w:rsid w:val="0048453D"/>
    <w:rsid w:val="00484A7E"/>
    <w:rsid w:val="00485157"/>
    <w:rsid w:val="004855F7"/>
    <w:rsid w:val="004857D5"/>
    <w:rsid w:val="0048596A"/>
    <w:rsid w:val="00486104"/>
    <w:rsid w:val="00486A26"/>
    <w:rsid w:val="00486FDE"/>
    <w:rsid w:val="0049130E"/>
    <w:rsid w:val="00491F6F"/>
    <w:rsid w:val="00492346"/>
    <w:rsid w:val="004926F8"/>
    <w:rsid w:val="00492D8D"/>
    <w:rsid w:val="004939D7"/>
    <w:rsid w:val="004949A5"/>
    <w:rsid w:val="00495268"/>
    <w:rsid w:val="00495619"/>
    <w:rsid w:val="004959A3"/>
    <w:rsid w:val="00495C25"/>
    <w:rsid w:val="00496A0B"/>
    <w:rsid w:val="00497A69"/>
    <w:rsid w:val="00497CA1"/>
    <w:rsid w:val="00497CEE"/>
    <w:rsid w:val="00497E73"/>
    <w:rsid w:val="00497FE1"/>
    <w:rsid w:val="004A00A8"/>
    <w:rsid w:val="004A07AA"/>
    <w:rsid w:val="004A0BB5"/>
    <w:rsid w:val="004A0CB0"/>
    <w:rsid w:val="004A1024"/>
    <w:rsid w:val="004A1286"/>
    <w:rsid w:val="004A2453"/>
    <w:rsid w:val="004A2D4F"/>
    <w:rsid w:val="004A3C00"/>
    <w:rsid w:val="004A564A"/>
    <w:rsid w:val="004A65DB"/>
    <w:rsid w:val="004A6C05"/>
    <w:rsid w:val="004B05BB"/>
    <w:rsid w:val="004B0892"/>
    <w:rsid w:val="004B0D02"/>
    <w:rsid w:val="004B135D"/>
    <w:rsid w:val="004B2A61"/>
    <w:rsid w:val="004B2BF2"/>
    <w:rsid w:val="004B2D66"/>
    <w:rsid w:val="004B4CD3"/>
    <w:rsid w:val="004B50A7"/>
    <w:rsid w:val="004B5FD9"/>
    <w:rsid w:val="004B758C"/>
    <w:rsid w:val="004C024E"/>
    <w:rsid w:val="004C0265"/>
    <w:rsid w:val="004C0562"/>
    <w:rsid w:val="004C1AEC"/>
    <w:rsid w:val="004C202C"/>
    <w:rsid w:val="004C2D33"/>
    <w:rsid w:val="004C3283"/>
    <w:rsid w:val="004C33DA"/>
    <w:rsid w:val="004C3731"/>
    <w:rsid w:val="004C45B9"/>
    <w:rsid w:val="004C5498"/>
    <w:rsid w:val="004C59AF"/>
    <w:rsid w:val="004C5E56"/>
    <w:rsid w:val="004C6007"/>
    <w:rsid w:val="004C61F5"/>
    <w:rsid w:val="004C66FC"/>
    <w:rsid w:val="004C67C0"/>
    <w:rsid w:val="004C6B83"/>
    <w:rsid w:val="004C6BC6"/>
    <w:rsid w:val="004C6C18"/>
    <w:rsid w:val="004C6C65"/>
    <w:rsid w:val="004C7BCF"/>
    <w:rsid w:val="004C7E3B"/>
    <w:rsid w:val="004D0D6D"/>
    <w:rsid w:val="004D21B2"/>
    <w:rsid w:val="004D2362"/>
    <w:rsid w:val="004D29DB"/>
    <w:rsid w:val="004D2B43"/>
    <w:rsid w:val="004D2D98"/>
    <w:rsid w:val="004D390A"/>
    <w:rsid w:val="004D4141"/>
    <w:rsid w:val="004D459A"/>
    <w:rsid w:val="004D5E79"/>
    <w:rsid w:val="004D6A2C"/>
    <w:rsid w:val="004D6F93"/>
    <w:rsid w:val="004D7445"/>
    <w:rsid w:val="004D77E9"/>
    <w:rsid w:val="004D7A2C"/>
    <w:rsid w:val="004D7E2B"/>
    <w:rsid w:val="004E00CE"/>
    <w:rsid w:val="004E0600"/>
    <w:rsid w:val="004E06FF"/>
    <w:rsid w:val="004E2C88"/>
    <w:rsid w:val="004E2E02"/>
    <w:rsid w:val="004E31A2"/>
    <w:rsid w:val="004E33E4"/>
    <w:rsid w:val="004E39E0"/>
    <w:rsid w:val="004E4443"/>
    <w:rsid w:val="004E4520"/>
    <w:rsid w:val="004E4715"/>
    <w:rsid w:val="004E4733"/>
    <w:rsid w:val="004E57D8"/>
    <w:rsid w:val="004E7D8D"/>
    <w:rsid w:val="004F0C8E"/>
    <w:rsid w:val="004F0FDF"/>
    <w:rsid w:val="004F1301"/>
    <w:rsid w:val="004F1DA4"/>
    <w:rsid w:val="004F1F8E"/>
    <w:rsid w:val="004F254E"/>
    <w:rsid w:val="004F3121"/>
    <w:rsid w:val="004F344A"/>
    <w:rsid w:val="004F3706"/>
    <w:rsid w:val="004F3A17"/>
    <w:rsid w:val="004F3A4F"/>
    <w:rsid w:val="004F3C4D"/>
    <w:rsid w:val="004F476A"/>
    <w:rsid w:val="004F4E46"/>
    <w:rsid w:val="004F50C0"/>
    <w:rsid w:val="004F5FE6"/>
    <w:rsid w:val="004F6469"/>
    <w:rsid w:val="004F661A"/>
    <w:rsid w:val="004F6B91"/>
    <w:rsid w:val="004F765E"/>
    <w:rsid w:val="00501285"/>
    <w:rsid w:val="005012C9"/>
    <w:rsid w:val="005014FF"/>
    <w:rsid w:val="005015D2"/>
    <w:rsid w:val="0050199D"/>
    <w:rsid w:val="0050230D"/>
    <w:rsid w:val="00503C0B"/>
    <w:rsid w:val="005043D6"/>
    <w:rsid w:val="00504D69"/>
    <w:rsid w:val="00505394"/>
    <w:rsid w:val="00505EB9"/>
    <w:rsid w:val="00505EC0"/>
    <w:rsid w:val="00506525"/>
    <w:rsid w:val="00506865"/>
    <w:rsid w:val="00506D78"/>
    <w:rsid w:val="005072CB"/>
    <w:rsid w:val="005073D2"/>
    <w:rsid w:val="00507F4C"/>
    <w:rsid w:val="00510305"/>
    <w:rsid w:val="005103BA"/>
    <w:rsid w:val="0051119B"/>
    <w:rsid w:val="00511588"/>
    <w:rsid w:val="00511E12"/>
    <w:rsid w:val="005125A4"/>
    <w:rsid w:val="005131BD"/>
    <w:rsid w:val="00513A59"/>
    <w:rsid w:val="00513DCF"/>
    <w:rsid w:val="00514644"/>
    <w:rsid w:val="0051490E"/>
    <w:rsid w:val="00515EC9"/>
    <w:rsid w:val="00516412"/>
    <w:rsid w:val="005166B3"/>
    <w:rsid w:val="005166E9"/>
    <w:rsid w:val="00516AFE"/>
    <w:rsid w:val="00516CFC"/>
    <w:rsid w:val="00517A9B"/>
    <w:rsid w:val="00517FCB"/>
    <w:rsid w:val="005202DB"/>
    <w:rsid w:val="00520524"/>
    <w:rsid w:val="005206F6"/>
    <w:rsid w:val="0052096B"/>
    <w:rsid w:val="0052123B"/>
    <w:rsid w:val="0052130F"/>
    <w:rsid w:val="00521484"/>
    <w:rsid w:val="005214C7"/>
    <w:rsid w:val="00521719"/>
    <w:rsid w:val="00522FA1"/>
    <w:rsid w:val="0052392E"/>
    <w:rsid w:val="00523BD3"/>
    <w:rsid w:val="00524FF8"/>
    <w:rsid w:val="00527B04"/>
    <w:rsid w:val="00527B81"/>
    <w:rsid w:val="00527C01"/>
    <w:rsid w:val="005305A0"/>
    <w:rsid w:val="00531530"/>
    <w:rsid w:val="0053162F"/>
    <w:rsid w:val="00531F08"/>
    <w:rsid w:val="00531F0A"/>
    <w:rsid w:val="005327A7"/>
    <w:rsid w:val="005327D4"/>
    <w:rsid w:val="00533F0C"/>
    <w:rsid w:val="00534FAB"/>
    <w:rsid w:val="00535790"/>
    <w:rsid w:val="005361ED"/>
    <w:rsid w:val="00540028"/>
    <w:rsid w:val="00540C48"/>
    <w:rsid w:val="00540FC8"/>
    <w:rsid w:val="00541359"/>
    <w:rsid w:val="0054195B"/>
    <w:rsid w:val="005419E2"/>
    <w:rsid w:val="00541B63"/>
    <w:rsid w:val="00542518"/>
    <w:rsid w:val="005427DF"/>
    <w:rsid w:val="00542D39"/>
    <w:rsid w:val="005432E8"/>
    <w:rsid w:val="0054420C"/>
    <w:rsid w:val="00544364"/>
    <w:rsid w:val="00544367"/>
    <w:rsid w:val="0054457E"/>
    <w:rsid w:val="00544A0E"/>
    <w:rsid w:val="00544A6A"/>
    <w:rsid w:val="00544C9A"/>
    <w:rsid w:val="005455C2"/>
    <w:rsid w:val="00546A80"/>
    <w:rsid w:val="00546BA9"/>
    <w:rsid w:val="00547557"/>
    <w:rsid w:val="005476AF"/>
    <w:rsid w:val="005476E4"/>
    <w:rsid w:val="005477EC"/>
    <w:rsid w:val="00550362"/>
    <w:rsid w:val="005505A7"/>
    <w:rsid w:val="005513E4"/>
    <w:rsid w:val="00551477"/>
    <w:rsid w:val="00551DC9"/>
    <w:rsid w:val="005529C9"/>
    <w:rsid w:val="00553C68"/>
    <w:rsid w:val="005541F7"/>
    <w:rsid w:val="00554424"/>
    <w:rsid w:val="00554A2A"/>
    <w:rsid w:val="0055588D"/>
    <w:rsid w:val="0055664E"/>
    <w:rsid w:val="00556CE8"/>
    <w:rsid w:val="00556EE0"/>
    <w:rsid w:val="0055702F"/>
    <w:rsid w:val="00557DBB"/>
    <w:rsid w:val="00560390"/>
    <w:rsid w:val="0056096D"/>
    <w:rsid w:val="00560BDD"/>
    <w:rsid w:val="00560C1E"/>
    <w:rsid w:val="00561703"/>
    <w:rsid w:val="0056185A"/>
    <w:rsid w:val="00561ECA"/>
    <w:rsid w:val="00562E2A"/>
    <w:rsid w:val="00563F98"/>
    <w:rsid w:val="005673AA"/>
    <w:rsid w:val="00567644"/>
    <w:rsid w:val="00567C47"/>
    <w:rsid w:val="005705F4"/>
    <w:rsid w:val="0057273B"/>
    <w:rsid w:val="005736FF"/>
    <w:rsid w:val="00573E64"/>
    <w:rsid w:val="005747FA"/>
    <w:rsid w:val="005751AF"/>
    <w:rsid w:val="00575311"/>
    <w:rsid w:val="005754F4"/>
    <w:rsid w:val="00575B59"/>
    <w:rsid w:val="00577604"/>
    <w:rsid w:val="00577C90"/>
    <w:rsid w:val="00577D10"/>
    <w:rsid w:val="0058066D"/>
    <w:rsid w:val="005808CC"/>
    <w:rsid w:val="00580AD5"/>
    <w:rsid w:val="00580B32"/>
    <w:rsid w:val="00581408"/>
    <w:rsid w:val="005816B3"/>
    <w:rsid w:val="00581CE4"/>
    <w:rsid w:val="00582D23"/>
    <w:rsid w:val="00582D83"/>
    <w:rsid w:val="00584315"/>
    <w:rsid w:val="00584445"/>
    <w:rsid w:val="00584582"/>
    <w:rsid w:val="00584F5B"/>
    <w:rsid w:val="0058562C"/>
    <w:rsid w:val="00585BCC"/>
    <w:rsid w:val="00585DA0"/>
    <w:rsid w:val="0058695A"/>
    <w:rsid w:val="00586BE3"/>
    <w:rsid w:val="00586CDC"/>
    <w:rsid w:val="0058778D"/>
    <w:rsid w:val="00587E14"/>
    <w:rsid w:val="00591155"/>
    <w:rsid w:val="00591948"/>
    <w:rsid w:val="00591DA5"/>
    <w:rsid w:val="00592E3C"/>
    <w:rsid w:val="005930E4"/>
    <w:rsid w:val="0059434F"/>
    <w:rsid w:val="00594466"/>
    <w:rsid w:val="005948E2"/>
    <w:rsid w:val="00594BCE"/>
    <w:rsid w:val="00594E81"/>
    <w:rsid w:val="005975F3"/>
    <w:rsid w:val="00597791"/>
    <w:rsid w:val="005A1024"/>
    <w:rsid w:val="005A1239"/>
    <w:rsid w:val="005A1C4C"/>
    <w:rsid w:val="005A1E2E"/>
    <w:rsid w:val="005A240B"/>
    <w:rsid w:val="005A30EF"/>
    <w:rsid w:val="005A3244"/>
    <w:rsid w:val="005A5BF8"/>
    <w:rsid w:val="005A6550"/>
    <w:rsid w:val="005A67CC"/>
    <w:rsid w:val="005A7BA0"/>
    <w:rsid w:val="005B0C29"/>
    <w:rsid w:val="005B0E4A"/>
    <w:rsid w:val="005B21F5"/>
    <w:rsid w:val="005B2319"/>
    <w:rsid w:val="005B2624"/>
    <w:rsid w:val="005B2ACC"/>
    <w:rsid w:val="005B3318"/>
    <w:rsid w:val="005B3A7B"/>
    <w:rsid w:val="005B40CD"/>
    <w:rsid w:val="005B4267"/>
    <w:rsid w:val="005B44AF"/>
    <w:rsid w:val="005B465B"/>
    <w:rsid w:val="005B490A"/>
    <w:rsid w:val="005B5047"/>
    <w:rsid w:val="005B5217"/>
    <w:rsid w:val="005B5D7E"/>
    <w:rsid w:val="005B5DED"/>
    <w:rsid w:val="005B64DF"/>
    <w:rsid w:val="005B66F0"/>
    <w:rsid w:val="005B6DD1"/>
    <w:rsid w:val="005B74E4"/>
    <w:rsid w:val="005B7517"/>
    <w:rsid w:val="005B798F"/>
    <w:rsid w:val="005B79AF"/>
    <w:rsid w:val="005B7A3F"/>
    <w:rsid w:val="005B7C1F"/>
    <w:rsid w:val="005B7E35"/>
    <w:rsid w:val="005C041B"/>
    <w:rsid w:val="005C0ACE"/>
    <w:rsid w:val="005C163B"/>
    <w:rsid w:val="005C1B88"/>
    <w:rsid w:val="005C1B97"/>
    <w:rsid w:val="005C1EBE"/>
    <w:rsid w:val="005C32EB"/>
    <w:rsid w:val="005C39BD"/>
    <w:rsid w:val="005C3F84"/>
    <w:rsid w:val="005C51D9"/>
    <w:rsid w:val="005C5A21"/>
    <w:rsid w:val="005C60A1"/>
    <w:rsid w:val="005C7B66"/>
    <w:rsid w:val="005D0B26"/>
    <w:rsid w:val="005D1C6E"/>
    <w:rsid w:val="005D22A0"/>
    <w:rsid w:val="005D243B"/>
    <w:rsid w:val="005D2511"/>
    <w:rsid w:val="005D2811"/>
    <w:rsid w:val="005D31B1"/>
    <w:rsid w:val="005D3280"/>
    <w:rsid w:val="005D3378"/>
    <w:rsid w:val="005D3E0E"/>
    <w:rsid w:val="005D4540"/>
    <w:rsid w:val="005D4EA6"/>
    <w:rsid w:val="005D542E"/>
    <w:rsid w:val="005D55B1"/>
    <w:rsid w:val="005D5CF6"/>
    <w:rsid w:val="005D6ADC"/>
    <w:rsid w:val="005D742B"/>
    <w:rsid w:val="005E0153"/>
    <w:rsid w:val="005E0406"/>
    <w:rsid w:val="005E0443"/>
    <w:rsid w:val="005E0578"/>
    <w:rsid w:val="005E08AC"/>
    <w:rsid w:val="005E26AC"/>
    <w:rsid w:val="005E2E5D"/>
    <w:rsid w:val="005E30DD"/>
    <w:rsid w:val="005E33D3"/>
    <w:rsid w:val="005E35D6"/>
    <w:rsid w:val="005E36FD"/>
    <w:rsid w:val="005E3792"/>
    <w:rsid w:val="005E37F8"/>
    <w:rsid w:val="005E3A33"/>
    <w:rsid w:val="005E3D2F"/>
    <w:rsid w:val="005E3D32"/>
    <w:rsid w:val="005E3F15"/>
    <w:rsid w:val="005E42BE"/>
    <w:rsid w:val="005E43B5"/>
    <w:rsid w:val="005E4659"/>
    <w:rsid w:val="005E4882"/>
    <w:rsid w:val="005E4A23"/>
    <w:rsid w:val="005E5570"/>
    <w:rsid w:val="005E55FF"/>
    <w:rsid w:val="005E5AF5"/>
    <w:rsid w:val="005E7763"/>
    <w:rsid w:val="005F0208"/>
    <w:rsid w:val="005F0555"/>
    <w:rsid w:val="005F0823"/>
    <w:rsid w:val="005F0890"/>
    <w:rsid w:val="005F117F"/>
    <w:rsid w:val="005F1BB5"/>
    <w:rsid w:val="005F2C38"/>
    <w:rsid w:val="005F3B98"/>
    <w:rsid w:val="005F4B04"/>
    <w:rsid w:val="005F4BC5"/>
    <w:rsid w:val="005F4D31"/>
    <w:rsid w:val="005F5F00"/>
    <w:rsid w:val="005F6A25"/>
    <w:rsid w:val="005F6F57"/>
    <w:rsid w:val="005F7142"/>
    <w:rsid w:val="005F7412"/>
    <w:rsid w:val="005F7C1C"/>
    <w:rsid w:val="005F7CF6"/>
    <w:rsid w:val="00600DC7"/>
    <w:rsid w:val="006013FC"/>
    <w:rsid w:val="006016C9"/>
    <w:rsid w:val="00602581"/>
    <w:rsid w:val="00602A5D"/>
    <w:rsid w:val="006032B4"/>
    <w:rsid w:val="00603F1F"/>
    <w:rsid w:val="00604666"/>
    <w:rsid w:val="00604993"/>
    <w:rsid w:val="00604997"/>
    <w:rsid w:val="0060553B"/>
    <w:rsid w:val="006065D5"/>
    <w:rsid w:val="006066F8"/>
    <w:rsid w:val="00606F84"/>
    <w:rsid w:val="0060703A"/>
    <w:rsid w:val="0061001F"/>
    <w:rsid w:val="00610473"/>
    <w:rsid w:val="0061179F"/>
    <w:rsid w:val="00611832"/>
    <w:rsid w:val="00611BDB"/>
    <w:rsid w:val="00611C3F"/>
    <w:rsid w:val="00611CF4"/>
    <w:rsid w:val="0061256F"/>
    <w:rsid w:val="00612A88"/>
    <w:rsid w:val="0061368A"/>
    <w:rsid w:val="00613B06"/>
    <w:rsid w:val="006140BA"/>
    <w:rsid w:val="00614596"/>
    <w:rsid w:val="006145AB"/>
    <w:rsid w:val="0061468E"/>
    <w:rsid w:val="00614A51"/>
    <w:rsid w:val="00614A7C"/>
    <w:rsid w:val="00614D6B"/>
    <w:rsid w:val="006156D1"/>
    <w:rsid w:val="00616430"/>
    <w:rsid w:val="00616C76"/>
    <w:rsid w:val="006173F0"/>
    <w:rsid w:val="006175AA"/>
    <w:rsid w:val="00617A23"/>
    <w:rsid w:val="006206AB"/>
    <w:rsid w:val="00621F03"/>
    <w:rsid w:val="00622AFD"/>
    <w:rsid w:val="00622CED"/>
    <w:rsid w:val="006241FD"/>
    <w:rsid w:val="00624287"/>
    <w:rsid w:val="00624409"/>
    <w:rsid w:val="0062575C"/>
    <w:rsid w:val="00625D0B"/>
    <w:rsid w:val="00626475"/>
    <w:rsid w:val="00627BF1"/>
    <w:rsid w:val="00627FB2"/>
    <w:rsid w:val="006308C0"/>
    <w:rsid w:val="006319DA"/>
    <w:rsid w:val="006323F3"/>
    <w:rsid w:val="006325EA"/>
    <w:rsid w:val="00632834"/>
    <w:rsid w:val="00632CC0"/>
    <w:rsid w:val="006333D3"/>
    <w:rsid w:val="00633FA9"/>
    <w:rsid w:val="0063401C"/>
    <w:rsid w:val="006345AA"/>
    <w:rsid w:val="00634D8F"/>
    <w:rsid w:val="006351F3"/>
    <w:rsid w:val="00635488"/>
    <w:rsid w:val="00635DF9"/>
    <w:rsid w:val="006369CA"/>
    <w:rsid w:val="00637023"/>
    <w:rsid w:val="00637293"/>
    <w:rsid w:val="006405DD"/>
    <w:rsid w:val="0064131B"/>
    <w:rsid w:val="00642504"/>
    <w:rsid w:val="00642569"/>
    <w:rsid w:val="00642896"/>
    <w:rsid w:val="006430B9"/>
    <w:rsid w:val="00644114"/>
    <w:rsid w:val="006448CC"/>
    <w:rsid w:val="00644CD5"/>
    <w:rsid w:val="006455D3"/>
    <w:rsid w:val="00645BB7"/>
    <w:rsid w:val="00647012"/>
    <w:rsid w:val="00647840"/>
    <w:rsid w:val="00651D66"/>
    <w:rsid w:val="00654AEC"/>
    <w:rsid w:val="00654F20"/>
    <w:rsid w:val="006555F4"/>
    <w:rsid w:val="00655D97"/>
    <w:rsid w:val="00655F5C"/>
    <w:rsid w:val="006563EC"/>
    <w:rsid w:val="006566EA"/>
    <w:rsid w:val="00657233"/>
    <w:rsid w:val="006576DA"/>
    <w:rsid w:val="006608CF"/>
    <w:rsid w:val="00661489"/>
    <w:rsid w:val="0066171F"/>
    <w:rsid w:val="0066227E"/>
    <w:rsid w:val="0066244A"/>
    <w:rsid w:val="00662C7C"/>
    <w:rsid w:val="00663157"/>
    <w:rsid w:val="00663BDF"/>
    <w:rsid w:val="00663CBD"/>
    <w:rsid w:val="00664130"/>
    <w:rsid w:val="00664DD2"/>
    <w:rsid w:val="00664EB6"/>
    <w:rsid w:val="00664F5B"/>
    <w:rsid w:val="006652DC"/>
    <w:rsid w:val="00665AE4"/>
    <w:rsid w:val="00665AE5"/>
    <w:rsid w:val="00665B5C"/>
    <w:rsid w:val="00665F2C"/>
    <w:rsid w:val="00666DD1"/>
    <w:rsid w:val="00666EE9"/>
    <w:rsid w:val="00670ECC"/>
    <w:rsid w:val="006715CD"/>
    <w:rsid w:val="006719A8"/>
    <w:rsid w:val="00671C60"/>
    <w:rsid w:val="006720E5"/>
    <w:rsid w:val="00672A1D"/>
    <w:rsid w:val="00673223"/>
    <w:rsid w:val="0067371B"/>
    <w:rsid w:val="00674197"/>
    <w:rsid w:val="006742EC"/>
    <w:rsid w:val="00674751"/>
    <w:rsid w:val="00674B3E"/>
    <w:rsid w:val="0067517E"/>
    <w:rsid w:val="00675D9B"/>
    <w:rsid w:val="00676144"/>
    <w:rsid w:val="0067618A"/>
    <w:rsid w:val="00676A26"/>
    <w:rsid w:val="00676B2B"/>
    <w:rsid w:val="0067729C"/>
    <w:rsid w:val="006807B1"/>
    <w:rsid w:val="00680814"/>
    <w:rsid w:val="0068096B"/>
    <w:rsid w:val="00680FE7"/>
    <w:rsid w:val="00682AA6"/>
    <w:rsid w:val="00682D11"/>
    <w:rsid w:val="00682D2D"/>
    <w:rsid w:val="00683E3C"/>
    <w:rsid w:val="00684930"/>
    <w:rsid w:val="00684B02"/>
    <w:rsid w:val="0068500B"/>
    <w:rsid w:val="0068515E"/>
    <w:rsid w:val="00685563"/>
    <w:rsid w:val="006858C8"/>
    <w:rsid w:val="006858C9"/>
    <w:rsid w:val="006862B7"/>
    <w:rsid w:val="0068649B"/>
    <w:rsid w:val="00686D54"/>
    <w:rsid w:val="00686F44"/>
    <w:rsid w:val="00686F4B"/>
    <w:rsid w:val="00687275"/>
    <w:rsid w:val="00690134"/>
    <w:rsid w:val="00690556"/>
    <w:rsid w:val="006906BA"/>
    <w:rsid w:val="0069071E"/>
    <w:rsid w:val="006913D6"/>
    <w:rsid w:val="00691448"/>
    <w:rsid w:val="00691EEC"/>
    <w:rsid w:val="00691FCB"/>
    <w:rsid w:val="006927A4"/>
    <w:rsid w:val="006935EB"/>
    <w:rsid w:val="006954F3"/>
    <w:rsid w:val="00696EB2"/>
    <w:rsid w:val="00697643"/>
    <w:rsid w:val="006A1AAD"/>
    <w:rsid w:val="006A1BF5"/>
    <w:rsid w:val="006A1FF0"/>
    <w:rsid w:val="006A2CF5"/>
    <w:rsid w:val="006A2FCE"/>
    <w:rsid w:val="006A2FEE"/>
    <w:rsid w:val="006A3237"/>
    <w:rsid w:val="006A426F"/>
    <w:rsid w:val="006A4644"/>
    <w:rsid w:val="006A4F88"/>
    <w:rsid w:val="006A5B43"/>
    <w:rsid w:val="006A5CED"/>
    <w:rsid w:val="006A5D91"/>
    <w:rsid w:val="006A70BC"/>
    <w:rsid w:val="006A7F83"/>
    <w:rsid w:val="006B08FB"/>
    <w:rsid w:val="006B0B3A"/>
    <w:rsid w:val="006B152E"/>
    <w:rsid w:val="006B1C88"/>
    <w:rsid w:val="006B212B"/>
    <w:rsid w:val="006B3982"/>
    <w:rsid w:val="006B3FC7"/>
    <w:rsid w:val="006B4232"/>
    <w:rsid w:val="006B637C"/>
    <w:rsid w:val="006B6829"/>
    <w:rsid w:val="006C0454"/>
    <w:rsid w:val="006C0938"/>
    <w:rsid w:val="006C0ADA"/>
    <w:rsid w:val="006C1F02"/>
    <w:rsid w:val="006C2326"/>
    <w:rsid w:val="006C3672"/>
    <w:rsid w:val="006C367F"/>
    <w:rsid w:val="006C4A7D"/>
    <w:rsid w:val="006C4D91"/>
    <w:rsid w:val="006C5691"/>
    <w:rsid w:val="006C57A1"/>
    <w:rsid w:val="006C589B"/>
    <w:rsid w:val="006C6F01"/>
    <w:rsid w:val="006C7219"/>
    <w:rsid w:val="006C7927"/>
    <w:rsid w:val="006D090E"/>
    <w:rsid w:val="006D2252"/>
    <w:rsid w:val="006D26E0"/>
    <w:rsid w:val="006D2764"/>
    <w:rsid w:val="006D2D41"/>
    <w:rsid w:val="006D3B46"/>
    <w:rsid w:val="006D3F41"/>
    <w:rsid w:val="006D4A01"/>
    <w:rsid w:val="006D4B57"/>
    <w:rsid w:val="006D5A9F"/>
    <w:rsid w:val="006D681E"/>
    <w:rsid w:val="006D6D8C"/>
    <w:rsid w:val="006D6FB2"/>
    <w:rsid w:val="006E0492"/>
    <w:rsid w:val="006E0A42"/>
    <w:rsid w:val="006E0C3C"/>
    <w:rsid w:val="006E1B89"/>
    <w:rsid w:val="006E2AFD"/>
    <w:rsid w:val="006E37C2"/>
    <w:rsid w:val="006E3E8A"/>
    <w:rsid w:val="006E3F9E"/>
    <w:rsid w:val="006E45FA"/>
    <w:rsid w:val="006E46CB"/>
    <w:rsid w:val="006E4CAE"/>
    <w:rsid w:val="006E540C"/>
    <w:rsid w:val="006E5AB6"/>
    <w:rsid w:val="006E5E40"/>
    <w:rsid w:val="006E5FDA"/>
    <w:rsid w:val="006E6163"/>
    <w:rsid w:val="006E65CF"/>
    <w:rsid w:val="006E6890"/>
    <w:rsid w:val="006E770E"/>
    <w:rsid w:val="006E7C04"/>
    <w:rsid w:val="006F0487"/>
    <w:rsid w:val="006F06E2"/>
    <w:rsid w:val="006F0AFF"/>
    <w:rsid w:val="006F0C49"/>
    <w:rsid w:val="006F13B8"/>
    <w:rsid w:val="006F1EB0"/>
    <w:rsid w:val="006F1FE0"/>
    <w:rsid w:val="006F2910"/>
    <w:rsid w:val="006F2A62"/>
    <w:rsid w:val="006F2CF2"/>
    <w:rsid w:val="006F3B15"/>
    <w:rsid w:val="006F3EE3"/>
    <w:rsid w:val="006F43DE"/>
    <w:rsid w:val="006F4A4B"/>
    <w:rsid w:val="006F553A"/>
    <w:rsid w:val="006F5E3F"/>
    <w:rsid w:val="006F686E"/>
    <w:rsid w:val="006F7323"/>
    <w:rsid w:val="00700061"/>
    <w:rsid w:val="0070019B"/>
    <w:rsid w:val="007007A3"/>
    <w:rsid w:val="00700A43"/>
    <w:rsid w:val="00700D77"/>
    <w:rsid w:val="00701472"/>
    <w:rsid w:val="00701CF6"/>
    <w:rsid w:val="0070227A"/>
    <w:rsid w:val="007029E4"/>
    <w:rsid w:val="00703509"/>
    <w:rsid w:val="0070391C"/>
    <w:rsid w:val="00706F9A"/>
    <w:rsid w:val="0070706B"/>
    <w:rsid w:val="007075C2"/>
    <w:rsid w:val="007078DF"/>
    <w:rsid w:val="00707DAB"/>
    <w:rsid w:val="00707FBF"/>
    <w:rsid w:val="00710515"/>
    <w:rsid w:val="0071088A"/>
    <w:rsid w:val="00711365"/>
    <w:rsid w:val="00711595"/>
    <w:rsid w:val="00711BD0"/>
    <w:rsid w:val="00711DE6"/>
    <w:rsid w:val="00712B19"/>
    <w:rsid w:val="00713564"/>
    <w:rsid w:val="00714598"/>
    <w:rsid w:val="00714B07"/>
    <w:rsid w:val="00714DB8"/>
    <w:rsid w:val="0071512E"/>
    <w:rsid w:val="007152A9"/>
    <w:rsid w:val="00715D1C"/>
    <w:rsid w:val="00716B4F"/>
    <w:rsid w:val="007176DC"/>
    <w:rsid w:val="00717920"/>
    <w:rsid w:val="00717AC1"/>
    <w:rsid w:val="00720440"/>
    <w:rsid w:val="00720445"/>
    <w:rsid w:val="007206EB"/>
    <w:rsid w:val="0072076B"/>
    <w:rsid w:val="00720E75"/>
    <w:rsid w:val="00721E0C"/>
    <w:rsid w:val="007226A1"/>
    <w:rsid w:val="00722F63"/>
    <w:rsid w:val="0072551B"/>
    <w:rsid w:val="007256A8"/>
    <w:rsid w:val="00726373"/>
    <w:rsid w:val="00726A05"/>
    <w:rsid w:val="00727B8B"/>
    <w:rsid w:val="007302D1"/>
    <w:rsid w:val="0073055E"/>
    <w:rsid w:val="00730596"/>
    <w:rsid w:val="007317DA"/>
    <w:rsid w:val="00731A9A"/>
    <w:rsid w:val="00732342"/>
    <w:rsid w:val="00732690"/>
    <w:rsid w:val="0073555E"/>
    <w:rsid w:val="00736331"/>
    <w:rsid w:val="007376BE"/>
    <w:rsid w:val="00740477"/>
    <w:rsid w:val="007404E2"/>
    <w:rsid w:val="00740AA5"/>
    <w:rsid w:val="00740D48"/>
    <w:rsid w:val="00740FB0"/>
    <w:rsid w:val="00741440"/>
    <w:rsid w:val="00741BAD"/>
    <w:rsid w:val="00741D72"/>
    <w:rsid w:val="00742386"/>
    <w:rsid w:val="00742A62"/>
    <w:rsid w:val="00743394"/>
    <w:rsid w:val="00743D6C"/>
    <w:rsid w:val="00744406"/>
    <w:rsid w:val="00744446"/>
    <w:rsid w:val="00744633"/>
    <w:rsid w:val="00744F6E"/>
    <w:rsid w:val="007458BB"/>
    <w:rsid w:val="00745ABE"/>
    <w:rsid w:val="00745E71"/>
    <w:rsid w:val="0074628E"/>
    <w:rsid w:val="00746CFF"/>
    <w:rsid w:val="00747E27"/>
    <w:rsid w:val="0075005E"/>
    <w:rsid w:val="00750341"/>
    <w:rsid w:val="00750633"/>
    <w:rsid w:val="00750C9E"/>
    <w:rsid w:val="00750E5B"/>
    <w:rsid w:val="007513C0"/>
    <w:rsid w:val="00751941"/>
    <w:rsid w:val="00752DD5"/>
    <w:rsid w:val="00753D8F"/>
    <w:rsid w:val="007547AC"/>
    <w:rsid w:val="00754B6C"/>
    <w:rsid w:val="00754C47"/>
    <w:rsid w:val="00754E8A"/>
    <w:rsid w:val="007552DD"/>
    <w:rsid w:val="00755498"/>
    <w:rsid w:val="00755785"/>
    <w:rsid w:val="00755996"/>
    <w:rsid w:val="00755EF6"/>
    <w:rsid w:val="0075627D"/>
    <w:rsid w:val="0075643D"/>
    <w:rsid w:val="00761C4F"/>
    <w:rsid w:val="00761E37"/>
    <w:rsid w:val="00761FF5"/>
    <w:rsid w:val="00762E16"/>
    <w:rsid w:val="00764942"/>
    <w:rsid w:val="00765C11"/>
    <w:rsid w:val="00765DD9"/>
    <w:rsid w:val="007664D7"/>
    <w:rsid w:val="00766A8D"/>
    <w:rsid w:val="007670F2"/>
    <w:rsid w:val="00770026"/>
    <w:rsid w:val="00770A50"/>
    <w:rsid w:val="007710D8"/>
    <w:rsid w:val="0077283C"/>
    <w:rsid w:val="00772AA3"/>
    <w:rsid w:val="00772B3B"/>
    <w:rsid w:val="007731E1"/>
    <w:rsid w:val="007735B9"/>
    <w:rsid w:val="007737B2"/>
    <w:rsid w:val="00774290"/>
    <w:rsid w:val="007774AB"/>
    <w:rsid w:val="007777D3"/>
    <w:rsid w:val="00777820"/>
    <w:rsid w:val="0077782E"/>
    <w:rsid w:val="00777EF7"/>
    <w:rsid w:val="0078006E"/>
    <w:rsid w:val="00780379"/>
    <w:rsid w:val="00780729"/>
    <w:rsid w:val="00780BE2"/>
    <w:rsid w:val="00781105"/>
    <w:rsid w:val="00781B47"/>
    <w:rsid w:val="00781B77"/>
    <w:rsid w:val="00781C01"/>
    <w:rsid w:val="00783051"/>
    <w:rsid w:val="00783A34"/>
    <w:rsid w:val="0078451D"/>
    <w:rsid w:val="00785333"/>
    <w:rsid w:val="00785756"/>
    <w:rsid w:val="00785ABF"/>
    <w:rsid w:val="00786417"/>
    <w:rsid w:val="00786865"/>
    <w:rsid w:val="0078691B"/>
    <w:rsid w:val="00786A7C"/>
    <w:rsid w:val="00786EC4"/>
    <w:rsid w:val="00787391"/>
    <w:rsid w:val="00787745"/>
    <w:rsid w:val="00787DAE"/>
    <w:rsid w:val="00790209"/>
    <w:rsid w:val="00790223"/>
    <w:rsid w:val="007905FF"/>
    <w:rsid w:val="007906B2"/>
    <w:rsid w:val="00791DC5"/>
    <w:rsid w:val="00792721"/>
    <w:rsid w:val="00792993"/>
    <w:rsid w:val="00793230"/>
    <w:rsid w:val="00793D5B"/>
    <w:rsid w:val="00793EE3"/>
    <w:rsid w:val="00794540"/>
    <w:rsid w:val="007948B6"/>
    <w:rsid w:val="00794D15"/>
    <w:rsid w:val="00795155"/>
    <w:rsid w:val="00795327"/>
    <w:rsid w:val="00795CE8"/>
    <w:rsid w:val="00796072"/>
    <w:rsid w:val="00797E2C"/>
    <w:rsid w:val="00797F89"/>
    <w:rsid w:val="007A031D"/>
    <w:rsid w:val="007A033E"/>
    <w:rsid w:val="007A04D4"/>
    <w:rsid w:val="007A07D8"/>
    <w:rsid w:val="007A08E5"/>
    <w:rsid w:val="007A0B54"/>
    <w:rsid w:val="007A11DB"/>
    <w:rsid w:val="007A18DF"/>
    <w:rsid w:val="007A18E5"/>
    <w:rsid w:val="007A2133"/>
    <w:rsid w:val="007A27A6"/>
    <w:rsid w:val="007A2BA4"/>
    <w:rsid w:val="007A376F"/>
    <w:rsid w:val="007A415F"/>
    <w:rsid w:val="007A44DA"/>
    <w:rsid w:val="007A4557"/>
    <w:rsid w:val="007A497F"/>
    <w:rsid w:val="007A5096"/>
    <w:rsid w:val="007A52C0"/>
    <w:rsid w:val="007A584B"/>
    <w:rsid w:val="007A5DE0"/>
    <w:rsid w:val="007A6A37"/>
    <w:rsid w:val="007A6D9A"/>
    <w:rsid w:val="007A717A"/>
    <w:rsid w:val="007B0904"/>
    <w:rsid w:val="007B175B"/>
    <w:rsid w:val="007B2286"/>
    <w:rsid w:val="007B247F"/>
    <w:rsid w:val="007B2A88"/>
    <w:rsid w:val="007B2B18"/>
    <w:rsid w:val="007B3021"/>
    <w:rsid w:val="007B34FE"/>
    <w:rsid w:val="007B5084"/>
    <w:rsid w:val="007B522C"/>
    <w:rsid w:val="007B5EE1"/>
    <w:rsid w:val="007B5F5D"/>
    <w:rsid w:val="007B66E4"/>
    <w:rsid w:val="007B708D"/>
    <w:rsid w:val="007B70CB"/>
    <w:rsid w:val="007C0EC7"/>
    <w:rsid w:val="007C0F00"/>
    <w:rsid w:val="007C218B"/>
    <w:rsid w:val="007C2716"/>
    <w:rsid w:val="007C293B"/>
    <w:rsid w:val="007C2DE8"/>
    <w:rsid w:val="007C4977"/>
    <w:rsid w:val="007C4F2D"/>
    <w:rsid w:val="007C5D85"/>
    <w:rsid w:val="007C69F3"/>
    <w:rsid w:val="007C6BD3"/>
    <w:rsid w:val="007C6F3F"/>
    <w:rsid w:val="007C6FC9"/>
    <w:rsid w:val="007C72FD"/>
    <w:rsid w:val="007C7769"/>
    <w:rsid w:val="007C784A"/>
    <w:rsid w:val="007C7CF1"/>
    <w:rsid w:val="007D0C67"/>
    <w:rsid w:val="007D3A15"/>
    <w:rsid w:val="007D46EE"/>
    <w:rsid w:val="007D4959"/>
    <w:rsid w:val="007D4C42"/>
    <w:rsid w:val="007D5377"/>
    <w:rsid w:val="007D55F8"/>
    <w:rsid w:val="007D5EA8"/>
    <w:rsid w:val="007D6C9E"/>
    <w:rsid w:val="007D7089"/>
    <w:rsid w:val="007D76BA"/>
    <w:rsid w:val="007D793E"/>
    <w:rsid w:val="007D797F"/>
    <w:rsid w:val="007D7D39"/>
    <w:rsid w:val="007E0111"/>
    <w:rsid w:val="007E0138"/>
    <w:rsid w:val="007E01CD"/>
    <w:rsid w:val="007E1056"/>
    <w:rsid w:val="007E139E"/>
    <w:rsid w:val="007E1869"/>
    <w:rsid w:val="007E19C1"/>
    <w:rsid w:val="007E1FEC"/>
    <w:rsid w:val="007E2A32"/>
    <w:rsid w:val="007E2FE1"/>
    <w:rsid w:val="007E3127"/>
    <w:rsid w:val="007E3E5A"/>
    <w:rsid w:val="007E40AE"/>
    <w:rsid w:val="007E42D3"/>
    <w:rsid w:val="007E43C5"/>
    <w:rsid w:val="007E4B3C"/>
    <w:rsid w:val="007E53BF"/>
    <w:rsid w:val="007E54DF"/>
    <w:rsid w:val="007E5AFD"/>
    <w:rsid w:val="007E6403"/>
    <w:rsid w:val="007E6A88"/>
    <w:rsid w:val="007E6BC9"/>
    <w:rsid w:val="007E77D3"/>
    <w:rsid w:val="007E7AA5"/>
    <w:rsid w:val="007E7D4E"/>
    <w:rsid w:val="007F13EA"/>
    <w:rsid w:val="007F2681"/>
    <w:rsid w:val="007F30E4"/>
    <w:rsid w:val="007F3E5E"/>
    <w:rsid w:val="007F4BF5"/>
    <w:rsid w:val="007F50E4"/>
    <w:rsid w:val="007F59FB"/>
    <w:rsid w:val="007F5B0B"/>
    <w:rsid w:val="007F60F7"/>
    <w:rsid w:val="007F6224"/>
    <w:rsid w:val="007F62D8"/>
    <w:rsid w:val="007F65A0"/>
    <w:rsid w:val="007F65EE"/>
    <w:rsid w:val="007F6997"/>
    <w:rsid w:val="007F6D72"/>
    <w:rsid w:val="007F6E3F"/>
    <w:rsid w:val="007F746F"/>
    <w:rsid w:val="008003F7"/>
    <w:rsid w:val="00800E26"/>
    <w:rsid w:val="008021CB"/>
    <w:rsid w:val="00802297"/>
    <w:rsid w:val="00803A46"/>
    <w:rsid w:val="00803BD9"/>
    <w:rsid w:val="00804795"/>
    <w:rsid w:val="008054E7"/>
    <w:rsid w:val="008078F5"/>
    <w:rsid w:val="0081016B"/>
    <w:rsid w:val="0081056B"/>
    <w:rsid w:val="00810A77"/>
    <w:rsid w:val="00810DB0"/>
    <w:rsid w:val="00811CE1"/>
    <w:rsid w:val="0081251D"/>
    <w:rsid w:val="00812ACE"/>
    <w:rsid w:val="00812E90"/>
    <w:rsid w:val="00812EB8"/>
    <w:rsid w:val="0081315F"/>
    <w:rsid w:val="0081378C"/>
    <w:rsid w:val="00813E3C"/>
    <w:rsid w:val="0081430C"/>
    <w:rsid w:val="00814523"/>
    <w:rsid w:val="00814ED3"/>
    <w:rsid w:val="008155B6"/>
    <w:rsid w:val="008163C2"/>
    <w:rsid w:val="00817381"/>
    <w:rsid w:val="008178AD"/>
    <w:rsid w:val="0082064C"/>
    <w:rsid w:val="008209AF"/>
    <w:rsid w:val="008212D6"/>
    <w:rsid w:val="008213CB"/>
    <w:rsid w:val="008217F1"/>
    <w:rsid w:val="008227F6"/>
    <w:rsid w:val="00823E76"/>
    <w:rsid w:val="00824224"/>
    <w:rsid w:val="00824228"/>
    <w:rsid w:val="00825089"/>
    <w:rsid w:val="008252E0"/>
    <w:rsid w:val="00825490"/>
    <w:rsid w:val="00825DB0"/>
    <w:rsid w:val="00827262"/>
    <w:rsid w:val="00827343"/>
    <w:rsid w:val="0082756D"/>
    <w:rsid w:val="00831586"/>
    <w:rsid w:val="00831927"/>
    <w:rsid w:val="00831AC4"/>
    <w:rsid w:val="00832677"/>
    <w:rsid w:val="00834083"/>
    <w:rsid w:val="0083435A"/>
    <w:rsid w:val="00834FDE"/>
    <w:rsid w:val="00836150"/>
    <w:rsid w:val="008366FA"/>
    <w:rsid w:val="00836C38"/>
    <w:rsid w:val="00836FC4"/>
    <w:rsid w:val="00837366"/>
    <w:rsid w:val="00837F23"/>
    <w:rsid w:val="00840B30"/>
    <w:rsid w:val="00840F49"/>
    <w:rsid w:val="008428C1"/>
    <w:rsid w:val="00842A65"/>
    <w:rsid w:val="00842CA9"/>
    <w:rsid w:val="0084350E"/>
    <w:rsid w:val="0084359E"/>
    <w:rsid w:val="008436D6"/>
    <w:rsid w:val="008442B3"/>
    <w:rsid w:val="00844318"/>
    <w:rsid w:val="00844677"/>
    <w:rsid w:val="008446EF"/>
    <w:rsid w:val="00844CC1"/>
    <w:rsid w:val="00844E09"/>
    <w:rsid w:val="00845A88"/>
    <w:rsid w:val="008464DC"/>
    <w:rsid w:val="00846A0F"/>
    <w:rsid w:val="00851242"/>
    <w:rsid w:val="00851593"/>
    <w:rsid w:val="008518EA"/>
    <w:rsid w:val="00851B3D"/>
    <w:rsid w:val="00851B42"/>
    <w:rsid w:val="00851F06"/>
    <w:rsid w:val="00851F6F"/>
    <w:rsid w:val="0085295A"/>
    <w:rsid w:val="00853A99"/>
    <w:rsid w:val="008549B7"/>
    <w:rsid w:val="00855223"/>
    <w:rsid w:val="008565A3"/>
    <w:rsid w:val="008567C4"/>
    <w:rsid w:val="00856AC4"/>
    <w:rsid w:val="00856F27"/>
    <w:rsid w:val="008600DD"/>
    <w:rsid w:val="008601F3"/>
    <w:rsid w:val="00860AAC"/>
    <w:rsid w:val="00861367"/>
    <w:rsid w:val="00861DF4"/>
    <w:rsid w:val="008629E3"/>
    <w:rsid w:val="00863F39"/>
    <w:rsid w:val="00864290"/>
    <w:rsid w:val="00864675"/>
    <w:rsid w:val="00865289"/>
    <w:rsid w:val="0086539A"/>
    <w:rsid w:val="008654A5"/>
    <w:rsid w:val="0086565A"/>
    <w:rsid w:val="00865EAF"/>
    <w:rsid w:val="008667F9"/>
    <w:rsid w:val="00870435"/>
    <w:rsid w:val="00870482"/>
    <w:rsid w:val="008709B2"/>
    <w:rsid w:val="0087148E"/>
    <w:rsid w:val="0087181A"/>
    <w:rsid w:val="008718CE"/>
    <w:rsid w:val="00872A2E"/>
    <w:rsid w:val="00872EB0"/>
    <w:rsid w:val="00872FB2"/>
    <w:rsid w:val="0087340C"/>
    <w:rsid w:val="0087482B"/>
    <w:rsid w:val="00874A20"/>
    <w:rsid w:val="00874F62"/>
    <w:rsid w:val="008750ED"/>
    <w:rsid w:val="0087581D"/>
    <w:rsid w:val="0087720A"/>
    <w:rsid w:val="00877FF3"/>
    <w:rsid w:val="0088112A"/>
    <w:rsid w:val="008820B5"/>
    <w:rsid w:val="00882227"/>
    <w:rsid w:val="00882BAD"/>
    <w:rsid w:val="00883872"/>
    <w:rsid w:val="00883A4A"/>
    <w:rsid w:val="00883DD5"/>
    <w:rsid w:val="00883E84"/>
    <w:rsid w:val="00883F43"/>
    <w:rsid w:val="00884147"/>
    <w:rsid w:val="00884584"/>
    <w:rsid w:val="00884698"/>
    <w:rsid w:val="00885738"/>
    <w:rsid w:val="00885B2E"/>
    <w:rsid w:val="008865AF"/>
    <w:rsid w:val="008865D4"/>
    <w:rsid w:val="008868BD"/>
    <w:rsid w:val="00886956"/>
    <w:rsid w:val="00886BFF"/>
    <w:rsid w:val="008872FF"/>
    <w:rsid w:val="0088733C"/>
    <w:rsid w:val="008879F4"/>
    <w:rsid w:val="00887C8C"/>
    <w:rsid w:val="00887D5E"/>
    <w:rsid w:val="00890288"/>
    <w:rsid w:val="008909F9"/>
    <w:rsid w:val="00890ACF"/>
    <w:rsid w:val="00890C03"/>
    <w:rsid w:val="00891077"/>
    <w:rsid w:val="00891152"/>
    <w:rsid w:val="00891603"/>
    <w:rsid w:val="00891639"/>
    <w:rsid w:val="00891ABA"/>
    <w:rsid w:val="00891E32"/>
    <w:rsid w:val="00894283"/>
    <w:rsid w:val="00894ABA"/>
    <w:rsid w:val="00895551"/>
    <w:rsid w:val="008956F1"/>
    <w:rsid w:val="00895CE9"/>
    <w:rsid w:val="008966E9"/>
    <w:rsid w:val="008972FD"/>
    <w:rsid w:val="0089777D"/>
    <w:rsid w:val="008A07BF"/>
    <w:rsid w:val="008A151C"/>
    <w:rsid w:val="008A1E73"/>
    <w:rsid w:val="008A2D05"/>
    <w:rsid w:val="008A39B1"/>
    <w:rsid w:val="008A3B5E"/>
    <w:rsid w:val="008A4759"/>
    <w:rsid w:val="008A4DCB"/>
    <w:rsid w:val="008A555A"/>
    <w:rsid w:val="008A5AC5"/>
    <w:rsid w:val="008A5B86"/>
    <w:rsid w:val="008A603F"/>
    <w:rsid w:val="008A6302"/>
    <w:rsid w:val="008A6519"/>
    <w:rsid w:val="008A6A8B"/>
    <w:rsid w:val="008A793B"/>
    <w:rsid w:val="008A7F53"/>
    <w:rsid w:val="008B0399"/>
    <w:rsid w:val="008B084E"/>
    <w:rsid w:val="008B128D"/>
    <w:rsid w:val="008B1706"/>
    <w:rsid w:val="008B1E7A"/>
    <w:rsid w:val="008B2E64"/>
    <w:rsid w:val="008B37B5"/>
    <w:rsid w:val="008B39F1"/>
    <w:rsid w:val="008B471D"/>
    <w:rsid w:val="008B4885"/>
    <w:rsid w:val="008B48E1"/>
    <w:rsid w:val="008B4B00"/>
    <w:rsid w:val="008B5F26"/>
    <w:rsid w:val="008B5FB8"/>
    <w:rsid w:val="008B6AD0"/>
    <w:rsid w:val="008B6F5D"/>
    <w:rsid w:val="008B78EC"/>
    <w:rsid w:val="008C01EC"/>
    <w:rsid w:val="008C0407"/>
    <w:rsid w:val="008C0435"/>
    <w:rsid w:val="008C07D4"/>
    <w:rsid w:val="008C21C8"/>
    <w:rsid w:val="008C2431"/>
    <w:rsid w:val="008C281E"/>
    <w:rsid w:val="008C2C2D"/>
    <w:rsid w:val="008C2F29"/>
    <w:rsid w:val="008C336A"/>
    <w:rsid w:val="008C36D2"/>
    <w:rsid w:val="008C39B9"/>
    <w:rsid w:val="008C3D00"/>
    <w:rsid w:val="008C417C"/>
    <w:rsid w:val="008C4433"/>
    <w:rsid w:val="008C5264"/>
    <w:rsid w:val="008C54BA"/>
    <w:rsid w:val="008C55B7"/>
    <w:rsid w:val="008C6233"/>
    <w:rsid w:val="008C6243"/>
    <w:rsid w:val="008C69B9"/>
    <w:rsid w:val="008C69F8"/>
    <w:rsid w:val="008C6E21"/>
    <w:rsid w:val="008C6F20"/>
    <w:rsid w:val="008C6F9E"/>
    <w:rsid w:val="008C737E"/>
    <w:rsid w:val="008C7452"/>
    <w:rsid w:val="008D0115"/>
    <w:rsid w:val="008D0320"/>
    <w:rsid w:val="008D143D"/>
    <w:rsid w:val="008D145D"/>
    <w:rsid w:val="008D17D7"/>
    <w:rsid w:val="008D18B7"/>
    <w:rsid w:val="008D3955"/>
    <w:rsid w:val="008D3D19"/>
    <w:rsid w:val="008D3D31"/>
    <w:rsid w:val="008D5861"/>
    <w:rsid w:val="008D5ED6"/>
    <w:rsid w:val="008D6328"/>
    <w:rsid w:val="008D69DA"/>
    <w:rsid w:val="008D6B72"/>
    <w:rsid w:val="008D6D85"/>
    <w:rsid w:val="008D6FF3"/>
    <w:rsid w:val="008D792A"/>
    <w:rsid w:val="008E021C"/>
    <w:rsid w:val="008E0328"/>
    <w:rsid w:val="008E143A"/>
    <w:rsid w:val="008E14D4"/>
    <w:rsid w:val="008E2B6C"/>
    <w:rsid w:val="008E3044"/>
    <w:rsid w:val="008E3C1B"/>
    <w:rsid w:val="008E5275"/>
    <w:rsid w:val="008E6310"/>
    <w:rsid w:val="008E6541"/>
    <w:rsid w:val="008E67FC"/>
    <w:rsid w:val="008E6AF7"/>
    <w:rsid w:val="008E751A"/>
    <w:rsid w:val="008E78EC"/>
    <w:rsid w:val="008E7F63"/>
    <w:rsid w:val="008F128E"/>
    <w:rsid w:val="008F13B8"/>
    <w:rsid w:val="008F1626"/>
    <w:rsid w:val="008F1A35"/>
    <w:rsid w:val="008F21F4"/>
    <w:rsid w:val="008F25DB"/>
    <w:rsid w:val="008F2DF3"/>
    <w:rsid w:val="008F3FB1"/>
    <w:rsid w:val="008F4044"/>
    <w:rsid w:val="008F46B0"/>
    <w:rsid w:val="008F5454"/>
    <w:rsid w:val="008F58A3"/>
    <w:rsid w:val="008F58C0"/>
    <w:rsid w:val="008F6506"/>
    <w:rsid w:val="009003D1"/>
    <w:rsid w:val="0090047A"/>
    <w:rsid w:val="009005BA"/>
    <w:rsid w:val="009005BE"/>
    <w:rsid w:val="00900804"/>
    <w:rsid w:val="00901F13"/>
    <w:rsid w:val="00902220"/>
    <w:rsid w:val="0090255B"/>
    <w:rsid w:val="00902C59"/>
    <w:rsid w:val="00902E05"/>
    <w:rsid w:val="00903A9A"/>
    <w:rsid w:val="009046D2"/>
    <w:rsid w:val="009051B5"/>
    <w:rsid w:val="0090539E"/>
    <w:rsid w:val="009055D2"/>
    <w:rsid w:val="0090564E"/>
    <w:rsid w:val="00905A7D"/>
    <w:rsid w:val="00905B00"/>
    <w:rsid w:val="0090739A"/>
    <w:rsid w:val="00907A42"/>
    <w:rsid w:val="00907BCA"/>
    <w:rsid w:val="009112C0"/>
    <w:rsid w:val="0091175B"/>
    <w:rsid w:val="009120C5"/>
    <w:rsid w:val="009126FC"/>
    <w:rsid w:val="009137AE"/>
    <w:rsid w:val="009139EB"/>
    <w:rsid w:val="009156AA"/>
    <w:rsid w:val="00915EC1"/>
    <w:rsid w:val="0091679F"/>
    <w:rsid w:val="00916FED"/>
    <w:rsid w:val="00920E25"/>
    <w:rsid w:val="00921377"/>
    <w:rsid w:val="00921764"/>
    <w:rsid w:val="00921F2A"/>
    <w:rsid w:val="009221B9"/>
    <w:rsid w:val="00922290"/>
    <w:rsid w:val="009225FD"/>
    <w:rsid w:val="0092260C"/>
    <w:rsid w:val="00922A97"/>
    <w:rsid w:val="00922DAC"/>
    <w:rsid w:val="009231EF"/>
    <w:rsid w:val="009238F5"/>
    <w:rsid w:val="00924B5D"/>
    <w:rsid w:val="00925726"/>
    <w:rsid w:val="00926C8B"/>
    <w:rsid w:val="00927532"/>
    <w:rsid w:val="00927786"/>
    <w:rsid w:val="00927DA4"/>
    <w:rsid w:val="009306D1"/>
    <w:rsid w:val="0093187A"/>
    <w:rsid w:val="009323AA"/>
    <w:rsid w:val="00932526"/>
    <w:rsid w:val="00932618"/>
    <w:rsid w:val="0093261A"/>
    <w:rsid w:val="0093278A"/>
    <w:rsid w:val="00933173"/>
    <w:rsid w:val="00933320"/>
    <w:rsid w:val="0093361C"/>
    <w:rsid w:val="00933695"/>
    <w:rsid w:val="00933CC4"/>
    <w:rsid w:val="00934298"/>
    <w:rsid w:val="00935AFB"/>
    <w:rsid w:val="0093610E"/>
    <w:rsid w:val="00936618"/>
    <w:rsid w:val="009371A8"/>
    <w:rsid w:val="009371C2"/>
    <w:rsid w:val="00937FEE"/>
    <w:rsid w:val="00940DB6"/>
    <w:rsid w:val="00941D59"/>
    <w:rsid w:val="00942AE1"/>
    <w:rsid w:val="00942E24"/>
    <w:rsid w:val="00942F9D"/>
    <w:rsid w:val="009448BD"/>
    <w:rsid w:val="00944B08"/>
    <w:rsid w:val="00944CD8"/>
    <w:rsid w:val="00944F65"/>
    <w:rsid w:val="009458C8"/>
    <w:rsid w:val="009463BB"/>
    <w:rsid w:val="00946958"/>
    <w:rsid w:val="009475F6"/>
    <w:rsid w:val="00950898"/>
    <w:rsid w:val="00951068"/>
    <w:rsid w:val="0095128E"/>
    <w:rsid w:val="00951C93"/>
    <w:rsid w:val="00953315"/>
    <w:rsid w:val="00954A4F"/>
    <w:rsid w:val="00954AEA"/>
    <w:rsid w:val="00954B6A"/>
    <w:rsid w:val="009569EE"/>
    <w:rsid w:val="00957C19"/>
    <w:rsid w:val="00960C10"/>
    <w:rsid w:val="00960C59"/>
    <w:rsid w:val="00961EE7"/>
    <w:rsid w:val="00963B35"/>
    <w:rsid w:val="0096404E"/>
    <w:rsid w:val="009647C4"/>
    <w:rsid w:val="00964802"/>
    <w:rsid w:val="00964D89"/>
    <w:rsid w:val="0096562C"/>
    <w:rsid w:val="00966DD9"/>
    <w:rsid w:val="00967793"/>
    <w:rsid w:val="00967C74"/>
    <w:rsid w:val="00967CF2"/>
    <w:rsid w:val="00967DC6"/>
    <w:rsid w:val="00970450"/>
    <w:rsid w:val="00970E9F"/>
    <w:rsid w:val="0097135B"/>
    <w:rsid w:val="00971A05"/>
    <w:rsid w:val="00971EDF"/>
    <w:rsid w:val="009738E8"/>
    <w:rsid w:val="00974287"/>
    <w:rsid w:val="00975AB0"/>
    <w:rsid w:val="00976684"/>
    <w:rsid w:val="009768EB"/>
    <w:rsid w:val="00976DCA"/>
    <w:rsid w:val="00977044"/>
    <w:rsid w:val="00977993"/>
    <w:rsid w:val="009806D7"/>
    <w:rsid w:val="00980773"/>
    <w:rsid w:val="009808FC"/>
    <w:rsid w:val="00981041"/>
    <w:rsid w:val="00982AE1"/>
    <w:rsid w:val="00982D20"/>
    <w:rsid w:val="0098339B"/>
    <w:rsid w:val="0098377A"/>
    <w:rsid w:val="00983CDF"/>
    <w:rsid w:val="00983EDB"/>
    <w:rsid w:val="00983F0C"/>
    <w:rsid w:val="009853E4"/>
    <w:rsid w:val="0098601D"/>
    <w:rsid w:val="009869FD"/>
    <w:rsid w:val="009872DF"/>
    <w:rsid w:val="009875BF"/>
    <w:rsid w:val="00987681"/>
    <w:rsid w:val="009878C2"/>
    <w:rsid w:val="00987E8B"/>
    <w:rsid w:val="00987FB9"/>
    <w:rsid w:val="00990241"/>
    <w:rsid w:val="00990423"/>
    <w:rsid w:val="00990453"/>
    <w:rsid w:val="009905D4"/>
    <w:rsid w:val="009907AB"/>
    <w:rsid w:val="00990F2A"/>
    <w:rsid w:val="00991020"/>
    <w:rsid w:val="00992A26"/>
    <w:rsid w:val="00992AEC"/>
    <w:rsid w:val="00992D3F"/>
    <w:rsid w:val="00993B34"/>
    <w:rsid w:val="00993B8D"/>
    <w:rsid w:val="00993F80"/>
    <w:rsid w:val="0099526A"/>
    <w:rsid w:val="009959E4"/>
    <w:rsid w:val="00996384"/>
    <w:rsid w:val="0099649F"/>
    <w:rsid w:val="00996A34"/>
    <w:rsid w:val="009976AB"/>
    <w:rsid w:val="00997727"/>
    <w:rsid w:val="009A0E07"/>
    <w:rsid w:val="009A0F3F"/>
    <w:rsid w:val="009A1518"/>
    <w:rsid w:val="009A15DC"/>
    <w:rsid w:val="009A17F3"/>
    <w:rsid w:val="009A1FED"/>
    <w:rsid w:val="009A2272"/>
    <w:rsid w:val="009A23E8"/>
    <w:rsid w:val="009A283F"/>
    <w:rsid w:val="009A2BCE"/>
    <w:rsid w:val="009A2CD7"/>
    <w:rsid w:val="009A2F92"/>
    <w:rsid w:val="009A3015"/>
    <w:rsid w:val="009A32FD"/>
    <w:rsid w:val="009A33AE"/>
    <w:rsid w:val="009A389B"/>
    <w:rsid w:val="009A4FD8"/>
    <w:rsid w:val="009A60B2"/>
    <w:rsid w:val="009A66C7"/>
    <w:rsid w:val="009A6861"/>
    <w:rsid w:val="009B0643"/>
    <w:rsid w:val="009B0664"/>
    <w:rsid w:val="009B0704"/>
    <w:rsid w:val="009B11FE"/>
    <w:rsid w:val="009B1670"/>
    <w:rsid w:val="009B1B35"/>
    <w:rsid w:val="009B1CC2"/>
    <w:rsid w:val="009B1D57"/>
    <w:rsid w:val="009B21C2"/>
    <w:rsid w:val="009B2684"/>
    <w:rsid w:val="009B2BC9"/>
    <w:rsid w:val="009B2E8A"/>
    <w:rsid w:val="009B37CD"/>
    <w:rsid w:val="009B3A7E"/>
    <w:rsid w:val="009B3F12"/>
    <w:rsid w:val="009B41A7"/>
    <w:rsid w:val="009B4A55"/>
    <w:rsid w:val="009B4C47"/>
    <w:rsid w:val="009B4E99"/>
    <w:rsid w:val="009B4E9B"/>
    <w:rsid w:val="009B4F9C"/>
    <w:rsid w:val="009B5479"/>
    <w:rsid w:val="009B5798"/>
    <w:rsid w:val="009B5CB9"/>
    <w:rsid w:val="009B6BED"/>
    <w:rsid w:val="009B6C6F"/>
    <w:rsid w:val="009B767D"/>
    <w:rsid w:val="009B7AAF"/>
    <w:rsid w:val="009B7BD2"/>
    <w:rsid w:val="009B7CA3"/>
    <w:rsid w:val="009B7DFF"/>
    <w:rsid w:val="009C0A8A"/>
    <w:rsid w:val="009C16F3"/>
    <w:rsid w:val="009C1DF4"/>
    <w:rsid w:val="009C1F4C"/>
    <w:rsid w:val="009C209B"/>
    <w:rsid w:val="009C2542"/>
    <w:rsid w:val="009C2821"/>
    <w:rsid w:val="009C4B39"/>
    <w:rsid w:val="009C5E92"/>
    <w:rsid w:val="009C5F4F"/>
    <w:rsid w:val="009C614A"/>
    <w:rsid w:val="009C693C"/>
    <w:rsid w:val="009C6CB9"/>
    <w:rsid w:val="009C7281"/>
    <w:rsid w:val="009C7310"/>
    <w:rsid w:val="009C76DD"/>
    <w:rsid w:val="009D0519"/>
    <w:rsid w:val="009D08AC"/>
    <w:rsid w:val="009D12CF"/>
    <w:rsid w:val="009D291B"/>
    <w:rsid w:val="009D3722"/>
    <w:rsid w:val="009D3745"/>
    <w:rsid w:val="009D3762"/>
    <w:rsid w:val="009D3C45"/>
    <w:rsid w:val="009D3FA1"/>
    <w:rsid w:val="009D4CBB"/>
    <w:rsid w:val="009D506E"/>
    <w:rsid w:val="009D5A35"/>
    <w:rsid w:val="009D604B"/>
    <w:rsid w:val="009D6331"/>
    <w:rsid w:val="009D6EAA"/>
    <w:rsid w:val="009D701B"/>
    <w:rsid w:val="009D75D2"/>
    <w:rsid w:val="009E000C"/>
    <w:rsid w:val="009E01B0"/>
    <w:rsid w:val="009E0462"/>
    <w:rsid w:val="009E069B"/>
    <w:rsid w:val="009E0C18"/>
    <w:rsid w:val="009E1141"/>
    <w:rsid w:val="009E1B17"/>
    <w:rsid w:val="009E20F0"/>
    <w:rsid w:val="009E237C"/>
    <w:rsid w:val="009E2B59"/>
    <w:rsid w:val="009E3F73"/>
    <w:rsid w:val="009E3FFD"/>
    <w:rsid w:val="009E5878"/>
    <w:rsid w:val="009E63BE"/>
    <w:rsid w:val="009E79F8"/>
    <w:rsid w:val="009F108F"/>
    <w:rsid w:val="009F14D6"/>
    <w:rsid w:val="009F1BCD"/>
    <w:rsid w:val="009F2796"/>
    <w:rsid w:val="009F3275"/>
    <w:rsid w:val="009F32A4"/>
    <w:rsid w:val="009F3A41"/>
    <w:rsid w:val="009F3FE6"/>
    <w:rsid w:val="009F46AF"/>
    <w:rsid w:val="009F4C50"/>
    <w:rsid w:val="009F523A"/>
    <w:rsid w:val="009F54FB"/>
    <w:rsid w:val="009F5B47"/>
    <w:rsid w:val="009F5C11"/>
    <w:rsid w:val="009F6059"/>
    <w:rsid w:val="009F675E"/>
    <w:rsid w:val="009F6AAC"/>
    <w:rsid w:val="009F6AD3"/>
    <w:rsid w:val="009F6AD7"/>
    <w:rsid w:val="009F6DA9"/>
    <w:rsid w:val="00A006E9"/>
    <w:rsid w:val="00A01D61"/>
    <w:rsid w:val="00A0253A"/>
    <w:rsid w:val="00A02FD6"/>
    <w:rsid w:val="00A03610"/>
    <w:rsid w:val="00A03C78"/>
    <w:rsid w:val="00A043F8"/>
    <w:rsid w:val="00A04690"/>
    <w:rsid w:val="00A05440"/>
    <w:rsid w:val="00A0595D"/>
    <w:rsid w:val="00A07155"/>
    <w:rsid w:val="00A07F9A"/>
    <w:rsid w:val="00A10742"/>
    <w:rsid w:val="00A11227"/>
    <w:rsid w:val="00A11579"/>
    <w:rsid w:val="00A11BEA"/>
    <w:rsid w:val="00A11D5A"/>
    <w:rsid w:val="00A1277E"/>
    <w:rsid w:val="00A129D6"/>
    <w:rsid w:val="00A131B0"/>
    <w:rsid w:val="00A13472"/>
    <w:rsid w:val="00A13943"/>
    <w:rsid w:val="00A149D5"/>
    <w:rsid w:val="00A14D22"/>
    <w:rsid w:val="00A15B14"/>
    <w:rsid w:val="00A15B83"/>
    <w:rsid w:val="00A16066"/>
    <w:rsid w:val="00A16ED2"/>
    <w:rsid w:val="00A1744B"/>
    <w:rsid w:val="00A17864"/>
    <w:rsid w:val="00A17C99"/>
    <w:rsid w:val="00A17F45"/>
    <w:rsid w:val="00A20206"/>
    <w:rsid w:val="00A2071A"/>
    <w:rsid w:val="00A20C15"/>
    <w:rsid w:val="00A21BF1"/>
    <w:rsid w:val="00A222FF"/>
    <w:rsid w:val="00A2281D"/>
    <w:rsid w:val="00A23078"/>
    <w:rsid w:val="00A2319B"/>
    <w:rsid w:val="00A238E3"/>
    <w:rsid w:val="00A2531C"/>
    <w:rsid w:val="00A258C2"/>
    <w:rsid w:val="00A25960"/>
    <w:rsid w:val="00A261D0"/>
    <w:rsid w:val="00A2624A"/>
    <w:rsid w:val="00A2635E"/>
    <w:rsid w:val="00A263E1"/>
    <w:rsid w:val="00A271CD"/>
    <w:rsid w:val="00A2776F"/>
    <w:rsid w:val="00A27E5E"/>
    <w:rsid w:val="00A301D0"/>
    <w:rsid w:val="00A3187C"/>
    <w:rsid w:val="00A322EC"/>
    <w:rsid w:val="00A32886"/>
    <w:rsid w:val="00A32F19"/>
    <w:rsid w:val="00A335E0"/>
    <w:rsid w:val="00A33D0D"/>
    <w:rsid w:val="00A3460E"/>
    <w:rsid w:val="00A353FF"/>
    <w:rsid w:val="00A35972"/>
    <w:rsid w:val="00A3631A"/>
    <w:rsid w:val="00A366ED"/>
    <w:rsid w:val="00A3692C"/>
    <w:rsid w:val="00A36E9A"/>
    <w:rsid w:val="00A3766D"/>
    <w:rsid w:val="00A37F69"/>
    <w:rsid w:val="00A4054E"/>
    <w:rsid w:val="00A40782"/>
    <w:rsid w:val="00A413AD"/>
    <w:rsid w:val="00A41701"/>
    <w:rsid w:val="00A418E1"/>
    <w:rsid w:val="00A421C4"/>
    <w:rsid w:val="00A42958"/>
    <w:rsid w:val="00A43F26"/>
    <w:rsid w:val="00A443D3"/>
    <w:rsid w:val="00A448B1"/>
    <w:rsid w:val="00A44D8D"/>
    <w:rsid w:val="00A44DB3"/>
    <w:rsid w:val="00A45A0F"/>
    <w:rsid w:val="00A45FE0"/>
    <w:rsid w:val="00A4642A"/>
    <w:rsid w:val="00A469FA"/>
    <w:rsid w:val="00A476A6"/>
    <w:rsid w:val="00A47874"/>
    <w:rsid w:val="00A47F6A"/>
    <w:rsid w:val="00A5049B"/>
    <w:rsid w:val="00A505E6"/>
    <w:rsid w:val="00A509F8"/>
    <w:rsid w:val="00A511BB"/>
    <w:rsid w:val="00A512A4"/>
    <w:rsid w:val="00A514BA"/>
    <w:rsid w:val="00A52314"/>
    <w:rsid w:val="00A52FD2"/>
    <w:rsid w:val="00A5360F"/>
    <w:rsid w:val="00A53BE5"/>
    <w:rsid w:val="00A542A9"/>
    <w:rsid w:val="00A54938"/>
    <w:rsid w:val="00A54B34"/>
    <w:rsid w:val="00A553A7"/>
    <w:rsid w:val="00A5543E"/>
    <w:rsid w:val="00A556FA"/>
    <w:rsid w:val="00A564B1"/>
    <w:rsid w:val="00A56BDA"/>
    <w:rsid w:val="00A56D65"/>
    <w:rsid w:val="00A57B01"/>
    <w:rsid w:val="00A57EF5"/>
    <w:rsid w:val="00A60B0B"/>
    <w:rsid w:val="00A60BC7"/>
    <w:rsid w:val="00A62612"/>
    <w:rsid w:val="00A62A36"/>
    <w:rsid w:val="00A62AF3"/>
    <w:rsid w:val="00A62BC4"/>
    <w:rsid w:val="00A62FAE"/>
    <w:rsid w:val="00A6358C"/>
    <w:rsid w:val="00A63BF3"/>
    <w:rsid w:val="00A63E29"/>
    <w:rsid w:val="00A64635"/>
    <w:rsid w:val="00A64D41"/>
    <w:rsid w:val="00A64EA8"/>
    <w:rsid w:val="00A656B3"/>
    <w:rsid w:val="00A65AD4"/>
    <w:rsid w:val="00A66C0E"/>
    <w:rsid w:val="00A67559"/>
    <w:rsid w:val="00A67590"/>
    <w:rsid w:val="00A701BD"/>
    <w:rsid w:val="00A70307"/>
    <w:rsid w:val="00A70F36"/>
    <w:rsid w:val="00A713BB"/>
    <w:rsid w:val="00A7197E"/>
    <w:rsid w:val="00A71BCE"/>
    <w:rsid w:val="00A71D9A"/>
    <w:rsid w:val="00A722CD"/>
    <w:rsid w:val="00A729B7"/>
    <w:rsid w:val="00A731DC"/>
    <w:rsid w:val="00A735AE"/>
    <w:rsid w:val="00A7497A"/>
    <w:rsid w:val="00A74C63"/>
    <w:rsid w:val="00A753D1"/>
    <w:rsid w:val="00A75759"/>
    <w:rsid w:val="00A76C04"/>
    <w:rsid w:val="00A8012C"/>
    <w:rsid w:val="00A806AE"/>
    <w:rsid w:val="00A80795"/>
    <w:rsid w:val="00A80AFE"/>
    <w:rsid w:val="00A8144F"/>
    <w:rsid w:val="00A8155B"/>
    <w:rsid w:val="00A8196F"/>
    <w:rsid w:val="00A82069"/>
    <w:rsid w:val="00A82486"/>
    <w:rsid w:val="00A8325F"/>
    <w:rsid w:val="00A8327C"/>
    <w:rsid w:val="00A834F7"/>
    <w:rsid w:val="00A83550"/>
    <w:rsid w:val="00A83765"/>
    <w:rsid w:val="00A83CEF"/>
    <w:rsid w:val="00A8450D"/>
    <w:rsid w:val="00A846BB"/>
    <w:rsid w:val="00A84FB2"/>
    <w:rsid w:val="00A8561D"/>
    <w:rsid w:val="00A8609D"/>
    <w:rsid w:val="00A860F4"/>
    <w:rsid w:val="00A86547"/>
    <w:rsid w:val="00A86638"/>
    <w:rsid w:val="00A86DDE"/>
    <w:rsid w:val="00A87E23"/>
    <w:rsid w:val="00A91A3C"/>
    <w:rsid w:val="00A91B82"/>
    <w:rsid w:val="00A9252F"/>
    <w:rsid w:val="00A92EC3"/>
    <w:rsid w:val="00A946B0"/>
    <w:rsid w:val="00A94F7B"/>
    <w:rsid w:val="00A9568F"/>
    <w:rsid w:val="00A95888"/>
    <w:rsid w:val="00A96648"/>
    <w:rsid w:val="00AA0454"/>
    <w:rsid w:val="00AA22AB"/>
    <w:rsid w:val="00AA282C"/>
    <w:rsid w:val="00AA311B"/>
    <w:rsid w:val="00AA3361"/>
    <w:rsid w:val="00AA3D06"/>
    <w:rsid w:val="00AA45E1"/>
    <w:rsid w:val="00AA5386"/>
    <w:rsid w:val="00AA6DB3"/>
    <w:rsid w:val="00AA77A2"/>
    <w:rsid w:val="00AA7BF2"/>
    <w:rsid w:val="00AA7C2B"/>
    <w:rsid w:val="00AA7F57"/>
    <w:rsid w:val="00AB0120"/>
    <w:rsid w:val="00AB0840"/>
    <w:rsid w:val="00AB0BA2"/>
    <w:rsid w:val="00AB0C4C"/>
    <w:rsid w:val="00AB10F6"/>
    <w:rsid w:val="00AB1776"/>
    <w:rsid w:val="00AB1936"/>
    <w:rsid w:val="00AB1E4C"/>
    <w:rsid w:val="00AB24C0"/>
    <w:rsid w:val="00AB2CC2"/>
    <w:rsid w:val="00AB2D94"/>
    <w:rsid w:val="00AB2F90"/>
    <w:rsid w:val="00AB2FCB"/>
    <w:rsid w:val="00AB36EB"/>
    <w:rsid w:val="00AB3B2D"/>
    <w:rsid w:val="00AB3EBE"/>
    <w:rsid w:val="00AB40CC"/>
    <w:rsid w:val="00AB4604"/>
    <w:rsid w:val="00AB5251"/>
    <w:rsid w:val="00AB5268"/>
    <w:rsid w:val="00AB5573"/>
    <w:rsid w:val="00AB5740"/>
    <w:rsid w:val="00AB5783"/>
    <w:rsid w:val="00AB58D4"/>
    <w:rsid w:val="00AB660E"/>
    <w:rsid w:val="00AB6658"/>
    <w:rsid w:val="00AB6D0F"/>
    <w:rsid w:val="00AB737D"/>
    <w:rsid w:val="00AB78CC"/>
    <w:rsid w:val="00AB7E98"/>
    <w:rsid w:val="00AC03F0"/>
    <w:rsid w:val="00AC062F"/>
    <w:rsid w:val="00AC073B"/>
    <w:rsid w:val="00AC1ACE"/>
    <w:rsid w:val="00AC2570"/>
    <w:rsid w:val="00AC2664"/>
    <w:rsid w:val="00AC28FD"/>
    <w:rsid w:val="00AC3858"/>
    <w:rsid w:val="00AC39C8"/>
    <w:rsid w:val="00AC4C09"/>
    <w:rsid w:val="00AC4C44"/>
    <w:rsid w:val="00AC5503"/>
    <w:rsid w:val="00AC5588"/>
    <w:rsid w:val="00AC5A80"/>
    <w:rsid w:val="00AC5B98"/>
    <w:rsid w:val="00AC63B9"/>
    <w:rsid w:val="00AC6B99"/>
    <w:rsid w:val="00AC6E6A"/>
    <w:rsid w:val="00AC6EA9"/>
    <w:rsid w:val="00AC6F0C"/>
    <w:rsid w:val="00AC7CFF"/>
    <w:rsid w:val="00AD0304"/>
    <w:rsid w:val="00AD0B94"/>
    <w:rsid w:val="00AD12EC"/>
    <w:rsid w:val="00AD2CA8"/>
    <w:rsid w:val="00AD317C"/>
    <w:rsid w:val="00AD3354"/>
    <w:rsid w:val="00AD3F4B"/>
    <w:rsid w:val="00AD45CE"/>
    <w:rsid w:val="00AD66BF"/>
    <w:rsid w:val="00AD68B0"/>
    <w:rsid w:val="00AD6B02"/>
    <w:rsid w:val="00AD72FC"/>
    <w:rsid w:val="00AE1107"/>
    <w:rsid w:val="00AE1217"/>
    <w:rsid w:val="00AE191D"/>
    <w:rsid w:val="00AE1F15"/>
    <w:rsid w:val="00AE3B3E"/>
    <w:rsid w:val="00AE3E0B"/>
    <w:rsid w:val="00AE4A43"/>
    <w:rsid w:val="00AE4C77"/>
    <w:rsid w:val="00AE5193"/>
    <w:rsid w:val="00AE576C"/>
    <w:rsid w:val="00AE5CEF"/>
    <w:rsid w:val="00AE66DC"/>
    <w:rsid w:val="00AE79DF"/>
    <w:rsid w:val="00AE7C28"/>
    <w:rsid w:val="00AF056D"/>
    <w:rsid w:val="00AF059E"/>
    <w:rsid w:val="00AF0CDE"/>
    <w:rsid w:val="00AF1B13"/>
    <w:rsid w:val="00AF2142"/>
    <w:rsid w:val="00AF2259"/>
    <w:rsid w:val="00AF2A80"/>
    <w:rsid w:val="00AF3764"/>
    <w:rsid w:val="00AF3B95"/>
    <w:rsid w:val="00AF4032"/>
    <w:rsid w:val="00AF4701"/>
    <w:rsid w:val="00AF49BA"/>
    <w:rsid w:val="00AF49BB"/>
    <w:rsid w:val="00AF4B46"/>
    <w:rsid w:val="00AF4D58"/>
    <w:rsid w:val="00AF5B31"/>
    <w:rsid w:val="00AF5B91"/>
    <w:rsid w:val="00AF5DCD"/>
    <w:rsid w:val="00AF65A7"/>
    <w:rsid w:val="00AF6A64"/>
    <w:rsid w:val="00AF6BB3"/>
    <w:rsid w:val="00AF756A"/>
    <w:rsid w:val="00AF78DA"/>
    <w:rsid w:val="00AF7E93"/>
    <w:rsid w:val="00B001A9"/>
    <w:rsid w:val="00B011C9"/>
    <w:rsid w:val="00B01621"/>
    <w:rsid w:val="00B0230F"/>
    <w:rsid w:val="00B02A0E"/>
    <w:rsid w:val="00B02EC7"/>
    <w:rsid w:val="00B040A3"/>
    <w:rsid w:val="00B0475D"/>
    <w:rsid w:val="00B04873"/>
    <w:rsid w:val="00B04921"/>
    <w:rsid w:val="00B04AF7"/>
    <w:rsid w:val="00B0529D"/>
    <w:rsid w:val="00B052BE"/>
    <w:rsid w:val="00B06935"/>
    <w:rsid w:val="00B1116B"/>
    <w:rsid w:val="00B1156A"/>
    <w:rsid w:val="00B12A34"/>
    <w:rsid w:val="00B13D1E"/>
    <w:rsid w:val="00B14464"/>
    <w:rsid w:val="00B15286"/>
    <w:rsid w:val="00B153AB"/>
    <w:rsid w:val="00B16465"/>
    <w:rsid w:val="00B174F7"/>
    <w:rsid w:val="00B17611"/>
    <w:rsid w:val="00B178E0"/>
    <w:rsid w:val="00B20568"/>
    <w:rsid w:val="00B20803"/>
    <w:rsid w:val="00B20D46"/>
    <w:rsid w:val="00B213E9"/>
    <w:rsid w:val="00B215E7"/>
    <w:rsid w:val="00B21A75"/>
    <w:rsid w:val="00B21CD6"/>
    <w:rsid w:val="00B21F3D"/>
    <w:rsid w:val="00B2225A"/>
    <w:rsid w:val="00B22704"/>
    <w:rsid w:val="00B22951"/>
    <w:rsid w:val="00B229FC"/>
    <w:rsid w:val="00B22F72"/>
    <w:rsid w:val="00B23486"/>
    <w:rsid w:val="00B234C9"/>
    <w:rsid w:val="00B24C45"/>
    <w:rsid w:val="00B24E12"/>
    <w:rsid w:val="00B24F43"/>
    <w:rsid w:val="00B25559"/>
    <w:rsid w:val="00B25939"/>
    <w:rsid w:val="00B25A53"/>
    <w:rsid w:val="00B25CBA"/>
    <w:rsid w:val="00B25CC6"/>
    <w:rsid w:val="00B268C3"/>
    <w:rsid w:val="00B272A1"/>
    <w:rsid w:val="00B27AB4"/>
    <w:rsid w:val="00B30443"/>
    <w:rsid w:val="00B30E5C"/>
    <w:rsid w:val="00B311B8"/>
    <w:rsid w:val="00B313D9"/>
    <w:rsid w:val="00B31512"/>
    <w:rsid w:val="00B31558"/>
    <w:rsid w:val="00B316E1"/>
    <w:rsid w:val="00B31BBA"/>
    <w:rsid w:val="00B3255A"/>
    <w:rsid w:val="00B343CA"/>
    <w:rsid w:val="00B3495F"/>
    <w:rsid w:val="00B34F97"/>
    <w:rsid w:val="00B350E3"/>
    <w:rsid w:val="00B3539E"/>
    <w:rsid w:val="00B353FE"/>
    <w:rsid w:val="00B3542E"/>
    <w:rsid w:val="00B359BF"/>
    <w:rsid w:val="00B365B2"/>
    <w:rsid w:val="00B365D8"/>
    <w:rsid w:val="00B36B1D"/>
    <w:rsid w:val="00B36D0E"/>
    <w:rsid w:val="00B3755C"/>
    <w:rsid w:val="00B3780B"/>
    <w:rsid w:val="00B4040D"/>
    <w:rsid w:val="00B40421"/>
    <w:rsid w:val="00B404AA"/>
    <w:rsid w:val="00B40746"/>
    <w:rsid w:val="00B41247"/>
    <w:rsid w:val="00B42381"/>
    <w:rsid w:val="00B42754"/>
    <w:rsid w:val="00B427DD"/>
    <w:rsid w:val="00B42E48"/>
    <w:rsid w:val="00B4399A"/>
    <w:rsid w:val="00B43BB5"/>
    <w:rsid w:val="00B440E7"/>
    <w:rsid w:val="00B45B27"/>
    <w:rsid w:val="00B469F4"/>
    <w:rsid w:val="00B46A63"/>
    <w:rsid w:val="00B46BA3"/>
    <w:rsid w:val="00B46C65"/>
    <w:rsid w:val="00B4716E"/>
    <w:rsid w:val="00B472B9"/>
    <w:rsid w:val="00B50110"/>
    <w:rsid w:val="00B52F94"/>
    <w:rsid w:val="00B53E18"/>
    <w:rsid w:val="00B56100"/>
    <w:rsid w:val="00B56A4E"/>
    <w:rsid w:val="00B571A9"/>
    <w:rsid w:val="00B5734A"/>
    <w:rsid w:val="00B5753B"/>
    <w:rsid w:val="00B60218"/>
    <w:rsid w:val="00B629FA"/>
    <w:rsid w:val="00B62E19"/>
    <w:rsid w:val="00B63143"/>
    <w:rsid w:val="00B63D03"/>
    <w:rsid w:val="00B64281"/>
    <w:rsid w:val="00B64787"/>
    <w:rsid w:val="00B652BF"/>
    <w:rsid w:val="00B662D4"/>
    <w:rsid w:val="00B6652E"/>
    <w:rsid w:val="00B671BE"/>
    <w:rsid w:val="00B671EB"/>
    <w:rsid w:val="00B67612"/>
    <w:rsid w:val="00B67724"/>
    <w:rsid w:val="00B67D8D"/>
    <w:rsid w:val="00B7050D"/>
    <w:rsid w:val="00B707F0"/>
    <w:rsid w:val="00B70996"/>
    <w:rsid w:val="00B70A4D"/>
    <w:rsid w:val="00B71243"/>
    <w:rsid w:val="00B715A3"/>
    <w:rsid w:val="00B71BA9"/>
    <w:rsid w:val="00B7235B"/>
    <w:rsid w:val="00B728B3"/>
    <w:rsid w:val="00B73389"/>
    <w:rsid w:val="00B73B5C"/>
    <w:rsid w:val="00B745EF"/>
    <w:rsid w:val="00B74BED"/>
    <w:rsid w:val="00B7534B"/>
    <w:rsid w:val="00B76558"/>
    <w:rsid w:val="00B8051B"/>
    <w:rsid w:val="00B80BFE"/>
    <w:rsid w:val="00B81DD9"/>
    <w:rsid w:val="00B82AA2"/>
    <w:rsid w:val="00B830CC"/>
    <w:rsid w:val="00B832F6"/>
    <w:rsid w:val="00B842EF"/>
    <w:rsid w:val="00B849F6"/>
    <w:rsid w:val="00B85C1B"/>
    <w:rsid w:val="00B85F3F"/>
    <w:rsid w:val="00B861C7"/>
    <w:rsid w:val="00B87315"/>
    <w:rsid w:val="00B873D4"/>
    <w:rsid w:val="00B87E5B"/>
    <w:rsid w:val="00B903BF"/>
    <w:rsid w:val="00B90A1B"/>
    <w:rsid w:val="00B91AF9"/>
    <w:rsid w:val="00B91C73"/>
    <w:rsid w:val="00B92321"/>
    <w:rsid w:val="00B92643"/>
    <w:rsid w:val="00B92B1C"/>
    <w:rsid w:val="00B95E60"/>
    <w:rsid w:val="00B961C5"/>
    <w:rsid w:val="00B96421"/>
    <w:rsid w:val="00B96921"/>
    <w:rsid w:val="00B97193"/>
    <w:rsid w:val="00B9762F"/>
    <w:rsid w:val="00B978BC"/>
    <w:rsid w:val="00B97C45"/>
    <w:rsid w:val="00BA049C"/>
    <w:rsid w:val="00BA0DEA"/>
    <w:rsid w:val="00BA1064"/>
    <w:rsid w:val="00BA1623"/>
    <w:rsid w:val="00BA173F"/>
    <w:rsid w:val="00BA1D45"/>
    <w:rsid w:val="00BA2965"/>
    <w:rsid w:val="00BA2C5D"/>
    <w:rsid w:val="00BA3264"/>
    <w:rsid w:val="00BA3F1B"/>
    <w:rsid w:val="00BA458A"/>
    <w:rsid w:val="00BA467C"/>
    <w:rsid w:val="00BA4844"/>
    <w:rsid w:val="00BA5051"/>
    <w:rsid w:val="00BA5D4F"/>
    <w:rsid w:val="00BA6807"/>
    <w:rsid w:val="00BA69FF"/>
    <w:rsid w:val="00BA76C6"/>
    <w:rsid w:val="00BB00FC"/>
    <w:rsid w:val="00BB06DA"/>
    <w:rsid w:val="00BB086B"/>
    <w:rsid w:val="00BB15F8"/>
    <w:rsid w:val="00BB17E3"/>
    <w:rsid w:val="00BB18D4"/>
    <w:rsid w:val="00BB2274"/>
    <w:rsid w:val="00BB3595"/>
    <w:rsid w:val="00BB3B60"/>
    <w:rsid w:val="00BB3E23"/>
    <w:rsid w:val="00BB45A6"/>
    <w:rsid w:val="00BB48D1"/>
    <w:rsid w:val="00BB49D7"/>
    <w:rsid w:val="00BB4F5C"/>
    <w:rsid w:val="00BB5809"/>
    <w:rsid w:val="00BB5A2B"/>
    <w:rsid w:val="00BB746E"/>
    <w:rsid w:val="00BB7472"/>
    <w:rsid w:val="00BB797A"/>
    <w:rsid w:val="00BC05AA"/>
    <w:rsid w:val="00BC07C7"/>
    <w:rsid w:val="00BC0A59"/>
    <w:rsid w:val="00BC0B92"/>
    <w:rsid w:val="00BC0BC8"/>
    <w:rsid w:val="00BC11A4"/>
    <w:rsid w:val="00BC151E"/>
    <w:rsid w:val="00BC1784"/>
    <w:rsid w:val="00BC1CD5"/>
    <w:rsid w:val="00BC3CEC"/>
    <w:rsid w:val="00BC4BBA"/>
    <w:rsid w:val="00BC4EE9"/>
    <w:rsid w:val="00BC5A3B"/>
    <w:rsid w:val="00BD03F4"/>
    <w:rsid w:val="00BD0692"/>
    <w:rsid w:val="00BD07EE"/>
    <w:rsid w:val="00BD0E8A"/>
    <w:rsid w:val="00BD0FAC"/>
    <w:rsid w:val="00BD1050"/>
    <w:rsid w:val="00BD2CF9"/>
    <w:rsid w:val="00BD2E18"/>
    <w:rsid w:val="00BD317F"/>
    <w:rsid w:val="00BD31AA"/>
    <w:rsid w:val="00BD41D7"/>
    <w:rsid w:val="00BD422C"/>
    <w:rsid w:val="00BD4C64"/>
    <w:rsid w:val="00BD582C"/>
    <w:rsid w:val="00BD5A58"/>
    <w:rsid w:val="00BD6074"/>
    <w:rsid w:val="00BD64BD"/>
    <w:rsid w:val="00BD6568"/>
    <w:rsid w:val="00BD6709"/>
    <w:rsid w:val="00BD683D"/>
    <w:rsid w:val="00BD6E66"/>
    <w:rsid w:val="00BD7678"/>
    <w:rsid w:val="00BD7DC8"/>
    <w:rsid w:val="00BE0334"/>
    <w:rsid w:val="00BE043A"/>
    <w:rsid w:val="00BE05C8"/>
    <w:rsid w:val="00BE0654"/>
    <w:rsid w:val="00BE0EFA"/>
    <w:rsid w:val="00BE0F32"/>
    <w:rsid w:val="00BE12D7"/>
    <w:rsid w:val="00BE2053"/>
    <w:rsid w:val="00BE254D"/>
    <w:rsid w:val="00BE257C"/>
    <w:rsid w:val="00BE2F2B"/>
    <w:rsid w:val="00BE36C1"/>
    <w:rsid w:val="00BE4B51"/>
    <w:rsid w:val="00BE57A1"/>
    <w:rsid w:val="00BE58D3"/>
    <w:rsid w:val="00BE5C9E"/>
    <w:rsid w:val="00BE6195"/>
    <w:rsid w:val="00BE62FF"/>
    <w:rsid w:val="00BE7E56"/>
    <w:rsid w:val="00BF0D2C"/>
    <w:rsid w:val="00BF1370"/>
    <w:rsid w:val="00BF1B96"/>
    <w:rsid w:val="00BF1DF0"/>
    <w:rsid w:val="00BF2115"/>
    <w:rsid w:val="00BF2229"/>
    <w:rsid w:val="00BF24AA"/>
    <w:rsid w:val="00BF2556"/>
    <w:rsid w:val="00BF2CA5"/>
    <w:rsid w:val="00BF3023"/>
    <w:rsid w:val="00BF362E"/>
    <w:rsid w:val="00BF4489"/>
    <w:rsid w:val="00BF5B89"/>
    <w:rsid w:val="00BF5E3D"/>
    <w:rsid w:val="00BF5EE6"/>
    <w:rsid w:val="00BF60F9"/>
    <w:rsid w:val="00BF622A"/>
    <w:rsid w:val="00BF6693"/>
    <w:rsid w:val="00BF6D14"/>
    <w:rsid w:val="00C0144C"/>
    <w:rsid w:val="00C01970"/>
    <w:rsid w:val="00C01A9B"/>
    <w:rsid w:val="00C01AAB"/>
    <w:rsid w:val="00C02369"/>
    <w:rsid w:val="00C026E4"/>
    <w:rsid w:val="00C02A5E"/>
    <w:rsid w:val="00C02D8E"/>
    <w:rsid w:val="00C03412"/>
    <w:rsid w:val="00C03B95"/>
    <w:rsid w:val="00C03CC3"/>
    <w:rsid w:val="00C0459C"/>
    <w:rsid w:val="00C046B3"/>
    <w:rsid w:val="00C04838"/>
    <w:rsid w:val="00C048DA"/>
    <w:rsid w:val="00C048E1"/>
    <w:rsid w:val="00C05578"/>
    <w:rsid w:val="00C05EB7"/>
    <w:rsid w:val="00C0662C"/>
    <w:rsid w:val="00C067FD"/>
    <w:rsid w:val="00C06BB4"/>
    <w:rsid w:val="00C0730A"/>
    <w:rsid w:val="00C104D9"/>
    <w:rsid w:val="00C10706"/>
    <w:rsid w:val="00C10F3F"/>
    <w:rsid w:val="00C10F59"/>
    <w:rsid w:val="00C11DA8"/>
    <w:rsid w:val="00C120E4"/>
    <w:rsid w:val="00C12A8A"/>
    <w:rsid w:val="00C136B3"/>
    <w:rsid w:val="00C13AB1"/>
    <w:rsid w:val="00C1415C"/>
    <w:rsid w:val="00C14580"/>
    <w:rsid w:val="00C14587"/>
    <w:rsid w:val="00C14B89"/>
    <w:rsid w:val="00C14EA9"/>
    <w:rsid w:val="00C157A9"/>
    <w:rsid w:val="00C1700D"/>
    <w:rsid w:val="00C17086"/>
    <w:rsid w:val="00C177D0"/>
    <w:rsid w:val="00C17E84"/>
    <w:rsid w:val="00C207C0"/>
    <w:rsid w:val="00C20F8D"/>
    <w:rsid w:val="00C2131A"/>
    <w:rsid w:val="00C21B73"/>
    <w:rsid w:val="00C22004"/>
    <w:rsid w:val="00C220A2"/>
    <w:rsid w:val="00C23382"/>
    <w:rsid w:val="00C23811"/>
    <w:rsid w:val="00C23CDC"/>
    <w:rsid w:val="00C24023"/>
    <w:rsid w:val="00C24A56"/>
    <w:rsid w:val="00C25064"/>
    <w:rsid w:val="00C266D8"/>
    <w:rsid w:val="00C2775B"/>
    <w:rsid w:val="00C3009D"/>
    <w:rsid w:val="00C30149"/>
    <w:rsid w:val="00C309C9"/>
    <w:rsid w:val="00C31896"/>
    <w:rsid w:val="00C31AE3"/>
    <w:rsid w:val="00C33DBA"/>
    <w:rsid w:val="00C3511A"/>
    <w:rsid w:val="00C35F15"/>
    <w:rsid w:val="00C3650D"/>
    <w:rsid w:val="00C369C0"/>
    <w:rsid w:val="00C40328"/>
    <w:rsid w:val="00C40B61"/>
    <w:rsid w:val="00C40F76"/>
    <w:rsid w:val="00C412D7"/>
    <w:rsid w:val="00C4204E"/>
    <w:rsid w:val="00C425F1"/>
    <w:rsid w:val="00C4276D"/>
    <w:rsid w:val="00C428BE"/>
    <w:rsid w:val="00C4323F"/>
    <w:rsid w:val="00C433B4"/>
    <w:rsid w:val="00C43814"/>
    <w:rsid w:val="00C43A2F"/>
    <w:rsid w:val="00C44348"/>
    <w:rsid w:val="00C45A54"/>
    <w:rsid w:val="00C45B86"/>
    <w:rsid w:val="00C45FDE"/>
    <w:rsid w:val="00C45FF0"/>
    <w:rsid w:val="00C462B2"/>
    <w:rsid w:val="00C47827"/>
    <w:rsid w:val="00C478B5"/>
    <w:rsid w:val="00C50603"/>
    <w:rsid w:val="00C50C05"/>
    <w:rsid w:val="00C50CFD"/>
    <w:rsid w:val="00C50E5F"/>
    <w:rsid w:val="00C511A3"/>
    <w:rsid w:val="00C51AC3"/>
    <w:rsid w:val="00C51B43"/>
    <w:rsid w:val="00C5224C"/>
    <w:rsid w:val="00C522B4"/>
    <w:rsid w:val="00C52B11"/>
    <w:rsid w:val="00C52CF4"/>
    <w:rsid w:val="00C5302F"/>
    <w:rsid w:val="00C53E36"/>
    <w:rsid w:val="00C54B37"/>
    <w:rsid w:val="00C55269"/>
    <w:rsid w:val="00C556CC"/>
    <w:rsid w:val="00C55716"/>
    <w:rsid w:val="00C560B5"/>
    <w:rsid w:val="00C566BC"/>
    <w:rsid w:val="00C56776"/>
    <w:rsid w:val="00C56E17"/>
    <w:rsid w:val="00C574A4"/>
    <w:rsid w:val="00C57757"/>
    <w:rsid w:val="00C57A08"/>
    <w:rsid w:val="00C60A60"/>
    <w:rsid w:val="00C60EF2"/>
    <w:rsid w:val="00C6122C"/>
    <w:rsid w:val="00C61A90"/>
    <w:rsid w:val="00C61D34"/>
    <w:rsid w:val="00C620B0"/>
    <w:rsid w:val="00C62EAE"/>
    <w:rsid w:val="00C63B40"/>
    <w:rsid w:val="00C64452"/>
    <w:rsid w:val="00C644EB"/>
    <w:rsid w:val="00C647B9"/>
    <w:rsid w:val="00C65281"/>
    <w:rsid w:val="00C656FE"/>
    <w:rsid w:val="00C6635C"/>
    <w:rsid w:val="00C66459"/>
    <w:rsid w:val="00C66AE2"/>
    <w:rsid w:val="00C66F96"/>
    <w:rsid w:val="00C67467"/>
    <w:rsid w:val="00C676A1"/>
    <w:rsid w:val="00C70BB7"/>
    <w:rsid w:val="00C710C8"/>
    <w:rsid w:val="00C718D9"/>
    <w:rsid w:val="00C7234E"/>
    <w:rsid w:val="00C7256F"/>
    <w:rsid w:val="00C72BEC"/>
    <w:rsid w:val="00C72D45"/>
    <w:rsid w:val="00C72FE3"/>
    <w:rsid w:val="00C737C1"/>
    <w:rsid w:val="00C73B50"/>
    <w:rsid w:val="00C741B3"/>
    <w:rsid w:val="00C74A3B"/>
    <w:rsid w:val="00C74AF7"/>
    <w:rsid w:val="00C74B47"/>
    <w:rsid w:val="00C74BFE"/>
    <w:rsid w:val="00C759A8"/>
    <w:rsid w:val="00C75C1D"/>
    <w:rsid w:val="00C75D19"/>
    <w:rsid w:val="00C7600C"/>
    <w:rsid w:val="00C76FA6"/>
    <w:rsid w:val="00C7727A"/>
    <w:rsid w:val="00C77D64"/>
    <w:rsid w:val="00C8014A"/>
    <w:rsid w:val="00C80696"/>
    <w:rsid w:val="00C80C1E"/>
    <w:rsid w:val="00C80C2A"/>
    <w:rsid w:val="00C80F15"/>
    <w:rsid w:val="00C81B97"/>
    <w:rsid w:val="00C81C9F"/>
    <w:rsid w:val="00C8222B"/>
    <w:rsid w:val="00C825CF"/>
    <w:rsid w:val="00C82F39"/>
    <w:rsid w:val="00C83EFB"/>
    <w:rsid w:val="00C83F76"/>
    <w:rsid w:val="00C851C3"/>
    <w:rsid w:val="00C85A46"/>
    <w:rsid w:val="00C85D3E"/>
    <w:rsid w:val="00C871B2"/>
    <w:rsid w:val="00C90D76"/>
    <w:rsid w:val="00C91017"/>
    <w:rsid w:val="00C91D59"/>
    <w:rsid w:val="00C92514"/>
    <w:rsid w:val="00C92726"/>
    <w:rsid w:val="00C92C02"/>
    <w:rsid w:val="00C92E88"/>
    <w:rsid w:val="00C9329F"/>
    <w:rsid w:val="00C938CB"/>
    <w:rsid w:val="00C93A22"/>
    <w:rsid w:val="00C93A45"/>
    <w:rsid w:val="00C940B0"/>
    <w:rsid w:val="00C941F7"/>
    <w:rsid w:val="00C94556"/>
    <w:rsid w:val="00C95286"/>
    <w:rsid w:val="00C95290"/>
    <w:rsid w:val="00C95BB8"/>
    <w:rsid w:val="00C95C29"/>
    <w:rsid w:val="00CA1A88"/>
    <w:rsid w:val="00CA2DAF"/>
    <w:rsid w:val="00CA2F0C"/>
    <w:rsid w:val="00CA39C2"/>
    <w:rsid w:val="00CA4382"/>
    <w:rsid w:val="00CA4482"/>
    <w:rsid w:val="00CA48B9"/>
    <w:rsid w:val="00CA4AF9"/>
    <w:rsid w:val="00CA4BC5"/>
    <w:rsid w:val="00CA4DAF"/>
    <w:rsid w:val="00CA5C27"/>
    <w:rsid w:val="00CA60AF"/>
    <w:rsid w:val="00CA7BAA"/>
    <w:rsid w:val="00CB0162"/>
    <w:rsid w:val="00CB1A5F"/>
    <w:rsid w:val="00CB1B31"/>
    <w:rsid w:val="00CB203D"/>
    <w:rsid w:val="00CB24E6"/>
    <w:rsid w:val="00CB3197"/>
    <w:rsid w:val="00CB33D9"/>
    <w:rsid w:val="00CB37BB"/>
    <w:rsid w:val="00CB37FB"/>
    <w:rsid w:val="00CB3F82"/>
    <w:rsid w:val="00CB4613"/>
    <w:rsid w:val="00CB4C02"/>
    <w:rsid w:val="00CB5515"/>
    <w:rsid w:val="00CB5854"/>
    <w:rsid w:val="00CB5932"/>
    <w:rsid w:val="00CB65E4"/>
    <w:rsid w:val="00CB7280"/>
    <w:rsid w:val="00CB78BF"/>
    <w:rsid w:val="00CB79BA"/>
    <w:rsid w:val="00CB7D12"/>
    <w:rsid w:val="00CC22B0"/>
    <w:rsid w:val="00CC2F07"/>
    <w:rsid w:val="00CC2FD1"/>
    <w:rsid w:val="00CC3749"/>
    <w:rsid w:val="00CC42A5"/>
    <w:rsid w:val="00CC653A"/>
    <w:rsid w:val="00CC6870"/>
    <w:rsid w:val="00CC6911"/>
    <w:rsid w:val="00CC6DF6"/>
    <w:rsid w:val="00CC7852"/>
    <w:rsid w:val="00CC7CD6"/>
    <w:rsid w:val="00CD01BD"/>
    <w:rsid w:val="00CD02E9"/>
    <w:rsid w:val="00CD0548"/>
    <w:rsid w:val="00CD0E59"/>
    <w:rsid w:val="00CD1437"/>
    <w:rsid w:val="00CD1489"/>
    <w:rsid w:val="00CD224E"/>
    <w:rsid w:val="00CD22B6"/>
    <w:rsid w:val="00CD2634"/>
    <w:rsid w:val="00CD27D4"/>
    <w:rsid w:val="00CD2C69"/>
    <w:rsid w:val="00CD3CDA"/>
    <w:rsid w:val="00CD426E"/>
    <w:rsid w:val="00CD4D8D"/>
    <w:rsid w:val="00CD5B02"/>
    <w:rsid w:val="00CD61E6"/>
    <w:rsid w:val="00CD62F1"/>
    <w:rsid w:val="00CD63EC"/>
    <w:rsid w:val="00CD6DEC"/>
    <w:rsid w:val="00CE073F"/>
    <w:rsid w:val="00CE09A6"/>
    <w:rsid w:val="00CE0FC1"/>
    <w:rsid w:val="00CE1907"/>
    <w:rsid w:val="00CE1C54"/>
    <w:rsid w:val="00CE1FB2"/>
    <w:rsid w:val="00CE2260"/>
    <w:rsid w:val="00CE2766"/>
    <w:rsid w:val="00CE291C"/>
    <w:rsid w:val="00CE3364"/>
    <w:rsid w:val="00CE3E32"/>
    <w:rsid w:val="00CE4EC1"/>
    <w:rsid w:val="00CE5366"/>
    <w:rsid w:val="00CE571B"/>
    <w:rsid w:val="00CE6AF3"/>
    <w:rsid w:val="00CE727B"/>
    <w:rsid w:val="00CE73DB"/>
    <w:rsid w:val="00CE7E82"/>
    <w:rsid w:val="00CF0A66"/>
    <w:rsid w:val="00CF0BE6"/>
    <w:rsid w:val="00CF0D66"/>
    <w:rsid w:val="00CF1D3A"/>
    <w:rsid w:val="00CF1D83"/>
    <w:rsid w:val="00CF275E"/>
    <w:rsid w:val="00CF2AEF"/>
    <w:rsid w:val="00CF3997"/>
    <w:rsid w:val="00CF3FA4"/>
    <w:rsid w:val="00CF46B7"/>
    <w:rsid w:val="00CF59A9"/>
    <w:rsid w:val="00CF5B79"/>
    <w:rsid w:val="00CF6C0F"/>
    <w:rsid w:val="00CF73DE"/>
    <w:rsid w:val="00CF74E1"/>
    <w:rsid w:val="00CF7A63"/>
    <w:rsid w:val="00CF7D0D"/>
    <w:rsid w:val="00D00A6D"/>
    <w:rsid w:val="00D01131"/>
    <w:rsid w:val="00D019C1"/>
    <w:rsid w:val="00D01A51"/>
    <w:rsid w:val="00D01AA6"/>
    <w:rsid w:val="00D01E80"/>
    <w:rsid w:val="00D01F45"/>
    <w:rsid w:val="00D02725"/>
    <w:rsid w:val="00D036E0"/>
    <w:rsid w:val="00D037E7"/>
    <w:rsid w:val="00D03865"/>
    <w:rsid w:val="00D03A34"/>
    <w:rsid w:val="00D0413C"/>
    <w:rsid w:val="00D047FA"/>
    <w:rsid w:val="00D04EBA"/>
    <w:rsid w:val="00D06288"/>
    <w:rsid w:val="00D066EC"/>
    <w:rsid w:val="00D06CD3"/>
    <w:rsid w:val="00D072EF"/>
    <w:rsid w:val="00D07864"/>
    <w:rsid w:val="00D07D21"/>
    <w:rsid w:val="00D103E7"/>
    <w:rsid w:val="00D10FC3"/>
    <w:rsid w:val="00D11230"/>
    <w:rsid w:val="00D121C9"/>
    <w:rsid w:val="00D1228B"/>
    <w:rsid w:val="00D128CE"/>
    <w:rsid w:val="00D13FFC"/>
    <w:rsid w:val="00D144EC"/>
    <w:rsid w:val="00D1466C"/>
    <w:rsid w:val="00D15788"/>
    <w:rsid w:val="00D1617C"/>
    <w:rsid w:val="00D162DE"/>
    <w:rsid w:val="00D163EF"/>
    <w:rsid w:val="00D1690A"/>
    <w:rsid w:val="00D16CC8"/>
    <w:rsid w:val="00D1781C"/>
    <w:rsid w:val="00D206FA"/>
    <w:rsid w:val="00D20AF4"/>
    <w:rsid w:val="00D21DFB"/>
    <w:rsid w:val="00D2244F"/>
    <w:rsid w:val="00D22919"/>
    <w:rsid w:val="00D22C9A"/>
    <w:rsid w:val="00D24B95"/>
    <w:rsid w:val="00D24BF7"/>
    <w:rsid w:val="00D24F92"/>
    <w:rsid w:val="00D2539A"/>
    <w:rsid w:val="00D2547E"/>
    <w:rsid w:val="00D25E35"/>
    <w:rsid w:val="00D26011"/>
    <w:rsid w:val="00D266E9"/>
    <w:rsid w:val="00D26BE4"/>
    <w:rsid w:val="00D26C69"/>
    <w:rsid w:val="00D26F0F"/>
    <w:rsid w:val="00D27103"/>
    <w:rsid w:val="00D27672"/>
    <w:rsid w:val="00D3053A"/>
    <w:rsid w:val="00D3149E"/>
    <w:rsid w:val="00D3149F"/>
    <w:rsid w:val="00D314B1"/>
    <w:rsid w:val="00D318BF"/>
    <w:rsid w:val="00D31DAD"/>
    <w:rsid w:val="00D31DC7"/>
    <w:rsid w:val="00D320C9"/>
    <w:rsid w:val="00D3295B"/>
    <w:rsid w:val="00D333E5"/>
    <w:rsid w:val="00D339EB"/>
    <w:rsid w:val="00D33D34"/>
    <w:rsid w:val="00D349FF"/>
    <w:rsid w:val="00D35159"/>
    <w:rsid w:val="00D3550D"/>
    <w:rsid w:val="00D35867"/>
    <w:rsid w:val="00D35D37"/>
    <w:rsid w:val="00D35E24"/>
    <w:rsid w:val="00D3629C"/>
    <w:rsid w:val="00D363C6"/>
    <w:rsid w:val="00D365E0"/>
    <w:rsid w:val="00D36638"/>
    <w:rsid w:val="00D3724D"/>
    <w:rsid w:val="00D37449"/>
    <w:rsid w:val="00D404BF"/>
    <w:rsid w:val="00D409DD"/>
    <w:rsid w:val="00D40DA1"/>
    <w:rsid w:val="00D41054"/>
    <w:rsid w:val="00D411BC"/>
    <w:rsid w:val="00D4142C"/>
    <w:rsid w:val="00D41B43"/>
    <w:rsid w:val="00D424BE"/>
    <w:rsid w:val="00D463E2"/>
    <w:rsid w:val="00D46766"/>
    <w:rsid w:val="00D4717C"/>
    <w:rsid w:val="00D47C6A"/>
    <w:rsid w:val="00D50988"/>
    <w:rsid w:val="00D50B30"/>
    <w:rsid w:val="00D5131F"/>
    <w:rsid w:val="00D51531"/>
    <w:rsid w:val="00D5190B"/>
    <w:rsid w:val="00D51FDA"/>
    <w:rsid w:val="00D53BD4"/>
    <w:rsid w:val="00D53E64"/>
    <w:rsid w:val="00D548D9"/>
    <w:rsid w:val="00D54E5A"/>
    <w:rsid w:val="00D55821"/>
    <w:rsid w:val="00D55E7F"/>
    <w:rsid w:val="00D56228"/>
    <w:rsid w:val="00D562E5"/>
    <w:rsid w:val="00D56B76"/>
    <w:rsid w:val="00D574FA"/>
    <w:rsid w:val="00D6051A"/>
    <w:rsid w:val="00D6078D"/>
    <w:rsid w:val="00D620EC"/>
    <w:rsid w:val="00D62A1A"/>
    <w:rsid w:val="00D63319"/>
    <w:rsid w:val="00D63AC5"/>
    <w:rsid w:val="00D65422"/>
    <w:rsid w:val="00D660E6"/>
    <w:rsid w:val="00D66549"/>
    <w:rsid w:val="00D6674B"/>
    <w:rsid w:val="00D66B95"/>
    <w:rsid w:val="00D67E74"/>
    <w:rsid w:val="00D7007B"/>
    <w:rsid w:val="00D702FF"/>
    <w:rsid w:val="00D705C4"/>
    <w:rsid w:val="00D70B1C"/>
    <w:rsid w:val="00D70B3E"/>
    <w:rsid w:val="00D70DF2"/>
    <w:rsid w:val="00D719B9"/>
    <w:rsid w:val="00D71D03"/>
    <w:rsid w:val="00D72C28"/>
    <w:rsid w:val="00D7423B"/>
    <w:rsid w:val="00D744E1"/>
    <w:rsid w:val="00D748AD"/>
    <w:rsid w:val="00D74A62"/>
    <w:rsid w:val="00D74D4F"/>
    <w:rsid w:val="00D7516C"/>
    <w:rsid w:val="00D75E6D"/>
    <w:rsid w:val="00D75FA5"/>
    <w:rsid w:val="00D76C53"/>
    <w:rsid w:val="00D82FA5"/>
    <w:rsid w:val="00D83A2A"/>
    <w:rsid w:val="00D840C6"/>
    <w:rsid w:val="00D85064"/>
    <w:rsid w:val="00D8537E"/>
    <w:rsid w:val="00D85BCA"/>
    <w:rsid w:val="00D85BDF"/>
    <w:rsid w:val="00D85FE8"/>
    <w:rsid w:val="00D86074"/>
    <w:rsid w:val="00D863AB"/>
    <w:rsid w:val="00D8676B"/>
    <w:rsid w:val="00D86E25"/>
    <w:rsid w:val="00D87E77"/>
    <w:rsid w:val="00D87EF2"/>
    <w:rsid w:val="00D9070F"/>
    <w:rsid w:val="00D90B3F"/>
    <w:rsid w:val="00D91ECD"/>
    <w:rsid w:val="00D929B3"/>
    <w:rsid w:val="00D92EEB"/>
    <w:rsid w:val="00D948D1"/>
    <w:rsid w:val="00D94D03"/>
    <w:rsid w:val="00D9567B"/>
    <w:rsid w:val="00D95EF2"/>
    <w:rsid w:val="00D9734A"/>
    <w:rsid w:val="00DA0836"/>
    <w:rsid w:val="00DA08B9"/>
    <w:rsid w:val="00DA0A1D"/>
    <w:rsid w:val="00DA1235"/>
    <w:rsid w:val="00DA1E96"/>
    <w:rsid w:val="00DA217B"/>
    <w:rsid w:val="00DA3388"/>
    <w:rsid w:val="00DA351D"/>
    <w:rsid w:val="00DA3706"/>
    <w:rsid w:val="00DA5063"/>
    <w:rsid w:val="00DA5437"/>
    <w:rsid w:val="00DA5A7B"/>
    <w:rsid w:val="00DA6EAD"/>
    <w:rsid w:val="00DA7533"/>
    <w:rsid w:val="00DA767D"/>
    <w:rsid w:val="00DA792E"/>
    <w:rsid w:val="00DB0546"/>
    <w:rsid w:val="00DB0CB1"/>
    <w:rsid w:val="00DB162A"/>
    <w:rsid w:val="00DB173D"/>
    <w:rsid w:val="00DB30F0"/>
    <w:rsid w:val="00DB3B32"/>
    <w:rsid w:val="00DB3EC4"/>
    <w:rsid w:val="00DB44C1"/>
    <w:rsid w:val="00DB4622"/>
    <w:rsid w:val="00DB47D2"/>
    <w:rsid w:val="00DB4B27"/>
    <w:rsid w:val="00DB58CC"/>
    <w:rsid w:val="00DB5C82"/>
    <w:rsid w:val="00DB7DE2"/>
    <w:rsid w:val="00DC099E"/>
    <w:rsid w:val="00DC0A39"/>
    <w:rsid w:val="00DC15FD"/>
    <w:rsid w:val="00DC18E1"/>
    <w:rsid w:val="00DC259E"/>
    <w:rsid w:val="00DC26D6"/>
    <w:rsid w:val="00DC2796"/>
    <w:rsid w:val="00DC2E59"/>
    <w:rsid w:val="00DC2EB5"/>
    <w:rsid w:val="00DC3935"/>
    <w:rsid w:val="00DC41DE"/>
    <w:rsid w:val="00DC492A"/>
    <w:rsid w:val="00DC4C43"/>
    <w:rsid w:val="00DC5808"/>
    <w:rsid w:val="00DC59E8"/>
    <w:rsid w:val="00DC5E1D"/>
    <w:rsid w:val="00DC5EA2"/>
    <w:rsid w:val="00DC6717"/>
    <w:rsid w:val="00DC6798"/>
    <w:rsid w:val="00DC6E33"/>
    <w:rsid w:val="00DC6FD1"/>
    <w:rsid w:val="00DD1124"/>
    <w:rsid w:val="00DD1948"/>
    <w:rsid w:val="00DD244F"/>
    <w:rsid w:val="00DD2BA0"/>
    <w:rsid w:val="00DD2BD4"/>
    <w:rsid w:val="00DD4980"/>
    <w:rsid w:val="00DD49E0"/>
    <w:rsid w:val="00DD5D95"/>
    <w:rsid w:val="00DD66DB"/>
    <w:rsid w:val="00DD673C"/>
    <w:rsid w:val="00DD67C0"/>
    <w:rsid w:val="00DD67F1"/>
    <w:rsid w:val="00DD7BB6"/>
    <w:rsid w:val="00DE0391"/>
    <w:rsid w:val="00DE0996"/>
    <w:rsid w:val="00DE16EF"/>
    <w:rsid w:val="00DE1B5E"/>
    <w:rsid w:val="00DE2056"/>
    <w:rsid w:val="00DE23FA"/>
    <w:rsid w:val="00DE3B49"/>
    <w:rsid w:val="00DE3D4F"/>
    <w:rsid w:val="00DE425A"/>
    <w:rsid w:val="00DE4DAF"/>
    <w:rsid w:val="00DE584A"/>
    <w:rsid w:val="00DE5FEA"/>
    <w:rsid w:val="00DE6C28"/>
    <w:rsid w:val="00DE6DC2"/>
    <w:rsid w:val="00DF0230"/>
    <w:rsid w:val="00DF05D0"/>
    <w:rsid w:val="00DF0738"/>
    <w:rsid w:val="00DF07A8"/>
    <w:rsid w:val="00DF0950"/>
    <w:rsid w:val="00DF0C53"/>
    <w:rsid w:val="00DF11BE"/>
    <w:rsid w:val="00DF15C8"/>
    <w:rsid w:val="00DF1B64"/>
    <w:rsid w:val="00DF1FBC"/>
    <w:rsid w:val="00DF3DD2"/>
    <w:rsid w:val="00DF4013"/>
    <w:rsid w:val="00DF435F"/>
    <w:rsid w:val="00DF45A8"/>
    <w:rsid w:val="00DF48A0"/>
    <w:rsid w:val="00DF4C4D"/>
    <w:rsid w:val="00DF4CDA"/>
    <w:rsid w:val="00DF5531"/>
    <w:rsid w:val="00DF5994"/>
    <w:rsid w:val="00DF5A1D"/>
    <w:rsid w:val="00DF5E21"/>
    <w:rsid w:val="00DF5F19"/>
    <w:rsid w:val="00DF674F"/>
    <w:rsid w:val="00DF6E35"/>
    <w:rsid w:val="00DF765E"/>
    <w:rsid w:val="00DF7853"/>
    <w:rsid w:val="00DF7B10"/>
    <w:rsid w:val="00DF7E20"/>
    <w:rsid w:val="00E005D0"/>
    <w:rsid w:val="00E00AE7"/>
    <w:rsid w:val="00E00B40"/>
    <w:rsid w:val="00E017FA"/>
    <w:rsid w:val="00E01D8D"/>
    <w:rsid w:val="00E021A7"/>
    <w:rsid w:val="00E03EB5"/>
    <w:rsid w:val="00E04408"/>
    <w:rsid w:val="00E045AB"/>
    <w:rsid w:val="00E04741"/>
    <w:rsid w:val="00E05427"/>
    <w:rsid w:val="00E0767B"/>
    <w:rsid w:val="00E07D2C"/>
    <w:rsid w:val="00E112DD"/>
    <w:rsid w:val="00E11478"/>
    <w:rsid w:val="00E1163E"/>
    <w:rsid w:val="00E11721"/>
    <w:rsid w:val="00E11BD1"/>
    <w:rsid w:val="00E11C5D"/>
    <w:rsid w:val="00E11D9D"/>
    <w:rsid w:val="00E13DBD"/>
    <w:rsid w:val="00E149C4"/>
    <w:rsid w:val="00E14BEA"/>
    <w:rsid w:val="00E15158"/>
    <w:rsid w:val="00E1542D"/>
    <w:rsid w:val="00E1566E"/>
    <w:rsid w:val="00E16923"/>
    <w:rsid w:val="00E2029A"/>
    <w:rsid w:val="00E212B1"/>
    <w:rsid w:val="00E214DC"/>
    <w:rsid w:val="00E2168E"/>
    <w:rsid w:val="00E2191C"/>
    <w:rsid w:val="00E2194E"/>
    <w:rsid w:val="00E21D4C"/>
    <w:rsid w:val="00E21F31"/>
    <w:rsid w:val="00E222E8"/>
    <w:rsid w:val="00E23630"/>
    <w:rsid w:val="00E237CB"/>
    <w:rsid w:val="00E24085"/>
    <w:rsid w:val="00E24174"/>
    <w:rsid w:val="00E25490"/>
    <w:rsid w:val="00E255AE"/>
    <w:rsid w:val="00E25B92"/>
    <w:rsid w:val="00E261D8"/>
    <w:rsid w:val="00E26EA2"/>
    <w:rsid w:val="00E27969"/>
    <w:rsid w:val="00E27B88"/>
    <w:rsid w:val="00E27C60"/>
    <w:rsid w:val="00E30CB5"/>
    <w:rsid w:val="00E30DA2"/>
    <w:rsid w:val="00E31FD9"/>
    <w:rsid w:val="00E3293B"/>
    <w:rsid w:val="00E331AC"/>
    <w:rsid w:val="00E33AC0"/>
    <w:rsid w:val="00E33CED"/>
    <w:rsid w:val="00E34792"/>
    <w:rsid w:val="00E34A2B"/>
    <w:rsid w:val="00E34DBF"/>
    <w:rsid w:val="00E36191"/>
    <w:rsid w:val="00E36554"/>
    <w:rsid w:val="00E36B92"/>
    <w:rsid w:val="00E36EC4"/>
    <w:rsid w:val="00E37333"/>
    <w:rsid w:val="00E374B8"/>
    <w:rsid w:val="00E374D5"/>
    <w:rsid w:val="00E40428"/>
    <w:rsid w:val="00E40F97"/>
    <w:rsid w:val="00E4115D"/>
    <w:rsid w:val="00E41DBD"/>
    <w:rsid w:val="00E4217F"/>
    <w:rsid w:val="00E43133"/>
    <w:rsid w:val="00E43481"/>
    <w:rsid w:val="00E43CDE"/>
    <w:rsid w:val="00E460C4"/>
    <w:rsid w:val="00E46870"/>
    <w:rsid w:val="00E46A55"/>
    <w:rsid w:val="00E46EF5"/>
    <w:rsid w:val="00E4758A"/>
    <w:rsid w:val="00E50788"/>
    <w:rsid w:val="00E5142F"/>
    <w:rsid w:val="00E51657"/>
    <w:rsid w:val="00E5178D"/>
    <w:rsid w:val="00E517F2"/>
    <w:rsid w:val="00E519F2"/>
    <w:rsid w:val="00E5312B"/>
    <w:rsid w:val="00E533FA"/>
    <w:rsid w:val="00E543BD"/>
    <w:rsid w:val="00E5476C"/>
    <w:rsid w:val="00E54967"/>
    <w:rsid w:val="00E554D2"/>
    <w:rsid w:val="00E5575D"/>
    <w:rsid w:val="00E55821"/>
    <w:rsid w:val="00E55F4F"/>
    <w:rsid w:val="00E563F7"/>
    <w:rsid w:val="00E57832"/>
    <w:rsid w:val="00E57907"/>
    <w:rsid w:val="00E579F2"/>
    <w:rsid w:val="00E57A93"/>
    <w:rsid w:val="00E60423"/>
    <w:rsid w:val="00E60CA8"/>
    <w:rsid w:val="00E6105B"/>
    <w:rsid w:val="00E610AC"/>
    <w:rsid w:val="00E617D5"/>
    <w:rsid w:val="00E61D34"/>
    <w:rsid w:val="00E63049"/>
    <w:rsid w:val="00E64772"/>
    <w:rsid w:val="00E647FB"/>
    <w:rsid w:val="00E64E24"/>
    <w:rsid w:val="00E64FAC"/>
    <w:rsid w:val="00E650F6"/>
    <w:rsid w:val="00E65979"/>
    <w:rsid w:val="00E65A11"/>
    <w:rsid w:val="00E66663"/>
    <w:rsid w:val="00E6686C"/>
    <w:rsid w:val="00E66911"/>
    <w:rsid w:val="00E66E69"/>
    <w:rsid w:val="00E675FD"/>
    <w:rsid w:val="00E67A82"/>
    <w:rsid w:val="00E67D92"/>
    <w:rsid w:val="00E70877"/>
    <w:rsid w:val="00E70906"/>
    <w:rsid w:val="00E70B62"/>
    <w:rsid w:val="00E70B64"/>
    <w:rsid w:val="00E7127F"/>
    <w:rsid w:val="00E721AB"/>
    <w:rsid w:val="00E72D1E"/>
    <w:rsid w:val="00E735E6"/>
    <w:rsid w:val="00E73E4F"/>
    <w:rsid w:val="00E74026"/>
    <w:rsid w:val="00E74062"/>
    <w:rsid w:val="00E74844"/>
    <w:rsid w:val="00E74AC2"/>
    <w:rsid w:val="00E750A7"/>
    <w:rsid w:val="00E754D9"/>
    <w:rsid w:val="00E758A8"/>
    <w:rsid w:val="00E7615D"/>
    <w:rsid w:val="00E763A8"/>
    <w:rsid w:val="00E766B5"/>
    <w:rsid w:val="00E769CF"/>
    <w:rsid w:val="00E77367"/>
    <w:rsid w:val="00E80472"/>
    <w:rsid w:val="00E80E86"/>
    <w:rsid w:val="00E81253"/>
    <w:rsid w:val="00E81AE3"/>
    <w:rsid w:val="00E81C17"/>
    <w:rsid w:val="00E82C2D"/>
    <w:rsid w:val="00E83241"/>
    <w:rsid w:val="00E8361D"/>
    <w:rsid w:val="00E844EE"/>
    <w:rsid w:val="00E853D5"/>
    <w:rsid w:val="00E858C4"/>
    <w:rsid w:val="00E862BB"/>
    <w:rsid w:val="00E8650C"/>
    <w:rsid w:val="00E86ACF"/>
    <w:rsid w:val="00E86BF7"/>
    <w:rsid w:val="00E8702D"/>
    <w:rsid w:val="00E905CD"/>
    <w:rsid w:val="00E90617"/>
    <w:rsid w:val="00E907D2"/>
    <w:rsid w:val="00E9099D"/>
    <w:rsid w:val="00E90B21"/>
    <w:rsid w:val="00E91030"/>
    <w:rsid w:val="00E9121B"/>
    <w:rsid w:val="00E91E18"/>
    <w:rsid w:val="00E9212C"/>
    <w:rsid w:val="00E926CD"/>
    <w:rsid w:val="00E92C52"/>
    <w:rsid w:val="00E93A0C"/>
    <w:rsid w:val="00E93A23"/>
    <w:rsid w:val="00E9452F"/>
    <w:rsid w:val="00E95582"/>
    <w:rsid w:val="00E95C31"/>
    <w:rsid w:val="00E96C8E"/>
    <w:rsid w:val="00E96F2F"/>
    <w:rsid w:val="00E97196"/>
    <w:rsid w:val="00E97C2A"/>
    <w:rsid w:val="00EA02B6"/>
    <w:rsid w:val="00EA0438"/>
    <w:rsid w:val="00EA0C72"/>
    <w:rsid w:val="00EA15FA"/>
    <w:rsid w:val="00EA1746"/>
    <w:rsid w:val="00EA1F51"/>
    <w:rsid w:val="00EA1FE2"/>
    <w:rsid w:val="00EA20B2"/>
    <w:rsid w:val="00EA22ED"/>
    <w:rsid w:val="00EA2423"/>
    <w:rsid w:val="00EA2F19"/>
    <w:rsid w:val="00EA3267"/>
    <w:rsid w:val="00EA32E7"/>
    <w:rsid w:val="00EA3873"/>
    <w:rsid w:val="00EA3B3A"/>
    <w:rsid w:val="00EA4590"/>
    <w:rsid w:val="00EA47D4"/>
    <w:rsid w:val="00EA487D"/>
    <w:rsid w:val="00EA545D"/>
    <w:rsid w:val="00EA5B14"/>
    <w:rsid w:val="00EA5D04"/>
    <w:rsid w:val="00EA67B0"/>
    <w:rsid w:val="00EA6ADD"/>
    <w:rsid w:val="00EA6E19"/>
    <w:rsid w:val="00EA7F02"/>
    <w:rsid w:val="00EA7F72"/>
    <w:rsid w:val="00EB12F6"/>
    <w:rsid w:val="00EB200E"/>
    <w:rsid w:val="00EB2BDB"/>
    <w:rsid w:val="00EB33DA"/>
    <w:rsid w:val="00EB3A59"/>
    <w:rsid w:val="00EB3B1A"/>
    <w:rsid w:val="00EB42D0"/>
    <w:rsid w:val="00EB4551"/>
    <w:rsid w:val="00EB48CA"/>
    <w:rsid w:val="00EB518F"/>
    <w:rsid w:val="00EB5B60"/>
    <w:rsid w:val="00EB6235"/>
    <w:rsid w:val="00EB6240"/>
    <w:rsid w:val="00EB7E11"/>
    <w:rsid w:val="00EC1578"/>
    <w:rsid w:val="00EC15B5"/>
    <w:rsid w:val="00EC1DE3"/>
    <w:rsid w:val="00EC1FD7"/>
    <w:rsid w:val="00EC313B"/>
    <w:rsid w:val="00EC325E"/>
    <w:rsid w:val="00EC3A75"/>
    <w:rsid w:val="00EC5686"/>
    <w:rsid w:val="00EC622A"/>
    <w:rsid w:val="00EC68EF"/>
    <w:rsid w:val="00EC6D8C"/>
    <w:rsid w:val="00EC6DB7"/>
    <w:rsid w:val="00EC70C4"/>
    <w:rsid w:val="00EC71A5"/>
    <w:rsid w:val="00EC724B"/>
    <w:rsid w:val="00EC7673"/>
    <w:rsid w:val="00ED04E0"/>
    <w:rsid w:val="00ED04E9"/>
    <w:rsid w:val="00ED08D9"/>
    <w:rsid w:val="00ED0F3E"/>
    <w:rsid w:val="00ED248B"/>
    <w:rsid w:val="00ED2A07"/>
    <w:rsid w:val="00ED2F42"/>
    <w:rsid w:val="00ED3640"/>
    <w:rsid w:val="00ED3CF3"/>
    <w:rsid w:val="00ED3D0C"/>
    <w:rsid w:val="00ED4922"/>
    <w:rsid w:val="00ED4B29"/>
    <w:rsid w:val="00ED5065"/>
    <w:rsid w:val="00ED5489"/>
    <w:rsid w:val="00ED570E"/>
    <w:rsid w:val="00ED58D4"/>
    <w:rsid w:val="00ED58D9"/>
    <w:rsid w:val="00ED5B84"/>
    <w:rsid w:val="00ED5C8B"/>
    <w:rsid w:val="00ED74F5"/>
    <w:rsid w:val="00ED7A90"/>
    <w:rsid w:val="00EE081F"/>
    <w:rsid w:val="00EE0C47"/>
    <w:rsid w:val="00EE199E"/>
    <w:rsid w:val="00EE1B00"/>
    <w:rsid w:val="00EE1D7C"/>
    <w:rsid w:val="00EE1EC9"/>
    <w:rsid w:val="00EE296D"/>
    <w:rsid w:val="00EE2D28"/>
    <w:rsid w:val="00EE2DD2"/>
    <w:rsid w:val="00EE3132"/>
    <w:rsid w:val="00EE32D5"/>
    <w:rsid w:val="00EE38B5"/>
    <w:rsid w:val="00EE3931"/>
    <w:rsid w:val="00EE3DE1"/>
    <w:rsid w:val="00EE49A7"/>
    <w:rsid w:val="00EE4AAD"/>
    <w:rsid w:val="00EE50EE"/>
    <w:rsid w:val="00EE5360"/>
    <w:rsid w:val="00EE5DB3"/>
    <w:rsid w:val="00EE6050"/>
    <w:rsid w:val="00EE62D3"/>
    <w:rsid w:val="00EE69B9"/>
    <w:rsid w:val="00EE6DC7"/>
    <w:rsid w:val="00EF00A8"/>
    <w:rsid w:val="00EF07D8"/>
    <w:rsid w:val="00EF119D"/>
    <w:rsid w:val="00EF1588"/>
    <w:rsid w:val="00EF1933"/>
    <w:rsid w:val="00EF1A69"/>
    <w:rsid w:val="00EF1BE7"/>
    <w:rsid w:val="00EF1F1B"/>
    <w:rsid w:val="00EF20D2"/>
    <w:rsid w:val="00EF27FF"/>
    <w:rsid w:val="00EF307B"/>
    <w:rsid w:val="00EF30D2"/>
    <w:rsid w:val="00EF328F"/>
    <w:rsid w:val="00EF36AE"/>
    <w:rsid w:val="00EF37DF"/>
    <w:rsid w:val="00EF5092"/>
    <w:rsid w:val="00EF524B"/>
    <w:rsid w:val="00EF54A6"/>
    <w:rsid w:val="00EF5755"/>
    <w:rsid w:val="00EF5924"/>
    <w:rsid w:val="00EF63FA"/>
    <w:rsid w:val="00EF7132"/>
    <w:rsid w:val="00EF7315"/>
    <w:rsid w:val="00EF7D70"/>
    <w:rsid w:val="00F0090F"/>
    <w:rsid w:val="00F0093D"/>
    <w:rsid w:val="00F00C41"/>
    <w:rsid w:val="00F00C88"/>
    <w:rsid w:val="00F00E06"/>
    <w:rsid w:val="00F01053"/>
    <w:rsid w:val="00F017AD"/>
    <w:rsid w:val="00F01A26"/>
    <w:rsid w:val="00F01B08"/>
    <w:rsid w:val="00F03DF9"/>
    <w:rsid w:val="00F04A62"/>
    <w:rsid w:val="00F04BCD"/>
    <w:rsid w:val="00F05426"/>
    <w:rsid w:val="00F0570D"/>
    <w:rsid w:val="00F05C6B"/>
    <w:rsid w:val="00F06274"/>
    <w:rsid w:val="00F10275"/>
    <w:rsid w:val="00F10417"/>
    <w:rsid w:val="00F1105C"/>
    <w:rsid w:val="00F119C9"/>
    <w:rsid w:val="00F11DEB"/>
    <w:rsid w:val="00F12A45"/>
    <w:rsid w:val="00F12D7E"/>
    <w:rsid w:val="00F132A7"/>
    <w:rsid w:val="00F14708"/>
    <w:rsid w:val="00F14A55"/>
    <w:rsid w:val="00F14D28"/>
    <w:rsid w:val="00F14F2A"/>
    <w:rsid w:val="00F15B29"/>
    <w:rsid w:val="00F15DF1"/>
    <w:rsid w:val="00F16251"/>
    <w:rsid w:val="00F16C94"/>
    <w:rsid w:val="00F174DA"/>
    <w:rsid w:val="00F17FCC"/>
    <w:rsid w:val="00F204B3"/>
    <w:rsid w:val="00F20D6E"/>
    <w:rsid w:val="00F213B6"/>
    <w:rsid w:val="00F218E7"/>
    <w:rsid w:val="00F222F9"/>
    <w:rsid w:val="00F227BD"/>
    <w:rsid w:val="00F23069"/>
    <w:rsid w:val="00F2389A"/>
    <w:rsid w:val="00F23A8A"/>
    <w:rsid w:val="00F2494F"/>
    <w:rsid w:val="00F252F9"/>
    <w:rsid w:val="00F25362"/>
    <w:rsid w:val="00F259BE"/>
    <w:rsid w:val="00F266EE"/>
    <w:rsid w:val="00F277B7"/>
    <w:rsid w:val="00F30006"/>
    <w:rsid w:val="00F30668"/>
    <w:rsid w:val="00F31894"/>
    <w:rsid w:val="00F31AFF"/>
    <w:rsid w:val="00F31CE1"/>
    <w:rsid w:val="00F32536"/>
    <w:rsid w:val="00F32E6B"/>
    <w:rsid w:val="00F331DC"/>
    <w:rsid w:val="00F334C1"/>
    <w:rsid w:val="00F335CE"/>
    <w:rsid w:val="00F337D9"/>
    <w:rsid w:val="00F33886"/>
    <w:rsid w:val="00F33DD7"/>
    <w:rsid w:val="00F3412B"/>
    <w:rsid w:val="00F34D83"/>
    <w:rsid w:val="00F34F1F"/>
    <w:rsid w:val="00F35321"/>
    <w:rsid w:val="00F35A59"/>
    <w:rsid w:val="00F35A66"/>
    <w:rsid w:val="00F35DE2"/>
    <w:rsid w:val="00F36912"/>
    <w:rsid w:val="00F36FFF"/>
    <w:rsid w:val="00F37110"/>
    <w:rsid w:val="00F372D4"/>
    <w:rsid w:val="00F37881"/>
    <w:rsid w:val="00F4027D"/>
    <w:rsid w:val="00F40536"/>
    <w:rsid w:val="00F40B5D"/>
    <w:rsid w:val="00F41521"/>
    <w:rsid w:val="00F417DC"/>
    <w:rsid w:val="00F41901"/>
    <w:rsid w:val="00F41B9F"/>
    <w:rsid w:val="00F41F29"/>
    <w:rsid w:val="00F420DA"/>
    <w:rsid w:val="00F42151"/>
    <w:rsid w:val="00F424B7"/>
    <w:rsid w:val="00F4324F"/>
    <w:rsid w:val="00F437E3"/>
    <w:rsid w:val="00F440A0"/>
    <w:rsid w:val="00F4418E"/>
    <w:rsid w:val="00F457C2"/>
    <w:rsid w:val="00F46136"/>
    <w:rsid w:val="00F469B3"/>
    <w:rsid w:val="00F46EB6"/>
    <w:rsid w:val="00F474E9"/>
    <w:rsid w:val="00F479B7"/>
    <w:rsid w:val="00F47A1B"/>
    <w:rsid w:val="00F47D07"/>
    <w:rsid w:val="00F51242"/>
    <w:rsid w:val="00F5159E"/>
    <w:rsid w:val="00F516F7"/>
    <w:rsid w:val="00F521A7"/>
    <w:rsid w:val="00F52C8C"/>
    <w:rsid w:val="00F52F24"/>
    <w:rsid w:val="00F52F94"/>
    <w:rsid w:val="00F5346E"/>
    <w:rsid w:val="00F53761"/>
    <w:rsid w:val="00F5408C"/>
    <w:rsid w:val="00F55681"/>
    <w:rsid w:val="00F56027"/>
    <w:rsid w:val="00F60AE3"/>
    <w:rsid w:val="00F6196F"/>
    <w:rsid w:val="00F61EF0"/>
    <w:rsid w:val="00F62B9B"/>
    <w:rsid w:val="00F62F2C"/>
    <w:rsid w:val="00F63404"/>
    <w:rsid w:val="00F635DA"/>
    <w:rsid w:val="00F637C6"/>
    <w:rsid w:val="00F637C8"/>
    <w:rsid w:val="00F63DE1"/>
    <w:rsid w:val="00F64E6D"/>
    <w:rsid w:val="00F6540D"/>
    <w:rsid w:val="00F65730"/>
    <w:rsid w:val="00F65B10"/>
    <w:rsid w:val="00F65BBA"/>
    <w:rsid w:val="00F66124"/>
    <w:rsid w:val="00F662A6"/>
    <w:rsid w:val="00F667FD"/>
    <w:rsid w:val="00F66825"/>
    <w:rsid w:val="00F669A9"/>
    <w:rsid w:val="00F67CA4"/>
    <w:rsid w:val="00F704AC"/>
    <w:rsid w:val="00F70787"/>
    <w:rsid w:val="00F712D7"/>
    <w:rsid w:val="00F716F3"/>
    <w:rsid w:val="00F717FF"/>
    <w:rsid w:val="00F72376"/>
    <w:rsid w:val="00F723DF"/>
    <w:rsid w:val="00F72FFD"/>
    <w:rsid w:val="00F73413"/>
    <w:rsid w:val="00F73AED"/>
    <w:rsid w:val="00F73C37"/>
    <w:rsid w:val="00F7470B"/>
    <w:rsid w:val="00F74950"/>
    <w:rsid w:val="00F749D2"/>
    <w:rsid w:val="00F74AF1"/>
    <w:rsid w:val="00F7507B"/>
    <w:rsid w:val="00F7563C"/>
    <w:rsid w:val="00F765CC"/>
    <w:rsid w:val="00F773F5"/>
    <w:rsid w:val="00F77701"/>
    <w:rsid w:val="00F77721"/>
    <w:rsid w:val="00F7772C"/>
    <w:rsid w:val="00F806AA"/>
    <w:rsid w:val="00F80AC5"/>
    <w:rsid w:val="00F80DE1"/>
    <w:rsid w:val="00F81113"/>
    <w:rsid w:val="00F81708"/>
    <w:rsid w:val="00F81F3A"/>
    <w:rsid w:val="00F8226D"/>
    <w:rsid w:val="00F824CA"/>
    <w:rsid w:val="00F82BBC"/>
    <w:rsid w:val="00F82CC6"/>
    <w:rsid w:val="00F843B9"/>
    <w:rsid w:val="00F8479D"/>
    <w:rsid w:val="00F84808"/>
    <w:rsid w:val="00F85282"/>
    <w:rsid w:val="00F85398"/>
    <w:rsid w:val="00F85714"/>
    <w:rsid w:val="00F85BBF"/>
    <w:rsid w:val="00F85EA0"/>
    <w:rsid w:val="00F85EAF"/>
    <w:rsid w:val="00F86291"/>
    <w:rsid w:val="00F8745C"/>
    <w:rsid w:val="00F87A50"/>
    <w:rsid w:val="00F9003D"/>
    <w:rsid w:val="00F9028F"/>
    <w:rsid w:val="00F9047A"/>
    <w:rsid w:val="00F90A9F"/>
    <w:rsid w:val="00F90E27"/>
    <w:rsid w:val="00F9123D"/>
    <w:rsid w:val="00F93FD1"/>
    <w:rsid w:val="00F94B8A"/>
    <w:rsid w:val="00F950B6"/>
    <w:rsid w:val="00F95286"/>
    <w:rsid w:val="00F955FA"/>
    <w:rsid w:val="00F95888"/>
    <w:rsid w:val="00F96E0B"/>
    <w:rsid w:val="00F96E1C"/>
    <w:rsid w:val="00F96E47"/>
    <w:rsid w:val="00FA03B3"/>
    <w:rsid w:val="00FA03FE"/>
    <w:rsid w:val="00FA10CF"/>
    <w:rsid w:val="00FA2980"/>
    <w:rsid w:val="00FA3305"/>
    <w:rsid w:val="00FA37A4"/>
    <w:rsid w:val="00FA3CB2"/>
    <w:rsid w:val="00FA4F11"/>
    <w:rsid w:val="00FA727B"/>
    <w:rsid w:val="00FA7C57"/>
    <w:rsid w:val="00FB04DE"/>
    <w:rsid w:val="00FB295A"/>
    <w:rsid w:val="00FB2E78"/>
    <w:rsid w:val="00FB31DA"/>
    <w:rsid w:val="00FB3225"/>
    <w:rsid w:val="00FB410A"/>
    <w:rsid w:val="00FB42CD"/>
    <w:rsid w:val="00FB4E6E"/>
    <w:rsid w:val="00FB4E87"/>
    <w:rsid w:val="00FB5461"/>
    <w:rsid w:val="00FB5686"/>
    <w:rsid w:val="00FB5C6E"/>
    <w:rsid w:val="00FB5D5D"/>
    <w:rsid w:val="00FB5E7F"/>
    <w:rsid w:val="00FB676F"/>
    <w:rsid w:val="00FB6891"/>
    <w:rsid w:val="00FB6C89"/>
    <w:rsid w:val="00FB71A2"/>
    <w:rsid w:val="00FB7604"/>
    <w:rsid w:val="00FB7D61"/>
    <w:rsid w:val="00FC0046"/>
    <w:rsid w:val="00FC117B"/>
    <w:rsid w:val="00FC18B6"/>
    <w:rsid w:val="00FC21AA"/>
    <w:rsid w:val="00FC3CF8"/>
    <w:rsid w:val="00FC4651"/>
    <w:rsid w:val="00FC477D"/>
    <w:rsid w:val="00FC66AE"/>
    <w:rsid w:val="00FC6FD7"/>
    <w:rsid w:val="00FD1234"/>
    <w:rsid w:val="00FD261D"/>
    <w:rsid w:val="00FD3434"/>
    <w:rsid w:val="00FD377F"/>
    <w:rsid w:val="00FD3C2B"/>
    <w:rsid w:val="00FD4447"/>
    <w:rsid w:val="00FD45FA"/>
    <w:rsid w:val="00FD460D"/>
    <w:rsid w:val="00FD4A71"/>
    <w:rsid w:val="00FD4B25"/>
    <w:rsid w:val="00FD5422"/>
    <w:rsid w:val="00FD5B77"/>
    <w:rsid w:val="00FD5E00"/>
    <w:rsid w:val="00FD5F1D"/>
    <w:rsid w:val="00FD6022"/>
    <w:rsid w:val="00FD60EC"/>
    <w:rsid w:val="00FD6C87"/>
    <w:rsid w:val="00FD7035"/>
    <w:rsid w:val="00FD709A"/>
    <w:rsid w:val="00FD71BA"/>
    <w:rsid w:val="00FE126A"/>
    <w:rsid w:val="00FE17CF"/>
    <w:rsid w:val="00FE18BF"/>
    <w:rsid w:val="00FE1905"/>
    <w:rsid w:val="00FE1D0F"/>
    <w:rsid w:val="00FE1FE2"/>
    <w:rsid w:val="00FE1FE4"/>
    <w:rsid w:val="00FE20A4"/>
    <w:rsid w:val="00FE22BB"/>
    <w:rsid w:val="00FE2661"/>
    <w:rsid w:val="00FE2D28"/>
    <w:rsid w:val="00FE346C"/>
    <w:rsid w:val="00FE367D"/>
    <w:rsid w:val="00FE3DD9"/>
    <w:rsid w:val="00FE4C00"/>
    <w:rsid w:val="00FE5605"/>
    <w:rsid w:val="00FE59D6"/>
    <w:rsid w:val="00FE6713"/>
    <w:rsid w:val="00FE67BD"/>
    <w:rsid w:val="00FE6DC6"/>
    <w:rsid w:val="00FE6E3C"/>
    <w:rsid w:val="00FE7951"/>
    <w:rsid w:val="00FE7C85"/>
    <w:rsid w:val="00FE7D22"/>
    <w:rsid w:val="00FF00CD"/>
    <w:rsid w:val="00FF0654"/>
    <w:rsid w:val="00FF1A77"/>
    <w:rsid w:val="00FF22B5"/>
    <w:rsid w:val="00FF2724"/>
    <w:rsid w:val="00FF27AE"/>
    <w:rsid w:val="00FF3103"/>
    <w:rsid w:val="00FF317A"/>
    <w:rsid w:val="00FF350A"/>
    <w:rsid w:val="00FF4267"/>
    <w:rsid w:val="00FF5A81"/>
    <w:rsid w:val="00FF6D67"/>
    <w:rsid w:val="00FF6DAA"/>
    <w:rsid w:val="00FF6DC8"/>
    <w:rsid w:val="00FF7807"/>
    <w:rsid w:val="00FF78D4"/>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96C3D7"/>
  <w15:docId w15:val="{5F6A73F3-85A8-4EE4-9A16-68A893BD1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DAE"/>
    <w:pPr>
      <w:spacing w:line="360" w:lineRule="auto"/>
      <w:jc w:val="both"/>
    </w:pPr>
    <w:rPr>
      <w:rFonts w:ascii="Arial" w:hAnsi="Arial"/>
      <w:sz w:val="22"/>
      <w:szCs w:val="24"/>
      <w:lang w:eastAsia="en-US"/>
    </w:rPr>
  </w:style>
  <w:style w:type="paragraph" w:styleId="Heading1">
    <w:name w:val="heading 1"/>
    <w:basedOn w:val="Normal"/>
    <w:next w:val="Normal"/>
    <w:qFormat/>
    <w:rsid w:val="006D4A01"/>
    <w:pPr>
      <w:keepNext/>
      <w:spacing w:line="480" w:lineRule="auto"/>
      <w:outlineLvl w:val="0"/>
    </w:pPr>
    <w:rPr>
      <w:rFonts w:cs="Arial"/>
      <w:b/>
      <w:bCs/>
    </w:rPr>
  </w:style>
  <w:style w:type="paragraph" w:styleId="Heading2">
    <w:name w:val="heading 2"/>
    <w:basedOn w:val="Normal"/>
    <w:next w:val="Normal"/>
    <w:qFormat/>
    <w:rsid w:val="006D4A01"/>
    <w:pPr>
      <w:keepNext/>
      <w:spacing w:line="480" w:lineRule="auto"/>
      <w:jc w:val="center"/>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4A01"/>
    <w:pPr>
      <w:spacing w:line="480" w:lineRule="auto"/>
      <w:jc w:val="center"/>
    </w:pPr>
    <w:rPr>
      <w:rFonts w:cs="Arial"/>
      <w:b/>
      <w:bCs/>
    </w:rPr>
  </w:style>
  <w:style w:type="paragraph" w:styleId="Header">
    <w:name w:val="header"/>
    <w:basedOn w:val="Normal"/>
    <w:semiHidden/>
    <w:rsid w:val="006D4A01"/>
    <w:pPr>
      <w:tabs>
        <w:tab w:val="center" w:pos="4153"/>
        <w:tab w:val="right" w:pos="8306"/>
      </w:tabs>
    </w:pPr>
    <w:rPr>
      <w:lang w:val="en-GB"/>
    </w:rPr>
  </w:style>
  <w:style w:type="character" w:styleId="PageNumber">
    <w:name w:val="page number"/>
    <w:basedOn w:val="DefaultParagraphFont"/>
    <w:semiHidden/>
    <w:rsid w:val="006D4A01"/>
  </w:style>
  <w:style w:type="paragraph" w:styleId="BodyText">
    <w:name w:val="Body Text"/>
    <w:basedOn w:val="Normal"/>
    <w:semiHidden/>
    <w:rsid w:val="006D4A01"/>
    <w:rPr>
      <w:bCs/>
    </w:rPr>
  </w:style>
  <w:style w:type="paragraph" w:styleId="FootnoteText">
    <w:name w:val="footnote text"/>
    <w:aliases w:val="Footnote Text Char Char,Footnote Text Char1 Char,Footnote Text Char Char Char,Footnote Text Char Char1,Char Char Char,Char Char,FOOTNOTES,fn,single space,Footnotes,Footnote ak,ft,fn cafc,ALTS FOOTNOTE Char,ALTS FOOTNOT"/>
    <w:basedOn w:val="Normal"/>
    <w:link w:val="FootnoteTextChar"/>
    <w:autoRedefine/>
    <w:semiHidden/>
    <w:qFormat/>
    <w:rsid w:val="002F6FAE"/>
    <w:pPr>
      <w:tabs>
        <w:tab w:val="left" w:pos="360"/>
      </w:tabs>
      <w:spacing w:line="240" w:lineRule="auto"/>
      <w:ind w:left="360" w:hanging="360"/>
    </w:pPr>
    <w:rPr>
      <w:rFonts w:cs="Arial"/>
      <w:sz w:val="20"/>
      <w:szCs w:val="20"/>
    </w:rPr>
  </w:style>
  <w:style w:type="character" w:styleId="FootnoteReference">
    <w:name w:val="footnote reference"/>
    <w:basedOn w:val="DefaultParagraphFont"/>
    <w:uiPriority w:val="99"/>
    <w:semiHidden/>
    <w:rsid w:val="006D4A01"/>
    <w:rPr>
      <w:vertAlign w:val="superscript"/>
    </w:rPr>
  </w:style>
  <w:style w:type="paragraph" w:styleId="Footer">
    <w:name w:val="footer"/>
    <w:basedOn w:val="Normal"/>
    <w:link w:val="FooterChar"/>
    <w:uiPriority w:val="99"/>
    <w:unhideWhenUsed/>
    <w:rsid w:val="005E7763"/>
    <w:pPr>
      <w:tabs>
        <w:tab w:val="center" w:pos="4513"/>
        <w:tab w:val="right" w:pos="9026"/>
      </w:tabs>
    </w:pPr>
  </w:style>
  <w:style w:type="character" w:customStyle="1" w:styleId="FooterChar">
    <w:name w:val="Footer Char"/>
    <w:basedOn w:val="DefaultParagraphFont"/>
    <w:link w:val="Footer"/>
    <w:uiPriority w:val="99"/>
    <w:rsid w:val="005E7763"/>
    <w:rPr>
      <w:sz w:val="24"/>
      <w:szCs w:val="24"/>
      <w:lang w:eastAsia="en-US"/>
    </w:rPr>
  </w:style>
  <w:style w:type="paragraph" w:styleId="BalloonText">
    <w:name w:val="Balloon Text"/>
    <w:basedOn w:val="Normal"/>
    <w:link w:val="BalloonTextChar"/>
    <w:uiPriority w:val="99"/>
    <w:semiHidden/>
    <w:unhideWhenUsed/>
    <w:rsid w:val="005E55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570"/>
    <w:rPr>
      <w:rFonts w:ascii="Tahoma" w:hAnsi="Tahoma" w:cs="Tahoma"/>
      <w:sz w:val="16"/>
      <w:szCs w:val="16"/>
      <w:lang w:eastAsia="en-US"/>
    </w:rPr>
  </w:style>
  <w:style w:type="paragraph" w:styleId="ListParagraph">
    <w:name w:val="List Paragraph"/>
    <w:basedOn w:val="Normal"/>
    <w:uiPriority w:val="34"/>
    <w:qFormat/>
    <w:rsid w:val="005E5570"/>
    <w:pPr>
      <w:ind w:left="720"/>
      <w:contextualSpacing/>
    </w:pPr>
  </w:style>
  <w:style w:type="character" w:customStyle="1" w:styleId="FootnoteTextChar">
    <w:name w:val="Footnote Text Char"/>
    <w:aliases w:val="Footnote Text Char Char Char1,Footnote Text Char1 Char Char,Footnote Text Char Char Char Char,Footnote Text Char Char1 Char,Char Char Char Char,Char Char Char1,FOOTNOTES Char,fn Char,single space Char,Footnotes Char,Footnote ak Char"/>
    <w:basedOn w:val="DefaultParagraphFont"/>
    <w:link w:val="FootnoteText"/>
    <w:semiHidden/>
    <w:rsid w:val="00C02369"/>
    <w:rPr>
      <w:rFonts w:ascii="Arial" w:hAnsi="Arial" w:cs="Arial"/>
      <w:lang w:eastAsia="en-US"/>
    </w:rPr>
  </w:style>
  <w:style w:type="paragraph" w:styleId="EndnoteText">
    <w:name w:val="endnote text"/>
    <w:basedOn w:val="Normal"/>
    <w:link w:val="EndnoteTextChar"/>
    <w:uiPriority w:val="99"/>
    <w:semiHidden/>
    <w:unhideWhenUsed/>
    <w:rsid w:val="00C428BE"/>
    <w:pPr>
      <w:spacing w:line="240" w:lineRule="auto"/>
    </w:pPr>
    <w:rPr>
      <w:sz w:val="20"/>
      <w:szCs w:val="20"/>
    </w:rPr>
  </w:style>
  <w:style w:type="character" w:customStyle="1" w:styleId="EndnoteTextChar">
    <w:name w:val="Endnote Text Char"/>
    <w:basedOn w:val="DefaultParagraphFont"/>
    <w:link w:val="EndnoteText"/>
    <w:uiPriority w:val="99"/>
    <w:semiHidden/>
    <w:rsid w:val="00C428BE"/>
    <w:rPr>
      <w:rFonts w:ascii="Arial" w:hAnsi="Arial"/>
      <w:lang w:eastAsia="en-US"/>
    </w:rPr>
  </w:style>
  <w:style w:type="character" w:styleId="EndnoteReference">
    <w:name w:val="endnote reference"/>
    <w:basedOn w:val="DefaultParagraphFont"/>
    <w:uiPriority w:val="99"/>
    <w:semiHidden/>
    <w:unhideWhenUsed/>
    <w:rsid w:val="00C428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1376">
      <w:bodyDiv w:val="1"/>
      <w:marLeft w:val="0"/>
      <w:marRight w:val="0"/>
      <w:marTop w:val="0"/>
      <w:marBottom w:val="0"/>
      <w:divBdr>
        <w:top w:val="none" w:sz="0" w:space="0" w:color="auto"/>
        <w:left w:val="none" w:sz="0" w:space="0" w:color="auto"/>
        <w:bottom w:val="none" w:sz="0" w:space="0" w:color="auto"/>
        <w:right w:val="none" w:sz="0" w:space="0" w:color="auto"/>
      </w:divBdr>
    </w:div>
    <w:div w:id="67579965">
      <w:bodyDiv w:val="1"/>
      <w:marLeft w:val="0"/>
      <w:marRight w:val="0"/>
      <w:marTop w:val="0"/>
      <w:marBottom w:val="0"/>
      <w:divBdr>
        <w:top w:val="none" w:sz="0" w:space="0" w:color="auto"/>
        <w:left w:val="none" w:sz="0" w:space="0" w:color="auto"/>
        <w:bottom w:val="none" w:sz="0" w:space="0" w:color="auto"/>
        <w:right w:val="none" w:sz="0" w:space="0" w:color="auto"/>
      </w:divBdr>
    </w:div>
    <w:div w:id="153032774">
      <w:bodyDiv w:val="1"/>
      <w:marLeft w:val="0"/>
      <w:marRight w:val="0"/>
      <w:marTop w:val="0"/>
      <w:marBottom w:val="0"/>
      <w:divBdr>
        <w:top w:val="none" w:sz="0" w:space="0" w:color="auto"/>
        <w:left w:val="none" w:sz="0" w:space="0" w:color="auto"/>
        <w:bottom w:val="none" w:sz="0" w:space="0" w:color="auto"/>
        <w:right w:val="none" w:sz="0" w:space="0" w:color="auto"/>
      </w:divBdr>
    </w:div>
    <w:div w:id="679696596">
      <w:bodyDiv w:val="1"/>
      <w:marLeft w:val="0"/>
      <w:marRight w:val="0"/>
      <w:marTop w:val="0"/>
      <w:marBottom w:val="0"/>
      <w:divBdr>
        <w:top w:val="none" w:sz="0" w:space="0" w:color="auto"/>
        <w:left w:val="none" w:sz="0" w:space="0" w:color="auto"/>
        <w:bottom w:val="none" w:sz="0" w:space="0" w:color="auto"/>
        <w:right w:val="none" w:sz="0" w:space="0" w:color="auto"/>
      </w:divBdr>
    </w:div>
    <w:div w:id="995643790">
      <w:bodyDiv w:val="1"/>
      <w:marLeft w:val="0"/>
      <w:marRight w:val="0"/>
      <w:marTop w:val="0"/>
      <w:marBottom w:val="0"/>
      <w:divBdr>
        <w:top w:val="none" w:sz="0" w:space="0" w:color="auto"/>
        <w:left w:val="none" w:sz="0" w:space="0" w:color="auto"/>
        <w:bottom w:val="none" w:sz="0" w:space="0" w:color="auto"/>
        <w:right w:val="none" w:sz="0" w:space="0" w:color="auto"/>
      </w:divBdr>
    </w:div>
    <w:div w:id="1196044302">
      <w:bodyDiv w:val="1"/>
      <w:marLeft w:val="0"/>
      <w:marRight w:val="0"/>
      <w:marTop w:val="0"/>
      <w:marBottom w:val="0"/>
      <w:divBdr>
        <w:top w:val="none" w:sz="0" w:space="0" w:color="auto"/>
        <w:left w:val="none" w:sz="0" w:space="0" w:color="auto"/>
        <w:bottom w:val="none" w:sz="0" w:space="0" w:color="auto"/>
        <w:right w:val="none" w:sz="0" w:space="0" w:color="auto"/>
      </w:divBdr>
    </w:div>
    <w:div w:id="1202206818">
      <w:bodyDiv w:val="1"/>
      <w:marLeft w:val="0"/>
      <w:marRight w:val="0"/>
      <w:marTop w:val="0"/>
      <w:marBottom w:val="0"/>
      <w:divBdr>
        <w:top w:val="none" w:sz="0" w:space="0" w:color="auto"/>
        <w:left w:val="none" w:sz="0" w:space="0" w:color="auto"/>
        <w:bottom w:val="none" w:sz="0" w:space="0" w:color="auto"/>
        <w:right w:val="none" w:sz="0" w:space="0" w:color="auto"/>
      </w:divBdr>
    </w:div>
    <w:div w:id="1238396090">
      <w:bodyDiv w:val="1"/>
      <w:marLeft w:val="0"/>
      <w:marRight w:val="0"/>
      <w:marTop w:val="0"/>
      <w:marBottom w:val="0"/>
      <w:divBdr>
        <w:top w:val="none" w:sz="0" w:space="0" w:color="auto"/>
        <w:left w:val="none" w:sz="0" w:space="0" w:color="auto"/>
        <w:bottom w:val="none" w:sz="0" w:space="0" w:color="auto"/>
        <w:right w:val="none" w:sz="0" w:space="0" w:color="auto"/>
      </w:divBdr>
    </w:div>
    <w:div w:id="1307855766">
      <w:bodyDiv w:val="1"/>
      <w:marLeft w:val="0"/>
      <w:marRight w:val="0"/>
      <w:marTop w:val="0"/>
      <w:marBottom w:val="0"/>
      <w:divBdr>
        <w:top w:val="none" w:sz="0" w:space="0" w:color="auto"/>
        <w:left w:val="none" w:sz="0" w:space="0" w:color="auto"/>
        <w:bottom w:val="none" w:sz="0" w:space="0" w:color="auto"/>
        <w:right w:val="none" w:sz="0" w:space="0" w:color="auto"/>
      </w:divBdr>
    </w:div>
    <w:div w:id="1645624731">
      <w:bodyDiv w:val="1"/>
      <w:marLeft w:val="0"/>
      <w:marRight w:val="0"/>
      <w:marTop w:val="0"/>
      <w:marBottom w:val="0"/>
      <w:divBdr>
        <w:top w:val="none" w:sz="0" w:space="0" w:color="auto"/>
        <w:left w:val="none" w:sz="0" w:space="0" w:color="auto"/>
        <w:bottom w:val="none" w:sz="0" w:space="0" w:color="auto"/>
        <w:right w:val="none" w:sz="0" w:space="0" w:color="auto"/>
      </w:divBdr>
    </w:div>
    <w:div w:id="1656374760">
      <w:bodyDiv w:val="1"/>
      <w:marLeft w:val="0"/>
      <w:marRight w:val="0"/>
      <w:marTop w:val="0"/>
      <w:marBottom w:val="0"/>
      <w:divBdr>
        <w:top w:val="none" w:sz="0" w:space="0" w:color="auto"/>
        <w:left w:val="none" w:sz="0" w:space="0" w:color="auto"/>
        <w:bottom w:val="none" w:sz="0" w:space="0" w:color="auto"/>
        <w:right w:val="none" w:sz="0" w:space="0" w:color="auto"/>
      </w:divBdr>
    </w:div>
    <w:div w:id="1662930656">
      <w:bodyDiv w:val="1"/>
      <w:marLeft w:val="0"/>
      <w:marRight w:val="0"/>
      <w:marTop w:val="0"/>
      <w:marBottom w:val="0"/>
      <w:divBdr>
        <w:top w:val="none" w:sz="0" w:space="0" w:color="auto"/>
        <w:left w:val="none" w:sz="0" w:space="0" w:color="auto"/>
        <w:bottom w:val="none" w:sz="0" w:space="0" w:color="auto"/>
        <w:right w:val="none" w:sz="0" w:space="0" w:color="auto"/>
      </w:divBdr>
    </w:div>
    <w:div w:id="179053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Heads%20of%20Argument%20North%20Gaut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EC9FE-4678-49D9-BF66-F83C2AF4B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Heads of Argument North Gauteng</Template>
  <TotalTime>1</TotalTime>
  <Pages>17</Pages>
  <Words>3728</Words>
  <Characters>21256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JUDGMENT</vt:lpstr>
    </vt:vector>
  </TitlesOfParts>
  <Company>JR TYPING SERVICES</Company>
  <LinksUpToDate>false</LinksUpToDate>
  <CharactersWithSpaces>24935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creator>JR TYPING SERVICES</dc:creator>
  <cp:keywords>A A CRUTCHFIELD J</cp:keywords>
  <cp:lastModifiedBy>Mariana Anguelov</cp:lastModifiedBy>
  <cp:revision>3</cp:revision>
  <cp:lastPrinted>2022-12-05T17:14:00Z</cp:lastPrinted>
  <dcterms:created xsi:type="dcterms:W3CDTF">2022-12-14T10:41:00Z</dcterms:created>
  <dcterms:modified xsi:type="dcterms:W3CDTF">2022-12-17T19:42:00Z</dcterms:modified>
</cp:coreProperties>
</file>