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F3DF" w14:textId="77777777" w:rsidR="00972885" w:rsidRDefault="00972885" w:rsidP="00972885">
      <w:pPr>
        <w:spacing w:after="120"/>
        <w:jc w:val="center"/>
        <w:rPr>
          <w:b/>
          <w:u w:val="none"/>
          <w:lang w:val="en-ZA"/>
        </w:rPr>
      </w:pPr>
      <w:r>
        <w:rPr>
          <w:b/>
          <w:u w:val="none"/>
          <w:lang w:val="en-ZA"/>
        </w:rPr>
        <w:t>REPUBLIC OF SOUTH AFRICA</w:t>
      </w:r>
    </w:p>
    <w:p w14:paraId="4D5A7885" w14:textId="77777777" w:rsidR="00972885" w:rsidRDefault="00972885" w:rsidP="00972885">
      <w:pPr>
        <w:jc w:val="center"/>
        <w:rPr>
          <w:b/>
          <w:u w:val="none"/>
          <w:lang w:val="en-ZA"/>
        </w:rPr>
      </w:pPr>
      <w:r>
        <w:rPr>
          <w:b/>
          <w:noProof/>
          <w:u w:val="none"/>
          <w:lang w:val="en-ZA" w:eastAsia="en-ZA"/>
        </w:rPr>
        <w:drawing>
          <wp:inline distT="0" distB="0" distL="0" distR="0" wp14:anchorId="7046485C" wp14:editId="5352F0A6">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22CE5D3C" w14:textId="77777777" w:rsidR="00972885" w:rsidRDefault="00972885" w:rsidP="00972885">
      <w:pPr>
        <w:spacing w:before="120"/>
        <w:jc w:val="center"/>
        <w:rPr>
          <w:b/>
          <w:u w:val="none"/>
          <w:lang w:val="en-ZA"/>
        </w:rPr>
      </w:pPr>
      <w:r>
        <w:rPr>
          <w:b/>
          <w:u w:val="none"/>
          <w:lang w:val="en-ZA"/>
        </w:rPr>
        <w:t>IN THE HIGH COURT OF SOUTH AFRICA</w:t>
      </w:r>
    </w:p>
    <w:p w14:paraId="61DB953F" w14:textId="77777777" w:rsidR="00972885" w:rsidRDefault="00972885" w:rsidP="00972885">
      <w:pPr>
        <w:jc w:val="center"/>
        <w:rPr>
          <w:b/>
          <w:u w:val="none"/>
          <w:lang w:val="en-ZA"/>
        </w:rPr>
      </w:pPr>
      <w:r>
        <w:rPr>
          <w:b/>
          <w:u w:val="none"/>
          <w:lang w:val="en-ZA"/>
        </w:rPr>
        <w:t>GAUTENG DIVISION, JOHANNEBURG</w:t>
      </w:r>
    </w:p>
    <w:p w14:paraId="3FF9728B" w14:textId="77777777" w:rsidR="00972885" w:rsidRDefault="00972885" w:rsidP="00972885">
      <w:pPr>
        <w:jc w:val="center"/>
        <w:rPr>
          <w:b/>
          <w:u w:val="none"/>
          <w:lang w:val="en-ZA"/>
        </w:rPr>
      </w:pPr>
    </w:p>
    <w:p w14:paraId="5FAC2479" w14:textId="77777777" w:rsidR="00972885" w:rsidRPr="00DE61DE" w:rsidRDefault="00972885" w:rsidP="00DE61DE">
      <w:pPr>
        <w:jc w:val="right"/>
        <w:rPr>
          <w:b/>
          <w:u w:val="none"/>
          <w:lang w:val="en-ZA"/>
        </w:rPr>
      </w:pPr>
      <w:r w:rsidRPr="00C03564">
        <w:rPr>
          <w:b/>
          <w:u w:val="none"/>
          <w:lang w:val="en-ZA"/>
        </w:rPr>
        <w:t>CASE NO</w:t>
      </w:r>
      <w:r w:rsidR="00BC10F5">
        <w:rPr>
          <w:b/>
          <w:u w:val="none"/>
          <w:lang w:val="en-ZA"/>
        </w:rPr>
        <w:t>:</w:t>
      </w:r>
      <w:r w:rsidR="00BE1233">
        <w:rPr>
          <w:b/>
          <w:u w:val="none"/>
        </w:rPr>
        <w:t xml:space="preserve"> </w:t>
      </w:r>
      <w:r w:rsidR="00BE1233" w:rsidRPr="00BE1233">
        <w:rPr>
          <w:b/>
          <w:u w:val="none"/>
        </w:rPr>
        <w:t>2022</w:t>
      </w:r>
      <w:r w:rsidR="00E537BA" w:rsidRPr="00BE1233">
        <w:rPr>
          <w:b/>
          <w:u w:val="none"/>
        </w:rPr>
        <w:t>/</w:t>
      </w:r>
      <w:r w:rsidR="00BE1233" w:rsidRPr="00BE1233">
        <w:rPr>
          <w:b/>
          <w:bCs/>
          <w:sz w:val="22"/>
          <w:szCs w:val="22"/>
          <w:u w:val="none"/>
        </w:rPr>
        <w:t>048802</w:t>
      </w:r>
    </w:p>
    <w:p w14:paraId="6A0017F6" w14:textId="77777777" w:rsidR="00972885" w:rsidRDefault="00972885" w:rsidP="00972885">
      <w:pPr>
        <w:jc w:val="both"/>
      </w:pPr>
    </w:p>
    <w:p w14:paraId="20A428B0" w14:textId="77777777" w:rsidR="00972885" w:rsidRPr="009B39F0" w:rsidRDefault="00972885" w:rsidP="00972885">
      <w:pPr>
        <w:jc w:val="both"/>
      </w:pPr>
      <w:r>
        <w:rPr>
          <w:noProof/>
          <w:lang w:val="en-ZA" w:eastAsia="en-ZA"/>
        </w:rPr>
        <mc:AlternateContent>
          <mc:Choice Requires="wps">
            <w:drawing>
              <wp:anchor distT="0" distB="0" distL="114300" distR="114300" simplePos="0" relativeHeight="251659264" behindDoc="0" locked="0" layoutInCell="1" allowOverlap="1" wp14:anchorId="2FE6FAA1" wp14:editId="4B29C2A9">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1584DCB0" w14:textId="77777777" w:rsidR="00950FD7" w:rsidRDefault="00950FD7" w:rsidP="00972885">
                            <w:pPr>
                              <w:rPr>
                                <w:sz w:val="20"/>
                                <w:szCs w:val="20"/>
                              </w:rPr>
                            </w:pPr>
                          </w:p>
                          <w:p w14:paraId="25130449" w14:textId="77033BFC" w:rsidR="00950FD7" w:rsidRPr="004B32DC" w:rsidRDefault="00B40FC0" w:rsidP="00B40FC0">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14:paraId="65982EC6" w14:textId="7865DE04" w:rsidR="00950FD7" w:rsidRPr="004B32DC" w:rsidRDefault="00B40FC0" w:rsidP="00B40FC0">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14:paraId="1A473BFF" w14:textId="030F2E0A" w:rsidR="00950FD7" w:rsidRPr="004B32DC" w:rsidRDefault="00B40FC0" w:rsidP="00B40FC0">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F80227">
                              <w:rPr>
                                <w:sz w:val="20"/>
                                <w:szCs w:val="20"/>
                              </w:rPr>
                              <w:t>: NO</w:t>
                            </w:r>
                          </w:p>
                          <w:p w14:paraId="39D565DA" w14:textId="77777777" w:rsidR="00950FD7" w:rsidRPr="004B32DC" w:rsidRDefault="00950FD7" w:rsidP="00972885">
                            <w:pPr>
                              <w:rPr>
                                <w:b/>
                                <w:sz w:val="20"/>
                                <w:szCs w:val="20"/>
                              </w:rPr>
                            </w:pPr>
                          </w:p>
                          <w:p w14:paraId="4AB12939" w14:textId="77777777" w:rsidR="00950FD7" w:rsidRPr="004B32DC" w:rsidRDefault="00950FD7" w:rsidP="00972885">
                            <w:pPr>
                              <w:rPr>
                                <w:b/>
                                <w:sz w:val="20"/>
                                <w:szCs w:val="20"/>
                              </w:rPr>
                            </w:pPr>
                          </w:p>
                          <w:p w14:paraId="09873F0F" w14:textId="77777777"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E32790">
                              <w:rPr>
                                <w:b/>
                                <w:sz w:val="18"/>
                                <w:szCs w:val="18"/>
                                <w:u w:val="none"/>
                              </w:rPr>
                              <w:t>[</w:t>
                            </w:r>
                            <w:r w:rsidR="00650EC4">
                              <w:rPr>
                                <w:b/>
                                <w:sz w:val="18"/>
                                <w:szCs w:val="18"/>
                                <w:u w:val="none"/>
                              </w:rPr>
                              <w:t xml:space="preserve">12 December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248AE3A4"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6FAA1"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">
                <v:textbox>
                  <w:txbxContent>
                    <w:p w14:paraId="1584DCB0" w14:textId="77777777" w:rsidR="00950FD7" w:rsidRDefault="00950FD7" w:rsidP="00972885">
                      <w:pPr>
                        <w:rPr>
                          <w:sz w:val="20"/>
                          <w:szCs w:val="20"/>
                        </w:rPr>
                      </w:pPr>
                    </w:p>
                    <w:p w14:paraId="25130449" w14:textId="77033BFC" w:rsidR="00950FD7" w:rsidRPr="004B32DC" w:rsidRDefault="00B40FC0" w:rsidP="00B40FC0">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14:paraId="65982EC6" w14:textId="7865DE04" w:rsidR="00950FD7" w:rsidRPr="004B32DC" w:rsidRDefault="00B40FC0" w:rsidP="00B40FC0">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14:paraId="1A473BFF" w14:textId="030F2E0A" w:rsidR="00950FD7" w:rsidRPr="004B32DC" w:rsidRDefault="00B40FC0" w:rsidP="00B40FC0">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F80227">
                        <w:rPr>
                          <w:sz w:val="20"/>
                          <w:szCs w:val="20"/>
                        </w:rPr>
                        <w:t>: NO</w:t>
                      </w:r>
                    </w:p>
                    <w:p w14:paraId="39D565DA" w14:textId="77777777" w:rsidR="00950FD7" w:rsidRPr="004B32DC" w:rsidRDefault="00950FD7" w:rsidP="00972885">
                      <w:pPr>
                        <w:rPr>
                          <w:b/>
                          <w:sz w:val="20"/>
                          <w:szCs w:val="20"/>
                        </w:rPr>
                      </w:pPr>
                    </w:p>
                    <w:p w14:paraId="4AB12939" w14:textId="77777777" w:rsidR="00950FD7" w:rsidRPr="004B32DC" w:rsidRDefault="00950FD7" w:rsidP="00972885">
                      <w:pPr>
                        <w:rPr>
                          <w:b/>
                          <w:sz w:val="20"/>
                          <w:szCs w:val="20"/>
                        </w:rPr>
                      </w:pPr>
                    </w:p>
                    <w:p w14:paraId="09873F0F" w14:textId="77777777"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E32790">
                        <w:rPr>
                          <w:b/>
                          <w:sz w:val="18"/>
                          <w:szCs w:val="18"/>
                          <w:u w:val="none"/>
                        </w:rPr>
                        <w:t>[</w:t>
                      </w:r>
                      <w:r w:rsidR="00650EC4">
                        <w:rPr>
                          <w:b/>
                          <w:sz w:val="18"/>
                          <w:szCs w:val="18"/>
                          <w:u w:val="none"/>
                        </w:rPr>
                        <w:t xml:space="preserve">12 December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248AE3A4"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14:paraId="54B9A621" w14:textId="77777777" w:rsidR="00972885" w:rsidRDefault="00972885" w:rsidP="00972885">
      <w:pPr>
        <w:jc w:val="both"/>
      </w:pPr>
    </w:p>
    <w:p w14:paraId="712710AF" w14:textId="77777777" w:rsidR="00972885" w:rsidRDefault="00972885" w:rsidP="00972885">
      <w:pPr>
        <w:jc w:val="both"/>
      </w:pPr>
    </w:p>
    <w:p w14:paraId="02B7FB78" w14:textId="77777777" w:rsidR="00972885" w:rsidRPr="009B39F0" w:rsidRDefault="00972885" w:rsidP="00972885">
      <w:pPr>
        <w:jc w:val="both"/>
      </w:pPr>
    </w:p>
    <w:p w14:paraId="6736E1AA" w14:textId="77777777" w:rsidR="00972885" w:rsidRPr="009B39F0" w:rsidRDefault="00972885" w:rsidP="00972885">
      <w:pPr>
        <w:jc w:val="both"/>
      </w:pPr>
    </w:p>
    <w:p w14:paraId="3F7C2402" w14:textId="77777777" w:rsidR="00972885" w:rsidRPr="009B39F0" w:rsidRDefault="00972885" w:rsidP="00972885">
      <w:pPr>
        <w:jc w:val="both"/>
      </w:pPr>
    </w:p>
    <w:p w14:paraId="187E24C4" w14:textId="77777777" w:rsidR="00972885" w:rsidRPr="009B39F0" w:rsidRDefault="00972885" w:rsidP="00972885">
      <w:pPr>
        <w:jc w:val="both"/>
      </w:pPr>
    </w:p>
    <w:p w14:paraId="3A5523FB" w14:textId="77777777" w:rsidR="00972885" w:rsidRPr="009B39F0" w:rsidRDefault="00972885" w:rsidP="00972885">
      <w:pPr>
        <w:jc w:val="both"/>
      </w:pPr>
    </w:p>
    <w:p w14:paraId="6F523789" w14:textId="77777777" w:rsidR="00972885" w:rsidRDefault="00972885" w:rsidP="00972885">
      <w:pPr>
        <w:rPr>
          <w:u w:val="none"/>
        </w:rPr>
      </w:pPr>
    </w:p>
    <w:p w14:paraId="40297D6D" w14:textId="77777777" w:rsidR="00972885" w:rsidRDefault="00972885" w:rsidP="00972885">
      <w:pPr>
        <w:rPr>
          <w:u w:val="none"/>
        </w:rPr>
      </w:pPr>
      <w:r>
        <w:rPr>
          <w:u w:val="none"/>
        </w:rPr>
        <w:t>In the matter between:</w:t>
      </w:r>
    </w:p>
    <w:p w14:paraId="12BDA5C7" w14:textId="77777777" w:rsidR="00972885" w:rsidRDefault="00972885" w:rsidP="00972885">
      <w:pPr>
        <w:rPr>
          <w:i/>
          <w:u w:val="none"/>
        </w:rPr>
      </w:pPr>
    </w:p>
    <w:p w14:paraId="108D7B58" w14:textId="77777777" w:rsidR="00AC2DE7" w:rsidRPr="00AC2DE7" w:rsidRDefault="009576D4" w:rsidP="00AC2DE7">
      <w:pPr>
        <w:suppressAutoHyphens/>
        <w:spacing w:line="480" w:lineRule="auto"/>
        <w:rPr>
          <w:b/>
          <w:szCs w:val="20"/>
          <w:u w:val="none"/>
          <w:lang w:eastAsia="en-US"/>
        </w:rPr>
      </w:pPr>
      <w:r w:rsidRPr="009576D4">
        <w:rPr>
          <w:b/>
          <w:szCs w:val="20"/>
          <w:u w:val="none"/>
          <w:lang w:eastAsia="en-US"/>
        </w:rPr>
        <w:t>LISTON CHOLOGI</w:t>
      </w:r>
      <w:r>
        <w:rPr>
          <w:b/>
          <w:szCs w:val="20"/>
          <w:u w:val="none"/>
          <w:lang w:eastAsia="en-US"/>
        </w:rPr>
        <w:t xml:space="preserve">                                                                                      </w:t>
      </w:r>
      <w:r w:rsidR="00AC2DE7" w:rsidRPr="00AC2DE7">
        <w:rPr>
          <w:b/>
          <w:szCs w:val="20"/>
          <w:u w:val="none"/>
          <w:lang w:eastAsia="en-US"/>
        </w:rPr>
        <w:t>Applicant</w:t>
      </w:r>
    </w:p>
    <w:p w14:paraId="1EC18D5A" w14:textId="77777777" w:rsidR="00AC2DE7" w:rsidRPr="00AC2DE7" w:rsidRDefault="00AC2DE7" w:rsidP="00AC2DE7">
      <w:pPr>
        <w:tabs>
          <w:tab w:val="right" w:pos="9072"/>
        </w:tabs>
        <w:suppressAutoHyphens/>
        <w:jc w:val="both"/>
        <w:rPr>
          <w:b/>
          <w:szCs w:val="20"/>
          <w:u w:val="none"/>
          <w:lang w:eastAsia="en-US"/>
        </w:rPr>
      </w:pPr>
      <w:r w:rsidRPr="00AC2DE7">
        <w:rPr>
          <w:b/>
          <w:szCs w:val="20"/>
          <w:u w:val="none"/>
          <w:lang w:eastAsia="en-US"/>
        </w:rPr>
        <w:tab/>
      </w:r>
    </w:p>
    <w:p w14:paraId="025879E2" w14:textId="77777777" w:rsidR="00AC2DE7" w:rsidRPr="00AC2DE7" w:rsidRDefault="00AC2DE7" w:rsidP="00AC2DE7">
      <w:pPr>
        <w:tabs>
          <w:tab w:val="right" w:pos="9026"/>
        </w:tabs>
        <w:suppressAutoHyphens/>
        <w:spacing w:line="480" w:lineRule="auto"/>
        <w:rPr>
          <w:b/>
          <w:szCs w:val="20"/>
          <w:u w:val="none"/>
          <w:lang w:eastAsia="en-US"/>
        </w:rPr>
      </w:pPr>
      <w:r w:rsidRPr="00AC2DE7">
        <w:rPr>
          <w:b/>
          <w:szCs w:val="20"/>
          <w:u w:val="none"/>
          <w:lang w:eastAsia="en-US"/>
        </w:rPr>
        <w:t>and</w:t>
      </w:r>
    </w:p>
    <w:p w14:paraId="174891D2" w14:textId="77777777" w:rsidR="00AC2DE7" w:rsidRPr="00AC2DE7" w:rsidRDefault="00AC2DE7" w:rsidP="00AC2DE7">
      <w:pPr>
        <w:tabs>
          <w:tab w:val="right" w:pos="9072"/>
        </w:tabs>
        <w:suppressAutoHyphens/>
        <w:spacing w:line="360" w:lineRule="auto"/>
        <w:jc w:val="both"/>
        <w:rPr>
          <w:b/>
          <w:szCs w:val="20"/>
          <w:u w:val="none"/>
          <w:lang w:eastAsia="en-US"/>
        </w:rPr>
      </w:pPr>
    </w:p>
    <w:p w14:paraId="560EDA0A" w14:textId="77777777" w:rsidR="009576D4" w:rsidRDefault="009576D4" w:rsidP="00AC2DE7">
      <w:pPr>
        <w:tabs>
          <w:tab w:val="right" w:pos="9072"/>
        </w:tabs>
        <w:suppressAutoHyphens/>
        <w:spacing w:line="360" w:lineRule="auto"/>
        <w:jc w:val="both"/>
        <w:rPr>
          <w:b/>
          <w:szCs w:val="20"/>
          <w:u w:val="none"/>
          <w:lang w:eastAsia="en-US"/>
        </w:rPr>
      </w:pPr>
      <w:r w:rsidRPr="009576D4">
        <w:rPr>
          <w:b/>
          <w:szCs w:val="20"/>
          <w:u w:val="none"/>
          <w:lang w:eastAsia="en-US"/>
        </w:rPr>
        <w:t>CHAIRPERSON: CORRECTIONAL SUPERVISION</w:t>
      </w:r>
    </w:p>
    <w:p w14:paraId="12CF9DAF" w14:textId="77777777" w:rsidR="00AC2DE7" w:rsidRPr="00AC2DE7" w:rsidRDefault="009576D4" w:rsidP="00AC2DE7">
      <w:pPr>
        <w:tabs>
          <w:tab w:val="right" w:pos="9072"/>
        </w:tabs>
        <w:suppressAutoHyphens/>
        <w:spacing w:line="360" w:lineRule="auto"/>
        <w:jc w:val="both"/>
        <w:rPr>
          <w:b/>
          <w:szCs w:val="20"/>
          <w:u w:val="none"/>
          <w:lang w:eastAsia="en-US"/>
        </w:rPr>
      </w:pPr>
      <w:r w:rsidRPr="009576D4">
        <w:rPr>
          <w:b/>
          <w:szCs w:val="20"/>
          <w:u w:val="none"/>
          <w:lang w:eastAsia="en-US"/>
        </w:rPr>
        <w:t xml:space="preserve"> AND PAROLE BOARD </w:t>
      </w:r>
      <w:r>
        <w:rPr>
          <w:b/>
          <w:szCs w:val="20"/>
          <w:u w:val="none"/>
          <w:lang w:eastAsia="en-US"/>
        </w:rPr>
        <w:t xml:space="preserve">                                                                 First </w:t>
      </w:r>
      <w:r w:rsidR="00AC2DE7" w:rsidRPr="00AC2DE7">
        <w:rPr>
          <w:b/>
          <w:szCs w:val="20"/>
          <w:u w:val="none"/>
          <w:lang w:eastAsia="en-US"/>
        </w:rPr>
        <w:t>Responde</w:t>
      </w:r>
      <w:r>
        <w:rPr>
          <w:b/>
          <w:szCs w:val="20"/>
          <w:u w:val="none"/>
          <w:lang w:eastAsia="en-US"/>
        </w:rPr>
        <w:t>nt</w:t>
      </w:r>
      <w:r w:rsidR="00AC2DE7" w:rsidRPr="00AC2DE7">
        <w:rPr>
          <w:b/>
          <w:szCs w:val="20"/>
          <w:u w:val="none"/>
          <w:lang w:eastAsia="en-US"/>
        </w:rPr>
        <w:t xml:space="preserve">  </w:t>
      </w:r>
    </w:p>
    <w:p w14:paraId="41E0F334" w14:textId="77777777" w:rsidR="00AC2DE7" w:rsidRPr="00AC2DE7" w:rsidRDefault="00AC2DE7" w:rsidP="00AC2DE7">
      <w:pPr>
        <w:tabs>
          <w:tab w:val="right" w:pos="9072"/>
        </w:tabs>
        <w:suppressAutoHyphens/>
        <w:spacing w:line="360" w:lineRule="auto"/>
        <w:jc w:val="both"/>
        <w:rPr>
          <w:b/>
          <w:szCs w:val="20"/>
          <w:u w:val="none"/>
          <w:lang w:eastAsia="en-US"/>
        </w:rPr>
      </w:pPr>
    </w:p>
    <w:p w14:paraId="6DDEE74E" w14:textId="77777777" w:rsidR="009576D4" w:rsidRDefault="009576D4" w:rsidP="00AC2DE7">
      <w:pPr>
        <w:tabs>
          <w:tab w:val="right" w:pos="9072"/>
        </w:tabs>
        <w:suppressAutoHyphens/>
        <w:spacing w:line="360" w:lineRule="auto"/>
        <w:jc w:val="both"/>
        <w:rPr>
          <w:b/>
          <w:szCs w:val="20"/>
          <w:u w:val="none"/>
          <w:lang w:eastAsia="en-US"/>
        </w:rPr>
      </w:pPr>
      <w:r w:rsidRPr="009576D4">
        <w:rPr>
          <w:b/>
          <w:szCs w:val="20"/>
          <w:u w:val="none"/>
          <w:lang w:eastAsia="en-US"/>
        </w:rPr>
        <w:t xml:space="preserve">MINISTER OF JUSTICE AND </w:t>
      </w:r>
    </w:p>
    <w:p w14:paraId="1B5C9E3D" w14:textId="77777777" w:rsidR="00AC2DE7" w:rsidRDefault="009576D4" w:rsidP="00AC2DE7">
      <w:pPr>
        <w:tabs>
          <w:tab w:val="right" w:pos="9072"/>
        </w:tabs>
        <w:suppressAutoHyphens/>
        <w:spacing w:line="360" w:lineRule="auto"/>
        <w:jc w:val="both"/>
        <w:rPr>
          <w:b/>
          <w:szCs w:val="20"/>
          <w:u w:val="none"/>
          <w:lang w:eastAsia="en-US"/>
        </w:rPr>
      </w:pPr>
      <w:r w:rsidRPr="009576D4">
        <w:rPr>
          <w:b/>
          <w:szCs w:val="20"/>
          <w:u w:val="none"/>
          <w:lang w:eastAsia="en-US"/>
        </w:rPr>
        <w:t xml:space="preserve">CORRECTIONAL SERVICES </w:t>
      </w:r>
      <w:r>
        <w:rPr>
          <w:b/>
          <w:szCs w:val="20"/>
          <w:u w:val="none"/>
          <w:lang w:eastAsia="en-US"/>
        </w:rPr>
        <w:t xml:space="preserve">                                                   Second Respondent</w:t>
      </w:r>
    </w:p>
    <w:p w14:paraId="4B2F4A39" w14:textId="77777777" w:rsidR="009576D4" w:rsidRPr="00AC2DE7" w:rsidRDefault="009576D4" w:rsidP="00AC2DE7">
      <w:pPr>
        <w:tabs>
          <w:tab w:val="right" w:pos="9072"/>
        </w:tabs>
        <w:suppressAutoHyphens/>
        <w:spacing w:line="360" w:lineRule="auto"/>
        <w:jc w:val="both"/>
        <w:rPr>
          <w:b/>
          <w:szCs w:val="20"/>
          <w:u w:val="none"/>
          <w:lang w:eastAsia="en-US"/>
        </w:rPr>
      </w:pPr>
    </w:p>
    <w:p w14:paraId="703F5228" w14:textId="77777777" w:rsidR="00972885" w:rsidRDefault="009576D4" w:rsidP="00972885">
      <w:pPr>
        <w:tabs>
          <w:tab w:val="right" w:pos="8280"/>
        </w:tabs>
        <w:jc w:val="both"/>
        <w:rPr>
          <w:u w:val="none"/>
          <w:lang w:val="en-ZA"/>
        </w:rPr>
      </w:pP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t>----------------------------------------------------------------------------------------------------------------</w:t>
      </w:r>
    </w:p>
    <w:p w14:paraId="483FC67C" w14:textId="77777777" w:rsidR="00972885" w:rsidRPr="00562DB9" w:rsidRDefault="00E46C4B" w:rsidP="00972885">
      <w:pPr>
        <w:tabs>
          <w:tab w:val="right" w:pos="8280"/>
        </w:tabs>
        <w:jc w:val="center"/>
        <w:rPr>
          <w:b/>
          <w:u w:val="none"/>
          <w:lang w:val="en-ZA"/>
        </w:rPr>
      </w:pPr>
      <w:r>
        <w:rPr>
          <w:b/>
          <w:u w:val="none"/>
          <w:lang w:val="en-ZA"/>
        </w:rPr>
        <w:t>J</w:t>
      </w:r>
      <w:r w:rsidR="00972885">
        <w:rPr>
          <w:b/>
          <w:u w:val="none"/>
          <w:lang w:val="en-ZA"/>
        </w:rPr>
        <w:t xml:space="preserve"> U D G M E N T</w:t>
      </w:r>
    </w:p>
    <w:p w14:paraId="51AE69EC" w14:textId="77777777" w:rsidR="00972885" w:rsidRDefault="00972885" w:rsidP="00972885">
      <w:pPr>
        <w:tabs>
          <w:tab w:val="right" w:pos="8280"/>
        </w:tabs>
        <w:rPr>
          <w:u w:val="none"/>
          <w:lang w:val="en-ZA"/>
        </w:rPr>
      </w:pPr>
      <w:r>
        <w:rPr>
          <w:u w:val="none"/>
          <w:lang w:val="en-ZA"/>
        </w:rPr>
        <w:t xml:space="preserve">___________________________________________________________________ </w:t>
      </w:r>
    </w:p>
    <w:p w14:paraId="2B226BA3" w14:textId="77777777" w:rsidR="00972885" w:rsidRDefault="00972885" w:rsidP="00972885"/>
    <w:p w14:paraId="62880B14" w14:textId="77777777" w:rsidR="00972885" w:rsidRDefault="00972885" w:rsidP="00972885">
      <w:pPr>
        <w:rPr>
          <w:b/>
          <w:u w:val="none"/>
        </w:rPr>
      </w:pPr>
      <w:r>
        <w:rPr>
          <w:b/>
          <w:u w:val="none"/>
        </w:rPr>
        <w:t>MUDAU,</w:t>
      </w:r>
      <w:r w:rsidRPr="00FC415D">
        <w:rPr>
          <w:b/>
          <w:u w:val="none"/>
        </w:rPr>
        <w:t xml:space="preserve"> J</w:t>
      </w:r>
      <w:r>
        <w:rPr>
          <w:b/>
          <w:u w:val="none"/>
        </w:rPr>
        <w:t>:</w:t>
      </w:r>
    </w:p>
    <w:p w14:paraId="181DE751" w14:textId="77777777" w:rsidR="00DE61DE" w:rsidRDefault="00DE61DE" w:rsidP="00DE61DE">
      <w:pPr>
        <w:spacing w:line="480" w:lineRule="auto"/>
        <w:jc w:val="both"/>
      </w:pPr>
    </w:p>
    <w:p w14:paraId="4E3FDB3A" w14:textId="67780971" w:rsidR="009576D4" w:rsidRPr="00B40FC0" w:rsidRDefault="00B40FC0" w:rsidP="00B40FC0">
      <w:pPr>
        <w:tabs>
          <w:tab w:val="left" w:pos="690"/>
        </w:tabs>
        <w:spacing w:line="480" w:lineRule="auto"/>
        <w:ind w:left="690" w:hanging="690"/>
        <w:jc w:val="both"/>
        <w:rPr>
          <w:u w:val="none"/>
        </w:rPr>
      </w:pPr>
      <w:r>
        <w:rPr>
          <w:u w:val="none"/>
        </w:rPr>
        <w:t>[1]</w:t>
      </w:r>
      <w:r>
        <w:rPr>
          <w:u w:val="none"/>
        </w:rPr>
        <w:tab/>
      </w:r>
      <w:r w:rsidR="009576D4" w:rsidRPr="00B40FC0">
        <w:rPr>
          <w:u w:val="none"/>
        </w:rPr>
        <w:t xml:space="preserve">The applicant, Mr Liston </w:t>
      </w:r>
      <w:proofErr w:type="spellStart"/>
      <w:r w:rsidR="009576D4" w:rsidRPr="00B40FC0">
        <w:rPr>
          <w:u w:val="none"/>
        </w:rPr>
        <w:t>Chologi</w:t>
      </w:r>
      <w:proofErr w:type="spellEnd"/>
      <w:r w:rsidR="009576D4" w:rsidRPr="00B40FC0">
        <w:rPr>
          <w:u w:val="none"/>
        </w:rPr>
        <w:t xml:space="preserve"> (“</w:t>
      </w:r>
      <w:proofErr w:type="spellStart"/>
      <w:r w:rsidR="009576D4" w:rsidRPr="00B40FC0">
        <w:rPr>
          <w:u w:val="none"/>
        </w:rPr>
        <w:t>Chologi</w:t>
      </w:r>
      <w:proofErr w:type="spellEnd"/>
      <w:r w:rsidR="009576D4" w:rsidRPr="00B40FC0">
        <w:rPr>
          <w:u w:val="none"/>
        </w:rPr>
        <w:t xml:space="preserve">”) is a sentenced prisoner. He seeks relief on an urgent basis in terms of Rule 6 (12) (a) of the Uniform Rules of Court of compelling the first respondent, the Correctional Supervision and Parole </w:t>
      </w:r>
      <w:r w:rsidR="009576D4" w:rsidRPr="00B40FC0">
        <w:rPr>
          <w:u w:val="none"/>
        </w:rPr>
        <w:lastRenderedPageBreak/>
        <w:t>Board (“the Parole Board”) to consider the applicant’s eligibility for placement under parole. Ordinarily, matters, which pertain to potential contraventions of a person's fundamental rights and freedoms, in particular the right to liberty are inherently urgent.</w:t>
      </w:r>
    </w:p>
    <w:p w14:paraId="02CA20E2" w14:textId="77777777" w:rsidR="00F63AFD" w:rsidRPr="009576D4" w:rsidRDefault="00F63AFD" w:rsidP="00F63AFD">
      <w:pPr>
        <w:pStyle w:val="ListParagraph"/>
        <w:spacing w:line="480" w:lineRule="auto"/>
        <w:ind w:left="690"/>
        <w:jc w:val="both"/>
        <w:rPr>
          <w:u w:val="none"/>
        </w:rPr>
      </w:pPr>
    </w:p>
    <w:p w14:paraId="1F5C254B" w14:textId="77777777" w:rsidR="009576D4" w:rsidRPr="009576D4" w:rsidRDefault="009576D4" w:rsidP="009576D4">
      <w:pPr>
        <w:pStyle w:val="ListParagraph"/>
        <w:spacing w:line="480" w:lineRule="auto"/>
        <w:ind w:left="690"/>
        <w:jc w:val="both"/>
        <w:rPr>
          <w:i/>
          <w:u w:val="none"/>
        </w:rPr>
      </w:pPr>
      <w:r w:rsidRPr="009576D4">
        <w:rPr>
          <w:u w:val="none"/>
        </w:rPr>
        <w:t>In</w:t>
      </w:r>
      <w:r w:rsidRPr="009576D4">
        <w:rPr>
          <w:i/>
          <w:u w:val="none"/>
        </w:rPr>
        <w:t xml:space="preserve"> </w:t>
      </w:r>
      <w:proofErr w:type="spellStart"/>
      <w:r w:rsidRPr="009576D4">
        <w:rPr>
          <w:i/>
          <w:u w:val="none"/>
        </w:rPr>
        <w:t>limine</w:t>
      </w:r>
      <w:proofErr w:type="spellEnd"/>
    </w:p>
    <w:p w14:paraId="2D0F61A7" w14:textId="59D698FF" w:rsidR="00F63AFD" w:rsidRPr="00B40FC0" w:rsidRDefault="00B40FC0" w:rsidP="00B40FC0">
      <w:pPr>
        <w:tabs>
          <w:tab w:val="left" w:pos="690"/>
        </w:tabs>
        <w:spacing w:line="480" w:lineRule="auto"/>
        <w:ind w:left="690" w:hanging="690"/>
        <w:jc w:val="both"/>
        <w:rPr>
          <w:u w:val="none"/>
        </w:rPr>
      </w:pPr>
      <w:r>
        <w:rPr>
          <w:u w:val="none"/>
        </w:rPr>
        <w:t>[2]</w:t>
      </w:r>
      <w:r>
        <w:rPr>
          <w:u w:val="none"/>
        </w:rPr>
        <w:tab/>
      </w:r>
      <w:r w:rsidR="009576D4" w:rsidRPr="00B40FC0">
        <w:rPr>
          <w:u w:val="none"/>
        </w:rPr>
        <w:t>In opposing this application, the deponent of the respondents’ answering affidavit conceded that this answering affidavit is late for filing. The answering affidavit had to be delivered on the 28 of November 2022, but eventually on 2 December 2022, four days late in respect of which condonation was sought. There i</w:t>
      </w:r>
      <w:r w:rsidR="00F63AFD" w:rsidRPr="00B40FC0">
        <w:rPr>
          <w:u w:val="none"/>
        </w:rPr>
        <w:t>s no p</w:t>
      </w:r>
      <w:r w:rsidR="009576D4" w:rsidRPr="00B40FC0">
        <w:rPr>
          <w:u w:val="none"/>
        </w:rPr>
        <w:t>rejudice suffered by the applicant's legal team as they had a chance to peruse this answering affidavit and file their replying affidavit</w:t>
      </w:r>
      <w:r w:rsidR="00F63AFD" w:rsidRPr="00B40FC0">
        <w:rPr>
          <w:u w:val="none"/>
        </w:rPr>
        <w:t>, which they did</w:t>
      </w:r>
      <w:r w:rsidR="009576D4" w:rsidRPr="00B40FC0">
        <w:rPr>
          <w:u w:val="none"/>
        </w:rPr>
        <w:t>. Condonation was not opposed and accordingly granted.</w:t>
      </w:r>
    </w:p>
    <w:p w14:paraId="4221FF03" w14:textId="77777777" w:rsidR="00F63AFD" w:rsidRPr="00F63AFD" w:rsidRDefault="00F63AFD" w:rsidP="00F63AFD">
      <w:pPr>
        <w:pStyle w:val="ListParagraph"/>
        <w:spacing w:line="480" w:lineRule="auto"/>
        <w:ind w:left="690"/>
        <w:jc w:val="both"/>
        <w:rPr>
          <w:u w:val="none"/>
        </w:rPr>
      </w:pPr>
    </w:p>
    <w:p w14:paraId="2D40EA89" w14:textId="77777777" w:rsidR="009576D4" w:rsidRPr="009576D4" w:rsidRDefault="009576D4" w:rsidP="009576D4">
      <w:pPr>
        <w:pStyle w:val="ListParagraph"/>
        <w:spacing w:line="480" w:lineRule="auto"/>
        <w:ind w:left="690"/>
        <w:jc w:val="both"/>
        <w:rPr>
          <w:u w:val="none"/>
        </w:rPr>
      </w:pPr>
      <w:r w:rsidRPr="009576D4">
        <w:rPr>
          <w:u w:val="none"/>
        </w:rPr>
        <w:t>Background facts</w:t>
      </w:r>
    </w:p>
    <w:p w14:paraId="2E725872" w14:textId="5C536FDD" w:rsidR="009576D4" w:rsidRPr="00B40FC0" w:rsidRDefault="00B40FC0" w:rsidP="00B40FC0">
      <w:pPr>
        <w:tabs>
          <w:tab w:val="left" w:pos="690"/>
        </w:tabs>
        <w:spacing w:line="480" w:lineRule="auto"/>
        <w:ind w:left="690" w:hanging="690"/>
        <w:jc w:val="both"/>
        <w:rPr>
          <w:u w:val="none"/>
        </w:rPr>
      </w:pPr>
      <w:r w:rsidRPr="009576D4">
        <w:rPr>
          <w:u w:val="none"/>
        </w:rPr>
        <w:t>[3]</w:t>
      </w:r>
      <w:r w:rsidRPr="009576D4">
        <w:rPr>
          <w:u w:val="none"/>
        </w:rPr>
        <w:tab/>
      </w:r>
      <w:r w:rsidR="009576D4" w:rsidRPr="00B40FC0">
        <w:rPr>
          <w:u w:val="none"/>
        </w:rPr>
        <w:t xml:space="preserve">On 31 March 2011, </w:t>
      </w:r>
      <w:proofErr w:type="spellStart"/>
      <w:r w:rsidR="009576D4" w:rsidRPr="00B40FC0">
        <w:rPr>
          <w:u w:val="none"/>
        </w:rPr>
        <w:t>Chologi</w:t>
      </w:r>
      <w:proofErr w:type="spellEnd"/>
      <w:r w:rsidR="009576D4" w:rsidRPr="00B40FC0">
        <w:rPr>
          <w:u w:val="none"/>
        </w:rPr>
        <w:t xml:space="preserve"> and his co-accused</w:t>
      </w:r>
      <w:r w:rsidR="00F63AFD" w:rsidRPr="00B40FC0">
        <w:rPr>
          <w:u w:val="none"/>
        </w:rPr>
        <w:t xml:space="preserve">, </w:t>
      </w:r>
      <w:proofErr w:type="spellStart"/>
      <w:r w:rsidR="00F63AFD" w:rsidRPr="00B40FC0">
        <w:rPr>
          <w:u w:val="none"/>
        </w:rPr>
        <w:t>Moyo</w:t>
      </w:r>
      <w:proofErr w:type="spellEnd"/>
      <w:r w:rsidR="009576D4" w:rsidRPr="00B40FC0">
        <w:rPr>
          <w:u w:val="none"/>
        </w:rPr>
        <w:t xml:space="preserve"> were each sentenced to an effective 20 years’ imprisonment sentence, upon conviction on inter alia, various charges of armed robbery with aggravating circumstances by the Gauteng Regional Court. The trial regional magistrate had ordered that some of the sentences to run concurrently pursuant to section 280 of the Criminal Procedure Act 51 of 1977 (“the CPA”). The</w:t>
      </w:r>
      <w:r w:rsidR="009576D4" w:rsidRPr="00B40FC0">
        <w:rPr>
          <w:rFonts w:eastAsiaTheme="minorHAnsi"/>
          <w:u w:val="none"/>
          <w:lang w:eastAsia="en-US"/>
        </w:rPr>
        <w:t xml:space="preserve"> court a quo, relying on s 276B</w:t>
      </w:r>
      <w:r w:rsidR="009576D4" w:rsidRPr="00B40FC0">
        <w:rPr>
          <w:u w:val="none"/>
        </w:rPr>
        <w:t xml:space="preserve"> of the CPA</w:t>
      </w:r>
      <w:r w:rsidR="009576D4" w:rsidRPr="00B40FC0">
        <w:rPr>
          <w:rFonts w:eastAsiaTheme="minorHAnsi"/>
          <w:u w:val="none"/>
          <w:lang w:eastAsia="en-US"/>
        </w:rPr>
        <w:t xml:space="preserve">, directed that the </w:t>
      </w:r>
      <w:r w:rsidR="009576D4" w:rsidRPr="00B40FC0">
        <w:rPr>
          <w:u w:val="none"/>
        </w:rPr>
        <w:t xml:space="preserve">applicant and </w:t>
      </w:r>
      <w:proofErr w:type="spellStart"/>
      <w:r w:rsidR="00F63AFD" w:rsidRPr="00B40FC0">
        <w:rPr>
          <w:u w:val="none"/>
        </w:rPr>
        <w:t>Moyo</w:t>
      </w:r>
      <w:proofErr w:type="spellEnd"/>
      <w:r w:rsidR="00F63AFD" w:rsidRPr="00B40FC0">
        <w:rPr>
          <w:u w:val="none"/>
        </w:rPr>
        <w:t xml:space="preserve"> </w:t>
      </w:r>
      <w:r w:rsidR="009576D4" w:rsidRPr="00B40FC0">
        <w:rPr>
          <w:rFonts w:eastAsiaTheme="minorHAnsi"/>
          <w:u w:val="none"/>
          <w:lang w:eastAsia="en-US"/>
        </w:rPr>
        <w:t>were to serve a minimum of two third of their respective sentence</w:t>
      </w:r>
      <w:r w:rsidR="00F63AFD" w:rsidRPr="00B40FC0">
        <w:rPr>
          <w:rFonts w:eastAsiaTheme="minorHAnsi"/>
          <w:u w:val="none"/>
          <w:lang w:eastAsia="en-US"/>
        </w:rPr>
        <w:t>s</w:t>
      </w:r>
      <w:r w:rsidR="009576D4" w:rsidRPr="00B40FC0">
        <w:rPr>
          <w:rFonts w:eastAsiaTheme="minorHAnsi"/>
          <w:u w:val="none"/>
          <w:lang w:eastAsia="en-US"/>
        </w:rPr>
        <w:t xml:space="preserve"> before they could be considered for parole.</w:t>
      </w:r>
      <w:r w:rsidR="00F63AFD" w:rsidRPr="00B40FC0">
        <w:rPr>
          <w:rFonts w:eastAsiaTheme="minorHAnsi"/>
          <w:u w:val="none"/>
          <w:lang w:eastAsia="en-US"/>
        </w:rPr>
        <w:t xml:space="preserve"> </w:t>
      </w:r>
      <w:proofErr w:type="spellStart"/>
      <w:r w:rsidR="00F63AFD" w:rsidRPr="00B40FC0">
        <w:rPr>
          <w:rFonts w:eastAsiaTheme="minorHAnsi"/>
          <w:u w:val="none"/>
          <w:lang w:eastAsia="en-US"/>
        </w:rPr>
        <w:t>Moyo</w:t>
      </w:r>
      <w:proofErr w:type="spellEnd"/>
      <w:r w:rsidR="00F63AFD" w:rsidRPr="00B40FC0">
        <w:rPr>
          <w:rFonts w:eastAsiaTheme="minorHAnsi"/>
          <w:u w:val="none"/>
          <w:lang w:eastAsia="en-US"/>
        </w:rPr>
        <w:t xml:space="preserve"> had since been released on parole.</w:t>
      </w:r>
      <w:r w:rsidR="009576D4" w:rsidRPr="00B40FC0">
        <w:rPr>
          <w:rFonts w:eastAsiaTheme="minorHAnsi"/>
          <w:u w:val="none"/>
          <w:lang w:eastAsia="en-US"/>
        </w:rPr>
        <w:t xml:space="preserve"> The relevant crimes had been committed before 1 October 2004, the</w:t>
      </w:r>
      <w:r w:rsidR="009576D4" w:rsidRPr="00B40FC0">
        <w:rPr>
          <w:u w:val="none"/>
        </w:rPr>
        <w:t xml:space="preserve"> date of promulgation of s 276B between the years 2000 and 2001.</w:t>
      </w:r>
    </w:p>
    <w:p w14:paraId="73B7DC9C" w14:textId="77777777" w:rsidR="009576D4" w:rsidRPr="009576D4" w:rsidRDefault="009576D4" w:rsidP="009576D4">
      <w:pPr>
        <w:pStyle w:val="ListParagraph"/>
        <w:spacing w:line="480" w:lineRule="auto"/>
        <w:ind w:left="690"/>
        <w:jc w:val="both"/>
        <w:rPr>
          <w:u w:val="none"/>
        </w:rPr>
      </w:pPr>
      <w:r w:rsidRPr="009576D4">
        <w:rPr>
          <w:u w:val="none"/>
        </w:rPr>
        <w:lastRenderedPageBreak/>
        <w:t>The merits</w:t>
      </w:r>
    </w:p>
    <w:p w14:paraId="6F974CA6" w14:textId="68D8FB56" w:rsidR="009576D4" w:rsidRPr="00B40FC0" w:rsidRDefault="00B40FC0" w:rsidP="00B40FC0">
      <w:pPr>
        <w:tabs>
          <w:tab w:val="left" w:pos="690"/>
        </w:tabs>
        <w:spacing w:line="480" w:lineRule="auto"/>
        <w:ind w:left="690" w:hanging="690"/>
        <w:jc w:val="both"/>
        <w:rPr>
          <w:u w:val="none"/>
        </w:rPr>
      </w:pPr>
      <w:r>
        <w:rPr>
          <w:u w:val="none"/>
        </w:rPr>
        <w:t>[4]</w:t>
      </w:r>
      <w:r>
        <w:rPr>
          <w:u w:val="none"/>
        </w:rPr>
        <w:tab/>
      </w:r>
      <w:r w:rsidR="009576D4" w:rsidRPr="00B40FC0">
        <w:rPr>
          <w:u w:val="none"/>
        </w:rPr>
        <w:t xml:space="preserve">On 28 September 2021, the applicant obtained an order from this court on urgent basis, per </w:t>
      </w:r>
      <w:proofErr w:type="spellStart"/>
      <w:r w:rsidR="009B2134" w:rsidRPr="00B40FC0">
        <w:rPr>
          <w:u w:val="none"/>
        </w:rPr>
        <w:t>Mdalana-Mayisela</w:t>
      </w:r>
      <w:proofErr w:type="spellEnd"/>
      <w:r w:rsidR="009576D4" w:rsidRPr="00B40FC0">
        <w:rPr>
          <w:u w:val="none"/>
        </w:rPr>
        <w:t xml:space="preserve"> J in which the respondents were directed to within 14 (fourteen) days of the service of the court order “</w:t>
      </w:r>
      <w:r w:rsidR="009576D4" w:rsidRPr="00B40FC0">
        <w:rPr>
          <w:i/>
          <w:u w:val="none"/>
        </w:rPr>
        <w:t xml:space="preserve">to take a decision in respect of the applicant's previous parole application in </w:t>
      </w:r>
      <w:proofErr w:type="gramStart"/>
      <w:r w:rsidR="009576D4" w:rsidRPr="00B40FC0">
        <w:rPr>
          <w:i/>
          <w:u w:val="none"/>
        </w:rPr>
        <w:t>February 2021, and</w:t>
      </w:r>
      <w:proofErr w:type="gramEnd"/>
      <w:r w:rsidR="009576D4" w:rsidRPr="00B40FC0">
        <w:rPr>
          <w:i/>
          <w:u w:val="none"/>
        </w:rPr>
        <w:t xml:space="preserve"> advise the applicant of the full reasons thereof in intelligible written form”.</w:t>
      </w:r>
      <w:r w:rsidR="009576D4" w:rsidRPr="00B40FC0">
        <w:rPr>
          <w:u w:val="none"/>
        </w:rPr>
        <w:t xml:space="preserve"> </w:t>
      </w:r>
    </w:p>
    <w:p w14:paraId="1A645F70" w14:textId="68582858" w:rsidR="009576D4" w:rsidRPr="00B40FC0" w:rsidRDefault="00B40FC0" w:rsidP="00B40FC0">
      <w:pPr>
        <w:tabs>
          <w:tab w:val="left" w:pos="690"/>
        </w:tabs>
        <w:spacing w:line="480" w:lineRule="auto"/>
        <w:ind w:left="690" w:hanging="690"/>
        <w:jc w:val="both"/>
        <w:rPr>
          <w:u w:val="none"/>
        </w:rPr>
      </w:pPr>
      <w:r w:rsidRPr="009576D4">
        <w:rPr>
          <w:u w:val="none"/>
        </w:rPr>
        <w:t>[5]</w:t>
      </w:r>
      <w:r w:rsidRPr="009576D4">
        <w:rPr>
          <w:u w:val="none"/>
        </w:rPr>
        <w:tab/>
      </w:r>
      <w:r w:rsidR="009576D4" w:rsidRPr="00B40FC0">
        <w:rPr>
          <w:u w:val="none"/>
        </w:rPr>
        <w:t xml:space="preserve">The court order was obtained against the following background. On 17 February 2021, the Chairperson of the Parole Board considered whether the applicant should be considered for possible parole. A decision was arrived at to the effect that further parole was requested for 17 February 2023 for consideration </w:t>
      </w:r>
      <w:proofErr w:type="gramStart"/>
      <w:r w:rsidR="009576D4" w:rsidRPr="00B40FC0">
        <w:rPr>
          <w:u w:val="none"/>
        </w:rPr>
        <w:t>for the reason that</w:t>
      </w:r>
      <w:proofErr w:type="gramEnd"/>
      <w:r w:rsidR="009576D4" w:rsidRPr="00B40FC0">
        <w:rPr>
          <w:u w:val="none"/>
        </w:rPr>
        <w:t xml:space="preserve"> the sentencing order per the trial magistrate indicated that the applicant was required to serve two thirds (“2/3”) of the sentence as a non- parole period which would only expire on 30 March 2023.</w:t>
      </w:r>
    </w:p>
    <w:p w14:paraId="17AE0B28" w14:textId="69CCBC91" w:rsidR="009576D4" w:rsidRPr="00B40FC0" w:rsidRDefault="00B40FC0" w:rsidP="00B40FC0">
      <w:pPr>
        <w:tabs>
          <w:tab w:val="left" w:pos="690"/>
        </w:tabs>
        <w:spacing w:line="480" w:lineRule="auto"/>
        <w:ind w:left="690" w:hanging="690"/>
        <w:jc w:val="both"/>
        <w:rPr>
          <w:u w:val="none"/>
        </w:rPr>
      </w:pPr>
      <w:r w:rsidRPr="009576D4">
        <w:rPr>
          <w:u w:val="none"/>
        </w:rPr>
        <w:t>[6]</w:t>
      </w:r>
      <w:r w:rsidRPr="009576D4">
        <w:rPr>
          <w:u w:val="none"/>
        </w:rPr>
        <w:tab/>
      </w:r>
      <w:r w:rsidR="009576D4" w:rsidRPr="00B40FC0">
        <w:rPr>
          <w:u w:val="none"/>
        </w:rPr>
        <w:t xml:space="preserve">Consequently, the Parole Board decided without more, that the applicant's profile for 17 February 2023, was approved for the consideration of his parole status. According to the applicant, pursuant to the grant of the Court Order, it was despatched to the respondents with a demand that full written reasons in writing be provided. Despite several written follow ups in that regard this was not forthcoming. </w:t>
      </w:r>
    </w:p>
    <w:p w14:paraId="0AEEAB3E" w14:textId="531E2981" w:rsidR="009576D4" w:rsidRPr="00B40FC0" w:rsidRDefault="00B40FC0" w:rsidP="00B40FC0">
      <w:pPr>
        <w:tabs>
          <w:tab w:val="left" w:pos="690"/>
        </w:tabs>
        <w:spacing w:line="480" w:lineRule="auto"/>
        <w:ind w:left="690" w:hanging="690"/>
        <w:jc w:val="both"/>
        <w:rPr>
          <w:u w:val="none"/>
        </w:rPr>
      </w:pPr>
      <w:r w:rsidRPr="009576D4">
        <w:rPr>
          <w:u w:val="none"/>
        </w:rPr>
        <w:t>[7]</w:t>
      </w:r>
      <w:r w:rsidRPr="009576D4">
        <w:rPr>
          <w:u w:val="none"/>
        </w:rPr>
        <w:tab/>
      </w:r>
      <w:r w:rsidR="009576D4" w:rsidRPr="00B40FC0">
        <w:rPr>
          <w:u w:val="none"/>
        </w:rPr>
        <w:t xml:space="preserve">The application was then launched, a date for that application was secured for July 2022. However, the matter was removed from the roll, as the candidate attorney in charge of setting down the application had failed to invite the Registrar's office personnel. Further exchanges of correspondence followed between the applicant’s attorneys of record and the first respondent’s officials. On 10 October 2022, Mr Khampa of the first respondent, in e-mail correspondence confirmed that the respondents would not be changing their </w:t>
      </w:r>
      <w:r w:rsidR="009576D4" w:rsidRPr="00B40FC0">
        <w:rPr>
          <w:u w:val="none"/>
        </w:rPr>
        <w:lastRenderedPageBreak/>
        <w:t>stance and would profiling the applicant again in March 2023. It is this decision that the applicant is aggrieved about, hence the launch of the urgent application. Applicant contends that he has a clear right to have his parole application</w:t>
      </w:r>
      <w:r w:rsidR="009576D4" w:rsidRPr="00BE47AA">
        <w:t xml:space="preserve"> </w:t>
      </w:r>
      <w:r w:rsidR="009576D4" w:rsidRPr="00B40FC0">
        <w:rPr>
          <w:u w:val="none"/>
        </w:rPr>
        <w:t xml:space="preserve">considered. </w:t>
      </w:r>
      <w:proofErr w:type="gramStart"/>
      <w:r w:rsidR="009576D4" w:rsidRPr="00B40FC0">
        <w:rPr>
          <w:u w:val="none"/>
        </w:rPr>
        <w:t>Also</w:t>
      </w:r>
      <w:proofErr w:type="gramEnd"/>
      <w:r w:rsidR="009576D4" w:rsidRPr="00B40FC0">
        <w:rPr>
          <w:u w:val="none"/>
        </w:rPr>
        <w:t xml:space="preserve"> that, he is also entitled to a decision, whatever it may be, against the background the Court has ordered that the applicant be provided with full written reasons. </w:t>
      </w:r>
    </w:p>
    <w:p w14:paraId="012C155C" w14:textId="224D6990" w:rsidR="009576D4" w:rsidRPr="00B40FC0" w:rsidRDefault="00B40FC0" w:rsidP="00B40FC0">
      <w:pPr>
        <w:tabs>
          <w:tab w:val="left" w:pos="690"/>
        </w:tabs>
        <w:spacing w:line="480" w:lineRule="auto"/>
        <w:ind w:left="690" w:hanging="690"/>
        <w:jc w:val="both"/>
        <w:rPr>
          <w:u w:val="none"/>
        </w:rPr>
      </w:pPr>
      <w:r w:rsidRPr="009576D4">
        <w:rPr>
          <w:u w:val="none"/>
        </w:rPr>
        <w:t>[8]</w:t>
      </w:r>
      <w:r w:rsidRPr="009576D4">
        <w:rPr>
          <w:u w:val="none"/>
        </w:rPr>
        <w:tab/>
      </w:r>
      <w:r w:rsidR="009576D4" w:rsidRPr="00B40FC0">
        <w:rPr>
          <w:u w:val="none"/>
        </w:rPr>
        <w:t>The Respondents admit that the applicant became eligible for consideration for parole, however “</w:t>
      </w:r>
      <w:r w:rsidR="009576D4" w:rsidRPr="00B40FC0">
        <w:rPr>
          <w:i/>
          <w:u w:val="none"/>
        </w:rPr>
        <w:t xml:space="preserve">there are other factors which the parole Board considers before an applicant is considered for parole, to mention a few of these factors; pending cases, previous convictions, </w:t>
      </w:r>
      <w:proofErr w:type="spellStart"/>
      <w:r w:rsidR="009576D4" w:rsidRPr="00B40FC0">
        <w:rPr>
          <w:i/>
          <w:u w:val="none"/>
        </w:rPr>
        <w:t>behavior</w:t>
      </w:r>
      <w:proofErr w:type="spellEnd"/>
      <w:r w:rsidR="009576D4" w:rsidRPr="00B40FC0">
        <w:rPr>
          <w:i/>
          <w:u w:val="none"/>
        </w:rPr>
        <w:t xml:space="preserve"> whilst in prison and the degree of violence used in committing an offence</w:t>
      </w:r>
      <w:r w:rsidR="009576D4" w:rsidRPr="00B40FC0">
        <w:rPr>
          <w:u w:val="none"/>
        </w:rPr>
        <w:t>”. In a nutshell, the respondents allege that, the applicant was furnished with reasons as to why he was not eligible for parole, such communication was done by a member of the Legal Services. However, no reference is made to such communication in the answering affidavit. This remains nothing more than a bold assertion.</w:t>
      </w:r>
    </w:p>
    <w:p w14:paraId="133C27DE" w14:textId="31B66EEC" w:rsidR="009576D4" w:rsidRPr="00B40FC0" w:rsidRDefault="00B40FC0" w:rsidP="00B40FC0">
      <w:pPr>
        <w:tabs>
          <w:tab w:val="left" w:pos="690"/>
        </w:tabs>
        <w:spacing w:line="480" w:lineRule="auto"/>
        <w:ind w:left="690" w:hanging="690"/>
        <w:jc w:val="both"/>
        <w:rPr>
          <w:rFonts w:ascii="Verdana" w:hAnsi="Verdana"/>
          <w:b/>
          <w:bCs/>
          <w:color w:val="000000"/>
          <w:sz w:val="20"/>
          <w:szCs w:val="20"/>
          <w:u w:val="none"/>
        </w:rPr>
      </w:pPr>
      <w:r w:rsidRPr="004331ED">
        <w:rPr>
          <w:bCs/>
          <w:color w:val="000000"/>
          <w:u w:val="none"/>
        </w:rPr>
        <w:t>[9]</w:t>
      </w:r>
      <w:r w:rsidRPr="004331ED">
        <w:rPr>
          <w:bCs/>
          <w:color w:val="000000"/>
          <w:u w:val="none"/>
        </w:rPr>
        <w:tab/>
      </w:r>
      <w:r w:rsidR="009576D4" w:rsidRPr="00B40FC0">
        <w:rPr>
          <w:u w:val="none"/>
        </w:rPr>
        <w:t>The respondents further allege “applicant has a pending matters which still needs to be investigated before the parole Board can consider him for parole “(sic).  However, annexure “SP1” reflects that applicant was on 9 February 2001, convicted for carjacking and consequently sentenced to undergo 10 years’ imprisonment. Allegations pertaining pending cases, are not supported by any documentary proof</w:t>
      </w:r>
      <w:r w:rsidR="004331ED" w:rsidRPr="00B40FC0">
        <w:rPr>
          <w:u w:val="none"/>
        </w:rPr>
        <w:t xml:space="preserve"> or evidence</w:t>
      </w:r>
      <w:r w:rsidR="009576D4" w:rsidRPr="00B40FC0">
        <w:rPr>
          <w:u w:val="none"/>
        </w:rPr>
        <w:t xml:space="preserve">. The respondents contend </w:t>
      </w:r>
      <w:r w:rsidR="009576D4" w:rsidRPr="00B40FC0">
        <w:rPr>
          <w:i/>
          <w:u w:val="none"/>
        </w:rPr>
        <w:t>that “the applicant has to serve two thirds of his sentence, as per the provisions of section 65(4) (a) of the Correctional Services Act he will be eligible for parole in the 2024</w:t>
      </w:r>
      <w:r w:rsidR="009576D4" w:rsidRPr="00B40FC0">
        <w:rPr>
          <w:u w:val="none"/>
        </w:rPr>
        <w:t>”</w:t>
      </w:r>
      <w:r w:rsidR="004331ED" w:rsidRPr="00B40FC0">
        <w:rPr>
          <w:u w:val="none"/>
        </w:rPr>
        <w:t>, contrary to an earlier recommendation, the subject of this application.</w:t>
      </w:r>
      <w:r w:rsidR="009576D4" w:rsidRPr="00B40FC0">
        <w:rPr>
          <w:u w:val="none"/>
        </w:rPr>
        <w:t xml:space="preserve"> The respondents are presumably relying on section 65 (4) (a) of the Correctional Services Act 8 of 1959</w:t>
      </w:r>
      <w:r w:rsidR="004331ED" w:rsidRPr="00B40FC0">
        <w:rPr>
          <w:u w:val="none"/>
        </w:rPr>
        <w:t>,</w:t>
      </w:r>
      <w:r w:rsidR="009576D4" w:rsidRPr="00B40FC0">
        <w:rPr>
          <w:u w:val="none"/>
        </w:rPr>
        <w:t xml:space="preserve"> that the applicant relies upon.</w:t>
      </w:r>
      <w:r w:rsidR="009576D4" w:rsidRPr="00B40FC0">
        <w:rPr>
          <w:rFonts w:ascii="Verdana" w:hAnsi="Verdana"/>
          <w:b/>
          <w:bCs/>
          <w:color w:val="000000"/>
          <w:sz w:val="20"/>
          <w:szCs w:val="20"/>
          <w:u w:val="none"/>
        </w:rPr>
        <w:t xml:space="preserve"> </w:t>
      </w:r>
    </w:p>
    <w:p w14:paraId="05D22108" w14:textId="1A6DEB91" w:rsidR="009576D4" w:rsidRPr="00B40FC0" w:rsidRDefault="00B40FC0" w:rsidP="00B40FC0">
      <w:pPr>
        <w:tabs>
          <w:tab w:val="left" w:pos="690"/>
        </w:tabs>
        <w:spacing w:line="480" w:lineRule="auto"/>
        <w:ind w:left="690" w:hanging="690"/>
        <w:jc w:val="both"/>
        <w:rPr>
          <w:rFonts w:eastAsiaTheme="minorHAnsi"/>
          <w:u w:val="none"/>
          <w:lang w:eastAsia="en-US"/>
        </w:rPr>
      </w:pPr>
      <w:r w:rsidRPr="004331ED">
        <w:rPr>
          <w:rFonts w:eastAsiaTheme="minorHAnsi"/>
          <w:u w:val="none"/>
          <w:lang w:eastAsia="en-US"/>
        </w:rPr>
        <w:lastRenderedPageBreak/>
        <w:t>[10]</w:t>
      </w:r>
      <w:r w:rsidRPr="004331ED">
        <w:rPr>
          <w:rFonts w:eastAsiaTheme="minorHAnsi"/>
          <w:u w:val="none"/>
          <w:lang w:eastAsia="en-US"/>
        </w:rPr>
        <w:tab/>
      </w:r>
      <w:r w:rsidR="009576D4" w:rsidRPr="00B40FC0">
        <w:rPr>
          <w:bCs/>
          <w:color w:val="000000"/>
          <w:u w:val="none"/>
          <w:lang w:eastAsia="en-ZA"/>
        </w:rPr>
        <w:t xml:space="preserve">Section 65 (4) relied upon provides that: </w:t>
      </w:r>
    </w:p>
    <w:p w14:paraId="6949E36B" w14:textId="77777777" w:rsidR="009576D4" w:rsidRPr="004331ED" w:rsidRDefault="009576D4" w:rsidP="004331ED">
      <w:pPr>
        <w:pStyle w:val="ListParagraph"/>
        <w:spacing w:line="480" w:lineRule="auto"/>
        <w:ind w:left="690"/>
        <w:jc w:val="both"/>
        <w:rPr>
          <w:color w:val="000000"/>
          <w:u w:val="none"/>
          <w:lang w:eastAsia="en-ZA"/>
        </w:rPr>
      </w:pPr>
      <w:bookmarkStart w:id="0" w:name="0-0-0-1135763"/>
      <w:bookmarkEnd w:id="0"/>
      <w:r w:rsidRPr="004331ED">
        <w:rPr>
          <w:iCs/>
          <w:color w:val="000000"/>
          <w:u w:val="none"/>
          <w:lang w:eastAsia="en-ZA"/>
        </w:rPr>
        <w:t xml:space="preserve"> ‘(a)</w:t>
      </w:r>
      <w:r w:rsidRPr="004331ED">
        <w:rPr>
          <w:color w:val="000000"/>
          <w:u w:val="none"/>
          <w:lang w:eastAsia="en-ZA"/>
        </w:rPr>
        <w:t> A prisoner serving a determinate sentence or any of the sentences contemplated in subparagraphs (ii) and (iii) of paragraph </w:t>
      </w:r>
      <w:r w:rsidRPr="004331ED">
        <w:rPr>
          <w:iCs/>
          <w:color w:val="000000"/>
          <w:u w:val="none"/>
          <w:lang w:eastAsia="en-ZA"/>
        </w:rPr>
        <w:t>(b)</w:t>
      </w:r>
      <w:r w:rsidRPr="004331ED">
        <w:rPr>
          <w:color w:val="000000"/>
          <w:u w:val="none"/>
          <w:lang w:eastAsia="en-ZA"/>
        </w:rPr>
        <w:t> shall not be considered for placement on parole until he has served half of his term of imprisonment: Provided that the date on which consideration may be given to whether a prisoner may be placed on parole may be brought forward by the number of credits earned by the prisoner’.</w:t>
      </w:r>
    </w:p>
    <w:p w14:paraId="52A66835" w14:textId="77777777" w:rsidR="009576D4" w:rsidRPr="004331ED" w:rsidRDefault="009576D4" w:rsidP="004331ED">
      <w:pPr>
        <w:pStyle w:val="ListParagraph"/>
        <w:spacing w:line="480" w:lineRule="auto"/>
        <w:ind w:left="690"/>
        <w:jc w:val="both"/>
        <w:rPr>
          <w:u w:val="none"/>
        </w:rPr>
      </w:pPr>
      <w:r w:rsidRPr="004331ED">
        <w:rPr>
          <w:u w:val="none"/>
        </w:rPr>
        <w:t>The law</w:t>
      </w:r>
    </w:p>
    <w:p w14:paraId="54F8A3CD" w14:textId="2B7E0610" w:rsidR="009576D4" w:rsidRDefault="00B40FC0" w:rsidP="00B40FC0">
      <w:pPr>
        <w:tabs>
          <w:tab w:val="left" w:pos="690"/>
        </w:tabs>
        <w:spacing w:line="480" w:lineRule="auto"/>
        <w:ind w:left="690" w:hanging="690"/>
        <w:jc w:val="both"/>
      </w:pPr>
      <w:r>
        <w:rPr>
          <w:u w:val="none"/>
        </w:rPr>
        <w:t>[11]</w:t>
      </w:r>
      <w:r>
        <w:rPr>
          <w:u w:val="none"/>
        </w:rPr>
        <w:tab/>
      </w:r>
      <w:r w:rsidR="009576D4" w:rsidRPr="00B40FC0">
        <w:rPr>
          <w:u w:val="none"/>
        </w:rPr>
        <w:t xml:space="preserve">On the authority  </w:t>
      </w:r>
      <w:proofErr w:type="spellStart"/>
      <w:r w:rsidR="009576D4" w:rsidRPr="00B40FC0">
        <w:rPr>
          <w:u w:val="none"/>
        </w:rPr>
        <w:t>Phaahla</w:t>
      </w:r>
      <w:proofErr w:type="spellEnd"/>
      <w:r w:rsidR="009576D4" w:rsidRPr="00B40FC0">
        <w:rPr>
          <w:u w:val="none"/>
        </w:rPr>
        <w:t xml:space="preserve"> v Minister of Justice and Correctional Services and Another</w:t>
      </w:r>
      <w:r w:rsidR="009576D4" w:rsidRPr="004331ED">
        <w:rPr>
          <w:rStyle w:val="FootnoteReference"/>
          <w:u w:val="none"/>
        </w:rPr>
        <w:footnoteReference w:id="1"/>
      </w:r>
      <w:r w:rsidR="009576D4" w:rsidRPr="00B40FC0">
        <w:rPr>
          <w:u w:val="none"/>
        </w:rPr>
        <w:t>, which the applicant places a heavy reliance on, the Constitutional Court found with regards to eligibility of prisoner for placement on parole that the Provisions of ss 136(1) and 73(6)(b)(iv) of Correctional Services Act 111 of 1998, in adopting date of sentence rather than commission of offence for coming  into operation of harsher parole regime, inconsistent with ss 9(1) and (3) and s 35(3)(n) of Constitution. This is where the applicant fits in consideration being had to the date of the offences that were committed</w:t>
      </w:r>
      <w:r w:rsidR="009576D4">
        <w:t>.</w:t>
      </w:r>
    </w:p>
    <w:p w14:paraId="61B0D48D" w14:textId="4AE58F8C" w:rsidR="009576D4" w:rsidRPr="00B40FC0" w:rsidRDefault="00B40FC0" w:rsidP="00B40FC0">
      <w:pPr>
        <w:tabs>
          <w:tab w:val="left" w:pos="690"/>
        </w:tabs>
        <w:spacing w:line="480" w:lineRule="auto"/>
        <w:ind w:left="690" w:hanging="690"/>
        <w:jc w:val="both"/>
        <w:rPr>
          <w:rFonts w:eastAsiaTheme="minorHAnsi"/>
          <w:u w:val="none"/>
          <w:lang w:eastAsia="en-US"/>
        </w:rPr>
      </w:pPr>
      <w:r w:rsidRPr="004331ED">
        <w:rPr>
          <w:rFonts w:eastAsiaTheme="minorHAnsi"/>
          <w:u w:val="none"/>
          <w:lang w:eastAsia="en-US"/>
        </w:rPr>
        <w:t>[12]</w:t>
      </w:r>
      <w:r w:rsidRPr="004331ED">
        <w:rPr>
          <w:rFonts w:eastAsiaTheme="minorHAnsi"/>
          <w:u w:val="none"/>
          <w:lang w:eastAsia="en-US"/>
        </w:rPr>
        <w:tab/>
      </w:r>
      <w:r w:rsidR="009576D4" w:rsidRPr="00B40FC0">
        <w:rPr>
          <w:u w:val="none"/>
        </w:rPr>
        <w:t xml:space="preserve"> Parliament was accordingly required to amend provisions within 24 months </w:t>
      </w:r>
      <w:r w:rsidR="009576D4" w:rsidRPr="00B40FC0">
        <w:rPr>
          <w:rFonts w:eastAsiaTheme="minorHAnsi"/>
          <w:u w:val="none"/>
          <w:lang w:eastAsia="en-US"/>
        </w:rPr>
        <w:t xml:space="preserve">amend s 136(1) of the Correctional Services Act to apply parole regimes </w:t>
      </w:r>
      <w:proofErr w:type="gramStart"/>
      <w:r w:rsidR="009576D4" w:rsidRPr="00B40FC0">
        <w:rPr>
          <w:rFonts w:eastAsiaTheme="minorHAnsi"/>
          <w:u w:val="none"/>
          <w:lang w:eastAsia="en-US"/>
        </w:rPr>
        <w:t>on the basis of</w:t>
      </w:r>
      <w:proofErr w:type="gramEnd"/>
      <w:r w:rsidR="009576D4" w:rsidRPr="00B40FC0">
        <w:rPr>
          <w:rFonts w:eastAsiaTheme="minorHAnsi"/>
          <w:u w:val="none"/>
          <w:lang w:eastAsia="en-US"/>
        </w:rPr>
        <w:t xml:space="preserve"> date of commission of an offence, pending which the section shall read as follows:</w:t>
      </w:r>
    </w:p>
    <w:p w14:paraId="57D70056" w14:textId="77777777" w:rsidR="009576D4" w:rsidRPr="004331ED" w:rsidRDefault="009576D4" w:rsidP="004331ED">
      <w:pPr>
        <w:pStyle w:val="ListParagraph"/>
        <w:spacing w:line="360" w:lineRule="auto"/>
        <w:ind w:left="690"/>
        <w:jc w:val="both"/>
        <w:rPr>
          <w:i/>
          <w:u w:val="none"/>
        </w:rPr>
      </w:pPr>
      <w:r w:rsidRPr="004331ED">
        <w:rPr>
          <w:rFonts w:eastAsiaTheme="minorHAnsi"/>
          <w:i/>
          <w:u w:val="none"/>
          <w:lang w:eastAsia="en-US"/>
        </w:rPr>
        <w:t>'Any person serving a sentence o</w:t>
      </w:r>
      <w:r w:rsidRPr="004331ED">
        <w:rPr>
          <w:i/>
          <w:u w:val="none"/>
        </w:rPr>
        <w:t>f incarceration for an offence</w:t>
      </w:r>
      <w:r w:rsidRPr="004331ED">
        <w:rPr>
          <w:rFonts w:eastAsiaTheme="minorHAnsi"/>
          <w:i/>
          <w:u w:val="none"/>
          <w:lang w:eastAsia="en-US"/>
        </w:rPr>
        <w:t xml:space="preserve"> committed before the commencement of </w:t>
      </w:r>
      <w:proofErr w:type="spellStart"/>
      <w:r w:rsidRPr="004331ED">
        <w:rPr>
          <w:rFonts w:eastAsiaTheme="minorHAnsi"/>
          <w:i/>
          <w:u w:val="none"/>
          <w:lang w:eastAsia="en-US"/>
        </w:rPr>
        <w:t>chs</w:t>
      </w:r>
      <w:proofErr w:type="spellEnd"/>
      <w:r w:rsidRPr="004331ED">
        <w:rPr>
          <w:rFonts w:eastAsiaTheme="minorHAnsi"/>
          <w:i/>
          <w:u w:val="none"/>
          <w:lang w:eastAsia="en-US"/>
        </w:rPr>
        <w:t xml:space="preserve"> 4, 6 and 7 of the Correctional Services Act is subject to the provisions of the Correctional Services Act 8 of 1959, relating to his or her placement under community corrections, and is to be considered for such release and placement by the Correctional Supervision and Parole Board in terms of the policy an</w:t>
      </w:r>
      <w:r w:rsidRPr="004331ED">
        <w:rPr>
          <w:i/>
          <w:u w:val="none"/>
        </w:rPr>
        <w:t>d  guidelines  applied by the former Parole Boards prior to the commencement of those chapters</w:t>
      </w:r>
      <w:r w:rsidR="004331ED" w:rsidRPr="004331ED">
        <w:rPr>
          <w:i/>
          <w:u w:val="none"/>
        </w:rPr>
        <w:t>’</w:t>
      </w:r>
      <w:r w:rsidRPr="004331ED">
        <w:rPr>
          <w:i/>
          <w:u w:val="none"/>
        </w:rPr>
        <w:t>.</w:t>
      </w:r>
    </w:p>
    <w:p w14:paraId="6E34B849" w14:textId="686D548E" w:rsidR="009576D4" w:rsidRPr="00B40FC0" w:rsidRDefault="00B40FC0" w:rsidP="00B40FC0">
      <w:pPr>
        <w:tabs>
          <w:tab w:val="left" w:pos="690"/>
        </w:tabs>
        <w:spacing w:line="480" w:lineRule="auto"/>
        <w:ind w:left="690" w:hanging="690"/>
        <w:jc w:val="both"/>
        <w:rPr>
          <w:u w:val="none"/>
        </w:rPr>
      </w:pPr>
      <w:r w:rsidRPr="004331ED">
        <w:rPr>
          <w:u w:val="none"/>
        </w:rPr>
        <w:lastRenderedPageBreak/>
        <w:t>[13]</w:t>
      </w:r>
      <w:r w:rsidRPr="004331ED">
        <w:rPr>
          <w:u w:val="none"/>
        </w:rPr>
        <w:tab/>
      </w:r>
      <w:r w:rsidR="009576D4" w:rsidRPr="00B40FC0">
        <w:rPr>
          <w:u w:val="none"/>
        </w:rPr>
        <w:t>The Constitutional Court further held that, on a broad interpretation of s 35(3)(n) of the Constitution, at the very least, the legislated preconditions for parole eligibility in s 276B of the Criminal Procedure Act 51 of 1977 fell within</w:t>
      </w:r>
      <w:r w:rsidR="009576D4" w:rsidRPr="00BC4469">
        <w:t xml:space="preserve"> </w:t>
      </w:r>
      <w:r w:rsidR="009576D4" w:rsidRPr="00B40FC0">
        <w:rPr>
          <w:u w:val="none"/>
        </w:rPr>
        <w:t xml:space="preserve">the ambit of 'prescribed punishment' as intended by the section. In addition, it was held that further in respect of the right to a fair trial, that, since the rules lengthening parole non-eligibility periods resulted in an increase of the severity of imprisonment, the impugned provisions clearly had the effect of imposing a more severe punishment, and thereby also contravening s 35(3)(n) of the Constitution. </w:t>
      </w:r>
    </w:p>
    <w:p w14:paraId="778EA893" w14:textId="357CEFF2" w:rsidR="009576D4" w:rsidRDefault="00B40FC0" w:rsidP="00B40FC0">
      <w:pPr>
        <w:tabs>
          <w:tab w:val="left" w:pos="690"/>
        </w:tabs>
        <w:spacing w:line="480" w:lineRule="auto"/>
        <w:ind w:left="690" w:hanging="690"/>
        <w:jc w:val="both"/>
      </w:pPr>
      <w:r>
        <w:rPr>
          <w:u w:val="none"/>
        </w:rPr>
        <w:t>[14]</w:t>
      </w:r>
      <w:r>
        <w:rPr>
          <w:u w:val="none"/>
        </w:rPr>
        <w:tab/>
      </w:r>
      <w:r w:rsidR="009576D4" w:rsidRPr="00B40FC0">
        <w:rPr>
          <w:u w:val="none"/>
        </w:rPr>
        <w:t>In S v Stander</w:t>
      </w:r>
      <w:r w:rsidR="004331ED">
        <w:rPr>
          <w:rStyle w:val="FootnoteReference"/>
          <w:u w:val="none"/>
        </w:rPr>
        <w:footnoteReference w:id="2"/>
      </w:r>
      <w:r w:rsidR="009576D4" w:rsidRPr="00B40FC0">
        <w:rPr>
          <w:u w:val="none"/>
        </w:rPr>
        <w:t xml:space="preserve">, the </w:t>
      </w:r>
      <w:r w:rsidR="004331ED" w:rsidRPr="00B40FC0">
        <w:rPr>
          <w:u w:val="none"/>
        </w:rPr>
        <w:t>S</w:t>
      </w:r>
      <w:r w:rsidR="009576D4" w:rsidRPr="00B40FC0">
        <w:rPr>
          <w:u w:val="none"/>
        </w:rPr>
        <w:t>upreme Court of Appeal stated that, “</w:t>
      </w:r>
      <w:r w:rsidR="009576D4" w:rsidRPr="00B40FC0">
        <w:rPr>
          <w:i/>
          <w:u w:val="none"/>
        </w:rPr>
        <w:t xml:space="preserve">when making an order in terms of s 276B (1), the sentencing court, in effect, makes a “present determination” that the convicted person will not merit being released on parole in the future, notwithstanding that the decision as to the suitability of a prisoner to be released on parole involves a consideration of facts relevant to his conduct after the imposition of sentence. It is thus a “predictive judgment” as to the likely behaviour of the convicted person in the future, reached </w:t>
      </w:r>
      <w:proofErr w:type="gramStart"/>
      <w:r w:rsidR="009576D4" w:rsidRPr="00B40FC0">
        <w:rPr>
          <w:i/>
          <w:u w:val="none"/>
        </w:rPr>
        <w:t>on the basis of</w:t>
      </w:r>
      <w:proofErr w:type="gramEnd"/>
      <w:r w:rsidR="009576D4" w:rsidRPr="00B40FC0">
        <w:rPr>
          <w:i/>
          <w:u w:val="none"/>
        </w:rPr>
        <w:t xml:space="preserve"> the facts available to the sentencing court at the time of sentence.’</w:t>
      </w:r>
      <w:r w:rsidR="009576D4" w:rsidRPr="00B40FC0">
        <w:rPr>
          <w:u w:val="none"/>
        </w:rPr>
        <w:t xml:space="preserve"> </w:t>
      </w:r>
    </w:p>
    <w:p w14:paraId="36E60A83" w14:textId="4AD0EACB" w:rsidR="009576D4" w:rsidRPr="00B40FC0" w:rsidRDefault="00B40FC0" w:rsidP="00B40FC0">
      <w:pPr>
        <w:tabs>
          <w:tab w:val="left" w:pos="690"/>
        </w:tabs>
        <w:spacing w:line="480" w:lineRule="auto"/>
        <w:ind w:left="690" w:hanging="690"/>
        <w:jc w:val="both"/>
        <w:rPr>
          <w:rFonts w:eastAsiaTheme="minorHAnsi"/>
          <w:u w:val="none"/>
          <w:lang w:eastAsia="en-US"/>
        </w:rPr>
      </w:pPr>
      <w:r w:rsidRPr="004331ED">
        <w:rPr>
          <w:rFonts w:eastAsiaTheme="minorHAnsi"/>
          <w:u w:val="none"/>
          <w:lang w:eastAsia="en-US"/>
        </w:rPr>
        <w:t>[15]</w:t>
      </w:r>
      <w:r w:rsidRPr="004331ED">
        <w:rPr>
          <w:rFonts w:eastAsiaTheme="minorHAnsi"/>
          <w:u w:val="none"/>
          <w:lang w:eastAsia="en-US"/>
        </w:rPr>
        <w:tab/>
      </w:r>
      <w:r w:rsidR="009576D4" w:rsidRPr="00B40FC0">
        <w:rPr>
          <w:rFonts w:eastAsiaTheme="minorHAnsi"/>
          <w:u w:val="none"/>
          <w:lang w:eastAsia="en-US"/>
        </w:rPr>
        <w:t xml:space="preserve">Recently, the Constitutional Court confirmed in S v </w:t>
      </w:r>
      <w:proofErr w:type="spellStart"/>
      <w:r w:rsidR="009576D4" w:rsidRPr="00B40FC0">
        <w:rPr>
          <w:rFonts w:eastAsiaTheme="minorHAnsi"/>
          <w:u w:val="none"/>
          <w:lang w:eastAsia="en-US"/>
        </w:rPr>
        <w:t>Senwedi</w:t>
      </w:r>
      <w:proofErr w:type="spellEnd"/>
      <w:r w:rsidR="009576D4" w:rsidRPr="00B40FC0">
        <w:rPr>
          <w:rFonts w:eastAsiaTheme="minorHAnsi"/>
          <w:u w:val="none"/>
          <w:lang w:eastAsia="en-US"/>
        </w:rPr>
        <w:t> [2021] ZACC 12 (unreported, CC case no CCT 225/20, 21 May 2021) at [24])</w:t>
      </w:r>
      <w:r w:rsidR="009576D4" w:rsidRPr="00B40FC0">
        <w:rPr>
          <w:u w:val="none"/>
        </w:rPr>
        <w:t xml:space="preserve"> that</w:t>
      </w:r>
      <w:r w:rsidR="009576D4" w:rsidRPr="00B40FC0">
        <w:rPr>
          <w:rFonts w:eastAsiaTheme="minorHAnsi"/>
          <w:u w:val="none"/>
          <w:lang w:eastAsia="en-US"/>
        </w:rPr>
        <w:t>:</w:t>
      </w:r>
    </w:p>
    <w:p w14:paraId="322E07DA" w14:textId="77777777" w:rsidR="009576D4" w:rsidRPr="009576D4" w:rsidRDefault="009576D4" w:rsidP="004331ED">
      <w:pPr>
        <w:pStyle w:val="ListParagraph"/>
        <w:spacing w:line="360" w:lineRule="auto"/>
        <w:ind w:left="690"/>
        <w:jc w:val="both"/>
        <w:rPr>
          <w:i/>
        </w:rPr>
      </w:pPr>
      <w:r w:rsidRPr="004331ED">
        <w:rPr>
          <w:rFonts w:eastAsiaTheme="minorHAnsi"/>
          <w:i/>
          <w:u w:val="none"/>
          <w:lang w:eastAsia="en-US"/>
        </w:rPr>
        <w:t>'The fixing of a non-parole period constitutes an increased sentence. In accordance with the general principle, it cannot operate retrospectively. Absent any legally recognised special circumstances, no departure from this principle is warranted, and the fixing of a non-parole period that purports to operate retrospectively, is impermissible in law</w:t>
      </w:r>
      <w:r w:rsidRPr="009576D4">
        <w:rPr>
          <w:rFonts w:eastAsiaTheme="minorHAnsi"/>
          <w:i/>
          <w:lang w:eastAsia="en-US"/>
        </w:rPr>
        <w:t>.’</w:t>
      </w:r>
    </w:p>
    <w:p w14:paraId="2AEFFBE1" w14:textId="77777777" w:rsidR="009576D4" w:rsidRPr="009576D4" w:rsidRDefault="009576D4" w:rsidP="004331ED">
      <w:pPr>
        <w:pStyle w:val="ListParagraph"/>
        <w:spacing w:line="360" w:lineRule="auto"/>
        <w:ind w:left="690"/>
        <w:jc w:val="both"/>
        <w:rPr>
          <w:rFonts w:eastAsiaTheme="minorHAnsi"/>
          <w:i/>
          <w:lang w:eastAsia="en-US"/>
        </w:rPr>
      </w:pPr>
    </w:p>
    <w:p w14:paraId="539EBDBB" w14:textId="77777777" w:rsidR="009576D4" w:rsidRPr="004331ED" w:rsidRDefault="009576D4" w:rsidP="004331ED">
      <w:pPr>
        <w:pStyle w:val="ListParagraph"/>
        <w:spacing w:line="360" w:lineRule="auto"/>
        <w:ind w:left="690"/>
        <w:jc w:val="both"/>
        <w:rPr>
          <w:color w:val="000000"/>
          <w:u w:val="none"/>
          <w:lang w:eastAsia="en-ZA"/>
        </w:rPr>
      </w:pPr>
      <w:r w:rsidRPr="004331ED">
        <w:rPr>
          <w:color w:val="000000"/>
          <w:u w:val="none"/>
          <w:lang w:eastAsia="en-ZA"/>
        </w:rPr>
        <w:t>Discussion</w:t>
      </w:r>
    </w:p>
    <w:p w14:paraId="0BE1845B" w14:textId="77777777" w:rsidR="009576D4" w:rsidRPr="009576D4" w:rsidRDefault="009576D4" w:rsidP="004331ED">
      <w:pPr>
        <w:pStyle w:val="ListParagraph"/>
        <w:spacing w:line="360" w:lineRule="auto"/>
        <w:ind w:left="690"/>
        <w:jc w:val="both"/>
        <w:rPr>
          <w:color w:val="000000"/>
          <w:lang w:eastAsia="en-ZA"/>
        </w:rPr>
      </w:pPr>
    </w:p>
    <w:p w14:paraId="659F4D3B" w14:textId="605D627D" w:rsidR="009576D4" w:rsidRPr="00B40FC0" w:rsidRDefault="00B40FC0" w:rsidP="00B40FC0">
      <w:pPr>
        <w:tabs>
          <w:tab w:val="left" w:pos="690"/>
        </w:tabs>
        <w:spacing w:line="480" w:lineRule="auto"/>
        <w:ind w:left="690" w:hanging="690"/>
        <w:jc w:val="both"/>
        <w:rPr>
          <w:color w:val="000000"/>
          <w:u w:val="none"/>
          <w:lang w:eastAsia="en-ZA"/>
        </w:rPr>
      </w:pPr>
      <w:r w:rsidRPr="004331ED">
        <w:rPr>
          <w:color w:val="000000"/>
          <w:u w:val="none"/>
          <w:lang w:eastAsia="en-ZA"/>
        </w:rPr>
        <w:lastRenderedPageBreak/>
        <w:t>[16]</w:t>
      </w:r>
      <w:r w:rsidRPr="004331ED">
        <w:rPr>
          <w:color w:val="000000"/>
          <w:u w:val="none"/>
          <w:lang w:eastAsia="en-ZA"/>
        </w:rPr>
        <w:tab/>
      </w:r>
      <w:r w:rsidR="009576D4" w:rsidRPr="00B40FC0">
        <w:rPr>
          <w:color w:val="000000"/>
          <w:u w:val="none"/>
          <w:lang w:eastAsia="en-ZA"/>
        </w:rPr>
        <w:t xml:space="preserve">The applicant does not seek from this court </w:t>
      </w:r>
      <w:proofErr w:type="gramStart"/>
      <w:r w:rsidR="009576D4" w:rsidRPr="00B40FC0">
        <w:rPr>
          <w:color w:val="000000"/>
          <w:u w:val="none"/>
          <w:lang w:eastAsia="en-ZA"/>
        </w:rPr>
        <w:t>in order to</w:t>
      </w:r>
      <w:proofErr w:type="gramEnd"/>
      <w:r w:rsidR="009576D4" w:rsidRPr="00B40FC0">
        <w:rPr>
          <w:color w:val="000000"/>
          <w:u w:val="none"/>
          <w:lang w:eastAsia="en-ZA"/>
        </w:rPr>
        <w:t xml:space="preserve"> be released on parole, but to be considered for parole. On the common cause facts, the applicant has applied for his release on parole on three occasions and was recommended for</w:t>
      </w:r>
      <w:r w:rsidR="009576D4" w:rsidRPr="00B40FC0">
        <w:rPr>
          <w:color w:val="000000"/>
          <w:lang w:eastAsia="en-ZA"/>
        </w:rPr>
        <w:t xml:space="preserve"> </w:t>
      </w:r>
      <w:r w:rsidR="009576D4" w:rsidRPr="00B40FC0">
        <w:rPr>
          <w:color w:val="000000"/>
          <w:u w:val="none"/>
          <w:lang w:eastAsia="en-ZA"/>
        </w:rPr>
        <w:t>release on parole on two of those occasions. The Constitutional Court has long pointed out that prior to the promulgation of s 276B, a court’s imposition of a non-parole period 'amounted to an encroachment on the functions of the executive by the judiciary’</w:t>
      </w:r>
      <w:r w:rsidR="004331ED">
        <w:rPr>
          <w:rStyle w:val="FootnoteReference"/>
          <w:color w:val="000000"/>
          <w:u w:val="none"/>
          <w:lang w:eastAsia="en-ZA"/>
        </w:rPr>
        <w:footnoteReference w:id="3"/>
      </w:r>
      <w:r w:rsidR="009576D4" w:rsidRPr="00B40FC0">
        <w:rPr>
          <w:color w:val="000000"/>
          <w:u w:val="none"/>
          <w:lang w:eastAsia="en-ZA"/>
        </w:rPr>
        <w:t>.</w:t>
      </w:r>
    </w:p>
    <w:p w14:paraId="2B62B6CA" w14:textId="0298217D" w:rsidR="009576D4" w:rsidRPr="00B40FC0" w:rsidRDefault="00B40FC0" w:rsidP="00B40FC0">
      <w:pPr>
        <w:tabs>
          <w:tab w:val="left" w:pos="690"/>
        </w:tabs>
        <w:spacing w:line="480" w:lineRule="auto"/>
        <w:ind w:left="690" w:hanging="690"/>
        <w:jc w:val="both"/>
        <w:rPr>
          <w:color w:val="000000"/>
          <w:u w:val="none"/>
          <w:lang w:eastAsia="en-ZA"/>
        </w:rPr>
      </w:pPr>
      <w:r w:rsidRPr="00852017">
        <w:rPr>
          <w:color w:val="000000"/>
          <w:u w:val="none"/>
          <w:lang w:eastAsia="en-ZA"/>
        </w:rPr>
        <w:t>[17]</w:t>
      </w:r>
      <w:r w:rsidRPr="00852017">
        <w:rPr>
          <w:color w:val="000000"/>
          <w:u w:val="none"/>
          <w:lang w:eastAsia="en-ZA"/>
        </w:rPr>
        <w:tab/>
      </w:r>
      <w:r w:rsidR="009576D4" w:rsidRPr="00B40FC0">
        <w:rPr>
          <w:color w:val="000000"/>
          <w:u w:val="none"/>
          <w:lang w:eastAsia="en-ZA"/>
        </w:rPr>
        <w:t>The simple objection to judicial interference</w:t>
      </w:r>
      <w:r w:rsidR="004331ED" w:rsidRPr="00B40FC0">
        <w:rPr>
          <w:color w:val="000000"/>
          <w:u w:val="none"/>
          <w:lang w:eastAsia="en-ZA"/>
        </w:rPr>
        <w:t xml:space="preserve"> per </w:t>
      </w:r>
      <w:proofErr w:type="spellStart"/>
      <w:r w:rsidR="004331ED" w:rsidRPr="00B40FC0">
        <w:rPr>
          <w:color w:val="000000"/>
          <w:u w:val="none"/>
          <w:lang w:eastAsia="en-ZA"/>
        </w:rPr>
        <w:t>Snyders</w:t>
      </w:r>
      <w:proofErr w:type="spellEnd"/>
      <w:r w:rsidR="004331ED" w:rsidRPr="00B40FC0">
        <w:rPr>
          <w:color w:val="000000"/>
          <w:u w:val="none"/>
          <w:lang w:eastAsia="en-ZA"/>
        </w:rPr>
        <w:t xml:space="preserve"> JA in S v Stander  </w:t>
      </w:r>
      <w:r w:rsidR="009576D4" w:rsidRPr="00B40FC0">
        <w:rPr>
          <w:color w:val="000000"/>
          <w:u w:val="none"/>
          <w:lang w:eastAsia="en-ZA"/>
        </w:rPr>
        <w:t xml:space="preserve"> with parole matters remains the same, namely that 'the consideration of the suitability of a prisoner to be released on parole requires the assessment of facts relevant to the conduct of the prisoner after the imposition of sentence’</w:t>
      </w:r>
      <w:r w:rsidR="00852017" w:rsidRPr="00B40FC0">
        <w:rPr>
          <w:color w:val="000000"/>
          <w:u w:val="none"/>
          <w:lang w:eastAsia="en-ZA"/>
        </w:rPr>
        <w:t>.</w:t>
      </w:r>
      <w:r w:rsidR="00852017">
        <w:rPr>
          <w:rStyle w:val="FootnoteReference"/>
          <w:color w:val="000000"/>
          <w:u w:val="none"/>
          <w:lang w:eastAsia="en-ZA"/>
        </w:rPr>
        <w:footnoteReference w:id="4"/>
      </w:r>
      <w:r w:rsidR="009576D4" w:rsidRPr="00B40FC0">
        <w:rPr>
          <w:color w:val="000000"/>
          <w:u w:val="none"/>
          <w:lang w:eastAsia="en-ZA"/>
        </w:rPr>
        <w:t xml:space="preserve"> </w:t>
      </w:r>
    </w:p>
    <w:p w14:paraId="050B1B82" w14:textId="4F2FAFBF" w:rsidR="009576D4" w:rsidRPr="00B40FC0" w:rsidRDefault="00B40FC0" w:rsidP="00B40FC0">
      <w:pPr>
        <w:tabs>
          <w:tab w:val="left" w:pos="690"/>
        </w:tabs>
        <w:spacing w:line="480" w:lineRule="auto"/>
        <w:ind w:left="690" w:hanging="690"/>
        <w:jc w:val="both"/>
        <w:rPr>
          <w:color w:val="000000"/>
          <w:u w:val="none"/>
          <w:lang w:eastAsia="en-ZA"/>
        </w:rPr>
      </w:pPr>
      <w:r w:rsidRPr="00852017">
        <w:rPr>
          <w:color w:val="000000"/>
          <w:u w:val="none"/>
          <w:lang w:eastAsia="en-ZA"/>
        </w:rPr>
        <w:t>[18]</w:t>
      </w:r>
      <w:r w:rsidRPr="00852017">
        <w:rPr>
          <w:color w:val="000000"/>
          <w:u w:val="none"/>
          <w:lang w:eastAsia="en-ZA"/>
        </w:rPr>
        <w:tab/>
      </w:r>
      <w:r w:rsidR="009576D4" w:rsidRPr="00B40FC0">
        <w:rPr>
          <w:color w:val="000000"/>
          <w:u w:val="none"/>
          <w:lang w:eastAsia="en-ZA"/>
        </w:rPr>
        <w:t xml:space="preserve">Reliance by the respondents on </w:t>
      </w:r>
      <w:r w:rsidR="009576D4" w:rsidRPr="00B40FC0">
        <w:rPr>
          <w:u w:val="none"/>
        </w:rPr>
        <w:t xml:space="preserve">65(4) (a) of Act 8 of 1959 does not come to their aid, </w:t>
      </w:r>
      <w:r w:rsidR="00852017" w:rsidRPr="00B40FC0">
        <w:rPr>
          <w:u w:val="none"/>
        </w:rPr>
        <w:t xml:space="preserve">but </w:t>
      </w:r>
      <w:r w:rsidR="009576D4" w:rsidRPr="00B40FC0">
        <w:rPr>
          <w:u w:val="none"/>
        </w:rPr>
        <w:t xml:space="preserve">that of the applicant. </w:t>
      </w:r>
      <w:r w:rsidR="009576D4" w:rsidRPr="00B40FC0">
        <w:rPr>
          <w:color w:val="000000"/>
          <w:u w:val="none"/>
          <w:lang w:eastAsia="en-ZA"/>
        </w:rPr>
        <w:t>An important element of the principle of legality (</w:t>
      </w:r>
      <w:proofErr w:type="spellStart"/>
      <w:r w:rsidR="009576D4" w:rsidRPr="00B40FC0">
        <w:rPr>
          <w:i/>
          <w:color w:val="000000"/>
          <w:u w:val="none"/>
          <w:lang w:eastAsia="en-ZA"/>
        </w:rPr>
        <w:t>nullum</w:t>
      </w:r>
      <w:proofErr w:type="spellEnd"/>
      <w:r w:rsidR="009576D4" w:rsidRPr="00B40FC0">
        <w:rPr>
          <w:i/>
          <w:color w:val="000000"/>
          <w:u w:val="none"/>
          <w:lang w:eastAsia="en-ZA"/>
        </w:rPr>
        <w:t xml:space="preserve"> </w:t>
      </w:r>
      <w:proofErr w:type="spellStart"/>
      <w:r w:rsidR="009576D4" w:rsidRPr="00B40FC0">
        <w:rPr>
          <w:i/>
          <w:color w:val="000000"/>
          <w:u w:val="none"/>
          <w:lang w:eastAsia="en-ZA"/>
        </w:rPr>
        <w:t>crimen</w:t>
      </w:r>
      <w:proofErr w:type="spellEnd"/>
      <w:r w:rsidR="009576D4" w:rsidRPr="00B40FC0">
        <w:rPr>
          <w:i/>
          <w:color w:val="000000"/>
          <w:u w:val="none"/>
          <w:lang w:eastAsia="en-ZA"/>
        </w:rPr>
        <w:t xml:space="preserve"> sine </w:t>
      </w:r>
      <w:proofErr w:type="spellStart"/>
      <w:r w:rsidR="009576D4" w:rsidRPr="00B40FC0">
        <w:rPr>
          <w:i/>
          <w:color w:val="000000"/>
          <w:u w:val="none"/>
          <w:lang w:eastAsia="en-ZA"/>
        </w:rPr>
        <w:t>lege</w:t>
      </w:r>
      <w:proofErr w:type="spellEnd"/>
      <w:r w:rsidR="009576D4" w:rsidRPr="00B40FC0">
        <w:rPr>
          <w:i/>
          <w:color w:val="000000"/>
          <w:u w:val="none"/>
          <w:lang w:eastAsia="en-ZA"/>
        </w:rPr>
        <w:t>)</w:t>
      </w:r>
      <w:r w:rsidR="009576D4" w:rsidRPr="00B40FC0">
        <w:rPr>
          <w:color w:val="000000"/>
          <w:u w:val="none"/>
          <w:lang w:eastAsia="en-ZA"/>
        </w:rPr>
        <w:t xml:space="preserve"> is that no court may impose a sentence more severe than the sentence legally permitted at the time of the commission of the relevant crime </w:t>
      </w:r>
      <w:r w:rsidR="009576D4" w:rsidRPr="00B40FC0">
        <w:rPr>
          <w:i/>
          <w:color w:val="000000"/>
          <w:u w:val="none"/>
          <w:lang w:eastAsia="en-ZA"/>
        </w:rPr>
        <w:t>(</w:t>
      </w:r>
      <w:proofErr w:type="spellStart"/>
      <w:r w:rsidR="009576D4" w:rsidRPr="00B40FC0">
        <w:rPr>
          <w:i/>
          <w:color w:val="000000"/>
          <w:u w:val="none"/>
          <w:lang w:eastAsia="en-ZA"/>
        </w:rPr>
        <w:t>nulla</w:t>
      </w:r>
      <w:proofErr w:type="spellEnd"/>
      <w:r w:rsidR="009576D4" w:rsidRPr="00B40FC0">
        <w:rPr>
          <w:i/>
          <w:color w:val="000000"/>
          <w:u w:val="none"/>
          <w:lang w:eastAsia="en-ZA"/>
        </w:rPr>
        <w:t xml:space="preserve"> </w:t>
      </w:r>
      <w:proofErr w:type="spellStart"/>
      <w:r w:rsidR="009576D4" w:rsidRPr="00B40FC0">
        <w:rPr>
          <w:i/>
          <w:color w:val="000000"/>
          <w:u w:val="none"/>
          <w:lang w:eastAsia="en-ZA"/>
        </w:rPr>
        <w:t>poena</w:t>
      </w:r>
      <w:proofErr w:type="spellEnd"/>
      <w:r w:rsidR="009576D4" w:rsidRPr="00B40FC0">
        <w:rPr>
          <w:i/>
          <w:color w:val="000000"/>
          <w:u w:val="none"/>
          <w:lang w:eastAsia="en-ZA"/>
        </w:rPr>
        <w:t xml:space="preserve"> sine </w:t>
      </w:r>
      <w:proofErr w:type="spellStart"/>
      <w:r w:rsidR="009576D4" w:rsidRPr="00B40FC0">
        <w:rPr>
          <w:i/>
          <w:color w:val="000000"/>
          <w:u w:val="none"/>
          <w:lang w:eastAsia="en-ZA"/>
        </w:rPr>
        <w:t>lege</w:t>
      </w:r>
      <w:proofErr w:type="spellEnd"/>
      <w:r w:rsidR="009576D4" w:rsidRPr="00B40FC0">
        <w:rPr>
          <w:i/>
          <w:color w:val="000000"/>
          <w:u w:val="none"/>
          <w:lang w:eastAsia="en-ZA"/>
        </w:rPr>
        <w:t>).</w:t>
      </w:r>
      <w:r w:rsidR="009576D4" w:rsidRPr="00B40FC0">
        <w:rPr>
          <w:color w:val="000000"/>
          <w:u w:val="none"/>
          <w:lang w:eastAsia="en-ZA"/>
        </w:rPr>
        <w:t xml:space="preserve"> This principle is entrenched in the Constitution: s 35(3)(n) determines that the right to a fair trial includes the right to the benefit of the least severe of the prescribed punishments if the prescribed punishment for the offence has been changed between the time that the offence was committed and the time of sentencing.</w:t>
      </w:r>
    </w:p>
    <w:p w14:paraId="162AFF94" w14:textId="45014986" w:rsidR="009576D4" w:rsidRPr="00B40FC0" w:rsidRDefault="00B40FC0" w:rsidP="00B40FC0">
      <w:pPr>
        <w:tabs>
          <w:tab w:val="left" w:pos="690"/>
        </w:tabs>
        <w:spacing w:line="480" w:lineRule="auto"/>
        <w:ind w:left="690" w:hanging="690"/>
        <w:jc w:val="both"/>
        <w:rPr>
          <w:color w:val="000000"/>
          <w:u w:val="none"/>
          <w:lang w:eastAsia="en-ZA"/>
        </w:rPr>
      </w:pPr>
      <w:r w:rsidRPr="00D21610">
        <w:rPr>
          <w:color w:val="000000"/>
          <w:u w:val="none"/>
          <w:lang w:eastAsia="en-ZA"/>
        </w:rPr>
        <w:t>[19]</w:t>
      </w:r>
      <w:r w:rsidRPr="00D21610">
        <w:rPr>
          <w:color w:val="000000"/>
          <w:u w:val="none"/>
          <w:lang w:eastAsia="en-ZA"/>
        </w:rPr>
        <w:tab/>
      </w:r>
      <w:r w:rsidR="009576D4" w:rsidRPr="00B40FC0">
        <w:rPr>
          <w:color w:val="000000"/>
          <w:u w:val="none"/>
          <w:lang w:eastAsia="en-ZA"/>
        </w:rPr>
        <w:t xml:space="preserve">The common law also insists on no retrospectivity in respect of penal provisions: liability for a penalty is linked to the time of the commission of the crime and not </w:t>
      </w:r>
      <w:r w:rsidR="009576D4" w:rsidRPr="00B40FC0">
        <w:rPr>
          <w:color w:val="000000"/>
          <w:u w:val="none"/>
          <w:lang w:eastAsia="en-ZA"/>
        </w:rPr>
        <w:lastRenderedPageBreak/>
        <w:t>to the date of either conviction or sentence</w:t>
      </w:r>
      <w:r w:rsidR="009576D4" w:rsidRPr="00B40FC0">
        <w:rPr>
          <w:rFonts w:ascii="Verdana" w:hAnsi="Verdana"/>
          <w:color w:val="000000"/>
          <w:sz w:val="20"/>
          <w:szCs w:val="20"/>
          <w:u w:val="none"/>
        </w:rPr>
        <w:t> </w:t>
      </w:r>
      <w:r w:rsidR="00852017">
        <w:rPr>
          <w:rStyle w:val="FootnoteReference"/>
          <w:rFonts w:ascii="Verdana" w:hAnsi="Verdana"/>
          <w:color w:val="000000"/>
          <w:sz w:val="20"/>
          <w:szCs w:val="20"/>
          <w:u w:val="none"/>
        </w:rPr>
        <w:footnoteReference w:id="5"/>
      </w:r>
      <w:r w:rsidR="009576D4" w:rsidRPr="00B40FC0">
        <w:rPr>
          <w:color w:val="000000"/>
          <w:u w:val="none"/>
          <w:lang w:eastAsia="en-ZA"/>
        </w:rPr>
        <w:t>. In any construction, which is not disputed in relation to the proper interpretation of sections 65 (4) (a) of the</w:t>
      </w:r>
      <w:r w:rsidR="009576D4" w:rsidRPr="00B40FC0">
        <w:rPr>
          <w:color w:val="000000"/>
          <w:lang w:eastAsia="en-ZA"/>
        </w:rPr>
        <w:t xml:space="preserve"> </w:t>
      </w:r>
      <w:r w:rsidR="009576D4" w:rsidRPr="00B40FC0">
        <w:rPr>
          <w:color w:val="000000"/>
          <w:u w:val="none"/>
          <w:lang w:eastAsia="en-ZA"/>
        </w:rPr>
        <w:t xml:space="preserve">Correctional Services Act, </w:t>
      </w:r>
      <w:r w:rsidR="00D21610" w:rsidRPr="00B40FC0">
        <w:rPr>
          <w:color w:val="000000"/>
          <w:u w:val="none"/>
          <w:lang w:eastAsia="en-ZA"/>
        </w:rPr>
        <w:t>No.</w:t>
      </w:r>
      <w:r w:rsidR="009576D4" w:rsidRPr="00B40FC0">
        <w:rPr>
          <w:color w:val="000000"/>
          <w:u w:val="none"/>
          <w:lang w:eastAsia="en-ZA"/>
        </w:rPr>
        <w:t xml:space="preserve">8 </w:t>
      </w:r>
      <w:r w:rsidR="00D21610" w:rsidRPr="00B40FC0">
        <w:rPr>
          <w:color w:val="000000"/>
          <w:u w:val="none"/>
          <w:lang w:eastAsia="en-ZA"/>
        </w:rPr>
        <w:t xml:space="preserve">of </w:t>
      </w:r>
      <w:r w:rsidR="009576D4" w:rsidRPr="00B40FC0">
        <w:rPr>
          <w:color w:val="000000"/>
          <w:u w:val="none"/>
          <w:lang w:eastAsia="en-ZA"/>
        </w:rPr>
        <w:t>1959, the applicant has served half of his sentence.</w:t>
      </w:r>
    </w:p>
    <w:p w14:paraId="0A9B90D5" w14:textId="034BA5D0" w:rsidR="009576D4" w:rsidRPr="00B40FC0" w:rsidRDefault="00B40FC0" w:rsidP="00B40FC0">
      <w:pPr>
        <w:tabs>
          <w:tab w:val="left" w:pos="690"/>
        </w:tabs>
        <w:spacing w:line="480" w:lineRule="auto"/>
        <w:ind w:left="690" w:hanging="690"/>
        <w:jc w:val="both"/>
        <w:rPr>
          <w:color w:val="000000"/>
          <w:u w:val="none"/>
          <w:lang w:eastAsia="en-ZA"/>
        </w:rPr>
      </w:pPr>
      <w:r w:rsidRPr="00852017">
        <w:rPr>
          <w:color w:val="000000"/>
          <w:u w:val="none"/>
          <w:lang w:eastAsia="en-ZA"/>
        </w:rPr>
        <w:t>[20]</w:t>
      </w:r>
      <w:r w:rsidRPr="00852017">
        <w:rPr>
          <w:color w:val="000000"/>
          <w:u w:val="none"/>
          <w:lang w:eastAsia="en-ZA"/>
        </w:rPr>
        <w:tab/>
      </w:r>
      <w:r w:rsidR="009576D4" w:rsidRPr="00B40FC0">
        <w:rPr>
          <w:color w:val="000000"/>
          <w:u w:val="none"/>
          <w:lang w:eastAsia="en-ZA"/>
        </w:rPr>
        <w:t>Accordingly, I come to the</w:t>
      </w:r>
      <w:r w:rsidR="00852017" w:rsidRPr="00B40FC0">
        <w:rPr>
          <w:color w:val="000000"/>
          <w:u w:val="none"/>
          <w:lang w:eastAsia="en-ZA"/>
        </w:rPr>
        <w:t xml:space="preserve"> ineluctable</w:t>
      </w:r>
      <w:r w:rsidR="009576D4" w:rsidRPr="00B40FC0">
        <w:rPr>
          <w:color w:val="000000"/>
          <w:u w:val="none"/>
          <w:lang w:eastAsia="en-ZA"/>
        </w:rPr>
        <w:t xml:space="preserve"> conclusion that the decision of the first respondent is reviewable in terms of section 6 of</w:t>
      </w:r>
      <w:r w:rsidR="00852017" w:rsidRPr="00B40FC0">
        <w:rPr>
          <w:color w:val="000000"/>
          <w:u w:val="none"/>
          <w:lang w:eastAsia="en-ZA"/>
        </w:rPr>
        <w:t xml:space="preserve"> the Promotion of Administrative Justice Act 3 of 2000 (“</w:t>
      </w:r>
      <w:r w:rsidR="009576D4" w:rsidRPr="00B40FC0">
        <w:rPr>
          <w:color w:val="000000"/>
          <w:u w:val="none"/>
          <w:lang w:eastAsia="en-ZA"/>
        </w:rPr>
        <w:t>PAJA</w:t>
      </w:r>
      <w:r w:rsidR="00852017" w:rsidRPr="00B40FC0">
        <w:rPr>
          <w:color w:val="000000"/>
          <w:u w:val="none"/>
          <w:lang w:eastAsia="en-ZA"/>
        </w:rPr>
        <w:t>”)</w:t>
      </w:r>
      <w:r w:rsidR="009576D4" w:rsidRPr="00B40FC0">
        <w:rPr>
          <w:color w:val="000000"/>
          <w:u w:val="none"/>
          <w:lang w:eastAsia="en-ZA"/>
        </w:rPr>
        <w:t xml:space="preserve"> in that relevant considerations were not considered, within the meaning of section 6(2)(e)</w:t>
      </w:r>
      <w:r w:rsidR="00852017" w:rsidRPr="00B40FC0">
        <w:rPr>
          <w:color w:val="000000"/>
          <w:u w:val="none"/>
          <w:lang w:eastAsia="en-ZA"/>
        </w:rPr>
        <w:t xml:space="preserve"> thereof</w:t>
      </w:r>
      <w:r w:rsidR="009576D4" w:rsidRPr="00B40FC0">
        <w:rPr>
          <w:color w:val="000000"/>
          <w:u w:val="none"/>
          <w:lang w:eastAsia="en-ZA"/>
        </w:rPr>
        <w:t>. Also, it was irrational within the meaning of section 6(2)(f)(ii); and lastly unreasonable within</w:t>
      </w:r>
      <w:r w:rsidR="00852017" w:rsidRPr="00B40FC0">
        <w:rPr>
          <w:color w:val="000000"/>
          <w:u w:val="none"/>
          <w:lang w:eastAsia="en-ZA"/>
        </w:rPr>
        <w:t xml:space="preserve"> the meaning of section 6(2)(h) of PAJA.</w:t>
      </w:r>
    </w:p>
    <w:p w14:paraId="0D0FFA79" w14:textId="77777777" w:rsidR="009576D4" w:rsidRPr="00852017" w:rsidRDefault="009576D4" w:rsidP="00852017">
      <w:pPr>
        <w:pStyle w:val="ListParagraph"/>
        <w:spacing w:line="480" w:lineRule="auto"/>
        <w:ind w:left="690"/>
        <w:jc w:val="both"/>
        <w:rPr>
          <w:color w:val="000000"/>
          <w:u w:val="none"/>
          <w:lang w:eastAsia="en-ZA"/>
        </w:rPr>
      </w:pPr>
      <w:r w:rsidRPr="00852017">
        <w:rPr>
          <w:color w:val="000000"/>
          <w:u w:val="none"/>
          <w:lang w:eastAsia="en-ZA"/>
        </w:rPr>
        <w:t xml:space="preserve">Order </w:t>
      </w:r>
    </w:p>
    <w:p w14:paraId="3908A530" w14:textId="02CD3239" w:rsidR="009576D4" w:rsidRPr="00B40FC0" w:rsidRDefault="00B40FC0" w:rsidP="00B40FC0">
      <w:pPr>
        <w:tabs>
          <w:tab w:val="left" w:pos="690"/>
        </w:tabs>
        <w:spacing w:line="480" w:lineRule="auto"/>
        <w:ind w:left="690" w:hanging="690"/>
        <w:jc w:val="both"/>
        <w:rPr>
          <w:color w:val="000000"/>
          <w:u w:val="none"/>
          <w:lang w:eastAsia="en-ZA"/>
        </w:rPr>
      </w:pPr>
      <w:r w:rsidRPr="00852017">
        <w:rPr>
          <w:color w:val="000000"/>
          <w:u w:val="none"/>
          <w:lang w:eastAsia="en-ZA"/>
        </w:rPr>
        <w:t>[21]</w:t>
      </w:r>
      <w:r w:rsidRPr="00852017">
        <w:rPr>
          <w:color w:val="000000"/>
          <w:u w:val="none"/>
          <w:lang w:eastAsia="en-ZA"/>
        </w:rPr>
        <w:tab/>
      </w:r>
      <w:proofErr w:type="gramStart"/>
      <w:r w:rsidR="009576D4" w:rsidRPr="00B40FC0">
        <w:rPr>
          <w:color w:val="000000"/>
          <w:u w:val="none"/>
          <w:lang w:eastAsia="en-ZA"/>
        </w:rPr>
        <w:t>1.The</w:t>
      </w:r>
      <w:proofErr w:type="gramEnd"/>
      <w:r w:rsidR="009576D4" w:rsidRPr="00B40FC0">
        <w:rPr>
          <w:color w:val="000000"/>
          <w:u w:val="none"/>
          <w:lang w:eastAsia="en-ZA"/>
        </w:rPr>
        <w:t xml:space="preserve"> decision of the first respondent that the applicant is not eligible for consideration of parole on the basis of the non-parole period prescribed on his sentence be and is hereby reviewed and set aside.</w:t>
      </w:r>
    </w:p>
    <w:p w14:paraId="1BB5E2E1" w14:textId="77777777" w:rsidR="009576D4" w:rsidRPr="00852017" w:rsidRDefault="009576D4" w:rsidP="00D21610">
      <w:pPr>
        <w:pStyle w:val="ListParagraph"/>
        <w:spacing w:line="480" w:lineRule="auto"/>
        <w:ind w:left="690"/>
        <w:jc w:val="both"/>
        <w:rPr>
          <w:color w:val="000000"/>
          <w:u w:val="none"/>
          <w:lang w:eastAsia="en-ZA"/>
        </w:rPr>
      </w:pPr>
      <w:r w:rsidRPr="00852017">
        <w:rPr>
          <w:color w:val="000000"/>
          <w:u w:val="none"/>
          <w:lang w:eastAsia="en-ZA"/>
        </w:rPr>
        <w:t>2.That the first and second respondents be and are hereby ordered to urgently consider processing the applicant for placement on parole by the Beard in terms of the policy Parole Boards prior to the commencement of Chapter 4, 6 and 7 of the Correctional Services Act 111 of 1998.</w:t>
      </w:r>
    </w:p>
    <w:p w14:paraId="2BCD8D4F" w14:textId="77777777" w:rsidR="009576D4" w:rsidRPr="00852017" w:rsidRDefault="009576D4" w:rsidP="00D21610">
      <w:pPr>
        <w:pStyle w:val="ListParagraph"/>
        <w:spacing w:line="480" w:lineRule="auto"/>
        <w:ind w:left="690"/>
        <w:jc w:val="both"/>
        <w:rPr>
          <w:color w:val="000000"/>
          <w:u w:val="none"/>
          <w:lang w:eastAsia="en-ZA"/>
        </w:rPr>
      </w:pPr>
      <w:r w:rsidRPr="00852017">
        <w:rPr>
          <w:color w:val="000000"/>
          <w:u w:val="none"/>
          <w:lang w:eastAsia="en-ZA"/>
        </w:rPr>
        <w:t xml:space="preserve">3.Directing the first and second respondents, to </w:t>
      </w:r>
      <w:proofErr w:type="gramStart"/>
      <w:r w:rsidRPr="00852017">
        <w:rPr>
          <w:color w:val="000000"/>
          <w:u w:val="none"/>
          <w:lang w:eastAsia="en-ZA"/>
        </w:rPr>
        <w:t>jointly and severally pay the costs of the application</w:t>
      </w:r>
      <w:proofErr w:type="gramEnd"/>
      <w:r w:rsidRPr="00852017">
        <w:rPr>
          <w:color w:val="000000"/>
          <w:u w:val="none"/>
          <w:lang w:eastAsia="en-ZA"/>
        </w:rPr>
        <w:t>.</w:t>
      </w:r>
    </w:p>
    <w:p w14:paraId="07B2D2B0" w14:textId="77777777" w:rsidR="00972885" w:rsidRPr="00560B76" w:rsidRDefault="00972885" w:rsidP="00ED2F32">
      <w:pPr>
        <w:spacing w:after="120" w:line="360" w:lineRule="auto"/>
        <w:jc w:val="both"/>
        <w:rPr>
          <w:u w:val="none"/>
        </w:rPr>
      </w:pPr>
    </w:p>
    <w:p w14:paraId="72496C3F" w14:textId="77777777" w:rsidR="00972885" w:rsidRDefault="00972885" w:rsidP="00972885">
      <w:pPr>
        <w:spacing w:line="360" w:lineRule="auto"/>
        <w:jc w:val="right"/>
        <w:rPr>
          <w:b/>
          <w:u w:val="none"/>
        </w:rPr>
      </w:pPr>
      <w:r>
        <w:rPr>
          <w:b/>
          <w:u w:val="none"/>
        </w:rPr>
        <w:t>________________</w:t>
      </w:r>
    </w:p>
    <w:p w14:paraId="05CAA394" w14:textId="77777777" w:rsidR="00972885" w:rsidRDefault="00972885" w:rsidP="00972885">
      <w:pPr>
        <w:spacing w:line="360" w:lineRule="auto"/>
        <w:jc w:val="right"/>
        <w:rPr>
          <w:b/>
          <w:u w:val="none"/>
        </w:rPr>
      </w:pPr>
      <w:r>
        <w:rPr>
          <w:b/>
          <w:u w:val="none"/>
        </w:rPr>
        <w:t xml:space="preserve"> MUDAU J</w:t>
      </w:r>
    </w:p>
    <w:p w14:paraId="49F20D74" w14:textId="77777777" w:rsidR="00972885" w:rsidRPr="00852017" w:rsidRDefault="00972885" w:rsidP="00852017">
      <w:pPr>
        <w:spacing w:line="360" w:lineRule="auto"/>
        <w:jc w:val="right"/>
        <w:rPr>
          <w:b/>
          <w:u w:val="none"/>
        </w:rPr>
      </w:pPr>
      <w:r>
        <w:rPr>
          <w:b/>
          <w:u w:val="none"/>
        </w:rPr>
        <w:t>[Judge o</w:t>
      </w:r>
      <w:r w:rsidRPr="003C7CF5">
        <w:rPr>
          <w:b/>
          <w:u w:val="none"/>
        </w:rPr>
        <w:t>f the High Co</w:t>
      </w:r>
      <w:r>
        <w:rPr>
          <w:b/>
          <w:u w:val="none"/>
        </w:rPr>
        <w:t>urt]</w:t>
      </w:r>
    </w:p>
    <w:p w14:paraId="65FAE6D1" w14:textId="77777777" w:rsidR="00972885" w:rsidRDefault="00972885" w:rsidP="00972885">
      <w:pPr>
        <w:spacing w:line="480" w:lineRule="auto"/>
        <w:jc w:val="both"/>
        <w:rPr>
          <w:u w:val="none"/>
        </w:rPr>
      </w:pPr>
      <w:r>
        <w:rPr>
          <w:u w:val="none"/>
        </w:rPr>
        <w:t>APPEARANCES</w:t>
      </w:r>
    </w:p>
    <w:p w14:paraId="6575CB4C" w14:textId="77777777" w:rsidR="00E537BA" w:rsidRDefault="00E46C4B" w:rsidP="007F2CD8">
      <w:pPr>
        <w:spacing w:line="480" w:lineRule="auto"/>
        <w:jc w:val="both"/>
        <w:rPr>
          <w:u w:val="none"/>
        </w:rPr>
      </w:pPr>
      <w:r>
        <w:rPr>
          <w:u w:val="none"/>
        </w:rPr>
        <w:lastRenderedPageBreak/>
        <w:t>For the App</w:t>
      </w:r>
      <w:r w:rsidR="000D5C03">
        <w:rPr>
          <w:u w:val="none"/>
        </w:rPr>
        <w:t>licant</w:t>
      </w:r>
      <w:r>
        <w:rPr>
          <w:u w:val="none"/>
        </w:rPr>
        <w:t>:</w:t>
      </w:r>
      <w:r w:rsidR="00972885" w:rsidRPr="007169FE">
        <w:rPr>
          <w:u w:val="none"/>
        </w:rPr>
        <w:tab/>
      </w:r>
      <w:r w:rsidR="00972885" w:rsidRPr="007169FE">
        <w:rPr>
          <w:u w:val="none"/>
        </w:rPr>
        <w:tab/>
      </w:r>
      <w:r w:rsidR="00972885" w:rsidRPr="007169FE">
        <w:rPr>
          <w:u w:val="none"/>
        </w:rPr>
        <w:tab/>
      </w:r>
      <w:r w:rsidR="00E537BA">
        <w:rPr>
          <w:u w:val="none"/>
        </w:rPr>
        <w:t xml:space="preserve">Adv </w:t>
      </w:r>
      <w:r w:rsidR="00E537BA">
        <w:rPr>
          <w:u w:val="none"/>
        </w:rPr>
        <w:tab/>
      </w:r>
      <w:r w:rsidR="00506074">
        <w:rPr>
          <w:u w:val="none"/>
        </w:rPr>
        <w:t>A E AYAYEE</w:t>
      </w:r>
      <w:r w:rsidR="00E537BA">
        <w:rPr>
          <w:u w:val="none"/>
        </w:rPr>
        <w:tab/>
      </w:r>
      <w:r w:rsidR="00E537BA">
        <w:rPr>
          <w:u w:val="none"/>
        </w:rPr>
        <w:tab/>
      </w:r>
      <w:r w:rsidR="00E537BA">
        <w:rPr>
          <w:u w:val="none"/>
        </w:rPr>
        <w:tab/>
        <w:t xml:space="preserve"> </w:t>
      </w:r>
    </w:p>
    <w:p w14:paraId="7305079C" w14:textId="77777777"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r w:rsidR="00506074" w:rsidRPr="00506074">
        <w:rPr>
          <w:u w:val="none"/>
        </w:rPr>
        <w:t>MAJAVU</w:t>
      </w:r>
      <w:r w:rsidR="00506074">
        <w:rPr>
          <w:u w:val="none"/>
        </w:rPr>
        <w:t xml:space="preserve"> ATTORNEYS</w:t>
      </w:r>
      <w:r w:rsidRPr="007169FE">
        <w:rPr>
          <w:u w:val="none"/>
        </w:rPr>
        <w:tab/>
      </w:r>
      <w:r w:rsidR="00506074">
        <w:rPr>
          <w:u w:val="none"/>
        </w:rPr>
        <w:tab/>
      </w:r>
      <w:r>
        <w:rPr>
          <w:u w:val="none"/>
        </w:rPr>
        <w:tab/>
      </w:r>
      <w:r w:rsidRPr="007169FE">
        <w:rPr>
          <w:u w:val="none"/>
        </w:rPr>
        <w:tab/>
      </w:r>
      <w:r>
        <w:rPr>
          <w:u w:val="none"/>
        </w:rPr>
        <w:tab/>
      </w:r>
    </w:p>
    <w:p w14:paraId="2301E62F" w14:textId="77777777" w:rsidR="00AB5C7A" w:rsidRDefault="00972885" w:rsidP="00972885">
      <w:pPr>
        <w:spacing w:line="480" w:lineRule="auto"/>
        <w:jc w:val="both"/>
        <w:rPr>
          <w:u w:val="none"/>
        </w:rPr>
      </w:pPr>
      <w:r>
        <w:rPr>
          <w:u w:val="none"/>
        </w:rPr>
        <w:t xml:space="preserve">For the </w:t>
      </w:r>
      <w:r w:rsidRPr="007169FE">
        <w:rPr>
          <w:u w:val="none"/>
        </w:rPr>
        <w:t>Respondent:</w:t>
      </w:r>
      <w:r>
        <w:rPr>
          <w:u w:val="none"/>
        </w:rPr>
        <w:tab/>
      </w:r>
      <w:r w:rsidR="00AB5C7A">
        <w:rPr>
          <w:u w:val="none"/>
        </w:rPr>
        <w:tab/>
      </w:r>
      <w:r w:rsidR="001F50C9" w:rsidRPr="001F50C9">
        <w:rPr>
          <w:u w:val="none"/>
        </w:rPr>
        <w:t xml:space="preserve">Adv. </w:t>
      </w:r>
      <w:r w:rsidR="00506074">
        <w:rPr>
          <w:u w:val="none"/>
        </w:rPr>
        <w:t>T MALULEKA</w:t>
      </w:r>
    </w:p>
    <w:p w14:paraId="1AE84BF4" w14:textId="77777777" w:rsidR="004068BB" w:rsidRDefault="004068BB" w:rsidP="00972885">
      <w:pPr>
        <w:spacing w:line="480" w:lineRule="auto"/>
        <w:jc w:val="both"/>
        <w:rPr>
          <w:u w:val="none"/>
        </w:rPr>
      </w:pPr>
      <w:r>
        <w:rPr>
          <w:u w:val="none"/>
        </w:rPr>
        <w:t>Instructed by:</w:t>
      </w:r>
      <w:r>
        <w:rPr>
          <w:u w:val="none"/>
        </w:rPr>
        <w:tab/>
      </w:r>
      <w:r>
        <w:rPr>
          <w:u w:val="none"/>
        </w:rPr>
        <w:tab/>
      </w:r>
      <w:r>
        <w:rPr>
          <w:u w:val="none"/>
        </w:rPr>
        <w:tab/>
      </w:r>
      <w:r w:rsidR="00D21610">
        <w:rPr>
          <w:u w:val="none"/>
        </w:rPr>
        <w:t>STATE ATTORNEYS</w:t>
      </w:r>
    </w:p>
    <w:p w14:paraId="5CB68FED" w14:textId="77777777" w:rsidR="00972885" w:rsidRDefault="00972885" w:rsidP="00972885">
      <w:pPr>
        <w:spacing w:line="480" w:lineRule="auto"/>
        <w:jc w:val="both"/>
        <w:rPr>
          <w:u w:val="none"/>
        </w:rPr>
      </w:pPr>
      <w:r>
        <w:rPr>
          <w:u w:val="none"/>
        </w:rPr>
        <w:tab/>
      </w:r>
    </w:p>
    <w:p w14:paraId="62BC7174" w14:textId="77777777"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sidR="00E537BA">
        <w:rPr>
          <w:u w:val="none"/>
        </w:rPr>
        <w:tab/>
      </w:r>
      <w:r w:rsidR="00E537BA">
        <w:rPr>
          <w:u w:val="none"/>
        </w:rPr>
        <w:tab/>
      </w:r>
      <w:r w:rsidR="00506074">
        <w:rPr>
          <w:u w:val="none"/>
        </w:rPr>
        <w:t>6</w:t>
      </w:r>
      <w:r w:rsidR="001F50C9">
        <w:rPr>
          <w:u w:val="none"/>
        </w:rPr>
        <w:t xml:space="preserve"> </w:t>
      </w:r>
      <w:r w:rsidR="00506074">
        <w:rPr>
          <w:u w:val="none"/>
        </w:rPr>
        <w:t xml:space="preserve">December </w:t>
      </w:r>
      <w:r>
        <w:rPr>
          <w:u w:val="none"/>
        </w:rPr>
        <w:t>2022</w:t>
      </w:r>
      <w:r>
        <w:rPr>
          <w:u w:val="none"/>
        </w:rPr>
        <w:tab/>
      </w:r>
      <w:r>
        <w:rPr>
          <w:u w:val="none"/>
        </w:rPr>
        <w:tab/>
      </w:r>
    </w:p>
    <w:p w14:paraId="725960BB" w14:textId="77777777" w:rsidR="00972885" w:rsidRPr="00D143A7" w:rsidRDefault="00AB5C7A" w:rsidP="00613563">
      <w:pPr>
        <w:spacing w:line="480" w:lineRule="auto"/>
        <w:jc w:val="both"/>
        <w:rPr>
          <w:u w:val="none"/>
        </w:rPr>
      </w:pPr>
      <w:r w:rsidRPr="007169FE">
        <w:rPr>
          <w:u w:val="none"/>
        </w:rPr>
        <w:t>Date of Judgment:</w:t>
      </w:r>
      <w:r w:rsidRPr="007169FE">
        <w:rPr>
          <w:u w:val="none"/>
        </w:rPr>
        <w:tab/>
      </w:r>
      <w:r w:rsidR="00E537BA">
        <w:rPr>
          <w:u w:val="none"/>
        </w:rPr>
        <w:tab/>
        <w:t xml:space="preserve">         </w:t>
      </w:r>
      <w:r w:rsidR="00506074">
        <w:rPr>
          <w:u w:val="none"/>
        </w:rPr>
        <w:t xml:space="preserve"> 12</w:t>
      </w:r>
      <w:r w:rsidR="004068BB">
        <w:rPr>
          <w:u w:val="none"/>
        </w:rPr>
        <w:t xml:space="preserve"> </w:t>
      </w:r>
      <w:r w:rsidR="00E537BA">
        <w:rPr>
          <w:u w:val="none"/>
        </w:rPr>
        <w:t>November</w:t>
      </w:r>
      <w:r w:rsidR="001F50C9">
        <w:rPr>
          <w:u w:val="none"/>
        </w:rPr>
        <w:t xml:space="preserve"> </w:t>
      </w:r>
      <w:r>
        <w:rPr>
          <w:u w:val="none"/>
        </w:rPr>
        <w:t>2022</w:t>
      </w:r>
    </w:p>
    <w:p w14:paraId="69E0CDDB" w14:textId="77777777" w:rsidR="002F15B7" w:rsidRDefault="002F15B7"/>
    <w:sectPr w:rsidR="002F15B7" w:rsidSect="00815AD8">
      <w:footerReference w:type="default" r:id="rId9"/>
      <w:pgSz w:w="11906" w:h="16838"/>
      <w:pgMar w:top="1103"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8221" w14:textId="77777777" w:rsidR="001757FF" w:rsidRDefault="001757FF" w:rsidP="00972885">
      <w:r>
        <w:separator/>
      </w:r>
    </w:p>
  </w:endnote>
  <w:endnote w:type="continuationSeparator" w:id="0">
    <w:p w14:paraId="38186EE0" w14:textId="77777777" w:rsidR="001757FF" w:rsidRDefault="001757FF"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F05D" w14:textId="77777777"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187DA3">
      <w:rPr>
        <w:noProof/>
        <w:u w:val="none"/>
      </w:rPr>
      <w:t>3</w:t>
    </w:r>
    <w:r w:rsidRPr="009C3009">
      <w:rPr>
        <w:noProof/>
        <w:u w:val="none"/>
      </w:rPr>
      <w:fldChar w:fldCharType="end"/>
    </w:r>
  </w:p>
  <w:p w14:paraId="7ABBFB7E" w14:textId="77777777" w:rsidR="00950FD7" w:rsidRDefault="0095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E258" w14:textId="77777777" w:rsidR="001757FF" w:rsidRDefault="001757FF" w:rsidP="00972885">
      <w:r>
        <w:separator/>
      </w:r>
    </w:p>
  </w:footnote>
  <w:footnote w:type="continuationSeparator" w:id="0">
    <w:p w14:paraId="1E250F5E" w14:textId="77777777" w:rsidR="001757FF" w:rsidRDefault="001757FF" w:rsidP="00972885">
      <w:r>
        <w:continuationSeparator/>
      </w:r>
    </w:p>
  </w:footnote>
  <w:footnote w:id="1">
    <w:p w14:paraId="2834D0AB" w14:textId="77777777" w:rsidR="009576D4" w:rsidRPr="002432DE" w:rsidRDefault="009576D4" w:rsidP="009576D4">
      <w:pPr>
        <w:pStyle w:val="FootnoteText"/>
      </w:pPr>
      <w:r>
        <w:rPr>
          <w:rStyle w:val="FootnoteReference"/>
        </w:rPr>
        <w:footnoteRef/>
      </w:r>
      <w:r>
        <w:t xml:space="preserve"> 2019 (2) SACR 88 (CC)</w:t>
      </w:r>
    </w:p>
  </w:footnote>
  <w:footnote w:id="2">
    <w:p w14:paraId="0D35EC71" w14:textId="77777777" w:rsidR="004331ED" w:rsidRDefault="004331ED">
      <w:pPr>
        <w:pStyle w:val="FootnoteText"/>
      </w:pPr>
      <w:r w:rsidRPr="004331ED">
        <w:rPr>
          <w:rStyle w:val="FootnoteReference"/>
          <w:u w:val="none"/>
        </w:rPr>
        <w:footnoteRef/>
      </w:r>
      <w:r w:rsidRPr="004331ED">
        <w:rPr>
          <w:u w:val="none"/>
        </w:rPr>
        <w:t xml:space="preserve"> S v Stander  </w:t>
      </w:r>
      <w:hyperlink r:id="rId1" w:tgtFrame="main" w:history="1">
        <w:r w:rsidRPr="004331ED">
          <w:rPr>
            <w:u w:val="none"/>
          </w:rPr>
          <w:t>2012 (1) SACR 537 (SCA)</w:t>
        </w:r>
      </w:hyperlink>
    </w:p>
  </w:footnote>
  <w:footnote w:id="3">
    <w:p w14:paraId="68BC66FE" w14:textId="77777777" w:rsidR="004331ED" w:rsidRDefault="004331ED">
      <w:pPr>
        <w:pStyle w:val="FootnoteText"/>
      </w:pPr>
      <w:r w:rsidRPr="004331ED">
        <w:rPr>
          <w:rStyle w:val="FootnoteReference"/>
          <w:u w:val="none"/>
        </w:rPr>
        <w:footnoteRef/>
      </w:r>
      <w:r w:rsidRPr="004331ED">
        <w:rPr>
          <w:u w:val="none"/>
        </w:rPr>
        <w:t xml:space="preserve"> </w:t>
      </w:r>
      <w:r w:rsidRPr="004331ED">
        <w:rPr>
          <w:color w:val="000000"/>
          <w:u w:val="none"/>
          <w:lang w:eastAsia="en-ZA"/>
        </w:rPr>
        <w:t>See </w:t>
      </w:r>
      <w:proofErr w:type="spellStart"/>
      <w:r w:rsidRPr="004331ED">
        <w:rPr>
          <w:color w:val="000000"/>
          <w:u w:val="none"/>
          <w:lang w:eastAsia="en-ZA"/>
        </w:rPr>
        <w:t>Phaahla</w:t>
      </w:r>
      <w:proofErr w:type="spellEnd"/>
      <w:r w:rsidRPr="004331ED">
        <w:rPr>
          <w:color w:val="000000"/>
          <w:u w:val="none"/>
          <w:lang w:eastAsia="en-ZA"/>
        </w:rPr>
        <w:t xml:space="preserve"> v Minister of Justice and Correctional Services &amp; another  </w:t>
      </w:r>
      <w:hyperlink r:id="rId2" w:tgtFrame="main" w:history="1">
        <w:r w:rsidRPr="004331ED">
          <w:rPr>
            <w:color w:val="000000"/>
            <w:u w:val="none"/>
            <w:lang w:eastAsia="en-ZA"/>
          </w:rPr>
          <w:t>2019 (2) SACR 88 (CC)</w:t>
        </w:r>
      </w:hyperlink>
      <w:r w:rsidRPr="004331ED">
        <w:rPr>
          <w:color w:val="000000"/>
          <w:u w:val="none"/>
          <w:lang w:eastAsia="en-ZA"/>
        </w:rPr>
        <w:t xml:space="preserve"> at [37]. See also S v </w:t>
      </w:r>
      <w:proofErr w:type="spellStart"/>
      <w:r w:rsidRPr="004331ED">
        <w:rPr>
          <w:color w:val="000000"/>
          <w:u w:val="none"/>
          <w:lang w:eastAsia="en-ZA"/>
        </w:rPr>
        <w:t>Makhokha</w:t>
      </w:r>
      <w:proofErr w:type="spellEnd"/>
      <w:r w:rsidRPr="004331ED">
        <w:rPr>
          <w:color w:val="000000"/>
          <w:u w:val="none"/>
          <w:lang w:eastAsia="en-ZA"/>
        </w:rPr>
        <w:t>  </w:t>
      </w:r>
      <w:hyperlink r:id="rId3" w:tgtFrame="main" w:history="1">
        <w:r w:rsidRPr="004331ED">
          <w:rPr>
            <w:color w:val="000000"/>
            <w:u w:val="none"/>
            <w:lang w:eastAsia="en-ZA"/>
          </w:rPr>
          <w:t>2019 (2) SACR 198 (CC)</w:t>
        </w:r>
      </w:hyperlink>
      <w:r w:rsidRPr="004331ED">
        <w:rPr>
          <w:color w:val="000000"/>
          <w:u w:val="none"/>
          <w:lang w:eastAsia="en-ZA"/>
        </w:rPr>
        <w:t> at [11</w:t>
      </w:r>
    </w:p>
  </w:footnote>
  <w:footnote w:id="4">
    <w:p w14:paraId="1EC8041A" w14:textId="77777777" w:rsidR="00852017" w:rsidRDefault="00852017">
      <w:pPr>
        <w:pStyle w:val="FootnoteText"/>
      </w:pPr>
      <w:r w:rsidRPr="00852017">
        <w:rPr>
          <w:rStyle w:val="FootnoteReference"/>
          <w:u w:val="none"/>
        </w:rPr>
        <w:footnoteRef/>
      </w:r>
      <w:r w:rsidRPr="00852017">
        <w:rPr>
          <w:u w:val="none"/>
        </w:rPr>
        <w:t xml:space="preserve"> </w:t>
      </w:r>
      <w:r w:rsidRPr="00852017">
        <w:rPr>
          <w:color w:val="000000"/>
          <w:u w:val="none"/>
          <w:lang w:eastAsia="en-ZA"/>
        </w:rPr>
        <w:t>S v Stander  </w:t>
      </w:r>
      <w:hyperlink r:id="rId4" w:tgtFrame="main" w:history="1">
        <w:r w:rsidRPr="00852017">
          <w:rPr>
            <w:color w:val="000000"/>
            <w:u w:val="none"/>
            <w:lang w:eastAsia="en-ZA"/>
          </w:rPr>
          <w:t>2012 (1) SACR 537 (SCA)</w:t>
        </w:r>
      </w:hyperlink>
      <w:r w:rsidRPr="00852017">
        <w:rPr>
          <w:color w:val="000000"/>
          <w:u w:val="none"/>
          <w:lang w:eastAsia="en-ZA"/>
        </w:rPr>
        <w:t xml:space="preserve"> at [12]; See also S v </w:t>
      </w:r>
      <w:proofErr w:type="spellStart"/>
      <w:r w:rsidRPr="00852017">
        <w:rPr>
          <w:color w:val="000000"/>
          <w:u w:val="none"/>
          <w:lang w:eastAsia="en-ZA"/>
        </w:rPr>
        <w:t>Jimmale</w:t>
      </w:r>
      <w:proofErr w:type="spellEnd"/>
      <w:r w:rsidRPr="00852017">
        <w:rPr>
          <w:color w:val="000000"/>
          <w:u w:val="none"/>
          <w:lang w:eastAsia="en-ZA"/>
        </w:rPr>
        <w:t xml:space="preserve"> &amp; another  </w:t>
      </w:r>
      <w:hyperlink r:id="rId5" w:tgtFrame="main" w:history="1">
        <w:r w:rsidRPr="00852017">
          <w:rPr>
            <w:color w:val="000000"/>
            <w:u w:val="none"/>
            <w:lang w:eastAsia="en-ZA"/>
          </w:rPr>
          <w:t>2016 (2) SACR 691 (CC)</w:t>
        </w:r>
      </w:hyperlink>
      <w:r w:rsidRPr="004331ED">
        <w:rPr>
          <w:color w:val="000000"/>
          <w:u w:val="none"/>
          <w:lang w:eastAsia="en-ZA"/>
        </w:rPr>
        <w:t> at [14];</w:t>
      </w:r>
    </w:p>
  </w:footnote>
  <w:footnote w:id="5">
    <w:p w14:paraId="7A522D83" w14:textId="77777777" w:rsidR="00852017" w:rsidRDefault="00852017">
      <w:pPr>
        <w:pStyle w:val="FootnoteText"/>
      </w:pPr>
      <w:r w:rsidRPr="00852017">
        <w:rPr>
          <w:rStyle w:val="FootnoteReference"/>
          <w:u w:val="none"/>
        </w:rPr>
        <w:footnoteRef/>
      </w:r>
      <w:r w:rsidRPr="00852017">
        <w:rPr>
          <w:u w:val="none"/>
        </w:rPr>
        <w:t xml:space="preserve"> </w:t>
      </w:r>
      <w:r w:rsidRPr="00852017">
        <w:rPr>
          <w:rFonts w:ascii="Verdana" w:hAnsi="Verdana"/>
          <w:color w:val="000000"/>
          <w:u w:val="none"/>
        </w:rPr>
        <w:t>(</w:t>
      </w:r>
      <w:proofErr w:type="gramStart"/>
      <w:r w:rsidRPr="00852017">
        <w:rPr>
          <w:rFonts w:ascii="Verdana" w:hAnsi="Verdana"/>
          <w:color w:val="000000"/>
          <w:u w:val="none"/>
        </w:rPr>
        <w:t>see</w:t>
      </w:r>
      <w:proofErr w:type="gramEnd"/>
      <w:r w:rsidRPr="00852017">
        <w:rPr>
          <w:rFonts w:ascii="Verdana" w:hAnsi="Verdana"/>
          <w:color w:val="000000"/>
          <w:u w:val="none"/>
        </w:rPr>
        <w:t xml:space="preserve"> </w:t>
      </w:r>
      <w:r w:rsidRPr="00852017">
        <w:rPr>
          <w:rFonts w:ascii="Verdana" w:hAnsi="Verdana"/>
          <w:i/>
          <w:iCs/>
          <w:color w:val="000000"/>
          <w:u w:val="none"/>
        </w:rPr>
        <w:t xml:space="preserve">S v </w:t>
      </w:r>
      <w:proofErr w:type="spellStart"/>
      <w:r w:rsidRPr="00852017">
        <w:rPr>
          <w:rFonts w:ascii="Verdana" w:hAnsi="Verdana"/>
          <w:i/>
          <w:iCs/>
          <w:color w:val="000000"/>
          <w:u w:val="none"/>
        </w:rPr>
        <w:t>Mpetha</w:t>
      </w:r>
      <w:proofErr w:type="spellEnd"/>
      <w:r w:rsidRPr="00852017">
        <w:rPr>
          <w:rFonts w:ascii="Verdana" w:hAnsi="Verdana"/>
          <w:color w:val="000000"/>
          <w:u w:val="none"/>
        </w:rPr>
        <w:t> </w:t>
      </w:r>
      <w:r>
        <w:rPr>
          <w:rFonts w:ascii="Verdana" w:hAnsi="Verdana"/>
          <w:color w:val="000000"/>
          <w:u w:val="none"/>
        </w:rPr>
        <w:t>1985 (3) SA 702 (A);</w:t>
      </w:r>
      <w:r w:rsidRPr="00852017">
        <w:rPr>
          <w:rFonts w:ascii="Verdana" w:hAnsi="Verdana"/>
          <w:i/>
          <w:iCs/>
          <w:color w:val="000000"/>
          <w:u w:val="none"/>
        </w:rPr>
        <w:t xml:space="preserve"> S v </w:t>
      </w:r>
      <w:proofErr w:type="spellStart"/>
      <w:r w:rsidRPr="00852017">
        <w:rPr>
          <w:rFonts w:ascii="Verdana" w:hAnsi="Verdana"/>
          <w:i/>
          <w:iCs/>
          <w:color w:val="000000"/>
          <w:u w:val="none"/>
        </w:rPr>
        <w:t>Mvubu</w:t>
      </w:r>
      <w:proofErr w:type="spellEnd"/>
      <w:r w:rsidRPr="00852017">
        <w:rPr>
          <w:rFonts w:ascii="Verdana" w:hAnsi="Verdana"/>
          <w:color w:val="000000"/>
          <w:u w:val="none"/>
        </w:rPr>
        <w:t> [2016] ZASCA 184 (unreported, SCA case no 518/2016, 29 November 2016) at [9]; and </w:t>
      </w:r>
      <w:proofErr w:type="spellStart"/>
      <w:r w:rsidRPr="00852017">
        <w:rPr>
          <w:color w:val="000000"/>
          <w:u w:val="none"/>
          <w:lang w:eastAsia="en-ZA"/>
        </w:rPr>
        <w:t>Phaahla</w:t>
      </w:r>
      <w:proofErr w:type="spellEnd"/>
      <w:r w:rsidRPr="00852017">
        <w:rPr>
          <w:color w:val="000000"/>
          <w:u w:val="none"/>
          <w:lang w:eastAsia="en-ZA"/>
        </w:rPr>
        <w:t xml:space="preserve"> v Minister of Justi</w:t>
      </w:r>
      <w:r>
        <w:rPr>
          <w:color w:val="000000"/>
          <w:u w:val="none"/>
          <w:lang w:eastAsia="en-ZA"/>
        </w:rPr>
        <w:t>ce and Correctional Services &amp; A</w:t>
      </w:r>
      <w:r w:rsidRPr="00852017">
        <w:rPr>
          <w:color w:val="000000"/>
          <w:u w:val="none"/>
          <w:lang w:eastAsia="en-ZA"/>
        </w:rPr>
        <w:t>nother</w:t>
      </w:r>
      <w:r>
        <w:rPr>
          <w:color w:val="000000"/>
          <w:u w:val="none"/>
          <w:lang w:eastAsia="en-ZA"/>
        </w:rPr>
        <w:t>,</w:t>
      </w:r>
      <w:r w:rsidRPr="00852017">
        <w:rPr>
          <w:color w:val="000000"/>
          <w:u w:val="none"/>
          <w:lang w:eastAsia="en-ZA"/>
        </w:rPr>
        <w:t> </w:t>
      </w:r>
      <w:r>
        <w:rPr>
          <w:color w:val="000000"/>
          <w:u w:val="none"/>
          <w:lang w:eastAsia="en-ZA"/>
        </w:rPr>
        <w:t>supra at note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0121833"/>
    <w:multiLevelType w:val="multilevel"/>
    <w:tmpl w:val="B41E9304"/>
    <w:lvl w:ilvl="0">
      <w:start w:val="1"/>
      <w:numFmt w:val="decimal"/>
      <w:lvlText w:val="[%1]"/>
      <w:lvlJc w:val="left"/>
      <w:pPr>
        <w:tabs>
          <w:tab w:val="num" w:pos="690"/>
        </w:tabs>
        <w:ind w:left="690" w:hanging="690"/>
      </w:pPr>
      <w:rPr>
        <w:rFonts w:ascii="Arial" w:hAnsi="Arial" w:cs="Arial" w:hint="default"/>
        <w:b w:val="0"/>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3" w15:restartNumberingAfterBreak="0">
    <w:nsid w:val="5C7D7BE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16cid:durableId="965427644">
    <w:abstractNumId w:val="0"/>
  </w:num>
  <w:num w:numId="2" w16cid:durableId="2082677044">
    <w:abstractNumId w:val="4"/>
  </w:num>
  <w:num w:numId="3" w16cid:durableId="1964076954">
    <w:abstractNumId w:val="1"/>
  </w:num>
  <w:num w:numId="4" w16cid:durableId="923955683">
    <w:abstractNumId w:val="2"/>
  </w:num>
  <w:num w:numId="5" w16cid:durableId="1947079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CAB91B-A58E-45CF-B968-62401166C2A5}"/>
    <w:docVar w:name="dgnword-eventsink" w:val="2096886805840"/>
  </w:docVars>
  <w:rsids>
    <w:rsidRoot w:val="00972885"/>
    <w:rsid w:val="00003568"/>
    <w:rsid w:val="00004AFA"/>
    <w:rsid w:val="00005C13"/>
    <w:rsid w:val="00005DD3"/>
    <w:rsid w:val="00006473"/>
    <w:rsid w:val="00013280"/>
    <w:rsid w:val="000139E0"/>
    <w:rsid w:val="0001437B"/>
    <w:rsid w:val="00015A1D"/>
    <w:rsid w:val="00025103"/>
    <w:rsid w:val="00033A7A"/>
    <w:rsid w:val="00040252"/>
    <w:rsid w:val="00040BC6"/>
    <w:rsid w:val="0004104D"/>
    <w:rsid w:val="000438D4"/>
    <w:rsid w:val="00050245"/>
    <w:rsid w:val="00056EBC"/>
    <w:rsid w:val="0006028C"/>
    <w:rsid w:val="00060E0E"/>
    <w:rsid w:val="00062F1C"/>
    <w:rsid w:val="00064EA8"/>
    <w:rsid w:val="00065807"/>
    <w:rsid w:val="0007043B"/>
    <w:rsid w:val="00071C24"/>
    <w:rsid w:val="00075BC1"/>
    <w:rsid w:val="00081811"/>
    <w:rsid w:val="00084C83"/>
    <w:rsid w:val="000A5F66"/>
    <w:rsid w:val="000A7F1D"/>
    <w:rsid w:val="000B17FD"/>
    <w:rsid w:val="000B1B1B"/>
    <w:rsid w:val="000B37FD"/>
    <w:rsid w:val="000B4065"/>
    <w:rsid w:val="000D3E53"/>
    <w:rsid w:val="000D5C03"/>
    <w:rsid w:val="000F33AB"/>
    <w:rsid w:val="000F52AC"/>
    <w:rsid w:val="00105735"/>
    <w:rsid w:val="001065D3"/>
    <w:rsid w:val="001237FC"/>
    <w:rsid w:val="00125B0B"/>
    <w:rsid w:val="0013056D"/>
    <w:rsid w:val="00133C1C"/>
    <w:rsid w:val="0013726E"/>
    <w:rsid w:val="001402AD"/>
    <w:rsid w:val="00151AAE"/>
    <w:rsid w:val="00155B5B"/>
    <w:rsid w:val="001563C2"/>
    <w:rsid w:val="00166666"/>
    <w:rsid w:val="00173A14"/>
    <w:rsid w:val="00174C94"/>
    <w:rsid w:val="001752C4"/>
    <w:rsid w:val="001757FF"/>
    <w:rsid w:val="00177254"/>
    <w:rsid w:val="001773BC"/>
    <w:rsid w:val="001876E6"/>
    <w:rsid w:val="00187DA3"/>
    <w:rsid w:val="0019115F"/>
    <w:rsid w:val="00191E46"/>
    <w:rsid w:val="0019427C"/>
    <w:rsid w:val="00194AF9"/>
    <w:rsid w:val="001B3808"/>
    <w:rsid w:val="001C114E"/>
    <w:rsid w:val="001D31CD"/>
    <w:rsid w:val="001D5F31"/>
    <w:rsid w:val="001D7A2E"/>
    <w:rsid w:val="001E78FB"/>
    <w:rsid w:val="001F1729"/>
    <w:rsid w:val="001F50C9"/>
    <w:rsid w:val="00221778"/>
    <w:rsid w:val="00226AA9"/>
    <w:rsid w:val="0023541C"/>
    <w:rsid w:val="00250361"/>
    <w:rsid w:val="002615AF"/>
    <w:rsid w:val="002665E7"/>
    <w:rsid w:val="00271C0D"/>
    <w:rsid w:val="00271C9B"/>
    <w:rsid w:val="00275675"/>
    <w:rsid w:val="00280E3C"/>
    <w:rsid w:val="00284F26"/>
    <w:rsid w:val="00293657"/>
    <w:rsid w:val="002939FC"/>
    <w:rsid w:val="00297060"/>
    <w:rsid w:val="002973D9"/>
    <w:rsid w:val="00297869"/>
    <w:rsid w:val="002A1772"/>
    <w:rsid w:val="002A296C"/>
    <w:rsid w:val="002B1572"/>
    <w:rsid w:val="002B2470"/>
    <w:rsid w:val="002C0337"/>
    <w:rsid w:val="002C1382"/>
    <w:rsid w:val="002C3876"/>
    <w:rsid w:val="002C5B2E"/>
    <w:rsid w:val="002D32D0"/>
    <w:rsid w:val="002D41AA"/>
    <w:rsid w:val="002F15B7"/>
    <w:rsid w:val="002F1F31"/>
    <w:rsid w:val="002F325B"/>
    <w:rsid w:val="0030641E"/>
    <w:rsid w:val="0031746F"/>
    <w:rsid w:val="003249B7"/>
    <w:rsid w:val="00332284"/>
    <w:rsid w:val="003342E8"/>
    <w:rsid w:val="00336854"/>
    <w:rsid w:val="00337D04"/>
    <w:rsid w:val="00343D2E"/>
    <w:rsid w:val="00345B11"/>
    <w:rsid w:val="00352B4A"/>
    <w:rsid w:val="00363B86"/>
    <w:rsid w:val="003646D2"/>
    <w:rsid w:val="00371F11"/>
    <w:rsid w:val="00377918"/>
    <w:rsid w:val="003A47E3"/>
    <w:rsid w:val="003B5DD6"/>
    <w:rsid w:val="003C3A52"/>
    <w:rsid w:val="003D1B00"/>
    <w:rsid w:val="003E305A"/>
    <w:rsid w:val="003F262A"/>
    <w:rsid w:val="003F3209"/>
    <w:rsid w:val="003F4827"/>
    <w:rsid w:val="003F5571"/>
    <w:rsid w:val="004068BB"/>
    <w:rsid w:val="00412E9F"/>
    <w:rsid w:val="004132A9"/>
    <w:rsid w:val="00416461"/>
    <w:rsid w:val="0042116E"/>
    <w:rsid w:val="00423C19"/>
    <w:rsid w:val="004331ED"/>
    <w:rsid w:val="0044191E"/>
    <w:rsid w:val="00442682"/>
    <w:rsid w:val="004447AA"/>
    <w:rsid w:val="00452390"/>
    <w:rsid w:val="00453644"/>
    <w:rsid w:val="0045365F"/>
    <w:rsid w:val="004554E7"/>
    <w:rsid w:val="00457512"/>
    <w:rsid w:val="0046446A"/>
    <w:rsid w:val="00466B83"/>
    <w:rsid w:val="00475EB4"/>
    <w:rsid w:val="00482A5D"/>
    <w:rsid w:val="00484558"/>
    <w:rsid w:val="00485E21"/>
    <w:rsid w:val="00491579"/>
    <w:rsid w:val="004A0C86"/>
    <w:rsid w:val="004A7673"/>
    <w:rsid w:val="004B1C82"/>
    <w:rsid w:val="004B2FEC"/>
    <w:rsid w:val="004B477A"/>
    <w:rsid w:val="004B618A"/>
    <w:rsid w:val="004C2A9F"/>
    <w:rsid w:val="004C79D1"/>
    <w:rsid w:val="004D0633"/>
    <w:rsid w:val="004D29A1"/>
    <w:rsid w:val="004E24F2"/>
    <w:rsid w:val="004E76E3"/>
    <w:rsid w:val="004E7A0C"/>
    <w:rsid w:val="004F317A"/>
    <w:rsid w:val="00506074"/>
    <w:rsid w:val="0051045B"/>
    <w:rsid w:val="00513231"/>
    <w:rsid w:val="0052629A"/>
    <w:rsid w:val="00527823"/>
    <w:rsid w:val="005317BA"/>
    <w:rsid w:val="005355A8"/>
    <w:rsid w:val="005458AC"/>
    <w:rsid w:val="00551E22"/>
    <w:rsid w:val="00556A74"/>
    <w:rsid w:val="0055700B"/>
    <w:rsid w:val="005629E3"/>
    <w:rsid w:val="00564959"/>
    <w:rsid w:val="00583661"/>
    <w:rsid w:val="00587F50"/>
    <w:rsid w:val="005A0379"/>
    <w:rsid w:val="005A26C1"/>
    <w:rsid w:val="005A6E0E"/>
    <w:rsid w:val="005B5071"/>
    <w:rsid w:val="005B7E52"/>
    <w:rsid w:val="005C5F26"/>
    <w:rsid w:val="005D331D"/>
    <w:rsid w:val="005D64FC"/>
    <w:rsid w:val="005E417A"/>
    <w:rsid w:val="005F625B"/>
    <w:rsid w:val="00604F5F"/>
    <w:rsid w:val="00605CA1"/>
    <w:rsid w:val="006128B9"/>
    <w:rsid w:val="00612E07"/>
    <w:rsid w:val="00613563"/>
    <w:rsid w:val="00632135"/>
    <w:rsid w:val="00650EC4"/>
    <w:rsid w:val="00655931"/>
    <w:rsid w:val="006561BA"/>
    <w:rsid w:val="00660D40"/>
    <w:rsid w:val="00666851"/>
    <w:rsid w:val="006769BD"/>
    <w:rsid w:val="00680C88"/>
    <w:rsid w:val="00681FDE"/>
    <w:rsid w:val="00683F75"/>
    <w:rsid w:val="00685C78"/>
    <w:rsid w:val="00686DFE"/>
    <w:rsid w:val="006873E8"/>
    <w:rsid w:val="006A1906"/>
    <w:rsid w:val="006A315B"/>
    <w:rsid w:val="006B2C63"/>
    <w:rsid w:val="006D0272"/>
    <w:rsid w:val="006D4B46"/>
    <w:rsid w:val="006E3B2B"/>
    <w:rsid w:val="006F680B"/>
    <w:rsid w:val="0070213C"/>
    <w:rsid w:val="00703F88"/>
    <w:rsid w:val="00707E4D"/>
    <w:rsid w:val="007152D7"/>
    <w:rsid w:val="00723A8E"/>
    <w:rsid w:val="007326AF"/>
    <w:rsid w:val="007352CB"/>
    <w:rsid w:val="00736A18"/>
    <w:rsid w:val="00736FB9"/>
    <w:rsid w:val="007516D8"/>
    <w:rsid w:val="0075747C"/>
    <w:rsid w:val="00760637"/>
    <w:rsid w:val="00760952"/>
    <w:rsid w:val="0076143F"/>
    <w:rsid w:val="007629EA"/>
    <w:rsid w:val="007645B9"/>
    <w:rsid w:val="007874CA"/>
    <w:rsid w:val="00790222"/>
    <w:rsid w:val="0079472A"/>
    <w:rsid w:val="007A6F9E"/>
    <w:rsid w:val="007C0DD4"/>
    <w:rsid w:val="007C397F"/>
    <w:rsid w:val="007C49F2"/>
    <w:rsid w:val="007C5106"/>
    <w:rsid w:val="007C5B13"/>
    <w:rsid w:val="007C7128"/>
    <w:rsid w:val="007D3DB3"/>
    <w:rsid w:val="007D42FD"/>
    <w:rsid w:val="007E04C3"/>
    <w:rsid w:val="007E1887"/>
    <w:rsid w:val="007E37BB"/>
    <w:rsid w:val="007F2473"/>
    <w:rsid w:val="007F2CD8"/>
    <w:rsid w:val="00802CB7"/>
    <w:rsid w:val="00803E28"/>
    <w:rsid w:val="00815AD8"/>
    <w:rsid w:val="00815B40"/>
    <w:rsid w:val="0081776B"/>
    <w:rsid w:val="008245CC"/>
    <w:rsid w:val="00824A7A"/>
    <w:rsid w:val="00852017"/>
    <w:rsid w:val="0086071E"/>
    <w:rsid w:val="008672FF"/>
    <w:rsid w:val="00872C7D"/>
    <w:rsid w:val="008913D4"/>
    <w:rsid w:val="00895009"/>
    <w:rsid w:val="00896220"/>
    <w:rsid w:val="008A0517"/>
    <w:rsid w:val="008A0CA9"/>
    <w:rsid w:val="008A41B5"/>
    <w:rsid w:val="008A76BD"/>
    <w:rsid w:val="008B14B9"/>
    <w:rsid w:val="008B2A7A"/>
    <w:rsid w:val="008B2C05"/>
    <w:rsid w:val="008B72E4"/>
    <w:rsid w:val="008C1D3E"/>
    <w:rsid w:val="008C5BFD"/>
    <w:rsid w:val="008C658B"/>
    <w:rsid w:val="008D2B7C"/>
    <w:rsid w:val="008E2DCA"/>
    <w:rsid w:val="008E34C1"/>
    <w:rsid w:val="009126C3"/>
    <w:rsid w:val="0091327B"/>
    <w:rsid w:val="00914270"/>
    <w:rsid w:val="009233CE"/>
    <w:rsid w:val="00932DD0"/>
    <w:rsid w:val="009347D4"/>
    <w:rsid w:val="00935BA9"/>
    <w:rsid w:val="00940FB0"/>
    <w:rsid w:val="00950A40"/>
    <w:rsid w:val="00950FD7"/>
    <w:rsid w:val="009544D0"/>
    <w:rsid w:val="009576D4"/>
    <w:rsid w:val="009642E1"/>
    <w:rsid w:val="00967CBF"/>
    <w:rsid w:val="00972885"/>
    <w:rsid w:val="00973A4D"/>
    <w:rsid w:val="0098325E"/>
    <w:rsid w:val="009923A9"/>
    <w:rsid w:val="00995270"/>
    <w:rsid w:val="009A1942"/>
    <w:rsid w:val="009B2134"/>
    <w:rsid w:val="009C1436"/>
    <w:rsid w:val="009C2214"/>
    <w:rsid w:val="009C5B3E"/>
    <w:rsid w:val="009D05BB"/>
    <w:rsid w:val="009D5AF7"/>
    <w:rsid w:val="009D5B97"/>
    <w:rsid w:val="009E0D9B"/>
    <w:rsid w:val="009E2F8D"/>
    <w:rsid w:val="009F3828"/>
    <w:rsid w:val="00A03C71"/>
    <w:rsid w:val="00A049D1"/>
    <w:rsid w:val="00A05866"/>
    <w:rsid w:val="00A151BD"/>
    <w:rsid w:val="00A26DBD"/>
    <w:rsid w:val="00A308D2"/>
    <w:rsid w:val="00A310C0"/>
    <w:rsid w:val="00A36A32"/>
    <w:rsid w:val="00A415D8"/>
    <w:rsid w:val="00A47260"/>
    <w:rsid w:val="00A50B41"/>
    <w:rsid w:val="00A50EC3"/>
    <w:rsid w:val="00A57F04"/>
    <w:rsid w:val="00A62A83"/>
    <w:rsid w:val="00A75ADC"/>
    <w:rsid w:val="00AA1C30"/>
    <w:rsid w:val="00AB5C7A"/>
    <w:rsid w:val="00AC2DE7"/>
    <w:rsid w:val="00AC42F7"/>
    <w:rsid w:val="00AC7D57"/>
    <w:rsid w:val="00AD08C8"/>
    <w:rsid w:val="00AD147E"/>
    <w:rsid w:val="00AD2973"/>
    <w:rsid w:val="00AD41D2"/>
    <w:rsid w:val="00AD461C"/>
    <w:rsid w:val="00AD676B"/>
    <w:rsid w:val="00AE4F38"/>
    <w:rsid w:val="00AE7CAB"/>
    <w:rsid w:val="00AF0F47"/>
    <w:rsid w:val="00B001FA"/>
    <w:rsid w:val="00B11FF8"/>
    <w:rsid w:val="00B12CCF"/>
    <w:rsid w:val="00B133FF"/>
    <w:rsid w:val="00B1389D"/>
    <w:rsid w:val="00B15C24"/>
    <w:rsid w:val="00B26670"/>
    <w:rsid w:val="00B359E1"/>
    <w:rsid w:val="00B40DCC"/>
    <w:rsid w:val="00B40FC0"/>
    <w:rsid w:val="00B458A5"/>
    <w:rsid w:val="00B45D32"/>
    <w:rsid w:val="00B50DB2"/>
    <w:rsid w:val="00B56AE1"/>
    <w:rsid w:val="00B60F27"/>
    <w:rsid w:val="00B65A1F"/>
    <w:rsid w:val="00B70154"/>
    <w:rsid w:val="00B72702"/>
    <w:rsid w:val="00B75053"/>
    <w:rsid w:val="00B80634"/>
    <w:rsid w:val="00B92DE2"/>
    <w:rsid w:val="00B95C37"/>
    <w:rsid w:val="00B9789E"/>
    <w:rsid w:val="00BA4FB5"/>
    <w:rsid w:val="00BA7707"/>
    <w:rsid w:val="00BA7F30"/>
    <w:rsid w:val="00BC10F5"/>
    <w:rsid w:val="00BC21AF"/>
    <w:rsid w:val="00BC2380"/>
    <w:rsid w:val="00BD47DD"/>
    <w:rsid w:val="00BD680D"/>
    <w:rsid w:val="00BE1233"/>
    <w:rsid w:val="00BE12E7"/>
    <w:rsid w:val="00BE4164"/>
    <w:rsid w:val="00C01EA7"/>
    <w:rsid w:val="00C05303"/>
    <w:rsid w:val="00C10D19"/>
    <w:rsid w:val="00C15A26"/>
    <w:rsid w:val="00C21B81"/>
    <w:rsid w:val="00C3599D"/>
    <w:rsid w:val="00C47768"/>
    <w:rsid w:val="00C53F84"/>
    <w:rsid w:val="00C563F0"/>
    <w:rsid w:val="00C6384F"/>
    <w:rsid w:val="00C651C6"/>
    <w:rsid w:val="00C66D51"/>
    <w:rsid w:val="00C77298"/>
    <w:rsid w:val="00C828E5"/>
    <w:rsid w:val="00C83B48"/>
    <w:rsid w:val="00C869A2"/>
    <w:rsid w:val="00C877A3"/>
    <w:rsid w:val="00C911E4"/>
    <w:rsid w:val="00CA3C09"/>
    <w:rsid w:val="00CA74FD"/>
    <w:rsid w:val="00CB370B"/>
    <w:rsid w:val="00CB63B3"/>
    <w:rsid w:val="00CC3C09"/>
    <w:rsid w:val="00CC5EC2"/>
    <w:rsid w:val="00CC6599"/>
    <w:rsid w:val="00CD600D"/>
    <w:rsid w:val="00CE521F"/>
    <w:rsid w:val="00CF38BD"/>
    <w:rsid w:val="00D00D3B"/>
    <w:rsid w:val="00D144C3"/>
    <w:rsid w:val="00D157F4"/>
    <w:rsid w:val="00D215E1"/>
    <w:rsid w:val="00D21610"/>
    <w:rsid w:val="00D24081"/>
    <w:rsid w:val="00D255B4"/>
    <w:rsid w:val="00D42C9D"/>
    <w:rsid w:val="00D43D1F"/>
    <w:rsid w:val="00D44E35"/>
    <w:rsid w:val="00D47DF3"/>
    <w:rsid w:val="00D663B5"/>
    <w:rsid w:val="00D70B46"/>
    <w:rsid w:val="00D72FCC"/>
    <w:rsid w:val="00D76E49"/>
    <w:rsid w:val="00D80F52"/>
    <w:rsid w:val="00D9296C"/>
    <w:rsid w:val="00DA7B00"/>
    <w:rsid w:val="00DB413C"/>
    <w:rsid w:val="00DB5720"/>
    <w:rsid w:val="00DC1600"/>
    <w:rsid w:val="00DD3454"/>
    <w:rsid w:val="00DD5CAF"/>
    <w:rsid w:val="00DD7191"/>
    <w:rsid w:val="00DD7A2C"/>
    <w:rsid w:val="00DE5E75"/>
    <w:rsid w:val="00DE61DE"/>
    <w:rsid w:val="00DF0295"/>
    <w:rsid w:val="00DF0FDB"/>
    <w:rsid w:val="00E02F5D"/>
    <w:rsid w:val="00E058B8"/>
    <w:rsid w:val="00E07D93"/>
    <w:rsid w:val="00E13935"/>
    <w:rsid w:val="00E140A6"/>
    <w:rsid w:val="00E32790"/>
    <w:rsid w:val="00E3658A"/>
    <w:rsid w:val="00E372C1"/>
    <w:rsid w:val="00E46C4B"/>
    <w:rsid w:val="00E47285"/>
    <w:rsid w:val="00E474D3"/>
    <w:rsid w:val="00E537BA"/>
    <w:rsid w:val="00E6057F"/>
    <w:rsid w:val="00E61438"/>
    <w:rsid w:val="00E67600"/>
    <w:rsid w:val="00E7082C"/>
    <w:rsid w:val="00E71563"/>
    <w:rsid w:val="00E74369"/>
    <w:rsid w:val="00E81C16"/>
    <w:rsid w:val="00E900DD"/>
    <w:rsid w:val="00EA3BEB"/>
    <w:rsid w:val="00EA5E18"/>
    <w:rsid w:val="00EA6EBB"/>
    <w:rsid w:val="00EB3E31"/>
    <w:rsid w:val="00EC0B18"/>
    <w:rsid w:val="00EC5C65"/>
    <w:rsid w:val="00EC75A1"/>
    <w:rsid w:val="00ED21CB"/>
    <w:rsid w:val="00ED2F32"/>
    <w:rsid w:val="00EE3042"/>
    <w:rsid w:val="00EE543F"/>
    <w:rsid w:val="00EE6932"/>
    <w:rsid w:val="00EF4158"/>
    <w:rsid w:val="00F00262"/>
    <w:rsid w:val="00F127FB"/>
    <w:rsid w:val="00F13CE2"/>
    <w:rsid w:val="00F151F5"/>
    <w:rsid w:val="00F16159"/>
    <w:rsid w:val="00F2234A"/>
    <w:rsid w:val="00F30224"/>
    <w:rsid w:val="00F36E31"/>
    <w:rsid w:val="00F45739"/>
    <w:rsid w:val="00F457AD"/>
    <w:rsid w:val="00F463FA"/>
    <w:rsid w:val="00F475E3"/>
    <w:rsid w:val="00F57EDB"/>
    <w:rsid w:val="00F615E7"/>
    <w:rsid w:val="00F619BE"/>
    <w:rsid w:val="00F63AFD"/>
    <w:rsid w:val="00F65FA3"/>
    <w:rsid w:val="00F72368"/>
    <w:rsid w:val="00F80227"/>
    <w:rsid w:val="00F8197D"/>
    <w:rsid w:val="00F85A06"/>
    <w:rsid w:val="00F906A9"/>
    <w:rsid w:val="00F91BA5"/>
    <w:rsid w:val="00F92B55"/>
    <w:rsid w:val="00F9357B"/>
    <w:rsid w:val="00F976AA"/>
    <w:rsid w:val="00FA5FF3"/>
    <w:rsid w:val="00FA66DC"/>
    <w:rsid w:val="00FA6C2D"/>
    <w:rsid w:val="00FA790D"/>
    <w:rsid w:val="00FB5D55"/>
    <w:rsid w:val="00FB5EAC"/>
    <w:rsid w:val="00FC0A00"/>
    <w:rsid w:val="00FC4D4A"/>
    <w:rsid w:val="00FC6C86"/>
    <w:rsid w:val="00FD43B4"/>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4B6"/>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uiPriority w:val="99"/>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 w:type="paragraph" w:styleId="NoSpacing">
    <w:name w:val="No Spacing"/>
    <w:uiPriority w:val="1"/>
    <w:qFormat/>
    <w:rsid w:val="006A1906"/>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unhideWhenUsed/>
    <w:rsid w:val="00E32790"/>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7421">
      <w:bodyDiv w:val="1"/>
      <w:marLeft w:val="0"/>
      <w:marRight w:val="0"/>
      <w:marTop w:val="0"/>
      <w:marBottom w:val="0"/>
      <w:divBdr>
        <w:top w:val="none" w:sz="0" w:space="0" w:color="auto"/>
        <w:left w:val="none" w:sz="0" w:space="0" w:color="auto"/>
        <w:bottom w:val="none" w:sz="0" w:space="0" w:color="auto"/>
        <w:right w:val="none" w:sz="0" w:space="0" w:color="auto"/>
      </w:divBdr>
    </w:div>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9v2SACRpg198%27%5d&amp;xhitlist_md=target-id=0-0-0-25523"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9v2SACRpg88%27%5d&amp;xhitlist_md=target-id=0-0-0-2485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2v1SACRpg537%27%5d&amp;xhitlist_md=target-id=0-0-0-24759"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6v2SACRpg691%27%5d&amp;xhitlist_md=target-id=0-0-0-24757"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2v1SACRpg537%27%5d&amp;xhitlist_md=target-id=0-0-0-24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DD0E-6B1A-4AB5-8FD9-101A438A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Mariana Anguelov</cp:lastModifiedBy>
  <cp:revision>3</cp:revision>
  <cp:lastPrinted>2022-10-18T11:08:00Z</cp:lastPrinted>
  <dcterms:created xsi:type="dcterms:W3CDTF">2022-12-14T12:06:00Z</dcterms:created>
  <dcterms:modified xsi:type="dcterms:W3CDTF">2022-12-17T19:50:00Z</dcterms:modified>
</cp:coreProperties>
</file>