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ED571" w14:textId="77777777" w:rsidR="001E2697" w:rsidRDefault="001E2697" w:rsidP="001E2697">
      <w:pPr>
        <w:spacing w:line="360" w:lineRule="auto"/>
        <w:ind w:leftChars="-38" w:left="-91"/>
        <w:jc w:val="center"/>
        <w:rPr>
          <w:rFonts w:cs="Arial"/>
          <w:b/>
        </w:rPr>
      </w:pPr>
    </w:p>
    <w:p w14:paraId="18EF350F" w14:textId="77777777" w:rsidR="001E2697" w:rsidRPr="008A3859" w:rsidRDefault="001E2697" w:rsidP="001E2697">
      <w:pPr>
        <w:spacing w:line="360" w:lineRule="auto"/>
        <w:ind w:leftChars="-38" w:left="-91"/>
        <w:jc w:val="center"/>
        <w:rPr>
          <w:rFonts w:cs="Arial"/>
          <w:b/>
        </w:rPr>
      </w:pPr>
      <w:r w:rsidRPr="008A3859">
        <w:rPr>
          <w:rFonts w:cs="Arial"/>
          <w:b/>
        </w:rPr>
        <w:t>REPUBLIC OF SOUTH AFRICA</w:t>
      </w:r>
    </w:p>
    <w:p w14:paraId="2BD32E3B" w14:textId="77777777" w:rsidR="001E2697" w:rsidRPr="008A3859" w:rsidRDefault="001E2697" w:rsidP="001E2697">
      <w:pPr>
        <w:spacing w:line="360" w:lineRule="auto"/>
        <w:ind w:leftChars="-38" w:left="-91"/>
        <w:jc w:val="center"/>
        <w:rPr>
          <w:rFonts w:cs="Arial"/>
          <w:b/>
        </w:rPr>
      </w:pPr>
      <w:r>
        <w:rPr>
          <w:rFonts w:cs="Arial"/>
          <w:b/>
          <w:noProof/>
          <w:lang w:eastAsia="en-ZA"/>
        </w:rPr>
        <w:drawing>
          <wp:inline distT="0" distB="0" distL="0" distR="0" wp14:anchorId="50CA7734" wp14:editId="024BE80D">
            <wp:extent cx="14001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14:paraId="5FA16699" w14:textId="77777777" w:rsidR="001E2697" w:rsidRPr="008A3859" w:rsidRDefault="001E2697" w:rsidP="001E2697">
      <w:pPr>
        <w:spacing w:line="360" w:lineRule="auto"/>
        <w:ind w:leftChars="-38" w:left="-91"/>
        <w:jc w:val="center"/>
        <w:rPr>
          <w:rFonts w:cs="Arial"/>
          <w:b/>
        </w:rPr>
      </w:pPr>
      <w:r w:rsidRPr="008A3859">
        <w:rPr>
          <w:rFonts w:cs="Arial"/>
          <w:b/>
        </w:rPr>
        <w:t>IN THE HIGH COURT OF SOUTH AFRICA</w:t>
      </w:r>
    </w:p>
    <w:p w14:paraId="4DE9DB44" w14:textId="0619354B" w:rsidR="001E2697" w:rsidRPr="008A3859" w:rsidRDefault="001E2697" w:rsidP="001E2697">
      <w:pPr>
        <w:spacing w:line="360" w:lineRule="auto"/>
        <w:ind w:leftChars="-38" w:left="-91"/>
        <w:jc w:val="center"/>
        <w:rPr>
          <w:rFonts w:cs="Arial"/>
          <w:b/>
        </w:rPr>
      </w:pPr>
      <w:r w:rsidRPr="008A3859">
        <w:rPr>
          <w:rFonts w:cs="Arial"/>
          <w:b/>
        </w:rPr>
        <w:t>GAUTENG DIVISION, JOHANNESBURG</w:t>
      </w:r>
    </w:p>
    <w:p w14:paraId="1F8D97D2" w14:textId="77777777" w:rsidR="001E2697" w:rsidRDefault="001E2697" w:rsidP="001E2697">
      <w:pPr>
        <w:widowControl w:val="0"/>
        <w:jc w:val="center"/>
        <w:rPr>
          <w:rFonts w:cs="Arial"/>
        </w:rPr>
      </w:pPr>
    </w:p>
    <w:p w14:paraId="16061E25" w14:textId="77777777" w:rsidR="001E2697" w:rsidRPr="00F04BA1" w:rsidRDefault="001E2697" w:rsidP="001E2697">
      <w:pPr>
        <w:widowControl w:val="0"/>
        <w:jc w:val="center"/>
        <w:rPr>
          <w:rFonts w:cs="Arial"/>
        </w:rPr>
      </w:pPr>
    </w:p>
    <w:p w14:paraId="03BF3688" w14:textId="365DB9C9" w:rsidR="001E2697" w:rsidRDefault="001E2697" w:rsidP="001E2697">
      <w:pPr>
        <w:tabs>
          <w:tab w:val="left" w:pos="-720"/>
        </w:tabs>
        <w:suppressAutoHyphens/>
        <w:jc w:val="right"/>
        <w:rPr>
          <w:rFonts w:cs="Arial"/>
          <w:b/>
          <w:bCs/>
          <w:spacing w:val="-3"/>
        </w:rPr>
      </w:pPr>
      <w:r>
        <w:rPr>
          <w:rFonts w:cs="Arial"/>
          <w:b/>
          <w:bCs/>
          <w:spacing w:val="-3"/>
        </w:rPr>
        <w:t>CASE NUMBER:</w:t>
      </w:r>
      <w:r w:rsidRPr="00C4182B">
        <w:t xml:space="preserve"> </w:t>
      </w:r>
      <w:r w:rsidR="007150A4">
        <w:rPr>
          <w:rFonts w:cs="Arial"/>
          <w:b/>
        </w:rPr>
        <w:t>2021</w:t>
      </w:r>
      <w:r w:rsidR="00F2368B">
        <w:rPr>
          <w:rFonts w:cs="Arial"/>
          <w:b/>
        </w:rPr>
        <w:t>/3710</w:t>
      </w:r>
    </w:p>
    <w:p w14:paraId="599B9EA6" w14:textId="77777777" w:rsidR="001E2697" w:rsidRPr="001750A3" w:rsidRDefault="001E2697" w:rsidP="001E2697">
      <w:pPr>
        <w:tabs>
          <w:tab w:val="left" w:pos="-720"/>
        </w:tabs>
        <w:suppressAutoHyphens/>
        <w:jc w:val="right"/>
        <w:rPr>
          <w:rFonts w:cs="Arial"/>
          <w:b/>
          <w:bCs/>
          <w:spacing w:val="-3"/>
        </w:rPr>
      </w:pPr>
    </w:p>
    <w:tbl>
      <w:tblPr>
        <w:tblW w:w="5812" w:type="dxa"/>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1E2697" w:rsidRPr="00F04BA1" w14:paraId="3ABF34AB" w14:textId="77777777" w:rsidTr="00537629">
        <w:trPr>
          <w:trHeight w:val="2528"/>
        </w:trPr>
        <w:tc>
          <w:tcPr>
            <w:tcW w:w="5812" w:type="dxa"/>
            <w:tcBorders>
              <w:top w:val="single" w:sz="4" w:space="0" w:color="auto"/>
              <w:left w:val="single" w:sz="4" w:space="0" w:color="auto"/>
              <w:bottom w:val="single" w:sz="4" w:space="0" w:color="auto"/>
              <w:right w:val="single" w:sz="4" w:space="0" w:color="auto"/>
            </w:tcBorders>
          </w:tcPr>
          <w:p w14:paraId="42223CB1" w14:textId="77777777" w:rsidR="001E2697" w:rsidRPr="00F04BA1" w:rsidRDefault="001E2697" w:rsidP="00537629">
            <w:pPr>
              <w:jc w:val="both"/>
              <w:rPr>
                <w:rFonts w:cs="Arial"/>
                <w:sz w:val="16"/>
                <w:szCs w:val="16"/>
              </w:rPr>
            </w:pPr>
          </w:p>
          <w:p w14:paraId="367F2BD7" w14:textId="77777777" w:rsidR="001E2697" w:rsidRPr="008B170D" w:rsidRDefault="001E2697" w:rsidP="00537629">
            <w:pPr>
              <w:ind w:left="180"/>
              <w:jc w:val="center"/>
              <w:rPr>
                <w:rFonts w:cs="Arial"/>
                <w:b/>
                <w:bCs/>
                <w:color w:val="FF0000"/>
                <w:sz w:val="18"/>
                <w:szCs w:val="18"/>
                <w:u w:val="single"/>
              </w:rPr>
            </w:pPr>
            <w:r w:rsidRPr="008B170D">
              <w:rPr>
                <w:rFonts w:cs="Arial"/>
                <w:b/>
                <w:bCs/>
                <w:color w:val="FF0000"/>
                <w:sz w:val="18"/>
                <w:szCs w:val="18"/>
                <w:u w:val="single"/>
              </w:rPr>
              <w:t>DELETE WHICHEVER IS NOT APPLICABLE</w:t>
            </w:r>
          </w:p>
          <w:p w14:paraId="47C1B344" w14:textId="77777777" w:rsidR="001E2697" w:rsidRPr="008B170D" w:rsidRDefault="001E2697" w:rsidP="00537629">
            <w:pPr>
              <w:ind w:left="180"/>
              <w:jc w:val="center"/>
              <w:rPr>
                <w:rFonts w:cs="Arial"/>
                <w:b/>
                <w:bCs/>
                <w:color w:val="FF0000"/>
                <w:sz w:val="18"/>
                <w:szCs w:val="18"/>
                <w:u w:val="single"/>
              </w:rPr>
            </w:pPr>
          </w:p>
          <w:p w14:paraId="6D072193" w14:textId="4041406D" w:rsidR="001E2697" w:rsidRPr="008B170D" w:rsidRDefault="001E2697" w:rsidP="00537629">
            <w:pPr>
              <w:spacing w:line="480" w:lineRule="auto"/>
              <w:ind w:left="180"/>
              <w:jc w:val="both"/>
              <w:rPr>
                <w:rFonts w:cs="Arial"/>
                <w:bCs/>
                <w:color w:val="FF0000"/>
                <w:sz w:val="18"/>
                <w:szCs w:val="18"/>
              </w:rPr>
            </w:pPr>
            <w:r w:rsidRPr="008B170D">
              <w:rPr>
                <w:rFonts w:cs="Arial"/>
                <w:bCs/>
                <w:color w:val="FF0000"/>
                <w:sz w:val="18"/>
                <w:szCs w:val="18"/>
              </w:rPr>
              <w:t>1.REPORTABLE:</w:t>
            </w:r>
            <w:r w:rsidR="001E55D6">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r w:rsidRPr="008B170D">
              <w:rPr>
                <w:rFonts w:cs="Arial"/>
                <w:bCs/>
                <w:color w:val="FF0000"/>
                <w:sz w:val="18"/>
                <w:szCs w:val="18"/>
              </w:rPr>
              <w:t xml:space="preserve"> </w:t>
            </w:r>
          </w:p>
          <w:p w14:paraId="459FF77E" w14:textId="2F9E8C49" w:rsidR="001E2697" w:rsidRPr="008B170D" w:rsidRDefault="001E2697" w:rsidP="00537629">
            <w:pPr>
              <w:spacing w:line="480" w:lineRule="auto"/>
              <w:ind w:left="180"/>
              <w:jc w:val="both"/>
              <w:rPr>
                <w:rFonts w:cs="Arial"/>
                <w:bCs/>
                <w:color w:val="FF0000"/>
                <w:sz w:val="18"/>
                <w:szCs w:val="18"/>
              </w:rPr>
            </w:pPr>
            <w:r w:rsidRPr="008B170D">
              <w:rPr>
                <w:rFonts w:cs="Arial"/>
                <w:bCs/>
                <w:color w:val="FF0000"/>
                <w:sz w:val="18"/>
                <w:szCs w:val="18"/>
              </w:rPr>
              <w:t>2.OF INTEREST TO OTHER JUDGES:</w:t>
            </w:r>
            <w:r w:rsidR="001E55D6">
              <w:rPr>
                <w:rFonts w:cs="Arial"/>
                <w:bCs/>
                <w:color w:val="FF0000"/>
                <w:sz w:val="18"/>
                <w:szCs w:val="18"/>
              </w:rPr>
              <w:t xml:space="preserve">  NO</w:t>
            </w:r>
            <w:r w:rsidRPr="008B170D">
              <w:rPr>
                <w:rFonts w:cs="Arial"/>
                <w:bCs/>
                <w:color w:val="FF0000"/>
                <w:sz w:val="18"/>
                <w:szCs w:val="18"/>
              </w:rPr>
              <w:t xml:space="preserve">                           </w:t>
            </w:r>
            <w:r>
              <w:rPr>
                <w:rFonts w:cs="Arial"/>
                <w:bCs/>
                <w:color w:val="FF0000"/>
                <w:sz w:val="18"/>
                <w:szCs w:val="18"/>
              </w:rPr>
              <w:t xml:space="preserve"> </w:t>
            </w:r>
          </w:p>
          <w:p w14:paraId="24E6769D" w14:textId="0E2DAB36" w:rsidR="001E2697" w:rsidRPr="008B170D" w:rsidRDefault="001E2697" w:rsidP="00537629">
            <w:pPr>
              <w:spacing w:line="480" w:lineRule="auto"/>
              <w:ind w:left="180"/>
              <w:jc w:val="both"/>
              <w:rPr>
                <w:rFonts w:cs="Arial"/>
                <w:bCs/>
                <w:color w:val="FF0000"/>
                <w:sz w:val="18"/>
                <w:szCs w:val="18"/>
              </w:rPr>
            </w:pPr>
            <w:r w:rsidRPr="008B170D">
              <w:rPr>
                <w:rFonts w:cs="Arial"/>
                <w:bCs/>
                <w:color w:val="FF0000"/>
                <w:sz w:val="18"/>
                <w:szCs w:val="18"/>
              </w:rPr>
              <w:t>3.REVISED</w:t>
            </w:r>
            <w:r w:rsidR="001E55D6">
              <w:rPr>
                <w:rFonts w:cs="Arial"/>
                <w:bCs/>
                <w:color w:val="FF0000"/>
                <w:sz w:val="18"/>
                <w:szCs w:val="18"/>
              </w:rPr>
              <w:t>:  NO</w:t>
            </w:r>
            <w:r>
              <w:rPr>
                <w:rFonts w:cs="Arial"/>
                <w:bCs/>
                <w:color w:val="FF0000"/>
                <w:sz w:val="18"/>
                <w:szCs w:val="18"/>
              </w:rPr>
              <w:t xml:space="preserve">                                                                   </w:t>
            </w:r>
          </w:p>
          <w:p w14:paraId="386136B5" w14:textId="77777777" w:rsidR="001E2697" w:rsidRPr="008B170D" w:rsidRDefault="001E2697" w:rsidP="00537629">
            <w:pPr>
              <w:spacing w:line="360" w:lineRule="auto"/>
              <w:ind w:left="180"/>
              <w:jc w:val="both"/>
              <w:rPr>
                <w:rFonts w:cs="Arial"/>
                <w:bCs/>
                <w:color w:val="FF0000"/>
                <w:sz w:val="18"/>
                <w:szCs w:val="18"/>
              </w:rPr>
            </w:pPr>
          </w:p>
          <w:p w14:paraId="047C9726" w14:textId="77777777" w:rsidR="001E2697" w:rsidRPr="00F04BA1" w:rsidRDefault="001E2697" w:rsidP="00537629">
            <w:pPr>
              <w:spacing w:line="360" w:lineRule="auto"/>
              <w:ind w:left="180"/>
              <w:jc w:val="both"/>
              <w:rPr>
                <w:rFonts w:cs="Arial"/>
                <w:sz w:val="16"/>
                <w:szCs w:val="16"/>
              </w:rPr>
            </w:pPr>
            <w:r w:rsidRPr="008B170D">
              <w:rPr>
                <w:rFonts w:cs="Arial"/>
                <w:b/>
                <w:bCs/>
                <w:color w:val="FF0000"/>
                <w:sz w:val="18"/>
                <w:szCs w:val="18"/>
              </w:rPr>
              <w:t xml:space="preserve">                     </w:t>
            </w:r>
            <w:r>
              <w:rPr>
                <w:rFonts w:cs="Arial"/>
                <w:b/>
                <w:bCs/>
                <w:color w:val="FF0000"/>
                <w:sz w:val="18"/>
                <w:szCs w:val="18"/>
              </w:rPr>
              <w:t xml:space="preserve">                                              Judge Dippenaar</w:t>
            </w:r>
          </w:p>
        </w:tc>
      </w:tr>
    </w:tbl>
    <w:p w14:paraId="54544FDF" w14:textId="77777777" w:rsidR="001E2697" w:rsidRDefault="001E2697" w:rsidP="001E2697">
      <w:pPr>
        <w:tabs>
          <w:tab w:val="left" w:pos="-720"/>
        </w:tabs>
        <w:suppressAutoHyphens/>
        <w:rPr>
          <w:rFonts w:cs="Arial"/>
          <w:bCs/>
          <w:spacing w:val="-3"/>
        </w:rPr>
      </w:pPr>
    </w:p>
    <w:p w14:paraId="42452D94" w14:textId="65F8B341" w:rsidR="001E2697" w:rsidRDefault="001E2697" w:rsidP="001E2697">
      <w:pPr>
        <w:tabs>
          <w:tab w:val="left" w:pos="-720"/>
        </w:tabs>
        <w:suppressAutoHyphens/>
        <w:rPr>
          <w:rFonts w:cs="Arial"/>
          <w:bCs/>
          <w:spacing w:val="-3"/>
        </w:rPr>
      </w:pPr>
    </w:p>
    <w:p w14:paraId="72F25B48" w14:textId="7D7F40A5" w:rsidR="001E2697" w:rsidRDefault="001E2697" w:rsidP="001E2697">
      <w:pPr>
        <w:tabs>
          <w:tab w:val="left" w:pos="-720"/>
        </w:tabs>
        <w:suppressAutoHyphens/>
        <w:rPr>
          <w:rFonts w:cs="Arial"/>
          <w:bCs/>
          <w:spacing w:val="-3"/>
        </w:rPr>
      </w:pPr>
      <w:r w:rsidRPr="00F04BA1">
        <w:rPr>
          <w:rFonts w:cs="Arial"/>
          <w:bCs/>
          <w:spacing w:val="-3"/>
        </w:rPr>
        <w:t>In the matter between:</w:t>
      </w:r>
    </w:p>
    <w:p w14:paraId="0C92776A" w14:textId="77777777" w:rsidR="001E2697" w:rsidRPr="000F64D9" w:rsidRDefault="001E2697" w:rsidP="001E2697">
      <w:pPr>
        <w:widowControl w:val="0"/>
        <w:tabs>
          <w:tab w:val="right" w:pos="9356"/>
        </w:tabs>
        <w:jc w:val="both"/>
        <w:rPr>
          <w:b/>
        </w:rPr>
      </w:pPr>
    </w:p>
    <w:p w14:paraId="69FBD819" w14:textId="05E9EFA2" w:rsidR="001E2697" w:rsidRDefault="00F2368B" w:rsidP="001E2697">
      <w:pPr>
        <w:widowControl w:val="0"/>
        <w:tabs>
          <w:tab w:val="right" w:pos="9356"/>
        </w:tabs>
        <w:jc w:val="both"/>
        <w:rPr>
          <w:b/>
        </w:rPr>
      </w:pPr>
      <w:bookmarkStart w:id="0" w:name="_Hlk67557019"/>
      <w:r>
        <w:rPr>
          <w:b/>
        </w:rPr>
        <w:t>NKOSI CHRIS MAKHATHOLELA</w:t>
      </w:r>
      <w:r w:rsidR="00EA203F">
        <w:rPr>
          <w:b/>
        </w:rPr>
        <w:tab/>
        <w:t xml:space="preserve"> </w:t>
      </w:r>
      <w:r w:rsidR="002223BD">
        <w:rPr>
          <w:b/>
        </w:rPr>
        <w:t>APPLICANT</w:t>
      </w:r>
    </w:p>
    <w:p w14:paraId="7A9ABB44" w14:textId="77777777" w:rsidR="00F2368B" w:rsidRDefault="00F2368B" w:rsidP="001E2697">
      <w:pPr>
        <w:widowControl w:val="0"/>
        <w:tabs>
          <w:tab w:val="right" w:pos="9356"/>
        </w:tabs>
        <w:jc w:val="both"/>
        <w:rPr>
          <w:b/>
        </w:rPr>
      </w:pPr>
    </w:p>
    <w:p w14:paraId="39FAFA59" w14:textId="1F4F4F3C" w:rsidR="001E2697" w:rsidRPr="000F64D9" w:rsidRDefault="005A0267" w:rsidP="001E2697">
      <w:pPr>
        <w:widowControl w:val="0"/>
        <w:tabs>
          <w:tab w:val="right" w:pos="9356"/>
        </w:tabs>
        <w:jc w:val="both"/>
        <w:rPr>
          <w:b/>
        </w:rPr>
      </w:pPr>
      <w:r>
        <w:rPr>
          <w:b/>
        </w:rPr>
        <w:tab/>
      </w:r>
    </w:p>
    <w:p w14:paraId="6C62F3C8" w14:textId="3E12D95D" w:rsidR="001E2697" w:rsidRDefault="001E2697" w:rsidP="001E2697">
      <w:pPr>
        <w:widowControl w:val="0"/>
        <w:tabs>
          <w:tab w:val="right" w:pos="9356"/>
        </w:tabs>
        <w:jc w:val="both"/>
        <w:rPr>
          <w:b/>
        </w:rPr>
      </w:pPr>
      <w:r w:rsidRPr="000F64D9">
        <w:rPr>
          <w:b/>
        </w:rPr>
        <w:t>AND</w:t>
      </w:r>
    </w:p>
    <w:p w14:paraId="7429885E" w14:textId="77777777" w:rsidR="0060032A" w:rsidRPr="000F64D9" w:rsidRDefault="0060032A" w:rsidP="001E2697">
      <w:pPr>
        <w:widowControl w:val="0"/>
        <w:tabs>
          <w:tab w:val="right" w:pos="9356"/>
        </w:tabs>
        <w:jc w:val="both"/>
        <w:rPr>
          <w:b/>
        </w:rPr>
      </w:pPr>
    </w:p>
    <w:p w14:paraId="2B2F3C7D" w14:textId="77777777" w:rsidR="001E2697" w:rsidRDefault="001E2697" w:rsidP="001E2697">
      <w:pPr>
        <w:widowControl w:val="0"/>
        <w:tabs>
          <w:tab w:val="right" w:pos="9356"/>
        </w:tabs>
        <w:jc w:val="both"/>
        <w:rPr>
          <w:b/>
        </w:rPr>
      </w:pPr>
    </w:p>
    <w:p w14:paraId="5274158E" w14:textId="77E4E8A6" w:rsidR="001E2697" w:rsidRDefault="00F2368B" w:rsidP="001E2697">
      <w:pPr>
        <w:widowControl w:val="0"/>
        <w:tabs>
          <w:tab w:val="right" w:pos="9356"/>
        </w:tabs>
        <w:jc w:val="both"/>
        <w:rPr>
          <w:b/>
        </w:rPr>
      </w:pPr>
      <w:r>
        <w:rPr>
          <w:b/>
        </w:rPr>
        <w:t xml:space="preserve">MINISTER OF POLICE </w:t>
      </w:r>
      <w:r w:rsidR="002223BD">
        <w:rPr>
          <w:b/>
        </w:rPr>
        <w:tab/>
      </w:r>
      <w:r>
        <w:rPr>
          <w:b/>
        </w:rPr>
        <w:t xml:space="preserve">FIRST </w:t>
      </w:r>
      <w:r w:rsidR="002223BD">
        <w:rPr>
          <w:b/>
        </w:rPr>
        <w:t>RESPONDENT</w:t>
      </w:r>
    </w:p>
    <w:p w14:paraId="23BE1554" w14:textId="44E0DCAD" w:rsidR="00F2368B" w:rsidRDefault="00F2368B" w:rsidP="001E2697">
      <w:pPr>
        <w:widowControl w:val="0"/>
        <w:tabs>
          <w:tab w:val="right" w:pos="9356"/>
        </w:tabs>
        <w:jc w:val="both"/>
        <w:rPr>
          <w:b/>
        </w:rPr>
      </w:pPr>
    </w:p>
    <w:p w14:paraId="017EB84F" w14:textId="0BAC93AC" w:rsidR="00F2368B" w:rsidRDefault="00F2368B" w:rsidP="001E2697">
      <w:pPr>
        <w:widowControl w:val="0"/>
        <w:tabs>
          <w:tab w:val="right" w:pos="9356"/>
        </w:tabs>
        <w:jc w:val="both"/>
        <w:rPr>
          <w:b/>
        </w:rPr>
      </w:pPr>
      <w:r>
        <w:rPr>
          <w:b/>
        </w:rPr>
        <w:t>NATIONAL DIRECTOR OF PUBLIC PROSECUTIONS</w:t>
      </w:r>
      <w:r>
        <w:rPr>
          <w:b/>
        </w:rPr>
        <w:tab/>
        <w:t>SECOND RESPONDENT</w:t>
      </w:r>
    </w:p>
    <w:p w14:paraId="20BFE2B1" w14:textId="73AE4C53" w:rsidR="000425DD" w:rsidRDefault="000425DD" w:rsidP="001E2697">
      <w:pPr>
        <w:widowControl w:val="0"/>
        <w:tabs>
          <w:tab w:val="right" w:pos="9356"/>
        </w:tabs>
        <w:jc w:val="both"/>
        <w:rPr>
          <w:b/>
        </w:rPr>
      </w:pPr>
    </w:p>
    <w:bookmarkEnd w:id="0"/>
    <w:p w14:paraId="4A6BBA1C" w14:textId="77777777" w:rsidR="001E2697" w:rsidRDefault="001E2697" w:rsidP="001E2697">
      <w:pPr>
        <w:widowControl w:val="0"/>
        <w:tabs>
          <w:tab w:val="right" w:pos="9356"/>
        </w:tabs>
        <w:jc w:val="both"/>
        <w:rPr>
          <w:b/>
        </w:rPr>
      </w:pPr>
    </w:p>
    <w:p w14:paraId="21CF8FA0" w14:textId="77777777" w:rsidR="001E2697" w:rsidRPr="00C4182B" w:rsidRDefault="001E2697" w:rsidP="001E2697">
      <w:pPr>
        <w:widowControl w:val="0"/>
        <w:tabs>
          <w:tab w:val="right" w:pos="9356"/>
        </w:tabs>
        <w:jc w:val="both"/>
        <w:rPr>
          <w:b/>
        </w:rPr>
      </w:pPr>
      <w:r w:rsidRPr="000F64D9">
        <w:rPr>
          <w:b/>
        </w:rPr>
        <w:tab/>
      </w:r>
      <w:r w:rsidRPr="000F64D9">
        <w:rPr>
          <w:b/>
        </w:rPr>
        <w:tab/>
        <w:t xml:space="preserve">   </w:t>
      </w:r>
    </w:p>
    <w:p w14:paraId="32C5C398" w14:textId="0E03DFC4" w:rsidR="001E2697" w:rsidRPr="000F64D9" w:rsidRDefault="0039420D" w:rsidP="001E2697">
      <w:pPr>
        <w:pStyle w:val="Tramlines"/>
        <w:rPr>
          <w:rFonts w:cs="Arial"/>
          <w:lang w:val="en-US"/>
        </w:rPr>
      </w:pPr>
      <w:r>
        <w:rPr>
          <w:rFonts w:cs="Arial"/>
          <w:lang w:val="en-US"/>
        </w:rPr>
        <w:t xml:space="preserve"> </w:t>
      </w:r>
      <w:r w:rsidR="001E2697">
        <w:rPr>
          <w:rFonts w:cs="Arial"/>
          <w:lang w:val="en-US"/>
        </w:rPr>
        <w:t>JUDG</w:t>
      </w:r>
      <w:r w:rsidR="001E2697" w:rsidRPr="00005B36">
        <w:rPr>
          <w:rFonts w:cs="Arial"/>
          <w:lang w:val="en-US"/>
        </w:rPr>
        <w:t>MENT</w:t>
      </w:r>
    </w:p>
    <w:p w14:paraId="67ED6938" w14:textId="77777777" w:rsidR="001E2697" w:rsidRDefault="001E2697" w:rsidP="001E2697">
      <w:pPr>
        <w:tabs>
          <w:tab w:val="left" w:pos="-720"/>
        </w:tabs>
        <w:suppressAutoHyphens/>
        <w:spacing w:line="360" w:lineRule="auto"/>
        <w:jc w:val="both"/>
        <w:rPr>
          <w:rFonts w:cs="Arial"/>
          <w:b/>
          <w:bCs/>
          <w:spacing w:val="-3"/>
        </w:rPr>
      </w:pPr>
    </w:p>
    <w:p w14:paraId="19EA82BB" w14:textId="206662AB" w:rsidR="001E2697" w:rsidRPr="003E152F" w:rsidRDefault="001E2697" w:rsidP="001E2697">
      <w:pPr>
        <w:ind w:left="1440" w:hanging="1440"/>
        <w:jc w:val="both"/>
        <w:rPr>
          <w:rFonts w:cs="Arial"/>
          <w:kern w:val="0"/>
          <w:lang w:eastAsia="en-US"/>
        </w:rPr>
      </w:pPr>
      <w:r w:rsidRPr="003E152F">
        <w:rPr>
          <w:rFonts w:cs="Arial"/>
          <w:b/>
        </w:rPr>
        <w:t>Delivered:</w:t>
      </w:r>
      <w:r w:rsidRPr="003E152F">
        <w:rPr>
          <w:rFonts w:cs="Arial"/>
          <w:b/>
        </w:rPr>
        <w:tab/>
      </w:r>
      <w:r w:rsidRPr="003E152F">
        <w:rPr>
          <w:rFonts w:cs="Arial"/>
        </w:rPr>
        <w:t>This judgment was handed down electronically by circulation to the parties’ legal representatives by e-mail. The date and time for hand-down is deemed to be 1</w:t>
      </w:r>
      <w:r w:rsidR="00A95BE1">
        <w:rPr>
          <w:rFonts w:cs="Arial"/>
        </w:rPr>
        <w:t>0</w:t>
      </w:r>
      <w:r w:rsidRPr="003E152F">
        <w:rPr>
          <w:rFonts w:cs="Arial"/>
        </w:rPr>
        <w:t xml:space="preserve">h00 on the </w:t>
      </w:r>
      <w:r w:rsidR="002D26F8">
        <w:rPr>
          <w:rFonts w:cs="Arial"/>
        </w:rPr>
        <w:t>1</w:t>
      </w:r>
      <w:r w:rsidR="00A95BE1">
        <w:rPr>
          <w:rFonts w:cs="Arial"/>
        </w:rPr>
        <w:t>3</w:t>
      </w:r>
      <w:r w:rsidR="0039420D">
        <w:rPr>
          <w:rFonts w:cs="Arial"/>
          <w:vertAlign w:val="superscript"/>
        </w:rPr>
        <w:t>th</w:t>
      </w:r>
      <w:r w:rsidR="00383D1C">
        <w:rPr>
          <w:rFonts w:cs="Arial"/>
        </w:rPr>
        <w:t xml:space="preserve"> </w:t>
      </w:r>
      <w:r w:rsidRPr="003E152F">
        <w:rPr>
          <w:rFonts w:cs="Arial"/>
        </w:rPr>
        <w:t xml:space="preserve">of </w:t>
      </w:r>
      <w:r w:rsidR="00F473D3">
        <w:rPr>
          <w:rFonts w:cs="Arial"/>
        </w:rPr>
        <w:t>December</w:t>
      </w:r>
      <w:r>
        <w:rPr>
          <w:rFonts w:cs="Arial"/>
        </w:rPr>
        <w:t xml:space="preserve"> </w:t>
      </w:r>
      <w:r w:rsidRPr="003E152F">
        <w:rPr>
          <w:rFonts w:cs="Arial"/>
        </w:rPr>
        <w:t>202</w:t>
      </w:r>
      <w:r w:rsidR="0039420D">
        <w:rPr>
          <w:rFonts w:cs="Arial"/>
        </w:rPr>
        <w:t>2</w:t>
      </w:r>
      <w:r w:rsidRPr="003E152F">
        <w:rPr>
          <w:rFonts w:cs="Arial"/>
        </w:rPr>
        <w:t>.</w:t>
      </w:r>
    </w:p>
    <w:p w14:paraId="54A5FD4D" w14:textId="77777777" w:rsidR="001E2697" w:rsidRDefault="001E2697" w:rsidP="001E2697">
      <w:pPr>
        <w:tabs>
          <w:tab w:val="left" w:pos="-720"/>
        </w:tabs>
        <w:suppressAutoHyphens/>
        <w:spacing w:line="360" w:lineRule="auto"/>
        <w:jc w:val="both"/>
        <w:rPr>
          <w:rFonts w:cs="Arial"/>
          <w:b/>
          <w:bCs/>
          <w:spacing w:val="-3"/>
          <w:u w:val="single"/>
        </w:rPr>
      </w:pPr>
    </w:p>
    <w:p w14:paraId="7EF343BE" w14:textId="77777777" w:rsidR="001E2697" w:rsidRDefault="001E2697" w:rsidP="001E2697">
      <w:pPr>
        <w:tabs>
          <w:tab w:val="left" w:pos="-720"/>
        </w:tabs>
        <w:suppressAutoHyphens/>
        <w:spacing w:line="360" w:lineRule="auto"/>
        <w:jc w:val="both"/>
        <w:rPr>
          <w:rFonts w:cs="Arial"/>
          <w:b/>
          <w:bCs/>
          <w:spacing w:val="-3"/>
          <w:u w:val="single"/>
        </w:rPr>
      </w:pPr>
    </w:p>
    <w:p w14:paraId="557AC8E2" w14:textId="77777777" w:rsidR="001E2697" w:rsidRDefault="001E2697" w:rsidP="001E2697">
      <w:pPr>
        <w:tabs>
          <w:tab w:val="left" w:pos="-720"/>
        </w:tabs>
        <w:suppressAutoHyphens/>
        <w:spacing w:line="360" w:lineRule="auto"/>
        <w:jc w:val="both"/>
        <w:rPr>
          <w:rFonts w:cs="Arial"/>
          <w:b/>
          <w:bCs/>
          <w:spacing w:val="-3"/>
        </w:rPr>
      </w:pPr>
      <w:r>
        <w:rPr>
          <w:rFonts w:cs="Arial"/>
          <w:b/>
          <w:bCs/>
          <w:spacing w:val="-3"/>
          <w:u w:val="single"/>
        </w:rPr>
        <w:t xml:space="preserve">DIPPENAAR </w:t>
      </w:r>
      <w:r w:rsidRPr="00F4093B">
        <w:rPr>
          <w:rFonts w:cs="Arial"/>
          <w:b/>
          <w:bCs/>
          <w:spacing w:val="-3"/>
          <w:u w:val="single"/>
        </w:rPr>
        <w:t>J</w:t>
      </w:r>
      <w:r>
        <w:rPr>
          <w:rFonts w:cs="Arial"/>
          <w:b/>
          <w:bCs/>
          <w:spacing w:val="-3"/>
        </w:rPr>
        <w:t>:</w:t>
      </w:r>
    </w:p>
    <w:p w14:paraId="210BEE89" w14:textId="66DD6BC0" w:rsidR="0039420D" w:rsidRDefault="0039420D" w:rsidP="0039420D">
      <w:pPr>
        <w:pStyle w:val="level1"/>
        <w:numPr>
          <w:ilvl w:val="0"/>
          <w:numId w:val="0"/>
        </w:numPr>
        <w:spacing w:after="480" w:line="360" w:lineRule="auto"/>
        <w:ind w:left="720" w:hanging="360"/>
        <w:jc w:val="both"/>
        <w:rPr>
          <w:lang w:val="en-US"/>
        </w:rPr>
      </w:pPr>
    </w:p>
    <w:p w14:paraId="1AA9BA8F" w14:textId="38526815" w:rsidR="00933F54" w:rsidRDefault="00D8240B" w:rsidP="00D8240B">
      <w:pPr>
        <w:pStyle w:val="level1"/>
        <w:numPr>
          <w:ilvl w:val="0"/>
          <w:numId w:val="0"/>
        </w:numPr>
        <w:spacing w:after="480" w:line="360" w:lineRule="auto"/>
        <w:jc w:val="both"/>
        <w:rPr>
          <w:lang w:val="en-US"/>
        </w:rPr>
      </w:pPr>
      <w:r>
        <w:rPr>
          <w:lang w:val="en-US"/>
        </w:rPr>
        <w:t>[1]</w:t>
      </w:r>
      <w:r>
        <w:rPr>
          <w:lang w:val="en-US"/>
        </w:rPr>
        <w:tab/>
      </w:r>
      <w:r w:rsidR="00F33348">
        <w:rPr>
          <w:lang w:val="en-US"/>
        </w:rPr>
        <w:t>The applicant seeks condonation for the late delivery of a notice in terms of section 3(2) of the Institution of Legal Proceedings Against Certain Organs of State Act</w:t>
      </w:r>
      <w:r w:rsidR="00F33348">
        <w:rPr>
          <w:rStyle w:val="FootnoteReference"/>
          <w:lang w:val="en-US"/>
        </w:rPr>
        <w:footnoteReference w:id="1"/>
      </w:r>
      <w:r w:rsidR="00F33348">
        <w:rPr>
          <w:lang w:val="en-US"/>
        </w:rPr>
        <w:t>(“the Act”)</w:t>
      </w:r>
      <w:r w:rsidR="00C63569">
        <w:rPr>
          <w:lang w:val="en-US"/>
        </w:rPr>
        <w:t>.</w:t>
      </w:r>
      <w:r w:rsidR="00933F54" w:rsidRPr="00933F54">
        <w:rPr>
          <w:lang w:val="en-US"/>
        </w:rPr>
        <w:t xml:space="preserve"> </w:t>
      </w:r>
      <w:r w:rsidR="00933F54">
        <w:rPr>
          <w:lang w:val="en-US"/>
        </w:rPr>
        <w:t>The main issue to be determined is whether the applicant’s non-compliance with the Act ought to be condoned in terms of the requirements of s</w:t>
      </w:r>
      <w:r w:rsidR="00BE55DA">
        <w:rPr>
          <w:lang w:val="en-US"/>
        </w:rPr>
        <w:t xml:space="preserve"> </w:t>
      </w:r>
      <w:r w:rsidR="00933F54">
        <w:rPr>
          <w:lang w:val="en-US"/>
        </w:rPr>
        <w:t>3(4)(b) of the Act.</w:t>
      </w:r>
    </w:p>
    <w:p w14:paraId="3279C3C2" w14:textId="4B69E3BB" w:rsidR="00933F54" w:rsidRDefault="00D8240B" w:rsidP="00D8240B">
      <w:pPr>
        <w:pStyle w:val="level1"/>
        <w:numPr>
          <w:ilvl w:val="0"/>
          <w:numId w:val="0"/>
        </w:numPr>
        <w:spacing w:after="480" w:line="360" w:lineRule="auto"/>
        <w:jc w:val="both"/>
        <w:rPr>
          <w:lang w:val="en-US"/>
        </w:rPr>
      </w:pPr>
      <w:r>
        <w:rPr>
          <w:lang w:val="en-US"/>
        </w:rPr>
        <w:t>[2]</w:t>
      </w:r>
      <w:r>
        <w:rPr>
          <w:lang w:val="en-US"/>
        </w:rPr>
        <w:tab/>
      </w:r>
      <w:r w:rsidR="00933F54">
        <w:rPr>
          <w:lang w:val="en-US"/>
        </w:rPr>
        <w:t>The respondents challenge</w:t>
      </w:r>
      <w:r w:rsidR="00A95BE1">
        <w:rPr>
          <w:lang w:val="en-US"/>
        </w:rPr>
        <w:t>d</w:t>
      </w:r>
      <w:r w:rsidR="00933F54">
        <w:rPr>
          <w:lang w:val="en-US"/>
        </w:rPr>
        <w:t xml:space="preserve"> compliance with these requirements and further contend</w:t>
      </w:r>
      <w:r w:rsidR="00A95BE1">
        <w:rPr>
          <w:lang w:val="en-US"/>
        </w:rPr>
        <w:t>ed</w:t>
      </w:r>
      <w:r w:rsidR="00933F54">
        <w:rPr>
          <w:lang w:val="en-US"/>
        </w:rPr>
        <w:t xml:space="preserve"> that the applicant’s delay in seeking condonation is fatal and that the notice contained substantive defects which are not condonable. It </w:t>
      </w:r>
      <w:r w:rsidR="00A95BE1">
        <w:rPr>
          <w:lang w:val="en-US"/>
        </w:rPr>
        <w:t>wa</w:t>
      </w:r>
      <w:r w:rsidR="00933F54">
        <w:rPr>
          <w:lang w:val="en-US"/>
        </w:rPr>
        <w:t>s further argued that the applicant has not made out a case for condonation as the bulk of his claims have prescribed</w:t>
      </w:r>
      <w:r w:rsidR="00A95BE1">
        <w:rPr>
          <w:lang w:val="en-US"/>
        </w:rPr>
        <w:t xml:space="preserve">, </w:t>
      </w:r>
      <w:r w:rsidR="00933F54">
        <w:rPr>
          <w:lang w:val="en-US"/>
        </w:rPr>
        <w:t>he has not shown good cause nor a lack of prejudice which could justify condonation.</w:t>
      </w:r>
    </w:p>
    <w:p w14:paraId="3AFF6DFA" w14:textId="679B49C4" w:rsidR="00E3185D" w:rsidRDefault="00D8240B" w:rsidP="00D8240B">
      <w:pPr>
        <w:pStyle w:val="level1"/>
        <w:numPr>
          <w:ilvl w:val="0"/>
          <w:numId w:val="0"/>
        </w:numPr>
        <w:spacing w:after="480" w:line="360" w:lineRule="auto"/>
        <w:jc w:val="both"/>
        <w:rPr>
          <w:lang w:val="en-US"/>
        </w:rPr>
      </w:pPr>
      <w:r>
        <w:rPr>
          <w:lang w:val="en-US"/>
        </w:rPr>
        <w:t>[3]</w:t>
      </w:r>
      <w:r>
        <w:rPr>
          <w:lang w:val="en-US"/>
        </w:rPr>
        <w:tab/>
      </w:r>
      <w:r w:rsidR="00E3185D" w:rsidRPr="00E3185D">
        <w:rPr>
          <w:lang w:val="en-US"/>
        </w:rPr>
        <w:t xml:space="preserve">The </w:t>
      </w:r>
      <w:r w:rsidR="00933F54">
        <w:rPr>
          <w:lang w:val="en-US"/>
        </w:rPr>
        <w:t xml:space="preserve">background facts </w:t>
      </w:r>
      <w:r w:rsidR="00282749">
        <w:rPr>
          <w:lang w:val="en-US"/>
        </w:rPr>
        <w:t xml:space="preserve">are </w:t>
      </w:r>
      <w:r w:rsidR="00A95BE1">
        <w:rPr>
          <w:lang w:val="en-US"/>
        </w:rPr>
        <w:t>that t</w:t>
      </w:r>
      <w:r w:rsidR="00282749">
        <w:rPr>
          <w:lang w:val="en-US"/>
        </w:rPr>
        <w:t xml:space="preserve">he </w:t>
      </w:r>
      <w:r w:rsidR="00E3185D" w:rsidRPr="00E3185D">
        <w:rPr>
          <w:lang w:val="en-US"/>
        </w:rPr>
        <w:t>applicant was arrested on 13 January 2012</w:t>
      </w:r>
      <w:r w:rsidR="007E1D0D">
        <w:rPr>
          <w:lang w:val="en-US"/>
        </w:rPr>
        <w:t xml:space="preserve"> on the strength of allegations that he was in possession of an unlicensed firearm</w:t>
      </w:r>
      <w:r w:rsidR="00E3185D" w:rsidRPr="00E3185D">
        <w:rPr>
          <w:lang w:val="en-US"/>
        </w:rPr>
        <w:t xml:space="preserve">. On 14 January 2012 he was taken to Brixton police cells where </w:t>
      </w:r>
      <w:r w:rsidR="00282749">
        <w:rPr>
          <w:lang w:val="en-US"/>
        </w:rPr>
        <w:t>t</w:t>
      </w:r>
      <w:r w:rsidR="00E3185D" w:rsidRPr="00E3185D">
        <w:rPr>
          <w:lang w:val="en-US"/>
        </w:rPr>
        <w:t xml:space="preserve">he </w:t>
      </w:r>
      <w:r w:rsidR="00282749">
        <w:rPr>
          <w:lang w:val="en-US"/>
        </w:rPr>
        <w:t xml:space="preserve">applicant </w:t>
      </w:r>
      <w:proofErr w:type="gramStart"/>
      <w:r w:rsidR="00282749">
        <w:rPr>
          <w:lang w:val="en-US"/>
        </w:rPr>
        <w:t>alleges</w:t>
      </w:r>
      <w:proofErr w:type="gramEnd"/>
      <w:r w:rsidR="00282749">
        <w:rPr>
          <w:lang w:val="en-US"/>
        </w:rPr>
        <w:t xml:space="preserve"> he </w:t>
      </w:r>
      <w:r w:rsidR="00E3185D" w:rsidRPr="00E3185D">
        <w:rPr>
          <w:lang w:val="en-US"/>
        </w:rPr>
        <w:t xml:space="preserve">was assaulted and coerced to make a written confession statement. </w:t>
      </w:r>
      <w:r w:rsidR="00066A69">
        <w:rPr>
          <w:lang w:val="en-US"/>
        </w:rPr>
        <w:t xml:space="preserve">He was later charged with </w:t>
      </w:r>
      <w:r w:rsidR="008F4685">
        <w:rPr>
          <w:lang w:val="en-US"/>
        </w:rPr>
        <w:t xml:space="preserve">various other charges, including </w:t>
      </w:r>
      <w:r w:rsidR="00E3185D" w:rsidRPr="00E3185D">
        <w:rPr>
          <w:lang w:val="en-US"/>
        </w:rPr>
        <w:t>attempted murder</w:t>
      </w:r>
      <w:r w:rsidR="008F4685">
        <w:rPr>
          <w:lang w:val="en-US"/>
        </w:rPr>
        <w:t>, ATM bombing and car high jacking</w:t>
      </w:r>
      <w:r w:rsidR="00E3185D" w:rsidRPr="00E3185D">
        <w:rPr>
          <w:lang w:val="en-US"/>
        </w:rPr>
        <w:t xml:space="preserve">. The applicant’s bail </w:t>
      </w:r>
      <w:r w:rsidR="008F4685">
        <w:rPr>
          <w:lang w:val="en-US"/>
        </w:rPr>
        <w:t xml:space="preserve">application </w:t>
      </w:r>
      <w:r w:rsidR="00E3185D" w:rsidRPr="00E3185D">
        <w:rPr>
          <w:lang w:val="en-US"/>
        </w:rPr>
        <w:t xml:space="preserve">was </w:t>
      </w:r>
      <w:proofErr w:type="gramStart"/>
      <w:r w:rsidR="00A95BE1">
        <w:rPr>
          <w:lang w:val="en-US"/>
        </w:rPr>
        <w:t>refused</w:t>
      </w:r>
      <w:proofErr w:type="gramEnd"/>
      <w:r w:rsidR="00A95BE1">
        <w:rPr>
          <w:lang w:val="en-US"/>
        </w:rPr>
        <w:t xml:space="preserve"> </w:t>
      </w:r>
      <w:r w:rsidR="00C663F2">
        <w:rPr>
          <w:lang w:val="en-US"/>
        </w:rPr>
        <w:t>and he remained in custody</w:t>
      </w:r>
      <w:r w:rsidR="00E3185D" w:rsidRPr="00E3185D">
        <w:rPr>
          <w:lang w:val="en-US"/>
        </w:rPr>
        <w:t xml:space="preserve">. The </w:t>
      </w:r>
      <w:r w:rsidR="00AA7E43">
        <w:rPr>
          <w:lang w:val="en-US"/>
        </w:rPr>
        <w:t xml:space="preserve">applicant never </w:t>
      </w:r>
      <w:proofErr w:type="gramStart"/>
      <w:r w:rsidR="00AA7E43">
        <w:rPr>
          <w:lang w:val="en-US"/>
        </w:rPr>
        <w:t>pleaded</w:t>
      </w:r>
      <w:proofErr w:type="gramEnd"/>
      <w:r w:rsidR="00AA7E43">
        <w:rPr>
          <w:lang w:val="en-US"/>
        </w:rPr>
        <w:t xml:space="preserve"> and the </w:t>
      </w:r>
      <w:r w:rsidR="00E3185D" w:rsidRPr="00E3185D">
        <w:rPr>
          <w:lang w:val="en-US"/>
        </w:rPr>
        <w:t>trial never commenced</w:t>
      </w:r>
      <w:r w:rsidR="00AA7E43">
        <w:rPr>
          <w:lang w:val="en-US"/>
        </w:rPr>
        <w:t>,</w:t>
      </w:r>
      <w:r w:rsidR="00E3185D" w:rsidRPr="00E3185D">
        <w:rPr>
          <w:lang w:val="en-US"/>
        </w:rPr>
        <w:t xml:space="preserve"> despite multiple court appearances. The applicant remained incarcerated for 8 years, 10 months and 5 days. The charges against the applicant were withdrawn on 18 November 2022</w:t>
      </w:r>
      <w:r w:rsidR="007E1D0D">
        <w:rPr>
          <w:lang w:val="en-US"/>
        </w:rPr>
        <w:t xml:space="preserve"> due to </w:t>
      </w:r>
      <w:r w:rsidR="00D42109">
        <w:rPr>
          <w:lang w:val="en-US"/>
        </w:rPr>
        <w:t xml:space="preserve">a </w:t>
      </w:r>
      <w:r w:rsidR="007E1D0D">
        <w:rPr>
          <w:lang w:val="en-US"/>
        </w:rPr>
        <w:t xml:space="preserve">lack </w:t>
      </w:r>
      <w:r w:rsidR="007E1D0D">
        <w:rPr>
          <w:lang w:val="en-US"/>
        </w:rPr>
        <w:lastRenderedPageBreak/>
        <w:t>of evidence</w:t>
      </w:r>
      <w:r w:rsidR="00E3185D" w:rsidRPr="00E3185D">
        <w:rPr>
          <w:lang w:val="en-US"/>
        </w:rPr>
        <w:t xml:space="preserve">. </w:t>
      </w:r>
      <w:r w:rsidR="00AA7E43">
        <w:rPr>
          <w:lang w:val="en-US"/>
        </w:rPr>
        <w:t>During the criminal trial, the applicant was represented by Legal Aid</w:t>
      </w:r>
      <w:r w:rsidR="00066A69">
        <w:rPr>
          <w:lang w:val="en-US"/>
        </w:rPr>
        <w:t xml:space="preserve"> South Africa</w:t>
      </w:r>
      <w:r w:rsidR="00AA7E43">
        <w:rPr>
          <w:lang w:val="en-US"/>
        </w:rPr>
        <w:t>.</w:t>
      </w:r>
    </w:p>
    <w:p w14:paraId="2B7BDF6C" w14:textId="0181B221" w:rsidR="00C663F2" w:rsidRDefault="00D8240B" w:rsidP="00D8240B">
      <w:pPr>
        <w:pStyle w:val="level1"/>
        <w:numPr>
          <w:ilvl w:val="0"/>
          <w:numId w:val="0"/>
        </w:numPr>
        <w:spacing w:after="480" w:line="360" w:lineRule="auto"/>
        <w:jc w:val="both"/>
        <w:rPr>
          <w:lang w:val="en-US"/>
        </w:rPr>
      </w:pPr>
      <w:r>
        <w:rPr>
          <w:lang w:val="en-US"/>
        </w:rPr>
        <w:t>[4]</w:t>
      </w:r>
      <w:r>
        <w:rPr>
          <w:lang w:val="en-US"/>
        </w:rPr>
        <w:tab/>
      </w:r>
      <w:r w:rsidR="00E3185D" w:rsidRPr="00E3185D">
        <w:rPr>
          <w:lang w:val="en-US"/>
        </w:rPr>
        <w:t xml:space="preserve">On 29 November 2020 the applicant </w:t>
      </w:r>
      <w:r w:rsidR="00263593">
        <w:rPr>
          <w:lang w:val="en-US"/>
        </w:rPr>
        <w:t xml:space="preserve">consulted attorneys and </w:t>
      </w:r>
      <w:r w:rsidR="00E3185D" w:rsidRPr="00E3185D">
        <w:rPr>
          <w:lang w:val="en-US"/>
        </w:rPr>
        <w:t xml:space="preserve">was advised </w:t>
      </w:r>
      <w:r w:rsidR="00263593">
        <w:rPr>
          <w:lang w:val="en-US"/>
        </w:rPr>
        <w:t xml:space="preserve">that </w:t>
      </w:r>
      <w:r w:rsidR="00E3185D" w:rsidRPr="00E3185D">
        <w:rPr>
          <w:lang w:val="en-US"/>
        </w:rPr>
        <w:t xml:space="preserve">he would need to ask for condonation for non-compliance with the notice period in the </w:t>
      </w:r>
      <w:proofErr w:type="gramStart"/>
      <w:r w:rsidR="00E3185D" w:rsidRPr="00E3185D">
        <w:rPr>
          <w:lang w:val="en-US"/>
        </w:rPr>
        <w:t>Act</w:t>
      </w:r>
      <w:r w:rsidR="00E3185D">
        <w:rPr>
          <w:lang w:val="en-US"/>
        </w:rPr>
        <w:t>,</w:t>
      </w:r>
      <w:r w:rsidR="00E3185D" w:rsidRPr="00E3185D">
        <w:rPr>
          <w:lang w:val="en-US"/>
        </w:rPr>
        <w:t xml:space="preserve"> if</w:t>
      </w:r>
      <w:proofErr w:type="gramEnd"/>
      <w:r w:rsidR="00E3185D" w:rsidRPr="00E3185D">
        <w:rPr>
          <w:lang w:val="en-US"/>
        </w:rPr>
        <w:t xml:space="preserve"> the respondents were to </w:t>
      </w:r>
      <w:r w:rsidR="00C663F2">
        <w:rPr>
          <w:lang w:val="en-US"/>
        </w:rPr>
        <w:t>plead prescription</w:t>
      </w:r>
      <w:r w:rsidR="00E3185D" w:rsidRPr="00E3185D">
        <w:rPr>
          <w:lang w:val="en-US"/>
        </w:rPr>
        <w:t xml:space="preserve">. A written notice </w:t>
      </w:r>
      <w:r w:rsidR="00E352F6">
        <w:rPr>
          <w:lang w:val="en-US"/>
        </w:rPr>
        <w:t xml:space="preserve">in terms of s </w:t>
      </w:r>
      <w:r w:rsidR="00C663F2">
        <w:rPr>
          <w:lang w:val="en-US"/>
        </w:rPr>
        <w:t xml:space="preserve">3 of the Act (“the notice”) </w:t>
      </w:r>
      <w:r w:rsidR="00E3185D" w:rsidRPr="00E3185D">
        <w:rPr>
          <w:lang w:val="en-US"/>
        </w:rPr>
        <w:t>was sent to the respondent</w:t>
      </w:r>
      <w:r w:rsidR="00C663F2">
        <w:rPr>
          <w:lang w:val="en-US"/>
        </w:rPr>
        <w:t>s</w:t>
      </w:r>
      <w:r w:rsidR="00E3185D" w:rsidRPr="00E3185D">
        <w:rPr>
          <w:lang w:val="en-US"/>
        </w:rPr>
        <w:t xml:space="preserve"> on 2 December 2020. </w:t>
      </w:r>
    </w:p>
    <w:p w14:paraId="55E03540" w14:textId="71C72FCD" w:rsidR="00E3185D" w:rsidRPr="00D42109" w:rsidRDefault="00D8240B" w:rsidP="00D8240B">
      <w:pPr>
        <w:pStyle w:val="level1"/>
        <w:numPr>
          <w:ilvl w:val="0"/>
          <w:numId w:val="0"/>
        </w:numPr>
        <w:spacing w:after="480" w:line="360" w:lineRule="auto"/>
        <w:jc w:val="both"/>
        <w:rPr>
          <w:lang w:val="en-US"/>
        </w:rPr>
      </w:pPr>
      <w:r w:rsidRPr="00D42109">
        <w:rPr>
          <w:lang w:val="en-US"/>
        </w:rPr>
        <w:t>[5]</w:t>
      </w:r>
      <w:r w:rsidRPr="00D42109">
        <w:rPr>
          <w:lang w:val="en-US"/>
        </w:rPr>
        <w:tab/>
      </w:r>
      <w:r w:rsidR="00E3185D" w:rsidRPr="00D42109">
        <w:rPr>
          <w:lang w:val="en-US"/>
        </w:rPr>
        <w:t xml:space="preserve">The action proceedings were instituted on 29 January 2021. The respondents objected by way of special plea to </w:t>
      </w:r>
      <w:r w:rsidR="00A95BE1">
        <w:rPr>
          <w:lang w:val="en-US"/>
        </w:rPr>
        <w:t xml:space="preserve">the </w:t>
      </w:r>
      <w:r w:rsidR="00E3185D" w:rsidRPr="00D42109">
        <w:rPr>
          <w:lang w:val="en-US"/>
        </w:rPr>
        <w:t xml:space="preserve">applicant’s non- compliance with the </w:t>
      </w:r>
      <w:r w:rsidR="008F4685">
        <w:rPr>
          <w:lang w:val="en-US"/>
        </w:rPr>
        <w:t>A</w:t>
      </w:r>
      <w:r w:rsidR="00E3185D" w:rsidRPr="00D42109">
        <w:rPr>
          <w:lang w:val="en-US"/>
        </w:rPr>
        <w:t>ct on 17 March 2021</w:t>
      </w:r>
      <w:r w:rsidR="00BD3517" w:rsidRPr="00D42109">
        <w:rPr>
          <w:lang w:val="en-US"/>
        </w:rPr>
        <w:t xml:space="preserve">. </w:t>
      </w:r>
      <w:r w:rsidR="00E94D25">
        <w:rPr>
          <w:lang w:val="en-US"/>
        </w:rPr>
        <w:t>The respondents</w:t>
      </w:r>
      <w:r w:rsidR="00BD3517" w:rsidRPr="00D42109">
        <w:rPr>
          <w:lang w:val="en-US"/>
        </w:rPr>
        <w:t xml:space="preserve"> pleaded that the notice was not served within the six months prescribed </w:t>
      </w:r>
      <w:r w:rsidR="00E3185D" w:rsidRPr="00D42109">
        <w:rPr>
          <w:lang w:val="en-US"/>
        </w:rPr>
        <w:t>in</w:t>
      </w:r>
      <w:r w:rsidR="00BD3517" w:rsidRPr="00D42109">
        <w:rPr>
          <w:lang w:val="en-US"/>
        </w:rPr>
        <w:t xml:space="preserve"> terms of s</w:t>
      </w:r>
      <w:r w:rsidR="00E352F6">
        <w:rPr>
          <w:lang w:val="en-US"/>
        </w:rPr>
        <w:t xml:space="preserve"> </w:t>
      </w:r>
      <w:r w:rsidR="00BD3517" w:rsidRPr="00D42109">
        <w:rPr>
          <w:lang w:val="en-US"/>
        </w:rPr>
        <w:t>3(2) of the Act without any further facts being p</w:t>
      </w:r>
      <w:r w:rsidR="00A95BE1">
        <w:rPr>
          <w:lang w:val="en-US"/>
        </w:rPr>
        <w:t>leaded</w:t>
      </w:r>
      <w:r w:rsidR="00BD3517" w:rsidRPr="00D42109">
        <w:rPr>
          <w:lang w:val="en-US"/>
        </w:rPr>
        <w:t>. In his replication the plaintiff pleaded that the written notice was given on 2 December 2020.</w:t>
      </w:r>
      <w:r w:rsidR="00E3185D" w:rsidRPr="00D42109">
        <w:rPr>
          <w:lang w:val="en-US"/>
        </w:rPr>
        <w:t xml:space="preserve"> The applicant amended his particulars of claim </w:t>
      </w:r>
      <w:r w:rsidR="008F4685">
        <w:rPr>
          <w:lang w:val="en-US"/>
        </w:rPr>
        <w:t>on various occa</w:t>
      </w:r>
      <w:r w:rsidR="00A95BE1">
        <w:rPr>
          <w:lang w:val="en-US"/>
        </w:rPr>
        <w:t>s</w:t>
      </w:r>
      <w:r w:rsidR="008F4685">
        <w:rPr>
          <w:lang w:val="en-US"/>
        </w:rPr>
        <w:t>ions</w:t>
      </w:r>
      <w:r w:rsidR="00C663F2" w:rsidRPr="00D42109">
        <w:rPr>
          <w:lang w:val="en-US"/>
        </w:rPr>
        <w:t>, increasing the quantum of his claim</w:t>
      </w:r>
      <w:r w:rsidR="00E3185D" w:rsidRPr="00D42109">
        <w:rPr>
          <w:lang w:val="en-US"/>
        </w:rPr>
        <w:t>.</w:t>
      </w:r>
    </w:p>
    <w:p w14:paraId="666F5AF7" w14:textId="219F27D1" w:rsidR="00A95BE1" w:rsidRDefault="00D8240B" w:rsidP="00D8240B">
      <w:pPr>
        <w:pStyle w:val="level1"/>
        <w:numPr>
          <w:ilvl w:val="0"/>
          <w:numId w:val="0"/>
        </w:numPr>
        <w:spacing w:after="480" w:line="360" w:lineRule="auto"/>
        <w:jc w:val="both"/>
        <w:rPr>
          <w:lang w:val="en-US"/>
        </w:rPr>
      </w:pPr>
      <w:r>
        <w:rPr>
          <w:lang w:val="en-US"/>
        </w:rPr>
        <w:t>[6]</w:t>
      </w:r>
      <w:r>
        <w:rPr>
          <w:lang w:val="en-US"/>
        </w:rPr>
        <w:tab/>
      </w:r>
      <w:r w:rsidR="00C663F2" w:rsidRPr="00A95BE1">
        <w:rPr>
          <w:lang w:val="en-US"/>
        </w:rPr>
        <w:t>On 13 April 2022 the respondents delivered a notice of intention to amend their special plea and plea to raise the issue of prescription</w:t>
      </w:r>
      <w:r w:rsidR="00E61BAD" w:rsidRPr="00A95BE1">
        <w:rPr>
          <w:lang w:val="en-US"/>
        </w:rPr>
        <w:t xml:space="preserve"> in relation to the applicant’s claim for unlawful arrest and detention and </w:t>
      </w:r>
      <w:r w:rsidR="00A95BE1" w:rsidRPr="00A95BE1">
        <w:rPr>
          <w:lang w:val="en-US"/>
        </w:rPr>
        <w:t xml:space="preserve">to </w:t>
      </w:r>
      <w:r w:rsidR="00E61BAD" w:rsidRPr="00A95BE1">
        <w:rPr>
          <w:lang w:val="en-US"/>
        </w:rPr>
        <w:t>amend their plea</w:t>
      </w:r>
      <w:r w:rsidR="00C663F2" w:rsidRPr="00A95BE1">
        <w:rPr>
          <w:lang w:val="en-US"/>
        </w:rPr>
        <w:t>. The trial, which had been enrolled for hearing on 19 April 2022 was postponed</w:t>
      </w:r>
      <w:r w:rsidR="008F4685" w:rsidRPr="00A95BE1">
        <w:rPr>
          <w:lang w:val="en-US"/>
        </w:rPr>
        <w:t xml:space="preserve"> as a result</w:t>
      </w:r>
      <w:r w:rsidR="00C663F2" w:rsidRPr="00A95BE1">
        <w:rPr>
          <w:lang w:val="en-US"/>
        </w:rPr>
        <w:t>.</w:t>
      </w:r>
      <w:r w:rsidR="00E61BAD" w:rsidRPr="00A95BE1">
        <w:rPr>
          <w:lang w:val="en-US"/>
        </w:rPr>
        <w:t xml:space="preserve"> </w:t>
      </w:r>
      <w:r w:rsidR="00A95BE1" w:rsidRPr="00A95BE1">
        <w:rPr>
          <w:lang w:val="en-US"/>
        </w:rPr>
        <w:t xml:space="preserve">Trial bundles have been prepared and expert notices </w:t>
      </w:r>
      <w:r w:rsidR="00F73CC3">
        <w:rPr>
          <w:lang w:val="en-US"/>
        </w:rPr>
        <w:t xml:space="preserve">and summaries </w:t>
      </w:r>
      <w:r w:rsidR="00A95BE1" w:rsidRPr="00A95BE1">
        <w:rPr>
          <w:lang w:val="en-US"/>
        </w:rPr>
        <w:t>delivered.</w:t>
      </w:r>
      <w:r w:rsidR="00A95BE1">
        <w:rPr>
          <w:lang w:val="en-US"/>
        </w:rPr>
        <w:t xml:space="preserve"> </w:t>
      </w:r>
      <w:r w:rsidR="00E61BAD" w:rsidRPr="00A95BE1">
        <w:rPr>
          <w:lang w:val="en-US"/>
        </w:rPr>
        <w:t xml:space="preserve">The </w:t>
      </w:r>
      <w:r w:rsidR="00A95BE1">
        <w:rPr>
          <w:lang w:val="en-US"/>
        </w:rPr>
        <w:t xml:space="preserve">respondents’ </w:t>
      </w:r>
      <w:r w:rsidR="00E61BAD" w:rsidRPr="00A95BE1">
        <w:rPr>
          <w:lang w:val="en-US"/>
        </w:rPr>
        <w:t xml:space="preserve">amendment was </w:t>
      </w:r>
      <w:proofErr w:type="gramStart"/>
      <w:r w:rsidR="00E61BAD" w:rsidRPr="00A95BE1">
        <w:rPr>
          <w:lang w:val="en-US"/>
        </w:rPr>
        <w:t>effected</w:t>
      </w:r>
      <w:proofErr w:type="gramEnd"/>
      <w:r w:rsidR="00E61BAD" w:rsidRPr="00A95BE1">
        <w:rPr>
          <w:lang w:val="en-US"/>
        </w:rPr>
        <w:t xml:space="preserve"> on 12 May 2012.</w:t>
      </w:r>
      <w:r w:rsidR="00D42109" w:rsidRPr="00A95BE1">
        <w:rPr>
          <w:lang w:val="en-US"/>
        </w:rPr>
        <w:t xml:space="preserve"> The present application was launched on 5 May 2022.</w:t>
      </w:r>
    </w:p>
    <w:p w14:paraId="740019B3" w14:textId="77777777" w:rsidR="00A95BE1" w:rsidRPr="00F73CC3" w:rsidRDefault="00A95BE1" w:rsidP="00342A9F">
      <w:pPr>
        <w:pStyle w:val="level1"/>
        <w:numPr>
          <w:ilvl w:val="0"/>
          <w:numId w:val="0"/>
        </w:numPr>
        <w:spacing w:after="480" w:line="360" w:lineRule="auto"/>
        <w:jc w:val="both"/>
        <w:rPr>
          <w:i/>
          <w:lang w:val="en-US"/>
        </w:rPr>
      </w:pPr>
      <w:r w:rsidRPr="00F73CC3">
        <w:rPr>
          <w:i/>
          <w:lang w:val="en-US"/>
        </w:rPr>
        <w:t>Is the delay in asking for condonation fatal?</w:t>
      </w:r>
    </w:p>
    <w:p w14:paraId="44DD3F60" w14:textId="7365C0B7" w:rsidR="00342A9F" w:rsidRDefault="00D8240B" w:rsidP="00D8240B">
      <w:pPr>
        <w:pStyle w:val="level1"/>
        <w:numPr>
          <w:ilvl w:val="0"/>
          <w:numId w:val="0"/>
        </w:numPr>
        <w:spacing w:after="480" w:line="360" w:lineRule="auto"/>
        <w:jc w:val="both"/>
        <w:rPr>
          <w:lang w:val="en-US"/>
        </w:rPr>
      </w:pPr>
      <w:r>
        <w:rPr>
          <w:lang w:val="en-US"/>
        </w:rPr>
        <w:t>[7]</w:t>
      </w:r>
      <w:r>
        <w:rPr>
          <w:lang w:val="en-US"/>
        </w:rPr>
        <w:tab/>
      </w:r>
      <w:r w:rsidR="00342A9F">
        <w:rPr>
          <w:lang w:val="en-US"/>
        </w:rPr>
        <w:t xml:space="preserve">An applicant for condonation must furnish a proper explanation for his default which would be sufficiently comprehensive to enable a court to understand why it </w:t>
      </w:r>
      <w:r w:rsidR="00342A9F">
        <w:rPr>
          <w:lang w:val="en-US"/>
        </w:rPr>
        <w:lastRenderedPageBreak/>
        <w:t>occurred and therefore to enable a court to make a proper assessment as to whether to exercise a discretion in applicant’s favour</w:t>
      </w:r>
      <w:r w:rsidR="00342A9F">
        <w:rPr>
          <w:rStyle w:val="FootnoteReference"/>
          <w:lang w:val="en-US"/>
        </w:rPr>
        <w:footnoteReference w:id="2"/>
      </w:r>
      <w:r w:rsidR="00342A9F">
        <w:rPr>
          <w:lang w:val="en-US"/>
        </w:rPr>
        <w:t>.</w:t>
      </w:r>
    </w:p>
    <w:p w14:paraId="42E6EEF9" w14:textId="365B9B68" w:rsidR="00A95BE1" w:rsidRDefault="00D8240B" w:rsidP="00D8240B">
      <w:pPr>
        <w:pStyle w:val="level1"/>
        <w:numPr>
          <w:ilvl w:val="0"/>
          <w:numId w:val="0"/>
        </w:numPr>
        <w:spacing w:after="480" w:line="360" w:lineRule="auto"/>
        <w:jc w:val="both"/>
        <w:rPr>
          <w:lang w:val="en-US"/>
        </w:rPr>
      </w:pPr>
      <w:r>
        <w:rPr>
          <w:lang w:val="en-US"/>
        </w:rPr>
        <w:t>[8]</w:t>
      </w:r>
      <w:r>
        <w:rPr>
          <w:lang w:val="en-US"/>
        </w:rPr>
        <w:tab/>
      </w:r>
      <w:r w:rsidR="00D00263">
        <w:rPr>
          <w:lang w:val="en-US"/>
        </w:rPr>
        <w:t xml:space="preserve">Condonation must be applied for as soon as the party concerned </w:t>
      </w:r>
      <w:proofErr w:type="spellStart"/>
      <w:r w:rsidR="00D00263">
        <w:rPr>
          <w:lang w:val="en-US"/>
        </w:rPr>
        <w:t>realises</w:t>
      </w:r>
      <w:proofErr w:type="spellEnd"/>
      <w:r w:rsidR="00D00263">
        <w:rPr>
          <w:lang w:val="en-US"/>
        </w:rPr>
        <w:t xml:space="preserve"> that it is required</w:t>
      </w:r>
      <w:r w:rsidR="00D00263">
        <w:rPr>
          <w:rStyle w:val="FootnoteReference"/>
          <w:lang w:val="en-US"/>
        </w:rPr>
        <w:footnoteReference w:id="3"/>
      </w:r>
      <w:r w:rsidR="00D00263">
        <w:rPr>
          <w:lang w:val="en-US"/>
        </w:rPr>
        <w:t xml:space="preserve">. </w:t>
      </w:r>
      <w:r w:rsidR="00A95BE1">
        <w:rPr>
          <w:lang w:val="en-US"/>
        </w:rPr>
        <w:t xml:space="preserve">It is well established that the delay in launching a condonation application should be fully explained and the explanation must be reasonable and cover the entire period of the delay. As explained in by </w:t>
      </w:r>
      <w:proofErr w:type="spellStart"/>
      <w:r w:rsidR="00A95BE1">
        <w:rPr>
          <w:lang w:val="en-US"/>
        </w:rPr>
        <w:t>Heher</w:t>
      </w:r>
      <w:proofErr w:type="spellEnd"/>
      <w:r w:rsidR="00A95BE1">
        <w:rPr>
          <w:lang w:val="en-US"/>
        </w:rPr>
        <w:t xml:space="preserve"> JA in </w:t>
      </w:r>
      <w:proofErr w:type="spellStart"/>
      <w:r w:rsidR="00A95BE1">
        <w:rPr>
          <w:i/>
          <w:lang w:val="en-US"/>
        </w:rPr>
        <w:t>Madinda</w:t>
      </w:r>
      <w:proofErr w:type="spellEnd"/>
      <w:r w:rsidR="00F73CC3">
        <w:rPr>
          <w:rStyle w:val="FootnoteReference"/>
          <w:i/>
          <w:lang w:val="en-US"/>
        </w:rPr>
        <w:footnoteReference w:id="4"/>
      </w:r>
      <w:r w:rsidR="00A95BE1">
        <w:rPr>
          <w:lang w:val="en-US"/>
        </w:rPr>
        <w:t xml:space="preserve">, failure to do so may adversely affect condonation or it may merely be a reason to censure the applicant or his legal representatives without lessening the force of the application. In general terms the interests of justice play an important role in condonation applications If a court is satisfied that the three requirements </w:t>
      </w:r>
      <w:r w:rsidR="00F73CC3">
        <w:rPr>
          <w:lang w:val="en-US"/>
        </w:rPr>
        <w:t>of s</w:t>
      </w:r>
      <w:r w:rsidR="00E352F6">
        <w:rPr>
          <w:lang w:val="en-US"/>
        </w:rPr>
        <w:t xml:space="preserve"> </w:t>
      </w:r>
      <w:r w:rsidR="00F73CC3">
        <w:rPr>
          <w:lang w:val="en-US"/>
        </w:rPr>
        <w:t xml:space="preserve">3(4)(b) have been </w:t>
      </w:r>
      <w:r w:rsidR="00A95BE1">
        <w:rPr>
          <w:lang w:val="en-US"/>
        </w:rPr>
        <w:t>met. In practical terms this means the overall impression made on a court by t</w:t>
      </w:r>
      <w:r w:rsidR="00E352F6">
        <w:rPr>
          <w:lang w:val="en-US"/>
        </w:rPr>
        <w:t>he facts set out by the parties</w:t>
      </w:r>
      <w:r w:rsidR="00A95BE1">
        <w:rPr>
          <w:lang w:val="en-US"/>
        </w:rPr>
        <w:t>.</w:t>
      </w:r>
      <w:r w:rsidR="00A95BE1">
        <w:rPr>
          <w:rStyle w:val="FootnoteReference"/>
          <w:lang w:val="en-US"/>
        </w:rPr>
        <w:footnoteReference w:id="5"/>
      </w:r>
    </w:p>
    <w:p w14:paraId="306AA58B" w14:textId="145C5CAA" w:rsidR="00A95BE1" w:rsidRPr="00F73CC3" w:rsidRDefault="00D8240B" w:rsidP="00D8240B">
      <w:pPr>
        <w:pStyle w:val="level1"/>
        <w:numPr>
          <w:ilvl w:val="0"/>
          <w:numId w:val="0"/>
        </w:numPr>
        <w:spacing w:after="480" w:line="360" w:lineRule="auto"/>
        <w:jc w:val="both"/>
        <w:rPr>
          <w:lang w:val="en-US"/>
        </w:rPr>
      </w:pPr>
      <w:r w:rsidRPr="00F73CC3">
        <w:rPr>
          <w:lang w:val="en-US"/>
        </w:rPr>
        <w:t>[9]</w:t>
      </w:r>
      <w:r w:rsidRPr="00F73CC3">
        <w:rPr>
          <w:lang w:val="en-US"/>
        </w:rPr>
        <w:tab/>
      </w:r>
      <w:r w:rsidR="00A95BE1" w:rsidRPr="00F73CC3">
        <w:rPr>
          <w:lang w:val="en-US"/>
        </w:rPr>
        <w:t>The respondents argued that condonation should have been sought after delivery of their special plea on 17 March 202</w:t>
      </w:r>
      <w:r w:rsidR="00E352F6">
        <w:rPr>
          <w:lang w:val="en-US"/>
        </w:rPr>
        <w:t xml:space="preserve">1 challenging compliance with s </w:t>
      </w:r>
      <w:r w:rsidR="00A95BE1" w:rsidRPr="00F73CC3">
        <w:rPr>
          <w:lang w:val="en-US"/>
        </w:rPr>
        <w:t xml:space="preserve">3 of the Act. According to the respondents, the applicant’s version was nonsensical, internally </w:t>
      </w:r>
      <w:proofErr w:type="gramStart"/>
      <w:r w:rsidR="00A95BE1" w:rsidRPr="00F73CC3">
        <w:rPr>
          <w:lang w:val="en-US"/>
        </w:rPr>
        <w:t>contradictory</w:t>
      </w:r>
      <w:proofErr w:type="gramEnd"/>
      <w:r w:rsidR="00A95BE1" w:rsidRPr="00F73CC3">
        <w:rPr>
          <w:lang w:val="en-US"/>
        </w:rPr>
        <w:t xml:space="preserve"> and mutually destructive</w:t>
      </w:r>
      <w:r w:rsidR="00F73CC3" w:rsidRPr="00F73CC3">
        <w:rPr>
          <w:lang w:val="en-US"/>
        </w:rPr>
        <w:t xml:space="preserve">, given that his attorneys had already raised the possible need to seek condonation during the consultation of 29 November 2020. </w:t>
      </w:r>
      <w:r w:rsidR="00F73CC3">
        <w:rPr>
          <w:lang w:val="en-US"/>
        </w:rPr>
        <w:t xml:space="preserve">According to the </w:t>
      </w:r>
      <w:r w:rsidR="00F73CC3" w:rsidRPr="00F73CC3">
        <w:rPr>
          <w:lang w:val="en-US"/>
        </w:rPr>
        <w:t xml:space="preserve">applicant the special plea was </w:t>
      </w:r>
      <w:proofErr w:type="gramStart"/>
      <w:r w:rsidR="00F73CC3" w:rsidRPr="00F73CC3">
        <w:rPr>
          <w:lang w:val="en-US"/>
        </w:rPr>
        <w:t>vague</w:t>
      </w:r>
      <w:proofErr w:type="gramEnd"/>
      <w:r w:rsidR="00F73CC3" w:rsidRPr="00F73CC3">
        <w:rPr>
          <w:lang w:val="en-US"/>
        </w:rPr>
        <w:t xml:space="preserve"> and he only </w:t>
      </w:r>
      <w:r w:rsidR="00F73CC3">
        <w:rPr>
          <w:lang w:val="en-US"/>
        </w:rPr>
        <w:t xml:space="preserve">appreciated that he </w:t>
      </w:r>
      <w:r w:rsidR="00F73CC3" w:rsidRPr="00F73CC3">
        <w:rPr>
          <w:lang w:val="en-US"/>
        </w:rPr>
        <w:t>needed to seek condonation once the respondents raised prescription.</w:t>
      </w:r>
    </w:p>
    <w:p w14:paraId="065D8C3B" w14:textId="42355DCD" w:rsidR="00A95BE1" w:rsidRDefault="00D8240B" w:rsidP="00D8240B">
      <w:pPr>
        <w:pStyle w:val="level1"/>
        <w:numPr>
          <w:ilvl w:val="0"/>
          <w:numId w:val="0"/>
        </w:numPr>
        <w:spacing w:after="480" w:line="360" w:lineRule="auto"/>
        <w:jc w:val="both"/>
        <w:rPr>
          <w:lang w:val="en-US"/>
        </w:rPr>
      </w:pPr>
      <w:r>
        <w:rPr>
          <w:lang w:val="en-US"/>
        </w:rPr>
        <w:t>[10]</w:t>
      </w:r>
      <w:r>
        <w:rPr>
          <w:lang w:val="en-US"/>
        </w:rPr>
        <w:tab/>
      </w:r>
      <w:r w:rsidR="00A95BE1" w:rsidRPr="0039112E">
        <w:rPr>
          <w:lang w:val="en-US"/>
        </w:rPr>
        <w:t>I do not agree</w:t>
      </w:r>
      <w:r w:rsidR="00F73CC3">
        <w:rPr>
          <w:lang w:val="en-US"/>
        </w:rPr>
        <w:t xml:space="preserve"> with the respondents’ contention</w:t>
      </w:r>
      <w:r w:rsidR="00A95BE1" w:rsidRPr="0039112E">
        <w:rPr>
          <w:lang w:val="en-US"/>
        </w:rPr>
        <w:t>.</w:t>
      </w:r>
      <w:r w:rsidR="00A95BE1">
        <w:rPr>
          <w:lang w:val="en-US"/>
        </w:rPr>
        <w:t xml:space="preserve"> </w:t>
      </w:r>
      <w:r w:rsidR="00A95BE1" w:rsidRPr="0039112E">
        <w:rPr>
          <w:lang w:val="en-US"/>
        </w:rPr>
        <w:t>Th</w:t>
      </w:r>
      <w:r w:rsidR="00A95BE1">
        <w:rPr>
          <w:lang w:val="en-US"/>
        </w:rPr>
        <w:t>e</w:t>
      </w:r>
      <w:r w:rsidR="00A95BE1" w:rsidRPr="0039112E">
        <w:rPr>
          <w:lang w:val="en-US"/>
        </w:rPr>
        <w:t xml:space="preserve"> special plea was cast in broad terms </w:t>
      </w:r>
      <w:r w:rsidR="00A95BE1">
        <w:rPr>
          <w:lang w:val="en-US"/>
        </w:rPr>
        <w:t xml:space="preserve">with only the conclusion pleaded that the applicant failed to comply with s 3 of the Act. No </w:t>
      </w:r>
      <w:r w:rsidR="00B56586">
        <w:rPr>
          <w:lang w:val="en-US"/>
        </w:rPr>
        <w:t>primary</w:t>
      </w:r>
      <w:r w:rsidR="00A95BE1" w:rsidRPr="0039112E">
        <w:rPr>
          <w:lang w:val="en-US"/>
        </w:rPr>
        <w:t xml:space="preserve"> facts </w:t>
      </w:r>
      <w:r w:rsidR="00A95BE1">
        <w:rPr>
          <w:lang w:val="en-US"/>
        </w:rPr>
        <w:t xml:space="preserve">were </w:t>
      </w:r>
      <w:r w:rsidR="00A95BE1" w:rsidRPr="0039112E">
        <w:rPr>
          <w:lang w:val="en-US"/>
        </w:rPr>
        <w:t>pleaded in support of th</w:t>
      </w:r>
      <w:r w:rsidR="00A95BE1">
        <w:rPr>
          <w:lang w:val="en-US"/>
        </w:rPr>
        <w:t>at</w:t>
      </w:r>
      <w:r w:rsidR="00A95BE1" w:rsidRPr="0039112E">
        <w:rPr>
          <w:lang w:val="en-US"/>
        </w:rPr>
        <w:t xml:space="preserve"> contention</w:t>
      </w:r>
      <w:r w:rsidR="00A95BE1">
        <w:rPr>
          <w:lang w:val="en-US"/>
        </w:rPr>
        <w:t xml:space="preserve"> and prescription was not expressly raised. From the applicant’s replication </w:t>
      </w:r>
      <w:proofErr w:type="gramStart"/>
      <w:r w:rsidR="00A95BE1">
        <w:rPr>
          <w:lang w:val="en-US"/>
        </w:rPr>
        <w:t>it is clear that he</w:t>
      </w:r>
      <w:proofErr w:type="gramEnd"/>
      <w:r w:rsidR="00A95BE1">
        <w:rPr>
          <w:lang w:val="en-US"/>
        </w:rPr>
        <w:t xml:space="preserve"> relied on the s 3 notice </w:t>
      </w:r>
      <w:r w:rsidR="00A95BE1">
        <w:rPr>
          <w:lang w:val="en-US"/>
        </w:rPr>
        <w:lastRenderedPageBreak/>
        <w:t>of 2 December 2002</w:t>
      </w:r>
      <w:r w:rsidR="00A95BE1" w:rsidRPr="0039112E">
        <w:rPr>
          <w:lang w:val="en-US"/>
        </w:rPr>
        <w:t xml:space="preserve">. </w:t>
      </w:r>
      <w:r w:rsidR="00C60BCC">
        <w:rPr>
          <w:lang w:val="en-US"/>
        </w:rPr>
        <w:t>The applicant’s version that he could not read into the special plea of 17 March 2021 as to what was implied thereby, is not unreasonable.</w:t>
      </w:r>
    </w:p>
    <w:p w14:paraId="03FB23F1" w14:textId="7F8C3E0C" w:rsidR="00C60BCC" w:rsidRDefault="00D8240B" w:rsidP="00D8240B">
      <w:pPr>
        <w:pStyle w:val="level1"/>
        <w:numPr>
          <w:ilvl w:val="0"/>
          <w:numId w:val="0"/>
        </w:numPr>
        <w:spacing w:after="480" w:line="360" w:lineRule="auto"/>
        <w:jc w:val="both"/>
        <w:rPr>
          <w:lang w:val="en-US"/>
        </w:rPr>
      </w:pPr>
      <w:r>
        <w:rPr>
          <w:lang w:val="en-US"/>
        </w:rPr>
        <w:t>[11]</w:t>
      </w:r>
      <w:r>
        <w:rPr>
          <w:lang w:val="en-US"/>
        </w:rPr>
        <w:tab/>
      </w:r>
      <w:r w:rsidR="00A95BE1" w:rsidRPr="00C60BCC">
        <w:rPr>
          <w:lang w:val="en-US"/>
        </w:rPr>
        <w:t xml:space="preserve">It was only after delivery of respondents’ notice of intention to amend that their case </w:t>
      </w:r>
      <w:r w:rsidR="00B56586" w:rsidRPr="00C60BCC">
        <w:rPr>
          <w:lang w:val="en-US"/>
        </w:rPr>
        <w:t xml:space="preserve">pertaining to non-compliance with s 3 and prescription </w:t>
      </w:r>
      <w:r w:rsidR="00A95BE1" w:rsidRPr="00C60BCC">
        <w:rPr>
          <w:lang w:val="en-US"/>
        </w:rPr>
        <w:t xml:space="preserve">became apparent. The </w:t>
      </w:r>
      <w:r w:rsidR="00B56586" w:rsidRPr="00C60BCC">
        <w:rPr>
          <w:lang w:val="en-US"/>
        </w:rPr>
        <w:t xml:space="preserve">condonation </w:t>
      </w:r>
      <w:r w:rsidR="00A95BE1" w:rsidRPr="00C60BCC">
        <w:rPr>
          <w:lang w:val="en-US"/>
        </w:rPr>
        <w:t xml:space="preserve">application was launched </w:t>
      </w:r>
      <w:r w:rsidR="00B56586" w:rsidRPr="00C60BCC">
        <w:rPr>
          <w:lang w:val="en-US"/>
        </w:rPr>
        <w:t>shortly thereafter</w:t>
      </w:r>
      <w:r w:rsidR="00A95BE1" w:rsidRPr="00C60BCC">
        <w:rPr>
          <w:lang w:val="en-US"/>
        </w:rPr>
        <w:t>.</w:t>
      </w:r>
      <w:r w:rsidR="00B56586" w:rsidRPr="00C60BCC">
        <w:rPr>
          <w:lang w:val="en-US"/>
        </w:rPr>
        <w:t xml:space="preserve"> </w:t>
      </w:r>
    </w:p>
    <w:p w14:paraId="2AFFAB48" w14:textId="50524775" w:rsidR="00A95BE1" w:rsidRPr="00C60BCC" w:rsidRDefault="00D8240B" w:rsidP="00D8240B">
      <w:pPr>
        <w:pStyle w:val="level1"/>
        <w:numPr>
          <w:ilvl w:val="0"/>
          <w:numId w:val="0"/>
        </w:numPr>
        <w:spacing w:after="480" w:line="360" w:lineRule="auto"/>
        <w:jc w:val="both"/>
        <w:rPr>
          <w:lang w:val="en-US"/>
        </w:rPr>
      </w:pPr>
      <w:r w:rsidRPr="00C60BCC">
        <w:rPr>
          <w:lang w:val="en-US"/>
        </w:rPr>
        <w:t>[12]</w:t>
      </w:r>
      <w:r w:rsidRPr="00C60BCC">
        <w:rPr>
          <w:lang w:val="en-US"/>
        </w:rPr>
        <w:tab/>
      </w:r>
      <w:r w:rsidR="00A95BE1" w:rsidRPr="00C60BCC">
        <w:rPr>
          <w:lang w:val="en-US"/>
        </w:rPr>
        <w:t>The matter was clearly very much alive it was not suggested that the respondent</w:t>
      </w:r>
      <w:r w:rsidR="00B56586" w:rsidRPr="00C60BCC">
        <w:rPr>
          <w:lang w:val="en-US"/>
        </w:rPr>
        <w:t>s</w:t>
      </w:r>
      <w:r w:rsidR="00A95BE1" w:rsidRPr="00C60BCC">
        <w:rPr>
          <w:lang w:val="en-US"/>
        </w:rPr>
        <w:t xml:space="preserve"> w</w:t>
      </w:r>
      <w:r w:rsidR="00B56586" w:rsidRPr="00C60BCC">
        <w:rPr>
          <w:lang w:val="en-US"/>
        </w:rPr>
        <w:t>ere</w:t>
      </w:r>
      <w:r w:rsidR="00A95BE1" w:rsidRPr="00C60BCC">
        <w:rPr>
          <w:lang w:val="en-US"/>
        </w:rPr>
        <w:t xml:space="preserve"> prejudiced or misled by the additional delay.</w:t>
      </w:r>
    </w:p>
    <w:p w14:paraId="2D5AA493" w14:textId="1755C424" w:rsidR="00A95BE1" w:rsidRDefault="00D8240B" w:rsidP="00D8240B">
      <w:pPr>
        <w:pStyle w:val="level1"/>
        <w:numPr>
          <w:ilvl w:val="0"/>
          <w:numId w:val="0"/>
        </w:numPr>
        <w:spacing w:after="480" w:line="360" w:lineRule="auto"/>
        <w:jc w:val="both"/>
        <w:rPr>
          <w:lang w:val="en-US"/>
        </w:rPr>
      </w:pPr>
      <w:r>
        <w:rPr>
          <w:lang w:val="en-US"/>
        </w:rPr>
        <w:t>[13]</w:t>
      </w:r>
      <w:r>
        <w:rPr>
          <w:lang w:val="en-US"/>
        </w:rPr>
        <w:tab/>
      </w:r>
      <w:r w:rsidR="00A95BE1">
        <w:rPr>
          <w:lang w:val="en-US"/>
        </w:rPr>
        <w:t xml:space="preserve">In those circumstances, it cannot be concluded that there was an inordinate delay in the launching of the condonation application or that the application was not launched as soon as the applicant knew that it was required, justifying </w:t>
      </w:r>
      <w:r w:rsidR="00C60BCC">
        <w:rPr>
          <w:lang w:val="en-US"/>
        </w:rPr>
        <w:t xml:space="preserve">the </w:t>
      </w:r>
      <w:r w:rsidR="00A95BE1">
        <w:rPr>
          <w:lang w:val="en-US"/>
        </w:rPr>
        <w:t>dismissal of the application on this basis</w:t>
      </w:r>
      <w:r w:rsidR="00C60BCC">
        <w:rPr>
          <w:lang w:val="en-US"/>
        </w:rPr>
        <w:t xml:space="preserve"> alone</w:t>
      </w:r>
      <w:r w:rsidR="00A95BE1">
        <w:rPr>
          <w:lang w:val="en-US"/>
        </w:rPr>
        <w:t xml:space="preserve">. </w:t>
      </w:r>
    </w:p>
    <w:p w14:paraId="096876D2" w14:textId="77777777" w:rsidR="00A95BE1" w:rsidRPr="00B56586" w:rsidRDefault="00A95BE1" w:rsidP="00342A9F">
      <w:pPr>
        <w:pStyle w:val="level1"/>
        <w:numPr>
          <w:ilvl w:val="0"/>
          <w:numId w:val="0"/>
        </w:numPr>
        <w:spacing w:after="480" w:line="360" w:lineRule="auto"/>
        <w:jc w:val="both"/>
        <w:rPr>
          <w:i/>
          <w:lang w:val="en-US"/>
        </w:rPr>
      </w:pPr>
      <w:r w:rsidRPr="00B56586">
        <w:rPr>
          <w:i/>
          <w:lang w:val="en-US"/>
        </w:rPr>
        <w:t>Are there substantive defects in the notice which cannot be condoned?</w:t>
      </w:r>
    </w:p>
    <w:p w14:paraId="07A2FA7C" w14:textId="168F6D03" w:rsidR="00A95BE1" w:rsidRDefault="00D8240B" w:rsidP="00D8240B">
      <w:pPr>
        <w:pStyle w:val="level1"/>
        <w:numPr>
          <w:ilvl w:val="0"/>
          <w:numId w:val="0"/>
        </w:numPr>
        <w:spacing w:after="480" w:line="360" w:lineRule="auto"/>
        <w:jc w:val="both"/>
        <w:rPr>
          <w:lang w:val="en-US"/>
        </w:rPr>
      </w:pPr>
      <w:r>
        <w:rPr>
          <w:lang w:val="en-US"/>
        </w:rPr>
        <w:t>[14]</w:t>
      </w:r>
      <w:r>
        <w:rPr>
          <w:lang w:val="en-US"/>
        </w:rPr>
        <w:tab/>
      </w:r>
      <w:r w:rsidR="00A95BE1">
        <w:rPr>
          <w:lang w:val="en-US"/>
        </w:rPr>
        <w:t>The applicant’s contention that the court is bestowed with the power to excuse any failure to comply with the rules of court is misconceived, as it disregards that the rules set out in the Act are statutory rules, distinct from a courts power to condone non -compliance with the rules of court</w:t>
      </w:r>
      <w:r w:rsidR="00A95BE1">
        <w:rPr>
          <w:rStyle w:val="FootnoteReference"/>
          <w:lang w:val="en-US"/>
        </w:rPr>
        <w:footnoteReference w:id="6"/>
      </w:r>
      <w:r w:rsidR="00A95BE1">
        <w:rPr>
          <w:lang w:val="en-US"/>
        </w:rPr>
        <w:t>. The Act does not contain any provision empowering a court to condone the failure to comply with the notice’s substantive requirements</w:t>
      </w:r>
      <w:r w:rsidR="00A95BE1">
        <w:rPr>
          <w:rStyle w:val="FootnoteReference"/>
          <w:lang w:val="en-US"/>
        </w:rPr>
        <w:footnoteReference w:id="7"/>
      </w:r>
      <w:r w:rsidR="00A95BE1">
        <w:rPr>
          <w:lang w:val="en-US"/>
        </w:rPr>
        <w:t xml:space="preserve">. </w:t>
      </w:r>
      <w:proofErr w:type="gramStart"/>
      <w:r w:rsidR="00A95BE1">
        <w:rPr>
          <w:lang w:val="en-US"/>
        </w:rPr>
        <w:t>Thus</w:t>
      </w:r>
      <w:proofErr w:type="gramEnd"/>
      <w:r w:rsidR="00A95BE1">
        <w:rPr>
          <w:lang w:val="en-US"/>
        </w:rPr>
        <w:t xml:space="preserve"> only non- compliance with the time period can be condoned.</w:t>
      </w:r>
    </w:p>
    <w:p w14:paraId="12701043" w14:textId="10A7F5DA" w:rsidR="00A95BE1" w:rsidRDefault="00D8240B" w:rsidP="00D8240B">
      <w:pPr>
        <w:pStyle w:val="level1"/>
        <w:numPr>
          <w:ilvl w:val="0"/>
          <w:numId w:val="0"/>
        </w:numPr>
        <w:spacing w:after="480" w:line="360" w:lineRule="auto"/>
        <w:jc w:val="both"/>
        <w:rPr>
          <w:lang w:val="en-US"/>
        </w:rPr>
      </w:pPr>
      <w:r>
        <w:rPr>
          <w:lang w:val="en-US"/>
        </w:rPr>
        <w:t>[15]</w:t>
      </w:r>
      <w:r>
        <w:rPr>
          <w:lang w:val="en-US"/>
        </w:rPr>
        <w:tab/>
      </w:r>
      <w:r w:rsidR="00A95BE1">
        <w:rPr>
          <w:lang w:val="en-US"/>
        </w:rPr>
        <w:t xml:space="preserve">The respondent argued that the notice contained substantive defects falling into two categories. The first category was that the respondents were informed of a claim in an amount far less than the claim he now pursues, given that the notice referred to a claim of R15 million, action was instituted for an amount of R20 </w:t>
      </w:r>
      <w:proofErr w:type="gramStart"/>
      <w:r w:rsidR="00A95BE1">
        <w:rPr>
          <w:lang w:val="en-US"/>
        </w:rPr>
        <w:t>million</w:t>
      </w:r>
      <w:proofErr w:type="gramEnd"/>
      <w:r w:rsidR="00A95BE1">
        <w:rPr>
          <w:lang w:val="en-US"/>
        </w:rPr>
        <w:t xml:space="preserve"> and the applicant’s </w:t>
      </w:r>
      <w:r w:rsidR="00A95BE1">
        <w:rPr>
          <w:lang w:val="en-US"/>
        </w:rPr>
        <w:lastRenderedPageBreak/>
        <w:t>claim ha</w:t>
      </w:r>
      <w:r w:rsidR="00B56586">
        <w:rPr>
          <w:lang w:val="en-US"/>
        </w:rPr>
        <w:t>s</w:t>
      </w:r>
      <w:r w:rsidR="00A95BE1">
        <w:rPr>
          <w:lang w:val="en-US"/>
        </w:rPr>
        <w:t xml:space="preserve"> increased to R50 million. It was argued the applicant failed without explanation to properly equip the respondents to do what the Act intends, </w:t>
      </w:r>
      <w:r w:rsidR="00B56586">
        <w:rPr>
          <w:lang w:val="en-US"/>
        </w:rPr>
        <w:t xml:space="preserve">being </w:t>
      </w:r>
      <w:r w:rsidR="00A95BE1">
        <w:rPr>
          <w:lang w:val="en-US"/>
        </w:rPr>
        <w:t>to properly assess whether and how to commit public funds to either defending or settling the claim.</w:t>
      </w:r>
    </w:p>
    <w:p w14:paraId="702C8A11" w14:textId="2466A3D5" w:rsidR="00A95BE1" w:rsidRDefault="00D8240B" w:rsidP="00D8240B">
      <w:pPr>
        <w:pStyle w:val="level1"/>
        <w:numPr>
          <w:ilvl w:val="0"/>
          <w:numId w:val="0"/>
        </w:numPr>
        <w:spacing w:after="480" w:line="360" w:lineRule="auto"/>
        <w:jc w:val="both"/>
        <w:rPr>
          <w:lang w:val="en-US"/>
        </w:rPr>
      </w:pPr>
      <w:r>
        <w:rPr>
          <w:lang w:val="en-US"/>
        </w:rPr>
        <w:t>[16]</w:t>
      </w:r>
      <w:r>
        <w:rPr>
          <w:lang w:val="en-US"/>
        </w:rPr>
        <w:tab/>
      </w:r>
      <w:r w:rsidR="00A95BE1">
        <w:rPr>
          <w:lang w:val="en-US"/>
        </w:rPr>
        <w:t xml:space="preserve">In my view, this argument does not pass muster. Considering the underlying purpose of s 3 of the Act </w:t>
      </w:r>
      <w:r w:rsidR="00A95BE1">
        <w:rPr>
          <w:rStyle w:val="FootnoteReference"/>
          <w:lang w:val="en-US"/>
        </w:rPr>
        <w:footnoteReference w:id="8"/>
      </w:r>
      <w:r w:rsidR="00A95BE1">
        <w:rPr>
          <w:lang w:val="en-US"/>
        </w:rPr>
        <w:t>, which is to assist the organ of state to conduct proper investigations into the claim and then to decide whether to make payment or defend the intended action,</w:t>
      </w:r>
      <w:r w:rsidR="00A95BE1">
        <w:rPr>
          <w:rStyle w:val="FootnoteReference"/>
          <w:lang w:val="en-US"/>
        </w:rPr>
        <w:footnoteReference w:id="9"/>
      </w:r>
      <w:r w:rsidR="00A95BE1">
        <w:rPr>
          <w:lang w:val="en-US"/>
        </w:rPr>
        <w:t xml:space="preserve"> a subsequent increase of the amount claimed by the applicant would not have had a material impact on the respondents’ decision, given that they had already elected to defend the claim based on the initial amount claimed in the notice. Whether the applicant will in due course be able to prove the </w:t>
      </w:r>
      <w:r w:rsidR="00B56586">
        <w:rPr>
          <w:lang w:val="en-US"/>
        </w:rPr>
        <w:t xml:space="preserve">substantial </w:t>
      </w:r>
      <w:r w:rsidR="00A95BE1">
        <w:rPr>
          <w:lang w:val="en-US"/>
        </w:rPr>
        <w:t>amount presently claimed, is for the trial court to determine.</w:t>
      </w:r>
    </w:p>
    <w:p w14:paraId="77B9A310" w14:textId="247B2C7E" w:rsidR="00A95BE1" w:rsidRDefault="00D8240B" w:rsidP="00D8240B">
      <w:pPr>
        <w:pStyle w:val="level1"/>
        <w:numPr>
          <w:ilvl w:val="0"/>
          <w:numId w:val="0"/>
        </w:numPr>
        <w:spacing w:after="480" w:line="360" w:lineRule="auto"/>
        <w:jc w:val="both"/>
        <w:rPr>
          <w:lang w:val="en-US"/>
        </w:rPr>
      </w:pPr>
      <w:r>
        <w:rPr>
          <w:lang w:val="en-US"/>
        </w:rPr>
        <w:t>[17]</w:t>
      </w:r>
      <w:r>
        <w:rPr>
          <w:lang w:val="en-US"/>
        </w:rPr>
        <w:tab/>
      </w:r>
      <w:r w:rsidR="00A95BE1">
        <w:rPr>
          <w:lang w:val="en-US"/>
        </w:rPr>
        <w:t xml:space="preserve">The second category </w:t>
      </w:r>
      <w:r w:rsidR="00B56586">
        <w:rPr>
          <w:lang w:val="en-US"/>
        </w:rPr>
        <w:t xml:space="preserve">of defects contended for </w:t>
      </w:r>
      <w:r w:rsidR="00A95BE1">
        <w:rPr>
          <w:lang w:val="en-US"/>
        </w:rPr>
        <w:t>was that the notice failed to inform the respondents that a claim of malicious prosecution could be forthcoming, which claim amounts to 60% of his claim. It was argued that the notice did not contain any allegation that the prosecution was undertaken with the requisite malice necessary to sustain that cause of action and the respondents were never placed in a position to responsibly consider whether to commit public funds to defending the case or approach a settlement</w:t>
      </w:r>
      <w:r w:rsidR="002E548D">
        <w:rPr>
          <w:lang w:val="en-US"/>
        </w:rPr>
        <w:t>.</w:t>
      </w:r>
    </w:p>
    <w:p w14:paraId="27B18471" w14:textId="7CFD8243" w:rsidR="00A95BE1" w:rsidRDefault="00D8240B" w:rsidP="00D8240B">
      <w:pPr>
        <w:pStyle w:val="level1"/>
        <w:numPr>
          <w:ilvl w:val="0"/>
          <w:numId w:val="0"/>
        </w:numPr>
        <w:spacing w:after="480" w:line="360" w:lineRule="auto"/>
        <w:jc w:val="both"/>
        <w:rPr>
          <w:lang w:val="en-US"/>
        </w:rPr>
      </w:pPr>
      <w:r>
        <w:rPr>
          <w:lang w:val="en-US"/>
        </w:rPr>
        <w:t>[18]</w:t>
      </w:r>
      <w:r>
        <w:rPr>
          <w:lang w:val="en-US"/>
        </w:rPr>
        <w:tab/>
      </w:r>
      <w:r w:rsidR="00A95BE1">
        <w:rPr>
          <w:lang w:val="en-US"/>
        </w:rPr>
        <w:t xml:space="preserve">The s 3 notice set out various facts pertaining to the applicant’s arrest and detention, his assault and coercion to make a confession, his multiple court appearances after investigations were completed in June 2012, the fact that the trial never commenced and his incarceration until 18 November 2020 when the charges were finally withdrawn due to lack of evidence. The </w:t>
      </w:r>
      <w:r w:rsidR="002E548D">
        <w:rPr>
          <w:lang w:val="en-US"/>
        </w:rPr>
        <w:t>notice</w:t>
      </w:r>
      <w:r w:rsidR="00A95BE1">
        <w:rPr>
          <w:lang w:val="en-US"/>
        </w:rPr>
        <w:t xml:space="preserve"> attached a copy of the docket and the charge sheet.</w:t>
      </w:r>
    </w:p>
    <w:p w14:paraId="60329E9E" w14:textId="3CC8C36A" w:rsidR="00A95BE1" w:rsidRDefault="00D8240B" w:rsidP="00D8240B">
      <w:pPr>
        <w:pStyle w:val="level1"/>
        <w:numPr>
          <w:ilvl w:val="0"/>
          <w:numId w:val="0"/>
        </w:numPr>
        <w:spacing w:after="480" w:line="360" w:lineRule="auto"/>
        <w:jc w:val="both"/>
        <w:rPr>
          <w:lang w:val="en-US"/>
        </w:rPr>
      </w:pPr>
      <w:r>
        <w:rPr>
          <w:lang w:val="en-US"/>
        </w:rPr>
        <w:t>[19]</w:t>
      </w:r>
      <w:r>
        <w:rPr>
          <w:lang w:val="en-US"/>
        </w:rPr>
        <w:tab/>
      </w:r>
      <w:r w:rsidR="00A95BE1">
        <w:rPr>
          <w:lang w:val="en-US"/>
        </w:rPr>
        <w:t>The letter stated:</w:t>
      </w:r>
    </w:p>
    <w:p w14:paraId="10FBFCC0" w14:textId="77777777" w:rsidR="00A95BE1" w:rsidRPr="00066A69" w:rsidRDefault="00A95BE1" w:rsidP="00A95BE1">
      <w:pPr>
        <w:pStyle w:val="level1"/>
        <w:numPr>
          <w:ilvl w:val="0"/>
          <w:numId w:val="0"/>
        </w:numPr>
        <w:spacing w:after="480"/>
        <w:ind w:left="720"/>
        <w:jc w:val="both"/>
        <w:rPr>
          <w:i/>
          <w:sz w:val="20"/>
          <w:szCs w:val="20"/>
          <w:lang w:val="en-US"/>
        </w:rPr>
      </w:pPr>
      <w:r w:rsidRPr="00066A69">
        <w:rPr>
          <w:i/>
          <w:sz w:val="20"/>
          <w:szCs w:val="20"/>
          <w:lang w:val="en-US"/>
        </w:rPr>
        <w:lastRenderedPageBreak/>
        <w:t>“As a result of the unlawful arrest and detention, our client suffered injuries as a result of the assault by the officers, defamation of character, unlawful detention, was imprisoned for approximately 9 years, his right to freedom and dignity was infringed and had to endure an unnecessary and protracted process of litigation”.</w:t>
      </w:r>
    </w:p>
    <w:p w14:paraId="5E89F77D" w14:textId="1C2E7199" w:rsidR="002E548D" w:rsidRDefault="00D8240B" w:rsidP="00D8240B">
      <w:pPr>
        <w:pStyle w:val="level1"/>
        <w:numPr>
          <w:ilvl w:val="0"/>
          <w:numId w:val="0"/>
        </w:numPr>
        <w:spacing w:after="480" w:line="360" w:lineRule="auto"/>
        <w:jc w:val="both"/>
        <w:rPr>
          <w:lang w:val="en-US"/>
        </w:rPr>
      </w:pPr>
      <w:r>
        <w:rPr>
          <w:lang w:val="en-US"/>
        </w:rPr>
        <w:t>[20]</w:t>
      </w:r>
      <w:r>
        <w:rPr>
          <w:lang w:val="en-US"/>
        </w:rPr>
        <w:tab/>
      </w:r>
      <w:r w:rsidR="002E548D">
        <w:rPr>
          <w:lang w:val="en-US"/>
        </w:rPr>
        <w:t xml:space="preserve">In terms of s 3(2) of the Act, the applicant was obliged to briefly set out the facts giving rise to the debt and such particulars of the debt as were within his knowledge. </w:t>
      </w:r>
    </w:p>
    <w:p w14:paraId="5792AD2D" w14:textId="2755A883" w:rsidR="002E548D" w:rsidRPr="002E548D" w:rsidRDefault="00D8240B" w:rsidP="00D8240B">
      <w:pPr>
        <w:pStyle w:val="level1"/>
        <w:numPr>
          <w:ilvl w:val="0"/>
          <w:numId w:val="0"/>
        </w:numPr>
        <w:spacing w:after="480" w:line="360" w:lineRule="auto"/>
        <w:jc w:val="both"/>
        <w:rPr>
          <w:lang w:val="en-US"/>
        </w:rPr>
      </w:pPr>
      <w:r w:rsidRPr="002E548D">
        <w:rPr>
          <w:lang w:val="en-US"/>
        </w:rPr>
        <w:t>[21]</w:t>
      </w:r>
      <w:r w:rsidRPr="002E548D">
        <w:rPr>
          <w:lang w:val="en-US"/>
        </w:rPr>
        <w:tab/>
      </w:r>
      <w:r w:rsidR="002E548D" w:rsidRPr="002E548D">
        <w:rPr>
          <w:lang w:val="en-US"/>
        </w:rPr>
        <w:t>In my view, the facts set out in the notice are sufficient to comply with the requirements of s</w:t>
      </w:r>
      <w:r w:rsidR="00E352F6">
        <w:rPr>
          <w:lang w:val="en-US"/>
        </w:rPr>
        <w:t xml:space="preserve"> </w:t>
      </w:r>
      <w:r w:rsidR="002E548D" w:rsidRPr="002E548D">
        <w:rPr>
          <w:lang w:val="en-US"/>
        </w:rPr>
        <w:t>3(2).</w:t>
      </w:r>
      <w:r w:rsidR="002E548D">
        <w:rPr>
          <w:lang w:val="en-US"/>
        </w:rPr>
        <w:t xml:space="preserve"> </w:t>
      </w:r>
      <w:r w:rsidR="002E548D" w:rsidRPr="002E548D">
        <w:rPr>
          <w:lang w:val="en-US"/>
        </w:rPr>
        <w:t xml:space="preserve">Read in context, although the words “malicious prosecution” </w:t>
      </w:r>
      <w:proofErr w:type="gramStart"/>
      <w:r w:rsidR="002E548D" w:rsidRPr="002E548D">
        <w:rPr>
          <w:lang w:val="en-US"/>
        </w:rPr>
        <w:t>were</w:t>
      </w:r>
      <w:proofErr w:type="gramEnd"/>
      <w:r w:rsidR="002E548D" w:rsidRPr="002E548D">
        <w:rPr>
          <w:lang w:val="en-US"/>
        </w:rPr>
        <w:t xml:space="preserve"> not expressly used, it is clear from the substance of the letter that the applicant intended to claim for all the events which transpired including the “litigation”</w:t>
      </w:r>
      <w:r w:rsidR="002E548D">
        <w:rPr>
          <w:lang w:val="en-US"/>
        </w:rPr>
        <w:t xml:space="preserve"> (</w:t>
      </w:r>
      <w:r w:rsidR="002E548D" w:rsidRPr="002E548D">
        <w:rPr>
          <w:lang w:val="en-US"/>
        </w:rPr>
        <w:t>or rather prosecution</w:t>
      </w:r>
      <w:r w:rsidR="002E548D">
        <w:rPr>
          <w:lang w:val="en-US"/>
        </w:rPr>
        <w:t>)</w:t>
      </w:r>
      <w:r w:rsidR="002E548D" w:rsidRPr="002E548D">
        <w:rPr>
          <w:lang w:val="en-US"/>
        </w:rPr>
        <w:t xml:space="preserve"> which ensued. </w:t>
      </w:r>
    </w:p>
    <w:p w14:paraId="063A7A24" w14:textId="4D21DE30" w:rsidR="00A95BE1" w:rsidRDefault="00D8240B" w:rsidP="00D8240B">
      <w:pPr>
        <w:pStyle w:val="level1"/>
        <w:numPr>
          <w:ilvl w:val="0"/>
          <w:numId w:val="0"/>
        </w:numPr>
        <w:spacing w:after="480" w:line="360" w:lineRule="auto"/>
        <w:jc w:val="both"/>
        <w:rPr>
          <w:lang w:val="en-US"/>
        </w:rPr>
      </w:pPr>
      <w:r>
        <w:rPr>
          <w:lang w:val="en-US"/>
        </w:rPr>
        <w:t>[22]</w:t>
      </w:r>
      <w:r>
        <w:rPr>
          <w:lang w:val="en-US"/>
        </w:rPr>
        <w:tab/>
      </w:r>
      <w:r w:rsidR="00A95BE1">
        <w:rPr>
          <w:lang w:val="en-US"/>
        </w:rPr>
        <w:t>I conclude that the respondents’ challenge on this ground must fail.</w:t>
      </w:r>
    </w:p>
    <w:p w14:paraId="5EF26B13" w14:textId="7441198A" w:rsidR="001A3E3A" w:rsidRPr="008F4685" w:rsidRDefault="001A3E3A" w:rsidP="00342A9F">
      <w:pPr>
        <w:pStyle w:val="level1"/>
        <w:numPr>
          <w:ilvl w:val="0"/>
          <w:numId w:val="0"/>
        </w:numPr>
        <w:spacing w:after="480" w:line="360" w:lineRule="auto"/>
        <w:jc w:val="both"/>
        <w:rPr>
          <w:i/>
          <w:lang w:val="en-US"/>
        </w:rPr>
      </w:pPr>
      <w:r w:rsidRPr="008F4685">
        <w:rPr>
          <w:i/>
          <w:lang w:val="en-US"/>
        </w:rPr>
        <w:t xml:space="preserve">Has the applicant </w:t>
      </w:r>
      <w:r w:rsidR="008F4685" w:rsidRPr="008F4685">
        <w:rPr>
          <w:i/>
          <w:lang w:val="en-US"/>
        </w:rPr>
        <w:t>established the requirements of s 3(4)(b) of the Act</w:t>
      </w:r>
      <w:r w:rsidRPr="008F4685">
        <w:rPr>
          <w:i/>
          <w:lang w:val="en-US"/>
        </w:rPr>
        <w:t>?</w:t>
      </w:r>
    </w:p>
    <w:p w14:paraId="309EF162" w14:textId="26C776B6" w:rsidR="0039420D" w:rsidRDefault="00D8240B" w:rsidP="00D8240B">
      <w:pPr>
        <w:pStyle w:val="level1"/>
        <w:numPr>
          <w:ilvl w:val="0"/>
          <w:numId w:val="0"/>
        </w:numPr>
        <w:spacing w:after="480" w:line="360" w:lineRule="auto"/>
        <w:jc w:val="both"/>
        <w:rPr>
          <w:lang w:val="en-US"/>
        </w:rPr>
      </w:pPr>
      <w:r>
        <w:rPr>
          <w:lang w:val="en-US"/>
        </w:rPr>
        <w:t>[23]</w:t>
      </w:r>
      <w:r>
        <w:rPr>
          <w:lang w:val="en-US"/>
        </w:rPr>
        <w:tab/>
      </w:r>
      <w:r w:rsidR="004F32DD">
        <w:rPr>
          <w:lang w:val="en-US"/>
        </w:rPr>
        <w:t>Section</w:t>
      </w:r>
      <w:r w:rsidR="00A62363">
        <w:rPr>
          <w:lang w:val="en-US"/>
        </w:rPr>
        <w:t xml:space="preserve"> 3 of the Act provides:</w:t>
      </w:r>
    </w:p>
    <w:p w14:paraId="090545F8" w14:textId="70B0E5FC" w:rsidR="00C63569" w:rsidRDefault="004F32DD" w:rsidP="00F473D3">
      <w:pPr>
        <w:pStyle w:val="level1"/>
        <w:numPr>
          <w:ilvl w:val="0"/>
          <w:numId w:val="0"/>
        </w:numPr>
        <w:spacing w:after="480"/>
        <w:ind w:left="720"/>
        <w:jc w:val="both"/>
        <w:rPr>
          <w:i/>
          <w:sz w:val="20"/>
          <w:szCs w:val="20"/>
          <w:lang w:val="en-US"/>
        </w:rPr>
      </w:pPr>
      <w:r>
        <w:rPr>
          <w:i/>
          <w:sz w:val="20"/>
          <w:szCs w:val="20"/>
          <w:lang w:val="en-US"/>
        </w:rPr>
        <w:t>“</w:t>
      </w:r>
      <w:r w:rsidR="00A62363" w:rsidRPr="00F473D3">
        <w:rPr>
          <w:i/>
          <w:sz w:val="20"/>
          <w:szCs w:val="20"/>
          <w:lang w:val="en-US"/>
        </w:rPr>
        <w:t xml:space="preserve">(1) No legal proceedings for the recovery of a debt may be instituted against an organ of state unless – </w:t>
      </w:r>
    </w:p>
    <w:p w14:paraId="61879EFB" w14:textId="2DD99DA9" w:rsidR="00C63569" w:rsidRDefault="00A62363" w:rsidP="00F473D3">
      <w:pPr>
        <w:pStyle w:val="level1"/>
        <w:numPr>
          <w:ilvl w:val="0"/>
          <w:numId w:val="0"/>
        </w:numPr>
        <w:spacing w:after="480"/>
        <w:ind w:left="720"/>
        <w:jc w:val="both"/>
        <w:rPr>
          <w:i/>
          <w:sz w:val="20"/>
          <w:szCs w:val="20"/>
          <w:lang w:val="en-US"/>
        </w:rPr>
      </w:pPr>
      <w:r w:rsidRPr="00F473D3">
        <w:rPr>
          <w:i/>
          <w:sz w:val="20"/>
          <w:szCs w:val="20"/>
          <w:lang w:val="en-US"/>
        </w:rPr>
        <w:t>(a) the creditor has given the organ of state in question notice in writing of his or her o</w:t>
      </w:r>
      <w:r w:rsidR="002E548D">
        <w:rPr>
          <w:i/>
          <w:sz w:val="20"/>
          <w:szCs w:val="20"/>
          <w:lang w:val="en-US"/>
        </w:rPr>
        <w:t>r</w:t>
      </w:r>
      <w:r w:rsidRPr="00F473D3">
        <w:rPr>
          <w:i/>
          <w:sz w:val="20"/>
          <w:szCs w:val="20"/>
          <w:lang w:val="en-US"/>
        </w:rPr>
        <w:t xml:space="preserve"> its intention to institute the legal proceedings in question; or </w:t>
      </w:r>
    </w:p>
    <w:p w14:paraId="23F4AAFC" w14:textId="77777777" w:rsidR="00C63569" w:rsidRDefault="00C63569" w:rsidP="00F473D3">
      <w:pPr>
        <w:pStyle w:val="level1"/>
        <w:numPr>
          <w:ilvl w:val="0"/>
          <w:numId w:val="0"/>
        </w:numPr>
        <w:spacing w:after="480"/>
        <w:ind w:left="720"/>
        <w:jc w:val="both"/>
        <w:rPr>
          <w:i/>
          <w:sz w:val="20"/>
          <w:szCs w:val="20"/>
          <w:lang w:val="en-US"/>
        </w:rPr>
      </w:pPr>
      <w:r>
        <w:rPr>
          <w:i/>
          <w:sz w:val="20"/>
          <w:szCs w:val="20"/>
          <w:lang w:val="en-US"/>
        </w:rPr>
        <w:t>(</w:t>
      </w:r>
      <w:r w:rsidR="00A62363" w:rsidRPr="00F473D3">
        <w:rPr>
          <w:i/>
          <w:sz w:val="20"/>
          <w:szCs w:val="20"/>
          <w:lang w:val="en-US"/>
        </w:rPr>
        <w:t>b) the organ of state in question has consented in writing to the institution of that legal proceedings-(</w:t>
      </w:r>
      <w:proofErr w:type="spellStart"/>
      <w:r w:rsidR="00A62363" w:rsidRPr="00F473D3">
        <w:rPr>
          <w:i/>
          <w:sz w:val="20"/>
          <w:szCs w:val="20"/>
          <w:lang w:val="en-US"/>
        </w:rPr>
        <w:t>i</w:t>
      </w:r>
      <w:proofErr w:type="spellEnd"/>
      <w:r w:rsidR="00A62363" w:rsidRPr="00F473D3">
        <w:rPr>
          <w:i/>
          <w:sz w:val="20"/>
          <w:szCs w:val="20"/>
          <w:lang w:val="en-US"/>
        </w:rPr>
        <w:t xml:space="preserve">) without such notice; or (ii) upon receipt of a notice which does not comply with the requirements set out in subsection 2. </w:t>
      </w:r>
    </w:p>
    <w:p w14:paraId="1D5F5D0C" w14:textId="77777777" w:rsidR="00D00263" w:rsidRDefault="00A62363" w:rsidP="00F473D3">
      <w:pPr>
        <w:pStyle w:val="level1"/>
        <w:numPr>
          <w:ilvl w:val="0"/>
          <w:numId w:val="0"/>
        </w:numPr>
        <w:spacing w:after="480"/>
        <w:ind w:left="720"/>
        <w:jc w:val="both"/>
        <w:rPr>
          <w:i/>
          <w:sz w:val="20"/>
          <w:szCs w:val="20"/>
          <w:lang w:val="en-US"/>
        </w:rPr>
      </w:pPr>
      <w:r w:rsidRPr="00F473D3">
        <w:rPr>
          <w:i/>
          <w:sz w:val="20"/>
          <w:szCs w:val="20"/>
          <w:lang w:val="en-US"/>
        </w:rPr>
        <w:t>(2) A notice must-</w:t>
      </w:r>
    </w:p>
    <w:p w14:paraId="14C5C4BE" w14:textId="77777777" w:rsidR="00D00263" w:rsidRDefault="00A62363" w:rsidP="00F473D3">
      <w:pPr>
        <w:pStyle w:val="level1"/>
        <w:numPr>
          <w:ilvl w:val="0"/>
          <w:numId w:val="0"/>
        </w:numPr>
        <w:spacing w:after="480"/>
        <w:ind w:left="720"/>
        <w:jc w:val="both"/>
        <w:rPr>
          <w:i/>
          <w:sz w:val="20"/>
          <w:szCs w:val="20"/>
          <w:lang w:val="en-US"/>
        </w:rPr>
      </w:pPr>
      <w:r w:rsidRPr="00F473D3">
        <w:rPr>
          <w:i/>
          <w:sz w:val="20"/>
          <w:szCs w:val="20"/>
          <w:lang w:val="en-US"/>
        </w:rPr>
        <w:t xml:space="preserve">(a) within six months from the date on which the debt became due, be served on the organ of state in accordance with section 4(1); and </w:t>
      </w:r>
    </w:p>
    <w:p w14:paraId="4E6BF4A2" w14:textId="63497977" w:rsidR="00BD3517" w:rsidRDefault="00A62363" w:rsidP="00F473D3">
      <w:pPr>
        <w:pStyle w:val="level1"/>
        <w:numPr>
          <w:ilvl w:val="0"/>
          <w:numId w:val="0"/>
        </w:numPr>
        <w:spacing w:after="480"/>
        <w:ind w:left="720"/>
        <w:jc w:val="both"/>
        <w:rPr>
          <w:i/>
          <w:sz w:val="20"/>
          <w:szCs w:val="20"/>
          <w:lang w:val="en-US"/>
        </w:rPr>
      </w:pPr>
      <w:r w:rsidRPr="00F473D3">
        <w:rPr>
          <w:i/>
          <w:sz w:val="20"/>
          <w:szCs w:val="20"/>
          <w:lang w:val="en-US"/>
        </w:rPr>
        <w:lastRenderedPageBreak/>
        <w:t>(b) briefly set out – (</w:t>
      </w:r>
      <w:proofErr w:type="spellStart"/>
      <w:r w:rsidRPr="00F473D3">
        <w:rPr>
          <w:i/>
          <w:sz w:val="20"/>
          <w:szCs w:val="20"/>
          <w:lang w:val="en-US"/>
        </w:rPr>
        <w:t>i</w:t>
      </w:r>
      <w:proofErr w:type="spellEnd"/>
      <w:r w:rsidRPr="00F473D3">
        <w:rPr>
          <w:i/>
          <w:sz w:val="20"/>
          <w:szCs w:val="20"/>
          <w:lang w:val="en-US"/>
        </w:rPr>
        <w:t xml:space="preserve">) the facts giving rise to the debt; and (ii) such particulars of such debt as are within the knowledge of the creditor </w:t>
      </w:r>
    </w:p>
    <w:p w14:paraId="09A007F7" w14:textId="19599A3C" w:rsidR="00A62363" w:rsidRDefault="00A62363" w:rsidP="00F473D3">
      <w:pPr>
        <w:pStyle w:val="level1"/>
        <w:numPr>
          <w:ilvl w:val="0"/>
          <w:numId w:val="0"/>
        </w:numPr>
        <w:spacing w:after="480"/>
        <w:ind w:left="720"/>
        <w:jc w:val="both"/>
        <w:rPr>
          <w:i/>
          <w:sz w:val="20"/>
          <w:szCs w:val="20"/>
          <w:lang w:val="en-US"/>
        </w:rPr>
      </w:pPr>
      <w:r w:rsidRPr="00F473D3">
        <w:rPr>
          <w:i/>
          <w:sz w:val="20"/>
          <w:szCs w:val="20"/>
          <w:lang w:val="en-US"/>
        </w:rPr>
        <w:t>(3)</w:t>
      </w:r>
      <w:r w:rsidR="00BD3517">
        <w:rPr>
          <w:i/>
          <w:sz w:val="20"/>
          <w:szCs w:val="20"/>
          <w:lang w:val="en-US"/>
        </w:rPr>
        <w:t xml:space="preserve"> For purposes of subsection (2)(a)-</w:t>
      </w:r>
    </w:p>
    <w:p w14:paraId="1D7EBEB3" w14:textId="3DCD2528" w:rsidR="00BD3517" w:rsidRDefault="00BD3517" w:rsidP="00F473D3">
      <w:pPr>
        <w:pStyle w:val="level1"/>
        <w:numPr>
          <w:ilvl w:val="0"/>
          <w:numId w:val="0"/>
        </w:numPr>
        <w:spacing w:after="480"/>
        <w:ind w:left="720"/>
        <w:jc w:val="both"/>
        <w:rPr>
          <w:i/>
          <w:sz w:val="20"/>
          <w:szCs w:val="20"/>
          <w:lang w:val="en-US"/>
        </w:rPr>
      </w:pPr>
      <w:r>
        <w:rPr>
          <w:i/>
          <w:sz w:val="20"/>
          <w:szCs w:val="20"/>
          <w:lang w:val="en-US"/>
        </w:rPr>
        <w:t>(a) a debt may not be regarded as being due until the creditor has knowledge of the identity of the organ of state and the facts giving rise to the debt, but a creditor must be regarded as having acquired such knowledge as soon as he or she or it could have acquired it by exercising reasonable care, unless the organ of state willfully prevented him or her or it from acquiring such knowledge; and</w:t>
      </w:r>
    </w:p>
    <w:p w14:paraId="37E7D3A4" w14:textId="5CDCFDB6" w:rsidR="00BD3517" w:rsidRDefault="00BD3517" w:rsidP="00F473D3">
      <w:pPr>
        <w:pStyle w:val="level1"/>
        <w:numPr>
          <w:ilvl w:val="0"/>
          <w:numId w:val="0"/>
        </w:numPr>
        <w:spacing w:after="480"/>
        <w:ind w:left="720"/>
        <w:jc w:val="both"/>
        <w:rPr>
          <w:i/>
          <w:sz w:val="20"/>
          <w:szCs w:val="20"/>
          <w:lang w:val="en-US"/>
        </w:rPr>
      </w:pPr>
      <w:r>
        <w:rPr>
          <w:i/>
          <w:sz w:val="20"/>
          <w:szCs w:val="20"/>
          <w:lang w:val="en-US"/>
        </w:rPr>
        <w:t>(b) a debt referred to in section 2(2)(</w:t>
      </w:r>
      <w:r w:rsidR="004F32DD">
        <w:rPr>
          <w:i/>
          <w:sz w:val="20"/>
          <w:szCs w:val="20"/>
          <w:lang w:val="en-US"/>
        </w:rPr>
        <w:t>a), must be regarded as having become due on the fixed date.</w:t>
      </w:r>
    </w:p>
    <w:p w14:paraId="24FE0643" w14:textId="325B6B58" w:rsidR="004F32DD" w:rsidRDefault="004F32DD" w:rsidP="00F473D3">
      <w:pPr>
        <w:pStyle w:val="level1"/>
        <w:numPr>
          <w:ilvl w:val="0"/>
          <w:numId w:val="0"/>
        </w:numPr>
        <w:spacing w:after="480"/>
        <w:ind w:left="720"/>
        <w:jc w:val="both"/>
        <w:rPr>
          <w:i/>
          <w:sz w:val="20"/>
          <w:szCs w:val="20"/>
          <w:lang w:val="en-US"/>
        </w:rPr>
      </w:pPr>
      <w:r>
        <w:rPr>
          <w:i/>
          <w:sz w:val="20"/>
          <w:szCs w:val="20"/>
          <w:lang w:val="en-US"/>
        </w:rPr>
        <w:t>(4)(a) If an organ of state relies on a creditor’s failure to serve a notice in terms of subsection (2)(a), the creditor may apply to a court having jurisdiction for condonation of such failure.</w:t>
      </w:r>
    </w:p>
    <w:p w14:paraId="74BE1BBF" w14:textId="53F83246" w:rsidR="004F32DD" w:rsidRDefault="004F32DD" w:rsidP="00F473D3">
      <w:pPr>
        <w:pStyle w:val="level1"/>
        <w:numPr>
          <w:ilvl w:val="0"/>
          <w:numId w:val="0"/>
        </w:numPr>
        <w:spacing w:after="480"/>
        <w:ind w:left="720"/>
        <w:jc w:val="both"/>
        <w:rPr>
          <w:i/>
          <w:sz w:val="20"/>
          <w:szCs w:val="20"/>
          <w:lang w:val="en-US"/>
        </w:rPr>
      </w:pPr>
      <w:r>
        <w:rPr>
          <w:i/>
          <w:sz w:val="20"/>
          <w:szCs w:val="20"/>
          <w:lang w:val="en-US"/>
        </w:rPr>
        <w:t>(b) The court may grant an application referred to in paragraph (a) if it is satisfied that-</w:t>
      </w:r>
    </w:p>
    <w:p w14:paraId="717975E8" w14:textId="3B682E5D" w:rsidR="004F32DD" w:rsidRDefault="00D8240B" w:rsidP="00D8240B">
      <w:pPr>
        <w:pStyle w:val="level1"/>
        <w:numPr>
          <w:ilvl w:val="0"/>
          <w:numId w:val="0"/>
        </w:numPr>
        <w:spacing w:after="480"/>
        <w:ind w:left="1440" w:hanging="720"/>
        <w:jc w:val="both"/>
        <w:rPr>
          <w:i/>
          <w:sz w:val="20"/>
          <w:szCs w:val="20"/>
          <w:lang w:val="en-US"/>
        </w:rPr>
      </w:pPr>
      <w:r>
        <w:rPr>
          <w:i/>
          <w:sz w:val="20"/>
          <w:szCs w:val="20"/>
          <w:lang w:val="en-US"/>
        </w:rPr>
        <w:t>(</w:t>
      </w:r>
      <w:proofErr w:type="spellStart"/>
      <w:r>
        <w:rPr>
          <w:i/>
          <w:sz w:val="20"/>
          <w:szCs w:val="20"/>
          <w:lang w:val="en-US"/>
        </w:rPr>
        <w:t>i</w:t>
      </w:r>
      <w:proofErr w:type="spellEnd"/>
      <w:r>
        <w:rPr>
          <w:i/>
          <w:sz w:val="20"/>
          <w:szCs w:val="20"/>
          <w:lang w:val="en-US"/>
        </w:rPr>
        <w:t>)</w:t>
      </w:r>
      <w:r>
        <w:rPr>
          <w:i/>
          <w:sz w:val="20"/>
          <w:szCs w:val="20"/>
          <w:lang w:val="en-US"/>
        </w:rPr>
        <w:tab/>
      </w:r>
      <w:r w:rsidR="004F32DD">
        <w:rPr>
          <w:i/>
          <w:sz w:val="20"/>
          <w:szCs w:val="20"/>
          <w:lang w:val="en-US"/>
        </w:rPr>
        <w:t xml:space="preserve">the debt has not been extinguished by </w:t>
      </w:r>
      <w:proofErr w:type="gramStart"/>
      <w:r w:rsidR="004F32DD">
        <w:rPr>
          <w:i/>
          <w:sz w:val="20"/>
          <w:szCs w:val="20"/>
          <w:lang w:val="en-US"/>
        </w:rPr>
        <w:t>prescription;</w:t>
      </w:r>
      <w:proofErr w:type="gramEnd"/>
      <w:r w:rsidR="004F32DD">
        <w:rPr>
          <w:i/>
          <w:sz w:val="20"/>
          <w:szCs w:val="20"/>
          <w:lang w:val="en-US"/>
        </w:rPr>
        <w:t xml:space="preserve"> </w:t>
      </w:r>
    </w:p>
    <w:p w14:paraId="526360CA" w14:textId="2B8228E9" w:rsidR="004F32DD" w:rsidRDefault="00D8240B" w:rsidP="00D8240B">
      <w:pPr>
        <w:pStyle w:val="level1"/>
        <w:numPr>
          <w:ilvl w:val="0"/>
          <w:numId w:val="0"/>
        </w:numPr>
        <w:spacing w:after="480"/>
        <w:ind w:left="1440" w:hanging="720"/>
        <w:jc w:val="both"/>
        <w:rPr>
          <w:i/>
          <w:sz w:val="20"/>
          <w:szCs w:val="20"/>
          <w:lang w:val="en-US"/>
        </w:rPr>
      </w:pPr>
      <w:r>
        <w:rPr>
          <w:i/>
          <w:sz w:val="20"/>
          <w:szCs w:val="20"/>
          <w:lang w:val="en-US"/>
        </w:rPr>
        <w:t>(ii)</w:t>
      </w:r>
      <w:r>
        <w:rPr>
          <w:i/>
          <w:sz w:val="20"/>
          <w:szCs w:val="20"/>
          <w:lang w:val="en-US"/>
        </w:rPr>
        <w:tab/>
      </w:r>
      <w:r w:rsidR="004F32DD">
        <w:rPr>
          <w:i/>
          <w:sz w:val="20"/>
          <w:szCs w:val="20"/>
          <w:lang w:val="en-US"/>
        </w:rPr>
        <w:t xml:space="preserve"> good cause exists for the failure by the creditor; and</w:t>
      </w:r>
    </w:p>
    <w:p w14:paraId="4D3DB49F" w14:textId="1B5874B6" w:rsidR="004F32DD" w:rsidRDefault="00D8240B" w:rsidP="00D8240B">
      <w:pPr>
        <w:pStyle w:val="level1"/>
        <w:numPr>
          <w:ilvl w:val="0"/>
          <w:numId w:val="0"/>
        </w:numPr>
        <w:spacing w:after="480"/>
        <w:ind w:left="1440" w:hanging="720"/>
        <w:jc w:val="both"/>
        <w:rPr>
          <w:i/>
          <w:sz w:val="20"/>
          <w:szCs w:val="20"/>
          <w:lang w:val="en-US"/>
        </w:rPr>
      </w:pPr>
      <w:r>
        <w:rPr>
          <w:i/>
          <w:sz w:val="20"/>
          <w:szCs w:val="20"/>
          <w:lang w:val="en-US"/>
        </w:rPr>
        <w:t>(iii)</w:t>
      </w:r>
      <w:r>
        <w:rPr>
          <w:i/>
          <w:sz w:val="20"/>
          <w:szCs w:val="20"/>
          <w:lang w:val="en-US"/>
        </w:rPr>
        <w:tab/>
      </w:r>
      <w:r w:rsidR="004F32DD">
        <w:rPr>
          <w:i/>
          <w:sz w:val="20"/>
          <w:szCs w:val="20"/>
          <w:lang w:val="en-US"/>
        </w:rPr>
        <w:t xml:space="preserve">the organ of state was not unreasonably prejudiced by the </w:t>
      </w:r>
      <w:proofErr w:type="gramStart"/>
      <w:r w:rsidR="004F32DD">
        <w:rPr>
          <w:i/>
          <w:sz w:val="20"/>
          <w:szCs w:val="20"/>
          <w:lang w:val="en-US"/>
        </w:rPr>
        <w:t>failure;</w:t>
      </w:r>
      <w:proofErr w:type="gramEnd"/>
    </w:p>
    <w:p w14:paraId="63790F8F" w14:textId="2EE630A7" w:rsidR="004F32DD" w:rsidRDefault="004F32DD" w:rsidP="004F32DD">
      <w:pPr>
        <w:pStyle w:val="level1"/>
        <w:numPr>
          <w:ilvl w:val="0"/>
          <w:numId w:val="0"/>
        </w:numPr>
        <w:spacing w:after="480"/>
        <w:ind w:left="720"/>
        <w:jc w:val="both"/>
        <w:rPr>
          <w:i/>
          <w:sz w:val="20"/>
          <w:szCs w:val="20"/>
          <w:lang w:val="en-US"/>
        </w:rPr>
      </w:pPr>
      <w:r>
        <w:rPr>
          <w:i/>
          <w:sz w:val="20"/>
          <w:szCs w:val="20"/>
          <w:lang w:val="en-US"/>
        </w:rPr>
        <w:t xml:space="preserve">(c) If an application is granted in terms of paragraph (b), the court may grant leave to institute the legal proceedings in question, on such conditions regarding notice to the organ of state as the court may deem appropriate.” </w:t>
      </w:r>
    </w:p>
    <w:p w14:paraId="76E5B07A" w14:textId="5AC38F2C" w:rsidR="00C951D7" w:rsidRDefault="00D8240B" w:rsidP="00D8240B">
      <w:pPr>
        <w:pStyle w:val="level1"/>
        <w:numPr>
          <w:ilvl w:val="0"/>
          <w:numId w:val="0"/>
        </w:numPr>
        <w:spacing w:after="480" w:line="360" w:lineRule="auto"/>
        <w:jc w:val="both"/>
        <w:rPr>
          <w:lang w:val="en-US"/>
        </w:rPr>
      </w:pPr>
      <w:r>
        <w:rPr>
          <w:lang w:val="en-US"/>
        </w:rPr>
        <w:t>[24]</w:t>
      </w:r>
      <w:r>
        <w:rPr>
          <w:lang w:val="en-US"/>
        </w:rPr>
        <w:tab/>
      </w:r>
      <w:r w:rsidR="00A62363">
        <w:rPr>
          <w:lang w:val="en-US"/>
        </w:rPr>
        <w:t>The requirements of s</w:t>
      </w:r>
      <w:r w:rsidR="00E352F6">
        <w:rPr>
          <w:lang w:val="en-US"/>
        </w:rPr>
        <w:t xml:space="preserve"> </w:t>
      </w:r>
      <w:r w:rsidR="00A62363">
        <w:rPr>
          <w:lang w:val="en-US"/>
        </w:rPr>
        <w:t>3(4)(b) are cumulative</w:t>
      </w:r>
      <w:r w:rsidR="00B03536">
        <w:rPr>
          <w:lang w:val="en-US"/>
        </w:rPr>
        <w:t xml:space="preserve"> and a court may only exercise its discretion to condone non-compliance if all three requirements are met</w:t>
      </w:r>
      <w:r w:rsidR="00C60BCC">
        <w:rPr>
          <w:lang w:val="en-US"/>
        </w:rPr>
        <w:t xml:space="preserve"> </w:t>
      </w:r>
      <w:r w:rsidR="00B03536">
        <w:rPr>
          <w:rStyle w:val="FootnoteReference"/>
          <w:lang w:val="en-US"/>
        </w:rPr>
        <w:footnoteReference w:id="10"/>
      </w:r>
      <w:r w:rsidR="00B03536">
        <w:rPr>
          <w:lang w:val="en-US"/>
        </w:rPr>
        <w:t>.</w:t>
      </w:r>
    </w:p>
    <w:p w14:paraId="719039B5" w14:textId="745E2522" w:rsidR="00227264" w:rsidRDefault="00D8240B" w:rsidP="00D8240B">
      <w:pPr>
        <w:pStyle w:val="level1"/>
        <w:numPr>
          <w:ilvl w:val="0"/>
          <w:numId w:val="0"/>
        </w:numPr>
        <w:spacing w:after="480" w:line="360" w:lineRule="auto"/>
        <w:jc w:val="both"/>
        <w:rPr>
          <w:lang w:val="en-US"/>
        </w:rPr>
      </w:pPr>
      <w:r>
        <w:rPr>
          <w:lang w:val="en-US"/>
        </w:rPr>
        <w:t>[25]</w:t>
      </w:r>
      <w:r>
        <w:rPr>
          <w:lang w:val="en-US"/>
        </w:rPr>
        <w:tab/>
      </w:r>
      <w:r w:rsidR="00C951D7">
        <w:rPr>
          <w:lang w:val="en-US"/>
        </w:rPr>
        <w:t xml:space="preserve">It is well established that the phrase “if the court is satisfied” sets a standard which is not proof on a balance of </w:t>
      </w:r>
      <w:proofErr w:type="gramStart"/>
      <w:r w:rsidR="00C951D7">
        <w:rPr>
          <w:lang w:val="en-US"/>
        </w:rPr>
        <w:t>probabilities</w:t>
      </w:r>
      <w:proofErr w:type="gramEnd"/>
      <w:r w:rsidR="00C951D7">
        <w:rPr>
          <w:lang w:val="en-US"/>
        </w:rPr>
        <w:t xml:space="preserve"> but an overall impression made on a court which brings a fair mind to the facts set up by the parties</w:t>
      </w:r>
      <w:r w:rsidR="00C951D7">
        <w:rPr>
          <w:rStyle w:val="FootnoteReference"/>
          <w:lang w:val="en-US"/>
        </w:rPr>
        <w:footnoteReference w:id="11"/>
      </w:r>
      <w:r w:rsidR="00C951D7">
        <w:rPr>
          <w:lang w:val="en-US"/>
        </w:rPr>
        <w:t xml:space="preserve">. </w:t>
      </w:r>
    </w:p>
    <w:p w14:paraId="4A0133C9" w14:textId="40BED780" w:rsidR="00A62363" w:rsidRDefault="00D8240B" w:rsidP="00D8240B">
      <w:pPr>
        <w:pStyle w:val="level1"/>
        <w:numPr>
          <w:ilvl w:val="0"/>
          <w:numId w:val="0"/>
        </w:numPr>
        <w:spacing w:after="480" w:line="360" w:lineRule="auto"/>
        <w:jc w:val="both"/>
        <w:rPr>
          <w:lang w:val="en-US"/>
        </w:rPr>
      </w:pPr>
      <w:r>
        <w:rPr>
          <w:lang w:val="en-US"/>
        </w:rPr>
        <w:lastRenderedPageBreak/>
        <w:t>[26]</w:t>
      </w:r>
      <w:r>
        <w:rPr>
          <w:lang w:val="en-US"/>
        </w:rPr>
        <w:tab/>
      </w:r>
      <w:r w:rsidR="00C951D7">
        <w:rPr>
          <w:lang w:val="en-US"/>
        </w:rPr>
        <w:t>The first requirement envisages that the court must be satisfied that the applicant relies on an extant cause of action</w:t>
      </w:r>
      <w:r w:rsidR="00C951D7">
        <w:rPr>
          <w:rStyle w:val="FootnoteReference"/>
          <w:lang w:val="en-US"/>
        </w:rPr>
        <w:footnoteReference w:id="12"/>
      </w:r>
      <w:r w:rsidR="00C951D7">
        <w:rPr>
          <w:lang w:val="en-US"/>
        </w:rPr>
        <w:t xml:space="preserve"> </w:t>
      </w:r>
      <w:r w:rsidR="00A62363">
        <w:rPr>
          <w:lang w:val="en-US"/>
        </w:rPr>
        <w:t xml:space="preserve"> </w:t>
      </w:r>
      <w:r w:rsidR="00C951D7">
        <w:rPr>
          <w:lang w:val="en-US"/>
        </w:rPr>
        <w:t>.</w:t>
      </w:r>
    </w:p>
    <w:p w14:paraId="18CB538C" w14:textId="3CA5D3E5" w:rsidR="00D00263" w:rsidRDefault="00D8240B" w:rsidP="00D8240B">
      <w:pPr>
        <w:pStyle w:val="level1"/>
        <w:numPr>
          <w:ilvl w:val="0"/>
          <w:numId w:val="0"/>
        </w:numPr>
        <w:spacing w:after="480" w:line="360" w:lineRule="auto"/>
        <w:jc w:val="both"/>
        <w:rPr>
          <w:lang w:val="en-US"/>
        </w:rPr>
      </w:pPr>
      <w:r>
        <w:rPr>
          <w:lang w:val="en-US"/>
        </w:rPr>
        <w:t>[27]</w:t>
      </w:r>
      <w:r>
        <w:rPr>
          <w:lang w:val="en-US"/>
        </w:rPr>
        <w:tab/>
      </w:r>
      <w:r w:rsidR="00D00263">
        <w:rPr>
          <w:lang w:val="en-US"/>
        </w:rPr>
        <w:t>According to the respondent the majority of the applicant’s claim</w:t>
      </w:r>
      <w:r w:rsidR="00CD4F23">
        <w:rPr>
          <w:lang w:val="en-US"/>
        </w:rPr>
        <w:t>s</w:t>
      </w:r>
      <w:r w:rsidR="00D00263">
        <w:rPr>
          <w:lang w:val="en-US"/>
        </w:rPr>
        <w:t xml:space="preserve"> ha</w:t>
      </w:r>
      <w:r w:rsidR="00CD4F23">
        <w:rPr>
          <w:lang w:val="en-US"/>
        </w:rPr>
        <w:t>ve</w:t>
      </w:r>
      <w:r w:rsidR="00D00263">
        <w:rPr>
          <w:lang w:val="en-US"/>
        </w:rPr>
        <w:t xml:space="preserve"> prescribed, given that the applicant was arrested on 13 January 2012 and released on 18 November 2020. Reliance was placed on ss</w:t>
      </w:r>
      <w:r w:rsidR="00E352F6">
        <w:rPr>
          <w:lang w:val="en-US"/>
        </w:rPr>
        <w:t xml:space="preserve"> </w:t>
      </w:r>
      <w:r w:rsidR="00D00263">
        <w:rPr>
          <w:lang w:val="en-US"/>
        </w:rPr>
        <w:t>11(d) and 12(1) of the Prescription Act</w:t>
      </w:r>
      <w:r w:rsidR="00D00263">
        <w:rPr>
          <w:rStyle w:val="FootnoteReference"/>
          <w:lang w:val="en-US"/>
        </w:rPr>
        <w:footnoteReference w:id="13"/>
      </w:r>
      <w:r w:rsidR="00D00263">
        <w:rPr>
          <w:lang w:val="en-US"/>
        </w:rPr>
        <w:t xml:space="preserve">  </w:t>
      </w:r>
      <w:r w:rsidR="00CD4F23">
        <w:rPr>
          <w:lang w:val="en-US"/>
        </w:rPr>
        <w:t xml:space="preserve">in arguing that </w:t>
      </w:r>
      <w:r w:rsidR="00D00263">
        <w:rPr>
          <w:lang w:val="en-US"/>
        </w:rPr>
        <w:t>the alleged debts claimed by the applicant prescribe</w:t>
      </w:r>
      <w:r w:rsidR="00CD4F23">
        <w:rPr>
          <w:lang w:val="en-US"/>
        </w:rPr>
        <w:t>d</w:t>
      </w:r>
      <w:r w:rsidR="00D00263">
        <w:rPr>
          <w:lang w:val="en-US"/>
        </w:rPr>
        <w:t xml:space="preserve"> three years after they </w:t>
      </w:r>
      <w:r w:rsidR="00CD4F23">
        <w:rPr>
          <w:lang w:val="en-US"/>
        </w:rPr>
        <w:t>we</w:t>
      </w:r>
      <w:r w:rsidR="00D00263">
        <w:rPr>
          <w:lang w:val="en-US"/>
        </w:rPr>
        <w:t>re due.</w:t>
      </w:r>
    </w:p>
    <w:p w14:paraId="308B888D" w14:textId="0764AF4D" w:rsidR="00227264" w:rsidRDefault="00D8240B" w:rsidP="00D8240B">
      <w:pPr>
        <w:pStyle w:val="level1"/>
        <w:numPr>
          <w:ilvl w:val="0"/>
          <w:numId w:val="0"/>
        </w:numPr>
        <w:spacing w:after="480" w:line="360" w:lineRule="auto"/>
        <w:jc w:val="both"/>
        <w:rPr>
          <w:lang w:val="en-US"/>
        </w:rPr>
      </w:pPr>
      <w:r>
        <w:rPr>
          <w:lang w:val="en-US"/>
        </w:rPr>
        <w:t>[28]</w:t>
      </w:r>
      <w:r>
        <w:rPr>
          <w:lang w:val="en-US"/>
        </w:rPr>
        <w:tab/>
      </w:r>
      <w:r w:rsidR="00227264">
        <w:rPr>
          <w:lang w:val="en-US"/>
        </w:rPr>
        <w:t>The applicant disputed that his claim</w:t>
      </w:r>
      <w:r w:rsidR="00CD4F23">
        <w:rPr>
          <w:lang w:val="en-US"/>
        </w:rPr>
        <w:t>s</w:t>
      </w:r>
      <w:r w:rsidR="00227264">
        <w:rPr>
          <w:lang w:val="en-US"/>
        </w:rPr>
        <w:t xml:space="preserve"> ha</w:t>
      </w:r>
      <w:r w:rsidR="00CD4F23">
        <w:rPr>
          <w:lang w:val="en-US"/>
        </w:rPr>
        <w:t>ve</w:t>
      </w:r>
      <w:r w:rsidR="00227264">
        <w:rPr>
          <w:lang w:val="en-US"/>
        </w:rPr>
        <w:t xml:space="preserve"> prescribed and argued that the claim for unlawful arrest, subsequent detention and malicious prosecution was a continuous transaction which could not be regarded as complete until the outcome of the criminal prosecution</w:t>
      </w:r>
      <w:r w:rsidR="00D00263">
        <w:rPr>
          <w:lang w:val="en-US"/>
        </w:rPr>
        <w:t xml:space="preserve"> when the charges against him were withdrawn. </w:t>
      </w:r>
    </w:p>
    <w:p w14:paraId="7402689B" w14:textId="588F2AAA" w:rsidR="00227264" w:rsidRPr="00227264" w:rsidRDefault="00D8240B" w:rsidP="00D8240B">
      <w:pPr>
        <w:pStyle w:val="level1"/>
        <w:numPr>
          <w:ilvl w:val="0"/>
          <w:numId w:val="0"/>
        </w:numPr>
        <w:spacing w:after="480" w:line="360" w:lineRule="auto"/>
        <w:jc w:val="both"/>
        <w:rPr>
          <w:lang w:val="en-US"/>
        </w:rPr>
      </w:pPr>
      <w:r w:rsidRPr="00227264">
        <w:rPr>
          <w:lang w:val="en-US"/>
        </w:rPr>
        <w:t>[29]</w:t>
      </w:r>
      <w:r w:rsidRPr="00227264">
        <w:rPr>
          <w:lang w:val="en-US"/>
        </w:rPr>
        <w:tab/>
      </w:r>
      <w:r w:rsidR="00227264" w:rsidRPr="00227264">
        <w:rPr>
          <w:lang w:val="en-US"/>
        </w:rPr>
        <w:t xml:space="preserve">That </w:t>
      </w:r>
      <w:proofErr w:type="spellStart"/>
      <w:r w:rsidR="00227264" w:rsidRPr="00227264">
        <w:rPr>
          <w:lang w:val="en-US"/>
        </w:rPr>
        <w:t>characterisation</w:t>
      </w:r>
      <w:proofErr w:type="spellEnd"/>
      <w:r w:rsidR="00227264" w:rsidRPr="00227264">
        <w:rPr>
          <w:lang w:val="en-US"/>
        </w:rPr>
        <w:t xml:space="preserve"> is contrary to established law.</w:t>
      </w:r>
      <w:r w:rsidR="00227264">
        <w:rPr>
          <w:rStyle w:val="FootnoteReference"/>
          <w:lang w:val="en-US"/>
        </w:rPr>
        <w:footnoteReference w:id="14"/>
      </w:r>
      <w:r w:rsidR="00227264" w:rsidRPr="00227264">
        <w:rPr>
          <w:lang w:val="en-US"/>
        </w:rPr>
        <w:t xml:space="preserve"> An unlawful arrest is not a continuing wrong</w:t>
      </w:r>
      <w:r w:rsidR="00D00263">
        <w:rPr>
          <w:lang w:val="en-US"/>
        </w:rPr>
        <w:t>,</w:t>
      </w:r>
      <w:r w:rsidR="00227264" w:rsidRPr="00227264">
        <w:rPr>
          <w:lang w:val="en-US"/>
        </w:rPr>
        <w:t xml:space="preserve"> nor is it inextricably linked to an alleged unlawful detention that may follow it</w:t>
      </w:r>
      <w:r w:rsidR="00227264">
        <w:rPr>
          <w:rStyle w:val="FootnoteReference"/>
          <w:lang w:val="en-US"/>
        </w:rPr>
        <w:footnoteReference w:id="15"/>
      </w:r>
      <w:r w:rsidR="00227264" w:rsidRPr="00227264">
        <w:rPr>
          <w:lang w:val="en-US"/>
        </w:rPr>
        <w:t>.</w:t>
      </w:r>
      <w:r w:rsidR="00227264">
        <w:rPr>
          <w:lang w:val="en-US"/>
        </w:rPr>
        <w:t xml:space="preserve"> </w:t>
      </w:r>
      <w:r w:rsidR="00227264" w:rsidRPr="00227264">
        <w:rPr>
          <w:lang w:val="en-US"/>
        </w:rPr>
        <w:t xml:space="preserve">The approach with a continuous wrong is that it results in a series of debts arising from moment to moment, </w:t>
      </w:r>
      <w:proofErr w:type="gramStart"/>
      <w:r w:rsidR="00227264" w:rsidRPr="00227264">
        <w:rPr>
          <w:lang w:val="en-US"/>
        </w:rPr>
        <w:t>as long as</w:t>
      </w:r>
      <w:proofErr w:type="gramEnd"/>
      <w:r w:rsidR="00227264" w:rsidRPr="00227264">
        <w:rPr>
          <w:lang w:val="en-US"/>
        </w:rPr>
        <w:t xml:space="preserve"> the wrongful conduct endures. The applicant’s claim is thus based on three different causes of action.</w:t>
      </w:r>
    </w:p>
    <w:p w14:paraId="65C68AC3" w14:textId="65FDE6E1" w:rsidR="00CD4F23" w:rsidRDefault="00D8240B" w:rsidP="00D8240B">
      <w:pPr>
        <w:pStyle w:val="level1"/>
        <w:numPr>
          <w:ilvl w:val="0"/>
          <w:numId w:val="0"/>
        </w:numPr>
        <w:spacing w:after="480" w:line="360" w:lineRule="auto"/>
        <w:jc w:val="both"/>
        <w:rPr>
          <w:lang w:val="en-US"/>
        </w:rPr>
      </w:pPr>
      <w:r>
        <w:rPr>
          <w:lang w:val="en-US"/>
        </w:rPr>
        <w:t>[30]</w:t>
      </w:r>
      <w:r>
        <w:rPr>
          <w:lang w:val="en-US"/>
        </w:rPr>
        <w:tab/>
      </w:r>
      <w:r w:rsidR="002E2CEF" w:rsidRPr="00CD4F23">
        <w:rPr>
          <w:lang w:val="en-US"/>
        </w:rPr>
        <w:t>I agree that the applicants claim for unlawful arrest has become prescribed as it accrued on the date of his arrest.</w:t>
      </w:r>
      <w:r w:rsidR="00CD4F23">
        <w:rPr>
          <w:lang w:val="en-US"/>
        </w:rPr>
        <w:t xml:space="preserve"> </w:t>
      </w:r>
      <w:r w:rsidR="00227264" w:rsidRPr="00CD4F23">
        <w:rPr>
          <w:lang w:val="en-US"/>
        </w:rPr>
        <w:t>In relation to the applicant’s claim for unlawful detention the applicant sues for separate debts arising on each day of his detention</w:t>
      </w:r>
      <w:r w:rsidR="00227264">
        <w:rPr>
          <w:rStyle w:val="FootnoteReference"/>
          <w:lang w:val="en-US"/>
        </w:rPr>
        <w:footnoteReference w:id="16"/>
      </w:r>
      <w:r w:rsidR="00227264" w:rsidRPr="00CD4F23">
        <w:rPr>
          <w:lang w:val="en-US"/>
        </w:rPr>
        <w:t xml:space="preserve">. The continued detention gave rise to a separate cause of action for each day the applicant was so detained during the detention period. Although a portion of the applicant’s claim may </w:t>
      </w:r>
      <w:r w:rsidR="007708E2" w:rsidRPr="00CD4F23">
        <w:rPr>
          <w:lang w:val="en-US"/>
        </w:rPr>
        <w:t xml:space="preserve">well </w:t>
      </w:r>
      <w:r w:rsidR="00227264" w:rsidRPr="00CD4F23">
        <w:rPr>
          <w:lang w:val="en-US"/>
        </w:rPr>
        <w:t xml:space="preserve">have prescribed it cannot be concluded that his entire claim has prescribed. In </w:t>
      </w:r>
      <w:r w:rsidR="00227264" w:rsidRPr="00CD4F23">
        <w:rPr>
          <w:lang w:val="en-US"/>
        </w:rPr>
        <w:lastRenderedPageBreak/>
        <w:t>relation to the claim for malicious prosecution, that claim has not prescribed</w:t>
      </w:r>
      <w:r w:rsidR="00CD4F23">
        <w:rPr>
          <w:lang w:val="en-US"/>
        </w:rPr>
        <w:t>,</w:t>
      </w:r>
      <w:r w:rsidR="00227264" w:rsidRPr="00CD4F23">
        <w:rPr>
          <w:lang w:val="en-US"/>
        </w:rPr>
        <w:t xml:space="preserve"> given that prescripti</w:t>
      </w:r>
      <w:r w:rsidR="007708E2" w:rsidRPr="00CD4F23">
        <w:rPr>
          <w:lang w:val="en-US"/>
        </w:rPr>
        <w:t>o</w:t>
      </w:r>
      <w:r w:rsidR="00227264" w:rsidRPr="00CD4F23">
        <w:rPr>
          <w:lang w:val="en-US"/>
        </w:rPr>
        <w:t>n commences to run when the prosecution fails</w:t>
      </w:r>
      <w:r w:rsidR="00227264">
        <w:rPr>
          <w:rStyle w:val="FootnoteReference"/>
          <w:lang w:val="en-US"/>
        </w:rPr>
        <w:footnoteReference w:id="17"/>
      </w:r>
      <w:r w:rsidR="00227264" w:rsidRPr="00CD4F23">
        <w:rPr>
          <w:lang w:val="en-US"/>
        </w:rPr>
        <w:t xml:space="preserve">. </w:t>
      </w:r>
    </w:p>
    <w:p w14:paraId="4CAD19AD" w14:textId="51D7FC7B" w:rsidR="00227264" w:rsidRPr="00CD4F23" w:rsidRDefault="00D8240B" w:rsidP="00D8240B">
      <w:pPr>
        <w:pStyle w:val="level1"/>
        <w:numPr>
          <w:ilvl w:val="0"/>
          <w:numId w:val="0"/>
        </w:numPr>
        <w:spacing w:after="480" w:line="360" w:lineRule="auto"/>
        <w:jc w:val="both"/>
        <w:rPr>
          <w:lang w:val="en-US"/>
        </w:rPr>
      </w:pPr>
      <w:r w:rsidRPr="00CD4F23">
        <w:rPr>
          <w:lang w:val="en-US"/>
        </w:rPr>
        <w:t>[31]</w:t>
      </w:r>
      <w:r w:rsidRPr="00CD4F23">
        <w:rPr>
          <w:lang w:val="en-US"/>
        </w:rPr>
        <w:tab/>
      </w:r>
      <w:r w:rsidR="007708E2" w:rsidRPr="00CD4F23">
        <w:rPr>
          <w:lang w:val="en-US"/>
        </w:rPr>
        <w:t>I</w:t>
      </w:r>
      <w:r w:rsidR="00CD4F23">
        <w:rPr>
          <w:lang w:val="en-US"/>
        </w:rPr>
        <w:t xml:space="preserve"> conclude</w:t>
      </w:r>
      <w:r w:rsidR="007708E2" w:rsidRPr="00CD4F23">
        <w:rPr>
          <w:lang w:val="en-US"/>
        </w:rPr>
        <w:t xml:space="preserve"> that </w:t>
      </w:r>
      <w:r w:rsidR="00227264" w:rsidRPr="00CD4F23">
        <w:rPr>
          <w:lang w:val="en-US"/>
        </w:rPr>
        <w:t>the applicant has established that at least part of his claim</w:t>
      </w:r>
      <w:r w:rsidR="00CD4F23">
        <w:rPr>
          <w:lang w:val="en-US"/>
        </w:rPr>
        <w:t>s</w:t>
      </w:r>
      <w:r w:rsidR="00227264" w:rsidRPr="00CD4F23">
        <w:rPr>
          <w:lang w:val="en-US"/>
        </w:rPr>
        <w:t xml:space="preserve"> </w:t>
      </w:r>
      <w:proofErr w:type="gramStart"/>
      <w:r w:rsidR="00227264" w:rsidRPr="00CD4F23">
        <w:rPr>
          <w:lang w:val="en-US"/>
        </w:rPr>
        <w:t>remain</w:t>
      </w:r>
      <w:proofErr w:type="gramEnd"/>
      <w:r w:rsidR="00227264" w:rsidRPr="00CD4F23">
        <w:rPr>
          <w:lang w:val="en-US"/>
        </w:rPr>
        <w:t xml:space="preserve"> extant. </w:t>
      </w:r>
    </w:p>
    <w:p w14:paraId="74CDDE56" w14:textId="0B72E56B" w:rsidR="00CD4F23" w:rsidRDefault="00D8240B" w:rsidP="00D8240B">
      <w:pPr>
        <w:pStyle w:val="level1"/>
        <w:numPr>
          <w:ilvl w:val="0"/>
          <w:numId w:val="0"/>
        </w:numPr>
        <w:spacing w:after="480" w:line="360" w:lineRule="auto"/>
        <w:jc w:val="both"/>
        <w:rPr>
          <w:lang w:val="en-US"/>
        </w:rPr>
      </w:pPr>
      <w:r>
        <w:rPr>
          <w:lang w:val="en-US"/>
        </w:rPr>
        <w:t>[32]</w:t>
      </w:r>
      <w:r>
        <w:rPr>
          <w:lang w:val="en-US"/>
        </w:rPr>
        <w:tab/>
      </w:r>
      <w:r w:rsidR="00AE7EE9">
        <w:rPr>
          <w:lang w:val="en-US"/>
        </w:rPr>
        <w:t xml:space="preserve">As held in </w:t>
      </w:r>
      <w:proofErr w:type="spellStart"/>
      <w:r w:rsidR="00AE7EE9" w:rsidRPr="007708E2">
        <w:rPr>
          <w:i/>
          <w:lang w:val="en-US"/>
        </w:rPr>
        <w:t>Madinda</w:t>
      </w:r>
      <w:proofErr w:type="spellEnd"/>
      <w:r w:rsidR="00AE7EE9">
        <w:rPr>
          <w:rStyle w:val="FootnoteReference"/>
          <w:lang w:val="en-US"/>
        </w:rPr>
        <w:footnoteReference w:id="18"/>
      </w:r>
      <w:r w:rsidR="00AE7EE9">
        <w:rPr>
          <w:lang w:val="en-US"/>
        </w:rPr>
        <w:t>, a determination of good cause entails a consideration of all those factors which have a bearing on the fairness of granting condonation and affecting the proper administration of justice. Relevant factors might include</w:t>
      </w:r>
      <w:r w:rsidR="00544007">
        <w:rPr>
          <w:lang w:val="en-US"/>
        </w:rPr>
        <w:t>:</w:t>
      </w:r>
      <w:r w:rsidR="00AE7EE9">
        <w:rPr>
          <w:lang w:val="en-US"/>
        </w:rPr>
        <w:t xml:space="preserve"> (</w:t>
      </w:r>
      <w:proofErr w:type="spellStart"/>
      <w:r w:rsidR="00AE7EE9">
        <w:rPr>
          <w:lang w:val="en-US"/>
        </w:rPr>
        <w:t>i</w:t>
      </w:r>
      <w:proofErr w:type="spellEnd"/>
      <w:r w:rsidR="00AE7EE9">
        <w:rPr>
          <w:lang w:val="en-US"/>
        </w:rPr>
        <w:t>) the prospects of success in the proposed action; (ii) the reasons for the delay; (iii) the sufficiency for the explanation offered; (iv) the bona fides of the applicant and (v) any contribution by other persons or parties to the delay and the applicant’s responsibility therefor.</w:t>
      </w:r>
      <w:r w:rsidR="00C951D7">
        <w:rPr>
          <w:lang w:val="en-US"/>
        </w:rPr>
        <w:t xml:space="preserve"> In any given factual complex</w:t>
      </w:r>
      <w:r w:rsidR="00544007">
        <w:rPr>
          <w:lang w:val="en-US"/>
        </w:rPr>
        <w:t>,</w:t>
      </w:r>
      <w:r w:rsidR="00C951D7">
        <w:rPr>
          <w:lang w:val="en-US"/>
        </w:rPr>
        <w:t xml:space="preserve"> it may be that only some of many such possible factors become relevant. Ultimately an applicant must at least </w:t>
      </w:r>
      <w:proofErr w:type="gramStart"/>
      <w:r w:rsidR="00C951D7">
        <w:rPr>
          <w:lang w:val="en-US"/>
        </w:rPr>
        <w:t>furn</w:t>
      </w:r>
      <w:r w:rsidR="00B26268">
        <w:rPr>
          <w:lang w:val="en-US"/>
        </w:rPr>
        <w:t>ish</w:t>
      </w:r>
      <w:r w:rsidR="00C951D7">
        <w:rPr>
          <w:lang w:val="en-US"/>
        </w:rPr>
        <w:t>ing</w:t>
      </w:r>
      <w:proofErr w:type="gramEnd"/>
      <w:r w:rsidR="00C951D7">
        <w:rPr>
          <w:lang w:val="en-US"/>
        </w:rPr>
        <w:t xml:space="preserve"> an explanation for his default sufficiently full to enable a court to understand how it really came about and to assess his conduct and motives.</w:t>
      </w:r>
      <w:r w:rsidR="00B26268">
        <w:rPr>
          <w:rStyle w:val="FootnoteReference"/>
          <w:lang w:val="en-US"/>
        </w:rPr>
        <w:footnoteReference w:id="19"/>
      </w:r>
      <w:r w:rsidR="00CD4F23" w:rsidRPr="00CD4F23">
        <w:rPr>
          <w:lang w:val="en-US"/>
        </w:rPr>
        <w:t xml:space="preserve"> </w:t>
      </w:r>
    </w:p>
    <w:p w14:paraId="5E76A3A5" w14:textId="36CDAD02" w:rsidR="00CD4F23" w:rsidRDefault="00D8240B" w:rsidP="00D8240B">
      <w:pPr>
        <w:pStyle w:val="level1"/>
        <w:numPr>
          <w:ilvl w:val="0"/>
          <w:numId w:val="0"/>
        </w:numPr>
        <w:spacing w:after="480" w:line="360" w:lineRule="auto"/>
        <w:jc w:val="both"/>
        <w:rPr>
          <w:lang w:val="en-US"/>
        </w:rPr>
      </w:pPr>
      <w:r>
        <w:rPr>
          <w:lang w:val="en-US"/>
        </w:rPr>
        <w:t>[33]</w:t>
      </w:r>
      <w:r>
        <w:rPr>
          <w:lang w:val="en-US"/>
        </w:rPr>
        <w:tab/>
      </w:r>
      <w:r w:rsidR="00CD4F23">
        <w:rPr>
          <w:lang w:val="en-US"/>
        </w:rPr>
        <w:t>In considering good cause, the prospects of success on the merits play an important role, depending on the reasons for the delay which are provided by the applicant. If there are no prospects of success, it raises the question as to why a court should exercise a discretion to condone</w:t>
      </w:r>
      <w:r w:rsidR="00CD4F23">
        <w:rPr>
          <w:rStyle w:val="FootnoteReference"/>
          <w:lang w:val="en-US"/>
        </w:rPr>
        <w:footnoteReference w:id="20"/>
      </w:r>
      <w:r w:rsidR="00CD4F23">
        <w:rPr>
          <w:lang w:val="en-US"/>
        </w:rPr>
        <w:t>.</w:t>
      </w:r>
      <w:r w:rsidR="004F5806">
        <w:rPr>
          <w:lang w:val="en-US"/>
        </w:rPr>
        <w:t>:</w:t>
      </w:r>
    </w:p>
    <w:p w14:paraId="559DA0AE" w14:textId="457F1176" w:rsidR="004F5806" w:rsidRDefault="00D8240B" w:rsidP="00D8240B">
      <w:pPr>
        <w:pStyle w:val="level1"/>
        <w:numPr>
          <w:ilvl w:val="0"/>
          <w:numId w:val="0"/>
        </w:numPr>
        <w:spacing w:after="480" w:line="360" w:lineRule="auto"/>
        <w:jc w:val="both"/>
        <w:rPr>
          <w:lang w:val="en-US"/>
        </w:rPr>
      </w:pPr>
      <w:r>
        <w:rPr>
          <w:lang w:val="en-US"/>
        </w:rPr>
        <w:t>[34]</w:t>
      </w:r>
      <w:r>
        <w:rPr>
          <w:lang w:val="en-US"/>
        </w:rPr>
        <w:tab/>
      </w:r>
      <w:r w:rsidR="00F330F1" w:rsidRPr="00F330F1">
        <w:rPr>
          <w:lang w:val="en-US"/>
        </w:rPr>
        <w:t xml:space="preserve">As explained in </w:t>
      </w:r>
      <w:proofErr w:type="spellStart"/>
      <w:r w:rsidR="00F330F1" w:rsidRPr="00F330F1">
        <w:rPr>
          <w:i/>
          <w:lang w:val="en-US"/>
        </w:rPr>
        <w:t>Madinda</w:t>
      </w:r>
      <w:proofErr w:type="spellEnd"/>
      <w:r w:rsidR="00F330F1" w:rsidRPr="00F330F1">
        <w:rPr>
          <w:lang w:val="en-US"/>
        </w:rPr>
        <w:t>,</w:t>
      </w:r>
      <w:r w:rsidR="00F330F1">
        <w:rPr>
          <w:lang w:val="en-US"/>
        </w:rPr>
        <w:t xml:space="preserve"> t</w:t>
      </w:r>
      <w:r w:rsidR="00544007" w:rsidRPr="00F330F1">
        <w:rPr>
          <w:lang w:val="en-US"/>
        </w:rPr>
        <w:t xml:space="preserve">he issue is whether </w:t>
      </w:r>
      <w:r w:rsidR="00B26268" w:rsidRPr="00F330F1">
        <w:rPr>
          <w:lang w:val="en-US"/>
        </w:rPr>
        <w:t xml:space="preserve">the applicant </w:t>
      </w:r>
      <w:r w:rsidR="00544007" w:rsidRPr="00F330F1">
        <w:rPr>
          <w:lang w:val="en-US"/>
        </w:rPr>
        <w:t xml:space="preserve">has </w:t>
      </w:r>
      <w:r w:rsidR="00B26268" w:rsidRPr="00F330F1">
        <w:rPr>
          <w:lang w:val="en-US"/>
        </w:rPr>
        <w:t xml:space="preserve">produced acceptable reasons for nullifying in whole or at least substantially any culpability on his part which attaches to the delay in serving the notice timeously. </w:t>
      </w:r>
      <w:r w:rsidR="00544007" w:rsidRPr="00F330F1">
        <w:rPr>
          <w:lang w:val="en-US"/>
        </w:rPr>
        <w:t>It is trite that s</w:t>
      </w:r>
      <w:r w:rsidR="00B26268" w:rsidRPr="00F330F1">
        <w:rPr>
          <w:lang w:val="en-US"/>
        </w:rPr>
        <w:t xml:space="preserve">trong merits </w:t>
      </w:r>
      <w:r w:rsidR="00B26268" w:rsidRPr="00F330F1">
        <w:rPr>
          <w:lang w:val="en-US"/>
        </w:rPr>
        <w:lastRenderedPageBreak/>
        <w:t>may mitigate fault</w:t>
      </w:r>
      <w:r w:rsidR="00544007" w:rsidRPr="00F330F1">
        <w:rPr>
          <w:lang w:val="en-US"/>
        </w:rPr>
        <w:t xml:space="preserve"> and a lack of</w:t>
      </w:r>
      <w:r w:rsidR="00B26268" w:rsidRPr="00F330F1">
        <w:rPr>
          <w:lang w:val="en-US"/>
        </w:rPr>
        <w:t xml:space="preserve"> merit may render mitigation point</w:t>
      </w:r>
      <w:r w:rsidR="00544007" w:rsidRPr="00F330F1">
        <w:rPr>
          <w:lang w:val="en-US"/>
        </w:rPr>
        <w:t>l</w:t>
      </w:r>
      <w:r w:rsidR="00B26268" w:rsidRPr="00F330F1">
        <w:rPr>
          <w:lang w:val="en-US"/>
        </w:rPr>
        <w:t>ess</w:t>
      </w:r>
      <w:r w:rsidR="00D83CA6" w:rsidRPr="00F330F1">
        <w:rPr>
          <w:lang w:val="en-US"/>
        </w:rPr>
        <w:t>. As</w:t>
      </w:r>
      <w:r w:rsidR="008B2FED">
        <w:rPr>
          <w:lang w:val="en-US"/>
        </w:rPr>
        <w:t xml:space="preserve"> </w:t>
      </w:r>
      <w:proofErr w:type="gramStart"/>
      <w:r w:rsidR="008B2FED">
        <w:rPr>
          <w:lang w:val="en-US"/>
        </w:rPr>
        <w:t xml:space="preserve">further </w:t>
      </w:r>
      <w:r w:rsidR="00D83CA6" w:rsidRPr="00F330F1">
        <w:rPr>
          <w:lang w:val="en-US"/>
        </w:rPr>
        <w:t xml:space="preserve"> explained</w:t>
      </w:r>
      <w:proofErr w:type="gramEnd"/>
      <w:r w:rsidR="00D83CA6" w:rsidRPr="00F330F1">
        <w:rPr>
          <w:lang w:val="en-US"/>
        </w:rPr>
        <w:t xml:space="preserve"> </w:t>
      </w:r>
      <w:r w:rsidR="008B2FED">
        <w:rPr>
          <w:lang w:val="en-US"/>
        </w:rPr>
        <w:t xml:space="preserve">by </w:t>
      </w:r>
      <w:proofErr w:type="spellStart"/>
      <w:r w:rsidR="008B2FED">
        <w:rPr>
          <w:lang w:val="en-US"/>
        </w:rPr>
        <w:t>Heher</w:t>
      </w:r>
      <w:proofErr w:type="spellEnd"/>
      <w:r w:rsidR="008B2FED">
        <w:rPr>
          <w:lang w:val="en-US"/>
        </w:rPr>
        <w:t xml:space="preserve"> JA</w:t>
      </w:r>
      <w:r w:rsidR="004F5806" w:rsidRPr="004F5806">
        <w:rPr>
          <w:rStyle w:val="FootnoteReference"/>
          <w:i/>
          <w:sz w:val="20"/>
          <w:szCs w:val="20"/>
          <w:lang w:val="en-US"/>
        </w:rPr>
        <w:footnoteReference w:id="21"/>
      </w:r>
      <w:r w:rsidR="00D83CA6" w:rsidRPr="00F330F1">
        <w:rPr>
          <w:lang w:val="en-US"/>
        </w:rPr>
        <w:t xml:space="preserve">, </w:t>
      </w:r>
    </w:p>
    <w:p w14:paraId="1E2838EA" w14:textId="4C8B826B" w:rsidR="00B26268" w:rsidRPr="004F5806" w:rsidRDefault="004F5806" w:rsidP="004F5806">
      <w:pPr>
        <w:pStyle w:val="level1"/>
        <w:numPr>
          <w:ilvl w:val="0"/>
          <w:numId w:val="0"/>
        </w:numPr>
        <w:spacing w:after="480"/>
        <w:ind w:left="360"/>
        <w:jc w:val="both"/>
        <w:rPr>
          <w:i/>
          <w:sz w:val="20"/>
          <w:szCs w:val="20"/>
          <w:lang w:val="en-US"/>
        </w:rPr>
      </w:pPr>
      <w:r w:rsidRPr="004F5806">
        <w:rPr>
          <w:i/>
          <w:sz w:val="20"/>
          <w:szCs w:val="20"/>
          <w:lang w:val="en-US"/>
        </w:rPr>
        <w:t>“T</w:t>
      </w:r>
      <w:r w:rsidR="00B26268" w:rsidRPr="004F5806">
        <w:rPr>
          <w:i/>
          <w:sz w:val="20"/>
          <w:szCs w:val="20"/>
          <w:lang w:val="en-US"/>
        </w:rPr>
        <w:t xml:space="preserve">here are </w:t>
      </w:r>
      <w:r w:rsidR="00D83CA6" w:rsidRPr="004F5806">
        <w:rPr>
          <w:i/>
          <w:sz w:val="20"/>
          <w:szCs w:val="20"/>
          <w:lang w:val="en-US"/>
        </w:rPr>
        <w:t>two</w:t>
      </w:r>
      <w:r w:rsidR="00B26268" w:rsidRPr="004F5806">
        <w:rPr>
          <w:i/>
          <w:sz w:val="20"/>
          <w:szCs w:val="20"/>
          <w:lang w:val="en-US"/>
        </w:rPr>
        <w:t xml:space="preserve"> main elements at play</w:t>
      </w:r>
      <w:r w:rsidRPr="004F5806">
        <w:rPr>
          <w:i/>
          <w:sz w:val="20"/>
          <w:szCs w:val="20"/>
          <w:lang w:val="en-US"/>
        </w:rPr>
        <w:t xml:space="preserve"> in s 4(b)</w:t>
      </w:r>
      <w:r w:rsidR="00B26268" w:rsidRPr="004F5806">
        <w:rPr>
          <w:i/>
          <w:sz w:val="20"/>
          <w:szCs w:val="20"/>
          <w:lang w:val="en-US"/>
        </w:rPr>
        <w:t>, viz the subject</w:t>
      </w:r>
      <w:r w:rsidR="00D83CA6" w:rsidRPr="004F5806">
        <w:rPr>
          <w:i/>
          <w:sz w:val="20"/>
          <w:szCs w:val="20"/>
          <w:lang w:val="en-US"/>
        </w:rPr>
        <w:t>’</w:t>
      </w:r>
      <w:r w:rsidR="00B26268" w:rsidRPr="004F5806">
        <w:rPr>
          <w:i/>
          <w:sz w:val="20"/>
          <w:szCs w:val="20"/>
          <w:lang w:val="en-US"/>
        </w:rPr>
        <w:t>s righ</w:t>
      </w:r>
      <w:r w:rsidR="00D83CA6" w:rsidRPr="004F5806">
        <w:rPr>
          <w:i/>
          <w:sz w:val="20"/>
          <w:szCs w:val="20"/>
          <w:lang w:val="en-US"/>
        </w:rPr>
        <w:t>t</w:t>
      </w:r>
      <w:r w:rsidR="00B26268" w:rsidRPr="004F5806">
        <w:rPr>
          <w:i/>
          <w:sz w:val="20"/>
          <w:szCs w:val="20"/>
          <w:lang w:val="en-US"/>
        </w:rPr>
        <w:t xml:space="preserve"> to have the merits of his case tried by a court of law and the right of an order of state not to be unduly prejudiced by delay beyon</w:t>
      </w:r>
      <w:r w:rsidR="00D83CA6" w:rsidRPr="004F5806">
        <w:rPr>
          <w:i/>
          <w:sz w:val="20"/>
          <w:szCs w:val="20"/>
          <w:lang w:val="en-US"/>
        </w:rPr>
        <w:t>d</w:t>
      </w:r>
      <w:r w:rsidR="00B26268" w:rsidRPr="004F5806">
        <w:rPr>
          <w:i/>
          <w:sz w:val="20"/>
          <w:szCs w:val="20"/>
          <w:lang w:val="en-US"/>
        </w:rPr>
        <w:t xml:space="preserve"> the statutorily prescribed limit for the giving of the notice. S</w:t>
      </w:r>
      <w:r w:rsidRPr="004F5806">
        <w:rPr>
          <w:i/>
          <w:sz w:val="20"/>
          <w:szCs w:val="20"/>
          <w:lang w:val="en-US"/>
        </w:rPr>
        <w:t>ubparagraph (</w:t>
      </w:r>
      <w:r w:rsidR="00B26268" w:rsidRPr="004F5806">
        <w:rPr>
          <w:i/>
          <w:sz w:val="20"/>
          <w:szCs w:val="20"/>
          <w:lang w:val="en-US"/>
        </w:rPr>
        <w:t xml:space="preserve">iii) calls for the court to be satisfied as to the latter. </w:t>
      </w:r>
      <w:r w:rsidRPr="004F5806">
        <w:rPr>
          <w:i/>
          <w:sz w:val="20"/>
          <w:szCs w:val="20"/>
          <w:lang w:val="en-US"/>
        </w:rPr>
        <w:t>Logically, subparagraph (ii)</w:t>
      </w:r>
      <w:r w:rsidR="00B26268" w:rsidRPr="004F5806">
        <w:rPr>
          <w:i/>
          <w:sz w:val="20"/>
          <w:szCs w:val="20"/>
          <w:lang w:val="en-US"/>
        </w:rPr>
        <w:t xml:space="preserve"> is directed, at least in part, to whether the subject should be denied a trial on the merits</w:t>
      </w:r>
      <w:r w:rsidR="00D83CA6" w:rsidRPr="004F5806">
        <w:rPr>
          <w:i/>
          <w:sz w:val="20"/>
          <w:szCs w:val="20"/>
          <w:lang w:val="en-US"/>
        </w:rPr>
        <w:t>.</w:t>
      </w:r>
      <w:r w:rsidR="00B26268" w:rsidRPr="004F5806">
        <w:rPr>
          <w:i/>
          <w:sz w:val="20"/>
          <w:szCs w:val="20"/>
          <w:lang w:val="en-US"/>
        </w:rPr>
        <w:t xml:space="preserve"> If it were not so, consideration of pro</w:t>
      </w:r>
      <w:r w:rsidR="00D83CA6" w:rsidRPr="004F5806">
        <w:rPr>
          <w:i/>
          <w:sz w:val="20"/>
          <w:szCs w:val="20"/>
          <w:lang w:val="en-US"/>
        </w:rPr>
        <w:t>s</w:t>
      </w:r>
      <w:r w:rsidR="00B26268" w:rsidRPr="004F5806">
        <w:rPr>
          <w:i/>
          <w:sz w:val="20"/>
          <w:szCs w:val="20"/>
          <w:lang w:val="en-US"/>
        </w:rPr>
        <w:t>pects of success could be entirely excluded from the equation on the ground that failure to satisfy the court of the existence of good cause precluded the court from exercising its discretion to condone. That would require an unbalanced approach to the two elements and could hardly favour the interests of justice. Moreover, what can be achieved by putting the court to the task of exercising a di</w:t>
      </w:r>
      <w:r w:rsidR="00D83CA6" w:rsidRPr="004F5806">
        <w:rPr>
          <w:i/>
          <w:sz w:val="20"/>
          <w:szCs w:val="20"/>
          <w:lang w:val="en-US"/>
        </w:rPr>
        <w:t>sc</w:t>
      </w:r>
      <w:r w:rsidR="00B26268" w:rsidRPr="004F5806">
        <w:rPr>
          <w:i/>
          <w:sz w:val="20"/>
          <w:szCs w:val="20"/>
          <w:lang w:val="en-US"/>
        </w:rPr>
        <w:t>retion to condone if there is not prospect of success?</w:t>
      </w:r>
      <w:r>
        <w:rPr>
          <w:i/>
          <w:sz w:val="20"/>
          <w:szCs w:val="20"/>
          <w:lang w:val="en-US"/>
        </w:rPr>
        <w:t xml:space="preserve"> In addition, that the merits are shown to be strong or weak may </w:t>
      </w:r>
      <w:proofErr w:type="spellStart"/>
      <w:r>
        <w:rPr>
          <w:i/>
          <w:sz w:val="20"/>
          <w:szCs w:val="20"/>
          <w:lang w:val="en-US"/>
        </w:rPr>
        <w:t>colour</w:t>
      </w:r>
      <w:proofErr w:type="spellEnd"/>
      <w:r>
        <w:rPr>
          <w:i/>
          <w:sz w:val="20"/>
          <w:szCs w:val="20"/>
          <w:lang w:val="en-US"/>
        </w:rPr>
        <w:t xml:space="preserve"> an applicant’s explanation for conduct which bears on the delay: an applicant with an overwhelming case is hardly likely to be careless in pursing his or her interests, while one with little hope of success can easily be understood to drag his or her heels. As I interpret the requirement for good cause for the relay, the prospects of success re a relevant </w:t>
      </w:r>
      <w:proofErr w:type="gramStart"/>
      <w:r>
        <w:rPr>
          <w:i/>
          <w:sz w:val="20"/>
          <w:szCs w:val="20"/>
          <w:lang w:val="en-US"/>
        </w:rPr>
        <w:t>consideration.</w:t>
      </w:r>
      <w:r w:rsidR="00B26268" w:rsidRPr="004F5806">
        <w:rPr>
          <w:i/>
          <w:sz w:val="20"/>
          <w:szCs w:val="20"/>
          <w:lang w:val="en-US"/>
        </w:rPr>
        <w:t>“</w:t>
      </w:r>
      <w:proofErr w:type="gramEnd"/>
    </w:p>
    <w:p w14:paraId="5C58C168" w14:textId="07A0F90D" w:rsidR="00F330F1" w:rsidRDefault="00D8240B" w:rsidP="00D8240B">
      <w:pPr>
        <w:pStyle w:val="level1"/>
        <w:numPr>
          <w:ilvl w:val="0"/>
          <w:numId w:val="0"/>
        </w:numPr>
        <w:spacing w:after="480" w:line="360" w:lineRule="auto"/>
        <w:jc w:val="both"/>
        <w:rPr>
          <w:lang w:val="en-US"/>
        </w:rPr>
      </w:pPr>
      <w:r>
        <w:rPr>
          <w:lang w:val="en-US"/>
        </w:rPr>
        <w:t>[35]</w:t>
      </w:r>
      <w:r>
        <w:rPr>
          <w:lang w:val="en-US"/>
        </w:rPr>
        <w:tab/>
      </w:r>
      <w:r w:rsidR="00F330F1">
        <w:rPr>
          <w:lang w:val="en-US"/>
        </w:rPr>
        <w:t xml:space="preserve">The concept of good cause was examined in </w:t>
      </w:r>
      <w:r w:rsidR="00F330F1" w:rsidRPr="00C41D41">
        <w:rPr>
          <w:i/>
          <w:lang w:val="en-US"/>
        </w:rPr>
        <w:t xml:space="preserve">Minister of Agriculture and Land Affairs v CJ </w:t>
      </w:r>
      <w:proofErr w:type="spellStart"/>
      <w:r w:rsidR="00F330F1" w:rsidRPr="00C41D41">
        <w:rPr>
          <w:i/>
          <w:lang w:val="en-US"/>
        </w:rPr>
        <w:t>Rance</w:t>
      </w:r>
      <w:proofErr w:type="spellEnd"/>
      <w:r w:rsidR="00F330F1" w:rsidRPr="00C41D41">
        <w:rPr>
          <w:i/>
          <w:lang w:val="en-US"/>
        </w:rPr>
        <w:t xml:space="preserve"> (Pty)Ltd</w:t>
      </w:r>
      <w:r w:rsidR="00F330F1">
        <w:rPr>
          <w:rStyle w:val="FootnoteReference"/>
          <w:lang w:val="en-US"/>
        </w:rPr>
        <w:footnoteReference w:id="22"/>
      </w:r>
      <w:r w:rsidR="00F330F1">
        <w:rPr>
          <w:lang w:val="en-US"/>
        </w:rPr>
        <w:t xml:space="preserve">. The prospects of success as relevant to the test for good cause was explained thus by </w:t>
      </w:r>
      <w:proofErr w:type="spellStart"/>
      <w:r w:rsidR="00F330F1">
        <w:rPr>
          <w:lang w:val="en-US"/>
        </w:rPr>
        <w:t>Majiedt</w:t>
      </w:r>
      <w:proofErr w:type="spellEnd"/>
      <w:r w:rsidR="00F330F1">
        <w:rPr>
          <w:lang w:val="en-US"/>
        </w:rPr>
        <w:t xml:space="preserve"> AJA:</w:t>
      </w:r>
    </w:p>
    <w:p w14:paraId="5400922A" w14:textId="77777777" w:rsidR="00F330F1" w:rsidRPr="00DE29E7" w:rsidRDefault="00F330F1" w:rsidP="00F330F1">
      <w:pPr>
        <w:pStyle w:val="level1"/>
        <w:numPr>
          <w:ilvl w:val="0"/>
          <w:numId w:val="0"/>
        </w:numPr>
        <w:spacing w:after="480"/>
        <w:ind w:left="360"/>
        <w:jc w:val="both"/>
        <w:rPr>
          <w:i/>
          <w:sz w:val="20"/>
          <w:szCs w:val="20"/>
          <w:lang w:val="en-US"/>
        </w:rPr>
      </w:pPr>
      <w:r w:rsidRPr="00DE29E7">
        <w:rPr>
          <w:i/>
          <w:sz w:val="20"/>
          <w:szCs w:val="20"/>
          <w:lang w:val="en-US"/>
        </w:rPr>
        <w:t xml:space="preserve">“The prospects of success of the intended claim play a significant </w:t>
      </w:r>
      <w:r>
        <w:rPr>
          <w:i/>
          <w:sz w:val="20"/>
          <w:szCs w:val="20"/>
          <w:lang w:val="en-US"/>
        </w:rPr>
        <w:t>r</w:t>
      </w:r>
      <w:r w:rsidRPr="00DE29E7">
        <w:rPr>
          <w:i/>
          <w:sz w:val="20"/>
          <w:szCs w:val="20"/>
          <w:lang w:val="en-US"/>
        </w:rPr>
        <w:t>ole</w:t>
      </w:r>
      <w:proofErr w:type="gramStart"/>
      <w:r w:rsidRPr="00DE29E7">
        <w:rPr>
          <w:i/>
          <w:sz w:val="20"/>
          <w:szCs w:val="20"/>
          <w:lang w:val="en-US"/>
        </w:rPr>
        <w:t>-“</w:t>
      </w:r>
      <w:proofErr w:type="gramEnd"/>
      <w:r w:rsidRPr="00DE29E7">
        <w:rPr>
          <w:i/>
          <w:sz w:val="20"/>
          <w:szCs w:val="20"/>
          <w:lang w:val="en-US"/>
        </w:rPr>
        <w:t xml:space="preserve">strong merits may mitigate fault; no merits may render mitigation pointless. The court must be placed in a position to make an assessment of the merits in order to balance that factor with the cause of the delay as explained by the applicant. A paucity of detail on the merits will exacerbate matters for a creditor who has failed to fully explain the cause of the delay. An applicant thus acts at his own peril when a court is left in the dark </w:t>
      </w:r>
      <w:r>
        <w:rPr>
          <w:i/>
          <w:sz w:val="20"/>
          <w:szCs w:val="20"/>
          <w:lang w:val="en-US"/>
        </w:rPr>
        <w:t>o</w:t>
      </w:r>
      <w:r w:rsidRPr="00DE29E7">
        <w:rPr>
          <w:i/>
          <w:sz w:val="20"/>
          <w:szCs w:val="20"/>
          <w:lang w:val="en-US"/>
        </w:rPr>
        <w:t>n the merits of an inten</w:t>
      </w:r>
      <w:r>
        <w:rPr>
          <w:i/>
          <w:sz w:val="20"/>
          <w:szCs w:val="20"/>
          <w:lang w:val="en-US"/>
        </w:rPr>
        <w:t>d</w:t>
      </w:r>
      <w:r w:rsidRPr="00DE29E7">
        <w:rPr>
          <w:i/>
          <w:sz w:val="20"/>
          <w:szCs w:val="20"/>
          <w:lang w:val="en-US"/>
        </w:rPr>
        <w:t xml:space="preserve">ed action, </w:t>
      </w:r>
      <w:proofErr w:type="spellStart"/>
      <w:r w:rsidRPr="00DE29E7">
        <w:rPr>
          <w:i/>
          <w:sz w:val="20"/>
          <w:szCs w:val="20"/>
          <w:lang w:val="en-US"/>
        </w:rPr>
        <w:t>eg</w:t>
      </w:r>
      <w:proofErr w:type="spellEnd"/>
      <w:r w:rsidRPr="00DE29E7">
        <w:rPr>
          <w:i/>
          <w:sz w:val="20"/>
          <w:szCs w:val="20"/>
          <w:lang w:val="en-US"/>
        </w:rPr>
        <w:t xml:space="preserve"> where an expert report central to the applicant’s envisaged claim is omitted from the condonation papers”</w:t>
      </w:r>
    </w:p>
    <w:p w14:paraId="203D290B" w14:textId="02D6DB1F" w:rsidR="008B2FED" w:rsidRDefault="00D8240B" w:rsidP="00D8240B">
      <w:pPr>
        <w:pStyle w:val="level1"/>
        <w:numPr>
          <w:ilvl w:val="0"/>
          <w:numId w:val="0"/>
        </w:numPr>
        <w:spacing w:after="480" w:line="360" w:lineRule="auto"/>
        <w:jc w:val="both"/>
        <w:rPr>
          <w:lang w:val="en-US"/>
        </w:rPr>
      </w:pPr>
      <w:r>
        <w:rPr>
          <w:lang w:val="en-US"/>
        </w:rPr>
        <w:t>[36]</w:t>
      </w:r>
      <w:r>
        <w:rPr>
          <w:lang w:val="en-US"/>
        </w:rPr>
        <w:tab/>
      </w:r>
      <w:r w:rsidR="008B2FED">
        <w:rPr>
          <w:lang w:val="en-US"/>
        </w:rPr>
        <w:t xml:space="preserve">The respondents argued that the applicant has fallen far short of the requirements established in </w:t>
      </w:r>
      <w:r w:rsidR="008B2FED" w:rsidRPr="00230717">
        <w:rPr>
          <w:i/>
          <w:lang w:val="en-US"/>
        </w:rPr>
        <w:t xml:space="preserve">CJ </w:t>
      </w:r>
      <w:proofErr w:type="spellStart"/>
      <w:r w:rsidR="008B2FED" w:rsidRPr="00230717">
        <w:rPr>
          <w:i/>
          <w:lang w:val="en-US"/>
        </w:rPr>
        <w:t>Rance</w:t>
      </w:r>
      <w:proofErr w:type="spellEnd"/>
      <w:r w:rsidR="008B2FED">
        <w:rPr>
          <w:lang w:val="en-US"/>
        </w:rPr>
        <w:t xml:space="preserve"> and that it would be speculative and inappropriate for the court to determine that there are prospects of success that go to satisfy good cause.</w:t>
      </w:r>
      <w:r w:rsidR="008B2FED">
        <w:rPr>
          <w:rStyle w:val="FootnoteReference"/>
          <w:lang w:val="en-US"/>
        </w:rPr>
        <w:footnoteReference w:id="23"/>
      </w:r>
      <w:r w:rsidR="008B2FED" w:rsidRPr="00230717">
        <w:rPr>
          <w:lang w:val="en-US"/>
        </w:rPr>
        <w:t xml:space="preserve"> </w:t>
      </w:r>
      <w:r w:rsidR="008B2FED">
        <w:rPr>
          <w:lang w:val="en-US"/>
        </w:rPr>
        <w:t xml:space="preserve">They further argued that the applicant has made fatal admissions in his replication to the respondent’s amended plea pertaining certain issues justifying his further detention. In doing so they invited the court to consider the pleadings filed in the matter. </w:t>
      </w:r>
    </w:p>
    <w:p w14:paraId="10E96B1E" w14:textId="0F888159" w:rsidR="00D83C88" w:rsidRDefault="00D8240B" w:rsidP="00D8240B">
      <w:pPr>
        <w:pStyle w:val="level1"/>
        <w:numPr>
          <w:ilvl w:val="0"/>
          <w:numId w:val="0"/>
        </w:numPr>
        <w:spacing w:after="480" w:line="360" w:lineRule="auto"/>
        <w:jc w:val="both"/>
        <w:rPr>
          <w:lang w:val="en-US"/>
        </w:rPr>
      </w:pPr>
      <w:r>
        <w:rPr>
          <w:lang w:val="en-US"/>
        </w:rPr>
        <w:lastRenderedPageBreak/>
        <w:t>[37]</w:t>
      </w:r>
      <w:r>
        <w:rPr>
          <w:lang w:val="en-US"/>
        </w:rPr>
        <w:tab/>
      </w:r>
      <w:r w:rsidR="00F330F1">
        <w:rPr>
          <w:lang w:val="en-US"/>
        </w:rPr>
        <w:t xml:space="preserve">In his founding affidavit the applicant alleged that he has high prospects of success. His case was that the first respondent proceeded with the arrest and lengthy detention while it was </w:t>
      </w:r>
      <w:proofErr w:type="gramStart"/>
      <w:r w:rsidR="00F330F1">
        <w:rPr>
          <w:lang w:val="en-US"/>
        </w:rPr>
        <w:t>unreasonable</w:t>
      </w:r>
      <w:proofErr w:type="gramEnd"/>
      <w:r w:rsidR="00F330F1">
        <w:rPr>
          <w:lang w:val="en-US"/>
        </w:rPr>
        <w:t xml:space="preserve"> and no objective grounds or justification existed for his detention and it failed to take any reasonable steps whatsoever to ensue applicant was released from prison. The second respondent did not act with an honest belief founded on reasonable grounds that the institution of the criminal proceedings was justified whilst there were no legal grounds for arresting and detaining him.</w:t>
      </w:r>
      <w:r w:rsidR="00D83C88" w:rsidRPr="00D83C88">
        <w:rPr>
          <w:lang w:val="en-US"/>
        </w:rPr>
        <w:t xml:space="preserve"> </w:t>
      </w:r>
      <w:r w:rsidR="00D83C88">
        <w:rPr>
          <w:lang w:val="en-US"/>
        </w:rPr>
        <w:t xml:space="preserve">Although in his founding affidavit, the applicant devoted only a few paragraphs to his prospects of success, he attached a copy of his particulars of claim, setting out the material facts on which he relies in the action in relation to his claims for unlawful arrest, unlawful </w:t>
      </w:r>
      <w:proofErr w:type="gramStart"/>
      <w:r w:rsidR="00D83C88">
        <w:rPr>
          <w:lang w:val="en-US"/>
        </w:rPr>
        <w:t>detention</w:t>
      </w:r>
      <w:proofErr w:type="gramEnd"/>
      <w:r w:rsidR="00D83C88">
        <w:rPr>
          <w:lang w:val="en-US"/>
        </w:rPr>
        <w:t xml:space="preserve"> and malicious prosecution.</w:t>
      </w:r>
    </w:p>
    <w:p w14:paraId="4DE93E29" w14:textId="509F6F95" w:rsidR="00F330F1" w:rsidRDefault="00D8240B" w:rsidP="00D8240B">
      <w:pPr>
        <w:pStyle w:val="level1"/>
        <w:numPr>
          <w:ilvl w:val="0"/>
          <w:numId w:val="0"/>
        </w:numPr>
        <w:spacing w:after="480" w:line="360" w:lineRule="auto"/>
        <w:jc w:val="both"/>
        <w:rPr>
          <w:lang w:val="en-US"/>
        </w:rPr>
      </w:pPr>
      <w:r>
        <w:rPr>
          <w:lang w:val="en-US"/>
        </w:rPr>
        <w:t>[38]</w:t>
      </w:r>
      <w:r>
        <w:rPr>
          <w:lang w:val="en-US"/>
        </w:rPr>
        <w:tab/>
      </w:r>
      <w:r w:rsidR="008B2FED">
        <w:rPr>
          <w:lang w:val="en-US"/>
        </w:rPr>
        <w:t>P</w:t>
      </w:r>
      <w:r w:rsidR="00F330F1">
        <w:rPr>
          <w:lang w:val="en-US"/>
        </w:rPr>
        <w:t xml:space="preserve">leadings have </w:t>
      </w:r>
      <w:proofErr w:type="gramStart"/>
      <w:r w:rsidR="00F330F1">
        <w:rPr>
          <w:lang w:val="en-US"/>
        </w:rPr>
        <w:t>closed</w:t>
      </w:r>
      <w:proofErr w:type="gramEnd"/>
      <w:r w:rsidR="00F330F1">
        <w:rPr>
          <w:lang w:val="en-US"/>
        </w:rPr>
        <w:t xml:space="preserve"> and the issues have </w:t>
      </w:r>
      <w:r w:rsidR="00D83C88">
        <w:rPr>
          <w:lang w:val="en-US"/>
        </w:rPr>
        <w:t>crystallised</w:t>
      </w:r>
      <w:r w:rsidR="00F330F1">
        <w:rPr>
          <w:lang w:val="en-US"/>
        </w:rPr>
        <w:t xml:space="preserve"> between the parties. </w:t>
      </w:r>
      <w:r w:rsidR="008B2FED">
        <w:rPr>
          <w:lang w:val="en-US"/>
        </w:rPr>
        <w:t xml:space="preserve">The pleadings establish that there are triable issues which require oral evidence to be led </w:t>
      </w:r>
      <w:proofErr w:type="gramStart"/>
      <w:r w:rsidR="008B2FED">
        <w:rPr>
          <w:lang w:val="en-US"/>
        </w:rPr>
        <w:t>in order to</w:t>
      </w:r>
      <w:proofErr w:type="gramEnd"/>
      <w:r w:rsidR="008B2FED">
        <w:rPr>
          <w:lang w:val="en-US"/>
        </w:rPr>
        <w:t xml:space="preserve"> be determined. </w:t>
      </w:r>
      <w:r w:rsidR="00D83C88">
        <w:rPr>
          <w:lang w:val="en-US"/>
        </w:rPr>
        <w:t>Extensive t</w:t>
      </w:r>
      <w:r w:rsidR="00F330F1">
        <w:rPr>
          <w:lang w:val="en-US"/>
        </w:rPr>
        <w:t>rial bundles have been prepared and expert reports delivered.</w:t>
      </w:r>
      <w:r w:rsidR="00230717">
        <w:rPr>
          <w:lang w:val="en-US"/>
        </w:rPr>
        <w:t xml:space="preserve"> A</w:t>
      </w:r>
      <w:r w:rsidR="008B2FED">
        <w:rPr>
          <w:lang w:val="en-US"/>
        </w:rPr>
        <w:t xml:space="preserve">s those documents were not part of the application, </w:t>
      </w:r>
      <w:r w:rsidR="00230717">
        <w:rPr>
          <w:lang w:val="en-US"/>
        </w:rPr>
        <w:t>l</w:t>
      </w:r>
      <w:r w:rsidR="008B2FED">
        <w:rPr>
          <w:lang w:val="en-US"/>
        </w:rPr>
        <w:t xml:space="preserve"> will not consider them in any detail. T</w:t>
      </w:r>
      <w:r w:rsidR="00230717">
        <w:rPr>
          <w:lang w:val="en-US"/>
        </w:rPr>
        <w:t xml:space="preserve">heir existence is </w:t>
      </w:r>
      <w:r w:rsidR="008B2FED">
        <w:rPr>
          <w:lang w:val="en-US"/>
        </w:rPr>
        <w:t xml:space="preserve">however </w:t>
      </w:r>
      <w:r w:rsidR="00230717">
        <w:rPr>
          <w:lang w:val="en-US"/>
        </w:rPr>
        <w:t>a factor which cannot be ignored.</w:t>
      </w:r>
    </w:p>
    <w:p w14:paraId="149CBC62" w14:textId="2F399F42" w:rsidR="00D83C88" w:rsidRPr="00D83C88" w:rsidRDefault="00D8240B" w:rsidP="00D8240B">
      <w:pPr>
        <w:pStyle w:val="level1"/>
        <w:numPr>
          <w:ilvl w:val="0"/>
          <w:numId w:val="0"/>
        </w:numPr>
        <w:spacing w:after="480" w:line="360" w:lineRule="auto"/>
        <w:jc w:val="both"/>
        <w:rPr>
          <w:lang w:val="en-US"/>
        </w:rPr>
      </w:pPr>
      <w:r w:rsidRPr="00D83C88">
        <w:rPr>
          <w:lang w:val="en-US"/>
        </w:rPr>
        <w:t>[39]</w:t>
      </w:r>
      <w:r w:rsidRPr="00D83C88">
        <w:rPr>
          <w:lang w:val="en-US"/>
        </w:rPr>
        <w:tab/>
      </w:r>
      <w:r w:rsidR="00D83C88" w:rsidRPr="00D83C88">
        <w:rPr>
          <w:lang w:val="en-US"/>
        </w:rPr>
        <w:t>It would not in my view be appropriate to express any firm view on th</w:t>
      </w:r>
      <w:r w:rsidR="00230717">
        <w:rPr>
          <w:lang w:val="en-US"/>
        </w:rPr>
        <w:t>e alleged “fatal admissions” contended for by the respondents as they are</w:t>
      </w:r>
      <w:r w:rsidR="00D83C88" w:rsidRPr="00D83C88">
        <w:rPr>
          <w:lang w:val="en-US"/>
        </w:rPr>
        <w:t xml:space="preserve"> issues which will be for a trial court to determine in due course. Suffice it to state that on the available facts placed before me, I am </w:t>
      </w:r>
      <w:r w:rsidR="00230717">
        <w:rPr>
          <w:lang w:val="en-US"/>
        </w:rPr>
        <w:t xml:space="preserve">not </w:t>
      </w:r>
      <w:r w:rsidR="00D83C88" w:rsidRPr="00D83C88">
        <w:rPr>
          <w:lang w:val="en-US"/>
        </w:rPr>
        <w:t xml:space="preserve">persuaded </w:t>
      </w:r>
      <w:r w:rsidR="008B2FED">
        <w:rPr>
          <w:lang w:val="en-US"/>
        </w:rPr>
        <w:t xml:space="preserve">by the argument </w:t>
      </w:r>
      <w:r w:rsidR="00D83C88" w:rsidRPr="00D83C88">
        <w:rPr>
          <w:lang w:val="en-US"/>
        </w:rPr>
        <w:t xml:space="preserve">that the applicant has </w:t>
      </w:r>
      <w:r w:rsidR="00230717">
        <w:rPr>
          <w:lang w:val="en-US"/>
        </w:rPr>
        <w:t xml:space="preserve">placed insufficient evidence before the court to </w:t>
      </w:r>
      <w:r w:rsidR="00D83C88" w:rsidRPr="00D83C88">
        <w:rPr>
          <w:lang w:val="en-US"/>
        </w:rPr>
        <w:t>establish reasonable prospects of success</w:t>
      </w:r>
      <w:r w:rsidR="008B2FED">
        <w:rPr>
          <w:lang w:val="en-US"/>
        </w:rPr>
        <w:t>.</w:t>
      </w:r>
      <w:r w:rsidR="00D83C88" w:rsidRPr="00D83C88">
        <w:rPr>
          <w:lang w:val="en-US"/>
        </w:rPr>
        <w:t xml:space="preserve"> </w:t>
      </w:r>
    </w:p>
    <w:p w14:paraId="14E897E3" w14:textId="0A7E6D74" w:rsidR="00F07517" w:rsidRDefault="00D8240B" w:rsidP="00D8240B">
      <w:pPr>
        <w:pStyle w:val="level1"/>
        <w:numPr>
          <w:ilvl w:val="0"/>
          <w:numId w:val="0"/>
        </w:numPr>
        <w:spacing w:after="480" w:line="360" w:lineRule="auto"/>
        <w:jc w:val="both"/>
        <w:rPr>
          <w:lang w:val="en-US"/>
        </w:rPr>
      </w:pPr>
      <w:r>
        <w:rPr>
          <w:lang w:val="en-US"/>
        </w:rPr>
        <w:t>[40]</w:t>
      </w:r>
      <w:r>
        <w:rPr>
          <w:lang w:val="en-US"/>
        </w:rPr>
        <w:tab/>
      </w:r>
      <w:r w:rsidR="00D83CA6">
        <w:rPr>
          <w:lang w:val="en-US"/>
        </w:rPr>
        <w:t xml:space="preserve">In my view </w:t>
      </w:r>
      <w:r w:rsidR="00F07517">
        <w:rPr>
          <w:lang w:val="en-US"/>
        </w:rPr>
        <w:t xml:space="preserve">considering all the facts placed before me, </w:t>
      </w:r>
      <w:r w:rsidR="00D83CA6">
        <w:rPr>
          <w:lang w:val="en-US"/>
        </w:rPr>
        <w:t xml:space="preserve">the applicant has set up a prima facie case of unlawful arrest, unlawful </w:t>
      </w:r>
      <w:proofErr w:type="gramStart"/>
      <w:r w:rsidR="00D83CA6">
        <w:rPr>
          <w:lang w:val="en-US"/>
        </w:rPr>
        <w:t>detention</w:t>
      </w:r>
      <w:proofErr w:type="gramEnd"/>
      <w:r w:rsidR="00D83CA6">
        <w:rPr>
          <w:lang w:val="en-US"/>
        </w:rPr>
        <w:t xml:space="preserve"> and malicious prosecution. The applicant’s fundamental right is to have his oral evidence evaluated in a fair trial against the opposing evidence that the respondents can produce. There are </w:t>
      </w:r>
      <w:r w:rsidR="00F07517">
        <w:rPr>
          <w:lang w:val="en-US"/>
        </w:rPr>
        <w:t>numerous</w:t>
      </w:r>
      <w:r w:rsidR="00D83CA6">
        <w:rPr>
          <w:lang w:val="en-US"/>
        </w:rPr>
        <w:t xml:space="preserve"> factual disputes on the pleadings applicant which can only be determined once evidence has been led. </w:t>
      </w:r>
    </w:p>
    <w:p w14:paraId="2F0FADA1" w14:textId="548196AE" w:rsidR="00F07517" w:rsidRDefault="00D8240B" w:rsidP="00D8240B">
      <w:pPr>
        <w:pStyle w:val="level1"/>
        <w:numPr>
          <w:ilvl w:val="0"/>
          <w:numId w:val="0"/>
        </w:numPr>
        <w:spacing w:after="480" w:line="360" w:lineRule="auto"/>
        <w:jc w:val="both"/>
        <w:rPr>
          <w:lang w:val="en-US"/>
        </w:rPr>
      </w:pPr>
      <w:r>
        <w:rPr>
          <w:lang w:val="en-US"/>
        </w:rPr>
        <w:lastRenderedPageBreak/>
        <w:t>[41]</w:t>
      </w:r>
      <w:r>
        <w:rPr>
          <w:lang w:val="en-US"/>
        </w:rPr>
        <w:tab/>
      </w:r>
      <w:r w:rsidR="00D83CA6">
        <w:rPr>
          <w:lang w:val="en-US"/>
        </w:rPr>
        <w:t>The applicant used the first available opportunity to asse</w:t>
      </w:r>
      <w:r w:rsidR="00F07517">
        <w:rPr>
          <w:lang w:val="en-US"/>
        </w:rPr>
        <w:t>r</w:t>
      </w:r>
      <w:r w:rsidR="00D83CA6">
        <w:rPr>
          <w:lang w:val="en-US"/>
        </w:rPr>
        <w:t>t his determination to see justice done when he sought an attorney’s advice a few days after he was released.</w:t>
      </w:r>
      <w:r w:rsidR="00F330F1">
        <w:rPr>
          <w:lang w:val="en-US"/>
        </w:rPr>
        <w:t xml:space="preserve"> </w:t>
      </w:r>
      <w:r w:rsidR="00F07517">
        <w:rPr>
          <w:lang w:val="en-US"/>
        </w:rPr>
        <w:t>The s 3 notice followed a few days later and action was instituted the following month.</w:t>
      </w:r>
    </w:p>
    <w:p w14:paraId="05E0D8FB" w14:textId="4FCF0863" w:rsidR="00F330F1" w:rsidRPr="00F07517" w:rsidRDefault="00D8240B" w:rsidP="00D8240B">
      <w:pPr>
        <w:pStyle w:val="level1"/>
        <w:numPr>
          <w:ilvl w:val="0"/>
          <w:numId w:val="0"/>
        </w:numPr>
        <w:spacing w:after="480" w:line="360" w:lineRule="auto"/>
        <w:jc w:val="both"/>
        <w:rPr>
          <w:lang w:val="en-US"/>
        </w:rPr>
      </w:pPr>
      <w:r w:rsidRPr="00F07517">
        <w:rPr>
          <w:lang w:val="en-US"/>
        </w:rPr>
        <w:t>[42]</w:t>
      </w:r>
      <w:r w:rsidRPr="00F07517">
        <w:rPr>
          <w:lang w:val="en-US"/>
        </w:rPr>
        <w:tab/>
      </w:r>
      <w:r w:rsidR="008B2FED" w:rsidRPr="00F07517">
        <w:rPr>
          <w:lang w:val="en-US"/>
        </w:rPr>
        <w:t>The applicant explained the reason for the delay that he had no access to appropriate legal representation prior to his release when the charges were withdrawn against him. No countervailing evidence was presented by the respondents.</w:t>
      </w:r>
      <w:r w:rsidR="00F07517">
        <w:rPr>
          <w:lang w:val="en-US"/>
        </w:rPr>
        <w:t xml:space="preserve"> </w:t>
      </w:r>
      <w:r w:rsidR="00F330F1" w:rsidRPr="00F07517">
        <w:rPr>
          <w:lang w:val="en-US"/>
        </w:rPr>
        <w:t>It was not disputed that the applicant was represented by Legal Aid and did not have access to legal representation regarding any delictual claim whilst he was in detention</w:t>
      </w:r>
      <w:r w:rsidR="00067709">
        <w:rPr>
          <w:rStyle w:val="FootnoteReference"/>
          <w:lang w:val="en-US"/>
        </w:rPr>
        <w:footnoteReference w:id="24"/>
      </w:r>
      <w:r w:rsidR="00F330F1" w:rsidRPr="00F07517">
        <w:rPr>
          <w:lang w:val="en-US"/>
        </w:rPr>
        <w:t xml:space="preserve">. </w:t>
      </w:r>
    </w:p>
    <w:p w14:paraId="5C5BE785" w14:textId="5677DFBC" w:rsidR="00F07517" w:rsidRDefault="00D8240B" w:rsidP="00D8240B">
      <w:pPr>
        <w:pStyle w:val="level1"/>
        <w:numPr>
          <w:ilvl w:val="0"/>
          <w:numId w:val="0"/>
        </w:numPr>
        <w:spacing w:after="480" w:line="360" w:lineRule="auto"/>
        <w:jc w:val="both"/>
        <w:rPr>
          <w:lang w:val="en-US"/>
        </w:rPr>
      </w:pPr>
      <w:r>
        <w:rPr>
          <w:lang w:val="en-US"/>
        </w:rPr>
        <w:t>[43]</w:t>
      </w:r>
      <w:r>
        <w:rPr>
          <w:lang w:val="en-US"/>
        </w:rPr>
        <w:tab/>
      </w:r>
      <w:r w:rsidR="00CD3E41">
        <w:rPr>
          <w:lang w:val="en-US"/>
        </w:rPr>
        <w:t>The respondents further argued that the applicant has not shown that he proceeds in good faith</w:t>
      </w:r>
      <w:r w:rsidR="00F07517">
        <w:rPr>
          <w:lang w:val="en-US"/>
        </w:rPr>
        <w:t>, thus indicating a lack of good cause</w:t>
      </w:r>
      <w:r w:rsidR="00CD3E41">
        <w:rPr>
          <w:lang w:val="en-US"/>
        </w:rPr>
        <w:t xml:space="preserve">. Reliance was placed on </w:t>
      </w:r>
      <w:r w:rsidR="00F07517">
        <w:rPr>
          <w:lang w:val="en-US"/>
        </w:rPr>
        <w:t xml:space="preserve">the applicant’s </w:t>
      </w:r>
      <w:r w:rsidR="00CD3E41">
        <w:rPr>
          <w:lang w:val="en-US"/>
        </w:rPr>
        <w:t xml:space="preserve">alleged contradictory versions about </w:t>
      </w:r>
      <w:r w:rsidR="00F07517">
        <w:rPr>
          <w:lang w:val="en-US"/>
        </w:rPr>
        <w:t>the need for condonation</w:t>
      </w:r>
      <w:r w:rsidR="00CD3E41">
        <w:rPr>
          <w:lang w:val="en-US"/>
        </w:rPr>
        <w:t xml:space="preserve">, which it </w:t>
      </w:r>
      <w:r w:rsidR="00F07517">
        <w:rPr>
          <w:lang w:val="en-US"/>
        </w:rPr>
        <w:t>wa</w:t>
      </w:r>
      <w:r w:rsidR="00CD3E41">
        <w:rPr>
          <w:lang w:val="en-US"/>
        </w:rPr>
        <w:t xml:space="preserve">s argued is inherently unbelievable. </w:t>
      </w:r>
      <w:r w:rsidR="00F07517">
        <w:rPr>
          <w:lang w:val="en-US"/>
        </w:rPr>
        <w:t xml:space="preserve">I have already dealt with that issue. And provided reasons why I disagree. </w:t>
      </w:r>
    </w:p>
    <w:p w14:paraId="50FC2B59" w14:textId="48008194" w:rsidR="00CD3E41" w:rsidRDefault="00D8240B" w:rsidP="00D8240B">
      <w:pPr>
        <w:pStyle w:val="level1"/>
        <w:numPr>
          <w:ilvl w:val="0"/>
          <w:numId w:val="0"/>
        </w:numPr>
        <w:spacing w:after="480" w:line="360" w:lineRule="auto"/>
        <w:jc w:val="both"/>
        <w:rPr>
          <w:lang w:val="en-US"/>
        </w:rPr>
      </w:pPr>
      <w:r>
        <w:rPr>
          <w:lang w:val="en-US"/>
        </w:rPr>
        <w:t>[44]</w:t>
      </w:r>
      <w:r>
        <w:rPr>
          <w:lang w:val="en-US"/>
        </w:rPr>
        <w:tab/>
      </w:r>
      <w:r w:rsidR="00CD3E41">
        <w:rPr>
          <w:lang w:val="en-US"/>
        </w:rPr>
        <w:t>Reliance was also placed on the applicant’s alleged failure to explain the delay of more than a year in bringing the application and his failure to inform the court of significant substantive defects in the notice.</w:t>
      </w:r>
      <w:r w:rsidR="00A336BD">
        <w:rPr>
          <w:lang w:val="en-US"/>
        </w:rPr>
        <w:t xml:space="preserve"> I </w:t>
      </w:r>
      <w:r w:rsidR="00F07517">
        <w:rPr>
          <w:lang w:val="en-US"/>
        </w:rPr>
        <w:t xml:space="preserve">have already deal with the latter issue and why it lacks merit. </w:t>
      </w:r>
    </w:p>
    <w:p w14:paraId="338929C2" w14:textId="1C5019F5" w:rsidR="00F07517" w:rsidRPr="00F07517" w:rsidRDefault="00D8240B" w:rsidP="00D8240B">
      <w:pPr>
        <w:pStyle w:val="level1"/>
        <w:numPr>
          <w:ilvl w:val="0"/>
          <w:numId w:val="0"/>
        </w:numPr>
        <w:spacing w:after="480" w:line="360" w:lineRule="auto"/>
        <w:jc w:val="both"/>
        <w:rPr>
          <w:lang w:val="en-US"/>
        </w:rPr>
      </w:pPr>
      <w:r w:rsidRPr="00F07517">
        <w:rPr>
          <w:lang w:val="en-US"/>
        </w:rPr>
        <w:t>[45]</w:t>
      </w:r>
      <w:r w:rsidRPr="00F07517">
        <w:rPr>
          <w:lang w:val="en-US"/>
        </w:rPr>
        <w:tab/>
      </w:r>
      <w:r w:rsidR="00F07517" w:rsidRPr="00F07517">
        <w:rPr>
          <w:lang w:val="en-US"/>
        </w:rPr>
        <w:t>Regarding the delay in launching the application, a</w:t>
      </w:r>
      <w:r w:rsidR="00CD3E41" w:rsidRPr="00F07517">
        <w:rPr>
          <w:lang w:val="en-US"/>
        </w:rPr>
        <w:t xml:space="preserve">s pointed out in </w:t>
      </w:r>
      <w:proofErr w:type="spellStart"/>
      <w:r w:rsidR="00CD3E41" w:rsidRPr="00F07517">
        <w:rPr>
          <w:i/>
          <w:lang w:val="en-US"/>
        </w:rPr>
        <w:t>Madinda</w:t>
      </w:r>
      <w:proofErr w:type="spellEnd"/>
      <w:r w:rsidR="00CD3E41" w:rsidRPr="00F07517">
        <w:rPr>
          <w:i/>
          <w:lang w:val="en-US"/>
        </w:rPr>
        <w:t>,</w:t>
      </w:r>
      <w:r w:rsidR="00CD3E41" w:rsidRPr="00F07517">
        <w:rPr>
          <w:rStyle w:val="FootnoteReference"/>
          <w:lang w:val="en-US"/>
        </w:rPr>
        <w:t xml:space="preserve"> </w:t>
      </w:r>
      <w:r w:rsidR="00CD3E41">
        <w:rPr>
          <w:rStyle w:val="FootnoteReference"/>
          <w:lang w:val="en-US"/>
        </w:rPr>
        <w:footnoteReference w:id="25"/>
      </w:r>
      <w:r w:rsidR="00CD3E41" w:rsidRPr="00F07517">
        <w:rPr>
          <w:lang w:val="en-US"/>
        </w:rPr>
        <w:t xml:space="preserve"> post notification delays are not a factor which ought to be </w:t>
      </w:r>
      <w:proofErr w:type="gramStart"/>
      <w:r w:rsidR="00CD3E41" w:rsidRPr="00F07517">
        <w:rPr>
          <w:lang w:val="en-US"/>
        </w:rPr>
        <w:t>taken into account</w:t>
      </w:r>
      <w:proofErr w:type="gramEnd"/>
      <w:r w:rsidR="00CD3E41" w:rsidRPr="00F07517">
        <w:rPr>
          <w:lang w:val="en-US"/>
        </w:rPr>
        <w:t xml:space="preserve"> in determining good cause as they related not to good cause but to condonation. </w:t>
      </w:r>
    </w:p>
    <w:p w14:paraId="45115360" w14:textId="55A454A5" w:rsidR="00CD3E41" w:rsidRPr="00A336BD" w:rsidRDefault="00D8240B" w:rsidP="00D8240B">
      <w:pPr>
        <w:pStyle w:val="level1"/>
        <w:numPr>
          <w:ilvl w:val="0"/>
          <w:numId w:val="0"/>
        </w:numPr>
        <w:spacing w:after="480" w:line="360" w:lineRule="auto"/>
        <w:jc w:val="both"/>
        <w:rPr>
          <w:lang w:val="en-US"/>
        </w:rPr>
      </w:pPr>
      <w:r w:rsidRPr="00A336BD">
        <w:rPr>
          <w:lang w:val="en-US"/>
        </w:rPr>
        <w:t>[46]</w:t>
      </w:r>
      <w:r w:rsidRPr="00A336BD">
        <w:rPr>
          <w:lang w:val="en-US"/>
        </w:rPr>
        <w:tab/>
      </w:r>
      <w:proofErr w:type="spellStart"/>
      <w:r w:rsidR="00CD3E41" w:rsidRPr="00A336BD">
        <w:rPr>
          <w:lang w:val="en-US"/>
        </w:rPr>
        <w:t>Heher</w:t>
      </w:r>
      <w:proofErr w:type="spellEnd"/>
      <w:r w:rsidR="00CD3E41" w:rsidRPr="00A336BD">
        <w:rPr>
          <w:lang w:val="en-US"/>
        </w:rPr>
        <w:t xml:space="preserve"> JA held:</w:t>
      </w:r>
      <w:r w:rsidR="00A336BD">
        <w:rPr>
          <w:lang w:val="en-US"/>
        </w:rPr>
        <w:t xml:space="preserve"> </w:t>
      </w:r>
      <w:r w:rsidR="00CD3E41" w:rsidRPr="00A336BD">
        <w:rPr>
          <w:i/>
          <w:lang w:val="en-US"/>
        </w:rPr>
        <w:t>“Whether a proper explanation is furnished for delays that did not contribute to the failure is part of the exercise of the discretion to condone in terms of s 3(4) but it is not, in this statutory context, an element of good cause.”</w:t>
      </w:r>
      <w:r w:rsidR="00CD3E41" w:rsidRPr="00A336BD">
        <w:rPr>
          <w:lang w:val="en-US"/>
        </w:rPr>
        <w:t xml:space="preserve">  In this context any </w:t>
      </w:r>
      <w:r w:rsidR="00CD3E41" w:rsidRPr="00A336BD">
        <w:rPr>
          <w:lang w:val="en-US"/>
        </w:rPr>
        <w:lastRenderedPageBreak/>
        <w:t xml:space="preserve">delay on the part of the applicant in launching the current application after delivery of the respondents’ special plea during March 2021 is not a relevant consideration to </w:t>
      </w:r>
      <w:proofErr w:type="gramStart"/>
      <w:r w:rsidR="00CD3E41" w:rsidRPr="00A336BD">
        <w:rPr>
          <w:lang w:val="en-US"/>
        </w:rPr>
        <w:t>take into account</w:t>
      </w:r>
      <w:proofErr w:type="gramEnd"/>
      <w:r w:rsidR="00CD3E41" w:rsidRPr="00A336BD">
        <w:rPr>
          <w:lang w:val="en-US"/>
        </w:rPr>
        <w:t xml:space="preserve"> for purposes of determining good cause.</w:t>
      </w:r>
      <w:r w:rsidR="00A336BD">
        <w:rPr>
          <w:lang w:val="en-US"/>
        </w:rPr>
        <w:t xml:space="preserve"> </w:t>
      </w:r>
    </w:p>
    <w:p w14:paraId="74F08007" w14:textId="05A63DFA" w:rsidR="00CD3E41" w:rsidRPr="00F07517" w:rsidRDefault="00D8240B" w:rsidP="00D8240B">
      <w:pPr>
        <w:pStyle w:val="level1"/>
        <w:numPr>
          <w:ilvl w:val="0"/>
          <w:numId w:val="0"/>
        </w:numPr>
        <w:spacing w:after="480" w:line="360" w:lineRule="auto"/>
        <w:jc w:val="both"/>
        <w:rPr>
          <w:lang w:val="en-US"/>
        </w:rPr>
      </w:pPr>
      <w:r w:rsidRPr="00F07517">
        <w:rPr>
          <w:lang w:val="en-US"/>
        </w:rPr>
        <w:t>[47]</w:t>
      </w:r>
      <w:r w:rsidRPr="00F07517">
        <w:rPr>
          <w:lang w:val="en-US"/>
        </w:rPr>
        <w:tab/>
      </w:r>
      <w:r w:rsidR="00F07517" w:rsidRPr="00F07517">
        <w:rPr>
          <w:lang w:val="en-US"/>
        </w:rPr>
        <w:t>I am not persuaded that the respondents’ argument pertaining to a lack of good faith passes muster.</w:t>
      </w:r>
      <w:r w:rsidR="00F07517">
        <w:rPr>
          <w:lang w:val="en-US"/>
        </w:rPr>
        <w:t xml:space="preserve"> </w:t>
      </w:r>
      <w:r w:rsidR="00A336BD" w:rsidRPr="00F07517">
        <w:rPr>
          <w:lang w:val="en-US"/>
        </w:rPr>
        <w:t xml:space="preserve">For the reasons advanced, I conclude that the applicant has illustrated good cause as envisaged by s 3(4)(b)(ii). </w:t>
      </w:r>
    </w:p>
    <w:p w14:paraId="50B2B9D2" w14:textId="69EEB518" w:rsidR="00067709" w:rsidRDefault="00D8240B" w:rsidP="00D8240B">
      <w:pPr>
        <w:pStyle w:val="level1"/>
        <w:numPr>
          <w:ilvl w:val="0"/>
          <w:numId w:val="0"/>
        </w:numPr>
        <w:spacing w:after="480" w:line="360" w:lineRule="auto"/>
        <w:jc w:val="both"/>
        <w:rPr>
          <w:lang w:val="en-US"/>
        </w:rPr>
      </w:pPr>
      <w:r>
        <w:rPr>
          <w:lang w:val="en-US"/>
        </w:rPr>
        <w:t>[48]</w:t>
      </w:r>
      <w:r>
        <w:rPr>
          <w:lang w:val="en-US"/>
        </w:rPr>
        <w:tab/>
      </w:r>
      <w:r w:rsidR="00A336BD" w:rsidRPr="00067709">
        <w:rPr>
          <w:lang w:val="en-US"/>
        </w:rPr>
        <w:t>I turn to consider the issue whether the respondents were unreasonably prejudiced by the applicant’s failure to timeously give the notice.</w:t>
      </w:r>
      <w:r w:rsidR="00067709">
        <w:rPr>
          <w:lang w:val="en-US"/>
        </w:rPr>
        <w:t xml:space="preserve"> </w:t>
      </w:r>
      <w:r w:rsidR="00A336BD" w:rsidRPr="00067709">
        <w:rPr>
          <w:lang w:val="en-US"/>
        </w:rPr>
        <w:t>The respondents</w:t>
      </w:r>
      <w:r w:rsidR="00CD3E41" w:rsidRPr="00067709">
        <w:rPr>
          <w:lang w:val="en-US"/>
        </w:rPr>
        <w:t xml:space="preserve"> complained that the</w:t>
      </w:r>
      <w:r w:rsidR="00A336BD" w:rsidRPr="00067709">
        <w:rPr>
          <w:lang w:val="en-US"/>
        </w:rPr>
        <w:t>y</w:t>
      </w:r>
      <w:r w:rsidR="00CD3E41" w:rsidRPr="00067709">
        <w:rPr>
          <w:lang w:val="en-US"/>
        </w:rPr>
        <w:t xml:space="preserve"> were not given a proper opportunity to consider the </w:t>
      </w:r>
      <w:r w:rsidR="00A336BD" w:rsidRPr="00067709">
        <w:rPr>
          <w:lang w:val="en-US"/>
        </w:rPr>
        <w:t xml:space="preserve">applicant’s </w:t>
      </w:r>
      <w:r w:rsidR="00CD3E41" w:rsidRPr="00067709">
        <w:rPr>
          <w:lang w:val="en-US"/>
        </w:rPr>
        <w:t>claim</w:t>
      </w:r>
      <w:r w:rsidR="00A336BD" w:rsidRPr="00067709">
        <w:rPr>
          <w:lang w:val="en-US"/>
        </w:rPr>
        <w:t>s and were unreasonably prejudiced</w:t>
      </w:r>
      <w:r w:rsidR="00067709">
        <w:rPr>
          <w:lang w:val="en-US"/>
        </w:rPr>
        <w:t xml:space="preserve"> and that </w:t>
      </w:r>
      <w:r w:rsidR="00727345" w:rsidRPr="00067709">
        <w:rPr>
          <w:lang w:val="en-US"/>
        </w:rPr>
        <w:t>the applicant has not illustrated that the</w:t>
      </w:r>
      <w:r w:rsidR="00067709">
        <w:rPr>
          <w:lang w:val="en-US"/>
        </w:rPr>
        <w:t xml:space="preserve">y </w:t>
      </w:r>
      <w:r w:rsidR="00EB68DE">
        <w:rPr>
          <w:lang w:val="en-US"/>
        </w:rPr>
        <w:t>we</w:t>
      </w:r>
      <w:r w:rsidR="00067709">
        <w:rPr>
          <w:lang w:val="en-US"/>
        </w:rPr>
        <w:t>re</w:t>
      </w:r>
      <w:r w:rsidR="00727345" w:rsidRPr="00067709">
        <w:rPr>
          <w:lang w:val="en-US"/>
        </w:rPr>
        <w:t xml:space="preserve"> not</w:t>
      </w:r>
      <w:r w:rsidR="00EB68DE">
        <w:rPr>
          <w:lang w:val="en-US"/>
        </w:rPr>
        <w:t>.</w:t>
      </w:r>
      <w:r w:rsidR="00727345" w:rsidRPr="00067709">
        <w:rPr>
          <w:lang w:val="en-US"/>
        </w:rPr>
        <w:t xml:space="preserve"> </w:t>
      </w:r>
    </w:p>
    <w:p w14:paraId="5FAD54D7" w14:textId="503059B8" w:rsidR="00EB68DE" w:rsidRDefault="00D8240B" w:rsidP="00D8240B">
      <w:pPr>
        <w:pStyle w:val="level1"/>
        <w:numPr>
          <w:ilvl w:val="0"/>
          <w:numId w:val="0"/>
        </w:numPr>
        <w:spacing w:after="480" w:line="360" w:lineRule="auto"/>
        <w:jc w:val="both"/>
        <w:rPr>
          <w:lang w:val="en-US"/>
        </w:rPr>
      </w:pPr>
      <w:r>
        <w:rPr>
          <w:lang w:val="en-US"/>
        </w:rPr>
        <w:t>[49]</w:t>
      </w:r>
      <w:r>
        <w:rPr>
          <w:lang w:val="en-US"/>
        </w:rPr>
        <w:tab/>
      </w:r>
      <w:r w:rsidR="00EB68DE">
        <w:rPr>
          <w:lang w:val="en-US"/>
        </w:rPr>
        <w:t xml:space="preserve">The respondents argued that granting condonation would be unreasonably prejudicial to them, facilitating the precise prejudice to the state which the Act is designed to avoid being to defend a case where it was never given the statutorily mandated opportunity to consider the proper response </w:t>
      </w:r>
      <w:proofErr w:type="gramStart"/>
      <w:r w:rsidR="00EB68DE">
        <w:rPr>
          <w:lang w:val="en-US"/>
        </w:rPr>
        <w:t>in light of</w:t>
      </w:r>
      <w:proofErr w:type="gramEnd"/>
      <w:r w:rsidR="00EB68DE">
        <w:rPr>
          <w:lang w:val="en-US"/>
        </w:rPr>
        <w:t xml:space="preserve"> its custodianship of public funds. </w:t>
      </w:r>
    </w:p>
    <w:p w14:paraId="4EB7C05E" w14:textId="77213663" w:rsidR="00727345" w:rsidRPr="00067709" w:rsidRDefault="00D8240B" w:rsidP="00D8240B">
      <w:pPr>
        <w:pStyle w:val="level1"/>
        <w:numPr>
          <w:ilvl w:val="0"/>
          <w:numId w:val="0"/>
        </w:numPr>
        <w:spacing w:after="480" w:line="360" w:lineRule="auto"/>
        <w:jc w:val="both"/>
        <w:rPr>
          <w:lang w:val="en-US"/>
        </w:rPr>
      </w:pPr>
      <w:r w:rsidRPr="00067709">
        <w:rPr>
          <w:lang w:val="en-US"/>
        </w:rPr>
        <w:t>[50]</w:t>
      </w:r>
      <w:r w:rsidRPr="00067709">
        <w:rPr>
          <w:lang w:val="en-US"/>
        </w:rPr>
        <w:tab/>
      </w:r>
      <w:r w:rsidR="00727345" w:rsidRPr="00067709">
        <w:rPr>
          <w:lang w:val="en-US"/>
        </w:rPr>
        <w:t xml:space="preserve">The applicant’s case </w:t>
      </w:r>
      <w:r w:rsidR="00067709">
        <w:rPr>
          <w:lang w:val="en-US"/>
        </w:rPr>
        <w:t xml:space="preserve">on this issue </w:t>
      </w:r>
      <w:r w:rsidR="00727345" w:rsidRPr="00067709">
        <w:rPr>
          <w:lang w:val="en-US"/>
        </w:rPr>
        <w:t>is that the first and second respondents are jointly liable</w:t>
      </w:r>
      <w:r w:rsidR="00067709">
        <w:rPr>
          <w:lang w:val="en-US"/>
        </w:rPr>
        <w:t>,</w:t>
      </w:r>
      <w:r w:rsidR="00727345" w:rsidRPr="00067709">
        <w:rPr>
          <w:lang w:val="en-US"/>
        </w:rPr>
        <w:t xml:space="preserve"> are state organs and therefore cannot suffer any prejudice if the condonation application is successful. I agree with the respondents that such notion </w:t>
      </w:r>
      <w:r w:rsidR="00067709">
        <w:rPr>
          <w:lang w:val="en-US"/>
        </w:rPr>
        <w:t>lacks merit</w:t>
      </w:r>
      <w:r w:rsidR="00727345" w:rsidRPr="00067709">
        <w:rPr>
          <w:lang w:val="en-US"/>
        </w:rPr>
        <w:t>.</w:t>
      </w:r>
    </w:p>
    <w:p w14:paraId="7A5BC5CA" w14:textId="3E55A82A" w:rsidR="00727345" w:rsidRDefault="00D8240B" w:rsidP="00D8240B">
      <w:pPr>
        <w:pStyle w:val="level1"/>
        <w:numPr>
          <w:ilvl w:val="0"/>
          <w:numId w:val="0"/>
        </w:numPr>
        <w:spacing w:after="480" w:line="360" w:lineRule="auto"/>
        <w:jc w:val="both"/>
        <w:rPr>
          <w:lang w:val="en-US"/>
        </w:rPr>
      </w:pPr>
      <w:r>
        <w:rPr>
          <w:lang w:val="en-US"/>
        </w:rPr>
        <w:t>[51]</w:t>
      </w:r>
      <w:r>
        <w:rPr>
          <w:lang w:val="en-US"/>
        </w:rPr>
        <w:tab/>
      </w:r>
      <w:r w:rsidR="00727345">
        <w:rPr>
          <w:lang w:val="en-US"/>
        </w:rPr>
        <w:t>The Act expressly makes provision for the absence of unreasonable prejudice as a specific fa</w:t>
      </w:r>
      <w:r w:rsidR="00067709">
        <w:rPr>
          <w:lang w:val="en-US"/>
        </w:rPr>
        <w:t>c</w:t>
      </w:r>
      <w:r w:rsidR="00727345">
        <w:rPr>
          <w:lang w:val="en-US"/>
        </w:rPr>
        <w:t xml:space="preserve">tor of which the applicant must satisfy a court and </w:t>
      </w:r>
      <w:proofErr w:type="spellStart"/>
      <w:r w:rsidR="00727345">
        <w:rPr>
          <w:lang w:val="en-US"/>
        </w:rPr>
        <w:t>emphasises</w:t>
      </w:r>
      <w:proofErr w:type="spellEnd"/>
      <w:r w:rsidR="00727345">
        <w:rPr>
          <w:lang w:val="en-US"/>
        </w:rPr>
        <w:t xml:space="preserve"> “</w:t>
      </w:r>
      <w:r w:rsidR="00727345" w:rsidRPr="00067709">
        <w:rPr>
          <w:i/>
          <w:lang w:val="en-US"/>
        </w:rPr>
        <w:t>the need to give due weight to both the individual’s right of access to justice and the protection of state interest in receiving timeous and adequate notice</w:t>
      </w:r>
      <w:r w:rsidR="00727345">
        <w:rPr>
          <w:lang w:val="en-US"/>
        </w:rPr>
        <w:t>”</w:t>
      </w:r>
      <w:r w:rsidR="00727345">
        <w:rPr>
          <w:rStyle w:val="FootnoteReference"/>
          <w:lang w:val="en-US"/>
        </w:rPr>
        <w:footnoteReference w:id="26"/>
      </w:r>
      <w:r w:rsidR="00067709">
        <w:rPr>
          <w:lang w:val="en-US"/>
        </w:rPr>
        <w:t>.</w:t>
      </w:r>
      <w:r w:rsidR="00727345">
        <w:rPr>
          <w:lang w:val="en-US"/>
        </w:rPr>
        <w:t xml:space="preserve"> </w:t>
      </w:r>
    </w:p>
    <w:p w14:paraId="318CE1C7" w14:textId="5FEA65F1" w:rsidR="00727345" w:rsidRDefault="00D8240B" w:rsidP="00D8240B">
      <w:pPr>
        <w:pStyle w:val="level1"/>
        <w:numPr>
          <w:ilvl w:val="0"/>
          <w:numId w:val="0"/>
        </w:numPr>
        <w:spacing w:after="480" w:line="360" w:lineRule="auto"/>
        <w:jc w:val="both"/>
        <w:rPr>
          <w:lang w:val="en-US"/>
        </w:rPr>
      </w:pPr>
      <w:r>
        <w:rPr>
          <w:lang w:val="en-US"/>
        </w:rPr>
        <w:t>[52]</w:t>
      </w:r>
      <w:r>
        <w:rPr>
          <w:lang w:val="en-US"/>
        </w:rPr>
        <w:tab/>
      </w:r>
      <w:r w:rsidR="00727345">
        <w:rPr>
          <w:lang w:val="en-US"/>
        </w:rPr>
        <w:t xml:space="preserve">As held in </w:t>
      </w:r>
      <w:proofErr w:type="spellStart"/>
      <w:r w:rsidR="00727345" w:rsidRPr="00067709">
        <w:rPr>
          <w:i/>
          <w:lang w:val="en-US"/>
        </w:rPr>
        <w:t>Madinda</w:t>
      </w:r>
      <w:proofErr w:type="spellEnd"/>
      <w:r w:rsidR="00727345" w:rsidRPr="00067709">
        <w:rPr>
          <w:i/>
          <w:lang w:val="en-US"/>
        </w:rPr>
        <w:t>,</w:t>
      </w:r>
      <w:r w:rsidR="00727345">
        <w:rPr>
          <w:lang w:val="en-US"/>
        </w:rPr>
        <w:t xml:space="preserve"> the approach to the existence of unreasonable prejudice requires a </w:t>
      </w:r>
      <w:proofErr w:type="gramStart"/>
      <w:r w:rsidR="00727345">
        <w:rPr>
          <w:lang w:val="en-US"/>
        </w:rPr>
        <w:t>common sense</w:t>
      </w:r>
      <w:proofErr w:type="gramEnd"/>
      <w:r w:rsidR="00727345">
        <w:rPr>
          <w:lang w:val="en-US"/>
        </w:rPr>
        <w:t xml:space="preserve"> analysis of the facts, bearing in mind that whether the grounds </w:t>
      </w:r>
      <w:r w:rsidR="00727345">
        <w:rPr>
          <w:lang w:val="en-US"/>
        </w:rPr>
        <w:lastRenderedPageBreak/>
        <w:t>of prejudice existed often l</w:t>
      </w:r>
      <w:r w:rsidR="00EB68DE">
        <w:rPr>
          <w:lang w:val="en-US"/>
        </w:rPr>
        <w:t>ie</w:t>
      </w:r>
      <w:r w:rsidR="00727345">
        <w:rPr>
          <w:lang w:val="en-US"/>
        </w:rPr>
        <w:t xml:space="preserve"> peculiarly within the knowledge of the respondent. Although the onus is on an applicant to bring the application within the terms of a statute a court should be slow to assume prejudice for which the respondent itself did not lay a basis.</w:t>
      </w:r>
    </w:p>
    <w:p w14:paraId="57EED39C" w14:textId="4A3149D6" w:rsidR="00067709" w:rsidRDefault="00D8240B" w:rsidP="00D8240B">
      <w:pPr>
        <w:pStyle w:val="level1"/>
        <w:numPr>
          <w:ilvl w:val="0"/>
          <w:numId w:val="0"/>
        </w:numPr>
        <w:spacing w:after="480" w:line="360" w:lineRule="auto"/>
        <w:jc w:val="both"/>
        <w:rPr>
          <w:lang w:val="en-US"/>
        </w:rPr>
      </w:pPr>
      <w:r>
        <w:rPr>
          <w:lang w:val="en-US"/>
        </w:rPr>
        <w:t>[53]</w:t>
      </w:r>
      <w:r>
        <w:rPr>
          <w:lang w:val="en-US"/>
        </w:rPr>
        <w:tab/>
      </w:r>
      <w:r w:rsidR="00067709">
        <w:rPr>
          <w:lang w:val="en-US"/>
        </w:rPr>
        <w:t>At</w:t>
      </w:r>
      <w:r w:rsidR="00727345">
        <w:rPr>
          <w:lang w:val="en-US"/>
        </w:rPr>
        <w:t xml:space="preserve"> this stage </w:t>
      </w:r>
      <w:r w:rsidR="00067709">
        <w:rPr>
          <w:lang w:val="en-US"/>
        </w:rPr>
        <w:t xml:space="preserve">it cannot </w:t>
      </w:r>
      <w:r w:rsidR="00727345">
        <w:rPr>
          <w:lang w:val="en-US"/>
        </w:rPr>
        <w:t xml:space="preserve">be ignored that the parties have been litigating at full stretch </w:t>
      </w:r>
      <w:r w:rsidR="00EB68DE">
        <w:rPr>
          <w:lang w:val="en-US"/>
        </w:rPr>
        <w:t xml:space="preserve">for nearly two years </w:t>
      </w:r>
      <w:r w:rsidR="00727345">
        <w:rPr>
          <w:lang w:val="en-US"/>
        </w:rPr>
        <w:t xml:space="preserve">and that the matter would have proceeded to trial in April 2022 were it not for the respondents’ notice of intention to amend their plea and introduce a special plea of prescription. The respondents have had adequate time to plan to face the applicant’s claims and have done so. </w:t>
      </w:r>
      <w:r w:rsidR="00067709">
        <w:rPr>
          <w:lang w:val="en-US"/>
        </w:rPr>
        <w:t>The docket and all the available documents have been discovered</w:t>
      </w:r>
      <w:r w:rsidR="00957474">
        <w:rPr>
          <w:lang w:val="en-US"/>
        </w:rPr>
        <w:t xml:space="preserve"> and it cannot be concluded that the respondents have been unable to investigate the applicant’s claims</w:t>
      </w:r>
      <w:r w:rsidR="00067709">
        <w:rPr>
          <w:lang w:val="en-US"/>
        </w:rPr>
        <w:t>.</w:t>
      </w:r>
    </w:p>
    <w:p w14:paraId="04BE5E6C" w14:textId="2645433D" w:rsidR="00727345" w:rsidRPr="00EB68DE" w:rsidRDefault="00D8240B" w:rsidP="00D8240B">
      <w:pPr>
        <w:pStyle w:val="level1"/>
        <w:numPr>
          <w:ilvl w:val="0"/>
          <w:numId w:val="0"/>
        </w:numPr>
        <w:spacing w:after="480" w:line="360" w:lineRule="auto"/>
        <w:jc w:val="both"/>
        <w:rPr>
          <w:lang w:val="en-US"/>
        </w:rPr>
      </w:pPr>
      <w:r w:rsidRPr="00EB68DE">
        <w:rPr>
          <w:lang w:val="en-US"/>
        </w:rPr>
        <w:t>[54]</w:t>
      </w:r>
      <w:r w:rsidRPr="00EB68DE">
        <w:rPr>
          <w:lang w:val="en-US"/>
        </w:rPr>
        <w:tab/>
      </w:r>
      <w:r w:rsidR="00727345" w:rsidRPr="00EB68DE">
        <w:rPr>
          <w:lang w:val="en-US"/>
        </w:rPr>
        <w:t xml:space="preserve">The fact that the quantum of the </w:t>
      </w:r>
      <w:r w:rsidR="00EB68DE">
        <w:rPr>
          <w:lang w:val="en-US"/>
        </w:rPr>
        <w:t xml:space="preserve">applicant’s </w:t>
      </w:r>
      <w:r w:rsidR="00727345" w:rsidRPr="00EB68DE">
        <w:rPr>
          <w:lang w:val="en-US"/>
        </w:rPr>
        <w:t>claims has increased, does not alter this position. It cannot on the facts of this case be concluded that the respondents have been wholly ill prepared to properly assess the claims and quantum thereof brought by the applicants.</w:t>
      </w:r>
    </w:p>
    <w:p w14:paraId="16390185" w14:textId="26124747" w:rsidR="00727345" w:rsidRDefault="00D8240B" w:rsidP="00D8240B">
      <w:pPr>
        <w:pStyle w:val="level1"/>
        <w:numPr>
          <w:ilvl w:val="0"/>
          <w:numId w:val="0"/>
        </w:numPr>
        <w:spacing w:after="480" w:line="360" w:lineRule="auto"/>
        <w:jc w:val="both"/>
        <w:rPr>
          <w:lang w:val="en-US"/>
        </w:rPr>
      </w:pPr>
      <w:r>
        <w:rPr>
          <w:lang w:val="en-US"/>
        </w:rPr>
        <w:t>[55]</w:t>
      </w:r>
      <w:r>
        <w:rPr>
          <w:lang w:val="en-US"/>
        </w:rPr>
        <w:tab/>
      </w:r>
      <w:r w:rsidR="00727345">
        <w:rPr>
          <w:lang w:val="en-US"/>
        </w:rPr>
        <w:t xml:space="preserve">The fact that the applicant has increased his claim over time is not sufficient to constitute </w:t>
      </w:r>
      <w:r w:rsidR="00EB68DE">
        <w:rPr>
          <w:lang w:val="en-US"/>
        </w:rPr>
        <w:t xml:space="preserve">unreasonable </w:t>
      </w:r>
      <w:r w:rsidR="00727345">
        <w:rPr>
          <w:lang w:val="en-US"/>
        </w:rPr>
        <w:t xml:space="preserve">prejudice of the kind contended for by the respondents. </w:t>
      </w:r>
      <w:r w:rsidR="00957474">
        <w:rPr>
          <w:lang w:val="en-US"/>
        </w:rPr>
        <w:t xml:space="preserve">The applicant will have to prove his claims at trial. </w:t>
      </w:r>
      <w:r w:rsidR="00EB68DE" w:rsidRPr="00EB68DE">
        <w:rPr>
          <w:lang w:val="en-US"/>
        </w:rPr>
        <w:t>I have already concluded that the applicant’s notice was not fatally defective as contended by the applicant.</w:t>
      </w:r>
      <w:r w:rsidR="00727345">
        <w:rPr>
          <w:lang w:val="en-US"/>
        </w:rPr>
        <w:t xml:space="preserve">  </w:t>
      </w:r>
    </w:p>
    <w:p w14:paraId="143D9106" w14:textId="502B3EBA" w:rsidR="00067709" w:rsidRDefault="00D8240B" w:rsidP="00D8240B">
      <w:pPr>
        <w:pStyle w:val="level1"/>
        <w:numPr>
          <w:ilvl w:val="0"/>
          <w:numId w:val="0"/>
        </w:numPr>
        <w:spacing w:after="480" w:line="360" w:lineRule="auto"/>
        <w:jc w:val="both"/>
        <w:rPr>
          <w:lang w:val="en-US"/>
        </w:rPr>
      </w:pPr>
      <w:r>
        <w:rPr>
          <w:lang w:val="en-US"/>
        </w:rPr>
        <w:t>[56]</w:t>
      </w:r>
      <w:r>
        <w:rPr>
          <w:lang w:val="en-US"/>
        </w:rPr>
        <w:tab/>
      </w:r>
      <w:r w:rsidR="00067709">
        <w:rPr>
          <w:lang w:val="en-US"/>
        </w:rPr>
        <w:t xml:space="preserve">Other than broad generic averments, the respondents have not put up any facts to support their contention of </w:t>
      </w:r>
      <w:r w:rsidR="00957474">
        <w:rPr>
          <w:lang w:val="en-US"/>
        </w:rPr>
        <w:t xml:space="preserve">unreasonable </w:t>
      </w:r>
      <w:r w:rsidR="00067709">
        <w:rPr>
          <w:lang w:val="en-US"/>
        </w:rPr>
        <w:t>prejudice. Although the applicant’s contention lacks merit, it cannot on the facts be concluded that the respondents have been un</w:t>
      </w:r>
      <w:r w:rsidR="00957474">
        <w:rPr>
          <w:lang w:val="en-US"/>
        </w:rPr>
        <w:t xml:space="preserve">reasonably </w:t>
      </w:r>
      <w:r w:rsidR="00067709">
        <w:rPr>
          <w:lang w:val="en-US"/>
        </w:rPr>
        <w:t xml:space="preserve">prejudiced.  </w:t>
      </w:r>
    </w:p>
    <w:p w14:paraId="1F6C621E" w14:textId="3CC0EC05" w:rsidR="00342A9F" w:rsidRDefault="00D8240B" w:rsidP="00D8240B">
      <w:pPr>
        <w:pStyle w:val="level1"/>
        <w:numPr>
          <w:ilvl w:val="0"/>
          <w:numId w:val="0"/>
        </w:numPr>
        <w:spacing w:after="480" w:line="360" w:lineRule="auto"/>
        <w:jc w:val="both"/>
        <w:rPr>
          <w:lang w:val="en-US"/>
        </w:rPr>
      </w:pPr>
      <w:r>
        <w:rPr>
          <w:lang w:val="en-US"/>
        </w:rPr>
        <w:t>[57]</w:t>
      </w:r>
      <w:r>
        <w:rPr>
          <w:lang w:val="en-US"/>
        </w:rPr>
        <w:tab/>
      </w:r>
      <w:r w:rsidR="00957474">
        <w:rPr>
          <w:lang w:val="en-US"/>
        </w:rPr>
        <w:t xml:space="preserve">For these reasons, </w:t>
      </w:r>
      <w:r w:rsidR="00727345" w:rsidRPr="00957474">
        <w:rPr>
          <w:lang w:val="en-US"/>
        </w:rPr>
        <w:t xml:space="preserve">I </w:t>
      </w:r>
      <w:r w:rsidR="00957474">
        <w:rPr>
          <w:lang w:val="en-US"/>
        </w:rPr>
        <w:t xml:space="preserve">am satisfied that </w:t>
      </w:r>
      <w:r w:rsidR="00727345" w:rsidRPr="00957474">
        <w:rPr>
          <w:lang w:val="en-US"/>
        </w:rPr>
        <w:t>the applicant has met the requirements in s 3(4)(b) of the Act.</w:t>
      </w:r>
      <w:r w:rsidR="00957474">
        <w:rPr>
          <w:lang w:val="en-US"/>
        </w:rPr>
        <w:t xml:space="preserve"> </w:t>
      </w:r>
    </w:p>
    <w:p w14:paraId="3CAC4698" w14:textId="35F289E6" w:rsidR="00342A9F" w:rsidRPr="00342A9F" w:rsidRDefault="00342A9F" w:rsidP="00342A9F">
      <w:pPr>
        <w:pStyle w:val="level1"/>
        <w:numPr>
          <w:ilvl w:val="0"/>
          <w:numId w:val="0"/>
        </w:numPr>
        <w:spacing w:after="480" w:line="360" w:lineRule="auto"/>
        <w:jc w:val="both"/>
        <w:rPr>
          <w:i/>
          <w:lang w:val="en-US"/>
        </w:rPr>
      </w:pPr>
      <w:r w:rsidRPr="00342A9F">
        <w:rPr>
          <w:i/>
          <w:lang w:val="en-US"/>
        </w:rPr>
        <w:lastRenderedPageBreak/>
        <w:t>Should condonation be granted?</w:t>
      </w:r>
    </w:p>
    <w:p w14:paraId="59BF5E06" w14:textId="0A2EB420" w:rsidR="00230717" w:rsidRPr="00957474" w:rsidRDefault="00D8240B" w:rsidP="00D8240B">
      <w:pPr>
        <w:pStyle w:val="level1"/>
        <w:numPr>
          <w:ilvl w:val="0"/>
          <w:numId w:val="0"/>
        </w:numPr>
        <w:spacing w:after="480" w:line="360" w:lineRule="auto"/>
        <w:jc w:val="both"/>
        <w:rPr>
          <w:lang w:val="en-US"/>
        </w:rPr>
      </w:pPr>
      <w:r w:rsidRPr="00957474">
        <w:rPr>
          <w:lang w:val="en-US"/>
        </w:rPr>
        <w:t>[58]</w:t>
      </w:r>
      <w:r w:rsidRPr="00957474">
        <w:rPr>
          <w:lang w:val="en-US"/>
        </w:rPr>
        <w:tab/>
      </w:r>
      <w:r w:rsidR="00727345" w:rsidRPr="00957474">
        <w:rPr>
          <w:lang w:val="en-US"/>
        </w:rPr>
        <w:t>It is well established that once a court is</w:t>
      </w:r>
      <w:r w:rsidR="00230717" w:rsidRPr="00957474">
        <w:rPr>
          <w:lang w:val="en-US"/>
        </w:rPr>
        <w:t xml:space="preserve"> satisfied that all three requirements have been met</w:t>
      </w:r>
      <w:r w:rsidR="00727345" w:rsidRPr="00957474">
        <w:rPr>
          <w:lang w:val="en-US"/>
        </w:rPr>
        <w:t xml:space="preserve">, </w:t>
      </w:r>
      <w:r w:rsidR="00230717" w:rsidRPr="00957474">
        <w:rPr>
          <w:lang w:val="en-US"/>
        </w:rPr>
        <w:t>the discretion to condone operates according to the established principles in such matters</w:t>
      </w:r>
      <w:r w:rsidR="00067709" w:rsidRPr="00957474">
        <w:rPr>
          <w:lang w:val="en-US"/>
        </w:rPr>
        <w:t>.</w:t>
      </w:r>
      <w:r w:rsidR="00230717">
        <w:rPr>
          <w:rStyle w:val="FootnoteReference"/>
          <w:lang w:val="en-US"/>
        </w:rPr>
        <w:footnoteReference w:id="27"/>
      </w:r>
      <w:r w:rsidR="00230717" w:rsidRPr="00957474">
        <w:rPr>
          <w:lang w:val="en-US"/>
        </w:rPr>
        <w:t xml:space="preserve"> </w:t>
      </w:r>
    </w:p>
    <w:p w14:paraId="0C0A561C" w14:textId="04158E0C" w:rsidR="006616E5" w:rsidRDefault="00D8240B" w:rsidP="00D8240B">
      <w:pPr>
        <w:pStyle w:val="level1"/>
        <w:numPr>
          <w:ilvl w:val="0"/>
          <w:numId w:val="0"/>
        </w:numPr>
        <w:spacing w:after="480" w:line="360" w:lineRule="auto"/>
        <w:jc w:val="both"/>
        <w:rPr>
          <w:lang w:val="en-US"/>
        </w:rPr>
      </w:pPr>
      <w:r>
        <w:rPr>
          <w:lang w:val="en-US"/>
        </w:rPr>
        <w:t>[59]</w:t>
      </w:r>
      <w:r>
        <w:rPr>
          <w:lang w:val="en-US"/>
        </w:rPr>
        <w:tab/>
      </w:r>
      <w:r w:rsidR="00BD102C">
        <w:rPr>
          <w:lang w:val="en-US"/>
        </w:rPr>
        <w:t xml:space="preserve">Considering all the </w:t>
      </w:r>
      <w:r w:rsidR="00342A9F">
        <w:rPr>
          <w:lang w:val="en-US"/>
        </w:rPr>
        <w:t xml:space="preserve">relevant </w:t>
      </w:r>
      <w:r w:rsidR="00BD102C">
        <w:rPr>
          <w:lang w:val="en-US"/>
        </w:rPr>
        <w:t xml:space="preserve">facts, </w:t>
      </w:r>
      <w:r w:rsidR="00957474">
        <w:rPr>
          <w:lang w:val="en-US"/>
        </w:rPr>
        <w:t xml:space="preserve">and applying the relevant principles, </w:t>
      </w:r>
      <w:r w:rsidR="00BD102C">
        <w:rPr>
          <w:lang w:val="en-US"/>
        </w:rPr>
        <w:t xml:space="preserve">I </w:t>
      </w:r>
      <w:r w:rsidR="00957474">
        <w:rPr>
          <w:lang w:val="en-US"/>
        </w:rPr>
        <w:t xml:space="preserve">am persuaded </w:t>
      </w:r>
      <w:r w:rsidR="00342A9F">
        <w:rPr>
          <w:lang w:val="en-US"/>
        </w:rPr>
        <w:t xml:space="preserve">that the applicant has provided a sufficient explanation for the delay. I am further persuaded </w:t>
      </w:r>
      <w:r w:rsidR="00957474">
        <w:rPr>
          <w:lang w:val="en-US"/>
        </w:rPr>
        <w:t xml:space="preserve">to exercise the discretion afforded in favour of the applicant and </w:t>
      </w:r>
      <w:r w:rsidR="00BD102C">
        <w:rPr>
          <w:lang w:val="en-US"/>
        </w:rPr>
        <w:t>that condonation should be granted.</w:t>
      </w:r>
    </w:p>
    <w:p w14:paraId="1BF4BF7D" w14:textId="7357A303" w:rsidR="00957474" w:rsidRDefault="00D8240B" w:rsidP="00D8240B">
      <w:pPr>
        <w:pStyle w:val="level1"/>
        <w:numPr>
          <w:ilvl w:val="0"/>
          <w:numId w:val="0"/>
        </w:numPr>
        <w:spacing w:after="480" w:line="360" w:lineRule="auto"/>
        <w:jc w:val="both"/>
        <w:rPr>
          <w:lang w:val="en-US"/>
        </w:rPr>
      </w:pPr>
      <w:r>
        <w:rPr>
          <w:lang w:val="en-US"/>
        </w:rPr>
        <w:t>[60]</w:t>
      </w:r>
      <w:r>
        <w:rPr>
          <w:lang w:val="en-US"/>
        </w:rPr>
        <w:tab/>
      </w:r>
      <w:r w:rsidR="00957474">
        <w:rPr>
          <w:lang w:val="en-US"/>
        </w:rPr>
        <w:t xml:space="preserve">There is no reason to deviate from the normal principle that costs follow the result. Both parties were represented by two </w:t>
      </w:r>
      <w:proofErr w:type="gramStart"/>
      <w:r w:rsidR="00957474">
        <w:rPr>
          <w:lang w:val="en-US"/>
        </w:rPr>
        <w:t>counsel</w:t>
      </w:r>
      <w:proofErr w:type="gramEnd"/>
      <w:r w:rsidR="00957474">
        <w:rPr>
          <w:lang w:val="en-US"/>
        </w:rPr>
        <w:t>. I am persuaded that the employment of two counsel was warranted, where so employed.</w:t>
      </w:r>
    </w:p>
    <w:p w14:paraId="41E08D63" w14:textId="26E326E3" w:rsidR="001E2697" w:rsidRDefault="00D8240B" w:rsidP="00D8240B">
      <w:pPr>
        <w:pStyle w:val="level1"/>
        <w:numPr>
          <w:ilvl w:val="0"/>
          <w:numId w:val="0"/>
        </w:numPr>
        <w:spacing w:after="480" w:line="360" w:lineRule="auto"/>
        <w:jc w:val="both"/>
        <w:rPr>
          <w:lang w:val="en-US"/>
        </w:rPr>
      </w:pPr>
      <w:r>
        <w:rPr>
          <w:lang w:val="en-US"/>
        </w:rPr>
        <w:t>[61]</w:t>
      </w:r>
      <w:r>
        <w:rPr>
          <w:lang w:val="en-US"/>
        </w:rPr>
        <w:tab/>
      </w:r>
      <w:r w:rsidR="00F33348">
        <w:rPr>
          <w:lang w:val="en-US"/>
        </w:rPr>
        <w:t>I grant the following order:</w:t>
      </w:r>
    </w:p>
    <w:p w14:paraId="4AFD4D6D" w14:textId="100ED058" w:rsidR="00F33348" w:rsidRDefault="00F33348" w:rsidP="00BD102C">
      <w:pPr>
        <w:pStyle w:val="level1"/>
        <w:numPr>
          <w:ilvl w:val="0"/>
          <w:numId w:val="0"/>
        </w:numPr>
        <w:spacing w:after="480" w:line="360" w:lineRule="auto"/>
        <w:ind w:left="360"/>
        <w:jc w:val="both"/>
        <w:rPr>
          <w:lang w:val="en-US"/>
        </w:rPr>
      </w:pPr>
      <w:r>
        <w:rPr>
          <w:lang w:val="en-US"/>
        </w:rPr>
        <w:t xml:space="preserve">[1] </w:t>
      </w:r>
      <w:r w:rsidR="00BD102C">
        <w:rPr>
          <w:lang w:val="en-US"/>
        </w:rPr>
        <w:t>T</w:t>
      </w:r>
      <w:r>
        <w:rPr>
          <w:lang w:val="en-US"/>
        </w:rPr>
        <w:t xml:space="preserve">he late delivery of </w:t>
      </w:r>
      <w:r w:rsidR="004A508E">
        <w:rPr>
          <w:lang w:val="en-US"/>
        </w:rPr>
        <w:t xml:space="preserve">the </w:t>
      </w:r>
      <w:r>
        <w:rPr>
          <w:lang w:val="en-US"/>
        </w:rPr>
        <w:t>a</w:t>
      </w:r>
      <w:r w:rsidR="004A508E">
        <w:rPr>
          <w:lang w:val="en-US"/>
        </w:rPr>
        <w:t>pplicant’s</w:t>
      </w:r>
      <w:r>
        <w:rPr>
          <w:lang w:val="en-US"/>
        </w:rPr>
        <w:t xml:space="preserve"> notice in terms of section 3 of the Institution of Legal Proceedings Against Certain Organs of State Act 40 0f 2002 is </w:t>
      </w:r>
      <w:proofErr w:type="gramStart"/>
      <w:r>
        <w:rPr>
          <w:lang w:val="en-US"/>
        </w:rPr>
        <w:t>condoned</w:t>
      </w:r>
      <w:r w:rsidR="00BD102C">
        <w:rPr>
          <w:lang w:val="en-US"/>
        </w:rPr>
        <w:t>;</w:t>
      </w:r>
      <w:proofErr w:type="gramEnd"/>
    </w:p>
    <w:p w14:paraId="34803B75" w14:textId="09389418" w:rsidR="00F33348" w:rsidRDefault="00F33348" w:rsidP="00BD102C">
      <w:pPr>
        <w:pStyle w:val="level1"/>
        <w:numPr>
          <w:ilvl w:val="0"/>
          <w:numId w:val="0"/>
        </w:numPr>
        <w:spacing w:after="480" w:line="360" w:lineRule="auto"/>
        <w:ind w:left="360"/>
        <w:jc w:val="both"/>
        <w:rPr>
          <w:lang w:val="en-US"/>
        </w:rPr>
      </w:pPr>
      <w:r>
        <w:rPr>
          <w:lang w:val="en-US"/>
        </w:rPr>
        <w:t xml:space="preserve">[2] </w:t>
      </w:r>
      <w:r w:rsidR="00BD102C">
        <w:rPr>
          <w:lang w:val="en-US"/>
        </w:rPr>
        <w:t>T</w:t>
      </w:r>
      <w:r>
        <w:rPr>
          <w:lang w:val="en-US"/>
        </w:rPr>
        <w:t xml:space="preserve">he </w:t>
      </w:r>
      <w:r w:rsidR="00BD102C">
        <w:rPr>
          <w:lang w:val="en-US"/>
        </w:rPr>
        <w:t>re</w:t>
      </w:r>
      <w:r>
        <w:rPr>
          <w:lang w:val="en-US"/>
        </w:rPr>
        <w:t xml:space="preserve">spondents </w:t>
      </w:r>
      <w:r w:rsidR="00BD102C">
        <w:rPr>
          <w:lang w:val="en-US"/>
        </w:rPr>
        <w:t>are directed to</w:t>
      </w:r>
      <w:r>
        <w:rPr>
          <w:lang w:val="en-US"/>
        </w:rPr>
        <w:t xml:space="preserve"> pay the costs of the application</w:t>
      </w:r>
      <w:r w:rsidR="00432D2A">
        <w:rPr>
          <w:lang w:val="en-US"/>
        </w:rPr>
        <w:t>, including the costs of two counsel, where employed</w:t>
      </w:r>
      <w:r>
        <w:rPr>
          <w:lang w:val="en-US"/>
        </w:rPr>
        <w:t>.</w:t>
      </w:r>
      <w:r w:rsidR="00432D2A">
        <w:rPr>
          <w:lang w:val="en-US"/>
        </w:rPr>
        <w:t xml:space="preserve"> </w:t>
      </w:r>
    </w:p>
    <w:p w14:paraId="2103C457" w14:textId="1D7F5ABE" w:rsidR="00383D1C" w:rsidRPr="00FA6C18" w:rsidRDefault="00383D1C" w:rsidP="0039420D">
      <w:pPr>
        <w:pStyle w:val="level1"/>
        <w:numPr>
          <w:ilvl w:val="0"/>
          <w:numId w:val="0"/>
        </w:numPr>
        <w:spacing w:after="480" w:line="360" w:lineRule="auto"/>
        <w:jc w:val="both"/>
        <w:rPr>
          <w:lang w:val="en-US"/>
        </w:rPr>
      </w:pPr>
    </w:p>
    <w:p w14:paraId="383AFE0B" w14:textId="77777777" w:rsidR="001E2697" w:rsidRDefault="001E2697" w:rsidP="001E2697">
      <w:pPr>
        <w:spacing w:line="360" w:lineRule="auto"/>
        <w:ind w:left="2880" w:firstLine="720"/>
      </w:pPr>
      <w:r>
        <w:tab/>
        <w:t>_____________________________________</w:t>
      </w:r>
    </w:p>
    <w:p w14:paraId="4A30BEF1" w14:textId="77777777" w:rsidR="001E2697" w:rsidRDefault="001E2697" w:rsidP="001E2697">
      <w:pPr>
        <w:ind w:left="4395"/>
        <w:rPr>
          <w:b/>
        </w:rPr>
      </w:pPr>
      <w:r>
        <w:rPr>
          <w:b/>
        </w:rPr>
        <w:t>EF DIPPENAAR</w:t>
      </w:r>
      <w:r>
        <w:t xml:space="preserve">                        </w:t>
      </w:r>
    </w:p>
    <w:p w14:paraId="4B1A0050" w14:textId="77777777" w:rsidR="001E2697" w:rsidRPr="00FB1B0A" w:rsidRDefault="001E2697" w:rsidP="001E2697">
      <w:pPr>
        <w:ind w:left="4395"/>
        <w:rPr>
          <w:b/>
        </w:rPr>
      </w:pPr>
      <w:r>
        <w:rPr>
          <w:b/>
        </w:rPr>
        <w:t xml:space="preserve">JUDGE OF THE HIGH COURT </w:t>
      </w:r>
      <w:smartTag w:uri="urn:schemas-microsoft-com:office:smarttags" w:element="place">
        <w:smartTag w:uri="urn:schemas-microsoft-com:office:smarttags" w:element="City">
          <w:r>
            <w:rPr>
              <w:b/>
            </w:rPr>
            <w:t>JOHANNESBURG</w:t>
          </w:r>
        </w:smartTag>
      </w:smartTag>
    </w:p>
    <w:p w14:paraId="3F8AD1F5" w14:textId="77777777" w:rsidR="001E2697" w:rsidRDefault="001E2697" w:rsidP="001E2697">
      <w:pPr>
        <w:rPr>
          <w:b/>
          <w:u w:val="single"/>
        </w:rPr>
      </w:pPr>
    </w:p>
    <w:p w14:paraId="61375C0E" w14:textId="77777777" w:rsidR="00113EEB" w:rsidRDefault="00113EEB" w:rsidP="001E2697">
      <w:pPr>
        <w:rPr>
          <w:b/>
          <w:u w:val="single"/>
        </w:rPr>
      </w:pPr>
    </w:p>
    <w:p w14:paraId="25B18677" w14:textId="0DFDEB45" w:rsidR="001E2697" w:rsidRPr="008B170D" w:rsidRDefault="001E2697" w:rsidP="001E2697">
      <w:pPr>
        <w:rPr>
          <w:b/>
          <w:u w:val="single"/>
        </w:rPr>
      </w:pPr>
      <w:r w:rsidRPr="008B170D">
        <w:rPr>
          <w:b/>
          <w:u w:val="single"/>
        </w:rPr>
        <w:t xml:space="preserve">APPEARANCES </w:t>
      </w:r>
    </w:p>
    <w:p w14:paraId="268038BB" w14:textId="77777777" w:rsidR="001E2697" w:rsidRDefault="001E2697" w:rsidP="001E2697">
      <w:pPr>
        <w:pStyle w:val="ListParagraph"/>
        <w:spacing w:after="0" w:line="240" w:lineRule="auto"/>
        <w:ind w:left="0"/>
      </w:pPr>
    </w:p>
    <w:p w14:paraId="200D2BF0" w14:textId="1346398D" w:rsidR="001E2697" w:rsidRDefault="001E2697" w:rsidP="001E2697">
      <w:r w:rsidRPr="008B170D">
        <w:rPr>
          <w:b/>
        </w:rPr>
        <w:t>DATE OF HEARING</w:t>
      </w:r>
      <w:r w:rsidRPr="008B170D">
        <w:rPr>
          <w:b/>
        </w:rPr>
        <w:tab/>
        <w:t xml:space="preserve"> </w:t>
      </w:r>
      <w:r w:rsidRPr="008B170D">
        <w:rPr>
          <w:b/>
        </w:rPr>
        <w:tab/>
      </w:r>
      <w:r w:rsidRPr="008B170D">
        <w:rPr>
          <w:b/>
        </w:rPr>
        <w:tab/>
        <w:t xml:space="preserve"> </w:t>
      </w:r>
      <w:r>
        <w:rPr>
          <w:b/>
        </w:rPr>
        <w:tab/>
      </w:r>
      <w:r w:rsidRPr="008B170D">
        <w:t>:</w:t>
      </w:r>
      <w:r>
        <w:t xml:space="preserve"> </w:t>
      </w:r>
      <w:r w:rsidR="00CA4E21">
        <w:t xml:space="preserve">  </w:t>
      </w:r>
      <w:r w:rsidR="00BD102C">
        <w:t>0</w:t>
      </w:r>
      <w:r w:rsidR="00F2368B">
        <w:t>6</w:t>
      </w:r>
      <w:r w:rsidR="0039420D">
        <w:t xml:space="preserve"> October 2022</w:t>
      </w:r>
      <w:r>
        <w:rPr>
          <w:b/>
        </w:rPr>
        <w:tab/>
      </w:r>
      <w:r>
        <w:t xml:space="preserve"> </w:t>
      </w:r>
    </w:p>
    <w:p w14:paraId="345B4D09" w14:textId="77777777" w:rsidR="001E2697" w:rsidRPr="008B170D" w:rsidRDefault="001E2697" w:rsidP="001E2697">
      <w:pPr>
        <w:rPr>
          <w:b/>
        </w:rPr>
      </w:pPr>
    </w:p>
    <w:p w14:paraId="2DA72A9D" w14:textId="59875E01" w:rsidR="001E2697" w:rsidRPr="008B170D" w:rsidRDefault="001E2697" w:rsidP="001E2697">
      <w:pPr>
        <w:rPr>
          <w:b/>
        </w:rPr>
      </w:pPr>
      <w:r w:rsidRPr="008B170D">
        <w:rPr>
          <w:b/>
        </w:rPr>
        <w:t xml:space="preserve">DATE OF JUDGMENT </w:t>
      </w:r>
      <w:r w:rsidRPr="008B170D">
        <w:rPr>
          <w:b/>
        </w:rPr>
        <w:tab/>
      </w:r>
      <w:r w:rsidRPr="008B170D">
        <w:rPr>
          <w:b/>
        </w:rPr>
        <w:tab/>
      </w:r>
      <w:r w:rsidRPr="008B170D">
        <w:rPr>
          <w:b/>
        </w:rPr>
        <w:tab/>
        <w:t xml:space="preserve"> </w:t>
      </w:r>
      <w:r>
        <w:rPr>
          <w:b/>
        </w:rPr>
        <w:tab/>
      </w:r>
      <w:r w:rsidRPr="008B170D">
        <w:t>:</w:t>
      </w:r>
      <w:r>
        <w:t xml:space="preserve"> </w:t>
      </w:r>
      <w:r w:rsidR="0039420D">
        <w:t xml:space="preserve">  </w:t>
      </w:r>
      <w:r w:rsidR="00BD102C">
        <w:t>1</w:t>
      </w:r>
      <w:r w:rsidR="00D935F9">
        <w:t>3</w:t>
      </w:r>
      <w:r w:rsidR="00BD102C">
        <w:t xml:space="preserve"> </w:t>
      </w:r>
      <w:r w:rsidR="00C63569">
        <w:t>Decem</w:t>
      </w:r>
      <w:r w:rsidR="0039420D">
        <w:t>ber 2022</w:t>
      </w:r>
    </w:p>
    <w:p w14:paraId="011A826F" w14:textId="77777777" w:rsidR="001E2697" w:rsidRPr="008B170D" w:rsidRDefault="001E2697" w:rsidP="001E2697">
      <w:pPr>
        <w:rPr>
          <w:b/>
        </w:rPr>
      </w:pPr>
      <w:r w:rsidRPr="008B170D">
        <w:rPr>
          <w:b/>
        </w:rPr>
        <w:tab/>
      </w:r>
      <w:r w:rsidRPr="008B170D">
        <w:rPr>
          <w:b/>
        </w:rPr>
        <w:tab/>
      </w:r>
      <w:r w:rsidRPr="008B170D">
        <w:rPr>
          <w:b/>
        </w:rPr>
        <w:tab/>
      </w:r>
      <w:r w:rsidRPr="008B170D">
        <w:rPr>
          <w:b/>
        </w:rPr>
        <w:tab/>
      </w:r>
    </w:p>
    <w:p w14:paraId="6F65325B" w14:textId="153B07B3" w:rsidR="00EA203F" w:rsidRDefault="002223BD" w:rsidP="00F2368B">
      <w:pPr>
        <w:pStyle w:val="ListParagraph"/>
        <w:spacing w:line="240" w:lineRule="auto"/>
        <w:ind w:left="0"/>
      </w:pPr>
      <w:r>
        <w:rPr>
          <w:b/>
        </w:rPr>
        <w:t>APPLICANT</w:t>
      </w:r>
      <w:r w:rsidR="001E2697">
        <w:rPr>
          <w:b/>
        </w:rPr>
        <w:t>’S COUNSEL</w:t>
      </w:r>
      <w:r w:rsidR="001E2697">
        <w:rPr>
          <w:b/>
        </w:rPr>
        <w:tab/>
      </w:r>
      <w:r w:rsidR="001E2697">
        <w:rPr>
          <w:b/>
        </w:rPr>
        <w:tab/>
      </w:r>
      <w:r w:rsidR="001E2697">
        <w:rPr>
          <w:b/>
        </w:rPr>
        <w:tab/>
      </w:r>
      <w:r w:rsidR="001E2697">
        <w:rPr>
          <w:b/>
        </w:rPr>
        <w:tab/>
      </w:r>
      <w:r w:rsidR="001E2697" w:rsidRPr="008B170D">
        <w:t>:</w:t>
      </w:r>
      <w:r w:rsidR="001E2697">
        <w:t xml:space="preserve">  </w:t>
      </w:r>
      <w:r w:rsidR="00F2368B">
        <w:t xml:space="preserve">Adv U.B. </w:t>
      </w:r>
      <w:proofErr w:type="spellStart"/>
      <w:r w:rsidR="00F2368B">
        <w:t>Makuya</w:t>
      </w:r>
      <w:proofErr w:type="spellEnd"/>
    </w:p>
    <w:p w14:paraId="1F4A5635" w14:textId="15081684" w:rsidR="00F2368B" w:rsidRDefault="00F2368B" w:rsidP="00F2368B">
      <w:pPr>
        <w:pStyle w:val="ListParagraph"/>
        <w:spacing w:line="240" w:lineRule="auto"/>
        <w:ind w:left="0"/>
      </w:pPr>
      <w:r>
        <w:tab/>
      </w:r>
      <w:r>
        <w:tab/>
      </w:r>
      <w:r>
        <w:tab/>
      </w:r>
      <w:r>
        <w:tab/>
      </w:r>
      <w:r>
        <w:tab/>
      </w:r>
      <w:r>
        <w:tab/>
      </w:r>
      <w:r>
        <w:tab/>
        <w:t xml:space="preserve">   Adv V. Rikhotso</w:t>
      </w:r>
    </w:p>
    <w:p w14:paraId="557DCDB7" w14:textId="1E91B4D2" w:rsidR="0039420D" w:rsidRDefault="002223BD" w:rsidP="00DB6974">
      <w:pPr>
        <w:ind w:left="5040" w:hanging="5040"/>
      </w:pPr>
      <w:r>
        <w:rPr>
          <w:b/>
          <w:bCs/>
        </w:rPr>
        <w:t>APPLICANT</w:t>
      </w:r>
      <w:r w:rsidR="001E2697" w:rsidRPr="00DB6974">
        <w:rPr>
          <w:b/>
          <w:bCs/>
        </w:rPr>
        <w:t>’S ATTORNEYS</w:t>
      </w:r>
      <w:r w:rsidR="00DB6974">
        <w:tab/>
        <w:t xml:space="preserve">:  </w:t>
      </w:r>
      <w:r w:rsidR="00F2368B">
        <w:t>Rikhotso M.O. Attorneys Inc.</w:t>
      </w:r>
    </w:p>
    <w:p w14:paraId="5DDDA84F" w14:textId="770E2AB5" w:rsidR="0039420D" w:rsidRDefault="001E2697" w:rsidP="005A0267">
      <w:pPr>
        <w:pStyle w:val="ListParagraph"/>
        <w:spacing w:line="240" w:lineRule="auto"/>
        <w:ind w:left="0"/>
      </w:pPr>
      <w:r>
        <w:tab/>
      </w:r>
      <w:r>
        <w:tab/>
      </w:r>
      <w:r>
        <w:tab/>
      </w:r>
      <w:r>
        <w:tab/>
      </w:r>
      <w:bookmarkStart w:id="1" w:name="_Hlk67555944"/>
    </w:p>
    <w:p w14:paraId="04AB3B51" w14:textId="65074455" w:rsidR="000425DD" w:rsidRDefault="002223BD" w:rsidP="007150A4">
      <w:pPr>
        <w:pStyle w:val="ListParagraph"/>
        <w:spacing w:line="240" w:lineRule="auto"/>
        <w:ind w:left="0"/>
      </w:pPr>
      <w:r>
        <w:rPr>
          <w:b/>
        </w:rPr>
        <w:t>RESPONDENT’S COUNSEL</w:t>
      </w:r>
      <w:r>
        <w:rPr>
          <w:b/>
        </w:rPr>
        <w:tab/>
      </w:r>
      <w:r>
        <w:rPr>
          <w:b/>
        </w:rPr>
        <w:tab/>
      </w:r>
      <w:r>
        <w:rPr>
          <w:b/>
        </w:rPr>
        <w:tab/>
      </w:r>
      <w:r w:rsidR="001E2697" w:rsidRPr="00B27F3B">
        <w:t>:</w:t>
      </w:r>
      <w:r w:rsidR="001E2697">
        <w:t xml:space="preserve"> </w:t>
      </w:r>
      <w:r w:rsidR="0039420D">
        <w:t xml:space="preserve"> </w:t>
      </w:r>
      <w:r w:rsidR="00F2368B">
        <w:t xml:space="preserve">Adv F.J. </w:t>
      </w:r>
      <w:proofErr w:type="spellStart"/>
      <w:r w:rsidR="00F2368B">
        <w:t>Nalane</w:t>
      </w:r>
      <w:proofErr w:type="spellEnd"/>
      <w:r w:rsidR="00F2368B">
        <w:t xml:space="preserve"> SC</w:t>
      </w:r>
    </w:p>
    <w:p w14:paraId="62D56431" w14:textId="5913CF8A" w:rsidR="00F2368B" w:rsidRPr="001E2697" w:rsidRDefault="00F2368B" w:rsidP="007150A4">
      <w:pPr>
        <w:pStyle w:val="ListParagraph"/>
        <w:spacing w:line="240" w:lineRule="auto"/>
        <w:ind w:left="0"/>
      </w:pPr>
      <w:r>
        <w:tab/>
      </w:r>
      <w:r>
        <w:tab/>
      </w:r>
      <w:r>
        <w:tab/>
      </w:r>
      <w:r>
        <w:tab/>
      </w:r>
      <w:r>
        <w:tab/>
      </w:r>
      <w:r>
        <w:tab/>
      </w:r>
      <w:r>
        <w:tab/>
        <w:t xml:space="preserve">   Adv D. Linde</w:t>
      </w:r>
    </w:p>
    <w:p w14:paraId="317BC46F" w14:textId="77777777" w:rsidR="001E2697" w:rsidRDefault="001E2697" w:rsidP="005A0267">
      <w:pPr>
        <w:pStyle w:val="ListParagraph"/>
        <w:spacing w:line="240" w:lineRule="auto"/>
        <w:ind w:left="0"/>
        <w:rPr>
          <w:bCs/>
        </w:rPr>
      </w:pPr>
      <w:r>
        <w:rPr>
          <w:bCs/>
        </w:rPr>
        <w:tab/>
      </w:r>
      <w:r>
        <w:rPr>
          <w:bCs/>
        </w:rPr>
        <w:tab/>
      </w:r>
      <w:r>
        <w:rPr>
          <w:bCs/>
        </w:rPr>
        <w:tab/>
      </w:r>
      <w:r>
        <w:rPr>
          <w:bCs/>
        </w:rPr>
        <w:tab/>
      </w:r>
      <w:r>
        <w:rPr>
          <w:bCs/>
        </w:rPr>
        <w:tab/>
      </w:r>
    </w:p>
    <w:p w14:paraId="742B99FC" w14:textId="5A9ACC72" w:rsidR="0039420D" w:rsidRDefault="002223BD" w:rsidP="0039420D">
      <w:pPr>
        <w:pStyle w:val="ListParagraph"/>
        <w:spacing w:line="240" w:lineRule="auto"/>
        <w:ind w:left="0"/>
      </w:pPr>
      <w:r>
        <w:rPr>
          <w:b/>
        </w:rPr>
        <w:t>RESPONDENT</w:t>
      </w:r>
      <w:r w:rsidR="001E2697">
        <w:rPr>
          <w:b/>
        </w:rPr>
        <w:t>’S ATTORNEYS</w:t>
      </w:r>
      <w:r w:rsidR="001E2697">
        <w:rPr>
          <w:b/>
        </w:rPr>
        <w:tab/>
      </w:r>
      <w:r w:rsidR="0039420D">
        <w:rPr>
          <w:b/>
        </w:rPr>
        <w:tab/>
      </w:r>
      <w:r w:rsidR="001E2697">
        <w:rPr>
          <w:b/>
        </w:rPr>
        <w:tab/>
      </w:r>
      <w:r w:rsidR="001E2697" w:rsidRPr="00B27F3B">
        <w:t>:</w:t>
      </w:r>
      <w:r w:rsidR="00264DA8">
        <w:t xml:space="preserve">  </w:t>
      </w:r>
      <w:r w:rsidR="00F2368B">
        <w:t>The State Attorney</w:t>
      </w:r>
    </w:p>
    <w:p w14:paraId="1E563EBC" w14:textId="330549E1" w:rsidR="004E41B6" w:rsidRDefault="00F44AF4" w:rsidP="00A326BA">
      <w:pPr>
        <w:pStyle w:val="ListParagraph"/>
        <w:spacing w:line="240" w:lineRule="auto"/>
        <w:ind w:left="0"/>
      </w:pPr>
      <w:r>
        <w:tab/>
      </w:r>
      <w:bookmarkEnd w:id="1"/>
    </w:p>
    <w:sectPr w:rsidR="004E41B6" w:rsidSect="00537629">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C3349" w14:textId="77777777" w:rsidR="0092032B" w:rsidRDefault="0092032B">
      <w:r>
        <w:separator/>
      </w:r>
    </w:p>
  </w:endnote>
  <w:endnote w:type="continuationSeparator" w:id="0">
    <w:p w14:paraId="7862E628" w14:textId="77777777" w:rsidR="0092032B" w:rsidRDefault="0092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088BA" w14:textId="77777777" w:rsidR="0092032B" w:rsidRDefault="0092032B">
      <w:r>
        <w:separator/>
      </w:r>
    </w:p>
  </w:footnote>
  <w:footnote w:type="continuationSeparator" w:id="0">
    <w:p w14:paraId="74BA975B" w14:textId="77777777" w:rsidR="0092032B" w:rsidRDefault="0092032B">
      <w:r>
        <w:continuationSeparator/>
      </w:r>
    </w:p>
  </w:footnote>
  <w:footnote w:id="1">
    <w:p w14:paraId="7251462B" w14:textId="045E9D50" w:rsidR="00F330F1" w:rsidRDefault="00F330F1">
      <w:pPr>
        <w:pStyle w:val="FootnoteText"/>
      </w:pPr>
      <w:r>
        <w:rPr>
          <w:rStyle w:val="FootnoteReference"/>
        </w:rPr>
        <w:footnoteRef/>
      </w:r>
      <w:r>
        <w:t xml:space="preserve"> 40 of 2002 as amended</w:t>
      </w:r>
    </w:p>
  </w:footnote>
  <w:footnote w:id="2">
    <w:p w14:paraId="76D526AE" w14:textId="77777777" w:rsidR="00342A9F" w:rsidRDefault="00342A9F" w:rsidP="00342A9F">
      <w:pPr>
        <w:pStyle w:val="FootnoteText"/>
      </w:pPr>
      <w:r>
        <w:rPr>
          <w:rStyle w:val="FootnoteReference"/>
        </w:rPr>
        <w:footnoteRef/>
      </w:r>
      <w:r>
        <w:t xml:space="preserve"> Premier, Western Cape v </w:t>
      </w:r>
      <w:proofErr w:type="spellStart"/>
      <w:r>
        <w:t>Lakay</w:t>
      </w:r>
      <w:proofErr w:type="spellEnd"/>
      <w:r>
        <w:t xml:space="preserve"> 2012 (2) SA 1 (SCA) para [17]</w:t>
      </w:r>
    </w:p>
  </w:footnote>
  <w:footnote w:id="3">
    <w:p w14:paraId="3DC60919" w14:textId="3FD43418" w:rsidR="00D00263" w:rsidRDefault="00D00263">
      <w:pPr>
        <w:pStyle w:val="FootnoteText"/>
      </w:pPr>
      <w:r>
        <w:rPr>
          <w:rStyle w:val="FootnoteReference"/>
        </w:rPr>
        <w:footnoteRef/>
      </w:r>
      <w:r>
        <w:t xml:space="preserve"> Minister of Agriculture v CJ </w:t>
      </w:r>
      <w:proofErr w:type="spellStart"/>
      <w:r>
        <w:t>Rance</w:t>
      </w:r>
      <w:proofErr w:type="spellEnd"/>
      <w:r>
        <w:t xml:space="preserve"> 2010 (4) Sa 109 (SCA) para [39]</w:t>
      </w:r>
    </w:p>
  </w:footnote>
  <w:footnote w:id="4">
    <w:p w14:paraId="33218CA8" w14:textId="23895387" w:rsidR="00F73CC3" w:rsidRDefault="00F73CC3">
      <w:pPr>
        <w:pStyle w:val="FootnoteText"/>
      </w:pPr>
      <w:r>
        <w:rPr>
          <w:rStyle w:val="FootnoteReference"/>
        </w:rPr>
        <w:footnoteRef/>
      </w:r>
      <w:r>
        <w:t xml:space="preserve"> </w:t>
      </w:r>
      <w:proofErr w:type="spellStart"/>
      <w:r>
        <w:t>Madinda</w:t>
      </w:r>
      <w:proofErr w:type="spellEnd"/>
      <w:r>
        <w:t xml:space="preserve"> v Minister of Safety and Security 2008 (4) SA 312 (SCA)</w:t>
      </w:r>
    </w:p>
  </w:footnote>
  <w:footnote w:id="5">
    <w:p w14:paraId="0C6C5FC5" w14:textId="77777777" w:rsidR="00A95BE1" w:rsidRDefault="00A95BE1" w:rsidP="00A95BE1">
      <w:pPr>
        <w:pStyle w:val="FootnoteText"/>
      </w:pPr>
      <w:r>
        <w:rPr>
          <w:rStyle w:val="FootnoteReference"/>
        </w:rPr>
        <w:footnoteRef/>
      </w:r>
      <w:r>
        <w:t xml:space="preserve"> </w:t>
      </w:r>
      <w:proofErr w:type="spellStart"/>
      <w:r>
        <w:t>Madinda</w:t>
      </w:r>
      <w:proofErr w:type="spellEnd"/>
      <w:r>
        <w:t xml:space="preserve"> paras 32-35</w:t>
      </w:r>
    </w:p>
  </w:footnote>
  <w:footnote w:id="6">
    <w:p w14:paraId="34A2ADE2" w14:textId="77777777" w:rsidR="00A95BE1" w:rsidRDefault="00A95BE1" w:rsidP="00A95BE1">
      <w:pPr>
        <w:pStyle w:val="FootnoteText"/>
      </w:pPr>
      <w:r>
        <w:rPr>
          <w:rStyle w:val="FootnoteReference"/>
        </w:rPr>
        <w:footnoteRef/>
      </w:r>
      <w:r>
        <w:t xml:space="preserve"> Premier, Western Cape v </w:t>
      </w:r>
      <w:proofErr w:type="spellStart"/>
      <w:r>
        <w:t>Lakay</w:t>
      </w:r>
      <w:proofErr w:type="spellEnd"/>
      <w:r>
        <w:t xml:space="preserve"> 2012 92) SA 1 (SCA) para [14] </w:t>
      </w:r>
    </w:p>
  </w:footnote>
  <w:footnote w:id="7">
    <w:p w14:paraId="5FF57C1C" w14:textId="77777777" w:rsidR="00A95BE1" w:rsidRDefault="00A95BE1" w:rsidP="00A95BE1">
      <w:pPr>
        <w:pStyle w:val="FootnoteText"/>
      </w:pPr>
      <w:r>
        <w:rPr>
          <w:rStyle w:val="FootnoteReference"/>
        </w:rPr>
        <w:footnoteRef/>
      </w:r>
      <w:r>
        <w:t xml:space="preserve"> </w:t>
      </w:r>
      <w:proofErr w:type="spellStart"/>
      <w:r>
        <w:t>Mohlomi</w:t>
      </w:r>
      <w:proofErr w:type="spellEnd"/>
      <w:r>
        <w:t xml:space="preserve"> v Minister of Defence 1997 (1) SA 124 (CC) paras [17] and [19]</w:t>
      </w:r>
    </w:p>
  </w:footnote>
  <w:footnote w:id="8">
    <w:p w14:paraId="67A7232C" w14:textId="77777777" w:rsidR="00A95BE1" w:rsidRDefault="00A95BE1" w:rsidP="00A95BE1">
      <w:pPr>
        <w:pStyle w:val="FootnoteText"/>
      </w:pPr>
      <w:r>
        <w:rPr>
          <w:rStyle w:val="FootnoteReference"/>
        </w:rPr>
        <w:footnoteRef/>
      </w:r>
      <w:r>
        <w:t xml:space="preserve"> </w:t>
      </w:r>
      <w:r w:rsidRPr="00432D2A">
        <w:rPr>
          <w:lang w:val="en-US"/>
        </w:rPr>
        <w:t>Mabaso v National Commissioner of Police and Another</w:t>
      </w:r>
      <w:r w:rsidRPr="00432D2A">
        <w:t xml:space="preserve"> </w:t>
      </w:r>
      <w:r>
        <w:t>2020 (2) SA 375 (SCA)</w:t>
      </w:r>
    </w:p>
  </w:footnote>
  <w:footnote w:id="9">
    <w:p w14:paraId="11FD497F" w14:textId="77777777" w:rsidR="00A95BE1" w:rsidRDefault="00A95BE1" w:rsidP="00A95BE1">
      <w:pPr>
        <w:pStyle w:val="FootnoteText"/>
      </w:pPr>
      <w:r>
        <w:rPr>
          <w:rStyle w:val="FootnoteReference"/>
        </w:rPr>
        <w:footnoteRef/>
      </w:r>
      <w:r>
        <w:t xml:space="preserve"> Para [13]-[15]</w:t>
      </w:r>
    </w:p>
  </w:footnote>
  <w:footnote w:id="10">
    <w:p w14:paraId="2565E519" w14:textId="77777777" w:rsidR="00B03536" w:rsidRDefault="00B03536" w:rsidP="00B03536">
      <w:pPr>
        <w:pStyle w:val="FootnoteText"/>
      </w:pPr>
      <w:r>
        <w:rPr>
          <w:rStyle w:val="FootnoteReference"/>
        </w:rPr>
        <w:footnoteRef/>
      </w:r>
      <w:r>
        <w:t xml:space="preserve"> </w:t>
      </w:r>
      <w:proofErr w:type="spellStart"/>
      <w:r>
        <w:t>Madinda</w:t>
      </w:r>
      <w:proofErr w:type="spellEnd"/>
      <w:r>
        <w:t xml:space="preserve"> para [6]</w:t>
      </w:r>
    </w:p>
  </w:footnote>
  <w:footnote w:id="11">
    <w:p w14:paraId="0108AF91" w14:textId="25BD07C9" w:rsidR="00F330F1" w:rsidRDefault="00F330F1">
      <w:pPr>
        <w:pStyle w:val="FootnoteText"/>
      </w:pPr>
      <w:r>
        <w:rPr>
          <w:rStyle w:val="FootnoteReference"/>
        </w:rPr>
        <w:footnoteRef/>
      </w:r>
      <w:r>
        <w:t xml:space="preserve"> </w:t>
      </w:r>
      <w:proofErr w:type="spellStart"/>
      <w:r>
        <w:t>Madinda</w:t>
      </w:r>
      <w:proofErr w:type="spellEnd"/>
      <w:r>
        <w:t xml:space="preserve"> para [8]</w:t>
      </w:r>
    </w:p>
  </w:footnote>
  <w:footnote w:id="12">
    <w:p w14:paraId="1E638980" w14:textId="71492121" w:rsidR="00F330F1" w:rsidRDefault="00F330F1">
      <w:pPr>
        <w:pStyle w:val="FootnoteText"/>
      </w:pPr>
      <w:r>
        <w:rPr>
          <w:rStyle w:val="FootnoteReference"/>
        </w:rPr>
        <w:footnoteRef/>
      </w:r>
      <w:r>
        <w:t xml:space="preserve"> </w:t>
      </w:r>
      <w:proofErr w:type="spellStart"/>
      <w:r>
        <w:t>Madinda</w:t>
      </w:r>
      <w:proofErr w:type="spellEnd"/>
      <w:r>
        <w:t xml:space="preserve"> para [[9]</w:t>
      </w:r>
    </w:p>
  </w:footnote>
  <w:footnote w:id="13">
    <w:p w14:paraId="4B50D437" w14:textId="77777777" w:rsidR="00D00263" w:rsidRDefault="00D00263" w:rsidP="00D00263">
      <w:pPr>
        <w:pStyle w:val="FootnoteText"/>
      </w:pPr>
      <w:r>
        <w:rPr>
          <w:rStyle w:val="FootnoteReference"/>
        </w:rPr>
        <w:footnoteRef/>
      </w:r>
      <w:r>
        <w:t xml:space="preserve"> 68 of 1969</w:t>
      </w:r>
    </w:p>
  </w:footnote>
  <w:footnote w:id="14">
    <w:p w14:paraId="1B73E4EB" w14:textId="77CD8221" w:rsidR="00F330F1" w:rsidRDefault="00F330F1" w:rsidP="00227264">
      <w:pPr>
        <w:pStyle w:val="FootnoteText"/>
      </w:pPr>
      <w:r>
        <w:rPr>
          <w:rStyle w:val="FootnoteReference"/>
        </w:rPr>
        <w:footnoteRef/>
      </w:r>
      <w:r>
        <w:t xml:space="preserve"> Minister of Police v </w:t>
      </w:r>
      <w:proofErr w:type="spellStart"/>
      <w:r>
        <w:t>Yekiso</w:t>
      </w:r>
      <w:proofErr w:type="spellEnd"/>
      <w:r>
        <w:t xml:space="preserve"> 2019 (2) SA 28</w:t>
      </w:r>
      <w:r w:rsidR="00C24760">
        <w:t>1</w:t>
      </w:r>
      <w:r>
        <w:t xml:space="preserve"> (WCC) para [19] and the authorities cited th</w:t>
      </w:r>
      <w:r w:rsidR="00E352F6">
        <w:t>erein</w:t>
      </w:r>
      <w:r>
        <w:t xml:space="preserve">; </w:t>
      </w:r>
      <w:proofErr w:type="spellStart"/>
      <w:r>
        <w:t>Lombo</w:t>
      </w:r>
      <w:proofErr w:type="spellEnd"/>
      <w:r>
        <w:t xml:space="preserve"> v African National Congress 2002 (5) SA 668 (SCA) para [26]; Barnett and Others v Minister of Land Affairs and Others 2007 (6) SA 313 (SCA0 para [20] </w:t>
      </w:r>
    </w:p>
  </w:footnote>
  <w:footnote w:id="15">
    <w:p w14:paraId="4821C058" w14:textId="092AEA59" w:rsidR="00F330F1" w:rsidRDefault="00F330F1" w:rsidP="00227264">
      <w:pPr>
        <w:pStyle w:val="FootnoteText"/>
      </w:pPr>
      <w:r>
        <w:rPr>
          <w:rStyle w:val="FootnoteReference"/>
        </w:rPr>
        <w:footnoteRef/>
      </w:r>
      <w:r>
        <w:t xml:space="preserve"> </w:t>
      </w:r>
      <w:proofErr w:type="spellStart"/>
      <w:r>
        <w:t>Lombo</w:t>
      </w:r>
      <w:proofErr w:type="spellEnd"/>
      <w:r>
        <w:t xml:space="preserve"> </w:t>
      </w:r>
      <w:r w:rsidR="00C24760">
        <w:t>supra</w:t>
      </w:r>
      <w:r w:rsidR="00E352F6">
        <w:t>; Minister of Police</w:t>
      </w:r>
      <w:r>
        <w:t xml:space="preserve"> and Another v </w:t>
      </w:r>
      <w:proofErr w:type="spellStart"/>
      <w:r>
        <w:t>Yekiso</w:t>
      </w:r>
      <w:proofErr w:type="spellEnd"/>
      <w:r>
        <w:t xml:space="preserve"> 2019 (2) SA 281 (WCC) para [19]</w:t>
      </w:r>
    </w:p>
  </w:footnote>
  <w:footnote w:id="16">
    <w:p w14:paraId="27BED7DE" w14:textId="2402D081" w:rsidR="00F330F1" w:rsidRDefault="00F330F1" w:rsidP="00227264">
      <w:pPr>
        <w:pStyle w:val="FootnoteText"/>
      </w:pPr>
      <w:r>
        <w:rPr>
          <w:rStyle w:val="FootnoteReference"/>
        </w:rPr>
        <w:footnoteRef/>
      </w:r>
      <w:r>
        <w:t xml:space="preserve"> </w:t>
      </w:r>
      <w:proofErr w:type="spellStart"/>
      <w:r>
        <w:t>Lombo</w:t>
      </w:r>
      <w:proofErr w:type="spellEnd"/>
      <w:r>
        <w:t xml:space="preserve"> para [19]; </w:t>
      </w:r>
      <w:proofErr w:type="spellStart"/>
      <w:r>
        <w:t>Bernett</w:t>
      </w:r>
      <w:proofErr w:type="spellEnd"/>
      <w:r>
        <w:t xml:space="preserve"> para [20]</w:t>
      </w:r>
    </w:p>
  </w:footnote>
  <w:footnote w:id="17">
    <w:p w14:paraId="13BB89DD" w14:textId="77777777" w:rsidR="00F330F1" w:rsidRDefault="00F330F1" w:rsidP="00227264">
      <w:pPr>
        <w:pStyle w:val="FootnoteText"/>
      </w:pPr>
      <w:r>
        <w:rPr>
          <w:rStyle w:val="FootnoteReference"/>
        </w:rPr>
        <w:footnoteRef/>
      </w:r>
      <w:r>
        <w:t xml:space="preserve"> Human v Minister of Safety and Security 2013 JDR 2302 (GNP)</w:t>
      </w:r>
    </w:p>
  </w:footnote>
  <w:footnote w:id="18">
    <w:p w14:paraId="0BFBCB4A" w14:textId="65E1E3E9" w:rsidR="00F330F1" w:rsidRDefault="00F330F1">
      <w:pPr>
        <w:pStyle w:val="FootnoteText"/>
      </w:pPr>
      <w:r>
        <w:rPr>
          <w:rStyle w:val="FootnoteReference"/>
        </w:rPr>
        <w:footnoteRef/>
      </w:r>
      <w:r>
        <w:t xml:space="preserve"> </w:t>
      </w:r>
      <w:proofErr w:type="spellStart"/>
      <w:r>
        <w:t>Madinda</w:t>
      </w:r>
      <w:proofErr w:type="spellEnd"/>
      <w:r>
        <w:t xml:space="preserve"> v Minister of Safety and Security 2008 94) SA 312 (SCA) para [10]</w:t>
      </w:r>
    </w:p>
  </w:footnote>
  <w:footnote w:id="19">
    <w:p w14:paraId="0378D2A9" w14:textId="5AFC7A80" w:rsidR="00F330F1" w:rsidRDefault="00F330F1">
      <w:pPr>
        <w:pStyle w:val="FootnoteText"/>
      </w:pPr>
      <w:r>
        <w:rPr>
          <w:rStyle w:val="FootnoteReference"/>
        </w:rPr>
        <w:footnoteRef/>
      </w:r>
      <w:r>
        <w:t xml:space="preserve"> </w:t>
      </w:r>
      <w:proofErr w:type="spellStart"/>
      <w:r>
        <w:t>Madinda</w:t>
      </w:r>
      <w:proofErr w:type="spellEnd"/>
      <w:r>
        <w:t xml:space="preserve"> para [11] and the authorities cited therein </w:t>
      </w:r>
    </w:p>
  </w:footnote>
  <w:footnote w:id="20">
    <w:p w14:paraId="0870E77B" w14:textId="77777777" w:rsidR="00CD4F23" w:rsidRDefault="00CD4F23" w:rsidP="00CD4F23">
      <w:pPr>
        <w:pStyle w:val="FootnoteText"/>
      </w:pPr>
      <w:r>
        <w:rPr>
          <w:rStyle w:val="FootnoteReference"/>
        </w:rPr>
        <w:footnoteRef/>
      </w:r>
      <w:r>
        <w:t xml:space="preserve"> </w:t>
      </w:r>
      <w:proofErr w:type="spellStart"/>
      <w:r>
        <w:t>Madinda</w:t>
      </w:r>
      <w:proofErr w:type="spellEnd"/>
      <w:r>
        <w:t xml:space="preserve"> para [12]</w:t>
      </w:r>
    </w:p>
  </w:footnote>
  <w:footnote w:id="21">
    <w:p w14:paraId="63E33C20" w14:textId="77777777" w:rsidR="004F5806" w:rsidRDefault="004F5806" w:rsidP="004F5806">
      <w:pPr>
        <w:pStyle w:val="FootnoteText"/>
      </w:pPr>
      <w:r>
        <w:rPr>
          <w:rStyle w:val="FootnoteReference"/>
        </w:rPr>
        <w:footnoteRef/>
      </w:r>
      <w:r>
        <w:t xml:space="preserve"> </w:t>
      </w:r>
      <w:proofErr w:type="spellStart"/>
      <w:r>
        <w:t>Madinda</w:t>
      </w:r>
      <w:proofErr w:type="spellEnd"/>
      <w:r>
        <w:t xml:space="preserve"> para [12]</w:t>
      </w:r>
    </w:p>
  </w:footnote>
  <w:footnote w:id="22">
    <w:p w14:paraId="34F437DD" w14:textId="77777777" w:rsidR="00F330F1" w:rsidRDefault="00F330F1" w:rsidP="00F330F1">
      <w:pPr>
        <w:pStyle w:val="FootnoteText"/>
      </w:pPr>
      <w:r>
        <w:rPr>
          <w:rStyle w:val="FootnoteReference"/>
        </w:rPr>
        <w:footnoteRef/>
      </w:r>
      <w:r>
        <w:t xml:space="preserve"> 2010 (4) SA 109 (SCA) para [37]</w:t>
      </w:r>
    </w:p>
  </w:footnote>
  <w:footnote w:id="23">
    <w:p w14:paraId="655C54CC" w14:textId="77777777" w:rsidR="008B2FED" w:rsidRDefault="008B2FED" w:rsidP="008B2FED">
      <w:pPr>
        <w:pStyle w:val="FootnoteText"/>
      </w:pPr>
      <w:r>
        <w:rPr>
          <w:rStyle w:val="FootnoteReference"/>
        </w:rPr>
        <w:footnoteRef/>
      </w:r>
      <w:r>
        <w:t xml:space="preserve"> </w:t>
      </w:r>
      <w:proofErr w:type="spellStart"/>
      <w:r>
        <w:t>Yekiso</w:t>
      </w:r>
      <w:proofErr w:type="spellEnd"/>
      <w:r>
        <w:t xml:space="preserve"> para [34]</w:t>
      </w:r>
    </w:p>
  </w:footnote>
  <w:footnote w:id="24">
    <w:p w14:paraId="22F02DB1" w14:textId="0631006D" w:rsidR="00067709" w:rsidRDefault="00067709" w:rsidP="00067709">
      <w:pPr>
        <w:pStyle w:val="FootnoteText"/>
      </w:pPr>
      <w:r>
        <w:rPr>
          <w:rStyle w:val="FootnoteReference"/>
        </w:rPr>
        <w:footnoteRef/>
      </w:r>
      <w:r>
        <w:t xml:space="preserve"> Minister of Police v </w:t>
      </w:r>
      <w:proofErr w:type="spellStart"/>
      <w:r>
        <w:t>Yekiso</w:t>
      </w:r>
      <w:proofErr w:type="spellEnd"/>
      <w:r>
        <w:t xml:space="preserve"> 2019 (2) SA281 (WCC)</w:t>
      </w:r>
    </w:p>
  </w:footnote>
  <w:footnote w:id="25">
    <w:p w14:paraId="7B7DD908" w14:textId="77777777" w:rsidR="00CD3E41" w:rsidRDefault="00CD3E41" w:rsidP="00CD3E41">
      <w:pPr>
        <w:pStyle w:val="FootnoteText"/>
      </w:pPr>
      <w:r>
        <w:rPr>
          <w:rStyle w:val="FootnoteReference"/>
        </w:rPr>
        <w:footnoteRef/>
      </w:r>
      <w:r>
        <w:t xml:space="preserve"> </w:t>
      </w:r>
      <w:proofErr w:type="spellStart"/>
      <w:r>
        <w:t>Madinda</w:t>
      </w:r>
      <w:proofErr w:type="spellEnd"/>
      <w:r>
        <w:t xml:space="preserve"> paras [14] and [20]</w:t>
      </w:r>
    </w:p>
  </w:footnote>
  <w:footnote w:id="26">
    <w:p w14:paraId="23FC0C35" w14:textId="77777777" w:rsidR="00727345" w:rsidRDefault="00727345" w:rsidP="00727345">
      <w:pPr>
        <w:pStyle w:val="FootnoteText"/>
      </w:pPr>
      <w:r>
        <w:rPr>
          <w:rStyle w:val="FootnoteReference"/>
        </w:rPr>
        <w:footnoteRef/>
      </w:r>
      <w:r>
        <w:t xml:space="preserve"> </w:t>
      </w:r>
      <w:proofErr w:type="spellStart"/>
      <w:r>
        <w:t>Madinda</w:t>
      </w:r>
      <w:proofErr w:type="spellEnd"/>
      <w:r>
        <w:t xml:space="preserve"> para [15]</w:t>
      </w:r>
    </w:p>
  </w:footnote>
  <w:footnote w:id="27">
    <w:p w14:paraId="1D86E4AC" w14:textId="430BA5DE" w:rsidR="00230717" w:rsidRDefault="00230717" w:rsidP="00230717">
      <w:pPr>
        <w:pStyle w:val="FootnoteText"/>
      </w:pPr>
      <w:r>
        <w:rPr>
          <w:rStyle w:val="FootnoteReference"/>
        </w:rPr>
        <w:footnoteRef/>
      </w:r>
      <w:r>
        <w:t xml:space="preserve"> </w:t>
      </w:r>
      <w:proofErr w:type="spellStart"/>
      <w:r w:rsidR="00067709">
        <w:t>Madinda</w:t>
      </w:r>
      <w:proofErr w:type="spellEnd"/>
      <w:r w:rsidR="00067709">
        <w:t xml:space="preserve"> </w:t>
      </w:r>
      <w:r>
        <w:t>Para [16]</w:t>
      </w:r>
      <w:r w:rsidR="00067709">
        <w:t xml:space="preserve"> referring to </w:t>
      </w:r>
      <w:proofErr w:type="spellStart"/>
      <w:r w:rsidR="00067709" w:rsidRPr="00067709">
        <w:rPr>
          <w:lang w:val="en-US"/>
        </w:rPr>
        <w:t>eg</w:t>
      </w:r>
      <w:proofErr w:type="spellEnd"/>
      <w:r w:rsidR="00067709" w:rsidRPr="00067709">
        <w:rPr>
          <w:lang w:val="en-US"/>
        </w:rPr>
        <w:t xml:space="preserve"> United Plant Hire (Pty) Ltd v Hills and Others 1976 (1) SA 717 (A) at 720 E-G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1EC40" w14:textId="714DF18E" w:rsidR="00F330F1" w:rsidRDefault="00F330F1">
    <w:pPr>
      <w:pStyle w:val="Header"/>
      <w:jc w:val="right"/>
    </w:pPr>
    <w:r>
      <w:t xml:space="preserve">Page </w:t>
    </w:r>
    <w:r>
      <w:fldChar w:fldCharType="begin"/>
    </w:r>
    <w:r>
      <w:instrText xml:space="preserve"> PAGE   \* MERGEFORMAT </w:instrText>
    </w:r>
    <w:r>
      <w:fldChar w:fldCharType="separate"/>
    </w:r>
    <w:r w:rsidR="00B46284">
      <w:rPr>
        <w:noProof/>
      </w:rPr>
      <w:t>17</w:t>
    </w:r>
    <w:r>
      <w:rPr>
        <w:noProof/>
      </w:rPr>
      <w:fldChar w:fldCharType="end"/>
    </w:r>
  </w:p>
  <w:p w14:paraId="0BA12F91" w14:textId="77777777" w:rsidR="00F330F1" w:rsidRDefault="00F330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769C"/>
    <w:multiLevelType w:val="multilevel"/>
    <w:tmpl w:val="079AF406"/>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FA3796B"/>
    <w:multiLevelType w:val="hybridMultilevel"/>
    <w:tmpl w:val="9B102EBC"/>
    <w:lvl w:ilvl="0" w:tplc="AEE043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CE666A"/>
    <w:multiLevelType w:val="multilevel"/>
    <w:tmpl w:val="9FAE4E40"/>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D05276C"/>
    <w:multiLevelType w:val="multilevel"/>
    <w:tmpl w:val="5E2C494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402873D5"/>
    <w:multiLevelType w:val="multilevel"/>
    <w:tmpl w:val="253E1CB0"/>
    <w:lvl w:ilvl="0">
      <w:start w:val="4"/>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447462E1"/>
    <w:multiLevelType w:val="multilevel"/>
    <w:tmpl w:val="D64806E2"/>
    <w:lvl w:ilvl="0">
      <w:start w:val="1"/>
      <w:numFmt w:val="decimal"/>
      <w:lvlText w:val="%1"/>
      <w:lvlJc w:val="left"/>
      <w:pPr>
        <w:tabs>
          <w:tab w:val="num" w:pos="2970"/>
        </w:tabs>
        <w:ind w:left="3679" w:hanging="709"/>
      </w:pPr>
      <w:rPr>
        <w:rFonts w:hint="default"/>
      </w:rPr>
    </w:lvl>
    <w:lvl w:ilvl="1">
      <w:start w:val="1"/>
      <w:numFmt w:val="decimal"/>
      <w:lvlText w:val="%1.%2"/>
      <w:lvlJc w:val="left"/>
      <w:pPr>
        <w:tabs>
          <w:tab w:val="num" w:pos="4388"/>
        </w:tabs>
        <w:ind w:left="4388" w:hanging="709"/>
      </w:pPr>
      <w:rPr>
        <w:rFonts w:hint="default"/>
      </w:rPr>
    </w:lvl>
    <w:lvl w:ilvl="2">
      <w:start w:val="1"/>
      <w:numFmt w:val="decimal"/>
      <w:lvlText w:val="%1.%2.%3"/>
      <w:lvlJc w:val="left"/>
      <w:pPr>
        <w:tabs>
          <w:tab w:val="num" w:pos="5097"/>
        </w:tabs>
        <w:ind w:left="5097" w:hanging="709"/>
      </w:pPr>
      <w:rPr>
        <w:rFonts w:hint="default"/>
      </w:rPr>
    </w:lvl>
    <w:lvl w:ilvl="3">
      <w:start w:val="1"/>
      <w:numFmt w:val="decimal"/>
      <w:lvlText w:val="%4.1.1.1"/>
      <w:lvlJc w:val="left"/>
      <w:pPr>
        <w:tabs>
          <w:tab w:val="num" w:pos="6177"/>
        </w:tabs>
        <w:ind w:left="5806" w:hanging="709"/>
      </w:pPr>
      <w:rPr>
        <w:rFonts w:hint="default"/>
      </w:rPr>
    </w:lvl>
    <w:lvl w:ilvl="4">
      <w:start w:val="1"/>
      <w:numFmt w:val="none"/>
      <w:lvlText w:val="("/>
      <w:lvlJc w:val="left"/>
      <w:pPr>
        <w:tabs>
          <w:tab w:val="num" w:pos="6515"/>
        </w:tabs>
        <w:ind w:left="6515" w:hanging="709"/>
      </w:pPr>
      <w:rPr>
        <w:rFonts w:hint="default"/>
      </w:rPr>
    </w:lvl>
    <w:lvl w:ilvl="5">
      <w:start w:val="1"/>
      <w:numFmt w:val="none"/>
      <w:lvlText w:val=""/>
      <w:lvlJc w:val="left"/>
      <w:pPr>
        <w:tabs>
          <w:tab w:val="num" w:pos="7224"/>
        </w:tabs>
        <w:ind w:left="7224" w:hanging="709"/>
      </w:pPr>
      <w:rPr>
        <w:rFonts w:hint="default"/>
      </w:rPr>
    </w:lvl>
    <w:lvl w:ilvl="6">
      <w:start w:val="1"/>
      <w:numFmt w:val="none"/>
      <w:lvlText w:val=""/>
      <w:lvlJc w:val="left"/>
      <w:pPr>
        <w:tabs>
          <w:tab w:val="num" w:pos="7933"/>
        </w:tabs>
        <w:ind w:left="7933" w:hanging="709"/>
      </w:pPr>
      <w:rPr>
        <w:rFonts w:hint="default"/>
      </w:rPr>
    </w:lvl>
    <w:lvl w:ilvl="7">
      <w:start w:val="1"/>
      <w:numFmt w:val="none"/>
      <w:lvlText w:val=""/>
      <w:lvlJc w:val="left"/>
      <w:pPr>
        <w:tabs>
          <w:tab w:val="num" w:pos="8642"/>
        </w:tabs>
        <w:ind w:left="8642" w:hanging="709"/>
      </w:pPr>
      <w:rPr>
        <w:rFonts w:hint="default"/>
      </w:rPr>
    </w:lvl>
    <w:lvl w:ilvl="8">
      <w:start w:val="1"/>
      <w:numFmt w:val="none"/>
      <w:lvlText w:val=""/>
      <w:lvlJc w:val="left"/>
      <w:pPr>
        <w:tabs>
          <w:tab w:val="num" w:pos="9362"/>
        </w:tabs>
        <w:ind w:left="9362" w:hanging="720"/>
      </w:pPr>
      <w:rPr>
        <w:rFonts w:hint="default"/>
      </w:rPr>
    </w:lvl>
  </w:abstractNum>
  <w:abstractNum w:abstractNumId="6" w15:restartNumberingAfterBreak="0">
    <w:nsid w:val="6BD17F80"/>
    <w:multiLevelType w:val="hybridMultilevel"/>
    <w:tmpl w:val="48A8BF86"/>
    <w:lvl w:ilvl="0" w:tplc="605ABA1C">
      <w:start w:val="1"/>
      <w:numFmt w:val="decimal"/>
      <w:pStyle w:val="level1"/>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71203586"/>
    <w:multiLevelType w:val="multilevel"/>
    <w:tmpl w:val="32B24AB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74EC46C3"/>
    <w:multiLevelType w:val="multilevel"/>
    <w:tmpl w:val="DFB4A732"/>
    <w:lvl w:ilvl="0">
      <w:start w:val="1"/>
      <w:numFmt w:val="decimal"/>
      <w:lvlText w:val="%1."/>
      <w:lvlJc w:val="left"/>
      <w:pPr>
        <w:tabs>
          <w:tab w:val="num" w:pos="1021"/>
        </w:tabs>
        <w:ind w:left="1021" w:hanging="1021"/>
      </w:pPr>
      <w:rPr>
        <w:rFonts w:ascii="Arial" w:hAnsi="Arial" w:hint="default"/>
      </w:rPr>
    </w:lvl>
    <w:lvl w:ilvl="1">
      <w:start w:val="1"/>
      <w:numFmt w:val="decimal"/>
      <w:lvlText w:val="%1.%2."/>
      <w:lvlJc w:val="left"/>
      <w:pPr>
        <w:tabs>
          <w:tab w:val="num" w:pos="1928"/>
        </w:tabs>
        <w:ind w:left="1928" w:hanging="907"/>
      </w:pPr>
      <w:rPr>
        <w:rFonts w:ascii="Arial" w:hAnsi="Arial" w:hint="default"/>
      </w:rPr>
    </w:lvl>
    <w:lvl w:ilvl="2">
      <w:start w:val="1"/>
      <w:numFmt w:val="decimal"/>
      <w:lvlText w:val="%1.%2.%3."/>
      <w:lvlJc w:val="left"/>
      <w:pPr>
        <w:tabs>
          <w:tab w:val="num" w:pos="3402"/>
        </w:tabs>
        <w:ind w:left="3402" w:hanging="1474"/>
      </w:pPr>
      <w:rPr>
        <w:rFonts w:ascii="Arial" w:hAnsi="Arial" w:hint="default"/>
      </w:rPr>
    </w:lvl>
    <w:lvl w:ilvl="3">
      <w:start w:val="1"/>
      <w:numFmt w:val="decimal"/>
      <w:lvlText w:val="%1.%2.%3.%4."/>
      <w:lvlJc w:val="left"/>
      <w:pPr>
        <w:tabs>
          <w:tab w:val="num" w:pos="4820"/>
        </w:tabs>
        <w:ind w:left="4820" w:hanging="17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430471614">
    <w:abstractNumId w:val="6"/>
  </w:num>
  <w:num w:numId="2" w16cid:durableId="470906266">
    <w:abstractNumId w:val="3"/>
  </w:num>
  <w:num w:numId="3" w16cid:durableId="278294375">
    <w:abstractNumId w:val="0"/>
  </w:num>
  <w:num w:numId="4" w16cid:durableId="399062441">
    <w:abstractNumId w:val="5"/>
  </w:num>
  <w:num w:numId="5" w16cid:durableId="2103837058">
    <w:abstractNumId w:val="8"/>
  </w:num>
  <w:num w:numId="6" w16cid:durableId="325282786">
    <w:abstractNumId w:val="4"/>
  </w:num>
  <w:num w:numId="7" w16cid:durableId="1883861426">
    <w:abstractNumId w:val="2"/>
  </w:num>
  <w:num w:numId="8" w16cid:durableId="2054386100">
    <w:abstractNumId w:val="7"/>
  </w:num>
  <w:num w:numId="9" w16cid:durableId="2695577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97"/>
    <w:rsid w:val="00002CD7"/>
    <w:rsid w:val="000425DD"/>
    <w:rsid w:val="00045763"/>
    <w:rsid w:val="000464BE"/>
    <w:rsid w:val="00066A69"/>
    <w:rsid w:val="00067709"/>
    <w:rsid w:val="0009157D"/>
    <w:rsid w:val="0009171B"/>
    <w:rsid w:val="000B66AC"/>
    <w:rsid w:val="00113EEB"/>
    <w:rsid w:val="00150DA1"/>
    <w:rsid w:val="00167A0B"/>
    <w:rsid w:val="001A3E3A"/>
    <w:rsid w:val="001E2697"/>
    <w:rsid w:val="001E55D6"/>
    <w:rsid w:val="001F087E"/>
    <w:rsid w:val="00201A23"/>
    <w:rsid w:val="002223BD"/>
    <w:rsid w:val="00227264"/>
    <w:rsid w:val="00230717"/>
    <w:rsid w:val="00233359"/>
    <w:rsid w:val="00237065"/>
    <w:rsid w:val="00245037"/>
    <w:rsid w:val="002529C0"/>
    <w:rsid w:val="00263593"/>
    <w:rsid w:val="00264DA8"/>
    <w:rsid w:val="00282749"/>
    <w:rsid w:val="002C2885"/>
    <w:rsid w:val="002D26F8"/>
    <w:rsid w:val="002E2CEF"/>
    <w:rsid w:val="002E548D"/>
    <w:rsid w:val="00323F4C"/>
    <w:rsid w:val="00342A9F"/>
    <w:rsid w:val="0034761F"/>
    <w:rsid w:val="00383223"/>
    <w:rsid w:val="00383D1C"/>
    <w:rsid w:val="0039112E"/>
    <w:rsid w:val="0039420D"/>
    <w:rsid w:val="00395343"/>
    <w:rsid w:val="003B0D62"/>
    <w:rsid w:val="00432D2A"/>
    <w:rsid w:val="0044622C"/>
    <w:rsid w:val="00456FA9"/>
    <w:rsid w:val="00475FE5"/>
    <w:rsid w:val="004A508E"/>
    <w:rsid w:val="004D55A8"/>
    <w:rsid w:val="004E41B6"/>
    <w:rsid w:val="004E44ED"/>
    <w:rsid w:val="004F32DD"/>
    <w:rsid w:val="004F5806"/>
    <w:rsid w:val="00503815"/>
    <w:rsid w:val="00537629"/>
    <w:rsid w:val="00544007"/>
    <w:rsid w:val="00595286"/>
    <w:rsid w:val="005A0267"/>
    <w:rsid w:val="0060032A"/>
    <w:rsid w:val="0061308A"/>
    <w:rsid w:val="006224E5"/>
    <w:rsid w:val="006616E5"/>
    <w:rsid w:val="006A6202"/>
    <w:rsid w:val="00705B66"/>
    <w:rsid w:val="007150A4"/>
    <w:rsid w:val="00727345"/>
    <w:rsid w:val="007311A9"/>
    <w:rsid w:val="00732694"/>
    <w:rsid w:val="007667DD"/>
    <w:rsid w:val="007703BA"/>
    <w:rsid w:val="007708E2"/>
    <w:rsid w:val="00772D6C"/>
    <w:rsid w:val="007A3C8A"/>
    <w:rsid w:val="007E1D0D"/>
    <w:rsid w:val="008062AF"/>
    <w:rsid w:val="00815CE5"/>
    <w:rsid w:val="00860FE8"/>
    <w:rsid w:val="00880CB2"/>
    <w:rsid w:val="008B2FED"/>
    <w:rsid w:val="008B6F39"/>
    <w:rsid w:val="008C2A94"/>
    <w:rsid w:val="008E5AE5"/>
    <w:rsid w:val="008F4685"/>
    <w:rsid w:val="0092032B"/>
    <w:rsid w:val="00933F54"/>
    <w:rsid w:val="00951327"/>
    <w:rsid w:val="00957474"/>
    <w:rsid w:val="009845B6"/>
    <w:rsid w:val="009A2A70"/>
    <w:rsid w:val="009B4A5F"/>
    <w:rsid w:val="009D42D3"/>
    <w:rsid w:val="009E11DF"/>
    <w:rsid w:val="009E5EA6"/>
    <w:rsid w:val="009F53E6"/>
    <w:rsid w:val="00A326BA"/>
    <w:rsid w:val="00A336BD"/>
    <w:rsid w:val="00A62363"/>
    <w:rsid w:val="00A95BE1"/>
    <w:rsid w:val="00AA0104"/>
    <w:rsid w:val="00AA4AC3"/>
    <w:rsid w:val="00AA7E43"/>
    <w:rsid w:val="00AE7EE9"/>
    <w:rsid w:val="00AF401B"/>
    <w:rsid w:val="00B03536"/>
    <w:rsid w:val="00B26268"/>
    <w:rsid w:val="00B311D9"/>
    <w:rsid w:val="00B40203"/>
    <w:rsid w:val="00B46284"/>
    <w:rsid w:val="00B56586"/>
    <w:rsid w:val="00B56867"/>
    <w:rsid w:val="00B60BDC"/>
    <w:rsid w:val="00B767A4"/>
    <w:rsid w:val="00B92E8C"/>
    <w:rsid w:val="00B948AF"/>
    <w:rsid w:val="00BA26F8"/>
    <w:rsid w:val="00BB195D"/>
    <w:rsid w:val="00BD102C"/>
    <w:rsid w:val="00BD17F1"/>
    <w:rsid w:val="00BD3517"/>
    <w:rsid w:val="00BE3AA8"/>
    <w:rsid w:val="00BE55DA"/>
    <w:rsid w:val="00C017F1"/>
    <w:rsid w:val="00C03CD3"/>
    <w:rsid w:val="00C15987"/>
    <w:rsid w:val="00C24760"/>
    <w:rsid w:val="00C41D41"/>
    <w:rsid w:val="00C60BCC"/>
    <w:rsid w:val="00C63569"/>
    <w:rsid w:val="00C663F2"/>
    <w:rsid w:val="00C83782"/>
    <w:rsid w:val="00C853FE"/>
    <w:rsid w:val="00C951D7"/>
    <w:rsid w:val="00CA4E21"/>
    <w:rsid w:val="00CD3E41"/>
    <w:rsid w:val="00CD4F23"/>
    <w:rsid w:val="00D00263"/>
    <w:rsid w:val="00D06735"/>
    <w:rsid w:val="00D07BB2"/>
    <w:rsid w:val="00D42109"/>
    <w:rsid w:val="00D43E86"/>
    <w:rsid w:val="00D5427D"/>
    <w:rsid w:val="00D8240B"/>
    <w:rsid w:val="00D83C88"/>
    <w:rsid w:val="00D83CA6"/>
    <w:rsid w:val="00D935F9"/>
    <w:rsid w:val="00DB6974"/>
    <w:rsid w:val="00DD09CA"/>
    <w:rsid w:val="00DD3104"/>
    <w:rsid w:val="00DE29E7"/>
    <w:rsid w:val="00DE4C5A"/>
    <w:rsid w:val="00E3185D"/>
    <w:rsid w:val="00E352F6"/>
    <w:rsid w:val="00E35A5B"/>
    <w:rsid w:val="00E36A52"/>
    <w:rsid w:val="00E558A0"/>
    <w:rsid w:val="00E61BAD"/>
    <w:rsid w:val="00E94D25"/>
    <w:rsid w:val="00EA0388"/>
    <w:rsid w:val="00EA203F"/>
    <w:rsid w:val="00EB68DE"/>
    <w:rsid w:val="00ED2AC9"/>
    <w:rsid w:val="00F07517"/>
    <w:rsid w:val="00F2368B"/>
    <w:rsid w:val="00F330F1"/>
    <w:rsid w:val="00F33348"/>
    <w:rsid w:val="00F44AF4"/>
    <w:rsid w:val="00F473D3"/>
    <w:rsid w:val="00F73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95AF172"/>
  <w15:chartTrackingRefBased/>
  <w15:docId w15:val="{524ABE92-806E-43CA-BCB0-5264B3042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697"/>
    <w:pPr>
      <w:spacing w:after="0" w:line="240" w:lineRule="auto"/>
    </w:pPr>
    <w:rPr>
      <w:rFonts w:ascii="Arial" w:eastAsia="Times New Roman" w:hAnsi="Arial" w:cs="Times New Roman"/>
      <w:kern w:val="28"/>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E2697"/>
    <w:pPr>
      <w:tabs>
        <w:tab w:val="center" w:pos="4680"/>
        <w:tab w:val="right" w:pos="9360"/>
      </w:tabs>
    </w:pPr>
  </w:style>
  <w:style w:type="character" w:customStyle="1" w:styleId="HeaderChar">
    <w:name w:val="Header Char"/>
    <w:basedOn w:val="DefaultParagraphFont"/>
    <w:link w:val="Header"/>
    <w:uiPriority w:val="99"/>
    <w:rsid w:val="001E2697"/>
    <w:rPr>
      <w:rFonts w:ascii="Arial" w:eastAsia="Times New Roman" w:hAnsi="Arial" w:cs="Times New Roman"/>
      <w:kern w:val="28"/>
      <w:sz w:val="24"/>
      <w:szCs w:val="24"/>
      <w:lang w:val="en-ZA" w:eastAsia="en-GB"/>
    </w:rPr>
  </w:style>
  <w:style w:type="paragraph" w:customStyle="1" w:styleId="Tramlines">
    <w:name w:val="Tramlines"/>
    <w:basedOn w:val="Normal"/>
    <w:next w:val="Normal"/>
    <w:rsid w:val="001E2697"/>
    <w:pPr>
      <w:widowControl w:val="0"/>
      <w:pBdr>
        <w:top w:val="single" w:sz="4" w:space="12" w:color="auto"/>
        <w:bottom w:val="single" w:sz="4" w:space="12" w:color="auto"/>
      </w:pBdr>
      <w:jc w:val="center"/>
    </w:pPr>
    <w:rPr>
      <w:b/>
      <w:kern w:val="0"/>
      <w:lang w:eastAsia="en-US"/>
    </w:rPr>
  </w:style>
  <w:style w:type="paragraph" w:styleId="ListParagraph">
    <w:name w:val="List Paragraph"/>
    <w:basedOn w:val="Normal"/>
    <w:link w:val="ListParagraphChar"/>
    <w:uiPriority w:val="34"/>
    <w:qFormat/>
    <w:rsid w:val="001E2697"/>
    <w:pPr>
      <w:spacing w:after="200" w:line="276" w:lineRule="auto"/>
      <w:ind w:left="720"/>
      <w:contextualSpacing/>
    </w:pPr>
    <w:rPr>
      <w:rFonts w:eastAsia="Calibri"/>
      <w:kern w:val="0"/>
      <w:szCs w:val="22"/>
      <w:lang w:eastAsia="en-US"/>
    </w:rPr>
  </w:style>
  <w:style w:type="paragraph" w:customStyle="1" w:styleId="level1">
    <w:name w:val="level1"/>
    <w:basedOn w:val="Normal"/>
    <w:rsid w:val="001E2697"/>
    <w:pPr>
      <w:numPr>
        <w:numId w:val="1"/>
      </w:numPr>
    </w:pPr>
  </w:style>
  <w:style w:type="paragraph" w:styleId="FootnoteText">
    <w:name w:val="footnote text"/>
    <w:basedOn w:val="Normal"/>
    <w:link w:val="FootnoteTextChar"/>
    <w:uiPriority w:val="99"/>
    <w:unhideWhenUsed/>
    <w:rsid w:val="00383D1C"/>
    <w:rPr>
      <w:sz w:val="20"/>
      <w:szCs w:val="20"/>
    </w:rPr>
  </w:style>
  <w:style w:type="character" w:customStyle="1" w:styleId="FootnoteTextChar">
    <w:name w:val="Footnote Text Char"/>
    <w:basedOn w:val="DefaultParagraphFont"/>
    <w:link w:val="FootnoteText"/>
    <w:uiPriority w:val="99"/>
    <w:rsid w:val="00383D1C"/>
    <w:rPr>
      <w:rFonts w:ascii="Arial" w:eastAsia="Times New Roman" w:hAnsi="Arial" w:cs="Times New Roman"/>
      <w:kern w:val="28"/>
      <w:sz w:val="20"/>
      <w:szCs w:val="20"/>
      <w:lang w:val="en-ZA" w:eastAsia="en-GB"/>
    </w:rPr>
  </w:style>
  <w:style w:type="character" w:styleId="FootnoteReference">
    <w:name w:val="footnote reference"/>
    <w:basedOn w:val="DefaultParagraphFont"/>
    <w:uiPriority w:val="99"/>
    <w:unhideWhenUsed/>
    <w:rsid w:val="00383D1C"/>
    <w:rPr>
      <w:vertAlign w:val="superscript"/>
    </w:rPr>
  </w:style>
  <w:style w:type="character" w:customStyle="1" w:styleId="ListParagraphChar">
    <w:name w:val="List Paragraph Char"/>
    <w:basedOn w:val="DefaultParagraphFont"/>
    <w:link w:val="ListParagraph"/>
    <w:uiPriority w:val="34"/>
    <w:rsid w:val="009E5EA6"/>
    <w:rPr>
      <w:rFonts w:ascii="Arial" w:eastAsia="Calibri" w:hAnsi="Arial" w:cs="Times New Roman"/>
      <w:sz w:val="24"/>
      <w:lang w:val="en-ZA"/>
    </w:rPr>
  </w:style>
  <w:style w:type="paragraph" w:customStyle="1" w:styleId="Myown">
    <w:name w:val="My own"/>
    <w:basedOn w:val="Normal"/>
    <w:rsid w:val="00880CB2"/>
    <w:pPr>
      <w:tabs>
        <w:tab w:val="num" w:pos="2970"/>
      </w:tabs>
      <w:spacing w:before="360" w:after="360" w:line="480" w:lineRule="auto"/>
      <w:ind w:left="706" w:hanging="706"/>
      <w:jc w:val="both"/>
    </w:pPr>
    <w:rPr>
      <w:rFonts w:ascii="Times New Roman" w:hAnsi="Times New Roman"/>
      <w:kern w:val="0"/>
      <w:lang w:eastAsia="en-US"/>
    </w:rPr>
  </w:style>
  <w:style w:type="table" w:styleId="TableGrid">
    <w:name w:val="Table Grid"/>
    <w:basedOn w:val="TableNormal"/>
    <w:uiPriority w:val="39"/>
    <w:rsid w:val="00CA4E2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5C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E5"/>
    <w:rPr>
      <w:rFonts w:ascii="Segoe UI" w:eastAsia="Times New Roman" w:hAnsi="Segoe UI" w:cs="Segoe UI"/>
      <w:kern w:val="28"/>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2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28065-D8FF-4A9F-8C79-692AED8D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Govender</dc:creator>
  <cp:keywords/>
  <dc:description/>
  <cp:lastModifiedBy>Mariana Anguelov</cp:lastModifiedBy>
  <cp:revision>3</cp:revision>
  <cp:lastPrinted>2022-12-13T08:16:00Z</cp:lastPrinted>
  <dcterms:created xsi:type="dcterms:W3CDTF">2022-12-14T13:45:00Z</dcterms:created>
  <dcterms:modified xsi:type="dcterms:W3CDTF">2022-12-18T05:46:00Z</dcterms:modified>
</cp:coreProperties>
</file>