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6C52" w14:textId="77777777" w:rsidR="00A81108" w:rsidRPr="00A81108" w:rsidRDefault="00A81108" w:rsidP="00A81108">
      <w:pPr>
        <w:spacing w:after="120" w:line="360" w:lineRule="auto"/>
        <w:jc w:val="center"/>
        <w:rPr>
          <w:rFonts w:cs="Arial"/>
          <w:b/>
          <w:bCs/>
          <w:sz w:val="22"/>
        </w:rPr>
      </w:pPr>
      <w:r w:rsidRPr="00A81108">
        <w:rPr>
          <w:rFonts w:cs="Arial"/>
          <w:b/>
          <w:bCs/>
          <w:noProof/>
          <w:sz w:val="22"/>
          <w:lang w:eastAsia="en-ZA"/>
        </w:rPr>
        <w:drawing>
          <wp:inline distT="0" distB="0" distL="0" distR="0" wp14:anchorId="7B270783" wp14:editId="235826BA">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043C5BE3" w14:textId="77777777" w:rsidR="00A81108" w:rsidRPr="00A81108" w:rsidRDefault="00A81108" w:rsidP="00A81108">
      <w:pPr>
        <w:jc w:val="center"/>
        <w:rPr>
          <w:b/>
          <w:sz w:val="22"/>
        </w:rPr>
      </w:pPr>
      <w:r w:rsidRPr="00A81108">
        <w:rPr>
          <w:b/>
          <w:sz w:val="22"/>
        </w:rPr>
        <w:t xml:space="preserve">IN THE HIGH COURT OF SOUTH AFRICA, </w:t>
      </w:r>
    </w:p>
    <w:p w14:paraId="1A9DBBA1" w14:textId="77777777" w:rsidR="00A81108" w:rsidRPr="00A81108" w:rsidRDefault="00A81108" w:rsidP="00A81108">
      <w:pPr>
        <w:jc w:val="center"/>
        <w:rPr>
          <w:b/>
          <w:sz w:val="22"/>
        </w:rPr>
      </w:pPr>
      <w:r w:rsidRPr="00A81108">
        <w:rPr>
          <w:b/>
          <w:sz w:val="22"/>
        </w:rPr>
        <w:t>GAUTENG DIVISION, JOHANNESBURG</w:t>
      </w:r>
    </w:p>
    <w:p w14:paraId="3033D0C1" w14:textId="77777777" w:rsidR="00A81108" w:rsidRPr="00A81108" w:rsidRDefault="00A81108" w:rsidP="00A81108">
      <w:pPr>
        <w:jc w:val="both"/>
        <w:rPr>
          <w:b/>
          <w:sz w:val="22"/>
        </w:rPr>
      </w:pPr>
    </w:p>
    <w:p w14:paraId="4EDC379B" w14:textId="77777777" w:rsidR="00A81108" w:rsidRPr="00A81108" w:rsidRDefault="00A81108" w:rsidP="00A81108">
      <w:pPr>
        <w:spacing w:line="360" w:lineRule="auto"/>
        <w:jc w:val="right"/>
        <w:rPr>
          <w:b/>
          <w:sz w:val="22"/>
        </w:rPr>
      </w:pPr>
      <w:r w:rsidRPr="00A81108">
        <w:rPr>
          <w:b/>
          <w:sz w:val="22"/>
        </w:rPr>
        <w:t xml:space="preserve">CASE NO:  </w:t>
      </w:r>
      <w:r w:rsidR="002C7552">
        <w:rPr>
          <w:b/>
          <w:sz w:val="22"/>
        </w:rPr>
        <w:t>3409/2022</w:t>
      </w:r>
    </w:p>
    <w:p w14:paraId="714E17B0" w14:textId="77777777" w:rsidR="00A81108" w:rsidRPr="00A81108" w:rsidRDefault="00A81108" w:rsidP="00A81108">
      <w:pPr>
        <w:spacing w:line="360" w:lineRule="auto"/>
        <w:jc w:val="right"/>
        <w:rPr>
          <w:sz w:val="22"/>
        </w:rPr>
      </w:pPr>
      <w:r w:rsidRPr="00A81108">
        <w:rPr>
          <w:noProof/>
          <w:sz w:val="22"/>
          <w:lang w:eastAsia="en-ZA"/>
        </w:rPr>
        <mc:AlternateContent>
          <mc:Choice Requires="wps">
            <w:drawing>
              <wp:anchor distT="0" distB="0" distL="114300" distR="114300" simplePos="0" relativeHeight="251659264" behindDoc="0" locked="0" layoutInCell="1" allowOverlap="1" wp14:anchorId="07D2640C" wp14:editId="2D54D5DC">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96CBAF9" w14:textId="77777777" w:rsidR="00A81108" w:rsidRPr="00913F95" w:rsidRDefault="00A81108" w:rsidP="00A81108">
                            <w:pPr>
                              <w:jc w:val="center"/>
                              <w:rPr>
                                <w:rFonts w:ascii="Century Gothic" w:hAnsi="Century Gothic"/>
                                <w:b/>
                                <w:sz w:val="20"/>
                                <w:szCs w:val="20"/>
                              </w:rPr>
                            </w:pPr>
                          </w:p>
                          <w:p w14:paraId="1B4DB70E" w14:textId="36BCDC72" w:rsidR="00A81108" w:rsidRDefault="00F2565E" w:rsidP="00F2565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81108">
                              <w:rPr>
                                <w:rFonts w:ascii="Century Gothic" w:hAnsi="Century Gothic"/>
                                <w:sz w:val="20"/>
                                <w:szCs w:val="20"/>
                              </w:rPr>
                              <w:t>REPORTABLE: NO</w:t>
                            </w:r>
                          </w:p>
                          <w:p w14:paraId="0F744A56" w14:textId="22B5E271" w:rsidR="00A81108" w:rsidRPr="00913F95" w:rsidRDefault="00F2565E" w:rsidP="00F2565E">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81108" w:rsidRPr="00913F95">
                              <w:rPr>
                                <w:rFonts w:ascii="Century Gothic" w:hAnsi="Century Gothic"/>
                                <w:sz w:val="20"/>
                                <w:szCs w:val="20"/>
                              </w:rPr>
                              <w:t>OF INTEREST TO OTHER JUDGES</w:t>
                            </w:r>
                            <w:r w:rsidR="00A81108">
                              <w:rPr>
                                <w:rFonts w:ascii="Century Gothic" w:hAnsi="Century Gothic"/>
                                <w:sz w:val="20"/>
                                <w:szCs w:val="20"/>
                              </w:rPr>
                              <w:t xml:space="preserve">: </w:t>
                            </w:r>
                            <w:r w:rsidR="00A81108" w:rsidRPr="00913F95">
                              <w:rPr>
                                <w:rFonts w:ascii="Century Gothic" w:hAnsi="Century Gothic"/>
                                <w:sz w:val="20"/>
                                <w:szCs w:val="20"/>
                              </w:rPr>
                              <w:t>NO</w:t>
                            </w:r>
                          </w:p>
                          <w:p w14:paraId="7B548C32" w14:textId="6750D2DA" w:rsidR="00A81108" w:rsidRPr="00913F95" w:rsidRDefault="00F2565E" w:rsidP="00F2565E">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81108" w:rsidRPr="00913F95">
                              <w:rPr>
                                <w:rFonts w:ascii="Century Gothic" w:hAnsi="Century Gothic"/>
                                <w:sz w:val="20"/>
                                <w:szCs w:val="20"/>
                              </w:rPr>
                              <w:t>REVISED</w:t>
                            </w:r>
                            <w:r w:rsidR="00A81108">
                              <w:rPr>
                                <w:rFonts w:ascii="Century Gothic" w:hAnsi="Century Gothic"/>
                                <w:sz w:val="20"/>
                                <w:szCs w:val="20"/>
                              </w:rPr>
                              <w:t xml:space="preserve">. </w:t>
                            </w:r>
                          </w:p>
                          <w:p w14:paraId="75935AE3" w14:textId="77777777" w:rsidR="00A81108" w:rsidRDefault="00A81108" w:rsidP="00A81108">
                            <w:pPr>
                              <w:rPr>
                                <w:rFonts w:ascii="Century Gothic" w:hAnsi="Century Gothic"/>
                                <w:b/>
                                <w:sz w:val="18"/>
                                <w:szCs w:val="18"/>
                              </w:rPr>
                            </w:pPr>
                          </w:p>
                          <w:p w14:paraId="3112B911" w14:textId="77777777" w:rsidR="00A81108" w:rsidRPr="00084341" w:rsidRDefault="00A81108" w:rsidP="00A81108">
                            <w:pPr>
                              <w:rPr>
                                <w:rFonts w:ascii="Century Gothic" w:hAnsi="Century Gothic"/>
                                <w:b/>
                                <w:sz w:val="18"/>
                                <w:szCs w:val="18"/>
                              </w:rPr>
                            </w:pPr>
                            <w:r w:rsidRPr="00084341">
                              <w:rPr>
                                <w:rFonts w:ascii="Century Gothic" w:hAnsi="Century Gothic"/>
                                <w:b/>
                                <w:sz w:val="18"/>
                                <w:szCs w:val="18"/>
                              </w:rPr>
                              <w:t xml:space="preserve">        </w:t>
                            </w:r>
                            <w:r w:rsidR="00481A8A">
                              <w:rPr>
                                <w:rFonts w:ascii="Century Gothic" w:hAnsi="Century Gothic"/>
                                <w:b/>
                                <w:sz w:val="18"/>
                                <w:szCs w:val="18"/>
                              </w:rPr>
                              <w:tab/>
                            </w:r>
                            <w:r w:rsidR="00481A8A" w:rsidRPr="00481A8A">
                              <w:rPr>
                                <w:rFonts w:ascii="Century Gothic" w:hAnsi="Century Gothic"/>
                                <w:sz w:val="18"/>
                                <w:szCs w:val="18"/>
                              </w:rPr>
                              <w:t>5.12.2022</w:t>
                            </w:r>
                            <w:r w:rsidRPr="00084341">
                              <w:rPr>
                                <w:rFonts w:ascii="Century Gothic" w:hAnsi="Century Gothic"/>
                                <w:b/>
                                <w:sz w:val="18"/>
                                <w:szCs w:val="18"/>
                              </w:rPr>
                              <w:tab/>
                            </w:r>
                            <w:r w:rsidRPr="00084341">
                              <w:rPr>
                                <w:rFonts w:ascii="Century Gothic" w:hAnsi="Century Gothic"/>
                                <w:b/>
                                <w:sz w:val="18"/>
                                <w:szCs w:val="18"/>
                              </w:rPr>
                              <w:tab/>
                              <w:t>………………………...</w:t>
                            </w:r>
                          </w:p>
                          <w:p w14:paraId="36528BBB" w14:textId="77777777" w:rsidR="00A81108" w:rsidRPr="00084341" w:rsidRDefault="00A81108" w:rsidP="00A8110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2640C"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396CBAF9" w14:textId="77777777" w:rsidR="00A81108" w:rsidRPr="00913F95" w:rsidRDefault="00A81108" w:rsidP="00A81108">
                      <w:pPr>
                        <w:jc w:val="center"/>
                        <w:rPr>
                          <w:rFonts w:ascii="Century Gothic" w:hAnsi="Century Gothic"/>
                          <w:b/>
                          <w:sz w:val="20"/>
                          <w:szCs w:val="20"/>
                        </w:rPr>
                      </w:pPr>
                    </w:p>
                    <w:p w14:paraId="1B4DB70E" w14:textId="36BCDC72" w:rsidR="00A81108" w:rsidRDefault="00F2565E" w:rsidP="00F2565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81108">
                        <w:rPr>
                          <w:rFonts w:ascii="Century Gothic" w:hAnsi="Century Gothic"/>
                          <w:sz w:val="20"/>
                          <w:szCs w:val="20"/>
                        </w:rPr>
                        <w:t>REPORTABLE: NO</w:t>
                      </w:r>
                    </w:p>
                    <w:p w14:paraId="0F744A56" w14:textId="22B5E271" w:rsidR="00A81108" w:rsidRPr="00913F95" w:rsidRDefault="00F2565E" w:rsidP="00F2565E">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81108" w:rsidRPr="00913F95">
                        <w:rPr>
                          <w:rFonts w:ascii="Century Gothic" w:hAnsi="Century Gothic"/>
                          <w:sz w:val="20"/>
                          <w:szCs w:val="20"/>
                        </w:rPr>
                        <w:t>OF INTEREST TO OTHER JUDGES</w:t>
                      </w:r>
                      <w:r w:rsidR="00A81108">
                        <w:rPr>
                          <w:rFonts w:ascii="Century Gothic" w:hAnsi="Century Gothic"/>
                          <w:sz w:val="20"/>
                          <w:szCs w:val="20"/>
                        </w:rPr>
                        <w:t xml:space="preserve">: </w:t>
                      </w:r>
                      <w:r w:rsidR="00A81108" w:rsidRPr="00913F95">
                        <w:rPr>
                          <w:rFonts w:ascii="Century Gothic" w:hAnsi="Century Gothic"/>
                          <w:sz w:val="20"/>
                          <w:szCs w:val="20"/>
                        </w:rPr>
                        <w:t>NO</w:t>
                      </w:r>
                    </w:p>
                    <w:p w14:paraId="7B548C32" w14:textId="6750D2DA" w:rsidR="00A81108" w:rsidRPr="00913F95" w:rsidRDefault="00F2565E" w:rsidP="00F2565E">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81108" w:rsidRPr="00913F95">
                        <w:rPr>
                          <w:rFonts w:ascii="Century Gothic" w:hAnsi="Century Gothic"/>
                          <w:sz w:val="20"/>
                          <w:szCs w:val="20"/>
                        </w:rPr>
                        <w:t>REVISED</w:t>
                      </w:r>
                      <w:r w:rsidR="00A81108">
                        <w:rPr>
                          <w:rFonts w:ascii="Century Gothic" w:hAnsi="Century Gothic"/>
                          <w:sz w:val="20"/>
                          <w:szCs w:val="20"/>
                        </w:rPr>
                        <w:t xml:space="preserve">. </w:t>
                      </w:r>
                    </w:p>
                    <w:p w14:paraId="75935AE3" w14:textId="77777777" w:rsidR="00A81108" w:rsidRDefault="00A81108" w:rsidP="00A81108">
                      <w:pPr>
                        <w:rPr>
                          <w:rFonts w:ascii="Century Gothic" w:hAnsi="Century Gothic"/>
                          <w:b/>
                          <w:sz w:val="18"/>
                          <w:szCs w:val="18"/>
                        </w:rPr>
                      </w:pPr>
                    </w:p>
                    <w:p w14:paraId="3112B911" w14:textId="77777777" w:rsidR="00A81108" w:rsidRPr="00084341" w:rsidRDefault="00A81108" w:rsidP="00A81108">
                      <w:pPr>
                        <w:rPr>
                          <w:rFonts w:ascii="Century Gothic" w:hAnsi="Century Gothic"/>
                          <w:b/>
                          <w:sz w:val="18"/>
                          <w:szCs w:val="18"/>
                        </w:rPr>
                      </w:pPr>
                      <w:r w:rsidRPr="00084341">
                        <w:rPr>
                          <w:rFonts w:ascii="Century Gothic" w:hAnsi="Century Gothic"/>
                          <w:b/>
                          <w:sz w:val="18"/>
                          <w:szCs w:val="18"/>
                        </w:rPr>
                        <w:t xml:space="preserve">        </w:t>
                      </w:r>
                      <w:r w:rsidR="00481A8A">
                        <w:rPr>
                          <w:rFonts w:ascii="Century Gothic" w:hAnsi="Century Gothic"/>
                          <w:b/>
                          <w:sz w:val="18"/>
                          <w:szCs w:val="18"/>
                        </w:rPr>
                        <w:tab/>
                      </w:r>
                      <w:r w:rsidR="00481A8A" w:rsidRPr="00481A8A">
                        <w:rPr>
                          <w:rFonts w:ascii="Century Gothic" w:hAnsi="Century Gothic"/>
                          <w:sz w:val="18"/>
                          <w:szCs w:val="18"/>
                        </w:rPr>
                        <w:t>5.12.2022</w:t>
                      </w:r>
                      <w:r w:rsidRPr="00084341">
                        <w:rPr>
                          <w:rFonts w:ascii="Century Gothic" w:hAnsi="Century Gothic"/>
                          <w:b/>
                          <w:sz w:val="18"/>
                          <w:szCs w:val="18"/>
                        </w:rPr>
                        <w:tab/>
                      </w:r>
                      <w:r w:rsidRPr="00084341">
                        <w:rPr>
                          <w:rFonts w:ascii="Century Gothic" w:hAnsi="Century Gothic"/>
                          <w:b/>
                          <w:sz w:val="18"/>
                          <w:szCs w:val="18"/>
                        </w:rPr>
                        <w:tab/>
                        <w:t>………………………...</w:t>
                      </w:r>
                    </w:p>
                    <w:p w14:paraId="36528BBB" w14:textId="77777777" w:rsidR="00A81108" w:rsidRPr="00084341" w:rsidRDefault="00A81108" w:rsidP="00A8110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5BEFA7BB" w14:textId="77777777" w:rsidR="00A81108" w:rsidRPr="00A81108" w:rsidRDefault="00A81108" w:rsidP="00A81108">
      <w:pPr>
        <w:spacing w:line="360" w:lineRule="auto"/>
        <w:jc w:val="both"/>
        <w:rPr>
          <w:sz w:val="22"/>
        </w:rPr>
      </w:pPr>
    </w:p>
    <w:p w14:paraId="1402A740" w14:textId="77777777" w:rsidR="00A81108" w:rsidRPr="00A81108" w:rsidRDefault="00A81108" w:rsidP="00A81108">
      <w:pPr>
        <w:spacing w:line="360" w:lineRule="auto"/>
        <w:jc w:val="both"/>
        <w:rPr>
          <w:sz w:val="22"/>
        </w:rPr>
      </w:pPr>
    </w:p>
    <w:p w14:paraId="44D6EE75" w14:textId="77777777" w:rsidR="00A81108" w:rsidRPr="00A81108" w:rsidRDefault="00A81108" w:rsidP="00A81108">
      <w:pPr>
        <w:spacing w:line="360" w:lineRule="auto"/>
        <w:jc w:val="both"/>
        <w:rPr>
          <w:sz w:val="22"/>
        </w:rPr>
      </w:pPr>
    </w:p>
    <w:p w14:paraId="0486DECA" w14:textId="77777777" w:rsidR="00A81108" w:rsidRPr="00A81108" w:rsidRDefault="00A81108" w:rsidP="00A81108">
      <w:pPr>
        <w:spacing w:line="480" w:lineRule="auto"/>
        <w:jc w:val="both"/>
        <w:rPr>
          <w:sz w:val="22"/>
        </w:rPr>
      </w:pPr>
    </w:p>
    <w:p w14:paraId="451DAE85" w14:textId="77777777" w:rsidR="00A81108" w:rsidRPr="00A81108" w:rsidRDefault="00A81108" w:rsidP="00A81108">
      <w:pPr>
        <w:spacing w:line="480" w:lineRule="auto"/>
        <w:jc w:val="both"/>
        <w:rPr>
          <w:sz w:val="22"/>
        </w:rPr>
      </w:pPr>
    </w:p>
    <w:p w14:paraId="1EBCF491" w14:textId="77777777" w:rsidR="00A81108" w:rsidRPr="00A81108" w:rsidRDefault="00A81108" w:rsidP="00A81108">
      <w:pPr>
        <w:spacing w:line="480" w:lineRule="auto"/>
        <w:jc w:val="both"/>
        <w:rPr>
          <w:rFonts w:cs="Arial"/>
          <w:sz w:val="22"/>
          <w:szCs w:val="22"/>
        </w:rPr>
      </w:pPr>
      <w:r w:rsidRPr="00A81108">
        <w:rPr>
          <w:rFonts w:cs="Arial"/>
          <w:sz w:val="22"/>
          <w:szCs w:val="22"/>
        </w:rPr>
        <w:t>In the matter between:</w:t>
      </w:r>
    </w:p>
    <w:p w14:paraId="51FF26C2" w14:textId="77777777" w:rsidR="00A81108" w:rsidRPr="00A81108" w:rsidRDefault="00A81108" w:rsidP="00A81108">
      <w:pPr>
        <w:spacing w:line="480" w:lineRule="auto"/>
        <w:jc w:val="both"/>
        <w:rPr>
          <w:rFonts w:cs="Arial"/>
          <w:sz w:val="22"/>
          <w:szCs w:val="22"/>
        </w:rPr>
      </w:pPr>
    </w:p>
    <w:tbl>
      <w:tblPr>
        <w:tblW w:w="0" w:type="auto"/>
        <w:tblLook w:val="0000" w:firstRow="0" w:lastRow="0" w:firstColumn="0" w:lastColumn="0" w:noHBand="0" w:noVBand="0"/>
      </w:tblPr>
      <w:tblGrid>
        <w:gridCol w:w="6181"/>
        <w:gridCol w:w="2370"/>
      </w:tblGrid>
      <w:tr w:rsidR="00A81108" w:rsidRPr="00A81108" w14:paraId="51072C03" w14:textId="77777777" w:rsidTr="008A04EF">
        <w:tc>
          <w:tcPr>
            <w:tcW w:w="6345" w:type="dxa"/>
          </w:tcPr>
          <w:p w14:paraId="447EB046" w14:textId="77777777" w:rsidR="00A81108" w:rsidRPr="00A81108" w:rsidRDefault="002C7552" w:rsidP="00A81108">
            <w:pPr>
              <w:rPr>
                <w:rFonts w:cs="Arial"/>
                <w:b/>
                <w:bCs/>
                <w:sz w:val="22"/>
                <w:szCs w:val="22"/>
              </w:rPr>
            </w:pPr>
            <w:r>
              <w:rPr>
                <w:rFonts w:cs="Arial"/>
                <w:b/>
                <w:bCs/>
                <w:sz w:val="22"/>
                <w:szCs w:val="22"/>
              </w:rPr>
              <w:t>SERVICES SECTOR EDUCATION AND TRAINING AUTHORITY</w:t>
            </w:r>
          </w:p>
        </w:tc>
        <w:tc>
          <w:tcPr>
            <w:tcW w:w="2410" w:type="dxa"/>
          </w:tcPr>
          <w:p w14:paraId="4B3D586D" w14:textId="77777777" w:rsidR="002C7552" w:rsidRDefault="002C7552" w:rsidP="00A81108">
            <w:pPr>
              <w:jc w:val="right"/>
              <w:rPr>
                <w:rFonts w:cs="Arial"/>
                <w:sz w:val="22"/>
                <w:szCs w:val="22"/>
              </w:rPr>
            </w:pPr>
          </w:p>
          <w:p w14:paraId="0B763620" w14:textId="77777777" w:rsidR="00A81108" w:rsidRPr="00A81108" w:rsidRDefault="00A81108" w:rsidP="00A81108">
            <w:pPr>
              <w:jc w:val="right"/>
              <w:rPr>
                <w:rFonts w:cs="Arial"/>
                <w:sz w:val="22"/>
                <w:szCs w:val="22"/>
              </w:rPr>
            </w:pPr>
            <w:r w:rsidRPr="00A81108">
              <w:rPr>
                <w:rFonts w:cs="Arial"/>
                <w:sz w:val="22"/>
                <w:szCs w:val="22"/>
              </w:rPr>
              <w:t>Applicant</w:t>
            </w:r>
          </w:p>
        </w:tc>
      </w:tr>
      <w:tr w:rsidR="00A81108" w:rsidRPr="00A81108" w14:paraId="6B1FF15A" w14:textId="77777777" w:rsidTr="008A04EF">
        <w:tc>
          <w:tcPr>
            <w:tcW w:w="6345" w:type="dxa"/>
          </w:tcPr>
          <w:p w14:paraId="1B304662" w14:textId="77777777" w:rsidR="00A81108" w:rsidRPr="00A81108" w:rsidRDefault="00A81108" w:rsidP="00A81108">
            <w:pPr>
              <w:rPr>
                <w:sz w:val="22"/>
                <w:szCs w:val="22"/>
              </w:rPr>
            </w:pPr>
          </w:p>
          <w:p w14:paraId="2608E888" w14:textId="77777777" w:rsidR="00A81108" w:rsidRPr="00A81108" w:rsidRDefault="00A81108" w:rsidP="00A81108">
            <w:pPr>
              <w:rPr>
                <w:sz w:val="22"/>
                <w:szCs w:val="22"/>
              </w:rPr>
            </w:pPr>
          </w:p>
        </w:tc>
        <w:tc>
          <w:tcPr>
            <w:tcW w:w="2410" w:type="dxa"/>
          </w:tcPr>
          <w:p w14:paraId="3ECD7575" w14:textId="77777777" w:rsidR="00A81108" w:rsidRPr="00A81108" w:rsidRDefault="00A81108" w:rsidP="00A81108">
            <w:pPr>
              <w:jc w:val="right"/>
              <w:rPr>
                <w:rFonts w:cs="Arial"/>
                <w:sz w:val="22"/>
                <w:szCs w:val="22"/>
              </w:rPr>
            </w:pPr>
          </w:p>
        </w:tc>
      </w:tr>
      <w:tr w:rsidR="00A81108" w:rsidRPr="00A81108" w14:paraId="41B2E21B" w14:textId="77777777" w:rsidTr="008A04EF">
        <w:tc>
          <w:tcPr>
            <w:tcW w:w="6345" w:type="dxa"/>
          </w:tcPr>
          <w:p w14:paraId="437B0075" w14:textId="77777777" w:rsidR="00A81108" w:rsidRPr="00A81108" w:rsidRDefault="00A81108" w:rsidP="00A81108">
            <w:pPr>
              <w:rPr>
                <w:sz w:val="22"/>
                <w:szCs w:val="22"/>
              </w:rPr>
            </w:pPr>
            <w:r w:rsidRPr="00A81108">
              <w:rPr>
                <w:sz w:val="22"/>
                <w:szCs w:val="22"/>
              </w:rPr>
              <w:t xml:space="preserve">and  </w:t>
            </w:r>
          </w:p>
        </w:tc>
        <w:tc>
          <w:tcPr>
            <w:tcW w:w="2410" w:type="dxa"/>
          </w:tcPr>
          <w:p w14:paraId="60CD5E98" w14:textId="77777777" w:rsidR="00A81108" w:rsidRPr="00A81108" w:rsidRDefault="00A81108" w:rsidP="00A81108">
            <w:pPr>
              <w:jc w:val="right"/>
              <w:rPr>
                <w:rFonts w:cs="Arial"/>
                <w:sz w:val="22"/>
                <w:szCs w:val="22"/>
              </w:rPr>
            </w:pPr>
          </w:p>
        </w:tc>
      </w:tr>
      <w:tr w:rsidR="00A81108" w:rsidRPr="00A81108" w14:paraId="5B8F8F26" w14:textId="77777777" w:rsidTr="008A04EF">
        <w:tc>
          <w:tcPr>
            <w:tcW w:w="6345" w:type="dxa"/>
          </w:tcPr>
          <w:p w14:paraId="06990D70" w14:textId="77777777" w:rsidR="00A81108" w:rsidRPr="00A81108" w:rsidRDefault="00A81108" w:rsidP="00A81108">
            <w:pPr>
              <w:rPr>
                <w:sz w:val="22"/>
                <w:szCs w:val="22"/>
              </w:rPr>
            </w:pPr>
          </w:p>
          <w:p w14:paraId="38A53D2E" w14:textId="77777777" w:rsidR="00A81108" w:rsidRPr="00A81108" w:rsidRDefault="00A81108" w:rsidP="00A81108">
            <w:pPr>
              <w:rPr>
                <w:sz w:val="22"/>
                <w:szCs w:val="22"/>
              </w:rPr>
            </w:pPr>
          </w:p>
        </w:tc>
        <w:tc>
          <w:tcPr>
            <w:tcW w:w="2410" w:type="dxa"/>
          </w:tcPr>
          <w:p w14:paraId="3628F018" w14:textId="77777777" w:rsidR="00A81108" w:rsidRPr="00A81108" w:rsidRDefault="00A81108" w:rsidP="00A81108">
            <w:pPr>
              <w:jc w:val="right"/>
              <w:rPr>
                <w:rFonts w:cs="Arial"/>
                <w:sz w:val="22"/>
                <w:szCs w:val="22"/>
              </w:rPr>
            </w:pPr>
          </w:p>
        </w:tc>
      </w:tr>
      <w:tr w:rsidR="002C7552" w:rsidRPr="00A81108" w14:paraId="77A5A9DF" w14:textId="77777777" w:rsidTr="008A04EF">
        <w:tc>
          <w:tcPr>
            <w:tcW w:w="6345" w:type="dxa"/>
          </w:tcPr>
          <w:p w14:paraId="2D739B1E" w14:textId="77777777" w:rsidR="002C7552" w:rsidRPr="00794BD5" w:rsidRDefault="002C7552" w:rsidP="000C6557">
            <w:pPr>
              <w:rPr>
                <w:b/>
                <w:sz w:val="22"/>
                <w:szCs w:val="22"/>
              </w:rPr>
            </w:pPr>
            <w:r>
              <w:rPr>
                <w:b/>
                <w:sz w:val="22"/>
                <w:szCs w:val="22"/>
              </w:rPr>
              <w:t>AMANZ’ ABANTU SERVICES (PTY) LTD (in business rescue)</w:t>
            </w:r>
          </w:p>
        </w:tc>
        <w:tc>
          <w:tcPr>
            <w:tcW w:w="2410" w:type="dxa"/>
          </w:tcPr>
          <w:p w14:paraId="4712A078" w14:textId="77777777" w:rsidR="002C7552" w:rsidRDefault="002C7552" w:rsidP="000C6557">
            <w:pPr>
              <w:jc w:val="right"/>
              <w:rPr>
                <w:rFonts w:cs="Arial"/>
                <w:sz w:val="22"/>
                <w:szCs w:val="22"/>
              </w:rPr>
            </w:pPr>
          </w:p>
          <w:p w14:paraId="30A2FBE1" w14:textId="77777777" w:rsidR="002C7552" w:rsidRPr="00A81108" w:rsidRDefault="002C7552" w:rsidP="000C6557">
            <w:pPr>
              <w:jc w:val="right"/>
              <w:rPr>
                <w:rFonts w:cs="Arial"/>
                <w:sz w:val="22"/>
                <w:szCs w:val="22"/>
              </w:rPr>
            </w:pPr>
            <w:r>
              <w:rPr>
                <w:rFonts w:cs="Arial"/>
                <w:sz w:val="22"/>
                <w:szCs w:val="22"/>
              </w:rPr>
              <w:t xml:space="preserve">First </w:t>
            </w:r>
            <w:r w:rsidRPr="00A81108">
              <w:rPr>
                <w:rFonts w:cs="Arial"/>
                <w:sz w:val="22"/>
                <w:szCs w:val="22"/>
              </w:rPr>
              <w:t>Respondent</w:t>
            </w:r>
          </w:p>
        </w:tc>
      </w:tr>
      <w:tr w:rsidR="002C7552" w:rsidRPr="00A81108" w14:paraId="6D8990EC" w14:textId="77777777" w:rsidTr="008A04EF">
        <w:tc>
          <w:tcPr>
            <w:tcW w:w="6345" w:type="dxa"/>
          </w:tcPr>
          <w:p w14:paraId="2972C6A0" w14:textId="77777777" w:rsidR="002C7552" w:rsidRDefault="002C7552" w:rsidP="000C6557">
            <w:pPr>
              <w:rPr>
                <w:b/>
                <w:sz w:val="22"/>
                <w:szCs w:val="22"/>
              </w:rPr>
            </w:pPr>
          </w:p>
        </w:tc>
        <w:tc>
          <w:tcPr>
            <w:tcW w:w="2410" w:type="dxa"/>
          </w:tcPr>
          <w:p w14:paraId="333AB048" w14:textId="77777777" w:rsidR="002C7552" w:rsidRDefault="002C7552" w:rsidP="000C6557">
            <w:pPr>
              <w:jc w:val="right"/>
              <w:rPr>
                <w:rFonts w:cs="Arial"/>
                <w:sz w:val="22"/>
                <w:szCs w:val="22"/>
              </w:rPr>
            </w:pPr>
          </w:p>
        </w:tc>
      </w:tr>
      <w:tr w:rsidR="002C7552" w:rsidRPr="00A81108" w14:paraId="5D735F23" w14:textId="77777777" w:rsidTr="008A04EF">
        <w:tc>
          <w:tcPr>
            <w:tcW w:w="6345" w:type="dxa"/>
          </w:tcPr>
          <w:p w14:paraId="5189949C" w14:textId="77777777" w:rsidR="002C7552" w:rsidRDefault="002C7552" w:rsidP="000C6557">
            <w:pPr>
              <w:rPr>
                <w:b/>
                <w:sz w:val="22"/>
                <w:szCs w:val="22"/>
              </w:rPr>
            </w:pPr>
            <w:r>
              <w:rPr>
                <w:b/>
                <w:sz w:val="22"/>
                <w:szCs w:val="22"/>
              </w:rPr>
              <w:t>THE SHERIFF: JOHANNESBURG-NORTH</w:t>
            </w:r>
          </w:p>
        </w:tc>
        <w:tc>
          <w:tcPr>
            <w:tcW w:w="2410" w:type="dxa"/>
          </w:tcPr>
          <w:p w14:paraId="26170DA6" w14:textId="77777777" w:rsidR="002C7552" w:rsidRDefault="002C7552" w:rsidP="000C6557">
            <w:pPr>
              <w:jc w:val="right"/>
              <w:rPr>
                <w:rFonts w:cs="Arial"/>
                <w:sz w:val="22"/>
                <w:szCs w:val="22"/>
              </w:rPr>
            </w:pPr>
            <w:r>
              <w:rPr>
                <w:rFonts w:cs="Arial"/>
                <w:sz w:val="22"/>
                <w:szCs w:val="22"/>
              </w:rPr>
              <w:t>Second Respondent</w:t>
            </w:r>
          </w:p>
        </w:tc>
      </w:tr>
    </w:tbl>
    <w:p w14:paraId="2E15A6A5" w14:textId="77777777" w:rsidR="00A81108" w:rsidRPr="00A81108" w:rsidRDefault="00A81108" w:rsidP="00A81108">
      <w:pPr>
        <w:spacing w:line="360" w:lineRule="auto"/>
        <w:jc w:val="both"/>
        <w:rPr>
          <w:rFonts w:cs="Arial"/>
          <w:sz w:val="22"/>
          <w:szCs w:val="22"/>
        </w:rPr>
      </w:pPr>
    </w:p>
    <w:p w14:paraId="0FA6D51F" w14:textId="77777777" w:rsidR="00A81108" w:rsidRPr="00A81108" w:rsidRDefault="00A81108" w:rsidP="00A81108">
      <w:pPr>
        <w:pBdr>
          <w:bottom w:val="single" w:sz="4" w:space="1" w:color="auto"/>
        </w:pBdr>
        <w:spacing w:line="360" w:lineRule="auto"/>
        <w:jc w:val="both"/>
        <w:rPr>
          <w:rFonts w:cs="Arial"/>
          <w:sz w:val="22"/>
          <w:szCs w:val="22"/>
        </w:rPr>
      </w:pPr>
    </w:p>
    <w:p w14:paraId="0E4ABD30" w14:textId="77777777" w:rsidR="00A81108" w:rsidRPr="00A81108" w:rsidRDefault="00A81108" w:rsidP="00A81108">
      <w:pPr>
        <w:spacing w:line="276" w:lineRule="auto"/>
        <w:jc w:val="both"/>
        <w:rPr>
          <w:rFonts w:cs="Arial"/>
          <w:sz w:val="22"/>
          <w:szCs w:val="22"/>
        </w:rPr>
      </w:pPr>
    </w:p>
    <w:p w14:paraId="64489362" w14:textId="77777777" w:rsidR="00A81108" w:rsidRPr="00A81108" w:rsidRDefault="00A81108" w:rsidP="00A81108">
      <w:pPr>
        <w:keepNext/>
        <w:spacing w:line="276" w:lineRule="auto"/>
        <w:jc w:val="center"/>
        <w:outlineLvl w:val="1"/>
        <w:rPr>
          <w:rFonts w:cs="Arial"/>
          <w:b/>
          <w:bCs/>
          <w:sz w:val="22"/>
          <w:szCs w:val="22"/>
        </w:rPr>
      </w:pPr>
      <w:r w:rsidRPr="00A81108">
        <w:rPr>
          <w:rFonts w:cs="Arial"/>
          <w:b/>
          <w:bCs/>
          <w:sz w:val="22"/>
          <w:szCs w:val="22"/>
        </w:rPr>
        <w:t>JUDGMENT</w:t>
      </w:r>
    </w:p>
    <w:p w14:paraId="4F4AF23D" w14:textId="77777777" w:rsidR="00A81108" w:rsidRPr="00A81108" w:rsidRDefault="00A81108" w:rsidP="00A81108">
      <w:pPr>
        <w:pBdr>
          <w:bottom w:val="single" w:sz="4" w:space="1" w:color="auto"/>
        </w:pBdr>
        <w:jc w:val="both"/>
        <w:rPr>
          <w:rFonts w:cs="Arial"/>
          <w:sz w:val="22"/>
          <w:szCs w:val="22"/>
        </w:rPr>
      </w:pPr>
    </w:p>
    <w:p w14:paraId="093BED9F" w14:textId="77777777" w:rsidR="00A81108" w:rsidRPr="00A81108" w:rsidRDefault="00A81108" w:rsidP="00A81108">
      <w:pPr>
        <w:spacing w:after="480" w:line="480" w:lineRule="auto"/>
        <w:jc w:val="both"/>
        <w:rPr>
          <w:rFonts w:cs="Arial"/>
          <w:sz w:val="22"/>
          <w:szCs w:val="22"/>
        </w:rPr>
      </w:pPr>
    </w:p>
    <w:p w14:paraId="5B17AFF9" w14:textId="77777777" w:rsidR="00A81108" w:rsidRPr="00A81108" w:rsidRDefault="00A81108" w:rsidP="00A81108">
      <w:pPr>
        <w:spacing w:after="480" w:line="480" w:lineRule="auto"/>
        <w:jc w:val="both"/>
        <w:rPr>
          <w:rFonts w:cs="Arial"/>
          <w:b/>
          <w:sz w:val="22"/>
          <w:szCs w:val="22"/>
        </w:rPr>
      </w:pPr>
      <w:r w:rsidRPr="00A81108">
        <w:rPr>
          <w:rFonts w:cs="Arial"/>
          <w:b/>
          <w:sz w:val="22"/>
          <w:szCs w:val="22"/>
        </w:rPr>
        <w:t>CRUTCHFIELD J:</w:t>
      </w:r>
    </w:p>
    <w:p w14:paraId="36C6BAAD" w14:textId="0BF23E68" w:rsidR="00A64069" w:rsidRDefault="00F2565E" w:rsidP="00F2565E">
      <w:pPr>
        <w:tabs>
          <w:tab w:val="left" w:pos="680"/>
        </w:tabs>
        <w:spacing w:after="480" w:line="480" w:lineRule="auto"/>
        <w:jc w:val="both"/>
        <w:rPr>
          <w:rFonts w:cs="Arial"/>
          <w:bCs/>
          <w:sz w:val="22"/>
          <w:szCs w:val="22"/>
        </w:rPr>
      </w:pPr>
      <w:r>
        <w:rPr>
          <w:rFonts w:cs="Arial"/>
          <w:bCs/>
          <w:sz w:val="21"/>
          <w:szCs w:val="21"/>
        </w:rPr>
        <w:lastRenderedPageBreak/>
        <w:t>[1]</w:t>
      </w:r>
      <w:r>
        <w:rPr>
          <w:rFonts w:cs="Arial"/>
          <w:bCs/>
          <w:sz w:val="21"/>
          <w:szCs w:val="21"/>
        </w:rPr>
        <w:tab/>
      </w:r>
      <w:r w:rsidR="00A64069">
        <w:rPr>
          <w:rFonts w:cs="Arial"/>
          <w:bCs/>
          <w:sz w:val="22"/>
          <w:szCs w:val="22"/>
        </w:rPr>
        <w:t xml:space="preserve">The applicant, </w:t>
      </w:r>
      <w:r w:rsidR="002C7552" w:rsidRPr="002C7552">
        <w:rPr>
          <w:rFonts w:cs="Arial"/>
          <w:bCs/>
          <w:sz w:val="22"/>
          <w:szCs w:val="22"/>
        </w:rPr>
        <w:t xml:space="preserve">Services Sector Education and Training Authority, claimed leave to appeal to the Full Court against the whole of my judgment dated 15 November 2022. The first respondent, </w:t>
      </w:r>
      <w:proofErr w:type="spellStart"/>
      <w:r w:rsidR="002C7552" w:rsidRPr="002C7552">
        <w:rPr>
          <w:rFonts w:cs="Arial"/>
          <w:bCs/>
          <w:sz w:val="22"/>
          <w:szCs w:val="22"/>
        </w:rPr>
        <w:t>Amanz</w:t>
      </w:r>
      <w:proofErr w:type="spellEnd"/>
      <w:r w:rsidR="002C7552" w:rsidRPr="002C7552">
        <w:rPr>
          <w:rFonts w:cs="Arial"/>
          <w:bCs/>
          <w:sz w:val="22"/>
          <w:szCs w:val="22"/>
        </w:rPr>
        <w:t xml:space="preserve">’ </w:t>
      </w:r>
      <w:proofErr w:type="spellStart"/>
      <w:r w:rsidR="002C7552" w:rsidRPr="002C7552">
        <w:rPr>
          <w:rFonts w:cs="Arial"/>
          <w:bCs/>
          <w:sz w:val="22"/>
          <w:szCs w:val="22"/>
        </w:rPr>
        <w:t>Abantu</w:t>
      </w:r>
      <w:proofErr w:type="spellEnd"/>
      <w:r w:rsidR="002C7552" w:rsidRPr="002C7552">
        <w:rPr>
          <w:rFonts w:cs="Arial"/>
          <w:bCs/>
          <w:sz w:val="22"/>
          <w:szCs w:val="22"/>
        </w:rPr>
        <w:t xml:space="preserve"> Services (Pty) Ltd (in business rescue), opposed the application for leave to appeal. The second respondent, The Sheriff, Johannesburg-North, played no role in the proceedings. </w:t>
      </w:r>
    </w:p>
    <w:p w14:paraId="00F442D0" w14:textId="36A25060" w:rsidR="002C7552" w:rsidRDefault="00F2565E" w:rsidP="00F2565E">
      <w:pPr>
        <w:tabs>
          <w:tab w:val="left" w:pos="680"/>
        </w:tabs>
        <w:spacing w:after="480" w:line="480" w:lineRule="auto"/>
        <w:jc w:val="both"/>
        <w:rPr>
          <w:rFonts w:cs="Arial"/>
          <w:bCs/>
          <w:sz w:val="22"/>
          <w:szCs w:val="22"/>
        </w:rPr>
      </w:pPr>
      <w:r>
        <w:rPr>
          <w:rFonts w:cs="Arial"/>
          <w:bCs/>
          <w:sz w:val="21"/>
          <w:szCs w:val="21"/>
        </w:rPr>
        <w:t>[2]</w:t>
      </w:r>
      <w:r>
        <w:rPr>
          <w:rFonts w:cs="Arial"/>
          <w:bCs/>
          <w:sz w:val="21"/>
          <w:szCs w:val="21"/>
        </w:rPr>
        <w:tab/>
      </w:r>
      <w:r w:rsidR="002C7552" w:rsidRPr="002C7552">
        <w:rPr>
          <w:rFonts w:cs="Arial"/>
          <w:bCs/>
          <w:sz w:val="22"/>
          <w:szCs w:val="22"/>
        </w:rPr>
        <w:t>The applicant raised various grounds on w</w:t>
      </w:r>
      <w:r w:rsidR="00A64069">
        <w:rPr>
          <w:rFonts w:cs="Arial"/>
          <w:bCs/>
          <w:sz w:val="22"/>
          <w:szCs w:val="22"/>
        </w:rPr>
        <w:t>hich leave to appeal was sought. I deal only with the</w:t>
      </w:r>
      <w:r w:rsidR="002C7552" w:rsidRPr="002C7552">
        <w:rPr>
          <w:rFonts w:cs="Arial"/>
          <w:bCs/>
          <w:sz w:val="22"/>
          <w:szCs w:val="22"/>
        </w:rPr>
        <w:t xml:space="preserve"> important grounds and </w:t>
      </w:r>
      <w:r w:rsidR="00A64069">
        <w:rPr>
          <w:rFonts w:cs="Arial"/>
          <w:bCs/>
          <w:sz w:val="22"/>
          <w:szCs w:val="22"/>
        </w:rPr>
        <w:t xml:space="preserve">do so </w:t>
      </w:r>
      <w:r w:rsidR="002C7552" w:rsidRPr="002C7552">
        <w:rPr>
          <w:rFonts w:cs="Arial"/>
          <w:bCs/>
          <w:sz w:val="22"/>
          <w:szCs w:val="22"/>
        </w:rPr>
        <w:t xml:space="preserve">on a broad basis. </w:t>
      </w:r>
    </w:p>
    <w:p w14:paraId="35B3CF60" w14:textId="43588991" w:rsidR="002C7552" w:rsidRPr="002C7552" w:rsidRDefault="00F2565E" w:rsidP="00F2565E">
      <w:pPr>
        <w:tabs>
          <w:tab w:val="left" w:pos="680"/>
        </w:tabs>
        <w:spacing w:after="480" w:line="480" w:lineRule="auto"/>
        <w:jc w:val="both"/>
        <w:rPr>
          <w:rFonts w:cs="Arial"/>
          <w:bCs/>
          <w:sz w:val="22"/>
          <w:szCs w:val="22"/>
        </w:rPr>
      </w:pPr>
      <w:r w:rsidRPr="002C7552">
        <w:rPr>
          <w:rFonts w:cs="Arial"/>
          <w:bCs/>
          <w:sz w:val="21"/>
          <w:szCs w:val="21"/>
        </w:rPr>
        <w:t>[3]</w:t>
      </w:r>
      <w:r w:rsidRPr="002C7552">
        <w:rPr>
          <w:rFonts w:cs="Arial"/>
          <w:bCs/>
          <w:sz w:val="21"/>
          <w:szCs w:val="21"/>
        </w:rPr>
        <w:tab/>
      </w:r>
      <w:r w:rsidR="002C7552">
        <w:rPr>
          <w:rFonts w:cs="Arial"/>
          <w:bCs/>
          <w:sz w:val="22"/>
          <w:szCs w:val="22"/>
        </w:rPr>
        <w:t>The test f</w:t>
      </w:r>
      <w:r w:rsidR="00A64069">
        <w:rPr>
          <w:rFonts w:cs="Arial"/>
          <w:bCs/>
          <w:sz w:val="22"/>
          <w:szCs w:val="22"/>
        </w:rPr>
        <w:t xml:space="preserve">or leave to appeal in terms of s </w:t>
      </w:r>
      <w:r w:rsidR="002C7552">
        <w:rPr>
          <w:rFonts w:cs="Arial"/>
          <w:bCs/>
          <w:sz w:val="22"/>
          <w:szCs w:val="22"/>
        </w:rPr>
        <w:t xml:space="preserve">17(1)(a) of the Superior Courts Act, 10 of 2013 (‘the Act’) is that </w:t>
      </w:r>
      <w:r w:rsidR="00A64069">
        <w:rPr>
          <w:rFonts w:cs="Arial"/>
          <w:bCs/>
          <w:sz w:val="22"/>
          <w:szCs w:val="22"/>
        </w:rPr>
        <w:t xml:space="preserve">leave to appeal </w:t>
      </w:r>
      <w:r w:rsidR="002C7552">
        <w:rPr>
          <w:rFonts w:cs="Arial"/>
          <w:bCs/>
          <w:sz w:val="22"/>
          <w:szCs w:val="22"/>
        </w:rPr>
        <w:t>may only be given in instances where the appeal would have a reasonable prospect of success, or there is a compelling reason why the appeal should be heard, such as conflicting judgments in the matters in issue.</w:t>
      </w:r>
    </w:p>
    <w:p w14:paraId="4E2756FD" w14:textId="5E7B82DF" w:rsidR="002C7552" w:rsidRDefault="00F2565E" w:rsidP="00F2565E">
      <w:pPr>
        <w:tabs>
          <w:tab w:val="left" w:pos="680"/>
        </w:tabs>
        <w:spacing w:after="480" w:line="480" w:lineRule="auto"/>
        <w:jc w:val="both"/>
        <w:rPr>
          <w:rFonts w:cs="Arial"/>
          <w:bCs/>
          <w:sz w:val="22"/>
          <w:szCs w:val="22"/>
        </w:rPr>
      </w:pPr>
      <w:r>
        <w:rPr>
          <w:rFonts w:cs="Arial"/>
          <w:bCs/>
          <w:sz w:val="21"/>
          <w:szCs w:val="21"/>
        </w:rPr>
        <w:t>[4]</w:t>
      </w:r>
      <w:r>
        <w:rPr>
          <w:rFonts w:cs="Arial"/>
          <w:bCs/>
          <w:sz w:val="21"/>
          <w:szCs w:val="21"/>
        </w:rPr>
        <w:tab/>
      </w:r>
      <w:r w:rsidR="002C7552">
        <w:rPr>
          <w:rFonts w:cs="Arial"/>
          <w:bCs/>
          <w:sz w:val="22"/>
          <w:szCs w:val="22"/>
        </w:rPr>
        <w:t>It is now settled law that leave to appeal is not for the asking and that an applicant must hold a truly r</w:t>
      </w:r>
      <w:r w:rsidR="00512E6D">
        <w:rPr>
          <w:rFonts w:cs="Arial"/>
          <w:bCs/>
          <w:sz w:val="22"/>
          <w:szCs w:val="22"/>
        </w:rPr>
        <w:t>easonable prospect of success and</w:t>
      </w:r>
      <w:r w:rsidR="002C7552">
        <w:rPr>
          <w:rFonts w:cs="Arial"/>
          <w:bCs/>
          <w:sz w:val="22"/>
          <w:szCs w:val="22"/>
        </w:rPr>
        <w:t xml:space="preserve"> “Proper grounds </w:t>
      </w:r>
      <w:r w:rsidR="00E25711">
        <w:rPr>
          <w:rFonts w:cs="Arial"/>
          <w:bCs/>
          <w:sz w:val="22"/>
          <w:szCs w:val="22"/>
        </w:rPr>
        <w:t xml:space="preserve">and </w:t>
      </w:r>
      <w:r w:rsidR="002C7552">
        <w:rPr>
          <w:rFonts w:cs="Arial"/>
          <w:bCs/>
          <w:sz w:val="22"/>
          <w:szCs w:val="22"/>
        </w:rPr>
        <w:t xml:space="preserve">a sound, rational basis </w:t>
      </w:r>
      <w:r w:rsidR="00512E6D">
        <w:rPr>
          <w:rFonts w:cs="Arial"/>
          <w:bCs/>
          <w:sz w:val="22"/>
          <w:szCs w:val="22"/>
        </w:rPr>
        <w:t>(for leave to appeal) must exist.</w:t>
      </w:r>
      <w:r w:rsidR="002C7552">
        <w:rPr>
          <w:rFonts w:cs="Arial"/>
          <w:bCs/>
          <w:sz w:val="22"/>
          <w:szCs w:val="22"/>
        </w:rPr>
        <w:t>”</w:t>
      </w:r>
      <w:r w:rsidR="002C7552">
        <w:rPr>
          <w:rStyle w:val="FootnoteReference"/>
          <w:rFonts w:cs="Arial"/>
          <w:bCs/>
          <w:sz w:val="22"/>
          <w:szCs w:val="22"/>
        </w:rPr>
        <w:footnoteReference w:id="1"/>
      </w:r>
    </w:p>
    <w:p w14:paraId="5641074B" w14:textId="5624D7E6" w:rsidR="00E25711" w:rsidRDefault="00F2565E" w:rsidP="00F2565E">
      <w:pPr>
        <w:tabs>
          <w:tab w:val="left" w:pos="680"/>
        </w:tabs>
        <w:spacing w:after="480" w:line="480" w:lineRule="auto"/>
        <w:jc w:val="both"/>
        <w:rPr>
          <w:rFonts w:cs="Arial"/>
          <w:bCs/>
          <w:sz w:val="22"/>
          <w:szCs w:val="22"/>
        </w:rPr>
      </w:pPr>
      <w:r>
        <w:rPr>
          <w:rFonts w:cs="Arial"/>
          <w:bCs/>
          <w:sz w:val="21"/>
          <w:szCs w:val="21"/>
        </w:rPr>
        <w:t>[5]</w:t>
      </w:r>
      <w:r>
        <w:rPr>
          <w:rFonts w:cs="Arial"/>
          <w:bCs/>
          <w:sz w:val="21"/>
          <w:szCs w:val="21"/>
        </w:rPr>
        <w:tab/>
      </w:r>
      <w:r w:rsidR="00E25711">
        <w:rPr>
          <w:rFonts w:cs="Arial"/>
          <w:bCs/>
          <w:sz w:val="22"/>
          <w:szCs w:val="22"/>
        </w:rPr>
        <w:t>I do not refer to or reiterate the factual matrix relevant to this application and refer to the judgment in the application insofar as the facts are concerned.</w:t>
      </w:r>
    </w:p>
    <w:p w14:paraId="17C1AADB" w14:textId="1A7A052A" w:rsidR="00E25711" w:rsidRDefault="00F2565E" w:rsidP="00F2565E">
      <w:pPr>
        <w:tabs>
          <w:tab w:val="left" w:pos="680"/>
        </w:tabs>
        <w:spacing w:after="480" w:line="480" w:lineRule="auto"/>
        <w:jc w:val="both"/>
        <w:rPr>
          <w:rFonts w:cs="Arial"/>
          <w:bCs/>
          <w:sz w:val="22"/>
          <w:szCs w:val="22"/>
        </w:rPr>
      </w:pPr>
      <w:r>
        <w:rPr>
          <w:rFonts w:cs="Arial"/>
          <w:bCs/>
          <w:sz w:val="21"/>
          <w:szCs w:val="21"/>
        </w:rPr>
        <w:t>[6]</w:t>
      </w:r>
      <w:r>
        <w:rPr>
          <w:rFonts w:cs="Arial"/>
          <w:bCs/>
          <w:sz w:val="21"/>
          <w:szCs w:val="21"/>
        </w:rPr>
        <w:tab/>
      </w:r>
      <w:r w:rsidR="00E25711">
        <w:rPr>
          <w:rFonts w:cs="Arial"/>
          <w:bCs/>
          <w:sz w:val="22"/>
          <w:szCs w:val="22"/>
        </w:rPr>
        <w:t>As regards the applicant’s alleged pending appeal, AFSA does not have jurisdiction to appoint an appeal tribunal. AFSA advised the parti</w:t>
      </w:r>
      <w:r w:rsidR="00512E6D">
        <w:rPr>
          <w:rFonts w:cs="Arial"/>
          <w:bCs/>
          <w:sz w:val="22"/>
          <w:szCs w:val="22"/>
        </w:rPr>
        <w:t>es accordingly. The applicant did not bring an appeal</w:t>
      </w:r>
      <w:r w:rsidR="00E25711">
        <w:rPr>
          <w:rFonts w:cs="Arial"/>
          <w:bCs/>
          <w:sz w:val="22"/>
          <w:szCs w:val="22"/>
        </w:rPr>
        <w:t xml:space="preserve"> against the arbitrator’s award but ag</w:t>
      </w:r>
      <w:r w:rsidR="00512E6D">
        <w:rPr>
          <w:rFonts w:cs="Arial"/>
          <w:bCs/>
          <w:sz w:val="22"/>
          <w:szCs w:val="22"/>
        </w:rPr>
        <w:t xml:space="preserve">ainst the </w:t>
      </w:r>
      <w:r w:rsidR="00512E6D">
        <w:rPr>
          <w:rFonts w:cs="Arial"/>
          <w:bCs/>
          <w:sz w:val="22"/>
          <w:szCs w:val="22"/>
        </w:rPr>
        <w:lastRenderedPageBreak/>
        <w:t>determination of the quantity s</w:t>
      </w:r>
      <w:r w:rsidR="00E25711">
        <w:rPr>
          <w:rFonts w:cs="Arial"/>
          <w:bCs/>
          <w:sz w:val="22"/>
          <w:szCs w:val="22"/>
        </w:rPr>
        <w:t>urveyor (‘QS’), appointed by the parties in terms of the arbitration award.</w:t>
      </w:r>
    </w:p>
    <w:p w14:paraId="7BC44888" w14:textId="4CA96AFB" w:rsidR="00E25711" w:rsidRDefault="00F2565E" w:rsidP="00F2565E">
      <w:pPr>
        <w:tabs>
          <w:tab w:val="left" w:pos="680"/>
        </w:tabs>
        <w:spacing w:after="480" w:line="480" w:lineRule="auto"/>
        <w:jc w:val="both"/>
        <w:rPr>
          <w:rFonts w:cs="Arial"/>
          <w:bCs/>
          <w:sz w:val="22"/>
          <w:szCs w:val="22"/>
        </w:rPr>
      </w:pPr>
      <w:r>
        <w:rPr>
          <w:rFonts w:cs="Arial"/>
          <w:bCs/>
          <w:sz w:val="21"/>
          <w:szCs w:val="21"/>
        </w:rPr>
        <w:t>[7]</w:t>
      </w:r>
      <w:r>
        <w:rPr>
          <w:rFonts w:cs="Arial"/>
          <w:bCs/>
          <w:sz w:val="21"/>
          <w:szCs w:val="21"/>
        </w:rPr>
        <w:tab/>
      </w:r>
      <w:r w:rsidR="00E25711">
        <w:rPr>
          <w:rFonts w:cs="Arial"/>
          <w:bCs/>
          <w:sz w:val="22"/>
          <w:szCs w:val="22"/>
        </w:rPr>
        <w:t>The SCA has pronounc</w:t>
      </w:r>
      <w:r w:rsidR="00512E6D">
        <w:rPr>
          <w:rFonts w:cs="Arial"/>
          <w:bCs/>
          <w:sz w:val="22"/>
          <w:szCs w:val="22"/>
        </w:rPr>
        <w:t>ed authoritatively</w:t>
      </w:r>
      <w:r w:rsidR="00E25711">
        <w:rPr>
          <w:rFonts w:cs="Arial"/>
          <w:bCs/>
          <w:sz w:val="22"/>
          <w:szCs w:val="22"/>
        </w:rPr>
        <w:t xml:space="preserve"> that the determination of an expert is not a matter for appeal but for review.</w:t>
      </w:r>
      <w:r w:rsidR="00512E6D">
        <w:rPr>
          <w:rStyle w:val="FootnoteReference"/>
          <w:rFonts w:cs="Arial"/>
          <w:bCs/>
          <w:sz w:val="22"/>
          <w:szCs w:val="22"/>
        </w:rPr>
        <w:footnoteReference w:id="2"/>
      </w:r>
      <w:r w:rsidR="00E25711">
        <w:rPr>
          <w:rFonts w:cs="Arial"/>
          <w:bCs/>
          <w:sz w:val="22"/>
          <w:szCs w:val="22"/>
        </w:rPr>
        <w:t xml:space="preserve"> </w:t>
      </w:r>
      <w:r w:rsidR="00512E6D">
        <w:rPr>
          <w:rFonts w:cs="Arial"/>
          <w:bCs/>
          <w:sz w:val="22"/>
          <w:szCs w:val="22"/>
        </w:rPr>
        <w:t xml:space="preserve"> The applicant did </w:t>
      </w:r>
      <w:r w:rsidR="00E25711">
        <w:rPr>
          <w:rFonts w:cs="Arial"/>
          <w:bCs/>
          <w:sz w:val="22"/>
          <w:szCs w:val="22"/>
        </w:rPr>
        <w:t>not br</w:t>
      </w:r>
      <w:r w:rsidR="00512E6D">
        <w:rPr>
          <w:rFonts w:cs="Arial"/>
          <w:bCs/>
          <w:sz w:val="22"/>
          <w:szCs w:val="22"/>
        </w:rPr>
        <w:t xml:space="preserve">ing </w:t>
      </w:r>
      <w:r w:rsidR="00E25711">
        <w:rPr>
          <w:rFonts w:cs="Arial"/>
          <w:bCs/>
          <w:sz w:val="22"/>
          <w:szCs w:val="22"/>
        </w:rPr>
        <w:t xml:space="preserve">a review </w:t>
      </w:r>
      <w:r w:rsidR="00512E6D">
        <w:rPr>
          <w:rFonts w:cs="Arial"/>
          <w:bCs/>
          <w:sz w:val="22"/>
          <w:szCs w:val="22"/>
        </w:rPr>
        <w:t xml:space="preserve">of the QS’s determination </w:t>
      </w:r>
      <w:r w:rsidR="00E25711">
        <w:rPr>
          <w:rFonts w:cs="Arial"/>
          <w:bCs/>
          <w:sz w:val="22"/>
          <w:szCs w:val="22"/>
        </w:rPr>
        <w:t>and did not allege grounds that would sustain a review of the QS’s determination. Thus, there is no pending review of the expert</w:t>
      </w:r>
      <w:r w:rsidR="00512E6D">
        <w:rPr>
          <w:rFonts w:cs="Arial"/>
          <w:bCs/>
          <w:sz w:val="22"/>
          <w:szCs w:val="22"/>
        </w:rPr>
        <w:t xml:space="preserve">’s determination in circumstances where </w:t>
      </w:r>
      <w:r w:rsidR="00E25711">
        <w:rPr>
          <w:rFonts w:cs="Arial"/>
          <w:bCs/>
          <w:sz w:val="22"/>
          <w:szCs w:val="22"/>
        </w:rPr>
        <w:t>the SCA has st</w:t>
      </w:r>
      <w:r w:rsidR="00512E6D">
        <w:rPr>
          <w:rFonts w:cs="Arial"/>
          <w:bCs/>
          <w:sz w:val="22"/>
          <w:szCs w:val="22"/>
        </w:rPr>
        <w:t>ated firmly</w:t>
      </w:r>
      <w:r w:rsidR="00E25711">
        <w:rPr>
          <w:rFonts w:cs="Arial"/>
          <w:bCs/>
          <w:sz w:val="22"/>
          <w:szCs w:val="22"/>
        </w:rPr>
        <w:t xml:space="preserve"> that the determination o</w:t>
      </w:r>
      <w:r w:rsidR="00C96C5D">
        <w:rPr>
          <w:rFonts w:cs="Arial"/>
          <w:bCs/>
          <w:sz w:val="22"/>
          <w:szCs w:val="22"/>
        </w:rPr>
        <w:t xml:space="preserve">f an expert is not the subject of an </w:t>
      </w:r>
      <w:r w:rsidR="00E25711">
        <w:rPr>
          <w:rFonts w:cs="Arial"/>
          <w:bCs/>
          <w:sz w:val="22"/>
          <w:szCs w:val="22"/>
        </w:rPr>
        <w:t xml:space="preserve">appeal. Thus, the applicant’s purported appeal </w:t>
      </w:r>
      <w:r w:rsidR="00C96C5D">
        <w:rPr>
          <w:rFonts w:cs="Arial"/>
          <w:bCs/>
          <w:sz w:val="22"/>
          <w:szCs w:val="22"/>
        </w:rPr>
        <w:t xml:space="preserve">does </w:t>
      </w:r>
      <w:r w:rsidR="00E25711">
        <w:rPr>
          <w:rFonts w:cs="Arial"/>
          <w:bCs/>
          <w:sz w:val="22"/>
          <w:szCs w:val="22"/>
        </w:rPr>
        <w:t>no</w:t>
      </w:r>
      <w:r w:rsidR="00C96C5D">
        <w:rPr>
          <w:rFonts w:cs="Arial"/>
          <w:bCs/>
          <w:sz w:val="22"/>
          <w:szCs w:val="22"/>
        </w:rPr>
        <w:t>t have</w:t>
      </w:r>
      <w:r w:rsidR="00E25711">
        <w:rPr>
          <w:rFonts w:cs="Arial"/>
          <w:bCs/>
          <w:sz w:val="22"/>
          <w:szCs w:val="22"/>
        </w:rPr>
        <w:t xml:space="preserve"> reasonable prospects of success as envisaged in the test for leave to appeal referred to afore. Furthermore, the applicant’s purported appeal long since lapsed. </w:t>
      </w:r>
    </w:p>
    <w:p w14:paraId="341F735B" w14:textId="1A2D0870" w:rsidR="00E25711" w:rsidRDefault="00F2565E" w:rsidP="00F2565E">
      <w:pPr>
        <w:tabs>
          <w:tab w:val="left" w:pos="680"/>
        </w:tabs>
        <w:spacing w:after="480" w:line="480" w:lineRule="auto"/>
        <w:jc w:val="both"/>
        <w:rPr>
          <w:rFonts w:cs="Arial"/>
          <w:bCs/>
          <w:sz w:val="22"/>
          <w:szCs w:val="22"/>
        </w:rPr>
      </w:pPr>
      <w:r>
        <w:rPr>
          <w:rFonts w:cs="Arial"/>
          <w:bCs/>
          <w:sz w:val="21"/>
          <w:szCs w:val="21"/>
        </w:rPr>
        <w:t>[8]</w:t>
      </w:r>
      <w:r>
        <w:rPr>
          <w:rFonts w:cs="Arial"/>
          <w:bCs/>
          <w:sz w:val="21"/>
          <w:szCs w:val="21"/>
        </w:rPr>
        <w:tab/>
      </w:r>
      <w:r w:rsidR="00E25711">
        <w:rPr>
          <w:rFonts w:cs="Arial"/>
          <w:bCs/>
          <w:sz w:val="22"/>
          <w:szCs w:val="22"/>
        </w:rPr>
        <w:t xml:space="preserve">AFSA did not dismiss the </w:t>
      </w:r>
      <w:r w:rsidR="00512E6D">
        <w:rPr>
          <w:rFonts w:cs="Arial"/>
          <w:bCs/>
          <w:sz w:val="22"/>
          <w:szCs w:val="22"/>
        </w:rPr>
        <w:t xml:space="preserve">applicant’s </w:t>
      </w:r>
      <w:r w:rsidR="00E25711">
        <w:rPr>
          <w:rFonts w:cs="Arial"/>
          <w:bCs/>
          <w:sz w:val="22"/>
          <w:szCs w:val="22"/>
        </w:rPr>
        <w:t>appeal or determine the appeal as referred to by the applicant in the heads of argument submitted in respect of the application for leave to appeal.</w:t>
      </w:r>
      <w:r w:rsidR="00512E6D">
        <w:rPr>
          <w:rFonts w:cs="Arial"/>
          <w:bCs/>
          <w:sz w:val="22"/>
          <w:szCs w:val="22"/>
        </w:rPr>
        <w:t xml:space="preserve"> AFSA simply indicated that it wa</w:t>
      </w:r>
      <w:r w:rsidR="00E25711">
        <w:rPr>
          <w:rFonts w:cs="Arial"/>
          <w:bCs/>
          <w:sz w:val="22"/>
          <w:szCs w:val="22"/>
        </w:rPr>
        <w:t xml:space="preserve">s not vested with jurisdiction to appoint an appeal tribunal. </w:t>
      </w:r>
    </w:p>
    <w:p w14:paraId="35993DE8" w14:textId="26620A2C" w:rsidR="00E25711" w:rsidRDefault="00F2565E" w:rsidP="00F2565E">
      <w:pPr>
        <w:tabs>
          <w:tab w:val="left" w:pos="680"/>
        </w:tabs>
        <w:spacing w:after="480" w:line="480" w:lineRule="auto"/>
        <w:jc w:val="both"/>
        <w:rPr>
          <w:rFonts w:cs="Arial"/>
          <w:bCs/>
          <w:sz w:val="22"/>
          <w:szCs w:val="22"/>
        </w:rPr>
      </w:pPr>
      <w:r>
        <w:rPr>
          <w:rFonts w:cs="Arial"/>
          <w:bCs/>
          <w:sz w:val="21"/>
          <w:szCs w:val="21"/>
        </w:rPr>
        <w:t>[9]</w:t>
      </w:r>
      <w:r>
        <w:rPr>
          <w:rFonts w:cs="Arial"/>
          <w:bCs/>
          <w:sz w:val="21"/>
          <w:szCs w:val="21"/>
        </w:rPr>
        <w:tab/>
      </w:r>
      <w:r w:rsidR="00E25711">
        <w:rPr>
          <w:rFonts w:cs="Arial"/>
          <w:bCs/>
          <w:sz w:val="22"/>
          <w:szCs w:val="22"/>
        </w:rPr>
        <w:t xml:space="preserve">Accordingly, the alleged pending appeal does not provide a sustainable basis on which to find grounds for leave to appeal. </w:t>
      </w:r>
      <w:r w:rsidR="00C96C5D">
        <w:rPr>
          <w:rFonts w:cs="Arial"/>
          <w:bCs/>
          <w:sz w:val="22"/>
          <w:szCs w:val="22"/>
        </w:rPr>
        <w:t>Furthermore, t</w:t>
      </w:r>
      <w:r w:rsidR="00E25711">
        <w:rPr>
          <w:rFonts w:cs="Arial"/>
          <w:bCs/>
          <w:sz w:val="22"/>
          <w:szCs w:val="22"/>
        </w:rPr>
        <w:t xml:space="preserve">here is no ongoing dispute between the parties for the reasons stated afore. </w:t>
      </w:r>
    </w:p>
    <w:p w14:paraId="52E8AA92" w14:textId="04EA2A36" w:rsidR="00E25711" w:rsidRDefault="00F2565E" w:rsidP="00F2565E">
      <w:pPr>
        <w:tabs>
          <w:tab w:val="left" w:pos="680"/>
        </w:tabs>
        <w:spacing w:after="480" w:line="480" w:lineRule="auto"/>
        <w:jc w:val="both"/>
        <w:rPr>
          <w:rFonts w:cs="Arial"/>
          <w:bCs/>
          <w:sz w:val="22"/>
          <w:szCs w:val="22"/>
        </w:rPr>
      </w:pPr>
      <w:r>
        <w:rPr>
          <w:rFonts w:cs="Arial"/>
          <w:bCs/>
          <w:sz w:val="21"/>
          <w:szCs w:val="21"/>
        </w:rPr>
        <w:t>[10]</w:t>
      </w:r>
      <w:r>
        <w:rPr>
          <w:rFonts w:cs="Arial"/>
          <w:bCs/>
          <w:sz w:val="21"/>
          <w:szCs w:val="21"/>
        </w:rPr>
        <w:tab/>
      </w:r>
      <w:r w:rsidR="00E25711">
        <w:rPr>
          <w:rFonts w:cs="Arial"/>
          <w:bCs/>
          <w:sz w:val="22"/>
          <w:szCs w:val="22"/>
        </w:rPr>
        <w:t>In the circumstances, there is no re</w:t>
      </w:r>
      <w:r w:rsidR="00C96C5D">
        <w:rPr>
          <w:rFonts w:cs="Arial"/>
          <w:bCs/>
          <w:sz w:val="22"/>
          <w:szCs w:val="22"/>
        </w:rPr>
        <w:t>asonable prospect that another c</w:t>
      </w:r>
      <w:r w:rsidR="00E25711">
        <w:rPr>
          <w:rFonts w:cs="Arial"/>
          <w:bCs/>
          <w:sz w:val="22"/>
          <w:szCs w:val="22"/>
        </w:rPr>
        <w:t xml:space="preserve">ourt would </w:t>
      </w:r>
      <w:r w:rsidR="00C96C5D">
        <w:rPr>
          <w:rFonts w:cs="Arial"/>
          <w:bCs/>
          <w:sz w:val="22"/>
          <w:szCs w:val="22"/>
        </w:rPr>
        <w:t>come to a different conclusion as required for leave to appeal to be granted.</w:t>
      </w:r>
    </w:p>
    <w:p w14:paraId="42E49335" w14:textId="1944F14F" w:rsidR="00E25711" w:rsidRDefault="00F2565E" w:rsidP="00F2565E">
      <w:pPr>
        <w:tabs>
          <w:tab w:val="left" w:pos="680"/>
        </w:tabs>
        <w:spacing w:after="480" w:line="480" w:lineRule="auto"/>
        <w:jc w:val="both"/>
        <w:rPr>
          <w:rFonts w:cs="Arial"/>
          <w:bCs/>
          <w:sz w:val="22"/>
          <w:szCs w:val="22"/>
        </w:rPr>
      </w:pPr>
      <w:r>
        <w:rPr>
          <w:rFonts w:cs="Arial"/>
          <w:bCs/>
          <w:sz w:val="21"/>
          <w:szCs w:val="21"/>
        </w:rPr>
        <w:t>[11]</w:t>
      </w:r>
      <w:r>
        <w:rPr>
          <w:rFonts w:cs="Arial"/>
          <w:bCs/>
          <w:sz w:val="21"/>
          <w:szCs w:val="21"/>
        </w:rPr>
        <w:tab/>
      </w:r>
      <w:r w:rsidR="00E25711">
        <w:rPr>
          <w:rFonts w:cs="Arial"/>
          <w:bCs/>
          <w:sz w:val="22"/>
          <w:szCs w:val="22"/>
        </w:rPr>
        <w:t>In respect of the alleged conflict in judgment</w:t>
      </w:r>
      <w:r w:rsidR="00C96C5D">
        <w:rPr>
          <w:rFonts w:cs="Arial"/>
          <w:bCs/>
          <w:sz w:val="22"/>
          <w:szCs w:val="22"/>
        </w:rPr>
        <w:t>s</w:t>
      </w:r>
      <w:r w:rsidR="00E25711">
        <w:rPr>
          <w:rFonts w:cs="Arial"/>
          <w:bCs/>
          <w:sz w:val="22"/>
          <w:szCs w:val="22"/>
        </w:rPr>
        <w:t xml:space="preserve"> raised by the applicant, </w:t>
      </w:r>
      <w:proofErr w:type="spellStart"/>
      <w:r w:rsidR="00E25711">
        <w:rPr>
          <w:rFonts w:cs="Arial"/>
          <w:bCs/>
          <w:sz w:val="22"/>
          <w:szCs w:val="22"/>
        </w:rPr>
        <w:t>B</w:t>
      </w:r>
      <w:r w:rsidR="002777AC">
        <w:rPr>
          <w:rFonts w:cs="Arial"/>
          <w:bCs/>
          <w:sz w:val="22"/>
          <w:szCs w:val="22"/>
        </w:rPr>
        <w:t>inns</w:t>
      </w:r>
      <w:proofErr w:type="spellEnd"/>
      <w:r w:rsidR="00E25711">
        <w:rPr>
          <w:rFonts w:cs="Arial"/>
          <w:bCs/>
          <w:sz w:val="22"/>
          <w:szCs w:val="22"/>
        </w:rPr>
        <w:t xml:space="preserve">-Ward J in </w:t>
      </w:r>
      <w:proofErr w:type="spellStart"/>
      <w:r w:rsidR="00E25711">
        <w:rPr>
          <w:rFonts w:cs="Arial"/>
          <w:bCs/>
          <w:i/>
          <w:sz w:val="22"/>
          <w:szCs w:val="22"/>
        </w:rPr>
        <w:t>Stoffberg</w:t>
      </w:r>
      <w:proofErr w:type="spellEnd"/>
      <w:r w:rsidR="00E25711">
        <w:rPr>
          <w:rFonts w:cs="Arial"/>
          <w:bCs/>
          <w:i/>
          <w:sz w:val="22"/>
          <w:szCs w:val="22"/>
        </w:rPr>
        <w:t xml:space="preserve"> NO v Capital Harvest (Pty) Ltd</w:t>
      </w:r>
      <w:r w:rsidR="00C96C5D">
        <w:rPr>
          <w:rFonts w:cs="Arial"/>
          <w:bCs/>
          <w:i/>
          <w:sz w:val="22"/>
          <w:szCs w:val="22"/>
        </w:rPr>
        <w:t>,</w:t>
      </w:r>
      <w:r w:rsidR="00E25711">
        <w:rPr>
          <w:rStyle w:val="FootnoteReference"/>
          <w:rFonts w:cs="Arial"/>
          <w:bCs/>
          <w:i/>
          <w:sz w:val="22"/>
          <w:szCs w:val="22"/>
        </w:rPr>
        <w:footnoteReference w:id="3"/>
      </w:r>
      <w:r w:rsidR="00E25711">
        <w:rPr>
          <w:rFonts w:cs="Arial"/>
          <w:bCs/>
          <w:sz w:val="22"/>
          <w:szCs w:val="22"/>
        </w:rPr>
        <w:t xml:space="preserve"> made it very clear </w:t>
      </w:r>
      <w:r w:rsidR="002777AC">
        <w:rPr>
          <w:rFonts w:cs="Arial"/>
          <w:bCs/>
          <w:sz w:val="22"/>
          <w:szCs w:val="22"/>
        </w:rPr>
        <w:t xml:space="preserve">that each case is </w:t>
      </w:r>
      <w:r w:rsidR="002777AC">
        <w:rPr>
          <w:rFonts w:cs="Arial"/>
          <w:bCs/>
          <w:sz w:val="22"/>
          <w:szCs w:val="22"/>
        </w:rPr>
        <w:lastRenderedPageBreak/>
        <w:t>fact specific</w:t>
      </w:r>
      <w:r w:rsidR="00C96C5D">
        <w:rPr>
          <w:rFonts w:cs="Arial"/>
          <w:bCs/>
          <w:sz w:val="22"/>
          <w:szCs w:val="22"/>
        </w:rPr>
        <w:t>,</w:t>
      </w:r>
      <w:r w:rsidR="002777AC">
        <w:rPr>
          <w:rFonts w:cs="Arial"/>
          <w:bCs/>
          <w:sz w:val="22"/>
          <w:szCs w:val="22"/>
        </w:rPr>
        <w:t xml:space="preserve"> decided </w:t>
      </w:r>
      <w:proofErr w:type="gramStart"/>
      <w:r w:rsidR="002777AC">
        <w:rPr>
          <w:rFonts w:cs="Arial"/>
          <w:bCs/>
          <w:sz w:val="22"/>
          <w:szCs w:val="22"/>
        </w:rPr>
        <w:t>on the basis of</w:t>
      </w:r>
      <w:proofErr w:type="gramEnd"/>
      <w:r w:rsidR="002777AC">
        <w:rPr>
          <w:rFonts w:cs="Arial"/>
          <w:bCs/>
          <w:sz w:val="22"/>
          <w:szCs w:val="22"/>
        </w:rPr>
        <w:t xml:space="preserve"> an application of the legal principles to the peculiar and relevant facts o</w:t>
      </w:r>
      <w:r w:rsidR="00C96C5D">
        <w:rPr>
          <w:rFonts w:cs="Arial"/>
          <w:bCs/>
          <w:sz w:val="22"/>
          <w:szCs w:val="22"/>
        </w:rPr>
        <w:t xml:space="preserve">f a matter. The emphasis by </w:t>
      </w:r>
      <w:proofErr w:type="spellStart"/>
      <w:r w:rsidR="00C96C5D">
        <w:rPr>
          <w:rFonts w:cs="Arial"/>
          <w:bCs/>
          <w:sz w:val="22"/>
          <w:szCs w:val="22"/>
        </w:rPr>
        <w:t>Binns</w:t>
      </w:r>
      <w:proofErr w:type="spellEnd"/>
      <w:r w:rsidR="00C96C5D">
        <w:rPr>
          <w:rFonts w:cs="Arial"/>
          <w:bCs/>
          <w:sz w:val="22"/>
          <w:szCs w:val="22"/>
        </w:rPr>
        <w:t>-Ward J of</w:t>
      </w:r>
      <w:r w:rsidR="002777AC">
        <w:rPr>
          <w:rFonts w:cs="Arial"/>
          <w:bCs/>
          <w:sz w:val="22"/>
          <w:szCs w:val="22"/>
        </w:rPr>
        <w:t xml:space="preserve"> the relevant facts </w:t>
      </w:r>
      <w:r w:rsidR="00C96C5D">
        <w:rPr>
          <w:rFonts w:cs="Arial"/>
          <w:bCs/>
          <w:sz w:val="22"/>
          <w:szCs w:val="22"/>
        </w:rPr>
        <w:t xml:space="preserve">of each matter </w:t>
      </w:r>
      <w:r w:rsidR="002777AC">
        <w:rPr>
          <w:rFonts w:cs="Arial"/>
          <w:bCs/>
          <w:sz w:val="22"/>
          <w:szCs w:val="22"/>
        </w:rPr>
        <w:t xml:space="preserve">results in the </w:t>
      </w:r>
      <w:r w:rsidR="00C96C5D">
        <w:rPr>
          <w:rFonts w:cs="Arial"/>
          <w:bCs/>
          <w:sz w:val="22"/>
          <w:szCs w:val="22"/>
        </w:rPr>
        <w:t>various</w:t>
      </w:r>
      <w:r w:rsidR="002777AC">
        <w:rPr>
          <w:rFonts w:cs="Arial"/>
          <w:bCs/>
          <w:sz w:val="22"/>
          <w:szCs w:val="22"/>
        </w:rPr>
        <w:t xml:space="preserve"> ju</w:t>
      </w:r>
      <w:r w:rsidR="00C96C5D">
        <w:rPr>
          <w:rFonts w:cs="Arial"/>
          <w:bCs/>
          <w:sz w:val="22"/>
          <w:szCs w:val="22"/>
        </w:rPr>
        <w:t>dgments not being in conflict such as would</w:t>
      </w:r>
      <w:r w:rsidR="002777AC">
        <w:rPr>
          <w:rFonts w:cs="Arial"/>
          <w:bCs/>
          <w:sz w:val="22"/>
          <w:szCs w:val="22"/>
        </w:rPr>
        <w:t xml:space="preserve"> comprise a compelling basis for the appeal to be heard. </w:t>
      </w:r>
    </w:p>
    <w:p w14:paraId="55F02EDF" w14:textId="1EC5B6C1" w:rsidR="002777AC" w:rsidRDefault="00F2565E" w:rsidP="00F2565E">
      <w:pPr>
        <w:tabs>
          <w:tab w:val="left" w:pos="680"/>
        </w:tabs>
        <w:spacing w:after="480" w:line="480" w:lineRule="auto"/>
        <w:jc w:val="both"/>
        <w:rPr>
          <w:rFonts w:cs="Arial"/>
          <w:bCs/>
          <w:sz w:val="22"/>
          <w:szCs w:val="22"/>
        </w:rPr>
      </w:pPr>
      <w:r>
        <w:rPr>
          <w:rFonts w:cs="Arial"/>
          <w:bCs/>
          <w:sz w:val="21"/>
          <w:szCs w:val="21"/>
        </w:rPr>
        <w:t>[12]</w:t>
      </w:r>
      <w:r>
        <w:rPr>
          <w:rFonts w:cs="Arial"/>
          <w:bCs/>
          <w:sz w:val="21"/>
          <w:szCs w:val="21"/>
        </w:rPr>
        <w:tab/>
      </w:r>
      <w:r w:rsidR="002777AC">
        <w:rPr>
          <w:rFonts w:cs="Arial"/>
          <w:bCs/>
          <w:sz w:val="22"/>
          <w:szCs w:val="22"/>
        </w:rPr>
        <w:t xml:space="preserve">As to the averting of an injustice, the applicant argued that the writ should be stayed </w:t>
      </w:r>
      <w:proofErr w:type="gramStart"/>
      <w:r w:rsidR="002777AC">
        <w:rPr>
          <w:rFonts w:cs="Arial"/>
          <w:bCs/>
          <w:sz w:val="22"/>
          <w:szCs w:val="22"/>
        </w:rPr>
        <w:t>in order to</w:t>
      </w:r>
      <w:proofErr w:type="gramEnd"/>
      <w:r w:rsidR="002777AC">
        <w:rPr>
          <w:rFonts w:cs="Arial"/>
          <w:bCs/>
          <w:sz w:val="22"/>
          <w:szCs w:val="22"/>
        </w:rPr>
        <w:t xml:space="preserve"> avert an injustice and that I fail to exercise this Court’s discretion by failing to consider the various factors relevant to that leg of the argument. </w:t>
      </w:r>
    </w:p>
    <w:p w14:paraId="7A42F9F3" w14:textId="6B39AD99" w:rsidR="002777AC" w:rsidRDefault="00F2565E" w:rsidP="00F2565E">
      <w:pPr>
        <w:tabs>
          <w:tab w:val="left" w:pos="680"/>
        </w:tabs>
        <w:spacing w:after="480" w:line="480" w:lineRule="auto"/>
        <w:jc w:val="both"/>
        <w:rPr>
          <w:rFonts w:cs="Arial"/>
          <w:bCs/>
          <w:sz w:val="22"/>
          <w:szCs w:val="22"/>
        </w:rPr>
      </w:pPr>
      <w:r>
        <w:rPr>
          <w:rFonts w:cs="Arial"/>
          <w:bCs/>
          <w:sz w:val="21"/>
          <w:szCs w:val="21"/>
        </w:rPr>
        <w:t>[13]</w:t>
      </w:r>
      <w:r>
        <w:rPr>
          <w:rFonts w:cs="Arial"/>
          <w:bCs/>
          <w:sz w:val="21"/>
          <w:szCs w:val="21"/>
        </w:rPr>
        <w:tab/>
      </w:r>
      <w:r w:rsidR="002777AC">
        <w:rPr>
          <w:rFonts w:cs="Arial"/>
          <w:bCs/>
          <w:sz w:val="22"/>
          <w:szCs w:val="22"/>
        </w:rPr>
        <w:t>However</w:t>
      </w:r>
      <w:r w:rsidR="005B5235">
        <w:rPr>
          <w:rFonts w:cs="Arial"/>
          <w:bCs/>
          <w:sz w:val="22"/>
          <w:szCs w:val="22"/>
        </w:rPr>
        <w:t>, the applicant’s contentions are ground</w:t>
      </w:r>
      <w:r w:rsidR="002777AC">
        <w:rPr>
          <w:rFonts w:cs="Arial"/>
          <w:bCs/>
          <w:sz w:val="22"/>
          <w:szCs w:val="22"/>
        </w:rPr>
        <w:t>ed in it being without recourse whilst the respondent</w:t>
      </w:r>
      <w:r w:rsidR="005B5235">
        <w:rPr>
          <w:rFonts w:cs="Arial"/>
          <w:bCs/>
          <w:sz w:val="22"/>
          <w:szCs w:val="22"/>
        </w:rPr>
        <w:t xml:space="preserve"> allegedly obstructs</w:t>
      </w:r>
      <w:r w:rsidR="002777AC">
        <w:rPr>
          <w:rFonts w:cs="Arial"/>
          <w:bCs/>
          <w:sz w:val="22"/>
          <w:szCs w:val="22"/>
        </w:rPr>
        <w:t xml:space="preserve"> the appeal. Given that the applicant concedes that it </w:t>
      </w:r>
      <w:proofErr w:type="gramStart"/>
      <w:r w:rsidR="002777AC">
        <w:rPr>
          <w:rFonts w:cs="Arial"/>
          <w:bCs/>
          <w:sz w:val="22"/>
          <w:szCs w:val="22"/>
        </w:rPr>
        <w:t>has to</w:t>
      </w:r>
      <w:proofErr w:type="gramEnd"/>
      <w:r w:rsidR="002777AC">
        <w:rPr>
          <w:rFonts w:cs="Arial"/>
          <w:bCs/>
          <w:sz w:val="22"/>
          <w:szCs w:val="22"/>
        </w:rPr>
        <w:t xml:space="preserve"> obtain the respondent’s consent in order t</w:t>
      </w:r>
      <w:r w:rsidR="005B5235">
        <w:rPr>
          <w:rFonts w:cs="Arial"/>
          <w:bCs/>
          <w:sz w:val="22"/>
          <w:szCs w:val="22"/>
        </w:rPr>
        <w:t>o further the appeal, something</w:t>
      </w:r>
      <w:r w:rsidR="002777AC">
        <w:rPr>
          <w:rFonts w:cs="Arial"/>
          <w:bCs/>
          <w:sz w:val="22"/>
          <w:szCs w:val="22"/>
        </w:rPr>
        <w:t xml:space="preserve"> the respondent is not obliged to give, the applicant can</w:t>
      </w:r>
      <w:r w:rsidR="005B5235">
        <w:rPr>
          <w:rFonts w:cs="Arial"/>
          <w:bCs/>
          <w:sz w:val="22"/>
          <w:szCs w:val="22"/>
        </w:rPr>
        <w:t xml:space="preserve">not have a </w:t>
      </w:r>
      <w:r w:rsidR="002777AC">
        <w:rPr>
          <w:rFonts w:cs="Arial"/>
          <w:bCs/>
          <w:sz w:val="22"/>
          <w:szCs w:val="22"/>
        </w:rPr>
        <w:t xml:space="preserve">right to appeal. As to the fact that the respondent is in business rescue and the applicant potentially will not have security in respect of its movables, that is the fear of every judgment </w:t>
      </w:r>
      <w:proofErr w:type="gramStart"/>
      <w:r w:rsidR="002777AC">
        <w:rPr>
          <w:rFonts w:cs="Arial"/>
          <w:bCs/>
          <w:sz w:val="22"/>
          <w:szCs w:val="22"/>
        </w:rPr>
        <w:t>debtor</w:t>
      </w:r>
      <w:proofErr w:type="gramEnd"/>
      <w:r w:rsidR="002777AC">
        <w:rPr>
          <w:rFonts w:cs="Arial"/>
          <w:bCs/>
          <w:sz w:val="22"/>
          <w:szCs w:val="22"/>
        </w:rPr>
        <w:t xml:space="preserve"> and it is not exceptional or unique to the applicant. </w:t>
      </w:r>
    </w:p>
    <w:p w14:paraId="767BD06B" w14:textId="58E52E9A" w:rsidR="002777AC" w:rsidRDefault="00F2565E" w:rsidP="00F2565E">
      <w:pPr>
        <w:tabs>
          <w:tab w:val="left" w:pos="680"/>
        </w:tabs>
        <w:spacing w:after="480" w:line="480" w:lineRule="auto"/>
        <w:jc w:val="both"/>
        <w:rPr>
          <w:rFonts w:cs="Arial"/>
          <w:bCs/>
          <w:sz w:val="22"/>
          <w:szCs w:val="22"/>
        </w:rPr>
      </w:pPr>
      <w:r>
        <w:rPr>
          <w:rFonts w:cs="Arial"/>
          <w:bCs/>
          <w:sz w:val="21"/>
          <w:szCs w:val="21"/>
        </w:rPr>
        <w:t>[14]</w:t>
      </w:r>
      <w:r>
        <w:rPr>
          <w:rFonts w:cs="Arial"/>
          <w:bCs/>
          <w:sz w:val="21"/>
          <w:szCs w:val="21"/>
        </w:rPr>
        <w:tab/>
      </w:r>
      <w:r w:rsidR="002777AC">
        <w:rPr>
          <w:rFonts w:cs="Arial"/>
          <w:bCs/>
          <w:sz w:val="22"/>
          <w:szCs w:val="22"/>
        </w:rPr>
        <w:t xml:space="preserve">However, the significant reason why the applicant does not make out a case for a stay </w:t>
      </w:r>
      <w:proofErr w:type="gramStart"/>
      <w:r w:rsidR="002777AC">
        <w:rPr>
          <w:rFonts w:cs="Arial"/>
          <w:bCs/>
          <w:sz w:val="22"/>
          <w:szCs w:val="22"/>
        </w:rPr>
        <w:t>in order to</w:t>
      </w:r>
      <w:proofErr w:type="gramEnd"/>
      <w:r w:rsidR="002777AC">
        <w:rPr>
          <w:rFonts w:cs="Arial"/>
          <w:bCs/>
          <w:sz w:val="22"/>
          <w:szCs w:val="22"/>
        </w:rPr>
        <w:t xml:space="preserve"> avert an injustice is because there is no </w:t>
      </w:r>
      <w:r w:rsidR="005B5235">
        <w:rPr>
          <w:rFonts w:cs="Arial"/>
          <w:bCs/>
          <w:sz w:val="22"/>
          <w:szCs w:val="22"/>
        </w:rPr>
        <w:t>pending appeal or review or further procedure, pending the outcome of which the writ be stayed. There is no purpose in</w:t>
      </w:r>
      <w:r w:rsidR="002777AC">
        <w:rPr>
          <w:rFonts w:cs="Arial"/>
          <w:bCs/>
          <w:sz w:val="22"/>
          <w:szCs w:val="22"/>
        </w:rPr>
        <w:t xml:space="preserve"> staying the writ </w:t>
      </w:r>
      <w:r w:rsidR="005B5235">
        <w:rPr>
          <w:rFonts w:cs="Arial"/>
          <w:bCs/>
          <w:sz w:val="22"/>
          <w:szCs w:val="22"/>
        </w:rPr>
        <w:t>if there</w:t>
      </w:r>
      <w:r w:rsidR="002777AC">
        <w:rPr>
          <w:rFonts w:cs="Arial"/>
          <w:bCs/>
          <w:sz w:val="22"/>
          <w:szCs w:val="22"/>
        </w:rPr>
        <w:t xml:space="preserve"> is no pending</w:t>
      </w:r>
      <w:r w:rsidR="005B5235">
        <w:rPr>
          <w:rFonts w:cs="Arial"/>
          <w:bCs/>
          <w:sz w:val="22"/>
          <w:szCs w:val="22"/>
        </w:rPr>
        <w:t xml:space="preserve"> procedure. </w:t>
      </w:r>
      <w:r w:rsidR="00AE7FCA">
        <w:rPr>
          <w:rFonts w:cs="Arial"/>
          <w:bCs/>
          <w:sz w:val="22"/>
          <w:szCs w:val="22"/>
        </w:rPr>
        <w:t>S</w:t>
      </w:r>
      <w:r w:rsidR="002777AC">
        <w:rPr>
          <w:rFonts w:cs="Arial"/>
          <w:bCs/>
          <w:sz w:val="22"/>
          <w:szCs w:val="22"/>
        </w:rPr>
        <w:t>tay</w:t>
      </w:r>
      <w:r w:rsidR="00AE7FCA">
        <w:rPr>
          <w:rFonts w:cs="Arial"/>
          <w:bCs/>
          <w:sz w:val="22"/>
          <w:szCs w:val="22"/>
        </w:rPr>
        <w:t>ing</w:t>
      </w:r>
      <w:r w:rsidR="002777AC">
        <w:rPr>
          <w:rFonts w:cs="Arial"/>
          <w:bCs/>
          <w:sz w:val="22"/>
          <w:szCs w:val="22"/>
        </w:rPr>
        <w:t xml:space="preserve"> the w</w:t>
      </w:r>
      <w:r w:rsidR="00AE7FCA">
        <w:rPr>
          <w:rFonts w:cs="Arial"/>
          <w:bCs/>
          <w:sz w:val="22"/>
          <w:szCs w:val="22"/>
        </w:rPr>
        <w:t xml:space="preserve">rit </w:t>
      </w:r>
      <w:r w:rsidR="005B5235">
        <w:rPr>
          <w:rFonts w:cs="Arial"/>
          <w:bCs/>
          <w:sz w:val="22"/>
          <w:szCs w:val="22"/>
        </w:rPr>
        <w:t>w</w:t>
      </w:r>
      <w:r w:rsidR="00AE7FCA">
        <w:rPr>
          <w:rFonts w:cs="Arial"/>
          <w:bCs/>
          <w:sz w:val="22"/>
          <w:szCs w:val="22"/>
        </w:rPr>
        <w:t xml:space="preserve">ill </w:t>
      </w:r>
      <w:r w:rsidR="005B5235">
        <w:rPr>
          <w:rFonts w:cs="Arial"/>
          <w:bCs/>
          <w:sz w:val="22"/>
          <w:szCs w:val="22"/>
        </w:rPr>
        <w:t xml:space="preserve">not achieve anything because </w:t>
      </w:r>
      <w:r w:rsidR="002777AC">
        <w:rPr>
          <w:rFonts w:cs="Arial"/>
          <w:bCs/>
          <w:sz w:val="22"/>
          <w:szCs w:val="22"/>
        </w:rPr>
        <w:t>there</w:t>
      </w:r>
      <w:r w:rsidR="00AE7FCA">
        <w:rPr>
          <w:rFonts w:cs="Arial"/>
          <w:bCs/>
          <w:sz w:val="22"/>
          <w:szCs w:val="22"/>
        </w:rPr>
        <w:t xml:space="preserve"> are</w:t>
      </w:r>
      <w:r w:rsidR="002777AC">
        <w:rPr>
          <w:rFonts w:cs="Arial"/>
          <w:bCs/>
          <w:sz w:val="22"/>
          <w:szCs w:val="22"/>
        </w:rPr>
        <w:t xml:space="preserve"> no pending </w:t>
      </w:r>
      <w:r w:rsidR="00AE7FCA">
        <w:rPr>
          <w:rFonts w:cs="Arial"/>
          <w:bCs/>
          <w:sz w:val="22"/>
          <w:szCs w:val="22"/>
        </w:rPr>
        <w:t>proceedings</w:t>
      </w:r>
      <w:r w:rsidR="002777AC">
        <w:rPr>
          <w:rFonts w:cs="Arial"/>
          <w:bCs/>
          <w:sz w:val="22"/>
          <w:szCs w:val="22"/>
        </w:rPr>
        <w:t xml:space="preserve"> between these parties nor is there an ongoing dispute between them</w:t>
      </w:r>
      <w:r w:rsidR="00AE7FCA">
        <w:rPr>
          <w:rFonts w:cs="Arial"/>
          <w:bCs/>
          <w:sz w:val="22"/>
          <w:szCs w:val="22"/>
        </w:rPr>
        <w:t>.</w:t>
      </w:r>
      <w:r w:rsidR="002777AC">
        <w:rPr>
          <w:rFonts w:cs="Arial"/>
          <w:bCs/>
          <w:sz w:val="22"/>
          <w:szCs w:val="22"/>
        </w:rPr>
        <w:t xml:space="preserve"> </w:t>
      </w:r>
      <w:r w:rsidR="00AE7FCA">
        <w:rPr>
          <w:rFonts w:cs="Arial"/>
          <w:bCs/>
          <w:sz w:val="22"/>
          <w:szCs w:val="22"/>
        </w:rPr>
        <w:t xml:space="preserve"> </w:t>
      </w:r>
    </w:p>
    <w:p w14:paraId="06F77D81" w14:textId="20EA55AA" w:rsidR="002777AC" w:rsidRDefault="00F2565E" w:rsidP="00F2565E">
      <w:pPr>
        <w:tabs>
          <w:tab w:val="left" w:pos="680"/>
        </w:tabs>
        <w:spacing w:after="480" w:line="480" w:lineRule="auto"/>
        <w:jc w:val="both"/>
        <w:rPr>
          <w:rFonts w:cs="Arial"/>
          <w:bCs/>
          <w:sz w:val="22"/>
          <w:szCs w:val="22"/>
        </w:rPr>
      </w:pPr>
      <w:r>
        <w:rPr>
          <w:rFonts w:cs="Arial"/>
          <w:bCs/>
          <w:sz w:val="21"/>
          <w:szCs w:val="21"/>
        </w:rPr>
        <w:t>[15]</w:t>
      </w:r>
      <w:r>
        <w:rPr>
          <w:rFonts w:cs="Arial"/>
          <w:bCs/>
          <w:sz w:val="21"/>
          <w:szCs w:val="21"/>
        </w:rPr>
        <w:tab/>
      </w:r>
      <w:r w:rsidR="002777AC">
        <w:rPr>
          <w:rFonts w:cs="Arial"/>
          <w:bCs/>
          <w:sz w:val="22"/>
          <w:szCs w:val="22"/>
        </w:rPr>
        <w:t>In the circumstances</w:t>
      </w:r>
      <w:r w:rsidR="00AE7FCA">
        <w:rPr>
          <w:rFonts w:cs="Arial"/>
          <w:bCs/>
          <w:sz w:val="22"/>
          <w:szCs w:val="22"/>
        </w:rPr>
        <w:t>,</w:t>
      </w:r>
      <w:r w:rsidR="002777AC">
        <w:rPr>
          <w:rFonts w:cs="Arial"/>
          <w:bCs/>
          <w:sz w:val="22"/>
          <w:szCs w:val="22"/>
        </w:rPr>
        <w:t xml:space="preserve"> </w:t>
      </w:r>
      <w:r w:rsidR="00AE7FCA">
        <w:rPr>
          <w:rFonts w:cs="Arial"/>
          <w:bCs/>
          <w:sz w:val="22"/>
          <w:szCs w:val="22"/>
        </w:rPr>
        <w:t>the applicant does not allege sustainable grounds upon which leave to appeal should be granted and there is no</w:t>
      </w:r>
      <w:r w:rsidR="002777AC">
        <w:rPr>
          <w:rFonts w:cs="Arial"/>
          <w:bCs/>
          <w:sz w:val="22"/>
          <w:szCs w:val="22"/>
        </w:rPr>
        <w:t xml:space="preserve"> re</w:t>
      </w:r>
      <w:r w:rsidR="00AE7FCA">
        <w:rPr>
          <w:rFonts w:cs="Arial"/>
          <w:bCs/>
          <w:sz w:val="22"/>
          <w:szCs w:val="22"/>
        </w:rPr>
        <w:t>asonable prospect that another c</w:t>
      </w:r>
      <w:r w:rsidR="002777AC">
        <w:rPr>
          <w:rFonts w:cs="Arial"/>
          <w:bCs/>
          <w:sz w:val="22"/>
          <w:szCs w:val="22"/>
        </w:rPr>
        <w:t>ourt will</w:t>
      </w:r>
      <w:r w:rsidR="00AE7FCA">
        <w:rPr>
          <w:rFonts w:cs="Arial"/>
          <w:bCs/>
          <w:sz w:val="22"/>
          <w:szCs w:val="22"/>
        </w:rPr>
        <w:t xml:space="preserve"> come to a different conclusion.</w:t>
      </w:r>
    </w:p>
    <w:p w14:paraId="5F966F3D" w14:textId="0A0FF302" w:rsidR="00AE7FCA" w:rsidRDefault="00F2565E" w:rsidP="00F2565E">
      <w:pPr>
        <w:tabs>
          <w:tab w:val="left" w:pos="680"/>
        </w:tabs>
        <w:spacing w:after="480" w:line="480" w:lineRule="auto"/>
        <w:jc w:val="both"/>
        <w:rPr>
          <w:rFonts w:cs="Arial"/>
          <w:bCs/>
          <w:sz w:val="22"/>
          <w:szCs w:val="22"/>
        </w:rPr>
      </w:pPr>
      <w:r>
        <w:rPr>
          <w:rFonts w:cs="Arial"/>
          <w:bCs/>
          <w:sz w:val="21"/>
          <w:szCs w:val="21"/>
        </w:rPr>
        <w:lastRenderedPageBreak/>
        <w:t>[16]</w:t>
      </w:r>
      <w:r>
        <w:rPr>
          <w:rFonts w:cs="Arial"/>
          <w:bCs/>
          <w:sz w:val="21"/>
          <w:szCs w:val="21"/>
        </w:rPr>
        <w:tab/>
      </w:r>
      <w:r w:rsidR="00AE7FCA">
        <w:rPr>
          <w:rFonts w:cs="Arial"/>
          <w:bCs/>
          <w:sz w:val="22"/>
          <w:szCs w:val="22"/>
        </w:rPr>
        <w:t>By reason of the aforementioned:</w:t>
      </w:r>
      <w:r w:rsidR="002777AC">
        <w:rPr>
          <w:rFonts w:cs="Arial"/>
          <w:bCs/>
          <w:sz w:val="22"/>
          <w:szCs w:val="22"/>
        </w:rPr>
        <w:t xml:space="preserve"> </w:t>
      </w:r>
    </w:p>
    <w:p w14:paraId="29366BE6" w14:textId="2214911E" w:rsidR="002777AC" w:rsidRPr="00F2565E" w:rsidRDefault="00F2565E" w:rsidP="00F2565E">
      <w:pPr>
        <w:spacing w:after="480" w:line="480" w:lineRule="auto"/>
        <w:ind w:left="1040" w:hanging="360"/>
        <w:jc w:val="both"/>
        <w:rPr>
          <w:rFonts w:cs="Arial"/>
          <w:bCs/>
          <w:sz w:val="22"/>
          <w:szCs w:val="22"/>
        </w:rPr>
      </w:pPr>
      <w:r w:rsidRPr="006B47C4">
        <w:rPr>
          <w:rFonts w:cs="Arial"/>
          <w:bCs/>
          <w:sz w:val="22"/>
          <w:szCs w:val="22"/>
        </w:rPr>
        <w:t>1.</w:t>
      </w:r>
      <w:r w:rsidRPr="006B47C4">
        <w:rPr>
          <w:rFonts w:cs="Arial"/>
          <w:bCs/>
          <w:sz w:val="22"/>
          <w:szCs w:val="22"/>
        </w:rPr>
        <w:tab/>
      </w:r>
      <w:r w:rsidR="00AE7FCA" w:rsidRPr="00F2565E">
        <w:rPr>
          <w:rFonts w:cs="Arial"/>
          <w:bCs/>
          <w:sz w:val="22"/>
          <w:szCs w:val="22"/>
        </w:rPr>
        <w:t>T</w:t>
      </w:r>
      <w:r w:rsidR="002777AC" w:rsidRPr="00F2565E">
        <w:rPr>
          <w:rFonts w:cs="Arial"/>
          <w:bCs/>
          <w:sz w:val="22"/>
          <w:szCs w:val="22"/>
        </w:rPr>
        <w:t>he application for leave to appeal is dismissed with costs, such costs to include the costs of two counsel, including senior counsel</w:t>
      </w:r>
      <w:r w:rsidR="00AE7FCA" w:rsidRPr="00F2565E">
        <w:rPr>
          <w:rFonts w:cs="Arial"/>
          <w:bCs/>
          <w:sz w:val="22"/>
          <w:szCs w:val="22"/>
        </w:rPr>
        <w:t xml:space="preserve">, where two counsel </w:t>
      </w:r>
      <w:r w:rsidR="002777AC" w:rsidRPr="00F2565E">
        <w:rPr>
          <w:rFonts w:cs="Arial"/>
          <w:bCs/>
          <w:sz w:val="22"/>
          <w:szCs w:val="22"/>
        </w:rPr>
        <w:t xml:space="preserve">including senior counsel, were utilised. </w:t>
      </w:r>
    </w:p>
    <w:p w14:paraId="27D6303F" w14:textId="77777777" w:rsidR="00A81108" w:rsidRPr="00A81108" w:rsidRDefault="00A81108" w:rsidP="00A81108">
      <w:pPr>
        <w:spacing w:after="480" w:line="480" w:lineRule="auto"/>
        <w:jc w:val="both"/>
        <w:rPr>
          <w:rFonts w:cs="Arial"/>
          <w:bCs/>
          <w:sz w:val="22"/>
          <w:szCs w:val="22"/>
        </w:rPr>
      </w:pPr>
      <w:r w:rsidRPr="00A81108">
        <w:rPr>
          <w:rFonts w:cs="Arial"/>
          <w:bCs/>
          <w:sz w:val="22"/>
          <w:szCs w:val="22"/>
        </w:rPr>
        <w:t>I hand down the judgment.</w:t>
      </w:r>
    </w:p>
    <w:p w14:paraId="5F05A49F" w14:textId="77777777" w:rsidR="00A81108" w:rsidRPr="00A81108" w:rsidRDefault="00A81108" w:rsidP="00A81108">
      <w:pPr>
        <w:keepNext/>
        <w:tabs>
          <w:tab w:val="right" w:pos="0"/>
        </w:tabs>
        <w:spacing w:line="360" w:lineRule="auto"/>
        <w:contextualSpacing/>
        <w:jc w:val="right"/>
        <w:rPr>
          <w:rFonts w:cs="Arial"/>
        </w:rPr>
      </w:pPr>
      <w:r w:rsidRPr="00A81108">
        <w:rPr>
          <w:rFonts w:cs="Arial"/>
        </w:rPr>
        <w:t>____</w:t>
      </w:r>
      <w:r w:rsidR="00AE7FCA">
        <w:rPr>
          <w:rFonts w:cs="Arial"/>
        </w:rPr>
        <w:t>__________________</w:t>
      </w:r>
      <w:r w:rsidRPr="00A81108">
        <w:rPr>
          <w:rFonts w:cs="Arial"/>
        </w:rPr>
        <w:t>_</w:t>
      </w:r>
    </w:p>
    <w:p w14:paraId="76894964" w14:textId="77777777" w:rsidR="00A81108" w:rsidRPr="00A81108" w:rsidRDefault="00A81108" w:rsidP="00A81108">
      <w:pPr>
        <w:tabs>
          <w:tab w:val="right" w:pos="0"/>
        </w:tabs>
        <w:spacing w:line="360" w:lineRule="auto"/>
        <w:contextualSpacing/>
        <w:jc w:val="right"/>
        <w:rPr>
          <w:rFonts w:cs="Arial"/>
          <w:b/>
        </w:rPr>
      </w:pPr>
      <w:r w:rsidRPr="00A81108">
        <w:rPr>
          <w:rFonts w:cs="Arial"/>
          <w:b/>
        </w:rPr>
        <w:t xml:space="preserve">A </w:t>
      </w:r>
      <w:proofErr w:type="spellStart"/>
      <w:r w:rsidRPr="00A81108">
        <w:rPr>
          <w:rFonts w:cs="Arial"/>
          <w:b/>
        </w:rPr>
        <w:t>A</w:t>
      </w:r>
      <w:proofErr w:type="spellEnd"/>
      <w:r w:rsidRPr="00A81108">
        <w:rPr>
          <w:rFonts w:cs="Arial"/>
          <w:b/>
        </w:rPr>
        <w:t xml:space="preserve"> CRUTCHFIELD</w:t>
      </w:r>
    </w:p>
    <w:p w14:paraId="0BD1752C" w14:textId="77777777" w:rsidR="00A81108" w:rsidRPr="00A81108" w:rsidRDefault="00A81108" w:rsidP="00A81108">
      <w:pPr>
        <w:tabs>
          <w:tab w:val="right" w:pos="0"/>
        </w:tabs>
        <w:spacing w:line="360" w:lineRule="auto"/>
        <w:contextualSpacing/>
        <w:jc w:val="right"/>
        <w:rPr>
          <w:rFonts w:cs="Arial"/>
          <w:b/>
        </w:rPr>
      </w:pPr>
      <w:r w:rsidRPr="00A81108">
        <w:rPr>
          <w:rFonts w:cs="Arial"/>
          <w:b/>
        </w:rPr>
        <w:t>JUDGE OF THE HIGH COURT OF SOUTH AFRICA</w:t>
      </w:r>
    </w:p>
    <w:p w14:paraId="7D88C590" w14:textId="77777777" w:rsidR="00A81108" w:rsidRPr="00A81108" w:rsidRDefault="00A81108" w:rsidP="00A81108">
      <w:pPr>
        <w:tabs>
          <w:tab w:val="right" w:pos="0"/>
          <w:tab w:val="left" w:pos="4253"/>
        </w:tabs>
        <w:spacing w:line="360" w:lineRule="auto"/>
        <w:contextualSpacing/>
        <w:jc w:val="right"/>
        <w:rPr>
          <w:rFonts w:cs="Arial"/>
          <w:b/>
        </w:rPr>
      </w:pPr>
      <w:r w:rsidRPr="00A81108">
        <w:rPr>
          <w:rFonts w:cs="Arial"/>
          <w:b/>
        </w:rPr>
        <w:t>GAUTENG LOCAL DIVISION</w:t>
      </w:r>
    </w:p>
    <w:p w14:paraId="03102871" w14:textId="77777777" w:rsidR="00A81108" w:rsidRPr="00A81108" w:rsidRDefault="00A81108" w:rsidP="00A81108">
      <w:pPr>
        <w:tabs>
          <w:tab w:val="right" w:pos="0"/>
          <w:tab w:val="left" w:pos="4253"/>
        </w:tabs>
        <w:spacing w:line="360" w:lineRule="auto"/>
        <w:contextualSpacing/>
        <w:jc w:val="right"/>
        <w:rPr>
          <w:rFonts w:cs="Arial"/>
          <w:b/>
        </w:rPr>
      </w:pPr>
      <w:r w:rsidRPr="00A81108">
        <w:rPr>
          <w:rFonts w:cs="Arial"/>
          <w:b/>
        </w:rPr>
        <w:t>JOHANNESBURG</w:t>
      </w:r>
    </w:p>
    <w:p w14:paraId="1DEC25BC" w14:textId="77777777" w:rsidR="00A81108" w:rsidRPr="00A81108" w:rsidRDefault="00A81108" w:rsidP="00A81108">
      <w:pPr>
        <w:tabs>
          <w:tab w:val="right" w:pos="0"/>
          <w:tab w:val="left" w:pos="4253"/>
        </w:tabs>
        <w:spacing w:line="360" w:lineRule="auto"/>
        <w:contextualSpacing/>
        <w:jc w:val="center"/>
        <w:rPr>
          <w:rFonts w:cs="Arial"/>
          <w:b/>
        </w:rPr>
      </w:pPr>
    </w:p>
    <w:p w14:paraId="077056FF" w14:textId="77777777" w:rsidR="00A81108" w:rsidRPr="006B47C4" w:rsidRDefault="00A81108" w:rsidP="006B47C4">
      <w:pPr>
        <w:spacing w:after="200" w:line="480" w:lineRule="auto"/>
        <w:contextualSpacing/>
        <w:jc w:val="right"/>
        <w:rPr>
          <w:rFonts w:cs="Arial"/>
          <w:b/>
          <w:i/>
          <w:iCs/>
          <w:sz w:val="22"/>
        </w:rPr>
      </w:pPr>
    </w:p>
    <w:p w14:paraId="7BC639DE" w14:textId="77777777" w:rsidR="00A81108" w:rsidRPr="00A81108" w:rsidRDefault="00A81108" w:rsidP="00A81108">
      <w:pPr>
        <w:spacing w:after="200" w:line="360" w:lineRule="auto"/>
        <w:contextualSpacing/>
        <w:jc w:val="both"/>
        <w:rPr>
          <w:rFonts w:eastAsia="Arial Unicode MS" w:cs="Arial"/>
          <w:bCs/>
          <w:sz w:val="22"/>
        </w:rPr>
      </w:pPr>
    </w:p>
    <w:p w14:paraId="7EA6F38E" w14:textId="77777777" w:rsidR="00A81108" w:rsidRPr="00A81108" w:rsidRDefault="00A81108" w:rsidP="00A81108">
      <w:pPr>
        <w:spacing w:after="200" w:line="360" w:lineRule="auto"/>
        <w:contextualSpacing/>
        <w:jc w:val="both"/>
        <w:rPr>
          <w:rFonts w:eastAsia="Arial Unicode MS" w:cs="Arial"/>
          <w:bCs/>
          <w:sz w:val="22"/>
        </w:rPr>
      </w:pPr>
      <w:r w:rsidRPr="00A81108">
        <w:rPr>
          <w:rFonts w:eastAsia="Arial Unicode MS" w:cs="Arial"/>
          <w:bCs/>
          <w:sz w:val="22"/>
        </w:rPr>
        <w:t xml:space="preserve">Delivered: This judgment was prepared and authored by the Judge whose name is reflected and is handed down electronically by circulation to the Parties / their legal representatives by email and by uploading it to the electronic file of this matter on </w:t>
      </w:r>
      <w:proofErr w:type="spellStart"/>
      <w:r w:rsidRPr="00A81108">
        <w:rPr>
          <w:rFonts w:eastAsia="Arial Unicode MS" w:cs="Arial"/>
          <w:bCs/>
          <w:sz w:val="22"/>
        </w:rPr>
        <w:t>CaseLines</w:t>
      </w:r>
      <w:proofErr w:type="spellEnd"/>
      <w:r w:rsidRPr="00A81108">
        <w:rPr>
          <w:rFonts w:eastAsia="Arial Unicode MS" w:cs="Arial"/>
          <w:bCs/>
          <w:sz w:val="22"/>
        </w:rPr>
        <w:t xml:space="preserve">. The date of the judgment is deemed to be </w:t>
      </w:r>
      <w:r w:rsidR="006B47C4">
        <w:rPr>
          <w:rFonts w:eastAsia="Arial Unicode MS" w:cs="Arial"/>
          <w:bCs/>
          <w:sz w:val="22"/>
        </w:rPr>
        <w:t xml:space="preserve">5 December </w:t>
      </w:r>
      <w:r w:rsidRPr="00AE7FCA">
        <w:rPr>
          <w:rFonts w:eastAsia="Arial Unicode MS" w:cs="Arial"/>
          <w:bCs/>
          <w:sz w:val="22"/>
        </w:rPr>
        <w:t>202</w:t>
      </w:r>
      <w:r w:rsidR="002777AC" w:rsidRPr="00AE7FCA">
        <w:rPr>
          <w:rFonts w:eastAsia="Arial Unicode MS" w:cs="Arial"/>
          <w:bCs/>
          <w:sz w:val="22"/>
        </w:rPr>
        <w:t>2</w:t>
      </w:r>
      <w:r w:rsidRPr="00AE7FCA">
        <w:rPr>
          <w:rFonts w:eastAsia="Arial Unicode MS" w:cs="Arial"/>
          <w:bCs/>
          <w:sz w:val="22"/>
        </w:rPr>
        <w:t>.</w:t>
      </w:r>
    </w:p>
    <w:p w14:paraId="65DA7CCE" w14:textId="77777777" w:rsidR="00A81108" w:rsidRPr="00A81108" w:rsidRDefault="00A81108" w:rsidP="00A81108">
      <w:pPr>
        <w:tabs>
          <w:tab w:val="right" w:pos="8647"/>
        </w:tabs>
        <w:spacing w:line="360" w:lineRule="auto"/>
        <w:contextualSpacing/>
        <w:jc w:val="both"/>
        <w:rPr>
          <w:rFonts w:cs="Arial"/>
        </w:rPr>
      </w:pPr>
    </w:p>
    <w:p w14:paraId="09F2CC2C" w14:textId="77777777" w:rsidR="00A81108" w:rsidRPr="00A81108" w:rsidRDefault="00A81108" w:rsidP="00A81108">
      <w:pPr>
        <w:tabs>
          <w:tab w:val="right" w:pos="8647"/>
        </w:tabs>
        <w:spacing w:line="360" w:lineRule="auto"/>
        <w:contextualSpacing/>
        <w:jc w:val="both"/>
        <w:rPr>
          <w:rFonts w:cs="Arial"/>
        </w:rPr>
      </w:pPr>
    </w:p>
    <w:p w14:paraId="428F6596" w14:textId="77777777" w:rsidR="00A81108" w:rsidRPr="00A81108" w:rsidRDefault="00A81108" w:rsidP="00A81108">
      <w:pPr>
        <w:tabs>
          <w:tab w:val="right" w:pos="0"/>
          <w:tab w:val="right" w:pos="8647"/>
        </w:tabs>
        <w:spacing w:line="360" w:lineRule="auto"/>
        <w:contextualSpacing/>
        <w:jc w:val="both"/>
        <w:rPr>
          <w:rFonts w:cs="Arial"/>
        </w:rPr>
      </w:pPr>
      <w:r w:rsidRPr="00A81108">
        <w:rPr>
          <w:rFonts w:cs="Arial"/>
        </w:rPr>
        <w:t>DATE OF THE HEARING:</w:t>
      </w:r>
      <w:r w:rsidR="006B47C4">
        <w:rPr>
          <w:rFonts w:cs="Arial"/>
        </w:rPr>
        <w:t xml:space="preserve"> </w:t>
      </w:r>
      <w:r w:rsidR="006B47C4">
        <w:rPr>
          <w:rFonts w:cs="Arial"/>
        </w:rPr>
        <w:tab/>
        <w:t>1 December 2022.</w:t>
      </w:r>
      <w:r w:rsidRPr="00A81108">
        <w:rPr>
          <w:rFonts w:cs="Arial"/>
        </w:rPr>
        <w:tab/>
      </w:r>
    </w:p>
    <w:p w14:paraId="12390EC6" w14:textId="77777777" w:rsidR="00A81108" w:rsidRPr="00A81108" w:rsidRDefault="00A81108" w:rsidP="00A81108">
      <w:pPr>
        <w:tabs>
          <w:tab w:val="right" w:pos="0"/>
          <w:tab w:val="right" w:pos="8647"/>
        </w:tabs>
        <w:spacing w:line="360" w:lineRule="auto"/>
        <w:contextualSpacing/>
        <w:jc w:val="both"/>
        <w:rPr>
          <w:rFonts w:cs="Arial"/>
        </w:rPr>
      </w:pPr>
    </w:p>
    <w:p w14:paraId="31F88F42" w14:textId="77777777" w:rsidR="00A81108" w:rsidRPr="00A81108" w:rsidRDefault="00A81108" w:rsidP="00A81108">
      <w:pPr>
        <w:tabs>
          <w:tab w:val="right" w:pos="0"/>
          <w:tab w:val="right" w:pos="8647"/>
        </w:tabs>
        <w:spacing w:line="360" w:lineRule="auto"/>
        <w:contextualSpacing/>
        <w:jc w:val="both"/>
        <w:rPr>
          <w:rFonts w:cs="Arial"/>
        </w:rPr>
      </w:pPr>
      <w:r w:rsidRPr="00A81108">
        <w:rPr>
          <w:rFonts w:cs="Arial"/>
        </w:rPr>
        <w:t>DATE OF JUDGMENT:</w:t>
      </w:r>
      <w:r w:rsidR="006B47C4">
        <w:rPr>
          <w:rFonts w:cs="Arial"/>
        </w:rPr>
        <w:t xml:space="preserve"> </w:t>
      </w:r>
      <w:r w:rsidR="006B47C4">
        <w:rPr>
          <w:rFonts w:cs="Arial"/>
        </w:rPr>
        <w:tab/>
        <w:t>5 December 2022.</w:t>
      </w:r>
      <w:r w:rsidRPr="00A81108">
        <w:rPr>
          <w:rFonts w:cs="Arial"/>
        </w:rPr>
        <w:tab/>
      </w:r>
    </w:p>
    <w:p w14:paraId="279C9BD6" w14:textId="77777777" w:rsidR="00AA6E8C" w:rsidRDefault="00AA6E8C" w:rsidP="00A81108"/>
    <w:p w14:paraId="3E1337CF" w14:textId="77777777" w:rsidR="0084000C" w:rsidRDefault="0084000C" w:rsidP="00A81108"/>
    <w:p w14:paraId="0250DC97" w14:textId="77777777" w:rsidR="0084000C" w:rsidRDefault="0084000C" w:rsidP="00A81108">
      <w:r>
        <w:t xml:space="preserve">EDWARD NATHAN SONNENBURGS INC </w:t>
      </w:r>
    </w:p>
    <w:p w14:paraId="732B3EE8" w14:textId="77777777" w:rsidR="0084000C" w:rsidRDefault="0084000C" w:rsidP="00A81108">
      <w:r>
        <w:t>Attorneys for the Applicant</w:t>
      </w:r>
    </w:p>
    <w:p w14:paraId="5D193102" w14:textId="77777777" w:rsidR="0084000C" w:rsidRDefault="0084000C" w:rsidP="00A81108"/>
    <w:p w14:paraId="2A7A0BB2" w14:textId="77777777" w:rsidR="0084000C" w:rsidRDefault="0084000C" w:rsidP="00A81108">
      <w:r>
        <w:t xml:space="preserve">PETER </w:t>
      </w:r>
      <w:proofErr w:type="spellStart"/>
      <w:r>
        <w:t>LeMOTTEE</w:t>
      </w:r>
      <w:proofErr w:type="spellEnd"/>
      <w:r>
        <w:t xml:space="preserve"> ATTORNEYS</w:t>
      </w:r>
    </w:p>
    <w:p w14:paraId="271F69B5" w14:textId="77777777" w:rsidR="0084000C" w:rsidRPr="00A81108" w:rsidRDefault="0084000C" w:rsidP="00A81108">
      <w:r>
        <w:t>Attorneys for the Respondent</w:t>
      </w:r>
    </w:p>
    <w:sectPr w:rsidR="0084000C" w:rsidRPr="00A81108" w:rsidSect="00A81108">
      <w:headerReference w:type="default" r:id="rId9"/>
      <w:pgSz w:w="11906" w:h="16838"/>
      <w:pgMar w:top="1440" w:right="155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6AC2" w14:textId="77777777" w:rsidR="00CF43F0" w:rsidRDefault="00CF43F0">
      <w:r>
        <w:separator/>
      </w:r>
    </w:p>
  </w:endnote>
  <w:endnote w:type="continuationSeparator" w:id="0">
    <w:p w14:paraId="4E4019C4" w14:textId="77777777" w:rsidR="00CF43F0" w:rsidRDefault="00C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2180" w14:textId="77777777" w:rsidR="00CF43F0" w:rsidRDefault="00CF43F0">
      <w:r>
        <w:separator/>
      </w:r>
    </w:p>
  </w:footnote>
  <w:footnote w:type="continuationSeparator" w:id="0">
    <w:p w14:paraId="190CEA4D" w14:textId="77777777" w:rsidR="00CF43F0" w:rsidRDefault="00CF43F0">
      <w:r>
        <w:continuationSeparator/>
      </w:r>
    </w:p>
  </w:footnote>
  <w:footnote w:id="1">
    <w:p w14:paraId="507B1E22" w14:textId="77777777" w:rsidR="002C7552" w:rsidRPr="00157422" w:rsidRDefault="002C7552" w:rsidP="002C7552">
      <w:pPr>
        <w:pStyle w:val="FootnoteText"/>
      </w:pPr>
      <w:r>
        <w:rPr>
          <w:rStyle w:val="FootnoteReference"/>
        </w:rPr>
        <w:footnoteRef/>
      </w:r>
      <w:r>
        <w:t xml:space="preserve"> </w:t>
      </w:r>
      <w:r>
        <w:tab/>
      </w:r>
      <w:r>
        <w:rPr>
          <w:i/>
        </w:rPr>
        <w:t xml:space="preserve">MEC Health, Eastern Cape v </w:t>
      </w:r>
      <w:proofErr w:type="spellStart"/>
      <w:r>
        <w:rPr>
          <w:i/>
        </w:rPr>
        <w:t>Mkhitha</w:t>
      </w:r>
      <w:proofErr w:type="spellEnd"/>
      <w:r>
        <w:rPr>
          <w:i/>
        </w:rPr>
        <w:t xml:space="preserve"> </w:t>
      </w:r>
      <w:r>
        <w:t>2016 ZASCA 176 (25 November 2016).</w:t>
      </w:r>
    </w:p>
  </w:footnote>
  <w:footnote w:id="2">
    <w:p w14:paraId="1E3FE36F" w14:textId="77777777" w:rsidR="00512E6D" w:rsidRPr="00512E6D" w:rsidRDefault="00512E6D">
      <w:pPr>
        <w:pStyle w:val="FootnoteText"/>
        <w:rPr>
          <w:lang w:val="en-GB"/>
        </w:rPr>
      </w:pPr>
      <w:r>
        <w:rPr>
          <w:rStyle w:val="FootnoteReference"/>
        </w:rPr>
        <w:footnoteRef/>
      </w:r>
      <w:r>
        <w:t xml:space="preserve"> </w:t>
      </w:r>
      <w:r>
        <w:tab/>
        <w:t>See the cases cited in the judgment in the application.</w:t>
      </w:r>
    </w:p>
  </w:footnote>
  <w:footnote w:id="3">
    <w:p w14:paraId="1404CE14" w14:textId="77777777" w:rsidR="00E25711" w:rsidRPr="00E25711" w:rsidRDefault="00E25711">
      <w:pPr>
        <w:pStyle w:val="FootnoteText"/>
      </w:pPr>
      <w:r>
        <w:rPr>
          <w:rStyle w:val="FootnoteReference"/>
        </w:rPr>
        <w:footnoteRef/>
      </w:r>
      <w:r>
        <w:t xml:space="preserve"> </w:t>
      </w:r>
      <w:r>
        <w:tab/>
      </w:r>
      <w:proofErr w:type="spellStart"/>
      <w:r>
        <w:rPr>
          <w:i/>
        </w:rPr>
        <w:t>Stoffberg</w:t>
      </w:r>
      <w:proofErr w:type="spellEnd"/>
      <w:r>
        <w:rPr>
          <w:i/>
        </w:rPr>
        <w:t xml:space="preserve"> NO v Capital Harvest (Pty) Ltd </w:t>
      </w:r>
      <w:r>
        <w:t>2021 JDR 1644 (WCC)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63F2" w14:textId="77777777" w:rsidR="0001111B" w:rsidRDefault="0022218D">
    <w:pPr>
      <w:pStyle w:val="Header"/>
      <w:spacing w:line="480" w:lineRule="auto"/>
      <w:jc w:val="right"/>
      <w:rPr>
        <w:rStyle w:val="PageNumber"/>
        <w:rFonts w:cs="Arial"/>
      </w:rPr>
    </w:pPr>
    <w:r>
      <w:rPr>
        <w:rFonts w:cs="Arial"/>
        <w:lang w:val="en-US"/>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D3969">
      <w:rPr>
        <w:rStyle w:val="PageNumber"/>
        <w:rFonts w:cs="Arial"/>
        <w:noProof/>
      </w:rPr>
      <w:t>2</w:t>
    </w:r>
    <w:r>
      <w:rPr>
        <w:rStyle w:val="PageNumber"/>
        <w:rFonts w:cs="Arial"/>
      </w:rPr>
      <w:fldChar w:fldCharType="end"/>
    </w:r>
  </w:p>
  <w:p w14:paraId="746A0FF4" w14:textId="77777777" w:rsidR="0001111B" w:rsidRDefault="0001111B">
    <w:pPr>
      <w:pStyle w:val="Header"/>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FFC1874"/>
    <w:multiLevelType w:val="multilevel"/>
    <w:tmpl w:val="69AEC85E"/>
    <w:lvl w:ilvl="0">
      <w:start w:val="1"/>
      <w:numFmt w:val="decimal"/>
      <w:lvlText w:val="[%1]"/>
      <w:lvlJc w:val="left"/>
      <w:pPr>
        <w:tabs>
          <w:tab w:val="num" w:pos="680"/>
        </w:tabs>
        <w:ind w:left="0" w:firstLine="0"/>
      </w:pPr>
      <w:rPr>
        <w:rFonts w:hint="default"/>
        <w:b w:val="0"/>
        <w:i w:val="0"/>
        <w:color w:val="auto"/>
        <w:sz w:val="21"/>
        <w:szCs w:val="21"/>
      </w:rPr>
    </w:lvl>
    <w:lvl w:ilvl="1">
      <w:start w:val="1"/>
      <w:numFmt w:val="decimal"/>
      <w:lvlText w:val="%1.%2"/>
      <w:lvlJc w:val="left"/>
      <w:pPr>
        <w:tabs>
          <w:tab w:val="num" w:pos="1531"/>
        </w:tabs>
        <w:ind w:left="1531" w:hanging="851"/>
      </w:pPr>
      <w:rPr>
        <w:rFonts w:hint="default"/>
        <w:b w:val="0"/>
        <w:i w:val="0"/>
        <w:iCs w:val="0"/>
        <w:color w:val="auto"/>
      </w:rPr>
    </w:lvl>
    <w:lvl w:ilvl="2">
      <w:start w:val="1"/>
      <w:numFmt w:val="decimal"/>
      <w:lvlText w:val="%1.%2.%3"/>
      <w:lvlJc w:val="left"/>
      <w:pPr>
        <w:tabs>
          <w:tab w:val="num" w:pos="2381"/>
        </w:tabs>
        <w:ind w:left="2381" w:hanging="850"/>
      </w:pPr>
      <w:rPr>
        <w:rFonts w:hint="default"/>
        <w:color w:val="auto"/>
      </w:rPr>
    </w:lvl>
    <w:lvl w:ilvl="3">
      <w:start w:val="1"/>
      <w:numFmt w:val="decimal"/>
      <w:lvlText w:val="%1.%2.%3.%4."/>
      <w:lvlJc w:val="left"/>
      <w:pPr>
        <w:tabs>
          <w:tab w:val="num" w:pos="3402"/>
        </w:tabs>
        <w:ind w:left="3515" w:hanging="1134"/>
      </w:pPr>
      <w:rPr>
        <w:rFonts w:hint="default"/>
      </w:rPr>
    </w:lvl>
    <w:lvl w:ilvl="4">
      <w:start w:val="1"/>
      <w:numFmt w:val="decimal"/>
      <w:lvlText w:val="%1.%2.%3.%4.%5."/>
      <w:lvlJc w:val="left"/>
      <w:pPr>
        <w:tabs>
          <w:tab w:val="num" w:pos="4933"/>
        </w:tabs>
        <w:ind w:left="4933"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C0A7DAB"/>
    <w:multiLevelType w:val="hybridMultilevel"/>
    <w:tmpl w:val="08DA0938"/>
    <w:lvl w:ilvl="0" w:tplc="107806E6">
      <w:start w:val="1"/>
      <w:numFmt w:val="decimal"/>
      <w:lvlText w:val="%1."/>
      <w:lvlJc w:val="left"/>
      <w:pPr>
        <w:ind w:left="1040" w:hanging="360"/>
      </w:pPr>
      <w:rPr>
        <w:rFonts w:hint="default"/>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41805006">
    <w:abstractNumId w:val="1"/>
  </w:num>
  <w:num w:numId="2" w16cid:durableId="1117680265">
    <w:abstractNumId w:val="0"/>
  </w:num>
  <w:num w:numId="3" w16cid:durableId="921839884">
    <w:abstractNumId w:val="3"/>
  </w:num>
  <w:num w:numId="4" w16cid:durableId="889192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52"/>
    <w:rsid w:val="0001111B"/>
    <w:rsid w:val="00011350"/>
    <w:rsid w:val="0022218D"/>
    <w:rsid w:val="00262819"/>
    <w:rsid w:val="002777AC"/>
    <w:rsid w:val="002C7552"/>
    <w:rsid w:val="00312EBC"/>
    <w:rsid w:val="00346DE6"/>
    <w:rsid w:val="00457A56"/>
    <w:rsid w:val="00481A8A"/>
    <w:rsid w:val="00512E6D"/>
    <w:rsid w:val="005B5235"/>
    <w:rsid w:val="005C7FC2"/>
    <w:rsid w:val="006211C7"/>
    <w:rsid w:val="00660C84"/>
    <w:rsid w:val="006752A2"/>
    <w:rsid w:val="006B47C4"/>
    <w:rsid w:val="006C5694"/>
    <w:rsid w:val="006F2FCE"/>
    <w:rsid w:val="007821F1"/>
    <w:rsid w:val="007B0D50"/>
    <w:rsid w:val="0084000C"/>
    <w:rsid w:val="008B1DA9"/>
    <w:rsid w:val="009121F8"/>
    <w:rsid w:val="00944804"/>
    <w:rsid w:val="009B08AF"/>
    <w:rsid w:val="009B3DFC"/>
    <w:rsid w:val="00A37BA4"/>
    <w:rsid w:val="00A64069"/>
    <w:rsid w:val="00A81108"/>
    <w:rsid w:val="00AA6E8C"/>
    <w:rsid w:val="00AE7FCA"/>
    <w:rsid w:val="00B72A13"/>
    <w:rsid w:val="00BC1092"/>
    <w:rsid w:val="00BD3969"/>
    <w:rsid w:val="00BD7D25"/>
    <w:rsid w:val="00BF2AB9"/>
    <w:rsid w:val="00C458AF"/>
    <w:rsid w:val="00C96C5D"/>
    <w:rsid w:val="00CF43F0"/>
    <w:rsid w:val="00D94745"/>
    <w:rsid w:val="00DC6A98"/>
    <w:rsid w:val="00E01493"/>
    <w:rsid w:val="00E25711"/>
    <w:rsid w:val="00E6644B"/>
    <w:rsid w:val="00EC70BC"/>
    <w:rsid w:val="00F221FC"/>
    <w:rsid w:val="00F256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7D9B1"/>
  <w15:docId w15:val="{9DC89520-C290-4CE7-A289-93B8395A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FC"/>
    <w:rPr>
      <w:rFonts w:ascii="Arial" w:hAnsi="Arial"/>
      <w:sz w:val="24"/>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A81108"/>
    <w:rPr>
      <w:rFonts w:ascii="Tahoma" w:hAnsi="Tahoma" w:cs="Tahoma"/>
      <w:sz w:val="16"/>
      <w:szCs w:val="16"/>
    </w:rPr>
  </w:style>
  <w:style w:type="character" w:customStyle="1" w:styleId="BalloonTextChar">
    <w:name w:val="Balloon Text Char"/>
    <w:basedOn w:val="DefaultParagraphFont"/>
    <w:link w:val="BalloonText"/>
    <w:uiPriority w:val="99"/>
    <w:semiHidden/>
    <w:rsid w:val="00A81108"/>
    <w:rPr>
      <w:rFonts w:ascii="Tahoma" w:hAnsi="Tahoma" w:cs="Tahoma"/>
      <w:sz w:val="16"/>
      <w:szCs w:val="16"/>
      <w:lang w:eastAsia="en-US"/>
    </w:rPr>
  </w:style>
  <w:style w:type="paragraph" w:styleId="FootnoteText">
    <w:name w:val="footnote text"/>
    <w:basedOn w:val="Normal"/>
    <w:link w:val="FootnoteTextChar"/>
    <w:uiPriority w:val="99"/>
    <w:unhideWhenUsed/>
    <w:rsid w:val="00457A56"/>
    <w:pPr>
      <w:ind w:left="340" w:hanging="340"/>
    </w:pPr>
    <w:rPr>
      <w:sz w:val="20"/>
      <w:szCs w:val="20"/>
    </w:rPr>
  </w:style>
  <w:style w:type="character" w:customStyle="1" w:styleId="FootnoteTextChar">
    <w:name w:val="Footnote Text Char"/>
    <w:basedOn w:val="DefaultParagraphFont"/>
    <w:link w:val="FootnoteText"/>
    <w:uiPriority w:val="99"/>
    <w:rsid w:val="00457A56"/>
    <w:rPr>
      <w:rFonts w:ascii="Arial" w:hAnsi="Arial"/>
      <w:lang w:eastAsia="en-US"/>
    </w:rPr>
  </w:style>
  <w:style w:type="character" w:styleId="FootnoteReference">
    <w:name w:val="footnote reference"/>
    <w:basedOn w:val="DefaultParagraphFont"/>
    <w:uiPriority w:val="99"/>
    <w:semiHidden/>
    <w:unhideWhenUsed/>
    <w:rsid w:val="00457A56"/>
    <w:rPr>
      <w:vertAlign w:val="superscript"/>
    </w:rPr>
  </w:style>
  <w:style w:type="paragraph" w:styleId="ListParagraph">
    <w:name w:val="List Paragraph"/>
    <w:basedOn w:val="Normal"/>
    <w:uiPriority w:val="34"/>
    <w:qFormat/>
    <w:rsid w:val="006B4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Crutchfie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FE4B-9D90-40BA-93D0-C4B985E1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Crutchfield</Template>
  <TotalTime>2</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Mariana Anguelov</cp:lastModifiedBy>
  <cp:revision>3</cp:revision>
  <cp:lastPrinted>1900-12-31T22:00:00Z</cp:lastPrinted>
  <dcterms:created xsi:type="dcterms:W3CDTF">2022-12-15T06:41:00Z</dcterms:created>
  <dcterms:modified xsi:type="dcterms:W3CDTF">2022-12-18T05:51:00Z</dcterms:modified>
</cp:coreProperties>
</file>