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FEE7" w14:textId="77777777" w:rsidR="00AA020E" w:rsidRPr="00AA020E" w:rsidRDefault="00AA020E" w:rsidP="00AA020E">
      <w:pPr>
        <w:spacing w:after="125" w:line="265" w:lineRule="auto"/>
        <w:ind w:left="130" w:right="0" w:hanging="10"/>
        <w:jc w:val="center"/>
      </w:pPr>
      <w:r w:rsidRPr="00AA020E">
        <w:rPr>
          <w:sz w:val="30"/>
        </w:rPr>
        <w:t>IN THE HIGH COURT OF SOUTH AFRICA</w:t>
      </w:r>
    </w:p>
    <w:p w14:paraId="1FF7E745" w14:textId="1C950A04" w:rsidR="00AA020E" w:rsidRPr="00AA020E" w:rsidRDefault="00AA020E" w:rsidP="00AA020E">
      <w:pPr>
        <w:spacing w:after="380" w:line="265" w:lineRule="auto"/>
        <w:ind w:left="130" w:right="10" w:hanging="10"/>
        <w:jc w:val="center"/>
      </w:pPr>
      <w:r w:rsidRPr="00AA020E">
        <w:rPr>
          <w:noProof/>
        </w:rPr>
        <w:drawing>
          <wp:anchor distT="0" distB="0" distL="114300" distR="114300" simplePos="0" relativeHeight="251656192" behindDoc="0" locked="0" layoutInCell="1" allowOverlap="1" wp14:anchorId="59E0ED91" wp14:editId="1CAE0E07">
            <wp:simplePos x="0" y="0"/>
            <wp:positionH relativeFrom="margin">
              <wp:align>center</wp:align>
            </wp:positionH>
            <wp:positionV relativeFrom="paragraph">
              <wp:posOffset>425450</wp:posOffset>
            </wp:positionV>
            <wp:extent cx="935799" cy="1008984"/>
            <wp:effectExtent l="0" t="0" r="0" b="1270"/>
            <wp:wrapSquare wrapText="bothSides"/>
            <wp:docPr id="912" name="Picture 912"/>
            <wp:cNvGraphicFramePr/>
            <a:graphic xmlns:a="http://schemas.openxmlformats.org/drawingml/2006/main">
              <a:graphicData uri="http://schemas.openxmlformats.org/drawingml/2006/picture">
                <pic:pic xmlns:pic="http://schemas.openxmlformats.org/drawingml/2006/picture">
                  <pic:nvPicPr>
                    <pic:cNvPr id="912" name="Picture 9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799" cy="1008984"/>
                    </a:xfrm>
                    <a:prstGeom prst="rect">
                      <a:avLst/>
                    </a:prstGeom>
                  </pic:spPr>
                </pic:pic>
              </a:graphicData>
            </a:graphic>
          </wp:anchor>
        </w:drawing>
      </w:r>
      <w:r w:rsidRPr="00AA020E">
        <w:rPr>
          <w:sz w:val="30"/>
        </w:rPr>
        <w:t>GAUTENG LOCAL DIVISION, JOHANNESBURG</w:t>
      </w:r>
    </w:p>
    <w:p w14:paraId="72659ECB" w14:textId="1C68CCDC" w:rsidR="00813F51" w:rsidRPr="00AA020E" w:rsidRDefault="00813F51"/>
    <w:p w14:paraId="7B87E19F" w14:textId="7703778F" w:rsidR="00AA020E" w:rsidRPr="00AA020E" w:rsidRDefault="00AA020E"/>
    <w:p w14:paraId="7950D7BF" w14:textId="485BED6F" w:rsidR="00AA020E" w:rsidRPr="00757C21" w:rsidRDefault="00BB2FC6" w:rsidP="00AA020E">
      <w:pPr>
        <w:spacing w:after="5" w:line="259" w:lineRule="auto"/>
        <w:ind w:left="2501" w:firstLine="720"/>
        <w:jc w:val="center"/>
        <w:rPr>
          <w:sz w:val="28"/>
          <w:szCs w:val="28"/>
        </w:rPr>
      </w:pPr>
      <w:r>
        <w:rPr>
          <w:sz w:val="28"/>
          <w:szCs w:val="28"/>
        </w:rPr>
        <w:t xml:space="preserve">               </w:t>
      </w:r>
      <w:r w:rsidR="00AA020E" w:rsidRPr="00757C21">
        <w:rPr>
          <w:sz w:val="28"/>
          <w:szCs w:val="28"/>
        </w:rPr>
        <w:t xml:space="preserve">Case number: </w:t>
      </w:r>
      <w:r>
        <w:rPr>
          <w:sz w:val="28"/>
          <w:szCs w:val="28"/>
        </w:rPr>
        <w:t>2021/41524</w:t>
      </w:r>
    </w:p>
    <w:p w14:paraId="2D71B904" w14:textId="291C91AB" w:rsidR="00AA020E" w:rsidRPr="00757C21" w:rsidRDefault="00AA020E" w:rsidP="00AA020E">
      <w:pPr>
        <w:spacing w:after="45" w:line="259" w:lineRule="auto"/>
        <w:ind w:left="10" w:hanging="10"/>
        <w:jc w:val="center"/>
        <w:rPr>
          <w:sz w:val="28"/>
          <w:szCs w:val="28"/>
        </w:rPr>
      </w:pPr>
      <w:r w:rsidRPr="00757C21">
        <w:rPr>
          <w:sz w:val="28"/>
          <w:szCs w:val="28"/>
        </w:rPr>
        <w:t xml:space="preserve">                                         </w:t>
      </w:r>
      <w:r w:rsidR="00BB2FC6">
        <w:rPr>
          <w:sz w:val="28"/>
          <w:szCs w:val="28"/>
        </w:rPr>
        <w:t xml:space="preserve">                      </w:t>
      </w:r>
      <w:r w:rsidRPr="00757C21">
        <w:rPr>
          <w:sz w:val="28"/>
          <w:szCs w:val="28"/>
        </w:rPr>
        <w:t xml:space="preserve"> Date of hearing:</w:t>
      </w:r>
      <w:r w:rsidR="00BB2FC6">
        <w:rPr>
          <w:sz w:val="28"/>
          <w:szCs w:val="28"/>
        </w:rPr>
        <w:t>23/11/2022</w:t>
      </w:r>
    </w:p>
    <w:p w14:paraId="7ED3A764" w14:textId="4EAFD0C0" w:rsidR="00AA020E" w:rsidRPr="00757C21" w:rsidRDefault="00AA020E" w:rsidP="00AA020E">
      <w:pPr>
        <w:spacing w:after="184" w:line="259" w:lineRule="auto"/>
        <w:ind w:left="10" w:hanging="10"/>
        <w:jc w:val="center"/>
        <w:rPr>
          <w:sz w:val="28"/>
          <w:szCs w:val="28"/>
        </w:rPr>
      </w:pPr>
      <w:r w:rsidRPr="00757C21">
        <w:rPr>
          <w:sz w:val="28"/>
          <w:szCs w:val="28"/>
        </w:rPr>
        <w:t xml:space="preserve">                                           </w:t>
      </w:r>
      <w:r w:rsidR="00BB2FC6">
        <w:rPr>
          <w:sz w:val="28"/>
          <w:szCs w:val="28"/>
        </w:rPr>
        <w:t xml:space="preserve">                    </w:t>
      </w:r>
      <w:r w:rsidRPr="00757C21">
        <w:rPr>
          <w:sz w:val="28"/>
          <w:szCs w:val="28"/>
        </w:rPr>
        <w:t xml:space="preserve"> Date delivered: </w:t>
      </w:r>
      <w:r w:rsidR="00BB2FC6">
        <w:rPr>
          <w:sz w:val="28"/>
          <w:szCs w:val="28"/>
        </w:rPr>
        <w:t>07/12/2022</w:t>
      </w:r>
    </w:p>
    <w:p w14:paraId="55AEE471" w14:textId="317E9A6B" w:rsidR="00AA020E" w:rsidRPr="00AA020E" w:rsidRDefault="00AA020E" w:rsidP="00AA020E">
      <w:pPr>
        <w:spacing w:after="184" w:line="259" w:lineRule="auto"/>
        <w:ind w:left="10" w:hanging="10"/>
        <w:jc w:val="center"/>
        <w:rPr>
          <w:sz w:val="28"/>
        </w:rPr>
      </w:pPr>
    </w:p>
    <w:tbl>
      <w:tblPr>
        <w:tblStyle w:val="TableGrid"/>
        <w:tblW w:w="4987" w:type="dxa"/>
        <w:tblInd w:w="-170" w:type="dxa"/>
        <w:tblCellMar>
          <w:left w:w="122" w:type="dxa"/>
          <w:right w:w="115" w:type="dxa"/>
        </w:tblCellMar>
        <w:tblLook w:val="04A0" w:firstRow="1" w:lastRow="0" w:firstColumn="1" w:lastColumn="0" w:noHBand="0" w:noVBand="1"/>
      </w:tblPr>
      <w:tblGrid>
        <w:gridCol w:w="4987"/>
      </w:tblGrid>
      <w:tr w:rsidR="00AA020E" w:rsidRPr="00AA020E" w14:paraId="5186D4B2" w14:textId="77777777" w:rsidTr="007028BA">
        <w:trPr>
          <w:trHeight w:val="2473"/>
        </w:trPr>
        <w:tc>
          <w:tcPr>
            <w:tcW w:w="4987" w:type="dxa"/>
            <w:tcBorders>
              <w:top w:val="single" w:sz="2" w:space="0" w:color="000000"/>
              <w:left w:val="single" w:sz="2" w:space="0" w:color="000000"/>
              <w:bottom w:val="single" w:sz="2" w:space="0" w:color="000000"/>
              <w:right w:val="single" w:sz="2" w:space="0" w:color="000000"/>
            </w:tcBorders>
            <w:vAlign w:val="center"/>
          </w:tcPr>
          <w:p w14:paraId="138D8DE3" w14:textId="55016F9C" w:rsidR="00AA020E" w:rsidRPr="00AA020E" w:rsidRDefault="00E966C4" w:rsidP="00120F65">
            <w:pPr>
              <w:spacing w:after="0" w:line="259" w:lineRule="auto"/>
              <w:ind w:left="14" w:right="0" w:firstLine="0"/>
              <w:jc w:val="left"/>
            </w:pPr>
            <w:r>
              <w:rPr>
                <w:sz w:val="20"/>
              </w:rPr>
              <w:t xml:space="preserve">         </w:t>
            </w:r>
            <w:r w:rsidR="00AA020E" w:rsidRPr="00AA020E">
              <w:rPr>
                <w:sz w:val="20"/>
              </w:rPr>
              <w:t>DELETE WHICHEVER IS NOT APPLICABLE</w:t>
            </w:r>
          </w:p>
          <w:p w14:paraId="3888EADF" w14:textId="336B33BF" w:rsidR="00AA020E" w:rsidRPr="00AA020E" w:rsidRDefault="004E1BDB" w:rsidP="004E1BDB">
            <w:pPr>
              <w:spacing w:after="0" w:line="259" w:lineRule="auto"/>
              <w:ind w:left="447" w:right="0" w:hanging="851"/>
              <w:jc w:val="left"/>
            </w:pPr>
            <w:r w:rsidRPr="00AA020E">
              <w:rPr>
                <w:sz w:val="24"/>
                <w:szCs w:val="24"/>
                <w:u w:color="000000"/>
              </w:rPr>
              <w:t>(1)</w:t>
            </w:r>
            <w:r w:rsidRPr="00AA020E">
              <w:rPr>
                <w:sz w:val="24"/>
                <w:szCs w:val="24"/>
                <w:u w:color="000000"/>
              </w:rPr>
              <w:tab/>
            </w:r>
            <w:r w:rsidR="00AA020E" w:rsidRPr="00AA020E">
              <w:rPr>
                <w:sz w:val="22"/>
              </w:rPr>
              <w:t>REPORTABLE: NO</w:t>
            </w:r>
          </w:p>
          <w:p w14:paraId="77A749B2" w14:textId="06F9ACEA" w:rsidR="00AA020E" w:rsidRPr="007028BA" w:rsidRDefault="004E1BDB" w:rsidP="004E1BDB">
            <w:pPr>
              <w:spacing w:after="0" w:line="259" w:lineRule="auto"/>
              <w:ind w:left="447" w:right="0" w:hanging="851"/>
              <w:jc w:val="left"/>
              <w:rPr>
                <w:sz w:val="22"/>
              </w:rPr>
            </w:pPr>
            <w:r w:rsidRPr="007028BA">
              <w:rPr>
                <w:sz w:val="24"/>
                <w:szCs w:val="24"/>
                <w:u w:color="000000"/>
              </w:rPr>
              <w:t>(2)</w:t>
            </w:r>
            <w:r w:rsidRPr="007028BA">
              <w:rPr>
                <w:sz w:val="24"/>
                <w:szCs w:val="24"/>
                <w:u w:color="000000"/>
              </w:rPr>
              <w:tab/>
            </w:r>
            <w:r w:rsidR="00AA020E" w:rsidRPr="007028BA">
              <w:rPr>
                <w:sz w:val="22"/>
              </w:rPr>
              <w:t>O</w:t>
            </w:r>
            <w:r w:rsidR="00E0179B">
              <w:rPr>
                <w:sz w:val="22"/>
              </w:rPr>
              <w:t xml:space="preserve">F INTEREST TO OTHER JUDGES: </w:t>
            </w:r>
            <w:r w:rsidR="00AA020E" w:rsidRPr="007028BA">
              <w:rPr>
                <w:sz w:val="22"/>
              </w:rPr>
              <w:t>NO</w:t>
            </w:r>
          </w:p>
          <w:p w14:paraId="67C325F3" w14:textId="33B02149" w:rsidR="00AA020E" w:rsidRPr="007028BA" w:rsidRDefault="004E1BDB" w:rsidP="004E1BDB">
            <w:pPr>
              <w:spacing w:after="231" w:line="259" w:lineRule="auto"/>
              <w:ind w:left="447" w:right="0" w:hanging="851"/>
              <w:jc w:val="left"/>
              <w:rPr>
                <w:sz w:val="22"/>
              </w:rPr>
            </w:pPr>
            <w:r w:rsidRPr="007028BA">
              <w:rPr>
                <w:sz w:val="24"/>
                <w:szCs w:val="24"/>
                <w:u w:color="000000"/>
              </w:rPr>
              <w:t>(3)</w:t>
            </w:r>
            <w:r w:rsidRPr="007028BA">
              <w:rPr>
                <w:sz w:val="24"/>
                <w:szCs w:val="24"/>
                <w:u w:color="000000"/>
              </w:rPr>
              <w:tab/>
            </w:r>
            <w:r w:rsidR="00AA020E" w:rsidRPr="007028BA">
              <w:rPr>
                <w:sz w:val="22"/>
              </w:rPr>
              <w:t>REVISED</w:t>
            </w:r>
          </w:p>
          <w:p w14:paraId="4493D7E2" w14:textId="0256E9B2" w:rsidR="00AA020E" w:rsidRPr="007028BA" w:rsidRDefault="007028BA" w:rsidP="00120F65">
            <w:pPr>
              <w:spacing w:after="0" w:line="259" w:lineRule="auto"/>
              <w:ind w:right="104" w:firstLine="0"/>
              <w:jc w:val="left"/>
              <w:rPr>
                <w:sz w:val="22"/>
              </w:rPr>
            </w:pPr>
            <w:r>
              <w:rPr>
                <w:rFonts w:eastAsia="Calibri"/>
                <w:sz w:val="22"/>
              </w:rPr>
              <w:t xml:space="preserve">       </w:t>
            </w:r>
            <w:r w:rsidR="00AA020E" w:rsidRPr="007028BA">
              <w:rPr>
                <w:rFonts w:eastAsia="Calibri"/>
                <w:sz w:val="22"/>
              </w:rPr>
              <w:t>...</w:t>
            </w:r>
            <w:r w:rsidR="00E22579">
              <w:rPr>
                <w:rFonts w:eastAsia="Calibri"/>
                <w:sz w:val="22"/>
              </w:rPr>
              <w:t>07/12/2022</w:t>
            </w:r>
            <w:r w:rsidR="00AA020E" w:rsidRPr="007028BA">
              <w:rPr>
                <w:rFonts w:eastAsia="Calibri"/>
                <w:sz w:val="22"/>
              </w:rPr>
              <w:t>..........</w:t>
            </w:r>
            <w:r w:rsidR="00E966C4">
              <w:rPr>
                <w:rFonts w:eastAsia="Calibri"/>
                <w:sz w:val="22"/>
              </w:rPr>
              <w:t>................</w:t>
            </w:r>
            <w:r>
              <w:rPr>
                <w:rFonts w:eastAsia="Calibri"/>
                <w:sz w:val="22"/>
              </w:rPr>
              <w:t xml:space="preserve">    </w:t>
            </w:r>
            <w:r w:rsidR="00E966C4">
              <w:rPr>
                <w:rFonts w:eastAsia="Calibri"/>
                <w:sz w:val="22"/>
              </w:rPr>
              <w:t>..........................</w:t>
            </w:r>
          </w:p>
          <w:p w14:paraId="76CDD58F" w14:textId="77777777" w:rsidR="00AA020E" w:rsidRPr="00AA020E" w:rsidRDefault="00AA020E" w:rsidP="00120F65">
            <w:pPr>
              <w:spacing w:after="0" w:line="259" w:lineRule="auto"/>
              <w:ind w:left="413" w:right="104" w:firstLine="0"/>
              <w:jc w:val="left"/>
            </w:pPr>
            <w:r w:rsidRPr="007028BA">
              <w:rPr>
                <w:sz w:val="22"/>
              </w:rPr>
              <w:t>DATE                      SIGNATURE</w:t>
            </w:r>
          </w:p>
        </w:tc>
      </w:tr>
    </w:tbl>
    <w:p w14:paraId="4B4E155D" w14:textId="3E1D6D3A" w:rsidR="00AA020E" w:rsidRPr="00AA020E" w:rsidRDefault="00AA020E" w:rsidP="00AA020E">
      <w:pPr>
        <w:spacing w:after="184" w:line="259" w:lineRule="auto"/>
        <w:ind w:firstLine="0"/>
        <w:jc w:val="left"/>
        <w:rPr>
          <w:sz w:val="28"/>
        </w:rPr>
      </w:pPr>
    </w:p>
    <w:p w14:paraId="13316332" w14:textId="77777777" w:rsidR="00AA020E" w:rsidRPr="009D5196" w:rsidRDefault="00AA020E" w:rsidP="00AA020E">
      <w:pPr>
        <w:tabs>
          <w:tab w:val="right" w:pos="9072"/>
        </w:tabs>
        <w:spacing w:line="360" w:lineRule="auto"/>
        <w:rPr>
          <w:rFonts w:eastAsia="Calibri"/>
          <w:sz w:val="30"/>
          <w:szCs w:val="30"/>
        </w:rPr>
      </w:pPr>
      <w:r w:rsidRPr="009D5196">
        <w:rPr>
          <w:rFonts w:eastAsia="Calibri"/>
          <w:sz w:val="30"/>
          <w:szCs w:val="30"/>
        </w:rPr>
        <w:t>In the matter between:</w:t>
      </w:r>
    </w:p>
    <w:p w14:paraId="572B9B67" w14:textId="1AB0755F" w:rsidR="00AA020E" w:rsidRPr="009D5196" w:rsidRDefault="009D5196" w:rsidP="00AA020E">
      <w:pPr>
        <w:tabs>
          <w:tab w:val="right" w:pos="9072"/>
        </w:tabs>
        <w:rPr>
          <w:rFonts w:eastAsia="Calibri"/>
          <w:sz w:val="30"/>
          <w:szCs w:val="30"/>
        </w:rPr>
      </w:pPr>
      <w:r w:rsidRPr="009D5196">
        <w:rPr>
          <w:rFonts w:eastAsia="Calibri"/>
          <w:bCs/>
          <w:sz w:val="30"/>
          <w:szCs w:val="30"/>
        </w:rPr>
        <w:t>ELIZABETH SIMANGELE NEFALE</w:t>
      </w:r>
      <w:r w:rsidR="00AA020E" w:rsidRPr="009D5196">
        <w:rPr>
          <w:rFonts w:eastAsia="Calibri"/>
          <w:b/>
          <w:sz w:val="30"/>
          <w:szCs w:val="30"/>
        </w:rPr>
        <w:t xml:space="preserve"> </w:t>
      </w:r>
      <w:r w:rsidR="00AA020E" w:rsidRPr="009D5196">
        <w:rPr>
          <w:rFonts w:eastAsia="Calibri"/>
          <w:b/>
          <w:sz w:val="30"/>
          <w:szCs w:val="30"/>
        </w:rPr>
        <w:tab/>
      </w:r>
      <w:r w:rsidR="00AA020E" w:rsidRPr="009D5196">
        <w:rPr>
          <w:rFonts w:eastAsia="Calibri"/>
          <w:sz w:val="30"/>
          <w:szCs w:val="30"/>
        </w:rPr>
        <w:t xml:space="preserve">Applicant </w:t>
      </w:r>
    </w:p>
    <w:p w14:paraId="286A9183" w14:textId="77777777" w:rsidR="00AA020E" w:rsidRPr="009D5196" w:rsidRDefault="00AA020E" w:rsidP="00AA020E">
      <w:pPr>
        <w:tabs>
          <w:tab w:val="right" w:pos="9072"/>
        </w:tabs>
        <w:spacing w:line="360" w:lineRule="auto"/>
        <w:rPr>
          <w:rFonts w:eastAsia="Calibri"/>
          <w:sz w:val="30"/>
          <w:szCs w:val="30"/>
        </w:rPr>
      </w:pPr>
      <w:r w:rsidRPr="009D5196">
        <w:rPr>
          <w:rFonts w:eastAsia="Calibri"/>
          <w:sz w:val="30"/>
          <w:szCs w:val="30"/>
        </w:rPr>
        <w:t>and</w:t>
      </w:r>
    </w:p>
    <w:p w14:paraId="5D21B572" w14:textId="22D6AB87" w:rsidR="00AA020E" w:rsidRDefault="009D5196" w:rsidP="009D5196">
      <w:pPr>
        <w:tabs>
          <w:tab w:val="right" w:pos="9072"/>
        </w:tabs>
        <w:jc w:val="center"/>
        <w:rPr>
          <w:rFonts w:eastAsia="Calibri"/>
          <w:sz w:val="30"/>
          <w:szCs w:val="30"/>
        </w:rPr>
      </w:pPr>
      <w:r>
        <w:rPr>
          <w:rFonts w:eastAsia="Calibri"/>
          <w:bCs/>
          <w:sz w:val="30"/>
          <w:szCs w:val="30"/>
        </w:rPr>
        <w:t>EUNICE SONTO NKOSI</w:t>
      </w:r>
      <w:r w:rsidR="00AA020E" w:rsidRPr="009D5196">
        <w:rPr>
          <w:rFonts w:eastAsia="Calibri"/>
          <w:sz w:val="30"/>
          <w:szCs w:val="30"/>
        </w:rPr>
        <w:tab/>
      </w:r>
      <w:r>
        <w:rPr>
          <w:rFonts w:eastAsia="Calibri"/>
          <w:sz w:val="30"/>
          <w:szCs w:val="30"/>
        </w:rPr>
        <w:t>1</w:t>
      </w:r>
      <w:r w:rsidRPr="009D5196">
        <w:rPr>
          <w:rFonts w:eastAsia="Calibri"/>
          <w:sz w:val="30"/>
          <w:szCs w:val="30"/>
          <w:vertAlign w:val="superscript"/>
        </w:rPr>
        <w:t>st</w:t>
      </w:r>
      <w:r>
        <w:rPr>
          <w:rFonts w:eastAsia="Calibri"/>
          <w:sz w:val="30"/>
          <w:szCs w:val="30"/>
        </w:rPr>
        <w:t xml:space="preserve"> </w:t>
      </w:r>
      <w:r w:rsidR="00AA020E" w:rsidRPr="009D5196">
        <w:rPr>
          <w:rFonts w:eastAsia="Calibri"/>
          <w:sz w:val="30"/>
          <w:szCs w:val="30"/>
        </w:rPr>
        <w:t>Respondent</w:t>
      </w:r>
    </w:p>
    <w:p w14:paraId="62424E3D" w14:textId="79FFBC0A" w:rsidR="009D5196" w:rsidRPr="009D5196" w:rsidRDefault="00717B7A" w:rsidP="009D5196">
      <w:pPr>
        <w:tabs>
          <w:tab w:val="right" w:pos="9072"/>
        </w:tabs>
        <w:jc w:val="center"/>
        <w:rPr>
          <w:rFonts w:eastAsia="Calibri"/>
          <w:sz w:val="30"/>
          <w:szCs w:val="30"/>
        </w:rPr>
      </w:pPr>
      <w:r>
        <w:rPr>
          <w:rFonts w:eastAsia="Calibri"/>
          <w:bCs/>
          <w:sz w:val="30"/>
          <w:szCs w:val="30"/>
        </w:rPr>
        <w:t>THE DIRECTOR GENERAL: HOME AFFAIRS</w:t>
      </w:r>
      <w:r w:rsidR="009D5196" w:rsidRPr="009D5196">
        <w:rPr>
          <w:rFonts w:eastAsia="Calibri"/>
          <w:sz w:val="30"/>
          <w:szCs w:val="30"/>
        </w:rPr>
        <w:tab/>
      </w:r>
      <w:r>
        <w:rPr>
          <w:rFonts w:eastAsia="Calibri"/>
          <w:sz w:val="30"/>
          <w:szCs w:val="30"/>
        </w:rPr>
        <w:t>2</w:t>
      </w:r>
      <w:r w:rsidRPr="00717B7A">
        <w:rPr>
          <w:rFonts w:eastAsia="Calibri"/>
          <w:sz w:val="30"/>
          <w:szCs w:val="30"/>
          <w:vertAlign w:val="superscript"/>
        </w:rPr>
        <w:t>nd</w:t>
      </w:r>
      <w:r>
        <w:rPr>
          <w:rFonts w:eastAsia="Calibri"/>
          <w:sz w:val="30"/>
          <w:szCs w:val="30"/>
        </w:rPr>
        <w:t xml:space="preserve"> </w:t>
      </w:r>
      <w:r w:rsidR="009D5196" w:rsidRPr="009D5196">
        <w:rPr>
          <w:rFonts w:eastAsia="Calibri"/>
          <w:sz w:val="30"/>
          <w:szCs w:val="30"/>
        </w:rPr>
        <w:t>Respondent</w:t>
      </w:r>
    </w:p>
    <w:p w14:paraId="24C05CFE" w14:textId="426167F0" w:rsidR="009D5196" w:rsidRPr="009D5196" w:rsidRDefault="00717B7A" w:rsidP="009D5196">
      <w:pPr>
        <w:tabs>
          <w:tab w:val="right" w:pos="9072"/>
        </w:tabs>
        <w:jc w:val="center"/>
        <w:rPr>
          <w:rFonts w:eastAsia="Calibri"/>
          <w:sz w:val="30"/>
          <w:szCs w:val="30"/>
        </w:rPr>
      </w:pPr>
      <w:r>
        <w:rPr>
          <w:rFonts w:eastAsia="Calibri"/>
          <w:bCs/>
          <w:sz w:val="30"/>
          <w:szCs w:val="30"/>
        </w:rPr>
        <w:t>MINISTER OF HOME AFFAIRS</w:t>
      </w:r>
      <w:r w:rsidR="009D5196" w:rsidRPr="009D5196">
        <w:rPr>
          <w:rFonts w:eastAsia="Calibri"/>
          <w:sz w:val="30"/>
          <w:szCs w:val="30"/>
        </w:rPr>
        <w:tab/>
      </w:r>
      <w:r>
        <w:rPr>
          <w:rFonts w:eastAsia="Calibri"/>
          <w:sz w:val="30"/>
          <w:szCs w:val="30"/>
        </w:rPr>
        <w:t>3</w:t>
      </w:r>
      <w:r w:rsidRPr="00717B7A">
        <w:rPr>
          <w:rFonts w:eastAsia="Calibri"/>
          <w:sz w:val="30"/>
          <w:szCs w:val="30"/>
          <w:vertAlign w:val="superscript"/>
        </w:rPr>
        <w:t>rd</w:t>
      </w:r>
      <w:r>
        <w:rPr>
          <w:rFonts w:eastAsia="Calibri"/>
          <w:sz w:val="30"/>
          <w:szCs w:val="30"/>
        </w:rPr>
        <w:t xml:space="preserve"> </w:t>
      </w:r>
      <w:r w:rsidR="009D5196" w:rsidRPr="009D5196">
        <w:rPr>
          <w:rFonts w:eastAsia="Calibri"/>
          <w:sz w:val="30"/>
          <w:szCs w:val="30"/>
        </w:rPr>
        <w:t>Respondent</w:t>
      </w:r>
    </w:p>
    <w:p w14:paraId="02BC4628" w14:textId="62FAB9D3" w:rsidR="009D5196" w:rsidRPr="009D5196" w:rsidRDefault="00717B7A" w:rsidP="009D5196">
      <w:pPr>
        <w:tabs>
          <w:tab w:val="right" w:pos="9072"/>
        </w:tabs>
        <w:jc w:val="center"/>
        <w:rPr>
          <w:rFonts w:eastAsia="Calibri"/>
          <w:sz w:val="30"/>
          <w:szCs w:val="30"/>
        </w:rPr>
      </w:pPr>
      <w:r>
        <w:rPr>
          <w:rFonts w:eastAsia="Calibri"/>
          <w:bCs/>
          <w:sz w:val="30"/>
          <w:szCs w:val="30"/>
        </w:rPr>
        <w:t>MASTER OF THE SOUTH GAUTENG HIGH COURT</w:t>
      </w:r>
      <w:r w:rsidR="009D5196" w:rsidRPr="009D5196">
        <w:rPr>
          <w:rFonts w:eastAsia="Calibri"/>
          <w:sz w:val="30"/>
          <w:szCs w:val="30"/>
        </w:rPr>
        <w:tab/>
      </w:r>
      <w:r>
        <w:rPr>
          <w:rFonts w:eastAsia="Calibri"/>
          <w:sz w:val="30"/>
          <w:szCs w:val="30"/>
        </w:rPr>
        <w:t>4</w:t>
      </w:r>
      <w:r w:rsidRPr="00717B7A">
        <w:rPr>
          <w:rFonts w:eastAsia="Calibri"/>
          <w:sz w:val="30"/>
          <w:szCs w:val="30"/>
          <w:vertAlign w:val="superscript"/>
        </w:rPr>
        <w:t>th</w:t>
      </w:r>
      <w:r>
        <w:rPr>
          <w:rFonts w:eastAsia="Calibri"/>
          <w:sz w:val="30"/>
          <w:szCs w:val="30"/>
        </w:rPr>
        <w:t xml:space="preserve"> </w:t>
      </w:r>
      <w:r w:rsidR="009D5196" w:rsidRPr="009D5196">
        <w:rPr>
          <w:rFonts w:eastAsia="Calibri"/>
          <w:sz w:val="30"/>
          <w:szCs w:val="30"/>
        </w:rPr>
        <w:t>Respondent</w:t>
      </w:r>
    </w:p>
    <w:p w14:paraId="5F279E17" w14:textId="70445F8D" w:rsidR="00AA020E" w:rsidRPr="009D5196" w:rsidRDefault="009D5196" w:rsidP="009D5196">
      <w:pPr>
        <w:tabs>
          <w:tab w:val="right" w:pos="9072"/>
        </w:tabs>
        <w:spacing w:after="0" w:line="480" w:lineRule="auto"/>
        <w:ind w:right="40" w:firstLine="11"/>
        <w:jc w:val="center"/>
        <w:rPr>
          <w:rFonts w:eastAsia="Calibri"/>
          <w:b/>
          <w:sz w:val="30"/>
          <w:szCs w:val="30"/>
        </w:rPr>
      </w:pPr>
      <w:r w:rsidRPr="009D5196">
        <w:rPr>
          <w:rFonts w:eastAsia="Calibri"/>
          <w:b/>
          <w:sz w:val="30"/>
          <w:szCs w:val="30"/>
        </w:rPr>
        <w:lastRenderedPageBreak/>
        <w:t>___________________________________________________________</w:t>
      </w:r>
    </w:p>
    <w:p w14:paraId="7BFF70E6" w14:textId="5DABED58" w:rsidR="009D5196" w:rsidRPr="009D5196" w:rsidRDefault="00AA020E" w:rsidP="009D5196">
      <w:pPr>
        <w:tabs>
          <w:tab w:val="right" w:pos="9072"/>
        </w:tabs>
        <w:spacing w:after="0" w:line="480" w:lineRule="auto"/>
        <w:ind w:right="40" w:firstLine="11"/>
        <w:jc w:val="center"/>
        <w:rPr>
          <w:rFonts w:eastAsia="Calibri"/>
          <w:bCs/>
          <w:sz w:val="30"/>
          <w:szCs w:val="30"/>
        </w:rPr>
      </w:pPr>
      <w:r w:rsidRPr="009D5196">
        <w:rPr>
          <w:bCs/>
          <w:sz w:val="30"/>
          <w:szCs w:val="30"/>
        </w:rPr>
        <w:t>JUDGMENT</w:t>
      </w:r>
    </w:p>
    <w:p w14:paraId="0CE51F24" w14:textId="77777777" w:rsidR="009D5196" w:rsidRPr="009D5196" w:rsidRDefault="009D5196" w:rsidP="009D5196">
      <w:pPr>
        <w:tabs>
          <w:tab w:val="right" w:pos="9072"/>
        </w:tabs>
        <w:jc w:val="center"/>
        <w:rPr>
          <w:rFonts w:eastAsia="Calibri"/>
          <w:b/>
          <w:sz w:val="30"/>
          <w:szCs w:val="30"/>
        </w:rPr>
      </w:pPr>
      <w:r w:rsidRPr="009D5196">
        <w:rPr>
          <w:rFonts w:eastAsia="Calibri"/>
          <w:b/>
          <w:sz w:val="30"/>
          <w:szCs w:val="30"/>
        </w:rPr>
        <w:t>___________________________________________________________</w:t>
      </w:r>
    </w:p>
    <w:p w14:paraId="00DD4FCC" w14:textId="77777777" w:rsidR="00AA020E" w:rsidRPr="00AA020E" w:rsidRDefault="00AA020E" w:rsidP="00AA020E">
      <w:pPr>
        <w:pStyle w:val="ListParagraph"/>
        <w:spacing w:line="360" w:lineRule="auto"/>
        <w:ind w:left="0"/>
        <w:jc w:val="center"/>
        <w:rPr>
          <w:rFonts w:ascii="Times New Roman" w:hAnsi="Times New Roman" w:cs="Times New Roman"/>
          <w:b/>
        </w:rPr>
      </w:pPr>
    </w:p>
    <w:p w14:paraId="454AEE05" w14:textId="62FE7719" w:rsidR="00AA020E" w:rsidRDefault="00AA020E" w:rsidP="009D5196">
      <w:pPr>
        <w:pStyle w:val="ListParagraph"/>
        <w:spacing w:line="480" w:lineRule="auto"/>
        <w:ind w:left="0" w:firstLine="720"/>
        <w:jc w:val="both"/>
        <w:rPr>
          <w:rFonts w:ascii="Times New Roman" w:hAnsi="Times New Roman" w:cs="Times New Roman"/>
          <w:b/>
          <w:sz w:val="26"/>
          <w:szCs w:val="26"/>
        </w:rPr>
      </w:pPr>
      <w:r w:rsidRPr="009D5196">
        <w:rPr>
          <w:rFonts w:ascii="Times New Roman" w:hAnsi="Times New Roman" w:cs="Times New Roman"/>
          <w:b/>
          <w:sz w:val="26"/>
          <w:szCs w:val="26"/>
        </w:rPr>
        <w:t>KEMACK AJ:</w:t>
      </w:r>
    </w:p>
    <w:p w14:paraId="572BE2C1" w14:textId="77777777" w:rsidR="00340D42" w:rsidRPr="009D5196" w:rsidRDefault="00340D42" w:rsidP="009D5196">
      <w:pPr>
        <w:pStyle w:val="ListParagraph"/>
        <w:spacing w:line="480" w:lineRule="auto"/>
        <w:ind w:left="0" w:firstLine="720"/>
        <w:jc w:val="both"/>
        <w:rPr>
          <w:rFonts w:ascii="Times New Roman" w:hAnsi="Times New Roman" w:cs="Times New Roman"/>
          <w:b/>
          <w:sz w:val="26"/>
          <w:szCs w:val="26"/>
        </w:rPr>
      </w:pPr>
    </w:p>
    <w:p w14:paraId="263D1386" w14:textId="46292653" w:rsidR="00340D42" w:rsidRPr="004E1BDB" w:rsidRDefault="004E1BDB" w:rsidP="004E1BDB">
      <w:pPr>
        <w:spacing w:line="480" w:lineRule="auto"/>
        <w:ind w:left="851" w:hanging="851"/>
      </w:pPr>
      <w:r>
        <w:rPr>
          <w:rFonts w:eastAsiaTheme="minorHAnsi"/>
          <w:color w:val="auto"/>
          <w:sz w:val="24"/>
          <w:szCs w:val="24"/>
          <w:lang w:val="en-GB" w:eastAsia="en-US"/>
        </w:rPr>
        <w:t>1.</w:t>
      </w:r>
      <w:r>
        <w:rPr>
          <w:rFonts w:eastAsiaTheme="minorHAnsi"/>
          <w:color w:val="auto"/>
          <w:sz w:val="24"/>
          <w:szCs w:val="24"/>
          <w:lang w:val="en-GB" w:eastAsia="en-US"/>
        </w:rPr>
        <w:tab/>
      </w:r>
      <w:r w:rsidR="00691CF7" w:rsidRPr="004E1BDB">
        <w:t>The applicant is the sister and executor of the late July Hlabangwane</w:t>
      </w:r>
      <w:r w:rsidR="007021FA" w:rsidRPr="004E1BDB">
        <w:t>. T</w:t>
      </w:r>
      <w:r w:rsidR="00691CF7" w:rsidRPr="004E1BDB">
        <w:t xml:space="preserve">he purpose of the </w:t>
      </w:r>
      <w:r w:rsidR="007021FA" w:rsidRPr="004E1BDB">
        <w:t xml:space="preserve">applicant’s application is </w:t>
      </w:r>
      <w:r w:rsidR="00944675" w:rsidRPr="004E1BDB">
        <w:t>the reviewing and setting aside of the alleged registration of a custom</w:t>
      </w:r>
      <w:r w:rsidR="005025CD" w:rsidRPr="004E1BDB">
        <w:t xml:space="preserve">ary </w:t>
      </w:r>
      <w:r w:rsidR="00944675" w:rsidRPr="004E1BDB">
        <w:t>union between the first respondent and the deceased.</w:t>
      </w:r>
    </w:p>
    <w:p w14:paraId="669A1666" w14:textId="49A6FCCD" w:rsidR="00AA020E" w:rsidRDefault="00944675" w:rsidP="00340D42">
      <w:pPr>
        <w:pStyle w:val="ListParagraph"/>
        <w:spacing w:line="480" w:lineRule="auto"/>
        <w:ind w:left="851"/>
        <w:jc w:val="both"/>
        <w:rPr>
          <w:rFonts w:ascii="Times New Roman" w:hAnsi="Times New Roman" w:cs="Times New Roman"/>
        </w:rPr>
      </w:pPr>
      <w:r>
        <w:rPr>
          <w:rFonts w:ascii="Times New Roman" w:hAnsi="Times New Roman" w:cs="Times New Roman"/>
        </w:rPr>
        <w:t xml:space="preserve"> </w:t>
      </w:r>
    </w:p>
    <w:p w14:paraId="695DF161" w14:textId="13B2DA50" w:rsidR="00944675" w:rsidRPr="004E1BDB" w:rsidRDefault="004E1BDB" w:rsidP="004E1BDB">
      <w:pPr>
        <w:spacing w:line="480" w:lineRule="auto"/>
        <w:ind w:left="851" w:hanging="851"/>
      </w:pPr>
      <w:r w:rsidRPr="00340D42">
        <w:rPr>
          <w:rFonts w:eastAsiaTheme="minorHAnsi"/>
          <w:color w:val="auto"/>
          <w:sz w:val="24"/>
          <w:szCs w:val="24"/>
          <w:lang w:val="en-GB" w:eastAsia="en-US"/>
        </w:rPr>
        <w:t>2.</w:t>
      </w:r>
      <w:r w:rsidRPr="00340D42">
        <w:rPr>
          <w:rFonts w:eastAsiaTheme="minorHAnsi"/>
          <w:color w:val="auto"/>
          <w:sz w:val="24"/>
          <w:szCs w:val="24"/>
          <w:lang w:val="en-GB" w:eastAsia="en-US"/>
        </w:rPr>
        <w:tab/>
      </w:r>
      <w:r w:rsidR="00944675" w:rsidRPr="004E1BDB">
        <w:t>As the Department of Home Affairs is responsible for registering cust</w:t>
      </w:r>
      <w:r w:rsidR="00D9164A" w:rsidRPr="004E1BDB">
        <w:t>omer reunions, the Director General: Home Affairs and Minister of Home Affairs have been cited as the second and third respondents.</w:t>
      </w:r>
    </w:p>
    <w:p w14:paraId="57A6AB08" w14:textId="77777777" w:rsidR="00340D42" w:rsidRDefault="00340D42" w:rsidP="00340D42">
      <w:pPr>
        <w:pStyle w:val="ListParagraph"/>
        <w:spacing w:line="480" w:lineRule="auto"/>
        <w:ind w:left="851"/>
        <w:jc w:val="both"/>
        <w:rPr>
          <w:rFonts w:ascii="Times New Roman" w:hAnsi="Times New Roman" w:cs="Times New Roman"/>
        </w:rPr>
      </w:pPr>
    </w:p>
    <w:p w14:paraId="0545421A" w14:textId="13039C49" w:rsidR="00D9164A" w:rsidRPr="004E1BDB" w:rsidRDefault="004E1BDB" w:rsidP="004E1BDB">
      <w:pPr>
        <w:spacing w:line="480" w:lineRule="auto"/>
        <w:ind w:left="851" w:hanging="851"/>
      </w:pPr>
      <w:r>
        <w:rPr>
          <w:rFonts w:eastAsiaTheme="minorHAnsi"/>
          <w:color w:val="auto"/>
          <w:sz w:val="24"/>
          <w:szCs w:val="24"/>
          <w:lang w:val="en-GB" w:eastAsia="en-US"/>
        </w:rPr>
        <w:t>3.</w:t>
      </w:r>
      <w:r>
        <w:rPr>
          <w:rFonts w:eastAsiaTheme="minorHAnsi"/>
          <w:color w:val="auto"/>
          <w:sz w:val="24"/>
          <w:szCs w:val="24"/>
          <w:lang w:val="en-GB" w:eastAsia="en-US"/>
        </w:rPr>
        <w:tab/>
      </w:r>
      <w:r w:rsidR="00D9164A" w:rsidRPr="004E1BDB">
        <w:t xml:space="preserve">As the first respondent’s entitlement to a share of the estate of the deceased underlies the bringing of this application, the </w:t>
      </w:r>
      <w:r w:rsidR="00340D42" w:rsidRPr="004E1BDB">
        <w:t>M</w:t>
      </w:r>
      <w:r w:rsidR="00D9164A" w:rsidRPr="004E1BDB">
        <w:t xml:space="preserve">aster of the South Gauteng High Court has been cited as the fourth respondent. </w:t>
      </w:r>
    </w:p>
    <w:p w14:paraId="51C1EDFB" w14:textId="77777777" w:rsidR="00340D42" w:rsidRDefault="00340D42" w:rsidP="00340D42">
      <w:pPr>
        <w:pStyle w:val="ListParagraph"/>
        <w:spacing w:line="480" w:lineRule="auto"/>
        <w:ind w:left="851"/>
        <w:jc w:val="both"/>
        <w:rPr>
          <w:rFonts w:ascii="Times New Roman" w:hAnsi="Times New Roman" w:cs="Times New Roman"/>
        </w:rPr>
      </w:pPr>
    </w:p>
    <w:p w14:paraId="3713A44E" w14:textId="5E0B3162" w:rsidR="00D9164A" w:rsidRPr="004E1BDB" w:rsidRDefault="004E1BDB" w:rsidP="004E1BDB">
      <w:pPr>
        <w:spacing w:line="480" w:lineRule="auto"/>
        <w:ind w:left="851" w:hanging="851"/>
      </w:pPr>
      <w:r>
        <w:rPr>
          <w:rFonts w:eastAsiaTheme="minorHAnsi"/>
          <w:color w:val="auto"/>
          <w:sz w:val="24"/>
          <w:szCs w:val="24"/>
          <w:lang w:val="en-GB" w:eastAsia="en-US"/>
        </w:rPr>
        <w:t>4.</w:t>
      </w:r>
      <w:r>
        <w:rPr>
          <w:rFonts w:eastAsiaTheme="minorHAnsi"/>
          <w:color w:val="auto"/>
          <w:sz w:val="24"/>
          <w:szCs w:val="24"/>
          <w:lang w:val="en-GB" w:eastAsia="en-US"/>
        </w:rPr>
        <w:tab/>
      </w:r>
      <w:r w:rsidR="00D9164A" w:rsidRPr="004E1BDB">
        <w:t>The second, third and fourth respondents have not entered appearance to defend.</w:t>
      </w:r>
    </w:p>
    <w:p w14:paraId="2AA223D8" w14:textId="77777777" w:rsidR="00340D42" w:rsidRDefault="00340D42" w:rsidP="00340D42">
      <w:pPr>
        <w:pStyle w:val="ListParagraph"/>
        <w:spacing w:line="480" w:lineRule="auto"/>
        <w:ind w:left="851"/>
        <w:jc w:val="both"/>
        <w:rPr>
          <w:rFonts w:ascii="Times New Roman" w:hAnsi="Times New Roman" w:cs="Times New Roman"/>
        </w:rPr>
      </w:pPr>
    </w:p>
    <w:p w14:paraId="49A8D890" w14:textId="2F8C9DDF" w:rsidR="00902CD2" w:rsidRPr="004E1BDB" w:rsidRDefault="004E1BDB" w:rsidP="004E1BDB">
      <w:pPr>
        <w:spacing w:line="480" w:lineRule="auto"/>
        <w:ind w:left="851" w:hanging="851"/>
      </w:pPr>
      <w:r>
        <w:rPr>
          <w:rFonts w:eastAsiaTheme="minorHAnsi"/>
          <w:color w:val="auto"/>
          <w:sz w:val="24"/>
          <w:szCs w:val="24"/>
          <w:lang w:val="en-GB" w:eastAsia="en-US"/>
        </w:rPr>
        <w:t>5.</w:t>
      </w:r>
      <w:r>
        <w:rPr>
          <w:rFonts w:eastAsiaTheme="minorHAnsi"/>
          <w:color w:val="auto"/>
          <w:sz w:val="24"/>
          <w:szCs w:val="24"/>
          <w:lang w:val="en-GB" w:eastAsia="en-US"/>
        </w:rPr>
        <w:tab/>
      </w:r>
      <w:r w:rsidR="00902CD2" w:rsidRPr="004E1BDB">
        <w:t>The applicant’s prayers seek no direct relief against the first respondent, other than costs of suit in the event of opposition. Rather, the applicant’s prayers are directed at the second and third respondents, whose alleged registration of the custom</w:t>
      </w:r>
      <w:r w:rsidR="005025CD" w:rsidRPr="004E1BDB">
        <w:t>a</w:t>
      </w:r>
      <w:r w:rsidR="00902CD2" w:rsidRPr="004E1BDB">
        <w:t>r</w:t>
      </w:r>
      <w:r w:rsidR="005025CD" w:rsidRPr="004E1BDB">
        <w:t>y</w:t>
      </w:r>
      <w:r w:rsidR="00902CD2" w:rsidRPr="004E1BDB">
        <w:t xml:space="preserve"> union </w:t>
      </w:r>
      <w:r w:rsidR="00D603AD" w:rsidRPr="004E1BDB">
        <w:t>the applicant seeks to have reviewed and set aside.</w:t>
      </w:r>
    </w:p>
    <w:p w14:paraId="79037200" w14:textId="77777777" w:rsidR="00340D42" w:rsidRDefault="00340D42" w:rsidP="00340D42">
      <w:pPr>
        <w:pStyle w:val="ListParagraph"/>
        <w:spacing w:line="480" w:lineRule="auto"/>
        <w:ind w:left="851"/>
        <w:jc w:val="both"/>
        <w:rPr>
          <w:rFonts w:ascii="Times New Roman" w:hAnsi="Times New Roman" w:cs="Times New Roman"/>
        </w:rPr>
      </w:pPr>
    </w:p>
    <w:p w14:paraId="3CAB211C" w14:textId="0E7894E3" w:rsidR="00D603AD" w:rsidRPr="004E1BDB" w:rsidRDefault="004E1BDB" w:rsidP="004E1BDB">
      <w:pPr>
        <w:spacing w:line="480" w:lineRule="auto"/>
        <w:ind w:left="851" w:hanging="851"/>
      </w:pPr>
      <w:r>
        <w:rPr>
          <w:rFonts w:eastAsiaTheme="minorHAnsi"/>
          <w:color w:val="auto"/>
          <w:sz w:val="24"/>
          <w:szCs w:val="24"/>
          <w:lang w:val="en-GB" w:eastAsia="en-US"/>
        </w:rPr>
        <w:t>6.</w:t>
      </w:r>
      <w:r>
        <w:rPr>
          <w:rFonts w:eastAsiaTheme="minorHAnsi"/>
          <w:color w:val="auto"/>
          <w:sz w:val="24"/>
          <w:szCs w:val="24"/>
          <w:lang w:val="en-GB" w:eastAsia="en-US"/>
        </w:rPr>
        <w:tab/>
      </w:r>
      <w:r w:rsidR="00D603AD" w:rsidRPr="004E1BDB">
        <w:t xml:space="preserve">Although the application </w:t>
      </w:r>
      <w:r w:rsidR="00340D42" w:rsidRPr="004E1BDB">
        <w:t xml:space="preserve">expressly and </w:t>
      </w:r>
      <w:r w:rsidR="00D603AD" w:rsidRPr="004E1BDB">
        <w:t>clearly seeks the review and setting aside of the administrative action of registering the alleged custom</w:t>
      </w:r>
      <w:r w:rsidR="005025CD" w:rsidRPr="004E1BDB">
        <w:t>ary</w:t>
      </w:r>
      <w:r w:rsidR="00D603AD" w:rsidRPr="004E1BDB">
        <w:t xml:space="preserve"> union, the applicant elected to </w:t>
      </w:r>
      <w:r w:rsidR="00943C99" w:rsidRPr="004E1BDB">
        <w:t xml:space="preserve">bring this application as a normal application under Uniform Rule 6, rather than as a Uniform Rule 53 review.  This was an unfortunate decision, because it has </w:t>
      </w:r>
      <w:r w:rsidR="00965C75" w:rsidRPr="004E1BDB">
        <w:t>led</w:t>
      </w:r>
      <w:r w:rsidR="00943C99" w:rsidRPr="004E1BDB">
        <w:t xml:space="preserve"> to no documentary evidence </w:t>
      </w:r>
      <w:r w:rsidR="00340D42" w:rsidRPr="004E1BDB">
        <w:t xml:space="preserve">being placed before the court </w:t>
      </w:r>
      <w:r w:rsidR="001F5083" w:rsidRPr="004E1BDB">
        <w:t>in the form of a record of the administrative decision.</w:t>
      </w:r>
    </w:p>
    <w:p w14:paraId="7F6D01A7" w14:textId="77777777" w:rsidR="00340D42" w:rsidRDefault="00340D42" w:rsidP="00340D42">
      <w:pPr>
        <w:pStyle w:val="ListParagraph"/>
        <w:spacing w:line="480" w:lineRule="auto"/>
        <w:ind w:left="851"/>
        <w:jc w:val="both"/>
        <w:rPr>
          <w:rFonts w:ascii="Times New Roman" w:hAnsi="Times New Roman" w:cs="Times New Roman"/>
        </w:rPr>
      </w:pPr>
    </w:p>
    <w:p w14:paraId="59D8840E" w14:textId="61C14689" w:rsidR="001F5083" w:rsidRPr="004E1BDB" w:rsidRDefault="004E1BDB" w:rsidP="004E1BDB">
      <w:pPr>
        <w:spacing w:line="480" w:lineRule="auto"/>
        <w:ind w:left="851" w:hanging="851"/>
      </w:pPr>
      <w:r>
        <w:rPr>
          <w:rFonts w:eastAsiaTheme="minorHAnsi"/>
          <w:color w:val="auto"/>
          <w:sz w:val="24"/>
          <w:szCs w:val="24"/>
          <w:lang w:val="en-GB" w:eastAsia="en-US"/>
        </w:rPr>
        <w:t>7.</w:t>
      </w:r>
      <w:r>
        <w:rPr>
          <w:rFonts w:eastAsiaTheme="minorHAnsi"/>
          <w:color w:val="auto"/>
          <w:sz w:val="24"/>
          <w:szCs w:val="24"/>
          <w:lang w:val="en-GB" w:eastAsia="en-US"/>
        </w:rPr>
        <w:tab/>
      </w:r>
      <w:r w:rsidR="001F5083" w:rsidRPr="004E1BDB">
        <w:t>Indeed, the affidavits and their annexures before the court do not even include the marriage certificate that should have been pr</w:t>
      </w:r>
      <w:r w:rsidR="00860826" w:rsidRPr="004E1BDB">
        <w:t xml:space="preserve">epared </w:t>
      </w:r>
      <w:r w:rsidR="00F33E47" w:rsidRPr="004E1BDB">
        <w:t>by the Department of Home Affairs</w:t>
      </w:r>
      <w:r w:rsidR="00554685" w:rsidRPr="004E1BDB">
        <w:t>, had the custom</w:t>
      </w:r>
      <w:r w:rsidR="005025CD" w:rsidRPr="004E1BDB">
        <w:t>ary</w:t>
      </w:r>
      <w:r w:rsidR="00554685" w:rsidRPr="004E1BDB">
        <w:t xml:space="preserve"> union been registered. </w:t>
      </w:r>
      <w:r w:rsidR="00C470C3" w:rsidRPr="004E1BDB">
        <w:t xml:space="preserve">While annexure “TSM4” to the applicant’s founding affidavit </w:t>
      </w:r>
      <w:r w:rsidR="008F54A6" w:rsidRPr="004E1BDB">
        <w:t xml:space="preserve">is a letter from the first respondent’s attorney referring to an attached copy of the marriage certificate, no marriage certificate is attached to the letter. </w:t>
      </w:r>
      <w:r w:rsidR="00192277" w:rsidRPr="004E1BDB">
        <w:t>Neither party has placed the marriage certificate before the court.</w:t>
      </w:r>
    </w:p>
    <w:p w14:paraId="62B96DCF" w14:textId="77777777" w:rsidR="00340D42" w:rsidRDefault="00340D42" w:rsidP="00340D42">
      <w:pPr>
        <w:pStyle w:val="ListParagraph"/>
        <w:spacing w:line="480" w:lineRule="auto"/>
        <w:ind w:left="851"/>
        <w:jc w:val="both"/>
        <w:rPr>
          <w:rFonts w:ascii="Times New Roman" w:hAnsi="Times New Roman" w:cs="Times New Roman"/>
        </w:rPr>
      </w:pPr>
    </w:p>
    <w:p w14:paraId="0D65A628" w14:textId="75DF20DD" w:rsidR="00192277" w:rsidRPr="004E1BDB" w:rsidRDefault="004E1BDB" w:rsidP="004E1BDB">
      <w:pPr>
        <w:spacing w:line="480" w:lineRule="auto"/>
        <w:ind w:left="851" w:hanging="851"/>
      </w:pPr>
      <w:r>
        <w:rPr>
          <w:rFonts w:eastAsiaTheme="minorHAnsi"/>
          <w:color w:val="auto"/>
          <w:sz w:val="24"/>
          <w:szCs w:val="24"/>
          <w:lang w:val="en-GB" w:eastAsia="en-US"/>
        </w:rPr>
        <w:lastRenderedPageBreak/>
        <w:t>8.</w:t>
      </w:r>
      <w:r>
        <w:rPr>
          <w:rFonts w:eastAsiaTheme="minorHAnsi"/>
          <w:color w:val="auto"/>
          <w:sz w:val="24"/>
          <w:szCs w:val="24"/>
          <w:lang w:val="en-GB" w:eastAsia="en-US"/>
        </w:rPr>
        <w:tab/>
      </w:r>
      <w:r w:rsidR="00192277" w:rsidRPr="004E1BDB">
        <w:t xml:space="preserve">The recognition and registration of customary marriages </w:t>
      </w:r>
      <w:r w:rsidR="000629D7" w:rsidRPr="004E1BDB">
        <w:t>is regulated by the Recognition of Customary Marriages Act</w:t>
      </w:r>
      <w:r w:rsidR="00832932" w:rsidRPr="004E1BDB">
        <w:t xml:space="preserve"> No. 120 of 1998</w:t>
      </w:r>
      <w:r w:rsidR="008A5A4A" w:rsidRPr="004E1BDB">
        <w:t xml:space="preserve"> (“the Act”)</w:t>
      </w:r>
      <w:r w:rsidR="00832932" w:rsidRPr="004E1BDB">
        <w:t xml:space="preserve"> and the regulations promulgated under that act.</w:t>
      </w:r>
    </w:p>
    <w:p w14:paraId="3A783A2D" w14:textId="77777777" w:rsidR="00340D42" w:rsidRDefault="00340D42" w:rsidP="00340D42">
      <w:pPr>
        <w:pStyle w:val="ListParagraph"/>
        <w:spacing w:line="480" w:lineRule="auto"/>
        <w:ind w:left="851"/>
        <w:jc w:val="both"/>
        <w:rPr>
          <w:rFonts w:ascii="Times New Roman" w:hAnsi="Times New Roman" w:cs="Times New Roman"/>
        </w:rPr>
      </w:pPr>
    </w:p>
    <w:p w14:paraId="22E5DA38" w14:textId="17884073" w:rsidR="00832932" w:rsidRPr="004E1BDB" w:rsidRDefault="004E1BDB" w:rsidP="004E1BDB">
      <w:pPr>
        <w:spacing w:line="480" w:lineRule="auto"/>
        <w:ind w:left="851" w:hanging="851"/>
      </w:pPr>
      <w:r>
        <w:rPr>
          <w:rFonts w:eastAsiaTheme="minorHAnsi"/>
          <w:color w:val="auto"/>
          <w:sz w:val="24"/>
          <w:szCs w:val="24"/>
          <w:lang w:val="en-GB" w:eastAsia="en-US"/>
        </w:rPr>
        <w:t>9.</w:t>
      </w:r>
      <w:r>
        <w:rPr>
          <w:rFonts w:eastAsiaTheme="minorHAnsi"/>
          <w:color w:val="auto"/>
          <w:sz w:val="24"/>
          <w:szCs w:val="24"/>
          <w:lang w:val="en-GB" w:eastAsia="en-US"/>
        </w:rPr>
        <w:tab/>
      </w:r>
      <w:r w:rsidR="00832932" w:rsidRPr="004E1BDB">
        <w:t>Section 4(</w:t>
      </w:r>
      <w:r w:rsidR="008A5A4A" w:rsidRPr="004E1BDB">
        <w:t>4</w:t>
      </w:r>
      <w:r w:rsidR="00832932" w:rsidRPr="004E1BDB">
        <w:t>)</w:t>
      </w:r>
      <w:r w:rsidR="008A5A4A" w:rsidRPr="004E1BDB">
        <w:t>(a) of the Act states that “</w:t>
      </w:r>
      <w:r w:rsidR="00BD0104" w:rsidRPr="004E1BDB">
        <w:rPr>
          <w:i/>
          <w:iCs/>
        </w:rPr>
        <w:t>A</w:t>
      </w:r>
      <w:r w:rsidR="008A5A4A" w:rsidRPr="004E1BDB">
        <w:rPr>
          <w:i/>
          <w:iCs/>
        </w:rPr>
        <w:t xml:space="preserve"> registering office must, if satisfied that the spouses concluded a valid customary marriage,</w:t>
      </w:r>
      <w:r w:rsidR="00A2132A" w:rsidRPr="004E1BDB">
        <w:rPr>
          <w:i/>
          <w:iCs/>
        </w:rPr>
        <w:t xml:space="preserve"> register the marriage by recording the identity of the spouses, the date of the marriage, any lobolo agreed to and any other </w:t>
      </w:r>
      <w:r w:rsidR="001A1519" w:rsidRPr="004E1BDB">
        <w:rPr>
          <w:i/>
          <w:iCs/>
        </w:rPr>
        <w:t>particulars prescribed</w:t>
      </w:r>
      <w:r w:rsidR="008A5A4A" w:rsidRPr="004E1BDB">
        <w:t>”</w:t>
      </w:r>
      <w:r w:rsidR="001A1519" w:rsidRPr="004E1BDB">
        <w:t>.</w:t>
      </w:r>
    </w:p>
    <w:p w14:paraId="47A6EB64" w14:textId="77777777" w:rsidR="00340D42" w:rsidRDefault="00340D42" w:rsidP="00340D42">
      <w:pPr>
        <w:pStyle w:val="ListParagraph"/>
        <w:spacing w:line="480" w:lineRule="auto"/>
        <w:ind w:left="851"/>
        <w:jc w:val="both"/>
        <w:rPr>
          <w:rFonts w:ascii="Times New Roman" w:hAnsi="Times New Roman" w:cs="Times New Roman"/>
        </w:rPr>
      </w:pPr>
    </w:p>
    <w:p w14:paraId="5979115F" w14:textId="050EFA99" w:rsidR="001A1519" w:rsidRPr="004E1BDB" w:rsidRDefault="004E1BDB" w:rsidP="004E1BDB">
      <w:pPr>
        <w:spacing w:line="480" w:lineRule="auto"/>
        <w:ind w:left="851" w:hanging="851"/>
      </w:pPr>
      <w:r>
        <w:rPr>
          <w:rFonts w:eastAsiaTheme="minorHAnsi"/>
          <w:color w:val="auto"/>
          <w:sz w:val="24"/>
          <w:szCs w:val="24"/>
          <w:lang w:val="en-GB" w:eastAsia="en-US"/>
        </w:rPr>
        <w:t>10.</w:t>
      </w:r>
      <w:r>
        <w:rPr>
          <w:rFonts w:eastAsiaTheme="minorHAnsi"/>
          <w:color w:val="auto"/>
          <w:sz w:val="24"/>
          <w:szCs w:val="24"/>
          <w:lang w:val="en-GB" w:eastAsia="en-US"/>
        </w:rPr>
        <w:tab/>
      </w:r>
      <w:r w:rsidR="001A1519" w:rsidRPr="004E1BDB">
        <w:t>Section 4(4)(b) states that “</w:t>
      </w:r>
      <w:r w:rsidR="001A1519" w:rsidRPr="004E1BDB">
        <w:rPr>
          <w:i/>
          <w:iCs/>
        </w:rPr>
        <w:t>The registering officer must issue to the spouses a certi</w:t>
      </w:r>
      <w:r w:rsidR="00B96319" w:rsidRPr="004E1BDB">
        <w:rPr>
          <w:i/>
          <w:iCs/>
        </w:rPr>
        <w:t>ficate</w:t>
      </w:r>
      <w:r w:rsidR="001A1519" w:rsidRPr="004E1BDB">
        <w:rPr>
          <w:i/>
          <w:iCs/>
        </w:rPr>
        <w:t xml:space="preserve"> of registration</w:t>
      </w:r>
      <w:r w:rsidR="00BD0104" w:rsidRPr="004E1BDB">
        <w:rPr>
          <w:i/>
          <w:iCs/>
        </w:rPr>
        <w:t>, bearing the prescribed particulars</w:t>
      </w:r>
      <w:r w:rsidR="001A1519" w:rsidRPr="004E1BDB">
        <w:t>”</w:t>
      </w:r>
      <w:r w:rsidR="00BD0104" w:rsidRPr="004E1BDB">
        <w:t>.</w:t>
      </w:r>
    </w:p>
    <w:p w14:paraId="67455284" w14:textId="77777777" w:rsidR="00340D42" w:rsidRDefault="00340D42" w:rsidP="00340D42">
      <w:pPr>
        <w:pStyle w:val="ListParagraph"/>
        <w:spacing w:line="480" w:lineRule="auto"/>
        <w:ind w:left="851"/>
        <w:jc w:val="both"/>
        <w:rPr>
          <w:rFonts w:ascii="Times New Roman" w:hAnsi="Times New Roman" w:cs="Times New Roman"/>
        </w:rPr>
      </w:pPr>
    </w:p>
    <w:p w14:paraId="5520410C" w14:textId="6CBE9B2A" w:rsidR="00BD0104" w:rsidRPr="004E1BDB" w:rsidRDefault="004E1BDB" w:rsidP="004E1BDB">
      <w:pPr>
        <w:spacing w:line="480" w:lineRule="auto"/>
        <w:ind w:left="851" w:hanging="851"/>
      </w:pPr>
      <w:r>
        <w:rPr>
          <w:rFonts w:eastAsiaTheme="minorHAnsi"/>
          <w:color w:val="auto"/>
          <w:sz w:val="24"/>
          <w:szCs w:val="24"/>
          <w:lang w:val="en-GB" w:eastAsia="en-US"/>
        </w:rPr>
        <w:t>11.</w:t>
      </w:r>
      <w:r>
        <w:rPr>
          <w:rFonts w:eastAsiaTheme="minorHAnsi"/>
          <w:color w:val="auto"/>
          <w:sz w:val="24"/>
          <w:szCs w:val="24"/>
          <w:lang w:val="en-GB" w:eastAsia="en-US"/>
        </w:rPr>
        <w:tab/>
      </w:r>
      <w:r w:rsidR="00BD0104" w:rsidRPr="004E1BDB">
        <w:t>Section 4</w:t>
      </w:r>
      <w:r w:rsidR="009A7F63" w:rsidRPr="004E1BDB">
        <w:t>(5)(a) states that “</w:t>
      </w:r>
      <w:r w:rsidR="009A7F63" w:rsidRPr="004E1BDB">
        <w:rPr>
          <w:i/>
          <w:iCs/>
        </w:rPr>
        <w:t>If for any reason a customary marriage is not registered, any person who satisfies a registering officer that he or she has a sufficient interest in the matter may apply to the registering officer in the prescribed manner to inquire into the existence of the marriage</w:t>
      </w:r>
      <w:r w:rsidR="009A7F63" w:rsidRPr="004E1BDB">
        <w:t>”.</w:t>
      </w:r>
    </w:p>
    <w:p w14:paraId="43836723" w14:textId="77777777" w:rsidR="00340D42" w:rsidRDefault="00340D42" w:rsidP="00340D42">
      <w:pPr>
        <w:pStyle w:val="ListParagraph"/>
        <w:spacing w:line="480" w:lineRule="auto"/>
        <w:ind w:left="851"/>
        <w:jc w:val="both"/>
        <w:rPr>
          <w:rFonts w:ascii="Times New Roman" w:hAnsi="Times New Roman" w:cs="Times New Roman"/>
        </w:rPr>
      </w:pPr>
    </w:p>
    <w:p w14:paraId="7D8B722F" w14:textId="22A20204" w:rsidR="009A7F63" w:rsidRPr="004E1BDB" w:rsidRDefault="004E1BDB" w:rsidP="004E1BDB">
      <w:pPr>
        <w:spacing w:line="480" w:lineRule="auto"/>
        <w:ind w:left="851" w:hanging="851"/>
      </w:pPr>
      <w:r>
        <w:rPr>
          <w:rFonts w:eastAsiaTheme="minorHAnsi"/>
          <w:color w:val="auto"/>
          <w:sz w:val="24"/>
          <w:szCs w:val="24"/>
          <w:lang w:val="en-GB" w:eastAsia="en-US"/>
        </w:rPr>
        <w:t>12.</w:t>
      </w:r>
      <w:r>
        <w:rPr>
          <w:rFonts w:eastAsiaTheme="minorHAnsi"/>
          <w:color w:val="auto"/>
          <w:sz w:val="24"/>
          <w:szCs w:val="24"/>
          <w:lang w:val="en-GB" w:eastAsia="en-US"/>
        </w:rPr>
        <w:tab/>
      </w:r>
      <w:r w:rsidR="009A7F63" w:rsidRPr="004E1BDB">
        <w:t>Section 4(5)(b) states that “</w:t>
      </w:r>
      <w:r w:rsidR="009A7F63" w:rsidRPr="004E1BDB">
        <w:rPr>
          <w:i/>
          <w:iCs/>
        </w:rPr>
        <w:t xml:space="preserve">If the registering officer is satisfied that a valid </w:t>
      </w:r>
      <w:r w:rsidR="005F5652" w:rsidRPr="004E1BDB">
        <w:rPr>
          <w:i/>
          <w:iCs/>
        </w:rPr>
        <w:t>customary marriage exists or existed between the spouses</w:t>
      </w:r>
      <w:r w:rsidR="00CD2C2A" w:rsidRPr="004E1BDB">
        <w:rPr>
          <w:i/>
          <w:iCs/>
        </w:rPr>
        <w:t>, he or she must register the marriage and issue a certificate of registration as contemplated in subsection (4)</w:t>
      </w:r>
      <w:r w:rsidR="009A7F63" w:rsidRPr="004E1BDB">
        <w:t>”</w:t>
      </w:r>
      <w:r w:rsidR="00CD2C2A" w:rsidRPr="004E1BDB">
        <w:t>.</w:t>
      </w:r>
    </w:p>
    <w:p w14:paraId="7CEF021A" w14:textId="77777777" w:rsidR="00340D42" w:rsidRDefault="00340D42" w:rsidP="00340D42">
      <w:pPr>
        <w:pStyle w:val="ListParagraph"/>
        <w:spacing w:line="480" w:lineRule="auto"/>
        <w:ind w:left="851"/>
        <w:jc w:val="both"/>
        <w:rPr>
          <w:rFonts w:ascii="Times New Roman" w:hAnsi="Times New Roman" w:cs="Times New Roman"/>
        </w:rPr>
      </w:pPr>
    </w:p>
    <w:p w14:paraId="10FC3CF5" w14:textId="6E01D128" w:rsidR="00CD2C2A" w:rsidRPr="004E1BDB" w:rsidRDefault="004E1BDB" w:rsidP="004E1BDB">
      <w:pPr>
        <w:spacing w:line="480" w:lineRule="auto"/>
        <w:ind w:left="851" w:hanging="851"/>
      </w:pPr>
      <w:r>
        <w:rPr>
          <w:rFonts w:eastAsiaTheme="minorHAnsi"/>
          <w:color w:val="auto"/>
          <w:sz w:val="24"/>
          <w:szCs w:val="24"/>
          <w:lang w:val="en-GB" w:eastAsia="en-US"/>
        </w:rPr>
        <w:t>13.</w:t>
      </w:r>
      <w:r>
        <w:rPr>
          <w:rFonts w:eastAsiaTheme="minorHAnsi"/>
          <w:color w:val="auto"/>
          <w:sz w:val="24"/>
          <w:szCs w:val="24"/>
          <w:lang w:val="en-GB" w:eastAsia="en-US"/>
        </w:rPr>
        <w:tab/>
      </w:r>
      <w:r w:rsidR="00CD2C2A" w:rsidRPr="004E1BDB">
        <w:t>Section 4(9) states that “</w:t>
      </w:r>
      <w:r w:rsidR="00170DC6" w:rsidRPr="004E1BDB">
        <w:rPr>
          <w:i/>
          <w:iCs/>
        </w:rPr>
        <w:t>Failure to register a customary marriage does not affect the validity of that marr</w:t>
      </w:r>
      <w:r w:rsidR="00D26BB4" w:rsidRPr="004E1BDB">
        <w:rPr>
          <w:i/>
          <w:iCs/>
        </w:rPr>
        <w:t>iage</w:t>
      </w:r>
      <w:r w:rsidR="00CD2C2A" w:rsidRPr="004E1BDB">
        <w:t>”</w:t>
      </w:r>
      <w:r w:rsidR="00170DC6" w:rsidRPr="004E1BDB">
        <w:t>.</w:t>
      </w:r>
    </w:p>
    <w:p w14:paraId="7B558177" w14:textId="77777777" w:rsidR="00340D42" w:rsidRDefault="00340D42" w:rsidP="00340D42">
      <w:pPr>
        <w:pStyle w:val="ListParagraph"/>
        <w:spacing w:line="480" w:lineRule="auto"/>
        <w:ind w:left="851"/>
        <w:jc w:val="both"/>
        <w:rPr>
          <w:rFonts w:ascii="Times New Roman" w:hAnsi="Times New Roman" w:cs="Times New Roman"/>
        </w:rPr>
      </w:pPr>
    </w:p>
    <w:p w14:paraId="6DF720C1" w14:textId="6F70DDB8" w:rsidR="00170DC6" w:rsidRPr="004E1BDB" w:rsidRDefault="004E1BDB" w:rsidP="004E1BDB">
      <w:pPr>
        <w:spacing w:line="480" w:lineRule="auto"/>
        <w:ind w:left="851" w:hanging="851"/>
      </w:pPr>
      <w:r>
        <w:rPr>
          <w:rFonts w:eastAsiaTheme="minorHAnsi"/>
          <w:color w:val="auto"/>
          <w:sz w:val="24"/>
          <w:szCs w:val="24"/>
          <w:lang w:val="en-GB" w:eastAsia="en-US"/>
        </w:rPr>
        <w:t>14.</w:t>
      </w:r>
      <w:r>
        <w:rPr>
          <w:rFonts w:eastAsiaTheme="minorHAnsi"/>
          <w:color w:val="auto"/>
          <w:sz w:val="24"/>
          <w:szCs w:val="24"/>
          <w:lang w:val="en-GB" w:eastAsia="en-US"/>
        </w:rPr>
        <w:tab/>
      </w:r>
      <w:r w:rsidR="00D26BB4" w:rsidRPr="004E1BDB">
        <w:t>Section 7(2) states that “</w:t>
      </w:r>
      <w:r w:rsidR="00D26BB4" w:rsidRPr="004E1BDB">
        <w:rPr>
          <w:i/>
          <w:iCs/>
        </w:rPr>
        <w:t>A customary marriage in which a spouse is not a partner in any other existing customary marriage, is a marriage in community of property and of profit and loss between the spouses</w:t>
      </w:r>
      <w:r w:rsidR="00D26BB4" w:rsidRPr="004E1BDB">
        <w:t xml:space="preserve">”. There appears to be no dispute that neither the deceased </w:t>
      </w:r>
      <w:r w:rsidR="00340D42" w:rsidRPr="004E1BDB">
        <w:t>nor</w:t>
      </w:r>
      <w:r w:rsidR="00D26BB4" w:rsidRPr="004E1BDB">
        <w:t xml:space="preserve"> the first respondent was a partner in any other existing customary marriage.</w:t>
      </w:r>
    </w:p>
    <w:p w14:paraId="2E8BF313" w14:textId="77777777" w:rsidR="00340D42" w:rsidRDefault="00340D42" w:rsidP="00340D42">
      <w:pPr>
        <w:pStyle w:val="ListParagraph"/>
        <w:spacing w:line="480" w:lineRule="auto"/>
        <w:ind w:left="851"/>
        <w:jc w:val="both"/>
        <w:rPr>
          <w:rFonts w:ascii="Times New Roman" w:hAnsi="Times New Roman" w:cs="Times New Roman"/>
        </w:rPr>
      </w:pPr>
    </w:p>
    <w:p w14:paraId="6D6CB865" w14:textId="7DB23F64" w:rsidR="00340D42" w:rsidRPr="004E1BDB" w:rsidRDefault="004E1BDB" w:rsidP="004E1BDB">
      <w:pPr>
        <w:spacing w:line="480" w:lineRule="auto"/>
        <w:ind w:left="851" w:hanging="851"/>
      </w:pPr>
      <w:r>
        <w:rPr>
          <w:rFonts w:eastAsiaTheme="minorHAnsi"/>
          <w:color w:val="auto"/>
          <w:sz w:val="24"/>
          <w:szCs w:val="24"/>
          <w:lang w:val="en-GB" w:eastAsia="en-US"/>
        </w:rPr>
        <w:t>15.</w:t>
      </w:r>
      <w:r>
        <w:rPr>
          <w:rFonts w:eastAsiaTheme="minorHAnsi"/>
          <w:color w:val="auto"/>
          <w:sz w:val="24"/>
          <w:szCs w:val="24"/>
          <w:lang w:val="en-GB" w:eastAsia="en-US"/>
        </w:rPr>
        <w:tab/>
      </w:r>
      <w:r w:rsidR="00D26BB4" w:rsidRPr="004E1BDB">
        <w:t xml:space="preserve">Regulation 2(1) requires an application for the registration of a customary marriage to substantially correspond with Form A of the Annexure to the </w:t>
      </w:r>
      <w:r w:rsidR="00C73748" w:rsidRPr="004E1BDB">
        <w:t xml:space="preserve">regulations. </w:t>
      </w:r>
    </w:p>
    <w:p w14:paraId="7EEAE7EF" w14:textId="77777777" w:rsidR="00340D42" w:rsidRPr="00340D42" w:rsidRDefault="00340D42" w:rsidP="00340D42">
      <w:pPr>
        <w:pStyle w:val="ListParagraph"/>
        <w:rPr>
          <w:rFonts w:ascii="Times New Roman" w:hAnsi="Times New Roman" w:cs="Times New Roman"/>
        </w:rPr>
      </w:pPr>
    </w:p>
    <w:p w14:paraId="632EF06D" w14:textId="183C7469" w:rsidR="00340D42" w:rsidRPr="004E1BDB" w:rsidRDefault="004E1BDB" w:rsidP="004E1BDB">
      <w:pPr>
        <w:spacing w:line="480" w:lineRule="auto"/>
        <w:ind w:left="851" w:hanging="851"/>
      </w:pPr>
      <w:r>
        <w:rPr>
          <w:rFonts w:eastAsiaTheme="minorHAnsi"/>
          <w:color w:val="auto"/>
          <w:sz w:val="24"/>
          <w:szCs w:val="24"/>
          <w:lang w:val="en-GB" w:eastAsia="en-US"/>
        </w:rPr>
        <w:t>16.</w:t>
      </w:r>
      <w:r>
        <w:rPr>
          <w:rFonts w:eastAsiaTheme="minorHAnsi"/>
          <w:color w:val="auto"/>
          <w:sz w:val="24"/>
          <w:szCs w:val="24"/>
          <w:lang w:val="en-GB" w:eastAsia="en-US"/>
        </w:rPr>
        <w:tab/>
      </w:r>
      <w:r w:rsidR="00C73748" w:rsidRPr="004E1BDB">
        <w:t>Regulation 2(2) requires a registering officer to issue the applicant with an acknowledgment of receipt substantially corresponding with F</w:t>
      </w:r>
      <w:r w:rsidR="00340D42" w:rsidRPr="004E1BDB">
        <w:t>or</w:t>
      </w:r>
      <w:r w:rsidR="00C73748" w:rsidRPr="004E1BDB">
        <w:t xml:space="preserve">m B of the Annexure. </w:t>
      </w:r>
    </w:p>
    <w:p w14:paraId="1ACA79D0" w14:textId="77777777" w:rsidR="00340D42" w:rsidRPr="00340D42" w:rsidRDefault="00340D42" w:rsidP="00340D42">
      <w:pPr>
        <w:pStyle w:val="ListParagraph"/>
        <w:rPr>
          <w:rFonts w:ascii="Times New Roman" w:hAnsi="Times New Roman" w:cs="Times New Roman"/>
        </w:rPr>
      </w:pPr>
    </w:p>
    <w:p w14:paraId="4A213471" w14:textId="46DFF514" w:rsidR="00340D42" w:rsidRPr="004E1BDB" w:rsidRDefault="004E1BDB" w:rsidP="004E1BDB">
      <w:pPr>
        <w:spacing w:line="480" w:lineRule="auto"/>
        <w:ind w:left="851" w:hanging="851"/>
      </w:pPr>
      <w:r>
        <w:rPr>
          <w:rFonts w:eastAsiaTheme="minorHAnsi"/>
          <w:color w:val="auto"/>
          <w:sz w:val="24"/>
          <w:szCs w:val="24"/>
          <w:lang w:val="en-GB" w:eastAsia="en-US"/>
        </w:rPr>
        <w:t>17.</w:t>
      </w:r>
      <w:r>
        <w:rPr>
          <w:rFonts w:eastAsiaTheme="minorHAnsi"/>
          <w:color w:val="auto"/>
          <w:sz w:val="24"/>
          <w:szCs w:val="24"/>
          <w:lang w:val="en-GB" w:eastAsia="en-US"/>
        </w:rPr>
        <w:tab/>
      </w:r>
      <w:r w:rsidR="00EB2A8F" w:rsidRPr="004E1BDB">
        <w:t xml:space="preserve">Regulation 2(5) requires the resulting certificate of registration to substantially correspond with Form C of the Annexure to the regulations. </w:t>
      </w:r>
    </w:p>
    <w:p w14:paraId="76E59EF3" w14:textId="77777777" w:rsidR="00340D42" w:rsidRPr="00340D42" w:rsidRDefault="00340D42" w:rsidP="00340D42">
      <w:pPr>
        <w:pStyle w:val="ListParagraph"/>
        <w:rPr>
          <w:rFonts w:ascii="Times New Roman" w:hAnsi="Times New Roman" w:cs="Times New Roman"/>
        </w:rPr>
      </w:pPr>
    </w:p>
    <w:p w14:paraId="7B1E454C" w14:textId="4B129A13" w:rsidR="00D26BB4" w:rsidRPr="004E1BDB" w:rsidRDefault="004E1BDB" w:rsidP="004E1BDB">
      <w:pPr>
        <w:spacing w:line="480" w:lineRule="auto"/>
        <w:ind w:left="851" w:hanging="851"/>
      </w:pPr>
      <w:r>
        <w:rPr>
          <w:rFonts w:eastAsiaTheme="minorHAnsi"/>
          <w:color w:val="auto"/>
          <w:sz w:val="24"/>
          <w:szCs w:val="24"/>
          <w:lang w:val="en-GB" w:eastAsia="en-US"/>
        </w:rPr>
        <w:lastRenderedPageBreak/>
        <w:t>18.</w:t>
      </w:r>
      <w:r>
        <w:rPr>
          <w:rFonts w:eastAsiaTheme="minorHAnsi"/>
          <w:color w:val="auto"/>
          <w:sz w:val="24"/>
          <w:szCs w:val="24"/>
          <w:lang w:val="en-GB" w:eastAsia="en-US"/>
        </w:rPr>
        <w:tab/>
      </w:r>
      <w:r w:rsidR="00EB2A8F" w:rsidRPr="004E1BDB">
        <w:t xml:space="preserve">Although one would expect all three of these documents to be available if the customary marriage had been registered, these documents were not obtained from the second and third respondents as would presumably have happened had Uniform Rule 53 been </w:t>
      </w:r>
      <w:proofErr w:type="gramStart"/>
      <w:r w:rsidR="00EB2A8F" w:rsidRPr="004E1BDB">
        <w:t>used, and</w:t>
      </w:r>
      <w:proofErr w:type="gramEnd"/>
      <w:r w:rsidR="00EB2A8F" w:rsidRPr="004E1BDB">
        <w:t xml:space="preserve"> were not placed before the court by either the applicant or the first respondent.</w:t>
      </w:r>
    </w:p>
    <w:p w14:paraId="67BE1469" w14:textId="77777777" w:rsidR="00340D42" w:rsidRDefault="00340D42" w:rsidP="00340D42">
      <w:pPr>
        <w:pStyle w:val="ListParagraph"/>
        <w:spacing w:line="480" w:lineRule="auto"/>
        <w:ind w:left="851"/>
        <w:jc w:val="both"/>
        <w:rPr>
          <w:rFonts w:ascii="Times New Roman" w:hAnsi="Times New Roman" w:cs="Times New Roman"/>
        </w:rPr>
      </w:pPr>
    </w:p>
    <w:p w14:paraId="0FE84296" w14:textId="0EE0A146" w:rsidR="00EB2A8F" w:rsidRPr="004E1BDB" w:rsidRDefault="004E1BDB" w:rsidP="004E1BDB">
      <w:pPr>
        <w:spacing w:line="480" w:lineRule="auto"/>
        <w:ind w:left="851" w:hanging="851"/>
      </w:pPr>
      <w:r>
        <w:rPr>
          <w:rFonts w:eastAsiaTheme="minorHAnsi"/>
          <w:color w:val="auto"/>
          <w:sz w:val="24"/>
          <w:szCs w:val="24"/>
          <w:lang w:val="en-GB" w:eastAsia="en-US"/>
        </w:rPr>
        <w:t>19.</w:t>
      </w:r>
      <w:r>
        <w:rPr>
          <w:rFonts w:eastAsiaTheme="minorHAnsi"/>
          <w:color w:val="auto"/>
          <w:sz w:val="24"/>
          <w:szCs w:val="24"/>
          <w:lang w:val="en-GB" w:eastAsia="en-US"/>
        </w:rPr>
        <w:tab/>
      </w:r>
      <w:r w:rsidR="00EB2A8F" w:rsidRPr="004E1BDB">
        <w:t>Regul</w:t>
      </w:r>
      <w:r w:rsidR="003F1DDC" w:rsidRPr="004E1BDB">
        <w:t xml:space="preserve">ation 2(4) obliges the registering officer </w:t>
      </w:r>
      <w:r w:rsidR="00A8507C" w:rsidRPr="004E1BDB">
        <w:t xml:space="preserve">to include or cause to be included the </w:t>
      </w:r>
      <w:r w:rsidR="00B96319" w:rsidRPr="004E1BDB">
        <w:t>particulars</w:t>
      </w:r>
      <w:r w:rsidR="00A8507C" w:rsidRPr="004E1BDB">
        <w:t xml:space="preserve"> of the customary marriage in the population register, while regulation 2(5)(b) provides for the director-general of Home Affairs on application to issue a duplicate of the customary marriage certificate, issue an extract from the customary marriage register</w:t>
      </w:r>
      <w:r w:rsidR="00340D42" w:rsidRPr="004E1BDB">
        <w:t>,</w:t>
      </w:r>
      <w:r w:rsidR="00A8507C" w:rsidRPr="004E1BDB">
        <w:t xml:space="preserve"> and furnish a reproduction of the customary marriage register or of any supporting documentation in relation to the register. The applicant did not make a regulation 2(5)(b) application before instituting this application, </w:t>
      </w:r>
      <w:r w:rsidR="00A62ADA" w:rsidRPr="004E1BDB">
        <w:t>and none of these documents were placed before the court.</w:t>
      </w:r>
    </w:p>
    <w:p w14:paraId="2891C8FF" w14:textId="77777777" w:rsidR="00340D42" w:rsidRDefault="00340D42" w:rsidP="00340D42">
      <w:pPr>
        <w:pStyle w:val="ListParagraph"/>
        <w:spacing w:line="480" w:lineRule="auto"/>
        <w:ind w:left="851"/>
        <w:jc w:val="both"/>
        <w:rPr>
          <w:rFonts w:ascii="Times New Roman" w:hAnsi="Times New Roman" w:cs="Times New Roman"/>
        </w:rPr>
      </w:pPr>
    </w:p>
    <w:p w14:paraId="53A10F75" w14:textId="3802CFE0" w:rsidR="009A7F63" w:rsidRPr="004E1BDB" w:rsidRDefault="004E1BDB" w:rsidP="004E1BDB">
      <w:pPr>
        <w:spacing w:line="480" w:lineRule="auto"/>
        <w:ind w:left="851" w:hanging="851"/>
      </w:pPr>
      <w:r>
        <w:rPr>
          <w:rFonts w:eastAsiaTheme="minorHAnsi"/>
          <w:color w:val="auto"/>
          <w:sz w:val="24"/>
          <w:szCs w:val="24"/>
          <w:lang w:val="en-GB" w:eastAsia="en-US"/>
        </w:rPr>
        <w:t>20.</w:t>
      </w:r>
      <w:r>
        <w:rPr>
          <w:rFonts w:eastAsiaTheme="minorHAnsi"/>
          <w:color w:val="auto"/>
          <w:sz w:val="24"/>
          <w:szCs w:val="24"/>
          <w:lang w:val="en-GB" w:eastAsia="en-US"/>
        </w:rPr>
        <w:tab/>
      </w:r>
      <w:r w:rsidR="00A62ADA" w:rsidRPr="004E1BDB">
        <w:t xml:space="preserve">In the absence of any </w:t>
      </w:r>
      <w:r w:rsidR="0000462B" w:rsidRPr="004E1BDB">
        <w:t>o</w:t>
      </w:r>
      <w:r w:rsidR="00A62ADA" w:rsidRPr="004E1BDB">
        <w:t xml:space="preserve">f the </w:t>
      </w:r>
      <w:r w:rsidR="0000462B" w:rsidRPr="004E1BDB">
        <w:t xml:space="preserve">appropriate documents serving as </w:t>
      </w:r>
      <w:r w:rsidR="00284634" w:rsidRPr="004E1BDB">
        <w:t xml:space="preserve">evidence that there </w:t>
      </w:r>
      <w:r w:rsidR="00340D42" w:rsidRPr="004E1BDB">
        <w:t>was</w:t>
      </w:r>
      <w:r w:rsidR="00284634" w:rsidRPr="004E1BDB">
        <w:t xml:space="preserve"> an administrative application resulting in registration of a customary union, in the </w:t>
      </w:r>
      <w:r w:rsidR="00340D42" w:rsidRPr="004E1BDB">
        <w:t>2</w:t>
      </w:r>
      <w:r w:rsidR="00284634" w:rsidRPr="004E1BDB">
        <w:t xml:space="preserve">3 November 2022 hearing the court was not </w:t>
      </w:r>
      <w:proofErr w:type="gramStart"/>
      <w:r w:rsidR="00284634" w:rsidRPr="004E1BDB">
        <w:t>in a position</w:t>
      </w:r>
      <w:proofErr w:type="gramEnd"/>
      <w:r w:rsidR="00284634" w:rsidRPr="004E1BDB">
        <w:t xml:space="preserve"> to set aside such registration or </w:t>
      </w:r>
      <w:r w:rsidR="00340D42" w:rsidRPr="004E1BDB">
        <w:t xml:space="preserve">even </w:t>
      </w:r>
      <w:r w:rsidR="00284634" w:rsidRPr="004E1BDB">
        <w:t>consider whether it was reviewable.</w:t>
      </w:r>
    </w:p>
    <w:p w14:paraId="219499C2" w14:textId="77777777" w:rsidR="00340D42" w:rsidRDefault="00340D42" w:rsidP="00340D42">
      <w:pPr>
        <w:pStyle w:val="ListParagraph"/>
        <w:spacing w:line="480" w:lineRule="auto"/>
        <w:ind w:left="851"/>
        <w:jc w:val="both"/>
        <w:rPr>
          <w:rFonts w:ascii="Times New Roman" w:hAnsi="Times New Roman" w:cs="Times New Roman"/>
        </w:rPr>
      </w:pPr>
    </w:p>
    <w:p w14:paraId="43FA1138" w14:textId="22ADE7CF" w:rsidR="00284634" w:rsidRPr="004E1BDB" w:rsidRDefault="004E1BDB" w:rsidP="004E1BDB">
      <w:pPr>
        <w:spacing w:line="480" w:lineRule="auto"/>
        <w:ind w:left="851" w:hanging="851"/>
      </w:pPr>
      <w:r>
        <w:rPr>
          <w:rFonts w:eastAsiaTheme="minorHAnsi"/>
          <w:color w:val="auto"/>
          <w:sz w:val="24"/>
          <w:szCs w:val="24"/>
          <w:lang w:val="en-GB" w:eastAsia="en-US"/>
        </w:rPr>
        <w:lastRenderedPageBreak/>
        <w:t>21.</w:t>
      </w:r>
      <w:r>
        <w:rPr>
          <w:rFonts w:eastAsiaTheme="minorHAnsi"/>
          <w:color w:val="auto"/>
          <w:sz w:val="24"/>
          <w:szCs w:val="24"/>
          <w:lang w:val="en-GB" w:eastAsia="en-US"/>
        </w:rPr>
        <w:tab/>
      </w:r>
      <w:r w:rsidR="00284634" w:rsidRPr="004E1BDB">
        <w:t xml:space="preserve">Counsel for the applicant submitted that it would suffice if the court found that there was no valid customary marriage between the first respondent and the </w:t>
      </w:r>
      <w:proofErr w:type="gramStart"/>
      <w:r w:rsidR="00284634" w:rsidRPr="004E1BDB">
        <w:t>deceased, and</w:t>
      </w:r>
      <w:proofErr w:type="gramEnd"/>
      <w:r w:rsidR="00284634" w:rsidRPr="004E1BDB">
        <w:t xml:space="preserve"> asked the court to make an order on that basis. This could not be done, first because </w:t>
      </w:r>
      <w:r w:rsidR="005C229F" w:rsidRPr="004E1BDB">
        <w:t>such an order was not covered by the relief sought in the notice of motion</w:t>
      </w:r>
      <w:r w:rsidR="00340D42" w:rsidRPr="004E1BDB">
        <w:t>,</w:t>
      </w:r>
      <w:r w:rsidR="005C229F" w:rsidRPr="004E1BDB">
        <w:t xml:space="preserve"> and second because the court’s view was that the allegations in the first respondent’s answering affidavit could not be rejected and were sufficient to </w:t>
      </w:r>
      <w:r w:rsidR="008F2730" w:rsidRPr="004E1BDB">
        <w:t>materially dispute the applicant’s</w:t>
      </w:r>
      <w:r w:rsidR="006614AC" w:rsidRPr="004E1BDB">
        <w:t xml:space="preserve"> allegations that no valid </w:t>
      </w:r>
      <w:r w:rsidR="00664294" w:rsidRPr="004E1BDB">
        <w:t>customary marriage had occurred</w:t>
      </w:r>
      <w:r w:rsidR="008F2730" w:rsidRPr="004E1BDB">
        <w:t xml:space="preserve">. </w:t>
      </w:r>
    </w:p>
    <w:p w14:paraId="46614ED0" w14:textId="77777777" w:rsidR="00340D42" w:rsidRDefault="00340D42" w:rsidP="00340D42">
      <w:pPr>
        <w:pStyle w:val="ListParagraph"/>
        <w:spacing w:line="480" w:lineRule="auto"/>
        <w:ind w:left="851"/>
        <w:jc w:val="both"/>
        <w:rPr>
          <w:rFonts w:ascii="Times New Roman" w:hAnsi="Times New Roman" w:cs="Times New Roman"/>
        </w:rPr>
      </w:pPr>
    </w:p>
    <w:p w14:paraId="569A1243" w14:textId="4C32ED5E" w:rsidR="00664294" w:rsidRPr="004E1BDB" w:rsidRDefault="004E1BDB" w:rsidP="004E1BDB">
      <w:pPr>
        <w:spacing w:line="480" w:lineRule="auto"/>
        <w:ind w:left="851" w:hanging="851"/>
      </w:pPr>
      <w:r>
        <w:rPr>
          <w:rFonts w:eastAsiaTheme="minorHAnsi"/>
          <w:color w:val="auto"/>
          <w:sz w:val="24"/>
          <w:szCs w:val="24"/>
          <w:lang w:val="en-GB" w:eastAsia="en-US"/>
        </w:rPr>
        <w:t>22.</w:t>
      </w:r>
      <w:r>
        <w:rPr>
          <w:rFonts w:eastAsiaTheme="minorHAnsi"/>
          <w:color w:val="auto"/>
          <w:sz w:val="24"/>
          <w:szCs w:val="24"/>
          <w:lang w:val="en-GB" w:eastAsia="en-US"/>
        </w:rPr>
        <w:tab/>
      </w:r>
      <w:r w:rsidR="00664294" w:rsidRPr="004E1BDB">
        <w:t xml:space="preserve">On this basis, the parties agreed that the application should be postponed </w:t>
      </w:r>
      <w:r w:rsidR="00664294" w:rsidRPr="004E1BDB">
        <w:rPr>
          <w:i/>
          <w:iCs/>
        </w:rPr>
        <w:t>sine die</w:t>
      </w:r>
      <w:r w:rsidR="00664294" w:rsidRPr="004E1BDB">
        <w:t xml:space="preserve"> with no order as to costs to enable the parties to obtain </w:t>
      </w:r>
      <w:r w:rsidR="000A6AD9" w:rsidRPr="004E1BDB">
        <w:t xml:space="preserve">or attempt to </w:t>
      </w:r>
      <w:r w:rsidR="00FD7BC5" w:rsidRPr="004E1BDB">
        <w:t>o</w:t>
      </w:r>
      <w:r w:rsidR="000A6AD9" w:rsidRPr="004E1BDB">
        <w:t xml:space="preserve">btain </w:t>
      </w:r>
      <w:r w:rsidR="00FD7BC5" w:rsidRPr="004E1BDB">
        <w:t>the required record of the impugned administrative decision to register the customary union.</w:t>
      </w:r>
    </w:p>
    <w:p w14:paraId="6E623C3B" w14:textId="38C1EAB8" w:rsidR="00FD7BC5" w:rsidRPr="004E1BDB" w:rsidRDefault="004E1BDB" w:rsidP="004E1BDB">
      <w:pPr>
        <w:spacing w:line="480" w:lineRule="auto"/>
        <w:ind w:left="851" w:hanging="851"/>
      </w:pPr>
      <w:r>
        <w:rPr>
          <w:rFonts w:eastAsiaTheme="minorHAnsi"/>
          <w:color w:val="auto"/>
          <w:sz w:val="24"/>
          <w:szCs w:val="24"/>
          <w:lang w:val="en-GB" w:eastAsia="en-US"/>
        </w:rPr>
        <w:t>23.</w:t>
      </w:r>
      <w:r>
        <w:rPr>
          <w:rFonts w:eastAsiaTheme="minorHAnsi"/>
          <w:color w:val="auto"/>
          <w:sz w:val="24"/>
          <w:szCs w:val="24"/>
          <w:lang w:val="en-GB" w:eastAsia="en-US"/>
        </w:rPr>
        <w:tab/>
      </w:r>
      <w:r w:rsidR="00FD7BC5" w:rsidRPr="004E1BDB">
        <w:t>The court</w:t>
      </w:r>
      <w:r w:rsidR="00BD6718" w:rsidRPr="004E1BDB">
        <w:t xml:space="preserve">’s order is that: </w:t>
      </w:r>
    </w:p>
    <w:p w14:paraId="16EEACC4" w14:textId="1FDC9D72" w:rsidR="00567BCA" w:rsidRPr="004E1BDB" w:rsidRDefault="004E1BDB" w:rsidP="004E1BDB">
      <w:pPr>
        <w:tabs>
          <w:tab w:val="left" w:pos="1418"/>
        </w:tabs>
        <w:spacing w:line="480" w:lineRule="auto"/>
        <w:ind w:left="1418" w:hanging="1418"/>
      </w:pPr>
      <w:r>
        <w:rPr>
          <w:rFonts w:eastAsiaTheme="minorHAnsi"/>
          <w:color w:val="auto"/>
          <w:sz w:val="24"/>
          <w:szCs w:val="24"/>
          <w:lang w:val="en-GB" w:eastAsia="en-US"/>
        </w:rPr>
        <w:t>23.1.</w:t>
      </w:r>
      <w:r>
        <w:rPr>
          <w:rFonts w:eastAsiaTheme="minorHAnsi"/>
          <w:color w:val="auto"/>
          <w:sz w:val="24"/>
          <w:szCs w:val="24"/>
          <w:lang w:val="en-GB" w:eastAsia="en-US"/>
        </w:rPr>
        <w:tab/>
      </w:r>
      <w:r w:rsidR="00567BCA" w:rsidRPr="004E1BDB">
        <w:t xml:space="preserve">This application is postponed </w:t>
      </w:r>
      <w:r w:rsidR="00567BCA" w:rsidRPr="004E1BDB">
        <w:rPr>
          <w:i/>
          <w:iCs/>
        </w:rPr>
        <w:t>sine die</w:t>
      </w:r>
      <w:r w:rsidR="00567BCA" w:rsidRPr="004E1BDB">
        <w:t xml:space="preserve"> by </w:t>
      </w:r>
      <w:proofErr w:type="gramStart"/>
      <w:r w:rsidR="00567BCA" w:rsidRPr="004E1BDB">
        <w:t>agreement;</w:t>
      </w:r>
      <w:proofErr w:type="gramEnd"/>
    </w:p>
    <w:p w14:paraId="0F87568E" w14:textId="4AE6A823" w:rsidR="00567BCA" w:rsidRPr="004E1BDB" w:rsidRDefault="004E1BDB" w:rsidP="004E1BDB">
      <w:pPr>
        <w:tabs>
          <w:tab w:val="left" w:pos="1418"/>
        </w:tabs>
        <w:spacing w:line="480" w:lineRule="auto"/>
        <w:ind w:left="1418" w:hanging="1418"/>
      </w:pPr>
      <w:r w:rsidRPr="00284634">
        <w:rPr>
          <w:rFonts w:eastAsiaTheme="minorHAnsi"/>
          <w:color w:val="auto"/>
          <w:sz w:val="24"/>
          <w:szCs w:val="24"/>
          <w:lang w:val="en-GB" w:eastAsia="en-US"/>
        </w:rPr>
        <w:t>23.2.</w:t>
      </w:r>
      <w:r w:rsidRPr="00284634">
        <w:rPr>
          <w:rFonts w:eastAsiaTheme="minorHAnsi"/>
          <w:color w:val="auto"/>
          <w:sz w:val="24"/>
          <w:szCs w:val="24"/>
          <w:lang w:val="en-GB" w:eastAsia="en-US"/>
        </w:rPr>
        <w:tab/>
      </w:r>
      <w:r w:rsidR="00567BCA" w:rsidRPr="004E1BDB">
        <w:t>There is no order as to costs.</w:t>
      </w:r>
    </w:p>
    <w:p w14:paraId="2D5196E1" w14:textId="77777777" w:rsidR="00567BCA" w:rsidRDefault="00567BCA" w:rsidP="00245192">
      <w:pPr>
        <w:pStyle w:val="ListParagraph"/>
        <w:spacing w:line="480" w:lineRule="auto"/>
        <w:ind w:left="851"/>
        <w:rPr>
          <w:rFonts w:ascii="Times New Roman" w:hAnsi="Times New Roman" w:cs="Times New Roman"/>
        </w:rPr>
      </w:pPr>
    </w:p>
    <w:p w14:paraId="62EBAE97" w14:textId="0DE88C0D" w:rsidR="00245192" w:rsidRPr="00245192" w:rsidRDefault="00245192" w:rsidP="00245192">
      <w:pPr>
        <w:pStyle w:val="ListParagraph"/>
        <w:spacing w:line="480" w:lineRule="auto"/>
        <w:ind w:left="851"/>
        <w:rPr>
          <w:rFonts w:ascii="Times New Roman" w:hAnsi="Times New Roman" w:cs="Times New Roman"/>
        </w:rPr>
      </w:pP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p>
    <w:p w14:paraId="007CF594" w14:textId="15B43179" w:rsidR="00D9093D" w:rsidRDefault="00D9093D" w:rsidP="00245192">
      <w:pPr>
        <w:pStyle w:val="ListParagraph"/>
        <w:spacing w:line="480" w:lineRule="auto"/>
        <w:ind w:left="851"/>
        <w:jc w:val="right"/>
        <w:rPr>
          <w:rFonts w:ascii="Times New Roman" w:hAnsi="Times New Roman" w:cs="Times New Roman"/>
          <w:sz w:val="30"/>
          <w:szCs w:val="30"/>
        </w:rPr>
      </w:pPr>
      <w:r>
        <w:rPr>
          <w:rFonts w:ascii="Times New Roman" w:hAnsi="Times New Roman" w:cs="Times New Roman"/>
          <w:sz w:val="30"/>
          <w:szCs w:val="30"/>
        </w:rPr>
        <w:t>_________________________________</w:t>
      </w:r>
    </w:p>
    <w:p w14:paraId="0695BEC9" w14:textId="0FD52F1C" w:rsidR="00245192" w:rsidRPr="00567BCA" w:rsidRDefault="00245192" w:rsidP="00245192">
      <w:pPr>
        <w:pStyle w:val="ListParagraph"/>
        <w:spacing w:line="480" w:lineRule="auto"/>
        <w:ind w:left="851"/>
        <w:jc w:val="right"/>
        <w:rPr>
          <w:rFonts w:ascii="Times New Roman" w:hAnsi="Times New Roman" w:cs="Times New Roman"/>
          <w:sz w:val="26"/>
          <w:szCs w:val="26"/>
        </w:rPr>
      </w:pPr>
      <w:r w:rsidRPr="00567BCA">
        <w:rPr>
          <w:rFonts w:ascii="Times New Roman" w:hAnsi="Times New Roman" w:cs="Times New Roman"/>
          <w:sz w:val="26"/>
          <w:szCs w:val="26"/>
        </w:rPr>
        <w:t>KEMACK AJ</w:t>
      </w:r>
    </w:p>
    <w:p w14:paraId="39C4D606" w14:textId="77777777" w:rsidR="00245192" w:rsidRPr="00567BCA" w:rsidRDefault="00245192" w:rsidP="00245192">
      <w:pPr>
        <w:pStyle w:val="ListParagraph"/>
        <w:spacing w:line="480" w:lineRule="auto"/>
        <w:ind w:left="851"/>
        <w:jc w:val="right"/>
        <w:rPr>
          <w:rFonts w:ascii="Times New Roman" w:hAnsi="Times New Roman" w:cs="Times New Roman"/>
          <w:sz w:val="26"/>
          <w:szCs w:val="26"/>
        </w:rPr>
      </w:pPr>
      <w:r w:rsidRPr="00567BCA">
        <w:rPr>
          <w:rFonts w:ascii="Times New Roman" w:hAnsi="Times New Roman" w:cs="Times New Roman"/>
          <w:sz w:val="26"/>
          <w:szCs w:val="26"/>
        </w:rPr>
        <w:lastRenderedPageBreak/>
        <w:t>ACTING JUDGE OF THE HIGH COURT</w:t>
      </w:r>
    </w:p>
    <w:p w14:paraId="4F537613" w14:textId="77777777" w:rsidR="00245192" w:rsidRPr="00567BCA" w:rsidRDefault="00245192" w:rsidP="00245192">
      <w:pPr>
        <w:pStyle w:val="ListParagraph"/>
        <w:spacing w:line="480" w:lineRule="auto"/>
        <w:ind w:left="851"/>
        <w:jc w:val="right"/>
        <w:rPr>
          <w:rFonts w:ascii="Times New Roman" w:hAnsi="Times New Roman" w:cs="Times New Roman"/>
          <w:sz w:val="26"/>
          <w:szCs w:val="26"/>
        </w:rPr>
      </w:pPr>
      <w:r w:rsidRPr="00567BCA">
        <w:rPr>
          <w:rFonts w:ascii="Times New Roman" w:hAnsi="Times New Roman" w:cs="Times New Roman"/>
          <w:sz w:val="26"/>
          <w:szCs w:val="26"/>
        </w:rPr>
        <w:t>GAUTENG LOCAL DIVISION OF THE HIGH COURT,</w:t>
      </w:r>
    </w:p>
    <w:p w14:paraId="40C991E4" w14:textId="4FE5A532" w:rsidR="00A3690A" w:rsidRPr="00567BCA" w:rsidRDefault="00245192" w:rsidP="00245192">
      <w:pPr>
        <w:pStyle w:val="ListParagraph"/>
        <w:spacing w:line="480" w:lineRule="auto"/>
        <w:ind w:left="851"/>
        <w:jc w:val="right"/>
        <w:rPr>
          <w:rFonts w:ascii="Times New Roman" w:hAnsi="Times New Roman" w:cs="Times New Roman"/>
          <w:sz w:val="26"/>
          <w:szCs w:val="26"/>
        </w:rPr>
      </w:pPr>
      <w:r w:rsidRPr="00567BCA">
        <w:rPr>
          <w:rFonts w:ascii="Times New Roman" w:hAnsi="Times New Roman" w:cs="Times New Roman"/>
          <w:sz w:val="26"/>
          <w:szCs w:val="26"/>
        </w:rPr>
        <w:t>JOHANNESBURG</w:t>
      </w:r>
    </w:p>
    <w:p w14:paraId="3D3D9AC5" w14:textId="77777777" w:rsidR="00AE33A3" w:rsidRPr="00567BCA" w:rsidRDefault="00AE33A3" w:rsidP="00245192">
      <w:pPr>
        <w:pStyle w:val="ListParagraph"/>
        <w:spacing w:line="480" w:lineRule="auto"/>
        <w:ind w:left="851"/>
        <w:jc w:val="right"/>
        <w:rPr>
          <w:rFonts w:ascii="Times New Roman" w:hAnsi="Times New Roman" w:cs="Times New Roman"/>
          <w:sz w:val="26"/>
          <w:szCs w:val="26"/>
        </w:rPr>
      </w:pPr>
    </w:p>
    <w:p w14:paraId="3657FABC" w14:textId="4B9D9C57" w:rsidR="00AE33A3" w:rsidRPr="00567BCA" w:rsidRDefault="00AE33A3" w:rsidP="00AE33A3">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COUNSEL FOR APPLICANT:</w:t>
      </w:r>
      <w:r w:rsidR="00340D42">
        <w:rPr>
          <w:rFonts w:ascii="Times New Roman" w:hAnsi="Times New Roman" w:cs="Times New Roman"/>
          <w:sz w:val="26"/>
          <w:szCs w:val="26"/>
        </w:rPr>
        <w:t xml:space="preserve">  </w:t>
      </w:r>
      <w:r w:rsidR="00E22579">
        <w:rPr>
          <w:rFonts w:ascii="Times New Roman" w:hAnsi="Times New Roman" w:cs="Times New Roman"/>
          <w:sz w:val="26"/>
          <w:szCs w:val="26"/>
        </w:rPr>
        <w:t>ADVOCATE BOTOMANE</w:t>
      </w:r>
    </w:p>
    <w:p w14:paraId="5ADCCE9F" w14:textId="366FFEE5" w:rsidR="00AE33A3" w:rsidRPr="00567BCA" w:rsidRDefault="00575458" w:rsidP="00AE33A3">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ATTORNEY FOR APPLICANT:</w:t>
      </w:r>
      <w:r w:rsidR="00E22579">
        <w:rPr>
          <w:rFonts w:ascii="Times New Roman" w:hAnsi="Times New Roman" w:cs="Times New Roman"/>
          <w:sz w:val="26"/>
          <w:szCs w:val="26"/>
        </w:rPr>
        <w:t xml:space="preserve"> MATHIBE THABANG ATTORNEYS</w:t>
      </w:r>
    </w:p>
    <w:p w14:paraId="66C32F33" w14:textId="40F68769" w:rsidR="003D66D6" w:rsidRDefault="003D66D6" w:rsidP="00AE33A3">
      <w:pPr>
        <w:pStyle w:val="ListParagraph"/>
        <w:spacing w:line="480" w:lineRule="auto"/>
        <w:ind w:left="851"/>
        <w:rPr>
          <w:rFonts w:ascii="Times New Roman" w:hAnsi="Times New Roman" w:cs="Times New Roman"/>
          <w:sz w:val="30"/>
          <w:szCs w:val="30"/>
        </w:rPr>
      </w:pPr>
    </w:p>
    <w:p w14:paraId="4CB5A94D" w14:textId="77777777" w:rsidR="00E22579" w:rsidRDefault="00E22579" w:rsidP="00AE33A3">
      <w:pPr>
        <w:pStyle w:val="ListParagraph"/>
        <w:spacing w:line="480" w:lineRule="auto"/>
        <w:ind w:left="851"/>
        <w:rPr>
          <w:rFonts w:ascii="Times New Roman" w:hAnsi="Times New Roman" w:cs="Times New Roman"/>
          <w:sz w:val="30"/>
          <w:szCs w:val="30"/>
        </w:rPr>
      </w:pPr>
    </w:p>
    <w:p w14:paraId="597E1D3E" w14:textId="32A22B2A" w:rsidR="004E4914" w:rsidRPr="00567BCA" w:rsidRDefault="004E4914" w:rsidP="004E4914">
      <w:pPr>
        <w:pStyle w:val="ListParagraph"/>
        <w:spacing w:line="480" w:lineRule="auto"/>
        <w:ind w:left="851"/>
        <w:rPr>
          <w:rFonts w:ascii="Times New Roman" w:hAnsi="Times New Roman" w:cs="Times New Roman"/>
          <w:sz w:val="26"/>
          <w:szCs w:val="26"/>
        </w:rPr>
      </w:pPr>
    </w:p>
    <w:p w14:paraId="645B52B5" w14:textId="45B03B16" w:rsidR="004E4914" w:rsidRPr="00E22579" w:rsidRDefault="004E4914" w:rsidP="00E22579">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ATTORNEY FOR 1</w:t>
      </w:r>
      <w:r w:rsidRPr="00567BCA">
        <w:rPr>
          <w:rFonts w:ascii="Times New Roman" w:hAnsi="Times New Roman" w:cs="Times New Roman"/>
          <w:sz w:val="26"/>
          <w:szCs w:val="26"/>
          <w:vertAlign w:val="superscript"/>
        </w:rPr>
        <w:t>ST</w:t>
      </w:r>
      <w:r w:rsidRPr="00567BCA">
        <w:rPr>
          <w:rFonts w:ascii="Times New Roman" w:hAnsi="Times New Roman" w:cs="Times New Roman"/>
          <w:sz w:val="26"/>
          <w:szCs w:val="26"/>
        </w:rPr>
        <w:t xml:space="preserve"> RESPONDENT:</w:t>
      </w:r>
      <w:r w:rsidR="00E22579">
        <w:rPr>
          <w:rFonts w:ascii="Times New Roman" w:hAnsi="Times New Roman" w:cs="Times New Roman"/>
          <w:sz w:val="26"/>
          <w:szCs w:val="26"/>
        </w:rPr>
        <w:t xml:space="preserve">  F M MOLOI ATTORNEYS</w:t>
      </w:r>
    </w:p>
    <w:p w14:paraId="2F752A08" w14:textId="77777777" w:rsidR="00E22579" w:rsidRDefault="00E22579" w:rsidP="004E4914">
      <w:pPr>
        <w:pStyle w:val="ListParagraph"/>
        <w:spacing w:line="480" w:lineRule="auto"/>
        <w:ind w:left="851"/>
        <w:rPr>
          <w:rFonts w:ascii="Times New Roman" w:hAnsi="Times New Roman" w:cs="Times New Roman"/>
          <w:sz w:val="26"/>
          <w:szCs w:val="26"/>
        </w:rPr>
      </w:pPr>
    </w:p>
    <w:p w14:paraId="4E847FD2" w14:textId="000B6FB7" w:rsidR="003D66D6" w:rsidRPr="00567BCA" w:rsidRDefault="003D66D6" w:rsidP="004E4914">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 xml:space="preserve">DATE HEARD: </w:t>
      </w:r>
      <w:r w:rsidRPr="00567BCA">
        <w:rPr>
          <w:rFonts w:ascii="Times New Roman" w:hAnsi="Times New Roman" w:cs="Times New Roman"/>
          <w:sz w:val="26"/>
          <w:szCs w:val="26"/>
        </w:rPr>
        <w:tab/>
      </w:r>
      <w:r w:rsidRPr="00567BCA">
        <w:rPr>
          <w:rFonts w:ascii="Times New Roman" w:hAnsi="Times New Roman" w:cs="Times New Roman"/>
          <w:sz w:val="26"/>
          <w:szCs w:val="26"/>
        </w:rPr>
        <w:tab/>
      </w:r>
      <w:r w:rsidRPr="00567BCA">
        <w:rPr>
          <w:rFonts w:ascii="Times New Roman" w:hAnsi="Times New Roman" w:cs="Times New Roman"/>
          <w:sz w:val="26"/>
          <w:szCs w:val="26"/>
        </w:rPr>
        <w:tab/>
      </w:r>
      <w:r w:rsidRPr="00567BCA">
        <w:rPr>
          <w:rFonts w:ascii="Times New Roman" w:hAnsi="Times New Roman" w:cs="Times New Roman"/>
          <w:sz w:val="26"/>
          <w:szCs w:val="26"/>
        </w:rPr>
        <w:tab/>
      </w:r>
      <w:r w:rsidR="00773CA1" w:rsidRPr="00567BCA">
        <w:rPr>
          <w:rFonts w:ascii="Times New Roman" w:hAnsi="Times New Roman" w:cs="Times New Roman"/>
          <w:sz w:val="26"/>
          <w:szCs w:val="26"/>
        </w:rPr>
        <w:tab/>
      </w:r>
      <w:r w:rsidR="00E22579">
        <w:rPr>
          <w:rFonts w:ascii="Times New Roman" w:hAnsi="Times New Roman" w:cs="Times New Roman"/>
          <w:sz w:val="26"/>
          <w:szCs w:val="26"/>
        </w:rPr>
        <w:t xml:space="preserve">23 November </w:t>
      </w:r>
      <w:r w:rsidRPr="00567BCA">
        <w:rPr>
          <w:rFonts w:ascii="Times New Roman" w:hAnsi="Times New Roman" w:cs="Times New Roman"/>
          <w:sz w:val="26"/>
          <w:szCs w:val="26"/>
        </w:rPr>
        <w:t>2022</w:t>
      </w:r>
    </w:p>
    <w:p w14:paraId="08034E94" w14:textId="1ED7341A" w:rsidR="00575458" w:rsidRPr="00567BCA" w:rsidRDefault="00773CA1" w:rsidP="00AE33A3">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DATE OF JUDGMENT:</w:t>
      </w:r>
      <w:r w:rsidRPr="00567BCA">
        <w:rPr>
          <w:rFonts w:ascii="Times New Roman" w:hAnsi="Times New Roman" w:cs="Times New Roman"/>
          <w:sz w:val="26"/>
          <w:szCs w:val="26"/>
        </w:rPr>
        <w:tab/>
      </w:r>
      <w:r w:rsidRPr="00567BCA">
        <w:rPr>
          <w:rFonts w:ascii="Times New Roman" w:hAnsi="Times New Roman" w:cs="Times New Roman"/>
          <w:sz w:val="26"/>
          <w:szCs w:val="26"/>
        </w:rPr>
        <w:tab/>
      </w:r>
      <w:r w:rsidRPr="00567BCA">
        <w:rPr>
          <w:rFonts w:ascii="Times New Roman" w:hAnsi="Times New Roman" w:cs="Times New Roman"/>
          <w:sz w:val="26"/>
          <w:szCs w:val="26"/>
        </w:rPr>
        <w:tab/>
      </w:r>
      <w:r w:rsidRPr="00567BCA">
        <w:rPr>
          <w:rFonts w:ascii="Times New Roman" w:hAnsi="Times New Roman" w:cs="Times New Roman"/>
          <w:sz w:val="26"/>
          <w:szCs w:val="26"/>
        </w:rPr>
        <w:tab/>
      </w:r>
      <w:r w:rsidR="00E22579">
        <w:rPr>
          <w:rFonts w:ascii="Times New Roman" w:hAnsi="Times New Roman" w:cs="Times New Roman"/>
          <w:sz w:val="26"/>
          <w:szCs w:val="26"/>
        </w:rPr>
        <w:t xml:space="preserve">7 December </w:t>
      </w:r>
      <w:r w:rsidRPr="00567BCA">
        <w:rPr>
          <w:rFonts w:ascii="Times New Roman" w:hAnsi="Times New Roman" w:cs="Times New Roman"/>
          <w:sz w:val="26"/>
          <w:szCs w:val="26"/>
        </w:rPr>
        <w:t>2022</w:t>
      </w:r>
    </w:p>
    <w:sectPr w:rsidR="00575458" w:rsidRPr="00567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CE8"/>
    <w:multiLevelType w:val="multilevel"/>
    <w:tmpl w:val="7586FBBA"/>
    <w:lvl w:ilvl="0">
      <w:start w:val="1"/>
      <w:numFmt w:val="decimal"/>
      <w:lvlText w:val="%1."/>
      <w:lvlJc w:val="left"/>
      <w:pPr>
        <w:ind w:left="851" w:hanging="851"/>
      </w:pPr>
      <w:rPr>
        <w:rFonts w:ascii="Times New Roman" w:hAnsi="Times New Roman" w:cs="Times New Roman" w:hint="default"/>
        <w:b w:val="0"/>
        <w:i w:val="0"/>
        <w:sz w:val="24"/>
      </w:rPr>
    </w:lvl>
    <w:lvl w:ilvl="1">
      <w:start w:val="1"/>
      <w:numFmt w:val="decimal"/>
      <w:lvlText w:val="%1.%2."/>
      <w:lvlJc w:val="left"/>
      <w:pPr>
        <w:tabs>
          <w:tab w:val="num" w:pos="1418"/>
        </w:tabs>
        <w:ind w:left="1418" w:hanging="1418"/>
      </w:pPr>
      <w:rPr>
        <w:rFonts w:ascii="Times New Roman" w:hAnsi="Times New Roman" w:cs="Times New Roman" w:hint="default"/>
        <w:b w:val="0"/>
        <w:i w:val="0"/>
        <w:sz w:val="24"/>
      </w:rPr>
    </w:lvl>
    <w:lvl w:ilvl="2">
      <w:start w:val="1"/>
      <w:numFmt w:val="decimal"/>
      <w:lvlText w:val="%1.%2.%3."/>
      <w:lvlJc w:val="left"/>
      <w:pPr>
        <w:tabs>
          <w:tab w:val="num" w:pos="1985"/>
        </w:tabs>
        <w:ind w:left="1985" w:hanging="1985"/>
      </w:pPr>
      <w:rPr>
        <w:rFonts w:hint="default"/>
      </w:rPr>
    </w:lvl>
    <w:lvl w:ilvl="3">
      <w:start w:val="1"/>
      <w:numFmt w:val="decimal"/>
      <w:lvlText w:val="%1.%2.%3.%4."/>
      <w:lvlJc w:val="left"/>
      <w:pPr>
        <w:tabs>
          <w:tab w:val="num" w:pos="2552"/>
        </w:tabs>
        <w:ind w:left="2552" w:hanging="2552"/>
      </w:pPr>
      <w:rPr>
        <w:rFonts w:hint="default"/>
      </w:rPr>
    </w:lvl>
    <w:lvl w:ilvl="4">
      <w:start w:val="1"/>
      <w:numFmt w:val="decimal"/>
      <w:lvlText w:val="%1.%2.%3.%4.%5."/>
      <w:lvlJc w:val="left"/>
      <w:pPr>
        <w:tabs>
          <w:tab w:val="num" w:pos="3119"/>
        </w:tabs>
        <w:ind w:left="3119" w:hanging="3119"/>
      </w:pPr>
      <w:rPr>
        <w:rFonts w:hint="default"/>
      </w:rPr>
    </w:lvl>
    <w:lvl w:ilvl="5">
      <w:start w:val="1"/>
      <w:numFmt w:val="decimal"/>
      <w:lvlText w:val="%1.%2.%3.%4.%5.%6."/>
      <w:lvlJc w:val="left"/>
      <w:pPr>
        <w:tabs>
          <w:tab w:val="num" w:pos="3686"/>
        </w:tabs>
        <w:ind w:left="3686" w:hanging="3686"/>
      </w:pPr>
      <w:rPr>
        <w:rFonts w:hint="default"/>
      </w:rPr>
    </w:lvl>
    <w:lvl w:ilvl="6">
      <w:start w:val="1"/>
      <w:numFmt w:val="decimal"/>
      <w:lvlText w:val="%1.%2.%3.%4.%5.%6.%7."/>
      <w:lvlJc w:val="left"/>
      <w:pPr>
        <w:tabs>
          <w:tab w:val="num" w:pos="4253"/>
        </w:tabs>
        <w:ind w:left="4253" w:hanging="4253"/>
      </w:pPr>
      <w:rPr>
        <w:rFonts w:hint="default"/>
      </w:rPr>
    </w:lvl>
    <w:lvl w:ilvl="7">
      <w:start w:val="1"/>
      <w:numFmt w:val="decimal"/>
      <w:lvlText w:val="%1.%2.%3.%4.%5.%6.%7.%8."/>
      <w:lvlJc w:val="left"/>
      <w:pPr>
        <w:tabs>
          <w:tab w:val="num" w:pos="4820"/>
        </w:tabs>
        <w:ind w:left="4820" w:hanging="4820"/>
      </w:pPr>
      <w:rPr>
        <w:rFonts w:hint="default"/>
      </w:rPr>
    </w:lvl>
    <w:lvl w:ilvl="8">
      <w:start w:val="1"/>
      <w:numFmt w:val="decimal"/>
      <w:lvlText w:val="%1.%2.%3.%4.%5.%6.%7.%8.%9."/>
      <w:lvlJc w:val="left"/>
      <w:pPr>
        <w:tabs>
          <w:tab w:val="num" w:pos="5387"/>
        </w:tabs>
        <w:ind w:left="5387" w:hanging="5387"/>
      </w:pPr>
      <w:rPr>
        <w:rFonts w:hint="default"/>
      </w:rPr>
    </w:lvl>
  </w:abstractNum>
  <w:abstractNum w:abstractNumId="1"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81480798">
    <w:abstractNumId w:val="1"/>
  </w:num>
  <w:num w:numId="2" w16cid:durableId="140098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0E"/>
    <w:rsid w:val="0000462B"/>
    <w:rsid w:val="000629D7"/>
    <w:rsid w:val="000A6AD9"/>
    <w:rsid w:val="001312A8"/>
    <w:rsid w:val="00170DC6"/>
    <w:rsid w:val="00192277"/>
    <w:rsid w:val="001A1519"/>
    <w:rsid w:val="001F5083"/>
    <w:rsid w:val="00245192"/>
    <w:rsid w:val="00284634"/>
    <w:rsid w:val="00340D42"/>
    <w:rsid w:val="00350125"/>
    <w:rsid w:val="003D66D6"/>
    <w:rsid w:val="003F1DDC"/>
    <w:rsid w:val="004C7C52"/>
    <w:rsid w:val="004E1BDB"/>
    <w:rsid w:val="004E4914"/>
    <w:rsid w:val="005025CD"/>
    <w:rsid w:val="00511F3B"/>
    <w:rsid w:val="00554685"/>
    <w:rsid w:val="00567BCA"/>
    <w:rsid w:val="00575458"/>
    <w:rsid w:val="005C229F"/>
    <w:rsid w:val="005F5652"/>
    <w:rsid w:val="00642BF2"/>
    <w:rsid w:val="006614AC"/>
    <w:rsid w:val="00664294"/>
    <w:rsid w:val="00691CF7"/>
    <w:rsid w:val="007021FA"/>
    <w:rsid w:val="007028BA"/>
    <w:rsid w:val="00717B7A"/>
    <w:rsid w:val="00757C21"/>
    <w:rsid w:val="00773CA1"/>
    <w:rsid w:val="007B230E"/>
    <w:rsid w:val="00813F51"/>
    <w:rsid w:val="00832932"/>
    <w:rsid w:val="00860826"/>
    <w:rsid w:val="008A5A4A"/>
    <w:rsid w:val="008F2730"/>
    <w:rsid w:val="008F54A6"/>
    <w:rsid w:val="00902CD2"/>
    <w:rsid w:val="0094190A"/>
    <w:rsid w:val="00943C99"/>
    <w:rsid w:val="00944675"/>
    <w:rsid w:val="00962647"/>
    <w:rsid w:val="00965C75"/>
    <w:rsid w:val="009A7F63"/>
    <w:rsid w:val="009D5196"/>
    <w:rsid w:val="00A2132A"/>
    <w:rsid w:val="00A3690A"/>
    <w:rsid w:val="00A62ADA"/>
    <w:rsid w:val="00A8507C"/>
    <w:rsid w:val="00AA020E"/>
    <w:rsid w:val="00AE33A3"/>
    <w:rsid w:val="00B96319"/>
    <w:rsid w:val="00BB2FC6"/>
    <w:rsid w:val="00BD0104"/>
    <w:rsid w:val="00BD6718"/>
    <w:rsid w:val="00C470C3"/>
    <w:rsid w:val="00C73748"/>
    <w:rsid w:val="00CD2C2A"/>
    <w:rsid w:val="00D26BB4"/>
    <w:rsid w:val="00D603AD"/>
    <w:rsid w:val="00D9093D"/>
    <w:rsid w:val="00D9164A"/>
    <w:rsid w:val="00E0179B"/>
    <w:rsid w:val="00E22579"/>
    <w:rsid w:val="00E966C4"/>
    <w:rsid w:val="00EB2A8F"/>
    <w:rsid w:val="00F33E47"/>
    <w:rsid w:val="00FD7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A86"/>
  <w15:chartTrackingRefBased/>
  <w15:docId w15:val="{74FCFDD6-A6C5-4C79-ABE8-7A1297AE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0E"/>
    <w:pPr>
      <w:spacing w:after="368" w:line="379" w:lineRule="auto"/>
      <w:ind w:right="38" w:firstLine="9"/>
      <w:jc w:val="both"/>
    </w:pPr>
    <w:rPr>
      <w:rFonts w:ascii="Times New Roman" w:eastAsia="Times New Roman" w:hAnsi="Times New Roman" w:cs="Times New Roman"/>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A020E"/>
    <w:pPr>
      <w:spacing w:after="0" w:line="240" w:lineRule="auto"/>
    </w:pPr>
    <w:rPr>
      <w:rFonts w:eastAsiaTheme="minorEastAsia"/>
      <w:lang w:eastAsia="en-ZA"/>
    </w:rPr>
    <w:tblPr>
      <w:tblCellMar>
        <w:top w:w="0" w:type="dxa"/>
        <w:left w:w="0" w:type="dxa"/>
        <w:bottom w:w="0" w:type="dxa"/>
        <w:right w:w="0" w:type="dxa"/>
      </w:tblCellMar>
    </w:tblPr>
  </w:style>
  <w:style w:type="paragraph" w:styleId="ListParagraph">
    <w:name w:val="List Paragraph"/>
    <w:basedOn w:val="Normal"/>
    <w:uiPriority w:val="34"/>
    <w:qFormat/>
    <w:rsid w:val="00AA020E"/>
    <w:pPr>
      <w:spacing w:after="0" w:line="240" w:lineRule="auto"/>
      <w:ind w:left="720" w:right="0" w:firstLine="0"/>
      <w:contextualSpacing/>
      <w:jc w:val="left"/>
    </w:pPr>
    <w:rPr>
      <w:rFonts w:asciiTheme="minorHAnsi" w:eastAsiaTheme="minorHAnsi" w:hAnsiTheme="minorHAnsi" w:cstheme="minorBidi"/>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Ross</dc:creator>
  <cp:keywords/>
  <dc:description/>
  <cp:lastModifiedBy>Mariana Anguelov</cp:lastModifiedBy>
  <cp:revision>3</cp:revision>
  <dcterms:created xsi:type="dcterms:W3CDTF">2022-12-19T06:42:00Z</dcterms:created>
  <dcterms:modified xsi:type="dcterms:W3CDTF">2022-12-20T18:24:00Z</dcterms:modified>
</cp:coreProperties>
</file>