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70C6" w14:textId="77777777" w:rsidR="00A81108" w:rsidRPr="00A81108" w:rsidRDefault="00A81108" w:rsidP="00A81108">
      <w:pPr>
        <w:spacing w:after="120" w:line="360" w:lineRule="auto"/>
        <w:jc w:val="center"/>
        <w:rPr>
          <w:rFonts w:cs="Arial"/>
          <w:b/>
          <w:bCs/>
          <w:sz w:val="22"/>
        </w:rPr>
      </w:pPr>
      <w:r w:rsidRPr="00A81108">
        <w:rPr>
          <w:rFonts w:cs="Arial"/>
          <w:b/>
          <w:bCs/>
          <w:noProof/>
          <w:sz w:val="22"/>
          <w:lang w:eastAsia="en-ZA"/>
        </w:rPr>
        <w:drawing>
          <wp:inline distT="0" distB="0" distL="0" distR="0" wp14:anchorId="2B64A419" wp14:editId="4EF81AB7">
            <wp:extent cx="1536065" cy="1536065"/>
            <wp:effectExtent l="0" t="0" r="6985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73EC2" w14:textId="77777777" w:rsidR="00A81108" w:rsidRPr="00A81108" w:rsidRDefault="00A81108" w:rsidP="00A81108">
      <w:pPr>
        <w:jc w:val="center"/>
        <w:rPr>
          <w:b/>
          <w:sz w:val="22"/>
        </w:rPr>
      </w:pPr>
      <w:r w:rsidRPr="00A81108">
        <w:rPr>
          <w:b/>
          <w:sz w:val="22"/>
        </w:rPr>
        <w:t xml:space="preserve">IN THE HIGH COURT OF SOUTH AFRICA, </w:t>
      </w:r>
    </w:p>
    <w:p w14:paraId="614F88B8" w14:textId="77777777" w:rsidR="00A81108" w:rsidRPr="00A81108" w:rsidRDefault="00A81108" w:rsidP="00A81108">
      <w:pPr>
        <w:jc w:val="center"/>
        <w:rPr>
          <w:b/>
          <w:sz w:val="22"/>
        </w:rPr>
      </w:pPr>
      <w:r w:rsidRPr="00A81108">
        <w:rPr>
          <w:b/>
          <w:sz w:val="22"/>
        </w:rPr>
        <w:t>GAUTENG LOCAL DIVISION, JOHANNESBURG</w:t>
      </w:r>
    </w:p>
    <w:p w14:paraId="433CD86E" w14:textId="77777777" w:rsidR="00A81108" w:rsidRPr="00A81108" w:rsidRDefault="00A81108" w:rsidP="00A81108">
      <w:pPr>
        <w:jc w:val="both"/>
        <w:rPr>
          <w:b/>
          <w:sz w:val="22"/>
        </w:rPr>
      </w:pPr>
    </w:p>
    <w:p w14:paraId="1047C8C8" w14:textId="77777777" w:rsidR="00A81108" w:rsidRPr="00A81108" w:rsidRDefault="00A81108" w:rsidP="00A81108">
      <w:pPr>
        <w:spacing w:line="360" w:lineRule="auto"/>
        <w:jc w:val="right"/>
        <w:rPr>
          <w:b/>
          <w:sz w:val="22"/>
        </w:rPr>
      </w:pPr>
      <w:r w:rsidRPr="00A81108">
        <w:rPr>
          <w:b/>
          <w:sz w:val="22"/>
        </w:rPr>
        <w:t>CASE NO:</w:t>
      </w:r>
      <w:r w:rsidR="001B6246">
        <w:rPr>
          <w:b/>
          <w:sz w:val="22"/>
        </w:rPr>
        <w:t>2021/52237</w:t>
      </w:r>
      <w:r w:rsidRPr="00A81108">
        <w:rPr>
          <w:b/>
          <w:sz w:val="22"/>
        </w:rPr>
        <w:t xml:space="preserve">  </w:t>
      </w:r>
    </w:p>
    <w:p w14:paraId="2CEE6BD0" w14:textId="77777777" w:rsidR="00A81108" w:rsidRPr="00A81108" w:rsidRDefault="00A81108" w:rsidP="00A81108">
      <w:pPr>
        <w:spacing w:line="360" w:lineRule="auto"/>
        <w:jc w:val="right"/>
        <w:rPr>
          <w:sz w:val="22"/>
        </w:rPr>
      </w:pPr>
      <w:r w:rsidRPr="00A81108">
        <w:rPr>
          <w:noProof/>
          <w:sz w:val="22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5AAD6" wp14:editId="03178ABE">
                <wp:simplePos x="0" y="0"/>
                <wp:positionH relativeFrom="column">
                  <wp:posOffset>-4445</wp:posOffset>
                </wp:positionH>
                <wp:positionV relativeFrom="paragraph">
                  <wp:posOffset>47189</wp:posOffset>
                </wp:positionV>
                <wp:extent cx="3314700" cy="13716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E237" w14:textId="77777777" w:rsidR="00A81108" w:rsidRPr="00913F95" w:rsidRDefault="00A81108" w:rsidP="00A811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AA0636" w14:textId="70FF0735" w:rsidR="00A81108" w:rsidRDefault="00864603" w:rsidP="00864603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811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79BD223A" w14:textId="06AB3438" w:rsidR="00A81108" w:rsidRPr="00913F95" w:rsidRDefault="00864603" w:rsidP="00864603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81108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</w:t>
                            </w:r>
                            <w:r w:rsidR="00A811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81108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7D6F863" w14:textId="778A1096" w:rsidR="00A81108" w:rsidRPr="00913F95" w:rsidRDefault="00864603" w:rsidP="00864603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81108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  <w:r w:rsidR="00A811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03EEC4" w14:textId="77777777" w:rsidR="00A81108" w:rsidRDefault="00A81108" w:rsidP="00A8110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EBB842" w14:textId="77777777" w:rsidR="00A81108" w:rsidRPr="00C656B0" w:rsidRDefault="00A81108" w:rsidP="00A811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C656B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E28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19</w:t>
                            </w:r>
                            <w:r w:rsidR="00C656B0" w:rsidRPr="00C656B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.12.2022</w:t>
                            </w:r>
                            <w:r w:rsidRPr="00C656B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C656B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C656B0" w:rsidRPr="00C656B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20089AC3" w14:textId="77777777" w:rsidR="00A81108" w:rsidRPr="00084341" w:rsidRDefault="00A81108" w:rsidP="00A811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5AA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5pt;margin-top:3.7pt;width:26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">
                <v:textbox>
                  <w:txbxContent>
                    <w:p w14:paraId="0D23E237" w14:textId="77777777" w:rsidR="00A81108" w:rsidRPr="00913F95" w:rsidRDefault="00A81108" w:rsidP="00A81108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4AA0636" w14:textId="70FF0735" w:rsidR="00A81108" w:rsidRDefault="00864603" w:rsidP="00864603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81108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79BD223A" w14:textId="06AB3438" w:rsidR="00A81108" w:rsidRPr="00913F95" w:rsidRDefault="00864603" w:rsidP="00864603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81108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</w:t>
                      </w:r>
                      <w:r w:rsidR="00A8110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="00A81108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67D6F863" w14:textId="778A1096" w:rsidR="00A81108" w:rsidRPr="00913F95" w:rsidRDefault="00864603" w:rsidP="00864603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81108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  <w:r w:rsidR="00A8110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03EEC4" w14:textId="77777777" w:rsidR="00A81108" w:rsidRDefault="00A81108" w:rsidP="00A8110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5AEBB842" w14:textId="77777777" w:rsidR="00A81108" w:rsidRPr="00C656B0" w:rsidRDefault="00A81108" w:rsidP="00A8110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C656B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AE286B">
                        <w:rPr>
                          <w:rFonts w:ascii="Century Gothic" w:hAnsi="Century Gothic"/>
                          <w:sz w:val="18"/>
                          <w:szCs w:val="18"/>
                        </w:rPr>
                        <w:t>19</w:t>
                      </w:r>
                      <w:r w:rsidR="00C656B0" w:rsidRPr="00C656B0">
                        <w:rPr>
                          <w:rFonts w:ascii="Century Gothic" w:hAnsi="Century Gothic"/>
                          <w:sz w:val="18"/>
                          <w:szCs w:val="18"/>
                        </w:rPr>
                        <w:t>.12.2022</w:t>
                      </w:r>
                      <w:r w:rsidRPr="00C656B0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C656B0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C656B0" w:rsidRPr="00C656B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20089AC3" w14:textId="77777777" w:rsidR="00A81108" w:rsidRPr="00084341" w:rsidRDefault="00A81108" w:rsidP="00A8110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1AAC528" w14:textId="77777777" w:rsidR="00A81108" w:rsidRPr="00A81108" w:rsidRDefault="00A81108" w:rsidP="00A81108">
      <w:pPr>
        <w:spacing w:line="360" w:lineRule="auto"/>
        <w:jc w:val="both"/>
        <w:rPr>
          <w:sz w:val="22"/>
        </w:rPr>
      </w:pPr>
    </w:p>
    <w:p w14:paraId="1F5A6B05" w14:textId="77777777" w:rsidR="00A81108" w:rsidRPr="00A81108" w:rsidRDefault="00A81108" w:rsidP="00A81108">
      <w:pPr>
        <w:spacing w:line="360" w:lineRule="auto"/>
        <w:jc w:val="both"/>
        <w:rPr>
          <w:sz w:val="22"/>
        </w:rPr>
      </w:pPr>
    </w:p>
    <w:p w14:paraId="6AC87056" w14:textId="77777777" w:rsidR="00A81108" w:rsidRPr="00A81108" w:rsidRDefault="00A81108" w:rsidP="00A81108">
      <w:pPr>
        <w:spacing w:line="360" w:lineRule="auto"/>
        <w:jc w:val="both"/>
        <w:rPr>
          <w:sz w:val="22"/>
        </w:rPr>
      </w:pPr>
    </w:p>
    <w:p w14:paraId="268A850F" w14:textId="77777777" w:rsidR="00A81108" w:rsidRPr="00A81108" w:rsidRDefault="00A81108" w:rsidP="00A81108">
      <w:pPr>
        <w:spacing w:line="480" w:lineRule="auto"/>
        <w:jc w:val="both"/>
        <w:rPr>
          <w:sz w:val="22"/>
        </w:rPr>
      </w:pPr>
    </w:p>
    <w:p w14:paraId="2B1F66FE" w14:textId="77777777" w:rsidR="00A81108" w:rsidRPr="00A81108" w:rsidRDefault="00A81108" w:rsidP="00A81108">
      <w:pPr>
        <w:spacing w:line="480" w:lineRule="auto"/>
        <w:jc w:val="both"/>
        <w:rPr>
          <w:sz w:val="22"/>
        </w:rPr>
      </w:pPr>
    </w:p>
    <w:p w14:paraId="6EBEF03E" w14:textId="77777777" w:rsidR="00A81108" w:rsidRPr="00A81108" w:rsidRDefault="00A81108" w:rsidP="00A81108">
      <w:pPr>
        <w:spacing w:line="480" w:lineRule="auto"/>
        <w:jc w:val="both"/>
        <w:rPr>
          <w:rFonts w:cs="Arial"/>
          <w:sz w:val="22"/>
          <w:szCs w:val="22"/>
        </w:rPr>
      </w:pPr>
      <w:r w:rsidRPr="00A81108">
        <w:rPr>
          <w:rFonts w:cs="Arial"/>
          <w:sz w:val="22"/>
          <w:szCs w:val="22"/>
        </w:rPr>
        <w:t>In the matter between:</w:t>
      </w:r>
    </w:p>
    <w:p w14:paraId="2E136FCA" w14:textId="77777777" w:rsidR="00A81108" w:rsidRPr="00A81108" w:rsidRDefault="00A81108" w:rsidP="00A81108">
      <w:pPr>
        <w:spacing w:line="48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78"/>
        <w:gridCol w:w="2373"/>
      </w:tblGrid>
      <w:tr w:rsidR="00A81108" w:rsidRPr="00A81108" w14:paraId="607E9D85" w14:textId="77777777" w:rsidTr="008A04EF">
        <w:tc>
          <w:tcPr>
            <w:tcW w:w="6345" w:type="dxa"/>
          </w:tcPr>
          <w:p w14:paraId="3AB45633" w14:textId="77777777" w:rsidR="00A81108" w:rsidRPr="00A81108" w:rsidRDefault="00AD19A0" w:rsidP="00AD19A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MOFOKENG</w:t>
            </w:r>
            <w:r w:rsidR="00F074C1">
              <w:rPr>
                <w:rFonts w:cs="Arial"/>
                <w:b/>
                <w:bCs/>
                <w:sz w:val="22"/>
                <w:szCs w:val="22"/>
              </w:rPr>
              <w:t>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JEREMIA</w:t>
            </w:r>
            <w:r w:rsidR="00F074C1">
              <w:rPr>
                <w:rFonts w:cs="Arial"/>
                <w:b/>
                <w:bCs/>
                <w:sz w:val="22"/>
                <w:szCs w:val="22"/>
              </w:rPr>
              <w:t>H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LETS</w:t>
            </w:r>
            <w:r w:rsidR="00C656B0">
              <w:rPr>
                <w:rFonts w:cs="Arial"/>
                <w:b/>
                <w:bCs/>
                <w:sz w:val="22"/>
                <w:szCs w:val="22"/>
              </w:rPr>
              <w:t>H</w:t>
            </w:r>
            <w:r>
              <w:rPr>
                <w:rFonts w:cs="Arial"/>
                <w:b/>
                <w:bCs/>
                <w:sz w:val="22"/>
                <w:szCs w:val="22"/>
              </w:rPr>
              <w:t>ELA</w:t>
            </w:r>
          </w:p>
        </w:tc>
        <w:tc>
          <w:tcPr>
            <w:tcW w:w="2410" w:type="dxa"/>
          </w:tcPr>
          <w:p w14:paraId="335BB6BF" w14:textId="77777777" w:rsidR="00A81108" w:rsidRPr="00A81108" w:rsidRDefault="00A81108" w:rsidP="00A81108">
            <w:pPr>
              <w:jc w:val="right"/>
              <w:rPr>
                <w:rFonts w:cs="Arial"/>
                <w:sz w:val="22"/>
                <w:szCs w:val="22"/>
              </w:rPr>
            </w:pPr>
            <w:r w:rsidRPr="00A81108">
              <w:rPr>
                <w:rFonts w:cs="Arial"/>
                <w:sz w:val="22"/>
                <w:szCs w:val="22"/>
              </w:rPr>
              <w:t>Applicant</w:t>
            </w:r>
          </w:p>
        </w:tc>
      </w:tr>
      <w:tr w:rsidR="00A81108" w:rsidRPr="00A81108" w14:paraId="778FA5EA" w14:textId="77777777" w:rsidTr="008A04EF">
        <w:tc>
          <w:tcPr>
            <w:tcW w:w="6345" w:type="dxa"/>
          </w:tcPr>
          <w:p w14:paraId="746DD2E0" w14:textId="77777777" w:rsidR="00A81108" w:rsidRPr="00A81108" w:rsidRDefault="00A81108" w:rsidP="00A81108">
            <w:pPr>
              <w:rPr>
                <w:sz w:val="22"/>
                <w:szCs w:val="22"/>
              </w:rPr>
            </w:pPr>
          </w:p>
          <w:p w14:paraId="343FDA3B" w14:textId="77777777" w:rsidR="00A81108" w:rsidRPr="00A81108" w:rsidRDefault="00A81108" w:rsidP="00A8110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0A3D0D8" w14:textId="77777777" w:rsidR="00A81108" w:rsidRPr="00A81108" w:rsidRDefault="00A81108" w:rsidP="00A81108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81108" w:rsidRPr="00A81108" w14:paraId="63C5EFF1" w14:textId="77777777" w:rsidTr="008A04EF">
        <w:tc>
          <w:tcPr>
            <w:tcW w:w="6345" w:type="dxa"/>
          </w:tcPr>
          <w:p w14:paraId="5CDCEBBB" w14:textId="77777777" w:rsidR="00A81108" w:rsidRPr="00A81108" w:rsidRDefault="00A81108" w:rsidP="00A81108">
            <w:pPr>
              <w:rPr>
                <w:sz w:val="22"/>
                <w:szCs w:val="22"/>
              </w:rPr>
            </w:pPr>
            <w:r w:rsidRPr="00A81108">
              <w:rPr>
                <w:sz w:val="22"/>
                <w:szCs w:val="22"/>
              </w:rPr>
              <w:t xml:space="preserve">and  </w:t>
            </w:r>
          </w:p>
        </w:tc>
        <w:tc>
          <w:tcPr>
            <w:tcW w:w="2410" w:type="dxa"/>
          </w:tcPr>
          <w:p w14:paraId="224C4A2A" w14:textId="77777777" w:rsidR="00A81108" w:rsidRPr="00A81108" w:rsidRDefault="00A81108" w:rsidP="00A81108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81108" w:rsidRPr="00A81108" w14:paraId="09573418" w14:textId="77777777" w:rsidTr="008A04EF">
        <w:tc>
          <w:tcPr>
            <w:tcW w:w="6345" w:type="dxa"/>
          </w:tcPr>
          <w:p w14:paraId="3B92E3B7" w14:textId="77777777" w:rsidR="00A81108" w:rsidRPr="00A81108" w:rsidRDefault="00A81108" w:rsidP="00A81108">
            <w:pPr>
              <w:rPr>
                <w:sz w:val="22"/>
                <w:szCs w:val="22"/>
              </w:rPr>
            </w:pPr>
          </w:p>
          <w:p w14:paraId="0D36C44B" w14:textId="77777777" w:rsidR="00A81108" w:rsidRPr="00A81108" w:rsidRDefault="00A81108" w:rsidP="00A8110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151870" w14:textId="77777777" w:rsidR="00A81108" w:rsidRPr="00A81108" w:rsidRDefault="00A81108" w:rsidP="00A81108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81108" w:rsidRPr="00A81108" w14:paraId="18F3C038" w14:textId="77777777" w:rsidTr="008A04EF">
        <w:tc>
          <w:tcPr>
            <w:tcW w:w="6345" w:type="dxa"/>
          </w:tcPr>
          <w:p w14:paraId="7176210E" w14:textId="77777777" w:rsidR="00A81108" w:rsidRPr="00AD19A0" w:rsidRDefault="00F074C1" w:rsidP="00A81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DIPHOLO EL</w:t>
            </w:r>
            <w:r w:rsidR="00AD19A0">
              <w:rPr>
                <w:b/>
                <w:sz w:val="22"/>
                <w:szCs w:val="22"/>
              </w:rPr>
              <w:t xml:space="preserve">IJAH </w:t>
            </w:r>
            <w:proofErr w:type="gramStart"/>
            <w:r w:rsidR="00AD19A0">
              <w:rPr>
                <w:b/>
                <w:sz w:val="22"/>
                <w:szCs w:val="22"/>
              </w:rPr>
              <w:t>LETSELA</w:t>
            </w:r>
            <w:r w:rsidR="00C656B0">
              <w:rPr>
                <w:b/>
                <w:sz w:val="22"/>
                <w:szCs w:val="22"/>
              </w:rPr>
              <w:t xml:space="preserve">  N.O.</w:t>
            </w:r>
            <w:proofErr w:type="gramEnd"/>
          </w:p>
        </w:tc>
        <w:tc>
          <w:tcPr>
            <w:tcW w:w="2410" w:type="dxa"/>
          </w:tcPr>
          <w:p w14:paraId="5BDF19F5" w14:textId="77777777" w:rsidR="00A81108" w:rsidRPr="00A81108" w:rsidRDefault="00BB280F" w:rsidP="00A8110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First </w:t>
            </w:r>
            <w:r w:rsidR="00A81108" w:rsidRPr="00A81108">
              <w:rPr>
                <w:rFonts w:cs="Arial"/>
                <w:sz w:val="22"/>
                <w:szCs w:val="22"/>
              </w:rPr>
              <w:t>Respondent</w:t>
            </w:r>
          </w:p>
        </w:tc>
      </w:tr>
      <w:tr w:rsidR="00BB280F" w:rsidRPr="00A81108" w14:paraId="06768032" w14:textId="77777777" w:rsidTr="008A04EF">
        <w:tc>
          <w:tcPr>
            <w:tcW w:w="6345" w:type="dxa"/>
          </w:tcPr>
          <w:p w14:paraId="5A21F39E" w14:textId="77777777" w:rsidR="00BB280F" w:rsidRDefault="00BB280F" w:rsidP="00A81108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8BD4FB" w14:textId="77777777" w:rsidR="00BB280F" w:rsidRDefault="00BB280F" w:rsidP="00A81108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B280F" w:rsidRPr="00A81108" w14:paraId="181DF0B6" w14:textId="77777777" w:rsidTr="008A04EF">
        <w:tc>
          <w:tcPr>
            <w:tcW w:w="6345" w:type="dxa"/>
          </w:tcPr>
          <w:p w14:paraId="0B20BDEE" w14:textId="77777777" w:rsidR="00BB280F" w:rsidRDefault="00BB280F" w:rsidP="00A81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EMFULENI LOCAL MUNICIPALITY</w:t>
            </w:r>
          </w:p>
        </w:tc>
        <w:tc>
          <w:tcPr>
            <w:tcW w:w="2410" w:type="dxa"/>
          </w:tcPr>
          <w:p w14:paraId="02231D0B" w14:textId="77777777" w:rsidR="00BB280F" w:rsidRDefault="00BB280F" w:rsidP="00A8110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Second Respondent</w:t>
            </w:r>
          </w:p>
        </w:tc>
      </w:tr>
    </w:tbl>
    <w:p w14:paraId="4FA8350F" w14:textId="77777777" w:rsidR="00A81108" w:rsidRPr="00A81108" w:rsidRDefault="00A81108" w:rsidP="00A81108">
      <w:pPr>
        <w:spacing w:line="360" w:lineRule="auto"/>
        <w:jc w:val="both"/>
        <w:rPr>
          <w:rFonts w:cs="Arial"/>
          <w:sz w:val="22"/>
          <w:szCs w:val="22"/>
        </w:rPr>
      </w:pPr>
    </w:p>
    <w:p w14:paraId="0308611C" w14:textId="77777777" w:rsidR="00A81108" w:rsidRPr="00A81108" w:rsidRDefault="00A81108" w:rsidP="00A81108">
      <w:pPr>
        <w:pBdr>
          <w:bottom w:val="single" w:sz="4" w:space="1" w:color="auto"/>
        </w:pBdr>
        <w:spacing w:line="360" w:lineRule="auto"/>
        <w:jc w:val="both"/>
        <w:rPr>
          <w:rFonts w:cs="Arial"/>
          <w:sz w:val="22"/>
          <w:szCs w:val="22"/>
        </w:rPr>
      </w:pPr>
    </w:p>
    <w:p w14:paraId="73822EC8" w14:textId="77777777" w:rsidR="00A81108" w:rsidRPr="00A81108" w:rsidRDefault="00A81108" w:rsidP="00A81108">
      <w:pPr>
        <w:spacing w:line="276" w:lineRule="auto"/>
        <w:jc w:val="both"/>
        <w:rPr>
          <w:rFonts w:cs="Arial"/>
          <w:sz w:val="22"/>
          <w:szCs w:val="22"/>
        </w:rPr>
      </w:pPr>
    </w:p>
    <w:p w14:paraId="6449B707" w14:textId="77777777" w:rsidR="00A81108" w:rsidRPr="00A81108" w:rsidRDefault="00A81108" w:rsidP="00A81108">
      <w:pPr>
        <w:keepNext/>
        <w:spacing w:line="276" w:lineRule="auto"/>
        <w:jc w:val="center"/>
        <w:outlineLvl w:val="1"/>
        <w:rPr>
          <w:rFonts w:cs="Arial"/>
          <w:b/>
          <w:bCs/>
          <w:sz w:val="22"/>
          <w:szCs w:val="22"/>
        </w:rPr>
      </w:pPr>
      <w:r w:rsidRPr="00A81108">
        <w:rPr>
          <w:rFonts w:cs="Arial"/>
          <w:b/>
          <w:bCs/>
          <w:sz w:val="22"/>
          <w:szCs w:val="22"/>
        </w:rPr>
        <w:t>JUDGMENT</w:t>
      </w:r>
    </w:p>
    <w:p w14:paraId="7AFF6892" w14:textId="77777777" w:rsidR="00A81108" w:rsidRPr="00A81108" w:rsidRDefault="00A81108" w:rsidP="00A81108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</w:p>
    <w:p w14:paraId="335BB1DC" w14:textId="77777777" w:rsidR="00A81108" w:rsidRPr="00A81108" w:rsidRDefault="00A81108" w:rsidP="00A81108">
      <w:pPr>
        <w:spacing w:after="480" w:line="480" w:lineRule="auto"/>
        <w:jc w:val="both"/>
        <w:rPr>
          <w:rFonts w:cs="Arial"/>
          <w:sz w:val="22"/>
          <w:szCs w:val="22"/>
        </w:rPr>
      </w:pPr>
    </w:p>
    <w:p w14:paraId="5FC31279" w14:textId="77777777" w:rsidR="00A81108" w:rsidRPr="00A81108" w:rsidRDefault="00A81108" w:rsidP="00A81108">
      <w:pPr>
        <w:spacing w:after="480" w:line="480" w:lineRule="auto"/>
        <w:jc w:val="both"/>
        <w:rPr>
          <w:rFonts w:cs="Arial"/>
          <w:b/>
          <w:sz w:val="22"/>
          <w:szCs w:val="22"/>
        </w:rPr>
      </w:pPr>
      <w:r w:rsidRPr="00A81108">
        <w:rPr>
          <w:rFonts w:cs="Arial"/>
          <w:b/>
          <w:sz w:val="22"/>
          <w:szCs w:val="22"/>
        </w:rPr>
        <w:t>CRUTCHFIELD J:</w:t>
      </w:r>
    </w:p>
    <w:p w14:paraId="59A885B8" w14:textId="783A8194" w:rsidR="00F074C1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lastRenderedPageBreak/>
        <w:t>[1]</w:t>
      </w:r>
      <w:r>
        <w:rPr>
          <w:rFonts w:cs="Arial"/>
          <w:bCs/>
          <w:sz w:val="21"/>
          <w:szCs w:val="21"/>
        </w:rPr>
        <w:tab/>
      </w:r>
      <w:r w:rsidR="00AD19A0">
        <w:rPr>
          <w:rFonts w:cs="Arial"/>
          <w:bCs/>
          <w:sz w:val="22"/>
          <w:szCs w:val="22"/>
        </w:rPr>
        <w:t>The applicant, Jeremia</w:t>
      </w:r>
      <w:r w:rsidR="00F074C1">
        <w:rPr>
          <w:rFonts w:cs="Arial"/>
          <w:bCs/>
          <w:sz w:val="22"/>
          <w:szCs w:val="22"/>
        </w:rPr>
        <w:t>h</w:t>
      </w:r>
      <w:r w:rsidR="00AD19A0">
        <w:rPr>
          <w:rFonts w:cs="Arial"/>
          <w:bCs/>
          <w:sz w:val="22"/>
          <w:szCs w:val="22"/>
        </w:rPr>
        <w:t xml:space="preserve"> </w:t>
      </w:r>
      <w:proofErr w:type="spellStart"/>
      <w:r w:rsidR="00AD19A0">
        <w:rPr>
          <w:rFonts w:cs="Arial"/>
          <w:bCs/>
          <w:sz w:val="22"/>
          <w:szCs w:val="22"/>
        </w:rPr>
        <w:t>Lets</w:t>
      </w:r>
      <w:r w:rsidR="00F074C1">
        <w:rPr>
          <w:rFonts w:cs="Arial"/>
          <w:bCs/>
          <w:sz w:val="22"/>
          <w:szCs w:val="22"/>
        </w:rPr>
        <w:t>hela</w:t>
      </w:r>
      <w:proofErr w:type="spellEnd"/>
      <w:r w:rsidR="00AD19A0">
        <w:rPr>
          <w:rFonts w:cs="Arial"/>
          <w:bCs/>
          <w:sz w:val="22"/>
          <w:szCs w:val="22"/>
        </w:rPr>
        <w:t xml:space="preserve"> </w:t>
      </w:r>
      <w:r w:rsidR="00F074C1">
        <w:rPr>
          <w:rFonts w:cs="Arial"/>
          <w:bCs/>
          <w:sz w:val="22"/>
          <w:szCs w:val="22"/>
        </w:rPr>
        <w:t xml:space="preserve">Mofokeng, </w:t>
      </w:r>
      <w:r w:rsidR="00AD19A0">
        <w:rPr>
          <w:rFonts w:cs="Arial"/>
          <w:bCs/>
          <w:sz w:val="22"/>
          <w:szCs w:val="22"/>
        </w:rPr>
        <w:t>brought</w:t>
      </w:r>
      <w:r w:rsidR="006F0143">
        <w:rPr>
          <w:rFonts w:cs="Arial"/>
          <w:bCs/>
          <w:sz w:val="22"/>
          <w:szCs w:val="22"/>
        </w:rPr>
        <w:t xml:space="preserve"> this application in two parts. Whilst part A formally came before me the applicant argued that the entire application was to be determined by me. </w:t>
      </w:r>
      <w:r w:rsidR="00AD19A0">
        <w:rPr>
          <w:rFonts w:cs="Arial"/>
          <w:bCs/>
          <w:sz w:val="22"/>
          <w:szCs w:val="22"/>
        </w:rPr>
        <w:t xml:space="preserve">The </w:t>
      </w:r>
      <w:r w:rsidR="00BB280F">
        <w:rPr>
          <w:rFonts w:cs="Arial"/>
          <w:bCs/>
          <w:sz w:val="22"/>
          <w:szCs w:val="22"/>
        </w:rPr>
        <w:t xml:space="preserve">first </w:t>
      </w:r>
      <w:r w:rsidR="00F074C1">
        <w:rPr>
          <w:rFonts w:cs="Arial"/>
          <w:bCs/>
          <w:sz w:val="22"/>
          <w:szCs w:val="22"/>
        </w:rPr>
        <w:t xml:space="preserve">respondent, </w:t>
      </w:r>
      <w:proofErr w:type="spellStart"/>
      <w:r w:rsidR="00F074C1">
        <w:rPr>
          <w:rFonts w:cs="Arial"/>
          <w:bCs/>
          <w:sz w:val="22"/>
          <w:szCs w:val="22"/>
        </w:rPr>
        <w:t>Dipholo</w:t>
      </w:r>
      <w:proofErr w:type="spellEnd"/>
      <w:r w:rsidR="00F074C1">
        <w:rPr>
          <w:rFonts w:cs="Arial"/>
          <w:bCs/>
          <w:sz w:val="22"/>
          <w:szCs w:val="22"/>
        </w:rPr>
        <w:t xml:space="preserve"> E</w:t>
      </w:r>
      <w:r w:rsidR="00AD19A0">
        <w:rPr>
          <w:rFonts w:cs="Arial"/>
          <w:bCs/>
          <w:sz w:val="22"/>
          <w:szCs w:val="22"/>
        </w:rPr>
        <w:t xml:space="preserve">lijah </w:t>
      </w:r>
      <w:proofErr w:type="spellStart"/>
      <w:r w:rsidR="00AD19A0">
        <w:rPr>
          <w:rFonts w:cs="Arial"/>
          <w:bCs/>
          <w:sz w:val="22"/>
          <w:szCs w:val="22"/>
        </w:rPr>
        <w:t>Letsela</w:t>
      </w:r>
      <w:proofErr w:type="spellEnd"/>
      <w:r w:rsidR="00C656B0">
        <w:rPr>
          <w:rFonts w:cs="Arial"/>
          <w:bCs/>
          <w:sz w:val="22"/>
          <w:szCs w:val="22"/>
        </w:rPr>
        <w:t xml:space="preserve"> N.O, cited </w:t>
      </w:r>
      <w:r w:rsidR="00F074C1">
        <w:rPr>
          <w:rFonts w:cs="Arial"/>
          <w:bCs/>
          <w:sz w:val="22"/>
          <w:szCs w:val="22"/>
        </w:rPr>
        <w:t xml:space="preserve">in the heading of the notice of motion </w:t>
      </w:r>
      <w:r w:rsidR="00345D5C">
        <w:rPr>
          <w:rFonts w:cs="Arial"/>
          <w:bCs/>
          <w:sz w:val="22"/>
          <w:szCs w:val="22"/>
        </w:rPr>
        <w:t xml:space="preserve">in his capacity as executor </w:t>
      </w:r>
      <w:r w:rsidR="00F074C1">
        <w:rPr>
          <w:rFonts w:cs="Arial"/>
          <w:bCs/>
          <w:sz w:val="22"/>
          <w:szCs w:val="22"/>
        </w:rPr>
        <w:t>but in his personal capacity in the founding papers,</w:t>
      </w:r>
      <w:r w:rsidR="00F074C1" w:rsidRPr="00F074C1">
        <w:rPr>
          <w:rFonts w:cs="Arial"/>
          <w:bCs/>
          <w:sz w:val="22"/>
          <w:szCs w:val="22"/>
        </w:rPr>
        <w:t xml:space="preserve"> </w:t>
      </w:r>
      <w:r w:rsidR="00F074C1">
        <w:rPr>
          <w:rFonts w:cs="Arial"/>
          <w:bCs/>
          <w:sz w:val="22"/>
          <w:szCs w:val="22"/>
        </w:rPr>
        <w:t>opposed the application.</w:t>
      </w:r>
      <w:r w:rsidR="00F074C1" w:rsidRPr="00F074C1">
        <w:rPr>
          <w:rFonts w:cs="Arial"/>
          <w:bCs/>
          <w:sz w:val="22"/>
          <w:szCs w:val="22"/>
        </w:rPr>
        <w:t xml:space="preserve"> </w:t>
      </w:r>
      <w:r w:rsidR="00F074C1">
        <w:rPr>
          <w:rFonts w:cs="Arial"/>
          <w:bCs/>
          <w:sz w:val="22"/>
          <w:szCs w:val="22"/>
        </w:rPr>
        <w:t xml:space="preserve">The second respondent, </w:t>
      </w:r>
      <w:r w:rsidR="00F074C1" w:rsidRPr="00C656B0">
        <w:rPr>
          <w:rFonts w:cs="Arial"/>
          <w:bCs/>
          <w:sz w:val="22"/>
          <w:szCs w:val="22"/>
        </w:rPr>
        <w:t>Emfuleni Local Municipality</w:t>
      </w:r>
      <w:r w:rsidR="00F074C1">
        <w:rPr>
          <w:rFonts w:cs="Arial"/>
          <w:bCs/>
          <w:sz w:val="22"/>
          <w:szCs w:val="22"/>
        </w:rPr>
        <w:t>, played no role in the application proceedings</w:t>
      </w:r>
      <w:r w:rsidR="005F2938">
        <w:rPr>
          <w:rFonts w:cs="Arial"/>
          <w:bCs/>
          <w:sz w:val="22"/>
          <w:szCs w:val="22"/>
        </w:rPr>
        <w:t xml:space="preserve"> and no relief was sought against it.    </w:t>
      </w:r>
    </w:p>
    <w:p w14:paraId="311ED4E9" w14:textId="64A3BA9A" w:rsidR="00F074C1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[2]</w:t>
      </w:r>
      <w:r>
        <w:rPr>
          <w:rFonts w:cs="Arial"/>
          <w:bCs/>
          <w:sz w:val="21"/>
          <w:szCs w:val="21"/>
        </w:rPr>
        <w:tab/>
      </w:r>
      <w:r w:rsidR="00345D5C">
        <w:rPr>
          <w:rFonts w:cs="Arial"/>
          <w:bCs/>
          <w:sz w:val="22"/>
          <w:szCs w:val="22"/>
        </w:rPr>
        <w:t>The</w:t>
      </w:r>
      <w:r w:rsidR="00F074C1" w:rsidRPr="00F074C1">
        <w:rPr>
          <w:rFonts w:cs="Arial"/>
          <w:bCs/>
          <w:sz w:val="22"/>
          <w:szCs w:val="22"/>
        </w:rPr>
        <w:t xml:space="preserve"> </w:t>
      </w:r>
      <w:r w:rsidR="00345D5C">
        <w:rPr>
          <w:rFonts w:cs="Arial"/>
          <w:bCs/>
          <w:sz w:val="22"/>
          <w:szCs w:val="22"/>
        </w:rPr>
        <w:t xml:space="preserve">deceased </w:t>
      </w:r>
      <w:r w:rsidR="00F074C1" w:rsidRPr="00F074C1">
        <w:rPr>
          <w:rFonts w:cs="Arial"/>
          <w:bCs/>
          <w:sz w:val="22"/>
          <w:szCs w:val="22"/>
        </w:rPr>
        <w:t xml:space="preserve">estate </w:t>
      </w:r>
      <w:r w:rsidR="00345D5C">
        <w:rPr>
          <w:rFonts w:cs="Arial"/>
          <w:bCs/>
          <w:sz w:val="22"/>
          <w:szCs w:val="22"/>
        </w:rPr>
        <w:t xml:space="preserve">to which the first respondent was appointed as executor </w:t>
      </w:r>
      <w:r w:rsidR="00F074C1" w:rsidRPr="00F074C1">
        <w:rPr>
          <w:rFonts w:cs="Arial"/>
          <w:bCs/>
          <w:sz w:val="22"/>
          <w:szCs w:val="22"/>
        </w:rPr>
        <w:t>was that of</w:t>
      </w:r>
      <w:r w:rsidR="00345D5C">
        <w:rPr>
          <w:rFonts w:cs="Arial"/>
          <w:bCs/>
          <w:sz w:val="22"/>
          <w:szCs w:val="22"/>
        </w:rPr>
        <w:t xml:space="preserve"> his father, </w:t>
      </w:r>
      <w:r w:rsidR="00C656B0" w:rsidRPr="00F074C1">
        <w:rPr>
          <w:rFonts w:cs="Arial"/>
          <w:bCs/>
          <w:sz w:val="22"/>
          <w:szCs w:val="22"/>
        </w:rPr>
        <w:t xml:space="preserve">the late </w:t>
      </w:r>
      <w:proofErr w:type="spellStart"/>
      <w:r w:rsidR="00F074C1" w:rsidRPr="00F074C1">
        <w:rPr>
          <w:rFonts w:cs="Arial"/>
          <w:bCs/>
          <w:sz w:val="22"/>
          <w:szCs w:val="22"/>
        </w:rPr>
        <w:t>Radipholo</w:t>
      </w:r>
      <w:proofErr w:type="spellEnd"/>
      <w:r w:rsidR="00F074C1" w:rsidRPr="00F074C1">
        <w:rPr>
          <w:rFonts w:cs="Arial"/>
          <w:bCs/>
          <w:sz w:val="22"/>
          <w:szCs w:val="22"/>
        </w:rPr>
        <w:t xml:space="preserve"> </w:t>
      </w:r>
      <w:r w:rsidR="00C656B0" w:rsidRPr="00F074C1">
        <w:rPr>
          <w:rFonts w:cs="Arial"/>
          <w:bCs/>
          <w:sz w:val="22"/>
          <w:szCs w:val="22"/>
        </w:rPr>
        <w:t xml:space="preserve">Jeremiah </w:t>
      </w:r>
      <w:proofErr w:type="spellStart"/>
      <w:r w:rsidR="00C656B0" w:rsidRPr="00F074C1">
        <w:rPr>
          <w:rFonts w:cs="Arial"/>
          <w:bCs/>
          <w:sz w:val="22"/>
          <w:szCs w:val="22"/>
        </w:rPr>
        <w:t>Letsela</w:t>
      </w:r>
      <w:proofErr w:type="spellEnd"/>
      <w:r w:rsidR="00C656B0" w:rsidRPr="00F074C1">
        <w:rPr>
          <w:rFonts w:cs="Arial"/>
          <w:bCs/>
          <w:sz w:val="22"/>
          <w:szCs w:val="22"/>
        </w:rPr>
        <w:t>,</w:t>
      </w:r>
      <w:r w:rsidR="00F074C1" w:rsidRPr="00F074C1">
        <w:rPr>
          <w:rFonts w:cs="Arial"/>
          <w:bCs/>
          <w:sz w:val="22"/>
          <w:szCs w:val="22"/>
        </w:rPr>
        <w:t xml:space="preserve"> </w:t>
      </w:r>
      <w:r w:rsidR="00680EB7">
        <w:rPr>
          <w:rFonts w:cs="Arial"/>
          <w:bCs/>
          <w:sz w:val="22"/>
          <w:szCs w:val="22"/>
        </w:rPr>
        <w:t>(‘</w:t>
      </w:r>
      <w:r w:rsidR="00680EB7" w:rsidRPr="00F074C1">
        <w:rPr>
          <w:rFonts w:cs="Arial"/>
          <w:bCs/>
          <w:sz w:val="22"/>
          <w:szCs w:val="22"/>
        </w:rPr>
        <w:t xml:space="preserve">the late </w:t>
      </w:r>
      <w:proofErr w:type="spellStart"/>
      <w:r w:rsidR="00680EB7" w:rsidRPr="00F074C1">
        <w:rPr>
          <w:rFonts w:cs="Arial"/>
          <w:bCs/>
          <w:sz w:val="22"/>
          <w:szCs w:val="22"/>
        </w:rPr>
        <w:t>Letsela</w:t>
      </w:r>
      <w:proofErr w:type="spellEnd"/>
      <w:r w:rsidR="00680EB7">
        <w:rPr>
          <w:rFonts w:cs="Arial"/>
          <w:bCs/>
          <w:sz w:val="22"/>
          <w:szCs w:val="22"/>
        </w:rPr>
        <w:t>’)</w:t>
      </w:r>
      <w:r w:rsidR="00680EB7" w:rsidRPr="00F074C1">
        <w:rPr>
          <w:rFonts w:cs="Arial"/>
          <w:bCs/>
          <w:sz w:val="22"/>
          <w:szCs w:val="22"/>
        </w:rPr>
        <w:t xml:space="preserve">, </w:t>
      </w:r>
      <w:r w:rsidR="00F074C1" w:rsidRPr="00F074C1">
        <w:rPr>
          <w:rFonts w:cs="Arial"/>
          <w:bCs/>
          <w:sz w:val="22"/>
          <w:szCs w:val="22"/>
        </w:rPr>
        <w:t xml:space="preserve">who passed away on 20 September 2020. </w:t>
      </w:r>
    </w:p>
    <w:p w14:paraId="06DACC29" w14:textId="7046BBE9" w:rsidR="005F2938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[3]</w:t>
      </w:r>
      <w:r>
        <w:rPr>
          <w:rFonts w:cs="Arial"/>
          <w:bCs/>
          <w:sz w:val="21"/>
          <w:szCs w:val="21"/>
        </w:rPr>
        <w:tab/>
      </w:r>
      <w:r w:rsidR="005F2938">
        <w:rPr>
          <w:rFonts w:cs="Arial"/>
          <w:bCs/>
          <w:sz w:val="22"/>
          <w:szCs w:val="22"/>
        </w:rPr>
        <w:t>The applicant, in part A of the application, sought r</w:t>
      </w:r>
      <w:r w:rsidR="005F2938" w:rsidRPr="005F2938">
        <w:rPr>
          <w:rFonts w:cs="Arial"/>
          <w:bCs/>
          <w:sz w:val="22"/>
          <w:szCs w:val="22"/>
        </w:rPr>
        <w:t xml:space="preserve">estoration of </w:t>
      </w:r>
      <w:r w:rsidR="00BB280F" w:rsidRPr="005F2938">
        <w:rPr>
          <w:rFonts w:cs="Arial"/>
          <w:bCs/>
          <w:sz w:val="22"/>
          <w:szCs w:val="22"/>
        </w:rPr>
        <w:t xml:space="preserve">possession of the business premises situated at 2C Adams Road, Everton, trading as </w:t>
      </w:r>
      <w:proofErr w:type="spellStart"/>
      <w:r w:rsidR="00BB280F" w:rsidRPr="005F2938">
        <w:rPr>
          <w:rFonts w:cs="Arial"/>
          <w:bCs/>
          <w:sz w:val="22"/>
          <w:szCs w:val="22"/>
        </w:rPr>
        <w:t>Maphodi</w:t>
      </w:r>
      <w:proofErr w:type="spellEnd"/>
      <w:r w:rsidR="00BB280F" w:rsidRPr="005F2938">
        <w:rPr>
          <w:rFonts w:cs="Arial"/>
          <w:bCs/>
          <w:sz w:val="22"/>
          <w:szCs w:val="22"/>
        </w:rPr>
        <w:t xml:space="preserve"> </w:t>
      </w:r>
      <w:proofErr w:type="spellStart"/>
      <w:r w:rsidR="005F2938" w:rsidRPr="005F2938">
        <w:rPr>
          <w:rFonts w:cs="Arial"/>
          <w:bCs/>
          <w:sz w:val="22"/>
          <w:szCs w:val="22"/>
        </w:rPr>
        <w:t>Drankwinkel</w:t>
      </w:r>
      <w:proofErr w:type="spellEnd"/>
      <w:r w:rsidR="005F2938" w:rsidRPr="005F2938">
        <w:rPr>
          <w:rFonts w:cs="Arial"/>
          <w:bCs/>
          <w:sz w:val="22"/>
          <w:szCs w:val="22"/>
        </w:rPr>
        <w:t>, under</w:t>
      </w:r>
      <w:r w:rsidR="00BB280F" w:rsidRPr="005F2938">
        <w:rPr>
          <w:rFonts w:cs="Arial"/>
          <w:bCs/>
          <w:sz w:val="22"/>
          <w:szCs w:val="22"/>
        </w:rPr>
        <w:t xml:space="preserve"> licence</w:t>
      </w:r>
      <w:r w:rsidR="005F2938" w:rsidRPr="005F2938">
        <w:rPr>
          <w:rFonts w:cs="Arial"/>
          <w:bCs/>
          <w:sz w:val="22"/>
          <w:szCs w:val="22"/>
        </w:rPr>
        <w:t xml:space="preserve"> number</w:t>
      </w:r>
      <w:r w:rsidR="00BB280F" w:rsidRPr="005F2938">
        <w:rPr>
          <w:rFonts w:cs="Arial"/>
          <w:bCs/>
          <w:sz w:val="22"/>
          <w:szCs w:val="22"/>
        </w:rPr>
        <w:t xml:space="preserve"> </w:t>
      </w:r>
      <w:r w:rsidR="005F2938" w:rsidRPr="005F2938">
        <w:rPr>
          <w:rFonts w:cs="Arial"/>
          <w:bCs/>
          <w:sz w:val="22"/>
          <w:szCs w:val="22"/>
        </w:rPr>
        <w:t>GAU3</w:t>
      </w:r>
      <w:r w:rsidR="00BB280F" w:rsidRPr="005F2938">
        <w:rPr>
          <w:rFonts w:cs="Arial"/>
          <w:bCs/>
          <w:sz w:val="22"/>
          <w:szCs w:val="22"/>
        </w:rPr>
        <w:t>00057C</w:t>
      </w:r>
      <w:r w:rsidR="005F2938" w:rsidRPr="005F2938">
        <w:rPr>
          <w:rFonts w:cs="Arial"/>
          <w:bCs/>
          <w:sz w:val="22"/>
          <w:szCs w:val="22"/>
        </w:rPr>
        <w:t xml:space="preserve">, by the first </w:t>
      </w:r>
      <w:r w:rsidR="005F2938">
        <w:rPr>
          <w:rFonts w:cs="Arial"/>
          <w:bCs/>
          <w:sz w:val="22"/>
          <w:szCs w:val="22"/>
        </w:rPr>
        <w:t xml:space="preserve">respondent, </w:t>
      </w:r>
      <w:r w:rsidR="005F2938" w:rsidRPr="005F2938">
        <w:rPr>
          <w:rFonts w:cs="Arial"/>
          <w:bCs/>
          <w:sz w:val="22"/>
          <w:szCs w:val="22"/>
        </w:rPr>
        <w:t>interdictory relief preventing the first respondent</w:t>
      </w:r>
      <w:r w:rsidR="00BB280F" w:rsidRPr="005F2938">
        <w:rPr>
          <w:rFonts w:cs="Arial"/>
          <w:bCs/>
          <w:sz w:val="22"/>
          <w:szCs w:val="22"/>
        </w:rPr>
        <w:t xml:space="preserve"> from disrupting the appli</w:t>
      </w:r>
      <w:r w:rsidR="005F2938" w:rsidRPr="005F2938">
        <w:rPr>
          <w:rFonts w:cs="Arial"/>
          <w:bCs/>
          <w:sz w:val="22"/>
          <w:szCs w:val="22"/>
        </w:rPr>
        <w:t xml:space="preserve">cant’s operations </w:t>
      </w:r>
      <w:r w:rsidR="00BB280F" w:rsidRPr="005F2938">
        <w:rPr>
          <w:rFonts w:cs="Arial"/>
          <w:bCs/>
          <w:sz w:val="22"/>
          <w:szCs w:val="22"/>
        </w:rPr>
        <w:t>and/or selling the liquor by public auction or in a</w:t>
      </w:r>
      <w:r w:rsidR="005F2938" w:rsidRPr="005F2938">
        <w:rPr>
          <w:rFonts w:cs="Arial"/>
          <w:bCs/>
          <w:sz w:val="22"/>
          <w:szCs w:val="22"/>
        </w:rPr>
        <w:t xml:space="preserve">ny other manner and </w:t>
      </w:r>
      <w:r w:rsidR="005F2938">
        <w:rPr>
          <w:rFonts w:cs="Arial"/>
          <w:bCs/>
          <w:sz w:val="22"/>
          <w:szCs w:val="22"/>
        </w:rPr>
        <w:t>costs of the</w:t>
      </w:r>
      <w:r w:rsidR="00BB280F" w:rsidRPr="005F2938">
        <w:rPr>
          <w:rFonts w:cs="Arial"/>
          <w:bCs/>
          <w:sz w:val="22"/>
          <w:szCs w:val="22"/>
        </w:rPr>
        <w:t xml:space="preserve"> application.</w:t>
      </w:r>
    </w:p>
    <w:p w14:paraId="12D6E863" w14:textId="15CCE3AA" w:rsidR="00BB280F" w:rsidRPr="005F2938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5F2938">
        <w:rPr>
          <w:rFonts w:cs="Arial"/>
          <w:bCs/>
          <w:sz w:val="21"/>
          <w:szCs w:val="21"/>
        </w:rPr>
        <w:t>[4]</w:t>
      </w:r>
      <w:r w:rsidRPr="005F2938">
        <w:rPr>
          <w:rFonts w:cs="Arial"/>
          <w:bCs/>
          <w:sz w:val="21"/>
          <w:szCs w:val="21"/>
        </w:rPr>
        <w:tab/>
      </w:r>
      <w:r w:rsidR="002251F6">
        <w:rPr>
          <w:rFonts w:cs="Arial"/>
          <w:bCs/>
          <w:sz w:val="22"/>
          <w:szCs w:val="22"/>
        </w:rPr>
        <w:t>T</w:t>
      </w:r>
      <w:r w:rsidR="005F2938">
        <w:rPr>
          <w:rFonts w:cs="Arial"/>
          <w:bCs/>
          <w:sz w:val="22"/>
          <w:szCs w:val="22"/>
        </w:rPr>
        <w:t xml:space="preserve">he applicant claimed </w:t>
      </w:r>
      <w:r w:rsidR="00BB280F" w:rsidRPr="005F2938">
        <w:rPr>
          <w:rFonts w:cs="Arial"/>
          <w:bCs/>
          <w:sz w:val="22"/>
          <w:szCs w:val="22"/>
        </w:rPr>
        <w:t xml:space="preserve">a rule </w:t>
      </w:r>
      <w:r w:rsidR="00BB280F" w:rsidRPr="005F2938">
        <w:rPr>
          <w:rFonts w:cs="Arial"/>
          <w:bCs/>
          <w:i/>
          <w:sz w:val="22"/>
          <w:szCs w:val="22"/>
        </w:rPr>
        <w:t>nisi</w:t>
      </w:r>
      <w:r w:rsidR="002251F6">
        <w:rPr>
          <w:rFonts w:cs="Arial"/>
          <w:bCs/>
          <w:sz w:val="22"/>
          <w:szCs w:val="22"/>
        </w:rPr>
        <w:t xml:space="preserve"> and a final interdict</w:t>
      </w:r>
      <w:r w:rsidR="00836AF5">
        <w:rPr>
          <w:rFonts w:cs="Arial"/>
          <w:bCs/>
          <w:sz w:val="22"/>
          <w:szCs w:val="22"/>
        </w:rPr>
        <w:t xml:space="preserve"> preventing the first respondent from interfering in the business</w:t>
      </w:r>
      <w:r w:rsidR="002251F6">
        <w:rPr>
          <w:rFonts w:cs="Arial"/>
          <w:bCs/>
          <w:sz w:val="22"/>
          <w:szCs w:val="22"/>
        </w:rPr>
        <w:t xml:space="preserve"> in p</w:t>
      </w:r>
      <w:r w:rsidR="002251F6" w:rsidRPr="005F2938">
        <w:rPr>
          <w:rFonts w:cs="Arial"/>
          <w:bCs/>
          <w:sz w:val="22"/>
          <w:szCs w:val="22"/>
        </w:rPr>
        <w:t>a</w:t>
      </w:r>
      <w:r w:rsidR="002251F6">
        <w:rPr>
          <w:rFonts w:cs="Arial"/>
          <w:bCs/>
          <w:sz w:val="22"/>
          <w:szCs w:val="22"/>
        </w:rPr>
        <w:t>rt B of the application,</w:t>
      </w:r>
    </w:p>
    <w:p w14:paraId="599DC6E0" w14:textId="5A76ACB8" w:rsidR="00BB280F" w:rsidRPr="000B4AC9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0B4AC9">
        <w:rPr>
          <w:rFonts w:cs="Arial"/>
          <w:bCs/>
          <w:sz w:val="21"/>
          <w:szCs w:val="21"/>
        </w:rPr>
        <w:t>[5]</w:t>
      </w:r>
      <w:r w:rsidRPr="000B4AC9">
        <w:rPr>
          <w:rFonts w:cs="Arial"/>
          <w:bCs/>
          <w:sz w:val="21"/>
          <w:szCs w:val="21"/>
        </w:rPr>
        <w:tab/>
      </w:r>
      <w:r w:rsidR="0024734B">
        <w:rPr>
          <w:rFonts w:cs="Arial"/>
          <w:bCs/>
          <w:sz w:val="22"/>
          <w:szCs w:val="22"/>
        </w:rPr>
        <w:t>The applicant</w:t>
      </w:r>
      <w:r w:rsidR="00345D5C">
        <w:rPr>
          <w:rFonts w:cs="Arial"/>
          <w:bCs/>
          <w:sz w:val="22"/>
          <w:szCs w:val="22"/>
        </w:rPr>
        <w:t xml:space="preserve"> relied on a </w:t>
      </w:r>
      <w:r w:rsidR="00345D5C" w:rsidRPr="002251F6">
        <w:rPr>
          <w:rFonts w:cs="Arial"/>
          <w:bCs/>
          <w:i/>
          <w:sz w:val="22"/>
          <w:szCs w:val="22"/>
        </w:rPr>
        <w:t xml:space="preserve">rei </w:t>
      </w:r>
      <w:proofErr w:type="spellStart"/>
      <w:r w:rsidR="00345D5C" w:rsidRPr="002251F6">
        <w:rPr>
          <w:rFonts w:cs="Arial"/>
          <w:bCs/>
          <w:i/>
          <w:sz w:val="22"/>
          <w:szCs w:val="22"/>
        </w:rPr>
        <w:t>vindicatio</w:t>
      </w:r>
      <w:proofErr w:type="spellEnd"/>
      <w:r w:rsidR="00345D5C">
        <w:rPr>
          <w:rFonts w:cs="Arial"/>
          <w:bCs/>
          <w:sz w:val="22"/>
          <w:szCs w:val="22"/>
        </w:rPr>
        <w:t>,</w:t>
      </w:r>
      <w:r w:rsidR="0024734B">
        <w:rPr>
          <w:rFonts w:cs="Arial"/>
          <w:bCs/>
          <w:sz w:val="22"/>
          <w:szCs w:val="22"/>
        </w:rPr>
        <w:t xml:space="preserve"> alleging that he was the owner of t</w:t>
      </w:r>
      <w:r w:rsidR="00345D5C">
        <w:rPr>
          <w:rFonts w:cs="Arial"/>
          <w:bCs/>
          <w:sz w:val="22"/>
          <w:szCs w:val="22"/>
        </w:rPr>
        <w:t>he immovable property housing the bottle store and bar,</w:t>
      </w:r>
      <w:r w:rsidR="0024734B" w:rsidRPr="0024734B">
        <w:rPr>
          <w:rFonts w:cs="Arial"/>
          <w:bCs/>
          <w:sz w:val="22"/>
          <w:szCs w:val="22"/>
        </w:rPr>
        <w:t xml:space="preserve"> </w:t>
      </w:r>
      <w:proofErr w:type="spellStart"/>
      <w:r w:rsidR="0024734B" w:rsidRPr="0024734B">
        <w:rPr>
          <w:rFonts w:cs="Arial"/>
          <w:bCs/>
          <w:sz w:val="22"/>
          <w:szCs w:val="22"/>
        </w:rPr>
        <w:t>Maphodi</w:t>
      </w:r>
      <w:proofErr w:type="spellEnd"/>
      <w:r w:rsidR="0024734B" w:rsidRPr="0024734B">
        <w:rPr>
          <w:rFonts w:cs="Arial"/>
          <w:bCs/>
          <w:sz w:val="22"/>
          <w:szCs w:val="22"/>
        </w:rPr>
        <w:t xml:space="preserve"> </w:t>
      </w:r>
      <w:proofErr w:type="spellStart"/>
      <w:r w:rsidR="0024734B" w:rsidRPr="0024734B">
        <w:rPr>
          <w:rFonts w:cs="Arial"/>
          <w:bCs/>
          <w:sz w:val="22"/>
          <w:szCs w:val="22"/>
        </w:rPr>
        <w:t>Drankwinkel</w:t>
      </w:r>
      <w:proofErr w:type="spellEnd"/>
      <w:r w:rsidR="00345D5C">
        <w:rPr>
          <w:rFonts w:cs="Arial"/>
          <w:bCs/>
          <w:sz w:val="22"/>
          <w:szCs w:val="22"/>
        </w:rPr>
        <w:t>,</w:t>
      </w:r>
      <w:r w:rsidR="0024734B" w:rsidRPr="0024734B">
        <w:rPr>
          <w:rFonts w:cs="Arial"/>
          <w:bCs/>
          <w:sz w:val="22"/>
          <w:szCs w:val="22"/>
        </w:rPr>
        <w:t xml:space="preserve"> </w:t>
      </w:r>
      <w:r w:rsidR="00345D5C">
        <w:rPr>
          <w:rFonts w:cs="Arial"/>
          <w:bCs/>
          <w:sz w:val="22"/>
          <w:szCs w:val="22"/>
        </w:rPr>
        <w:t>together with its contents.</w:t>
      </w:r>
      <w:r w:rsidR="000B4AC9">
        <w:rPr>
          <w:rFonts w:cs="Arial"/>
          <w:bCs/>
          <w:sz w:val="22"/>
          <w:szCs w:val="22"/>
        </w:rPr>
        <w:t xml:space="preserve"> </w:t>
      </w:r>
      <w:r w:rsidR="00BB280F" w:rsidRPr="000B4AC9">
        <w:rPr>
          <w:rFonts w:cs="Arial"/>
          <w:bCs/>
          <w:sz w:val="22"/>
          <w:szCs w:val="22"/>
        </w:rPr>
        <w:t xml:space="preserve">The applicant’s averments of ownership and </w:t>
      </w:r>
      <w:r w:rsidR="00345D5C" w:rsidRPr="000B4AC9">
        <w:rPr>
          <w:rFonts w:cs="Arial"/>
          <w:bCs/>
          <w:sz w:val="22"/>
          <w:szCs w:val="22"/>
        </w:rPr>
        <w:t xml:space="preserve">his claim for vindicatory </w:t>
      </w:r>
      <w:proofErr w:type="gramStart"/>
      <w:r w:rsidR="00345D5C" w:rsidRPr="000B4AC9">
        <w:rPr>
          <w:rFonts w:cs="Arial"/>
          <w:bCs/>
          <w:sz w:val="22"/>
          <w:szCs w:val="22"/>
        </w:rPr>
        <w:t>relief</w:t>
      </w:r>
      <w:proofErr w:type="gramEnd"/>
      <w:r w:rsidR="0024734B" w:rsidRPr="000B4AC9">
        <w:rPr>
          <w:rFonts w:cs="Arial"/>
          <w:bCs/>
          <w:sz w:val="22"/>
          <w:szCs w:val="22"/>
        </w:rPr>
        <w:t xml:space="preserve"> however,</w:t>
      </w:r>
      <w:r w:rsidR="0024734B" w:rsidRPr="000B4AC9">
        <w:rPr>
          <w:rFonts w:cs="Arial"/>
          <w:bCs/>
          <w:i/>
          <w:sz w:val="22"/>
          <w:szCs w:val="22"/>
        </w:rPr>
        <w:t xml:space="preserve"> </w:t>
      </w:r>
      <w:r w:rsidR="00BB280F" w:rsidRPr="000B4AC9">
        <w:rPr>
          <w:rFonts w:cs="Arial"/>
          <w:bCs/>
          <w:sz w:val="22"/>
          <w:szCs w:val="22"/>
        </w:rPr>
        <w:t>did not correla</w:t>
      </w:r>
      <w:r w:rsidR="002251F6" w:rsidRPr="000B4AC9">
        <w:rPr>
          <w:rFonts w:cs="Arial"/>
          <w:bCs/>
          <w:sz w:val="22"/>
          <w:szCs w:val="22"/>
        </w:rPr>
        <w:t>te with many of his</w:t>
      </w:r>
      <w:r w:rsidR="0024734B" w:rsidRPr="000B4AC9">
        <w:rPr>
          <w:rFonts w:cs="Arial"/>
          <w:bCs/>
          <w:sz w:val="22"/>
          <w:szCs w:val="22"/>
        </w:rPr>
        <w:t xml:space="preserve"> allegations made in</w:t>
      </w:r>
      <w:r w:rsidR="00BB280F" w:rsidRPr="000B4AC9">
        <w:rPr>
          <w:rFonts w:cs="Arial"/>
          <w:bCs/>
          <w:sz w:val="22"/>
          <w:szCs w:val="22"/>
        </w:rPr>
        <w:t xml:space="preserve"> the founding affidavit that re</w:t>
      </w:r>
      <w:r w:rsidR="0024734B" w:rsidRPr="000B4AC9">
        <w:rPr>
          <w:rFonts w:cs="Arial"/>
          <w:bCs/>
          <w:sz w:val="22"/>
          <w:szCs w:val="22"/>
        </w:rPr>
        <w:t>lated</w:t>
      </w:r>
      <w:r w:rsidR="00BB280F" w:rsidRPr="000B4AC9">
        <w:rPr>
          <w:rFonts w:cs="Arial"/>
          <w:bCs/>
          <w:sz w:val="22"/>
          <w:szCs w:val="22"/>
        </w:rPr>
        <w:t xml:space="preserve"> to spoliation proceedings, not to </w:t>
      </w:r>
      <w:r w:rsidR="0024734B" w:rsidRPr="000B4AC9">
        <w:rPr>
          <w:rFonts w:cs="Arial"/>
          <w:bCs/>
          <w:sz w:val="22"/>
          <w:szCs w:val="22"/>
        </w:rPr>
        <w:t xml:space="preserve">vindicatory relief.  </w:t>
      </w:r>
    </w:p>
    <w:p w14:paraId="14E35FF6" w14:textId="1AF5958B" w:rsidR="00257E5A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lastRenderedPageBreak/>
        <w:t>[6]</w:t>
      </w:r>
      <w:r>
        <w:rPr>
          <w:rFonts w:cs="Arial"/>
          <w:bCs/>
          <w:sz w:val="21"/>
          <w:szCs w:val="21"/>
        </w:rPr>
        <w:tab/>
      </w:r>
      <w:r w:rsidR="00257E5A">
        <w:rPr>
          <w:rFonts w:cs="Arial"/>
          <w:bCs/>
          <w:sz w:val="22"/>
          <w:szCs w:val="22"/>
        </w:rPr>
        <w:t xml:space="preserve">Contrary to the </w:t>
      </w:r>
      <w:r w:rsidR="0024734B">
        <w:rPr>
          <w:rFonts w:cs="Arial"/>
          <w:bCs/>
          <w:sz w:val="22"/>
          <w:szCs w:val="22"/>
        </w:rPr>
        <w:t xml:space="preserve">applicant’s </w:t>
      </w:r>
      <w:r w:rsidR="00A72A15">
        <w:rPr>
          <w:rFonts w:cs="Arial"/>
          <w:bCs/>
          <w:sz w:val="22"/>
          <w:szCs w:val="22"/>
        </w:rPr>
        <w:t>alleged ownership of the immovable property housing the bar and bot</w:t>
      </w:r>
      <w:r w:rsidR="0024734B">
        <w:rPr>
          <w:rFonts w:cs="Arial"/>
          <w:bCs/>
          <w:sz w:val="22"/>
          <w:szCs w:val="22"/>
        </w:rPr>
        <w:t>tle store, the applicant contended</w:t>
      </w:r>
      <w:r w:rsidR="00A72A15">
        <w:rPr>
          <w:rFonts w:cs="Arial"/>
          <w:bCs/>
          <w:sz w:val="22"/>
          <w:szCs w:val="22"/>
        </w:rPr>
        <w:t xml:space="preserve"> that the premises belonged to the second respondent, that the applicant had a right to occ</w:t>
      </w:r>
      <w:r w:rsidR="0024734B">
        <w:rPr>
          <w:rFonts w:cs="Arial"/>
          <w:bCs/>
          <w:sz w:val="22"/>
          <w:szCs w:val="22"/>
        </w:rPr>
        <w:t>upy and operate a bottle store o</w:t>
      </w:r>
      <w:r w:rsidR="00A72A15">
        <w:rPr>
          <w:rFonts w:cs="Arial"/>
          <w:bCs/>
          <w:sz w:val="22"/>
          <w:szCs w:val="22"/>
        </w:rPr>
        <w:t xml:space="preserve">n the premises, and that the applicant had a first right of refusal to purchase the premises. </w:t>
      </w:r>
    </w:p>
    <w:p w14:paraId="71E51903" w14:textId="2C24CDBD" w:rsidR="00A72A15" w:rsidRPr="000B4AC9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0B4AC9">
        <w:rPr>
          <w:rFonts w:cs="Arial"/>
          <w:bCs/>
          <w:sz w:val="21"/>
          <w:szCs w:val="21"/>
        </w:rPr>
        <w:t>[7]</w:t>
      </w:r>
      <w:r w:rsidRPr="000B4AC9">
        <w:rPr>
          <w:rFonts w:cs="Arial"/>
          <w:bCs/>
          <w:sz w:val="21"/>
          <w:szCs w:val="21"/>
        </w:rPr>
        <w:tab/>
      </w:r>
      <w:r w:rsidR="0024734B" w:rsidRPr="006A5468">
        <w:rPr>
          <w:rFonts w:cs="Arial"/>
          <w:bCs/>
          <w:sz w:val="22"/>
          <w:szCs w:val="22"/>
        </w:rPr>
        <w:t>Furthermore, t</w:t>
      </w:r>
      <w:r w:rsidR="006A5468" w:rsidRPr="006A5468">
        <w:rPr>
          <w:rFonts w:cs="Arial"/>
          <w:bCs/>
          <w:sz w:val="22"/>
          <w:szCs w:val="22"/>
        </w:rPr>
        <w:t xml:space="preserve">he applicant </w:t>
      </w:r>
      <w:r w:rsidR="00A72A15" w:rsidRPr="006A5468">
        <w:rPr>
          <w:rFonts w:cs="Arial"/>
          <w:bCs/>
          <w:sz w:val="22"/>
          <w:szCs w:val="22"/>
        </w:rPr>
        <w:t>alleged</w:t>
      </w:r>
      <w:r w:rsidR="006A5468">
        <w:rPr>
          <w:rFonts w:cs="Arial"/>
          <w:bCs/>
          <w:sz w:val="22"/>
          <w:szCs w:val="22"/>
        </w:rPr>
        <w:t xml:space="preserve"> that he owned the bottle store, </w:t>
      </w:r>
      <w:r w:rsidR="00A72A15" w:rsidRPr="006A5468">
        <w:rPr>
          <w:rFonts w:cs="Arial"/>
          <w:bCs/>
          <w:sz w:val="22"/>
          <w:szCs w:val="22"/>
        </w:rPr>
        <w:t xml:space="preserve">that he was in possession </w:t>
      </w:r>
      <w:r w:rsidR="006A5468">
        <w:rPr>
          <w:rFonts w:cs="Arial"/>
          <w:bCs/>
          <w:sz w:val="22"/>
          <w:szCs w:val="22"/>
        </w:rPr>
        <w:t>thereof</w:t>
      </w:r>
      <w:r w:rsidR="00A72A15" w:rsidRPr="006A5468">
        <w:rPr>
          <w:rFonts w:cs="Arial"/>
          <w:bCs/>
          <w:sz w:val="22"/>
          <w:szCs w:val="22"/>
        </w:rPr>
        <w:t xml:space="preserve"> as </w:t>
      </w:r>
      <w:proofErr w:type="gramStart"/>
      <w:r w:rsidR="00A72A15" w:rsidRPr="006A5468">
        <w:rPr>
          <w:rFonts w:cs="Arial"/>
          <w:bCs/>
          <w:sz w:val="22"/>
          <w:szCs w:val="22"/>
        </w:rPr>
        <w:t>at</w:t>
      </w:r>
      <w:proofErr w:type="gramEnd"/>
      <w:r w:rsidR="00A72A15" w:rsidRPr="006A5468">
        <w:rPr>
          <w:rFonts w:cs="Arial"/>
          <w:bCs/>
          <w:sz w:val="22"/>
          <w:szCs w:val="22"/>
        </w:rPr>
        <w:t xml:space="preserve"> 6 October 2021, trading peacefully</w:t>
      </w:r>
      <w:r w:rsidR="006A5468">
        <w:rPr>
          <w:rFonts w:cs="Arial"/>
          <w:bCs/>
          <w:sz w:val="22"/>
          <w:szCs w:val="22"/>
        </w:rPr>
        <w:t xml:space="preserve">, </w:t>
      </w:r>
      <w:r w:rsidR="00A72A15" w:rsidRPr="006A5468">
        <w:rPr>
          <w:rFonts w:cs="Arial"/>
          <w:bCs/>
          <w:sz w:val="22"/>
          <w:szCs w:val="22"/>
        </w:rPr>
        <w:t xml:space="preserve">that the first respondent unlawfully deprived him </w:t>
      </w:r>
      <w:r w:rsidR="006A5468">
        <w:rPr>
          <w:rFonts w:cs="Arial"/>
          <w:bCs/>
          <w:sz w:val="22"/>
          <w:szCs w:val="22"/>
        </w:rPr>
        <w:t>of peaceful possession thereof, which</w:t>
      </w:r>
      <w:r w:rsidR="00A72A15" w:rsidRPr="006A5468">
        <w:rPr>
          <w:rFonts w:cs="Arial"/>
          <w:bCs/>
          <w:sz w:val="22"/>
          <w:szCs w:val="22"/>
        </w:rPr>
        <w:t xml:space="preserve"> the applicant sought to restore. </w:t>
      </w:r>
    </w:p>
    <w:p w14:paraId="7CFD6E37" w14:textId="2F961809" w:rsidR="00380081" w:rsidRPr="000B4AC9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0B4AC9">
        <w:rPr>
          <w:rFonts w:cs="Arial"/>
          <w:bCs/>
          <w:sz w:val="21"/>
          <w:szCs w:val="21"/>
        </w:rPr>
        <w:t>[8]</w:t>
      </w:r>
      <w:r w:rsidRPr="000B4AC9">
        <w:rPr>
          <w:rFonts w:cs="Arial"/>
          <w:bCs/>
          <w:sz w:val="21"/>
          <w:szCs w:val="21"/>
        </w:rPr>
        <w:tab/>
      </w:r>
      <w:r w:rsidR="006A5468">
        <w:rPr>
          <w:rFonts w:cs="Arial"/>
          <w:bCs/>
          <w:sz w:val="22"/>
          <w:szCs w:val="22"/>
        </w:rPr>
        <w:t xml:space="preserve">The first respondent alleged that the proceedings were </w:t>
      </w:r>
      <w:r w:rsidR="006A5468">
        <w:rPr>
          <w:rFonts w:cs="Arial"/>
          <w:bCs/>
          <w:i/>
          <w:sz w:val="22"/>
          <w:szCs w:val="22"/>
        </w:rPr>
        <w:t xml:space="preserve">res judicata, </w:t>
      </w:r>
      <w:r w:rsidR="006A5468">
        <w:rPr>
          <w:rFonts w:cs="Arial"/>
          <w:bCs/>
          <w:sz w:val="22"/>
          <w:szCs w:val="22"/>
        </w:rPr>
        <w:t xml:space="preserve">the applicant having brought spoliation proceedings in the </w:t>
      </w:r>
      <w:proofErr w:type="spellStart"/>
      <w:r w:rsidR="006A5468">
        <w:rPr>
          <w:rFonts w:cs="Arial"/>
          <w:bCs/>
          <w:sz w:val="22"/>
          <w:szCs w:val="22"/>
        </w:rPr>
        <w:t>Sebokeng</w:t>
      </w:r>
      <w:proofErr w:type="spellEnd"/>
      <w:r w:rsidR="006A5468">
        <w:rPr>
          <w:rFonts w:cs="Arial"/>
          <w:bCs/>
          <w:sz w:val="22"/>
          <w:szCs w:val="22"/>
        </w:rPr>
        <w:t xml:space="preserve"> Magistrates’ Court that were dismissed, </w:t>
      </w:r>
      <w:r w:rsidR="006A5468">
        <w:rPr>
          <w:rFonts w:cs="Arial"/>
          <w:bCs/>
          <w:i/>
          <w:sz w:val="22"/>
          <w:szCs w:val="22"/>
        </w:rPr>
        <w:t>inter alia</w:t>
      </w:r>
      <w:r w:rsidR="006A5468">
        <w:rPr>
          <w:rFonts w:cs="Arial"/>
          <w:bCs/>
          <w:sz w:val="22"/>
          <w:szCs w:val="22"/>
        </w:rPr>
        <w:t>, because the applicant did not hold a valid liquor licence at that time.</w:t>
      </w:r>
      <w:r w:rsidR="000B4AC9">
        <w:rPr>
          <w:rFonts w:cs="Arial"/>
          <w:bCs/>
          <w:sz w:val="22"/>
          <w:szCs w:val="22"/>
        </w:rPr>
        <w:t xml:space="preserve"> </w:t>
      </w:r>
      <w:r w:rsidR="006A5468" w:rsidRPr="000B4AC9">
        <w:rPr>
          <w:rFonts w:cs="Arial"/>
          <w:bCs/>
          <w:sz w:val="22"/>
          <w:szCs w:val="22"/>
        </w:rPr>
        <w:t xml:space="preserve">The applicant’s reply to the allegation of </w:t>
      </w:r>
      <w:r w:rsidR="006A5468" w:rsidRPr="000B4AC9">
        <w:rPr>
          <w:rFonts w:cs="Arial"/>
          <w:bCs/>
          <w:i/>
          <w:sz w:val="22"/>
          <w:szCs w:val="22"/>
        </w:rPr>
        <w:t xml:space="preserve">res judicata </w:t>
      </w:r>
      <w:r w:rsidR="006A5468" w:rsidRPr="000B4AC9">
        <w:rPr>
          <w:rFonts w:cs="Arial"/>
          <w:bCs/>
          <w:sz w:val="22"/>
          <w:szCs w:val="22"/>
        </w:rPr>
        <w:t xml:space="preserve">was that the proceedings before me were for a rei </w:t>
      </w:r>
      <w:proofErr w:type="spellStart"/>
      <w:r w:rsidR="006A5468" w:rsidRPr="000B4AC9">
        <w:rPr>
          <w:rFonts w:cs="Arial"/>
          <w:bCs/>
          <w:sz w:val="22"/>
          <w:szCs w:val="22"/>
        </w:rPr>
        <w:t>vindicatio</w:t>
      </w:r>
      <w:proofErr w:type="spellEnd"/>
      <w:r w:rsidR="006A5468" w:rsidRPr="000B4AC9">
        <w:rPr>
          <w:rFonts w:cs="Arial"/>
          <w:bCs/>
          <w:sz w:val="22"/>
          <w:szCs w:val="22"/>
        </w:rPr>
        <w:t>, seeking to prove ownership of the property housing the bottle store, whereas the proceedings in the Magistrates’ Court were for a spoliation order.</w:t>
      </w:r>
    </w:p>
    <w:p w14:paraId="217A2400" w14:textId="229E57AC" w:rsidR="00BB280F" w:rsidRPr="00DE7902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DE7902">
        <w:rPr>
          <w:rFonts w:cs="Arial"/>
          <w:bCs/>
          <w:sz w:val="21"/>
          <w:szCs w:val="21"/>
        </w:rPr>
        <w:t>[9]</w:t>
      </w:r>
      <w:r w:rsidRPr="00DE7902">
        <w:rPr>
          <w:rFonts w:cs="Arial"/>
          <w:bCs/>
          <w:sz w:val="21"/>
          <w:szCs w:val="21"/>
        </w:rPr>
        <w:tab/>
      </w:r>
      <w:r w:rsidR="00380081">
        <w:rPr>
          <w:rFonts w:cs="Arial"/>
          <w:bCs/>
          <w:sz w:val="22"/>
          <w:szCs w:val="22"/>
        </w:rPr>
        <w:t>T</w:t>
      </w:r>
      <w:r w:rsidR="00A72A15" w:rsidRPr="00380081">
        <w:rPr>
          <w:rFonts w:cs="Arial"/>
          <w:bCs/>
          <w:sz w:val="22"/>
          <w:szCs w:val="22"/>
        </w:rPr>
        <w:t xml:space="preserve">he </w:t>
      </w:r>
      <w:r w:rsidR="00380081" w:rsidRPr="00380081">
        <w:rPr>
          <w:rFonts w:cs="Arial"/>
          <w:bCs/>
          <w:sz w:val="22"/>
          <w:szCs w:val="22"/>
        </w:rPr>
        <w:t>judgment of</w:t>
      </w:r>
      <w:r w:rsidR="00380081">
        <w:rPr>
          <w:rFonts w:cs="Arial"/>
          <w:bCs/>
          <w:sz w:val="22"/>
          <w:szCs w:val="22"/>
        </w:rPr>
        <w:t xml:space="preserve"> the Magistrates’ Court reflects </w:t>
      </w:r>
      <w:r w:rsidR="00B21DAA" w:rsidRPr="00380081">
        <w:rPr>
          <w:rFonts w:cs="Arial"/>
          <w:bCs/>
          <w:sz w:val="22"/>
          <w:szCs w:val="22"/>
        </w:rPr>
        <w:t>that whilst th</w:t>
      </w:r>
      <w:r w:rsidR="00380081">
        <w:rPr>
          <w:rFonts w:cs="Arial"/>
          <w:bCs/>
          <w:sz w:val="22"/>
          <w:szCs w:val="22"/>
        </w:rPr>
        <w:t>os</w:t>
      </w:r>
      <w:r w:rsidR="00B21DAA" w:rsidRPr="00380081">
        <w:rPr>
          <w:rFonts w:cs="Arial"/>
          <w:bCs/>
          <w:sz w:val="22"/>
          <w:szCs w:val="22"/>
        </w:rPr>
        <w:t xml:space="preserve">e proceedings were based on the same facts as </w:t>
      </w:r>
      <w:r w:rsidR="00D93200" w:rsidRPr="00380081">
        <w:rPr>
          <w:rFonts w:cs="Arial"/>
          <w:bCs/>
          <w:sz w:val="22"/>
          <w:szCs w:val="22"/>
        </w:rPr>
        <w:t xml:space="preserve">the matter before me, the parties were not </w:t>
      </w:r>
      <w:r w:rsidR="000B4AC9">
        <w:rPr>
          <w:rFonts w:cs="Arial"/>
          <w:bCs/>
          <w:sz w:val="22"/>
          <w:szCs w:val="22"/>
        </w:rPr>
        <w:t>the same</w:t>
      </w:r>
      <w:r w:rsidR="00380081">
        <w:rPr>
          <w:rFonts w:cs="Arial"/>
          <w:bCs/>
          <w:sz w:val="22"/>
          <w:szCs w:val="22"/>
        </w:rPr>
        <w:t xml:space="preserve"> as the second respondent was not cited as a party in</w:t>
      </w:r>
      <w:r w:rsidR="00D93200" w:rsidRPr="00380081">
        <w:rPr>
          <w:rFonts w:cs="Arial"/>
          <w:bCs/>
          <w:sz w:val="22"/>
          <w:szCs w:val="22"/>
        </w:rPr>
        <w:t xml:space="preserve"> </w:t>
      </w:r>
      <w:r w:rsidR="00380081">
        <w:rPr>
          <w:rFonts w:cs="Arial"/>
          <w:bCs/>
          <w:sz w:val="22"/>
          <w:szCs w:val="22"/>
        </w:rPr>
        <w:t>the Magistrates’ Court</w:t>
      </w:r>
      <w:r w:rsidR="00380081" w:rsidRPr="00380081">
        <w:rPr>
          <w:rFonts w:cs="Arial"/>
          <w:bCs/>
          <w:sz w:val="22"/>
          <w:szCs w:val="22"/>
        </w:rPr>
        <w:t xml:space="preserve"> proceedings</w:t>
      </w:r>
      <w:r w:rsidR="00380081">
        <w:rPr>
          <w:rFonts w:cs="Arial"/>
          <w:bCs/>
          <w:sz w:val="22"/>
          <w:szCs w:val="22"/>
        </w:rPr>
        <w:t>.</w:t>
      </w:r>
      <w:r w:rsidR="00380081" w:rsidRPr="00380081">
        <w:rPr>
          <w:rFonts w:cs="Arial"/>
          <w:bCs/>
          <w:sz w:val="22"/>
          <w:szCs w:val="22"/>
        </w:rPr>
        <w:t xml:space="preserve"> </w:t>
      </w:r>
      <w:proofErr w:type="gramStart"/>
      <w:r w:rsidR="00DE7902">
        <w:rPr>
          <w:rFonts w:cs="Arial"/>
          <w:bCs/>
          <w:sz w:val="22"/>
          <w:szCs w:val="22"/>
        </w:rPr>
        <w:t>Thus</w:t>
      </w:r>
      <w:proofErr w:type="gramEnd"/>
      <w:r w:rsidR="00DE7902">
        <w:rPr>
          <w:rFonts w:cs="Arial"/>
          <w:bCs/>
          <w:sz w:val="22"/>
          <w:szCs w:val="22"/>
        </w:rPr>
        <w:t xml:space="preserve"> there is no </w:t>
      </w:r>
      <w:r w:rsidR="00DE7902" w:rsidRPr="00DE7902">
        <w:rPr>
          <w:rFonts w:cs="Arial"/>
          <w:bCs/>
          <w:sz w:val="22"/>
          <w:szCs w:val="22"/>
        </w:rPr>
        <w:t>basis</w:t>
      </w:r>
      <w:r w:rsidR="00D93200" w:rsidRPr="00DE7902">
        <w:rPr>
          <w:rFonts w:cs="Arial"/>
          <w:bCs/>
          <w:sz w:val="22"/>
          <w:szCs w:val="22"/>
        </w:rPr>
        <w:t xml:space="preserve"> for a plea </w:t>
      </w:r>
      <w:r w:rsidR="00DE7902" w:rsidRPr="00DE7902">
        <w:rPr>
          <w:rFonts w:cs="Arial"/>
          <w:bCs/>
          <w:sz w:val="22"/>
          <w:szCs w:val="22"/>
        </w:rPr>
        <w:t>of</w:t>
      </w:r>
      <w:r w:rsidR="00A73DEF" w:rsidRPr="00DE7902">
        <w:rPr>
          <w:rFonts w:cs="Arial"/>
          <w:bCs/>
          <w:sz w:val="22"/>
          <w:szCs w:val="22"/>
        </w:rPr>
        <w:t xml:space="preserve"> </w:t>
      </w:r>
      <w:r w:rsidR="00A73DEF" w:rsidRPr="00DE7902">
        <w:rPr>
          <w:rFonts w:cs="Arial"/>
          <w:bCs/>
          <w:i/>
          <w:sz w:val="22"/>
          <w:szCs w:val="22"/>
        </w:rPr>
        <w:t>res judicata</w:t>
      </w:r>
      <w:r w:rsidR="00DE7902" w:rsidRPr="00DE7902">
        <w:rPr>
          <w:rFonts w:cs="Arial"/>
          <w:bCs/>
          <w:i/>
          <w:sz w:val="22"/>
          <w:szCs w:val="22"/>
        </w:rPr>
        <w:t>.</w:t>
      </w:r>
      <w:r w:rsidR="00A73DEF" w:rsidRPr="00DE7902">
        <w:rPr>
          <w:rFonts w:cs="Arial"/>
          <w:b/>
          <w:bCs/>
          <w:i/>
          <w:sz w:val="22"/>
          <w:szCs w:val="22"/>
        </w:rPr>
        <w:t xml:space="preserve"> </w:t>
      </w:r>
      <w:r w:rsidR="00DE7902">
        <w:rPr>
          <w:rFonts w:cs="Arial"/>
          <w:b/>
          <w:bCs/>
          <w:sz w:val="22"/>
          <w:szCs w:val="22"/>
        </w:rPr>
        <w:t xml:space="preserve"> </w:t>
      </w:r>
      <w:r w:rsidR="00A73DEF" w:rsidRPr="00DE7902">
        <w:rPr>
          <w:rFonts w:cs="Arial"/>
          <w:b/>
          <w:bCs/>
          <w:sz w:val="22"/>
          <w:szCs w:val="22"/>
        </w:rPr>
        <w:t xml:space="preserve"> </w:t>
      </w:r>
    </w:p>
    <w:p w14:paraId="65C3DCC1" w14:textId="45C49BEB" w:rsidR="00A73DEF" w:rsidRPr="00DD3889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DD3889">
        <w:rPr>
          <w:rFonts w:cs="Arial"/>
          <w:bCs/>
          <w:sz w:val="21"/>
          <w:szCs w:val="21"/>
        </w:rPr>
        <w:t>[10]</w:t>
      </w:r>
      <w:r w:rsidRPr="00DD3889">
        <w:rPr>
          <w:rFonts w:cs="Arial"/>
          <w:bCs/>
          <w:sz w:val="21"/>
          <w:szCs w:val="21"/>
        </w:rPr>
        <w:tab/>
      </w:r>
      <w:r w:rsidR="00A73DEF">
        <w:rPr>
          <w:rFonts w:cs="Arial"/>
          <w:bCs/>
          <w:i/>
          <w:sz w:val="22"/>
          <w:szCs w:val="22"/>
        </w:rPr>
        <w:t xml:space="preserve">Rei </w:t>
      </w:r>
      <w:proofErr w:type="spellStart"/>
      <w:r w:rsidR="00A73DEF">
        <w:rPr>
          <w:rFonts w:cs="Arial"/>
          <w:bCs/>
          <w:i/>
          <w:sz w:val="22"/>
          <w:szCs w:val="22"/>
        </w:rPr>
        <w:t>vindicatio</w:t>
      </w:r>
      <w:proofErr w:type="spellEnd"/>
      <w:r w:rsidR="00A73DEF">
        <w:rPr>
          <w:rFonts w:cs="Arial"/>
          <w:bCs/>
          <w:i/>
          <w:sz w:val="22"/>
          <w:szCs w:val="22"/>
        </w:rPr>
        <w:t xml:space="preserve"> </w:t>
      </w:r>
      <w:r w:rsidR="00A73DEF">
        <w:rPr>
          <w:rFonts w:cs="Arial"/>
          <w:bCs/>
          <w:sz w:val="22"/>
          <w:szCs w:val="22"/>
        </w:rPr>
        <w:t xml:space="preserve">relief entitles the owner of property to reclaim possession of </w:t>
      </w:r>
      <w:r w:rsidR="00E42901">
        <w:rPr>
          <w:rFonts w:cs="Arial"/>
          <w:bCs/>
          <w:sz w:val="22"/>
          <w:szCs w:val="22"/>
        </w:rPr>
        <w:t xml:space="preserve">that </w:t>
      </w:r>
      <w:r w:rsidR="00A73DEF">
        <w:rPr>
          <w:rFonts w:cs="Arial"/>
          <w:bCs/>
          <w:sz w:val="22"/>
          <w:szCs w:val="22"/>
        </w:rPr>
        <w:t xml:space="preserve">property. Thus, </w:t>
      </w:r>
      <w:proofErr w:type="gramStart"/>
      <w:r w:rsidR="00A73DEF">
        <w:rPr>
          <w:rFonts w:cs="Arial"/>
          <w:bCs/>
          <w:sz w:val="22"/>
          <w:szCs w:val="22"/>
        </w:rPr>
        <w:t>in order to</w:t>
      </w:r>
      <w:proofErr w:type="gramEnd"/>
      <w:r w:rsidR="00A73DEF">
        <w:rPr>
          <w:rFonts w:cs="Arial"/>
          <w:bCs/>
          <w:sz w:val="22"/>
          <w:szCs w:val="22"/>
        </w:rPr>
        <w:t xml:space="preserve"> find success, the applicant b</w:t>
      </w:r>
      <w:r w:rsidR="00E42901">
        <w:rPr>
          <w:rFonts w:cs="Arial"/>
          <w:bCs/>
          <w:sz w:val="22"/>
          <w:szCs w:val="22"/>
        </w:rPr>
        <w:t>efore me had to allege and prove</w:t>
      </w:r>
      <w:r w:rsidR="00A73DEF">
        <w:rPr>
          <w:rFonts w:cs="Arial"/>
          <w:bCs/>
          <w:sz w:val="22"/>
          <w:szCs w:val="22"/>
        </w:rPr>
        <w:t xml:space="preserve"> ownership of the property claimed and possession by the respondent a</w:t>
      </w:r>
      <w:r w:rsidR="00E42901">
        <w:rPr>
          <w:rFonts w:cs="Arial"/>
          <w:bCs/>
          <w:sz w:val="22"/>
          <w:szCs w:val="22"/>
        </w:rPr>
        <w:t>t the time that the</w:t>
      </w:r>
      <w:r w:rsidR="00A73DEF">
        <w:rPr>
          <w:rFonts w:cs="Arial"/>
          <w:bCs/>
          <w:sz w:val="22"/>
          <w:szCs w:val="22"/>
        </w:rPr>
        <w:t xml:space="preserve"> applicant instituted the proceedings. </w:t>
      </w:r>
      <w:r w:rsidR="00A73DEF" w:rsidRPr="00DD3889">
        <w:rPr>
          <w:rFonts w:cs="Arial"/>
          <w:bCs/>
          <w:sz w:val="22"/>
          <w:szCs w:val="22"/>
        </w:rPr>
        <w:t>Spoliatio</w:t>
      </w:r>
      <w:r w:rsidR="00DD3889">
        <w:rPr>
          <w:rFonts w:cs="Arial"/>
          <w:bCs/>
          <w:sz w:val="22"/>
          <w:szCs w:val="22"/>
        </w:rPr>
        <w:t>n proceedings, however,</w:t>
      </w:r>
      <w:r w:rsidR="00A73DEF" w:rsidRPr="00DD3889">
        <w:rPr>
          <w:rFonts w:cs="Arial"/>
          <w:bCs/>
          <w:sz w:val="22"/>
          <w:szCs w:val="22"/>
        </w:rPr>
        <w:t xml:space="preserve"> protect factual possession against unlawful dep</w:t>
      </w:r>
      <w:r w:rsidR="00DD3889" w:rsidRPr="00DD3889">
        <w:rPr>
          <w:rFonts w:cs="Arial"/>
          <w:bCs/>
          <w:sz w:val="22"/>
          <w:szCs w:val="22"/>
        </w:rPr>
        <w:t>ravation thereof. The</w:t>
      </w:r>
      <w:r w:rsidR="00A73DEF" w:rsidRPr="00DD3889">
        <w:rPr>
          <w:rFonts w:cs="Arial"/>
          <w:bCs/>
          <w:sz w:val="22"/>
          <w:szCs w:val="22"/>
        </w:rPr>
        <w:t xml:space="preserve"> allegations upon which </w:t>
      </w:r>
      <w:r w:rsidR="00DD3889" w:rsidRPr="00DD3889">
        <w:rPr>
          <w:rFonts w:cs="Arial"/>
          <w:bCs/>
          <w:sz w:val="22"/>
          <w:szCs w:val="22"/>
        </w:rPr>
        <w:t xml:space="preserve">the applicant placed </w:t>
      </w:r>
      <w:r w:rsidR="00A73DEF" w:rsidRPr="00DD3889">
        <w:rPr>
          <w:rFonts w:cs="Arial"/>
          <w:bCs/>
          <w:sz w:val="22"/>
          <w:szCs w:val="22"/>
        </w:rPr>
        <w:t>r</w:t>
      </w:r>
      <w:r w:rsidR="00DD3889" w:rsidRPr="00DD3889">
        <w:rPr>
          <w:rFonts w:cs="Arial"/>
          <w:bCs/>
          <w:sz w:val="22"/>
          <w:szCs w:val="22"/>
        </w:rPr>
        <w:t>eliance</w:t>
      </w:r>
      <w:r w:rsidR="00A73DEF" w:rsidRPr="00DD3889">
        <w:rPr>
          <w:rFonts w:cs="Arial"/>
          <w:bCs/>
          <w:sz w:val="22"/>
          <w:szCs w:val="22"/>
        </w:rPr>
        <w:t xml:space="preserve"> in sup</w:t>
      </w:r>
      <w:r w:rsidR="00DD3889" w:rsidRPr="00DD3889">
        <w:rPr>
          <w:rFonts w:cs="Arial"/>
          <w:bCs/>
          <w:sz w:val="22"/>
          <w:szCs w:val="22"/>
        </w:rPr>
        <w:t xml:space="preserve">port of the vindicatory relief </w:t>
      </w:r>
      <w:r w:rsidR="00680EB7">
        <w:rPr>
          <w:rFonts w:cs="Arial"/>
          <w:bCs/>
          <w:sz w:val="22"/>
          <w:szCs w:val="22"/>
        </w:rPr>
        <w:t xml:space="preserve">before me </w:t>
      </w:r>
      <w:r w:rsidR="00A73DEF" w:rsidRPr="00DD3889">
        <w:rPr>
          <w:rFonts w:cs="Arial"/>
          <w:bCs/>
          <w:sz w:val="22"/>
          <w:szCs w:val="22"/>
        </w:rPr>
        <w:t xml:space="preserve">failed to </w:t>
      </w:r>
      <w:r w:rsidR="00A73DEF" w:rsidRPr="00DD3889">
        <w:rPr>
          <w:rFonts w:cs="Arial"/>
          <w:bCs/>
          <w:sz w:val="22"/>
          <w:szCs w:val="22"/>
        </w:rPr>
        <w:lastRenderedPageBreak/>
        <w:t xml:space="preserve">differentiate between ownership of the </w:t>
      </w:r>
      <w:r w:rsidR="00680EB7">
        <w:rPr>
          <w:rFonts w:cs="Arial"/>
          <w:bCs/>
          <w:sz w:val="22"/>
          <w:szCs w:val="22"/>
        </w:rPr>
        <w:t xml:space="preserve">business of the </w:t>
      </w:r>
      <w:r w:rsidR="00A73DEF" w:rsidRPr="00DD3889">
        <w:rPr>
          <w:rFonts w:cs="Arial"/>
          <w:bCs/>
          <w:sz w:val="22"/>
          <w:szCs w:val="22"/>
        </w:rPr>
        <w:t xml:space="preserve">bottle store and ownership of the immovable property housing the premises from which the bottle store traded. </w:t>
      </w:r>
    </w:p>
    <w:p w14:paraId="25F8C044" w14:textId="642A4C79" w:rsidR="00A73DEF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[11]</w:t>
      </w:r>
      <w:r>
        <w:rPr>
          <w:rFonts w:cs="Arial"/>
          <w:bCs/>
          <w:sz w:val="21"/>
          <w:szCs w:val="21"/>
        </w:rPr>
        <w:tab/>
      </w:r>
      <w:r w:rsidR="00A73DEF">
        <w:rPr>
          <w:rFonts w:cs="Arial"/>
          <w:bCs/>
          <w:sz w:val="22"/>
          <w:szCs w:val="22"/>
        </w:rPr>
        <w:t>The applicant allege</w:t>
      </w:r>
      <w:r w:rsidR="00680EB7">
        <w:rPr>
          <w:rFonts w:cs="Arial"/>
          <w:bCs/>
          <w:sz w:val="22"/>
          <w:szCs w:val="22"/>
        </w:rPr>
        <w:t>d</w:t>
      </w:r>
      <w:r w:rsidR="00A73DEF">
        <w:rPr>
          <w:rFonts w:cs="Arial"/>
          <w:bCs/>
          <w:sz w:val="22"/>
          <w:szCs w:val="22"/>
        </w:rPr>
        <w:t xml:space="preserve"> that the business was handed over to him during 2006 or </w:t>
      </w:r>
      <w:r w:rsidR="00A73DEF" w:rsidRPr="00680EB7">
        <w:rPr>
          <w:rFonts w:cs="Arial"/>
          <w:bCs/>
          <w:sz w:val="22"/>
          <w:szCs w:val="22"/>
        </w:rPr>
        <w:t xml:space="preserve">thereabouts by the late </w:t>
      </w:r>
      <w:proofErr w:type="spellStart"/>
      <w:r w:rsidR="00A73DEF" w:rsidRPr="00680EB7">
        <w:rPr>
          <w:rFonts w:cs="Arial"/>
          <w:bCs/>
          <w:sz w:val="22"/>
          <w:szCs w:val="22"/>
        </w:rPr>
        <w:t>Letsela</w:t>
      </w:r>
      <w:proofErr w:type="spellEnd"/>
      <w:r w:rsidR="00A73DEF" w:rsidRPr="00680EB7">
        <w:rPr>
          <w:rFonts w:cs="Arial"/>
          <w:bCs/>
          <w:sz w:val="22"/>
          <w:szCs w:val="22"/>
        </w:rPr>
        <w:t>,</w:t>
      </w:r>
      <w:r w:rsidR="00A73DEF">
        <w:rPr>
          <w:rFonts w:cs="Arial"/>
          <w:bCs/>
          <w:sz w:val="22"/>
          <w:szCs w:val="22"/>
        </w:rPr>
        <w:t xml:space="preserve"> and that the </w:t>
      </w:r>
      <w:r w:rsidR="00680EB7">
        <w:rPr>
          <w:rFonts w:cs="Arial"/>
          <w:bCs/>
          <w:sz w:val="22"/>
          <w:szCs w:val="22"/>
        </w:rPr>
        <w:t xml:space="preserve">alleged </w:t>
      </w:r>
      <w:r w:rsidR="00A73DEF">
        <w:rPr>
          <w:rFonts w:cs="Arial"/>
          <w:bCs/>
          <w:sz w:val="22"/>
          <w:szCs w:val="22"/>
        </w:rPr>
        <w:t xml:space="preserve">handing over entitled him to ownership of the immovable property housing the bottle store. </w:t>
      </w:r>
    </w:p>
    <w:p w14:paraId="52F4B69C" w14:textId="3264E823" w:rsidR="00A24E71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[12]</w:t>
      </w:r>
      <w:r>
        <w:rPr>
          <w:rFonts w:cs="Arial"/>
          <w:bCs/>
          <w:sz w:val="21"/>
          <w:szCs w:val="21"/>
        </w:rPr>
        <w:tab/>
      </w:r>
      <w:r w:rsidR="00A73DEF">
        <w:rPr>
          <w:rFonts w:cs="Arial"/>
          <w:bCs/>
          <w:sz w:val="22"/>
          <w:szCs w:val="22"/>
        </w:rPr>
        <w:t>In suppor</w:t>
      </w:r>
      <w:r w:rsidR="00680EB7">
        <w:rPr>
          <w:rFonts w:cs="Arial"/>
          <w:bCs/>
          <w:sz w:val="22"/>
          <w:szCs w:val="22"/>
        </w:rPr>
        <w:t>t thereof, the applicant relied</w:t>
      </w:r>
      <w:r w:rsidR="00A73DEF">
        <w:rPr>
          <w:rFonts w:cs="Arial"/>
          <w:bCs/>
          <w:sz w:val="22"/>
          <w:szCs w:val="22"/>
        </w:rPr>
        <w:t xml:space="preserve"> in reply, upon two affidavits of family members allegedly having knowledge of what transpired in respect of the business prior to the death of the </w:t>
      </w:r>
      <w:r w:rsidR="00A73DEF" w:rsidRPr="00680EB7">
        <w:rPr>
          <w:rFonts w:cs="Arial"/>
          <w:bCs/>
          <w:sz w:val="22"/>
          <w:szCs w:val="22"/>
        </w:rPr>
        <w:t xml:space="preserve">late </w:t>
      </w:r>
      <w:proofErr w:type="spellStart"/>
      <w:r w:rsidR="00A73DEF" w:rsidRPr="00680EB7">
        <w:rPr>
          <w:rFonts w:cs="Arial"/>
          <w:bCs/>
          <w:sz w:val="22"/>
          <w:szCs w:val="22"/>
        </w:rPr>
        <w:t>Letsela</w:t>
      </w:r>
      <w:proofErr w:type="spellEnd"/>
      <w:r w:rsidR="00A73DEF">
        <w:rPr>
          <w:rFonts w:cs="Arial"/>
          <w:bCs/>
          <w:sz w:val="22"/>
          <w:szCs w:val="22"/>
        </w:rPr>
        <w:t xml:space="preserve"> </w:t>
      </w:r>
      <w:r w:rsidR="00680EB7">
        <w:rPr>
          <w:rFonts w:cs="Arial"/>
          <w:bCs/>
          <w:sz w:val="22"/>
          <w:szCs w:val="22"/>
        </w:rPr>
        <w:t>as well as</w:t>
      </w:r>
      <w:r w:rsidR="00A73DEF">
        <w:rPr>
          <w:rFonts w:cs="Arial"/>
          <w:bCs/>
          <w:sz w:val="22"/>
          <w:szCs w:val="22"/>
        </w:rPr>
        <w:t xml:space="preserve"> the allegedly poor relationship between the</w:t>
      </w:r>
      <w:r w:rsidR="00680EB7">
        <w:rPr>
          <w:rFonts w:cs="Arial"/>
          <w:bCs/>
          <w:sz w:val="22"/>
          <w:szCs w:val="22"/>
        </w:rPr>
        <w:t xml:space="preserve"> </w:t>
      </w:r>
      <w:r w:rsidR="00680EB7" w:rsidRPr="00680EB7">
        <w:rPr>
          <w:rFonts w:cs="Arial"/>
          <w:bCs/>
          <w:sz w:val="22"/>
          <w:szCs w:val="22"/>
        </w:rPr>
        <w:t xml:space="preserve">late </w:t>
      </w:r>
      <w:proofErr w:type="spellStart"/>
      <w:r w:rsidR="00680EB7" w:rsidRPr="00680EB7">
        <w:rPr>
          <w:rFonts w:cs="Arial"/>
          <w:bCs/>
          <w:sz w:val="22"/>
          <w:szCs w:val="22"/>
        </w:rPr>
        <w:t>Letsela</w:t>
      </w:r>
      <w:proofErr w:type="spellEnd"/>
      <w:r w:rsidR="00680EB7">
        <w:rPr>
          <w:rFonts w:cs="Arial"/>
          <w:bCs/>
          <w:sz w:val="22"/>
          <w:szCs w:val="22"/>
        </w:rPr>
        <w:t xml:space="preserve"> </w:t>
      </w:r>
      <w:r w:rsidR="00A73DEF">
        <w:rPr>
          <w:rFonts w:cs="Arial"/>
          <w:bCs/>
          <w:sz w:val="22"/>
          <w:szCs w:val="22"/>
        </w:rPr>
        <w:t>and the first respondent.</w:t>
      </w:r>
      <w:r w:rsidR="00A24E71">
        <w:rPr>
          <w:rFonts w:cs="Arial"/>
          <w:bCs/>
          <w:sz w:val="22"/>
          <w:szCs w:val="22"/>
        </w:rPr>
        <w:t xml:space="preserve"> </w:t>
      </w:r>
      <w:r w:rsidR="00A73DEF" w:rsidRPr="00A24E71">
        <w:rPr>
          <w:rFonts w:cs="Arial"/>
          <w:bCs/>
          <w:sz w:val="22"/>
          <w:szCs w:val="22"/>
        </w:rPr>
        <w:t>The</w:t>
      </w:r>
      <w:r w:rsidR="00D54B74">
        <w:rPr>
          <w:rFonts w:cs="Arial"/>
          <w:bCs/>
          <w:sz w:val="22"/>
          <w:szCs w:val="22"/>
        </w:rPr>
        <w:t xml:space="preserve"> relevant </w:t>
      </w:r>
      <w:proofErr w:type="gramStart"/>
      <w:r w:rsidR="00D54B74">
        <w:rPr>
          <w:rFonts w:cs="Arial"/>
          <w:bCs/>
          <w:sz w:val="22"/>
          <w:szCs w:val="22"/>
        </w:rPr>
        <w:t>affidavits</w:t>
      </w:r>
      <w:proofErr w:type="gramEnd"/>
      <w:r w:rsidR="00D54B74">
        <w:rPr>
          <w:rFonts w:cs="Arial"/>
          <w:bCs/>
          <w:sz w:val="22"/>
          <w:szCs w:val="22"/>
        </w:rPr>
        <w:t xml:space="preserve"> however, did</w:t>
      </w:r>
      <w:r w:rsidR="00A73DEF" w:rsidRPr="00A24E71">
        <w:rPr>
          <w:rFonts w:cs="Arial"/>
          <w:bCs/>
          <w:sz w:val="22"/>
          <w:szCs w:val="22"/>
        </w:rPr>
        <w:t xml:space="preserve"> not support the applicant’s allegation of an </w:t>
      </w:r>
      <w:r w:rsidR="00A24E71">
        <w:rPr>
          <w:rFonts w:cs="Arial"/>
          <w:bCs/>
          <w:sz w:val="22"/>
          <w:szCs w:val="22"/>
        </w:rPr>
        <w:t xml:space="preserve">entitlement to ownership of </w:t>
      </w:r>
      <w:r w:rsidR="00D54B74">
        <w:rPr>
          <w:rFonts w:cs="Arial"/>
          <w:bCs/>
          <w:sz w:val="22"/>
          <w:szCs w:val="22"/>
        </w:rPr>
        <w:t>the bottle store. T</w:t>
      </w:r>
      <w:r w:rsidR="00A73DEF" w:rsidRPr="00A24E71">
        <w:rPr>
          <w:rFonts w:cs="Arial"/>
          <w:bCs/>
          <w:sz w:val="22"/>
          <w:szCs w:val="22"/>
        </w:rPr>
        <w:t>he affidavit o</w:t>
      </w:r>
      <w:r w:rsidR="00D54B74">
        <w:rPr>
          <w:rFonts w:cs="Arial"/>
          <w:bCs/>
          <w:sz w:val="22"/>
          <w:szCs w:val="22"/>
        </w:rPr>
        <w:t xml:space="preserve">f Mr Mabaso </w:t>
      </w:r>
      <w:proofErr w:type="gramStart"/>
      <w:r w:rsidR="00D54B74">
        <w:rPr>
          <w:rFonts w:cs="Arial"/>
          <w:bCs/>
          <w:sz w:val="22"/>
          <w:szCs w:val="22"/>
        </w:rPr>
        <w:t>in particular referred</w:t>
      </w:r>
      <w:proofErr w:type="gramEnd"/>
      <w:r w:rsidR="00A73DEF" w:rsidRPr="00A24E71">
        <w:rPr>
          <w:rFonts w:cs="Arial"/>
          <w:bCs/>
          <w:sz w:val="22"/>
          <w:szCs w:val="22"/>
        </w:rPr>
        <w:t xml:space="preserve"> to</w:t>
      </w:r>
      <w:r w:rsidR="00DD4E1D" w:rsidRPr="00A24E71">
        <w:rPr>
          <w:rFonts w:cs="Arial"/>
          <w:bCs/>
          <w:sz w:val="22"/>
          <w:szCs w:val="22"/>
        </w:rPr>
        <w:t xml:space="preserve"> the late </w:t>
      </w:r>
      <w:proofErr w:type="spellStart"/>
      <w:r w:rsidR="00DD4E1D" w:rsidRPr="00A24E71">
        <w:rPr>
          <w:rFonts w:cs="Arial"/>
          <w:bCs/>
          <w:sz w:val="22"/>
          <w:szCs w:val="22"/>
        </w:rPr>
        <w:t>Letsela’s</w:t>
      </w:r>
      <w:proofErr w:type="spellEnd"/>
      <w:r w:rsidR="00DD4E1D" w:rsidRPr="00A24E71">
        <w:rPr>
          <w:rFonts w:cs="Arial"/>
          <w:bCs/>
          <w:sz w:val="22"/>
          <w:szCs w:val="22"/>
        </w:rPr>
        <w:t xml:space="preserve"> intention to ‘appoint the applicant to run and take over the business’, </w:t>
      </w:r>
      <w:r w:rsidR="00D54B74">
        <w:rPr>
          <w:rFonts w:cs="Arial"/>
          <w:bCs/>
          <w:sz w:val="22"/>
          <w:szCs w:val="22"/>
        </w:rPr>
        <w:t>not to the business being sold or donated to the applicant or owned by the applicant.</w:t>
      </w:r>
    </w:p>
    <w:p w14:paraId="110E6A92" w14:textId="395CA64F" w:rsidR="00DD4E1D" w:rsidRPr="00A24E71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A24E71">
        <w:rPr>
          <w:rFonts w:cs="Arial"/>
          <w:bCs/>
          <w:sz w:val="21"/>
          <w:szCs w:val="21"/>
        </w:rPr>
        <w:t>[13]</w:t>
      </w:r>
      <w:r w:rsidRPr="00A24E71">
        <w:rPr>
          <w:rFonts w:cs="Arial"/>
          <w:bCs/>
          <w:sz w:val="21"/>
          <w:szCs w:val="21"/>
        </w:rPr>
        <w:tab/>
      </w:r>
      <w:r w:rsidR="00A24E71" w:rsidRPr="00A24E71">
        <w:rPr>
          <w:rFonts w:cs="Arial"/>
          <w:bCs/>
          <w:sz w:val="22"/>
          <w:szCs w:val="22"/>
        </w:rPr>
        <w:t>T</w:t>
      </w:r>
      <w:r w:rsidR="00DD4E1D" w:rsidRPr="00A24E71">
        <w:rPr>
          <w:rFonts w:cs="Arial"/>
          <w:bCs/>
          <w:sz w:val="22"/>
          <w:szCs w:val="22"/>
        </w:rPr>
        <w:t xml:space="preserve">he applicant himself referred to the application before me being an attempt to settle the ownership of the immovable property housing the bottle store, </w:t>
      </w:r>
      <w:r w:rsidR="00A24E71">
        <w:rPr>
          <w:rFonts w:cs="Arial"/>
          <w:bCs/>
          <w:sz w:val="22"/>
          <w:szCs w:val="22"/>
        </w:rPr>
        <w:t>‘’</w:t>
      </w:r>
      <w:r w:rsidR="00DD4E1D" w:rsidRPr="00A24E71">
        <w:rPr>
          <w:rFonts w:cs="Arial"/>
          <w:bCs/>
          <w:sz w:val="22"/>
          <w:szCs w:val="22"/>
        </w:rPr>
        <w:t>once and for all</w:t>
      </w:r>
      <w:r w:rsidR="00A24E71">
        <w:rPr>
          <w:rFonts w:cs="Arial"/>
          <w:bCs/>
          <w:sz w:val="22"/>
          <w:szCs w:val="22"/>
        </w:rPr>
        <w:t>’’</w:t>
      </w:r>
      <w:r w:rsidR="00DD4E1D" w:rsidRPr="00A24E71">
        <w:rPr>
          <w:rFonts w:cs="Arial"/>
          <w:bCs/>
          <w:sz w:val="22"/>
          <w:szCs w:val="22"/>
        </w:rPr>
        <w:t xml:space="preserve">. </w:t>
      </w:r>
      <w:r w:rsidR="00A24E71">
        <w:rPr>
          <w:rFonts w:cs="Arial"/>
          <w:bCs/>
          <w:sz w:val="22"/>
          <w:szCs w:val="22"/>
        </w:rPr>
        <w:t xml:space="preserve">The immovable property, however, </w:t>
      </w:r>
      <w:r w:rsidR="00DD4E1D" w:rsidRPr="00A24E71">
        <w:rPr>
          <w:rFonts w:cs="Arial"/>
          <w:bCs/>
          <w:sz w:val="22"/>
          <w:szCs w:val="22"/>
        </w:rPr>
        <w:t>was</w:t>
      </w:r>
      <w:r w:rsidR="00A24E71">
        <w:rPr>
          <w:rFonts w:cs="Arial"/>
          <w:bCs/>
          <w:sz w:val="22"/>
          <w:szCs w:val="22"/>
        </w:rPr>
        <w:t xml:space="preserve"> owned by the second respondent. The latter rented it out to the late </w:t>
      </w:r>
      <w:proofErr w:type="spellStart"/>
      <w:r w:rsidR="00A24E71">
        <w:rPr>
          <w:rFonts w:cs="Arial"/>
          <w:bCs/>
          <w:sz w:val="22"/>
          <w:szCs w:val="22"/>
        </w:rPr>
        <w:t>Letsela</w:t>
      </w:r>
      <w:proofErr w:type="spellEnd"/>
      <w:r w:rsidR="00A24E71">
        <w:rPr>
          <w:rFonts w:cs="Arial"/>
          <w:bCs/>
          <w:sz w:val="22"/>
          <w:szCs w:val="22"/>
        </w:rPr>
        <w:t xml:space="preserve"> who occupied the premises running the bottle store,</w:t>
      </w:r>
      <w:r w:rsidR="00A24E71" w:rsidRPr="00A24E71">
        <w:rPr>
          <w:rFonts w:cs="Arial"/>
          <w:bCs/>
          <w:sz w:val="22"/>
          <w:szCs w:val="22"/>
        </w:rPr>
        <w:t xml:space="preserve"> </w:t>
      </w:r>
      <w:r w:rsidR="00A24E71">
        <w:rPr>
          <w:rFonts w:cs="Arial"/>
          <w:bCs/>
          <w:sz w:val="22"/>
          <w:szCs w:val="22"/>
        </w:rPr>
        <w:t>prior to his death.</w:t>
      </w:r>
      <w:r w:rsidR="00DD4E1D" w:rsidRPr="00A24E71">
        <w:rPr>
          <w:rFonts w:cs="Arial"/>
          <w:bCs/>
          <w:sz w:val="22"/>
          <w:szCs w:val="22"/>
        </w:rPr>
        <w:t xml:space="preserve"> The </w:t>
      </w:r>
      <w:r w:rsidR="00A24E71">
        <w:rPr>
          <w:rFonts w:cs="Arial"/>
          <w:bCs/>
          <w:sz w:val="22"/>
          <w:szCs w:val="22"/>
        </w:rPr>
        <w:t xml:space="preserve">first respondent alleged that the applicant </w:t>
      </w:r>
      <w:r w:rsidR="00DD4E1D" w:rsidRPr="00A24E71">
        <w:rPr>
          <w:rFonts w:cs="Arial"/>
          <w:bCs/>
          <w:sz w:val="22"/>
          <w:szCs w:val="22"/>
        </w:rPr>
        <w:t>was a trusted employee and akin to family of the</w:t>
      </w:r>
      <w:r w:rsidR="001739F4">
        <w:rPr>
          <w:rFonts w:cs="Arial"/>
          <w:bCs/>
          <w:sz w:val="22"/>
          <w:szCs w:val="22"/>
        </w:rPr>
        <w:t xml:space="preserve"> late </w:t>
      </w:r>
      <w:proofErr w:type="spellStart"/>
      <w:r w:rsidR="00836AF5">
        <w:rPr>
          <w:rFonts w:cs="Arial"/>
          <w:bCs/>
          <w:sz w:val="22"/>
          <w:szCs w:val="22"/>
        </w:rPr>
        <w:t>Letsela</w:t>
      </w:r>
      <w:proofErr w:type="spellEnd"/>
      <w:r w:rsidR="00836AF5">
        <w:rPr>
          <w:rFonts w:cs="Arial"/>
          <w:bCs/>
          <w:sz w:val="22"/>
          <w:szCs w:val="22"/>
        </w:rPr>
        <w:t xml:space="preserve"> </w:t>
      </w:r>
      <w:r w:rsidR="00836AF5" w:rsidRPr="00A24E71">
        <w:rPr>
          <w:rFonts w:cs="Arial"/>
          <w:bCs/>
          <w:sz w:val="22"/>
          <w:szCs w:val="22"/>
        </w:rPr>
        <w:t>prior</w:t>
      </w:r>
      <w:r w:rsidR="00DD4E1D" w:rsidRPr="00A24E71">
        <w:rPr>
          <w:rFonts w:cs="Arial"/>
          <w:bCs/>
          <w:sz w:val="22"/>
          <w:szCs w:val="22"/>
        </w:rPr>
        <w:t xml:space="preserve"> to his death. </w:t>
      </w:r>
    </w:p>
    <w:p w14:paraId="711B2C17" w14:textId="6A39757A" w:rsidR="00DD4E1D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[14]</w:t>
      </w:r>
      <w:r>
        <w:rPr>
          <w:rFonts w:cs="Arial"/>
          <w:bCs/>
          <w:sz w:val="21"/>
          <w:szCs w:val="21"/>
        </w:rPr>
        <w:tab/>
      </w:r>
      <w:r w:rsidR="00DD4E1D">
        <w:rPr>
          <w:rFonts w:cs="Arial"/>
          <w:bCs/>
          <w:sz w:val="22"/>
          <w:szCs w:val="22"/>
        </w:rPr>
        <w:t xml:space="preserve">Accordingly, </w:t>
      </w:r>
      <w:r w:rsidR="001739F4">
        <w:rPr>
          <w:rFonts w:cs="Arial"/>
          <w:bCs/>
          <w:sz w:val="22"/>
          <w:szCs w:val="22"/>
        </w:rPr>
        <w:t>the second respondent owns the premises from which</w:t>
      </w:r>
      <w:r w:rsidR="001739F4" w:rsidRPr="001739F4">
        <w:rPr>
          <w:rFonts w:cs="Arial"/>
          <w:bCs/>
          <w:sz w:val="22"/>
          <w:szCs w:val="22"/>
        </w:rPr>
        <w:t xml:space="preserve"> </w:t>
      </w:r>
      <w:proofErr w:type="spellStart"/>
      <w:r w:rsidR="001739F4" w:rsidRPr="005F2938">
        <w:rPr>
          <w:rFonts w:cs="Arial"/>
          <w:bCs/>
          <w:sz w:val="22"/>
          <w:szCs w:val="22"/>
        </w:rPr>
        <w:t>Maphodi</w:t>
      </w:r>
      <w:proofErr w:type="spellEnd"/>
      <w:r w:rsidR="001739F4" w:rsidRPr="005F2938">
        <w:rPr>
          <w:rFonts w:cs="Arial"/>
          <w:bCs/>
          <w:sz w:val="22"/>
          <w:szCs w:val="22"/>
        </w:rPr>
        <w:t xml:space="preserve"> </w:t>
      </w:r>
      <w:proofErr w:type="spellStart"/>
      <w:r w:rsidR="001739F4">
        <w:rPr>
          <w:rFonts w:cs="Arial"/>
          <w:bCs/>
          <w:sz w:val="22"/>
          <w:szCs w:val="22"/>
        </w:rPr>
        <w:t>Drankwinkel</w:t>
      </w:r>
      <w:proofErr w:type="spellEnd"/>
      <w:r w:rsidR="001739F4">
        <w:rPr>
          <w:rFonts w:cs="Arial"/>
          <w:bCs/>
          <w:sz w:val="22"/>
          <w:szCs w:val="22"/>
        </w:rPr>
        <w:t xml:space="preserve"> traded. N</w:t>
      </w:r>
      <w:r w:rsidR="00DD4E1D">
        <w:rPr>
          <w:rFonts w:cs="Arial"/>
          <w:bCs/>
          <w:sz w:val="22"/>
          <w:szCs w:val="22"/>
        </w:rPr>
        <w:t xml:space="preserve">o basis </w:t>
      </w:r>
      <w:r w:rsidR="001739F4">
        <w:rPr>
          <w:rFonts w:cs="Arial"/>
          <w:bCs/>
          <w:sz w:val="22"/>
          <w:szCs w:val="22"/>
        </w:rPr>
        <w:t>was alleged</w:t>
      </w:r>
      <w:r w:rsidR="00DD4E1D">
        <w:rPr>
          <w:rFonts w:cs="Arial"/>
          <w:bCs/>
          <w:sz w:val="22"/>
          <w:szCs w:val="22"/>
        </w:rPr>
        <w:t xml:space="preserve"> for the applicant to claim ownership of the premises comprising the immovable property housing the bottle store. The applicant did not show payment of a purchase price or an agreement of sale or bring any additional documentar</w:t>
      </w:r>
      <w:r w:rsidR="001739F4">
        <w:rPr>
          <w:rFonts w:cs="Arial"/>
          <w:bCs/>
          <w:sz w:val="22"/>
          <w:szCs w:val="22"/>
        </w:rPr>
        <w:t>y evidencing</w:t>
      </w:r>
      <w:r w:rsidR="00DD4E1D">
        <w:rPr>
          <w:rFonts w:cs="Arial"/>
          <w:bCs/>
          <w:sz w:val="22"/>
          <w:szCs w:val="22"/>
        </w:rPr>
        <w:t xml:space="preserve"> ownership of the premises. </w:t>
      </w:r>
    </w:p>
    <w:p w14:paraId="3A777261" w14:textId="290CC6F5" w:rsidR="001739F4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lastRenderedPageBreak/>
        <w:t>[15]</w:t>
      </w:r>
      <w:r>
        <w:rPr>
          <w:rFonts w:cs="Arial"/>
          <w:bCs/>
          <w:sz w:val="21"/>
          <w:szCs w:val="21"/>
        </w:rPr>
        <w:tab/>
      </w:r>
      <w:r w:rsidR="001739F4">
        <w:rPr>
          <w:rFonts w:cs="Arial"/>
          <w:bCs/>
          <w:sz w:val="22"/>
          <w:szCs w:val="22"/>
        </w:rPr>
        <w:t xml:space="preserve">As to ownership of the business trading as </w:t>
      </w:r>
      <w:proofErr w:type="spellStart"/>
      <w:r w:rsidR="001739F4" w:rsidRPr="005F2938">
        <w:rPr>
          <w:rFonts w:cs="Arial"/>
          <w:bCs/>
          <w:sz w:val="22"/>
          <w:szCs w:val="22"/>
        </w:rPr>
        <w:t>Maphodi</w:t>
      </w:r>
      <w:proofErr w:type="spellEnd"/>
      <w:r w:rsidR="001739F4" w:rsidRPr="005F2938">
        <w:rPr>
          <w:rFonts w:cs="Arial"/>
          <w:bCs/>
          <w:sz w:val="22"/>
          <w:szCs w:val="22"/>
        </w:rPr>
        <w:t xml:space="preserve"> </w:t>
      </w:r>
      <w:proofErr w:type="spellStart"/>
      <w:r w:rsidR="001739F4" w:rsidRPr="005F2938">
        <w:rPr>
          <w:rFonts w:cs="Arial"/>
          <w:bCs/>
          <w:sz w:val="22"/>
          <w:szCs w:val="22"/>
        </w:rPr>
        <w:t>Drankwinkel</w:t>
      </w:r>
      <w:proofErr w:type="spellEnd"/>
      <w:r w:rsidR="001739F4" w:rsidRPr="005F2938">
        <w:rPr>
          <w:rFonts w:cs="Arial"/>
          <w:bCs/>
          <w:sz w:val="22"/>
          <w:szCs w:val="22"/>
        </w:rPr>
        <w:t xml:space="preserve">, </w:t>
      </w:r>
      <w:r w:rsidR="001739F4">
        <w:rPr>
          <w:rFonts w:cs="Arial"/>
          <w:bCs/>
          <w:sz w:val="22"/>
          <w:szCs w:val="22"/>
        </w:rPr>
        <w:t xml:space="preserve">the applicant failed to demonstrate that he owned the business and the first respondent denied that he owned </w:t>
      </w:r>
      <w:r w:rsidR="00E340EE">
        <w:rPr>
          <w:rFonts w:cs="Arial"/>
          <w:bCs/>
          <w:sz w:val="22"/>
          <w:szCs w:val="22"/>
        </w:rPr>
        <w:t>i</w:t>
      </w:r>
      <w:r w:rsidR="001739F4">
        <w:rPr>
          <w:rFonts w:cs="Arial"/>
          <w:bCs/>
          <w:sz w:val="22"/>
          <w:szCs w:val="22"/>
        </w:rPr>
        <w:t>t</w:t>
      </w:r>
      <w:r w:rsidR="00E340EE">
        <w:rPr>
          <w:rFonts w:cs="Arial"/>
          <w:bCs/>
          <w:sz w:val="22"/>
          <w:szCs w:val="22"/>
        </w:rPr>
        <w:t>.</w:t>
      </w:r>
      <w:r w:rsidR="001739F4">
        <w:rPr>
          <w:rFonts w:cs="Arial"/>
          <w:bCs/>
          <w:sz w:val="22"/>
          <w:szCs w:val="22"/>
        </w:rPr>
        <w:t xml:space="preserve">  </w:t>
      </w:r>
      <w:r w:rsidR="006F0143">
        <w:rPr>
          <w:rFonts w:cs="Arial"/>
          <w:bCs/>
          <w:sz w:val="22"/>
          <w:szCs w:val="22"/>
        </w:rPr>
        <w:t xml:space="preserve">The confirmatory affidavits furnished by the applicant in reply did not support the applicant’s alleged ownership of the business. </w:t>
      </w:r>
      <w:r w:rsidR="00E340EE">
        <w:rPr>
          <w:rFonts w:cs="Arial"/>
          <w:bCs/>
          <w:sz w:val="22"/>
          <w:szCs w:val="22"/>
        </w:rPr>
        <w:t>Proof of p</w:t>
      </w:r>
      <w:r w:rsidR="001739F4">
        <w:rPr>
          <w:rFonts w:cs="Arial"/>
          <w:bCs/>
          <w:sz w:val="22"/>
          <w:szCs w:val="22"/>
        </w:rPr>
        <w:t xml:space="preserve">urchase or payment </w:t>
      </w:r>
      <w:r w:rsidR="00E340EE">
        <w:rPr>
          <w:rFonts w:cs="Arial"/>
          <w:bCs/>
          <w:sz w:val="22"/>
          <w:szCs w:val="22"/>
        </w:rPr>
        <w:t xml:space="preserve">for the business was not demonstrated </w:t>
      </w:r>
      <w:r w:rsidR="001739F4">
        <w:rPr>
          <w:rFonts w:cs="Arial"/>
          <w:bCs/>
          <w:sz w:val="22"/>
          <w:szCs w:val="22"/>
        </w:rPr>
        <w:t xml:space="preserve">by the applicant. </w:t>
      </w:r>
      <w:r w:rsidR="00E340EE">
        <w:rPr>
          <w:rFonts w:cs="Arial"/>
          <w:bCs/>
          <w:sz w:val="22"/>
          <w:szCs w:val="22"/>
        </w:rPr>
        <w:t xml:space="preserve">Unsubstantiated averments of the business being handed over to the applicant by the late </w:t>
      </w:r>
      <w:proofErr w:type="spellStart"/>
      <w:r w:rsidR="00E340EE">
        <w:rPr>
          <w:rFonts w:cs="Arial"/>
          <w:bCs/>
          <w:sz w:val="22"/>
          <w:szCs w:val="22"/>
        </w:rPr>
        <w:t>Letsela</w:t>
      </w:r>
      <w:proofErr w:type="spellEnd"/>
      <w:r w:rsidR="00E340EE">
        <w:rPr>
          <w:rFonts w:cs="Arial"/>
          <w:bCs/>
          <w:sz w:val="22"/>
          <w:szCs w:val="22"/>
        </w:rPr>
        <w:t xml:space="preserve"> prior to his death</w:t>
      </w:r>
      <w:r w:rsidR="00D54B74">
        <w:rPr>
          <w:rFonts w:cs="Arial"/>
          <w:bCs/>
          <w:sz w:val="22"/>
          <w:szCs w:val="22"/>
        </w:rPr>
        <w:t>,</w:t>
      </w:r>
      <w:r w:rsidR="00E340EE">
        <w:rPr>
          <w:rFonts w:cs="Arial"/>
          <w:bCs/>
          <w:sz w:val="22"/>
          <w:szCs w:val="22"/>
        </w:rPr>
        <w:t xml:space="preserve"> did not make out a case for the relief sought by the applicant.  </w:t>
      </w:r>
    </w:p>
    <w:p w14:paraId="136BCF2E" w14:textId="445FC4C6" w:rsidR="00DD4E1D" w:rsidRPr="006F0143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 w:rsidRPr="006F0143">
        <w:rPr>
          <w:rFonts w:cs="Arial"/>
          <w:bCs/>
          <w:sz w:val="21"/>
          <w:szCs w:val="21"/>
        </w:rPr>
        <w:t>[16]</w:t>
      </w:r>
      <w:r w:rsidRPr="006F0143">
        <w:rPr>
          <w:rFonts w:cs="Arial"/>
          <w:bCs/>
          <w:sz w:val="21"/>
          <w:szCs w:val="21"/>
        </w:rPr>
        <w:tab/>
      </w:r>
      <w:r w:rsidR="006F0143">
        <w:rPr>
          <w:rFonts w:cs="Arial"/>
          <w:b/>
          <w:bCs/>
          <w:sz w:val="22"/>
          <w:szCs w:val="22"/>
        </w:rPr>
        <w:t xml:space="preserve"> </w:t>
      </w:r>
      <w:r w:rsidR="00DD4E1D" w:rsidRPr="006F0143">
        <w:rPr>
          <w:rFonts w:cs="Arial"/>
          <w:bCs/>
          <w:sz w:val="22"/>
          <w:szCs w:val="22"/>
        </w:rPr>
        <w:t>Additionally, the applicant failed to demonstrate o</w:t>
      </w:r>
      <w:r w:rsidR="006F0143">
        <w:rPr>
          <w:rFonts w:cs="Arial"/>
          <w:bCs/>
          <w:sz w:val="22"/>
          <w:szCs w:val="22"/>
        </w:rPr>
        <w:t xml:space="preserve">wnership of the business </w:t>
      </w:r>
      <w:r w:rsidR="00DD4E1D" w:rsidRPr="006F0143">
        <w:rPr>
          <w:rFonts w:cs="Arial"/>
          <w:bCs/>
          <w:sz w:val="22"/>
          <w:szCs w:val="22"/>
        </w:rPr>
        <w:t>stock, particularly the alcohol, utilised in the business. No proof of purchase or payment of the li</w:t>
      </w:r>
      <w:r w:rsidR="006F0143">
        <w:rPr>
          <w:rFonts w:cs="Arial"/>
          <w:bCs/>
          <w:sz w:val="22"/>
          <w:szCs w:val="22"/>
        </w:rPr>
        <w:t>quor stock was placed before this</w:t>
      </w:r>
      <w:r w:rsidR="00DD4E1D" w:rsidRPr="006F0143">
        <w:rPr>
          <w:rFonts w:cs="Arial"/>
          <w:bCs/>
          <w:sz w:val="22"/>
          <w:szCs w:val="22"/>
        </w:rPr>
        <w:t xml:space="preserve"> Court. In addition, the applicant failed to provide proof of the renewal of the liquor licence to date of inception of the application. N</w:t>
      </w:r>
      <w:r w:rsidR="002C20D3" w:rsidRPr="006F0143">
        <w:rPr>
          <w:rFonts w:cs="Arial"/>
          <w:bCs/>
          <w:sz w:val="22"/>
          <w:szCs w:val="22"/>
        </w:rPr>
        <w:t>or was there any confirmation of the applicant’s ownership of the business from the account</w:t>
      </w:r>
      <w:r w:rsidR="006F0143">
        <w:rPr>
          <w:rFonts w:cs="Arial"/>
          <w:bCs/>
          <w:sz w:val="22"/>
          <w:szCs w:val="22"/>
        </w:rPr>
        <w:t>ing officer of the business.</w:t>
      </w:r>
      <w:r w:rsidR="002C20D3" w:rsidRPr="006F0143">
        <w:rPr>
          <w:rFonts w:cs="Arial"/>
          <w:bCs/>
          <w:sz w:val="22"/>
          <w:szCs w:val="22"/>
        </w:rPr>
        <w:t xml:space="preserve"> </w:t>
      </w:r>
    </w:p>
    <w:p w14:paraId="29F7C651" w14:textId="3FEB63C8" w:rsidR="002C20D3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[17]</w:t>
      </w:r>
      <w:r>
        <w:rPr>
          <w:rFonts w:cs="Arial"/>
          <w:bCs/>
          <w:sz w:val="21"/>
          <w:szCs w:val="21"/>
        </w:rPr>
        <w:tab/>
      </w:r>
      <w:r w:rsidR="002C20D3">
        <w:rPr>
          <w:rFonts w:cs="Arial"/>
          <w:bCs/>
          <w:sz w:val="22"/>
          <w:szCs w:val="22"/>
        </w:rPr>
        <w:t xml:space="preserve">In addition, no proof of the first respondent’s dispossession of the premises from the applicant was placed before me. The applicant failed to provide </w:t>
      </w:r>
      <w:r w:rsidR="006F0143">
        <w:rPr>
          <w:rFonts w:cs="Arial"/>
          <w:bCs/>
          <w:sz w:val="22"/>
          <w:szCs w:val="22"/>
        </w:rPr>
        <w:t xml:space="preserve">any </w:t>
      </w:r>
      <w:r w:rsidR="002C20D3">
        <w:rPr>
          <w:rFonts w:cs="Arial"/>
          <w:bCs/>
          <w:sz w:val="22"/>
          <w:szCs w:val="22"/>
        </w:rPr>
        <w:t>confirmatory affidavit</w:t>
      </w:r>
      <w:r w:rsidR="006F0143">
        <w:rPr>
          <w:rFonts w:cs="Arial"/>
          <w:bCs/>
          <w:sz w:val="22"/>
          <w:szCs w:val="22"/>
        </w:rPr>
        <w:t>s in respect</w:t>
      </w:r>
      <w:r w:rsidR="002C20D3">
        <w:rPr>
          <w:rFonts w:cs="Arial"/>
          <w:bCs/>
          <w:sz w:val="22"/>
          <w:szCs w:val="22"/>
        </w:rPr>
        <w:t xml:space="preserve"> of the alleged dispossession from employees or customers in the business at the </w:t>
      </w:r>
      <w:r w:rsidR="006F0143">
        <w:rPr>
          <w:rFonts w:cs="Arial"/>
          <w:bCs/>
          <w:sz w:val="22"/>
          <w:szCs w:val="22"/>
        </w:rPr>
        <w:t xml:space="preserve">relevant </w:t>
      </w:r>
      <w:r w:rsidR="002C20D3">
        <w:rPr>
          <w:rFonts w:cs="Arial"/>
          <w:bCs/>
          <w:sz w:val="22"/>
          <w:szCs w:val="22"/>
        </w:rPr>
        <w:t>time.</w:t>
      </w:r>
    </w:p>
    <w:p w14:paraId="217FEA85" w14:textId="17695B97" w:rsidR="002C20D3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[18]</w:t>
      </w:r>
      <w:r>
        <w:rPr>
          <w:rFonts w:cs="Arial"/>
          <w:bCs/>
          <w:sz w:val="21"/>
          <w:szCs w:val="21"/>
        </w:rPr>
        <w:tab/>
      </w:r>
      <w:r w:rsidR="002C20D3">
        <w:rPr>
          <w:rFonts w:cs="Arial"/>
          <w:bCs/>
          <w:sz w:val="22"/>
          <w:szCs w:val="22"/>
        </w:rPr>
        <w:t>In th</w:t>
      </w:r>
      <w:r w:rsidR="00836AF5">
        <w:rPr>
          <w:rFonts w:cs="Arial"/>
          <w:bCs/>
          <w:sz w:val="22"/>
          <w:szCs w:val="22"/>
        </w:rPr>
        <w:t>e circumstances, the application stands to be</w:t>
      </w:r>
      <w:r w:rsidR="002C20D3">
        <w:rPr>
          <w:rFonts w:cs="Arial"/>
          <w:bCs/>
          <w:sz w:val="22"/>
          <w:szCs w:val="22"/>
        </w:rPr>
        <w:t xml:space="preserve"> dismissed and the appropriate order will follow hereunder. There is no reason why the costs of this application should not follow the order on the merits.</w:t>
      </w:r>
    </w:p>
    <w:p w14:paraId="4354A2AB" w14:textId="7F165936" w:rsidR="00A81108" w:rsidRDefault="00864603" w:rsidP="00864603">
      <w:pPr>
        <w:tabs>
          <w:tab w:val="left" w:pos="680"/>
        </w:tabs>
        <w:spacing w:after="480" w:line="48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1"/>
          <w:szCs w:val="21"/>
        </w:rPr>
        <w:t>[19]</w:t>
      </w:r>
      <w:r>
        <w:rPr>
          <w:rFonts w:cs="Arial"/>
          <w:bCs/>
          <w:sz w:val="21"/>
          <w:szCs w:val="21"/>
        </w:rPr>
        <w:tab/>
      </w:r>
      <w:r w:rsidR="0052527A">
        <w:rPr>
          <w:rFonts w:cs="Arial"/>
          <w:bCs/>
          <w:sz w:val="22"/>
          <w:szCs w:val="22"/>
        </w:rPr>
        <w:t>In the</w:t>
      </w:r>
      <w:r w:rsidR="00836AF5">
        <w:rPr>
          <w:rFonts w:cs="Arial"/>
          <w:bCs/>
          <w:sz w:val="22"/>
          <w:szCs w:val="22"/>
        </w:rPr>
        <w:t xml:space="preserve"> circumstances, the application</w:t>
      </w:r>
      <w:r w:rsidR="000C600E">
        <w:rPr>
          <w:rFonts w:cs="Arial"/>
          <w:bCs/>
          <w:sz w:val="22"/>
          <w:szCs w:val="22"/>
        </w:rPr>
        <w:t xml:space="preserve"> is dismissed with costs.</w:t>
      </w:r>
    </w:p>
    <w:p w14:paraId="20F1565C" w14:textId="77777777" w:rsidR="000C600E" w:rsidRPr="000C600E" w:rsidRDefault="000C600E" w:rsidP="000C600E">
      <w:pPr>
        <w:spacing w:after="480" w:line="480" w:lineRule="auto"/>
        <w:jc w:val="both"/>
        <w:rPr>
          <w:rFonts w:cs="Arial"/>
          <w:bCs/>
          <w:sz w:val="22"/>
          <w:szCs w:val="22"/>
        </w:rPr>
      </w:pPr>
    </w:p>
    <w:p w14:paraId="658AD1E6" w14:textId="77777777" w:rsidR="00A81108" w:rsidRPr="00A81108" w:rsidRDefault="00A81108" w:rsidP="00A81108">
      <w:pPr>
        <w:keepNext/>
        <w:tabs>
          <w:tab w:val="right" w:pos="0"/>
        </w:tabs>
        <w:spacing w:line="360" w:lineRule="auto"/>
        <w:contextualSpacing/>
        <w:jc w:val="right"/>
        <w:rPr>
          <w:rFonts w:cs="Arial"/>
        </w:rPr>
      </w:pPr>
      <w:r w:rsidRPr="00A81108">
        <w:rPr>
          <w:rFonts w:cs="Arial"/>
        </w:rPr>
        <w:lastRenderedPageBreak/>
        <w:t>_____________________________________</w:t>
      </w:r>
    </w:p>
    <w:p w14:paraId="19A35387" w14:textId="77777777" w:rsidR="00A81108" w:rsidRPr="00A81108" w:rsidRDefault="00A81108" w:rsidP="00A81108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</w:rPr>
      </w:pPr>
      <w:r w:rsidRPr="00A81108">
        <w:rPr>
          <w:rFonts w:cs="Arial"/>
          <w:b/>
        </w:rPr>
        <w:t xml:space="preserve">A </w:t>
      </w:r>
      <w:proofErr w:type="spellStart"/>
      <w:r w:rsidRPr="00A81108">
        <w:rPr>
          <w:rFonts w:cs="Arial"/>
          <w:b/>
        </w:rPr>
        <w:t>A</w:t>
      </w:r>
      <w:proofErr w:type="spellEnd"/>
      <w:r w:rsidRPr="00A81108">
        <w:rPr>
          <w:rFonts w:cs="Arial"/>
          <w:b/>
        </w:rPr>
        <w:t xml:space="preserve"> CRUTCHFIELD</w:t>
      </w:r>
    </w:p>
    <w:p w14:paraId="29C815E5" w14:textId="77777777" w:rsidR="00A81108" w:rsidRPr="00A81108" w:rsidRDefault="00A81108" w:rsidP="00A81108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</w:rPr>
      </w:pPr>
      <w:r w:rsidRPr="00A81108">
        <w:rPr>
          <w:rFonts w:cs="Arial"/>
          <w:b/>
        </w:rPr>
        <w:t>JUDGE OF THE HIGH COURT OF SOUTH AFRICA</w:t>
      </w:r>
    </w:p>
    <w:p w14:paraId="7BFCC057" w14:textId="77777777" w:rsidR="00A81108" w:rsidRPr="00A81108" w:rsidRDefault="00A81108" w:rsidP="00A81108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</w:rPr>
      </w:pPr>
      <w:r w:rsidRPr="00A81108">
        <w:rPr>
          <w:rFonts w:cs="Arial"/>
          <w:b/>
        </w:rPr>
        <w:t>GAUTENG LOCAL DIVISION</w:t>
      </w:r>
    </w:p>
    <w:p w14:paraId="2A6BB4C1" w14:textId="77777777" w:rsidR="00A81108" w:rsidRPr="00A81108" w:rsidRDefault="00A81108" w:rsidP="00A81108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</w:rPr>
      </w:pPr>
      <w:r w:rsidRPr="00A81108">
        <w:rPr>
          <w:rFonts w:cs="Arial"/>
          <w:b/>
        </w:rPr>
        <w:t>JOHANNESBURG</w:t>
      </w:r>
    </w:p>
    <w:p w14:paraId="0102205E" w14:textId="77777777" w:rsidR="00A81108" w:rsidRPr="00A81108" w:rsidRDefault="00A81108" w:rsidP="00A81108">
      <w:pPr>
        <w:tabs>
          <w:tab w:val="right" w:pos="0"/>
          <w:tab w:val="left" w:pos="4253"/>
        </w:tabs>
        <w:spacing w:line="360" w:lineRule="auto"/>
        <w:contextualSpacing/>
        <w:jc w:val="center"/>
        <w:rPr>
          <w:rFonts w:cs="Arial"/>
          <w:b/>
        </w:rPr>
      </w:pPr>
    </w:p>
    <w:p w14:paraId="49A057DE" w14:textId="77777777" w:rsidR="00A81108" w:rsidRPr="00A81108" w:rsidRDefault="00836AF5" w:rsidP="00A81108">
      <w:pPr>
        <w:spacing w:after="200" w:line="480" w:lineRule="auto"/>
        <w:contextualSpacing/>
        <w:jc w:val="right"/>
        <w:rPr>
          <w:rFonts w:cs="Arial"/>
          <w:b/>
          <w:i/>
          <w:iCs/>
          <w:sz w:val="22"/>
        </w:rPr>
      </w:pPr>
      <w:r>
        <w:rPr>
          <w:rFonts w:cs="Arial"/>
          <w:b/>
          <w:i/>
          <w:iCs/>
          <w:sz w:val="22"/>
        </w:rPr>
        <w:t xml:space="preserve"> </w:t>
      </w:r>
    </w:p>
    <w:p w14:paraId="2757AF73" w14:textId="77777777" w:rsidR="00A81108" w:rsidRPr="00A81108" w:rsidRDefault="00A81108" w:rsidP="00A81108">
      <w:pPr>
        <w:spacing w:after="200" w:line="360" w:lineRule="auto"/>
        <w:contextualSpacing/>
        <w:jc w:val="both"/>
        <w:rPr>
          <w:rFonts w:eastAsia="Arial Unicode MS" w:cs="Arial"/>
          <w:bCs/>
          <w:sz w:val="22"/>
        </w:rPr>
      </w:pPr>
    </w:p>
    <w:p w14:paraId="69F29EE0" w14:textId="77777777" w:rsidR="00A81108" w:rsidRPr="00A81108" w:rsidRDefault="00A81108" w:rsidP="00A81108">
      <w:pPr>
        <w:spacing w:after="200" w:line="360" w:lineRule="auto"/>
        <w:contextualSpacing/>
        <w:jc w:val="both"/>
        <w:rPr>
          <w:rFonts w:eastAsia="Arial Unicode MS" w:cs="Arial"/>
          <w:bCs/>
          <w:sz w:val="22"/>
        </w:rPr>
      </w:pPr>
      <w:r w:rsidRPr="00A81108">
        <w:rPr>
          <w:rFonts w:eastAsia="Arial Unicode MS" w:cs="Arial"/>
          <w:bCs/>
          <w:sz w:val="22"/>
        </w:rPr>
        <w:t xml:space="preserve">Delivered: This judgment was prepared and authored by the Judge whose name is reflected and is handed down electronically by circulation to the Parties / their legal representatives by email and by uploading it to the electronic file of this matter on </w:t>
      </w:r>
      <w:proofErr w:type="spellStart"/>
      <w:r w:rsidRPr="00A81108">
        <w:rPr>
          <w:rFonts w:eastAsia="Arial Unicode MS" w:cs="Arial"/>
          <w:bCs/>
          <w:sz w:val="22"/>
        </w:rPr>
        <w:t>CaseLines</w:t>
      </w:r>
      <w:proofErr w:type="spellEnd"/>
      <w:r w:rsidRPr="00A81108">
        <w:rPr>
          <w:rFonts w:eastAsia="Arial Unicode MS" w:cs="Arial"/>
          <w:bCs/>
          <w:sz w:val="22"/>
        </w:rPr>
        <w:t xml:space="preserve">. The date </w:t>
      </w:r>
      <w:r w:rsidR="00836AF5">
        <w:rPr>
          <w:rFonts w:eastAsia="Arial Unicode MS" w:cs="Arial"/>
          <w:bCs/>
          <w:sz w:val="22"/>
        </w:rPr>
        <w:t xml:space="preserve">of the judgment is deemed to be 19 </w:t>
      </w:r>
      <w:r w:rsidR="00836AF5" w:rsidRPr="00836AF5">
        <w:rPr>
          <w:rFonts w:eastAsia="Arial Unicode MS" w:cs="Arial"/>
          <w:bCs/>
          <w:sz w:val="22"/>
        </w:rPr>
        <w:t xml:space="preserve">December </w:t>
      </w:r>
      <w:r w:rsidRPr="00836AF5">
        <w:rPr>
          <w:rFonts w:eastAsia="Arial Unicode MS" w:cs="Arial"/>
          <w:bCs/>
          <w:sz w:val="22"/>
        </w:rPr>
        <w:t>202</w:t>
      </w:r>
      <w:r w:rsidR="00836AF5" w:rsidRPr="00836AF5">
        <w:rPr>
          <w:rFonts w:eastAsia="Arial Unicode MS" w:cs="Arial"/>
          <w:bCs/>
          <w:sz w:val="22"/>
        </w:rPr>
        <w:t>2</w:t>
      </w:r>
      <w:r w:rsidRPr="00836AF5">
        <w:rPr>
          <w:rFonts w:eastAsia="Arial Unicode MS" w:cs="Arial"/>
          <w:bCs/>
          <w:sz w:val="22"/>
        </w:rPr>
        <w:t>.</w:t>
      </w:r>
    </w:p>
    <w:p w14:paraId="1BC5D7E3" w14:textId="77777777" w:rsidR="00A81108" w:rsidRPr="00A81108" w:rsidRDefault="00A81108" w:rsidP="00A81108">
      <w:pPr>
        <w:tabs>
          <w:tab w:val="right" w:pos="0"/>
          <w:tab w:val="left" w:pos="4253"/>
        </w:tabs>
        <w:spacing w:line="360" w:lineRule="auto"/>
        <w:contextualSpacing/>
        <w:jc w:val="center"/>
        <w:rPr>
          <w:rFonts w:cs="Arial"/>
          <w:b/>
        </w:rPr>
      </w:pPr>
    </w:p>
    <w:p w14:paraId="0FF7D125" w14:textId="77777777" w:rsidR="00A81108" w:rsidRPr="00A81108" w:rsidRDefault="00A81108" w:rsidP="00A81108">
      <w:pPr>
        <w:tabs>
          <w:tab w:val="right" w:pos="0"/>
          <w:tab w:val="left" w:pos="4253"/>
        </w:tabs>
        <w:spacing w:line="360" w:lineRule="auto"/>
        <w:contextualSpacing/>
        <w:jc w:val="center"/>
        <w:rPr>
          <w:rFonts w:cs="Arial"/>
          <w:b/>
        </w:rPr>
      </w:pPr>
    </w:p>
    <w:p w14:paraId="311F3C54" w14:textId="77777777" w:rsidR="00A81108" w:rsidRPr="00A81108" w:rsidRDefault="00A81108" w:rsidP="00A81108">
      <w:pPr>
        <w:tabs>
          <w:tab w:val="right" w:pos="0"/>
          <w:tab w:val="left" w:pos="4253"/>
        </w:tabs>
        <w:spacing w:line="360" w:lineRule="auto"/>
        <w:contextualSpacing/>
        <w:jc w:val="both"/>
        <w:rPr>
          <w:rFonts w:cs="Arial"/>
        </w:rPr>
      </w:pPr>
    </w:p>
    <w:p w14:paraId="165A2BB9" w14:textId="77777777" w:rsidR="00A81108" w:rsidRPr="00A81108" w:rsidRDefault="000C600E" w:rsidP="00A81108">
      <w:pPr>
        <w:tabs>
          <w:tab w:val="right" w:pos="8647"/>
        </w:tabs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ATTORNEYS</w:t>
      </w:r>
      <w:r w:rsidR="00A81108" w:rsidRPr="00A81108">
        <w:rPr>
          <w:rFonts w:cs="Arial"/>
        </w:rPr>
        <w:t xml:space="preserve"> FOR THE APPLICANT: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</w:t>
      </w:r>
      <w:r w:rsidR="00A81108" w:rsidRPr="00A81108">
        <w:rPr>
          <w:rFonts w:cs="Arial"/>
        </w:rPr>
        <w:t xml:space="preserve"> </w:t>
      </w:r>
      <w:proofErr w:type="spellStart"/>
      <w:r>
        <w:rPr>
          <w:rFonts w:cs="Arial"/>
        </w:rPr>
        <w:t>Gwala</w:t>
      </w:r>
      <w:proofErr w:type="spellEnd"/>
      <w:proofErr w:type="gramEnd"/>
      <w:r>
        <w:rPr>
          <w:rFonts w:cs="Arial"/>
        </w:rPr>
        <w:t xml:space="preserve"> Dlamini </w:t>
      </w:r>
      <w:proofErr w:type="spellStart"/>
      <w:r>
        <w:rPr>
          <w:rFonts w:cs="Arial"/>
        </w:rPr>
        <w:t>Msane</w:t>
      </w:r>
      <w:proofErr w:type="spellEnd"/>
      <w:r>
        <w:rPr>
          <w:rFonts w:cs="Arial"/>
        </w:rPr>
        <w:t xml:space="preserve"> Inc.</w:t>
      </w:r>
      <w:r w:rsidR="00A81108" w:rsidRPr="00A81108">
        <w:rPr>
          <w:rFonts w:cs="Arial"/>
        </w:rPr>
        <w:tab/>
      </w:r>
    </w:p>
    <w:p w14:paraId="1C4C1D71" w14:textId="77777777" w:rsidR="00A81108" w:rsidRPr="00A81108" w:rsidRDefault="000C600E" w:rsidP="000C600E">
      <w:pPr>
        <w:tabs>
          <w:tab w:val="right" w:pos="8647"/>
        </w:tabs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ATTORNEYS </w:t>
      </w:r>
      <w:r w:rsidR="00A81108" w:rsidRPr="00A81108">
        <w:rPr>
          <w:rFonts w:cs="Arial"/>
        </w:rPr>
        <w:t xml:space="preserve">FOR THE </w:t>
      </w:r>
      <w:r w:rsidR="0052527A">
        <w:rPr>
          <w:rFonts w:cs="Arial"/>
        </w:rPr>
        <w:t xml:space="preserve">FIRST </w:t>
      </w:r>
      <w:r w:rsidR="00A81108" w:rsidRPr="00A81108">
        <w:rPr>
          <w:rFonts w:cs="Arial"/>
        </w:rPr>
        <w:t>RESPONDENT: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108" w:rsidRPr="00A81108">
        <w:rPr>
          <w:rFonts w:cs="Arial"/>
        </w:rPr>
        <w:t xml:space="preserve"> </w:t>
      </w:r>
      <w:proofErr w:type="spellStart"/>
      <w:r>
        <w:rPr>
          <w:rFonts w:cs="Arial"/>
        </w:rPr>
        <w:t>Mukovhanama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Tshilidzi</w:t>
      </w:r>
      <w:proofErr w:type="spellEnd"/>
      <w:r>
        <w:rPr>
          <w:rFonts w:cs="Arial"/>
        </w:rPr>
        <w:t xml:space="preserve"> Attorneys.</w:t>
      </w:r>
      <w:r w:rsidR="00A81108" w:rsidRPr="00A81108">
        <w:rPr>
          <w:rFonts w:cs="Arial"/>
        </w:rPr>
        <w:tab/>
        <w:t xml:space="preserve"> </w:t>
      </w:r>
      <w:r w:rsidR="00A81108" w:rsidRPr="00A81108">
        <w:rPr>
          <w:rFonts w:cs="Arial"/>
        </w:rPr>
        <w:tab/>
      </w:r>
    </w:p>
    <w:p w14:paraId="2F124B99" w14:textId="77777777" w:rsidR="00A81108" w:rsidRPr="00A81108" w:rsidRDefault="00A81108" w:rsidP="00A81108">
      <w:pPr>
        <w:tabs>
          <w:tab w:val="right" w:pos="0"/>
          <w:tab w:val="right" w:pos="8647"/>
        </w:tabs>
        <w:spacing w:line="360" w:lineRule="auto"/>
        <w:contextualSpacing/>
        <w:jc w:val="both"/>
        <w:rPr>
          <w:rFonts w:cs="Arial"/>
        </w:rPr>
      </w:pPr>
      <w:r w:rsidRPr="00A81108">
        <w:rPr>
          <w:rFonts w:cs="Arial"/>
        </w:rPr>
        <w:t>DATE OF THE HEARING:</w:t>
      </w:r>
      <w:r w:rsidR="0031095C">
        <w:rPr>
          <w:rFonts w:cs="Arial"/>
        </w:rPr>
        <w:t xml:space="preserve"> </w:t>
      </w:r>
      <w:r w:rsidR="0031095C">
        <w:rPr>
          <w:rFonts w:cs="Arial"/>
        </w:rPr>
        <w:tab/>
      </w:r>
      <w:r w:rsidR="0031095C">
        <w:rPr>
          <w:rFonts w:cs="Arial"/>
        </w:rPr>
        <w:lastRenderedPageBreak/>
        <w:tab/>
      </w:r>
      <w:r w:rsidR="0031095C">
        <w:rPr>
          <w:rFonts w:cs="Arial"/>
        </w:rPr>
        <w:tab/>
      </w:r>
      <w:r w:rsidR="0031095C">
        <w:rPr>
          <w:rFonts w:cs="Arial"/>
        </w:rPr>
        <w:tab/>
      </w:r>
      <w:r w:rsidR="0031095C">
        <w:rPr>
          <w:rFonts w:cs="Arial"/>
        </w:rPr>
        <w:tab/>
      </w:r>
      <w:r w:rsidR="0031095C">
        <w:rPr>
          <w:rFonts w:cs="Arial"/>
        </w:rPr>
        <w:tab/>
      </w:r>
      <w:r w:rsidR="0031095C">
        <w:rPr>
          <w:rFonts w:cs="Arial"/>
        </w:rPr>
        <w:tab/>
        <w:t xml:space="preserve">       30 August 2022.</w:t>
      </w:r>
      <w:r w:rsidRPr="00A81108">
        <w:rPr>
          <w:rFonts w:cs="Arial"/>
        </w:rPr>
        <w:tab/>
      </w:r>
    </w:p>
    <w:p w14:paraId="6BEAF45C" w14:textId="77777777" w:rsidR="00A81108" w:rsidRPr="00A81108" w:rsidRDefault="00A81108" w:rsidP="00A81108">
      <w:pPr>
        <w:tabs>
          <w:tab w:val="right" w:pos="0"/>
          <w:tab w:val="right" w:pos="8647"/>
        </w:tabs>
        <w:spacing w:line="360" w:lineRule="auto"/>
        <w:contextualSpacing/>
        <w:jc w:val="both"/>
        <w:rPr>
          <w:rFonts w:cs="Arial"/>
        </w:rPr>
      </w:pPr>
      <w:r w:rsidRPr="00A81108">
        <w:rPr>
          <w:rFonts w:cs="Arial"/>
        </w:rPr>
        <w:t>DATE OF JUDGMENT:</w:t>
      </w:r>
      <w:r w:rsidR="000C600E">
        <w:rPr>
          <w:rFonts w:cs="Arial"/>
        </w:rPr>
        <w:t xml:space="preserve"> </w:t>
      </w:r>
      <w:r w:rsidR="000C600E">
        <w:rPr>
          <w:rFonts w:cs="Arial"/>
        </w:rPr>
        <w:tab/>
      </w:r>
      <w:r w:rsidR="000C600E">
        <w:rPr>
          <w:rFonts w:cs="Arial"/>
        </w:rPr>
        <w:tab/>
      </w:r>
      <w:r w:rsidR="000C600E">
        <w:rPr>
          <w:rFonts w:cs="Arial"/>
        </w:rPr>
        <w:tab/>
      </w:r>
      <w:r w:rsidR="000C600E">
        <w:rPr>
          <w:rFonts w:cs="Arial"/>
        </w:rPr>
        <w:tab/>
      </w:r>
      <w:r w:rsidR="000C600E">
        <w:rPr>
          <w:rFonts w:cs="Arial"/>
        </w:rPr>
        <w:tab/>
      </w:r>
      <w:r w:rsidR="000C600E">
        <w:rPr>
          <w:rFonts w:cs="Arial"/>
        </w:rPr>
        <w:tab/>
      </w:r>
      <w:r w:rsidR="000C600E">
        <w:rPr>
          <w:rFonts w:cs="Arial"/>
        </w:rPr>
        <w:tab/>
        <w:t xml:space="preserve"> 19 December 2022.</w:t>
      </w:r>
      <w:r w:rsidRPr="00A81108">
        <w:rPr>
          <w:rFonts w:cs="Arial"/>
        </w:rPr>
        <w:tab/>
      </w:r>
    </w:p>
    <w:p w14:paraId="2FAD6E13" w14:textId="77777777" w:rsidR="00AA6E8C" w:rsidRPr="00A81108" w:rsidRDefault="00AA6E8C" w:rsidP="00A81108"/>
    <w:sectPr w:rsidR="00AA6E8C" w:rsidRPr="00A81108" w:rsidSect="00A81108">
      <w:headerReference w:type="default" r:id="rId8"/>
      <w:pgSz w:w="11906" w:h="16838"/>
      <w:pgMar w:top="1440" w:right="155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155" w14:textId="77777777" w:rsidR="00C202E8" w:rsidRDefault="00C202E8">
      <w:r>
        <w:separator/>
      </w:r>
    </w:p>
  </w:endnote>
  <w:endnote w:type="continuationSeparator" w:id="0">
    <w:p w14:paraId="011DFBBE" w14:textId="77777777" w:rsidR="00C202E8" w:rsidRDefault="00C2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A19B" w14:textId="77777777" w:rsidR="00C202E8" w:rsidRDefault="00C202E8">
      <w:r>
        <w:separator/>
      </w:r>
    </w:p>
  </w:footnote>
  <w:footnote w:type="continuationSeparator" w:id="0">
    <w:p w14:paraId="6237983C" w14:textId="77777777" w:rsidR="00C202E8" w:rsidRDefault="00C2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6C28" w14:textId="77777777" w:rsidR="0001111B" w:rsidRDefault="0022218D">
    <w:pPr>
      <w:pStyle w:val="Header"/>
      <w:spacing w:line="480" w:lineRule="auto"/>
      <w:jc w:val="right"/>
      <w:rPr>
        <w:rStyle w:val="PageNumber"/>
        <w:rFonts w:cs="Arial"/>
      </w:rPr>
    </w:pPr>
    <w:r>
      <w:rPr>
        <w:rFonts w:cs="Arial"/>
        <w:lang w:val="en-US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F06D8F"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14:paraId="4683E265" w14:textId="77777777" w:rsidR="0001111B" w:rsidRDefault="0001111B">
    <w:pPr>
      <w:pStyle w:val="Header"/>
      <w:jc w:val="right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FFC1874"/>
    <w:multiLevelType w:val="multilevel"/>
    <w:tmpl w:val="9964028C"/>
    <w:lvl w:ilvl="0">
      <w:start w:val="1"/>
      <w:numFmt w:val="decimal"/>
      <w:lvlText w:val="[%1]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51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8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51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3"/>
        </w:tabs>
        <w:ind w:left="493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BB345E5"/>
    <w:multiLevelType w:val="multilevel"/>
    <w:tmpl w:val="5E5A0D06"/>
    <w:lvl w:ilvl="0">
      <w:start w:val="1"/>
      <w:numFmt w:val="decimal"/>
      <w:lvlText w:val="%1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2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79807361">
    <w:abstractNumId w:val="1"/>
  </w:num>
  <w:num w:numId="2" w16cid:durableId="1942713736">
    <w:abstractNumId w:val="0"/>
  </w:num>
  <w:num w:numId="3" w16cid:durableId="132855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A0"/>
    <w:rsid w:val="0001111B"/>
    <w:rsid w:val="00060A52"/>
    <w:rsid w:val="000B4AC9"/>
    <w:rsid w:val="000C600E"/>
    <w:rsid w:val="001739F4"/>
    <w:rsid w:val="001A6968"/>
    <w:rsid w:val="001B6246"/>
    <w:rsid w:val="001C7C56"/>
    <w:rsid w:val="0022218D"/>
    <w:rsid w:val="002251F6"/>
    <w:rsid w:val="0024734B"/>
    <w:rsid w:val="00257E5A"/>
    <w:rsid w:val="00262819"/>
    <w:rsid w:val="002C20D3"/>
    <w:rsid w:val="0031095C"/>
    <w:rsid w:val="00312EBC"/>
    <w:rsid w:val="003372A1"/>
    <w:rsid w:val="00345D5C"/>
    <w:rsid w:val="00346DE6"/>
    <w:rsid w:val="00380081"/>
    <w:rsid w:val="00457A56"/>
    <w:rsid w:val="0052527A"/>
    <w:rsid w:val="0056544E"/>
    <w:rsid w:val="00586E51"/>
    <w:rsid w:val="005C7FC2"/>
    <w:rsid w:val="005F2938"/>
    <w:rsid w:val="00660C84"/>
    <w:rsid w:val="006752A2"/>
    <w:rsid w:val="00680EB7"/>
    <w:rsid w:val="006A5468"/>
    <w:rsid w:val="006C5694"/>
    <w:rsid w:val="006F0143"/>
    <w:rsid w:val="006F2FCE"/>
    <w:rsid w:val="007665B5"/>
    <w:rsid w:val="007821F1"/>
    <w:rsid w:val="007B0D50"/>
    <w:rsid w:val="00836AF5"/>
    <w:rsid w:val="00864603"/>
    <w:rsid w:val="008B1DA9"/>
    <w:rsid w:val="008C3648"/>
    <w:rsid w:val="008F622C"/>
    <w:rsid w:val="00944804"/>
    <w:rsid w:val="009B08AF"/>
    <w:rsid w:val="009B3DFC"/>
    <w:rsid w:val="00A24E71"/>
    <w:rsid w:val="00A37BA4"/>
    <w:rsid w:val="00A72A15"/>
    <w:rsid w:val="00A73DEF"/>
    <w:rsid w:val="00A81108"/>
    <w:rsid w:val="00AA6E8C"/>
    <w:rsid w:val="00AD19A0"/>
    <w:rsid w:val="00AE286B"/>
    <w:rsid w:val="00B21DAA"/>
    <w:rsid w:val="00B41297"/>
    <w:rsid w:val="00B72A13"/>
    <w:rsid w:val="00BB280F"/>
    <w:rsid w:val="00C202E8"/>
    <w:rsid w:val="00C458AF"/>
    <w:rsid w:val="00C45EA8"/>
    <w:rsid w:val="00C656B0"/>
    <w:rsid w:val="00D54B74"/>
    <w:rsid w:val="00D93200"/>
    <w:rsid w:val="00D94745"/>
    <w:rsid w:val="00DC6A98"/>
    <w:rsid w:val="00DD3889"/>
    <w:rsid w:val="00DD4E1D"/>
    <w:rsid w:val="00DE7902"/>
    <w:rsid w:val="00E340EE"/>
    <w:rsid w:val="00E42901"/>
    <w:rsid w:val="00E6644B"/>
    <w:rsid w:val="00E86178"/>
    <w:rsid w:val="00E97109"/>
    <w:rsid w:val="00EC70BC"/>
    <w:rsid w:val="00EF0D8C"/>
    <w:rsid w:val="00F06D8F"/>
    <w:rsid w:val="00F074C1"/>
    <w:rsid w:val="00F2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B53BAF"/>
  <w15:docId w15:val="{3B083A5F-5435-4912-94D0-28795C66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F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B08AF"/>
    <w:pPr>
      <w:keepNext/>
      <w:spacing w:after="480" w:line="480" w:lineRule="auto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uto"/>
      <w:jc w:val="center"/>
    </w:pPr>
    <w:rPr>
      <w:rFonts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Footer">
    <w:name w:val="footer"/>
    <w:basedOn w:val="Normal"/>
    <w:link w:val="FooterChar"/>
    <w:uiPriority w:val="99"/>
    <w:unhideWhenUsed/>
    <w:rsid w:val="008B1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DA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08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57A56"/>
    <w:pPr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7A5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Judgment%20Crutchfie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Crutchfield</Template>
  <TotalTime>0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</vt:lpstr>
    </vt:vector>
  </TitlesOfParts>
  <Company>Group21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</dc:title>
  <dc:creator>JR TYPING SERVICES</dc:creator>
  <cp:keywords>A A CRUTCHFIELD J</cp:keywords>
  <cp:lastModifiedBy>Mariana Anguelov</cp:lastModifiedBy>
  <cp:revision>3</cp:revision>
  <cp:lastPrinted>2022-12-19T09:27:00Z</cp:lastPrinted>
  <dcterms:created xsi:type="dcterms:W3CDTF">2022-12-21T08:38:00Z</dcterms:created>
  <dcterms:modified xsi:type="dcterms:W3CDTF">2022-12-21T15:08:00Z</dcterms:modified>
</cp:coreProperties>
</file>