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BAFB0" w14:textId="77777777" w:rsidR="0059342A" w:rsidRDefault="0059342A" w:rsidP="0059342A">
      <w:pPr>
        <w:pStyle w:val="LegalTitle"/>
        <w:spacing w:after="120" w:line="360" w:lineRule="auto"/>
        <w:rPr>
          <w:u w:val="single"/>
        </w:rPr>
      </w:pPr>
      <w:r>
        <w:rPr>
          <w:u w:val="single"/>
        </w:rPr>
        <w:t>REPUBLIC OF SOUTH AFRICA</w:t>
      </w:r>
    </w:p>
    <w:p w14:paraId="394FB40D" w14:textId="77777777" w:rsidR="000C3AF7" w:rsidRPr="000C3AF7" w:rsidRDefault="00E30837" w:rsidP="00027B5A">
      <w:pPr>
        <w:pStyle w:val="LegalNormal"/>
        <w:spacing w:after="0" w:line="360" w:lineRule="auto"/>
        <w:jc w:val="center"/>
      </w:pPr>
      <w:r>
        <w:rPr>
          <w:noProof/>
          <w:lang w:val="en-ZA" w:eastAsia="en-ZA"/>
        </w:rPr>
        <w:drawing>
          <wp:inline distT="0" distB="0" distL="0" distR="0" wp14:anchorId="2923FEF2" wp14:editId="64F8512B">
            <wp:extent cx="1533525" cy="1533525"/>
            <wp:effectExtent l="0" t="0" r="9525" b="9525"/>
            <wp:docPr id="3" name="Picture 3" descr="cid:image001.png@01D0BF16.DA35A980"/>
            <wp:cNvGraphicFramePr/>
            <a:graphic xmlns:a="http://schemas.openxmlformats.org/drawingml/2006/main">
              <a:graphicData uri="http://schemas.openxmlformats.org/drawingml/2006/picture">
                <pic:pic xmlns:pic="http://schemas.openxmlformats.org/drawingml/2006/picture">
                  <pic:nvPicPr>
                    <pic:cNvPr id="1" name="Picture 1" descr="cid:image001.png@01D0BF16.DA35A98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41BB2AA4" w14:textId="77777777" w:rsidR="00781994" w:rsidRDefault="00781994" w:rsidP="00027B5A">
      <w:pPr>
        <w:pStyle w:val="LegalTitle"/>
        <w:spacing w:after="120" w:line="360" w:lineRule="auto"/>
        <w:rPr>
          <w:u w:val="single"/>
        </w:rPr>
      </w:pPr>
      <w:r>
        <w:rPr>
          <w:u w:val="single"/>
        </w:rPr>
        <w:t>IN THE HIGH COURT OF SOUTH AFRICA</w:t>
      </w:r>
    </w:p>
    <w:p w14:paraId="445FC033" w14:textId="77777777" w:rsidR="00520591" w:rsidRPr="00520591" w:rsidRDefault="000C3AF7" w:rsidP="00520591">
      <w:pPr>
        <w:pStyle w:val="LegalTitle"/>
        <w:rPr>
          <w:u w:val="single"/>
        </w:rPr>
      </w:pPr>
      <w:r w:rsidRPr="00C51D56">
        <w:rPr>
          <w:rFonts w:eastAsiaTheme="minorEastAsia"/>
          <w:noProof/>
          <w:lang w:val="en-ZA" w:eastAsia="en-ZA"/>
        </w:rPr>
        <mc:AlternateContent>
          <mc:Choice Requires="wps">
            <w:drawing>
              <wp:anchor distT="0" distB="0" distL="114300" distR="114300" simplePos="0" relativeHeight="251661312" behindDoc="0" locked="0" layoutInCell="1" allowOverlap="1" wp14:anchorId="254ED4DC" wp14:editId="5C48C786">
                <wp:simplePos x="0" y="0"/>
                <wp:positionH relativeFrom="column">
                  <wp:posOffset>-51435</wp:posOffset>
                </wp:positionH>
                <wp:positionV relativeFrom="paragraph">
                  <wp:posOffset>274320</wp:posOffset>
                </wp:positionV>
                <wp:extent cx="3810000" cy="9239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14:paraId="0F58C80A" w14:textId="14EE9FE0" w:rsidR="00236346" w:rsidRPr="0038792A" w:rsidRDefault="00435B66" w:rsidP="00435B6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BFEDB55" w14:textId="0398B89A" w:rsidR="00236346" w:rsidRPr="0038792A" w:rsidRDefault="00435B66" w:rsidP="00435B6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5B313274" w14:textId="4782E504" w:rsidR="00236346" w:rsidRPr="0038792A" w:rsidRDefault="00435B66" w:rsidP="00435B66">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09697F89"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D4623">
                              <w:rPr>
                                <w:rFonts w:ascii="Century Gothic" w:hAnsi="Century Gothic"/>
                                <w:b/>
                                <w:i/>
                                <w:sz w:val="22"/>
                                <w:szCs w:val="22"/>
                                <w:u w:val="single"/>
                              </w:rPr>
                              <w:t>15</w:t>
                            </w:r>
                            <w:r w:rsidR="00ED4623" w:rsidRPr="00ED4623">
                              <w:rPr>
                                <w:rFonts w:ascii="Century Gothic" w:hAnsi="Century Gothic"/>
                                <w:b/>
                                <w:i/>
                                <w:sz w:val="22"/>
                                <w:szCs w:val="22"/>
                                <w:u w:val="single"/>
                                <w:vertAlign w:val="superscript"/>
                              </w:rPr>
                              <w:t>th</w:t>
                            </w:r>
                            <w:r w:rsidR="00ED4623">
                              <w:rPr>
                                <w:rFonts w:ascii="Century Gothic" w:hAnsi="Century Gothic"/>
                                <w:b/>
                                <w:i/>
                                <w:sz w:val="22"/>
                                <w:szCs w:val="22"/>
                                <w:u w:val="single"/>
                              </w:rPr>
                              <w:t xml:space="preserve"> </w:t>
                            </w:r>
                            <w:r w:rsidR="00CD7E0E">
                              <w:rPr>
                                <w:rFonts w:ascii="Century Gothic" w:hAnsi="Century Gothic"/>
                                <w:b/>
                                <w:i/>
                                <w:sz w:val="22"/>
                                <w:szCs w:val="22"/>
                                <w:u w:val="single"/>
                              </w:rPr>
                              <w:t>December</w:t>
                            </w:r>
                            <w:r>
                              <w:rPr>
                                <w:rFonts w:ascii="Century Gothic" w:hAnsi="Century Gothic"/>
                                <w:b/>
                                <w:i/>
                                <w:sz w:val="22"/>
                                <w:szCs w:val="22"/>
                                <w:u w:val="single"/>
                              </w:rPr>
                              <w:t xml:space="preserve"> 202</w:t>
                            </w:r>
                            <w:r w:rsidR="00CD7E0E">
                              <w:rPr>
                                <w:rFonts w:ascii="Century Gothic" w:hAnsi="Century Gothic"/>
                                <w:b/>
                                <w:i/>
                                <w:sz w:val="22"/>
                                <w:szCs w:val="22"/>
                                <w:u w:val="single"/>
                              </w:rPr>
                              <w:t>2</w:t>
                            </w:r>
                            <w:r>
                              <w:rPr>
                                <w:rFonts w:ascii="Century Gothic" w:hAnsi="Century Gothic"/>
                                <w:sz w:val="22"/>
                                <w:szCs w:val="22"/>
                              </w:rPr>
                              <w:t xml:space="preserve"> Signature: </w:t>
                            </w:r>
                            <w:r w:rsidR="0059342A">
                              <w:rPr>
                                <w:rFonts w:ascii="Century Gothic" w:hAnsi="Century Gothic"/>
                                <w:b/>
                                <w:i/>
                                <w:sz w:val="22"/>
                                <w:szCs w:val="22"/>
                                <w:u w:val="single"/>
                              </w:rPr>
                              <w:t>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4ED4DC" id="_x0000_t202" coordsize="21600,21600" o:spt="202" path="m,l,21600r21600,l21600,xe">
                <v:stroke joinstyle="miter"/>
                <v:path gradientshapeok="t" o:connecttype="rect"/>
              </v:shapetype>
              <v:shape id="Text Box 1" o:spid="_x0000_s1026" type="#_x0000_t202" style="position:absolute;left:0;text-align:left;margin-left:-4.05pt;margin-top:21.6pt;width:300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">
                <v:textbox>
                  <w:txbxContent>
                    <w:p w14:paraId="0F58C80A" w14:textId="14EE9FE0" w:rsidR="00236346" w:rsidRPr="0038792A" w:rsidRDefault="00435B66" w:rsidP="00435B6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(1)</w:t>
                      </w:r>
                      <w:r w:rsidRPr="0038792A">
                        <w:rPr>
                          <w:rFonts w:ascii="Century Gothic" w:hAnsi="Century Gothic"/>
                          <w:sz w:val="20"/>
                          <w:szCs w:val="20"/>
                        </w:rPr>
                        <w:tab/>
                      </w:r>
                      <w:r w:rsidR="00236346">
                        <w:rPr>
                          <w:rFonts w:ascii="Century Gothic" w:hAnsi="Century Gothic"/>
                          <w:sz w:val="20"/>
                          <w:szCs w:val="20"/>
                        </w:rPr>
                        <w:t xml:space="preserve">REPORTABLE: </w:t>
                      </w:r>
                      <w:r w:rsidR="00236346" w:rsidRPr="008C535C">
                        <w:rPr>
                          <w:rFonts w:ascii="Century Gothic" w:hAnsi="Century Gothic"/>
                          <w:b/>
                          <w:i/>
                          <w:sz w:val="20"/>
                          <w:szCs w:val="20"/>
                        </w:rPr>
                        <w:t>NO</w:t>
                      </w:r>
                    </w:p>
                    <w:p w14:paraId="5BFEDB55" w14:textId="0398B89A" w:rsidR="00236346" w:rsidRPr="0038792A" w:rsidRDefault="00435B66" w:rsidP="00435B66">
                      <w:pPr>
                        <w:tabs>
                          <w:tab w:val="left" w:pos="900"/>
                        </w:tabs>
                        <w:suppressAutoHyphens w:val="0"/>
                        <w:ind w:left="900" w:hanging="720"/>
                        <w:rPr>
                          <w:rFonts w:ascii="Century Gothic" w:hAnsi="Century Gothic"/>
                          <w:sz w:val="20"/>
                          <w:szCs w:val="20"/>
                        </w:rPr>
                      </w:pPr>
                      <w:r w:rsidRPr="0038792A">
                        <w:rPr>
                          <w:rFonts w:ascii="Century Gothic" w:hAnsi="Century Gothic"/>
                          <w:sz w:val="20"/>
                          <w:szCs w:val="20"/>
                        </w:rPr>
                        <w:t>(2)</w:t>
                      </w:r>
                      <w:r w:rsidRPr="0038792A">
                        <w:rPr>
                          <w:rFonts w:ascii="Century Gothic" w:hAnsi="Century Gothic"/>
                          <w:sz w:val="20"/>
                          <w:szCs w:val="20"/>
                        </w:rPr>
                        <w:tab/>
                      </w:r>
                      <w:r w:rsidR="00236346" w:rsidRPr="0038792A">
                        <w:rPr>
                          <w:rFonts w:ascii="Century Gothic" w:hAnsi="Century Gothic"/>
                          <w:sz w:val="20"/>
                          <w:szCs w:val="20"/>
                        </w:rPr>
                        <w:t xml:space="preserve">OF </w:t>
                      </w:r>
                      <w:r w:rsidR="00236346">
                        <w:rPr>
                          <w:rFonts w:ascii="Century Gothic" w:hAnsi="Century Gothic"/>
                          <w:sz w:val="20"/>
                          <w:szCs w:val="20"/>
                        </w:rPr>
                        <w:t xml:space="preserve">INTEREST TO OTHER JUDGES: </w:t>
                      </w:r>
                      <w:r w:rsidR="00236346" w:rsidRPr="008C535C">
                        <w:rPr>
                          <w:rFonts w:ascii="Century Gothic" w:hAnsi="Century Gothic"/>
                          <w:b/>
                          <w:i/>
                          <w:sz w:val="20"/>
                          <w:szCs w:val="20"/>
                        </w:rPr>
                        <w:t>NO</w:t>
                      </w:r>
                    </w:p>
                    <w:p w14:paraId="5B313274" w14:textId="4782E504" w:rsidR="00236346" w:rsidRPr="0038792A" w:rsidRDefault="00435B66" w:rsidP="00435B66">
                      <w:pPr>
                        <w:tabs>
                          <w:tab w:val="left" w:pos="900"/>
                        </w:tabs>
                        <w:suppressAutoHyphens w:val="0"/>
                        <w:spacing w:after="240"/>
                        <w:ind w:left="901" w:hanging="720"/>
                        <w:rPr>
                          <w:rFonts w:ascii="Century Gothic" w:hAnsi="Century Gothic"/>
                          <w:sz w:val="20"/>
                          <w:szCs w:val="20"/>
                        </w:rPr>
                      </w:pPr>
                      <w:r w:rsidRPr="0038792A">
                        <w:rPr>
                          <w:rFonts w:ascii="Century Gothic" w:hAnsi="Century Gothic"/>
                          <w:sz w:val="20"/>
                          <w:szCs w:val="20"/>
                        </w:rPr>
                        <w:t>(3)</w:t>
                      </w:r>
                      <w:r w:rsidRPr="0038792A">
                        <w:rPr>
                          <w:rFonts w:ascii="Century Gothic" w:hAnsi="Century Gothic"/>
                          <w:sz w:val="20"/>
                          <w:szCs w:val="20"/>
                        </w:rPr>
                        <w:tab/>
                      </w:r>
                      <w:r w:rsidR="00236346" w:rsidRPr="0038792A">
                        <w:rPr>
                          <w:rFonts w:ascii="Century Gothic" w:hAnsi="Century Gothic"/>
                          <w:sz w:val="20"/>
                          <w:szCs w:val="20"/>
                        </w:rPr>
                        <w:t xml:space="preserve">REVISED: </w:t>
                      </w:r>
                    </w:p>
                    <w:p w14:paraId="09697F89" w14:textId="77777777" w:rsidR="00236346" w:rsidRPr="00B93709" w:rsidRDefault="00236346" w:rsidP="000C3AF7">
                      <w:pPr>
                        <w:rPr>
                          <w:rFonts w:ascii="Century Gothic" w:hAnsi="Century Gothic"/>
                          <w:sz w:val="18"/>
                          <w:szCs w:val="18"/>
                        </w:rPr>
                      </w:pPr>
                      <w:r>
                        <w:rPr>
                          <w:rFonts w:ascii="Century Gothic" w:hAnsi="Century Gothic"/>
                          <w:sz w:val="22"/>
                          <w:szCs w:val="22"/>
                        </w:rPr>
                        <w:t xml:space="preserve">Date: </w:t>
                      </w:r>
                      <w:r w:rsidR="00ED4623">
                        <w:rPr>
                          <w:rFonts w:ascii="Century Gothic" w:hAnsi="Century Gothic"/>
                          <w:b/>
                          <w:i/>
                          <w:sz w:val="22"/>
                          <w:szCs w:val="22"/>
                          <w:u w:val="single"/>
                        </w:rPr>
                        <w:t>15</w:t>
                      </w:r>
                      <w:r w:rsidR="00ED4623" w:rsidRPr="00ED4623">
                        <w:rPr>
                          <w:rFonts w:ascii="Century Gothic" w:hAnsi="Century Gothic"/>
                          <w:b/>
                          <w:i/>
                          <w:sz w:val="22"/>
                          <w:szCs w:val="22"/>
                          <w:u w:val="single"/>
                          <w:vertAlign w:val="superscript"/>
                        </w:rPr>
                        <w:t>th</w:t>
                      </w:r>
                      <w:r w:rsidR="00ED4623">
                        <w:rPr>
                          <w:rFonts w:ascii="Century Gothic" w:hAnsi="Century Gothic"/>
                          <w:b/>
                          <w:i/>
                          <w:sz w:val="22"/>
                          <w:szCs w:val="22"/>
                          <w:u w:val="single"/>
                        </w:rPr>
                        <w:t xml:space="preserve"> </w:t>
                      </w:r>
                      <w:r w:rsidR="00CD7E0E">
                        <w:rPr>
                          <w:rFonts w:ascii="Century Gothic" w:hAnsi="Century Gothic"/>
                          <w:b/>
                          <w:i/>
                          <w:sz w:val="22"/>
                          <w:szCs w:val="22"/>
                          <w:u w:val="single"/>
                        </w:rPr>
                        <w:t>December</w:t>
                      </w:r>
                      <w:r>
                        <w:rPr>
                          <w:rFonts w:ascii="Century Gothic" w:hAnsi="Century Gothic"/>
                          <w:b/>
                          <w:i/>
                          <w:sz w:val="22"/>
                          <w:szCs w:val="22"/>
                          <w:u w:val="single"/>
                        </w:rPr>
                        <w:t xml:space="preserve"> 202</w:t>
                      </w:r>
                      <w:r w:rsidR="00CD7E0E">
                        <w:rPr>
                          <w:rFonts w:ascii="Century Gothic" w:hAnsi="Century Gothic"/>
                          <w:b/>
                          <w:i/>
                          <w:sz w:val="22"/>
                          <w:szCs w:val="22"/>
                          <w:u w:val="single"/>
                        </w:rPr>
                        <w:t>2</w:t>
                      </w:r>
                      <w:r>
                        <w:rPr>
                          <w:rFonts w:ascii="Century Gothic" w:hAnsi="Century Gothic"/>
                          <w:sz w:val="22"/>
                          <w:szCs w:val="22"/>
                        </w:rPr>
                        <w:t xml:space="preserve"> Signature: </w:t>
                      </w:r>
                      <w:r w:rsidR="0059342A">
                        <w:rPr>
                          <w:rFonts w:ascii="Century Gothic" w:hAnsi="Century Gothic"/>
                          <w:b/>
                          <w:i/>
                          <w:sz w:val="22"/>
                          <w:szCs w:val="22"/>
                          <w:u w:val="single"/>
                        </w:rPr>
                        <w:t>_______________</w:t>
                      </w:r>
                    </w:p>
                  </w:txbxContent>
                </v:textbox>
              </v:shape>
            </w:pict>
          </mc:Fallback>
        </mc:AlternateContent>
      </w:r>
      <w:r w:rsidR="00520591" w:rsidRPr="00520591">
        <w:rPr>
          <w:u w:val="single"/>
        </w:rPr>
        <w:t xml:space="preserve">GAUTENG DIVISION, </w:t>
      </w:r>
      <w:r w:rsidR="00027B5A">
        <w:rPr>
          <w:u w:val="single"/>
        </w:rPr>
        <w:t>JOHANNESBURG</w:t>
      </w:r>
    </w:p>
    <w:p w14:paraId="285D5093" w14:textId="77777777" w:rsidR="00781994" w:rsidRDefault="00781994" w:rsidP="0059342A">
      <w:pPr>
        <w:pStyle w:val="LegalAnnexure"/>
        <w:spacing w:after="600"/>
        <w:rPr>
          <w:u w:val="single"/>
        </w:rPr>
      </w:pPr>
    </w:p>
    <w:p w14:paraId="1EE8EE65" w14:textId="77777777" w:rsidR="009314F3" w:rsidRDefault="009314F3" w:rsidP="00027B5A">
      <w:pPr>
        <w:pStyle w:val="LegalAnnexure"/>
        <w:spacing w:after="0" w:line="360" w:lineRule="auto"/>
      </w:pPr>
      <w:r w:rsidRPr="00A84826">
        <w:rPr>
          <w:u w:val="single"/>
        </w:rPr>
        <w:t>CASE NO</w:t>
      </w:r>
      <w:r w:rsidRPr="0080126D">
        <w:t>:</w:t>
      </w:r>
      <w:r w:rsidR="00F86558">
        <w:t xml:space="preserve"> </w:t>
      </w:r>
      <w:r w:rsidR="00CD7E0E">
        <w:rPr>
          <w:b w:val="0"/>
        </w:rPr>
        <w:t>32779</w:t>
      </w:r>
      <w:r w:rsidR="00F86558" w:rsidRPr="004E00FA">
        <w:rPr>
          <w:b w:val="0"/>
        </w:rPr>
        <w:t>/</w:t>
      </w:r>
      <w:r w:rsidR="00F94A41">
        <w:rPr>
          <w:b w:val="0"/>
        </w:rPr>
        <w:t>20</w:t>
      </w:r>
      <w:r w:rsidR="0059342A">
        <w:rPr>
          <w:b w:val="0"/>
        </w:rPr>
        <w:t>20</w:t>
      </w:r>
    </w:p>
    <w:p w14:paraId="690E6E1C" w14:textId="77777777" w:rsidR="004E00FA" w:rsidRDefault="004E00FA" w:rsidP="004E00FA">
      <w:pPr>
        <w:pStyle w:val="LegalAnnexure"/>
        <w:spacing w:after="0" w:line="360" w:lineRule="auto"/>
      </w:pPr>
      <w:r>
        <w:rPr>
          <w:u w:val="single"/>
        </w:rPr>
        <w:t>DATE</w:t>
      </w:r>
      <w:r w:rsidRPr="0080126D">
        <w:t>:</w:t>
      </w:r>
      <w:r>
        <w:t xml:space="preserve"> </w:t>
      </w:r>
      <w:r w:rsidR="00947375">
        <w:rPr>
          <w:b w:val="0"/>
        </w:rPr>
        <w:t>15</w:t>
      </w:r>
      <w:r w:rsidR="00947375" w:rsidRPr="00947375">
        <w:rPr>
          <w:b w:val="0"/>
          <w:vertAlign w:val="superscript"/>
        </w:rPr>
        <w:t>th</w:t>
      </w:r>
      <w:r w:rsidR="00947375">
        <w:rPr>
          <w:b w:val="0"/>
        </w:rPr>
        <w:t xml:space="preserve"> </w:t>
      </w:r>
      <w:r w:rsidR="00CD7E0E">
        <w:rPr>
          <w:b w:val="0"/>
        </w:rPr>
        <w:t>December</w:t>
      </w:r>
      <w:r w:rsidR="00592459">
        <w:rPr>
          <w:b w:val="0"/>
        </w:rPr>
        <w:t xml:space="preserve"> </w:t>
      </w:r>
      <w:r w:rsidR="0062393B">
        <w:rPr>
          <w:b w:val="0"/>
        </w:rPr>
        <w:t>20</w:t>
      </w:r>
      <w:r w:rsidR="00BE3209">
        <w:rPr>
          <w:b w:val="0"/>
        </w:rPr>
        <w:t>2</w:t>
      </w:r>
      <w:r w:rsidR="00CD7E0E">
        <w:rPr>
          <w:b w:val="0"/>
        </w:rPr>
        <w:t>2</w:t>
      </w:r>
    </w:p>
    <w:p w14:paraId="69A304B5" w14:textId="77777777" w:rsidR="009314F3" w:rsidRPr="00A84826" w:rsidRDefault="009314F3" w:rsidP="0006059E">
      <w:pPr>
        <w:pStyle w:val="LegalNormal"/>
        <w:spacing w:after="120" w:line="360" w:lineRule="auto"/>
      </w:pPr>
      <w:r w:rsidRPr="00A84826">
        <w:t>In the matter between:</w:t>
      </w:r>
    </w:p>
    <w:p w14:paraId="2DF87A1B" w14:textId="77777777" w:rsidR="00027B5A" w:rsidRDefault="00CD7E0E" w:rsidP="0059342A">
      <w:pPr>
        <w:pStyle w:val="LegalPlainDef"/>
        <w:spacing w:after="120" w:line="360" w:lineRule="auto"/>
      </w:pPr>
      <w:r>
        <w:rPr>
          <w:b/>
          <w:u w:val="single"/>
        </w:rPr>
        <w:t>MOODLEY</w:t>
      </w:r>
      <w:r>
        <w:rPr>
          <w:b/>
        </w:rPr>
        <w:t>, SELVAN</w:t>
      </w:r>
      <w:r w:rsidR="00027B5A">
        <w:rPr>
          <w:b/>
        </w:rPr>
        <w:tab/>
      </w:r>
      <w:r w:rsidR="00827116">
        <w:t>A</w:t>
      </w:r>
      <w:r w:rsidR="00027B5A">
        <w:t>pplicant</w:t>
      </w:r>
    </w:p>
    <w:p w14:paraId="30713C4B" w14:textId="77777777" w:rsidR="009314F3" w:rsidRPr="00A84826" w:rsidRDefault="009314F3" w:rsidP="0006059E">
      <w:pPr>
        <w:pStyle w:val="LegalNormal"/>
        <w:spacing w:after="120" w:line="360" w:lineRule="auto"/>
      </w:pPr>
      <w:r w:rsidRPr="00A84826">
        <w:t>and</w:t>
      </w:r>
    </w:p>
    <w:p w14:paraId="0322E4F6" w14:textId="77777777" w:rsidR="007D4738" w:rsidRDefault="00CD7E0E" w:rsidP="00827116">
      <w:pPr>
        <w:pStyle w:val="LegalPlainDef"/>
        <w:spacing w:after="0" w:line="360" w:lineRule="auto"/>
      </w:pPr>
      <w:r>
        <w:rPr>
          <w:b/>
          <w:bCs/>
          <w:lang w:val="en-US"/>
        </w:rPr>
        <w:t>ADZAM TRADING 48 (PTY) LIMITED</w:t>
      </w:r>
      <w:r w:rsidR="007D4738" w:rsidRPr="00DE6787">
        <w:rPr>
          <w:b/>
        </w:rPr>
        <w:tab/>
      </w:r>
      <w:r w:rsidR="00827116">
        <w:t>First R</w:t>
      </w:r>
      <w:r w:rsidR="007D4738">
        <w:t>espondent</w:t>
      </w:r>
    </w:p>
    <w:p w14:paraId="6CB6716E" w14:textId="77777777" w:rsidR="00827116" w:rsidRDefault="00CD7E0E" w:rsidP="00827116">
      <w:pPr>
        <w:pStyle w:val="LegalPlainDef"/>
        <w:spacing w:after="0" w:line="360" w:lineRule="auto"/>
      </w:pPr>
      <w:r>
        <w:rPr>
          <w:b/>
          <w:bCs/>
          <w:u w:val="single"/>
          <w:lang w:val="en-US"/>
        </w:rPr>
        <w:t>NAICKER</w:t>
      </w:r>
      <w:r>
        <w:rPr>
          <w:b/>
          <w:bCs/>
          <w:lang w:val="en-US"/>
        </w:rPr>
        <w:t xml:space="preserve">, CINDY N O </w:t>
      </w:r>
      <w:r>
        <w:rPr>
          <w:b/>
          <w:bCs/>
          <w:lang w:val="en-US"/>
        </w:rPr>
        <w:tab/>
      </w:r>
      <w:r w:rsidR="00827116">
        <w:t>Second Respondent</w:t>
      </w:r>
    </w:p>
    <w:p w14:paraId="2E2A6E6B" w14:textId="77777777" w:rsidR="00CD7E0E" w:rsidRDefault="00CD7E0E" w:rsidP="00CD7E0E">
      <w:pPr>
        <w:pStyle w:val="LegalPlainDef"/>
        <w:spacing w:after="0" w:line="360" w:lineRule="auto"/>
      </w:pPr>
      <w:r>
        <w:rPr>
          <w:b/>
          <w:bCs/>
          <w:u w:val="single"/>
          <w:lang w:val="en-US"/>
        </w:rPr>
        <w:t>SAMONS</w:t>
      </w:r>
      <w:r>
        <w:rPr>
          <w:b/>
          <w:bCs/>
          <w:lang w:val="en-US"/>
        </w:rPr>
        <w:t xml:space="preserve">, THOMAS HENDRIK N O </w:t>
      </w:r>
      <w:r>
        <w:rPr>
          <w:b/>
          <w:bCs/>
          <w:lang w:val="en-US"/>
        </w:rPr>
        <w:tab/>
      </w:r>
      <w:r>
        <w:t>Third Respondent</w:t>
      </w:r>
    </w:p>
    <w:p w14:paraId="2CDAC72E" w14:textId="77777777" w:rsidR="00CD7E0E" w:rsidRDefault="00CD7E0E" w:rsidP="00CD7E0E">
      <w:pPr>
        <w:pStyle w:val="LegalPlainDef"/>
        <w:spacing w:after="0" w:line="240" w:lineRule="auto"/>
        <w:rPr>
          <w:b/>
          <w:bCs/>
          <w:lang w:val="en-US"/>
        </w:rPr>
      </w:pPr>
      <w:r>
        <w:rPr>
          <w:b/>
          <w:bCs/>
          <w:lang w:val="en-US"/>
        </w:rPr>
        <w:t xml:space="preserve">COMPANIES &amp; INTELLECTUAL </w:t>
      </w:r>
    </w:p>
    <w:p w14:paraId="6017EE0D" w14:textId="77777777" w:rsidR="00CD7E0E" w:rsidRDefault="00CD7E0E" w:rsidP="00CD7E0E">
      <w:pPr>
        <w:pStyle w:val="LegalPlainDef"/>
        <w:spacing w:after="0" w:line="360" w:lineRule="auto"/>
      </w:pPr>
      <w:r>
        <w:rPr>
          <w:b/>
          <w:bCs/>
          <w:lang w:val="en-US"/>
        </w:rPr>
        <w:t xml:space="preserve">PROPERTY COMMISSION </w:t>
      </w:r>
      <w:r>
        <w:rPr>
          <w:b/>
          <w:bCs/>
          <w:lang w:val="en-US"/>
        </w:rPr>
        <w:tab/>
      </w:r>
      <w:r>
        <w:t>Fourth Respondent</w:t>
      </w:r>
    </w:p>
    <w:p w14:paraId="1114475C" w14:textId="77777777" w:rsidR="00CD7E0E" w:rsidRDefault="00CD7E0E" w:rsidP="00CD7E0E">
      <w:pPr>
        <w:pStyle w:val="LegalPlainDef"/>
        <w:spacing w:after="0" w:line="360" w:lineRule="auto"/>
      </w:pPr>
      <w:r>
        <w:rPr>
          <w:b/>
          <w:bCs/>
          <w:lang w:val="en-US"/>
        </w:rPr>
        <w:t xml:space="preserve">STANDARD BANK OF SOUTH AFRICA LIMITED </w:t>
      </w:r>
      <w:r>
        <w:rPr>
          <w:b/>
          <w:bCs/>
          <w:lang w:val="en-US"/>
        </w:rPr>
        <w:tab/>
      </w:r>
      <w:r>
        <w:t>Fifth Respondent</w:t>
      </w:r>
    </w:p>
    <w:p w14:paraId="520257B5" w14:textId="77777777" w:rsidR="00827116" w:rsidRDefault="00CD7E0E" w:rsidP="00827116">
      <w:pPr>
        <w:pStyle w:val="LegalPlainDef"/>
        <w:spacing w:after="240" w:line="360" w:lineRule="auto"/>
      </w:pPr>
      <w:r>
        <w:rPr>
          <w:b/>
          <w:bCs/>
          <w:lang w:val="en-US"/>
        </w:rPr>
        <w:t>SOUTH AFRICAN REVENUE SERVICES</w:t>
      </w:r>
      <w:r w:rsidR="00827116" w:rsidRPr="00DE6787">
        <w:rPr>
          <w:b/>
        </w:rPr>
        <w:tab/>
      </w:r>
      <w:r w:rsidR="00E04D12">
        <w:t>Sixth</w:t>
      </w:r>
      <w:r w:rsidR="00827116">
        <w:t xml:space="preserve"> Respondent</w:t>
      </w:r>
    </w:p>
    <w:p w14:paraId="3EEB98F0" w14:textId="77777777" w:rsidR="00DA3FFC" w:rsidRPr="00DA3FFC" w:rsidRDefault="006D3032" w:rsidP="00CD7E0E">
      <w:pPr>
        <w:suppressAutoHyphens w:val="0"/>
        <w:spacing w:line="360" w:lineRule="auto"/>
        <w:ind w:left="1418" w:hanging="1418"/>
        <w:rPr>
          <w:rFonts w:cs="Arial"/>
          <w:lang w:val="en-ZA" w:eastAsia="en-US"/>
        </w:rPr>
      </w:pPr>
      <w:r>
        <w:rPr>
          <w:rFonts w:cs="Arial"/>
          <w:b/>
          <w:bCs/>
          <w:lang w:val="en-ZA" w:eastAsia="en-US"/>
        </w:rPr>
        <w:t>Coram</w:t>
      </w:r>
      <w:r w:rsidR="00DA3FFC" w:rsidRPr="00DA3FFC">
        <w:rPr>
          <w:rFonts w:cs="Arial"/>
          <w:b/>
          <w:bCs/>
          <w:lang w:val="en-ZA" w:eastAsia="en-US"/>
        </w:rPr>
        <w:t>:</w:t>
      </w:r>
      <w:r w:rsidR="00DA3FFC">
        <w:rPr>
          <w:rFonts w:cs="Arial"/>
          <w:lang w:val="en-ZA" w:eastAsia="en-US"/>
        </w:rPr>
        <w:tab/>
      </w:r>
      <w:r w:rsidR="00DA3FFC">
        <w:rPr>
          <w:rFonts w:cs="Arial"/>
          <w:lang w:val="en-ZA" w:eastAsia="en-US"/>
        </w:rPr>
        <w:tab/>
      </w:r>
      <w:r w:rsidR="007A7170">
        <w:rPr>
          <w:rFonts w:cs="Arial"/>
          <w:lang w:val="en-ZA" w:eastAsia="en-US"/>
        </w:rPr>
        <w:t>Adams J</w:t>
      </w:r>
    </w:p>
    <w:p w14:paraId="6F571563" w14:textId="77777777" w:rsidR="002D672F" w:rsidRDefault="002D672F" w:rsidP="006812E5">
      <w:pPr>
        <w:suppressAutoHyphens w:val="0"/>
        <w:spacing w:line="360" w:lineRule="auto"/>
        <w:ind w:left="1418" w:hanging="1418"/>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BE785A">
        <w:rPr>
          <w:rFonts w:cs="Arial"/>
          <w:lang w:val="en-ZA" w:eastAsia="en-US"/>
        </w:rPr>
        <w:t>14</w:t>
      </w:r>
      <w:r>
        <w:rPr>
          <w:rFonts w:cs="Arial"/>
          <w:lang w:val="en-ZA" w:eastAsia="en-US"/>
        </w:rPr>
        <w:t xml:space="preserve"> </w:t>
      </w:r>
      <w:r w:rsidR="00CD7E0E">
        <w:rPr>
          <w:rFonts w:cs="Arial"/>
          <w:lang w:val="en-ZA" w:eastAsia="en-US"/>
        </w:rPr>
        <w:t>October 2022</w:t>
      </w:r>
    </w:p>
    <w:p w14:paraId="7ADC6DDF" w14:textId="77777777" w:rsidR="002D672F" w:rsidRDefault="002D672F" w:rsidP="00CD7E0E">
      <w:pPr>
        <w:suppressAutoHyphens w:val="0"/>
        <w:spacing w:after="240" w:line="360" w:lineRule="auto"/>
        <w:ind w:left="1418" w:hanging="1418"/>
        <w:jc w:val="both"/>
        <w:rPr>
          <w:rFonts w:cs="Arial"/>
          <w:lang w:val="en-ZA" w:eastAsia="en-US"/>
        </w:rPr>
      </w:pPr>
      <w:r>
        <w:rPr>
          <w:rFonts w:cs="Arial"/>
          <w:b/>
          <w:lang w:val="en-ZA" w:eastAsia="en-US"/>
        </w:rPr>
        <w:t>Delivered:</w:t>
      </w:r>
      <w:r w:rsidR="00CD7E0E">
        <w:rPr>
          <w:rFonts w:cs="Arial"/>
          <w:b/>
          <w:lang w:val="en-ZA" w:eastAsia="en-US"/>
        </w:rPr>
        <w:tab/>
      </w:r>
      <w:r w:rsidR="00947375">
        <w:rPr>
          <w:rFonts w:cs="Arial"/>
          <w:lang w:val="en-ZA" w:eastAsia="en-US"/>
        </w:rPr>
        <w:t>15</w:t>
      </w:r>
      <w:r>
        <w:rPr>
          <w:rFonts w:cs="Arial"/>
          <w:lang w:val="en-ZA" w:eastAsia="en-US"/>
        </w:rPr>
        <w:t xml:space="preserve"> </w:t>
      </w:r>
      <w:r w:rsidR="00CD7E0E">
        <w:rPr>
          <w:rFonts w:cs="Arial"/>
          <w:lang w:val="en-ZA" w:eastAsia="en-US"/>
        </w:rPr>
        <w:t>December 2022</w:t>
      </w:r>
      <w:r>
        <w:rPr>
          <w:rFonts w:cs="Arial"/>
          <w:lang w:val="en-ZA" w:eastAsia="en-US"/>
        </w:rPr>
        <w:t xml:space="preserve"> – This judgment was handed down electronically by circulation to the parties' representatives by email, </w:t>
      </w:r>
      <w:r w:rsidR="00B14307">
        <w:rPr>
          <w:rFonts w:cs="Arial"/>
          <w:lang w:val="en-ZA" w:eastAsia="en-US"/>
        </w:rPr>
        <w:t xml:space="preserve">by </w:t>
      </w:r>
      <w:r>
        <w:rPr>
          <w:rFonts w:cs="Arial"/>
          <w:lang w:val="en-ZA" w:eastAsia="en-US"/>
        </w:rPr>
        <w:t xml:space="preserve">being uploaded to </w:t>
      </w:r>
      <w:r>
        <w:rPr>
          <w:rFonts w:cs="Arial"/>
          <w:i/>
          <w:lang w:val="en-ZA" w:eastAsia="en-US"/>
        </w:rPr>
        <w:t>CaseLines</w:t>
      </w:r>
      <w:r>
        <w:rPr>
          <w:rFonts w:cs="Arial"/>
          <w:lang w:val="en-ZA" w:eastAsia="en-US"/>
        </w:rPr>
        <w:t xml:space="preserve"> and by release to SAFLII. The date </w:t>
      </w:r>
      <w:r>
        <w:rPr>
          <w:rFonts w:cs="Arial"/>
          <w:lang w:val="en-ZA" w:eastAsia="en-US"/>
        </w:rPr>
        <w:lastRenderedPageBreak/>
        <w:t xml:space="preserve">and time </w:t>
      </w:r>
      <w:r w:rsidR="00947375">
        <w:rPr>
          <w:rFonts w:cs="Arial"/>
          <w:lang w:val="en-ZA" w:eastAsia="en-US"/>
        </w:rPr>
        <w:t>for hand-down is deemed to be 10</w:t>
      </w:r>
      <w:r>
        <w:rPr>
          <w:rFonts w:cs="Arial"/>
          <w:lang w:val="en-ZA" w:eastAsia="en-US"/>
        </w:rPr>
        <w:t xml:space="preserve">:00 on </w:t>
      </w:r>
      <w:r w:rsidR="00947375">
        <w:rPr>
          <w:rFonts w:cs="Arial"/>
          <w:lang w:val="en-ZA" w:eastAsia="en-US"/>
        </w:rPr>
        <w:t>15</w:t>
      </w:r>
      <w:r>
        <w:rPr>
          <w:rFonts w:cs="Arial"/>
          <w:lang w:val="en-ZA" w:eastAsia="en-US"/>
        </w:rPr>
        <w:t xml:space="preserve"> </w:t>
      </w:r>
      <w:r w:rsidR="00CD7E0E">
        <w:rPr>
          <w:rFonts w:cs="Arial"/>
          <w:lang w:val="en-ZA" w:eastAsia="en-US"/>
        </w:rPr>
        <w:t>December 2022</w:t>
      </w:r>
      <w:r>
        <w:rPr>
          <w:rFonts w:cs="Arial"/>
          <w:lang w:val="en-ZA" w:eastAsia="en-US"/>
        </w:rPr>
        <w:t>.</w:t>
      </w:r>
    </w:p>
    <w:p w14:paraId="75700E67" w14:textId="77777777" w:rsidR="00FE27ED" w:rsidRPr="00947375" w:rsidRDefault="00DA3FFC" w:rsidP="00FE0C0A">
      <w:pPr>
        <w:spacing w:after="240" w:line="360" w:lineRule="auto"/>
        <w:jc w:val="both"/>
        <w:rPr>
          <w:rFonts w:cs="Arial"/>
        </w:rPr>
      </w:pPr>
      <w:r w:rsidRPr="00DA3FFC">
        <w:rPr>
          <w:rFonts w:cs="Arial"/>
          <w:b/>
          <w:bCs/>
          <w:lang w:val="en-ZA" w:eastAsia="en-US"/>
        </w:rPr>
        <w:t>Summary:</w:t>
      </w:r>
      <w:r w:rsidRPr="00DA3FFC">
        <w:rPr>
          <w:rFonts w:cs="Arial"/>
          <w:b/>
          <w:bCs/>
          <w:lang w:val="en-ZA" w:eastAsia="en-US"/>
        </w:rPr>
        <w:tab/>
      </w:r>
      <w:r w:rsidR="00D178D0">
        <w:rPr>
          <w:rFonts w:cs="Arial"/>
        </w:rPr>
        <w:t xml:space="preserve">Costs </w:t>
      </w:r>
      <w:r w:rsidR="00282314">
        <w:rPr>
          <w:rFonts w:cs="Arial"/>
        </w:rPr>
        <w:t>order</w:t>
      </w:r>
      <w:r w:rsidR="00FE27ED">
        <w:rPr>
          <w:rFonts w:cs="Arial"/>
        </w:rPr>
        <w:t xml:space="preserve"> – </w:t>
      </w:r>
      <w:r w:rsidR="00282314">
        <w:rPr>
          <w:rFonts w:cs="Arial"/>
        </w:rPr>
        <w:t xml:space="preserve">always within the discretion of the court – </w:t>
      </w:r>
      <w:r w:rsidR="00207D06" w:rsidRPr="00D178D0">
        <w:rPr>
          <w:rFonts w:cs="Arial"/>
        </w:rPr>
        <w:t>discretion</w:t>
      </w:r>
      <w:r w:rsidR="00207D06">
        <w:rPr>
          <w:rFonts w:cs="Arial"/>
        </w:rPr>
        <w:t xml:space="preserve"> to be</w:t>
      </w:r>
      <w:r w:rsidR="00207D06" w:rsidRPr="00D178D0">
        <w:rPr>
          <w:rFonts w:cs="Arial"/>
        </w:rPr>
        <w:t xml:space="preserve"> judicially exercised and punitive costs order </w:t>
      </w:r>
      <w:r w:rsidR="00207D06">
        <w:rPr>
          <w:rFonts w:cs="Arial"/>
        </w:rPr>
        <w:t>should be</w:t>
      </w:r>
      <w:r w:rsidR="00207D06" w:rsidRPr="00D178D0">
        <w:rPr>
          <w:rFonts w:cs="Arial"/>
        </w:rPr>
        <w:t xml:space="preserve"> warranted</w:t>
      </w:r>
      <w:r w:rsidR="00207D06">
        <w:rPr>
          <w:rFonts w:cs="Arial"/>
        </w:rPr>
        <w:t xml:space="preserve"> – </w:t>
      </w:r>
      <w:r w:rsidR="00B14307">
        <w:rPr>
          <w:rFonts w:cs="Arial"/>
        </w:rPr>
        <w:t xml:space="preserve">the general rule is that the successful party should be awarded costs – </w:t>
      </w:r>
      <w:r w:rsidR="00947375">
        <w:rPr>
          <w:rFonts w:cs="Arial"/>
        </w:rPr>
        <w:t xml:space="preserve">also means that a party who would have been successful, should be awarded costs – </w:t>
      </w:r>
      <w:r w:rsidR="00D178D0" w:rsidRPr="00D178D0">
        <w:rPr>
          <w:rFonts w:cs="Arial"/>
        </w:rPr>
        <w:t>punitive</w:t>
      </w:r>
      <w:r w:rsidR="00B14307">
        <w:rPr>
          <w:rFonts w:cs="Arial"/>
        </w:rPr>
        <w:t xml:space="preserve"> </w:t>
      </w:r>
      <w:r w:rsidR="00D178D0" w:rsidRPr="00D178D0">
        <w:rPr>
          <w:rFonts w:cs="Arial"/>
        </w:rPr>
        <w:t xml:space="preserve">costs order </w:t>
      </w:r>
      <w:r w:rsidR="00282314">
        <w:rPr>
          <w:rFonts w:cs="Arial"/>
        </w:rPr>
        <w:t>–</w:t>
      </w:r>
      <w:r w:rsidR="00207D06">
        <w:rPr>
          <w:rFonts w:cs="Arial"/>
        </w:rPr>
        <w:t xml:space="preserve"> </w:t>
      </w:r>
      <w:r w:rsidR="00282314">
        <w:rPr>
          <w:rFonts w:cs="Arial"/>
        </w:rPr>
        <w:t>insufficient</w:t>
      </w:r>
      <w:r w:rsidR="00207D06">
        <w:rPr>
          <w:rFonts w:cs="Arial"/>
        </w:rPr>
        <w:t xml:space="preserve"> </w:t>
      </w:r>
      <w:r w:rsidR="00D178D0" w:rsidRPr="00D178D0">
        <w:rPr>
          <w:rFonts w:cs="Arial"/>
        </w:rPr>
        <w:t>reasons furnished</w:t>
      </w:r>
      <w:r w:rsidR="00282314">
        <w:rPr>
          <w:rFonts w:cs="Arial"/>
        </w:rPr>
        <w:t xml:space="preserve"> for the granting of such order</w:t>
      </w:r>
      <w:r w:rsidR="00207D06">
        <w:rPr>
          <w:rFonts w:cs="Arial"/>
        </w:rPr>
        <w:t>.</w:t>
      </w:r>
    </w:p>
    <w:p w14:paraId="66E57223" w14:textId="77777777" w:rsidR="00DA3FFC" w:rsidRPr="00DA3FFC" w:rsidRDefault="00DA3FFC" w:rsidP="00A258BD">
      <w:pPr>
        <w:pBdr>
          <w:top w:val="single" w:sz="4" w:space="18" w:color="auto"/>
          <w:bottom w:val="single" w:sz="4" w:space="18" w:color="auto"/>
        </w:pBdr>
        <w:spacing w:after="240"/>
        <w:jc w:val="center"/>
        <w:rPr>
          <w:rFonts w:ascii="Arial Bold" w:hAnsi="Arial Bold"/>
          <w:b/>
        </w:rPr>
      </w:pPr>
      <w:r w:rsidRPr="00DA3FFC">
        <w:rPr>
          <w:rFonts w:ascii="Arial Bold" w:hAnsi="Arial Bold"/>
          <w:b/>
        </w:rPr>
        <w:t>ORDER</w:t>
      </w:r>
    </w:p>
    <w:p w14:paraId="0B589823" w14:textId="106D2DCE" w:rsidR="00ED4623" w:rsidRDefault="00435B66" w:rsidP="00435B66">
      <w:pPr>
        <w:pStyle w:val="LegalBodyText1"/>
        <w:spacing w:after="120" w:line="360" w:lineRule="auto"/>
        <w:ind w:hanging="567"/>
      </w:pPr>
      <w:r>
        <w:t>(1)</w:t>
      </w:r>
      <w:r>
        <w:tab/>
      </w:r>
      <w:r w:rsidR="00ED4623">
        <w:t>The fifth respondent’s counter-application for the final winding-up of the first respondent, is declared to be withdrawn.</w:t>
      </w:r>
    </w:p>
    <w:p w14:paraId="60D12E03" w14:textId="79FA3FC4" w:rsidR="00ED4623" w:rsidRDefault="00435B66" w:rsidP="00435B66">
      <w:pPr>
        <w:pStyle w:val="LegalBodyText1"/>
        <w:spacing w:after="240" w:line="360" w:lineRule="auto"/>
        <w:ind w:hanging="567"/>
      </w:pPr>
      <w:r>
        <w:t>(2)</w:t>
      </w:r>
      <w:r>
        <w:tab/>
      </w:r>
      <w:r w:rsidR="00ED4623">
        <w:t>The fifth respondent (Standard Bank) shall pay the applicant’s costs of its (the fifth respondent’s) opposition to the applicant’s application</w:t>
      </w:r>
      <w:r w:rsidR="006812E5">
        <w:t>,</w:t>
      </w:r>
      <w:r w:rsidR="00ED4623">
        <w:t xml:space="preserve"> as well as the applicant’s costs relating to its (the applicant’s) opposition to the fifth respondent’s counter-application, including the costs in relation to the hearing of the costs arguments on 14 October 2022.</w:t>
      </w:r>
    </w:p>
    <w:p w14:paraId="53DF04E0" w14:textId="77777777" w:rsidR="009314F3" w:rsidRPr="00A84826" w:rsidRDefault="00F86558" w:rsidP="00E623A5">
      <w:pPr>
        <w:pStyle w:val="LegalTramLines"/>
        <w:spacing w:after="240"/>
      </w:pPr>
      <w:r>
        <w:t xml:space="preserve">JUDGMENT </w:t>
      </w:r>
    </w:p>
    <w:p w14:paraId="2DCAF2C6" w14:textId="77777777" w:rsidR="007D27AD" w:rsidRPr="007D27AD" w:rsidRDefault="007D27AD" w:rsidP="00630DF9">
      <w:pPr>
        <w:keepNext/>
        <w:spacing w:before="120" w:after="120" w:line="360" w:lineRule="auto"/>
        <w:jc w:val="both"/>
        <w:rPr>
          <w:b/>
          <w:caps/>
        </w:rPr>
      </w:pPr>
      <w:r w:rsidRPr="007D27AD">
        <w:rPr>
          <w:b/>
        </w:rPr>
        <w:t>Adams J:</w:t>
      </w:r>
    </w:p>
    <w:p w14:paraId="5DD050E6" w14:textId="3D2CC7D0" w:rsidR="00C8690D" w:rsidRDefault="00435B66" w:rsidP="00435B66">
      <w:pPr>
        <w:spacing w:after="120" w:line="360" w:lineRule="auto"/>
        <w:jc w:val="both"/>
        <w:outlineLvl w:val="0"/>
        <w:rPr>
          <w:color w:val="000000"/>
        </w:rPr>
      </w:pPr>
      <w:r>
        <w:rPr>
          <w:color w:val="000000"/>
        </w:rPr>
        <w:t>[1].</w:t>
      </w:r>
      <w:r>
        <w:rPr>
          <w:color w:val="000000"/>
        </w:rPr>
        <w:tab/>
      </w:r>
      <w:r w:rsidR="00C8690D">
        <w:rPr>
          <w:color w:val="000000"/>
        </w:rPr>
        <w:t xml:space="preserve">The first respondent (Adzam) is at present and has since 28 February 2020 been in business rescue and the second respondent (Ms Naicker or ‘the BRP’) is the duly appointed Business Rescue Practitioner. The applicant (Mr Moodley) is </w:t>
      </w:r>
      <w:r w:rsidR="006812E5">
        <w:rPr>
          <w:color w:val="000000"/>
        </w:rPr>
        <w:t>a</w:t>
      </w:r>
      <w:r w:rsidR="00C8690D">
        <w:rPr>
          <w:color w:val="000000"/>
        </w:rPr>
        <w:t xml:space="preserve"> Trustee of the Infinity Trust, which is the sole shareholder of Adzam. Mr Moodley, for all intents and purposes, is the controlling mind behind Adzam and all the other companies in his Group of Companies and he is clearly in control of Adzam or was so in control </w:t>
      </w:r>
      <w:r w:rsidR="009F6D17">
        <w:rPr>
          <w:color w:val="000000"/>
        </w:rPr>
        <w:t xml:space="preserve">at least </w:t>
      </w:r>
      <w:r w:rsidR="00C8690D">
        <w:rPr>
          <w:color w:val="000000"/>
        </w:rPr>
        <w:t>until the said company was placed under business rescu</w:t>
      </w:r>
      <w:r w:rsidR="006812E5">
        <w:rPr>
          <w:color w:val="000000"/>
        </w:rPr>
        <w:t>e, despite the fact that from 25</w:t>
      </w:r>
      <w:r w:rsidR="00C8690D">
        <w:rPr>
          <w:color w:val="000000"/>
        </w:rPr>
        <w:t xml:space="preserve"> February 2020, his daughter, Natasha</w:t>
      </w:r>
      <w:r w:rsidR="006812E5">
        <w:rPr>
          <w:color w:val="000000"/>
        </w:rPr>
        <w:t xml:space="preserve"> Naidoo</w:t>
      </w:r>
      <w:r w:rsidR="00C8690D">
        <w:rPr>
          <w:color w:val="000000"/>
        </w:rPr>
        <w:t xml:space="preserve">, was appointed as its sole director. </w:t>
      </w:r>
      <w:r w:rsidR="004B2E24">
        <w:rPr>
          <w:color w:val="000000"/>
        </w:rPr>
        <w:t xml:space="preserve">Adzam is a property owning </w:t>
      </w:r>
      <w:r w:rsidR="004B2E24">
        <w:rPr>
          <w:color w:val="000000"/>
        </w:rPr>
        <w:lastRenderedPageBreak/>
        <w:t>company and owns a commercial property</w:t>
      </w:r>
      <w:r w:rsidR="006812E5">
        <w:rPr>
          <w:color w:val="000000"/>
        </w:rPr>
        <w:t xml:space="preserve"> in Brentwood Park, Benoni</w:t>
      </w:r>
      <w:r w:rsidR="004B2E24">
        <w:rPr>
          <w:color w:val="000000"/>
        </w:rPr>
        <w:t xml:space="preserve"> – worth approximately R30 million. Adzam carries on business mainly in the field of the letting of commercial premises to a number of commercial tenants, which include sister companies in Mr Moodley’s group of companies. By all accounts, the fifth respondent (Standard Bank), until rec</w:t>
      </w:r>
      <w:r w:rsidR="00D74E04">
        <w:rPr>
          <w:color w:val="000000"/>
        </w:rPr>
        <w:t xml:space="preserve">ently was Adzam’s main creditor, it </w:t>
      </w:r>
      <w:r w:rsidR="004B2E24">
        <w:rPr>
          <w:color w:val="000000"/>
        </w:rPr>
        <w:t xml:space="preserve">being owed about R3.6 million at the most relevant time.   </w:t>
      </w:r>
    </w:p>
    <w:p w14:paraId="1BBC5F86" w14:textId="732A69E1" w:rsidR="000F7D88" w:rsidRDefault="00435B66" w:rsidP="00435B66">
      <w:pPr>
        <w:spacing w:after="120" w:line="360" w:lineRule="auto"/>
        <w:jc w:val="both"/>
        <w:outlineLvl w:val="0"/>
        <w:rPr>
          <w:color w:val="000000"/>
        </w:rPr>
      </w:pPr>
      <w:r>
        <w:rPr>
          <w:color w:val="000000"/>
        </w:rPr>
        <w:t>[2].</w:t>
      </w:r>
      <w:r>
        <w:rPr>
          <w:color w:val="000000"/>
        </w:rPr>
        <w:tab/>
      </w:r>
      <w:r w:rsidR="004B2E24">
        <w:rPr>
          <w:color w:val="000000"/>
        </w:rPr>
        <w:t xml:space="preserve">In the main application, Mr Moodley, as an ‘affected person’ applies </w:t>
      </w:r>
      <w:r w:rsidR="009F6D17">
        <w:rPr>
          <w:color w:val="000000"/>
        </w:rPr>
        <w:t>– in terms of s 130(2)(a)(i) of the Companies Act</w:t>
      </w:r>
      <w:r w:rsidR="009F6D17">
        <w:rPr>
          <w:rStyle w:val="FootnoteReference"/>
          <w:color w:val="000000"/>
        </w:rPr>
        <w:footnoteReference w:id="1"/>
      </w:r>
      <w:r w:rsidR="009F6D17">
        <w:rPr>
          <w:color w:val="000000"/>
        </w:rPr>
        <w:t xml:space="preserve"> – </w:t>
      </w:r>
      <w:r w:rsidR="004B2E24">
        <w:rPr>
          <w:color w:val="000000"/>
        </w:rPr>
        <w:t>for</w:t>
      </w:r>
      <w:r w:rsidR="009F6D17">
        <w:rPr>
          <w:color w:val="000000"/>
        </w:rPr>
        <w:t xml:space="preserve"> </w:t>
      </w:r>
      <w:r w:rsidR="004B2E24">
        <w:rPr>
          <w:color w:val="000000"/>
        </w:rPr>
        <w:t xml:space="preserve">Adzam to </w:t>
      </w:r>
      <w:r w:rsidR="009F6D17">
        <w:rPr>
          <w:color w:val="000000"/>
        </w:rPr>
        <w:t xml:space="preserve">be taken out of business rescue on the basis that it no longer requires rescuing. The business of Adzam, so Mr Moodley contends, is sound and can now stand on its proverbial own two feet. </w:t>
      </w:r>
      <w:r w:rsidR="000F7D88">
        <w:rPr>
          <w:color w:val="000000"/>
        </w:rPr>
        <w:t xml:space="preserve">In fact, a more accurate way of putting it is that Mr Moodley’s case is that the resolution placing Adzam in business rescue should be set aside on the basis that </w:t>
      </w:r>
      <w:r w:rsidR="000F7D88" w:rsidRPr="000F7D88">
        <w:rPr>
          <w:color w:val="000000"/>
        </w:rPr>
        <w:t>there is no reasonable basis for believing that the company is financially distressed</w:t>
      </w:r>
      <w:r w:rsidR="000F7D88">
        <w:rPr>
          <w:color w:val="000000"/>
        </w:rPr>
        <w:t>.</w:t>
      </w:r>
    </w:p>
    <w:p w14:paraId="24A95499" w14:textId="40F78808" w:rsidR="00C8690D" w:rsidRDefault="00435B66" w:rsidP="00435B66">
      <w:pPr>
        <w:spacing w:after="120" w:line="360" w:lineRule="auto"/>
        <w:jc w:val="both"/>
        <w:outlineLvl w:val="0"/>
        <w:rPr>
          <w:color w:val="000000"/>
        </w:rPr>
      </w:pPr>
      <w:r>
        <w:rPr>
          <w:color w:val="000000"/>
        </w:rPr>
        <w:t>[3].</w:t>
      </w:r>
      <w:r>
        <w:rPr>
          <w:color w:val="000000"/>
        </w:rPr>
        <w:tab/>
      </w:r>
      <w:r w:rsidR="000F7D88">
        <w:rPr>
          <w:color w:val="000000"/>
        </w:rPr>
        <w:t>A consideration of the</w:t>
      </w:r>
      <w:r w:rsidR="009F6D17">
        <w:rPr>
          <w:color w:val="000000"/>
        </w:rPr>
        <w:t xml:space="preserve"> merits of that application </w:t>
      </w:r>
      <w:r w:rsidR="000F7D88">
        <w:rPr>
          <w:color w:val="000000"/>
        </w:rPr>
        <w:t>is</w:t>
      </w:r>
      <w:r w:rsidR="009F6D17">
        <w:rPr>
          <w:color w:val="000000"/>
        </w:rPr>
        <w:t xml:space="preserve"> the subject of a separate judgment by this court, and there is no need</w:t>
      </w:r>
      <w:r w:rsidR="006253BF">
        <w:rPr>
          <w:color w:val="000000"/>
        </w:rPr>
        <w:t xml:space="preserve"> to</w:t>
      </w:r>
      <w:r w:rsidR="009F6D17">
        <w:rPr>
          <w:color w:val="000000"/>
        </w:rPr>
        <w:t xml:space="preserve"> </w:t>
      </w:r>
      <w:r w:rsidR="006253BF">
        <w:rPr>
          <w:color w:val="000000"/>
        </w:rPr>
        <w:t xml:space="preserve">traverse those issues </w:t>
      </w:r>
      <w:r w:rsidR="000F7D88">
        <w:rPr>
          <w:color w:val="000000"/>
        </w:rPr>
        <w:t xml:space="preserve">in any detail </w:t>
      </w:r>
      <w:r w:rsidR="006253BF">
        <w:rPr>
          <w:color w:val="000000"/>
        </w:rPr>
        <w:t>in this judgment. Suffice to state that Standard Bank opposed the said application on the basis that the business rescue should b</w:t>
      </w:r>
      <w:r w:rsidR="000F7D88">
        <w:rPr>
          <w:color w:val="000000"/>
        </w:rPr>
        <w:t xml:space="preserve">e converted to </w:t>
      </w:r>
      <w:r w:rsidR="006253BF">
        <w:rPr>
          <w:color w:val="000000"/>
        </w:rPr>
        <w:t xml:space="preserve">final liquidation and winding up </w:t>
      </w:r>
      <w:r w:rsidR="000F7D88">
        <w:rPr>
          <w:color w:val="000000"/>
        </w:rPr>
        <w:t xml:space="preserve">proceedings relative to </w:t>
      </w:r>
      <w:r w:rsidR="006253BF">
        <w:rPr>
          <w:color w:val="000000"/>
        </w:rPr>
        <w:t>the said company. Standard Bank accordingly issued a counter-application</w:t>
      </w:r>
      <w:r w:rsidR="000F7D88">
        <w:rPr>
          <w:color w:val="000000"/>
        </w:rPr>
        <w:t xml:space="preserve"> for the liquidation of Adzam on the basis that the company </w:t>
      </w:r>
      <w:r w:rsidR="004B60A1">
        <w:rPr>
          <w:color w:val="000000"/>
        </w:rPr>
        <w:t xml:space="preserve">is </w:t>
      </w:r>
      <w:r w:rsidR="000F7D88">
        <w:rPr>
          <w:color w:val="000000"/>
        </w:rPr>
        <w:t xml:space="preserve">unable to pay its debts. </w:t>
      </w:r>
      <w:r w:rsidR="00ED5963">
        <w:rPr>
          <w:color w:val="000000"/>
        </w:rPr>
        <w:t>Subsequently, and after some rather acrimonious exchanges between Mr Moodley and Standard Bank, Adzam’s debt to the bank was settled, barring a few thousand</w:t>
      </w:r>
      <w:r w:rsidR="004B60A1">
        <w:rPr>
          <w:color w:val="000000"/>
        </w:rPr>
        <w:t xml:space="preserve"> rand</w:t>
      </w:r>
      <w:r w:rsidR="00ED5963">
        <w:rPr>
          <w:color w:val="000000"/>
        </w:rPr>
        <w:t xml:space="preserve">, which remains in dispute between the parties. Standard Bank therefore indicated in no uncertain terms that it was not pursuing its opposition to Mr Moodley’s application nor its own counter-application. The parties could however not agree on the issue of the costs in relation to Standard Bank’s opposition to the application and its counter-application. </w:t>
      </w:r>
    </w:p>
    <w:p w14:paraId="0F1F3EE9" w14:textId="34EE9C86" w:rsidR="00D74E04" w:rsidRDefault="00435B66" w:rsidP="00435B66">
      <w:pPr>
        <w:spacing w:after="120" w:line="360" w:lineRule="auto"/>
        <w:jc w:val="both"/>
        <w:outlineLvl w:val="0"/>
        <w:rPr>
          <w:color w:val="000000"/>
        </w:rPr>
      </w:pPr>
      <w:r>
        <w:rPr>
          <w:color w:val="000000"/>
        </w:rPr>
        <w:t>[4].</w:t>
      </w:r>
      <w:r>
        <w:rPr>
          <w:color w:val="000000"/>
        </w:rPr>
        <w:tab/>
      </w:r>
      <w:r w:rsidR="008C2D0F">
        <w:rPr>
          <w:color w:val="000000"/>
        </w:rPr>
        <w:t xml:space="preserve">I </w:t>
      </w:r>
      <w:r w:rsidR="00423021">
        <w:rPr>
          <w:color w:val="000000"/>
        </w:rPr>
        <w:t xml:space="preserve">am </w:t>
      </w:r>
      <w:r w:rsidR="00ED5963">
        <w:rPr>
          <w:color w:val="000000"/>
        </w:rPr>
        <w:t xml:space="preserve">therefore </w:t>
      </w:r>
      <w:r w:rsidR="00423021">
        <w:rPr>
          <w:color w:val="000000"/>
        </w:rPr>
        <w:t>required to adjudicate only the issue of</w:t>
      </w:r>
      <w:r w:rsidR="00ED5963">
        <w:rPr>
          <w:color w:val="000000"/>
        </w:rPr>
        <w:t xml:space="preserve"> those</w:t>
      </w:r>
      <w:r w:rsidR="00423021">
        <w:rPr>
          <w:color w:val="000000"/>
        </w:rPr>
        <w:t xml:space="preserve"> costs. </w:t>
      </w:r>
      <w:r w:rsidR="00D74E04">
        <w:rPr>
          <w:color w:val="000000"/>
        </w:rPr>
        <w:t xml:space="preserve">In my view, the question to be asked is simply whether, all thing considered, Standard </w:t>
      </w:r>
      <w:r w:rsidR="00D74E04">
        <w:rPr>
          <w:color w:val="000000"/>
        </w:rPr>
        <w:lastRenderedPageBreak/>
        <w:t xml:space="preserve">Bank was entitled to oppose the application and to counter-apply for the liquidation of Adzam. In that regard, the main question to be asked is this: Was Adzam disputing its indebtedness to Standard Bank </w:t>
      </w:r>
      <w:r w:rsidR="00D74E04" w:rsidRPr="00D74E04">
        <w:rPr>
          <w:color w:val="000000"/>
        </w:rPr>
        <w:t xml:space="preserve">on </w:t>
      </w:r>
      <w:r w:rsidR="00D74E04" w:rsidRPr="00D74E04">
        <w:rPr>
          <w:i/>
          <w:color w:val="000000"/>
        </w:rPr>
        <w:t>bona fide</w:t>
      </w:r>
      <w:r w:rsidR="00D74E04">
        <w:rPr>
          <w:color w:val="000000"/>
        </w:rPr>
        <w:t xml:space="preserve"> and reasonable grounds? Put another way, but for the ‘settlement’ of its claim on behalf of Adzam, would Standard Bank have been successful in its opposition to Mr Moodley’s application and their counter-application? </w:t>
      </w:r>
    </w:p>
    <w:p w14:paraId="3CBD3581" w14:textId="0E8239C3" w:rsidR="004B60A1" w:rsidRDefault="00435B66" w:rsidP="00435B66">
      <w:pPr>
        <w:spacing w:after="120" w:line="360" w:lineRule="auto"/>
        <w:jc w:val="both"/>
        <w:outlineLvl w:val="0"/>
        <w:rPr>
          <w:color w:val="000000"/>
        </w:rPr>
      </w:pPr>
      <w:r>
        <w:rPr>
          <w:color w:val="000000"/>
        </w:rPr>
        <w:t>[5].</w:t>
      </w:r>
      <w:r>
        <w:rPr>
          <w:color w:val="000000"/>
        </w:rPr>
        <w:tab/>
      </w:r>
      <w:r w:rsidR="004B60A1">
        <w:rPr>
          <w:color w:val="000000"/>
        </w:rPr>
        <w:t xml:space="preserve">These issues are to be decided against the factual backdrop of the matter and the relevant facts as set out in the paragraphs which follows.  </w:t>
      </w:r>
    </w:p>
    <w:p w14:paraId="41BA6CEE" w14:textId="000D04EA" w:rsidR="006B739E" w:rsidRDefault="00435B66" w:rsidP="00435B66">
      <w:pPr>
        <w:spacing w:after="120" w:line="360" w:lineRule="auto"/>
        <w:jc w:val="both"/>
        <w:outlineLvl w:val="0"/>
        <w:rPr>
          <w:color w:val="000000"/>
        </w:rPr>
      </w:pPr>
      <w:r>
        <w:rPr>
          <w:color w:val="000000"/>
        </w:rPr>
        <w:t>[6].</w:t>
      </w:r>
      <w:r>
        <w:rPr>
          <w:color w:val="000000"/>
        </w:rPr>
        <w:tab/>
      </w:r>
      <w:r w:rsidR="004B60A1">
        <w:rPr>
          <w:color w:val="000000"/>
        </w:rPr>
        <w:t xml:space="preserve">It was the case of Standard Bank that, as and at 25 October 2020, it was </w:t>
      </w:r>
      <w:r w:rsidR="00C8690D" w:rsidRPr="004B60A1">
        <w:rPr>
          <w:color w:val="000000"/>
        </w:rPr>
        <w:t>a secured credit</w:t>
      </w:r>
      <w:r w:rsidR="004B60A1">
        <w:rPr>
          <w:color w:val="000000"/>
        </w:rPr>
        <w:t>or of Adzam in the amount of R3 965 </w:t>
      </w:r>
      <w:r w:rsidR="00C8690D" w:rsidRPr="004B60A1">
        <w:rPr>
          <w:color w:val="000000"/>
        </w:rPr>
        <w:t>877.54</w:t>
      </w:r>
      <w:r w:rsidR="004B60A1">
        <w:rPr>
          <w:color w:val="000000"/>
        </w:rPr>
        <w:t>,</w:t>
      </w:r>
      <w:r w:rsidR="00C8690D" w:rsidRPr="004B60A1">
        <w:rPr>
          <w:color w:val="000000"/>
        </w:rPr>
        <w:t xml:space="preserve"> together with interest thereon from 25 October 2020 to date of final payment.</w:t>
      </w:r>
      <w:r w:rsidR="00432221">
        <w:rPr>
          <w:color w:val="000000"/>
        </w:rPr>
        <w:t xml:space="preserve"> In order to recover this debt, which had become due and payable by the aforesaid</w:t>
      </w:r>
      <w:r w:rsidR="000F0394">
        <w:rPr>
          <w:color w:val="000000"/>
        </w:rPr>
        <w:t xml:space="preserve"> date, so Standard Bank contended</w:t>
      </w:r>
      <w:r w:rsidR="00432221">
        <w:rPr>
          <w:color w:val="000000"/>
        </w:rPr>
        <w:t xml:space="preserve">, it was fully within its rights to commence </w:t>
      </w:r>
      <w:r w:rsidR="00273099" w:rsidRPr="00432221">
        <w:rPr>
          <w:color w:val="000000"/>
        </w:rPr>
        <w:t xml:space="preserve">insolvency proceedings for purposes </w:t>
      </w:r>
      <w:r w:rsidR="00AB14A5">
        <w:rPr>
          <w:color w:val="000000"/>
        </w:rPr>
        <w:t>of</w:t>
      </w:r>
      <w:r w:rsidR="00273099" w:rsidRPr="00432221">
        <w:rPr>
          <w:color w:val="000000"/>
        </w:rPr>
        <w:t xml:space="preserve"> recover</w:t>
      </w:r>
      <w:r w:rsidR="00AB14A5">
        <w:rPr>
          <w:color w:val="000000"/>
        </w:rPr>
        <w:t>ing</w:t>
      </w:r>
      <w:r w:rsidR="00273099" w:rsidRPr="00432221">
        <w:rPr>
          <w:color w:val="000000"/>
        </w:rPr>
        <w:t xml:space="preserve"> </w:t>
      </w:r>
      <w:r w:rsidR="00432221">
        <w:rPr>
          <w:color w:val="000000"/>
        </w:rPr>
        <w:t xml:space="preserve">this </w:t>
      </w:r>
      <w:r w:rsidR="00273099" w:rsidRPr="00432221">
        <w:rPr>
          <w:color w:val="000000"/>
        </w:rPr>
        <w:t xml:space="preserve">debt. </w:t>
      </w:r>
      <w:r w:rsidR="00AB14A5">
        <w:rPr>
          <w:color w:val="000000"/>
        </w:rPr>
        <w:t>Adzam's indebtedness to Standard Bank</w:t>
      </w:r>
      <w:r w:rsidR="00273099" w:rsidRPr="00AB14A5">
        <w:rPr>
          <w:color w:val="000000"/>
        </w:rPr>
        <w:t xml:space="preserve"> </w:t>
      </w:r>
      <w:r w:rsidR="00AB14A5">
        <w:rPr>
          <w:color w:val="000000"/>
        </w:rPr>
        <w:t xml:space="preserve">arose </w:t>
      </w:r>
      <w:r w:rsidR="00273099" w:rsidRPr="00AB14A5">
        <w:rPr>
          <w:color w:val="000000"/>
        </w:rPr>
        <w:t xml:space="preserve">out of a medium-term loan agreement. As security for Adzam's indebtedness to </w:t>
      </w:r>
      <w:r w:rsidR="000F0394">
        <w:rPr>
          <w:color w:val="000000"/>
        </w:rPr>
        <w:t>Standard Bank</w:t>
      </w:r>
      <w:r w:rsidR="00AB14A5">
        <w:rPr>
          <w:color w:val="000000"/>
        </w:rPr>
        <w:t xml:space="preserve">, </w:t>
      </w:r>
      <w:r w:rsidR="000F0394">
        <w:rPr>
          <w:color w:val="000000"/>
        </w:rPr>
        <w:t>it</w:t>
      </w:r>
      <w:r w:rsidR="00AB14A5">
        <w:rPr>
          <w:color w:val="000000"/>
        </w:rPr>
        <w:t xml:space="preserve"> holds </w:t>
      </w:r>
      <w:r w:rsidR="00AB14A5" w:rsidRPr="00AB14A5">
        <w:rPr>
          <w:i/>
          <w:color w:val="000000"/>
        </w:rPr>
        <w:t>inter alia</w:t>
      </w:r>
      <w:r w:rsidR="00273099" w:rsidRPr="00AB14A5">
        <w:rPr>
          <w:color w:val="000000"/>
        </w:rPr>
        <w:t xml:space="preserve"> a covering mortgage bond over </w:t>
      </w:r>
      <w:r w:rsidR="000F0394">
        <w:rPr>
          <w:color w:val="000000"/>
        </w:rPr>
        <w:t>the immovable</w:t>
      </w:r>
      <w:r w:rsidR="00AB14A5">
        <w:rPr>
          <w:color w:val="000000"/>
        </w:rPr>
        <w:t xml:space="preserve"> property owned by Adzam. On 19 November 2020, the Standard Bank called up the loan on the basis that Adzam was in arrears with its monthly instalments to the tune of </w:t>
      </w:r>
      <w:r w:rsidR="00273099" w:rsidRPr="00AB14A5">
        <w:rPr>
          <w:color w:val="000000"/>
        </w:rPr>
        <w:t>R671 360.94</w:t>
      </w:r>
      <w:r w:rsidR="006B739E">
        <w:rPr>
          <w:color w:val="000000"/>
        </w:rPr>
        <w:t>.</w:t>
      </w:r>
    </w:p>
    <w:p w14:paraId="27F1C2D9" w14:textId="4DCE57D9" w:rsidR="00273099" w:rsidRPr="00AB14A5" w:rsidRDefault="00435B66" w:rsidP="00435B66">
      <w:pPr>
        <w:spacing w:after="120" w:line="360" w:lineRule="auto"/>
        <w:jc w:val="both"/>
        <w:outlineLvl w:val="0"/>
        <w:rPr>
          <w:color w:val="000000"/>
        </w:rPr>
      </w:pPr>
      <w:r w:rsidRPr="00AB14A5">
        <w:rPr>
          <w:color w:val="000000"/>
        </w:rPr>
        <w:t>[7].</w:t>
      </w:r>
      <w:r w:rsidRPr="00AB14A5">
        <w:rPr>
          <w:color w:val="000000"/>
        </w:rPr>
        <w:tab/>
      </w:r>
      <w:r w:rsidR="006B739E">
        <w:rPr>
          <w:color w:val="000000"/>
        </w:rPr>
        <w:t xml:space="preserve">This was denied </w:t>
      </w:r>
      <w:r w:rsidR="000F0394">
        <w:rPr>
          <w:color w:val="000000"/>
        </w:rPr>
        <w:t xml:space="preserve">and disputed </w:t>
      </w:r>
      <w:r w:rsidR="006B739E">
        <w:rPr>
          <w:color w:val="000000"/>
        </w:rPr>
        <w:t>by Adzam,</w:t>
      </w:r>
      <w:r w:rsidR="000F0394">
        <w:rPr>
          <w:color w:val="000000"/>
        </w:rPr>
        <w:t xml:space="preserve"> or more accurately, by Mr Moodley,</w:t>
      </w:r>
      <w:r w:rsidR="006B739E">
        <w:rPr>
          <w:color w:val="000000"/>
        </w:rPr>
        <w:t xml:space="preserve"> who was of the view that payment of the instalments was up to date as they had been given a so-called </w:t>
      </w:r>
      <w:r w:rsidR="000F0394">
        <w:rPr>
          <w:color w:val="000000"/>
        </w:rPr>
        <w:t>‘</w:t>
      </w:r>
      <w:r w:rsidR="006B739E">
        <w:rPr>
          <w:color w:val="000000"/>
        </w:rPr>
        <w:t>Covid-19 relief</w:t>
      </w:r>
      <w:r w:rsidR="000F0394">
        <w:rPr>
          <w:color w:val="000000"/>
        </w:rPr>
        <w:t>’</w:t>
      </w:r>
      <w:r w:rsidR="006B739E">
        <w:rPr>
          <w:color w:val="000000"/>
        </w:rPr>
        <w:t xml:space="preserve"> by Standard Bank in respect of six months’ instalments. The debt claimed by Standard Bank, so it was alleged by Mr Moodley, was therefore not yet due and payable. Standard Bank was therefore urged not to persist with their opposition to Mr Moodley’s application, which he had issued on the 20</w:t>
      </w:r>
      <w:r w:rsidR="006B739E" w:rsidRPr="006B739E">
        <w:rPr>
          <w:color w:val="000000"/>
          <w:vertAlign w:val="superscript"/>
        </w:rPr>
        <w:t>th</w:t>
      </w:r>
      <w:r w:rsidR="006B739E">
        <w:rPr>
          <w:color w:val="000000"/>
        </w:rPr>
        <w:t xml:space="preserve"> October 2020. Standard Bank was not prepared to do this and instead on the 20</w:t>
      </w:r>
      <w:r w:rsidR="006B739E" w:rsidRPr="006B739E">
        <w:rPr>
          <w:color w:val="000000"/>
          <w:vertAlign w:val="superscript"/>
        </w:rPr>
        <w:t>th</w:t>
      </w:r>
      <w:r w:rsidR="006B739E">
        <w:rPr>
          <w:color w:val="000000"/>
        </w:rPr>
        <w:t xml:space="preserve"> November 2020 delivered their answering affidavit and </w:t>
      </w:r>
      <w:r w:rsidR="000F0394">
        <w:rPr>
          <w:color w:val="000000"/>
        </w:rPr>
        <w:t xml:space="preserve">simultaneously </w:t>
      </w:r>
      <w:r w:rsidR="006B739E">
        <w:rPr>
          <w:color w:val="000000"/>
        </w:rPr>
        <w:t xml:space="preserve">proceeded to deliver their counter-application for the final winding-up of Adzam. </w:t>
      </w:r>
    </w:p>
    <w:p w14:paraId="00CCD740" w14:textId="72FC22C2" w:rsidR="00273099" w:rsidRPr="00220E20" w:rsidRDefault="00435B66" w:rsidP="00435B66">
      <w:pPr>
        <w:spacing w:after="120" w:line="360" w:lineRule="auto"/>
        <w:jc w:val="both"/>
        <w:outlineLvl w:val="0"/>
        <w:rPr>
          <w:color w:val="000000"/>
        </w:rPr>
      </w:pPr>
      <w:r w:rsidRPr="00220E20">
        <w:rPr>
          <w:color w:val="000000"/>
        </w:rPr>
        <w:t>[8].</w:t>
      </w:r>
      <w:r w:rsidRPr="00220E20">
        <w:rPr>
          <w:color w:val="000000"/>
        </w:rPr>
        <w:tab/>
      </w:r>
      <w:r w:rsidR="006B739E" w:rsidRPr="00220E20">
        <w:rPr>
          <w:color w:val="000000"/>
        </w:rPr>
        <w:t xml:space="preserve">By </w:t>
      </w:r>
      <w:r w:rsidR="00273099" w:rsidRPr="00220E20">
        <w:rPr>
          <w:color w:val="000000"/>
        </w:rPr>
        <w:t xml:space="preserve">23 July 2021, </w:t>
      </w:r>
      <w:r w:rsidR="006B739E" w:rsidRPr="00220E20">
        <w:rPr>
          <w:color w:val="000000"/>
        </w:rPr>
        <w:t xml:space="preserve">the amount outstanding on the loan had been settled in full by Mr Moodley on behalf of </w:t>
      </w:r>
      <w:r w:rsidR="00220E20" w:rsidRPr="00220E20">
        <w:rPr>
          <w:color w:val="000000"/>
        </w:rPr>
        <w:t>Adzam</w:t>
      </w:r>
      <w:r w:rsidR="006B739E" w:rsidRPr="00220E20">
        <w:rPr>
          <w:color w:val="000000"/>
        </w:rPr>
        <w:t xml:space="preserve">, </w:t>
      </w:r>
      <w:r w:rsidR="00273099" w:rsidRPr="00220E20">
        <w:rPr>
          <w:color w:val="000000"/>
        </w:rPr>
        <w:t>save</w:t>
      </w:r>
      <w:r w:rsidR="00220E20" w:rsidRPr="00220E20">
        <w:rPr>
          <w:color w:val="000000"/>
        </w:rPr>
        <w:t xml:space="preserve"> for certain disputed sums relating to </w:t>
      </w:r>
      <w:r w:rsidR="00220E20" w:rsidRPr="00220E20">
        <w:rPr>
          <w:color w:val="000000"/>
        </w:rPr>
        <w:lastRenderedPageBreak/>
        <w:t>further interests payable and costs, thus extinguishing</w:t>
      </w:r>
      <w:r w:rsidR="00273099" w:rsidRPr="00220E20">
        <w:rPr>
          <w:color w:val="000000"/>
        </w:rPr>
        <w:t xml:space="preserve"> Adzam's indebtedness to </w:t>
      </w:r>
      <w:r w:rsidR="00220E20" w:rsidRPr="00220E20">
        <w:rPr>
          <w:color w:val="000000"/>
        </w:rPr>
        <w:t>Standard Bank</w:t>
      </w:r>
      <w:r w:rsidR="00273099" w:rsidRPr="00220E20">
        <w:rPr>
          <w:color w:val="000000"/>
        </w:rPr>
        <w:t xml:space="preserve"> in full. This</w:t>
      </w:r>
      <w:r w:rsidR="00220E20" w:rsidRPr="00220E20">
        <w:rPr>
          <w:color w:val="000000"/>
        </w:rPr>
        <w:t xml:space="preserve"> </w:t>
      </w:r>
      <w:r w:rsidR="00273099" w:rsidRPr="00220E20">
        <w:rPr>
          <w:color w:val="000000"/>
        </w:rPr>
        <w:t xml:space="preserve">was in response to </w:t>
      </w:r>
      <w:r w:rsidR="00220E20" w:rsidRPr="00220E20">
        <w:rPr>
          <w:color w:val="000000"/>
        </w:rPr>
        <w:t>Standard Bank’s insistence that Adzam was in breach of the loan agreement in that it was in arrears with payment of their monthly instalments, which, as already indicated, was vehemently</w:t>
      </w:r>
      <w:r w:rsidR="00273099" w:rsidRPr="00220E20">
        <w:rPr>
          <w:color w:val="000000"/>
        </w:rPr>
        <w:t xml:space="preserve"> </w:t>
      </w:r>
      <w:r w:rsidR="00220E20" w:rsidRPr="00220E20">
        <w:rPr>
          <w:color w:val="000000"/>
        </w:rPr>
        <w:t xml:space="preserve">denied by Mr Moodley. </w:t>
      </w:r>
      <w:r w:rsidR="00273099" w:rsidRPr="00220E20">
        <w:rPr>
          <w:color w:val="000000"/>
        </w:rPr>
        <w:t xml:space="preserve">On 4 August 2021, </w:t>
      </w:r>
      <w:r w:rsidR="00220E20" w:rsidRPr="00220E20">
        <w:rPr>
          <w:color w:val="000000"/>
        </w:rPr>
        <w:t xml:space="preserve">Standard Bank’s </w:t>
      </w:r>
      <w:r w:rsidR="00273099" w:rsidRPr="00220E20">
        <w:rPr>
          <w:color w:val="000000"/>
        </w:rPr>
        <w:t>attorneys</w:t>
      </w:r>
      <w:r w:rsidR="00220E20" w:rsidRPr="00220E20">
        <w:rPr>
          <w:color w:val="000000"/>
        </w:rPr>
        <w:t xml:space="preserve"> advised Mr </w:t>
      </w:r>
      <w:r w:rsidR="00273099" w:rsidRPr="00220E20">
        <w:rPr>
          <w:color w:val="000000"/>
        </w:rPr>
        <w:t>Moodley's attorneys</w:t>
      </w:r>
      <w:r w:rsidR="00220E20" w:rsidRPr="00220E20">
        <w:rPr>
          <w:color w:val="000000"/>
        </w:rPr>
        <w:t xml:space="preserve"> in writing that, in light of the said payment</w:t>
      </w:r>
      <w:r w:rsidR="00273099" w:rsidRPr="00220E20">
        <w:rPr>
          <w:color w:val="000000"/>
        </w:rPr>
        <w:t>s</w:t>
      </w:r>
      <w:r w:rsidR="00220E20" w:rsidRPr="00220E20">
        <w:rPr>
          <w:color w:val="000000"/>
        </w:rPr>
        <w:t xml:space="preserve"> on account of the loan agreement</w:t>
      </w:r>
      <w:r w:rsidR="00273099" w:rsidRPr="00220E20">
        <w:rPr>
          <w:color w:val="000000"/>
        </w:rPr>
        <w:t xml:space="preserve">, </w:t>
      </w:r>
      <w:r w:rsidR="00220E20" w:rsidRPr="00220E20">
        <w:rPr>
          <w:color w:val="000000"/>
        </w:rPr>
        <w:t>Standard Bank</w:t>
      </w:r>
      <w:r w:rsidR="00273099" w:rsidRPr="00220E20">
        <w:rPr>
          <w:color w:val="000000"/>
        </w:rPr>
        <w:t xml:space="preserve"> would no longer seek the winding-up of Adzam, nor would it continue to oppose </w:t>
      </w:r>
      <w:r w:rsidR="00364135">
        <w:rPr>
          <w:color w:val="000000"/>
        </w:rPr>
        <w:t xml:space="preserve">Mr </w:t>
      </w:r>
      <w:r w:rsidR="00273099" w:rsidRPr="00220E20">
        <w:rPr>
          <w:color w:val="000000"/>
        </w:rPr>
        <w:t xml:space="preserve">Moodley's application. </w:t>
      </w:r>
      <w:r w:rsidR="00220E20" w:rsidRPr="00220E20">
        <w:rPr>
          <w:color w:val="000000"/>
        </w:rPr>
        <w:t xml:space="preserve">Standard Bank was however insisting on payment of further interests, which, according to them, </w:t>
      </w:r>
      <w:r w:rsidR="00273099" w:rsidRPr="00220E20">
        <w:rPr>
          <w:color w:val="000000"/>
        </w:rPr>
        <w:t xml:space="preserve">accrued on the outstanding sums, which </w:t>
      </w:r>
      <w:r w:rsidR="00220E20" w:rsidRPr="00220E20">
        <w:rPr>
          <w:color w:val="000000"/>
        </w:rPr>
        <w:t>had</w:t>
      </w:r>
      <w:r w:rsidR="00273099" w:rsidRPr="00220E20">
        <w:rPr>
          <w:color w:val="000000"/>
        </w:rPr>
        <w:t xml:space="preserve"> only</w:t>
      </w:r>
      <w:r w:rsidR="00220E20" w:rsidRPr="00220E20">
        <w:rPr>
          <w:color w:val="000000"/>
        </w:rPr>
        <w:t xml:space="preserve"> been</w:t>
      </w:r>
      <w:r w:rsidR="00273099" w:rsidRPr="00220E20">
        <w:rPr>
          <w:color w:val="000000"/>
        </w:rPr>
        <w:t xml:space="preserve"> debited to the facility account on 26 July 2021</w:t>
      </w:r>
      <w:r w:rsidR="00220E20" w:rsidRPr="00220E20">
        <w:rPr>
          <w:color w:val="000000"/>
        </w:rPr>
        <w:t xml:space="preserve">, as well as </w:t>
      </w:r>
      <w:r w:rsidR="00220E20">
        <w:rPr>
          <w:color w:val="000000"/>
        </w:rPr>
        <w:t>payment of their</w:t>
      </w:r>
      <w:r w:rsidR="00273099" w:rsidRPr="00220E20">
        <w:rPr>
          <w:color w:val="000000"/>
        </w:rPr>
        <w:t xml:space="preserve"> costs of the application.</w:t>
      </w:r>
    </w:p>
    <w:p w14:paraId="4D6A729D" w14:textId="1EB07819" w:rsidR="00273099" w:rsidRPr="00273099" w:rsidRDefault="00435B66" w:rsidP="00435B66">
      <w:pPr>
        <w:spacing w:after="120" w:line="360" w:lineRule="auto"/>
        <w:jc w:val="both"/>
        <w:outlineLvl w:val="0"/>
        <w:rPr>
          <w:color w:val="000000"/>
        </w:rPr>
      </w:pPr>
      <w:r w:rsidRPr="00273099">
        <w:rPr>
          <w:color w:val="000000"/>
        </w:rPr>
        <w:t>[9].</w:t>
      </w:r>
      <w:r w:rsidRPr="00273099">
        <w:rPr>
          <w:color w:val="000000"/>
        </w:rPr>
        <w:tab/>
      </w:r>
      <w:r w:rsidR="00220E20">
        <w:rPr>
          <w:color w:val="000000"/>
        </w:rPr>
        <w:t>That then brings me back to the question whether Standard Bank was justified in launching it</w:t>
      </w:r>
      <w:r w:rsidR="00364135">
        <w:rPr>
          <w:color w:val="000000"/>
        </w:rPr>
        <w:t>s</w:t>
      </w:r>
      <w:r w:rsidR="00220E20">
        <w:rPr>
          <w:color w:val="000000"/>
        </w:rPr>
        <w:t xml:space="preserve"> application for the final winding-up of Adzam. </w:t>
      </w:r>
      <w:r w:rsidR="00364135">
        <w:rPr>
          <w:color w:val="000000"/>
        </w:rPr>
        <w:t>The answer to that question is, i</w:t>
      </w:r>
      <w:r w:rsidR="00220E20">
        <w:rPr>
          <w:color w:val="000000"/>
        </w:rPr>
        <w:t>n my view</w:t>
      </w:r>
      <w:r w:rsidR="00FF6E43">
        <w:rPr>
          <w:color w:val="000000"/>
        </w:rPr>
        <w:t>,</w:t>
      </w:r>
      <w:r w:rsidR="00364135">
        <w:rPr>
          <w:color w:val="000000"/>
        </w:rPr>
        <w:t xml:space="preserve"> no. A</w:t>
      </w:r>
      <w:r w:rsidR="00220E20">
        <w:rPr>
          <w:color w:val="000000"/>
        </w:rPr>
        <w:t>nd I say so for the reasons set out in the paragraphs which follow.</w:t>
      </w:r>
    </w:p>
    <w:p w14:paraId="07BBCC01" w14:textId="3C1C247C" w:rsidR="00273099" w:rsidRPr="00273099" w:rsidRDefault="00435B66" w:rsidP="00435B66">
      <w:pPr>
        <w:spacing w:after="120" w:line="360" w:lineRule="auto"/>
        <w:jc w:val="both"/>
        <w:outlineLvl w:val="0"/>
        <w:rPr>
          <w:color w:val="000000"/>
        </w:rPr>
      </w:pPr>
      <w:r w:rsidRPr="00273099">
        <w:rPr>
          <w:color w:val="000000"/>
        </w:rPr>
        <w:t>[10].</w:t>
      </w:r>
      <w:r w:rsidRPr="00273099">
        <w:rPr>
          <w:color w:val="000000"/>
        </w:rPr>
        <w:tab/>
      </w:r>
      <w:r w:rsidR="00220E20">
        <w:rPr>
          <w:color w:val="000000"/>
        </w:rPr>
        <w:t xml:space="preserve">At first blush, and by all accounts, Adzam </w:t>
      </w:r>
      <w:r w:rsidR="005729A7">
        <w:rPr>
          <w:color w:val="000000"/>
        </w:rPr>
        <w:t xml:space="preserve">is and never was insolvent. It is the owner of immovable property worth approximately R30 million, and its external debts and other liabilities amounted to no more than R4 million. It cannot therefore possibly be </w:t>
      </w:r>
      <w:r w:rsidR="00FF6E43">
        <w:rPr>
          <w:color w:val="000000"/>
        </w:rPr>
        <w:t>suggested</w:t>
      </w:r>
      <w:r w:rsidR="005729A7">
        <w:rPr>
          <w:color w:val="000000"/>
        </w:rPr>
        <w:t xml:space="preserve"> that Adzam was factually insolvent. The next question is whether Adzam was able to meet its financial commitments as and when they arose. In that regard, it was the case of Mr Moodley, on behalf of Adzam, that it was. But for the period, during which it had been given a Covid-19 ‘payment holiday’, so Mr Moodley averred, Adzam was up to date with its monthly instalments. </w:t>
      </w:r>
    </w:p>
    <w:p w14:paraId="4A8DEE92" w14:textId="7F31FF4D" w:rsidR="00CE0501" w:rsidRPr="00364135" w:rsidRDefault="00435B66" w:rsidP="00435B66">
      <w:pPr>
        <w:spacing w:after="120" w:line="360" w:lineRule="auto"/>
        <w:jc w:val="both"/>
        <w:outlineLvl w:val="0"/>
        <w:rPr>
          <w:color w:val="000000"/>
        </w:rPr>
      </w:pPr>
      <w:r w:rsidRPr="00364135">
        <w:rPr>
          <w:color w:val="000000"/>
        </w:rPr>
        <w:t>[11].</w:t>
      </w:r>
      <w:r w:rsidRPr="00364135">
        <w:rPr>
          <w:color w:val="000000"/>
        </w:rPr>
        <w:tab/>
      </w:r>
      <w:r w:rsidR="00A92BBA">
        <w:rPr>
          <w:color w:val="000000"/>
        </w:rPr>
        <w:t xml:space="preserve">The alleged </w:t>
      </w:r>
      <w:r w:rsidR="00CE0501" w:rsidRPr="00CE0501">
        <w:rPr>
          <w:color w:val="000000"/>
        </w:rPr>
        <w:t>arrear</w:t>
      </w:r>
      <w:r w:rsidR="00A92BBA">
        <w:rPr>
          <w:color w:val="000000"/>
        </w:rPr>
        <w:t xml:space="preserve"> instalments formed the basis of Standard Bank’s case for the final winding-up of Adzam and their contention</w:t>
      </w:r>
      <w:r w:rsidR="00FF6E43">
        <w:rPr>
          <w:color w:val="000000"/>
        </w:rPr>
        <w:t>s</w:t>
      </w:r>
      <w:r w:rsidR="00A92BBA">
        <w:rPr>
          <w:color w:val="000000"/>
        </w:rPr>
        <w:t xml:space="preserve"> that </w:t>
      </w:r>
      <w:r w:rsidR="00CE0501" w:rsidRPr="00CE0501">
        <w:rPr>
          <w:color w:val="000000"/>
        </w:rPr>
        <w:t>the company had committed an act of</w:t>
      </w:r>
      <w:r w:rsidR="00CE0501">
        <w:rPr>
          <w:color w:val="000000"/>
        </w:rPr>
        <w:t xml:space="preserve"> </w:t>
      </w:r>
      <w:r w:rsidR="00CE0501" w:rsidRPr="00CE0501">
        <w:rPr>
          <w:color w:val="000000"/>
        </w:rPr>
        <w:t>insolvency, was unable to pay its debts, and falls to be wound up.</w:t>
      </w:r>
      <w:r w:rsidR="00CE0501">
        <w:rPr>
          <w:color w:val="000000"/>
        </w:rPr>
        <w:t xml:space="preserve"> </w:t>
      </w:r>
      <w:r w:rsidR="00A92BBA">
        <w:rPr>
          <w:color w:val="000000"/>
        </w:rPr>
        <w:t>This, as already indicated, is countered by Mr Moodley on the basis that Adzam had a</w:t>
      </w:r>
      <w:r w:rsidR="00CE0501" w:rsidRPr="00CE0501">
        <w:rPr>
          <w:color w:val="000000"/>
        </w:rPr>
        <w:t xml:space="preserve">pplied for and received </w:t>
      </w:r>
      <w:r w:rsidR="00A92BBA">
        <w:rPr>
          <w:color w:val="000000"/>
        </w:rPr>
        <w:t xml:space="preserve">from Standard Bank </w:t>
      </w:r>
      <w:r w:rsidR="00CE0501" w:rsidRPr="00CE0501">
        <w:rPr>
          <w:color w:val="000000"/>
        </w:rPr>
        <w:t>Covid</w:t>
      </w:r>
      <w:r w:rsidR="00CE0501">
        <w:rPr>
          <w:color w:val="000000"/>
        </w:rPr>
        <w:t>-19</w:t>
      </w:r>
      <w:r w:rsidR="00CE0501" w:rsidRPr="00CE0501">
        <w:rPr>
          <w:color w:val="000000"/>
        </w:rPr>
        <w:t xml:space="preserve"> relief for the six-month period in question</w:t>
      </w:r>
      <w:r w:rsidR="00A92BBA">
        <w:rPr>
          <w:color w:val="000000"/>
        </w:rPr>
        <w:t>. A</w:t>
      </w:r>
      <w:r w:rsidR="00CE0501" w:rsidRPr="00CE0501">
        <w:rPr>
          <w:color w:val="000000"/>
        </w:rPr>
        <w:t>ccordingly,</w:t>
      </w:r>
      <w:r w:rsidR="00A92BBA">
        <w:rPr>
          <w:color w:val="000000"/>
        </w:rPr>
        <w:t xml:space="preserve"> so Mr Moodley’s argument continued, the company </w:t>
      </w:r>
      <w:r w:rsidR="00CE0501" w:rsidRPr="00CE0501">
        <w:rPr>
          <w:color w:val="000000"/>
        </w:rPr>
        <w:t>was not in</w:t>
      </w:r>
      <w:r w:rsidR="00A92BBA">
        <w:rPr>
          <w:color w:val="000000"/>
        </w:rPr>
        <w:t xml:space="preserve"> arrears in the amount of R671 </w:t>
      </w:r>
      <w:r w:rsidR="00CE0501" w:rsidRPr="00CE0501">
        <w:rPr>
          <w:color w:val="000000"/>
        </w:rPr>
        <w:t>360.94</w:t>
      </w:r>
      <w:r w:rsidR="00A92BBA">
        <w:rPr>
          <w:color w:val="000000"/>
        </w:rPr>
        <w:t>.</w:t>
      </w:r>
      <w:r w:rsidR="00425DA7">
        <w:rPr>
          <w:color w:val="000000"/>
        </w:rPr>
        <w:t xml:space="preserve"> </w:t>
      </w:r>
      <w:r w:rsidR="00CE0501" w:rsidRPr="00425DA7">
        <w:rPr>
          <w:color w:val="000000"/>
        </w:rPr>
        <w:t xml:space="preserve">The Covid relief </w:t>
      </w:r>
      <w:r w:rsidR="00CE0501" w:rsidRPr="00425DA7">
        <w:rPr>
          <w:color w:val="000000"/>
        </w:rPr>
        <w:lastRenderedPageBreak/>
        <w:t xml:space="preserve">period is the only period </w:t>
      </w:r>
      <w:r w:rsidR="00425DA7">
        <w:rPr>
          <w:color w:val="000000"/>
        </w:rPr>
        <w:t xml:space="preserve">during </w:t>
      </w:r>
      <w:r w:rsidR="00CE0501" w:rsidRPr="00425DA7">
        <w:rPr>
          <w:color w:val="000000"/>
        </w:rPr>
        <w:t>which the company did no</w:t>
      </w:r>
      <w:r w:rsidR="00765AC2" w:rsidRPr="00425DA7">
        <w:rPr>
          <w:color w:val="000000"/>
        </w:rPr>
        <w:t xml:space="preserve">t </w:t>
      </w:r>
      <w:r w:rsidR="00425DA7">
        <w:rPr>
          <w:color w:val="000000"/>
        </w:rPr>
        <w:t>pay the full instalment of R111 </w:t>
      </w:r>
      <w:r w:rsidR="00CE0501" w:rsidRPr="00425DA7">
        <w:rPr>
          <w:color w:val="000000"/>
        </w:rPr>
        <w:t xml:space="preserve">893.49 per month. </w:t>
      </w:r>
      <w:r w:rsidR="00B17041">
        <w:rPr>
          <w:color w:val="000000"/>
        </w:rPr>
        <w:t>I</w:t>
      </w:r>
      <w:r w:rsidR="00CE0501" w:rsidRPr="00B17041">
        <w:rPr>
          <w:color w:val="000000"/>
        </w:rPr>
        <w:t>t made payment of the debt in the normal course, until such time as the debt was settled early and in full.</w:t>
      </w:r>
      <w:r w:rsidR="00364135">
        <w:rPr>
          <w:color w:val="000000"/>
        </w:rPr>
        <w:t xml:space="preserve"> </w:t>
      </w:r>
      <w:r w:rsidR="00B17041" w:rsidRPr="00364135">
        <w:rPr>
          <w:color w:val="000000"/>
        </w:rPr>
        <w:t xml:space="preserve">Accordingly, so it was submitted by Mr Zimmerman, who appeared on behalf of Mr Moodley, </w:t>
      </w:r>
      <w:r w:rsidR="00CE0501" w:rsidRPr="00364135">
        <w:rPr>
          <w:color w:val="000000"/>
        </w:rPr>
        <w:t xml:space="preserve">there </w:t>
      </w:r>
      <w:r w:rsidR="00B17041" w:rsidRPr="00364135">
        <w:rPr>
          <w:color w:val="000000"/>
        </w:rPr>
        <w:t>was</w:t>
      </w:r>
      <w:r w:rsidR="00CE0501" w:rsidRPr="00364135">
        <w:rPr>
          <w:color w:val="000000"/>
        </w:rPr>
        <w:t xml:space="preserve"> a </w:t>
      </w:r>
      <w:r w:rsidR="00CE0501" w:rsidRPr="00364135">
        <w:rPr>
          <w:i/>
          <w:color w:val="000000"/>
        </w:rPr>
        <w:t>bona fide</w:t>
      </w:r>
      <w:r w:rsidR="00CE0501" w:rsidRPr="00364135">
        <w:rPr>
          <w:color w:val="000000"/>
        </w:rPr>
        <w:t xml:space="preserve"> dispute as to whether there </w:t>
      </w:r>
      <w:r w:rsidR="00765AC2" w:rsidRPr="00364135">
        <w:rPr>
          <w:color w:val="000000"/>
        </w:rPr>
        <w:t>were</w:t>
      </w:r>
      <w:r w:rsidR="00CE0501" w:rsidRPr="00364135">
        <w:rPr>
          <w:color w:val="000000"/>
        </w:rPr>
        <w:t xml:space="preserve"> arrears at the time of the winding up application.</w:t>
      </w:r>
    </w:p>
    <w:p w14:paraId="42063752" w14:textId="7555FF59" w:rsidR="007777F4" w:rsidRPr="00364135" w:rsidRDefault="00435B66" w:rsidP="00435B66">
      <w:pPr>
        <w:spacing w:after="120" w:line="360" w:lineRule="auto"/>
        <w:jc w:val="both"/>
        <w:outlineLvl w:val="0"/>
        <w:rPr>
          <w:color w:val="000000"/>
        </w:rPr>
      </w:pPr>
      <w:r w:rsidRPr="00364135">
        <w:rPr>
          <w:color w:val="000000"/>
        </w:rPr>
        <w:t>[12].</w:t>
      </w:r>
      <w:r w:rsidRPr="00364135">
        <w:rPr>
          <w:color w:val="000000"/>
        </w:rPr>
        <w:tab/>
      </w:r>
      <w:r w:rsidR="00CE0501" w:rsidRPr="00CE0501">
        <w:rPr>
          <w:color w:val="000000"/>
        </w:rPr>
        <w:t xml:space="preserve">Whilst this dispute of fact </w:t>
      </w:r>
      <w:r w:rsidR="00B17041">
        <w:rPr>
          <w:color w:val="000000"/>
        </w:rPr>
        <w:t>was</w:t>
      </w:r>
      <w:r w:rsidR="00CE0501" w:rsidRPr="00CE0501">
        <w:rPr>
          <w:color w:val="000000"/>
        </w:rPr>
        <w:t xml:space="preserve"> still in existence, </w:t>
      </w:r>
      <w:r w:rsidR="00B17041">
        <w:rPr>
          <w:color w:val="000000"/>
        </w:rPr>
        <w:t>Mr Moodley, on advice from his legal representatives, elected</w:t>
      </w:r>
      <w:r w:rsidR="00CE0501" w:rsidRPr="00CE0501">
        <w:rPr>
          <w:color w:val="000000"/>
        </w:rPr>
        <w:t xml:space="preserve"> to put an end to the debate once and for all, by paying </w:t>
      </w:r>
      <w:r w:rsidR="000473F9">
        <w:rPr>
          <w:color w:val="000000"/>
        </w:rPr>
        <w:t xml:space="preserve">up </w:t>
      </w:r>
      <w:r w:rsidR="00B17041">
        <w:rPr>
          <w:color w:val="000000"/>
        </w:rPr>
        <w:t xml:space="preserve">during April 2021 </w:t>
      </w:r>
      <w:r w:rsidR="000473F9">
        <w:rPr>
          <w:color w:val="000000"/>
        </w:rPr>
        <w:t>the alleged arrears of R671 </w:t>
      </w:r>
      <w:r w:rsidR="00CE0501" w:rsidRPr="00CE0501">
        <w:rPr>
          <w:color w:val="000000"/>
        </w:rPr>
        <w:t>360.94, so as to ensure that the winding up application is then withdrawn, and the fight with Standard Bank on this issue is brought to an end.</w:t>
      </w:r>
      <w:r w:rsidR="00364135">
        <w:rPr>
          <w:color w:val="000000"/>
        </w:rPr>
        <w:t xml:space="preserve"> </w:t>
      </w:r>
      <w:r w:rsidR="00B17041" w:rsidRPr="00364135">
        <w:rPr>
          <w:color w:val="000000"/>
        </w:rPr>
        <w:t>This still did not satisfy Standard Bank, which for some reason, had adopted a rather uncompromising approach to Mr Moodley and to Adzam. Mr</w:t>
      </w:r>
      <w:r w:rsidR="00FF6E43" w:rsidRPr="00364135">
        <w:rPr>
          <w:color w:val="000000"/>
        </w:rPr>
        <w:t> </w:t>
      </w:r>
      <w:r w:rsidR="00B17041" w:rsidRPr="00364135">
        <w:rPr>
          <w:color w:val="000000"/>
        </w:rPr>
        <w:t xml:space="preserve">Moodley thereupon, and as alluded to above, </w:t>
      </w:r>
      <w:r w:rsidR="00CE0501" w:rsidRPr="00364135">
        <w:rPr>
          <w:color w:val="000000"/>
        </w:rPr>
        <w:t>settled</w:t>
      </w:r>
      <w:r w:rsidR="00B17041" w:rsidRPr="00364135">
        <w:rPr>
          <w:color w:val="000000"/>
        </w:rPr>
        <w:t xml:space="preserve"> the debt</w:t>
      </w:r>
      <w:r w:rsidR="00364135">
        <w:rPr>
          <w:color w:val="000000"/>
        </w:rPr>
        <w:t xml:space="preserve"> in full on 23 July 2021</w:t>
      </w:r>
      <w:r w:rsidR="00B17041" w:rsidRPr="00364135">
        <w:rPr>
          <w:color w:val="000000"/>
        </w:rPr>
        <w:t>.</w:t>
      </w:r>
      <w:r w:rsidR="007777F4" w:rsidRPr="00364135">
        <w:rPr>
          <w:color w:val="000000"/>
        </w:rPr>
        <w:t xml:space="preserve"> If nothing else, this, as submitted by Mr</w:t>
      </w:r>
      <w:r w:rsidR="00364135">
        <w:rPr>
          <w:color w:val="000000"/>
        </w:rPr>
        <w:t> </w:t>
      </w:r>
      <w:r w:rsidR="007777F4" w:rsidRPr="00364135">
        <w:rPr>
          <w:color w:val="000000"/>
        </w:rPr>
        <w:t xml:space="preserve">Moodley, put paid once and for all </w:t>
      </w:r>
      <w:r w:rsidR="00FF6E43" w:rsidRPr="00364135">
        <w:rPr>
          <w:color w:val="000000"/>
        </w:rPr>
        <w:t xml:space="preserve">to </w:t>
      </w:r>
      <w:r w:rsidR="00CE0501" w:rsidRPr="00364135">
        <w:rPr>
          <w:color w:val="000000"/>
        </w:rPr>
        <w:t xml:space="preserve">the allegation </w:t>
      </w:r>
      <w:r w:rsidR="00FF6E43" w:rsidRPr="00364135">
        <w:rPr>
          <w:color w:val="000000"/>
        </w:rPr>
        <w:t>that</w:t>
      </w:r>
      <w:r w:rsidR="007777F4" w:rsidRPr="00364135">
        <w:rPr>
          <w:color w:val="000000"/>
        </w:rPr>
        <w:t xml:space="preserve"> Adzam was unable </w:t>
      </w:r>
      <w:r w:rsidR="00CE0501" w:rsidRPr="00364135">
        <w:rPr>
          <w:color w:val="000000"/>
        </w:rPr>
        <w:t xml:space="preserve">to pay </w:t>
      </w:r>
      <w:r w:rsidR="007777F4" w:rsidRPr="00364135">
        <w:rPr>
          <w:color w:val="000000"/>
        </w:rPr>
        <w:t>its debts.</w:t>
      </w:r>
    </w:p>
    <w:p w14:paraId="03852E4B" w14:textId="0AFF0B02" w:rsidR="007777F4" w:rsidRDefault="00435B66" w:rsidP="00435B66">
      <w:pPr>
        <w:spacing w:after="120" w:line="360" w:lineRule="auto"/>
        <w:jc w:val="both"/>
        <w:outlineLvl w:val="0"/>
        <w:rPr>
          <w:color w:val="000000"/>
        </w:rPr>
      </w:pPr>
      <w:r>
        <w:rPr>
          <w:color w:val="000000"/>
        </w:rPr>
        <w:t>[13].</w:t>
      </w:r>
      <w:r>
        <w:rPr>
          <w:color w:val="000000"/>
        </w:rPr>
        <w:tab/>
      </w:r>
      <w:r w:rsidR="007777F4">
        <w:rPr>
          <w:color w:val="000000"/>
        </w:rPr>
        <w:t xml:space="preserve">In sum, Standard Bank contends that they should be awarded the costs as they </w:t>
      </w:r>
      <w:r w:rsidR="00CE0501" w:rsidRPr="00CE0501">
        <w:rPr>
          <w:color w:val="000000"/>
        </w:rPr>
        <w:t xml:space="preserve">were successful </w:t>
      </w:r>
      <w:r w:rsidR="007777F4">
        <w:rPr>
          <w:color w:val="000000"/>
        </w:rPr>
        <w:t xml:space="preserve">in that </w:t>
      </w:r>
      <w:r w:rsidR="00CE0501" w:rsidRPr="00CE0501">
        <w:rPr>
          <w:color w:val="000000"/>
        </w:rPr>
        <w:t>they rece</w:t>
      </w:r>
      <w:r w:rsidR="007777F4">
        <w:rPr>
          <w:color w:val="000000"/>
        </w:rPr>
        <w:t xml:space="preserve">ived payment of the loan amount. This also indicates, so Standard Bank argues, that they would have been successful with their application for the winding-up of Adzam. Not so, argued Mr Moodley, Adzam’s debt and whether it was payable at the relevant time, were </w:t>
      </w:r>
      <w:r w:rsidR="007777F4" w:rsidRPr="00754808">
        <w:rPr>
          <w:i/>
          <w:color w:val="000000"/>
        </w:rPr>
        <w:t>bona fide</w:t>
      </w:r>
      <w:r w:rsidR="007777F4">
        <w:rPr>
          <w:color w:val="000000"/>
        </w:rPr>
        <w:t xml:space="preserve"> and reasonably disputed by them and therefore the winding-up application was doomed.</w:t>
      </w:r>
      <w:r w:rsidR="00754808">
        <w:rPr>
          <w:color w:val="000000"/>
        </w:rPr>
        <w:t xml:space="preserve"> He would therefore, so Mr Moodley contends, have been successful in opposing the application for the liquidation of Adzam. On this basis alone, he</w:t>
      </w:r>
      <w:r w:rsidR="00FF6E43">
        <w:rPr>
          <w:color w:val="000000"/>
        </w:rPr>
        <w:t xml:space="preserve"> submits that</w:t>
      </w:r>
      <w:r w:rsidR="00754808">
        <w:rPr>
          <w:color w:val="000000"/>
        </w:rPr>
        <w:t xml:space="preserve"> Standard Bank should pay the costs as between him and them.</w:t>
      </w:r>
    </w:p>
    <w:p w14:paraId="274D9D22" w14:textId="4A53C6D1" w:rsidR="007D25D5" w:rsidRDefault="00435B66" w:rsidP="00435B66">
      <w:pPr>
        <w:spacing w:after="120" w:line="360" w:lineRule="auto"/>
        <w:jc w:val="both"/>
        <w:outlineLvl w:val="0"/>
        <w:rPr>
          <w:color w:val="000000"/>
          <w:lang w:val="en-ZA"/>
        </w:rPr>
      </w:pPr>
      <w:r>
        <w:rPr>
          <w:color w:val="000000"/>
          <w:lang w:val="en-ZA"/>
        </w:rPr>
        <w:t>[14].</w:t>
      </w:r>
      <w:r>
        <w:rPr>
          <w:color w:val="000000"/>
          <w:lang w:val="en-ZA"/>
        </w:rPr>
        <w:tab/>
      </w:r>
      <w:r w:rsidR="007D25D5">
        <w:rPr>
          <w:color w:val="000000"/>
          <w:lang w:val="en-ZA"/>
        </w:rPr>
        <w:t xml:space="preserve">It is trite that liquidation may not be used to enforce payment of disputed debts. It is not suitable to resolve complex factual disputes. See </w:t>
      </w:r>
      <w:r w:rsidR="007D25D5">
        <w:rPr>
          <w:i/>
          <w:iCs/>
          <w:color w:val="000000"/>
          <w:lang w:val="en-ZA"/>
        </w:rPr>
        <w:t xml:space="preserve">Trinity </w:t>
      </w:r>
      <w:r w:rsidR="007D25D5">
        <w:rPr>
          <w:i/>
          <w:color w:val="000000"/>
          <w:lang w:val="en-ZA"/>
        </w:rPr>
        <w:t xml:space="preserve">Asset </w:t>
      </w:r>
      <w:r w:rsidR="007D25D5">
        <w:rPr>
          <w:i/>
          <w:iCs/>
          <w:color w:val="000000"/>
          <w:lang w:val="en-ZA"/>
        </w:rPr>
        <w:t>Management (Pty) Ltd v Grindstone Investments (Pty) Ltd</w:t>
      </w:r>
      <w:r w:rsidR="007D25D5">
        <w:rPr>
          <w:rStyle w:val="FootnoteReference"/>
          <w:i/>
          <w:iCs/>
          <w:color w:val="000000"/>
          <w:lang w:val="en-ZA"/>
        </w:rPr>
        <w:footnoteReference w:id="2"/>
      </w:r>
      <w:r w:rsidR="007D25D5">
        <w:rPr>
          <w:color w:val="000000"/>
          <w:lang w:val="en-ZA"/>
        </w:rPr>
        <w:t xml:space="preserve"> and </w:t>
      </w:r>
      <w:r w:rsidR="007D25D5">
        <w:rPr>
          <w:i/>
          <w:iCs/>
          <w:color w:val="000000"/>
          <w:lang w:val="en-ZA"/>
        </w:rPr>
        <w:t xml:space="preserve">Badenhorst v </w:t>
      </w:r>
      <w:r w:rsidR="007D25D5">
        <w:rPr>
          <w:i/>
          <w:iCs/>
          <w:color w:val="000000"/>
          <w:lang w:val="en-ZA"/>
        </w:rPr>
        <w:lastRenderedPageBreak/>
        <w:t>Northern Construction Enterprises (Pty) Ltd</w:t>
      </w:r>
      <w:r w:rsidR="007D25D5">
        <w:rPr>
          <w:rStyle w:val="FootnoteReference"/>
          <w:i/>
          <w:iCs/>
          <w:color w:val="000000"/>
          <w:lang w:val="en-ZA"/>
        </w:rPr>
        <w:footnoteReference w:id="3"/>
      </w:r>
      <w:r w:rsidR="007D25D5">
        <w:rPr>
          <w:color w:val="000000"/>
          <w:lang w:val="en-ZA"/>
        </w:rPr>
        <w:t xml:space="preserve">. Probabilities may not be the basis for factual findings unless the court is satisfied that there is no real and genuine factual dispute. Where the court finds that there is a real and genuine factual dispute incapable of resolution on papers, it can only dismiss the application if it finds that the applicant should have realized when launching the application that there was a factual dispute. See </w:t>
      </w:r>
      <w:r w:rsidR="007D25D5">
        <w:rPr>
          <w:i/>
          <w:iCs/>
          <w:color w:val="000000"/>
          <w:lang w:val="en-ZA"/>
        </w:rPr>
        <w:t>Adbro Investment Company Ltd v Minister of Interior</w:t>
      </w:r>
      <w:r w:rsidR="007D25D5">
        <w:rPr>
          <w:rStyle w:val="FootnoteReference"/>
          <w:i/>
          <w:iCs/>
          <w:color w:val="000000"/>
          <w:lang w:val="en-ZA"/>
        </w:rPr>
        <w:footnoteReference w:id="4"/>
      </w:r>
      <w:r w:rsidR="007D25D5">
        <w:rPr>
          <w:color w:val="000000"/>
          <w:lang w:val="en-ZA"/>
        </w:rPr>
        <w:t>.</w:t>
      </w:r>
    </w:p>
    <w:p w14:paraId="6791E96E" w14:textId="38C3CB1C" w:rsidR="007D25D5" w:rsidRPr="00754808" w:rsidRDefault="00435B66" w:rsidP="00435B66">
      <w:pPr>
        <w:spacing w:after="120" w:line="360" w:lineRule="auto"/>
        <w:jc w:val="both"/>
        <w:outlineLvl w:val="0"/>
        <w:rPr>
          <w:color w:val="000000"/>
          <w:lang w:val="en-ZA"/>
        </w:rPr>
      </w:pPr>
      <w:r w:rsidRPr="00754808">
        <w:rPr>
          <w:color w:val="000000"/>
          <w:lang w:val="en-ZA"/>
        </w:rPr>
        <w:t>[15].</w:t>
      </w:r>
      <w:r w:rsidRPr="00754808">
        <w:rPr>
          <w:color w:val="000000"/>
          <w:lang w:val="en-ZA"/>
        </w:rPr>
        <w:tab/>
      </w:r>
      <w:r w:rsidR="00754808">
        <w:rPr>
          <w:i/>
          <w:color w:val="000000"/>
          <w:lang w:val="en-ZA"/>
        </w:rPr>
        <w:t>I</w:t>
      </w:r>
      <w:r w:rsidR="007D25D5">
        <w:rPr>
          <w:i/>
          <w:color w:val="000000"/>
          <w:lang w:val="en-ZA"/>
        </w:rPr>
        <w:t>n casu</w:t>
      </w:r>
      <w:r w:rsidR="007D25D5">
        <w:rPr>
          <w:color w:val="000000"/>
          <w:lang w:val="en-ZA"/>
        </w:rPr>
        <w:t xml:space="preserve"> there </w:t>
      </w:r>
      <w:r w:rsidR="00754808">
        <w:rPr>
          <w:color w:val="000000"/>
          <w:lang w:val="en-ZA"/>
        </w:rPr>
        <w:t xml:space="preserve">was, in my view, </w:t>
      </w:r>
      <w:r w:rsidR="007D25D5" w:rsidRPr="00754808">
        <w:rPr>
          <w:color w:val="000000"/>
          <w:lang w:val="en-ZA"/>
        </w:rPr>
        <w:t xml:space="preserve">a genuine defence which </w:t>
      </w:r>
      <w:r w:rsidR="00754808">
        <w:rPr>
          <w:color w:val="000000"/>
          <w:lang w:val="en-ZA"/>
        </w:rPr>
        <w:t>Mr Moodley</w:t>
      </w:r>
      <w:r w:rsidR="007D25D5" w:rsidRPr="00754808">
        <w:rPr>
          <w:color w:val="000000"/>
          <w:lang w:val="en-ZA"/>
        </w:rPr>
        <w:t xml:space="preserve"> could and did in fact raise</w:t>
      </w:r>
      <w:r w:rsidR="00754808">
        <w:rPr>
          <w:color w:val="000000"/>
          <w:lang w:val="en-ZA"/>
        </w:rPr>
        <w:t xml:space="preserve"> on behalf of Adzam</w:t>
      </w:r>
      <w:r w:rsidR="007D25D5" w:rsidRPr="00754808">
        <w:rPr>
          <w:color w:val="000000"/>
          <w:lang w:val="en-ZA"/>
        </w:rPr>
        <w:t xml:space="preserve"> in response to </w:t>
      </w:r>
      <w:r w:rsidR="00754808">
        <w:rPr>
          <w:color w:val="000000"/>
          <w:lang w:val="en-ZA"/>
        </w:rPr>
        <w:t xml:space="preserve">Standard Bank’s </w:t>
      </w:r>
      <w:r w:rsidR="007D25D5" w:rsidRPr="00754808">
        <w:rPr>
          <w:color w:val="000000"/>
          <w:lang w:val="en-ZA"/>
        </w:rPr>
        <w:t>claim</w:t>
      </w:r>
      <w:r w:rsidR="00754808">
        <w:rPr>
          <w:color w:val="000000"/>
          <w:lang w:val="en-ZA"/>
        </w:rPr>
        <w:t xml:space="preserve">. At the very least, it cannot possibly be suggested that </w:t>
      </w:r>
      <w:r w:rsidR="007D25D5" w:rsidRPr="00754808">
        <w:rPr>
          <w:lang w:val="en-ZA"/>
        </w:rPr>
        <w:t xml:space="preserve">the alleged debt owed to </w:t>
      </w:r>
      <w:r w:rsidR="00754808">
        <w:rPr>
          <w:lang w:val="en-ZA"/>
        </w:rPr>
        <w:t>Standard Bank</w:t>
      </w:r>
      <w:r w:rsidR="007D25D5" w:rsidRPr="00754808">
        <w:rPr>
          <w:lang w:val="en-ZA"/>
        </w:rPr>
        <w:t xml:space="preserve"> by </w:t>
      </w:r>
      <w:r w:rsidR="00754808">
        <w:rPr>
          <w:lang w:val="en-ZA"/>
        </w:rPr>
        <w:t>Adzam and whether same was due</w:t>
      </w:r>
      <w:r w:rsidR="007D25D5" w:rsidRPr="00754808">
        <w:rPr>
          <w:lang w:val="en-ZA"/>
        </w:rPr>
        <w:t xml:space="preserve">, </w:t>
      </w:r>
      <w:r w:rsidR="00D520DB">
        <w:rPr>
          <w:lang w:val="en-ZA"/>
        </w:rPr>
        <w:t>were</w:t>
      </w:r>
      <w:r w:rsidR="00754808">
        <w:rPr>
          <w:lang w:val="en-ZA"/>
        </w:rPr>
        <w:t xml:space="preserve"> not</w:t>
      </w:r>
      <w:r w:rsidR="007D25D5" w:rsidRPr="00754808">
        <w:rPr>
          <w:lang w:val="en-ZA"/>
        </w:rPr>
        <w:t xml:space="preserve"> </w:t>
      </w:r>
      <w:r w:rsidR="007D25D5" w:rsidRPr="00754808">
        <w:rPr>
          <w:i/>
          <w:lang w:val="en-ZA"/>
        </w:rPr>
        <w:t>bona fide</w:t>
      </w:r>
      <w:r w:rsidR="007D25D5" w:rsidRPr="00754808">
        <w:rPr>
          <w:lang w:val="en-ZA"/>
        </w:rPr>
        <w:t xml:space="preserve"> disputed on reasonable grounds.</w:t>
      </w:r>
    </w:p>
    <w:p w14:paraId="63B5171F" w14:textId="6F876893" w:rsidR="007D25D5" w:rsidRDefault="00435B66" w:rsidP="00435B66">
      <w:pPr>
        <w:spacing w:line="360" w:lineRule="auto"/>
        <w:jc w:val="both"/>
        <w:outlineLvl w:val="0"/>
        <w:rPr>
          <w:lang w:val="en-ZA"/>
        </w:rPr>
      </w:pPr>
      <w:r>
        <w:rPr>
          <w:lang w:val="en-ZA"/>
        </w:rPr>
        <w:t>[16].</w:t>
      </w:r>
      <w:r>
        <w:rPr>
          <w:lang w:val="en-ZA"/>
        </w:rPr>
        <w:tab/>
      </w:r>
      <w:r w:rsidR="007D25D5">
        <w:rPr>
          <w:lang w:val="en-ZA"/>
        </w:rPr>
        <w:t xml:space="preserve">In </w:t>
      </w:r>
      <w:r w:rsidR="007D25D5">
        <w:rPr>
          <w:i/>
          <w:lang w:val="en-ZA"/>
        </w:rPr>
        <w:t>Orestisolve (Pty) Ltd t/a Essa Investments v NDFT Investment Holdings (Pty) Ltd and Another</w:t>
      </w:r>
      <w:r w:rsidR="007D25D5">
        <w:rPr>
          <w:rStyle w:val="FootnoteReference"/>
          <w:i/>
          <w:lang w:val="en-ZA"/>
        </w:rPr>
        <w:footnoteReference w:id="5"/>
      </w:r>
      <w:r w:rsidR="007D25D5">
        <w:rPr>
          <w:lang w:val="en-ZA"/>
        </w:rPr>
        <w:t>, Rogers J said the following:</w:t>
      </w:r>
    </w:p>
    <w:p w14:paraId="3544EB43" w14:textId="77777777" w:rsidR="007D25D5" w:rsidRDefault="007D25D5" w:rsidP="007D25D5">
      <w:pPr>
        <w:spacing w:line="360" w:lineRule="auto"/>
        <w:jc w:val="both"/>
        <w:outlineLvl w:val="0"/>
        <w:rPr>
          <w:sz w:val="22"/>
          <w:szCs w:val="22"/>
          <w:lang w:val="en-ZA"/>
        </w:rPr>
      </w:pPr>
      <w:r>
        <w:rPr>
          <w:sz w:val="22"/>
          <w:szCs w:val="22"/>
          <w:lang w:val="en-ZA"/>
        </w:rPr>
        <w:t>‘[7]</w:t>
      </w:r>
      <w:r>
        <w:rPr>
          <w:sz w:val="22"/>
          <w:szCs w:val="22"/>
          <w:lang w:val="en-ZA"/>
        </w:rPr>
        <w:tab/>
        <w:t xml:space="preserve">In an opposed application for provisional liquidation the applicant must establish its entitlement to an order on a </w:t>
      </w:r>
      <w:r>
        <w:rPr>
          <w:i/>
          <w:sz w:val="22"/>
          <w:szCs w:val="22"/>
          <w:lang w:val="en-ZA"/>
        </w:rPr>
        <w:t>prima facie</w:t>
      </w:r>
      <w:r>
        <w:rPr>
          <w:sz w:val="22"/>
          <w:szCs w:val="22"/>
          <w:lang w:val="en-ZA"/>
        </w:rPr>
        <w:t xml:space="preserve"> basis, meaning that the applicant must show that the balance of probabilities on the affidavits is in its favour (</w:t>
      </w:r>
      <w:r>
        <w:rPr>
          <w:i/>
          <w:sz w:val="22"/>
          <w:szCs w:val="22"/>
          <w:lang w:val="en-ZA"/>
        </w:rPr>
        <w:t>Kalil v Decotex (Pty) Ltd and Another</w:t>
      </w:r>
      <w:r>
        <w:rPr>
          <w:sz w:val="22"/>
          <w:szCs w:val="22"/>
          <w:lang w:val="en-ZA"/>
        </w:rPr>
        <w:t xml:space="preserve"> 1988 (1) SA 943 (A) at 975J – 979F). This would include the existence of the applicant's claim where such is disputed. (I need not concern myself with the circumstances in which oral evidence will be permitted where the applicant cannot establish a </w:t>
      </w:r>
      <w:r>
        <w:rPr>
          <w:i/>
          <w:sz w:val="22"/>
          <w:szCs w:val="22"/>
          <w:lang w:val="en-ZA"/>
        </w:rPr>
        <w:t>prima facie</w:t>
      </w:r>
      <w:r>
        <w:rPr>
          <w:sz w:val="22"/>
          <w:szCs w:val="22"/>
          <w:lang w:val="en-ZA"/>
        </w:rPr>
        <w:t xml:space="preserve"> case.)</w:t>
      </w:r>
    </w:p>
    <w:p w14:paraId="30022B81" w14:textId="77777777" w:rsidR="007D25D5" w:rsidRDefault="007D25D5" w:rsidP="007D25D5">
      <w:pPr>
        <w:spacing w:line="360" w:lineRule="auto"/>
        <w:jc w:val="both"/>
        <w:outlineLvl w:val="0"/>
        <w:rPr>
          <w:sz w:val="22"/>
          <w:szCs w:val="22"/>
          <w:lang w:val="en-ZA"/>
        </w:rPr>
      </w:pPr>
      <w:r>
        <w:rPr>
          <w:sz w:val="22"/>
          <w:szCs w:val="22"/>
          <w:lang w:val="en-ZA"/>
        </w:rPr>
        <w:t xml:space="preserve">[8] </w:t>
      </w:r>
      <w:r>
        <w:rPr>
          <w:sz w:val="22"/>
          <w:szCs w:val="22"/>
          <w:lang w:val="en-ZA"/>
        </w:rPr>
        <w:tab/>
        <w:t xml:space="preserve">Even if the applicant establishes its claim on a </w:t>
      </w:r>
      <w:r>
        <w:rPr>
          <w:i/>
          <w:sz w:val="22"/>
          <w:szCs w:val="22"/>
          <w:lang w:val="en-ZA"/>
        </w:rPr>
        <w:t>prima facie</w:t>
      </w:r>
      <w:r>
        <w:rPr>
          <w:sz w:val="22"/>
          <w:szCs w:val="22"/>
          <w:lang w:val="en-ZA"/>
        </w:rPr>
        <w:t xml:space="preserve"> basis, a court will ordinarily refuse the application if the claim is </w:t>
      </w:r>
      <w:r>
        <w:rPr>
          <w:i/>
          <w:sz w:val="22"/>
          <w:szCs w:val="22"/>
          <w:lang w:val="en-ZA"/>
        </w:rPr>
        <w:t>bona fide</w:t>
      </w:r>
      <w:r>
        <w:rPr>
          <w:sz w:val="22"/>
          <w:szCs w:val="22"/>
          <w:lang w:val="en-ZA"/>
        </w:rPr>
        <w:t xml:space="preserve"> disputed on reasonable grounds. The rule that winding-up proceedings should not be resorted to as a means of enforcing payment of a debt, the existence of which is </w:t>
      </w:r>
      <w:r>
        <w:rPr>
          <w:i/>
          <w:sz w:val="22"/>
          <w:szCs w:val="22"/>
          <w:lang w:val="en-ZA"/>
        </w:rPr>
        <w:t>bona fide</w:t>
      </w:r>
      <w:r>
        <w:rPr>
          <w:sz w:val="22"/>
          <w:szCs w:val="22"/>
          <w:lang w:val="en-ZA"/>
        </w:rPr>
        <w:t xml:space="preserve"> disputed on reasonable grounds, is part of the broader principle that the court's processes should not be abused. In the context of liquidation proceedings, the rule is generally known as the </w:t>
      </w:r>
      <w:r>
        <w:rPr>
          <w:i/>
          <w:sz w:val="22"/>
          <w:szCs w:val="22"/>
          <w:lang w:val="en-ZA"/>
        </w:rPr>
        <w:t>Badenhorst</w:t>
      </w:r>
      <w:r>
        <w:rPr>
          <w:sz w:val="22"/>
          <w:szCs w:val="22"/>
          <w:lang w:val="en-ZA"/>
        </w:rPr>
        <w:t xml:space="preserve"> rule, from the leading eponymous case on the subject, </w:t>
      </w:r>
      <w:r>
        <w:rPr>
          <w:i/>
          <w:sz w:val="22"/>
          <w:szCs w:val="22"/>
          <w:lang w:val="en-ZA"/>
        </w:rPr>
        <w:t>Badenhorst v Northern Construction Enterprises (Pty) Ltd</w:t>
      </w:r>
      <w:r>
        <w:rPr>
          <w:sz w:val="22"/>
          <w:szCs w:val="22"/>
          <w:lang w:val="en-ZA"/>
        </w:rPr>
        <w:t xml:space="preserve"> 1956 (2) SA 346 (T) at 347H – 348C, and is generally now treated </w:t>
      </w:r>
      <w:r>
        <w:rPr>
          <w:sz w:val="22"/>
          <w:szCs w:val="22"/>
          <w:lang w:val="en-ZA"/>
        </w:rPr>
        <w:lastRenderedPageBreak/>
        <w:t>as an independent rule, not dependent on proof of actual abuse of process (</w:t>
      </w:r>
      <w:r>
        <w:rPr>
          <w:i/>
          <w:sz w:val="22"/>
          <w:szCs w:val="22"/>
          <w:lang w:val="en-ZA"/>
        </w:rPr>
        <w:t>Blackman et al Commentary on the Companies Act</w:t>
      </w:r>
      <w:r>
        <w:rPr>
          <w:sz w:val="22"/>
          <w:szCs w:val="22"/>
          <w:lang w:val="en-ZA"/>
        </w:rPr>
        <w:t xml:space="preserve">, Vol 3 at 14 – 82 to 14 – 83). A distinction must thus be drawn between factual disputes relating to the respondent's liability to the applicant and disputes relating to the other requirements for liquidation. At the provisional stage the other requirements must be satisfied on a balance of probabilities with reference to the affidavits. In relation to the applicant's claim, however, the court must consider not only where the balance of probabilities lies on the papers but also whether the claim is </w:t>
      </w:r>
      <w:r>
        <w:rPr>
          <w:i/>
          <w:sz w:val="22"/>
          <w:szCs w:val="22"/>
          <w:lang w:val="en-ZA"/>
        </w:rPr>
        <w:t>bona fide</w:t>
      </w:r>
      <w:r>
        <w:rPr>
          <w:sz w:val="22"/>
          <w:szCs w:val="22"/>
          <w:lang w:val="en-ZA"/>
        </w:rPr>
        <w:t xml:space="preserve"> disputed on reasonable grounds. A court may reach this conclusion even though on a balance of probabilities (based on the papers) the applicant's claim has been made out (</w:t>
      </w:r>
      <w:r>
        <w:rPr>
          <w:i/>
          <w:sz w:val="22"/>
          <w:szCs w:val="22"/>
          <w:lang w:val="en-ZA"/>
        </w:rPr>
        <w:t>Payslip Investment Holdings CC v Y2K Tec Ltd</w:t>
      </w:r>
      <w:r>
        <w:rPr>
          <w:sz w:val="22"/>
          <w:szCs w:val="22"/>
          <w:lang w:val="en-ZA"/>
        </w:rPr>
        <w:t xml:space="preserve"> 2001 (4) SA 781 (C) at 783G – I). However, where the applicant at the provisional stage shows that the debt </w:t>
      </w:r>
      <w:r>
        <w:rPr>
          <w:i/>
          <w:sz w:val="22"/>
          <w:szCs w:val="22"/>
          <w:lang w:val="en-ZA"/>
        </w:rPr>
        <w:t>prima facie</w:t>
      </w:r>
      <w:r>
        <w:rPr>
          <w:sz w:val="22"/>
          <w:szCs w:val="22"/>
          <w:lang w:val="en-ZA"/>
        </w:rPr>
        <w:t xml:space="preserve"> exists, the onus is on the company to show that it is </w:t>
      </w:r>
      <w:r>
        <w:rPr>
          <w:i/>
          <w:sz w:val="22"/>
          <w:szCs w:val="22"/>
          <w:lang w:val="en-ZA"/>
        </w:rPr>
        <w:t>bona fide</w:t>
      </w:r>
      <w:r>
        <w:rPr>
          <w:sz w:val="22"/>
          <w:szCs w:val="22"/>
          <w:lang w:val="en-ZA"/>
        </w:rPr>
        <w:t xml:space="preserve"> disputed on reasonable grounds (</w:t>
      </w:r>
      <w:r>
        <w:rPr>
          <w:i/>
          <w:sz w:val="22"/>
          <w:szCs w:val="22"/>
          <w:lang w:val="en-ZA"/>
        </w:rPr>
        <w:t>Hülse-Reutter and Another v HEG Consulting Enterprises (Pty) Ltd (Lane and Fey NNO Intervening)</w:t>
      </w:r>
      <w:r>
        <w:rPr>
          <w:sz w:val="22"/>
          <w:szCs w:val="22"/>
          <w:lang w:val="en-ZA"/>
        </w:rPr>
        <w:t xml:space="preserve"> 1998 (2) SA 208 (C) at 218D – 219C).</w:t>
      </w:r>
    </w:p>
    <w:p w14:paraId="5E4BB640" w14:textId="77777777" w:rsidR="007D25D5" w:rsidRDefault="007D25D5" w:rsidP="007D25D5">
      <w:pPr>
        <w:spacing w:after="120" w:line="360" w:lineRule="auto"/>
        <w:jc w:val="both"/>
        <w:outlineLvl w:val="0"/>
        <w:rPr>
          <w:sz w:val="22"/>
          <w:szCs w:val="22"/>
          <w:lang w:val="en-ZA"/>
        </w:rPr>
      </w:pPr>
      <w:r>
        <w:rPr>
          <w:sz w:val="22"/>
          <w:szCs w:val="22"/>
          <w:lang w:val="en-ZA"/>
        </w:rPr>
        <w:t>[9]</w:t>
      </w:r>
      <w:r>
        <w:rPr>
          <w:sz w:val="22"/>
          <w:szCs w:val="22"/>
          <w:lang w:val="en-ZA"/>
        </w:rPr>
        <w:tab/>
        <w:t xml:space="preserve">The test for a final order of liquidation is different. The applicant must establish its case on a balance of probabilities. Where the facts are disputed, the court is not permitted to determine the balance of probabilities on the affidavits but must instead apply the </w:t>
      </w:r>
      <w:r>
        <w:rPr>
          <w:i/>
          <w:sz w:val="22"/>
          <w:szCs w:val="22"/>
          <w:lang w:val="en-ZA"/>
        </w:rPr>
        <w:t>Plascon-Evans</w:t>
      </w:r>
      <w:r>
        <w:rPr>
          <w:sz w:val="22"/>
          <w:szCs w:val="22"/>
          <w:lang w:val="en-ZA"/>
        </w:rPr>
        <w:t xml:space="preserve"> rule (</w:t>
      </w:r>
      <w:r>
        <w:rPr>
          <w:i/>
          <w:sz w:val="22"/>
          <w:szCs w:val="22"/>
          <w:lang w:val="en-ZA"/>
        </w:rPr>
        <w:t>Paarwater v South Sahara Investments (Pty) Ltd</w:t>
      </w:r>
      <w:r>
        <w:rPr>
          <w:sz w:val="22"/>
          <w:szCs w:val="22"/>
          <w:lang w:val="en-ZA"/>
        </w:rPr>
        <w:t xml:space="preserve"> [2005] 4 All SA 185 (SCA) para 4; </w:t>
      </w:r>
      <w:r>
        <w:rPr>
          <w:i/>
          <w:sz w:val="22"/>
          <w:szCs w:val="22"/>
          <w:lang w:val="en-ZA"/>
        </w:rPr>
        <w:t>Golden Mile Financial Solutions CC v Amagen Development (Pty) Ltd</w:t>
      </w:r>
      <w:r>
        <w:rPr>
          <w:sz w:val="22"/>
          <w:szCs w:val="22"/>
          <w:lang w:val="en-ZA"/>
        </w:rPr>
        <w:t xml:space="preserve"> [2010] ZAWCHC 339 paras 8 – 10; </w:t>
      </w:r>
      <w:r>
        <w:rPr>
          <w:i/>
          <w:sz w:val="22"/>
          <w:szCs w:val="22"/>
          <w:lang w:val="en-ZA"/>
        </w:rPr>
        <w:t>Budge and Others NNO v Midnight Storm Investments 256 (Pty) Ltd and Another</w:t>
      </w:r>
      <w:r>
        <w:rPr>
          <w:sz w:val="22"/>
          <w:szCs w:val="22"/>
          <w:lang w:val="en-ZA"/>
        </w:rPr>
        <w:t xml:space="preserve"> 2012 (2) SA 28 (GSJ) para 14).’</w:t>
      </w:r>
    </w:p>
    <w:p w14:paraId="199B8C8B" w14:textId="797DF0AF" w:rsidR="007D25D5" w:rsidRDefault="00435B66" w:rsidP="00435B66">
      <w:pPr>
        <w:spacing w:after="120" w:line="360" w:lineRule="auto"/>
        <w:jc w:val="both"/>
        <w:outlineLvl w:val="0"/>
        <w:rPr>
          <w:lang w:val="en-ZA"/>
        </w:rPr>
      </w:pPr>
      <w:r>
        <w:rPr>
          <w:lang w:val="en-ZA"/>
        </w:rPr>
        <w:t>[17].</w:t>
      </w:r>
      <w:r>
        <w:rPr>
          <w:lang w:val="en-ZA"/>
        </w:rPr>
        <w:tab/>
      </w:r>
      <w:r w:rsidR="007D25D5">
        <w:rPr>
          <w:lang w:val="en-ZA"/>
        </w:rPr>
        <w:t xml:space="preserve">The </w:t>
      </w:r>
      <w:r w:rsidR="007D25D5">
        <w:rPr>
          <w:i/>
          <w:lang w:val="en-ZA"/>
        </w:rPr>
        <w:t>Plascon-Evans</w:t>
      </w:r>
      <w:r w:rsidR="007D25D5">
        <w:rPr>
          <w:lang w:val="en-ZA"/>
        </w:rPr>
        <w:t xml:space="preserve"> approach requires the facts deposed to </w:t>
      </w:r>
      <w:r w:rsidR="006A2026">
        <w:rPr>
          <w:lang w:val="en-ZA"/>
        </w:rPr>
        <w:t>by Mr</w:t>
      </w:r>
      <w:r w:rsidR="00D520DB">
        <w:rPr>
          <w:lang w:val="en-ZA"/>
        </w:rPr>
        <w:t> Moodley</w:t>
      </w:r>
      <w:r w:rsidR="007D25D5">
        <w:rPr>
          <w:lang w:val="en-ZA"/>
        </w:rPr>
        <w:t xml:space="preserve"> to be accepted, unless they constitute bald or uncreditworthy denials or are palpably implausible, far-fetched or so clearly untenable that they could safely be rejected on the papers. (</w:t>
      </w:r>
      <w:r w:rsidR="007D25D5">
        <w:rPr>
          <w:i/>
          <w:lang w:val="en-ZA"/>
        </w:rPr>
        <w:t>Plascon-Evans Paints Ltd v Van Riebeeck Paints (Pty) Ltd</w:t>
      </w:r>
      <w:r w:rsidR="007D25D5">
        <w:rPr>
          <w:rStyle w:val="FootnoteReference"/>
          <w:i/>
          <w:lang w:val="en-ZA"/>
        </w:rPr>
        <w:footnoteReference w:id="6"/>
      </w:r>
      <w:r w:rsidR="007D25D5">
        <w:rPr>
          <w:lang w:val="en-ZA"/>
        </w:rPr>
        <w:t xml:space="preserve">.  Also see </w:t>
      </w:r>
      <w:r w:rsidR="007D25D5">
        <w:rPr>
          <w:i/>
          <w:lang w:val="en-ZA"/>
        </w:rPr>
        <w:t>Media 24 Books (Pty) Ltd v Oxford University Press Southern Africa (Pty) Ltd</w:t>
      </w:r>
      <w:r w:rsidR="007D25D5">
        <w:rPr>
          <w:rStyle w:val="FootnoteReference"/>
          <w:i/>
          <w:lang w:val="en-ZA"/>
        </w:rPr>
        <w:footnoteReference w:id="7"/>
      </w:r>
      <w:r w:rsidR="007D25D5">
        <w:rPr>
          <w:lang w:val="en-ZA"/>
        </w:rPr>
        <w:t xml:space="preserve">.)  </w:t>
      </w:r>
    </w:p>
    <w:p w14:paraId="7F6B7B6C" w14:textId="7295D79F" w:rsidR="006A2026" w:rsidRDefault="00435B66" w:rsidP="00435B66">
      <w:pPr>
        <w:spacing w:after="120" w:line="360" w:lineRule="auto"/>
        <w:jc w:val="both"/>
        <w:outlineLvl w:val="0"/>
        <w:rPr>
          <w:lang w:val="en-ZA"/>
        </w:rPr>
      </w:pPr>
      <w:r>
        <w:rPr>
          <w:lang w:val="en-ZA"/>
        </w:rPr>
        <w:t>[18].</w:t>
      </w:r>
      <w:r>
        <w:rPr>
          <w:lang w:val="en-ZA"/>
        </w:rPr>
        <w:tab/>
      </w:r>
      <w:r w:rsidR="007D25D5">
        <w:rPr>
          <w:lang w:val="en-ZA"/>
        </w:rPr>
        <w:t xml:space="preserve">Applying this test </w:t>
      </w:r>
      <w:r w:rsidR="007D25D5">
        <w:rPr>
          <w:i/>
          <w:lang w:val="en-ZA"/>
        </w:rPr>
        <w:t>in casu</w:t>
      </w:r>
      <w:r w:rsidR="00402313">
        <w:rPr>
          <w:lang w:val="en-ZA"/>
        </w:rPr>
        <w:t xml:space="preserve">, </w:t>
      </w:r>
      <w:r w:rsidR="007D25D5">
        <w:rPr>
          <w:lang w:val="en-ZA"/>
        </w:rPr>
        <w:t xml:space="preserve">the facts deposed to by </w:t>
      </w:r>
      <w:r w:rsidR="006A2026">
        <w:rPr>
          <w:lang w:val="en-ZA"/>
        </w:rPr>
        <w:t>Mr Moodley</w:t>
      </w:r>
      <w:r w:rsidR="007D25D5">
        <w:rPr>
          <w:lang w:val="en-ZA"/>
        </w:rPr>
        <w:t xml:space="preserve"> have to be accepted by me.  In my judgment, the claim by </w:t>
      </w:r>
      <w:r w:rsidR="006A2026">
        <w:rPr>
          <w:lang w:val="en-ZA"/>
        </w:rPr>
        <w:t>Standard Bank</w:t>
      </w:r>
      <w:r w:rsidR="007D25D5">
        <w:rPr>
          <w:lang w:val="en-ZA"/>
        </w:rPr>
        <w:t xml:space="preserve"> against </w:t>
      </w:r>
      <w:r w:rsidR="006A2026">
        <w:rPr>
          <w:lang w:val="en-ZA"/>
        </w:rPr>
        <w:t>Adzam</w:t>
      </w:r>
      <w:r w:rsidR="007D25D5">
        <w:rPr>
          <w:lang w:val="en-ZA"/>
        </w:rPr>
        <w:t xml:space="preserve">, although accepted by the latter, is </w:t>
      </w:r>
      <w:r w:rsidR="007D25D5">
        <w:rPr>
          <w:i/>
          <w:lang w:val="en-ZA"/>
        </w:rPr>
        <w:t>bona fide</w:t>
      </w:r>
      <w:r w:rsidR="007D25D5">
        <w:rPr>
          <w:lang w:val="en-ZA"/>
        </w:rPr>
        <w:t xml:space="preserve"> disputed on reasonable grounds on the basis that payment </w:t>
      </w:r>
      <w:r w:rsidR="006A2026">
        <w:rPr>
          <w:lang w:val="en-ZA"/>
        </w:rPr>
        <w:t>was</w:t>
      </w:r>
      <w:r w:rsidR="007D25D5">
        <w:rPr>
          <w:lang w:val="en-ZA"/>
        </w:rPr>
        <w:t xml:space="preserve"> not yet due and payable</w:t>
      </w:r>
      <w:r w:rsidR="006A2026">
        <w:rPr>
          <w:lang w:val="en-ZA"/>
        </w:rPr>
        <w:t xml:space="preserve"> and that the monthly </w:t>
      </w:r>
      <w:r w:rsidR="006A2026">
        <w:rPr>
          <w:lang w:val="en-ZA"/>
        </w:rPr>
        <w:lastRenderedPageBreak/>
        <w:t>instalments were up to date. Moreover, Adzam was not factually or commercially insolvent – it was about R25 million in the green. And it is difficult to understand why Standard Bank was adopting such as a harsh stance against it. This is more so, if regard is had to the fact that the medium</w:t>
      </w:r>
      <w:r w:rsidR="00D520DB">
        <w:rPr>
          <w:lang w:val="en-ZA"/>
        </w:rPr>
        <w:t>-term</w:t>
      </w:r>
      <w:r w:rsidR="006A2026">
        <w:rPr>
          <w:lang w:val="en-ZA"/>
        </w:rPr>
        <w:t xml:space="preserve"> loan which was advanced to Adzam, by all accounts, was going to be </w:t>
      </w:r>
      <w:r w:rsidR="00D520DB">
        <w:rPr>
          <w:lang w:val="en-ZA"/>
        </w:rPr>
        <w:t>p</w:t>
      </w:r>
      <w:r w:rsidR="006A2026">
        <w:rPr>
          <w:lang w:val="en-ZA"/>
        </w:rPr>
        <w:t>aid up well before its expiry period.</w:t>
      </w:r>
    </w:p>
    <w:p w14:paraId="596AD0A6" w14:textId="637AA196" w:rsidR="007D25D5" w:rsidRDefault="00435B66" w:rsidP="00435B66">
      <w:pPr>
        <w:spacing w:after="120" w:line="360" w:lineRule="auto"/>
        <w:jc w:val="both"/>
        <w:outlineLvl w:val="0"/>
        <w:rPr>
          <w:lang w:val="en-ZA"/>
        </w:rPr>
      </w:pPr>
      <w:r>
        <w:rPr>
          <w:lang w:val="en-ZA"/>
        </w:rPr>
        <w:t>[19].</w:t>
      </w:r>
      <w:r>
        <w:rPr>
          <w:lang w:val="en-ZA"/>
        </w:rPr>
        <w:tab/>
      </w:r>
      <w:r w:rsidR="00031B20">
        <w:rPr>
          <w:lang w:val="en-ZA"/>
        </w:rPr>
        <w:t>The stance adopted by Standard Bank in these proceedings appears to me to have been wholly unreasonable and such unreasonableness is in no way mitigated by its supposed concern for the interests of other possible creditors of Adzam, such as the South African Revenue Services (SARS).</w:t>
      </w:r>
      <w:r w:rsidR="00D520DB">
        <w:rPr>
          <w:lang w:val="en-ZA"/>
        </w:rPr>
        <w:t xml:space="preserve"> Furthermore, the fact that Adzam had been placed under business rescue in ‘suspicious’ circumstances also does not detract from the aforegoing facts, notably that Adzam was not factually or commercially insolvent. </w:t>
      </w:r>
    </w:p>
    <w:p w14:paraId="71D3583A" w14:textId="14FDB0F7" w:rsidR="00B62CD7" w:rsidRPr="00794B55" w:rsidRDefault="00435B66" w:rsidP="00435B66">
      <w:pPr>
        <w:spacing w:after="120" w:line="360" w:lineRule="auto"/>
        <w:ind w:left="28" w:hanging="28"/>
        <w:jc w:val="both"/>
        <w:outlineLvl w:val="0"/>
      </w:pPr>
      <w:r w:rsidRPr="00794B55">
        <w:t>[20].</w:t>
      </w:r>
      <w:r w:rsidRPr="00794B55">
        <w:tab/>
      </w:r>
      <w:r w:rsidR="002A02DD" w:rsidRPr="00031B20">
        <w:t xml:space="preserve">The point is that </w:t>
      </w:r>
      <w:r w:rsidR="00031B20">
        <w:t>Standard Bank</w:t>
      </w:r>
      <w:r w:rsidR="002A02DD" w:rsidRPr="00031B20">
        <w:t xml:space="preserve">, </w:t>
      </w:r>
      <w:r w:rsidR="00031B20">
        <w:t xml:space="preserve">when </w:t>
      </w:r>
      <w:r w:rsidR="002A02DD" w:rsidRPr="00031B20">
        <w:t xml:space="preserve">faced with a plausible </w:t>
      </w:r>
      <w:r w:rsidR="00031B20">
        <w:t>explanation by Mr Moodley in relation to Adzam’s indebtedness to the B</w:t>
      </w:r>
      <w:r w:rsidR="00794B55">
        <w:t xml:space="preserve">ank </w:t>
      </w:r>
      <w:r w:rsidR="002A02DD" w:rsidRPr="00031B20">
        <w:t>and the risk that that version ma</w:t>
      </w:r>
      <w:r w:rsidR="00245AB9" w:rsidRPr="00031B20">
        <w:t>y very well be true, truly jumped</w:t>
      </w:r>
      <w:r w:rsidR="002A02DD" w:rsidRPr="00031B20">
        <w:t xml:space="preserve"> the gun by the institution of the </w:t>
      </w:r>
      <w:r w:rsidR="00794B55">
        <w:t>counter-</w:t>
      </w:r>
      <w:r w:rsidR="002A02DD" w:rsidRPr="00031B20">
        <w:t xml:space="preserve">application. </w:t>
      </w:r>
      <w:r w:rsidR="00794B55">
        <w:t>In rejecting out of hand that explanation and the version of Mr Moodley, Standard Bank acted unreasonably. T</w:t>
      </w:r>
      <w:r w:rsidR="00794B55">
        <w:rPr>
          <w:color w:val="000000"/>
        </w:rPr>
        <w:t>here was no reason for the bank</w:t>
      </w:r>
      <w:r w:rsidR="00B62CD7" w:rsidRPr="00794B55">
        <w:rPr>
          <w:color w:val="000000"/>
        </w:rPr>
        <w:t xml:space="preserve"> not to accept the perfectly plausible explanation proffered by the </w:t>
      </w:r>
      <w:r w:rsidR="00794B55">
        <w:rPr>
          <w:color w:val="000000"/>
        </w:rPr>
        <w:t>Mr Moodley</w:t>
      </w:r>
      <w:r w:rsidR="00B62CD7" w:rsidRPr="00794B55">
        <w:rPr>
          <w:color w:val="000000"/>
        </w:rPr>
        <w:t>.</w:t>
      </w:r>
    </w:p>
    <w:p w14:paraId="53ECA6CD" w14:textId="6804A368" w:rsidR="00794B55" w:rsidRDefault="00435B66" w:rsidP="00435B66">
      <w:pPr>
        <w:spacing w:after="120" w:line="360" w:lineRule="auto"/>
        <w:jc w:val="both"/>
        <w:outlineLvl w:val="0"/>
        <w:rPr>
          <w:color w:val="000000"/>
        </w:rPr>
      </w:pPr>
      <w:r>
        <w:rPr>
          <w:color w:val="000000"/>
        </w:rPr>
        <w:t>[21].</w:t>
      </w:r>
      <w:r>
        <w:rPr>
          <w:color w:val="000000"/>
        </w:rPr>
        <w:tab/>
      </w:r>
      <w:r w:rsidR="00332A59">
        <w:rPr>
          <w:color w:val="000000"/>
        </w:rPr>
        <w:t xml:space="preserve">I am </w:t>
      </w:r>
      <w:r w:rsidR="00110570">
        <w:rPr>
          <w:color w:val="000000"/>
        </w:rPr>
        <w:t xml:space="preserve">therefore </w:t>
      </w:r>
      <w:r w:rsidR="00332A59">
        <w:rPr>
          <w:color w:val="000000"/>
        </w:rPr>
        <w:t xml:space="preserve">satisfied that </w:t>
      </w:r>
      <w:r w:rsidR="00794B55">
        <w:rPr>
          <w:color w:val="000000"/>
        </w:rPr>
        <w:t>Standard Bank</w:t>
      </w:r>
      <w:r w:rsidR="00B62CD7">
        <w:rPr>
          <w:color w:val="000000"/>
        </w:rPr>
        <w:t xml:space="preserve"> </w:t>
      </w:r>
      <w:r w:rsidR="00332A59">
        <w:rPr>
          <w:color w:val="000000"/>
        </w:rPr>
        <w:t>should</w:t>
      </w:r>
      <w:r w:rsidR="00B62CD7">
        <w:rPr>
          <w:color w:val="000000"/>
        </w:rPr>
        <w:t xml:space="preserve">, in terms of the general rule that a successful party should be awarded costs, </w:t>
      </w:r>
      <w:r w:rsidR="00332A59">
        <w:rPr>
          <w:color w:val="000000"/>
        </w:rPr>
        <w:t xml:space="preserve">pay </w:t>
      </w:r>
      <w:r w:rsidR="00794B55">
        <w:rPr>
          <w:color w:val="000000"/>
        </w:rPr>
        <w:t>Mr Moodley’s costs of their opposition to his application as well as his costs relating to the counter-application.</w:t>
      </w:r>
    </w:p>
    <w:p w14:paraId="38C7D885" w14:textId="2B0E8B59" w:rsidR="006634BA" w:rsidRPr="006634BA" w:rsidRDefault="00435B66" w:rsidP="00435B66">
      <w:pPr>
        <w:spacing w:line="360" w:lineRule="auto"/>
        <w:jc w:val="both"/>
        <w:outlineLvl w:val="0"/>
        <w:rPr>
          <w:color w:val="000000"/>
        </w:rPr>
      </w:pPr>
      <w:r w:rsidRPr="006634BA">
        <w:rPr>
          <w:color w:val="000000"/>
        </w:rPr>
        <w:t>[22].</w:t>
      </w:r>
      <w:r w:rsidRPr="006634BA">
        <w:rPr>
          <w:color w:val="000000"/>
        </w:rPr>
        <w:tab/>
      </w:r>
      <w:r w:rsidR="00332A59">
        <w:rPr>
          <w:color w:val="000000"/>
        </w:rPr>
        <w:t xml:space="preserve">The next question is whether a punitive costs order should be granted against </w:t>
      </w:r>
      <w:r w:rsidR="00794B55">
        <w:rPr>
          <w:color w:val="000000"/>
        </w:rPr>
        <w:t>Standard Bank</w:t>
      </w:r>
      <w:r w:rsidR="006634BA">
        <w:rPr>
          <w:color w:val="000000"/>
        </w:rPr>
        <w:t xml:space="preserve">. </w:t>
      </w:r>
      <w:r w:rsidR="006634BA" w:rsidRPr="006634BA">
        <w:rPr>
          <w:color w:val="000000"/>
        </w:rPr>
        <w:t xml:space="preserve">It is trite that the rationale for a punitive attorney and client costs order is more than mere punishment of the losing party. Tindall JA explained it as follows in </w:t>
      </w:r>
      <w:r w:rsidR="006634BA" w:rsidRPr="006634BA">
        <w:rPr>
          <w:i/>
          <w:color w:val="000000"/>
        </w:rPr>
        <w:t>Nel v Waterberg Landbouwers v Ko-operatiewe Vereeniging</w:t>
      </w:r>
      <w:r w:rsidR="00B62CD7">
        <w:rPr>
          <w:rStyle w:val="FootnoteReference"/>
          <w:i/>
          <w:color w:val="000000"/>
        </w:rPr>
        <w:footnoteReference w:id="8"/>
      </w:r>
      <w:r w:rsidR="006634BA" w:rsidRPr="006634BA">
        <w:rPr>
          <w:color w:val="000000"/>
        </w:rPr>
        <w:t>:</w:t>
      </w:r>
    </w:p>
    <w:p w14:paraId="65CA3C2F" w14:textId="77777777" w:rsidR="006634BA" w:rsidRPr="006634BA" w:rsidRDefault="006634BA" w:rsidP="006634BA">
      <w:pPr>
        <w:spacing w:after="120" w:line="360" w:lineRule="auto"/>
        <w:jc w:val="both"/>
        <w:outlineLvl w:val="0"/>
        <w:rPr>
          <w:color w:val="000000"/>
          <w:sz w:val="22"/>
          <w:szCs w:val="22"/>
        </w:rPr>
      </w:pPr>
      <w:r w:rsidRPr="006634BA">
        <w:rPr>
          <w:color w:val="000000"/>
          <w:sz w:val="22"/>
          <w:szCs w:val="22"/>
        </w:rPr>
        <w:t xml:space="preserve">‘[t]he true explanation of awards of attorney and client costs not expressly authorised by Statute seems to be that, by reason of special consideration arising either from the </w:t>
      </w:r>
      <w:r w:rsidRPr="006634BA">
        <w:rPr>
          <w:color w:val="000000"/>
          <w:sz w:val="22"/>
          <w:szCs w:val="22"/>
        </w:rPr>
        <w:lastRenderedPageBreak/>
        <w:t>circumstances which give rise to the action or from the conduct of the losing party, the court in a particular case considers it just, by means of such an order, to ensure more effectually than it can do by means of a judgment for party and party costs that the successful party will not be out of pocket in respect of the expense caused to him by the litigation.’</w:t>
      </w:r>
    </w:p>
    <w:p w14:paraId="1A73B70F" w14:textId="5940EE9B" w:rsidR="006634BA" w:rsidRPr="006634BA" w:rsidRDefault="00435B66" w:rsidP="00435B66">
      <w:pPr>
        <w:spacing w:line="360" w:lineRule="auto"/>
        <w:jc w:val="both"/>
        <w:outlineLvl w:val="0"/>
        <w:rPr>
          <w:color w:val="000000"/>
        </w:rPr>
      </w:pPr>
      <w:r w:rsidRPr="006634BA">
        <w:rPr>
          <w:color w:val="000000"/>
        </w:rPr>
        <w:t>[23].</w:t>
      </w:r>
      <w:r w:rsidRPr="006634BA">
        <w:rPr>
          <w:color w:val="000000"/>
        </w:rPr>
        <w:tab/>
      </w:r>
      <w:r w:rsidR="006634BA" w:rsidRPr="006634BA">
        <w:rPr>
          <w:color w:val="000000"/>
        </w:rPr>
        <w:t>And see further:</w:t>
      </w:r>
      <w:r w:rsidR="006634BA">
        <w:rPr>
          <w:color w:val="000000"/>
        </w:rPr>
        <w:t xml:space="preserve"> </w:t>
      </w:r>
      <w:r w:rsidR="006634BA" w:rsidRPr="006634BA">
        <w:rPr>
          <w:i/>
          <w:color w:val="000000"/>
        </w:rPr>
        <w:t>Swartbooi v Brink</w:t>
      </w:r>
      <w:r w:rsidR="00F00F4F">
        <w:rPr>
          <w:rStyle w:val="FootnoteReference"/>
          <w:i/>
          <w:color w:val="000000"/>
        </w:rPr>
        <w:footnoteReference w:id="9"/>
      </w:r>
      <w:r w:rsidR="006634BA" w:rsidRPr="006634BA">
        <w:rPr>
          <w:color w:val="000000"/>
        </w:rPr>
        <w:t xml:space="preserve">. </w:t>
      </w:r>
      <w:r w:rsidR="006634BA">
        <w:rPr>
          <w:color w:val="000000"/>
        </w:rPr>
        <w:t>The issue of c</w:t>
      </w:r>
      <w:r w:rsidR="006634BA" w:rsidRPr="006634BA">
        <w:rPr>
          <w:color w:val="000000"/>
        </w:rPr>
        <w:t xml:space="preserve">osts is a matter for the discretion of a trial court. Smalberger JA elaborated on the nature of this discretion as follows (in the context of an agreement between parties that attorney client costs be paid) in </w:t>
      </w:r>
      <w:r w:rsidR="006634BA" w:rsidRPr="006634BA">
        <w:rPr>
          <w:i/>
          <w:color w:val="000000"/>
        </w:rPr>
        <w:t>Intercontinental Exports (Pty) Ltd v Fowles</w:t>
      </w:r>
      <w:r w:rsidR="00F00F4F">
        <w:rPr>
          <w:rStyle w:val="FootnoteReference"/>
          <w:i/>
          <w:color w:val="000000"/>
        </w:rPr>
        <w:footnoteReference w:id="10"/>
      </w:r>
      <w:r w:rsidR="006634BA" w:rsidRPr="006634BA">
        <w:rPr>
          <w:color w:val="000000"/>
        </w:rPr>
        <w:t xml:space="preserve"> </w:t>
      </w:r>
      <w:r w:rsidR="00F00F4F">
        <w:rPr>
          <w:color w:val="000000"/>
        </w:rPr>
        <w:t xml:space="preserve">at </w:t>
      </w:r>
      <w:r w:rsidR="006634BA" w:rsidRPr="006634BA">
        <w:rPr>
          <w:color w:val="000000"/>
        </w:rPr>
        <w:t>para 25:</w:t>
      </w:r>
    </w:p>
    <w:p w14:paraId="64428813" w14:textId="77777777" w:rsidR="006634BA" w:rsidRPr="006634BA" w:rsidRDefault="006634BA" w:rsidP="00F7784A">
      <w:pPr>
        <w:spacing w:after="120" w:line="360" w:lineRule="auto"/>
        <w:jc w:val="both"/>
        <w:outlineLvl w:val="0"/>
        <w:rPr>
          <w:color w:val="000000"/>
          <w:sz w:val="22"/>
          <w:szCs w:val="22"/>
        </w:rPr>
      </w:pPr>
      <w:r w:rsidRPr="006634BA">
        <w:rPr>
          <w:color w:val="000000"/>
          <w:sz w:val="22"/>
          <w:szCs w:val="22"/>
        </w:rPr>
        <w:t>‘The court’s discretion is a wide, unfettered and equitable one. It is a facet of the court’s control over the proceedings before it. It is to be exercised judicially with due regard to all relevant consideration. These would include the nature of the litigation being conducted before it and the conduct before it and the conduct of the parties (or their representatives). A court may wish, in certain circumstances, to deprive a party of costs, or a portion thereof, or order lesser costs than it might otherwise have done as a mark of its displeasure at such party’s conduct in relation to the litigation.’</w:t>
      </w:r>
    </w:p>
    <w:p w14:paraId="676B21A2" w14:textId="7583B844" w:rsidR="00F7784A" w:rsidRPr="00282314" w:rsidRDefault="00435B66" w:rsidP="00435B66">
      <w:pPr>
        <w:spacing w:after="120" w:line="360" w:lineRule="auto"/>
        <w:jc w:val="both"/>
        <w:outlineLvl w:val="0"/>
        <w:rPr>
          <w:color w:val="000000"/>
        </w:rPr>
      </w:pPr>
      <w:r w:rsidRPr="00282314">
        <w:rPr>
          <w:color w:val="000000"/>
        </w:rPr>
        <w:t>[24].</w:t>
      </w:r>
      <w:r w:rsidRPr="00282314">
        <w:rPr>
          <w:color w:val="000000"/>
        </w:rPr>
        <w:tab/>
      </w:r>
      <w:r w:rsidR="00110570">
        <w:rPr>
          <w:color w:val="000000"/>
        </w:rPr>
        <w:t>SCA</w:t>
      </w:r>
      <w:r w:rsidR="00F7784A" w:rsidRPr="00282314">
        <w:rPr>
          <w:color w:val="000000"/>
        </w:rPr>
        <w:t xml:space="preserve"> judgements have indicated </w:t>
      </w:r>
      <w:r w:rsidR="00F7784A">
        <w:rPr>
          <w:color w:val="000000"/>
        </w:rPr>
        <w:t xml:space="preserve">that a court should be </w:t>
      </w:r>
      <w:r w:rsidR="00F7784A" w:rsidRPr="00282314">
        <w:rPr>
          <w:color w:val="000000"/>
        </w:rPr>
        <w:t>disinclin</w:t>
      </w:r>
      <w:r w:rsidR="00F7784A">
        <w:rPr>
          <w:color w:val="000000"/>
        </w:rPr>
        <w:t>ed</w:t>
      </w:r>
      <w:r w:rsidR="00F7784A" w:rsidRPr="00282314">
        <w:rPr>
          <w:color w:val="000000"/>
        </w:rPr>
        <w:t xml:space="preserve"> to grant </w:t>
      </w:r>
      <w:r w:rsidR="00F7784A">
        <w:rPr>
          <w:color w:val="000000"/>
        </w:rPr>
        <w:t>costs orders on the scale as between attorney and client</w:t>
      </w:r>
      <w:r w:rsidR="00F7784A" w:rsidRPr="00282314">
        <w:rPr>
          <w:color w:val="000000"/>
        </w:rPr>
        <w:t xml:space="preserve"> until salient argument and sufficient forensic debate have helped to establish the appropriate judicial basis on which to make them: </w:t>
      </w:r>
      <w:r w:rsidR="00F7784A" w:rsidRPr="00F7784A">
        <w:rPr>
          <w:i/>
          <w:color w:val="000000"/>
        </w:rPr>
        <w:t>AA Alloy Foundry (Pty) Ltd v Titaco Projects (Pty) Ltd</w:t>
      </w:r>
      <w:r w:rsidR="00F00F4F">
        <w:rPr>
          <w:rStyle w:val="FootnoteReference"/>
          <w:i/>
          <w:color w:val="000000"/>
        </w:rPr>
        <w:footnoteReference w:id="11"/>
      </w:r>
      <w:r w:rsidR="00F7784A" w:rsidRPr="00282314">
        <w:rPr>
          <w:color w:val="000000"/>
        </w:rPr>
        <w:t xml:space="preserve"> and </w:t>
      </w:r>
      <w:r w:rsidR="00F7784A" w:rsidRPr="00F7784A">
        <w:rPr>
          <w:i/>
          <w:color w:val="000000"/>
        </w:rPr>
        <w:t>Thoroughbred Breeders Association v Price Waterhouse</w:t>
      </w:r>
      <w:r w:rsidR="00F00F4F">
        <w:rPr>
          <w:rStyle w:val="FootnoteReference"/>
          <w:i/>
          <w:color w:val="000000"/>
        </w:rPr>
        <w:footnoteReference w:id="12"/>
      </w:r>
      <w:r w:rsidR="00F7784A" w:rsidRPr="00282314">
        <w:rPr>
          <w:color w:val="000000"/>
        </w:rPr>
        <w:t>.</w:t>
      </w:r>
    </w:p>
    <w:p w14:paraId="13F630CD" w14:textId="1B4C9455" w:rsidR="00EA6A8C" w:rsidRPr="00D520DB" w:rsidRDefault="00435B66" w:rsidP="00435B66">
      <w:pPr>
        <w:spacing w:after="120" w:line="360" w:lineRule="auto"/>
        <w:jc w:val="both"/>
        <w:outlineLvl w:val="0"/>
        <w:rPr>
          <w:color w:val="000000"/>
        </w:rPr>
      </w:pPr>
      <w:r w:rsidRPr="00D520DB">
        <w:rPr>
          <w:color w:val="000000"/>
        </w:rPr>
        <w:t>[25].</w:t>
      </w:r>
      <w:r w:rsidRPr="00D520DB">
        <w:rPr>
          <w:color w:val="000000"/>
        </w:rPr>
        <w:tab/>
      </w:r>
      <w:r w:rsidR="00402313">
        <w:rPr>
          <w:color w:val="000000"/>
        </w:rPr>
        <w:t xml:space="preserve">Bearing these principles in mind, </w:t>
      </w:r>
      <w:r w:rsidR="006634BA">
        <w:rPr>
          <w:color w:val="000000"/>
        </w:rPr>
        <w:t xml:space="preserve">I am not persuaded </w:t>
      </w:r>
      <w:r w:rsidR="00402313">
        <w:rPr>
          <w:color w:val="000000"/>
        </w:rPr>
        <w:t xml:space="preserve">in this matter </w:t>
      </w:r>
      <w:r w:rsidR="006634BA">
        <w:rPr>
          <w:color w:val="000000"/>
        </w:rPr>
        <w:t xml:space="preserve">that a punitive costs order would be appropriate. </w:t>
      </w:r>
      <w:r w:rsidR="00F7784A" w:rsidRPr="00D520DB">
        <w:rPr>
          <w:color w:val="000000"/>
        </w:rPr>
        <w:t>In the premises</w:t>
      </w:r>
      <w:r w:rsidR="00EA6A8C" w:rsidRPr="00D520DB">
        <w:rPr>
          <w:color w:val="000000"/>
        </w:rPr>
        <w:t>,</w:t>
      </w:r>
      <w:r w:rsidR="00F7784A" w:rsidRPr="00D520DB">
        <w:rPr>
          <w:color w:val="000000"/>
        </w:rPr>
        <w:t xml:space="preserve"> I am of the view that</w:t>
      </w:r>
      <w:r w:rsidR="00794B55" w:rsidRPr="00D520DB">
        <w:rPr>
          <w:color w:val="000000"/>
        </w:rPr>
        <w:t xml:space="preserve"> – as regards the proceedings between Mr Moodley and Standard Bank –</w:t>
      </w:r>
      <w:r w:rsidR="00EA6A8C" w:rsidRPr="00D520DB">
        <w:rPr>
          <w:color w:val="000000"/>
        </w:rPr>
        <w:t xml:space="preserve"> </w:t>
      </w:r>
      <w:r w:rsidR="00F00F4F" w:rsidRPr="00D520DB">
        <w:rPr>
          <w:color w:val="000000"/>
        </w:rPr>
        <w:t xml:space="preserve">costs should be awarded in favour of </w:t>
      </w:r>
      <w:r w:rsidR="00794B55" w:rsidRPr="00D520DB">
        <w:rPr>
          <w:color w:val="000000"/>
        </w:rPr>
        <w:t xml:space="preserve">Mr Moodley </w:t>
      </w:r>
      <w:r w:rsidR="00F00F4F" w:rsidRPr="00D520DB">
        <w:rPr>
          <w:color w:val="000000"/>
        </w:rPr>
        <w:t xml:space="preserve">against </w:t>
      </w:r>
      <w:r w:rsidR="00794B55" w:rsidRPr="00D520DB">
        <w:rPr>
          <w:color w:val="000000"/>
        </w:rPr>
        <w:t xml:space="preserve">Standard Bank </w:t>
      </w:r>
      <w:r w:rsidR="00110570" w:rsidRPr="00D520DB">
        <w:rPr>
          <w:color w:val="000000"/>
        </w:rPr>
        <w:t>only</w:t>
      </w:r>
      <w:r w:rsidR="00F7784A" w:rsidRPr="00D520DB">
        <w:rPr>
          <w:color w:val="000000"/>
        </w:rPr>
        <w:t xml:space="preserve"> on the party and party scale.</w:t>
      </w:r>
    </w:p>
    <w:p w14:paraId="66BADFFE" w14:textId="7CAD3163" w:rsidR="00F00F4F" w:rsidRDefault="00435B66" w:rsidP="00435B66">
      <w:pPr>
        <w:spacing w:after="240" w:line="360" w:lineRule="auto"/>
        <w:jc w:val="both"/>
        <w:outlineLvl w:val="0"/>
        <w:rPr>
          <w:color w:val="000000"/>
        </w:rPr>
      </w:pPr>
      <w:r>
        <w:rPr>
          <w:color w:val="000000"/>
        </w:rPr>
        <w:lastRenderedPageBreak/>
        <w:t>[26].</w:t>
      </w:r>
      <w:r>
        <w:rPr>
          <w:color w:val="000000"/>
        </w:rPr>
        <w:tab/>
      </w:r>
      <w:r w:rsidR="00402313">
        <w:rPr>
          <w:color w:val="000000"/>
        </w:rPr>
        <w:t xml:space="preserve">Finally, </w:t>
      </w:r>
      <w:r w:rsidR="00794B55">
        <w:rPr>
          <w:color w:val="000000"/>
        </w:rPr>
        <w:t>I think that it would also be appropriate for me</w:t>
      </w:r>
      <w:r w:rsidR="00ED4623">
        <w:rPr>
          <w:color w:val="000000"/>
        </w:rPr>
        <w:t xml:space="preserve">, in addition to the costs order, </w:t>
      </w:r>
      <w:r w:rsidR="00794B55">
        <w:rPr>
          <w:color w:val="000000"/>
        </w:rPr>
        <w:t>to grant an order to the effect that the counter-application is declared withdrawn, so as not</w:t>
      </w:r>
      <w:r w:rsidR="00ED4623">
        <w:rPr>
          <w:color w:val="000000"/>
        </w:rPr>
        <w:t xml:space="preserve"> to</w:t>
      </w:r>
      <w:r w:rsidR="00794B55">
        <w:rPr>
          <w:color w:val="000000"/>
        </w:rPr>
        <w:t xml:space="preserve"> leave same hanging in limbo</w:t>
      </w:r>
      <w:r w:rsidR="00ED4623">
        <w:rPr>
          <w:color w:val="000000"/>
        </w:rPr>
        <w:t>.</w:t>
      </w:r>
    </w:p>
    <w:p w14:paraId="2A3003F8" w14:textId="77777777" w:rsidR="007D27AD" w:rsidRPr="00D520DB" w:rsidRDefault="007D27AD" w:rsidP="00D520DB">
      <w:pPr>
        <w:spacing w:after="120" w:line="360" w:lineRule="auto"/>
        <w:jc w:val="both"/>
        <w:outlineLvl w:val="0"/>
        <w:rPr>
          <w:color w:val="000000"/>
        </w:rPr>
      </w:pPr>
      <w:r w:rsidRPr="00D520DB">
        <w:rPr>
          <w:b/>
          <w:lang w:val="en-ZA" w:eastAsia="en-ZA"/>
        </w:rPr>
        <w:t>Order</w:t>
      </w:r>
    </w:p>
    <w:p w14:paraId="0F14FBC4" w14:textId="4A60BFDC" w:rsidR="007D27AD" w:rsidRPr="00D520DB" w:rsidRDefault="00435B66" w:rsidP="00435B66">
      <w:pPr>
        <w:spacing w:after="120" w:line="360" w:lineRule="auto"/>
        <w:jc w:val="both"/>
        <w:outlineLvl w:val="0"/>
        <w:rPr>
          <w:color w:val="000000"/>
        </w:rPr>
      </w:pPr>
      <w:r w:rsidRPr="00D520DB">
        <w:rPr>
          <w:color w:val="000000"/>
        </w:rPr>
        <w:t>[27].</w:t>
      </w:r>
      <w:r w:rsidRPr="00D520DB">
        <w:rPr>
          <w:color w:val="000000"/>
        </w:rPr>
        <w:tab/>
      </w:r>
      <w:r w:rsidR="007D27AD" w:rsidRPr="007D27AD">
        <w:t xml:space="preserve">Accordingly, I make the following </w:t>
      </w:r>
      <w:r w:rsidR="00F00F4F" w:rsidRPr="007D27AD">
        <w:t>order: -</w:t>
      </w:r>
    </w:p>
    <w:p w14:paraId="330B4A4C" w14:textId="4CBEAF88" w:rsidR="00ED4623" w:rsidRDefault="00435B66" w:rsidP="00435B66">
      <w:pPr>
        <w:pStyle w:val="LegalBodyText1"/>
        <w:spacing w:after="120" w:line="360" w:lineRule="auto"/>
        <w:ind w:hanging="567"/>
      </w:pPr>
      <w:r>
        <w:t>(1)</w:t>
      </w:r>
      <w:r>
        <w:tab/>
      </w:r>
      <w:r w:rsidR="00ED4623">
        <w:t>The fifth respondent’s counter-application for the final winding-up of the first respondent, is declared to be withdrawn.</w:t>
      </w:r>
    </w:p>
    <w:p w14:paraId="532E1302" w14:textId="61A331E9" w:rsidR="00ED4623" w:rsidRDefault="00435B66" w:rsidP="00435B66">
      <w:pPr>
        <w:pStyle w:val="LegalBodyText1"/>
        <w:spacing w:after="240" w:line="360" w:lineRule="auto"/>
        <w:ind w:hanging="567"/>
      </w:pPr>
      <w:r>
        <w:t>(2)</w:t>
      </w:r>
      <w:r>
        <w:tab/>
      </w:r>
      <w:r w:rsidR="00ED4623">
        <w:t>The fifth respondent (Standard Bank) shall pay the applicant’s costs of its (the fifth respondent’s) opposition to the applicant’s application as well as the applicant’s costs relating to its (the applicant’s) opposition to the fifth respondent’s counter-application, including the costs in relation to the hearing of the costs arguments on 14 October 2022.</w:t>
      </w:r>
    </w:p>
    <w:p w14:paraId="299C25EB" w14:textId="77777777" w:rsidR="004473E6" w:rsidRDefault="004473E6" w:rsidP="004473E6">
      <w:pPr>
        <w:pStyle w:val="ListParagraph"/>
        <w:keepNext/>
        <w:spacing w:before="960" w:line="360" w:lineRule="auto"/>
        <w:jc w:val="right"/>
        <w:rPr>
          <w:noProof/>
          <w:lang w:val="en-ZA" w:eastAsia="en-ZA"/>
        </w:rPr>
      </w:pPr>
      <w:r>
        <w:rPr>
          <w:noProof/>
          <w:lang w:val="en-ZA" w:eastAsia="en-ZA"/>
        </w:rPr>
        <w:t>________________________________</w:t>
      </w:r>
    </w:p>
    <w:p w14:paraId="66677B51" w14:textId="77777777" w:rsidR="004473E6" w:rsidRDefault="004473E6" w:rsidP="00245AB9">
      <w:pPr>
        <w:pStyle w:val="ListParagraph"/>
        <w:keepNext/>
        <w:jc w:val="right"/>
        <w:rPr>
          <w:rFonts w:cs="Arial"/>
          <w:b/>
        </w:rPr>
      </w:pPr>
      <w:r>
        <w:rPr>
          <w:rFonts w:cs="Arial"/>
          <w:b/>
        </w:rPr>
        <w:t>L R ADAMS</w:t>
      </w:r>
    </w:p>
    <w:p w14:paraId="2AF2AF30" w14:textId="77777777" w:rsidR="004473E6" w:rsidRDefault="004473E6" w:rsidP="00245AB9">
      <w:pPr>
        <w:pStyle w:val="ListParagraph"/>
        <w:keepNext/>
        <w:jc w:val="right"/>
        <w:rPr>
          <w:rFonts w:cs="Arial"/>
          <w:i/>
        </w:rPr>
      </w:pPr>
      <w:r>
        <w:rPr>
          <w:rFonts w:cs="Arial"/>
          <w:i/>
        </w:rPr>
        <w:t>Judge of the High Court</w:t>
      </w:r>
    </w:p>
    <w:p w14:paraId="3B379955" w14:textId="77777777" w:rsidR="004473E6" w:rsidRDefault="004473E6" w:rsidP="004473E6">
      <w:pPr>
        <w:pStyle w:val="ListParagraph"/>
        <w:spacing w:line="360" w:lineRule="auto"/>
        <w:jc w:val="right"/>
        <w:rPr>
          <w:rFonts w:cs="Arial"/>
          <w:i/>
        </w:rPr>
      </w:pPr>
      <w:r>
        <w:rPr>
          <w:rFonts w:cs="Arial"/>
          <w:i/>
        </w:rPr>
        <w:t>Gauteng Local Division, Johannesburg</w:t>
      </w:r>
    </w:p>
    <w:p w14:paraId="5F022400" w14:textId="77777777" w:rsidR="004473E6" w:rsidRDefault="004473E6" w:rsidP="004473E6">
      <w:pPr>
        <w:pBdr>
          <w:bottom w:val="single" w:sz="6" w:space="1" w:color="auto"/>
        </w:pBdr>
        <w:spacing w:after="240"/>
        <w:rPr>
          <w:rFonts w:cs="Arial"/>
          <w:i/>
        </w:rPr>
      </w:pPr>
    </w:p>
    <w:tbl>
      <w:tblPr>
        <w:tblW w:w="0" w:type="auto"/>
        <w:tblLook w:val="04A0" w:firstRow="1" w:lastRow="0" w:firstColumn="1" w:lastColumn="0" w:noHBand="0" w:noVBand="1"/>
      </w:tblPr>
      <w:tblGrid>
        <w:gridCol w:w="3969"/>
        <w:gridCol w:w="4249"/>
      </w:tblGrid>
      <w:tr w:rsidR="004473E6" w14:paraId="38539176" w14:textId="77777777" w:rsidTr="004473E6">
        <w:tc>
          <w:tcPr>
            <w:tcW w:w="3969" w:type="dxa"/>
            <w:tcMar>
              <w:top w:w="32" w:type="dxa"/>
              <w:left w:w="108" w:type="dxa"/>
              <w:bottom w:w="32" w:type="dxa"/>
              <w:right w:w="108" w:type="dxa"/>
            </w:tcMar>
            <w:vAlign w:val="center"/>
            <w:hideMark/>
          </w:tcPr>
          <w:p w14:paraId="702BF0D5" w14:textId="77777777" w:rsidR="004473E6" w:rsidRDefault="004473E6" w:rsidP="00733088">
            <w:pPr>
              <w:keepNext/>
              <w:spacing w:before="120" w:after="120"/>
            </w:pPr>
            <w:r>
              <w:t>HEARD ON: </w:t>
            </w:r>
          </w:p>
        </w:tc>
        <w:tc>
          <w:tcPr>
            <w:tcW w:w="4249" w:type="dxa"/>
            <w:tcMar>
              <w:top w:w="32" w:type="dxa"/>
              <w:left w:w="108" w:type="dxa"/>
              <w:bottom w:w="32" w:type="dxa"/>
              <w:right w:w="108" w:type="dxa"/>
            </w:tcMar>
            <w:vAlign w:val="center"/>
            <w:hideMark/>
          </w:tcPr>
          <w:p w14:paraId="60C31D9A" w14:textId="77777777" w:rsidR="004473E6" w:rsidRDefault="00BE785A" w:rsidP="00BE785A">
            <w:pPr>
              <w:keepNext/>
              <w:spacing w:before="120" w:after="120"/>
            </w:pPr>
            <w:r>
              <w:t>14</w:t>
            </w:r>
            <w:r w:rsidRPr="00BE785A">
              <w:rPr>
                <w:vertAlign w:val="superscript"/>
              </w:rPr>
              <w:t>th</w:t>
            </w:r>
            <w:r>
              <w:t xml:space="preserve"> </w:t>
            </w:r>
            <w:r w:rsidR="00733088">
              <w:t>October 2022</w:t>
            </w:r>
          </w:p>
        </w:tc>
      </w:tr>
      <w:tr w:rsidR="004473E6" w14:paraId="0E661DCA" w14:textId="77777777" w:rsidTr="004473E6">
        <w:tc>
          <w:tcPr>
            <w:tcW w:w="3969" w:type="dxa"/>
            <w:tcMar>
              <w:top w:w="32" w:type="dxa"/>
              <w:left w:w="108" w:type="dxa"/>
              <w:bottom w:w="32" w:type="dxa"/>
              <w:right w:w="108" w:type="dxa"/>
            </w:tcMar>
            <w:vAlign w:val="center"/>
            <w:hideMark/>
          </w:tcPr>
          <w:p w14:paraId="790020A6" w14:textId="77777777" w:rsidR="004473E6" w:rsidRDefault="004473E6" w:rsidP="00733088">
            <w:pPr>
              <w:keepNext/>
              <w:spacing w:before="120" w:after="120"/>
            </w:pPr>
            <w:r>
              <w:t>JUDGMENT DATE: </w:t>
            </w:r>
          </w:p>
        </w:tc>
        <w:tc>
          <w:tcPr>
            <w:tcW w:w="4249" w:type="dxa"/>
            <w:tcMar>
              <w:top w:w="32" w:type="dxa"/>
              <w:left w:w="108" w:type="dxa"/>
              <w:bottom w:w="32" w:type="dxa"/>
              <w:right w:w="108" w:type="dxa"/>
            </w:tcMar>
            <w:vAlign w:val="center"/>
            <w:hideMark/>
          </w:tcPr>
          <w:p w14:paraId="14F176C5" w14:textId="77777777" w:rsidR="004473E6" w:rsidRDefault="00215A99" w:rsidP="00215A99">
            <w:pPr>
              <w:keepNext/>
              <w:spacing w:before="120" w:after="120"/>
            </w:pPr>
            <w:r>
              <w:t>15</w:t>
            </w:r>
            <w:r w:rsidRPr="00215A99">
              <w:rPr>
                <w:vertAlign w:val="superscript"/>
              </w:rPr>
              <w:t>th</w:t>
            </w:r>
            <w:r>
              <w:t xml:space="preserve"> </w:t>
            </w:r>
            <w:r w:rsidR="00733088">
              <w:t>December 2022</w:t>
            </w:r>
            <w:r w:rsidR="004473E6">
              <w:t xml:space="preserve"> – judgment handed down electronically</w:t>
            </w:r>
          </w:p>
        </w:tc>
      </w:tr>
      <w:tr w:rsidR="004473E6" w14:paraId="0B117924" w14:textId="77777777" w:rsidTr="004473E6">
        <w:tc>
          <w:tcPr>
            <w:tcW w:w="3969" w:type="dxa"/>
            <w:tcMar>
              <w:top w:w="32" w:type="dxa"/>
              <w:left w:w="108" w:type="dxa"/>
              <w:bottom w:w="32" w:type="dxa"/>
              <w:right w:w="108" w:type="dxa"/>
            </w:tcMar>
            <w:vAlign w:val="center"/>
            <w:hideMark/>
          </w:tcPr>
          <w:p w14:paraId="7E918706" w14:textId="77777777" w:rsidR="004473E6" w:rsidRDefault="004473E6" w:rsidP="00733088">
            <w:pPr>
              <w:keepNext/>
              <w:spacing w:before="120" w:after="120"/>
            </w:pPr>
            <w:r>
              <w:t>FOR THE APPLICANT:</w:t>
            </w:r>
          </w:p>
        </w:tc>
        <w:tc>
          <w:tcPr>
            <w:tcW w:w="4249" w:type="dxa"/>
            <w:tcMar>
              <w:top w:w="32" w:type="dxa"/>
              <w:left w:w="108" w:type="dxa"/>
              <w:bottom w:w="32" w:type="dxa"/>
              <w:right w:w="108" w:type="dxa"/>
            </w:tcMar>
            <w:vAlign w:val="center"/>
            <w:hideMark/>
          </w:tcPr>
          <w:p w14:paraId="2FF5FDAC" w14:textId="77777777" w:rsidR="004473E6" w:rsidRDefault="00733088" w:rsidP="00733088">
            <w:pPr>
              <w:keepNext/>
              <w:spacing w:before="120" w:after="120"/>
            </w:pPr>
            <w:r>
              <w:t>Attorney</w:t>
            </w:r>
            <w:r w:rsidR="004473E6">
              <w:t xml:space="preserve"> </w:t>
            </w:r>
            <w:r>
              <w:t>Rael</w:t>
            </w:r>
            <w:r w:rsidR="004473E6">
              <w:t xml:space="preserve"> </w:t>
            </w:r>
            <w:r>
              <w:t>Zimmerman</w:t>
            </w:r>
            <w:r w:rsidR="004473E6">
              <w:t xml:space="preserve">   </w:t>
            </w:r>
          </w:p>
        </w:tc>
      </w:tr>
      <w:tr w:rsidR="004473E6" w14:paraId="0BD3166D" w14:textId="77777777" w:rsidTr="004473E6">
        <w:tc>
          <w:tcPr>
            <w:tcW w:w="3969" w:type="dxa"/>
            <w:tcMar>
              <w:top w:w="32" w:type="dxa"/>
              <w:left w:w="108" w:type="dxa"/>
              <w:bottom w:w="32" w:type="dxa"/>
              <w:right w:w="108" w:type="dxa"/>
            </w:tcMar>
            <w:vAlign w:val="center"/>
            <w:hideMark/>
          </w:tcPr>
          <w:p w14:paraId="386122C2" w14:textId="77777777" w:rsidR="004473E6" w:rsidRDefault="004473E6" w:rsidP="00733088">
            <w:pPr>
              <w:keepNext/>
              <w:spacing w:before="120" w:after="120"/>
              <w:rPr>
                <w:sz w:val="22"/>
                <w:szCs w:val="22"/>
                <w:lang w:eastAsia="en-US"/>
              </w:rPr>
            </w:pPr>
            <w:r>
              <w:t>INSTRUCTED BY: </w:t>
            </w:r>
          </w:p>
        </w:tc>
        <w:tc>
          <w:tcPr>
            <w:tcW w:w="4249" w:type="dxa"/>
            <w:tcMar>
              <w:top w:w="32" w:type="dxa"/>
              <w:left w:w="108" w:type="dxa"/>
              <w:bottom w:w="32" w:type="dxa"/>
              <w:right w:w="108" w:type="dxa"/>
            </w:tcMar>
            <w:vAlign w:val="center"/>
            <w:hideMark/>
          </w:tcPr>
          <w:p w14:paraId="017F4DAA" w14:textId="77777777" w:rsidR="004473E6" w:rsidRDefault="00733088" w:rsidP="00733088">
            <w:pPr>
              <w:keepNext/>
              <w:spacing w:before="120" w:after="120"/>
              <w:rPr>
                <w:sz w:val="22"/>
                <w:szCs w:val="22"/>
                <w:lang w:eastAsia="en-US"/>
              </w:rPr>
            </w:pPr>
            <w:r>
              <w:t>Taitz &amp; Skikne Attorneys</w:t>
            </w:r>
            <w:r w:rsidR="004473E6">
              <w:t xml:space="preserve">, </w:t>
            </w:r>
            <w:r>
              <w:t>Johannesburg</w:t>
            </w:r>
            <w:r w:rsidR="004473E6">
              <w:t xml:space="preserve"> </w:t>
            </w:r>
          </w:p>
        </w:tc>
      </w:tr>
      <w:tr w:rsidR="004473E6" w14:paraId="2472FC1A" w14:textId="77777777" w:rsidTr="004473E6">
        <w:tc>
          <w:tcPr>
            <w:tcW w:w="3969" w:type="dxa"/>
            <w:tcMar>
              <w:top w:w="32" w:type="dxa"/>
              <w:left w:w="108" w:type="dxa"/>
              <w:bottom w:w="32" w:type="dxa"/>
              <w:right w:w="108" w:type="dxa"/>
            </w:tcMar>
            <w:vAlign w:val="center"/>
            <w:hideMark/>
          </w:tcPr>
          <w:p w14:paraId="3C1018C2" w14:textId="77777777" w:rsidR="004473E6" w:rsidRDefault="004473E6" w:rsidP="00733088">
            <w:pPr>
              <w:spacing w:before="120" w:after="120"/>
              <w:rPr>
                <w:sz w:val="22"/>
                <w:szCs w:val="22"/>
                <w:lang w:eastAsia="en-US"/>
              </w:rPr>
            </w:pPr>
            <w:r>
              <w:t xml:space="preserve">FOR THE </w:t>
            </w:r>
            <w:r w:rsidR="00733088">
              <w:t xml:space="preserve">FIFTH </w:t>
            </w:r>
            <w:r>
              <w:t>RESPONDENT</w:t>
            </w:r>
            <w:r w:rsidR="00733088">
              <w:t xml:space="preserve"> (STANDARD BANK)</w:t>
            </w:r>
            <w:r>
              <w:t>:</w:t>
            </w:r>
          </w:p>
        </w:tc>
        <w:tc>
          <w:tcPr>
            <w:tcW w:w="4249" w:type="dxa"/>
            <w:tcMar>
              <w:top w:w="32" w:type="dxa"/>
              <w:left w:w="108" w:type="dxa"/>
              <w:bottom w:w="32" w:type="dxa"/>
              <w:right w:w="108" w:type="dxa"/>
            </w:tcMar>
            <w:vAlign w:val="center"/>
            <w:hideMark/>
          </w:tcPr>
          <w:p w14:paraId="5092A28E" w14:textId="77777777" w:rsidR="004473E6" w:rsidRDefault="004473E6" w:rsidP="00733088">
            <w:pPr>
              <w:spacing w:before="120" w:after="120"/>
              <w:rPr>
                <w:sz w:val="22"/>
                <w:szCs w:val="22"/>
                <w:lang w:eastAsia="en-US"/>
              </w:rPr>
            </w:pPr>
            <w:r>
              <w:t xml:space="preserve">Advocate </w:t>
            </w:r>
            <w:r w:rsidR="00733088">
              <w:t>M De Oliviera</w:t>
            </w:r>
          </w:p>
        </w:tc>
      </w:tr>
      <w:tr w:rsidR="004473E6" w14:paraId="555F1E8E" w14:textId="77777777" w:rsidTr="004473E6">
        <w:tc>
          <w:tcPr>
            <w:tcW w:w="3969" w:type="dxa"/>
            <w:tcMar>
              <w:top w:w="32" w:type="dxa"/>
              <w:left w:w="108" w:type="dxa"/>
              <w:bottom w:w="32" w:type="dxa"/>
              <w:right w:w="108" w:type="dxa"/>
            </w:tcMar>
            <w:vAlign w:val="center"/>
            <w:hideMark/>
          </w:tcPr>
          <w:p w14:paraId="6A3E351A" w14:textId="77777777" w:rsidR="004473E6" w:rsidRDefault="004473E6" w:rsidP="00733088">
            <w:pPr>
              <w:spacing w:before="120" w:after="120"/>
              <w:rPr>
                <w:sz w:val="22"/>
                <w:szCs w:val="22"/>
                <w:lang w:eastAsia="en-US"/>
              </w:rPr>
            </w:pPr>
            <w:r>
              <w:t>INSTRUCTED BY: </w:t>
            </w:r>
          </w:p>
        </w:tc>
        <w:tc>
          <w:tcPr>
            <w:tcW w:w="4249" w:type="dxa"/>
            <w:tcMar>
              <w:top w:w="32" w:type="dxa"/>
              <w:left w:w="108" w:type="dxa"/>
              <w:bottom w:w="32" w:type="dxa"/>
              <w:right w:w="108" w:type="dxa"/>
            </w:tcMar>
            <w:vAlign w:val="center"/>
            <w:hideMark/>
          </w:tcPr>
          <w:p w14:paraId="6F882778" w14:textId="77777777" w:rsidR="004473E6" w:rsidRDefault="00733088" w:rsidP="00733088">
            <w:pPr>
              <w:spacing w:before="120" w:after="120"/>
              <w:rPr>
                <w:sz w:val="22"/>
                <w:szCs w:val="22"/>
                <w:lang w:eastAsia="en-US"/>
              </w:rPr>
            </w:pPr>
            <w:r>
              <w:t>Jason Michael Smith Incorporated</w:t>
            </w:r>
            <w:r w:rsidR="004473E6">
              <w:t xml:space="preserve">, </w:t>
            </w:r>
            <w:r>
              <w:t>Rosebank, Johannesburg</w:t>
            </w:r>
          </w:p>
        </w:tc>
      </w:tr>
    </w:tbl>
    <w:p w14:paraId="3D240015" w14:textId="77777777" w:rsidR="002F15F5" w:rsidRPr="00D63801" w:rsidRDefault="002F15F5" w:rsidP="009E3E41">
      <w:pPr>
        <w:pStyle w:val="LegalMAINHEADING"/>
        <w:spacing w:before="0" w:after="120" w:line="360" w:lineRule="auto"/>
        <w:rPr>
          <w:b w:val="0"/>
        </w:rPr>
      </w:pPr>
    </w:p>
    <w:sectPr w:rsidR="002F15F5" w:rsidRPr="00D63801" w:rsidSect="002B6C0E">
      <w:headerReference w:type="even" r:id="rId10"/>
      <w:headerReference w:type="default" r:id="rId11"/>
      <w:headerReference w:type="first" r:id="rId12"/>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1F5E" w14:textId="77777777" w:rsidR="00F00C8F" w:rsidRDefault="00F00C8F">
      <w:pPr>
        <w:spacing w:line="20" w:lineRule="exact"/>
      </w:pPr>
    </w:p>
  </w:endnote>
  <w:endnote w:type="continuationSeparator" w:id="0">
    <w:p w14:paraId="0490FF65" w14:textId="77777777" w:rsidR="00F00C8F" w:rsidRDefault="00F00C8F">
      <w:r>
        <w:t xml:space="preserve"> </w:t>
      </w:r>
    </w:p>
  </w:endnote>
  <w:endnote w:type="continuationNotice" w:id="1">
    <w:p w14:paraId="7917D7E7" w14:textId="77777777" w:rsidR="00F00C8F" w:rsidRDefault="00F00C8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25930" w14:textId="77777777" w:rsidR="00F00C8F" w:rsidRDefault="00F00C8F">
      <w:r>
        <w:separator/>
      </w:r>
    </w:p>
  </w:footnote>
  <w:footnote w:type="continuationSeparator" w:id="0">
    <w:p w14:paraId="54F80AB1" w14:textId="77777777" w:rsidR="00F00C8F" w:rsidRDefault="00F00C8F">
      <w:r>
        <w:continuationSeparator/>
      </w:r>
    </w:p>
  </w:footnote>
  <w:footnote w:id="1">
    <w:p w14:paraId="511B3B2D" w14:textId="77777777" w:rsidR="009F6D17" w:rsidRDefault="009F6D17" w:rsidP="009F6D17">
      <w:pPr>
        <w:pStyle w:val="FootnoteText"/>
      </w:pPr>
      <w:r>
        <w:rPr>
          <w:rStyle w:val="FootnoteReference"/>
        </w:rPr>
        <w:footnoteRef/>
      </w:r>
      <w:r>
        <w:t xml:space="preserve"> </w:t>
      </w:r>
      <w:r>
        <w:rPr>
          <w:color w:val="000000"/>
        </w:rPr>
        <w:t>The Companies Act, Act 71 of 2008;</w:t>
      </w:r>
    </w:p>
  </w:footnote>
  <w:footnote w:id="2">
    <w:p w14:paraId="1CBA0517" w14:textId="77777777" w:rsidR="007D25D5" w:rsidRDefault="007D25D5" w:rsidP="007D25D5">
      <w:pPr>
        <w:pStyle w:val="FootnoteText"/>
      </w:pPr>
      <w:r>
        <w:rPr>
          <w:rStyle w:val="FootnoteReference"/>
        </w:rPr>
        <w:footnoteRef/>
      </w:r>
      <w:r>
        <w:t xml:space="preserve"> </w:t>
      </w:r>
      <w:r>
        <w:rPr>
          <w:i/>
          <w:iCs/>
          <w:color w:val="000000"/>
          <w:lang w:val="en-ZA"/>
        </w:rPr>
        <w:t xml:space="preserve">Trinity </w:t>
      </w:r>
      <w:r>
        <w:rPr>
          <w:i/>
          <w:color w:val="000000"/>
          <w:lang w:val="en-ZA"/>
        </w:rPr>
        <w:t xml:space="preserve">Asset </w:t>
      </w:r>
      <w:r>
        <w:rPr>
          <w:i/>
          <w:iCs/>
          <w:color w:val="000000"/>
          <w:lang w:val="en-ZA"/>
        </w:rPr>
        <w:t xml:space="preserve">Management (Pty) Ltd v Grindstone Investments (Pty) Ltd </w:t>
      </w:r>
      <w:r>
        <w:rPr>
          <w:color w:val="000000"/>
          <w:lang w:val="en-ZA"/>
        </w:rPr>
        <w:t>2017 (12) BCLR 1562 (CC); 2018 (1) SA 94 (CC) at para 154;</w:t>
      </w:r>
    </w:p>
  </w:footnote>
  <w:footnote w:id="3">
    <w:p w14:paraId="276211BB" w14:textId="77777777" w:rsidR="007D25D5" w:rsidRDefault="007D25D5" w:rsidP="007D25D5">
      <w:pPr>
        <w:pStyle w:val="FootnoteText"/>
      </w:pPr>
      <w:r>
        <w:rPr>
          <w:rStyle w:val="FootnoteReference"/>
        </w:rPr>
        <w:footnoteRef/>
      </w:r>
      <w:r>
        <w:t xml:space="preserve"> </w:t>
      </w:r>
      <w:r>
        <w:rPr>
          <w:i/>
          <w:iCs/>
          <w:color w:val="000000"/>
          <w:lang w:val="en-ZA"/>
        </w:rPr>
        <w:t xml:space="preserve">Badenhorst v Northern Construction Enterprises (Pty) Ltd </w:t>
      </w:r>
      <w:r>
        <w:rPr>
          <w:color w:val="000000"/>
          <w:lang w:val="en-ZA"/>
        </w:rPr>
        <w:t>1956 (2) SA 346(T) at 347-348;</w:t>
      </w:r>
    </w:p>
  </w:footnote>
  <w:footnote w:id="4">
    <w:p w14:paraId="784F0C9F" w14:textId="77777777" w:rsidR="007D25D5" w:rsidRDefault="007D25D5" w:rsidP="007D25D5">
      <w:pPr>
        <w:pStyle w:val="FootnoteText"/>
      </w:pPr>
      <w:r>
        <w:rPr>
          <w:rStyle w:val="FootnoteReference"/>
        </w:rPr>
        <w:footnoteRef/>
      </w:r>
      <w:r>
        <w:t xml:space="preserve"> </w:t>
      </w:r>
      <w:r>
        <w:rPr>
          <w:i/>
          <w:iCs/>
          <w:color w:val="000000"/>
          <w:lang w:val="en-ZA"/>
        </w:rPr>
        <w:t xml:space="preserve">Adbro Investment Company Ltd v Minister of Interior </w:t>
      </w:r>
      <w:r>
        <w:rPr>
          <w:color w:val="000000"/>
          <w:lang w:val="en-ZA"/>
        </w:rPr>
        <w:t>1956 (3) SA 345 (A) at 350A.</w:t>
      </w:r>
    </w:p>
  </w:footnote>
  <w:footnote w:id="5">
    <w:p w14:paraId="0BA419DD" w14:textId="77777777" w:rsidR="007D25D5" w:rsidRDefault="007D25D5" w:rsidP="007D25D5">
      <w:pPr>
        <w:pStyle w:val="FootnoteText"/>
      </w:pPr>
      <w:r>
        <w:rPr>
          <w:rStyle w:val="FootnoteReference"/>
        </w:rPr>
        <w:footnoteRef/>
      </w:r>
      <w:r>
        <w:t xml:space="preserve"> </w:t>
      </w:r>
      <w:r>
        <w:rPr>
          <w:i/>
          <w:lang w:val="en-ZA"/>
        </w:rPr>
        <w:t>Orestisolve (Pty) Ltd t/a Essa Investments v NDFT Investment Holdings (Pty) Ltd and Another</w:t>
      </w:r>
      <w:r>
        <w:rPr>
          <w:lang w:val="en-ZA"/>
        </w:rPr>
        <w:t xml:space="preserve"> 2015 (4) SA 449 (WCC);</w:t>
      </w:r>
    </w:p>
  </w:footnote>
  <w:footnote w:id="6">
    <w:p w14:paraId="3180EE8E" w14:textId="77777777" w:rsidR="007D25D5" w:rsidRDefault="007D25D5" w:rsidP="007D25D5">
      <w:pPr>
        <w:pStyle w:val="FootnoteText"/>
      </w:pPr>
      <w:r>
        <w:rPr>
          <w:rStyle w:val="FootnoteReference"/>
        </w:rPr>
        <w:footnoteRef/>
      </w:r>
      <w:r>
        <w:t xml:space="preserve"> </w:t>
      </w:r>
      <w:r>
        <w:rPr>
          <w:i/>
          <w:lang w:val="en-ZA"/>
        </w:rPr>
        <w:t>Plascon-Evans Paints Ltd v Van Riebeeck Paints (Pty) Ltd</w:t>
      </w:r>
      <w:r>
        <w:rPr>
          <w:lang w:val="en-ZA"/>
        </w:rPr>
        <w:t xml:space="preserve"> 1984 (3) SA 623 (A) at 634D-635D;</w:t>
      </w:r>
    </w:p>
  </w:footnote>
  <w:footnote w:id="7">
    <w:p w14:paraId="3A4C8B10" w14:textId="77777777" w:rsidR="007D25D5" w:rsidRDefault="007D25D5" w:rsidP="007D25D5">
      <w:pPr>
        <w:pStyle w:val="FootnoteText"/>
      </w:pPr>
      <w:r>
        <w:rPr>
          <w:rStyle w:val="FootnoteReference"/>
        </w:rPr>
        <w:footnoteRef/>
      </w:r>
      <w:r>
        <w:t xml:space="preserve"> </w:t>
      </w:r>
      <w:r>
        <w:rPr>
          <w:i/>
          <w:lang w:val="en-ZA"/>
        </w:rPr>
        <w:t>Media 24 Books (Pty) Ltd v Oxford University Press Southern Africa (Pty) Ltd</w:t>
      </w:r>
      <w:r>
        <w:rPr>
          <w:lang w:val="en-ZA"/>
        </w:rPr>
        <w:t xml:space="preserve"> 2017 (2) SA 1 (SCA) para 36.</w:t>
      </w:r>
    </w:p>
  </w:footnote>
  <w:footnote w:id="8">
    <w:p w14:paraId="257FB79C" w14:textId="77777777" w:rsidR="00B62CD7" w:rsidRDefault="00B62CD7">
      <w:pPr>
        <w:pStyle w:val="FootnoteText"/>
      </w:pPr>
      <w:r>
        <w:rPr>
          <w:rStyle w:val="FootnoteReference"/>
        </w:rPr>
        <w:footnoteRef/>
      </w:r>
      <w:r>
        <w:t xml:space="preserve"> </w:t>
      </w:r>
      <w:r w:rsidRPr="006634BA">
        <w:rPr>
          <w:i/>
          <w:color w:val="000000"/>
        </w:rPr>
        <w:t>Nel v Waterberg Landbouwers v Ko-operatiewe Vereeniging</w:t>
      </w:r>
      <w:r w:rsidRPr="006634BA">
        <w:rPr>
          <w:color w:val="000000"/>
        </w:rPr>
        <w:t xml:space="preserve"> 1946 (1) AD 597 at 607</w:t>
      </w:r>
      <w:r>
        <w:rPr>
          <w:color w:val="000000"/>
        </w:rPr>
        <w:t>;</w:t>
      </w:r>
    </w:p>
  </w:footnote>
  <w:footnote w:id="9">
    <w:p w14:paraId="2FB3AA7F" w14:textId="77777777" w:rsidR="00F00F4F" w:rsidRDefault="00F00F4F">
      <w:pPr>
        <w:pStyle w:val="FootnoteText"/>
      </w:pPr>
      <w:r>
        <w:rPr>
          <w:rStyle w:val="FootnoteReference"/>
        </w:rPr>
        <w:footnoteRef/>
      </w:r>
      <w:r>
        <w:t xml:space="preserve"> </w:t>
      </w:r>
      <w:r w:rsidRPr="006634BA">
        <w:rPr>
          <w:i/>
          <w:color w:val="000000"/>
        </w:rPr>
        <w:t>Swartbooi v Brink</w:t>
      </w:r>
      <w:r>
        <w:rPr>
          <w:color w:val="000000"/>
        </w:rPr>
        <w:t xml:space="preserve"> 2006 (1) SA 203 (CC) par </w:t>
      </w:r>
      <w:r w:rsidRPr="006634BA">
        <w:rPr>
          <w:color w:val="000000"/>
        </w:rPr>
        <w:t>27</w:t>
      </w:r>
      <w:r>
        <w:rPr>
          <w:color w:val="000000"/>
        </w:rPr>
        <w:t>;</w:t>
      </w:r>
    </w:p>
  </w:footnote>
  <w:footnote w:id="10">
    <w:p w14:paraId="1AA0A746" w14:textId="77777777" w:rsidR="00F00F4F" w:rsidRDefault="00F00F4F">
      <w:pPr>
        <w:pStyle w:val="FootnoteText"/>
      </w:pPr>
      <w:r>
        <w:rPr>
          <w:rStyle w:val="FootnoteReference"/>
        </w:rPr>
        <w:footnoteRef/>
      </w:r>
      <w:r>
        <w:t xml:space="preserve"> </w:t>
      </w:r>
      <w:r w:rsidRPr="006634BA">
        <w:rPr>
          <w:i/>
          <w:color w:val="000000"/>
        </w:rPr>
        <w:t>Intercontinental Exports (Pty) Ltd v Fowles</w:t>
      </w:r>
      <w:r w:rsidRPr="006634BA">
        <w:rPr>
          <w:color w:val="000000"/>
        </w:rPr>
        <w:t xml:space="preserve"> 1999 (2) SA 1045 (SCA)</w:t>
      </w:r>
      <w:r>
        <w:rPr>
          <w:color w:val="000000"/>
        </w:rPr>
        <w:t>.</w:t>
      </w:r>
    </w:p>
  </w:footnote>
  <w:footnote w:id="11">
    <w:p w14:paraId="203DF9CE" w14:textId="77777777" w:rsidR="00F00F4F" w:rsidRDefault="00F00F4F">
      <w:pPr>
        <w:pStyle w:val="FootnoteText"/>
      </w:pPr>
      <w:r>
        <w:rPr>
          <w:rStyle w:val="FootnoteReference"/>
        </w:rPr>
        <w:footnoteRef/>
      </w:r>
      <w:r>
        <w:t xml:space="preserve"> </w:t>
      </w:r>
      <w:r w:rsidRPr="00F7784A">
        <w:rPr>
          <w:i/>
          <w:color w:val="000000"/>
        </w:rPr>
        <w:t>AA Alloy Foundry (Pty) Ltd v Titaco Projects (Pty) Ltd</w:t>
      </w:r>
      <w:r w:rsidRPr="00282314">
        <w:rPr>
          <w:color w:val="000000"/>
        </w:rPr>
        <w:t xml:space="preserve"> 2000 (1) SA 639 (SCA) at 648 E-I</w:t>
      </w:r>
      <w:r>
        <w:rPr>
          <w:color w:val="000000"/>
        </w:rPr>
        <w:t xml:space="preserve">; </w:t>
      </w:r>
    </w:p>
  </w:footnote>
  <w:footnote w:id="12">
    <w:p w14:paraId="04A5115B" w14:textId="77777777" w:rsidR="00F00F4F" w:rsidRDefault="00F00F4F">
      <w:pPr>
        <w:pStyle w:val="FootnoteText"/>
      </w:pPr>
      <w:r>
        <w:rPr>
          <w:rStyle w:val="FootnoteReference"/>
        </w:rPr>
        <w:footnoteRef/>
      </w:r>
      <w:r>
        <w:t xml:space="preserve"> </w:t>
      </w:r>
      <w:r w:rsidRPr="00F7784A">
        <w:rPr>
          <w:i/>
          <w:color w:val="000000"/>
        </w:rPr>
        <w:t>Thoroughbred Breeders Association v Price Waterhouse</w:t>
      </w:r>
      <w:r w:rsidRPr="00282314">
        <w:rPr>
          <w:color w:val="000000"/>
        </w:rPr>
        <w:t xml:space="preserve"> 2001 (4) SA 551 (SCA) at 596 D-I</w:t>
      </w:r>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DD91" w14:textId="77777777" w:rsidR="00236346" w:rsidRDefault="00236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35BA00" w14:textId="77777777" w:rsidR="00236346" w:rsidRDefault="00236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084767"/>
      <w:docPartObj>
        <w:docPartGallery w:val="Page Numbers (Top of Page)"/>
        <w:docPartUnique/>
      </w:docPartObj>
    </w:sdtPr>
    <w:sdtEndPr>
      <w:rPr>
        <w:noProof/>
      </w:rPr>
    </w:sdtEndPr>
    <w:sdtContent>
      <w:p w14:paraId="0AC5DD58" w14:textId="77777777" w:rsidR="00236346" w:rsidRPr="00B45F72" w:rsidRDefault="00236346" w:rsidP="00766386">
        <w:pPr>
          <w:pStyle w:val="Header"/>
          <w:jc w:val="right"/>
        </w:pPr>
        <w:r>
          <w:fldChar w:fldCharType="begin"/>
        </w:r>
        <w:r>
          <w:instrText xml:space="preserve"> PAGE   \* MERGEFORMAT </w:instrText>
        </w:r>
        <w:r>
          <w:fldChar w:fldCharType="separate"/>
        </w:r>
        <w:r w:rsidR="00553B78">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25E6E" w14:textId="77777777" w:rsidR="00236346" w:rsidRDefault="00236346">
    <w:pPr>
      <w:pStyle w:val="Header"/>
      <w:jc w:val="right"/>
    </w:pPr>
  </w:p>
  <w:p w14:paraId="198D8073" w14:textId="77777777" w:rsidR="00236346" w:rsidRDefault="00236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29D"/>
    <w:multiLevelType w:val="hybridMultilevel"/>
    <w:tmpl w:val="3A843116"/>
    <w:lvl w:ilvl="0" w:tplc="2D2C462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924F96"/>
    <w:multiLevelType w:val="singleLevel"/>
    <w:tmpl w:val="0074AB64"/>
    <w:lvl w:ilvl="0">
      <w:start w:val="2"/>
      <w:numFmt w:val="decimal"/>
      <w:lvlText w:val="(%1)"/>
      <w:lvlJc w:val="left"/>
      <w:pPr>
        <w:ind w:left="432" w:hanging="360"/>
      </w:pPr>
      <w:rPr>
        <w:rFonts w:cs="Times New Roman" w:hint="default"/>
        <w:spacing w:val="3"/>
        <w:sz w:val="22"/>
        <w:szCs w:val="22"/>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98553D"/>
    <w:multiLevelType w:val="hybridMultilevel"/>
    <w:tmpl w:val="9A6E0B88"/>
    <w:lvl w:ilvl="0" w:tplc="C1A8BB0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09E1086"/>
    <w:multiLevelType w:val="hybridMultilevel"/>
    <w:tmpl w:val="A70CFD4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3093C96"/>
    <w:multiLevelType w:val="hybridMultilevel"/>
    <w:tmpl w:val="0FFA4EA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D8625F7"/>
    <w:multiLevelType w:val="hybridMultilevel"/>
    <w:tmpl w:val="5058C8F2"/>
    <w:lvl w:ilvl="0" w:tplc="1C09000F">
      <w:start w:val="3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F2E4380"/>
    <w:multiLevelType w:val="hybridMultilevel"/>
    <w:tmpl w:val="2E7494C2"/>
    <w:lvl w:ilvl="0" w:tplc="FE7EC12E">
      <w:start w:val="1"/>
      <w:numFmt w:val="lowerRoman"/>
      <w:lvlText w:val="(%1)"/>
      <w:lvlJc w:val="left"/>
      <w:pPr>
        <w:ind w:left="1854" w:hanging="720"/>
      </w:pPr>
      <w:rPr>
        <w:rFonts w:hint="default"/>
      </w:rPr>
    </w:lvl>
    <w:lvl w:ilvl="1" w:tplc="D7D6B09E">
      <w:numFmt w:val="bullet"/>
      <w:lvlText w:val="•"/>
      <w:lvlJc w:val="left"/>
      <w:pPr>
        <w:ind w:left="2304" w:hanging="450"/>
      </w:pPr>
      <w:rPr>
        <w:rFonts w:ascii="Arial" w:eastAsia="Times New Roman" w:hAnsi="Arial" w:cs="Arial" w:hint="default"/>
      </w:rPr>
    </w:lvl>
    <w:lvl w:ilvl="2" w:tplc="8B64FA8A">
      <w:start w:val="1"/>
      <w:numFmt w:val="decimal"/>
      <w:lvlText w:val="(%3)"/>
      <w:lvlJc w:val="left"/>
      <w:pPr>
        <w:ind w:left="3114" w:hanging="360"/>
      </w:pPr>
      <w:rPr>
        <w:rFonts w:cs="Times New Roman" w:hint="default"/>
      </w:r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0" w15:restartNumberingAfterBreak="0">
    <w:nsid w:val="351F281D"/>
    <w:multiLevelType w:val="hybridMultilevel"/>
    <w:tmpl w:val="48F2C69C"/>
    <w:lvl w:ilvl="0" w:tplc="859E9736">
      <w:start w:val="1"/>
      <w:numFmt w:val="decimal"/>
      <w:lvlText w:val="(%1)"/>
      <w:lvlJc w:val="left"/>
      <w:pPr>
        <w:ind w:left="930" w:hanging="57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1D2584F"/>
    <w:multiLevelType w:val="hybridMultilevel"/>
    <w:tmpl w:val="5048491C"/>
    <w:lvl w:ilvl="0" w:tplc="DEFAB7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DB2E8E"/>
    <w:multiLevelType w:val="hybridMultilevel"/>
    <w:tmpl w:val="6B0AD5E8"/>
    <w:lvl w:ilvl="0" w:tplc="1264F674">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51C0287"/>
    <w:multiLevelType w:val="multilevel"/>
    <w:tmpl w:val="2F7C0716"/>
    <w:lvl w:ilvl="0">
      <w:start w:val="1"/>
      <w:numFmt w:val="decimal"/>
      <w:pStyle w:val="LegalHeading1"/>
      <w:lvlText w:val="%1."/>
      <w:lvlJc w:val="left"/>
      <w:pPr>
        <w:tabs>
          <w:tab w:val="num" w:pos="567"/>
        </w:tabs>
        <w:ind w:left="567" w:hanging="567"/>
      </w:pPr>
      <w:rPr>
        <w:rFonts w:cs="Times New Roman" w:hint="default"/>
        <w:b w:val="0"/>
        <w:i w:val="0"/>
      </w:rPr>
    </w:lvl>
    <w:lvl w:ilvl="1">
      <w:start w:val="1"/>
      <w:numFmt w:val="lowerLetter"/>
      <w:lvlText w:val="(%2)."/>
      <w:lvlJc w:val="left"/>
      <w:pPr>
        <w:tabs>
          <w:tab w:val="num" w:pos="1134"/>
        </w:tabs>
        <w:ind w:left="1134" w:hanging="1134"/>
      </w:pPr>
      <w:rPr>
        <w:rFonts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14" w15:restartNumberingAfterBreak="0">
    <w:nsid w:val="461D13BD"/>
    <w:multiLevelType w:val="multilevel"/>
    <w:tmpl w:val="62B8B3E8"/>
    <w:lvl w:ilvl="0">
      <w:start w:val="1"/>
      <w:numFmt w:val="decimal"/>
      <w:pStyle w:val="JUGMENTNUMBERED"/>
      <w:lvlText w:val="[%1]"/>
      <w:lvlJc w:val="left"/>
      <w:pPr>
        <w:tabs>
          <w:tab w:val="num" w:pos="680"/>
        </w:tabs>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CA063EE"/>
    <w:multiLevelType w:val="hybridMultilevel"/>
    <w:tmpl w:val="CA00061E"/>
    <w:lvl w:ilvl="0" w:tplc="4E02F2D6">
      <w:start w:val="1"/>
      <w:numFmt w:val="decimal"/>
      <w:lvlText w:val="(%1)"/>
      <w:lvlJc w:val="left"/>
      <w:pPr>
        <w:ind w:left="311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2484B75"/>
    <w:multiLevelType w:val="hybridMultilevel"/>
    <w:tmpl w:val="2FE278BC"/>
    <w:lvl w:ilvl="0" w:tplc="0BC013F6">
      <w:start w:val="1"/>
      <w:numFmt w:val="lowerLetter"/>
      <w:lvlText w:val="(%1)."/>
      <w:lvlJc w:val="left"/>
      <w:pPr>
        <w:ind w:left="1287" w:hanging="36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7" w15:restartNumberingAfterBreak="0">
    <w:nsid w:val="55833EB4"/>
    <w:multiLevelType w:val="hybridMultilevel"/>
    <w:tmpl w:val="DEACF6B6"/>
    <w:lvl w:ilvl="0" w:tplc="E2F0973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8" w15:restartNumberingAfterBreak="0">
    <w:nsid w:val="58737F5F"/>
    <w:multiLevelType w:val="hybridMultilevel"/>
    <w:tmpl w:val="22DCC74E"/>
    <w:lvl w:ilvl="0" w:tplc="5418AF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87E30AB"/>
    <w:multiLevelType w:val="hybridMultilevel"/>
    <w:tmpl w:val="75ACC360"/>
    <w:lvl w:ilvl="0" w:tplc="698A5A9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9FE33ED"/>
    <w:multiLevelType w:val="hybridMultilevel"/>
    <w:tmpl w:val="C228214C"/>
    <w:lvl w:ilvl="0" w:tplc="004241E8">
      <w:start w:val="1"/>
      <w:numFmt w:val="decimal"/>
      <w:lvlText w:val="[%1]."/>
      <w:lvlJc w:val="left"/>
      <w:pPr>
        <w:ind w:left="720" w:hanging="360"/>
      </w:pPr>
      <w:rPr>
        <w:rFonts w:hint="default"/>
      </w:rPr>
    </w:lvl>
    <w:lvl w:ilvl="1" w:tplc="0BC013F6">
      <w:start w:val="1"/>
      <w:numFmt w:val="lowerLetter"/>
      <w:lvlText w:val="(%2)."/>
      <w:lvlJc w:val="left"/>
      <w:pPr>
        <w:ind w:left="1440" w:hanging="360"/>
      </w:pPr>
      <w:rPr>
        <w:rFonts w:hint="default"/>
      </w:rPr>
    </w:lvl>
    <w:lvl w:ilvl="2" w:tplc="A1FA804E">
      <w:start w:val="1"/>
      <w:numFmt w:val="lowerRoman"/>
      <w:lvlText w:val="(%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CB84884"/>
    <w:multiLevelType w:val="hybridMultilevel"/>
    <w:tmpl w:val="65388AE0"/>
    <w:lvl w:ilvl="0" w:tplc="D19251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D956F9E"/>
    <w:multiLevelType w:val="hybridMultilevel"/>
    <w:tmpl w:val="B810DBB8"/>
    <w:lvl w:ilvl="0" w:tplc="09EE6D54">
      <w:start w:val="1"/>
      <w:numFmt w:val="decimal"/>
      <w:lvlText w:val="(%1)"/>
      <w:lvlJc w:val="left"/>
      <w:pPr>
        <w:ind w:left="720" w:hanging="360"/>
      </w:pPr>
      <w:rPr>
        <w:rFonts w:cs="Times New Roman"/>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5B75C8D"/>
    <w:multiLevelType w:val="hybridMultilevel"/>
    <w:tmpl w:val="AB488C1A"/>
    <w:lvl w:ilvl="0" w:tplc="0BC013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D664155"/>
    <w:multiLevelType w:val="hybridMultilevel"/>
    <w:tmpl w:val="966EA6C8"/>
    <w:lvl w:ilvl="0" w:tplc="009EF64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EC716EF"/>
    <w:multiLevelType w:val="hybridMultilevel"/>
    <w:tmpl w:val="ECBA2E64"/>
    <w:lvl w:ilvl="0" w:tplc="D070E40A">
      <w:start w:val="1"/>
      <w:numFmt w:val="decimal"/>
      <w:lvlText w:val="(%1)"/>
      <w:lvlJc w:val="left"/>
      <w:pPr>
        <w:ind w:left="3114" w:hanging="360"/>
      </w:pPr>
      <w:rPr>
        <w:rFonts w:hint="default"/>
      </w:rPr>
    </w:lvl>
    <w:lvl w:ilvl="1" w:tplc="1C090019" w:tentative="1">
      <w:start w:val="1"/>
      <w:numFmt w:val="lowerLetter"/>
      <w:lvlText w:val="%2."/>
      <w:lvlJc w:val="left"/>
      <w:pPr>
        <w:ind w:left="3834" w:hanging="360"/>
      </w:pPr>
    </w:lvl>
    <w:lvl w:ilvl="2" w:tplc="1C09001B">
      <w:start w:val="1"/>
      <w:numFmt w:val="lowerRoman"/>
      <w:lvlText w:val="%3."/>
      <w:lvlJc w:val="right"/>
      <w:pPr>
        <w:ind w:left="4554" w:hanging="180"/>
      </w:pPr>
    </w:lvl>
    <w:lvl w:ilvl="3" w:tplc="1C09000F" w:tentative="1">
      <w:start w:val="1"/>
      <w:numFmt w:val="decimal"/>
      <w:lvlText w:val="%4."/>
      <w:lvlJc w:val="left"/>
      <w:pPr>
        <w:ind w:left="5274" w:hanging="360"/>
      </w:pPr>
    </w:lvl>
    <w:lvl w:ilvl="4" w:tplc="1C090019" w:tentative="1">
      <w:start w:val="1"/>
      <w:numFmt w:val="lowerLetter"/>
      <w:lvlText w:val="%5."/>
      <w:lvlJc w:val="left"/>
      <w:pPr>
        <w:ind w:left="5994" w:hanging="360"/>
      </w:pPr>
    </w:lvl>
    <w:lvl w:ilvl="5" w:tplc="1C09001B" w:tentative="1">
      <w:start w:val="1"/>
      <w:numFmt w:val="lowerRoman"/>
      <w:lvlText w:val="%6."/>
      <w:lvlJc w:val="right"/>
      <w:pPr>
        <w:ind w:left="6714" w:hanging="180"/>
      </w:pPr>
    </w:lvl>
    <w:lvl w:ilvl="6" w:tplc="1C09000F" w:tentative="1">
      <w:start w:val="1"/>
      <w:numFmt w:val="decimal"/>
      <w:lvlText w:val="%7."/>
      <w:lvlJc w:val="left"/>
      <w:pPr>
        <w:ind w:left="7434" w:hanging="360"/>
      </w:pPr>
    </w:lvl>
    <w:lvl w:ilvl="7" w:tplc="1C090019" w:tentative="1">
      <w:start w:val="1"/>
      <w:numFmt w:val="lowerLetter"/>
      <w:lvlText w:val="%8."/>
      <w:lvlJc w:val="left"/>
      <w:pPr>
        <w:ind w:left="8154" w:hanging="360"/>
      </w:pPr>
    </w:lvl>
    <w:lvl w:ilvl="8" w:tplc="1C09001B" w:tentative="1">
      <w:start w:val="1"/>
      <w:numFmt w:val="lowerRoman"/>
      <w:lvlText w:val="%9."/>
      <w:lvlJc w:val="right"/>
      <w:pPr>
        <w:ind w:left="8874" w:hanging="180"/>
      </w:pPr>
    </w:lvl>
  </w:abstractNum>
  <w:abstractNum w:abstractNumId="27" w15:restartNumberingAfterBreak="0">
    <w:nsid w:val="72795CDE"/>
    <w:multiLevelType w:val="hybridMultilevel"/>
    <w:tmpl w:val="EAA67ADE"/>
    <w:lvl w:ilvl="0" w:tplc="6C5A214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15:restartNumberingAfterBreak="0">
    <w:nsid w:val="7606031F"/>
    <w:multiLevelType w:val="hybridMultilevel"/>
    <w:tmpl w:val="B262E016"/>
    <w:lvl w:ilvl="0" w:tplc="D57E0422">
      <w:start w:val="1"/>
      <w:numFmt w:val="lowerLetter"/>
      <w:lvlText w:val="(%1)."/>
      <w:lvlJc w:val="left"/>
      <w:pPr>
        <w:ind w:left="1287"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A950937"/>
    <w:multiLevelType w:val="hybridMultilevel"/>
    <w:tmpl w:val="659212E6"/>
    <w:lvl w:ilvl="0" w:tplc="A1FA804E">
      <w:start w:val="1"/>
      <w:numFmt w:val="lowerRoman"/>
      <w:lvlText w:val="(%1)."/>
      <w:lvlJc w:val="right"/>
      <w:pPr>
        <w:ind w:left="1287" w:hanging="360"/>
      </w:pPr>
    </w:lvl>
    <w:lvl w:ilvl="1" w:tplc="1C090019">
      <w:start w:val="1"/>
      <w:numFmt w:val="lowerLetter"/>
      <w:lvlText w:val="%2."/>
      <w:lvlJc w:val="left"/>
      <w:pPr>
        <w:ind w:left="2007" w:hanging="360"/>
      </w:pPr>
    </w:lvl>
    <w:lvl w:ilvl="2" w:tplc="1C09001B">
      <w:start w:val="1"/>
      <w:numFmt w:val="lowerRoman"/>
      <w:lvlText w:val="%3."/>
      <w:lvlJc w:val="right"/>
      <w:pPr>
        <w:ind w:left="2727" w:hanging="180"/>
      </w:pPr>
    </w:lvl>
    <w:lvl w:ilvl="3" w:tplc="1C09000F">
      <w:start w:val="1"/>
      <w:numFmt w:val="decimal"/>
      <w:lvlText w:val="%4."/>
      <w:lvlJc w:val="left"/>
      <w:pPr>
        <w:ind w:left="3447" w:hanging="360"/>
      </w:pPr>
    </w:lvl>
    <w:lvl w:ilvl="4" w:tplc="1C090019">
      <w:start w:val="1"/>
      <w:numFmt w:val="lowerLetter"/>
      <w:lvlText w:val="%5."/>
      <w:lvlJc w:val="left"/>
      <w:pPr>
        <w:ind w:left="4167" w:hanging="360"/>
      </w:pPr>
    </w:lvl>
    <w:lvl w:ilvl="5" w:tplc="1C09001B">
      <w:start w:val="1"/>
      <w:numFmt w:val="lowerRoman"/>
      <w:lvlText w:val="%6."/>
      <w:lvlJc w:val="right"/>
      <w:pPr>
        <w:ind w:left="4887" w:hanging="180"/>
      </w:pPr>
    </w:lvl>
    <w:lvl w:ilvl="6" w:tplc="1C09000F">
      <w:start w:val="1"/>
      <w:numFmt w:val="decimal"/>
      <w:lvlText w:val="%7."/>
      <w:lvlJc w:val="left"/>
      <w:pPr>
        <w:ind w:left="5607" w:hanging="360"/>
      </w:pPr>
    </w:lvl>
    <w:lvl w:ilvl="7" w:tplc="1C090019">
      <w:start w:val="1"/>
      <w:numFmt w:val="lowerLetter"/>
      <w:lvlText w:val="%8."/>
      <w:lvlJc w:val="left"/>
      <w:pPr>
        <w:ind w:left="6327" w:hanging="360"/>
      </w:pPr>
    </w:lvl>
    <w:lvl w:ilvl="8" w:tplc="1C09001B">
      <w:start w:val="1"/>
      <w:numFmt w:val="lowerRoman"/>
      <w:lvlText w:val="%9."/>
      <w:lvlJc w:val="right"/>
      <w:pPr>
        <w:ind w:left="7047" w:hanging="180"/>
      </w:pPr>
    </w:lvl>
  </w:abstractNum>
  <w:num w:numId="1" w16cid:durableId="354774875">
    <w:abstractNumId w:val="4"/>
  </w:num>
  <w:num w:numId="2" w16cid:durableId="159347759">
    <w:abstractNumId w:val="13"/>
  </w:num>
  <w:num w:numId="3" w16cid:durableId="533924157">
    <w:abstractNumId w:val="23"/>
  </w:num>
  <w:num w:numId="4" w16cid:durableId="1723551511">
    <w:abstractNumId w:val="3"/>
    <w:lvlOverride w:ilvl="0">
      <w:startOverride w:val="1"/>
    </w:lvlOverride>
  </w:num>
  <w:num w:numId="5" w16cid:durableId="1505777144">
    <w:abstractNumId w:val="2"/>
  </w:num>
  <w:num w:numId="6" w16cid:durableId="961232745">
    <w:abstractNumId w:val="14"/>
  </w:num>
  <w:num w:numId="7" w16cid:durableId="1619335453">
    <w:abstractNumId w:val="9"/>
  </w:num>
  <w:num w:numId="8" w16cid:durableId="952831759">
    <w:abstractNumId w:val="20"/>
  </w:num>
  <w:num w:numId="9" w16cid:durableId="1510825064">
    <w:abstractNumId w:val="13"/>
  </w:num>
  <w:num w:numId="10" w16cid:durableId="1422294745">
    <w:abstractNumId w:val="24"/>
  </w:num>
  <w:num w:numId="11" w16cid:durableId="7607547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42023231">
    <w:abstractNumId w:val="11"/>
  </w:num>
  <w:num w:numId="13" w16cid:durableId="2094279726">
    <w:abstractNumId w:val="20"/>
  </w:num>
  <w:num w:numId="14" w16cid:durableId="1449465306">
    <w:abstractNumId w:val="1"/>
  </w:num>
  <w:num w:numId="15" w16cid:durableId="22068066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17449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4869833">
    <w:abstractNumId w:val="16"/>
  </w:num>
  <w:num w:numId="18" w16cid:durableId="760949642">
    <w:abstractNumId w:val="17"/>
  </w:num>
  <w:num w:numId="19" w16cid:durableId="1740398712">
    <w:abstractNumId w:val="22"/>
  </w:num>
  <w:num w:numId="20" w16cid:durableId="2013558206">
    <w:abstractNumId w:val="19"/>
  </w:num>
  <w:num w:numId="21" w16cid:durableId="1026977860">
    <w:abstractNumId w:val="28"/>
  </w:num>
  <w:num w:numId="22" w16cid:durableId="1932813412">
    <w:abstractNumId w:val="5"/>
  </w:num>
  <w:num w:numId="23" w16cid:durableId="2039432374">
    <w:abstractNumId w:val="25"/>
  </w:num>
  <w:num w:numId="24" w16cid:durableId="495730079">
    <w:abstractNumId w:val="0"/>
  </w:num>
  <w:num w:numId="25" w16cid:durableId="1294798583">
    <w:abstractNumId w:val="12"/>
  </w:num>
  <w:num w:numId="26" w16cid:durableId="2324763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378650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881805">
    <w:abstractNumId w:val="9"/>
  </w:num>
  <w:num w:numId="29" w16cid:durableId="1565408663">
    <w:abstractNumId w:val="18"/>
  </w:num>
  <w:num w:numId="30" w16cid:durableId="1140926149">
    <w:abstractNumId w:val="7"/>
  </w:num>
  <w:num w:numId="31" w16cid:durableId="660812826">
    <w:abstractNumId w:val="26"/>
  </w:num>
  <w:num w:numId="32" w16cid:durableId="350448367">
    <w:abstractNumId w:val="21"/>
  </w:num>
  <w:num w:numId="33" w16cid:durableId="1887141395">
    <w:abstractNumId w:val="6"/>
  </w:num>
  <w:num w:numId="34" w16cid:durableId="882866818">
    <w:abstractNumId w:val="8"/>
  </w:num>
  <w:num w:numId="35" w16cid:durableId="14969075">
    <w:abstractNumId w:val="15"/>
  </w:num>
  <w:num w:numId="36" w16cid:durableId="4359508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826"/>
    <w:rsid w:val="000024F0"/>
    <w:rsid w:val="000044DD"/>
    <w:rsid w:val="00006C41"/>
    <w:rsid w:val="0000726E"/>
    <w:rsid w:val="00010637"/>
    <w:rsid w:val="0001175F"/>
    <w:rsid w:val="000201EB"/>
    <w:rsid w:val="00022583"/>
    <w:rsid w:val="00022C07"/>
    <w:rsid w:val="00022F88"/>
    <w:rsid w:val="00025EA8"/>
    <w:rsid w:val="0002792E"/>
    <w:rsid w:val="00027B5A"/>
    <w:rsid w:val="00031B20"/>
    <w:rsid w:val="0003241F"/>
    <w:rsid w:val="0003289E"/>
    <w:rsid w:val="0003349A"/>
    <w:rsid w:val="00034856"/>
    <w:rsid w:val="000402A4"/>
    <w:rsid w:val="000445C8"/>
    <w:rsid w:val="000462E1"/>
    <w:rsid w:val="0004668A"/>
    <w:rsid w:val="00046699"/>
    <w:rsid w:val="00046717"/>
    <w:rsid w:val="0004728A"/>
    <w:rsid w:val="000473F9"/>
    <w:rsid w:val="00047C0F"/>
    <w:rsid w:val="00053277"/>
    <w:rsid w:val="00053CA7"/>
    <w:rsid w:val="000542A1"/>
    <w:rsid w:val="00055988"/>
    <w:rsid w:val="0005727B"/>
    <w:rsid w:val="000574A8"/>
    <w:rsid w:val="000578BA"/>
    <w:rsid w:val="0006059E"/>
    <w:rsid w:val="0006315B"/>
    <w:rsid w:val="000632FF"/>
    <w:rsid w:val="00066884"/>
    <w:rsid w:val="00070D07"/>
    <w:rsid w:val="00071294"/>
    <w:rsid w:val="00071615"/>
    <w:rsid w:val="00081021"/>
    <w:rsid w:val="000814F0"/>
    <w:rsid w:val="00081D5F"/>
    <w:rsid w:val="0008219B"/>
    <w:rsid w:val="00086BE3"/>
    <w:rsid w:val="00090F50"/>
    <w:rsid w:val="00095484"/>
    <w:rsid w:val="00095F0E"/>
    <w:rsid w:val="00096904"/>
    <w:rsid w:val="000A01AC"/>
    <w:rsid w:val="000A12C2"/>
    <w:rsid w:val="000A12C9"/>
    <w:rsid w:val="000A1606"/>
    <w:rsid w:val="000A3741"/>
    <w:rsid w:val="000A779C"/>
    <w:rsid w:val="000B3B8C"/>
    <w:rsid w:val="000B53AD"/>
    <w:rsid w:val="000B64EF"/>
    <w:rsid w:val="000C017F"/>
    <w:rsid w:val="000C2C18"/>
    <w:rsid w:val="000C3AF7"/>
    <w:rsid w:val="000C3F2A"/>
    <w:rsid w:val="000C4A10"/>
    <w:rsid w:val="000C564F"/>
    <w:rsid w:val="000C6C30"/>
    <w:rsid w:val="000C7321"/>
    <w:rsid w:val="000D0AF6"/>
    <w:rsid w:val="000D3D74"/>
    <w:rsid w:val="000D5E2F"/>
    <w:rsid w:val="000E01DD"/>
    <w:rsid w:val="000E091F"/>
    <w:rsid w:val="000E1836"/>
    <w:rsid w:val="000E1955"/>
    <w:rsid w:val="000E1E64"/>
    <w:rsid w:val="000E1EAC"/>
    <w:rsid w:val="000E2097"/>
    <w:rsid w:val="000E3A95"/>
    <w:rsid w:val="000E3AAB"/>
    <w:rsid w:val="000F0394"/>
    <w:rsid w:val="000F0DCE"/>
    <w:rsid w:val="000F1289"/>
    <w:rsid w:val="000F3B88"/>
    <w:rsid w:val="000F441B"/>
    <w:rsid w:val="000F7D88"/>
    <w:rsid w:val="00102771"/>
    <w:rsid w:val="00102D9D"/>
    <w:rsid w:val="0010314E"/>
    <w:rsid w:val="00105056"/>
    <w:rsid w:val="00105640"/>
    <w:rsid w:val="00106C97"/>
    <w:rsid w:val="00107E81"/>
    <w:rsid w:val="00110570"/>
    <w:rsid w:val="00110BD4"/>
    <w:rsid w:val="0011424F"/>
    <w:rsid w:val="00114D0F"/>
    <w:rsid w:val="0011574C"/>
    <w:rsid w:val="00115783"/>
    <w:rsid w:val="00116675"/>
    <w:rsid w:val="00116EF2"/>
    <w:rsid w:val="00120DE5"/>
    <w:rsid w:val="001218BA"/>
    <w:rsid w:val="001230FB"/>
    <w:rsid w:val="00123792"/>
    <w:rsid w:val="00123FBA"/>
    <w:rsid w:val="00124B7A"/>
    <w:rsid w:val="00124F00"/>
    <w:rsid w:val="00126288"/>
    <w:rsid w:val="00130E55"/>
    <w:rsid w:val="0013390C"/>
    <w:rsid w:val="001348F0"/>
    <w:rsid w:val="00140558"/>
    <w:rsid w:val="0014119D"/>
    <w:rsid w:val="0014239A"/>
    <w:rsid w:val="00147F04"/>
    <w:rsid w:val="00155F1F"/>
    <w:rsid w:val="00157F64"/>
    <w:rsid w:val="00160E8B"/>
    <w:rsid w:val="00163C01"/>
    <w:rsid w:val="0016529B"/>
    <w:rsid w:val="001654DE"/>
    <w:rsid w:val="00171416"/>
    <w:rsid w:val="001715FC"/>
    <w:rsid w:val="001730A8"/>
    <w:rsid w:val="001751E0"/>
    <w:rsid w:val="00176117"/>
    <w:rsid w:val="00177C74"/>
    <w:rsid w:val="0018024F"/>
    <w:rsid w:val="00183726"/>
    <w:rsid w:val="00185055"/>
    <w:rsid w:val="00185197"/>
    <w:rsid w:val="00185298"/>
    <w:rsid w:val="001904C3"/>
    <w:rsid w:val="00193988"/>
    <w:rsid w:val="0019694E"/>
    <w:rsid w:val="00196C48"/>
    <w:rsid w:val="00197892"/>
    <w:rsid w:val="001A6747"/>
    <w:rsid w:val="001A7168"/>
    <w:rsid w:val="001A719F"/>
    <w:rsid w:val="001B0045"/>
    <w:rsid w:val="001B04D1"/>
    <w:rsid w:val="001B182A"/>
    <w:rsid w:val="001B49F3"/>
    <w:rsid w:val="001C0A0D"/>
    <w:rsid w:val="001C1E85"/>
    <w:rsid w:val="001C2344"/>
    <w:rsid w:val="001C2642"/>
    <w:rsid w:val="001C2BAA"/>
    <w:rsid w:val="001C6877"/>
    <w:rsid w:val="001C70F8"/>
    <w:rsid w:val="001C7FDA"/>
    <w:rsid w:val="001D4CB9"/>
    <w:rsid w:val="001D5D9C"/>
    <w:rsid w:val="001D5F2F"/>
    <w:rsid w:val="001D6ACD"/>
    <w:rsid w:val="001E2508"/>
    <w:rsid w:val="001E4214"/>
    <w:rsid w:val="001E54EE"/>
    <w:rsid w:val="001E5C79"/>
    <w:rsid w:val="001E66C9"/>
    <w:rsid w:val="001E6B14"/>
    <w:rsid w:val="001F3099"/>
    <w:rsid w:val="001F316B"/>
    <w:rsid w:val="001F47D7"/>
    <w:rsid w:val="001F57B4"/>
    <w:rsid w:val="001F581D"/>
    <w:rsid w:val="001F5A8E"/>
    <w:rsid w:val="001F6D44"/>
    <w:rsid w:val="001F78C4"/>
    <w:rsid w:val="0020081C"/>
    <w:rsid w:val="00200D74"/>
    <w:rsid w:val="00200F5C"/>
    <w:rsid w:val="00202074"/>
    <w:rsid w:val="002027EC"/>
    <w:rsid w:val="00203F91"/>
    <w:rsid w:val="0020582F"/>
    <w:rsid w:val="00206218"/>
    <w:rsid w:val="0020664E"/>
    <w:rsid w:val="00207D06"/>
    <w:rsid w:val="00210E02"/>
    <w:rsid w:val="00211E4E"/>
    <w:rsid w:val="0021225B"/>
    <w:rsid w:val="00213B9F"/>
    <w:rsid w:val="002149EC"/>
    <w:rsid w:val="00214A6C"/>
    <w:rsid w:val="00214E3A"/>
    <w:rsid w:val="00214FF0"/>
    <w:rsid w:val="0021531D"/>
    <w:rsid w:val="00215A99"/>
    <w:rsid w:val="002161AB"/>
    <w:rsid w:val="002178A0"/>
    <w:rsid w:val="00217CF7"/>
    <w:rsid w:val="00220E20"/>
    <w:rsid w:val="00220F12"/>
    <w:rsid w:val="00223058"/>
    <w:rsid w:val="0022437C"/>
    <w:rsid w:val="00224EDB"/>
    <w:rsid w:val="002271ED"/>
    <w:rsid w:val="002273D3"/>
    <w:rsid w:val="00230307"/>
    <w:rsid w:val="002303E4"/>
    <w:rsid w:val="00230C36"/>
    <w:rsid w:val="00230DF6"/>
    <w:rsid w:val="00233A6E"/>
    <w:rsid w:val="00234007"/>
    <w:rsid w:val="00234507"/>
    <w:rsid w:val="00235AC0"/>
    <w:rsid w:val="00235EBC"/>
    <w:rsid w:val="00236346"/>
    <w:rsid w:val="00245AB9"/>
    <w:rsid w:val="00247370"/>
    <w:rsid w:val="00247A06"/>
    <w:rsid w:val="00252153"/>
    <w:rsid w:val="00253951"/>
    <w:rsid w:val="00257D52"/>
    <w:rsid w:val="00257DCC"/>
    <w:rsid w:val="002601DD"/>
    <w:rsid w:val="00261222"/>
    <w:rsid w:val="00261791"/>
    <w:rsid w:val="00262F54"/>
    <w:rsid w:val="00270461"/>
    <w:rsid w:val="0027069E"/>
    <w:rsid w:val="002707D9"/>
    <w:rsid w:val="00271071"/>
    <w:rsid w:val="00272260"/>
    <w:rsid w:val="00273099"/>
    <w:rsid w:val="00273196"/>
    <w:rsid w:val="00273A58"/>
    <w:rsid w:val="00275F90"/>
    <w:rsid w:val="0028129B"/>
    <w:rsid w:val="00282314"/>
    <w:rsid w:val="00284D9A"/>
    <w:rsid w:val="00286241"/>
    <w:rsid w:val="00286F5F"/>
    <w:rsid w:val="002910FD"/>
    <w:rsid w:val="00291F5A"/>
    <w:rsid w:val="002920DC"/>
    <w:rsid w:val="002924A9"/>
    <w:rsid w:val="002924E6"/>
    <w:rsid w:val="00293059"/>
    <w:rsid w:val="0029407B"/>
    <w:rsid w:val="00296B4D"/>
    <w:rsid w:val="002A02DD"/>
    <w:rsid w:val="002A0339"/>
    <w:rsid w:val="002A183B"/>
    <w:rsid w:val="002A2443"/>
    <w:rsid w:val="002A24CE"/>
    <w:rsid w:val="002A4952"/>
    <w:rsid w:val="002A7B19"/>
    <w:rsid w:val="002B0F1B"/>
    <w:rsid w:val="002B1051"/>
    <w:rsid w:val="002B1ABA"/>
    <w:rsid w:val="002B5A8F"/>
    <w:rsid w:val="002B6B65"/>
    <w:rsid w:val="002B6C0E"/>
    <w:rsid w:val="002C04E8"/>
    <w:rsid w:val="002C0FDD"/>
    <w:rsid w:val="002C15A4"/>
    <w:rsid w:val="002C4309"/>
    <w:rsid w:val="002C4603"/>
    <w:rsid w:val="002C4AC3"/>
    <w:rsid w:val="002C6BC7"/>
    <w:rsid w:val="002C7929"/>
    <w:rsid w:val="002D3126"/>
    <w:rsid w:val="002D33E9"/>
    <w:rsid w:val="002D3996"/>
    <w:rsid w:val="002D5A72"/>
    <w:rsid w:val="002D5BC0"/>
    <w:rsid w:val="002D672F"/>
    <w:rsid w:val="002D693C"/>
    <w:rsid w:val="002D6E26"/>
    <w:rsid w:val="002E0905"/>
    <w:rsid w:val="002E2102"/>
    <w:rsid w:val="002E26DB"/>
    <w:rsid w:val="002E47C9"/>
    <w:rsid w:val="002E49A9"/>
    <w:rsid w:val="002E5934"/>
    <w:rsid w:val="002E5CDA"/>
    <w:rsid w:val="002E654A"/>
    <w:rsid w:val="002F0534"/>
    <w:rsid w:val="002F15F5"/>
    <w:rsid w:val="002F3A96"/>
    <w:rsid w:val="00300053"/>
    <w:rsid w:val="0030029A"/>
    <w:rsid w:val="003047A4"/>
    <w:rsid w:val="0031174A"/>
    <w:rsid w:val="00313408"/>
    <w:rsid w:val="00314694"/>
    <w:rsid w:val="00314B8A"/>
    <w:rsid w:val="00314BF5"/>
    <w:rsid w:val="00314E0C"/>
    <w:rsid w:val="00315F1D"/>
    <w:rsid w:val="003165C3"/>
    <w:rsid w:val="00316678"/>
    <w:rsid w:val="00317219"/>
    <w:rsid w:val="00317BE4"/>
    <w:rsid w:val="00320D52"/>
    <w:rsid w:val="00322EE5"/>
    <w:rsid w:val="00322F1E"/>
    <w:rsid w:val="00323F2A"/>
    <w:rsid w:val="00324E14"/>
    <w:rsid w:val="00326DBA"/>
    <w:rsid w:val="00330C8B"/>
    <w:rsid w:val="003321FE"/>
    <w:rsid w:val="00332A59"/>
    <w:rsid w:val="003339AE"/>
    <w:rsid w:val="00340130"/>
    <w:rsid w:val="00340EBC"/>
    <w:rsid w:val="00341050"/>
    <w:rsid w:val="00342132"/>
    <w:rsid w:val="00342409"/>
    <w:rsid w:val="0034377D"/>
    <w:rsid w:val="00343A76"/>
    <w:rsid w:val="00345903"/>
    <w:rsid w:val="00352BA9"/>
    <w:rsid w:val="00353027"/>
    <w:rsid w:val="003539C4"/>
    <w:rsid w:val="00353CE9"/>
    <w:rsid w:val="00353FA4"/>
    <w:rsid w:val="003564AA"/>
    <w:rsid w:val="00360565"/>
    <w:rsid w:val="00363701"/>
    <w:rsid w:val="00363EDF"/>
    <w:rsid w:val="00364135"/>
    <w:rsid w:val="00364F91"/>
    <w:rsid w:val="0036670F"/>
    <w:rsid w:val="00366948"/>
    <w:rsid w:val="003704DC"/>
    <w:rsid w:val="0037249E"/>
    <w:rsid w:val="00374176"/>
    <w:rsid w:val="00374BEE"/>
    <w:rsid w:val="0037738F"/>
    <w:rsid w:val="00381B82"/>
    <w:rsid w:val="003828ED"/>
    <w:rsid w:val="003829F1"/>
    <w:rsid w:val="00384277"/>
    <w:rsid w:val="00385FAB"/>
    <w:rsid w:val="00391008"/>
    <w:rsid w:val="003926BE"/>
    <w:rsid w:val="00392AC0"/>
    <w:rsid w:val="00392F03"/>
    <w:rsid w:val="00392FF5"/>
    <w:rsid w:val="00395AD7"/>
    <w:rsid w:val="00395E16"/>
    <w:rsid w:val="0039631A"/>
    <w:rsid w:val="003A1FE4"/>
    <w:rsid w:val="003A2810"/>
    <w:rsid w:val="003A4D14"/>
    <w:rsid w:val="003A5867"/>
    <w:rsid w:val="003A65DE"/>
    <w:rsid w:val="003A7624"/>
    <w:rsid w:val="003B12D2"/>
    <w:rsid w:val="003C255A"/>
    <w:rsid w:val="003C30DF"/>
    <w:rsid w:val="003C5E65"/>
    <w:rsid w:val="003C6237"/>
    <w:rsid w:val="003C6522"/>
    <w:rsid w:val="003C6C62"/>
    <w:rsid w:val="003C6EE5"/>
    <w:rsid w:val="003D1632"/>
    <w:rsid w:val="003D67EE"/>
    <w:rsid w:val="003E1497"/>
    <w:rsid w:val="003E23C2"/>
    <w:rsid w:val="003E33C4"/>
    <w:rsid w:val="003E51D2"/>
    <w:rsid w:val="003E7988"/>
    <w:rsid w:val="003F0384"/>
    <w:rsid w:val="003F22DC"/>
    <w:rsid w:val="003F357D"/>
    <w:rsid w:val="003F57FE"/>
    <w:rsid w:val="003F601A"/>
    <w:rsid w:val="003F637D"/>
    <w:rsid w:val="003F687C"/>
    <w:rsid w:val="003F7774"/>
    <w:rsid w:val="004012AE"/>
    <w:rsid w:val="00401AA7"/>
    <w:rsid w:val="00401ECA"/>
    <w:rsid w:val="00402313"/>
    <w:rsid w:val="00402D96"/>
    <w:rsid w:val="00403BD5"/>
    <w:rsid w:val="00407050"/>
    <w:rsid w:val="00410A52"/>
    <w:rsid w:val="00411C77"/>
    <w:rsid w:val="00412548"/>
    <w:rsid w:val="00414CFD"/>
    <w:rsid w:val="00414D64"/>
    <w:rsid w:val="00415DB9"/>
    <w:rsid w:val="00417F88"/>
    <w:rsid w:val="00422270"/>
    <w:rsid w:val="00422DE9"/>
    <w:rsid w:val="00422E2C"/>
    <w:rsid w:val="00423021"/>
    <w:rsid w:val="00423B6D"/>
    <w:rsid w:val="004247C9"/>
    <w:rsid w:val="0042486A"/>
    <w:rsid w:val="00424A84"/>
    <w:rsid w:val="00425DA7"/>
    <w:rsid w:val="00425E0A"/>
    <w:rsid w:val="00426587"/>
    <w:rsid w:val="00426DFD"/>
    <w:rsid w:val="004271FA"/>
    <w:rsid w:val="00427D7F"/>
    <w:rsid w:val="0043118E"/>
    <w:rsid w:val="00431BFE"/>
    <w:rsid w:val="00432221"/>
    <w:rsid w:val="0043381C"/>
    <w:rsid w:val="004341CB"/>
    <w:rsid w:val="00435B66"/>
    <w:rsid w:val="00441F8C"/>
    <w:rsid w:val="00442BAE"/>
    <w:rsid w:val="0044319C"/>
    <w:rsid w:val="004459C6"/>
    <w:rsid w:val="004460B7"/>
    <w:rsid w:val="004473E6"/>
    <w:rsid w:val="00447FD7"/>
    <w:rsid w:val="00451F69"/>
    <w:rsid w:val="00453830"/>
    <w:rsid w:val="00454196"/>
    <w:rsid w:val="00454458"/>
    <w:rsid w:val="00454D4A"/>
    <w:rsid w:val="00456058"/>
    <w:rsid w:val="00460609"/>
    <w:rsid w:val="00462F0B"/>
    <w:rsid w:val="00464253"/>
    <w:rsid w:val="004643B3"/>
    <w:rsid w:val="004650A0"/>
    <w:rsid w:val="00470F99"/>
    <w:rsid w:val="004713C0"/>
    <w:rsid w:val="004737A6"/>
    <w:rsid w:val="004738F7"/>
    <w:rsid w:val="00474852"/>
    <w:rsid w:val="00475066"/>
    <w:rsid w:val="004754F7"/>
    <w:rsid w:val="00476EF9"/>
    <w:rsid w:val="00477000"/>
    <w:rsid w:val="0047728D"/>
    <w:rsid w:val="00482005"/>
    <w:rsid w:val="00483010"/>
    <w:rsid w:val="004836A8"/>
    <w:rsid w:val="0048792B"/>
    <w:rsid w:val="00487D66"/>
    <w:rsid w:val="00490E8F"/>
    <w:rsid w:val="004938E2"/>
    <w:rsid w:val="00494D5B"/>
    <w:rsid w:val="00495DFD"/>
    <w:rsid w:val="004A0022"/>
    <w:rsid w:val="004A1E61"/>
    <w:rsid w:val="004A64E2"/>
    <w:rsid w:val="004A69D3"/>
    <w:rsid w:val="004A7C02"/>
    <w:rsid w:val="004B0F6D"/>
    <w:rsid w:val="004B20DB"/>
    <w:rsid w:val="004B2E24"/>
    <w:rsid w:val="004B4386"/>
    <w:rsid w:val="004B60A1"/>
    <w:rsid w:val="004B6987"/>
    <w:rsid w:val="004B6BF6"/>
    <w:rsid w:val="004B7E32"/>
    <w:rsid w:val="004C0244"/>
    <w:rsid w:val="004C0C23"/>
    <w:rsid w:val="004C672F"/>
    <w:rsid w:val="004D124F"/>
    <w:rsid w:val="004D2006"/>
    <w:rsid w:val="004D2106"/>
    <w:rsid w:val="004D4CB5"/>
    <w:rsid w:val="004D5D47"/>
    <w:rsid w:val="004D77DB"/>
    <w:rsid w:val="004D7D69"/>
    <w:rsid w:val="004E00FA"/>
    <w:rsid w:val="004E4CEF"/>
    <w:rsid w:val="004E4F3C"/>
    <w:rsid w:val="004E5DF9"/>
    <w:rsid w:val="004E644B"/>
    <w:rsid w:val="004F017E"/>
    <w:rsid w:val="004F06FE"/>
    <w:rsid w:val="004F10C6"/>
    <w:rsid w:val="004F1C61"/>
    <w:rsid w:val="004F2B4D"/>
    <w:rsid w:val="004F33A2"/>
    <w:rsid w:val="004F7771"/>
    <w:rsid w:val="00503A07"/>
    <w:rsid w:val="00503CE9"/>
    <w:rsid w:val="00504AFC"/>
    <w:rsid w:val="00505572"/>
    <w:rsid w:val="005118A6"/>
    <w:rsid w:val="00511A0B"/>
    <w:rsid w:val="00511BBC"/>
    <w:rsid w:val="00512916"/>
    <w:rsid w:val="00513653"/>
    <w:rsid w:val="00513719"/>
    <w:rsid w:val="0051485B"/>
    <w:rsid w:val="00514B23"/>
    <w:rsid w:val="0052022D"/>
    <w:rsid w:val="00520591"/>
    <w:rsid w:val="00521094"/>
    <w:rsid w:val="005220DE"/>
    <w:rsid w:val="00523855"/>
    <w:rsid w:val="00523F39"/>
    <w:rsid w:val="00525DA6"/>
    <w:rsid w:val="005261D9"/>
    <w:rsid w:val="005264E8"/>
    <w:rsid w:val="005303C0"/>
    <w:rsid w:val="00530E4D"/>
    <w:rsid w:val="005318FD"/>
    <w:rsid w:val="005330A7"/>
    <w:rsid w:val="00533C08"/>
    <w:rsid w:val="0053743B"/>
    <w:rsid w:val="00540D08"/>
    <w:rsid w:val="00540D76"/>
    <w:rsid w:val="00540EF4"/>
    <w:rsid w:val="00542274"/>
    <w:rsid w:val="005425A5"/>
    <w:rsid w:val="00542869"/>
    <w:rsid w:val="00545D61"/>
    <w:rsid w:val="00546620"/>
    <w:rsid w:val="00547B6D"/>
    <w:rsid w:val="0055313D"/>
    <w:rsid w:val="00553B78"/>
    <w:rsid w:val="0055482B"/>
    <w:rsid w:val="005557AD"/>
    <w:rsid w:val="00555901"/>
    <w:rsid w:val="00557477"/>
    <w:rsid w:val="00561B3A"/>
    <w:rsid w:val="005642BB"/>
    <w:rsid w:val="0056589D"/>
    <w:rsid w:val="00565A95"/>
    <w:rsid w:val="005665D4"/>
    <w:rsid w:val="00566CDC"/>
    <w:rsid w:val="005675F3"/>
    <w:rsid w:val="00570EF4"/>
    <w:rsid w:val="005717F2"/>
    <w:rsid w:val="00572554"/>
    <w:rsid w:val="005729A7"/>
    <w:rsid w:val="00572EFF"/>
    <w:rsid w:val="0057429E"/>
    <w:rsid w:val="00580142"/>
    <w:rsid w:val="0058260D"/>
    <w:rsid w:val="00582E13"/>
    <w:rsid w:val="005830FE"/>
    <w:rsid w:val="00583EF7"/>
    <w:rsid w:val="00586028"/>
    <w:rsid w:val="00587EBB"/>
    <w:rsid w:val="00590812"/>
    <w:rsid w:val="005914A4"/>
    <w:rsid w:val="00591596"/>
    <w:rsid w:val="00591A4E"/>
    <w:rsid w:val="00592459"/>
    <w:rsid w:val="0059342A"/>
    <w:rsid w:val="005958D4"/>
    <w:rsid w:val="00597786"/>
    <w:rsid w:val="005A0C73"/>
    <w:rsid w:val="005A216A"/>
    <w:rsid w:val="005A22DF"/>
    <w:rsid w:val="005A43A6"/>
    <w:rsid w:val="005B0A20"/>
    <w:rsid w:val="005B17FC"/>
    <w:rsid w:val="005B618E"/>
    <w:rsid w:val="005B6F3C"/>
    <w:rsid w:val="005C0303"/>
    <w:rsid w:val="005C1410"/>
    <w:rsid w:val="005C3882"/>
    <w:rsid w:val="005C5220"/>
    <w:rsid w:val="005C5505"/>
    <w:rsid w:val="005C6FB7"/>
    <w:rsid w:val="005C763B"/>
    <w:rsid w:val="005C7C82"/>
    <w:rsid w:val="005D0C11"/>
    <w:rsid w:val="005D411C"/>
    <w:rsid w:val="005D7057"/>
    <w:rsid w:val="005E0981"/>
    <w:rsid w:val="005E1975"/>
    <w:rsid w:val="005E2831"/>
    <w:rsid w:val="005E4946"/>
    <w:rsid w:val="005E6CE5"/>
    <w:rsid w:val="005F0553"/>
    <w:rsid w:val="005F2312"/>
    <w:rsid w:val="005F49F5"/>
    <w:rsid w:val="005F68FD"/>
    <w:rsid w:val="005F72E9"/>
    <w:rsid w:val="00600E49"/>
    <w:rsid w:val="00600F23"/>
    <w:rsid w:val="006077CA"/>
    <w:rsid w:val="0061534E"/>
    <w:rsid w:val="0062393B"/>
    <w:rsid w:val="00623FF2"/>
    <w:rsid w:val="00625283"/>
    <w:rsid w:val="006253BF"/>
    <w:rsid w:val="00625747"/>
    <w:rsid w:val="00626303"/>
    <w:rsid w:val="0062690C"/>
    <w:rsid w:val="006272EE"/>
    <w:rsid w:val="00627C4C"/>
    <w:rsid w:val="00630DF9"/>
    <w:rsid w:val="006311BA"/>
    <w:rsid w:val="006313C9"/>
    <w:rsid w:val="00632181"/>
    <w:rsid w:val="00632E6C"/>
    <w:rsid w:val="00635BD5"/>
    <w:rsid w:val="00636A69"/>
    <w:rsid w:val="00640CF7"/>
    <w:rsid w:val="006413C3"/>
    <w:rsid w:val="00642074"/>
    <w:rsid w:val="00642CBF"/>
    <w:rsid w:val="00644813"/>
    <w:rsid w:val="00646160"/>
    <w:rsid w:val="00652E4B"/>
    <w:rsid w:val="00653587"/>
    <w:rsid w:val="0065360E"/>
    <w:rsid w:val="006544BC"/>
    <w:rsid w:val="00657245"/>
    <w:rsid w:val="0066114F"/>
    <w:rsid w:val="006625F0"/>
    <w:rsid w:val="0066303C"/>
    <w:rsid w:val="006634BA"/>
    <w:rsid w:val="00665443"/>
    <w:rsid w:val="00665483"/>
    <w:rsid w:val="00665BBD"/>
    <w:rsid w:val="00665BE8"/>
    <w:rsid w:val="006677B0"/>
    <w:rsid w:val="00670AF7"/>
    <w:rsid w:val="00670BE0"/>
    <w:rsid w:val="00676D30"/>
    <w:rsid w:val="006812E5"/>
    <w:rsid w:val="006815B3"/>
    <w:rsid w:val="00684829"/>
    <w:rsid w:val="00687EC8"/>
    <w:rsid w:val="00690F32"/>
    <w:rsid w:val="00692812"/>
    <w:rsid w:val="00696C18"/>
    <w:rsid w:val="00696E2A"/>
    <w:rsid w:val="006A0AA9"/>
    <w:rsid w:val="006A0B57"/>
    <w:rsid w:val="006A0FCA"/>
    <w:rsid w:val="006A2026"/>
    <w:rsid w:val="006A7A6C"/>
    <w:rsid w:val="006B1945"/>
    <w:rsid w:val="006B34E1"/>
    <w:rsid w:val="006B3518"/>
    <w:rsid w:val="006B45E7"/>
    <w:rsid w:val="006B5760"/>
    <w:rsid w:val="006B5C4C"/>
    <w:rsid w:val="006B6D3A"/>
    <w:rsid w:val="006B739E"/>
    <w:rsid w:val="006B7CDD"/>
    <w:rsid w:val="006C06CB"/>
    <w:rsid w:val="006C10F7"/>
    <w:rsid w:val="006C75AB"/>
    <w:rsid w:val="006C7A8B"/>
    <w:rsid w:val="006C7F1A"/>
    <w:rsid w:val="006D0461"/>
    <w:rsid w:val="006D063A"/>
    <w:rsid w:val="006D1DCC"/>
    <w:rsid w:val="006D3032"/>
    <w:rsid w:val="006D43C4"/>
    <w:rsid w:val="006D4572"/>
    <w:rsid w:val="006D4C72"/>
    <w:rsid w:val="006D67A1"/>
    <w:rsid w:val="006D722B"/>
    <w:rsid w:val="006D7938"/>
    <w:rsid w:val="006E0E17"/>
    <w:rsid w:val="006E2C4F"/>
    <w:rsid w:val="006E5E65"/>
    <w:rsid w:val="006F16B8"/>
    <w:rsid w:val="006F3208"/>
    <w:rsid w:val="006F3DB5"/>
    <w:rsid w:val="006F5DC2"/>
    <w:rsid w:val="006F6AF8"/>
    <w:rsid w:val="00700254"/>
    <w:rsid w:val="0070328E"/>
    <w:rsid w:val="00705082"/>
    <w:rsid w:val="00705418"/>
    <w:rsid w:val="00705E2F"/>
    <w:rsid w:val="00706D4B"/>
    <w:rsid w:val="00707AC9"/>
    <w:rsid w:val="00710722"/>
    <w:rsid w:val="0071131D"/>
    <w:rsid w:val="00712BFD"/>
    <w:rsid w:val="00713DC1"/>
    <w:rsid w:val="00713F36"/>
    <w:rsid w:val="00716430"/>
    <w:rsid w:val="00720193"/>
    <w:rsid w:val="007204C5"/>
    <w:rsid w:val="00720DCC"/>
    <w:rsid w:val="00720FA4"/>
    <w:rsid w:val="007221E2"/>
    <w:rsid w:val="00722981"/>
    <w:rsid w:val="00726A81"/>
    <w:rsid w:val="00726C25"/>
    <w:rsid w:val="00727B75"/>
    <w:rsid w:val="00727C4C"/>
    <w:rsid w:val="00732BA3"/>
    <w:rsid w:val="00733068"/>
    <w:rsid w:val="00733088"/>
    <w:rsid w:val="007338D1"/>
    <w:rsid w:val="00733E81"/>
    <w:rsid w:val="00736099"/>
    <w:rsid w:val="007458A7"/>
    <w:rsid w:val="00745C2A"/>
    <w:rsid w:val="00754808"/>
    <w:rsid w:val="00755318"/>
    <w:rsid w:val="007569B6"/>
    <w:rsid w:val="00756E0D"/>
    <w:rsid w:val="007571C2"/>
    <w:rsid w:val="00757CF5"/>
    <w:rsid w:val="007610BA"/>
    <w:rsid w:val="00761D9E"/>
    <w:rsid w:val="00761FA7"/>
    <w:rsid w:val="00763355"/>
    <w:rsid w:val="00763D7C"/>
    <w:rsid w:val="0076525B"/>
    <w:rsid w:val="007652C6"/>
    <w:rsid w:val="00765AC2"/>
    <w:rsid w:val="00766386"/>
    <w:rsid w:val="00766BC0"/>
    <w:rsid w:val="00766C91"/>
    <w:rsid w:val="00766CF8"/>
    <w:rsid w:val="00772430"/>
    <w:rsid w:val="0077388E"/>
    <w:rsid w:val="00773AAE"/>
    <w:rsid w:val="00775826"/>
    <w:rsid w:val="007776FF"/>
    <w:rsid w:val="0077775C"/>
    <w:rsid w:val="007777F4"/>
    <w:rsid w:val="00781994"/>
    <w:rsid w:val="00783E42"/>
    <w:rsid w:val="00787121"/>
    <w:rsid w:val="0078717C"/>
    <w:rsid w:val="00787A4F"/>
    <w:rsid w:val="0079381A"/>
    <w:rsid w:val="00794B55"/>
    <w:rsid w:val="007954F2"/>
    <w:rsid w:val="0079585B"/>
    <w:rsid w:val="00795974"/>
    <w:rsid w:val="00797161"/>
    <w:rsid w:val="007A0869"/>
    <w:rsid w:val="007A138E"/>
    <w:rsid w:val="007A1C5A"/>
    <w:rsid w:val="007A287B"/>
    <w:rsid w:val="007A3C61"/>
    <w:rsid w:val="007A7170"/>
    <w:rsid w:val="007A7B40"/>
    <w:rsid w:val="007B272D"/>
    <w:rsid w:val="007B3A9E"/>
    <w:rsid w:val="007B422D"/>
    <w:rsid w:val="007B5A0B"/>
    <w:rsid w:val="007B7919"/>
    <w:rsid w:val="007B7C1C"/>
    <w:rsid w:val="007C17FB"/>
    <w:rsid w:val="007C465F"/>
    <w:rsid w:val="007C5738"/>
    <w:rsid w:val="007C7EA3"/>
    <w:rsid w:val="007D12AF"/>
    <w:rsid w:val="007D165A"/>
    <w:rsid w:val="007D1A12"/>
    <w:rsid w:val="007D247F"/>
    <w:rsid w:val="007D25D5"/>
    <w:rsid w:val="007D27AD"/>
    <w:rsid w:val="007D2A9D"/>
    <w:rsid w:val="007D3873"/>
    <w:rsid w:val="007D3E94"/>
    <w:rsid w:val="007D4738"/>
    <w:rsid w:val="007D600C"/>
    <w:rsid w:val="007D677C"/>
    <w:rsid w:val="007D7B75"/>
    <w:rsid w:val="007D7CB0"/>
    <w:rsid w:val="007E012D"/>
    <w:rsid w:val="007E1C3D"/>
    <w:rsid w:val="007E2C1A"/>
    <w:rsid w:val="007E2C20"/>
    <w:rsid w:val="007E35AF"/>
    <w:rsid w:val="007E3F4C"/>
    <w:rsid w:val="007E5976"/>
    <w:rsid w:val="007E66CE"/>
    <w:rsid w:val="007E6E8B"/>
    <w:rsid w:val="007E7C12"/>
    <w:rsid w:val="007E7DBC"/>
    <w:rsid w:val="007F049E"/>
    <w:rsid w:val="007F2625"/>
    <w:rsid w:val="007F3DB4"/>
    <w:rsid w:val="007F4023"/>
    <w:rsid w:val="007F44E1"/>
    <w:rsid w:val="007F7AE1"/>
    <w:rsid w:val="008002E0"/>
    <w:rsid w:val="008004D5"/>
    <w:rsid w:val="00800F99"/>
    <w:rsid w:val="0080126D"/>
    <w:rsid w:val="00802904"/>
    <w:rsid w:val="00804282"/>
    <w:rsid w:val="00804D29"/>
    <w:rsid w:val="00806FCA"/>
    <w:rsid w:val="008079AD"/>
    <w:rsid w:val="0081170B"/>
    <w:rsid w:val="00812BA7"/>
    <w:rsid w:val="0081785F"/>
    <w:rsid w:val="00820FD1"/>
    <w:rsid w:val="0082139E"/>
    <w:rsid w:val="00821DF4"/>
    <w:rsid w:val="008233A8"/>
    <w:rsid w:val="00823855"/>
    <w:rsid w:val="008246AB"/>
    <w:rsid w:val="0082547B"/>
    <w:rsid w:val="00827116"/>
    <w:rsid w:val="008274A6"/>
    <w:rsid w:val="00831AB2"/>
    <w:rsid w:val="00834122"/>
    <w:rsid w:val="00834B98"/>
    <w:rsid w:val="00836245"/>
    <w:rsid w:val="00836C74"/>
    <w:rsid w:val="008378A3"/>
    <w:rsid w:val="00841BB6"/>
    <w:rsid w:val="0084371A"/>
    <w:rsid w:val="0084669D"/>
    <w:rsid w:val="00846AA7"/>
    <w:rsid w:val="00846F26"/>
    <w:rsid w:val="0084771B"/>
    <w:rsid w:val="0085095D"/>
    <w:rsid w:val="00851A68"/>
    <w:rsid w:val="008526BD"/>
    <w:rsid w:val="00854763"/>
    <w:rsid w:val="0085560F"/>
    <w:rsid w:val="00856B35"/>
    <w:rsid w:val="008574FB"/>
    <w:rsid w:val="0086121B"/>
    <w:rsid w:val="008628C4"/>
    <w:rsid w:val="00865470"/>
    <w:rsid w:val="00867EAC"/>
    <w:rsid w:val="00872693"/>
    <w:rsid w:val="00875F92"/>
    <w:rsid w:val="00876890"/>
    <w:rsid w:val="00876B1D"/>
    <w:rsid w:val="00880E23"/>
    <w:rsid w:val="008827A5"/>
    <w:rsid w:val="00883096"/>
    <w:rsid w:val="0088405B"/>
    <w:rsid w:val="0088576B"/>
    <w:rsid w:val="00890603"/>
    <w:rsid w:val="00890D68"/>
    <w:rsid w:val="008948FF"/>
    <w:rsid w:val="0089565B"/>
    <w:rsid w:val="008958F2"/>
    <w:rsid w:val="00897DAE"/>
    <w:rsid w:val="008A0776"/>
    <w:rsid w:val="008A099F"/>
    <w:rsid w:val="008A0E0A"/>
    <w:rsid w:val="008A472E"/>
    <w:rsid w:val="008A4A98"/>
    <w:rsid w:val="008A509C"/>
    <w:rsid w:val="008A64DE"/>
    <w:rsid w:val="008A69B2"/>
    <w:rsid w:val="008A6B9C"/>
    <w:rsid w:val="008B1224"/>
    <w:rsid w:val="008B1556"/>
    <w:rsid w:val="008B326B"/>
    <w:rsid w:val="008B3FFD"/>
    <w:rsid w:val="008B4AA8"/>
    <w:rsid w:val="008B5038"/>
    <w:rsid w:val="008B6E91"/>
    <w:rsid w:val="008C19EE"/>
    <w:rsid w:val="008C2D0F"/>
    <w:rsid w:val="008C308C"/>
    <w:rsid w:val="008C535C"/>
    <w:rsid w:val="008C7E0F"/>
    <w:rsid w:val="008D03DA"/>
    <w:rsid w:val="008D1209"/>
    <w:rsid w:val="008D2CA9"/>
    <w:rsid w:val="008D2DA8"/>
    <w:rsid w:val="008D2DB2"/>
    <w:rsid w:val="008D2E6F"/>
    <w:rsid w:val="008E040E"/>
    <w:rsid w:val="008E09B8"/>
    <w:rsid w:val="008E3A95"/>
    <w:rsid w:val="008E4025"/>
    <w:rsid w:val="008E4A54"/>
    <w:rsid w:val="008E4DD4"/>
    <w:rsid w:val="008E6058"/>
    <w:rsid w:val="008E68BA"/>
    <w:rsid w:val="008E6A17"/>
    <w:rsid w:val="008F01F9"/>
    <w:rsid w:val="008F2574"/>
    <w:rsid w:val="008F37BE"/>
    <w:rsid w:val="008F4562"/>
    <w:rsid w:val="008F666C"/>
    <w:rsid w:val="008F6ADE"/>
    <w:rsid w:val="0090139D"/>
    <w:rsid w:val="009020BE"/>
    <w:rsid w:val="0090343D"/>
    <w:rsid w:val="00903BE2"/>
    <w:rsid w:val="00904BA1"/>
    <w:rsid w:val="009059FD"/>
    <w:rsid w:val="00906022"/>
    <w:rsid w:val="00910CE2"/>
    <w:rsid w:val="0091102F"/>
    <w:rsid w:val="009115DE"/>
    <w:rsid w:val="0091281C"/>
    <w:rsid w:val="00913EDB"/>
    <w:rsid w:val="00915507"/>
    <w:rsid w:val="009169B6"/>
    <w:rsid w:val="0091748B"/>
    <w:rsid w:val="00920109"/>
    <w:rsid w:val="00920875"/>
    <w:rsid w:val="009234DE"/>
    <w:rsid w:val="00923A6B"/>
    <w:rsid w:val="009240A7"/>
    <w:rsid w:val="00927C0C"/>
    <w:rsid w:val="009304A4"/>
    <w:rsid w:val="009314F3"/>
    <w:rsid w:val="00931B02"/>
    <w:rsid w:val="009331EF"/>
    <w:rsid w:val="00933EB2"/>
    <w:rsid w:val="00935089"/>
    <w:rsid w:val="00935966"/>
    <w:rsid w:val="00940584"/>
    <w:rsid w:val="00944EF0"/>
    <w:rsid w:val="00944F8F"/>
    <w:rsid w:val="00946F23"/>
    <w:rsid w:val="00946F8A"/>
    <w:rsid w:val="00947375"/>
    <w:rsid w:val="00952064"/>
    <w:rsid w:val="009537B9"/>
    <w:rsid w:val="00953A0B"/>
    <w:rsid w:val="00954CE3"/>
    <w:rsid w:val="009603BB"/>
    <w:rsid w:val="00960A29"/>
    <w:rsid w:val="00960DCF"/>
    <w:rsid w:val="009610C4"/>
    <w:rsid w:val="009626F0"/>
    <w:rsid w:val="00962749"/>
    <w:rsid w:val="0096333F"/>
    <w:rsid w:val="00963AE3"/>
    <w:rsid w:val="009657B4"/>
    <w:rsid w:val="00966386"/>
    <w:rsid w:val="00966B92"/>
    <w:rsid w:val="00967D07"/>
    <w:rsid w:val="009704CC"/>
    <w:rsid w:val="00971499"/>
    <w:rsid w:val="009716CC"/>
    <w:rsid w:val="00973A1E"/>
    <w:rsid w:val="00973C02"/>
    <w:rsid w:val="009757AD"/>
    <w:rsid w:val="00980229"/>
    <w:rsid w:val="00981DAF"/>
    <w:rsid w:val="00984E7A"/>
    <w:rsid w:val="00985B0B"/>
    <w:rsid w:val="00991BE6"/>
    <w:rsid w:val="0099237C"/>
    <w:rsid w:val="0099352B"/>
    <w:rsid w:val="00995500"/>
    <w:rsid w:val="0099681B"/>
    <w:rsid w:val="009A143F"/>
    <w:rsid w:val="009A3E79"/>
    <w:rsid w:val="009A5024"/>
    <w:rsid w:val="009A7E98"/>
    <w:rsid w:val="009B1265"/>
    <w:rsid w:val="009B15BA"/>
    <w:rsid w:val="009B1FF9"/>
    <w:rsid w:val="009B2E80"/>
    <w:rsid w:val="009B43DE"/>
    <w:rsid w:val="009B4BB4"/>
    <w:rsid w:val="009B56E5"/>
    <w:rsid w:val="009B6537"/>
    <w:rsid w:val="009C2505"/>
    <w:rsid w:val="009C5162"/>
    <w:rsid w:val="009D15B1"/>
    <w:rsid w:val="009D1B99"/>
    <w:rsid w:val="009D57A8"/>
    <w:rsid w:val="009D5AC0"/>
    <w:rsid w:val="009D5EA2"/>
    <w:rsid w:val="009D70B4"/>
    <w:rsid w:val="009D7A09"/>
    <w:rsid w:val="009E07F6"/>
    <w:rsid w:val="009E31C2"/>
    <w:rsid w:val="009E3E41"/>
    <w:rsid w:val="009E4764"/>
    <w:rsid w:val="009E544F"/>
    <w:rsid w:val="009E5CB7"/>
    <w:rsid w:val="009E66E8"/>
    <w:rsid w:val="009E7B20"/>
    <w:rsid w:val="009F2D0C"/>
    <w:rsid w:val="009F489A"/>
    <w:rsid w:val="009F5172"/>
    <w:rsid w:val="009F5D6E"/>
    <w:rsid w:val="009F6C26"/>
    <w:rsid w:val="009F6D17"/>
    <w:rsid w:val="00A00A33"/>
    <w:rsid w:val="00A03AB5"/>
    <w:rsid w:val="00A042B8"/>
    <w:rsid w:val="00A051E2"/>
    <w:rsid w:val="00A077A6"/>
    <w:rsid w:val="00A11793"/>
    <w:rsid w:val="00A12BB1"/>
    <w:rsid w:val="00A13D95"/>
    <w:rsid w:val="00A1630B"/>
    <w:rsid w:val="00A1750E"/>
    <w:rsid w:val="00A2171C"/>
    <w:rsid w:val="00A2271E"/>
    <w:rsid w:val="00A2434F"/>
    <w:rsid w:val="00A24C05"/>
    <w:rsid w:val="00A24FDD"/>
    <w:rsid w:val="00A258BD"/>
    <w:rsid w:val="00A25CBA"/>
    <w:rsid w:val="00A26A2F"/>
    <w:rsid w:val="00A311D3"/>
    <w:rsid w:val="00A32117"/>
    <w:rsid w:val="00A33E7A"/>
    <w:rsid w:val="00A34723"/>
    <w:rsid w:val="00A34C86"/>
    <w:rsid w:val="00A34DD5"/>
    <w:rsid w:val="00A351D9"/>
    <w:rsid w:val="00A36613"/>
    <w:rsid w:val="00A36F01"/>
    <w:rsid w:val="00A37CED"/>
    <w:rsid w:val="00A37F9A"/>
    <w:rsid w:val="00A424FC"/>
    <w:rsid w:val="00A42700"/>
    <w:rsid w:val="00A42A8E"/>
    <w:rsid w:val="00A44EFD"/>
    <w:rsid w:val="00A45184"/>
    <w:rsid w:val="00A55505"/>
    <w:rsid w:val="00A55736"/>
    <w:rsid w:val="00A5695A"/>
    <w:rsid w:val="00A57C8A"/>
    <w:rsid w:val="00A61396"/>
    <w:rsid w:val="00A6157A"/>
    <w:rsid w:val="00A62088"/>
    <w:rsid w:val="00A62B2F"/>
    <w:rsid w:val="00A63DEF"/>
    <w:rsid w:val="00A64E6B"/>
    <w:rsid w:val="00A655F3"/>
    <w:rsid w:val="00A67E64"/>
    <w:rsid w:val="00A70430"/>
    <w:rsid w:val="00A70CDF"/>
    <w:rsid w:val="00A71EFE"/>
    <w:rsid w:val="00A73B4D"/>
    <w:rsid w:val="00A7536E"/>
    <w:rsid w:val="00A75FCD"/>
    <w:rsid w:val="00A774F3"/>
    <w:rsid w:val="00A77B2F"/>
    <w:rsid w:val="00A80D38"/>
    <w:rsid w:val="00A80F3D"/>
    <w:rsid w:val="00A811F0"/>
    <w:rsid w:val="00A814AF"/>
    <w:rsid w:val="00A81EFD"/>
    <w:rsid w:val="00A82466"/>
    <w:rsid w:val="00A82835"/>
    <w:rsid w:val="00A8327C"/>
    <w:rsid w:val="00A84826"/>
    <w:rsid w:val="00A850CE"/>
    <w:rsid w:val="00A8540F"/>
    <w:rsid w:val="00A87399"/>
    <w:rsid w:val="00A87C30"/>
    <w:rsid w:val="00A903A4"/>
    <w:rsid w:val="00A90B05"/>
    <w:rsid w:val="00A92BBA"/>
    <w:rsid w:val="00A93CA5"/>
    <w:rsid w:val="00A946DB"/>
    <w:rsid w:val="00AA092F"/>
    <w:rsid w:val="00AA5F6D"/>
    <w:rsid w:val="00AA6169"/>
    <w:rsid w:val="00AB11CA"/>
    <w:rsid w:val="00AB14A5"/>
    <w:rsid w:val="00AB1BD1"/>
    <w:rsid w:val="00AB1EFE"/>
    <w:rsid w:val="00AB49DF"/>
    <w:rsid w:val="00AB70D9"/>
    <w:rsid w:val="00AB74F0"/>
    <w:rsid w:val="00AC0562"/>
    <w:rsid w:val="00AC0E7E"/>
    <w:rsid w:val="00AC4F0A"/>
    <w:rsid w:val="00AC5A33"/>
    <w:rsid w:val="00AC6ED9"/>
    <w:rsid w:val="00AC6FCA"/>
    <w:rsid w:val="00AC7A58"/>
    <w:rsid w:val="00AD06C4"/>
    <w:rsid w:val="00AD32FF"/>
    <w:rsid w:val="00AD3E8F"/>
    <w:rsid w:val="00AD41F8"/>
    <w:rsid w:val="00AD4E45"/>
    <w:rsid w:val="00AD7511"/>
    <w:rsid w:val="00AD7CD9"/>
    <w:rsid w:val="00AE4747"/>
    <w:rsid w:val="00AE654D"/>
    <w:rsid w:val="00AE69DC"/>
    <w:rsid w:val="00AF541A"/>
    <w:rsid w:val="00AF601F"/>
    <w:rsid w:val="00B0058A"/>
    <w:rsid w:val="00B02383"/>
    <w:rsid w:val="00B03103"/>
    <w:rsid w:val="00B03E45"/>
    <w:rsid w:val="00B04AD3"/>
    <w:rsid w:val="00B05E39"/>
    <w:rsid w:val="00B07D3A"/>
    <w:rsid w:val="00B07D41"/>
    <w:rsid w:val="00B11188"/>
    <w:rsid w:val="00B11363"/>
    <w:rsid w:val="00B14307"/>
    <w:rsid w:val="00B14866"/>
    <w:rsid w:val="00B162AD"/>
    <w:rsid w:val="00B1686D"/>
    <w:rsid w:val="00B17041"/>
    <w:rsid w:val="00B17416"/>
    <w:rsid w:val="00B20F4C"/>
    <w:rsid w:val="00B229CB"/>
    <w:rsid w:val="00B2528C"/>
    <w:rsid w:val="00B26C8D"/>
    <w:rsid w:val="00B30389"/>
    <w:rsid w:val="00B318EF"/>
    <w:rsid w:val="00B32378"/>
    <w:rsid w:val="00B324BE"/>
    <w:rsid w:val="00B33307"/>
    <w:rsid w:val="00B34B54"/>
    <w:rsid w:val="00B36B5A"/>
    <w:rsid w:val="00B376B8"/>
    <w:rsid w:val="00B37A94"/>
    <w:rsid w:val="00B410AD"/>
    <w:rsid w:val="00B427FF"/>
    <w:rsid w:val="00B429B6"/>
    <w:rsid w:val="00B449DC"/>
    <w:rsid w:val="00B45957"/>
    <w:rsid w:val="00B45F72"/>
    <w:rsid w:val="00B52DAD"/>
    <w:rsid w:val="00B52DB8"/>
    <w:rsid w:val="00B53C4C"/>
    <w:rsid w:val="00B5477F"/>
    <w:rsid w:val="00B55F2E"/>
    <w:rsid w:val="00B62CD7"/>
    <w:rsid w:val="00B6307B"/>
    <w:rsid w:val="00B63E74"/>
    <w:rsid w:val="00B64DDB"/>
    <w:rsid w:val="00B713E8"/>
    <w:rsid w:val="00B71A61"/>
    <w:rsid w:val="00B71DC2"/>
    <w:rsid w:val="00B7493D"/>
    <w:rsid w:val="00B74B43"/>
    <w:rsid w:val="00B74D6C"/>
    <w:rsid w:val="00B76557"/>
    <w:rsid w:val="00B84047"/>
    <w:rsid w:val="00B847F3"/>
    <w:rsid w:val="00B85096"/>
    <w:rsid w:val="00B8552F"/>
    <w:rsid w:val="00B86246"/>
    <w:rsid w:val="00B86D7B"/>
    <w:rsid w:val="00B9020E"/>
    <w:rsid w:val="00B92B7B"/>
    <w:rsid w:val="00B93A86"/>
    <w:rsid w:val="00B95F71"/>
    <w:rsid w:val="00B965F6"/>
    <w:rsid w:val="00B9693A"/>
    <w:rsid w:val="00B96E6F"/>
    <w:rsid w:val="00BA3B7F"/>
    <w:rsid w:val="00BA40C7"/>
    <w:rsid w:val="00BA611C"/>
    <w:rsid w:val="00BA63F7"/>
    <w:rsid w:val="00BB05A0"/>
    <w:rsid w:val="00BB26AE"/>
    <w:rsid w:val="00BB35CF"/>
    <w:rsid w:val="00BB3686"/>
    <w:rsid w:val="00BB3A2E"/>
    <w:rsid w:val="00BB4FBB"/>
    <w:rsid w:val="00BB5C9F"/>
    <w:rsid w:val="00BB6E57"/>
    <w:rsid w:val="00BB7341"/>
    <w:rsid w:val="00BB7B48"/>
    <w:rsid w:val="00BC06E8"/>
    <w:rsid w:val="00BC0A98"/>
    <w:rsid w:val="00BC103A"/>
    <w:rsid w:val="00BC125B"/>
    <w:rsid w:val="00BC3764"/>
    <w:rsid w:val="00BC7CEB"/>
    <w:rsid w:val="00BD2198"/>
    <w:rsid w:val="00BD241C"/>
    <w:rsid w:val="00BD279E"/>
    <w:rsid w:val="00BD30FE"/>
    <w:rsid w:val="00BD351B"/>
    <w:rsid w:val="00BD6F9F"/>
    <w:rsid w:val="00BD7C19"/>
    <w:rsid w:val="00BE0BC1"/>
    <w:rsid w:val="00BE19C2"/>
    <w:rsid w:val="00BE253F"/>
    <w:rsid w:val="00BE3209"/>
    <w:rsid w:val="00BE34C3"/>
    <w:rsid w:val="00BE3FF2"/>
    <w:rsid w:val="00BE4BE4"/>
    <w:rsid w:val="00BE5508"/>
    <w:rsid w:val="00BE5C18"/>
    <w:rsid w:val="00BE6294"/>
    <w:rsid w:val="00BE785A"/>
    <w:rsid w:val="00BE7BC4"/>
    <w:rsid w:val="00BF3770"/>
    <w:rsid w:val="00BF3809"/>
    <w:rsid w:val="00BF38D9"/>
    <w:rsid w:val="00BF415E"/>
    <w:rsid w:val="00BF4192"/>
    <w:rsid w:val="00BF6DC1"/>
    <w:rsid w:val="00C019EF"/>
    <w:rsid w:val="00C02379"/>
    <w:rsid w:val="00C03EB3"/>
    <w:rsid w:val="00C04027"/>
    <w:rsid w:val="00C07048"/>
    <w:rsid w:val="00C0771D"/>
    <w:rsid w:val="00C0791B"/>
    <w:rsid w:val="00C12BFC"/>
    <w:rsid w:val="00C1307E"/>
    <w:rsid w:val="00C13A01"/>
    <w:rsid w:val="00C1441D"/>
    <w:rsid w:val="00C154C7"/>
    <w:rsid w:val="00C175FD"/>
    <w:rsid w:val="00C2045F"/>
    <w:rsid w:val="00C22A64"/>
    <w:rsid w:val="00C237F1"/>
    <w:rsid w:val="00C243AE"/>
    <w:rsid w:val="00C2489B"/>
    <w:rsid w:val="00C2576D"/>
    <w:rsid w:val="00C26D57"/>
    <w:rsid w:val="00C274CB"/>
    <w:rsid w:val="00C27973"/>
    <w:rsid w:val="00C30AB3"/>
    <w:rsid w:val="00C31797"/>
    <w:rsid w:val="00C33E37"/>
    <w:rsid w:val="00C36137"/>
    <w:rsid w:val="00C374AB"/>
    <w:rsid w:val="00C422E3"/>
    <w:rsid w:val="00C4250C"/>
    <w:rsid w:val="00C437FB"/>
    <w:rsid w:val="00C460B6"/>
    <w:rsid w:val="00C46184"/>
    <w:rsid w:val="00C474E5"/>
    <w:rsid w:val="00C561B1"/>
    <w:rsid w:val="00C56E50"/>
    <w:rsid w:val="00C5766D"/>
    <w:rsid w:val="00C57975"/>
    <w:rsid w:val="00C57C9A"/>
    <w:rsid w:val="00C57E35"/>
    <w:rsid w:val="00C60C3E"/>
    <w:rsid w:val="00C61684"/>
    <w:rsid w:val="00C61E65"/>
    <w:rsid w:val="00C62247"/>
    <w:rsid w:val="00C624EB"/>
    <w:rsid w:val="00C636A9"/>
    <w:rsid w:val="00C642CA"/>
    <w:rsid w:val="00C651D2"/>
    <w:rsid w:val="00C6578F"/>
    <w:rsid w:val="00C66738"/>
    <w:rsid w:val="00C67E90"/>
    <w:rsid w:val="00C70A93"/>
    <w:rsid w:val="00C71C93"/>
    <w:rsid w:val="00C72C59"/>
    <w:rsid w:val="00C747C7"/>
    <w:rsid w:val="00C75847"/>
    <w:rsid w:val="00C75943"/>
    <w:rsid w:val="00C77A9F"/>
    <w:rsid w:val="00C8037F"/>
    <w:rsid w:val="00C80A65"/>
    <w:rsid w:val="00C80BAB"/>
    <w:rsid w:val="00C80D5E"/>
    <w:rsid w:val="00C80DDA"/>
    <w:rsid w:val="00C815D7"/>
    <w:rsid w:val="00C82A9F"/>
    <w:rsid w:val="00C82B5B"/>
    <w:rsid w:val="00C82C88"/>
    <w:rsid w:val="00C82ECE"/>
    <w:rsid w:val="00C8419E"/>
    <w:rsid w:val="00C842D0"/>
    <w:rsid w:val="00C8690D"/>
    <w:rsid w:val="00C86D50"/>
    <w:rsid w:val="00C870DC"/>
    <w:rsid w:val="00C87933"/>
    <w:rsid w:val="00C91F36"/>
    <w:rsid w:val="00C93C7B"/>
    <w:rsid w:val="00C941AE"/>
    <w:rsid w:val="00C9445F"/>
    <w:rsid w:val="00C95C34"/>
    <w:rsid w:val="00C96315"/>
    <w:rsid w:val="00C963F2"/>
    <w:rsid w:val="00C96903"/>
    <w:rsid w:val="00CA137A"/>
    <w:rsid w:val="00CA17AB"/>
    <w:rsid w:val="00CA1825"/>
    <w:rsid w:val="00CA2132"/>
    <w:rsid w:val="00CA2F29"/>
    <w:rsid w:val="00CA44D3"/>
    <w:rsid w:val="00CA4B4D"/>
    <w:rsid w:val="00CA4D38"/>
    <w:rsid w:val="00CA4E7B"/>
    <w:rsid w:val="00CB20C0"/>
    <w:rsid w:val="00CB41BB"/>
    <w:rsid w:val="00CB465C"/>
    <w:rsid w:val="00CB5734"/>
    <w:rsid w:val="00CB629C"/>
    <w:rsid w:val="00CC04BD"/>
    <w:rsid w:val="00CC1622"/>
    <w:rsid w:val="00CC2854"/>
    <w:rsid w:val="00CC37B5"/>
    <w:rsid w:val="00CC40E7"/>
    <w:rsid w:val="00CC6058"/>
    <w:rsid w:val="00CC66F1"/>
    <w:rsid w:val="00CC7B5B"/>
    <w:rsid w:val="00CD06C7"/>
    <w:rsid w:val="00CD0FD6"/>
    <w:rsid w:val="00CD7E0E"/>
    <w:rsid w:val="00CE02E1"/>
    <w:rsid w:val="00CE0501"/>
    <w:rsid w:val="00CE0657"/>
    <w:rsid w:val="00CE134C"/>
    <w:rsid w:val="00CE3785"/>
    <w:rsid w:val="00CE3B3E"/>
    <w:rsid w:val="00CE3EDF"/>
    <w:rsid w:val="00CE4DD9"/>
    <w:rsid w:val="00CE5F0E"/>
    <w:rsid w:val="00CF01CD"/>
    <w:rsid w:val="00CF05ED"/>
    <w:rsid w:val="00CF72F5"/>
    <w:rsid w:val="00D01545"/>
    <w:rsid w:val="00D017D5"/>
    <w:rsid w:val="00D02B71"/>
    <w:rsid w:val="00D14255"/>
    <w:rsid w:val="00D153D4"/>
    <w:rsid w:val="00D16098"/>
    <w:rsid w:val="00D178D0"/>
    <w:rsid w:val="00D17BCE"/>
    <w:rsid w:val="00D20C7E"/>
    <w:rsid w:val="00D23C19"/>
    <w:rsid w:val="00D241BC"/>
    <w:rsid w:val="00D25AB2"/>
    <w:rsid w:val="00D30A84"/>
    <w:rsid w:val="00D30E9F"/>
    <w:rsid w:val="00D31A6E"/>
    <w:rsid w:val="00D31D26"/>
    <w:rsid w:val="00D33E0D"/>
    <w:rsid w:val="00D346AB"/>
    <w:rsid w:val="00D3618B"/>
    <w:rsid w:val="00D3646B"/>
    <w:rsid w:val="00D36C6D"/>
    <w:rsid w:val="00D36DD4"/>
    <w:rsid w:val="00D3701B"/>
    <w:rsid w:val="00D379C0"/>
    <w:rsid w:val="00D37C97"/>
    <w:rsid w:val="00D37D12"/>
    <w:rsid w:val="00D40FB9"/>
    <w:rsid w:val="00D41D15"/>
    <w:rsid w:val="00D42513"/>
    <w:rsid w:val="00D44DF6"/>
    <w:rsid w:val="00D45ED6"/>
    <w:rsid w:val="00D460FE"/>
    <w:rsid w:val="00D47D0F"/>
    <w:rsid w:val="00D509E5"/>
    <w:rsid w:val="00D520DB"/>
    <w:rsid w:val="00D537B2"/>
    <w:rsid w:val="00D56B92"/>
    <w:rsid w:val="00D6327C"/>
    <w:rsid w:val="00D63801"/>
    <w:rsid w:val="00D64235"/>
    <w:rsid w:val="00D656DA"/>
    <w:rsid w:val="00D66175"/>
    <w:rsid w:val="00D66B24"/>
    <w:rsid w:val="00D74E04"/>
    <w:rsid w:val="00D760BA"/>
    <w:rsid w:val="00D778C0"/>
    <w:rsid w:val="00D812F1"/>
    <w:rsid w:val="00D814DE"/>
    <w:rsid w:val="00D81586"/>
    <w:rsid w:val="00D84E91"/>
    <w:rsid w:val="00D93D01"/>
    <w:rsid w:val="00D94C12"/>
    <w:rsid w:val="00D95635"/>
    <w:rsid w:val="00D95C4D"/>
    <w:rsid w:val="00D96D5A"/>
    <w:rsid w:val="00DA02E1"/>
    <w:rsid w:val="00DA3815"/>
    <w:rsid w:val="00DA3FFC"/>
    <w:rsid w:val="00DA434B"/>
    <w:rsid w:val="00DA43FF"/>
    <w:rsid w:val="00DA4DDD"/>
    <w:rsid w:val="00DA6625"/>
    <w:rsid w:val="00DA6EDC"/>
    <w:rsid w:val="00DA7388"/>
    <w:rsid w:val="00DA7B38"/>
    <w:rsid w:val="00DB0B9E"/>
    <w:rsid w:val="00DB1A1D"/>
    <w:rsid w:val="00DB24DB"/>
    <w:rsid w:val="00DB3F80"/>
    <w:rsid w:val="00DB4C5C"/>
    <w:rsid w:val="00DB6063"/>
    <w:rsid w:val="00DB6966"/>
    <w:rsid w:val="00DC3E47"/>
    <w:rsid w:val="00DC4C5F"/>
    <w:rsid w:val="00DC658B"/>
    <w:rsid w:val="00DC766D"/>
    <w:rsid w:val="00DD04BB"/>
    <w:rsid w:val="00DD2128"/>
    <w:rsid w:val="00DD26CC"/>
    <w:rsid w:val="00DD43A0"/>
    <w:rsid w:val="00DD5D1E"/>
    <w:rsid w:val="00DD649A"/>
    <w:rsid w:val="00DE01EE"/>
    <w:rsid w:val="00DE25F1"/>
    <w:rsid w:val="00DE50B4"/>
    <w:rsid w:val="00DE5FBD"/>
    <w:rsid w:val="00DE6787"/>
    <w:rsid w:val="00DE6AE4"/>
    <w:rsid w:val="00DF188A"/>
    <w:rsid w:val="00DF19EE"/>
    <w:rsid w:val="00DF3591"/>
    <w:rsid w:val="00DF6C04"/>
    <w:rsid w:val="00DF7585"/>
    <w:rsid w:val="00E005B2"/>
    <w:rsid w:val="00E01F90"/>
    <w:rsid w:val="00E02FB2"/>
    <w:rsid w:val="00E04D12"/>
    <w:rsid w:val="00E05383"/>
    <w:rsid w:val="00E0678B"/>
    <w:rsid w:val="00E06BC1"/>
    <w:rsid w:val="00E06CD4"/>
    <w:rsid w:val="00E0711D"/>
    <w:rsid w:val="00E11CBB"/>
    <w:rsid w:val="00E12691"/>
    <w:rsid w:val="00E1339B"/>
    <w:rsid w:val="00E149D0"/>
    <w:rsid w:val="00E1634B"/>
    <w:rsid w:val="00E206ED"/>
    <w:rsid w:val="00E20811"/>
    <w:rsid w:val="00E21D69"/>
    <w:rsid w:val="00E237DC"/>
    <w:rsid w:val="00E257C6"/>
    <w:rsid w:val="00E2629A"/>
    <w:rsid w:val="00E26F14"/>
    <w:rsid w:val="00E27020"/>
    <w:rsid w:val="00E30837"/>
    <w:rsid w:val="00E311B7"/>
    <w:rsid w:val="00E33321"/>
    <w:rsid w:val="00E3517A"/>
    <w:rsid w:val="00E35C5E"/>
    <w:rsid w:val="00E36644"/>
    <w:rsid w:val="00E378FA"/>
    <w:rsid w:val="00E37B19"/>
    <w:rsid w:val="00E40C72"/>
    <w:rsid w:val="00E4537D"/>
    <w:rsid w:val="00E454B4"/>
    <w:rsid w:val="00E4575C"/>
    <w:rsid w:val="00E459E5"/>
    <w:rsid w:val="00E46319"/>
    <w:rsid w:val="00E46FC6"/>
    <w:rsid w:val="00E51848"/>
    <w:rsid w:val="00E54DF1"/>
    <w:rsid w:val="00E553C5"/>
    <w:rsid w:val="00E5577D"/>
    <w:rsid w:val="00E55AE4"/>
    <w:rsid w:val="00E55E7E"/>
    <w:rsid w:val="00E563D8"/>
    <w:rsid w:val="00E56B73"/>
    <w:rsid w:val="00E5741F"/>
    <w:rsid w:val="00E60C01"/>
    <w:rsid w:val="00E62017"/>
    <w:rsid w:val="00E623A5"/>
    <w:rsid w:val="00E62C0B"/>
    <w:rsid w:val="00E63A64"/>
    <w:rsid w:val="00E64075"/>
    <w:rsid w:val="00E64577"/>
    <w:rsid w:val="00E673E6"/>
    <w:rsid w:val="00E7139D"/>
    <w:rsid w:val="00E72FD1"/>
    <w:rsid w:val="00E741C6"/>
    <w:rsid w:val="00E750D6"/>
    <w:rsid w:val="00E761D9"/>
    <w:rsid w:val="00E84642"/>
    <w:rsid w:val="00E87AC5"/>
    <w:rsid w:val="00E909A2"/>
    <w:rsid w:val="00E91F60"/>
    <w:rsid w:val="00E92C2C"/>
    <w:rsid w:val="00E92CD7"/>
    <w:rsid w:val="00E9302B"/>
    <w:rsid w:val="00E95115"/>
    <w:rsid w:val="00E96407"/>
    <w:rsid w:val="00E96BD7"/>
    <w:rsid w:val="00EA13B5"/>
    <w:rsid w:val="00EA221B"/>
    <w:rsid w:val="00EA25C7"/>
    <w:rsid w:val="00EA26CF"/>
    <w:rsid w:val="00EA2900"/>
    <w:rsid w:val="00EA2F19"/>
    <w:rsid w:val="00EA3C73"/>
    <w:rsid w:val="00EA4185"/>
    <w:rsid w:val="00EA689F"/>
    <w:rsid w:val="00EA6A8C"/>
    <w:rsid w:val="00EA72A9"/>
    <w:rsid w:val="00EB0615"/>
    <w:rsid w:val="00EB0FD8"/>
    <w:rsid w:val="00EB1D98"/>
    <w:rsid w:val="00EB272E"/>
    <w:rsid w:val="00EB2D4C"/>
    <w:rsid w:val="00EB3A65"/>
    <w:rsid w:val="00EB640C"/>
    <w:rsid w:val="00EB6693"/>
    <w:rsid w:val="00EC1816"/>
    <w:rsid w:val="00EC1A99"/>
    <w:rsid w:val="00EC2428"/>
    <w:rsid w:val="00EC2F7C"/>
    <w:rsid w:val="00EC4264"/>
    <w:rsid w:val="00EC5311"/>
    <w:rsid w:val="00EC59D3"/>
    <w:rsid w:val="00EC692C"/>
    <w:rsid w:val="00EC6E09"/>
    <w:rsid w:val="00EC7316"/>
    <w:rsid w:val="00ED1897"/>
    <w:rsid w:val="00ED3583"/>
    <w:rsid w:val="00ED4623"/>
    <w:rsid w:val="00ED4AFC"/>
    <w:rsid w:val="00ED51DC"/>
    <w:rsid w:val="00ED5963"/>
    <w:rsid w:val="00ED671E"/>
    <w:rsid w:val="00EE072E"/>
    <w:rsid w:val="00EE15A1"/>
    <w:rsid w:val="00EE1DB6"/>
    <w:rsid w:val="00EE3473"/>
    <w:rsid w:val="00EE3D84"/>
    <w:rsid w:val="00EE5DE1"/>
    <w:rsid w:val="00EF187A"/>
    <w:rsid w:val="00EF2AEB"/>
    <w:rsid w:val="00EF2CBE"/>
    <w:rsid w:val="00EF4735"/>
    <w:rsid w:val="00EF5A2C"/>
    <w:rsid w:val="00EF6F21"/>
    <w:rsid w:val="00EF7871"/>
    <w:rsid w:val="00F00002"/>
    <w:rsid w:val="00F00C8F"/>
    <w:rsid w:val="00F00F4F"/>
    <w:rsid w:val="00F02530"/>
    <w:rsid w:val="00F02BCE"/>
    <w:rsid w:val="00F0314B"/>
    <w:rsid w:val="00F05559"/>
    <w:rsid w:val="00F06C6E"/>
    <w:rsid w:val="00F06F65"/>
    <w:rsid w:val="00F07AE1"/>
    <w:rsid w:val="00F1065C"/>
    <w:rsid w:val="00F10692"/>
    <w:rsid w:val="00F20513"/>
    <w:rsid w:val="00F219AF"/>
    <w:rsid w:val="00F229F7"/>
    <w:rsid w:val="00F22B4C"/>
    <w:rsid w:val="00F23591"/>
    <w:rsid w:val="00F24830"/>
    <w:rsid w:val="00F24F96"/>
    <w:rsid w:val="00F2521D"/>
    <w:rsid w:val="00F31CF2"/>
    <w:rsid w:val="00F3226A"/>
    <w:rsid w:val="00F32E0B"/>
    <w:rsid w:val="00F33C62"/>
    <w:rsid w:val="00F34E17"/>
    <w:rsid w:val="00F35F53"/>
    <w:rsid w:val="00F36C53"/>
    <w:rsid w:val="00F36F65"/>
    <w:rsid w:val="00F40E6F"/>
    <w:rsid w:val="00F41882"/>
    <w:rsid w:val="00F456FD"/>
    <w:rsid w:val="00F46447"/>
    <w:rsid w:val="00F573B4"/>
    <w:rsid w:val="00F578D2"/>
    <w:rsid w:val="00F6005B"/>
    <w:rsid w:val="00F6060C"/>
    <w:rsid w:val="00F64AB8"/>
    <w:rsid w:val="00F6511D"/>
    <w:rsid w:val="00F673B7"/>
    <w:rsid w:val="00F70CF8"/>
    <w:rsid w:val="00F76392"/>
    <w:rsid w:val="00F7784A"/>
    <w:rsid w:val="00F77FCD"/>
    <w:rsid w:val="00F81585"/>
    <w:rsid w:val="00F81DFE"/>
    <w:rsid w:val="00F85578"/>
    <w:rsid w:val="00F85A4F"/>
    <w:rsid w:val="00F86558"/>
    <w:rsid w:val="00F865F1"/>
    <w:rsid w:val="00F86670"/>
    <w:rsid w:val="00F91F56"/>
    <w:rsid w:val="00F92406"/>
    <w:rsid w:val="00F92876"/>
    <w:rsid w:val="00F941F3"/>
    <w:rsid w:val="00F94A41"/>
    <w:rsid w:val="00F95715"/>
    <w:rsid w:val="00F96821"/>
    <w:rsid w:val="00F969CD"/>
    <w:rsid w:val="00F9747E"/>
    <w:rsid w:val="00FA0273"/>
    <w:rsid w:val="00FA0DC7"/>
    <w:rsid w:val="00FA11D9"/>
    <w:rsid w:val="00FA21E7"/>
    <w:rsid w:val="00FA59E0"/>
    <w:rsid w:val="00FB008A"/>
    <w:rsid w:val="00FB0530"/>
    <w:rsid w:val="00FB06D4"/>
    <w:rsid w:val="00FB0FD6"/>
    <w:rsid w:val="00FB2D8C"/>
    <w:rsid w:val="00FB45CA"/>
    <w:rsid w:val="00FB5D57"/>
    <w:rsid w:val="00FC02FD"/>
    <w:rsid w:val="00FC0BCD"/>
    <w:rsid w:val="00FC14DF"/>
    <w:rsid w:val="00FC3428"/>
    <w:rsid w:val="00FC6092"/>
    <w:rsid w:val="00FC7F35"/>
    <w:rsid w:val="00FD0496"/>
    <w:rsid w:val="00FD0EC9"/>
    <w:rsid w:val="00FD0F26"/>
    <w:rsid w:val="00FD41A0"/>
    <w:rsid w:val="00FD422A"/>
    <w:rsid w:val="00FD56E5"/>
    <w:rsid w:val="00FD6FCF"/>
    <w:rsid w:val="00FD7282"/>
    <w:rsid w:val="00FD7303"/>
    <w:rsid w:val="00FE0C0A"/>
    <w:rsid w:val="00FE14FA"/>
    <w:rsid w:val="00FE2697"/>
    <w:rsid w:val="00FE26AA"/>
    <w:rsid w:val="00FE27ED"/>
    <w:rsid w:val="00FE3403"/>
    <w:rsid w:val="00FE44B6"/>
    <w:rsid w:val="00FE57B0"/>
    <w:rsid w:val="00FE678A"/>
    <w:rsid w:val="00FE681F"/>
    <w:rsid w:val="00FE7075"/>
    <w:rsid w:val="00FF1A23"/>
    <w:rsid w:val="00FF2A30"/>
    <w:rsid w:val="00FF38B6"/>
    <w:rsid w:val="00FF6E43"/>
    <w:rsid w:val="00FF7847"/>
    <w:rsid w:val="00FF7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76E84"/>
  <w15:docId w15:val="{2077B344-5EB6-4E19-9125-BA4C1E55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270"/>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22270"/>
    <w:pPr>
      <w:tabs>
        <w:tab w:val="left" w:pos="340"/>
      </w:tabs>
      <w:spacing w:after="60"/>
      <w:ind w:left="340" w:hanging="340"/>
      <w:jc w:val="both"/>
    </w:pPr>
    <w:rPr>
      <w:sz w:val="20"/>
      <w:szCs w:val="20"/>
    </w:rPr>
  </w:style>
  <w:style w:type="character" w:styleId="EndnoteReference">
    <w:name w:val="endnote reference"/>
    <w:semiHidden/>
    <w:rsid w:val="00422270"/>
    <w:rPr>
      <w:rFonts w:cs="Times New Roman"/>
      <w:vertAlign w:val="superscript"/>
    </w:rPr>
  </w:style>
  <w:style w:type="paragraph" w:styleId="FootnoteText">
    <w:name w:val="footnote text"/>
    <w:basedOn w:val="Normal"/>
    <w:link w:val="FootnoteTextChar"/>
    <w:semiHidden/>
    <w:rsid w:val="00422270"/>
    <w:pPr>
      <w:tabs>
        <w:tab w:val="left" w:pos="340"/>
      </w:tabs>
      <w:spacing w:after="60"/>
      <w:ind w:left="340" w:hanging="340"/>
      <w:jc w:val="both"/>
    </w:pPr>
    <w:rPr>
      <w:sz w:val="18"/>
      <w:szCs w:val="20"/>
    </w:rPr>
  </w:style>
  <w:style w:type="character" w:styleId="FootnoteReference">
    <w:name w:val="footnote reference"/>
    <w:semiHidden/>
    <w:rsid w:val="00422270"/>
    <w:rPr>
      <w:rFonts w:cs="Times New Roman"/>
      <w:sz w:val="22"/>
      <w:vertAlign w:val="superscript"/>
    </w:rPr>
  </w:style>
  <w:style w:type="paragraph" w:styleId="TOC1">
    <w:name w:val="toc 1"/>
    <w:basedOn w:val="Normal"/>
    <w:next w:val="Normal"/>
    <w:autoRedefine/>
    <w:semiHidden/>
    <w:rsid w:val="00422270"/>
    <w:pPr>
      <w:tabs>
        <w:tab w:val="left" w:pos="567"/>
        <w:tab w:val="right" w:leader="dot" w:pos="8448"/>
      </w:tabs>
      <w:spacing w:before="120"/>
      <w:jc w:val="both"/>
    </w:pPr>
    <w:rPr>
      <w:caps/>
    </w:rPr>
  </w:style>
  <w:style w:type="paragraph" w:styleId="TOC2">
    <w:name w:val="toc 2"/>
    <w:basedOn w:val="Normal"/>
    <w:next w:val="Normal"/>
    <w:autoRedefine/>
    <w:semiHidden/>
    <w:rsid w:val="00422270"/>
    <w:pPr>
      <w:tabs>
        <w:tab w:val="left" w:pos="1134"/>
        <w:tab w:val="right" w:leader="dot" w:pos="8448"/>
      </w:tabs>
      <w:spacing w:before="120"/>
      <w:jc w:val="both"/>
    </w:pPr>
  </w:style>
  <w:style w:type="paragraph" w:styleId="TOC3">
    <w:name w:val="toc 3"/>
    <w:basedOn w:val="Normal"/>
    <w:next w:val="Normal"/>
    <w:autoRedefine/>
    <w:semiHidden/>
    <w:rsid w:val="00422270"/>
    <w:pPr>
      <w:tabs>
        <w:tab w:val="left" w:pos="1701"/>
        <w:tab w:val="right" w:leader="dot" w:pos="8448"/>
      </w:tabs>
      <w:spacing w:before="120"/>
      <w:jc w:val="both"/>
    </w:pPr>
  </w:style>
  <w:style w:type="paragraph" w:styleId="TOC4">
    <w:name w:val="toc 4"/>
    <w:basedOn w:val="Normal"/>
    <w:next w:val="Normal"/>
    <w:autoRedefine/>
    <w:semiHidden/>
    <w:rsid w:val="00422270"/>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422270"/>
    <w:pPr>
      <w:tabs>
        <w:tab w:val="center" w:pos="4253"/>
        <w:tab w:val="right" w:pos="8505"/>
      </w:tabs>
      <w:jc w:val="both"/>
    </w:pPr>
  </w:style>
  <w:style w:type="character" w:styleId="PageNumber">
    <w:name w:val="page number"/>
    <w:semiHidden/>
    <w:rsid w:val="00422270"/>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422270"/>
    <w:pPr>
      <w:tabs>
        <w:tab w:val="center" w:pos="4253"/>
        <w:tab w:val="right" w:pos="8505"/>
      </w:tabs>
      <w:jc w:val="both"/>
    </w:pPr>
  </w:style>
  <w:style w:type="character" w:customStyle="1" w:styleId="Filename">
    <w:name w:val="Filename"/>
    <w:semiHidden/>
    <w:rsid w:val="00422270"/>
    <w:rPr>
      <w:rFonts w:cs="Times New Roman"/>
      <w:sz w:val="13"/>
    </w:rPr>
  </w:style>
  <w:style w:type="paragraph" w:customStyle="1" w:styleId="LegalList1">
    <w:name w:val="Legal_List1"/>
    <w:basedOn w:val="LegalHeading1"/>
    <w:semiHidden/>
    <w:rsid w:val="00422270"/>
    <w:pPr>
      <w:keepNext w:val="0"/>
      <w:spacing w:before="0"/>
    </w:pPr>
    <w:rPr>
      <w:b w:val="0"/>
      <w:caps w:val="0"/>
    </w:rPr>
  </w:style>
  <w:style w:type="paragraph" w:customStyle="1" w:styleId="LegalAnnexList1">
    <w:name w:val="Legal_AnnexList1"/>
    <w:basedOn w:val="LegalNormal"/>
    <w:semiHidden/>
    <w:rsid w:val="00422270"/>
    <w:pPr>
      <w:numPr>
        <w:numId w:val="1"/>
      </w:numPr>
      <w:outlineLvl w:val="0"/>
    </w:pPr>
  </w:style>
  <w:style w:type="paragraph" w:customStyle="1" w:styleId="LegalAnnexList2">
    <w:name w:val="Legal_AnnexList2"/>
    <w:basedOn w:val="LegalNormal"/>
    <w:semiHidden/>
    <w:rsid w:val="00422270"/>
    <w:pPr>
      <w:numPr>
        <w:ilvl w:val="1"/>
        <w:numId w:val="1"/>
      </w:numPr>
      <w:tabs>
        <w:tab w:val="left" w:pos="3402"/>
        <w:tab w:val="left" w:pos="3969"/>
      </w:tabs>
      <w:outlineLvl w:val="1"/>
    </w:pPr>
  </w:style>
  <w:style w:type="paragraph" w:customStyle="1" w:styleId="LegalAnnexList3">
    <w:name w:val="Legal_AnnexList3"/>
    <w:basedOn w:val="LegalNormal"/>
    <w:semiHidden/>
    <w:rsid w:val="00422270"/>
    <w:pPr>
      <w:numPr>
        <w:ilvl w:val="2"/>
        <w:numId w:val="1"/>
      </w:numPr>
      <w:tabs>
        <w:tab w:val="left" w:pos="3969"/>
        <w:tab w:val="left" w:pos="4536"/>
      </w:tabs>
      <w:outlineLvl w:val="2"/>
    </w:pPr>
  </w:style>
  <w:style w:type="paragraph" w:customStyle="1" w:styleId="LegalAnnexList4">
    <w:name w:val="Legal_AnnexList4"/>
    <w:basedOn w:val="LegalNormal"/>
    <w:semiHidden/>
    <w:rsid w:val="00422270"/>
    <w:pPr>
      <w:numPr>
        <w:ilvl w:val="3"/>
        <w:numId w:val="1"/>
      </w:numPr>
      <w:outlineLvl w:val="3"/>
    </w:pPr>
  </w:style>
  <w:style w:type="paragraph" w:customStyle="1" w:styleId="LegalAnnexList5">
    <w:name w:val="Legal_AnnexList5"/>
    <w:basedOn w:val="LegalNormal"/>
    <w:semiHidden/>
    <w:rsid w:val="00422270"/>
    <w:pPr>
      <w:numPr>
        <w:ilvl w:val="4"/>
        <w:numId w:val="1"/>
      </w:numPr>
      <w:outlineLvl w:val="4"/>
    </w:pPr>
  </w:style>
  <w:style w:type="paragraph" w:styleId="DocumentMap">
    <w:name w:val="Document Map"/>
    <w:basedOn w:val="Normal"/>
    <w:semiHidden/>
    <w:rsid w:val="00422270"/>
    <w:pPr>
      <w:shd w:val="clear" w:color="auto" w:fill="000080"/>
    </w:pPr>
    <w:rPr>
      <w:rFonts w:ascii="Tahoma" w:hAnsi="Tahoma" w:cs="Tahoma"/>
      <w:sz w:val="20"/>
      <w:szCs w:val="20"/>
    </w:rPr>
  </w:style>
  <w:style w:type="paragraph" w:customStyle="1" w:styleId="LegalList2">
    <w:name w:val="Legal_List2"/>
    <w:basedOn w:val="LegalHeading2"/>
    <w:semiHidden/>
    <w:rsid w:val="00422270"/>
    <w:pPr>
      <w:keepNext w:val="0"/>
    </w:pPr>
    <w:rPr>
      <w:b w:val="0"/>
    </w:rPr>
  </w:style>
  <w:style w:type="paragraph" w:customStyle="1" w:styleId="LegalAnnexure">
    <w:name w:val="Legal_Annexure"/>
    <w:basedOn w:val="LegalNormal"/>
    <w:next w:val="LegalNormal"/>
    <w:semiHidden/>
    <w:rsid w:val="00422270"/>
    <w:pPr>
      <w:keepNext/>
      <w:jc w:val="right"/>
    </w:pPr>
    <w:rPr>
      <w:b/>
      <w:caps/>
    </w:rPr>
  </w:style>
  <w:style w:type="paragraph" w:customStyle="1" w:styleId="LegalBodyText1">
    <w:name w:val="Legal_BodyText1"/>
    <w:basedOn w:val="LegalNormal"/>
    <w:semiHidden/>
    <w:rsid w:val="00422270"/>
    <w:pPr>
      <w:ind w:left="567"/>
    </w:pPr>
  </w:style>
  <w:style w:type="paragraph" w:customStyle="1" w:styleId="LegalBodyText10">
    <w:name w:val="Legal_BodyText10"/>
    <w:basedOn w:val="LegalNormal"/>
    <w:semiHidden/>
    <w:rsid w:val="00422270"/>
    <w:pPr>
      <w:ind w:left="5670"/>
    </w:pPr>
  </w:style>
  <w:style w:type="paragraph" w:customStyle="1" w:styleId="LegalBodyText2">
    <w:name w:val="Legal_BodyText2"/>
    <w:basedOn w:val="LegalNormal"/>
    <w:semiHidden/>
    <w:rsid w:val="00422270"/>
    <w:pPr>
      <w:tabs>
        <w:tab w:val="left" w:pos="3402"/>
        <w:tab w:val="left" w:pos="3969"/>
      </w:tabs>
      <w:ind w:left="1134"/>
    </w:pPr>
  </w:style>
  <w:style w:type="paragraph" w:customStyle="1" w:styleId="LegalBodyText3">
    <w:name w:val="Legal_BodyText3"/>
    <w:basedOn w:val="LegalNormal"/>
    <w:semiHidden/>
    <w:rsid w:val="00422270"/>
    <w:pPr>
      <w:tabs>
        <w:tab w:val="left" w:pos="3969"/>
        <w:tab w:val="left" w:pos="4536"/>
      </w:tabs>
      <w:ind w:left="1701"/>
    </w:pPr>
  </w:style>
  <w:style w:type="paragraph" w:customStyle="1" w:styleId="LegalBodyText4">
    <w:name w:val="Legal_BodyText4"/>
    <w:basedOn w:val="LegalNormal"/>
    <w:semiHidden/>
    <w:rsid w:val="00422270"/>
    <w:pPr>
      <w:ind w:left="2268"/>
    </w:pPr>
  </w:style>
  <w:style w:type="paragraph" w:customStyle="1" w:styleId="LegalBodyText5">
    <w:name w:val="Legal_BodyText5"/>
    <w:basedOn w:val="LegalNormal"/>
    <w:semiHidden/>
    <w:rsid w:val="00422270"/>
    <w:pPr>
      <w:ind w:left="2835"/>
    </w:pPr>
  </w:style>
  <w:style w:type="paragraph" w:customStyle="1" w:styleId="LegalBodyText6">
    <w:name w:val="Legal_BodyText6"/>
    <w:basedOn w:val="LegalNormal"/>
    <w:semiHidden/>
    <w:rsid w:val="00422270"/>
    <w:pPr>
      <w:ind w:left="3402"/>
    </w:pPr>
  </w:style>
  <w:style w:type="paragraph" w:customStyle="1" w:styleId="LegalBodyText7">
    <w:name w:val="Legal_BodyText7"/>
    <w:basedOn w:val="LegalNormal"/>
    <w:semiHidden/>
    <w:rsid w:val="00422270"/>
    <w:pPr>
      <w:ind w:left="3969"/>
    </w:pPr>
  </w:style>
  <w:style w:type="paragraph" w:customStyle="1" w:styleId="LegalBodyText8">
    <w:name w:val="Legal_BodyText8"/>
    <w:basedOn w:val="LegalNormal"/>
    <w:semiHidden/>
    <w:rsid w:val="00422270"/>
    <w:pPr>
      <w:ind w:left="4536"/>
    </w:pPr>
  </w:style>
  <w:style w:type="paragraph" w:customStyle="1" w:styleId="LegalBodyText9">
    <w:name w:val="Legal_BodyText9"/>
    <w:basedOn w:val="LegalNormal"/>
    <w:semiHidden/>
    <w:rsid w:val="00422270"/>
    <w:pPr>
      <w:ind w:left="5103"/>
    </w:pPr>
  </w:style>
  <w:style w:type="paragraph" w:customStyle="1" w:styleId="LegalHeading1">
    <w:name w:val="Legal_Heading1"/>
    <w:basedOn w:val="LegalNormal"/>
    <w:next w:val="LegalBodyText1"/>
    <w:semiHidden/>
    <w:rsid w:val="00422270"/>
    <w:pPr>
      <w:keepNext/>
      <w:numPr>
        <w:numId w:val="9"/>
      </w:numPr>
      <w:spacing w:before="480"/>
      <w:outlineLvl w:val="0"/>
    </w:pPr>
    <w:rPr>
      <w:b/>
      <w:caps/>
    </w:rPr>
  </w:style>
  <w:style w:type="paragraph" w:customStyle="1" w:styleId="LegalHeading2">
    <w:name w:val="Legal_Heading2"/>
    <w:basedOn w:val="LegalNormal"/>
    <w:next w:val="LegalBodyText2"/>
    <w:semiHidden/>
    <w:rsid w:val="00422270"/>
    <w:pPr>
      <w:keepNext/>
      <w:tabs>
        <w:tab w:val="left" w:pos="3402"/>
        <w:tab w:val="left" w:pos="3969"/>
      </w:tabs>
      <w:outlineLvl w:val="1"/>
    </w:pPr>
    <w:rPr>
      <w:b/>
    </w:rPr>
  </w:style>
  <w:style w:type="paragraph" w:customStyle="1" w:styleId="LegalHeading3">
    <w:name w:val="Legal_Heading3"/>
    <w:basedOn w:val="LegalNormal"/>
    <w:next w:val="LegalBodyText3"/>
    <w:semiHidden/>
    <w:rsid w:val="00422270"/>
    <w:pPr>
      <w:keepNext/>
      <w:numPr>
        <w:ilvl w:val="2"/>
        <w:numId w:val="9"/>
      </w:numPr>
      <w:tabs>
        <w:tab w:val="left" w:pos="3969"/>
        <w:tab w:val="left" w:pos="4536"/>
      </w:tabs>
      <w:outlineLvl w:val="2"/>
    </w:pPr>
    <w:rPr>
      <w:b/>
    </w:rPr>
  </w:style>
  <w:style w:type="paragraph" w:customStyle="1" w:styleId="LegalHeading4">
    <w:name w:val="Legal_Heading4"/>
    <w:basedOn w:val="LegalNormal"/>
    <w:next w:val="LegalBodyText4"/>
    <w:semiHidden/>
    <w:rsid w:val="00422270"/>
    <w:pPr>
      <w:keepNext/>
      <w:numPr>
        <w:ilvl w:val="3"/>
        <w:numId w:val="9"/>
      </w:numPr>
      <w:spacing w:after="240"/>
      <w:outlineLvl w:val="3"/>
    </w:pPr>
    <w:rPr>
      <w:b/>
    </w:rPr>
  </w:style>
  <w:style w:type="paragraph" w:customStyle="1" w:styleId="LegalHeading5">
    <w:name w:val="Legal_Heading5"/>
    <w:basedOn w:val="LegalNormal"/>
    <w:next w:val="LegalBodyText5"/>
    <w:semiHidden/>
    <w:rsid w:val="00422270"/>
    <w:pPr>
      <w:keepNext/>
      <w:numPr>
        <w:ilvl w:val="4"/>
        <w:numId w:val="9"/>
      </w:numPr>
      <w:spacing w:after="240"/>
      <w:outlineLvl w:val="4"/>
    </w:pPr>
    <w:rPr>
      <w:b/>
    </w:rPr>
  </w:style>
  <w:style w:type="paragraph" w:customStyle="1" w:styleId="LegalTitle">
    <w:name w:val="Legal_Title"/>
    <w:basedOn w:val="LegalNormal"/>
    <w:next w:val="LegalNormal"/>
    <w:semiHidden/>
    <w:rsid w:val="00422270"/>
    <w:pPr>
      <w:keepNext/>
      <w:jc w:val="center"/>
    </w:pPr>
    <w:rPr>
      <w:b/>
      <w:caps/>
    </w:rPr>
  </w:style>
  <w:style w:type="paragraph" w:customStyle="1" w:styleId="LegalList3">
    <w:name w:val="Legal_List3"/>
    <w:basedOn w:val="LegalHeading3"/>
    <w:semiHidden/>
    <w:rsid w:val="00422270"/>
    <w:pPr>
      <w:keepNext w:val="0"/>
    </w:pPr>
    <w:rPr>
      <w:b w:val="0"/>
    </w:rPr>
  </w:style>
  <w:style w:type="paragraph" w:customStyle="1" w:styleId="LegalAlpha">
    <w:name w:val="Legal_Alpha"/>
    <w:basedOn w:val="LegalNormal"/>
    <w:semiHidden/>
    <w:rsid w:val="00422270"/>
    <w:pPr>
      <w:keepNext/>
      <w:numPr>
        <w:numId w:val="4"/>
      </w:numPr>
    </w:pPr>
    <w:rPr>
      <w:b/>
      <w:caps/>
      <w:spacing w:val="2"/>
    </w:rPr>
  </w:style>
  <w:style w:type="paragraph" w:customStyle="1" w:styleId="LegalCitation">
    <w:name w:val="Legal_Citation"/>
    <w:basedOn w:val="LegalNormal"/>
    <w:semiHidden/>
    <w:rsid w:val="00422270"/>
    <w:pPr>
      <w:numPr>
        <w:numId w:val="3"/>
      </w:numPr>
    </w:pPr>
    <w:rPr>
      <w:spacing w:val="2"/>
    </w:rPr>
  </w:style>
  <w:style w:type="paragraph" w:customStyle="1" w:styleId="LegalList4">
    <w:name w:val="Legal_List4"/>
    <w:basedOn w:val="LegalHeading4"/>
    <w:semiHidden/>
    <w:rsid w:val="00422270"/>
    <w:pPr>
      <w:keepNext w:val="0"/>
    </w:pPr>
    <w:rPr>
      <w:b w:val="0"/>
    </w:rPr>
  </w:style>
  <w:style w:type="paragraph" w:customStyle="1" w:styleId="LegalList5">
    <w:name w:val="Legal_List5"/>
    <w:basedOn w:val="LegalHeading5"/>
    <w:semiHidden/>
    <w:rsid w:val="00422270"/>
    <w:pPr>
      <w:keepNext w:val="0"/>
    </w:pPr>
    <w:rPr>
      <w:b w:val="0"/>
    </w:rPr>
  </w:style>
  <w:style w:type="table" w:styleId="TableGrid">
    <w:name w:val="Table Grid"/>
    <w:basedOn w:val="TableNormal"/>
    <w:semiHidden/>
    <w:rsid w:val="00422270"/>
    <w:pPr>
      <w:suppressAutoHyphens/>
      <w:spacing w:before="40" w:after="40" w:line="264" w:lineRule="auto"/>
    </w:pPr>
    <w:rPr>
      <w:sz w:val="18"/>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422270"/>
    <w:pPr>
      <w:keepNext/>
      <w:jc w:val="center"/>
    </w:pPr>
    <w:rPr>
      <w:rFonts w:cs="Arial"/>
      <w:b/>
      <w:bCs/>
      <w:caps/>
      <w:szCs w:val="32"/>
    </w:rPr>
  </w:style>
  <w:style w:type="character" w:styleId="CommentReference">
    <w:name w:val="annotation reference"/>
    <w:semiHidden/>
    <w:rsid w:val="00422270"/>
    <w:rPr>
      <w:rFonts w:cs="Times New Roman"/>
      <w:sz w:val="16"/>
      <w:szCs w:val="16"/>
    </w:rPr>
  </w:style>
  <w:style w:type="paragraph" w:styleId="CommentText">
    <w:name w:val="annotation text"/>
    <w:basedOn w:val="Normal"/>
    <w:semiHidden/>
    <w:rsid w:val="00422270"/>
    <w:rPr>
      <w:sz w:val="16"/>
      <w:szCs w:val="20"/>
    </w:rPr>
  </w:style>
  <w:style w:type="paragraph" w:styleId="CommentSubject">
    <w:name w:val="annotation subject"/>
    <w:basedOn w:val="CommentText"/>
    <w:next w:val="CommentText"/>
    <w:semiHidden/>
    <w:rsid w:val="00422270"/>
    <w:rPr>
      <w:b/>
      <w:bCs/>
    </w:rPr>
  </w:style>
  <w:style w:type="paragraph" w:styleId="BalloonText">
    <w:name w:val="Balloon Text"/>
    <w:basedOn w:val="Normal"/>
    <w:link w:val="BalloonTextChar"/>
    <w:semiHidden/>
    <w:rsid w:val="00422270"/>
    <w:rPr>
      <w:rFonts w:ascii="Tahoma" w:hAnsi="Tahoma" w:cs="Tahoma"/>
      <w:sz w:val="16"/>
      <w:szCs w:val="16"/>
    </w:rPr>
  </w:style>
  <w:style w:type="paragraph" w:customStyle="1" w:styleId="LegalMAINHEADING">
    <w:name w:val="Legal_MAINHEADING"/>
    <w:basedOn w:val="LegalNormal"/>
    <w:next w:val="LegalNormal"/>
    <w:semiHidden/>
    <w:rsid w:val="00422270"/>
    <w:pPr>
      <w:keepNext/>
      <w:spacing w:before="480"/>
    </w:pPr>
    <w:rPr>
      <w:b/>
      <w:caps/>
    </w:rPr>
  </w:style>
  <w:style w:type="paragraph" w:customStyle="1" w:styleId="LegalTramLines">
    <w:name w:val="Legal_TramLines"/>
    <w:basedOn w:val="LegalNormal"/>
    <w:next w:val="LegalNormal"/>
    <w:semiHidden/>
    <w:rsid w:val="00422270"/>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422270"/>
    <w:pPr>
      <w:tabs>
        <w:tab w:val="right" w:pos="8789"/>
      </w:tabs>
    </w:pPr>
  </w:style>
  <w:style w:type="paragraph" w:customStyle="1" w:styleId="LegalNormal">
    <w:name w:val="Legal_Normal"/>
    <w:basedOn w:val="Normal"/>
    <w:rsid w:val="00422270"/>
    <w:pPr>
      <w:spacing w:after="360" w:line="480" w:lineRule="auto"/>
      <w:jc w:val="both"/>
    </w:pPr>
  </w:style>
  <w:style w:type="paragraph" w:customStyle="1" w:styleId="LegalAddressee">
    <w:name w:val="Legal_Addressee"/>
    <w:basedOn w:val="Normal"/>
    <w:next w:val="LegalNormal"/>
    <w:semiHidden/>
    <w:rsid w:val="00422270"/>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422270"/>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422270"/>
    <w:pPr>
      <w:suppressAutoHyphens w:val="0"/>
      <w:spacing w:before="480" w:after="960"/>
    </w:pPr>
    <w:rPr>
      <w:bCs/>
      <w:szCs w:val="20"/>
      <w:lang w:eastAsia="en-US"/>
    </w:rPr>
  </w:style>
  <w:style w:type="paragraph" w:customStyle="1" w:styleId="LegalSalutation">
    <w:name w:val="Legal_Salutation"/>
    <w:basedOn w:val="Normal"/>
    <w:next w:val="Normal"/>
    <w:semiHidden/>
    <w:rsid w:val="00422270"/>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422270"/>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1"/>
    <w:qFormat/>
    <w:rsid w:val="007338D1"/>
    <w:pPr>
      <w:ind w:left="720"/>
    </w:pPr>
  </w:style>
  <w:style w:type="character" w:customStyle="1" w:styleId="apple-converted-space">
    <w:name w:val="apple-converted-space"/>
    <w:basedOn w:val="DefaultParagraphFont"/>
    <w:rsid w:val="00200F5C"/>
  </w:style>
  <w:style w:type="character" w:customStyle="1" w:styleId="g1">
    <w:name w:val="g1"/>
    <w:basedOn w:val="DefaultParagraphFont"/>
    <w:rsid w:val="00200F5C"/>
  </w:style>
  <w:style w:type="character" w:styleId="Hyperlink">
    <w:name w:val="Hyperlink"/>
    <w:basedOn w:val="DefaultParagraphFont"/>
    <w:uiPriority w:val="99"/>
    <w:unhideWhenUsed/>
    <w:rsid w:val="00200F5C"/>
    <w:rPr>
      <w:color w:val="0000FF"/>
      <w:u w:val="single"/>
    </w:rPr>
  </w:style>
  <w:style w:type="paragraph" w:customStyle="1" w:styleId="western">
    <w:name w:val="western"/>
    <w:basedOn w:val="Normal"/>
    <w:rsid w:val="005D7057"/>
    <w:pPr>
      <w:suppressAutoHyphens w:val="0"/>
      <w:spacing w:before="100" w:beforeAutospacing="1" w:after="100" w:afterAutospacing="1"/>
    </w:pPr>
    <w:rPr>
      <w:rFonts w:ascii="Times New Roman" w:hAnsi="Times New Roman"/>
    </w:rPr>
  </w:style>
  <w:style w:type="paragraph" w:styleId="NormalWeb">
    <w:name w:val="Normal (Web)"/>
    <w:basedOn w:val="Normal"/>
    <w:uiPriority w:val="99"/>
    <w:unhideWhenUsed/>
    <w:rsid w:val="00B93A86"/>
    <w:pPr>
      <w:suppressAutoHyphens w:val="0"/>
      <w:spacing w:before="100" w:beforeAutospacing="1" w:after="100" w:afterAutospacing="1"/>
    </w:pPr>
    <w:rPr>
      <w:rFonts w:ascii="Times New Roman" w:hAnsi="Times New Roman"/>
      <w:lang w:val="en-ZA" w:eastAsia="en-ZA"/>
    </w:rPr>
  </w:style>
  <w:style w:type="paragraph" w:customStyle="1" w:styleId="JUGMENTNUMBERED">
    <w:name w:val="JUGMENT NUMBERED"/>
    <w:basedOn w:val="Normal"/>
    <w:uiPriority w:val="99"/>
    <w:rsid w:val="00504AFC"/>
    <w:pPr>
      <w:numPr>
        <w:numId w:val="6"/>
      </w:numPr>
      <w:suppressAutoHyphens w:val="0"/>
      <w:spacing w:line="480" w:lineRule="auto"/>
      <w:jc w:val="both"/>
    </w:pPr>
    <w:rPr>
      <w:rFonts w:ascii="Times New Roman" w:hAnsi="Times New Roman"/>
      <w:sz w:val="26"/>
      <w:szCs w:val="26"/>
      <w:lang w:val="en-ZA" w:eastAsia="en-ZA"/>
    </w:rPr>
  </w:style>
  <w:style w:type="character" w:customStyle="1" w:styleId="FootnoteTextChar">
    <w:name w:val="Footnote Text Char"/>
    <w:basedOn w:val="DefaultParagraphFont"/>
    <w:link w:val="FootnoteText"/>
    <w:semiHidden/>
    <w:rsid w:val="00095F0E"/>
    <w:rPr>
      <w:rFonts w:ascii="Arial" w:hAnsi="Arial"/>
      <w:sz w:val="18"/>
      <w:lang w:val="en-GB" w:eastAsia="en-GB"/>
    </w:rPr>
  </w:style>
  <w:style w:type="character" w:customStyle="1" w:styleId="BalloonTextChar">
    <w:name w:val="Balloon Text Char"/>
    <w:basedOn w:val="DefaultParagraphFont"/>
    <w:link w:val="BalloonText"/>
    <w:semiHidden/>
    <w:rsid w:val="002271E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8142">
      <w:bodyDiv w:val="1"/>
      <w:marLeft w:val="0"/>
      <w:marRight w:val="0"/>
      <w:marTop w:val="0"/>
      <w:marBottom w:val="0"/>
      <w:divBdr>
        <w:top w:val="none" w:sz="0" w:space="0" w:color="auto"/>
        <w:left w:val="none" w:sz="0" w:space="0" w:color="auto"/>
        <w:bottom w:val="none" w:sz="0" w:space="0" w:color="auto"/>
        <w:right w:val="none" w:sz="0" w:space="0" w:color="auto"/>
      </w:divBdr>
    </w:div>
    <w:div w:id="59905774">
      <w:bodyDiv w:val="1"/>
      <w:marLeft w:val="0"/>
      <w:marRight w:val="0"/>
      <w:marTop w:val="0"/>
      <w:marBottom w:val="0"/>
      <w:divBdr>
        <w:top w:val="none" w:sz="0" w:space="0" w:color="auto"/>
        <w:left w:val="none" w:sz="0" w:space="0" w:color="auto"/>
        <w:bottom w:val="none" w:sz="0" w:space="0" w:color="auto"/>
        <w:right w:val="none" w:sz="0" w:space="0" w:color="auto"/>
      </w:divBdr>
    </w:div>
    <w:div w:id="60257634">
      <w:bodyDiv w:val="1"/>
      <w:marLeft w:val="0"/>
      <w:marRight w:val="0"/>
      <w:marTop w:val="0"/>
      <w:marBottom w:val="0"/>
      <w:divBdr>
        <w:top w:val="none" w:sz="0" w:space="0" w:color="auto"/>
        <w:left w:val="none" w:sz="0" w:space="0" w:color="auto"/>
        <w:bottom w:val="none" w:sz="0" w:space="0" w:color="auto"/>
        <w:right w:val="none" w:sz="0" w:space="0" w:color="auto"/>
      </w:divBdr>
    </w:div>
    <w:div w:id="225453236">
      <w:bodyDiv w:val="1"/>
      <w:marLeft w:val="0"/>
      <w:marRight w:val="0"/>
      <w:marTop w:val="0"/>
      <w:marBottom w:val="0"/>
      <w:divBdr>
        <w:top w:val="none" w:sz="0" w:space="0" w:color="auto"/>
        <w:left w:val="none" w:sz="0" w:space="0" w:color="auto"/>
        <w:bottom w:val="none" w:sz="0" w:space="0" w:color="auto"/>
        <w:right w:val="none" w:sz="0" w:space="0" w:color="auto"/>
      </w:divBdr>
    </w:div>
    <w:div w:id="333538454">
      <w:bodyDiv w:val="1"/>
      <w:marLeft w:val="0"/>
      <w:marRight w:val="0"/>
      <w:marTop w:val="0"/>
      <w:marBottom w:val="0"/>
      <w:divBdr>
        <w:top w:val="none" w:sz="0" w:space="0" w:color="auto"/>
        <w:left w:val="none" w:sz="0" w:space="0" w:color="auto"/>
        <w:bottom w:val="none" w:sz="0" w:space="0" w:color="auto"/>
        <w:right w:val="none" w:sz="0" w:space="0" w:color="auto"/>
      </w:divBdr>
    </w:div>
    <w:div w:id="384913583">
      <w:bodyDiv w:val="1"/>
      <w:marLeft w:val="0"/>
      <w:marRight w:val="0"/>
      <w:marTop w:val="0"/>
      <w:marBottom w:val="0"/>
      <w:divBdr>
        <w:top w:val="none" w:sz="0" w:space="0" w:color="auto"/>
        <w:left w:val="none" w:sz="0" w:space="0" w:color="auto"/>
        <w:bottom w:val="none" w:sz="0" w:space="0" w:color="auto"/>
        <w:right w:val="none" w:sz="0" w:space="0" w:color="auto"/>
      </w:divBdr>
    </w:div>
    <w:div w:id="521625947">
      <w:bodyDiv w:val="1"/>
      <w:marLeft w:val="0"/>
      <w:marRight w:val="0"/>
      <w:marTop w:val="0"/>
      <w:marBottom w:val="0"/>
      <w:divBdr>
        <w:top w:val="none" w:sz="0" w:space="0" w:color="auto"/>
        <w:left w:val="none" w:sz="0" w:space="0" w:color="auto"/>
        <w:bottom w:val="none" w:sz="0" w:space="0" w:color="auto"/>
        <w:right w:val="none" w:sz="0" w:space="0" w:color="auto"/>
      </w:divBdr>
      <w:divsChild>
        <w:div w:id="1910728285">
          <w:marLeft w:val="567"/>
          <w:marRight w:val="0"/>
          <w:marTop w:val="120"/>
          <w:marBottom w:val="0"/>
          <w:divBdr>
            <w:top w:val="none" w:sz="0" w:space="0" w:color="auto"/>
            <w:left w:val="none" w:sz="0" w:space="0" w:color="auto"/>
            <w:bottom w:val="none" w:sz="0" w:space="0" w:color="auto"/>
            <w:right w:val="none" w:sz="0" w:space="0" w:color="auto"/>
          </w:divBdr>
        </w:div>
      </w:divsChild>
    </w:div>
    <w:div w:id="550849310">
      <w:bodyDiv w:val="1"/>
      <w:marLeft w:val="0"/>
      <w:marRight w:val="0"/>
      <w:marTop w:val="0"/>
      <w:marBottom w:val="0"/>
      <w:divBdr>
        <w:top w:val="none" w:sz="0" w:space="0" w:color="auto"/>
        <w:left w:val="none" w:sz="0" w:space="0" w:color="auto"/>
        <w:bottom w:val="none" w:sz="0" w:space="0" w:color="auto"/>
        <w:right w:val="none" w:sz="0" w:space="0" w:color="auto"/>
      </w:divBdr>
      <w:divsChild>
        <w:div w:id="1308625457">
          <w:marLeft w:val="567"/>
          <w:marRight w:val="0"/>
          <w:marTop w:val="120"/>
          <w:marBottom w:val="0"/>
          <w:divBdr>
            <w:top w:val="none" w:sz="0" w:space="0" w:color="auto"/>
            <w:left w:val="none" w:sz="0" w:space="0" w:color="auto"/>
            <w:bottom w:val="none" w:sz="0" w:space="0" w:color="auto"/>
            <w:right w:val="none" w:sz="0" w:space="0" w:color="auto"/>
          </w:divBdr>
        </w:div>
        <w:div w:id="2082242159">
          <w:marLeft w:val="1293"/>
          <w:marRight w:val="0"/>
          <w:marTop w:val="0"/>
          <w:marBottom w:val="180"/>
          <w:divBdr>
            <w:top w:val="none" w:sz="0" w:space="0" w:color="auto"/>
            <w:left w:val="none" w:sz="0" w:space="0" w:color="auto"/>
            <w:bottom w:val="none" w:sz="0" w:space="0" w:color="auto"/>
            <w:right w:val="none" w:sz="0" w:space="0" w:color="auto"/>
          </w:divBdr>
        </w:div>
      </w:divsChild>
    </w:div>
    <w:div w:id="589241952">
      <w:bodyDiv w:val="1"/>
      <w:marLeft w:val="0"/>
      <w:marRight w:val="0"/>
      <w:marTop w:val="0"/>
      <w:marBottom w:val="0"/>
      <w:divBdr>
        <w:top w:val="none" w:sz="0" w:space="0" w:color="auto"/>
        <w:left w:val="none" w:sz="0" w:space="0" w:color="auto"/>
        <w:bottom w:val="none" w:sz="0" w:space="0" w:color="auto"/>
        <w:right w:val="none" w:sz="0" w:space="0" w:color="auto"/>
      </w:divBdr>
    </w:div>
    <w:div w:id="739401106">
      <w:bodyDiv w:val="1"/>
      <w:marLeft w:val="0"/>
      <w:marRight w:val="0"/>
      <w:marTop w:val="0"/>
      <w:marBottom w:val="0"/>
      <w:divBdr>
        <w:top w:val="none" w:sz="0" w:space="0" w:color="auto"/>
        <w:left w:val="none" w:sz="0" w:space="0" w:color="auto"/>
        <w:bottom w:val="none" w:sz="0" w:space="0" w:color="auto"/>
        <w:right w:val="none" w:sz="0" w:space="0" w:color="auto"/>
      </w:divBdr>
    </w:div>
    <w:div w:id="755398023">
      <w:bodyDiv w:val="1"/>
      <w:marLeft w:val="0"/>
      <w:marRight w:val="0"/>
      <w:marTop w:val="0"/>
      <w:marBottom w:val="0"/>
      <w:divBdr>
        <w:top w:val="none" w:sz="0" w:space="0" w:color="auto"/>
        <w:left w:val="none" w:sz="0" w:space="0" w:color="auto"/>
        <w:bottom w:val="none" w:sz="0" w:space="0" w:color="auto"/>
        <w:right w:val="none" w:sz="0" w:space="0" w:color="auto"/>
      </w:divBdr>
    </w:div>
    <w:div w:id="779566151">
      <w:bodyDiv w:val="1"/>
      <w:marLeft w:val="0"/>
      <w:marRight w:val="0"/>
      <w:marTop w:val="0"/>
      <w:marBottom w:val="0"/>
      <w:divBdr>
        <w:top w:val="none" w:sz="0" w:space="0" w:color="auto"/>
        <w:left w:val="none" w:sz="0" w:space="0" w:color="auto"/>
        <w:bottom w:val="none" w:sz="0" w:space="0" w:color="auto"/>
        <w:right w:val="none" w:sz="0" w:space="0" w:color="auto"/>
      </w:divBdr>
    </w:div>
    <w:div w:id="1086416972">
      <w:bodyDiv w:val="1"/>
      <w:marLeft w:val="0"/>
      <w:marRight w:val="0"/>
      <w:marTop w:val="0"/>
      <w:marBottom w:val="0"/>
      <w:divBdr>
        <w:top w:val="none" w:sz="0" w:space="0" w:color="auto"/>
        <w:left w:val="none" w:sz="0" w:space="0" w:color="auto"/>
        <w:bottom w:val="none" w:sz="0" w:space="0" w:color="auto"/>
        <w:right w:val="none" w:sz="0" w:space="0" w:color="auto"/>
      </w:divBdr>
    </w:div>
    <w:div w:id="1193151734">
      <w:bodyDiv w:val="1"/>
      <w:marLeft w:val="0"/>
      <w:marRight w:val="0"/>
      <w:marTop w:val="0"/>
      <w:marBottom w:val="0"/>
      <w:divBdr>
        <w:top w:val="none" w:sz="0" w:space="0" w:color="auto"/>
        <w:left w:val="none" w:sz="0" w:space="0" w:color="auto"/>
        <w:bottom w:val="none" w:sz="0" w:space="0" w:color="auto"/>
        <w:right w:val="none" w:sz="0" w:space="0" w:color="auto"/>
      </w:divBdr>
    </w:div>
    <w:div w:id="1259754733">
      <w:bodyDiv w:val="1"/>
      <w:marLeft w:val="0"/>
      <w:marRight w:val="0"/>
      <w:marTop w:val="0"/>
      <w:marBottom w:val="0"/>
      <w:divBdr>
        <w:top w:val="none" w:sz="0" w:space="0" w:color="auto"/>
        <w:left w:val="none" w:sz="0" w:space="0" w:color="auto"/>
        <w:bottom w:val="none" w:sz="0" w:space="0" w:color="auto"/>
        <w:right w:val="none" w:sz="0" w:space="0" w:color="auto"/>
      </w:divBdr>
    </w:div>
    <w:div w:id="1261183235">
      <w:bodyDiv w:val="1"/>
      <w:marLeft w:val="0"/>
      <w:marRight w:val="0"/>
      <w:marTop w:val="0"/>
      <w:marBottom w:val="0"/>
      <w:divBdr>
        <w:top w:val="none" w:sz="0" w:space="0" w:color="auto"/>
        <w:left w:val="none" w:sz="0" w:space="0" w:color="auto"/>
        <w:bottom w:val="none" w:sz="0" w:space="0" w:color="auto"/>
        <w:right w:val="none" w:sz="0" w:space="0" w:color="auto"/>
      </w:divBdr>
    </w:div>
    <w:div w:id="1297179603">
      <w:bodyDiv w:val="1"/>
      <w:marLeft w:val="0"/>
      <w:marRight w:val="0"/>
      <w:marTop w:val="0"/>
      <w:marBottom w:val="0"/>
      <w:divBdr>
        <w:top w:val="none" w:sz="0" w:space="0" w:color="auto"/>
        <w:left w:val="none" w:sz="0" w:space="0" w:color="auto"/>
        <w:bottom w:val="none" w:sz="0" w:space="0" w:color="auto"/>
        <w:right w:val="none" w:sz="0" w:space="0" w:color="auto"/>
      </w:divBdr>
    </w:div>
    <w:div w:id="1524661621">
      <w:bodyDiv w:val="1"/>
      <w:marLeft w:val="0"/>
      <w:marRight w:val="0"/>
      <w:marTop w:val="0"/>
      <w:marBottom w:val="0"/>
      <w:divBdr>
        <w:top w:val="none" w:sz="0" w:space="0" w:color="auto"/>
        <w:left w:val="none" w:sz="0" w:space="0" w:color="auto"/>
        <w:bottom w:val="none" w:sz="0" w:space="0" w:color="auto"/>
        <w:right w:val="none" w:sz="0" w:space="0" w:color="auto"/>
      </w:divBdr>
    </w:div>
    <w:div w:id="1541430834">
      <w:bodyDiv w:val="1"/>
      <w:marLeft w:val="0"/>
      <w:marRight w:val="0"/>
      <w:marTop w:val="0"/>
      <w:marBottom w:val="0"/>
      <w:divBdr>
        <w:top w:val="none" w:sz="0" w:space="0" w:color="auto"/>
        <w:left w:val="none" w:sz="0" w:space="0" w:color="auto"/>
        <w:bottom w:val="none" w:sz="0" w:space="0" w:color="auto"/>
        <w:right w:val="none" w:sz="0" w:space="0" w:color="auto"/>
      </w:divBdr>
    </w:div>
    <w:div w:id="1554004672">
      <w:bodyDiv w:val="1"/>
      <w:marLeft w:val="0"/>
      <w:marRight w:val="0"/>
      <w:marTop w:val="0"/>
      <w:marBottom w:val="0"/>
      <w:divBdr>
        <w:top w:val="none" w:sz="0" w:space="0" w:color="auto"/>
        <w:left w:val="none" w:sz="0" w:space="0" w:color="auto"/>
        <w:bottom w:val="none" w:sz="0" w:space="0" w:color="auto"/>
        <w:right w:val="none" w:sz="0" w:space="0" w:color="auto"/>
      </w:divBdr>
    </w:div>
    <w:div w:id="1569652817">
      <w:bodyDiv w:val="1"/>
      <w:marLeft w:val="0"/>
      <w:marRight w:val="0"/>
      <w:marTop w:val="0"/>
      <w:marBottom w:val="0"/>
      <w:divBdr>
        <w:top w:val="none" w:sz="0" w:space="0" w:color="auto"/>
        <w:left w:val="none" w:sz="0" w:space="0" w:color="auto"/>
        <w:bottom w:val="none" w:sz="0" w:space="0" w:color="auto"/>
        <w:right w:val="none" w:sz="0" w:space="0" w:color="auto"/>
      </w:divBdr>
    </w:div>
    <w:div w:id="1894192331">
      <w:bodyDiv w:val="1"/>
      <w:marLeft w:val="0"/>
      <w:marRight w:val="0"/>
      <w:marTop w:val="0"/>
      <w:marBottom w:val="0"/>
      <w:divBdr>
        <w:top w:val="none" w:sz="0" w:space="0" w:color="auto"/>
        <w:left w:val="none" w:sz="0" w:space="0" w:color="auto"/>
        <w:bottom w:val="none" w:sz="0" w:space="0" w:color="auto"/>
        <w:right w:val="none" w:sz="0" w:space="0" w:color="auto"/>
      </w:divBdr>
    </w:div>
    <w:div w:id="2130389548">
      <w:bodyDiv w:val="1"/>
      <w:marLeft w:val="0"/>
      <w:marRight w:val="0"/>
      <w:marTop w:val="0"/>
      <w:marBottom w:val="0"/>
      <w:divBdr>
        <w:top w:val="none" w:sz="0" w:space="0" w:color="auto"/>
        <w:left w:val="none" w:sz="0" w:space="0" w:color="auto"/>
        <w:bottom w:val="none" w:sz="0" w:space="0" w:color="auto"/>
        <w:right w:val="none" w:sz="0" w:space="0" w:color="auto"/>
      </w:divBdr>
      <w:divsChild>
        <w:div w:id="781610103">
          <w:marLeft w:val="737"/>
          <w:marRight w:val="0"/>
          <w:marTop w:val="60"/>
          <w:marBottom w:val="0"/>
          <w:divBdr>
            <w:top w:val="none" w:sz="0" w:space="0" w:color="auto"/>
            <w:left w:val="none" w:sz="0" w:space="0" w:color="auto"/>
            <w:bottom w:val="none" w:sz="0" w:space="0" w:color="auto"/>
            <w:right w:val="none" w:sz="0" w:space="0" w:color="auto"/>
          </w:divBdr>
        </w:div>
        <w:div w:id="968517382">
          <w:marLeft w:val="0"/>
          <w:marRight w:val="0"/>
          <w:marTop w:val="160"/>
          <w:marBottom w:val="60"/>
          <w:divBdr>
            <w:top w:val="single" w:sz="8" w:space="1" w:color="808080"/>
            <w:left w:val="none" w:sz="0" w:space="0" w:color="auto"/>
            <w:bottom w:val="none" w:sz="0" w:space="0" w:color="auto"/>
            <w:right w:val="none" w:sz="0" w:space="0" w:color="auto"/>
          </w:divBdr>
        </w:div>
        <w:div w:id="2134058105">
          <w:marLeft w:val="0"/>
          <w:marRight w:val="0"/>
          <w:marTop w:val="120"/>
          <w:marBottom w:val="120"/>
          <w:divBdr>
            <w:top w:val="none" w:sz="0" w:space="0" w:color="auto"/>
            <w:left w:val="none" w:sz="0" w:space="0" w:color="auto"/>
            <w:bottom w:val="none" w:sz="0" w:space="0" w:color="auto"/>
            <w:right w:val="none" w:sz="0" w:space="0" w:color="auto"/>
          </w:divBdr>
        </w:div>
        <w:div w:id="1099182630">
          <w:marLeft w:val="0"/>
          <w:marRight w:val="0"/>
          <w:marTop w:val="0"/>
          <w:marBottom w:val="0"/>
          <w:divBdr>
            <w:top w:val="none" w:sz="0" w:space="0" w:color="auto"/>
            <w:left w:val="none" w:sz="0" w:space="0" w:color="auto"/>
            <w:bottom w:val="none" w:sz="0" w:space="0" w:color="auto"/>
            <w:right w:val="none" w:sz="0" w:space="0" w:color="auto"/>
          </w:divBdr>
          <w:divsChild>
            <w:div w:id="1095172718">
              <w:marLeft w:val="840"/>
              <w:marRight w:val="0"/>
              <w:marTop w:val="0"/>
              <w:marBottom w:val="0"/>
              <w:divBdr>
                <w:top w:val="none" w:sz="0" w:space="0" w:color="auto"/>
                <w:left w:val="none" w:sz="0" w:space="0" w:color="auto"/>
                <w:bottom w:val="none" w:sz="0" w:space="0" w:color="auto"/>
                <w:right w:val="none" w:sz="0" w:space="0" w:color="auto"/>
              </w:divBdr>
            </w:div>
            <w:div w:id="1011640548">
              <w:marLeft w:val="840"/>
              <w:marRight w:val="0"/>
              <w:marTop w:val="0"/>
              <w:marBottom w:val="0"/>
              <w:divBdr>
                <w:top w:val="none" w:sz="0" w:space="0" w:color="auto"/>
                <w:left w:val="none" w:sz="0" w:space="0" w:color="auto"/>
                <w:bottom w:val="none" w:sz="0" w:space="0" w:color="auto"/>
                <w:right w:val="none" w:sz="0" w:space="0" w:color="auto"/>
              </w:divBdr>
            </w:div>
            <w:div w:id="204489324">
              <w:marLeft w:val="840"/>
              <w:marRight w:val="0"/>
              <w:marTop w:val="0"/>
              <w:marBottom w:val="0"/>
              <w:divBdr>
                <w:top w:val="none" w:sz="0" w:space="0" w:color="auto"/>
                <w:left w:val="none" w:sz="0" w:space="0" w:color="auto"/>
                <w:bottom w:val="none" w:sz="0" w:space="0" w:color="auto"/>
                <w:right w:val="none" w:sz="0" w:space="0" w:color="auto"/>
              </w:divBdr>
            </w:div>
            <w:div w:id="1098676101">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66257-4275-4760-B8B0-4AF4E113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3</TotalTime>
  <Pages>11</Pages>
  <Words>3197</Words>
  <Characters>18227</Characters>
  <Application>Microsoft Office Word</Application>
  <DocSecurity>0</DocSecurity>
  <Lines>151</Lines>
  <Paragraphs>42</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Judgment - Limbada &amp; 6 Others v Jazz Spirit</vt:lpstr>
      <vt:lpstr>The first respondent (Adzam) is at present and has since 28 February 2020 been i</vt:lpstr>
      <vt:lpstr>In the main application, Mr Moodley, as an ‘affected person’ applies – in terms </vt:lpstr>
      <vt:lpstr>A consideration of the merits of that application is the subject of a separate j</vt:lpstr>
      <vt:lpstr>I am therefore required to adjudicate only the issue of those costs. In my view,</vt:lpstr>
      <vt:lpstr>These issues are to be decided against the factual backdrop of the matter and th</vt:lpstr>
      <vt:lpstr>It was the case of Standard Bank that, as and at 25 October 2020, it was a secur</vt:lpstr>
      <vt:lpstr>This was denied and disputed by Adzam, or more accurately, by Mr Moodley, who wa</vt:lpstr>
      <vt:lpstr>By 23 July 2021, the amount outstanding on the loan had been settled in full by </vt:lpstr>
      <vt:lpstr>That then brings me back to the question whether Standard Bank was justified in </vt:lpstr>
      <vt:lpstr>At first blush, and by all accounts, Adzam is and never was insolvent. It is the</vt:lpstr>
      <vt:lpstr>The alleged arrear instalments formed the basis of Standard Bank’s case for the </vt:lpstr>
      <vt:lpstr>Whilst this dispute of fact was still in existence, Mr Moodley, on advice from h</vt:lpstr>
      <vt:lpstr>In sum, Standard Bank contends that they should be awarded the costs as they wer</vt:lpstr>
      <vt:lpstr>It is trite that liquidation may not be used to enforce payment of disputed debt</vt:lpstr>
      <vt:lpstr>In casu there was, in my view, a genuine defence which Mr Moodley could and did </vt:lpstr>
      <vt:lpstr>In Orestisolve (Pty) Ltd t/a Essa Investments v NDFT Investment Holdings (Pty) L</vt:lpstr>
      <vt:lpstr>‘[7]	In an opposed application for provisional liquidation the applicant must es</vt:lpstr>
      <vt:lpstr>[8] 	Even if the applicant establishes its claim on a prima facie basis, a court</vt:lpstr>
      <vt:lpstr>[9]	The test for a final order of liquidation is different. The applicant must e</vt:lpstr>
      <vt:lpstr>The Plascon-Evans approach requires the facts deposed to by Mr Moodley to be acc</vt:lpstr>
      <vt:lpstr>Applying this test in casu the facts deposed to by Mr Moodley have to be accepte</vt:lpstr>
      <vt:lpstr>The stance adopted by Standard Bank in these proceedings appears to me to have b</vt:lpstr>
      <vt:lpstr>The point is that Standard Bank, when faced with a plausible explanation by Mr M</vt:lpstr>
      <vt:lpstr>I am therefore satisfied that Standard Bank should, in terms of the general rule</vt:lpstr>
      <vt:lpstr>The next question is whether a punitive costs order should be granted against St</vt:lpstr>
      <vt:lpstr>‘[t]he true explanation of awards of attorney and client costs not expressly aut</vt:lpstr>
      <vt:lpstr>And see further: Swartbooi v Brink . The issue of costs is a matter for the disc</vt:lpstr>
      <vt:lpstr>‘The court’s discretion is a wide, unfettered and equitable one. It is a facet o</vt:lpstr>
      <vt:lpstr>SCA judgements have indicated that a court should be disinclined to grant costs </vt:lpstr>
      <vt:lpstr>Applying these principles in casu, I am not persuaded that a punitive costs orde</vt:lpstr>
      <vt:lpstr>I think that it would also be appropriate for me, in addition to the costs order</vt:lpstr>
      <vt:lpstr>Order</vt:lpstr>
      <vt:lpstr>Accordingly, I make the following order: -</vt:lpstr>
    </vt:vector>
  </TitlesOfParts>
  <Company>.</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 Limbada &amp; 6 Others v Jazz Spirit</dc:title>
  <dc:creator>ladams</dc:creator>
  <dc:description>The Mother of all Judgments</dc:description>
  <cp:lastModifiedBy>Mariana Anguelov</cp:lastModifiedBy>
  <cp:revision>3</cp:revision>
  <cp:lastPrinted>2020-07-13T10:37:00Z</cp:lastPrinted>
  <dcterms:created xsi:type="dcterms:W3CDTF">2022-12-21T08:58:00Z</dcterms:created>
  <dcterms:modified xsi:type="dcterms:W3CDTF">2022-12-21T18:23:00Z</dcterms:modified>
</cp:coreProperties>
</file>