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A77" w14:textId="77777777" w:rsidR="00713CDD" w:rsidRPr="00C201B8" w:rsidRDefault="00713CDD" w:rsidP="00713CDD">
      <w:pPr>
        <w:jc w:val="center"/>
        <w:rPr>
          <w:rFonts w:asciiTheme="minorHAnsi" w:hAnsiTheme="minorHAnsi" w:cstheme="minorHAnsi"/>
          <w:sz w:val="26"/>
          <w:szCs w:val="26"/>
        </w:rPr>
      </w:pPr>
      <w:r w:rsidRPr="00C201B8">
        <w:rPr>
          <w:rFonts w:asciiTheme="minorHAnsi" w:hAnsiTheme="minorHAnsi" w:cstheme="minorHAnsi"/>
          <w:noProof/>
          <w:sz w:val="26"/>
          <w:szCs w:val="26"/>
          <w:lang w:val="en-ZA" w:eastAsia="en-ZA"/>
        </w:rPr>
        <w:drawing>
          <wp:inline distT="0" distB="0" distL="0" distR="0" wp14:anchorId="02C36C44" wp14:editId="1E1D122B">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14:paraId="6447D94F" w14:textId="77777777" w:rsidR="00713CDD" w:rsidRDefault="00713CDD" w:rsidP="00713CDD">
      <w:pPr>
        <w:jc w:val="center"/>
        <w:rPr>
          <w:rFonts w:asciiTheme="minorHAnsi" w:hAnsiTheme="minorHAnsi" w:cstheme="minorHAnsi"/>
          <w:b/>
          <w:sz w:val="26"/>
          <w:szCs w:val="26"/>
        </w:rPr>
      </w:pPr>
    </w:p>
    <w:p w14:paraId="3368A2FC" w14:textId="77777777" w:rsidR="00713CDD" w:rsidRDefault="00713CDD" w:rsidP="00713CDD">
      <w:pPr>
        <w:jc w:val="center"/>
        <w:rPr>
          <w:rFonts w:asciiTheme="minorHAnsi" w:hAnsiTheme="minorHAnsi" w:cstheme="minorHAnsi"/>
          <w:b/>
          <w:sz w:val="26"/>
          <w:szCs w:val="26"/>
        </w:rPr>
      </w:pPr>
      <w:r w:rsidRPr="00C201B8">
        <w:rPr>
          <w:rFonts w:asciiTheme="minorHAnsi" w:hAnsiTheme="minorHAnsi" w:cstheme="minorHAnsi"/>
          <w:b/>
          <w:sz w:val="26"/>
          <w:szCs w:val="26"/>
        </w:rPr>
        <w:t>IN THE HIGH COURT OF SOUTH AFRICA</w:t>
      </w:r>
    </w:p>
    <w:p w14:paraId="50417DFB" w14:textId="77777777" w:rsidR="00713CDD" w:rsidRPr="00C201B8" w:rsidRDefault="00713CDD" w:rsidP="00713CDD">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14:paraId="7B8AD741" w14:textId="77777777" w:rsidR="00713CDD" w:rsidRPr="00C201B8" w:rsidRDefault="00713CDD" w:rsidP="00713CDD">
      <w:pPr>
        <w:pStyle w:val="Heading3"/>
      </w:pPr>
      <w:r w:rsidRPr="00C201B8">
        <w:rPr>
          <w:rFonts w:asciiTheme="minorHAnsi" w:hAnsiTheme="minorHAnsi" w:cstheme="minorHAnsi"/>
          <w:b w:val="0"/>
          <w:noProof/>
          <w:sz w:val="26"/>
          <w:szCs w:val="26"/>
          <w:lang w:val="en-ZA" w:eastAsia="en-ZA"/>
        </w:rPr>
        <mc:AlternateContent>
          <mc:Choice Requires="wps">
            <w:drawing>
              <wp:anchor distT="0" distB="0" distL="114300" distR="114300" simplePos="0" relativeHeight="251659264" behindDoc="0" locked="0" layoutInCell="1" allowOverlap="1" wp14:anchorId="5C4ECE91" wp14:editId="56578470">
                <wp:simplePos x="0" y="0"/>
                <wp:positionH relativeFrom="column">
                  <wp:posOffset>-419100</wp:posOffset>
                </wp:positionH>
                <wp:positionV relativeFrom="paragraph">
                  <wp:posOffset>29210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14:paraId="385EDD09" w14:textId="5791625D" w:rsidR="00806231" w:rsidRPr="00462D9F" w:rsidRDefault="00462D9F" w:rsidP="00462D9F">
                            <w:pPr>
                              <w:spacing w:after="200" w:line="276" w:lineRule="auto"/>
                              <w:ind w:left="720" w:hanging="360"/>
                              <w:suppressOverlap/>
                              <w:rPr>
                                <w:b/>
                                <w:sz w:val="16"/>
                                <w:szCs w:val="16"/>
                              </w:rPr>
                            </w:pPr>
                            <w:r w:rsidRPr="008B34AE">
                              <w:rPr>
                                <w:b/>
                                <w:sz w:val="16"/>
                                <w:szCs w:val="16"/>
                              </w:rPr>
                              <w:t>(1)</w:t>
                            </w:r>
                            <w:r w:rsidRPr="008B34AE">
                              <w:rPr>
                                <w:b/>
                                <w:sz w:val="16"/>
                                <w:szCs w:val="16"/>
                              </w:rPr>
                              <w:tab/>
                            </w:r>
                            <w:r w:rsidR="00806231" w:rsidRPr="00462D9F">
                              <w:rPr>
                                <w:b/>
                                <w:sz w:val="16"/>
                                <w:szCs w:val="16"/>
                              </w:rPr>
                              <w:t>Reportable: No</w:t>
                            </w:r>
                          </w:p>
                          <w:p w14:paraId="2A5271EC" w14:textId="1424D145" w:rsidR="00806231" w:rsidRPr="00462D9F" w:rsidRDefault="00462D9F" w:rsidP="00462D9F">
                            <w:pPr>
                              <w:spacing w:after="200" w:line="276" w:lineRule="auto"/>
                              <w:ind w:left="720" w:hanging="360"/>
                              <w:suppressOverlap/>
                              <w:rPr>
                                <w:b/>
                                <w:sz w:val="16"/>
                                <w:szCs w:val="16"/>
                              </w:rPr>
                            </w:pPr>
                            <w:r w:rsidRPr="008B34AE">
                              <w:rPr>
                                <w:b/>
                                <w:sz w:val="16"/>
                                <w:szCs w:val="16"/>
                              </w:rPr>
                              <w:t>(2)</w:t>
                            </w:r>
                            <w:r w:rsidRPr="008B34AE">
                              <w:rPr>
                                <w:b/>
                                <w:sz w:val="16"/>
                                <w:szCs w:val="16"/>
                              </w:rPr>
                              <w:tab/>
                            </w:r>
                            <w:r w:rsidR="00806231" w:rsidRPr="00462D9F">
                              <w:rPr>
                                <w:b/>
                                <w:sz w:val="16"/>
                                <w:szCs w:val="16"/>
                              </w:rPr>
                              <w:t>Of interest to other Judges: No</w:t>
                            </w:r>
                          </w:p>
                          <w:p w14:paraId="37E9216F" w14:textId="1FE292CB" w:rsidR="00806231" w:rsidRPr="00462D9F" w:rsidRDefault="00462D9F" w:rsidP="00462D9F">
                            <w:pPr>
                              <w:spacing w:after="200" w:line="276" w:lineRule="auto"/>
                              <w:ind w:left="720" w:hanging="360"/>
                              <w:suppressOverlap/>
                              <w:rPr>
                                <w:b/>
                                <w:sz w:val="16"/>
                                <w:szCs w:val="16"/>
                              </w:rPr>
                            </w:pPr>
                            <w:r>
                              <w:rPr>
                                <w:b/>
                                <w:sz w:val="16"/>
                                <w:szCs w:val="16"/>
                              </w:rPr>
                              <w:t>(3)</w:t>
                            </w:r>
                            <w:r>
                              <w:rPr>
                                <w:b/>
                                <w:sz w:val="16"/>
                                <w:szCs w:val="16"/>
                              </w:rPr>
                              <w:tab/>
                            </w:r>
                            <w:r w:rsidR="00806231" w:rsidRPr="00462D9F">
                              <w:rPr>
                                <w:b/>
                                <w:sz w:val="16"/>
                                <w:szCs w:val="16"/>
                              </w:rPr>
                              <w:t>Revised: No</w:t>
                            </w:r>
                          </w:p>
                          <w:p w14:paraId="05B469BB" w14:textId="77777777" w:rsidR="00806231" w:rsidRPr="00AB7D21" w:rsidRDefault="00806231" w:rsidP="00713CDD">
                            <w:pPr>
                              <w:spacing w:after="200" w:line="276" w:lineRule="auto"/>
                              <w:ind w:left="360"/>
                              <w:suppressOverlap/>
                              <w:rPr>
                                <w:b/>
                                <w:sz w:val="16"/>
                                <w:szCs w:val="16"/>
                              </w:rPr>
                            </w:pPr>
                            <w:r w:rsidRPr="00AB7D21">
                              <w:rPr>
                                <w:b/>
                                <w:sz w:val="16"/>
                                <w:szCs w:val="16"/>
                              </w:rPr>
                              <w:t>Date:</w:t>
                            </w:r>
                            <w:r>
                              <w:rPr>
                                <w:b/>
                                <w:sz w:val="16"/>
                                <w:szCs w:val="16"/>
                              </w:rPr>
                              <w:t xml:space="preserve"> 14</w:t>
                            </w:r>
                            <w:r w:rsidRPr="00AB7D21">
                              <w:rPr>
                                <w:b/>
                                <w:sz w:val="16"/>
                                <w:szCs w:val="16"/>
                              </w:rPr>
                              <w:t>/</w:t>
                            </w:r>
                            <w:r>
                              <w:rPr>
                                <w:b/>
                                <w:sz w:val="16"/>
                                <w:szCs w:val="16"/>
                              </w:rPr>
                              <w:t>12</w:t>
                            </w:r>
                            <w:r w:rsidRPr="00AB7D21">
                              <w:rPr>
                                <w:b/>
                                <w:sz w:val="16"/>
                                <w:szCs w:val="16"/>
                              </w:rPr>
                              <w:t>/20</w:t>
                            </w:r>
                            <w:r>
                              <w:rPr>
                                <w:b/>
                                <w:sz w:val="16"/>
                                <w:szCs w:val="16"/>
                              </w:rPr>
                              <w:t>22</w:t>
                            </w:r>
                          </w:p>
                          <w:p w14:paraId="7548EC91" w14:textId="77777777" w:rsidR="00806231" w:rsidRDefault="00806231" w:rsidP="00713CDD">
                            <w:pPr>
                              <w:suppressOverlap/>
                              <w:rPr>
                                <w:b/>
                                <w:sz w:val="16"/>
                                <w:szCs w:val="16"/>
                              </w:rPr>
                            </w:pPr>
                            <w:r>
                              <w:rPr>
                                <w:b/>
                                <w:sz w:val="16"/>
                                <w:szCs w:val="16"/>
                              </w:rPr>
                              <w:t xml:space="preserve"> _____________</w:t>
                            </w:r>
                          </w:p>
                          <w:p w14:paraId="09A87B61" w14:textId="77777777" w:rsidR="00806231" w:rsidRDefault="00806231" w:rsidP="00713CDD">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ECE91" id="_x0000_t202" coordsize="21600,21600" o:spt="202" path="m,l,21600r21600,l21600,xe">
                <v:stroke joinstyle="miter"/>
                <v:path gradientshapeok="t" o:connecttype="rect"/>
              </v:shapetype>
              <v:shape id="Text Box 2" o:spid="_x0000_s1026" type="#_x0000_t202" style="position:absolute;margin-left:-33pt;margin-top:2.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">
                <v:textbox>
                  <w:txbxContent>
                    <w:p w14:paraId="385EDD09" w14:textId="5791625D" w:rsidR="00806231" w:rsidRPr="00462D9F" w:rsidRDefault="00462D9F" w:rsidP="00462D9F">
                      <w:pPr>
                        <w:spacing w:after="200" w:line="276" w:lineRule="auto"/>
                        <w:ind w:left="720" w:hanging="360"/>
                        <w:suppressOverlap/>
                        <w:rPr>
                          <w:b/>
                          <w:sz w:val="16"/>
                          <w:szCs w:val="16"/>
                        </w:rPr>
                      </w:pPr>
                      <w:r w:rsidRPr="008B34AE">
                        <w:rPr>
                          <w:b/>
                          <w:sz w:val="16"/>
                          <w:szCs w:val="16"/>
                        </w:rPr>
                        <w:t>(1)</w:t>
                      </w:r>
                      <w:r w:rsidRPr="008B34AE">
                        <w:rPr>
                          <w:b/>
                          <w:sz w:val="16"/>
                          <w:szCs w:val="16"/>
                        </w:rPr>
                        <w:tab/>
                      </w:r>
                      <w:r w:rsidR="00806231" w:rsidRPr="00462D9F">
                        <w:rPr>
                          <w:b/>
                          <w:sz w:val="16"/>
                          <w:szCs w:val="16"/>
                        </w:rPr>
                        <w:t>Reportable: No</w:t>
                      </w:r>
                    </w:p>
                    <w:p w14:paraId="2A5271EC" w14:textId="1424D145" w:rsidR="00806231" w:rsidRPr="00462D9F" w:rsidRDefault="00462D9F" w:rsidP="00462D9F">
                      <w:pPr>
                        <w:spacing w:after="200" w:line="276" w:lineRule="auto"/>
                        <w:ind w:left="720" w:hanging="360"/>
                        <w:suppressOverlap/>
                        <w:rPr>
                          <w:b/>
                          <w:sz w:val="16"/>
                          <w:szCs w:val="16"/>
                        </w:rPr>
                      </w:pPr>
                      <w:r w:rsidRPr="008B34AE">
                        <w:rPr>
                          <w:b/>
                          <w:sz w:val="16"/>
                          <w:szCs w:val="16"/>
                        </w:rPr>
                        <w:t>(2)</w:t>
                      </w:r>
                      <w:r w:rsidRPr="008B34AE">
                        <w:rPr>
                          <w:b/>
                          <w:sz w:val="16"/>
                          <w:szCs w:val="16"/>
                        </w:rPr>
                        <w:tab/>
                      </w:r>
                      <w:r w:rsidR="00806231" w:rsidRPr="00462D9F">
                        <w:rPr>
                          <w:b/>
                          <w:sz w:val="16"/>
                          <w:szCs w:val="16"/>
                        </w:rPr>
                        <w:t>Of interest to other Judges: No</w:t>
                      </w:r>
                    </w:p>
                    <w:p w14:paraId="37E9216F" w14:textId="1FE292CB" w:rsidR="00806231" w:rsidRPr="00462D9F" w:rsidRDefault="00462D9F" w:rsidP="00462D9F">
                      <w:pPr>
                        <w:spacing w:after="200" w:line="276" w:lineRule="auto"/>
                        <w:ind w:left="720" w:hanging="360"/>
                        <w:suppressOverlap/>
                        <w:rPr>
                          <w:b/>
                          <w:sz w:val="16"/>
                          <w:szCs w:val="16"/>
                        </w:rPr>
                      </w:pPr>
                      <w:r>
                        <w:rPr>
                          <w:b/>
                          <w:sz w:val="16"/>
                          <w:szCs w:val="16"/>
                        </w:rPr>
                        <w:t>(3)</w:t>
                      </w:r>
                      <w:r>
                        <w:rPr>
                          <w:b/>
                          <w:sz w:val="16"/>
                          <w:szCs w:val="16"/>
                        </w:rPr>
                        <w:tab/>
                      </w:r>
                      <w:r w:rsidR="00806231" w:rsidRPr="00462D9F">
                        <w:rPr>
                          <w:b/>
                          <w:sz w:val="16"/>
                          <w:szCs w:val="16"/>
                        </w:rPr>
                        <w:t>Revised: No</w:t>
                      </w:r>
                    </w:p>
                    <w:p w14:paraId="05B469BB" w14:textId="77777777" w:rsidR="00806231" w:rsidRPr="00AB7D21" w:rsidRDefault="00806231" w:rsidP="00713CDD">
                      <w:pPr>
                        <w:spacing w:after="200" w:line="276" w:lineRule="auto"/>
                        <w:ind w:left="360"/>
                        <w:suppressOverlap/>
                        <w:rPr>
                          <w:b/>
                          <w:sz w:val="16"/>
                          <w:szCs w:val="16"/>
                        </w:rPr>
                      </w:pPr>
                      <w:r w:rsidRPr="00AB7D21">
                        <w:rPr>
                          <w:b/>
                          <w:sz w:val="16"/>
                          <w:szCs w:val="16"/>
                        </w:rPr>
                        <w:t>Date:</w:t>
                      </w:r>
                      <w:r>
                        <w:rPr>
                          <w:b/>
                          <w:sz w:val="16"/>
                          <w:szCs w:val="16"/>
                        </w:rPr>
                        <w:t xml:space="preserve"> 14</w:t>
                      </w:r>
                      <w:r w:rsidRPr="00AB7D21">
                        <w:rPr>
                          <w:b/>
                          <w:sz w:val="16"/>
                          <w:szCs w:val="16"/>
                        </w:rPr>
                        <w:t>/</w:t>
                      </w:r>
                      <w:r>
                        <w:rPr>
                          <w:b/>
                          <w:sz w:val="16"/>
                          <w:szCs w:val="16"/>
                        </w:rPr>
                        <w:t>12</w:t>
                      </w:r>
                      <w:r w:rsidRPr="00AB7D21">
                        <w:rPr>
                          <w:b/>
                          <w:sz w:val="16"/>
                          <w:szCs w:val="16"/>
                        </w:rPr>
                        <w:t>/20</w:t>
                      </w:r>
                      <w:r>
                        <w:rPr>
                          <w:b/>
                          <w:sz w:val="16"/>
                          <w:szCs w:val="16"/>
                        </w:rPr>
                        <w:t>22</w:t>
                      </w:r>
                    </w:p>
                    <w:p w14:paraId="7548EC91" w14:textId="77777777" w:rsidR="00806231" w:rsidRDefault="00806231" w:rsidP="00713CDD">
                      <w:pPr>
                        <w:suppressOverlap/>
                        <w:rPr>
                          <w:b/>
                          <w:sz w:val="16"/>
                          <w:szCs w:val="16"/>
                        </w:rPr>
                      </w:pPr>
                      <w:r>
                        <w:rPr>
                          <w:b/>
                          <w:sz w:val="16"/>
                          <w:szCs w:val="16"/>
                        </w:rPr>
                        <w:t xml:space="preserve"> _____________</w:t>
                      </w:r>
                    </w:p>
                    <w:p w14:paraId="09A87B61" w14:textId="77777777" w:rsidR="00806231" w:rsidRDefault="00806231" w:rsidP="00713CDD">
                      <w:pPr>
                        <w:suppressOverlap/>
                      </w:pPr>
                      <w:r>
                        <w:t>A Maier-Frawley</w:t>
                      </w:r>
                    </w:p>
                  </w:txbxContent>
                </v:textbox>
              </v:shape>
            </w:pict>
          </mc:Fallback>
        </mc:AlternateContent>
      </w:r>
    </w:p>
    <w:p w14:paraId="1870C6FC" w14:textId="77777777" w:rsidR="00713CDD" w:rsidRPr="00C201B8" w:rsidRDefault="00713CDD" w:rsidP="00713CDD">
      <w:pPr>
        <w:jc w:val="center"/>
        <w:rPr>
          <w:rFonts w:asciiTheme="minorHAnsi" w:hAnsiTheme="minorHAnsi" w:cstheme="minorHAnsi"/>
          <w:sz w:val="26"/>
          <w:szCs w:val="26"/>
        </w:rPr>
      </w:pPr>
    </w:p>
    <w:p w14:paraId="398E7A74" w14:textId="77777777" w:rsidR="00713CDD" w:rsidRDefault="00713CDD" w:rsidP="00713CDD">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2021/25614</w:t>
      </w:r>
    </w:p>
    <w:p w14:paraId="29FC83DE" w14:textId="77777777" w:rsidR="00713CDD" w:rsidRDefault="00713CDD" w:rsidP="00713CDD">
      <w:pPr>
        <w:spacing w:after="120"/>
        <w:jc w:val="right"/>
        <w:rPr>
          <w:rFonts w:asciiTheme="minorHAnsi" w:hAnsiTheme="minorHAnsi" w:cstheme="minorHAnsi"/>
          <w:sz w:val="26"/>
          <w:szCs w:val="26"/>
        </w:rPr>
      </w:pPr>
    </w:p>
    <w:p w14:paraId="575B9950" w14:textId="77777777" w:rsidR="00713CDD" w:rsidRDefault="00713CDD" w:rsidP="00713CDD">
      <w:pPr>
        <w:spacing w:after="120"/>
        <w:jc w:val="right"/>
        <w:rPr>
          <w:rFonts w:asciiTheme="minorHAnsi" w:hAnsiTheme="minorHAnsi" w:cstheme="minorHAnsi"/>
          <w:sz w:val="26"/>
          <w:szCs w:val="26"/>
        </w:rPr>
      </w:pPr>
    </w:p>
    <w:p w14:paraId="70157EB5" w14:textId="77777777" w:rsidR="00713CDD" w:rsidRDefault="00713CDD" w:rsidP="00713CDD">
      <w:pPr>
        <w:jc w:val="both"/>
        <w:rPr>
          <w:rFonts w:asciiTheme="minorHAnsi" w:hAnsiTheme="minorHAnsi" w:cstheme="minorHAnsi"/>
          <w:sz w:val="26"/>
          <w:szCs w:val="26"/>
        </w:rPr>
      </w:pPr>
    </w:p>
    <w:p w14:paraId="03AACE22" w14:textId="77777777" w:rsidR="00713CDD" w:rsidRDefault="00713CDD" w:rsidP="00713CDD">
      <w:pPr>
        <w:jc w:val="both"/>
        <w:rPr>
          <w:rFonts w:asciiTheme="minorHAnsi" w:hAnsiTheme="minorHAnsi" w:cstheme="minorHAnsi"/>
          <w:sz w:val="26"/>
          <w:szCs w:val="26"/>
        </w:rPr>
      </w:pPr>
    </w:p>
    <w:p w14:paraId="4AB2A2E0" w14:textId="77777777" w:rsidR="00713CDD" w:rsidRPr="00C201B8" w:rsidRDefault="00713CDD" w:rsidP="00713CDD">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14:paraId="421F51E1" w14:textId="77777777" w:rsidR="00713CDD" w:rsidRPr="006054CB" w:rsidRDefault="00713CDD" w:rsidP="00713CDD">
      <w:pPr>
        <w:ind w:right="-46"/>
        <w:rPr>
          <w:rFonts w:asciiTheme="minorHAnsi" w:hAnsiTheme="minorHAnsi" w:cstheme="minorHAnsi"/>
          <w:sz w:val="26"/>
          <w:szCs w:val="26"/>
        </w:rPr>
      </w:pPr>
    </w:p>
    <w:p w14:paraId="4694EACC" w14:textId="77777777" w:rsidR="00713CDD" w:rsidRPr="006054CB" w:rsidRDefault="00713CDD" w:rsidP="00713CDD">
      <w:pPr>
        <w:ind w:right="-46"/>
        <w:rPr>
          <w:rFonts w:asciiTheme="minorHAnsi" w:hAnsiTheme="minorHAnsi" w:cstheme="minorHAnsi"/>
          <w:sz w:val="26"/>
          <w:szCs w:val="26"/>
        </w:rPr>
      </w:pPr>
    </w:p>
    <w:p w14:paraId="5A006794" w14:textId="77777777" w:rsidR="00713CDD" w:rsidRPr="00B13FBA" w:rsidRDefault="00713CDD" w:rsidP="00713CDD">
      <w:pPr>
        <w:ind w:right="-46"/>
        <w:rPr>
          <w:rFonts w:asciiTheme="minorHAnsi" w:hAnsiTheme="minorHAnsi" w:cstheme="minorHAnsi"/>
          <w:sz w:val="26"/>
          <w:szCs w:val="26"/>
        </w:rPr>
      </w:pPr>
      <w:r>
        <w:rPr>
          <w:rFonts w:asciiTheme="minorHAnsi" w:hAnsiTheme="minorHAnsi" w:cstheme="minorHAnsi"/>
          <w:b/>
          <w:sz w:val="26"/>
          <w:szCs w:val="26"/>
        </w:rPr>
        <w:t>VBS MUTUAL BANK (IN LIQUIDATION)</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Applicant</w:t>
      </w:r>
    </w:p>
    <w:p w14:paraId="5C927FF1" w14:textId="77777777" w:rsidR="00713CDD" w:rsidRDefault="00713CDD" w:rsidP="00713CDD">
      <w:pPr>
        <w:ind w:right="-46"/>
        <w:rPr>
          <w:rFonts w:asciiTheme="minorHAnsi" w:hAnsiTheme="minorHAnsi" w:cstheme="minorHAnsi"/>
          <w:sz w:val="26"/>
          <w:szCs w:val="26"/>
        </w:rPr>
      </w:pPr>
    </w:p>
    <w:p w14:paraId="7B431EF5" w14:textId="77777777" w:rsidR="00713CDD" w:rsidRPr="006168BD" w:rsidRDefault="00713CDD" w:rsidP="00713CDD">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14:paraId="5907981C" w14:textId="77777777" w:rsidR="00713CDD" w:rsidRPr="00B13FBA" w:rsidRDefault="00713CDD" w:rsidP="00713CDD">
      <w:pPr>
        <w:ind w:right="-46"/>
        <w:rPr>
          <w:rFonts w:asciiTheme="minorHAnsi" w:hAnsiTheme="minorHAnsi" w:cstheme="minorHAnsi"/>
          <w:sz w:val="26"/>
          <w:szCs w:val="26"/>
        </w:rPr>
      </w:pPr>
    </w:p>
    <w:p w14:paraId="136354CC" w14:textId="77777777" w:rsidR="00713CDD" w:rsidRDefault="00713CDD" w:rsidP="00713CDD">
      <w:pPr>
        <w:ind w:right="-46"/>
        <w:rPr>
          <w:rFonts w:asciiTheme="minorHAnsi" w:hAnsiTheme="minorHAnsi" w:cstheme="minorHAnsi"/>
          <w:b/>
          <w:sz w:val="26"/>
          <w:szCs w:val="26"/>
        </w:rPr>
      </w:pPr>
      <w:r>
        <w:rPr>
          <w:rFonts w:asciiTheme="minorHAnsi" w:hAnsiTheme="minorHAnsi" w:cstheme="minorHAnsi"/>
          <w:b/>
          <w:sz w:val="26"/>
          <w:szCs w:val="26"/>
        </w:rPr>
        <w:t>THE UNIVERSAL SERVICE AND ACCESS AGENCY</w:t>
      </w:r>
    </w:p>
    <w:p w14:paraId="64B8DBCA" w14:textId="77777777" w:rsidR="00713CDD" w:rsidRDefault="00713CDD" w:rsidP="00713CDD">
      <w:pPr>
        <w:ind w:right="-46"/>
        <w:rPr>
          <w:rFonts w:asciiTheme="minorHAnsi" w:hAnsiTheme="minorHAnsi" w:cstheme="minorHAnsi"/>
          <w:sz w:val="26"/>
          <w:szCs w:val="26"/>
        </w:rPr>
      </w:pPr>
      <w:r>
        <w:rPr>
          <w:rFonts w:asciiTheme="minorHAnsi" w:hAnsiTheme="minorHAnsi" w:cstheme="minorHAnsi"/>
          <w:b/>
          <w:sz w:val="26"/>
          <w:szCs w:val="26"/>
        </w:rPr>
        <w:t xml:space="preserve"> OF SOUTH AFRICA</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Respondent</w:t>
      </w:r>
    </w:p>
    <w:p w14:paraId="22D4D1BD" w14:textId="77777777" w:rsidR="00713CDD" w:rsidRPr="006168BD" w:rsidRDefault="00713CDD" w:rsidP="00713CDD">
      <w:pPr>
        <w:ind w:right="-46"/>
        <w:rPr>
          <w:rFonts w:asciiTheme="minorHAnsi" w:hAnsiTheme="minorHAnsi" w:cstheme="minorHAnsi"/>
          <w:sz w:val="26"/>
          <w:szCs w:val="26"/>
        </w:rPr>
      </w:pPr>
    </w:p>
    <w:p w14:paraId="597F1514" w14:textId="77777777" w:rsidR="00713CDD" w:rsidRPr="006C65AB" w:rsidRDefault="00713CDD" w:rsidP="00713CDD">
      <w:pPr>
        <w:ind w:right="-46"/>
        <w:rPr>
          <w:rFonts w:asciiTheme="minorHAnsi" w:hAnsiTheme="minorHAnsi" w:cstheme="minorHAnsi"/>
          <w:sz w:val="26"/>
          <w:szCs w:val="26"/>
        </w:rPr>
      </w:pPr>
    </w:p>
    <w:p w14:paraId="7B587CCC" w14:textId="77777777" w:rsidR="00713CDD" w:rsidRPr="00C201B8" w:rsidRDefault="00713CDD" w:rsidP="00713CDD">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14:paraId="0CB8AAD4" w14:textId="77777777" w:rsidR="00713CDD" w:rsidRDefault="00713CDD" w:rsidP="00713CDD">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14:paraId="237E3F4A" w14:textId="77777777" w:rsidR="00713CDD" w:rsidRPr="00C201B8" w:rsidRDefault="00713CDD" w:rsidP="00713CDD">
      <w:pPr>
        <w:spacing w:after="120"/>
        <w:jc w:val="center"/>
        <w:rPr>
          <w:rFonts w:asciiTheme="minorHAnsi" w:hAnsiTheme="minorHAnsi" w:cstheme="minorHAnsi"/>
          <w:sz w:val="26"/>
          <w:szCs w:val="26"/>
        </w:rPr>
      </w:pPr>
      <w:r>
        <w:rPr>
          <w:rFonts w:asciiTheme="minorHAnsi" w:hAnsiTheme="minorHAnsi" w:cstheme="minorHAnsi"/>
          <w:sz w:val="26"/>
          <w:szCs w:val="26"/>
        </w:rPr>
        <w:t xml:space="preserve">(Application for leave to </w:t>
      </w:r>
      <w:proofErr w:type="gramStart"/>
      <w:r>
        <w:rPr>
          <w:rFonts w:asciiTheme="minorHAnsi" w:hAnsiTheme="minorHAnsi" w:cstheme="minorHAnsi"/>
          <w:sz w:val="26"/>
          <w:szCs w:val="26"/>
        </w:rPr>
        <w:t>Appeal</w:t>
      </w:r>
      <w:proofErr w:type="gramEnd"/>
      <w:r>
        <w:rPr>
          <w:rFonts w:asciiTheme="minorHAnsi" w:hAnsiTheme="minorHAnsi" w:cstheme="minorHAnsi"/>
          <w:sz w:val="26"/>
          <w:szCs w:val="26"/>
        </w:rPr>
        <w:t>)</w:t>
      </w:r>
    </w:p>
    <w:p w14:paraId="3D4EBD2B" w14:textId="77777777" w:rsidR="00713CDD" w:rsidRPr="00C201B8" w:rsidRDefault="00713CDD" w:rsidP="00713CDD">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14:paraId="10BBF8CF" w14:textId="77777777" w:rsidR="00713CDD" w:rsidRPr="00E823A0" w:rsidRDefault="00713CDD" w:rsidP="00713CDD">
      <w:pPr>
        <w:rPr>
          <w:rFonts w:asciiTheme="minorHAnsi" w:hAnsiTheme="minorHAnsi" w:cstheme="minorHAnsi"/>
          <w:sz w:val="26"/>
          <w:szCs w:val="26"/>
        </w:rPr>
      </w:pPr>
    </w:p>
    <w:p w14:paraId="1644DD0A" w14:textId="77777777" w:rsidR="00713CDD" w:rsidRPr="009706D5" w:rsidRDefault="00713CDD" w:rsidP="00713CDD">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14:paraId="6AE0992E" w14:textId="77777777" w:rsidR="00713CDD" w:rsidRDefault="00713CDD" w:rsidP="00713CDD">
      <w:pPr>
        <w:rPr>
          <w:rFonts w:asciiTheme="minorHAnsi" w:hAnsiTheme="minorHAnsi" w:cstheme="minorHAnsi"/>
          <w:sz w:val="26"/>
          <w:szCs w:val="26"/>
        </w:rPr>
      </w:pPr>
    </w:p>
    <w:p w14:paraId="45615DAA" w14:textId="5C4E622E" w:rsidR="00713CDD" w:rsidRPr="00462D9F" w:rsidRDefault="00462D9F" w:rsidP="00462D9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w:t>
      </w:r>
      <w:r>
        <w:rPr>
          <w:rFonts w:asciiTheme="minorHAnsi" w:hAnsiTheme="minorHAnsi"/>
          <w:sz w:val="24"/>
          <w:szCs w:val="24"/>
        </w:rPr>
        <w:tab/>
      </w:r>
      <w:r w:rsidR="003C1902" w:rsidRPr="00462D9F">
        <w:rPr>
          <w:rFonts w:asciiTheme="minorHAnsi" w:hAnsiTheme="minorHAnsi" w:cstheme="minorHAnsi"/>
          <w:sz w:val="26"/>
          <w:szCs w:val="26"/>
        </w:rPr>
        <w:t xml:space="preserve">For convenience, I will refer to the parties as they were denoted in the </w:t>
      </w:r>
      <w:r w:rsidR="00263863" w:rsidRPr="00462D9F">
        <w:rPr>
          <w:rFonts w:asciiTheme="minorHAnsi" w:hAnsiTheme="minorHAnsi" w:cstheme="minorHAnsi"/>
          <w:sz w:val="26"/>
          <w:szCs w:val="26"/>
        </w:rPr>
        <w:t xml:space="preserve">main </w:t>
      </w:r>
      <w:r w:rsidR="003C1902" w:rsidRPr="00462D9F">
        <w:rPr>
          <w:rFonts w:asciiTheme="minorHAnsi" w:hAnsiTheme="minorHAnsi" w:cstheme="minorHAnsi"/>
          <w:sz w:val="26"/>
          <w:szCs w:val="26"/>
        </w:rPr>
        <w:t>judgment</w:t>
      </w:r>
      <w:r w:rsidR="00263863" w:rsidRPr="00462D9F">
        <w:rPr>
          <w:rFonts w:asciiTheme="minorHAnsi" w:hAnsiTheme="minorHAnsi" w:cstheme="minorHAnsi"/>
          <w:sz w:val="26"/>
          <w:szCs w:val="26"/>
        </w:rPr>
        <w:t>.</w:t>
      </w:r>
      <w:r w:rsidR="003C1902" w:rsidRPr="00462D9F">
        <w:rPr>
          <w:rFonts w:asciiTheme="minorHAnsi" w:hAnsiTheme="minorHAnsi" w:cstheme="minorHAnsi"/>
          <w:sz w:val="26"/>
          <w:szCs w:val="26"/>
        </w:rPr>
        <w:t xml:space="preserve"> VBS applies for leave to appeal to the Supreme Court of Appeal, alternatively, the Full Bench of this court, against part of the judgment and order handed down by me on 11 August 2022.</w:t>
      </w:r>
      <w:r w:rsidR="002C1C4E" w:rsidRPr="00462D9F">
        <w:rPr>
          <w:rFonts w:asciiTheme="minorHAnsi" w:hAnsiTheme="minorHAnsi" w:cstheme="minorHAnsi"/>
          <w:sz w:val="26"/>
          <w:szCs w:val="26"/>
        </w:rPr>
        <w:t xml:space="preserve"> USAASA has opposed the application</w:t>
      </w:r>
      <w:r w:rsidR="00E11881" w:rsidRPr="00462D9F">
        <w:rPr>
          <w:rFonts w:asciiTheme="minorHAnsi" w:hAnsiTheme="minorHAnsi" w:cstheme="minorHAnsi"/>
          <w:sz w:val="26"/>
          <w:szCs w:val="26"/>
        </w:rPr>
        <w:t xml:space="preserve"> for leave to appeal</w:t>
      </w:r>
      <w:r w:rsidR="002C1C4E" w:rsidRPr="00462D9F">
        <w:rPr>
          <w:rFonts w:asciiTheme="minorHAnsi" w:hAnsiTheme="minorHAnsi" w:cstheme="minorHAnsi"/>
          <w:sz w:val="26"/>
          <w:szCs w:val="26"/>
        </w:rPr>
        <w:t>.</w:t>
      </w:r>
    </w:p>
    <w:p w14:paraId="43532896" w14:textId="77777777" w:rsidR="00713CDD" w:rsidRDefault="00713CDD" w:rsidP="00713CDD">
      <w:pPr>
        <w:pStyle w:val="ListParagraph"/>
        <w:rPr>
          <w:rFonts w:asciiTheme="minorHAnsi" w:hAnsiTheme="minorHAnsi" w:cstheme="minorHAnsi"/>
          <w:sz w:val="26"/>
          <w:szCs w:val="26"/>
        </w:rPr>
      </w:pPr>
    </w:p>
    <w:p w14:paraId="6848D68F" w14:textId="32702E26" w:rsidR="002C1C4E" w:rsidRPr="00462D9F" w:rsidRDefault="00462D9F" w:rsidP="00462D9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w:t>
      </w:r>
      <w:r>
        <w:rPr>
          <w:rFonts w:asciiTheme="minorHAnsi" w:hAnsiTheme="minorHAnsi"/>
          <w:sz w:val="24"/>
          <w:szCs w:val="24"/>
        </w:rPr>
        <w:tab/>
      </w:r>
      <w:r w:rsidR="005A624C" w:rsidRPr="00462D9F">
        <w:rPr>
          <w:rFonts w:asciiTheme="minorHAnsi" w:hAnsiTheme="minorHAnsi" w:cstheme="minorHAnsi"/>
          <w:sz w:val="26"/>
          <w:szCs w:val="26"/>
        </w:rPr>
        <w:t>The grounds of appeal upon which leave to appeal is sought are set out in the notice of application for leave to appeal</w:t>
      </w:r>
      <w:r w:rsidR="002C1C4E" w:rsidRPr="00462D9F">
        <w:rPr>
          <w:rFonts w:asciiTheme="minorHAnsi" w:hAnsiTheme="minorHAnsi" w:cstheme="minorHAnsi"/>
          <w:sz w:val="26"/>
          <w:szCs w:val="26"/>
        </w:rPr>
        <w:t xml:space="preserve"> and need not be repeated in this judgment</w:t>
      </w:r>
      <w:r w:rsidR="005A624C" w:rsidRPr="00462D9F">
        <w:rPr>
          <w:rFonts w:asciiTheme="minorHAnsi" w:hAnsiTheme="minorHAnsi" w:cstheme="minorHAnsi"/>
          <w:sz w:val="26"/>
          <w:szCs w:val="26"/>
        </w:rPr>
        <w:t xml:space="preserve">. </w:t>
      </w:r>
    </w:p>
    <w:p w14:paraId="4D5C2482" w14:textId="77777777" w:rsidR="002C1C4E" w:rsidRPr="002C1C4E" w:rsidRDefault="002C1C4E" w:rsidP="002C1C4E">
      <w:pPr>
        <w:pStyle w:val="ListParagraph"/>
        <w:rPr>
          <w:rFonts w:asciiTheme="minorHAnsi" w:hAnsiTheme="minorHAnsi" w:cstheme="minorHAnsi"/>
          <w:sz w:val="26"/>
          <w:szCs w:val="26"/>
        </w:rPr>
      </w:pPr>
    </w:p>
    <w:p w14:paraId="62F17307" w14:textId="30A40517" w:rsidR="006724D9" w:rsidRPr="00462D9F" w:rsidRDefault="00462D9F" w:rsidP="00462D9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w:t>
      </w:r>
      <w:r>
        <w:rPr>
          <w:rFonts w:asciiTheme="minorHAnsi" w:hAnsiTheme="minorHAnsi"/>
          <w:sz w:val="24"/>
          <w:szCs w:val="24"/>
        </w:rPr>
        <w:tab/>
      </w:r>
      <w:r w:rsidR="005A624C" w:rsidRPr="00462D9F">
        <w:rPr>
          <w:rFonts w:asciiTheme="minorHAnsi" w:hAnsiTheme="minorHAnsi" w:cstheme="minorHAnsi"/>
          <w:sz w:val="26"/>
          <w:szCs w:val="26"/>
        </w:rPr>
        <w:t xml:space="preserve">The </w:t>
      </w:r>
      <w:r w:rsidR="00894A3C" w:rsidRPr="00462D9F">
        <w:rPr>
          <w:rFonts w:asciiTheme="minorHAnsi" w:hAnsiTheme="minorHAnsi" w:cstheme="minorHAnsi"/>
          <w:sz w:val="26"/>
          <w:szCs w:val="26"/>
        </w:rPr>
        <w:t xml:space="preserve">core complaint </w:t>
      </w:r>
      <w:r w:rsidR="005A624C" w:rsidRPr="00462D9F">
        <w:rPr>
          <w:rFonts w:asciiTheme="minorHAnsi" w:hAnsiTheme="minorHAnsi" w:cstheme="minorHAnsi"/>
          <w:sz w:val="26"/>
          <w:szCs w:val="26"/>
        </w:rPr>
        <w:t xml:space="preserve">pursued on behalf of VBS at the hearing of the matter </w:t>
      </w:r>
      <w:r w:rsidR="00894A3C" w:rsidRPr="00462D9F">
        <w:rPr>
          <w:rFonts w:asciiTheme="minorHAnsi" w:hAnsiTheme="minorHAnsi" w:cstheme="minorHAnsi"/>
          <w:sz w:val="26"/>
          <w:szCs w:val="26"/>
        </w:rPr>
        <w:t xml:space="preserve">is that </w:t>
      </w:r>
      <w:r w:rsidR="00E22E72" w:rsidRPr="00462D9F">
        <w:rPr>
          <w:rFonts w:asciiTheme="minorHAnsi" w:hAnsiTheme="minorHAnsi" w:cstheme="minorHAnsi"/>
          <w:sz w:val="26"/>
          <w:szCs w:val="26"/>
        </w:rPr>
        <w:t xml:space="preserve">when interpreting the true import of the payment undertaking and </w:t>
      </w:r>
      <w:r w:rsidR="00CB55D0" w:rsidRPr="00462D9F">
        <w:rPr>
          <w:rFonts w:asciiTheme="minorHAnsi" w:hAnsiTheme="minorHAnsi" w:cstheme="minorHAnsi"/>
          <w:sz w:val="26"/>
          <w:szCs w:val="26"/>
        </w:rPr>
        <w:t xml:space="preserve">in </w:t>
      </w:r>
      <w:r w:rsidR="00E22E72" w:rsidRPr="00462D9F">
        <w:rPr>
          <w:rFonts w:asciiTheme="minorHAnsi" w:hAnsiTheme="minorHAnsi" w:cstheme="minorHAnsi"/>
          <w:sz w:val="26"/>
          <w:szCs w:val="26"/>
        </w:rPr>
        <w:t>concluding that by giving the payment undertaking, USAASA did not incur an independent payment obligation to VBS,</w:t>
      </w:r>
      <w:r w:rsidR="005A624C" w:rsidRPr="00462D9F">
        <w:rPr>
          <w:rFonts w:asciiTheme="minorHAnsi" w:hAnsiTheme="minorHAnsi" w:cstheme="minorHAnsi"/>
          <w:sz w:val="26"/>
          <w:szCs w:val="26"/>
        </w:rPr>
        <w:t xml:space="preserve"> </w:t>
      </w:r>
      <w:r w:rsidR="006724D9" w:rsidRPr="00462D9F">
        <w:rPr>
          <w:rFonts w:asciiTheme="minorHAnsi" w:hAnsiTheme="minorHAnsi" w:cstheme="minorHAnsi"/>
          <w:sz w:val="26"/>
          <w:szCs w:val="26"/>
        </w:rPr>
        <w:t xml:space="preserve">I failed </w:t>
      </w:r>
      <w:r w:rsidR="005A624C" w:rsidRPr="00462D9F">
        <w:rPr>
          <w:rFonts w:asciiTheme="minorHAnsi" w:hAnsiTheme="minorHAnsi" w:cstheme="minorHAnsi"/>
          <w:sz w:val="26"/>
          <w:szCs w:val="26"/>
        </w:rPr>
        <w:t xml:space="preserve">to consider the purpose </w:t>
      </w:r>
      <w:r w:rsidR="00E22E72" w:rsidRPr="00462D9F">
        <w:rPr>
          <w:rFonts w:asciiTheme="minorHAnsi" w:hAnsiTheme="minorHAnsi" w:cstheme="minorHAnsi"/>
          <w:sz w:val="26"/>
          <w:szCs w:val="26"/>
        </w:rPr>
        <w:t>of</w:t>
      </w:r>
      <w:r w:rsidR="00311B67" w:rsidRPr="00462D9F">
        <w:rPr>
          <w:rFonts w:asciiTheme="minorHAnsi" w:hAnsiTheme="minorHAnsi" w:cstheme="minorHAnsi"/>
          <w:sz w:val="26"/>
          <w:szCs w:val="26"/>
        </w:rPr>
        <w:t xml:space="preserve"> the payment</w:t>
      </w:r>
      <w:r w:rsidR="005A624C" w:rsidRPr="00462D9F">
        <w:rPr>
          <w:rFonts w:asciiTheme="minorHAnsi" w:hAnsiTheme="minorHAnsi" w:cstheme="minorHAnsi"/>
          <w:sz w:val="26"/>
          <w:szCs w:val="26"/>
        </w:rPr>
        <w:t xml:space="preserve"> undertaking, </w:t>
      </w:r>
      <w:r w:rsidR="00416021" w:rsidRPr="00462D9F">
        <w:rPr>
          <w:rFonts w:asciiTheme="minorHAnsi" w:hAnsiTheme="minorHAnsi" w:cstheme="minorHAnsi"/>
          <w:sz w:val="26"/>
          <w:szCs w:val="26"/>
        </w:rPr>
        <w:t>which was</w:t>
      </w:r>
      <w:r w:rsidR="005A624C" w:rsidRPr="00462D9F">
        <w:rPr>
          <w:rFonts w:asciiTheme="minorHAnsi" w:hAnsiTheme="minorHAnsi" w:cstheme="minorHAnsi"/>
          <w:sz w:val="26"/>
          <w:szCs w:val="26"/>
        </w:rPr>
        <w:t xml:space="preserve"> to provide security </w:t>
      </w:r>
      <w:r w:rsidR="00311B67" w:rsidRPr="00462D9F">
        <w:rPr>
          <w:rFonts w:asciiTheme="minorHAnsi" w:hAnsiTheme="minorHAnsi" w:cstheme="minorHAnsi"/>
          <w:sz w:val="26"/>
          <w:szCs w:val="26"/>
        </w:rPr>
        <w:t xml:space="preserve">to VBS </w:t>
      </w:r>
      <w:r w:rsidR="005A624C" w:rsidRPr="00462D9F">
        <w:rPr>
          <w:rFonts w:asciiTheme="minorHAnsi" w:hAnsiTheme="minorHAnsi" w:cstheme="minorHAnsi"/>
          <w:sz w:val="26"/>
          <w:szCs w:val="26"/>
        </w:rPr>
        <w:t xml:space="preserve">for the funding advanced by </w:t>
      </w:r>
      <w:r w:rsidR="00416021" w:rsidRPr="00462D9F">
        <w:rPr>
          <w:rFonts w:asciiTheme="minorHAnsi" w:hAnsiTheme="minorHAnsi" w:cstheme="minorHAnsi"/>
          <w:sz w:val="26"/>
          <w:szCs w:val="26"/>
        </w:rPr>
        <w:t>it</w:t>
      </w:r>
      <w:r w:rsidR="005A624C" w:rsidRPr="00462D9F">
        <w:rPr>
          <w:rFonts w:asciiTheme="minorHAnsi" w:hAnsiTheme="minorHAnsi" w:cstheme="minorHAnsi"/>
          <w:sz w:val="26"/>
          <w:szCs w:val="26"/>
        </w:rPr>
        <w:t xml:space="preserve"> to </w:t>
      </w:r>
      <w:proofErr w:type="spellStart"/>
      <w:r w:rsidR="005A624C" w:rsidRPr="00462D9F">
        <w:rPr>
          <w:rFonts w:asciiTheme="minorHAnsi" w:hAnsiTheme="minorHAnsi" w:cstheme="minorHAnsi"/>
          <w:sz w:val="26"/>
          <w:szCs w:val="26"/>
        </w:rPr>
        <w:t>Leratadima</w:t>
      </w:r>
      <w:proofErr w:type="spellEnd"/>
      <w:r w:rsidR="00E22E72" w:rsidRPr="00462D9F">
        <w:rPr>
          <w:rFonts w:asciiTheme="minorHAnsi" w:hAnsiTheme="minorHAnsi" w:cstheme="minorHAnsi"/>
          <w:sz w:val="26"/>
          <w:szCs w:val="26"/>
        </w:rPr>
        <w:t>.</w:t>
      </w:r>
      <w:r w:rsidR="006724D9">
        <w:rPr>
          <w:rStyle w:val="FootnoteReference"/>
          <w:rFonts w:asciiTheme="minorHAnsi" w:hAnsiTheme="minorHAnsi" w:cstheme="minorHAnsi"/>
          <w:sz w:val="26"/>
          <w:szCs w:val="26"/>
        </w:rPr>
        <w:footnoteReference w:id="1"/>
      </w:r>
      <w:r w:rsidR="005A624C" w:rsidRPr="00462D9F">
        <w:rPr>
          <w:rFonts w:asciiTheme="minorHAnsi" w:hAnsiTheme="minorHAnsi" w:cstheme="minorHAnsi"/>
          <w:sz w:val="26"/>
          <w:szCs w:val="26"/>
        </w:rPr>
        <w:t xml:space="preserve"> </w:t>
      </w:r>
      <w:r w:rsidR="002C1C4E" w:rsidRPr="00462D9F">
        <w:rPr>
          <w:rFonts w:asciiTheme="minorHAnsi" w:hAnsiTheme="minorHAnsi" w:cstheme="minorHAnsi"/>
          <w:sz w:val="26"/>
          <w:szCs w:val="26"/>
        </w:rPr>
        <w:t xml:space="preserve">A related complaint is that I failed to properly consider relevant conduct on the part of USAASA, </w:t>
      </w:r>
      <w:r w:rsidR="00E22E72" w:rsidRPr="00462D9F">
        <w:rPr>
          <w:rFonts w:asciiTheme="minorHAnsi" w:hAnsiTheme="minorHAnsi" w:cstheme="minorHAnsi"/>
          <w:sz w:val="26"/>
          <w:szCs w:val="26"/>
        </w:rPr>
        <w:t xml:space="preserve">more specifically, </w:t>
      </w:r>
      <w:r w:rsidR="00416021" w:rsidRPr="00462D9F">
        <w:rPr>
          <w:rFonts w:asciiTheme="minorHAnsi" w:hAnsiTheme="minorHAnsi" w:cstheme="minorHAnsi"/>
          <w:sz w:val="26"/>
          <w:szCs w:val="26"/>
        </w:rPr>
        <w:t>certain</w:t>
      </w:r>
      <w:r w:rsidR="00311B67" w:rsidRPr="00462D9F">
        <w:rPr>
          <w:rFonts w:asciiTheme="minorHAnsi" w:hAnsiTheme="minorHAnsi" w:cstheme="minorHAnsi"/>
          <w:sz w:val="26"/>
          <w:szCs w:val="26"/>
        </w:rPr>
        <w:t xml:space="preserve"> </w:t>
      </w:r>
      <w:r w:rsidR="002C1C4E" w:rsidRPr="00462D9F">
        <w:rPr>
          <w:rFonts w:asciiTheme="minorHAnsi" w:hAnsiTheme="minorHAnsi" w:cstheme="minorHAnsi"/>
          <w:sz w:val="26"/>
          <w:szCs w:val="26"/>
        </w:rPr>
        <w:t xml:space="preserve">further payments </w:t>
      </w:r>
      <w:r w:rsidR="00E22E72" w:rsidRPr="00462D9F">
        <w:rPr>
          <w:rFonts w:asciiTheme="minorHAnsi" w:hAnsiTheme="minorHAnsi" w:cstheme="minorHAnsi"/>
          <w:sz w:val="26"/>
          <w:szCs w:val="26"/>
        </w:rPr>
        <w:t xml:space="preserve">that </w:t>
      </w:r>
      <w:r w:rsidR="00311B67" w:rsidRPr="00462D9F">
        <w:rPr>
          <w:rFonts w:asciiTheme="minorHAnsi" w:hAnsiTheme="minorHAnsi" w:cstheme="minorHAnsi"/>
          <w:sz w:val="26"/>
          <w:szCs w:val="26"/>
        </w:rPr>
        <w:t xml:space="preserve">were </w:t>
      </w:r>
      <w:r w:rsidR="002C1C4E" w:rsidRPr="00462D9F">
        <w:rPr>
          <w:rFonts w:asciiTheme="minorHAnsi" w:hAnsiTheme="minorHAnsi" w:cstheme="minorHAnsi"/>
          <w:sz w:val="26"/>
          <w:szCs w:val="26"/>
        </w:rPr>
        <w:t xml:space="preserve">made by USAASA into the VBS bank account </w:t>
      </w:r>
      <w:r w:rsidR="00FF380D" w:rsidRPr="00462D9F">
        <w:rPr>
          <w:rFonts w:asciiTheme="minorHAnsi" w:hAnsiTheme="minorHAnsi" w:cstheme="minorHAnsi"/>
          <w:sz w:val="26"/>
          <w:szCs w:val="26"/>
        </w:rPr>
        <w:t>pursuant to</w:t>
      </w:r>
      <w:r w:rsidR="00E22E72" w:rsidRPr="00462D9F">
        <w:rPr>
          <w:rFonts w:asciiTheme="minorHAnsi" w:hAnsiTheme="minorHAnsi" w:cstheme="minorHAnsi"/>
          <w:sz w:val="26"/>
          <w:szCs w:val="26"/>
        </w:rPr>
        <w:t xml:space="preserve"> </w:t>
      </w:r>
      <w:proofErr w:type="spellStart"/>
      <w:r w:rsidR="002C1C4E" w:rsidRPr="00462D9F">
        <w:rPr>
          <w:rFonts w:asciiTheme="minorHAnsi" w:hAnsiTheme="minorHAnsi" w:cstheme="minorHAnsi"/>
          <w:sz w:val="26"/>
          <w:szCs w:val="26"/>
        </w:rPr>
        <w:t>Leratadima</w:t>
      </w:r>
      <w:r w:rsidR="00E22E72" w:rsidRPr="00462D9F">
        <w:rPr>
          <w:rFonts w:asciiTheme="minorHAnsi" w:hAnsiTheme="minorHAnsi" w:cstheme="minorHAnsi"/>
          <w:sz w:val="26"/>
          <w:szCs w:val="26"/>
        </w:rPr>
        <w:t>’s</w:t>
      </w:r>
      <w:proofErr w:type="spellEnd"/>
      <w:r w:rsidR="00E22E72" w:rsidRPr="00462D9F">
        <w:rPr>
          <w:rFonts w:asciiTheme="minorHAnsi" w:hAnsiTheme="minorHAnsi" w:cstheme="minorHAnsi"/>
          <w:sz w:val="26"/>
          <w:szCs w:val="26"/>
        </w:rPr>
        <w:t xml:space="preserve"> instruction </w:t>
      </w:r>
      <w:r w:rsidR="00CB55D0" w:rsidRPr="00462D9F">
        <w:rPr>
          <w:rFonts w:asciiTheme="minorHAnsi" w:hAnsiTheme="minorHAnsi" w:cstheme="minorHAnsi"/>
          <w:sz w:val="26"/>
          <w:szCs w:val="26"/>
        </w:rPr>
        <w:t>to USAASA</w:t>
      </w:r>
      <w:r w:rsidR="0063763C" w:rsidRPr="00462D9F">
        <w:rPr>
          <w:rFonts w:asciiTheme="minorHAnsi" w:hAnsiTheme="minorHAnsi" w:cstheme="minorHAnsi"/>
          <w:sz w:val="26"/>
          <w:szCs w:val="26"/>
        </w:rPr>
        <w:t>,</w:t>
      </w:r>
      <w:r w:rsidR="00CB55D0" w:rsidRPr="00462D9F">
        <w:rPr>
          <w:rFonts w:asciiTheme="minorHAnsi" w:hAnsiTheme="minorHAnsi" w:cstheme="minorHAnsi"/>
          <w:sz w:val="26"/>
          <w:szCs w:val="26"/>
        </w:rPr>
        <w:t xml:space="preserve"> </w:t>
      </w:r>
      <w:r w:rsidR="002C1C4E" w:rsidRPr="00462D9F">
        <w:rPr>
          <w:rFonts w:asciiTheme="minorHAnsi" w:hAnsiTheme="minorHAnsi" w:cstheme="minorHAnsi"/>
          <w:sz w:val="26"/>
          <w:szCs w:val="26"/>
        </w:rPr>
        <w:t>on 19 April 2016</w:t>
      </w:r>
      <w:r w:rsidR="0063763C" w:rsidRPr="00462D9F">
        <w:rPr>
          <w:rFonts w:asciiTheme="minorHAnsi" w:hAnsiTheme="minorHAnsi" w:cstheme="minorHAnsi"/>
          <w:sz w:val="26"/>
          <w:szCs w:val="26"/>
        </w:rPr>
        <w:t>,</w:t>
      </w:r>
      <w:r w:rsidR="002C1C4E" w:rsidRPr="00462D9F">
        <w:rPr>
          <w:rFonts w:asciiTheme="minorHAnsi" w:hAnsiTheme="minorHAnsi" w:cstheme="minorHAnsi"/>
          <w:sz w:val="26"/>
          <w:szCs w:val="26"/>
        </w:rPr>
        <w:t xml:space="preserve"> </w:t>
      </w:r>
      <w:r w:rsidR="00CB55D0" w:rsidRPr="00462D9F">
        <w:rPr>
          <w:rFonts w:asciiTheme="minorHAnsi" w:hAnsiTheme="minorHAnsi" w:cstheme="minorHAnsi"/>
          <w:sz w:val="26"/>
          <w:szCs w:val="26"/>
        </w:rPr>
        <w:t xml:space="preserve">for </w:t>
      </w:r>
      <w:r w:rsidR="002C1C4E" w:rsidRPr="00462D9F">
        <w:rPr>
          <w:rFonts w:asciiTheme="minorHAnsi" w:hAnsiTheme="minorHAnsi" w:cstheme="minorHAnsi"/>
          <w:sz w:val="26"/>
          <w:szCs w:val="26"/>
        </w:rPr>
        <w:t xml:space="preserve">payment to </w:t>
      </w:r>
      <w:r w:rsidR="00CB55D0" w:rsidRPr="00462D9F">
        <w:rPr>
          <w:rFonts w:asciiTheme="minorHAnsi" w:hAnsiTheme="minorHAnsi" w:cstheme="minorHAnsi"/>
          <w:sz w:val="26"/>
          <w:szCs w:val="26"/>
        </w:rPr>
        <w:t xml:space="preserve">be made </w:t>
      </w:r>
      <w:r w:rsidR="002C1C4E" w:rsidRPr="00462D9F">
        <w:rPr>
          <w:rFonts w:asciiTheme="minorHAnsi" w:hAnsiTheme="minorHAnsi" w:cstheme="minorHAnsi"/>
          <w:sz w:val="26"/>
          <w:szCs w:val="26"/>
        </w:rPr>
        <w:t xml:space="preserve">into </w:t>
      </w:r>
      <w:r w:rsidR="00CB55D0" w:rsidRPr="00462D9F">
        <w:rPr>
          <w:rFonts w:asciiTheme="minorHAnsi" w:hAnsiTheme="minorHAnsi" w:cstheme="minorHAnsi"/>
          <w:sz w:val="26"/>
          <w:szCs w:val="26"/>
        </w:rPr>
        <w:t>the latter’s</w:t>
      </w:r>
      <w:r w:rsidR="00E22E72" w:rsidRPr="00462D9F">
        <w:rPr>
          <w:rFonts w:asciiTheme="minorHAnsi" w:hAnsiTheme="minorHAnsi" w:cstheme="minorHAnsi"/>
          <w:sz w:val="26"/>
          <w:szCs w:val="26"/>
        </w:rPr>
        <w:t xml:space="preserve"> </w:t>
      </w:r>
      <w:r w:rsidR="006724D9" w:rsidRPr="00462D9F">
        <w:rPr>
          <w:rFonts w:asciiTheme="minorHAnsi" w:hAnsiTheme="minorHAnsi" w:cstheme="minorHAnsi"/>
          <w:sz w:val="26"/>
          <w:szCs w:val="26"/>
        </w:rPr>
        <w:t xml:space="preserve">Absa </w:t>
      </w:r>
      <w:r w:rsidR="002C1C4E" w:rsidRPr="00462D9F">
        <w:rPr>
          <w:rFonts w:asciiTheme="minorHAnsi" w:hAnsiTheme="minorHAnsi" w:cstheme="minorHAnsi"/>
          <w:sz w:val="26"/>
          <w:szCs w:val="26"/>
        </w:rPr>
        <w:t>bank account</w:t>
      </w:r>
      <w:r w:rsidR="006724D9" w:rsidRPr="00462D9F">
        <w:rPr>
          <w:rFonts w:asciiTheme="minorHAnsi" w:hAnsiTheme="minorHAnsi" w:cstheme="minorHAnsi"/>
          <w:sz w:val="26"/>
          <w:szCs w:val="26"/>
        </w:rPr>
        <w:t>.</w:t>
      </w:r>
      <w:r w:rsidR="006724D9">
        <w:rPr>
          <w:rStyle w:val="FootnoteReference"/>
          <w:rFonts w:asciiTheme="minorHAnsi" w:hAnsiTheme="minorHAnsi" w:cstheme="minorHAnsi"/>
          <w:sz w:val="26"/>
          <w:szCs w:val="26"/>
        </w:rPr>
        <w:footnoteReference w:id="2"/>
      </w:r>
      <w:r w:rsidR="002C1C4E" w:rsidRPr="00462D9F">
        <w:rPr>
          <w:rFonts w:asciiTheme="minorHAnsi" w:hAnsiTheme="minorHAnsi" w:cstheme="minorHAnsi"/>
          <w:sz w:val="26"/>
          <w:szCs w:val="26"/>
        </w:rPr>
        <w:t xml:space="preserve"> </w:t>
      </w:r>
      <w:r w:rsidR="00FF380D" w:rsidRPr="00462D9F">
        <w:rPr>
          <w:rFonts w:asciiTheme="minorHAnsi" w:hAnsiTheme="minorHAnsi" w:cstheme="minorHAnsi"/>
          <w:sz w:val="26"/>
          <w:szCs w:val="26"/>
        </w:rPr>
        <w:t>Such conduct, so it was submitted, demonstrated that USAASA considered itself bound by its payment undertaking, which it also considered to be enforceable.</w:t>
      </w:r>
    </w:p>
    <w:p w14:paraId="63D6D1A5" w14:textId="77777777" w:rsidR="006724D9" w:rsidRPr="006724D9" w:rsidRDefault="006724D9" w:rsidP="006724D9">
      <w:pPr>
        <w:pStyle w:val="ListParagraph"/>
        <w:rPr>
          <w:rFonts w:asciiTheme="minorHAnsi" w:hAnsiTheme="minorHAnsi" w:cstheme="minorHAnsi"/>
          <w:sz w:val="26"/>
          <w:szCs w:val="26"/>
        </w:rPr>
      </w:pPr>
    </w:p>
    <w:p w14:paraId="43359BAE" w14:textId="6E181C03" w:rsidR="0044733C" w:rsidRPr="00462D9F" w:rsidRDefault="00462D9F" w:rsidP="00462D9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w:t>
      </w:r>
      <w:r>
        <w:rPr>
          <w:rFonts w:asciiTheme="minorHAnsi" w:hAnsiTheme="minorHAnsi"/>
          <w:sz w:val="24"/>
          <w:szCs w:val="24"/>
        </w:rPr>
        <w:tab/>
      </w:r>
      <w:r w:rsidR="00416021" w:rsidRPr="00462D9F">
        <w:rPr>
          <w:rFonts w:asciiTheme="minorHAnsi" w:hAnsiTheme="minorHAnsi" w:cstheme="minorHAnsi"/>
          <w:sz w:val="26"/>
          <w:szCs w:val="26"/>
        </w:rPr>
        <w:t>All</w:t>
      </w:r>
      <w:r w:rsidR="00E22E72" w:rsidRPr="00462D9F">
        <w:rPr>
          <w:rFonts w:asciiTheme="minorHAnsi" w:hAnsiTheme="minorHAnsi" w:cstheme="minorHAnsi"/>
          <w:sz w:val="26"/>
          <w:szCs w:val="26"/>
        </w:rPr>
        <w:t xml:space="preserve"> further complaints raised in the Notice of application</w:t>
      </w:r>
      <w:r w:rsidR="00416021" w:rsidRPr="00462D9F">
        <w:rPr>
          <w:rFonts w:asciiTheme="minorHAnsi" w:hAnsiTheme="minorHAnsi" w:cstheme="minorHAnsi"/>
          <w:sz w:val="26"/>
          <w:szCs w:val="26"/>
        </w:rPr>
        <w:t xml:space="preserve"> for leave to appeal, whilst not </w:t>
      </w:r>
      <w:r w:rsidR="00FF380D" w:rsidRPr="00462D9F">
        <w:rPr>
          <w:rFonts w:asciiTheme="minorHAnsi" w:hAnsiTheme="minorHAnsi" w:cstheme="minorHAnsi"/>
          <w:sz w:val="26"/>
          <w:szCs w:val="26"/>
        </w:rPr>
        <w:t xml:space="preserve">either </w:t>
      </w:r>
      <w:r w:rsidR="00416021" w:rsidRPr="00462D9F">
        <w:rPr>
          <w:rFonts w:asciiTheme="minorHAnsi" w:hAnsiTheme="minorHAnsi" w:cstheme="minorHAnsi"/>
          <w:sz w:val="26"/>
          <w:szCs w:val="26"/>
        </w:rPr>
        <w:t>individually</w:t>
      </w:r>
      <w:r w:rsidR="00FF380D" w:rsidRPr="00462D9F">
        <w:rPr>
          <w:rFonts w:asciiTheme="minorHAnsi" w:hAnsiTheme="minorHAnsi" w:cstheme="minorHAnsi"/>
          <w:sz w:val="26"/>
          <w:szCs w:val="26"/>
        </w:rPr>
        <w:t xml:space="preserve"> or </w:t>
      </w:r>
      <w:r w:rsidR="00416021" w:rsidRPr="00462D9F">
        <w:rPr>
          <w:rFonts w:asciiTheme="minorHAnsi" w:hAnsiTheme="minorHAnsi" w:cstheme="minorHAnsi"/>
          <w:sz w:val="26"/>
          <w:szCs w:val="26"/>
        </w:rPr>
        <w:t>specifically pursued at the hearing of the matter,</w:t>
      </w:r>
      <w:r w:rsidR="00E22E72" w:rsidRPr="00462D9F">
        <w:rPr>
          <w:rFonts w:asciiTheme="minorHAnsi" w:hAnsiTheme="minorHAnsi" w:cstheme="minorHAnsi"/>
          <w:sz w:val="26"/>
          <w:szCs w:val="26"/>
        </w:rPr>
        <w:t xml:space="preserve"> </w:t>
      </w:r>
      <w:r w:rsidR="00416021" w:rsidRPr="00462D9F">
        <w:rPr>
          <w:rFonts w:asciiTheme="minorHAnsi" w:hAnsiTheme="minorHAnsi" w:cstheme="minorHAnsi"/>
          <w:sz w:val="26"/>
          <w:szCs w:val="26"/>
        </w:rPr>
        <w:t xml:space="preserve">relate to the ultimate complaint that on a proper interpretation of the true import of the payment undertaking, I ought to have found that the payment undertaking created an enforceable payment obligation on the part of USAASA to </w:t>
      </w:r>
      <w:r w:rsidR="00FB3003" w:rsidRPr="00462D9F">
        <w:rPr>
          <w:rFonts w:asciiTheme="minorHAnsi" w:hAnsiTheme="minorHAnsi" w:cstheme="minorHAnsi"/>
          <w:sz w:val="26"/>
          <w:szCs w:val="26"/>
        </w:rPr>
        <w:t xml:space="preserve">pay </w:t>
      </w:r>
      <w:r w:rsidR="00416021" w:rsidRPr="00462D9F">
        <w:rPr>
          <w:rFonts w:asciiTheme="minorHAnsi" w:hAnsiTheme="minorHAnsi" w:cstheme="minorHAnsi"/>
          <w:sz w:val="26"/>
          <w:szCs w:val="26"/>
        </w:rPr>
        <w:t>VBS</w:t>
      </w:r>
      <w:r w:rsidR="00FB3003" w:rsidRPr="00462D9F">
        <w:rPr>
          <w:rFonts w:asciiTheme="minorHAnsi" w:hAnsiTheme="minorHAnsi" w:cstheme="minorHAnsi"/>
          <w:sz w:val="26"/>
          <w:szCs w:val="26"/>
        </w:rPr>
        <w:t xml:space="preserve"> monies that were due and owing </w:t>
      </w:r>
      <w:r w:rsidR="0091030F" w:rsidRPr="00462D9F">
        <w:rPr>
          <w:rFonts w:asciiTheme="minorHAnsi" w:hAnsiTheme="minorHAnsi" w:cstheme="minorHAnsi"/>
          <w:sz w:val="26"/>
          <w:szCs w:val="26"/>
        </w:rPr>
        <w:t xml:space="preserve">by USAASA </w:t>
      </w:r>
      <w:r w:rsidR="00FB3003" w:rsidRPr="00462D9F">
        <w:rPr>
          <w:rFonts w:asciiTheme="minorHAnsi" w:hAnsiTheme="minorHAnsi" w:cstheme="minorHAnsi"/>
          <w:sz w:val="26"/>
          <w:szCs w:val="26"/>
        </w:rPr>
        <w:t xml:space="preserve">to </w:t>
      </w:r>
      <w:proofErr w:type="spellStart"/>
      <w:r w:rsidR="00FB3003" w:rsidRPr="00462D9F">
        <w:rPr>
          <w:rFonts w:asciiTheme="minorHAnsi" w:hAnsiTheme="minorHAnsi" w:cstheme="minorHAnsi"/>
          <w:sz w:val="26"/>
          <w:szCs w:val="26"/>
        </w:rPr>
        <w:t>Leratadima</w:t>
      </w:r>
      <w:proofErr w:type="spellEnd"/>
      <w:r w:rsidR="00416021" w:rsidRPr="00462D9F">
        <w:rPr>
          <w:rFonts w:asciiTheme="minorHAnsi" w:hAnsiTheme="minorHAnsi" w:cstheme="minorHAnsi"/>
          <w:sz w:val="26"/>
          <w:szCs w:val="26"/>
        </w:rPr>
        <w:t>.</w:t>
      </w:r>
      <w:r w:rsidR="0059327E" w:rsidRPr="00462D9F">
        <w:rPr>
          <w:rFonts w:asciiTheme="minorHAnsi" w:hAnsiTheme="minorHAnsi" w:cstheme="minorHAnsi"/>
          <w:sz w:val="26"/>
          <w:szCs w:val="26"/>
        </w:rPr>
        <w:t xml:space="preserve"> </w:t>
      </w:r>
    </w:p>
    <w:p w14:paraId="7AA23BE6" w14:textId="77777777" w:rsidR="005A624C" w:rsidRPr="005A624C" w:rsidRDefault="005A624C" w:rsidP="005A624C">
      <w:pPr>
        <w:pStyle w:val="ListParagraph"/>
        <w:rPr>
          <w:rFonts w:asciiTheme="minorHAnsi" w:hAnsiTheme="minorHAnsi" w:cstheme="minorHAnsi"/>
          <w:sz w:val="26"/>
          <w:szCs w:val="26"/>
        </w:rPr>
      </w:pPr>
    </w:p>
    <w:p w14:paraId="3CE0D0A7" w14:textId="313CD5A9" w:rsidR="000050C9" w:rsidRPr="00462D9F" w:rsidRDefault="00462D9F" w:rsidP="00462D9F">
      <w:pPr>
        <w:spacing w:after="200" w:line="360" w:lineRule="auto"/>
        <w:ind w:left="851" w:hanging="851"/>
        <w:jc w:val="both"/>
        <w:rPr>
          <w:rFonts w:asciiTheme="minorHAnsi" w:hAnsiTheme="minorHAnsi" w:cstheme="minorHAnsi"/>
          <w:sz w:val="26"/>
          <w:szCs w:val="26"/>
        </w:rPr>
      </w:pPr>
      <w:r w:rsidRPr="00A31F51">
        <w:rPr>
          <w:rFonts w:asciiTheme="minorHAnsi" w:hAnsiTheme="minorHAnsi" w:cstheme="minorHAnsi"/>
          <w:sz w:val="26"/>
          <w:szCs w:val="26"/>
        </w:rPr>
        <w:lastRenderedPageBreak/>
        <w:t>5.</w:t>
      </w:r>
      <w:r w:rsidRPr="00A31F51">
        <w:rPr>
          <w:rFonts w:asciiTheme="minorHAnsi" w:hAnsiTheme="minorHAnsi" w:cstheme="minorHAnsi"/>
          <w:sz w:val="26"/>
          <w:szCs w:val="26"/>
        </w:rPr>
        <w:tab/>
      </w:r>
      <w:r w:rsidR="000050C9" w:rsidRPr="00462D9F">
        <w:rPr>
          <w:rFonts w:asciiTheme="minorHAnsi" w:hAnsiTheme="minorHAnsi" w:cstheme="minorHAnsi"/>
          <w:sz w:val="26"/>
          <w:szCs w:val="26"/>
        </w:rPr>
        <w:t xml:space="preserve">In terms of section 17 of the Superior Courts Act, 10 of 2013: </w:t>
      </w:r>
    </w:p>
    <w:p w14:paraId="17B1784D" w14:textId="77777777" w:rsidR="000050C9" w:rsidRPr="006A31DA" w:rsidRDefault="000050C9" w:rsidP="000050C9">
      <w:pPr>
        <w:pStyle w:val="ListParagraph"/>
        <w:spacing w:line="360" w:lineRule="auto"/>
        <w:ind w:left="1440"/>
        <w:jc w:val="both"/>
        <w:rPr>
          <w:rFonts w:asciiTheme="minorHAnsi" w:hAnsiTheme="minorHAnsi" w:cstheme="minorHAnsi"/>
          <w:sz w:val="26"/>
          <w:szCs w:val="26"/>
        </w:rPr>
      </w:pPr>
      <w:r w:rsidRPr="006A31DA">
        <w:rPr>
          <w:rFonts w:asciiTheme="minorHAnsi" w:hAnsiTheme="minorHAnsi" w:cstheme="minorHAnsi"/>
          <w:sz w:val="26"/>
          <w:szCs w:val="26"/>
        </w:rPr>
        <w:t xml:space="preserve">“(1) Leave to appeal may only be given where the judge or judges concerned are of the opinion that - </w:t>
      </w:r>
    </w:p>
    <w:p w14:paraId="0E60EF74" w14:textId="45736D65" w:rsidR="000050C9" w:rsidRPr="00462D9F" w:rsidRDefault="00462D9F" w:rsidP="00462D9F">
      <w:pPr>
        <w:spacing w:after="200" w:line="360" w:lineRule="auto"/>
        <w:ind w:left="3079" w:hanging="1050"/>
        <w:jc w:val="both"/>
        <w:rPr>
          <w:rFonts w:asciiTheme="minorHAnsi" w:hAnsiTheme="minorHAnsi" w:cstheme="minorHAnsi"/>
          <w:sz w:val="26"/>
          <w:szCs w:val="26"/>
        </w:rPr>
      </w:pPr>
      <w:r w:rsidRPr="006A31DA">
        <w:rPr>
          <w:rFonts w:asciiTheme="minorHAnsi" w:hAnsiTheme="minorHAnsi" w:cstheme="minorHAnsi"/>
          <w:sz w:val="26"/>
          <w:szCs w:val="26"/>
        </w:rPr>
        <w:t>(a)</w:t>
      </w:r>
      <w:r w:rsidRPr="006A31DA">
        <w:rPr>
          <w:rFonts w:asciiTheme="minorHAnsi" w:hAnsiTheme="minorHAnsi" w:cstheme="minorHAnsi"/>
          <w:sz w:val="26"/>
          <w:szCs w:val="26"/>
        </w:rPr>
        <w:tab/>
      </w:r>
      <w:r w:rsidR="000050C9" w:rsidRPr="00462D9F">
        <w:rPr>
          <w:rFonts w:asciiTheme="minorHAnsi" w:hAnsiTheme="minorHAnsi" w:cstheme="minorHAnsi"/>
          <w:sz w:val="26"/>
          <w:szCs w:val="26"/>
        </w:rPr>
        <w:t>(</w:t>
      </w:r>
      <w:proofErr w:type="spellStart"/>
      <w:r w:rsidR="000050C9" w:rsidRPr="00462D9F">
        <w:rPr>
          <w:rFonts w:asciiTheme="minorHAnsi" w:hAnsiTheme="minorHAnsi" w:cstheme="minorHAnsi"/>
          <w:sz w:val="26"/>
          <w:szCs w:val="26"/>
        </w:rPr>
        <w:t>i</w:t>
      </w:r>
      <w:proofErr w:type="spellEnd"/>
      <w:r w:rsidR="000050C9" w:rsidRPr="00462D9F">
        <w:rPr>
          <w:rFonts w:asciiTheme="minorHAnsi" w:hAnsiTheme="minorHAnsi" w:cstheme="minorHAnsi"/>
          <w:sz w:val="26"/>
          <w:szCs w:val="26"/>
        </w:rPr>
        <w:t xml:space="preserve">) the appeal would have a reasonable prospect of success; or </w:t>
      </w:r>
    </w:p>
    <w:p w14:paraId="37CEE193" w14:textId="77777777" w:rsidR="000050C9" w:rsidRPr="006A31DA" w:rsidRDefault="000050C9" w:rsidP="000050C9">
      <w:pPr>
        <w:pStyle w:val="ListParagraph"/>
        <w:spacing w:line="360" w:lineRule="auto"/>
        <w:ind w:left="3079"/>
        <w:jc w:val="both"/>
        <w:rPr>
          <w:rFonts w:asciiTheme="minorHAnsi" w:hAnsiTheme="minorHAnsi" w:cstheme="minorHAnsi"/>
          <w:sz w:val="26"/>
          <w:szCs w:val="26"/>
        </w:rPr>
      </w:pPr>
      <w:r w:rsidRPr="006A31DA">
        <w:rPr>
          <w:rFonts w:asciiTheme="minorHAnsi" w:hAnsiTheme="minorHAnsi" w:cstheme="minorHAnsi"/>
          <w:sz w:val="26"/>
          <w:szCs w:val="26"/>
        </w:rPr>
        <w:t xml:space="preserve">(ii) there is some other compelling reason why the appeal should be heard, including conflicting judgments on the matter under </w:t>
      </w:r>
      <w:proofErr w:type="gramStart"/>
      <w:r w:rsidRPr="006A31DA">
        <w:rPr>
          <w:rFonts w:asciiTheme="minorHAnsi" w:hAnsiTheme="minorHAnsi" w:cstheme="minorHAnsi"/>
          <w:sz w:val="26"/>
          <w:szCs w:val="26"/>
        </w:rPr>
        <w:t>consideration;</w:t>
      </w:r>
      <w:proofErr w:type="gramEnd"/>
    </w:p>
    <w:p w14:paraId="16B0933B" w14:textId="3D0BD06A" w:rsidR="000050C9" w:rsidRPr="00462D9F" w:rsidRDefault="00462D9F" w:rsidP="00462D9F">
      <w:pPr>
        <w:spacing w:after="200" w:line="360" w:lineRule="auto"/>
        <w:ind w:left="3079" w:hanging="1050"/>
        <w:jc w:val="both"/>
        <w:rPr>
          <w:rFonts w:asciiTheme="minorHAnsi" w:hAnsiTheme="minorHAnsi" w:cstheme="minorHAnsi"/>
          <w:sz w:val="26"/>
          <w:szCs w:val="26"/>
        </w:rPr>
      </w:pPr>
      <w:r w:rsidRPr="006A31DA">
        <w:rPr>
          <w:rFonts w:asciiTheme="minorHAnsi" w:hAnsiTheme="minorHAnsi" w:cstheme="minorHAnsi"/>
          <w:sz w:val="26"/>
          <w:szCs w:val="26"/>
        </w:rPr>
        <w:t>(b)</w:t>
      </w:r>
      <w:r w:rsidRPr="006A31DA">
        <w:rPr>
          <w:rFonts w:asciiTheme="minorHAnsi" w:hAnsiTheme="minorHAnsi" w:cstheme="minorHAnsi"/>
          <w:sz w:val="26"/>
          <w:szCs w:val="26"/>
        </w:rPr>
        <w:tab/>
      </w:r>
      <w:r w:rsidR="000050C9" w:rsidRPr="00462D9F">
        <w:rPr>
          <w:rFonts w:asciiTheme="minorHAnsi" w:hAnsiTheme="minorHAnsi" w:cstheme="minorHAnsi"/>
          <w:sz w:val="26"/>
          <w:szCs w:val="26"/>
        </w:rPr>
        <w:t>…”</w:t>
      </w:r>
    </w:p>
    <w:p w14:paraId="0F0CF536" w14:textId="77777777" w:rsidR="000050C9" w:rsidRPr="006A31DA" w:rsidRDefault="000050C9" w:rsidP="000050C9">
      <w:pPr>
        <w:pStyle w:val="ListParagraph"/>
        <w:spacing w:line="360" w:lineRule="auto"/>
        <w:rPr>
          <w:rFonts w:asciiTheme="minorHAnsi" w:hAnsiTheme="minorHAnsi" w:cstheme="minorHAnsi"/>
          <w:sz w:val="26"/>
          <w:szCs w:val="26"/>
        </w:rPr>
      </w:pPr>
    </w:p>
    <w:p w14:paraId="7F27C39F" w14:textId="12B5BDDA" w:rsidR="005A624C" w:rsidRPr="00462D9F" w:rsidRDefault="00462D9F" w:rsidP="00462D9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w:t>
      </w:r>
      <w:r>
        <w:rPr>
          <w:rFonts w:asciiTheme="minorHAnsi" w:hAnsiTheme="minorHAnsi"/>
          <w:sz w:val="24"/>
          <w:szCs w:val="24"/>
        </w:rPr>
        <w:tab/>
      </w:r>
      <w:r w:rsidR="000050C9" w:rsidRPr="00462D9F">
        <w:rPr>
          <w:rFonts w:asciiTheme="minorHAnsi" w:hAnsiTheme="minorHAnsi" w:cstheme="minorHAnsi"/>
          <w:sz w:val="26"/>
          <w:szCs w:val="26"/>
        </w:rPr>
        <w:t>The use of the word ‘would’ in section 17 (1)(a)(</w:t>
      </w:r>
      <w:proofErr w:type="spellStart"/>
      <w:r w:rsidR="000050C9" w:rsidRPr="00462D9F">
        <w:rPr>
          <w:rFonts w:asciiTheme="minorHAnsi" w:hAnsiTheme="minorHAnsi" w:cstheme="minorHAnsi"/>
          <w:sz w:val="26"/>
          <w:szCs w:val="26"/>
        </w:rPr>
        <w:t>i</w:t>
      </w:r>
      <w:proofErr w:type="spellEnd"/>
      <w:r w:rsidR="000050C9" w:rsidRPr="00462D9F">
        <w:rPr>
          <w:rFonts w:asciiTheme="minorHAnsi" w:hAnsiTheme="minorHAnsi" w:cstheme="minorHAnsi"/>
          <w:sz w:val="26"/>
          <w:szCs w:val="26"/>
        </w:rPr>
        <w:t xml:space="preserve">) of the Superior Courts has been held to denote </w:t>
      </w:r>
      <w:r w:rsidR="000050C9" w:rsidRPr="00462D9F">
        <w:rPr>
          <w:rFonts w:asciiTheme="minorHAnsi" w:hAnsiTheme="minorHAnsi" w:cstheme="minorHAnsi"/>
          <w:i/>
          <w:sz w:val="26"/>
          <w:szCs w:val="26"/>
        </w:rPr>
        <w:t>‘</w:t>
      </w:r>
      <w:r w:rsidR="000050C9" w:rsidRPr="00462D9F">
        <w:rPr>
          <w:rFonts w:asciiTheme="minorHAnsi" w:hAnsiTheme="minorHAnsi" w:cstheme="minorHAnsi"/>
          <w:i/>
          <w:color w:val="242121"/>
          <w:sz w:val="26"/>
          <w:szCs w:val="26"/>
          <w:shd w:val="clear" w:color="auto" w:fill="FFFFFF"/>
        </w:rPr>
        <w:t xml:space="preserve">a </w:t>
      </w:r>
      <w:r w:rsidR="000050C9" w:rsidRPr="00462D9F">
        <w:rPr>
          <w:rFonts w:asciiTheme="minorHAnsi" w:hAnsiTheme="minorHAnsi" w:cstheme="minorHAnsi"/>
          <w:i/>
          <w:iCs/>
          <w:color w:val="242121"/>
          <w:sz w:val="26"/>
          <w:szCs w:val="26"/>
          <w:shd w:val="clear" w:color="auto" w:fill="FFFFFF"/>
        </w:rPr>
        <w:t>measure o</w:t>
      </w:r>
      <w:r w:rsidR="000050C9" w:rsidRPr="00462D9F">
        <w:rPr>
          <w:rFonts w:asciiTheme="minorHAnsi" w:hAnsiTheme="minorHAnsi" w:cstheme="minorHAnsi"/>
          <w:i/>
          <w:color w:val="242121"/>
          <w:sz w:val="26"/>
          <w:szCs w:val="26"/>
          <w:shd w:val="clear" w:color="auto" w:fill="FFFFFF"/>
        </w:rPr>
        <w:t>f c</w:t>
      </w:r>
      <w:r w:rsidR="000050C9" w:rsidRPr="00462D9F">
        <w:rPr>
          <w:rFonts w:asciiTheme="minorHAnsi" w:hAnsiTheme="minorHAnsi" w:cstheme="minorHAnsi"/>
          <w:i/>
          <w:iCs/>
          <w:color w:val="242121"/>
          <w:sz w:val="26"/>
          <w:szCs w:val="26"/>
          <w:shd w:val="clear" w:color="auto" w:fill="FFFFFF"/>
        </w:rPr>
        <w:t>ertainty that another court will differ from the court whose judgment is sought to be appealed against.’</w:t>
      </w:r>
      <w:r w:rsidR="000050C9" w:rsidRPr="006A31DA">
        <w:rPr>
          <w:rStyle w:val="FootnoteReference"/>
          <w:rFonts w:asciiTheme="minorHAnsi" w:hAnsiTheme="minorHAnsi" w:cstheme="minorHAnsi"/>
          <w:i/>
          <w:iCs/>
          <w:color w:val="242121"/>
          <w:sz w:val="26"/>
          <w:szCs w:val="26"/>
          <w:shd w:val="clear" w:color="auto" w:fill="FFFFFF"/>
        </w:rPr>
        <w:footnoteReference w:id="3"/>
      </w:r>
      <w:r w:rsidR="000050C9" w:rsidRPr="00462D9F">
        <w:rPr>
          <w:rFonts w:asciiTheme="minorHAnsi" w:hAnsiTheme="minorHAnsi" w:cstheme="minorHAnsi"/>
          <w:i/>
          <w:iCs/>
          <w:color w:val="242121"/>
          <w:sz w:val="26"/>
          <w:szCs w:val="26"/>
          <w:shd w:val="clear" w:color="auto" w:fill="FFFFFF"/>
        </w:rPr>
        <w:t xml:space="preserve"> </w:t>
      </w:r>
      <w:r w:rsidR="000050C9" w:rsidRPr="00462D9F">
        <w:rPr>
          <w:rFonts w:asciiTheme="minorHAnsi" w:hAnsiTheme="minorHAnsi" w:cstheme="minorHAnsi"/>
          <w:iCs/>
          <w:color w:val="242121"/>
          <w:sz w:val="26"/>
          <w:szCs w:val="26"/>
          <w:shd w:val="clear" w:color="auto" w:fill="FFFFFF"/>
        </w:rPr>
        <w:t xml:space="preserve"> </w:t>
      </w:r>
      <w:r w:rsidR="000050C9" w:rsidRPr="00462D9F">
        <w:rPr>
          <w:rFonts w:asciiTheme="minorHAnsi" w:hAnsiTheme="minorHAnsi" w:cstheme="minorHAnsi"/>
          <w:color w:val="000000"/>
          <w:sz w:val="26"/>
          <w:szCs w:val="26"/>
        </w:rPr>
        <w:t xml:space="preserve">Such approach was endorsed in this division in </w:t>
      </w:r>
      <w:r w:rsidR="000050C9" w:rsidRPr="00462D9F">
        <w:rPr>
          <w:rFonts w:asciiTheme="minorHAnsi" w:hAnsiTheme="minorHAnsi" w:cstheme="minorHAnsi"/>
          <w:i/>
          <w:color w:val="000000"/>
          <w:sz w:val="26"/>
          <w:szCs w:val="26"/>
        </w:rPr>
        <w:t>Acting National Director of Public Prosecutions and Others v Democratic Alliance</w:t>
      </w:r>
      <w:r w:rsidR="000050C9" w:rsidRPr="006A31DA">
        <w:rPr>
          <w:rStyle w:val="FootnoteReference"/>
          <w:rFonts w:asciiTheme="minorHAnsi" w:hAnsiTheme="minorHAnsi" w:cstheme="minorHAnsi"/>
          <w:i/>
          <w:color w:val="000000"/>
          <w:sz w:val="26"/>
          <w:szCs w:val="26"/>
        </w:rPr>
        <w:footnoteReference w:id="4"/>
      </w:r>
      <w:r w:rsidR="000050C9" w:rsidRPr="00462D9F">
        <w:rPr>
          <w:rFonts w:asciiTheme="minorHAnsi" w:hAnsiTheme="minorHAnsi" w:cstheme="minorHAnsi"/>
          <w:i/>
          <w:color w:val="000000"/>
          <w:sz w:val="26"/>
          <w:szCs w:val="26"/>
        </w:rPr>
        <w:t xml:space="preserve"> </w:t>
      </w:r>
      <w:r w:rsidR="000050C9" w:rsidRPr="00462D9F">
        <w:rPr>
          <w:rFonts w:asciiTheme="minorHAnsi" w:hAnsiTheme="minorHAnsi" w:cstheme="minorHAnsi"/>
          <w:color w:val="000000"/>
          <w:sz w:val="26"/>
          <w:szCs w:val="26"/>
        </w:rPr>
        <w:t xml:space="preserve"> To this may be added, further cautionary notes sounded by the Supreme Court of Appeal in dealing with appeals. In </w:t>
      </w:r>
      <w:r w:rsidR="000050C9" w:rsidRPr="00462D9F">
        <w:rPr>
          <w:rFonts w:asciiTheme="minorHAnsi" w:hAnsiTheme="minorHAnsi" w:cstheme="minorHAnsi"/>
          <w:i/>
          <w:color w:val="000000"/>
          <w:sz w:val="26"/>
          <w:szCs w:val="26"/>
        </w:rPr>
        <w:t>S v Smith</w:t>
      </w:r>
      <w:r w:rsidR="000050C9" w:rsidRPr="00462D9F">
        <w:rPr>
          <w:rFonts w:asciiTheme="minorHAnsi" w:hAnsiTheme="minorHAnsi" w:cstheme="minorHAnsi"/>
          <w:color w:val="000000"/>
          <w:sz w:val="26"/>
          <w:szCs w:val="26"/>
        </w:rPr>
        <w:t>,</w:t>
      </w:r>
      <w:r w:rsidR="000050C9" w:rsidRPr="006A31DA">
        <w:rPr>
          <w:rStyle w:val="FootnoteReference"/>
          <w:rFonts w:asciiTheme="minorHAnsi" w:hAnsiTheme="minorHAnsi" w:cstheme="minorHAnsi"/>
          <w:color w:val="000000"/>
          <w:sz w:val="26"/>
          <w:szCs w:val="26"/>
        </w:rPr>
        <w:footnoteReference w:id="5"/>
      </w:r>
      <w:r w:rsidR="000050C9" w:rsidRPr="00462D9F">
        <w:rPr>
          <w:rFonts w:asciiTheme="minorHAnsi" w:hAnsiTheme="minorHAnsi" w:cstheme="minorHAnsi"/>
          <w:color w:val="000000"/>
          <w:sz w:val="26"/>
          <w:szCs w:val="26"/>
        </w:rPr>
        <w:t xml:space="preserve"> it was stated that in deciding whether there is a reasonable prospect of success on appeal, there must be ‘</w:t>
      </w:r>
      <w:r w:rsidR="000050C9" w:rsidRPr="00462D9F">
        <w:rPr>
          <w:rFonts w:asciiTheme="minorHAnsi" w:hAnsiTheme="minorHAnsi" w:cstheme="minorHAnsi"/>
          <w:i/>
          <w:color w:val="000000"/>
          <w:sz w:val="26"/>
          <w:szCs w:val="26"/>
        </w:rPr>
        <w:t>a sound, rational basis for the conclusion that there are prospects of success on appeal.</w:t>
      </w:r>
      <w:r w:rsidR="000050C9" w:rsidRPr="00462D9F">
        <w:rPr>
          <w:rFonts w:asciiTheme="minorHAnsi" w:hAnsiTheme="minorHAnsi" w:cstheme="minorHAnsi"/>
          <w:color w:val="000000"/>
          <w:sz w:val="26"/>
          <w:szCs w:val="26"/>
        </w:rPr>
        <w:t xml:space="preserve">’ In </w:t>
      </w:r>
      <w:proofErr w:type="spellStart"/>
      <w:r w:rsidR="000050C9" w:rsidRPr="00462D9F">
        <w:rPr>
          <w:rFonts w:asciiTheme="minorHAnsi" w:hAnsiTheme="minorHAnsi" w:cstheme="minorHAnsi"/>
          <w:i/>
          <w:color w:val="000000"/>
          <w:sz w:val="26"/>
          <w:szCs w:val="26"/>
        </w:rPr>
        <w:t>Dexgroup</w:t>
      </w:r>
      <w:proofErr w:type="spellEnd"/>
      <w:r w:rsidR="000050C9" w:rsidRPr="00462D9F">
        <w:rPr>
          <w:rFonts w:asciiTheme="minorHAnsi" w:hAnsiTheme="minorHAnsi" w:cstheme="minorHAnsi"/>
          <w:i/>
          <w:color w:val="000000"/>
          <w:sz w:val="26"/>
          <w:szCs w:val="26"/>
        </w:rPr>
        <w:t>,</w:t>
      </w:r>
      <w:r w:rsidR="000050C9" w:rsidRPr="006A31DA">
        <w:rPr>
          <w:rStyle w:val="FootnoteReference"/>
          <w:rFonts w:asciiTheme="minorHAnsi" w:hAnsiTheme="minorHAnsi" w:cstheme="minorHAnsi"/>
          <w:i/>
          <w:color w:val="000000"/>
          <w:sz w:val="26"/>
          <w:szCs w:val="26"/>
        </w:rPr>
        <w:footnoteReference w:id="6"/>
      </w:r>
      <w:r w:rsidR="000050C9" w:rsidRPr="00462D9F">
        <w:rPr>
          <w:rFonts w:asciiTheme="minorHAnsi" w:hAnsiTheme="minorHAnsi" w:cstheme="minorHAnsi"/>
          <w:i/>
          <w:color w:val="000000"/>
          <w:sz w:val="26"/>
          <w:szCs w:val="26"/>
        </w:rPr>
        <w:t xml:space="preserve"> </w:t>
      </w:r>
      <w:r w:rsidR="000050C9" w:rsidRPr="00462D9F">
        <w:rPr>
          <w:rFonts w:asciiTheme="minorHAnsi" w:hAnsiTheme="minorHAnsi" w:cstheme="minorHAnsi"/>
          <w:color w:val="000000"/>
          <w:sz w:val="26"/>
          <w:szCs w:val="26"/>
        </w:rPr>
        <w:t xml:space="preserve">the SCA </w:t>
      </w:r>
      <w:r w:rsidR="000050C9" w:rsidRPr="00462D9F">
        <w:rPr>
          <w:rFonts w:asciiTheme="minorHAnsi" w:hAnsiTheme="minorHAnsi" w:cstheme="minorHAnsi"/>
          <w:color w:val="000000"/>
          <w:sz w:val="26"/>
          <w:szCs w:val="26"/>
        </w:rPr>
        <w:lastRenderedPageBreak/>
        <w:t>cautioned that the ‘</w:t>
      </w:r>
      <w:r w:rsidR="000050C9" w:rsidRPr="00462D9F">
        <w:rPr>
          <w:rFonts w:asciiTheme="minorHAnsi" w:hAnsiTheme="minorHAnsi" w:cstheme="minorHAnsi"/>
          <w:i/>
          <w:color w:val="000000"/>
          <w:sz w:val="26"/>
          <w:szCs w:val="26"/>
        </w:rPr>
        <w:t>need to obtain leave to appeal is a valuable tool in ensuring that scarce judicial resources are not spent on appeals that lack merit.</w:t>
      </w:r>
      <w:r w:rsidR="000050C9" w:rsidRPr="00462D9F">
        <w:rPr>
          <w:rFonts w:asciiTheme="minorHAnsi" w:hAnsiTheme="minorHAnsi" w:cstheme="minorHAnsi"/>
          <w:color w:val="000000"/>
          <w:sz w:val="26"/>
          <w:szCs w:val="26"/>
        </w:rPr>
        <w:t xml:space="preserve">’ </w:t>
      </w:r>
      <w:r w:rsidR="001029BD" w:rsidRPr="00462D9F">
        <w:rPr>
          <w:rFonts w:asciiTheme="minorHAnsi" w:hAnsiTheme="minorHAnsi" w:cstheme="minorHAnsi"/>
          <w:color w:val="000000"/>
          <w:sz w:val="26"/>
          <w:szCs w:val="26"/>
        </w:rPr>
        <w:t>In</w:t>
      </w:r>
      <w:r w:rsidR="000050C9" w:rsidRPr="00462D9F">
        <w:rPr>
          <w:rFonts w:asciiTheme="minorHAnsi" w:hAnsiTheme="minorHAnsi" w:cstheme="minorHAnsi"/>
          <w:color w:val="000000"/>
          <w:sz w:val="26"/>
          <w:szCs w:val="26"/>
        </w:rPr>
        <w:t xml:space="preserve"> </w:t>
      </w:r>
      <w:r w:rsidR="000050C9" w:rsidRPr="00462D9F">
        <w:rPr>
          <w:rFonts w:asciiTheme="minorHAnsi" w:hAnsiTheme="minorHAnsi" w:cstheme="minorHAnsi"/>
          <w:i/>
          <w:color w:val="000000"/>
          <w:sz w:val="26"/>
          <w:szCs w:val="26"/>
        </w:rPr>
        <w:t>Kruger v S,</w:t>
      </w:r>
      <w:r w:rsidR="000050C9">
        <w:rPr>
          <w:rStyle w:val="FootnoteReference"/>
          <w:rFonts w:asciiTheme="minorHAnsi" w:hAnsiTheme="minorHAnsi" w:cstheme="minorHAnsi"/>
          <w:i/>
          <w:color w:val="000000"/>
          <w:sz w:val="26"/>
          <w:szCs w:val="26"/>
        </w:rPr>
        <w:footnoteReference w:id="7"/>
      </w:r>
      <w:r w:rsidR="000050C9" w:rsidRPr="00462D9F">
        <w:rPr>
          <w:rFonts w:asciiTheme="minorHAnsi" w:hAnsiTheme="minorHAnsi" w:cstheme="minorHAnsi"/>
          <w:i/>
          <w:color w:val="000000"/>
          <w:sz w:val="26"/>
          <w:szCs w:val="26"/>
        </w:rPr>
        <w:t xml:space="preserve"> </w:t>
      </w:r>
      <w:r w:rsidR="000050C9" w:rsidRPr="00462D9F">
        <w:rPr>
          <w:rFonts w:asciiTheme="minorHAnsi" w:hAnsiTheme="minorHAnsi" w:cstheme="minorHAnsi"/>
          <w:color w:val="000000"/>
          <w:sz w:val="26"/>
          <w:szCs w:val="26"/>
        </w:rPr>
        <w:t>the Supreme Court of Appeal</w:t>
      </w:r>
      <w:r w:rsidR="000050C9" w:rsidRPr="00462D9F">
        <w:rPr>
          <w:rFonts w:asciiTheme="minorHAnsi" w:hAnsiTheme="minorHAnsi" w:cstheme="minorHAnsi"/>
          <w:i/>
          <w:color w:val="000000"/>
          <w:sz w:val="26"/>
          <w:szCs w:val="26"/>
        </w:rPr>
        <w:t xml:space="preserve"> </w:t>
      </w:r>
      <w:r w:rsidR="000050C9" w:rsidRPr="00462D9F">
        <w:rPr>
          <w:rFonts w:asciiTheme="minorHAnsi" w:hAnsiTheme="minorHAnsi" w:cstheme="minorHAnsi"/>
          <w:color w:val="000000"/>
          <w:sz w:val="26"/>
          <w:szCs w:val="26"/>
        </w:rPr>
        <w:t xml:space="preserve">reiterated the need for a lower court to act as a filter in ensuing that the appeal court’s time is spent only on hearing appeals that are truly deserving of its attention and that the test for the grant of leave to appeal should thus be scrupulously followed. </w:t>
      </w:r>
      <w:proofErr w:type="gramStart"/>
      <w:r w:rsidR="000050C9" w:rsidRPr="00462D9F">
        <w:rPr>
          <w:rFonts w:asciiTheme="minorHAnsi" w:hAnsiTheme="minorHAnsi" w:cstheme="minorHAnsi"/>
          <w:color w:val="000000"/>
          <w:sz w:val="26"/>
          <w:szCs w:val="26"/>
        </w:rPr>
        <w:t>In order to</w:t>
      </w:r>
      <w:proofErr w:type="gramEnd"/>
      <w:r w:rsidR="000050C9" w:rsidRPr="00462D9F">
        <w:rPr>
          <w:rFonts w:asciiTheme="minorHAnsi" w:hAnsiTheme="minorHAnsi" w:cstheme="minorHAnsi"/>
          <w:color w:val="000000"/>
          <w:sz w:val="26"/>
          <w:szCs w:val="26"/>
        </w:rPr>
        <w:t xml:space="preserve"> meet the test for the grant of leave to appeal, ‘</w:t>
      </w:r>
      <w:r w:rsidR="000050C9" w:rsidRPr="00462D9F">
        <w:rPr>
          <w:rFonts w:asciiTheme="minorHAnsi" w:hAnsiTheme="minorHAnsi" w:cstheme="minorHAnsi"/>
          <w:i/>
          <w:color w:val="000000"/>
          <w:sz w:val="26"/>
          <w:szCs w:val="26"/>
        </w:rPr>
        <w:t xml:space="preserve">more is required than the mere ‘possibility’ that another court might arrive at a different conclusion.’ </w:t>
      </w:r>
      <w:r w:rsidR="00311B67" w:rsidRPr="00462D9F">
        <w:rPr>
          <w:rFonts w:asciiTheme="minorHAnsi" w:hAnsiTheme="minorHAnsi" w:cstheme="minorHAnsi"/>
          <w:color w:val="000000"/>
          <w:sz w:val="26"/>
          <w:szCs w:val="26"/>
        </w:rPr>
        <w:t xml:space="preserve">Referring to </w:t>
      </w:r>
      <w:r w:rsidR="000050C9" w:rsidRPr="00462D9F">
        <w:rPr>
          <w:rFonts w:asciiTheme="minorHAnsi" w:hAnsiTheme="minorHAnsi" w:cstheme="minorHAnsi"/>
          <w:color w:val="000000"/>
          <w:sz w:val="26"/>
          <w:szCs w:val="26"/>
        </w:rPr>
        <w:t>S v Smith,</w:t>
      </w:r>
      <w:r w:rsidR="000050C9" w:rsidRPr="00462D9F">
        <w:rPr>
          <w:rFonts w:asciiTheme="minorHAnsi" w:hAnsiTheme="minorHAnsi" w:cstheme="minorHAnsi"/>
          <w:i/>
          <w:color w:val="000000"/>
          <w:sz w:val="26"/>
          <w:szCs w:val="26"/>
        </w:rPr>
        <w:t xml:space="preserve"> </w:t>
      </w:r>
      <w:r w:rsidR="000050C9" w:rsidRPr="00462D9F">
        <w:rPr>
          <w:rFonts w:asciiTheme="minorHAnsi" w:hAnsiTheme="minorHAnsi" w:cstheme="minorHAnsi"/>
          <w:color w:val="000000"/>
          <w:sz w:val="26"/>
          <w:szCs w:val="26"/>
        </w:rPr>
        <w:t>the Supreme Court of Appeal went on to state that it is not enough that the case is arguable on appeal or not hopeless, instead the appeal must have ‘</w:t>
      </w:r>
      <w:r w:rsidR="000050C9" w:rsidRPr="00462D9F">
        <w:rPr>
          <w:rFonts w:asciiTheme="minorHAnsi" w:hAnsiTheme="minorHAnsi" w:cstheme="minorHAnsi"/>
          <w:i/>
          <w:color w:val="000000"/>
          <w:sz w:val="26"/>
          <w:szCs w:val="26"/>
        </w:rPr>
        <w:t>a realistic chance of succeeding.’</w:t>
      </w:r>
      <w:r w:rsidR="001029BD" w:rsidRPr="00462D9F">
        <w:rPr>
          <w:rFonts w:asciiTheme="minorHAnsi" w:hAnsiTheme="minorHAnsi" w:cstheme="minorHAnsi"/>
          <w:i/>
          <w:color w:val="000000"/>
          <w:sz w:val="26"/>
          <w:szCs w:val="26"/>
        </w:rPr>
        <w:t xml:space="preserve"> </w:t>
      </w:r>
      <w:r w:rsidR="001029BD" w:rsidRPr="00462D9F">
        <w:rPr>
          <w:rFonts w:asciiTheme="minorHAnsi" w:hAnsiTheme="minorHAnsi" w:cstheme="minorHAnsi"/>
          <w:color w:val="000000"/>
          <w:sz w:val="26"/>
          <w:szCs w:val="26"/>
        </w:rPr>
        <w:t xml:space="preserve"> More recently, In </w:t>
      </w:r>
      <w:proofErr w:type="spellStart"/>
      <w:r w:rsidR="001029BD" w:rsidRPr="00462D9F">
        <w:rPr>
          <w:rFonts w:asciiTheme="minorHAnsi" w:hAnsiTheme="minorHAnsi" w:cstheme="minorHAnsi"/>
          <w:i/>
          <w:color w:val="000000"/>
          <w:sz w:val="26"/>
          <w:szCs w:val="26"/>
        </w:rPr>
        <w:t>Notshokovu</w:t>
      </w:r>
      <w:proofErr w:type="spellEnd"/>
      <w:r w:rsidR="001029BD" w:rsidRPr="00462D9F">
        <w:rPr>
          <w:rFonts w:asciiTheme="minorHAnsi" w:hAnsiTheme="minorHAnsi" w:cstheme="minorHAnsi"/>
          <w:color w:val="000000"/>
          <w:sz w:val="26"/>
          <w:szCs w:val="26"/>
        </w:rPr>
        <w:t>,</w:t>
      </w:r>
      <w:r w:rsidR="001029BD">
        <w:rPr>
          <w:rStyle w:val="FootnoteReference"/>
          <w:rFonts w:asciiTheme="minorHAnsi" w:hAnsiTheme="minorHAnsi" w:cstheme="minorHAnsi"/>
          <w:color w:val="000000"/>
          <w:sz w:val="26"/>
          <w:szCs w:val="26"/>
        </w:rPr>
        <w:footnoteReference w:id="8"/>
      </w:r>
      <w:r w:rsidR="001029BD" w:rsidRPr="00462D9F">
        <w:rPr>
          <w:rFonts w:asciiTheme="minorHAnsi" w:hAnsiTheme="minorHAnsi" w:cstheme="minorHAnsi"/>
          <w:color w:val="000000"/>
          <w:sz w:val="26"/>
          <w:szCs w:val="26"/>
        </w:rPr>
        <w:t xml:space="preserve"> the Supreme Court of Appeal held that an appellant faces a higher and more stringent threshold in terms of the Act. </w:t>
      </w:r>
      <w:r w:rsidR="00B50268" w:rsidRPr="00462D9F">
        <w:rPr>
          <w:rFonts w:asciiTheme="minorHAnsi" w:hAnsiTheme="minorHAnsi" w:cstheme="minorHAnsi"/>
          <w:color w:val="000000"/>
          <w:sz w:val="26"/>
          <w:szCs w:val="26"/>
        </w:rPr>
        <w:t xml:space="preserve">Ultimately, </w:t>
      </w:r>
      <w:r w:rsidR="000A247C" w:rsidRPr="00462D9F">
        <w:rPr>
          <w:rFonts w:asciiTheme="minorHAnsi" w:hAnsiTheme="minorHAnsi" w:cstheme="minorHAnsi"/>
          <w:color w:val="000000"/>
          <w:sz w:val="26"/>
          <w:szCs w:val="26"/>
        </w:rPr>
        <w:t>In</w:t>
      </w:r>
      <w:r w:rsidR="001029BD" w:rsidRPr="00462D9F">
        <w:rPr>
          <w:rFonts w:asciiTheme="minorHAnsi" w:hAnsiTheme="minorHAnsi" w:cstheme="minorHAnsi"/>
          <w:color w:val="000000"/>
          <w:sz w:val="26"/>
          <w:szCs w:val="26"/>
        </w:rPr>
        <w:t xml:space="preserve"> </w:t>
      </w:r>
      <w:proofErr w:type="spellStart"/>
      <w:r w:rsidR="001029BD" w:rsidRPr="00462D9F">
        <w:rPr>
          <w:rFonts w:asciiTheme="minorHAnsi" w:hAnsiTheme="minorHAnsi" w:cstheme="minorHAnsi"/>
          <w:i/>
          <w:color w:val="000000"/>
          <w:sz w:val="26"/>
          <w:szCs w:val="26"/>
        </w:rPr>
        <w:t>Ramakatsa</w:t>
      </w:r>
      <w:proofErr w:type="spellEnd"/>
      <w:r w:rsidR="001029BD" w:rsidRPr="00462D9F">
        <w:rPr>
          <w:rFonts w:asciiTheme="minorHAnsi" w:hAnsiTheme="minorHAnsi" w:cstheme="minorHAnsi"/>
          <w:color w:val="000000"/>
          <w:sz w:val="26"/>
          <w:szCs w:val="26"/>
        </w:rPr>
        <w:t>,</w:t>
      </w:r>
      <w:r w:rsidR="001029BD">
        <w:rPr>
          <w:rStyle w:val="FootnoteReference"/>
          <w:rFonts w:asciiTheme="minorHAnsi" w:hAnsiTheme="minorHAnsi" w:cstheme="minorHAnsi"/>
          <w:color w:val="000000"/>
          <w:sz w:val="26"/>
          <w:szCs w:val="26"/>
        </w:rPr>
        <w:footnoteReference w:id="9"/>
      </w:r>
      <w:r w:rsidR="001029BD" w:rsidRPr="00462D9F">
        <w:rPr>
          <w:rFonts w:asciiTheme="minorHAnsi" w:hAnsiTheme="minorHAnsi" w:cstheme="minorHAnsi"/>
          <w:color w:val="000000"/>
          <w:sz w:val="26"/>
          <w:szCs w:val="26"/>
        </w:rPr>
        <w:t xml:space="preserve"> </w:t>
      </w:r>
      <w:r w:rsidR="00B50268" w:rsidRPr="00462D9F">
        <w:rPr>
          <w:rFonts w:asciiTheme="minorHAnsi" w:hAnsiTheme="minorHAnsi" w:cstheme="minorHAnsi"/>
          <w:color w:val="000000"/>
          <w:sz w:val="26"/>
          <w:szCs w:val="26"/>
        </w:rPr>
        <w:t>the Supreme Court of Appeal held that ‘</w:t>
      </w:r>
      <w:r w:rsidR="00B50268" w:rsidRPr="00462D9F">
        <w:rPr>
          <w:rFonts w:asciiTheme="minorHAnsi" w:hAnsiTheme="minorHAnsi" w:cstheme="minorHAnsi"/>
          <w:color w:val="242121"/>
          <w:sz w:val="22"/>
          <w:szCs w:val="22"/>
          <w:shd w:val="clear" w:color="auto" w:fill="FFFFFF"/>
        </w:rPr>
        <w:t>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w:t>
      </w:r>
      <w:r w:rsidR="000A247C" w:rsidRPr="00462D9F">
        <w:rPr>
          <w:rFonts w:asciiTheme="minorHAnsi" w:hAnsiTheme="minorHAnsi" w:cstheme="minorHAnsi"/>
          <w:color w:val="000000"/>
          <w:sz w:val="22"/>
          <w:szCs w:val="22"/>
        </w:rPr>
        <w:t>.</w:t>
      </w:r>
      <w:r w:rsidR="00B50268" w:rsidRPr="00462D9F">
        <w:rPr>
          <w:rFonts w:asciiTheme="minorHAnsi" w:hAnsiTheme="minorHAnsi" w:cstheme="minorHAnsi"/>
          <w:color w:val="000000"/>
          <w:sz w:val="26"/>
          <w:szCs w:val="26"/>
        </w:rPr>
        <w:t>’</w:t>
      </w:r>
    </w:p>
    <w:p w14:paraId="3388B501" w14:textId="77777777" w:rsidR="0044733C" w:rsidRPr="0044733C" w:rsidRDefault="0044733C" w:rsidP="0044733C">
      <w:pPr>
        <w:pStyle w:val="ListParagraph"/>
        <w:rPr>
          <w:rFonts w:asciiTheme="minorHAnsi" w:hAnsiTheme="minorHAnsi" w:cstheme="minorHAnsi"/>
          <w:sz w:val="26"/>
          <w:szCs w:val="26"/>
        </w:rPr>
      </w:pPr>
    </w:p>
    <w:p w14:paraId="1E94C626" w14:textId="2D5A1A18" w:rsidR="00713CDD" w:rsidRPr="00462D9F" w:rsidRDefault="00462D9F" w:rsidP="00462D9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w:t>
      </w:r>
      <w:r>
        <w:rPr>
          <w:rFonts w:asciiTheme="minorHAnsi" w:hAnsiTheme="minorHAnsi"/>
          <w:sz w:val="24"/>
          <w:szCs w:val="24"/>
        </w:rPr>
        <w:tab/>
      </w:r>
      <w:r w:rsidR="00416021" w:rsidRPr="00462D9F">
        <w:rPr>
          <w:rFonts w:asciiTheme="minorHAnsi" w:hAnsiTheme="minorHAnsi" w:cstheme="minorHAnsi"/>
          <w:sz w:val="26"/>
          <w:szCs w:val="26"/>
        </w:rPr>
        <w:t xml:space="preserve">The pleaded case for VBS in its founding affidavit was that USAASA (represented by its CEO) and VBS (represented by its CEO) concluded an agreement </w:t>
      </w:r>
      <w:r w:rsidR="00416021" w:rsidRPr="00462D9F">
        <w:rPr>
          <w:rFonts w:asciiTheme="minorHAnsi" w:hAnsiTheme="minorHAnsi" w:cstheme="minorHAnsi"/>
          <w:sz w:val="26"/>
          <w:szCs w:val="26"/>
          <w:u w:val="single"/>
        </w:rPr>
        <w:t>in terms whereof USAASA would make all payments</w:t>
      </w:r>
      <w:r w:rsidR="00416021" w:rsidRPr="00462D9F">
        <w:rPr>
          <w:rFonts w:asciiTheme="minorHAnsi" w:hAnsiTheme="minorHAnsi" w:cstheme="minorHAnsi"/>
          <w:sz w:val="26"/>
          <w:szCs w:val="26"/>
        </w:rPr>
        <w:t xml:space="preserve"> due to </w:t>
      </w:r>
      <w:proofErr w:type="spellStart"/>
      <w:r w:rsidR="00416021" w:rsidRPr="00462D9F">
        <w:rPr>
          <w:rFonts w:asciiTheme="minorHAnsi" w:hAnsiTheme="minorHAnsi" w:cstheme="minorHAnsi"/>
          <w:sz w:val="26"/>
          <w:szCs w:val="26"/>
        </w:rPr>
        <w:t>Leratadima</w:t>
      </w:r>
      <w:proofErr w:type="spellEnd"/>
      <w:r w:rsidR="00FF380D" w:rsidRPr="00462D9F">
        <w:rPr>
          <w:rFonts w:asciiTheme="minorHAnsi" w:hAnsiTheme="minorHAnsi" w:cstheme="minorHAnsi"/>
          <w:sz w:val="26"/>
          <w:szCs w:val="26"/>
        </w:rPr>
        <w:t xml:space="preserve"> [under the supply contract]</w:t>
      </w:r>
      <w:r w:rsidR="00416021" w:rsidRPr="00462D9F">
        <w:rPr>
          <w:rFonts w:asciiTheme="minorHAnsi" w:hAnsiTheme="minorHAnsi" w:cstheme="minorHAnsi"/>
          <w:sz w:val="26"/>
          <w:szCs w:val="26"/>
        </w:rPr>
        <w:t xml:space="preserve">, </w:t>
      </w:r>
      <w:r w:rsidR="00416021" w:rsidRPr="00462D9F">
        <w:rPr>
          <w:rFonts w:asciiTheme="minorHAnsi" w:hAnsiTheme="minorHAnsi" w:cstheme="minorHAnsi"/>
          <w:sz w:val="26"/>
          <w:szCs w:val="26"/>
          <w:u w:val="single"/>
        </w:rPr>
        <w:t>to VBS</w:t>
      </w:r>
      <w:r w:rsidR="00416021" w:rsidRPr="00462D9F">
        <w:rPr>
          <w:rFonts w:asciiTheme="minorHAnsi" w:hAnsiTheme="minorHAnsi" w:cstheme="minorHAnsi"/>
          <w:sz w:val="26"/>
          <w:szCs w:val="26"/>
        </w:rPr>
        <w:t>.</w:t>
      </w:r>
      <w:r w:rsidR="00CB55D0">
        <w:rPr>
          <w:rStyle w:val="FootnoteReference"/>
          <w:rFonts w:asciiTheme="minorHAnsi" w:hAnsiTheme="minorHAnsi" w:cstheme="minorHAnsi"/>
          <w:sz w:val="26"/>
          <w:szCs w:val="26"/>
        </w:rPr>
        <w:footnoteReference w:id="10"/>
      </w:r>
      <w:r w:rsidR="00CB55D0" w:rsidRPr="00462D9F">
        <w:rPr>
          <w:rFonts w:asciiTheme="minorHAnsi" w:hAnsiTheme="minorHAnsi" w:cstheme="minorHAnsi"/>
          <w:sz w:val="26"/>
          <w:szCs w:val="26"/>
        </w:rPr>
        <w:t xml:space="preserve"> </w:t>
      </w:r>
    </w:p>
    <w:p w14:paraId="4C827107" w14:textId="77777777" w:rsidR="00713CDD" w:rsidRPr="00DE12E7" w:rsidRDefault="00713CDD" w:rsidP="00713CDD">
      <w:pPr>
        <w:pStyle w:val="ListParagraph"/>
        <w:rPr>
          <w:rFonts w:asciiTheme="minorHAnsi" w:hAnsiTheme="minorHAnsi" w:cstheme="minorHAnsi"/>
          <w:sz w:val="26"/>
          <w:szCs w:val="26"/>
        </w:rPr>
      </w:pPr>
    </w:p>
    <w:p w14:paraId="4336EF7C" w14:textId="19D1D1A7" w:rsidR="00713CDD" w:rsidRPr="00462D9F" w:rsidRDefault="00462D9F" w:rsidP="00462D9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8.</w:t>
      </w:r>
      <w:r>
        <w:rPr>
          <w:rFonts w:asciiTheme="minorHAnsi" w:hAnsiTheme="minorHAnsi"/>
          <w:sz w:val="24"/>
          <w:szCs w:val="24"/>
        </w:rPr>
        <w:tab/>
      </w:r>
      <w:r w:rsidR="00CB55D0" w:rsidRPr="00462D9F">
        <w:rPr>
          <w:rFonts w:asciiTheme="minorHAnsi" w:hAnsiTheme="minorHAnsi" w:cstheme="minorHAnsi"/>
          <w:sz w:val="26"/>
          <w:szCs w:val="26"/>
        </w:rPr>
        <w:t xml:space="preserve">At the hearing of this application, counsel for VBS submitted that payment into </w:t>
      </w:r>
      <w:proofErr w:type="spellStart"/>
      <w:r w:rsidR="00CB55D0" w:rsidRPr="00462D9F">
        <w:rPr>
          <w:rFonts w:asciiTheme="minorHAnsi" w:hAnsiTheme="minorHAnsi" w:cstheme="minorHAnsi"/>
          <w:sz w:val="26"/>
          <w:szCs w:val="26"/>
        </w:rPr>
        <w:t>Leratadima’s</w:t>
      </w:r>
      <w:proofErr w:type="spellEnd"/>
      <w:r w:rsidR="00CB55D0" w:rsidRPr="00462D9F">
        <w:rPr>
          <w:rFonts w:asciiTheme="minorHAnsi" w:hAnsiTheme="minorHAnsi" w:cstheme="minorHAnsi"/>
          <w:sz w:val="26"/>
          <w:szCs w:val="26"/>
        </w:rPr>
        <w:t xml:space="preserve"> VBS bank account effectively constituted payment to VBS, based on the principle of </w:t>
      </w:r>
      <w:proofErr w:type="spellStart"/>
      <w:r w:rsidR="00CB55D0" w:rsidRPr="00462D9F">
        <w:rPr>
          <w:rFonts w:asciiTheme="minorHAnsi" w:hAnsiTheme="minorHAnsi" w:cstheme="minorHAnsi"/>
          <w:i/>
          <w:sz w:val="26"/>
          <w:szCs w:val="26"/>
        </w:rPr>
        <w:t>commixtio</w:t>
      </w:r>
      <w:proofErr w:type="spellEnd"/>
      <w:r w:rsidR="00A95C71" w:rsidRPr="00462D9F">
        <w:rPr>
          <w:rFonts w:asciiTheme="minorHAnsi" w:hAnsiTheme="minorHAnsi" w:cstheme="minorHAnsi"/>
          <w:i/>
          <w:sz w:val="26"/>
          <w:szCs w:val="26"/>
        </w:rPr>
        <w:t>,</w:t>
      </w:r>
      <w:r w:rsidR="00CB55D0" w:rsidRPr="00462D9F">
        <w:rPr>
          <w:rFonts w:asciiTheme="minorHAnsi" w:hAnsiTheme="minorHAnsi" w:cstheme="minorHAnsi"/>
          <w:i/>
          <w:sz w:val="26"/>
          <w:szCs w:val="26"/>
        </w:rPr>
        <w:t xml:space="preserve"> </w:t>
      </w:r>
      <w:r w:rsidR="00CB55D0" w:rsidRPr="00462D9F">
        <w:rPr>
          <w:rFonts w:asciiTheme="minorHAnsi" w:hAnsiTheme="minorHAnsi" w:cstheme="minorHAnsi"/>
          <w:sz w:val="26"/>
          <w:szCs w:val="26"/>
        </w:rPr>
        <w:t>whereby funds paid into a customer’s bank account become the property of the bank.</w:t>
      </w:r>
    </w:p>
    <w:p w14:paraId="2D8E4F00" w14:textId="77777777" w:rsidR="00713CDD" w:rsidRPr="00DE12E7" w:rsidRDefault="00713CDD" w:rsidP="00713CDD">
      <w:pPr>
        <w:pStyle w:val="ListParagraph"/>
        <w:rPr>
          <w:rFonts w:asciiTheme="minorHAnsi" w:hAnsiTheme="minorHAnsi" w:cstheme="minorHAnsi"/>
          <w:sz w:val="26"/>
          <w:szCs w:val="26"/>
        </w:rPr>
      </w:pPr>
    </w:p>
    <w:p w14:paraId="47797C81" w14:textId="3BBC3ADF" w:rsidR="00713CDD" w:rsidRPr="00462D9F" w:rsidRDefault="00462D9F" w:rsidP="00462D9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9.</w:t>
      </w:r>
      <w:r>
        <w:rPr>
          <w:rFonts w:asciiTheme="minorHAnsi" w:hAnsiTheme="minorHAnsi"/>
          <w:sz w:val="24"/>
          <w:szCs w:val="24"/>
        </w:rPr>
        <w:tab/>
      </w:r>
      <w:r w:rsidR="00A95C71" w:rsidRPr="00462D9F">
        <w:rPr>
          <w:rFonts w:asciiTheme="minorHAnsi" w:hAnsiTheme="minorHAnsi" w:cstheme="minorHAnsi"/>
          <w:sz w:val="26"/>
          <w:szCs w:val="26"/>
        </w:rPr>
        <w:t>It was further submitted that when regard is had to the</w:t>
      </w:r>
      <w:r w:rsidR="00FF380D" w:rsidRPr="00462D9F">
        <w:rPr>
          <w:rFonts w:asciiTheme="minorHAnsi" w:hAnsiTheme="minorHAnsi" w:cstheme="minorHAnsi"/>
          <w:sz w:val="26"/>
          <w:szCs w:val="26"/>
        </w:rPr>
        <w:t xml:space="preserve"> text of the </w:t>
      </w:r>
      <w:r w:rsidR="00A95C71" w:rsidRPr="00462D9F">
        <w:rPr>
          <w:rFonts w:asciiTheme="minorHAnsi" w:hAnsiTheme="minorHAnsi" w:cstheme="minorHAnsi"/>
          <w:sz w:val="26"/>
          <w:szCs w:val="26"/>
        </w:rPr>
        <w:t xml:space="preserve">payment </w:t>
      </w:r>
      <w:r w:rsidR="00FF380D" w:rsidRPr="00462D9F">
        <w:rPr>
          <w:rFonts w:asciiTheme="minorHAnsi" w:hAnsiTheme="minorHAnsi" w:cstheme="minorHAnsi"/>
          <w:sz w:val="26"/>
          <w:szCs w:val="26"/>
        </w:rPr>
        <w:t xml:space="preserve">undertaking, </w:t>
      </w:r>
      <w:r w:rsidR="00A95C71" w:rsidRPr="00462D9F">
        <w:rPr>
          <w:rFonts w:asciiTheme="minorHAnsi" w:hAnsiTheme="minorHAnsi" w:cstheme="minorHAnsi"/>
          <w:sz w:val="26"/>
          <w:szCs w:val="26"/>
        </w:rPr>
        <w:t>USAASA confirmed</w:t>
      </w:r>
      <w:r w:rsidR="00E726F8" w:rsidRPr="00462D9F">
        <w:rPr>
          <w:rFonts w:asciiTheme="minorHAnsi" w:hAnsiTheme="minorHAnsi" w:cstheme="minorHAnsi"/>
          <w:sz w:val="26"/>
          <w:szCs w:val="26"/>
        </w:rPr>
        <w:t>,</w:t>
      </w:r>
      <w:r w:rsidR="00A95C71" w:rsidRPr="00462D9F">
        <w:rPr>
          <w:rFonts w:asciiTheme="minorHAnsi" w:hAnsiTheme="minorHAnsi" w:cstheme="minorHAnsi"/>
          <w:sz w:val="26"/>
          <w:szCs w:val="26"/>
        </w:rPr>
        <w:t xml:space="preserve"> in par 1 thereof, that it would make payment </w:t>
      </w:r>
      <w:r w:rsidR="009D3E12" w:rsidRPr="00462D9F">
        <w:rPr>
          <w:rFonts w:asciiTheme="minorHAnsi" w:hAnsiTheme="minorHAnsi" w:cstheme="minorHAnsi"/>
          <w:sz w:val="26"/>
          <w:szCs w:val="26"/>
        </w:rPr>
        <w:t xml:space="preserve">in respect of the supply and delivery of set top boxes to it by </w:t>
      </w:r>
      <w:proofErr w:type="spellStart"/>
      <w:r w:rsidR="009D3E12" w:rsidRPr="00462D9F">
        <w:rPr>
          <w:rFonts w:asciiTheme="minorHAnsi" w:hAnsiTheme="minorHAnsi" w:cstheme="minorHAnsi"/>
          <w:sz w:val="26"/>
          <w:szCs w:val="26"/>
        </w:rPr>
        <w:t>Leratadima</w:t>
      </w:r>
      <w:proofErr w:type="spellEnd"/>
      <w:r w:rsidR="009D3E12" w:rsidRPr="00462D9F">
        <w:rPr>
          <w:rFonts w:asciiTheme="minorHAnsi" w:hAnsiTheme="minorHAnsi" w:cstheme="minorHAnsi"/>
          <w:sz w:val="26"/>
          <w:szCs w:val="26"/>
        </w:rPr>
        <w:t xml:space="preserve"> </w:t>
      </w:r>
      <w:r w:rsidR="00A95C71" w:rsidRPr="00462D9F">
        <w:rPr>
          <w:rFonts w:asciiTheme="minorHAnsi" w:hAnsiTheme="minorHAnsi" w:cstheme="minorHAnsi"/>
          <w:sz w:val="26"/>
          <w:szCs w:val="26"/>
        </w:rPr>
        <w:t xml:space="preserve">in </w:t>
      </w:r>
      <w:r w:rsidR="009D3E12" w:rsidRPr="00462D9F">
        <w:rPr>
          <w:rFonts w:asciiTheme="minorHAnsi" w:hAnsiTheme="minorHAnsi" w:cstheme="minorHAnsi"/>
          <w:sz w:val="26"/>
          <w:szCs w:val="26"/>
        </w:rPr>
        <w:t>accordance with the provisions of</w:t>
      </w:r>
      <w:r w:rsidR="00A95C71" w:rsidRPr="00462D9F">
        <w:rPr>
          <w:rFonts w:asciiTheme="minorHAnsi" w:hAnsiTheme="minorHAnsi" w:cstheme="minorHAnsi"/>
          <w:sz w:val="26"/>
          <w:szCs w:val="26"/>
        </w:rPr>
        <w:t xml:space="preserve"> clause 12 of </w:t>
      </w:r>
      <w:r w:rsidR="009D3E12" w:rsidRPr="00462D9F">
        <w:rPr>
          <w:rFonts w:asciiTheme="minorHAnsi" w:hAnsiTheme="minorHAnsi" w:cstheme="minorHAnsi"/>
          <w:sz w:val="26"/>
          <w:szCs w:val="26"/>
        </w:rPr>
        <w:t xml:space="preserve">the </w:t>
      </w:r>
      <w:r w:rsidR="00A95C71" w:rsidRPr="00462D9F">
        <w:rPr>
          <w:rFonts w:asciiTheme="minorHAnsi" w:hAnsiTheme="minorHAnsi" w:cstheme="minorHAnsi"/>
          <w:sz w:val="26"/>
          <w:szCs w:val="26"/>
        </w:rPr>
        <w:t>supply contract</w:t>
      </w:r>
      <w:r w:rsidR="009D3E12" w:rsidRPr="00462D9F">
        <w:rPr>
          <w:rFonts w:asciiTheme="minorHAnsi" w:hAnsiTheme="minorHAnsi" w:cstheme="minorHAnsi"/>
          <w:sz w:val="26"/>
          <w:szCs w:val="26"/>
        </w:rPr>
        <w:t>.</w:t>
      </w:r>
      <w:r w:rsidR="00A95C71" w:rsidRPr="00462D9F">
        <w:rPr>
          <w:rFonts w:asciiTheme="minorHAnsi" w:hAnsiTheme="minorHAnsi" w:cstheme="minorHAnsi"/>
          <w:sz w:val="26"/>
          <w:szCs w:val="26"/>
        </w:rPr>
        <w:t xml:space="preserve"> In par 2, </w:t>
      </w:r>
      <w:r w:rsidR="009D3E12" w:rsidRPr="00462D9F">
        <w:rPr>
          <w:rFonts w:asciiTheme="minorHAnsi" w:hAnsiTheme="minorHAnsi" w:cstheme="minorHAnsi"/>
          <w:sz w:val="26"/>
          <w:szCs w:val="26"/>
        </w:rPr>
        <w:t xml:space="preserve">so it was submitted, </w:t>
      </w:r>
      <w:r w:rsidR="008B44B9" w:rsidRPr="00462D9F">
        <w:rPr>
          <w:rFonts w:asciiTheme="minorHAnsi" w:hAnsiTheme="minorHAnsi" w:cstheme="minorHAnsi"/>
          <w:sz w:val="26"/>
          <w:szCs w:val="26"/>
        </w:rPr>
        <w:t>USAASA</w:t>
      </w:r>
      <w:r w:rsidR="00A95C71" w:rsidRPr="00462D9F">
        <w:rPr>
          <w:rFonts w:asciiTheme="minorHAnsi" w:hAnsiTheme="minorHAnsi" w:cstheme="minorHAnsi"/>
          <w:sz w:val="26"/>
          <w:szCs w:val="26"/>
        </w:rPr>
        <w:t xml:space="preserve"> recorded that it held an amount of R344,360 million to honour its indebtedness to </w:t>
      </w:r>
      <w:proofErr w:type="spellStart"/>
      <w:r w:rsidR="00A95C71" w:rsidRPr="00462D9F">
        <w:rPr>
          <w:rFonts w:asciiTheme="minorHAnsi" w:hAnsiTheme="minorHAnsi" w:cstheme="minorHAnsi"/>
          <w:sz w:val="26"/>
          <w:szCs w:val="26"/>
        </w:rPr>
        <w:t>Leratadima</w:t>
      </w:r>
      <w:proofErr w:type="spellEnd"/>
      <w:r w:rsidR="00A95C71" w:rsidRPr="00462D9F">
        <w:rPr>
          <w:rFonts w:asciiTheme="minorHAnsi" w:hAnsiTheme="minorHAnsi" w:cstheme="minorHAnsi"/>
          <w:sz w:val="26"/>
          <w:szCs w:val="26"/>
        </w:rPr>
        <w:t xml:space="preserve">, with the </w:t>
      </w:r>
      <w:r w:rsidR="008B44B9" w:rsidRPr="00462D9F">
        <w:rPr>
          <w:rFonts w:asciiTheme="minorHAnsi" w:hAnsiTheme="minorHAnsi" w:cstheme="minorHAnsi"/>
          <w:sz w:val="26"/>
          <w:szCs w:val="26"/>
        </w:rPr>
        <w:t>‘</w:t>
      </w:r>
      <w:r w:rsidR="00A95C71" w:rsidRPr="00462D9F">
        <w:rPr>
          <w:rFonts w:asciiTheme="minorHAnsi" w:hAnsiTheme="minorHAnsi" w:cstheme="minorHAnsi"/>
          <w:sz w:val="26"/>
          <w:szCs w:val="26"/>
        </w:rPr>
        <w:t>clear implication</w:t>
      </w:r>
      <w:r w:rsidR="008B44B9" w:rsidRPr="00462D9F">
        <w:rPr>
          <w:rFonts w:asciiTheme="minorHAnsi" w:hAnsiTheme="minorHAnsi" w:cstheme="minorHAnsi"/>
          <w:sz w:val="26"/>
          <w:szCs w:val="26"/>
        </w:rPr>
        <w:t>’</w:t>
      </w:r>
      <w:r w:rsidR="00A95C71" w:rsidRPr="00462D9F">
        <w:rPr>
          <w:rFonts w:asciiTheme="minorHAnsi" w:hAnsiTheme="minorHAnsi" w:cstheme="minorHAnsi"/>
          <w:sz w:val="26"/>
          <w:szCs w:val="26"/>
        </w:rPr>
        <w:t xml:space="preserve"> that sufficient funds were being held to honour the undertaking </w:t>
      </w:r>
      <w:r w:rsidR="009D3E12" w:rsidRPr="00462D9F">
        <w:rPr>
          <w:rFonts w:asciiTheme="minorHAnsi" w:hAnsiTheme="minorHAnsi" w:cstheme="minorHAnsi"/>
          <w:sz w:val="26"/>
          <w:szCs w:val="26"/>
        </w:rPr>
        <w:t xml:space="preserve">provided in par 4, i.e., </w:t>
      </w:r>
      <w:r w:rsidR="00A95C71" w:rsidRPr="00462D9F">
        <w:rPr>
          <w:rFonts w:asciiTheme="minorHAnsi" w:hAnsiTheme="minorHAnsi" w:cstheme="minorHAnsi"/>
          <w:sz w:val="26"/>
          <w:szCs w:val="26"/>
        </w:rPr>
        <w:t xml:space="preserve">to </w:t>
      </w:r>
      <w:r w:rsidR="008B44B9" w:rsidRPr="00462D9F">
        <w:rPr>
          <w:rFonts w:asciiTheme="minorHAnsi" w:hAnsiTheme="minorHAnsi" w:cstheme="minorHAnsi"/>
          <w:sz w:val="26"/>
          <w:szCs w:val="26"/>
        </w:rPr>
        <w:t xml:space="preserve">make all payments regarding the supply contract </w:t>
      </w:r>
      <w:r w:rsidR="00A95C71" w:rsidRPr="00462D9F">
        <w:rPr>
          <w:rFonts w:asciiTheme="minorHAnsi" w:hAnsiTheme="minorHAnsi" w:cstheme="minorHAnsi"/>
          <w:sz w:val="26"/>
          <w:szCs w:val="26"/>
        </w:rPr>
        <w:t xml:space="preserve">into </w:t>
      </w:r>
      <w:proofErr w:type="spellStart"/>
      <w:r w:rsidR="008B44B9" w:rsidRPr="00462D9F">
        <w:rPr>
          <w:rFonts w:asciiTheme="minorHAnsi" w:hAnsiTheme="minorHAnsi" w:cstheme="minorHAnsi"/>
          <w:sz w:val="26"/>
          <w:szCs w:val="26"/>
        </w:rPr>
        <w:t>Leratadima’s</w:t>
      </w:r>
      <w:proofErr w:type="spellEnd"/>
      <w:r w:rsidR="00A95C71" w:rsidRPr="00462D9F">
        <w:rPr>
          <w:rFonts w:asciiTheme="minorHAnsi" w:hAnsiTheme="minorHAnsi" w:cstheme="minorHAnsi"/>
          <w:sz w:val="26"/>
          <w:szCs w:val="26"/>
        </w:rPr>
        <w:t xml:space="preserve"> VBS account</w:t>
      </w:r>
      <w:r w:rsidR="009D3E12" w:rsidRPr="00462D9F">
        <w:rPr>
          <w:rFonts w:asciiTheme="minorHAnsi" w:hAnsiTheme="minorHAnsi" w:cstheme="minorHAnsi"/>
          <w:sz w:val="26"/>
          <w:szCs w:val="26"/>
        </w:rPr>
        <w:t xml:space="preserve">. </w:t>
      </w:r>
      <w:proofErr w:type="gramStart"/>
      <w:r w:rsidR="002A1000" w:rsidRPr="00462D9F">
        <w:rPr>
          <w:rFonts w:asciiTheme="minorHAnsi" w:hAnsiTheme="minorHAnsi" w:cstheme="minorHAnsi"/>
          <w:sz w:val="26"/>
          <w:szCs w:val="26"/>
        </w:rPr>
        <w:t>Thus</w:t>
      </w:r>
      <w:proofErr w:type="gramEnd"/>
      <w:r w:rsidR="002A1000" w:rsidRPr="00462D9F">
        <w:rPr>
          <w:rFonts w:asciiTheme="minorHAnsi" w:hAnsiTheme="minorHAnsi" w:cstheme="minorHAnsi"/>
          <w:sz w:val="26"/>
          <w:szCs w:val="26"/>
        </w:rPr>
        <w:t xml:space="preserve"> it was submitted that on</w:t>
      </w:r>
      <w:r w:rsidR="009D3E12" w:rsidRPr="00462D9F">
        <w:rPr>
          <w:rFonts w:asciiTheme="minorHAnsi" w:hAnsiTheme="minorHAnsi" w:cstheme="minorHAnsi"/>
          <w:sz w:val="26"/>
          <w:szCs w:val="26"/>
        </w:rPr>
        <w:t xml:space="preserve"> a ‘reasonable interpretation</w:t>
      </w:r>
      <w:r w:rsidR="0051665D" w:rsidRPr="00462D9F">
        <w:rPr>
          <w:rFonts w:asciiTheme="minorHAnsi" w:hAnsiTheme="minorHAnsi" w:cstheme="minorHAnsi"/>
          <w:sz w:val="26"/>
          <w:szCs w:val="26"/>
        </w:rPr>
        <w:t>’</w:t>
      </w:r>
      <w:r w:rsidR="009D3E12" w:rsidRPr="00462D9F">
        <w:rPr>
          <w:rFonts w:asciiTheme="minorHAnsi" w:hAnsiTheme="minorHAnsi" w:cstheme="minorHAnsi"/>
          <w:sz w:val="26"/>
          <w:szCs w:val="26"/>
        </w:rPr>
        <w:t>, t</w:t>
      </w:r>
      <w:r w:rsidR="008B44B9" w:rsidRPr="00462D9F">
        <w:rPr>
          <w:rFonts w:asciiTheme="minorHAnsi" w:hAnsiTheme="minorHAnsi" w:cstheme="minorHAnsi"/>
          <w:sz w:val="26"/>
          <w:szCs w:val="26"/>
        </w:rPr>
        <w:t>he irrevocab</w:t>
      </w:r>
      <w:r w:rsidR="009D3E12" w:rsidRPr="00462D9F">
        <w:rPr>
          <w:rFonts w:asciiTheme="minorHAnsi" w:hAnsiTheme="minorHAnsi" w:cstheme="minorHAnsi"/>
          <w:sz w:val="26"/>
          <w:szCs w:val="26"/>
        </w:rPr>
        <w:t>ility of the</w:t>
      </w:r>
      <w:r w:rsidR="008B44B9" w:rsidRPr="00462D9F">
        <w:rPr>
          <w:rFonts w:asciiTheme="minorHAnsi" w:hAnsiTheme="minorHAnsi" w:cstheme="minorHAnsi"/>
          <w:sz w:val="26"/>
          <w:szCs w:val="26"/>
        </w:rPr>
        <w:t xml:space="preserve"> undertaking given in par 3, </w:t>
      </w:r>
      <w:r w:rsidR="009D3E12" w:rsidRPr="00462D9F">
        <w:rPr>
          <w:rFonts w:asciiTheme="minorHAnsi" w:hAnsiTheme="minorHAnsi" w:cstheme="minorHAnsi"/>
          <w:sz w:val="26"/>
          <w:szCs w:val="26"/>
        </w:rPr>
        <w:t>i.e.,</w:t>
      </w:r>
      <w:r w:rsidR="008B44B9" w:rsidRPr="00462D9F">
        <w:rPr>
          <w:rFonts w:asciiTheme="minorHAnsi" w:hAnsiTheme="minorHAnsi" w:cstheme="minorHAnsi"/>
          <w:sz w:val="26"/>
          <w:szCs w:val="26"/>
        </w:rPr>
        <w:t xml:space="preserve"> to pay </w:t>
      </w:r>
      <w:proofErr w:type="spellStart"/>
      <w:r w:rsidR="008B44B9" w:rsidRPr="00462D9F">
        <w:rPr>
          <w:rFonts w:asciiTheme="minorHAnsi" w:hAnsiTheme="minorHAnsi" w:cstheme="minorHAnsi"/>
          <w:sz w:val="26"/>
          <w:szCs w:val="26"/>
        </w:rPr>
        <w:t>Leratadima</w:t>
      </w:r>
      <w:proofErr w:type="spellEnd"/>
      <w:r w:rsidR="008B44B9" w:rsidRPr="00462D9F">
        <w:rPr>
          <w:rFonts w:asciiTheme="minorHAnsi" w:hAnsiTheme="minorHAnsi" w:cstheme="minorHAnsi"/>
          <w:sz w:val="26"/>
          <w:szCs w:val="26"/>
        </w:rPr>
        <w:t xml:space="preserve"> within 30 days of receipt of a signed delivery note and receipt, </w:t>
      </w:r>
      <w:r w:rsidR="009D3E12" w:rsidRPr="00462D9F">
        <w:rPr>
          <w:rFonts w:asciiTheme="minorHAnsi" w:hAnsiTheme="minorHAnsi" w:cstheme="minorHAnsi"/>
          <w:sz w:val="26"/>
          <w:szCs w:val="26"/>
        </w:rPr>
        <w:t xml:space="preserve">also </w:t>
      </w:r>
      <w:r w:rsidR="008B44B9" w:rsidRPr="00462D9F">
        <w:rPr>
          <w:rFonts w:asciiTheme="minorHAnsi" w:hAnsiTheme="minorHAnsi" w:cstheme="minorHAnsi"/>
          <w:sz w:val="26"/>
          <w:szCs w:val="26"/>
        </w:rPr>
        <w:t xml:space="preserve">relates to the undertaking </w:t>
      </w:r>
      <w:r w:rsidR="009D3E12" w:rsidRPr="00462D9F">
        <w:rPr>
          <w:rFonts w:asciiTheme="minorHAnsi" w:hAnsiTheme="minorHAnsi" w:cstheme="minorHAnsi"/>
          <w:sz w:val="26"/>
          <w:szCs w:val="26"/>
        </w:rPr>
        <w:t xml:space="preserve">in par 4, i.e., </w:t>
      </w:r>
      <w:r w:rsidR="008B44B9" w:rsidRPr="00462D9F">
        <w:rPr>
          <w:rFonts w:asciiTheme="minorHAnsi" w:hAnsiTheme="minorHAnsi" w:cstheme="minorHAnsi"/>
          <w:sz w:val="26"/>
          <w:szCs w:val="26"/>
        </w:rPr>
        <w:t xml:space="preserve">to make all payments regarding the supply contract into </w:t>
      </w:r>
      <w:proofErr w:type="spellStart"/>
      <w:r w:rsidR="009D3E12" w:rsidRPr="00462D9F">
        <w:rPr>
          <w:rFonts w:asciiTheme="minorHAnsi" w:hAnsiTheme="minorHAnsi" w:cstheme="minorHAnsi"/>
          <w:sz w:val="26"/>
          <w:szCs w:val="26"/>
        </w:rPr>
        <w:t>Leratadima’s</w:t>
      </w:r>
      <w:proofErr w:type="spellEnd"/>
      <w:r w:rsidR="008B44B9" w:rsidRPr="00462D9F">
        <w:rPr>
          <w:rFonts w:asciiTheme="minorHAnsi" w:hAnsiTheme="minorHAnsi" w:cstheme="minorHAnsi"/>
          <w:sz w:val="26"/>
          <w:szCs w:val="26"/>
        </w:rPr>
        <w:t xml:space="preserve"> VBS account. </w:t>
      </w:r>
    </w:p>
    <w:p w14:paraId="1AAA41F9" w14:textId="77777777" w:rsidR="00713CDD" w:rsidRDefault="00713CDD" w:rsidP="00713CDD">
      <w:pPr>
        <w:pStyle w:val="ListParagraph"/>
        <w:rPr>
          <w:rFonts w:asciiTheme="minorHAnsi" w:hAnsiTheme="minorHAnsi" w:cstheme="minorHAnsi"/>
          <w:sz w:val="26"/>
          <w:szCs w:val="26"/>
        </w:rPr>
      </w:pPr>
    </w:p>
    <w:p w14:paraId="10B1B085" w14:textId="4A062DD0" w:rsidR="008504CC" w:rsidRPr="00462D9F" w:rsidRDefault="00462D9F" w:rsidP="00462D9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10.</w:t>
      </w:r>
      <w:r>
        <w:rPr>
          <w:rFonts w:asciiTheme="minorHAnsi" w:hAnsiTheme="minorHAnsi"/>
          <w:sz w:val="24"/>
          <w:szCs w:val="24"/>
        </w:rPr>
        <w:tab/>
      </w:r>
      <w:r w:rsidR="009D3E12" w:rsidRPr="00462D9F">
        <w:rPr>
          <w:rFonts w:asciiTheme="minorHAnsi" w:hAnsiTheme="minorHAnsi" w:cstheme="minorHAnsi"/>
          <w:sz w:val="26"/>
          <w:szCs w:val="26"/>
        </w:rPr>
        <w:t xml:space="preserve">In paras 8 to 16 of the main judgment, I considered the relevant background matrix which preceded the payment undertaking being given by USAASA. In paras 17 to 26 of the judgment, I set out the sequence of events that followed upon the payment undertaking being given by USAASA until the main application was launched. </w:t>
      </w:r>
      <w:r w:rsidR="005266E9" w:rsidRPr="00462D9F">
        <w:rPr>
          <w:rFonts w:asciiTheme="minorHAnsi" w:hAnsiTheme="minorHAnsi" w:cstheme="minorHAnsi"/>
          <w:sz w:val="26"/>
          <w:szCs w:val="26"/>
        </w:rPr>
        <w:t xml:space="preserve">In paras 35 -45 of the judgment, I set out the relevant context. </w:t>
      </w:r>
      <w:r w:rsidR="008504CC" w:rsidRPr="00462D9F">
        <w:rPr>
          <w:rFonts w:asciiTheme="minorHAnsi" w:hAnsiTheme="minorHAnsi" w:cstheme="minorHAnsi"/>
          <w:sz w:val="26"/>
          <w:szCs w:val="26"/>
        </w:rPr>
        <w:t>Par 4 of the judgment records the purpose of the undertaking</w:t>
      </w:r>
      <w:r w:rsidR="0051665D" w:rsidRPr="00462D9F">
        <w:rPr>
          <w:rFonts w:asciiTheme="minorHAnsi" w:hAnsiTheme="minorHAnsi" w:cstheme="minorHAnsi"/>
          <w:sz w:val="26"/>
          <w:szCs w:val="26"/>
        </w:rPr>
        <w:t>, which I considered in par 50 of the judgment</w:t>
      </w:r>
      <w:r w:rsidR="008504CC" w:rsidRPr="00462D9F">
        <w:rPr>
          <w:rFonts w:asciiTheme="minorHAnsi" w:hAnsiTheme="minorHAnsi" w:cstheme="minorHAnsi"/>
          <w:sz w:val="26"/>
          <w:szCs w:val="26"/>
        </w:rPr>
        <w:t xml:space="preserve">. In para 47 of the judgment, I </w:t>
      </w:r>
      <w:r w:rsidR="00E726F8" w:rsidRPr="00462D9F">
        <w:rPr>
          <w:rFonts w:asciiTheme="minorHAnsi" w:hAnsiTheme="minorHAnsi" w:cstheme="minorHAnsi"/>
          <w:sz w:val="26"/>
          <w:szCs w:val="26"/>
        </w:rPr>
        <w:t xml:space="preserve">considered </w:t>
      </w:r>
      <w:r w:rsidR="008504CC" w:rsidRPr="00462D9F">
        <w:rPr>
          <w:rFonts w:asciiTheme="minorHAnsi" w:hAnsiTheme="minorHAnsi" w:cstheme="minorHAnsi"/>
          <w:sz w:val="26"/>
          <w:szCs w:val="26"/>
        </w:rPr>
        <w:t>the text of the undertaking</w:t>
      </w:r>
      <w:r w:rsidR="00E726F8" w:rsidRPr="00462D9F">
        <w:rPr>
          <w:rFonts w:asciiTheme="minorHAnsi" w:hAnsiTheme="minorHAnsi" w:cstheme="minorHAnsi"/>
          <w:sz w:val="26"/>
          <w:szCs w:val="26"/>
        </w:rPr>
        <w:t>.</w:t>
      </w:r>
      <w:r w:rsidR="00E726F8">
        <w:rPr>
          <w:rStyle w:val="FootnoteReference"/>
          <w:rFonts w:asciiTheme="minorHAnsi" w:hAnsiTheme="minorHAnsi" w:cstheme="minorHAnsi"/>
          <w:sz w:val="26"/>
          <w:szCs w:val="26"/>
        </w:rPr>
        <w:footnoteReference w:id="11"/>
      </w:r>
      <w:r w:rsidR="00E726F8" w:rsidRPr="00462D9F">
        <w:rPr>
          <w:rFonts w:asciiTheme="minorHAnsi" w:hAnsiTheme="minorHAnsi" w:cstheme="minorHAnsi"/>
          <w:sz w:val="26"/>
          <w:szCs w:val="26"/>
        </w:rPr>
        <w:t xml:space="preserve">  In all, I considered the relevant context, </w:t>
      </w:r>
      <w:proofErr w:type="gramStart"/>
      <w:r w:rsidR="00E726F8" w:rsidRPr="00462D9F">
        <w:rPr>
          <w:rFonts w:asciiTheme="minorHAnsi" w:hAnsiTheme="minorHAnsi" w:cstheme="minorHAnsi"/>
          <w:sz w:val="26"/>
          <w:szCs w:val="26"/>
        </w:rPr>
        <w:t>purpose</w:t>
      </w:r>
      <w:proofErr w:type="gramEnd"/>
      <w:r w:rsidR="00E726F8" w:rsidRPr="00462D9F">
        <w:rPr>
          <w:rFonts w:asciiTheme="minorHAnsi" w:hAnsiTheme="minorHAnsi" w:cstheme="minorHAnsi"/>
          <w:sz w:val="26"/>
          <w:szCs w:val="26"/>
        </w:rPr>
        <w:t xml:space="preserve"> and text in interpreting the meaning and import of </w:t>
      </w:r>
      <w:r w:rsidR="00E726F8" w:rsidRPr="00462D9F">
        <w:rPr>
          <w:rFonts w:asciiTheme="minorHAnsi" w:hAnsiTheme="minorHAnsi" w:cstheme="minorHAnsi"/>
          <w:sz w:val="26"/>
          <w:szCs w:val="26"/>
        </w:rPr>
        <w:lastRenderedPageBreak/>
        <w:t>the undertaking furnished by USAASA</w:t>
      </w:r>
      <w:r w:rsidR="00F05ECB" w:rsidRPr="00462D9F">
        <w:rPr>
          <w:rFonts w:asciiTheme="minorHAnsi" w:hAnsiTheme="minorHAnsi" w:cstheme="minorHAnsi"/>
          <w:sz w:val="26"/>
          <w:szCs w:val="26"/>
        </w:rPr>
        <w:t xml:space="preserve"> in arriving at the conclusions stated in paragraphs 48 &amp; 49 of the judgment.</w:t>
      </w:r>
      <w:r w:rsidR="0051665D" w:rsidRPr="00462D9F">
        <w:rPr>
          <w:rFonts w:asciiTheme="minorHAnsi" w:hAnsiTheme="minorHAnsi" w:cstheme="minorHAnsi"/>
          <w:sz w:val="26"/>
          <w:szCs w:val="26"/>
        </w:rPr>
        <w:t xml:space="preserve"> </w:t>
      </w:r>
      <w:r w:rsidR="005266E9" w:rsidRPr="00462D9F">
        <w:rPr>
          <w:rFonts w:asciiTheme="minorHAnsi" w:hAnsiTheme="minorHAnsi" w:cstheme="minorHAnsi"/>
          <w:sz w:val="26"/>
          <w:szCs w:val="26"/>
        </w:rPr>
        <w:t xml:space="preserve">Having considered the competing contentions of the parties against the triad of text, </w:t>
      </w:r>
      <w:proofErr w:type="gramStart"/>
      <w:r w:rsidR="005266E9" w:rsidRPr="00462D9F">
        <w:rPr>
          <w:rFonts w:asciiTheme="minorHAnsi" w:hAnsiTheme="minorHAnsi" w:cstheme="minorHAnsi"/>
          <w:sz w:val="26"/>
          <w:szCs w:val="26"/>
        </w:rPr>
        <w:t>purpose</w:t>
      </w:r>
      <w:proofErr w:type="gramEnd"/>
      <w:r w:rsidR="008504CC" w:rsidRPr="00462D9F">
        <w:rPr>
          <w:rFonts w:asciiTheme="minorHAnsi" w:hAnsiTheme="minorHAnsi" w:cstheme="minorHAnsi"/>
          <w:sz w:val="26"/>
          <w:szCs w:val="26"/>
        </w:rPr>
        <w:t xml:space="preserve"> and</w:t>
      </w:r>
      <w:r w:rsidR="005266E9" w:rsidRPr="00462D9F">
        <w:rPr>
          <w:rFonts w:asciiTheme="minorHAnsi" w:hAnsiTheme="minorHAnsi" w:cstheme="minorHAnsi"/>
          <w:sz w:val="26"/>
          <w:szCs w:val="26"/>
        </w:rPr>
        <w:t xml:space="preserve"> context</w:t>
      </w:r>
      <w:r w:rsidR="008504CC" w:rsidRPr="00462D9F">
        <w:rPr>
          <w:rFonts w:asciiTheme="minorHAnsi" w:hAnsiTheme="minorHAnsi" w:cstheme="minorHAnsi"/>
          <w:sz w:val="26"/>
          <w:szCs w:val="26"/>
        </w:rPr>
        <w:t>,</w:t>
      </w:r>
      <w:r w:rsidR="005266E9" w:rsidRPr="00462D9F">
        <w:rPr>
          <w:rFonts w:asciiTheme="minorHAnsi" w:hAnsiTheme="minorHAnsi" w:cstheme="minorHAnsi"/>
          <w:sz w:val="26"/>
          <w:szCs w:val="26"/>
        </w:rPr>
        <w:t xml:space="preserve"> I concluded that USAASA did not incur an independent payment obligation to VBS in terms of its letter of undertaking.</w:t>
      </w:r>
      <w:r w:rsidR="0051665D">
        <w:rPr>
          <w:rStyle w:val="FootnoteReference"/>
          <w:rFonts w:asciiTheme="minorHAnsi" w:hAnsiTheme="minorHAnsi" w:cstheme="minorHAnsi"/>
          <w:sz w:val="26"/>
          <w:szCs w:val="26"/>
        </w:rPr>
        <w:footnoteReference w:id="12"/>
      </w:r>
      <w:r w:rsidR="005266E9" w:rsidRPr="00462D9F">
        <w:rPr>
          <w:rFonts w:asciiTheme="minorHAnsi" w:hAnsiTheme="minorHAnsi" w:cstheme="minorHAnsi"/>
          <w:sz w:val="26"/>
          <w:szCs w:val="26"/>
        </w:rPr>
        <w:t xml:space="preserve"> </w:t>
      </w:r>
      <w:r w:rsidR="008504CC" w:rsidRPr="00462D9F">
        <w:rPr>
          <w:rFonts w:asciiTheme="minorHAnsi" w:hAnsiTheme="minorHAnsi" w:cstheme="minorHAnsi"/>
          <w:sz w:val="26"/>
          <w:szCs w:val="26"/>
        </w:rPr>
        <w:t>The reasons underpinning my conclusion</w:t>
      </w:r>
      <w:r w:rsidR="00FA6396" w:rsidRPr="00462D9F">
        <w:rPr>
          <w:rFonts w:asciiTheme="minorHAnsi" w:hAnsiTheme="minorHAnsi" w:cstheme="minorHAnsi"/>
          <w:sz w:val="26"/>
          <w:szCs w:val="26"/>
        </w:rPr>
        <w:t xml:space="preserve">, </w:t>
      </w:r>
      <w:r w:rsidR="00F05ECB" w:rsidRPr="00462D9F">
        <w:rPr>
          <w:rFonts w:asciiTheme="minorHAnsi" w:hAnsiTheme="minorHAnsi" w:cstheme="minorHAnsi"/>
          <w:sz w:val="26"/>
          <w:szCs w:val="26"/>
        </w:rPr>
        <w:t xml:space="preserve">amongst others, </w:t>
      </w:r>
      <w:r w:rsidR="008504CC" w:rsidRPr="00462D9F">
        <w:rPr>
          <w:rFonts w:asciiTheme="minorHAnsi" w:hAnsiTheme="minorHAnsi" w:cstheme="minorHAnsi"/>
          <w:sz w:val="26"/>
          <w:szCs w:val="26"/>
        </w:rPr>
        <w:t>were the following:</w:t>
      </w:r>
    </w:p>
    <w:p w14:paraId="0BCDA79A" w14:textId="77777777" w:rsidR="008504CC" w:rsidRPr="008504CC" w:rsidRDefault="008504CC" w:rsidP="008504CC">
      <w:pPr>
        <w:pStyle w:val="ListParagraph"/>
        <w:rPr>
          <w:rFonts w:asciiTheme="minorHAnsi" w:hAnsiTheme="minorHAnsi" w:cstheme="minorHAnsi"/>
          <w:sz w:val="26"/>
          <w:szCs w:val="26"/>
        </w:rPr>
      </w:pPr>
    </w:p>
    <w:p w14:paraId="6BA364C8" w14:textId="6CCEEB74" w:rsidR="005266E9" w:rsidRPr="00462D9F" w:rsidRDefault="00462D9F" w:rsidP="00462D9F">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lastRenderedPageBreak/>
        <w:t>10.1.</w:t>
      </w:r>
      <w:r>
        <w:rPr>
          <w:rFonts w:asciiTheme="minorHAnsi" w:hAnsiTheme="minorHAnsi"/>
          <w:sz w:val="24"/>
          <w:szCs w:val="24"/>
        </w:rPr>
        <w:tab/>
      </w:r>
      <w:r w:rsidR="00EA0F29" w:rsidRPr="00462D9F">
        <w:rPr>
          <w:rFonts w:asciiTheme="minorHAnsi" w:hAnsiTheme="minorHAnsi" w:cstheme="minorHAnsi"/>
          <w:sz w:val="26"/>
          <w:szCs w:val="26"/>
        </w:rPr>
        <w:t xml:space="preserve">USAASA was not a party to the facility agreement concluded between VBS and </w:t>
      </w:r>
      <w:proofErr w:type="spellStart"/>
      <w:r w:rsidR="00EA0F29" w:rsidRPr="00462D9F">
        <w:rPr>
          <w:rFonts w:asciiTheme="minorHAnsi" w:hAnsiTheme="minorHAnsi" w:cstheme="minorHAnsi"/>
          <w:sz w:val="26"/>
          <w:szCs w:val="26"/>
        </w:rPr>
        <w:t>Leratadima</w:t>
      </w:r>
      <w:proofErr w:type="spellEnd"/>
      <w:r w:rsidR="00EA0F29" w:rsidRPr="00462D9F">
        <w:rPr>
          <w:rFonts w:asciiTheme="minorHAnsi" w:hAnsiTheme="minorHAnsi" w:cstheme="minorHAnsi"/>
          <w:sz w:val="26"/>
          <w:szCs w:val="26"/>
        </w:rPr>
        <w:t xml:space="preserve"> and therefore did not incur any obligations thereunder to either VBS or </w:t>
      </w:r>
      <w:proofErr w:type="spellStart"/>
      <w:r w:rsidR="00EA0F29" w:rsidRPr="00462D9F">
        <w:rPr>
          <w:rFonts w:asciiTheme="minorHAnsi" w:hAnsiTheme="minorHAnsi" w:cstheme="minorHAnsi"/>
          <w:sz w:val="26"/>
          <w:szCs w:val="26"/>
        </w:rPr>
        <w:t>Leratadima</w:t>
      </w:r>
      <w:proofErr w:type="spellEnd"/>
      <w:r w:rsidR="00EA0F29" w:rsidRPr="00462D9F">
        <w:rPr>
          <w:rFonts w:asciiTheme="minorHAnsi" w:hAnsiTheme="minorHAnsi" w:cstheme="minorHAnsi"/>
          <w:sz w:val="26"/>
          <w:szCs w:val="26"/>
        </w:rPr>
        <w:t>.</w:t>
      </w:r>
      <w:r w:rsidR="00EA0F29">
        <w:rPr>
          <w:rStyle w:val="FootnoteReference"/>
          <w:rFonts w:asciiTheme="minorHAnsi" w:hAnsiTheme="minorHAnsi" w:cstheme="minorHAnsi"/>
          <w:sz w:val="26"/>
          <w:szCs w:val="26"/>
        </w:rPr>
        <w:footnoteReference w:id="13"/>
      </w:r>
      <w:r w:rsidR="005266E9" w:rsidRPr="00462D9F">
        <w:rPr>
          <w:rFonts w:asciiTheme="minorHAnsi" w:hAnsiTheme="minorHAnsi" w:cstheme="minorHAnsi"/>
          <w:sz w:val="26"/>
          <w:szCs w:val="26"/>
        </w:rPr>
        <w:t xml:space="preserve"> </w:t>
      </w:r>
      <w:r w:rsidR="002A1000" w:rsidRPr="00462D9F">
        <w:rPr>
          <w:rFonts w:asciiTheme="minorHAnsi" w:hAnsiTheme="minorHAnsi" w:cstheme="minorHAnsi"/>
          <w:sz w:val="26"/>
          <w:szCs w:val="26"/>
        </w:rPr>
        <w:t>Nor did USAASA consent to be bound by any of the terms of the facility agreement in its letter of undertaking. VBS was furthermore not a party to the supply contract and therefore acquired no rights in terms thereof.</w:t>
      </w:r>
    </w:p>
    <w:p w14:paraId="765E4271" w14:textId="0F39535C" w:rsidR="00EA0F29" w:rsidRPr="00462D9F" w:rsidRDefault="00462D9F" w:rsidP="00462D9F">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10.2.</w:t>
      </w:r>
      <w:r>
        <w:rPr>
          <w:rFonts w:asciiTheme="minorHAnsi" w:hAnsiTheme="minorHAnsi"/>
          <w:sz w:val="24"/>
          <w:szCs w:val="24"/>
        </w:rPr>
        <w:tab/>
      </w:r>
      <w:r w:rsidR="00EA0F29" w:rsidRPr="00462D9F">
        <w:rPr>
          <w:rFonts w:asciiTheme="minorHAnsi" w:hAnsiTheme="minorHAnsi" w:cstheme="minorHAnsi"/>
          <w:sz w:val="26"/>
          <w:szCs w:val="26"/>
        </w:rPr>
        <w:t xml:space="preserve">USAASA </w:t>
      </w:r>
      <w:r w:rsidR="002A1000" w:rsidRPr="00462D9F">
        <w:rPr>
          <w:rFonts w:asciiTheme="minorHAnsi" w:hAnsiTheme="minorHAnsi" w:cstheme="minorHAnsi"/>
          <w:sz w:val="26"/>
          <w:szCs w:val="26"/>
        </w:rPr>
        <w:t>in</w:t>
      </w:r>
      <w:r w:rsidR="00EA0F29" w:rsidRPr="00462D9F">
        <w:rPr>
          <w:rFonts w:asciiTheme="minorHAnsi" w:hAnsiTheme="minorHAnsi" w:cstheme="minorHAnsi"/>
          <w:sz w:val="26"/>
          <w:szCs w:val="26"/>
        </w:rPr>
        <w:t xml:space="preserve"> fact only commenced </w:t>
      </w:r>
      <w:r w:rsidR="005272AE" w:rsidRPr="00462D9F">
        <w:rPr>
          <w:rFonts w:asciiTheme="minorHAnsi" w:hAnsiTheme="minorHAnsi" w:cstheme="minorHAnsi"/>
          <w:sz w:val="26"/>
          <w:szCs w:val="26"/>
        </w:rPr>
        <w:t xml:space="preserve">making payments due to </w:t>
      </w:r>
      <w:proofErr w:type="spellStart"/>
      <w:r w:rsidR="005272AE" w:rsidRPr="00462D9F">
        <w:rPr>
          <w:rFonts w:asciiTheme="minorHAnsi" w:hAnsiTheme="minorHAnsi" w:cstheme="minorHAnsi"/>
          <w:sz w:val="26"/>
          <w:szCs w:val="26"/>
        </w:rPr>
        <w:t>Leratadima</w:t>
      </w:r>
      <w:proofErr w:type="spellEnd"/>
      <w:r w:rsidR="005272AE" w:rsidRPr="00462D9F">
        <w:rPr>
          <w:rFonts w:asciiTheme="minorHAnsi" w:hAnsiTheme="minorHAnsi" w:cstheme="minorHAnsi"/>
          <w:sz w:val="26"/>
          <w:szCs w:val="26"/>
        </w:rPr>
        <w:t xml:space="preserve"> [under the supply contract]</w:t>
      </w:r>
      <w:r w:rsidR="00EA0F29" w:rsidRPr="00462D9F">
        <w:rPr>
          <w:rFonts w:asciiTheme="minorHAnsi" w:hAnsiTheme="minorHAnsi" w:cstheme="minorHAnsi"/>
          <w:sz w:val="26"/>
          <w:szCs w:val="26"/>
        </w:rPr>
        <w:t xml:space="preserve"> into the VBS account</w:t>
      </w:r>
      <w:r w:rsidR="005272AE" w:rsidRPr="00462D9F">
        <w:rPr>
          <w:rFonts w:asciiTheme="minorHAnsi" w:hAnsiTheme="minorHAnsi" w:cstheme="minorHAnsi"/>
          <w:sz w:val="26"/>
          <w:szCs w:val="26"/>
        </w:rPr>
        <w:t xml:space="preserve"> after receipt of </w:t>
      </w:r>
      <w:proofErr w:type="spellStart"/>
      <w:r w:rsidR="005272AE" w:rsidRPr="00462D9F">
        <w:rPr>
          <w:rFonts w:asciiTheme="minorHAnsi" w:hAnsiTheme="minorHAnsi" w:cstheme="minorHAnsi"/>
          <w:sz w:val="26"/>
          <w:szCs w:val="26"/>
        </w:rPr>
        <w:t>Leratadima’s</w:t>
      </w:r>
      <w:proofErr w:type="spellEnd"/>
      <w:r w:rsidR="005272AE" w:rsidRPr="00462D9F">
        <w:rPr>
          <w:rFonts w:asciiTheme="minorHAnsi" w:hAnsiTheme="minorHAnsi" w:cstheme="minorHAnsi"/>
          <w:sz w:val="26"/>
          <w:szCs w:val="26"/>
        </w:rPr>
        <w:t xml:space="preserve"> written instruction on 19 April 2016 for it to do so.</w:t>
      </w:r>
      <w:r w:rsidR="005272AE">
        <w:rPr>
          <w:rStyle w:val="FootnoteReference"/>
          <w:rFonts w:asciiTheme="minorHAnsi" w:hAnsiTheme="minorHAnsi" w:cstheme="minorHAnsi"/>
          <w:sz w:val="26"/>
          <w:szCs w:val="26"/>
        </w:rPr>
        <w:footnoteReference w:id="14"/>
      </w:r>
    </w:p>
    <w:p w14:paraId="1927D793" w14:textId="2A616740" w:rsidR="00FA6396" w:rsidRPr="00462D9F" w:rsidRDefault="00462D9F" w:rsidP="00462D9F">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10.3.</w:t>
      </w:r>
      <w:r>
        <w:rPr>
          <w:rFonts w:asciiTheme="minorHAnsi" w:hAnsiTheme="minorHAnsi"/>
          <w:sz w:val="24"/>
          <w:szCs w:val="24"/>
        </w:rPr>
        <w:tab/>
      </w:r>
      <w:r w:rsidR="00FA6396" w:rsidRPr="00462D9F">
        <w:rPr>
          <w:rFonts w:asciiTheme="minorHAnsi" w:hAnsiTheme="minorHAnsi" w:cstheme="minorHAnsi"/>
          <w:sz w:val="26"/>
          <w:szCs w:val="26"/>
        </w:rPr>
        <w:t>Nowhere in the letter of undertaking is there any reference that USAASA accepted any obligation to pay VBS.</w:t>
      </w:r>
      <w:r w:rsidR="00FA4A28" w:rsidRPr="00462D9F">
        <w:rPr>
          <w:rFonts w:asciiTheme="minorHAnsi" w:hAnsiTheme="minorHAnsi" w:cstheme="minorHAnsi"/>
          <w:sz w:val="26"/>
          <w:szCs w:val="26"/>
        </w:rPr>
        <w:t xml:space="preserve"> </w:t>
      </w:r>
      <w:r w:rsidR="005272AE" w:rsidRPr="00462D9F">
        <w:rPr>
          <w:rFonts w:asciiTheme="minorHAnsi" w:hAnsiTheme="minorHAnsi" w:cstheme="minorHAnsi"/>
          <w:sz w:val="26"/>
          <w:szCs w:val="26"/>
        </w:rPr>
        <w:t xml:space="preserve">In terms of the </w:t>
      </w:r>
      <w:r w:rsidR="00923B67" w:rsidRPr="00462D9F">
        <w:rPr>
          <w:rFonts w:asciiTheme="minorHAnsi" w:hAnsiTheme="minorHAnsi" w:cstheme="minorHAnsi"/>
          <w:sz w:val="26"/>
          <w:szCs w:val="26"/>
        </w:rPr>
        <w:t xml:space="preserve">express wording of the </w:t>
      </w:r>
      <w:r w:rsidR="005272AE" w:rsidRPr="00462D9F">
        <w:rPr>
          <w:rFonts w:asciiTheme="minorHAnsi" w:hAnsiTheme="minorHAnsi" w:cstheme="minorHAnsi"/>
          <w:sz w:val="26"/>
          <w:szCs w:val="26"/>
        </w:rPr>
        <w:t xml:space="preserve">payment undertaking, all payments due to </w:t>
      </w:r>
      <w:proofErr w:type="spellStart"/>
      <w:r w:rsidR="005272AE" w:rsidRPr="00462D9F">
        <w:rPr>
          <w:rFonts w:asciiTheme="minorHAnsi" w:hAnsiTheme="minorHAnsi" w:cstheme="minorHAnsi"/>
          <w:sz w:val="26"/>
          <w:szCs w:val="26"/>
        </w:rPr>
        <w:t>Leratadima</w:t>
      </w:r>
      <w:proofErr w:type="spellEnd"/>
      <w:r w:rsidR="005272AE" w:rsidRPr="00462D9F">
        <w:rPr>
          <w:rFonts w:asciiTheme="minorHAnsi" w:hAnsiTheme="minorHAnsi" w:cstheme="minorHAnsi"/>
          <w:sz w:val="26"/>
          <w:szCs w:val="26"/>
        </w:rPr>
        <w:t xml:space="preserve"> were still to be made </w:t>
      </w:r>
      <w:r w:rsidR="005272AE" w:rsidRPr="00462D9F">
        <w:rPr>
          <w:rFonts w:asciiTheme="minorHAnsi" w:hAnsiTheme="minorHAnsi" w:cstheme="minorHAnsi"/>
          <w:i/>
          <w:sz w:val="26"/>
          <w:szCs w:val="26"/>
        </w:rPr>
        <w:t>to</w:t>
      </w:r>
      <w:r w:rsidR="005272AE" w:rsidRPr="00462D9F">
        <w:rPr>
          <w:rFonts w:asciiTheme="minorHAnsi" w:hAnsiTheme="minorHAnsi" w:cstheme="minorHAnsi"/>
          <w:sz w:val="26"/>
          <w:szCs w:val="26"/>
        </w:rPr>
        <w:t xml:space="preserve"> </w:t>
      </w:r>
      <w:proofErr w:type="spellStart"/>
      <w:r w:rsidR="005272AE" w:rsidRPr="00462D9F">
        <w:rPr>
          <w:rFonts w:asciiTheme="minorHAnsi" w:hAnsiTheme="minorHAnsi" w:cstheme="minorHAnsi"/>
          <w:sz w:val="26"/>
          <w:szCs w:val="26"/>
        </w:rPr>
        <w:t>Leratadima</w:t>
      </w:r>
      <w:proofErr w:type="spellEnd"/>
      <w:r w:rsidR="005272AE" w:rsidRPr="00462D9F">
        <w:rPr>
          <w:rFonts w:asciiTheme="minorHAnsi" w:hAnsiTheme="minorHAnsi" w:cstheme="minorHAnsi"/>
          <w:sz w:val="26"/>
          <w:szCs w:val="26"/>
        </w:rPr>
        <w:t xml:space="preserve"> under the provisions of the supply contract</w:t>
      </w:r>
      <w:r w:rsidR="00D2482E" w:rsidRPr="00462D9F">
        <w:rPr>
          <w:rFonts w:asciiTheme="minorHAnsi" w:hAnsiTheme="minorHAnsi" w:cstheme="minorHAnsi"/>
          <w:sz w:val="26"/>
          <w:szCs w:val="26"/>
        </w:rPr>
        <w:t>,</w:t>
      </w:r>
      <w:r w:rsidR="005272AE" w:rsidRPr="00462D9F">
        <w:rPr>
          <w:rFonts w:asciiTheme="minorHAnsi" w:hAnsiTheme="minorHAnsi" w:cstheme="minorHAnsi"/>
          <w:sz w:val="26"/>
          <w:szCs w:val="26"/>
        </w:rPr>
        <w:t xml:space="preserve"> and not </w:t>
      </w:r>
      <w:r w:rsidR="005272AE" w:rsidRPr="00462D9F">
        <w:rPr>
          <w:rFonts w:asciiTheme="minorHAnsi" w:hAnsiTheme="minorHAnsi" w:cstheme="minorHAnsi"/>
          <w:i/>
          <w:sz w:val="26"/>
          <w:szCs w:val="26"/>
        </w:rPr>
        <w:t>to</w:t>
      </w:r>
      <w:r w:rsidR="005272AE" w:rsidRPr="00462D9F">
        <w:rPr>
          <w:rFonts w:asciiTheme="minorHAnsi" w:hAnsiTheme="minorHAnsi" w:cstheme="minorHAnsi"/>
          <w:sz w:val="26"/>
          <w:szCs w:val="26"/>
        </w:rPr>
        <w:t xml:space="preserve"> </w:t>
      </w:r>
      <w:r w:rsidR="00D2482E" w:rsidRPr="00462D9F">
        <w:rPr>
          <w:rFonts w:asciiTheme="minorHAnsi" w:hAnsiTheme="minorHAnsi" w:cstheme="minorHAnsi"/>
          <w:sz w:val="26"/>
          <w:szCs w:val="26"/>
        </w:rPr>
        <w:t>VBS, as</w:t>
      </w:r>
      <w:r w:rsidR="000D635F" w:rsidRPr="00462D9F">
        <w:rPr>
          <w:rFonts w:asciiTheme="minorHAnsi" w:hAnsiTheme="minorHAnsi" w:cstheme="minorHAnsi"/>
          <w:sz w:val="26"/>
          <w:szCs w:val="26"/>
        </w:rPr>
        <w:t xml:space="preserve"> </w:t>
      </w:r>
      <w:r w:rsidR="002A1000" w:rsidRPr="00462D9F">
        <w:rPr>
          <w:rFonts w:asciiTheme="minorHAnsi" w:hAnsiTheme="minorHAnsi" w:cstheme="minorHAnsi"/>
          <w:sz w:val="26"/>
          <w:szCs w:val="26"/>
        </w:rPr>
        <w:t>was VBS</w:t>
      </w:r>
      <w:r w:rsidR="00FA6396" w:rsidRPr="00462D9F">
        <w:rPr>
          <w:rFonts w:asciiTheme="minorHAnsi" w:hAnsiTheme="minorHAnsi" w:cstheme="minorHAnsi"/>
          <w:sz w:val="26"/>
          <w:szCs w:val="26"/>
        </w:rPr>
        <w:t>’s pleaded case</w:t>
      </w:r>
      <w:r w:rsidR="00D2482E" w:rsidRPr="00462D9F">
        <w:rPr>
          <w:rFonts w:asciiTheme="minorHAnsi" w:hAnsiTheme="minorHAnsi" w:cstheme="minorHAnsi"/>
          <w:sz w:val="26"/>
          <w:szCs w:val="26"/>
        </w:rPr>
        <w:t>.</w:t>
      </w:r>
      <w:r w:rsidR="005272AE" w:rsidRPr="00462D9F">
        <w:rPr>
          <w:rFonts w:asciiTheme="minorHAnsi" w:hAnsiTheme="minorHAnsi" w:cstheme="minorHAnsi"/>
          <w:sz w:val="26"/>
          <w:szCs w:val="26"/>
        </w:rPr>
        <w:t xml:space="preserve"> </w:t>
      </w:r>
    </w:p>
    <w:p w14:paraId="2885D2E2" w14:textId="64B4B3FB" w:rsidR="005272AE" w:rsidRPr="00462D9F" w:rsidRDefault="00462D9F" w:rsidP="00462D9F">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10.4.</w:t>
      </w:r>
      <w:r>
        <w:rPr>
          <w:rFonts w:asciiTheme="minorHAnsi" w:hAnsiTheme="minorHAnsi"/>
          <w:sz w:val="24"/>
          <w:szCs w:val="24"/>
        </w:rPr>
        <w:tab/>
      </w:r>
      <w:r w:rsidR="000D635F" w:rsidRPr="00462D9F">
        <w:rPr>
          <w:rFonts w:asciiTheme="minorHAnsi" w:hAnsiTheme="minorHAnsi" w:cstheme="minorHAnsi"/>
          <w:sz w:val="26"/>
          <w:szCs w:val="26"/>
        </w:rPr>
        <w:t xml:space="preserve">Clause 15 of </w:t>
      </w:r>
      <w:r w:rsidR="005272AE" w:rsidRPr="00462D9F">
        <w:rPr>
          <w:rFonts w:asciiTheme="minorHAnsi" w:hAnsiTheme="minorHAnsi" w:cstheme="minorHAnsi"/>
          <w:sz w:val="26"/>
          <w:szCs w:val="26"/>
        </w:rPr>
        <w:t>the supply contract</w:t>
      </w:r>
      <w:r w:rsidR="000D635F" w:rsidRPr="00462D9F">
        <w:rPr>
          <w:rFonts w:asciiTheme="minorHAnsi" w:hAnsiTheme="minorHAnsi" w:cstheme="minorHAnsi"/>
          <w:sz w:val="26"/>
          <w:szCs w:val="26"/>
        </w:rPr>
        <w:t xml:space="preserve"> prohibited any cession of rights, save by mutual consent.</w:t>
      </w:r>
      <w:r w:rsidR="000D635F">
        <w:rPr>
          <w:rStyle w:val="FootnoteReference"/>
          <w:rFonts w:asciiTheme="minorHAnsi" w:hAnsiTheme="minorHAnsi" w:cstheme="minorHAnsi"/>
          <w:sz w:val="26"/>
          <w:szCs w:val="26"/>
        </w:rPr>
        <w:footnoteReference w:id="15"/>
      </w:r>
      <w:r w:rsidR="000D635F" w:rsidRPr="00462D9F">
        <w:rPr>
          <w:rFonts w:asciiTheme="minorHAnsi" w:hAnsiTheme="minorHAnsi" w:cstheme="minorHAnsi"/>
          <w:sz w:val="26"/>
          <w:szCs w:val="26"/>
        </w:rPr>
        <w:t xml:space="preserve"> </w:t>
      </w:r>
      <w:proofErr w:type="spellStart"/>
      <w:r w:rsidR="000D635F" w:rsidRPr="00462D9F">
        <w:rPr>
          <w:rFonts w:asciiTheme="minorHAnsi" w:hAnsiTheme="minorHAnsi" w:cstheme="minorHAnsi"/>
          <w:sz w:val="26"/>
          <w:szCs w:val="26"/>
        </w:rPr>
        <w:t>Leratadima</w:t>
      </w:r>
      <w:proofErr w:type="spellEnd"/>
      <w:r w:rsidR="000D635F" w:rsidRPr="00462D9F">
        <w:rPr>
          <w:rFonts w:asciiTheme="minorHAnsi" w:hAnsiTheme="minorHAnsi" w:cstheme="minorHAnsi"/>
          <w:sz w:val="26"/>
          <w:szCs w:val="26"/>
        </w:rPr>
        <w:t xml:space="preserve"> did not cede its right </w:t>
      </w:r>
      <w:r w:rsidR="002D1CEC" w:rsidRPr="00462D9F">
        <w:rPr>
          <w:rFonts w:asciiTheme="minorHAnsi" w:hAnsiTheme="minorHAnsi" w:cstheme="minorHAnsi"/>
          <w:sz w:val="26"/>
          <w:szCs w:val="26"/>
        </w:rPr>
        <w:t xml:space="preserve">and entitlement </w:t>
      </w:r>
      <w:r w:rsidR="000D635F" w:rsidRPr="00462D9F">
        <w:rPr>
          <w:rFonts w:asciiTheme="minorHAnsi" w:hAnsiTheme="minorHAnsi" w:cstheme="minorHAnsi"/>
          <w:sz w:val="26"/>
          <w:szCs w:val="26"/>
        </w:rPr>
        <w:t>to payment under the supply contract</w:t>
      </w:r>
      <w:r w:rsidR="002D1CEC" w:rsidRPr="00462D9F">
        <w:rPr>
          <w:rFonts w:asciiTheme="minorHAnsi" w:hAnsiTheme="minorHAnsi" w:cstheme="minorHAnsi"/>
          <w:sz w:val="26"/>
          <w:szCs w:val="26"/>
        </w:rPr>
        <w:t>,</w:t>
      </w:r>
      <w:r w:rsidR="000D635F" w:rsidRPr="00462D9F">
        <w:rPr>
          <w:rFonts w:asciiTheme="minorHAnsi" w:hAnsiTheme="minorHAnsi" w:cstheme="minorHAnsi"/>
          <w:sz w:val="26"/>
          <w:szCs w:val="26"/>
        </w:rPr>
        <w:t xml:space="preserve"> to VBS. Without a cession of rights</w:t>
      </w:r>
      <w:r w:rsidR="00B22F75" w:rsidRPr="00462D9F">
        <w:rPr>
          <w:rFonts w:asciiTheme="minorHAnsi" w:hAnsiTheme="minorHAnsi" w:cstheme="minorHAnsi"/>
          <w:sz w:val="26"/>
          <w:szCs w:val="26"/>
        </w:rPr>
        <w:t xml:space="preserve"> in favour of VBS</w:t>
      </w:r>
      <w:r w:rsidR="000D635F" w:rsidRPr="00462D9F">
        <w:rPr>
          <w:rFonts w:asciiTheme="minorHAnsi" w:hAnsiTheme="minorHAnsi" w:cstheme="minorHAnsi"/>
          <w:sz w:val="26"/>
          <w:szCs w:val="26"/>
        </w:rPr>
        <w:t xml:space="preserve">, USAASA </w:t>
      </w:r>
      <w:r w:rsidR="00D2482E" w:rsidRPr="00462D9F">
        <w:rPr>
          <w:rFonts w:asciiTheme="minorHAnsi" w:hAnsiTheme="minorHAnsi" w:cstheme="minorHAnsi"/>
          <w:sz w:val="26"/>
          <w:szCs w:val="26"/>
        </w:rPr>
        <w:t xml:space="preserve">remained </w:t>
      </w:r>
      <w:r w:rsidR="00B22F75" w:rsidRPr="00462D9F">
        <w:rPr>
          <w:rFonts w:asciiTheme="minorHAnsi" w:hAnsiTheme="minorHAnsi" w:cstheme="minorHAnsi"/>
          <w:sz w:val="26"/>
          <w:szCs w:val="26"/>
        </w:rPr>
        <w:t xml:space="preserve">obliged in terms of the supply contract </w:t>
      </w:r>
      <w:r w:rsidR="00D2482E" w:rsidRPr="00462D9F">
        <w:rPr>
          <w:rFonts w:asciiTheme="minorHAnsi" w:hAnsiTheme="minorHAnsi" w:cstheme="minorHAnsi"/>
          <w:sz w:val="26"/>
          <w:szCs w:val="26"/>
        </w:rPr>
        <w:t xml:space="preserve">to make payment to </w:t>
      </w:r>
      <w:proofErr w:type="spellStart"/>
      <w:r w:rsidR="00D2482E" w:rsidRPr="00462D9F">
        <w:rPr>
          <w:rFonts w:asciiTheme="minorHAnsi" w:hAnsiTheme="minorHAnsi" w:cstheme="minorHAnsi"/>
          <w:sz w:val="26"/>
          <w:szCs w:val="26"/>
        </w:rPr>
        <w:t>Leratadima</w:t>
      </w:r>
      <w:proofErr w:type="spellEnd"/>
      <w:r w:rsidR="00D2482E" w:rsidRPr="00462D9F">
        <w:rPr>
          <w:rFonts w:asciiTheme="minorHAnsi" w:hAnsiTheme="minorHAnsi" w:cstheme="minorHAnsi"/>
          <w:sz w:val="26"/>
          <w:szCs w:val="26"/>
        </w:rPr>
        <w:t xml:space="preserve">, and no one else. </w:t>
      </w:r>
      <w:r w:rsidR="005272AE" w:rsidRPr="00462D9F">
        <w:rPr>
          <w:rFonts w:asciiTheme="minorHAnsi" w:hAnsiTheme="minorHAnsi" w:cstheme="minorHAnsi"/>
          <w:sz w:val="26"/>
          <w:szCs w:val="26"/>
        </w:rPr>
        <w:t xml:space="preserve">USAASA did not agree </w:t>
      </w:r>
      <w:r w:rsidR="00DF5831" w:rsidRPr="00462D9F">
        <w:rPr>
          <w:rFonts w:asciiTheme="minorHAnsi" w:hAnsiTheme="minorHAnsi" w:cstheme="minorHAnsi"/>
          <w:sz w:val="26"/>
          <w:szCs w:val="26"/>
        </w:rPr>
        <w:t xml:space="preserve">in terms of its undertaking </w:t>
      </w:r>
      <w:r w:rsidR="005272AE" w:rsidRPr="00462D9F">
        <w:rPr>
          <w:rFonts w:asciiTheme="minorHAnsi" w:hAnsiTheme="minorHAnsi" w:cstheme="minorHAnsi"/>
          <w:sz w:val="26"/>
          <w:szCs w:val="26"/>
        </w:rPr>
        <w:t xml:space="preserve">to </w:t>
      </w:r>
      <w:r w:rsidR="00B22F75" w:rsidRPr="00462D9F">
        <w:rPr>
          <w:rFonts w:asciiTheme="minorHAnsi" w:hAnsiTheme="minorHAnsi" w:cstheme="minorHAnsi"/>
          <w:sz w:val="26"/>
          <w:szCs w:val="26"/>
        </w:rPr>
        <w:t>pay</w:t>
      </w:r>
      <w:r w:rsidR="005272AE" w:rsidRPr="00462D9F">
        <w:rPr>
          <w:rFonts w:asciiTheme="minorHAnsi" w:hAnsiTheme="minorHAnsi" w:cstheme="minorHAnsi"/>
          <w:sz w:val="26"/>
          <w:szCs w:val="26"/>
        </w:rPr>
        <w:t xml:space="preserve"> VBS and no new contract was </w:t>
      </w:r>
      <w:r w:rsidR="00FA4A28" w:rsidRPr="00462D9F">
        <w:rPr>
          <w:rFonts w:asciiTheme="minorHAnsi" w:hAnsiTheme="minorHAnsi" w:cstheme="minorHAnsi"/>
          <w:sz w:val="26"/>
          <w:szCs w:val="26"/>
        </w:rPr>
        <w:t xml:space="preserve">either </w:t>
      </w:r>
      <w:r w:rsidR="005272AE" w:rsidRPr="00462D9F">
        <w:rPr>
          <w:rFonts w:asciiTheme="minorHAnsi" w:hAnsiTheme="minorHAnsi" w:cstheme="minorHAnsi"/>
          <w:sz w:val="26"/>
          <w:szCs w:val="26"/>
        </w:rPr>
        <w:t>created substituting VBS as USAASA’s creditor.</w:t>
      </w:r>
      <w:r w:rsidR="00DF5831" w:rsidRPr="00462D9F">
        <w:rPr>
          <w:rFonts w:asciiTheme="minorHAnsi" w:hAnsiTheme="minorHAnsi" w:cstheme="minorHAnsi"/>
          <w:sz w:val="26"/>
          <w:szCs w:val="26"/>
        </w:rPr>
        <w:t xml:space="preserve"> </w:t>
      </w:r>
      <w:r w:rsidR="002818F6" w:rsidRPr="00462D9F">
        <w:rPr>
          <w:rFonts w:asciiTheme="minorHAnsi" w:hAnsiTheme="minorHAnsi" w:cstheme="minorHAnsi"/>
          <w:sz w:val="26"/>
          <w:szCs w:val="26"/>
        </w:rPr>
        <w:t>Thus,</w:t>
      </w:r>
      <w:r w:rsidR="00DF5831" w:rsidRPr="00462D9F">
        <w:rPr>
          <w:rFonts w:asciiTheme="minorHAnsi" w:hAnsiTheme="minorHAnsi" w:cstheme="minorHAnsi"/>
          <w:sz w:val="26"/>
          <w:szCs w:val="26"/>
        </w:rPr>
        <w:t xml:space="preserve"> USAASA and </w:t>
      </w:r>
      <w:proofErr w:type="spellStart"/>
      <w:r w:rsidR="00DF5831" w:rsidRPr="00462D9F">
        <w:rPr>
          <w:rFonts w:asciiTheme="minorHAnsi" w:hAnsiTheme="minorHAnsi" w:cstheme="minorHAnsi"/>
          <w:sz w:val="26"/>
          <w:szCs w:val="26"/>
        </w:rPr>
        <w:t>Leratadima</w:t>
      </w:r>
      <w:proofErr w:type="spellEnd"/>
      <w:r w:rsidR="00DF5831" w:rsidRPr="00462D9F">
        <w:rPr>
          <w:rFonts w:asciiTheme="minorHAnsi" w:hAnsiTheme="minorHAnsi" w:cstheme="minorHAnsi"/>
          <w:sz w:val="26"/>
          <w:szCs w:val="26"/>
        </w:rPr>
        <w:t xml:space="preserve"> remained bound in terms of their supply contract</w:t>
      </w:r>
      <w:r w:rsidR="002818F6" w:rsidRPr="00462D9F">
        <w:rPr>
          <w:rFonts w:asciiTheme="minorHAnsi" w:hAnsiTheme="minorHAnsi" w:cstheme="minorHAnsi"/>
          <w:sz w:val="26"/>
          <w:szCs w:val="26"/>
        </w:rPr>
        <w:t>,</w:t>
      </w:r>
      <w:r w:rsidR="00DF5831" w:rsidRPr="00462D9F">
        <w:rPr>
          <w:rFonts w:asciiTheme="minorHAnsi" w:hAnsiTheme="minorHAnsi" w:cstheme="minorHAnsi"/>
          <w:sz w:val="26"/>
          <w:szCs w:val="26"/>
        </w:rPr>
        <w:t xml:space="preserve"> which they could vary by mutual consent.</w:t>
      </w:r>
      <w:r w:rsidR="005272AE">
        <w:rPr>
          <w:rStyle w:val="FootnoteReference"/>
          <w:rFonts w:asciiTheme="minorHAnsi" w:hAnsiTheme="minorHAnsi" w:cstheme="minorHAnsi"/>
          <w:sz w:val="26"/>
          <w:szCs w:val="26"/>
        </w:rPr>
        <w:footnoteReference w:id="16"/>
      </w:r>
    </w:p>
    <w:p w14:paraId="30F7EF96" w14:textId="0598BB43" w:rsidR="00FA6396" w:rsidRPr="00462D9F" w:rsidRDefault="00462D9F" w:rsidP="00462D9F">
      <w:pPr>
        <w:spacing w:after="200" w:line="360" w:lineRule="auto"/>
        <w:ind w:left="1702" w:hanging="851"/>
        <w:jc w:val="both"/>
        <w:rPr>
          <w:rFonts w:asciiTheme="minorHAnsi" w:hAnsiTheme="minorHAnsi" w:cstheme="minorHAnsi"/>
          <w:sz w:val="26"/>
          <w:szCs w:val="26"/>
        </w:rPr>
      </w:pPr>
      <w:r w:rsidRPr="00D2482E">
        <w:rPr>
          <w:rFonts w:asciiTheme="minorHAnsi" w:hAnsiTheme="minorHAnsi"/>
          <w:sz w:val="24"/>
          <w:szCs w:val="24"/>
        </w:rPr>
        <w:lastRenderedPageBreak/>
        <w:t>10.5.</w:t>
      </w:r>
      <w:r w:rsidRPr="00D2482E">
        <w:rPr>
          <w:rFonts w:asciiTheme="minorHAnsi" w:hAnsiTheme="minorHAnsi"/>
          <w:sz w:val="24"/>
          <w:szCs w:val="24"/>
        </w:rPr>
        <w:tab/>
      </w:r>
      <w:proofErr w:type="gramStart"/>
      <w:r w:rsidR="00FA6396" w:rsidRPr="00462D9F">
        <w:rPr>
          <w:rFonts w:asciiTheme="minorHAnsi" w:hAnsiTheme="minorHAnsi" w:cstheme="minorHAnsi"/>
          <w:sz w:val="26"/>
          <w:szCs w:val="26"/>
        </w:rPr>
        <w:t>Therefore</w:t>
      </w:r>
      <w:proofErr w:type="gramEnd"/>
      <w:r w:rsidR="00FA6396" w:rsidRPr="00462D9F">
        <w:rPr>
          <w:rFonts w:asciiTheme="minorHAnsi" w:hAnsiTheme="minorHAnsi" w:cstheme="minorHAnsi"/>
          <w:sz w:val="26"/>
          <w:szCs w:val="26"/>
        </w:rPr>
        <w:t xml:space="preserve"> the undertaking did not create an independent legal obligation but was merely a letter providing some comfort to VBS.</w:t>
      </w:r>
      <w:r w:rsidR="00A94633">
        <w:rPr>
          <w:rStyle w:val="FootnoteReference"/>
          <w:rFonts w:asciiTheme="minorHAnsi" w:hAnsiTheme="minorHAnsi" w:cstheme="minorHAnsi"/>
          <w:sz w:val="26"/>
          <w:szCs w:val="26"/>
        </w:rPr>
        <w:footnoteReference w:id="17"/>
      </w:r>
      <w:r w:rsidR="00A94633" w:rsidRPr="00462D9F">
        <w:rPr>
          <w:rFonts w:asciiTheme="minorHAnsi" w:hAnsiTheme="minorHAnsi" w:cstheme="minorHAnsi"/>
          <w:sz w:val="26"/>
          <w:szCs w:val="26"/>
        </w:rPr>
        <w:t xml:space="preserve"> </w:t>
      </w:r>
    </w:p>
    <w:p w14:paraId="32AF0BE9" w14:textId="77777777" w:rsidR="005266E9" w:rsidRPr="005266E9" w:rsidRDefault="005266E9" w:rsidP="005266E9">
      <w:pPr>
        <w:pStyle w:val="ListParagraph"/>
        <w:rPr>
          <w:rFonts w:asciiTheme="minorHAnsi" w:hAnsiTheme="minorHAnsi" w:cstheme="minorHAnsi"/>
          <w:sz w:val="26"/>
          <w:szCs w:val="26"/>
        </w:rPr>
      </w:pPr>
    </w:p>
    <w:p w14:paraId="0068A8E3" w14:textId="68F31CD7" w:rsidR="00A94633" w:rsidRPr="00462D9F" w:rsidRDefault="00462D9F" w:rsidP="00462D9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11.</w:t>
      </w:r>
      <w:r>
        <w:rPr>
          <w:rFonts w:asciiTheme="minorHAnsi" w:hAnsiTheme="minorHAnsi"/>
          <w:sz w:val="24"/>
          <w:szCs w:val="24"/>
        </w:rPr>
        <w:tab/>
      </w:r>
      <w:r w:rsidR="00B22F75" w:rsidRPr="00462D9F">
        <w:rPr>
          <w:rFonts w:asciiTheme="minorHAnsi" w:hAnsiTheme="minorHAnsi" w:cstheme="minorHAnsi"/>
          <w:sz w:val="26"/>
          <w:szCs w:val="26"/>
        </w:rPr>
        <w:t xml:space="preserve">At the hearing of the application for leave to appeal, counsel for VBS acknowledged that payment into </w:t>
      </w:r>
      <w:proofErr w:type="spellStart"/>
      <w:r w:rsidR="00B22F75" w:rsidRPr="00462D9F">
        <w:rPr>
          <w:rFonts w:asciiTheme="minorHAnsi" w:hAnsiTheme="minorHAnsi" w:cstheme="minorHAnsi"/>
          <w:sz w:val="26"/>
          <w:szCs w:val="26"/>
        </w:rPr>
        <w:t>Leratadima’s</w:t>
      </w:r>
      <w:proofErr w:type="spellEnd"/>
      <w:r w:rsidR="00B22F75" w:rsidRPr="00462D9F">
        <w:rPr>
          <w:rFonts w:asciiTheme="minorHAnsi" w:hAnsiTheme="minorHAnsi" w:cstheme="minorHAnsi"/>
          <w:sz w:val="26"/>
          <w:szCs w:val="26"/>
        </w:rPr>
        <w:t xml:space="preserve"> VBS bank account ‘always remained’ a discharge by USAASA of its payment obligations to </w:t>
      </w:r>
      <w:proofErr w:type="spellStart"/>
      <w:r w:rsidR="00B22F75" w:rsidRPr="00462D9F">
        <w:rPr>
          <w:rFonts w:asciiTheme="minorHAnsi" w:hAnsiTheme="minorHAnsi" w:cstheme="minorHAnsi"/>
          <w:sz w:val="26"/>
          <w:szCs w:val="26"/>
        </w:rPr>
        <w:t>Leratadima</w:t>
      </w:r>
      <w:proofErr w:type="spellEnd"/>
      <w:r w:rsidR="00B22F75" w:rsidRPr="00462D9F">
        <w:rPr>
          <w:rFonts w:asciiTheme="minorHAnsi" w:hAnsiTheme="minorHAnsi" w:cstheme="minorHAnsi"/>
          <w:sz w:val="26"/>
          <w:szCs w:val="26"/>
        </w:rPr>
        <w:t xml:space="preserve"> under the supply contract. </w:t>
      </w:r>
      <w:r w:rsidR="002D1CEC" w:rsidRPr="00462D9F">
        <w:rPr>
          <w:rFonts w:asciiTheme="minorHAnsi" w:hAnsiTheme="minorHAnsi" w:cstheme="minorHAnsi"/>
          <w:sz w:val="26"/>
          <w:szCs w:val="26"/>
        </w:rPr>
        <w:t xml:space="preserve">The principle of </w:t>
      </w:r>
      <w:proofErr w:type="spellStart"/>
      <w:r w:rsidR="002D1CEC" w:rsidRPr="00462D9F">
        <w:rPr>
          <w:rFonts w:asciiTheme="minorHAnsi" w:hAnsiTheme="minorHAnsi" w:cstheme="minorHAnsi"/>
          <w:i/>
          <w:sz w:val="26"/>
          <w:szCs w:val="26"/>
        </w:rPr>
        <w:t>commixtio</w:t>
      </w:r>
      <w:proofErr w:type="spellEnd"/>
      <w:r w:rsidR="002D1CEC" w:rsidRPr="00462D9F">
        <w:rPr>
          <w:rFonts w:asciiTheme="minorHAnsi" w:hAnsiTheme="minorHAnsi" w:cstheme="minorHAnsi"/>
          <w:sz w:val="26"/>
          <w:szCs w:val="26"/>
        </w:rPr>
        <w:t xml:space="preserve"> does not assist VBS in circumstances where it is accepted that the </w:t>
      </w:r>
      <w:r w:rsidR="00B22F75" w:rsidRPr="00462D9F">
        <w:rPr>
          <w:rFonts w:asciiTheme="minorHAnsi" w:hAnsiTheme="minorHAnsi" w:cstheme="minorHAnsi"/>
          <w:sz w:val="26"/>
          <w:szCs w:val="26"/>
        </w:rPr>
        <w:t xml:space="preserve">underlying basis for payment </w:t>
      </w:r>
      <w:r w:rsidR="002D1CEC" w:rsidRPr="00462D9F">
        <w:rPr>
          <w:rFonts w:asciiTheme="minorHAnsi" w:hAnsiTheme="minorHAnsi" w:cstheme="minorHAnsi"/>
          <w:sz w:val="26"/>
          <w:szCs w:val="26"/>
        </w:rPr>
        <w:t xml:space="preserve">by USAASA </w:t>
      </w:r>
      <w:r w:rsidR="00B22F75" w:rsidRPr="00462D9F">
        <w:rPr>
          <w:rFonts w:asciiTheme="minorHAnsi" w:hAnsiTheme="minorHAnsi" w:cstheme="minorHAnsi"/>
          <w:sz w:val="26"/>
          <w:szCs w:val="26"/>
        </w:rPr>
        <w:t>into the VBS account</w:t>
      </w:r>
      <w:r w:rsidR="002818F6" w:rsidRPr="00462D9F">
        <w:rPr>
          <w:rFonts w:asciiTheme="minorHAnsi" w:hAnsiTheme="minorHAnsi" w:cstheme="minorHAnsi"/>
          <w:sz w:val="26"/>
          <w:szCs w:val="26"/>
        </w:rPr>
        <w:t>,</w:t>
      </w:r>
      <w:r w:rsidR="00B22F75" w:rsidRPr="00462D9F">
        <w:rPr>
          <w:rFonts w:asciiTheme="minorHAnsi" w:hAnsiTheme="minorHAnsi" w:cstheme="minorHAnsi"/>
          <w:sz w:val="26"/>
          <w:szCs w:val="26"/>
        </w:rPr>
        <w:t xml:space="preserve"> </w:t>
      </w:r>
      <w:r w:rsidR="002D1CEC" w:rsidRPr="00462D9F">
        <w:rPr>
          <w:rFonts w:asciiTheme="minorHAnsi" w:hAnsiTheme="minorHAnsi" w:cstheme="minorHAnsi"/>
          <w:sz w:val="26"/>
          <w:szCs w:val="26"/>
        </w:rPr>
        <w:t xml:space="preserve">remained a discharge by USAASA of its </w:t>
      </w:r>
      <w:r w:rsidR="00B22F75" w:rsidRPr="00462D9F">
        <w:rPr>
          <w:rFonts w:asciiTheme="minorHAnsi" w:hAnsiTheme="minorHAnsi" w:cstheme="minorHAnsi"/>
          <w:sz w:val="26"/>
          <w:szCs w:val="26"/>
        </w:rPr>
        <w:t xml:space="preserve">obligation </w:t>
      </w:r>
      <w:r w:rsidR="00B22F75" w:rsidRPr="00462D9F">
        <w:rPr>
          <w:rFonts w:asciiTheme="minorHAnsi" w:hAnsiTheme="minorHAnsi" w:cstheme="minorHAnsi"/>
          <w:i/>
          <w:sz w:val="26"/>
          <w:szCs w:val="26"/>
        </w:rPr>
        <w:t xml:space="preserve">to pay </w:t>
      </w:r>
      <w:proofErr w:type="spellStart"/>
      <w:r w:rsidR="002D1CEC" w:rsidRPr="00462D9F">
        <w:rPr>
          <w:rFonts w:asciiTheme="minorHAnsi" w:hAnsiTheme="minorHAnsi" w:cstheme="minorHAnsi"/>
          <w:i/>
          <w:sz w:val="26"/>
          <w:szCs w:val="26"/>
        </w:rPr>
        <w:t>Leratadima</w:t>
      </w:r>
      <w:proofErr w:type="spellEnd"/>
      <w:r w:rsidR="002D1CEC" w:rsidRPr="00462D9F">
        <w:rPr>
          <w:rFonts w:asciiTheme="minorHAnsi" w:hAnsiTheme="minorHAnsi" w:cstheme="minorHAnsi"/>
          <w:sz w:val="26"/>
          <w:szCs w:val="26"/>
        </w:rPr>
        <w:t xml:space="preserve"> </w:t>
      </w:r>
      <w:r w:rsidR="00B22F75" w:rsidRPr="00462D9F">
        <w:rPr>
          <w:rFonts w:asciiTheme="minorHAnsi" w:hAnsiTheme="minorHAnsi" w:cstheme="minorHAnsi"/>
          <w:sz w:val="26"/>
          <w:szCs w:val="26"/>
        </w:rPr>
        <w:t xml:space="preserve">for goods sold and delivered </w:t>
      </w:r>
      <w:r w:rsidR="00FA4A28" w:rsidRPr="00462D9F">
        <w:rPr>
          <w:rFonts w:asciiTheme="minorHAnsi" w:hAnsiTheme="minorHAnsi" w:cstheme="minorHAnsi"/>
          <w:sz w:val="26"/>
          <w:szCs w:val="26"/>
        </w:rPr>
        <w:t xml:space="preserve">by it </w:t>
      </w:r>
      <w:r w:rsidR="00B22F75" w:rsidRPr="00462D9F">
        <w:rPr>
          <w:rFonts w:asciiTheme="minorHAnsi" w:hAnsiTheme="minorHAnsi" w:cstheme="minorHAnsi"/>
          <w:sz w:val="26"/>
          <w:szCs w:val="26"/>
        </w:rPr>
        <w:t xml:space="preserve">to </w:t>
      </w:r>
      <w:r w:rsidR="002D1CEC" w:rsidRPr="00462D9F">
        <w:rPr>
          <w:rFonts w:asciiTheme="minorHAnsi" w:hAnsiTheme="minorHAnsi" w:cstheme="minorHAnsi"/>
          <w:sz w:val="26"/>
          <w:szCs w:val="26"/>
        </w:rPr>
        <w:t>USAASA</w:t>
      </w:r>
      <w:r w:rsidR="00B22F75" w:rsidRPr="00462D9F">
        <w:rPr>
          <w:rFonts w:asciiTheme="minorHAnsi" w:hAnsiTheme="minorHAnsi" w:cstheme="minorHAnsi"/>
          <w:sz w:val="26"/>
          <w:szCs w:val="26"/>
        </w:rPr>
        <w:t xml:space="preserve"> under the supply contract</w:t>
      </w:r>
      <w:r w:rsidR="002D1CEC" w:rsidRPr="00462D9F">
        <w:rPr>
          <w:rFonts w:asciiTheme="minorHAnsi" w:hAnsiTheme="minorHAnsi" w:cstheme="minorHAnsi"/>
          <w:sz w:val="26"/>
          <w:szCs w:val="26"/>
        </w:rPr>
        <w:t xml:space="preserve">. Put bluntly, the underlying basis for payment into the VBS account was not to give money to VBS, and nothing stated in the </w:t>
      </w:r>
      <w:r w:rsidR="00CC61E6" w:rsidRPr="00462D9F">
        <w:rPr>
          <w:rFonts w:asciiTheme="minorHAnsi" w:hAnsiTheme="minorHAnsi" w:cstheme="minorHAnsi"/>
          <w:sz w:val="26"/>
          <w:szCs w:val="26"/>
        </w:rPr>
        <w:t xml:space="preserve">letter of </w:t>
      </w:r>
      <w:r w:rsidR="002D1CEC" w:rsidRPr="00462D9F">
        <w:rPr>
          <w:rFonts w:asciiTheme="minorHAnsi" w:hAnsiTheme="minorHAnsi" w:cstheme="minorHAnsi"/>
          <w:sz w:val="26"/>
          <w:szCs w:val="26"/>
        </w:rPr>
        <w:t>undertaking</w:t>
      </w:r>
      <w:r w:rsidR="00CC61E6" w:rsidRPr="00462D9F">
        <w:rPr>
          <w:rFonts w:asciiTheme="minorHAnsi" w:hAnsiTheme="minorHAnsi" w:cstheme="minorHAnsi"/>
          <w:sz w:val="26"/>
          <w:szCs w:val="26"/>
        </w:rPr>
        <w:t xml:space="preserve"> changed USAASA’s obligation to pay only its supplier (</w:t>
      </w:r>
      <w:proofErr w:type="spellStart"/>
      <w:r w:rsidR="00CC61E6" w:rsidRPr="00462D9F">
        <w:rPr>
          <w:rFonts w:asciiTheme="minorHAnsi" w:hAnsiTheme="minorHAnsi" w:cstheme="minorHAnsi"/>
          <w:sz w:val="26"/>
          <w:szCs w:val="26"/>
        </w:rPr>
        <w:t>Leratadima</w:t>
      </w:r>
      <w:proofErr w:type="spellEnd"/>
      <w:r w:rsidR="00CC61E6" w:rsidRPr="00462D9F">
        <w:rPr>
          <w:rFonts w:asciiTheme="minorHAnsi" w:hAnsiTheme="minorHAnsi" w:cstheme="minorHAnsi"/>
          <w:sz w:val="26"/>
          <w:szCs w:val="26"/>
        </w:rPr>
        <w:t xml:space="preserve">) or, in the absence of cession, </w:t>
      </w:r>
      <w:r w:rsidR="000B23D1" w:rsidRPr="00462D9F">
        <w:rPr>
          <w:rFonts w:asciiTheme="minorHAnsi" w:hAnsiTheme="minorHAnsi" w:cstheme="minorHAnsi"/>
          <w:sz w:val="26"/>
          <w:szCs w:val="26"/>
        </w:rPr>
        <w:t xml:space="preserve">nothing in the letter of undertaking </w:t>
      </w:r>
      <w:r w:rsidR="00CC61E6" w:rsidRPr="00462D9F">
        <w:rPr>
          <w:rFonts w:asciiTheme="minorHAnsi" w:hAnsiTheme="minorHAnsi" w:cstheme="minorHAnsi"/>
          <w:sz w:val="26"/>
          <w:szCs w:val="26"/>
        </w:rPr>
        <w:t xml:space="preserve">created an independent obligation for USAASA to pay VBS </w:t>
      </w:r>
      <w:r w:rsidR="000B23D1" w:rsidRPr="00462D9F">
        <w:rPr>
          <w:rFonts w:asciiTheme="minorHAnsi" w:hAnsiTheme="minorHAnsi" w:cstheme="minorHAnsi"/>
          <w:sz w:val="26"/>
          <w:szCs w:val="26"/>
        </w:rPr>
        <w:t xml:space="preserve">in place of </w:t>
      </w:r>
      <w:proofErr w:type="spellStart"/>
      <w:r w:rsidR="000B23D1" w:rsidRPr="00462D9F">
        <w:rPr>
          <w:rFonts w:asciiTheme="minorHAnsi" w:hAnsiTheme="minorHAnsi" w:cstheme="minorHAnsi"/>
          <w:sz w:val="26"/>
          <w:szCs w:val="26"/>
        </w:rPr>
        <w:t>Leratadima</w:t>
      </w:r>
      <w:proofErr w:type="spellEnd"/>
      <w:r w:rsidR="00CC61E6" w:rsidRPr="00462D9F">
        <w:rPr>
          <w:rFonts w:asciiTheme="minorHAnsi" w:hAnsiTheme="minorHAnsi" w:cstheme="minorHAnsi"/>
          <w:sz w:val="26"/>
          <w:szCs w:val="26"/>
        </w:rPr>
        <w:t>.</w:t>
      </w:r>
      <w:r w:rsidR="002F5DD0">
        <w:rPr>
          <w:rStyle w:val="FootnoteReference"/>
          <w:rFonts w:asciiTheme="minorHAnsi" w:hAnsiTheme="minorHAnsi" w:cstheme="minorHAnsi"/>
          <w:sz w:val="26"/>
          <w:szCs w:val="26"/>
        </w:rPr>
        <w:footnoteReference w:id="18"/>
      </w:r>
      <w:r w:rsidR="00CC61E6" w:rsidRPr="00462D9F">
        <w:rPr>
          <w:rFonts w:asciiTheme="minorHAnsi" w:hAnsiTheme="minorHAnsi" w:cstheme="minorHAnsi"/>
          <w:sz w:val="26"/>
          <w:szCs w:val="26"/>
        </w:rPr>
        <w:t xml:space="preserve"> </w:t>
      </w:r>
      <w:r w:rsidR="00A94633" w:rsidRPr="00462D9F">
        <w:rPr>
          <w:rFonts w:asciiTheme="minorHAnsi" w:hAnsiTheme="minorHAnsi" w:cstheme="minorHAnsi"/>
          <w:sz w:val="26"/>
          <w:szCs w:val="26"/>
        </w:rPr>
        <w:t xml:space="preserve">In order to properly secure its position, VBS </w:t>
      </w:r>
      <w:r w:rsidR="000B23D1" w:rsidRPr="00462D9F">
        <w:rPr>
          <w:rFonts w:asciiTheme="minorHAnsi" w:hAnsiTheme="minorHAnsi" w:cstheme="minorHAnsi"/>
          <w:sz w:val="26"/>
          <w:szCs w:val="26"/>
        </w:rPr>
        <w:t>ought to have obtained</w:t>
      </w:r>
      <w:r w:rsidR="00A94633" w:rsidRPr="00462D9F">
        <w:rPr>
          <w:rFonts w:asciiTheme="minorHAnsi" w:hAnsiTheme="minorHAnsi" w:cstheme="minorHAnsi"/>
          <w:sz w:val="26"/>
          <w:szCs w:val="26"/>
        </w:rPr>
        <w:t xml:space="preserve"> a cession of the right of </w:t>
      </w:r>
      <w:proofErr w:type="spellStart"/>
      <w:r w:rsidR="00A94633" w:rsidRPr="00462D9F">
        <w:rPr>
          <w:rFonts w:asciiTheme="minorHAnsi" w:hAnsiTheme="minorHAnsi" w:cstheme="minorHAnsi"/>
          <w:sz w:val="26"/>
          <w:szCs w:val="26"/>
        </w:rPr>
        <w:t>Leratadima</w:t>
      </w:r>
      <w:proofErr w:type="spellEnd"/>
      <w:r w:rsidR="00A94633" w:rsidRPr="00462D9F">
        <w:rPr>
          <w:rFonts w:asciiTheme="minorHAnsi" w:hAnsiTheme="minorHAnsi" w:cstheme="minorHAnsi"/>
          <w:sz w:val="26"/>
          <w:szCs w:val="26"/>
        </w:rPr>
        <w:t xml:space="preserve"> to all payments due by USAASA to it. </w:t>
      </w:r>
      <w:r w:rsidR="000B23D1" w:rsidRPr="00462D9F">
        <w:rPr>
          <w:rFonts w:asciiTheme="minorHAnsi" w:hAnsiTheme="minorHAnsi" w:cstheme="minorHAnsi"/>
          <w:sz w:val="26"/>
          <w:szCs w:val="26"/>
        </w:rPr>
        <w:t>VBS</w:t>
      </w:r>
      <w:r w:rsidR="00A94633" w:rsidRPr="00462D9F">
        <w:rPr>
          <w:rFonts w:asciiTheme="minorHAnsi" w:hAnsiTheme="minorHAnsi" w:cstheme="minorHAnsi"/>
          <w:sz w:val="26"/>
          <w:szCs w:val="26"/>
        </w:rPr>
        <w:t xml:space="preserve"> failed to obtain that right. </w:t>
      </w:r>
      <w:r w:rsidR="00CC61E6" w:rsidRPr="00462D9F">
        <w:rPr>
          <w:rFonts w:asciiTheme="minorHAnsi" w:hAnsiTheme="minorHAnsi" w:cstheme="minorHAnsi"/>
          <w:sz w:val="26"/>
          <w:szCs w:val="26"/>
        </w:rPr>
        <w:t xml:space="preserve">The absence of cession </w:t>
      </w:r>
      <w:r w:rsidR="002F5DD0" w:rsidRPr="00462D9F">
        <w:rPr>
          <w:rFonts w:asciiTheme="minorHAnsi" w:hAnsiTheme="minorHAnsi" w:cstheme="minorHAnsi"/>
          <w:sz w:val="26"/>
          <w:szCs w:val="26"/>
        </w:rPr>
        <w:t xml:space="preserve">is </w:t>
      </w:r>
      <w:r w:rsidR="000B23D1" w:rsidRPr="00462D9F">
        <w:rPr>
          <w:rFonts w:asciiTheme="minorHAnsi" w:hAnsiTheme="minorHAnsi" w:cstheme="minorHAnsi"/>
          <w:sz w:val="26"/>
          <w:szCs w:val="26"/>
        </w:rPr>
        <w:t xml:space="preserve">effectively </w:t>
      </w:r>
      <w:r w:rsidR="002F5DD0" w:rsidRPr="00462D9F">
        <w:rPr>
          <w:rFonts w:asciiTheme="minorHAnsi" w:hAnsiTheme="minorHAnsi" w:cstheme="minorHAnsi"/>
          <w:sz w:val="26"/>
          <w:szCs w:val="26"/>
        </w:rPr>
        <w:t xml:space="preserve">the death knell </w:t>
      </w:r>
      <w:r w:rsidR="00A94633" w:rsidRPr="00462D9F">
        <w:rPr>
          <w:rFonts w:asciiTheme="minorHAnsi" w:hAnsiTheme="minorHAnsi" w:cstheme="minorHAnsi"/>
          <w:sz w:val="26"/>
          <w:szCs w:val="26"/>
        </w:rPr>
        <w:t>of</w:t>
      </w:r>
      <w:r w:rsidR="002F5DD0" w:rsidRPr="00462D9F">
        <w:rPr>
          <w:rFonts w:asciiTheme="minorHAnsi" w:hAnsiTheme="minorHAnsi" w:cstheme="minorHAnsi"/>
          <w:sz w:val="26"/>
          <w:szCs w:val="26"/>
        </w:rPr>
        <w:t xml:space="preserve"> VBS’s claim.</w:t>
      </w:r>
      <w:r w:rsidR="00FA6396" w:rsidRPr="00462D9F">
        <w:rPr>
          <w:rFonts w:asciiTheme="minorHAnsi" w:hAnsiTheme="minorHAnsi" w:cstheme="minorHAnsi"/>
          <w:sz w:val="26"/>
          <w:szCs w:val="26"/>
        </w:rPr>
        <w:t xml:space="preserve"> This fact underscored the reasoning in paras 47-50 of the judgment. </w:t>
      </w:r>
    </w:p>
    <w:p w14:paraId="4A23CBA1" w14:textId="77777777" w:rsidR="00A94633" w:rsidRDefault="00A94633" w:rsidP="00A94633">
      <w:pPr>
        <w:pStyle w:val="ListParagraph"/>
        <w:rPr>
          <w:rFonts w:asciiTheme="minorHAnsi" w:hAnsiTheme="minorHAnsi" w:cstheme="minorHAnsi"/>
          <w:sz w:val="26"/>
          <w:szCs w:val="26"/>
        </w:rPr>
      </w:pPr>
    </w:p>
    <w:p w14:paraId="5A47BE0C" w14:textId="6E6555F7" w:rsidR="00713CDD" w:rsidRPr="00462D9F" w:rsidRDefault="00462D9F" w:rsidP="00462D9F">
      <w:pPr>
        <w:spacing w:after="200" w:line="360" w:lineRule="auto"/>
        <w:ind w:left="851" w:hanging="851"/>
        <w:jc w:val="both"/>
        <w:rPr>
          <w:rFonts w:asciiTheme="minorHAnsi" w:hAnsiTheme="minorHAnsi" w:cstheme="minorHAnsi"/>
          <w:sz w:val="26"/>
          <w:szCs w:val="26"/>
        </w:rPr>
      </w:pPr>
      <w:r w:rsidRPr="00F05ECB">
        <w:rPr>
          <w:rFonts w:asciiTheme="minorHAnsi" w:hAnsiTheme="minorHAnsi"/>
          <w:sz w:val="24"/>
          <w:szCs w:val="24"/>
        </w:rPr>
        <w:t>12.</w:t>
      </w:r>
      <w:r w:rsidRPr="00F05ECB">
        <w:rPr>
          <w:rFonts w:asciiTheme="minorHAnsi" w:hAnsiTheme="minorHAnsi"/>
          <w:sz w:val="24"/>
          <w:szCs w:val="24"/>
        </w:rPr>
        <w:tab/>
      </w:r>
      <w:r w:rsidR="00A94633" w:rsidRPr="00462D9F">
        <w:rPr>
          <w:rFonts w:asciiTheme="minorHAnsi" w:hAnsiTheme="minorHAnsi" w:cstheme="minorHAnsi"/>
          <w:sz w:val="26"/>
          <w:szCs w:val="26"/>
        </w:rPr>
        <w:t>As pointed out in par 50 of the judgment, even accepting that VBS wanted</w:t>
      </w:r>
      <w:r w:rsidR="00DF5831" w:rsidRPr="00462D9F">
        <w:rPr>
          <w:rFonts w:asciiTheme="minorHAnsi" w:hAnsiTheme="minorHAnsi" w:cstheme="minorHAnsi"/>
          <w:sz w:val="26"/>
          <w:szCs w:val="26"/>
        </w:rPr>
        <w:t xml:space="preserve"> </w:t>
      </w:r>
      <w:r w:rsidR="00A94633" w:rsidRPr="00462D9F">
        <w:rPr>
          <w:rFonts w:asciiTheme="minorHAnsi" w:hAnsiTheme="minorHAnsi" w:cstheme="minorHAnsi"/>
          <w:sz w:val="26"/>
          <w:szCs w:val="26"/>
        </w:rPr>
        <w:t xml:space="preserve">to </w:t>
      </w:r>
      <w:r w:rsidR="00DF5831" w:rsidRPr="00462D9F">
        <w:rPr>
          <w:rFonts w:asciiTheme="minorHAnsi" w:hAnsiTheme="minorHAnsi" w:cstheme="minorHAnsi"/>
          <w:sz w:val="26"/>
          <w:szCs w:val="26"/>
        </w:rPr>
        <w:t xml:space="preserve">obtain security for the repayment of its loan to </w:t>
      </w:r>
      <w:proofErr w:type="spellStart"/>
      <w:r w:rsidR="00DF5831" w:rsidRPr="00462D9F">
        <w:rPr>
          <w:rFonts w:asciiTheme="minorHAnsi" w:hAnsiTheme="minorHAnsi" w:cstheme="minorHAnsi"/>
          <w:sz w:val="26"/>
          <w:szCs w:val="26"/>
        </w:rPr>
        <w:t>Leratadima</w:t>
      </w:r>
      <w:proofErr w:type="spellEnd"/>
      <w:r w:rsidR="00DF5831" w:rsidRPr="00462D9F">
        <w:rPr>
          <w:rFonts w:asciiTheme="minorHAnsi" w:hAnsiTheme="minorHAnsi" w:cstheme="minorHAnsi"/>
          <w:sz w:val="26"/>
          <w:szCs w:val="26"/>
        </w:rPr>
        <w:t xml:space="preserve"> or to </w:t>
      </w:r>
      <w:r w:rsidR="00A94633" w:rsidRPr="00462D9F">
        <w:rPr>
          <w:rFonts w:asciiTheme="minorHAnsi" w:hAnsiTheme="minorHAnsi" w:cstheme="minorHAnsi"/>
          <w:sz w:val="26"/>
          <w:szCs w:val="26"/>
        </w:rPr>
        <w:t xml:space="preserve">limit its exposure in respect of monies </w:t>
      </w:r>
      <w:r w:rsidR="00DF5831" w:rsidRPr="00462D9F">
        <w:rPr>
          <w:rFonts w:asciiTheme="minorHAnsi" w:hAnsiTheme="minorHAnsi" w:cstheme="minorHAnsi"/>
          <w:sz w:val="26"/>
          <w:szCs w:val="26"/>
        </w:rPr>
        <w:t>advanced</w:t>
      </w:r>
      <w:r w:rsidR="002818F6" w:rsidRPr="00462D9F">
        <w:rPr>
          <w:rFonts w:asciiTheme="minorHAnsi" w:hAnsiTheme="minorHAnsi" w:cstheme="minorHAnsi"/>
          <w:sz w:val="26"/>
          <w:szCs w:val="26"/>
        </w:rPr>
        <w:t>,</w:t>
      </w:r>
      <w:r w:rsidR="00DF5831" w:rsidRPr="00462D9F">
        <w:rPr>
          <w:rFonts w:asciiTheme="minorHAnsi" w:hAnsiTheme="minorHAnsi" w:cstheme="minorHAnsi"/>
          <w:sz w:val="26"/>
          <w:szCs w:val="26"/>
        </w:rPr>
        <w:t xml:space="preserve"> by obtaining confirmation from USAASA that it would make all payments </w:t>
      </w:r>
      <w:r w:rsidR="008F4BBB" w:rsidRPr="00462D9F">
        <w:rPr>
          <w:rFonts w:asciiTheme="minorHAnsi" w:hAnsiTheme="minorHAnsi" w:cstheme="minorHAnsi"/>
          <w:sz w:val="26"/>
          <w:szCs w:val="26"/>
        </w:rPr>
        <w:t xml:space="preserve">owing to </w:t>
      </w:r>
      <w:proofErr w:type="spellStart"/>
      <w:r w:rsidR="008F4BBB" w:rsidRPr="00462D9F">
        <w:rPr>
          <w:rFonts w:asciiTheme="minorHAnsi" w:hAnsiTheme="minorHAnsi" w:cstheme="minorHAnsi"/>
          <w:sz w:val="26"/>
          <w:szCs w:val="26"/>
        </w:rPr>
        <w:t>Leratadima</w:t>
      </w:r>
      <w:proofErr w:type="spellEnd"/>
      <w:r w:rsidR="008F4BBB" w:rsidRPr="00462D9F">
        <w:rPr>
          <w:rFonts w:asciiTheme="minorHAnsi" w:hAnsiTheme="minorHAnsi" w:cstheme="minorHAnsi"/>
          <w:sz w:val="26"/>
          <w:szCs w:val="26"/>
        </w:rPr>
        <w:t xml:space="preserve"> under the supply contract </w:t>
      </w:r>
      <w:r w:rsidR="00DF5831" w:rsidRPr="00462D9F">
        <w:rPr>
          <w:rFonts w:asciiTheme="minorHAnsi" w:hAnsiTheme="minorHAnsi" w:cstheme="minorHAnsi"/>
          <w:sz w:val="26"/>
          <w:szCs w:val="26"/>
        </w:rPr>
        <w:t xml:space="preserve">into </w:t>
      </w:r>
      <w:proofErr w:type="spellStart"/>
      <w:r w:rsidR="008F4BBB" w:rsidRPr="00462D9F">
        <w:rPr>
          <w:rFonts w:asciiTheme="minorHAnsi" w:hAnsiTheme="minorHAnsi" w:cstheme="minorHAnsi"/>
          <w:sz w:val="26"/>
          <w:szCs w:val="26"/>
        </w:rPr>
        <w:t>Leratadima’s</w:t>
      </w:r>
      <w:proofErr w:type="spellEnd"/>
      <w:r w:rsidR="00DF5831" w:rsidRPr="00462D9F">
        <w:rPr>
          <w:rFonts w:asciiTheme="minorHAnsi" w:hAnsiTheme="minorHAnsi" w:cstheme="minorHAnsi"/>
          <w:sz w:val="26"/>
          <w:szCs w:val="26"/>
        </w:rPr>
        <w:t xml:space="preserve"> VBS account, </w:t>
      </w:r>
      <w:r w:rsidR="002818F6" w:rsidRPr="00462D9F">
        <w:rPr>
          <w:rFonts w:asciiTheme="minorHAnsi" w:hAnsiTheme="minorHAnsi" w:cstheme="minorHAnsi"/>
          <w:sz w:val="26"/>
          <w:szCs w:val="26"/>
        </w:rPr>
        <w:t xml:space="preserve">the letter of undertaking still did not create an independent obligation on the part of USAASA to pay VBS, </w:t>
      </w:r>
      <w:r w:rsidR="002818F6" w:rsidRPr="00462D9F">
        <w:rPr>
          <w:rFonts w:asciiTheme="minorHAnsi" w:hAnsiTheme="minorHAnsi" w:cstheme="minorHAnsi"/>
          <w:sz w:val="26"/>
          <w:szCs w:val="26"/>
        </w:rPr>
        <w:lastRenderedPageBreak/>
        <w:t xml:space="preserve">an interpretation </w:t>
      </w:r>
      <w:r w:rsidR="00F05ECB" w:rsidRPr="00462D9F">
        <w:rPr>
          <w:rFonts w:asciiTheme="minorHAnsi" w:hAnsiTheme="minorHAnsi" w:cstheme="minorHAnsi"/>
          <w:sz w:val="26"/>
          <w:szCs w:val="26"/>
        </w:rPr>
        <w:t xml:space="preserve">arrived at in paragraphs 48 and 48 of the judgment, which </w:t>
      </w:r>
      <w:r w:rsidR="002818F6" w:rsidRPr="00462D9F">
        <w:rPr>
          <w:rFonts w:asciiTheme="minorHAnsi" w:hAnsiTheme="minorHAnsi" w:cstheme="minorHAnsi"/>
          <w:sz w:val="26"/>
          <w:szCs w:val="26"/>
        </w:rPr>
        <w:t>was fortified by the provisions of the facility agreement</w:t>
      </w:r>
      <w:r w:rsidR="000B23D1" w:rsidRPr="00462D9F">
        <w:rPr>
          <w:rFonts w:asciiTheme="minorHAnsi" w:hAnsiTheme="minorHAnsi" w:cstheme="minorHAnsi"/>
          <w:sz w:val="26"/>
          <w:szCs w:val="26"/>
        </w:rPr>
        <w:t xml:space="preserve"> which were</w:t>
      </w:r>
      <w:r w:rsidR="002818F6" w:rsidRPr="00462D9F">
        <w:rPr>
          <w:rFonts w:asciiTheme="minorHAnsi" w:hAnsiTheme="minorHAnsi" w:cstheme="minorHAnsi"/>
          <w:sz w:val="26"/>
          <w:szCs w:val="26"/>
        </w:rPr>
        <w:t xml:space="preserve"> referred to in par </w:t>
      </w:r>
      <w:r w:rsidR="0063763C" w:rsidRPr="00462D9F">
        <w:rPr>
          <w:rFonts w:asciiTheme="minorHAnsi" w:hAnsiTheme="minorHAnsi" w:cstheme="minorHAnsi"/>
          <w:sz w:val="26"/>
          <w:szCs w:val="26"/>
        </w:rPr>
        <w:t>5</w:t>
      </w:r>
      <w:r w:rsidR="002818F6" w:rsidRPr="00462D9F">
        <w:rPr>
          <w:rFonts w:asciiTheme="minorHAnsi" w:hAnsiTheme="minorHAnsi" w:cstheme="minorHAnsi"/>
          <w:sz w:val="26"/>
          <w:szCs w:val="26"/>
        </w:rPr>
        <w:t>0 of the judgment</w:t>
      </w:r>
      <w:r w:rsidR="000B23D1" w:rsidRPr="00462D9F">
        <w:rPr>
          <w:rFonts w:asciiTheme="minorHAnsi" w:hAnsiTheme="minorHAnsi" w:cstheme="minorHAnsi"/>
          <w:sz w:val="26"/>
          <w:szCs w:val="26"/>
        </w:rPr>
        <w:t>, including</w:t>
      </w:r>
      <w:r w:rsidR="00F05ECB" w:rsidRPr="00462D9F">
        <w:rPr>
          <w:rFonts w:asciiTheme="minorHAnsi" w:hAnsiTheme="minorHAnsi" w:cstheme="minorHAnsi"/>
          <w:sz w:val="26"/>
          <w:szCs w:val="26"/>
        </w:rPr>
        <w:t xml:space="preserve"> the prohibition against cession (save by consent between USAASA and </w:t>
      </w:r>
      <w:proofErr w:type="spellStart"/>
      <w:r w:rsidR="00F05ECB" w:rsidRPr="00462D9F">
        <w:rPr>
          <w:rFonts w:asciiTheme="minorHAnsi" w:hAnsiTheme="minorHAnsi" w:cstheme="minorHAnsi"/>
          <w:sz w:val="26"/>
          <w:szCs w:val="26"/>
        </w:rPr>
        <w:t>Leratadima</w:t>
      </w:r>
      <w:proofErr w:type="spellEnd"/>
      <w:r w:rsidR="00F05ECB" w:rsidRPr="00462D9F">
        <w:rPr>
          <w:rFonts w:asciiTheme="minorHAnsi" w:hAnsiTheme="minorHAnsi" w:cstheme="minorHAnsi"/>
          <w:sz w:val="26"/>
          <w:szCs w:val="26"/>
        </w:rPr>
        <w:t xml:space="preserve">) in the supply contract, </w:t>
      </w:r>
      <w:r w:rsidR="00FA4A28" w:rsidRPr="00462D9F">
        <w:rPr>
          <w:rFonts w:asciiTheme="minorHAnsi" w:hAnsiTheme="minorHAnsi" w:cstheme="minorHAnsi"/>
          <w:sz w:val="26"/>
          <w:szCs w:val="26"/>
        </w:rPr>
        <w:t xml:space="preserve">as </w:t>
      </w:r>
      <w:r w:rsidR="00F05ECB" w:rsidRPr="00462D9F">
        <w:rPr>
          <w:rFonts w:asciiTheme="minorHAnsi" w:hAnsiTheme="minorHAnsi" w:cstheme="minorHAnsi"/>
          <w:sz w:val="26"/>
          <w:szCs w:val="26"/>
        </w:rPr>
        <w:t>alluded to in paragraph 48 of the judgment.</w:t>
      </w:r>
      <w:r w:rsidR="002818F6" w:rsidRPr="00462D9F">
        <w:rPr>
          <w:rFonts w:asciiTheme="minorHAnsi" w:hAnsiTheme="minorHAnsi" w:cstheme="minorHAnsi"/>
          <w:sz w:val="26"/>
          <w:szCs w:val="26"/>
        </w:rPr>
        <w:t xml:space="preserve"> In any event, as </w:t>
      </w:r>
      <w:r w:rsidR="00CC61E6" w:rsidRPr="00462D9F">
        <w:rPr>
          <w:rFonts w:asciiTheme="minorHAnsi" w:hAnsiTheme="minorHAnsi" w:cstheme="minorHAnsi"/>
          <w:sz w:val="26"/>
          <w:szCs w:val="26"/>
        </w:rPr>
        <w:t xml:space="preserve">pointed out in the judgment, USAASA has in fact paid </w:t>
      </w:r>
      <w:proofErr w:type="spellStart"/>
      <w:r w:rsidR="00CC61E6" w:rsidRPr="00462D9F">
        <w:rPr>
          <w:rFonts w:asciiTheme="minorHAnsi" w:hAnsiTheme="minorHAnsi" w:cstheme="minorHAnsi"/>
          <w:sz w:val="26"/>
          <w:szCs w:val="26"/>
        </w:rPr>
        <w:t>Leratadima</w:t>
      </w:r>
      <w:proofErr w:type="spellEnd"/>
      <w:r w:rsidR="00CC61E6" w:rsidRPr="00462D9F">
        <w:rPr>
          <w:rFonts w:asciiTheme="minorHAnsi" w:hAnsiTheme="minorHAnsi" w:cstheme="minorHAnsi"/>
          <w:sz w:val="26"/>
          <w:szCs w:val="26"/>
        </w:rPr>
        <w:t xml:space="preserve"> for the goods </w:t>
      </w:r>
      <w:r w:rsidR="002818F6" w:rsidRPr="00462D9F">
        <w:rPr>
          <w:rFonts w:asciiTheme="minorHAnsi" w:hAnsiTheme="minorHAnsi" w:cstheme="minorHAnsi"/>
          <w:sz w:val="26"/>
          <w:szCs w:val="26"/>
        </w:rPr>
        <w:t xml:space="preserve">ordered by it and </w:t>
      </w:r>
      <w:r w:rsidR="00CC61E6" w:rsidRPr="00462D9F">
        <w:rPr>
          <w:rFonts w:asciiTheme="minorHAnsi" w:hAnsiTheme="minorHAnsi" w:cstheme="minorHAnsi"/>
          <w:sz w:val="26"/>
          <w:szCs w:val="26"/>
        </w:rPr>
        <w:t xml:space="preserve">supplied </w:t>
      </w:r>
      <w:r w:rsidR="002818F6" w:rsidRPr="00462D9F">
        <w:rPr>
          <w:rFonts w:asciiTheme="minorHAnsi" w:hAnsiTheme="minorHAnsi" w:cstheme="minorHAnsi"/>
          <w:sz w:val="26"/>
          <w:szCs w:val="26"/>
        </w:rPr>
        <w:t xml:space="preserve">by </w:t>
      </w:r>
      <w:proofErr w:type="spellStart"/>
      <w:r w:rsidR="002818F6" w:rsidRPr="00462D9F">
        <w:rPr>
          <w:rFonts w:asciiTheme="minorHAnsi" w:hAnsiTheme="minorHAnsi" w:cstheme="minorHAnsi"/>
          <w:sz w:val="26"/>
          <w:szCs w:val="26"/>
        </w:rPr>
        <w:t>Leratadima</w:t>
      </w:r>
      <w:proofErr w:type="spellEnd"/>
      <w:r w:rsidR="002818F6" w:rsidRPr="00462D9F">
        <w:rPr>
          <w:rFonts w:asciiTheme="minorHAnsi" w:hAnsiTheme="minorHAnsi" w:cstheme="minorHAnsi"/>
          <w:sz w:val="26"/>
          <w:szCs w:val="26"/>
        </w:rPr>
        <w:t xml:space="preserve"> </w:t>
      </w:r>
      <w:r w:rsidR="00CC61E6" w:rsidRPr="00462D9F">
        <w:rPr>
          <w:rFonts w:asciiTheme="minorHAnsi" w:hAnsiTheme="minorHAnsi" w:cstheme="minorHAnsi"/>
          <w:sz w:val="26"/>
          <w:szCs w:val="26"/>
        </w:rPr>
        <w:t xml:space="preserve">under the supply </w:t>
      </w:r>
      <w:proofErr w:type="gramStart"/>
      <w:r w:rsidR="00CC61E6" w:rsidRPr="00462D9F">
        <w:rPr>
          <w:rFonts w:asciiTheme="minorHAnsi" w:hAnsiTheme="minorHAnsi" w:cstheme="minorHAnsi"/>
          <w:sz w:val="26"/>
          <w:szCs w:val="26"/>
        </w:rPr>
        <w:t>contract</w:t>
      </w:r>
      <w:r w:rsidR="002818F6" w:rsidRPr="00462D9F">
        <w:rPr>
          <w:rFonts w:asciiTheme="minorHAnsi" w:hAnsiTheme="minorHAnsi" w:cstheme="minorHAnsi"/>
          <w:sz w:val="26"/>
          <w:szCs w:val="26"/>
        </w:rPr>
        <w:t>, and</w:t>
      </w:r>
      <w:proofErr w:type="gramEnd"/>
      <w:r w:rsidR="002818F6" w:rsidRPr="00462D9F">
        <w:rPr>
          <w:rFonts w:asciiTheme="minorHAnsi" w:hAnsiTheme="minorHAnsi" w:cstheme="minorHAnsi"/>
          <w:sz w:val="26"/>
          <w:szCs w:val="26"/>
        </w:rPr>
        <w:t xml:space="preserve"> has thereby discharged its payment obligations under the supply contract in full</w:t>
      </w:r>
      <w:r w:rsidR="00CC61E6" w:rsidRPr="00462D9F">
        <w:rPr>
          <w:rFonts w:asciiTheme="minorHAnsi" w:hAnsiTheme="minorHAnsi" w:cstheme="minorHAnsi"/>
          <w:sz w:val="26"/>
          <w:szCs w:val="26"/>
        </w:rPr>
        <w:t>.</w:t>
      </w:r>
      <w:r w:rsidR="00CC61E6">
        <w:rPr>
          <w:rStyle w:val="FootnoteReference"/>
          <w:rFonts w:asciiTheme="minorHAnsi" w:hAnsiTheme="minorHAnsi" w:cstheme="minorHAnsi"/>
          <w:sz w:val="26"/>
          <w:szCs w:val="26"/>
        </w:rPr>
        <w:footnoteReference w:id="19"/>
      </w:r>
    </w:p>
    <w:p w14:paraId="0D52C36E" w14:textId="77777777" w:rsidR="00F05ECB" w:rsidRDefault="00F05ECB" w:rsidP="00F05ECB">
      <w:pPr>
        <w:pStyle w:val="ListParagraph"/>
        <w:rPr>
          <w:rFonts w:asciiTheme="minorHAnsi" w:hAnsiTheme="minorHAnsi" w:cstheme="minorHAnsi"/>
          <w:sz w:val="26"/>
          <w:szCs w:val="26"/>
        </w:rPr>
      </w:pPr>
    </w:p>
    <w:p w14:paraId="3B200A1C" w14:textId="5EBD0ADF" w:rsidR="0063763C" w:rsidRPr="00462D9F" w:rsidRDefault="00462D9F" w:rsidP="00462D9F">
      <w:pPr>
        <w:spacing w:after="200" w:line="360" w:lineRule="auto"/>
        <w:ind w:left="851" w:hanging="851"/>
        <w:jc w:val="both"/>
        <w:rPr>
          <w:rFonts w:asciiTheme="minorHAnsi" w:hAnsiTheme="minorHAnsi" w:cstheme="minorHAnsi"/>
          <w:sz w:val="26"/>
          <w:szCs w:val="26"/>
        </w:rPr>
      </w:pPr>
      <w:r w:rsidRPr="00C329D1">
        <w:rPr>
          <w:rFonts w:asciiTheme="minorHAnsi" w:hAnsiTheme="minorHAnsi"/>
          <w:sz w:val="24"/>
          <w:szCs w:val="24"/>
        </w:rPr>
        <w:t>13.</w:t>
      </w:r>
      <w:r w:rsidRPr="00C329D1">
        <w:rPr>
          <w:rFonts w:asciiTheme="minorHAnsi" w:hAnsiTheme="minorHAnsi"/>
          <w:sz w:val="24"/>
          <w:szCs w:val="24"/>
        </w:rPr>
        <w:tab/>
      </w:r>
      <w:r w:rsidR="0059327E" w:rsidRPr="00462D9F">
        <w:rPr>
          <w:rFonts w:asciiTheme="minorHAnsi" w:hAnsiTheme="minorHAnsi" w:cstheme="minorHAnsi"/>
          <w:sz w:val="26"/>
          <w:szCs w:val="26"/>
        </w:rPr>
        <w:t>It will be recalled that on</w:t>
      </w:r>
      <w:r w:rsidR="008F4BBB" w:rsidRPr="00462D9F">
        <w:rPr>
          <w:rFonts w:asciiTheme="minorHAnsi" w:hAnsiTheme="minorHAnsi" w:cstheme="minorHAnsi"/>
          <w:sz w:val="26"/>
          <w:szCs w:val="26"/>
        </w:rPr>
        <w:t xml:space="preserve"> 7 February 2017,</w:t>
      </w:r>
      <w:r w:rsidR="0059327E" w:rsidRPr="00462D9F">
        <w:rPr>
          <w:rFonts w:asciiTheme="minorHAnsi" w:hAnsiTheme="minorHAnsi" w:cstheme="minorHAnsi"/>
          <w:sz w:val="26"/>
          <w:szCs w:val="26"/>
        </w:rPr>
        <w:t xml:space="preserve"> </w:t>
      </w:r>
      <w:proofErr w:type="spellStart"/>
      <w:r w:rsidR="0059327E" w:rsidRPr="00462D9F">
        <w:rPr>
          <w:rFonts w:asciiTheme="minorHAnsi" w:hAnsiTheme="minorHAnsi" w:cstheme="minorHAnsi"/>
          <w:sz w:val="26"/>
          <w:szCs w:val="26"/>
        </w:rPr>
        <w:t>Leratadima</w:t>
      </w:r>
      <w:proofErr w:type="spellEnd"/>
      <w:r w:rsidR="0059327E" w:rsidRPr="00462D9F">
        <w:rPr>
          <w:rFonts w:asciiTheme="minorHAnsi" w:hAnsiTheme="minorHAnsi" w:cstheme="minorHAnsi"/>
          <w:sz w:val="26"/>
          <w:szCs w:val="26"/>
        </w:rPr>
        <w:t xml:space="preserve"> instructed USAASA to make all payments due to it under the supply contract into </w:t>
      </w:r>
      <w:proofErr w:type="spellStart"/>
      <w:r w:rsidR="0059327E" w:rsidRPr="00462D9F">
        <w:rPr>
          <w:rFonts w:asciiTheme="minorHAnsi" w:hAnsiTheme="minorHAnsi" w:cstheme="minorHAnsi"/>
          <w:sz w:val="26"/>
          <w:szCs w:val="26"/>
        </w:rPr>
        <w:t>Leratadima’s</w:t>
      </w:r>
      <w:proofErr w:type="spellEnd"/>
      <w:r w:rsidR="0059327E" w:rsidRPr="00462D9F">
        <w:rPr>
          <w:rFonts w:asciiTheme="minorHAnsi" w:hAnsiTheme="minorHAnsi" w:cstheme="minorHAnsi"/>
          <w:sz w:val="26"/>
          <w:szCs w:val="26"/>
        </w:rPr>
        <w:t xml:space="preserve"> Absa bank account,</w:t>
      </w:r>
      <w:r w:rsidR="008F4BBB">
        <w:rPr>
          <w:rStyle w:val="FootnoteReference"/>
          <w:rFonts w:asciiTheme="minorHAnsi" w:hAnsiTheme="minorHAnsi" w:cstheme="minorHAnsi"/>
          <w:sz w:val="26"/>
          <w:szCs w:val="26"/>
        </w:rPr>
        <w:footnoteReference w:id="20"/>
      </w:r>
      <w:r w:rsidR="0059327E" w:rsidRPr="00462D9F">
        <w:rPr>
          <w:rFonts w:asciiTheme="minorHAnsi" w:hAnsiTheme="minorHAnsi" w:cstheme="minorHAnsi"/>
          <w:sz w:val="26"/>
          <w:szCs w:val="26"/>
        </w:rPr>
        <w:t xml:space="preserve"> </w:t>
      </w:r>
      <w:r w:rsidR="00F05ECB" w:rsidRPr="00462D9F">
        <w:rPr>
          <w:rFonts w:asciiTheme="minorHAnsi" w:hAnsiTheme="minorHAnsi" w:cstheme="minorHAnsi"/>
          <w:sz w:val="26"/>
          <w:szCs w:val="26"/>
        </w:rPr>
        <w:t xml:space="preserve">albeit </w:t>
      </w:r>
      <w:r w:rsidR="000B23D1" w:rsidRPr="00462D9F">
        <w:rPr>
          <w:rFonts w:asciiTheme="minorHAnsi" w:hAnsiTheme="minorHAnsi" w:cstheme="minorHAnsi"/>
          <w:sz w:val="26"/>
          <w:szCs w:val="26"/>
        </w:rPr>
        <w:t xml:space="preserve">that it in so doing, it acted </w:t>
      </w:r>
      <w:r w:rsidR="0059327E" w:rsidRPr="00462D9F">
        <w:rPr>
          <w:rFonts w:asciiTheme="minorHAnsi" w:hAnsiTheme="minorHAnsi" w:cstheme="minorHAnsi"/>
          <w:sz w:val="26"/>
          <w:szCs w:val="26"/>
        </w:rPr>
        <w:t>in breach of its obligations under the facility agreement.</w:t>
      </w:r>
      <w:r w:rsidR="0059327E">
        <w:rPr>
          <w:rStyle w:val="FootnoteReference"/>
          <w:rFonts w:asciiTheme="minorHAnsi" w:hAnsiTheme="minorHAnsi" w:cstheme="minorHAnsi"/>
          <w:sz w:val="26"/>
          <w:szCs w:val="26"/>
        </w:rPr>
        <w:footnoteReference w:id="21"/>
      </w:r>
      <w:r w:rsidR="0059327E" w:rsidRPr="00462D9F">
        <w:rPr>
          <w:rFonts w:asciiTheme="minorHAnsi" w:hAnsiTheme="minorHAnsi" w:cstheme="minorHAnsi"/>
          <w:sz w:val="26"/>
          <w:szCs w:val="26"/>
        </w:rPr>
        <w:t xml:space="preserve"> </w:t>
      </w:r>
      <w:r w:rsidR="00F05ECB" w:rsidRPr="00462D9F">
        <w:rPr>
          <w:rFonts w:asciiTheme="minorHAnsi" w:hAnsiTheme="minorHAnsi" w:cstheme="minorHAnsi"/>
          <w:sz w:val="26"/>
          <w:szCs w:val="26"/>
        </w:rPr>
        <w:t xml:space="preserve">USAASA acted on that instruction by commencing payments into the Absa account </w:t>
      </w:r>
      <w:r w:rsidR="0032230E" w:rsidRPr="00462D9F">
        <w:rPr>
          <w:rFonts w:asciiTheme="minorHAnsi" w:hAnsiTheme="minorHAnsi" w:cstheme="minorHAnsi"/>
          <w:sz w:val="26"/>
          <w:szCs w:val="26"/>
        </w:rPr>
        <w:t xml:space="preserve">on 9 October 2017. </w:t>
      </w:r>
      <w:r w:rsidR="0063763C" w:rsidRPr="00462D9F">
        <w:rPr>
          <w:rFonts w:asciiTheme="minorHAnsi" w:hAnsiTheme="minorHAnsi" w:cstheme="minorHAnsi"/>
          <w:sz w:val="26"/>
          <w:szCs w:val="26"/>
        </w:rPr>
        <w:t xml:space="preserve">The fact that USAASA made a few payments into the VBS account after receipt of </w:t>
      </w:r>
      <w:r w:rsidR="008F4BBB" w:rsidRPr="00462D9F">
        <w:rPr>
          <w:rFonts w:asciiTheme="minorHAnsi" w:hAnsiTheme="minorHAnsi" w:cstheme="minorHAnsi"/>
          <w:sz w:val="26"/>
          <w:szCs w:val="26"/>
        </w:rPr>
        <w:t xml:space="preserve">the aforesaid </w:t>
      </w:r>
      <w:r w:rsidR="0063763C" w:rsidRPr="00462D9F">
        <w:rPr>
          <w:rFonts w:asciiTheme="minorHAnsi" w:hAnsiTheme="minorHAnsi" w:cstheme="minorHAnsi"/>
          <w:sz w:val="26"/>
          <w:szCs w:val="26"/>
        </w:rPr>
        <w:t>instruction</w:t>
      </w:r>
      <w:r w:rsidR="00F05ECB" w:rsidRPr="00462D9F">
        <w:rPr>
          <w:rFonts w:asciiTheme="minorHAnsi" w:hAnsiTheme="minorHAnsi" w:cstheme="minorHAnsi"/>
          <w:sz w:val="26"/>
          <w:szCs w:val="26"/>
        </w:rPr>
        <w:t xml:space="preserve">, for reasons that remain </w:t>
      </w:r>
      <w:r w:rsidR="000B23D1" w:rsidRPr="00462D9F">
        <w:rPr>
          <w:rFonts w:asciiTheme="minorHAnsi" w:hAnsiTheme="minorHAnsi" w:cstheme="minorHAnsi"/>
          <w:sz w:val="26"/>
          <w:szCs w:val="26"/>
        </w:rPr>
        <w:t xml:space="preserve">entirely </w:t>
      </w:r>
      <w:r w:rsidR="00F05ECB" w:rsidRPr="00462D9F">
        <w:rPr>
          <w:rFonts w:asciiTheme="minorHAnsi" w:hAnsiTheme="minorHAnsi" w:cstheme="minorHAnsi"/>
          <w:sz w:val="26"/>
          <w:szCs w:val="26"/>
        </w:rPr>
        <w:t>unknown,</w:t>
      </w:r>
      <w:r w:rsidR="0063763C" w:rsidRPr="00462D9F">
        <w:rPr>
          <w:rFonts w:asciiTheme="minorHAnsi" w:hAnsiTheme="minorHAnsi" w:cstheme="minorHAnsi"/>
          <w:sz w:val="26"/>
          <w:szCs w:val="26"/>
        </w:rPr>
        <w:t xml:space="preserve"> </w:t>
      </w:r>
      <w:r w:rsidR="0059327E" w:rsidRPr="00462D9F">
        <w:rPr>
          <w:rFonts w:asciiTheme="minorHAnsi" w:hAnsiTheme="minorHAnsi" w:cstheme="minorHAnsi"/>
          <w:sz w:val="26"/>
          <w:szCs w:val="26"/>
        </w:rPr>
        <w:t xml:space="preserve">does not either derogate </w:t>
      </w:r>
      <w:r w:rsidR="00F05ECB" w:rsidRPr="00462D9F">
        <w:rPr>
          <w:rFonts w:asciiTheme="minorHAnsi" w:hAnsiTheme="minorHAnsi" w:cstheme="minorHAnsi"/>
          <w:sz w:val="26"/>
          <w:szCs w:val="26"/>
        </w:rPr>
        <w:t xml:space="preserve">from the </w:t>
      </w:r>
      <w:r w:rsidR="0059327E" w:rsidRPr="00462D9F">
        <w:rPr>
          <w:rFonts w:asciiTheme="minorHAnsi" w:hAnsiTheme="minorHAnsi" w:cstheme="minorHAnsi"/>
          <w:sz w:val="26"/>
          <w:szCs w:val="26"/>
        </w:rPr>
        <w:t>conclusion arrived at in paragraph</w:t>
      </w:r>
      <w:r w:rsidR="008F4BBB" w:rsidRPr="00462D9F">
        <w:rPr>
          <w:rFonts w:asciiTheme="minorHAnsi" w:hAnsiTheme="minorHAnsi" w:cstheme="minorHAnsi"/>
          <w:sz w:val="26"/>
          <w:szCs w:val="26"/>
        </w:rPr>
        <w:t>s</w:t>
      </w:r>
      <w:r w:rsidR="0059327E" w:rsidRPr="00462D9F">
        <w:rPr>
          <w:rFonts w:asciiTheme="minorHAnsi" w:hAnsiTheme="minorHAnsi" w:cstheme="minorHAnsi"/>
          <w:sz w:val="26"/>
          <w:szCs w:val="26"/>
        </w:rPr>
        <w:t xml:space="preserve"> </w:t>
      </w:r>
      <w:r w:rsidR="008F4BBB" w:rsidRPr="00462D9F">
        <w:rPr>
          <w:rFonts w:asciiTheme="minorHAnsi" w:hAnsiTheme="minorHAnsi" w:cstheme="minorHAnsi"/>
          <w:sz w:val="26"/>
          <w:szCs w:val="26"/>
        </w:rPr>
        <w:t xml:space="preserve">48 to </w:t>
      </w:r>
      <w:r w:rsidR="00F05ECB" w:rsidRPr="00462D9F">
        <w:rPr>
          <w:rFonts w:asciiTheme="minorHAnsi" w:hAnsiTheme="minorHAnsi" w:cstheme="minorHAnsi"/>
          <w:sz w:val="26"/>
          <w:szCs w:val="26"/>
        </w:rPr>
        <w:t>49, read with par 50</w:t>
      </w:r>
      <w:r w:rsidR="008F4BBB" w:rsidRPr="00462D9F">
        <w:rPr>
          <w:rFonts w:asciiTheme="minorHAnsi" w:hAnsiTheme="minorHAnsi" w:cstheme="minorHAnsi"/>
          <w:sz w:val="26"/>
          <w:szCs w:val="26"/>
        </w:rPr>
        <w:t xml:space="preserve"> </w:t>
      </w:r>
      <w:r w:rsidR="0059327E" w:rsidRPr="00462D9F">
        <w:rPr>
          <w:rFonts w:asciiTheme="minorHAnsi" w:hAnsiTheme="minorHAnsi" w:cstheme="minorHAnsi"/>
          <w:sz w:val="26"/>
          <w:szCs w:val="26"/>
        </w:rPr>
        <w:t>of the judgment.</w:t>
      </w:r>
      <w:r w:rsidR="008F4BBB" w:rsidRPr="00462D9F">
        <w:rPr>
          <w:rFonts w:asciiTheme="minorHAnsi" w:hAnsiTheme="minorHAnsi" w:cstheme="minorHAnsi"/>
          <w:sz w:val="26"/>
          <w:szCs w:val="26"/>
        </w:rPr>
        <w:t xml:space="preserve"> </w:t>
      </w:r>
      <w:r w:rsidR="008F4BBB">
        <w:rPr>
          <w:rStyle w:val="FootnoteReference"/>
          <w:rFonts w:asciiTheme="minorHAnsi" w:hAnsiTheme="minorHAnsi" w:cstheme="minorHAnsi"/>
          <w:sz w:val="26"/>
          <w:szCs w:val="26"/>
        </w:rPr>
        <w:footnoteReference w:id="22"/>
      </w:r>
    </w:p>
    <w:p w14:paraId="5730A205" w14:textId="77777777" w:rsidR="00713CDD" w:rsidRPr="00326B3B" w:rsidRDefault="00713CDD" w:rsidP="00713CDD">
      <w:pPr>
        <w:pStyle w:val="ListParagraph"/>
        <w:rPr>
          <w:rFonts w:asciiTheme="minorHAnsi" w:hAnsiTheme="minorHAnsi" w:cstheme="minorHAnsi"/>
          <w:sz w:val="26"/>
          <w:szCs w:val="26"/>
        </w:rPr>
      </w:pPr>
    </w:p>
    <w:p w14:paraId="7FC48F73" w14:textId="440A9219" w:rsidR="00713CDD" w:rsidRPr="00462D9F" w:rsidRDefault="00462D9F" w:rsidP="00462D9F">
      <w:pPr>
        <w:spacing w:after="200" w:line="360" w:lineRule="auto"/>
        <w:ind w:left="851" w:hanging="851"/>
        <w:jc w:val="both"/>
        <w:rPr>
          <w:rFonts w:asciiTheme="minorHAnsi" w:hAnsiTheme="minorHAnsi" w:cstheme="minorHAnsi"/>
          <w:sz w:val="26"/>
          <w:szCs w:val="26"/>
        </w:rPr>
      </w:pPr>
      <w:r w:rsidRPr="002818F6">
        <w:rPr>
          <w:rFonts w:asciiTheme="minorHAnsi" w:hAnsiTheme="minorHAnsi"/>
          <w:sz w:val="24"/>
          <w:szCs w:val="24"/>
        </w:rPr>
        <w:t>14.</w:t>
      </w:r>
      <w:r w:rsidRPr="002818F6">
        <w:rPr>
          <w:rFonts w:asciiTheme="minorHAnsi" w:hAnsiTheme="minorHAnsi"/>
          <w:sz w:val="24"/>
          <w:szCs w:val="24"/>
        </w:rPr>
        <w:tab/>
      </w:r>
      <w:r w:rsidR="002818F6" w:rsidRPr="00462D9F">
        <w:rPr>
          <w:rFonts w:asciiTheme="minorHAnsi" w:hAnsiTheme="minorHAnsi" w:cstheme="minorHAnsi"/>
          <w:color w:val="000000"/>
          <w:sz w:val="26"/>
          <w:szCs w:val="26"/>
        </w:rPr>
        <w:t>On a dispassionate reconsideration of the facts and the law I remain unpersuaded that there exists a reasonable prospect that a court of appeal could reasonably arrive at a different conclusion. No other compelling reason as to why leave to appeal should be granted has either been asserted.</w:t>
      </w:r>
    </w:p>
    <w:p w14:paraId="32C035B9" w14:textId="77777777" w:rsidR="00713CDD" w:rsidRDefault="00713CDD" w:rsidP="00713CDD">
      <w:pPr>
        <w:pStyle w:val="ListParagraph"/>
        <w:rPr>
          <w:rFonts w:asciiTheme="minorHAnsi" w:hAnsiTheme="minorHAnsi" w:cstheme="minorHAnsi"/>
          <w:sz w:val="26"/>
          <w:szCs w:val="26"/>
        </w:rPr>
      </w:pPr>
    </w:p>
    <w:p w14:paraId="12D9D94B" w14:textId="114B6981" w:rsidR="00713CDD" w:rsidRPr="00462D9F" w:rsidRDefault="00462D9F" w:rsidP="00462D9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15.</w:t>
      </w:r>
      <w:r>
        <w:rPr>
          <w:rFonts w:asciiTheme="minorHAnsi" w:hAnsiTheme="minorHAnsi"/>
          <w:sz w:val="24"/>
          <w:szCs w:val="24"/>
        </w:rPr>
        <w:tab/>
      </w:r>
      <w:r w:rsidR="006724D9" w:rsidRPr="00462D9F">
        <w:rPr>
          <w:rFonts w:asciiTheme="minorHAnsi" w:hAnsiTheme="minorHAnsi" w:cstheme="minorHAnsi"/>
          <w:sz w:val="26"/>
          <w:szCs w:val="26"/>
        </w:rPr>
        <w:t>For the reasons given,</w:t>
      </w:r>
      <w:r w:rsidR="002818F6" w:rsidRPr="00462D9F">
        <w:rPr>
          <w:rFonts w:asciiTheme="minorHAnsi" w:hAnsiTheme="minorHAnsi" w:cstheme="minorHAnsi"/>
          <w:sz w:val="26"/>
          <w:szCs w:val="26"/>
        </w:rPr>
        <w:t xml:space="preserve"> the application falls to be dismissed</w:t>
      </w:r>
      <w:r w:rsidR="00713CDD" w:rsidRPr="00462D9F">
        <w:rPr>
          <w:rFonts w:asciiTheme="minorHAnsi" w:hAnsiTheme="minorHAnsi" w:cstheme="minorHAnsi"/>
          <w:sz w:val="26"/>
          <w:szCs w:val="26"/>
        </w:rPr>
        <w:t xml:space="preserve">. </w:t>
      </w:r>
      <w:r w:rsidR="002818F6" w:rsidRPr="00462D9F">
        <w:rPr>
          <w:rFonts w:asciiTheme="minorHAnsi" w:hAnsiTheme="minorHAnsi" w:cstheme="minorHAnsi"/>
          <w:sz w:val="26"/>
          <w:szCs w:val="26"/>
        </w:rPr>
        <w:t xml:space="preserve">I see no reason to depart from the general rule that costs follow the result. Both parties employed the services of two counsel. The applicant in fact employed the services of two senior counsel whilst the respondent employed the services of </w:t>
      </w:r>
      <w:r w:rsidR="006724D9" w:rsidRPr="00462D9F">
        <w:rPr>
          <w:rFonts w:asciiTheme="minorHAnsi" w:hAnsiTheme="minorHAnsi" w:cstheme="minorHAnsi"/>
          <w:sz w:val="26"/>
          <w:szCs w:val="26"/>
        </w:rPr>
        <w:t xml:space="preserve">one </w:t>
      </w:r>
      <w:r w:rsidR="002818F6" w:rsidRPr="00462D9F">
        <w:rPr>
          <w:rFonts w:asciiTheme="minorHAnsi" w:hAnsiTheme="minorHAnsi" w:cstheme="minorHAnsi"/>
          <w:sz w:val="26"/>
          <w:szCs w:val="26"/>
        </w:rPr>
        <w:t xml:space="preserve">senior and </w:t>
      </w:r>
      <w:r w:rsidR="006724D9" w:rsidRPr="00462D9F">
        <w:rPr>
          <w:rFonts w:asciiTheme="minorHAnsi" w:hAnsiTheme="minorHAnsi" w:cstheme="minorHAnsi"/>
          <w:sz w:val="26"/>
          <w:szCs w:val="26"/>
        </w:rPr>
        <w:t xml:space="preserve">one </w:t>
      </w:r>
      <w:r w:rsidR="002818F6" w:rsidRPr="00462D9F">
        <w:rPr>
          <w:rFonts w:asciiTheme="minorHAnsi" w:hAnsiTheme="minorHAnsi" w:cstheme="minorHAnsi"/>
          <w:sz w:val="26"/>
          <w:szCs w:val="26"/>
        </w:rPr>
        <w:t xml:space="preserve">junior counsel. The matter warranted the engagement of two counsel and accordingly I will allow therefore in the order that I make. </w:t>
      </w:r>
    </w:p>
    <w:p w14:paraId="4A71D8FA" w14:textId="77777777" w:rsidR="00713CDD" w:rsidRDefault="00713CDD" w:rsidP="00713CDD">
      <w:pPr>
        <w:pStyle w:val="ListParagraph"/>
        <w:rPr>
          <w:rFonts w:asciiTheme="minorHAnsi" w:hAnsiTheme="minorHAnsi" w:cstheme="minorHAnsi"/>
          <w:sz w:val="26"/>
          <w:szCs w:val="26"/>
        </w:rPr>
      </w:pPr>
    </w:p>
    <w:p w14:paraId="0C9DDAA5" w14:textId="0AB9730D" w:rsidR="00713CDD" w:rsidRPr="00462D9F" w:rsidRDefault="00462D9F" w:rsidP="00462D9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16.</w:t>
      </w:r>
      <w:r>
        <w:rPr>
          <w:rFonts w:asciiTheme="minorHAnsi" w:hAnsiTheme="minorHAnsi"/>
          <w:sz w:val="24"/>
          <w:szCs w:val="24"/>
        </w:rPr>
        <w:tab/>
      </w:r>
      <w:r w:rsidR="00713CDD" w:rsidRPr="00462D9F">
        <w:rPr>
          <w:rFonts w:asciiTheme="minorHAnsi" w:hAnsiTheme="minorHAnsi" w:cstheme="minorHAnsi"/>
          <w:sz w:val="26"/>
          <w:szCs w:val="26"/>
        </w:rPr>
        <w:t>Accordingly, the following order is granted:</w:t>
      </w:r>
    </w:p>
    <w:p w14:paraId="1ED9AE08" w14:textId="77777777" w:rsidR="00713CDD" w:rsidRDefault="00713CDD" w:rsidP="00713CDD">
      <w:pPr>
        <w:pStyle w:val="ListParagraph"/>
        <w:rPr>
          <w:rFonts w:asciiTheme="minorHAnsi" w:hAnsiTheme="minorHAnsi" w:cstheme="minorHAnsi"/>
          <w:sz w:val="26"/>
          <w:szCs w:val="26"/>
        </w:rPr>
      </w:pPr>
    </w:p>
    <w:p w14:paraId="1FF62454" w14:textId="77777777" w:rsidR="00713CDD" w:rsidRPr="006D429B" w:rsidRDefault="00713CDD" w:rsidP="00713CDD">
      <w:pPr>
        <w:pStyle w:val="ListParagraph"/>
        <w:spacing w:after="200" w:line="360" w:lineRule="auto"/>
        <w:ind w:left="851"/>
        <w:jc w:val="both"/>
        <w:rPr>
          <w:rFonts w:asciiTheme="minorHAnsi" w:hAnsiTheme="minorHAnsi" w:cstheme="minorHAnsi"/>
          <w:b/>
          <w:sz w:val="26"/>
          <w:szCs w:val="26"/>
        </w:rPr>
      </w:pPr>
      <w:r w:rsidRPr="006D429B">
        <w:rPr>
          <w:rFonts w:asciiTheme="minorHAnsi" w:hAnsiTheme="minorHAnsi" w:cstheme="minorHAnsi"/>
          <w:b/>
          <w:sz w:val="26"/>
          <w:szCs w:val="26"/>
        </w:rPr>
        <w:t>ORDER:</w:t>
      </w:r>
    </w:p>
    <w:p w14:paraId="40DC5F91" w14:textId="2ECAC00E" w:rsidR="00713CDD" w:rsidRPr="00462D9F" w:rsidRDefault="00462D9F" w:rsidP="00462D9F">
      <w:pPr>
        <w:spacing w:after="200" w:line="360" w:lineRule="auto"/>
        <w:ind w:left="1436" w:hanging="585"/>
        <w:jc w:val="both"/>
        <w:rPr>
          <w:rFonts w:asciiTheme="minorHAnsi" w:hAnsiTheme="minorHAnsi" w:cstheme="minorHAnsi"/>
          <w:sz w:val="26"/>
          <w:szCs w:val="26"/>
        </w:rPr>
      </w:pPr>
      <w:r>
        <w:rPr>
          <w:rFonts w:asciiTheme="minorHAnsi" w:hAnsiTheme="minorHAnsi" w:cstheme="minorHAnsi"/>
          <w:sz w:val="26"/>
          <w:szCs w:val="26"/>
        </w:rPr>
        <w:t>1</w:t>
      </w:r>
      <w:r>
        <w:rPr>
          <w:rFonts w:asciiTheme="minorHAnsi" w:hAnsiTheme="minorHAnsi" w:cstheme="minorHAnsi"/>
          <w:sz w:val="26"/>
          <w:szCs w:val="26"/>
        </w:rPr>
        <w:tab/>
      </w:r>
      <w:r w:rsidR="00713CDD" w:rsidRPr="00462D9F">
        <w:rPr>
          <w:rFonts w:asciiTheme="minorHAnsi" w:hAnsiTheme="minorHAnsi" w:cstheme="minorHAnsi"/>
          <w:sz w:val="26"/>
          <w:szCs w:val="26"/>
        </w:rPr>
        <w:t xml:space="preserve">The application </w:t>
      </w:r>
      <w:r w:rsidR="006724D9" w:rsidRPr="00462D9F">
        <w:rPr>
          <w:rFonts w:asciiTheme="minorHAnsi" w:hAnsiTheme="minorHAnsi" w:cstheme="minorHAnsi"/>
          <w:sz w:val="26"/>
          <w:szCs w:val="26"/>
        </w:rPr>
        <w:t xml:space="preserve">for leave to appeal </w:t>
      </w:r>
      <w:r w:rsidR="00713CDD" w:rsidRPr="00462D9F">
        <w:rPr>
          <w:rFonts w:asciiTheme="minorHAnsi" w:hAnsiTheme="minorHAnsi" w:cstheme="minorHAnsi"/>
          <w:sz w:val="26"/>
          <w:szCs w:val="26"/>
        </w:rPr>
        <w:t>is dismissed with costs, including the costs attendant upon the employment of two counsel.</w:t>
      </w:r>
    </w:p>
    <w:p w14:paraId="614B083A" w14:textId="77777777" w:rsidR="00713CDD" w:rsidRPr="006D429B" w:rsidRDefault="00713CDD" w:rsidP="00713CDD">
      <w:pPr>
        <w:pStyle w:val="ListParagraph"/>
        <w:rPr>
          <w:rFonts w:asciiTheme="minorHAnsi" w:hAnsiTheme="minorHAnsi" w:cstheme="minorHAnsi"/>
          <w:sz w:val="26"/>
          <w:szCs w:val="26"/>
        </w:rPr>
      </w:pPr>
    </w:p>
    <w:p w14:paraId="16878F03" w14:textId="77777777" w:rsidR="00713CDD" w:rsidRPr="00F945BC" w:rsidRDefault="00713CDD" w:rsidP="00713CDD">
      <w:pPr>
        <w:pStyle w:val="ListParagraph"/>
        <w:rPr>
          <w:rFonts w:asciiTheme="minorHAnsi" w:hAnsiTheme="minorHAnsi" w:cstheme="minorHAnsi"/>
          <w:sz w:val="26"/>
          <w:szCs w:val="26"/>
        </w:rPr>
      </w:pPr>
    </w:p>
    <w:p w14:paraId="698615D1" w14:textId="77777777" w:rsidR="00713CDD" w:rsidRPr="00F945BC" w:rsidRDefault="00713CDD" w:rsidP="00713CDD">
      <w:pPr>
        <w:pStyle w:val="ListParagraph"/>
        <w:rPr>
          <w:rFonts w:asciiTheme="minorHAnsi" w:hAnsiTheme="minorHAnsi" w:cstheme="minorHAnsi"/>
          <w:sz w:val="26"/>
          <w:szCs w:val="26"/>
        </w:rPr>
      </w:pPr>
    </w:p>
    <w:p w14:paraId="57FFE7D0" w14:textId="77777777" w:rsidR="00713CDD" w:rsidRPr="00C5002D" w:rsidRDefault="00713CDD" w:rsidP="00713CDD">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14:paraId="0F6CFE31" w14:textId="77777777" w:rsidR="00713CDD" w:rsidRPr="00877F1E" w:rsidRDefault="00713CDD" w:rsidP="00713CDD">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14:paraId="6360594B" w14:textId="77777777" w:rsidR="00713CDD" w:rsidRPr="00877F1E" w:rsidRDefault="00713CDD" w:rsidP="00713CDD">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14:paraId="024E74A2" w14:textId="77777777" w:rsidR="00713CDD" w:rsidRPr="00877F1E" w:rsidRDefault="00713CDD" w:rsidP="00713CDD">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14:paraId="16DD0AEC" w14:textId="77777777" w:rsidR="00713CDD" w:rsidRDefault="00713CDD" w:rsidP="00713CDD">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14:paraId="38F8CFB0" w14:textId="77777777" w:rsidR="00713CDD" w:rsidRDefault="00713CDD" w:rsidP="00713CDD">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14:paraId="3C445626" w14:textId="77777777" w:rsidR="00713CDD" w:rsidRPr="008E28FB" w:rsidRDefault="00713CDD" w:rsidP="00713CDD">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6724D9">
        <w:rPr>
          <w:rFonts w:asciiTheme="minorHAnsi" w:hAnsiTheme="minorHAnsi" w:cstheme="minorHAnsi"/>
          <w:sz w:val="24"/>
          <w:szCs w:val="24"/>
        </w:rPr>
        <w:t>9 December</w:t>
      </w:r>
      <w:r>
        <w:rPr>
          <w:rFonts w:asciiTheme="minorHAnsi" w:hAnsiTheme="minorHAnsi" w:cstheme="minorHAnsi"/>
          <w:sz w:val="24"/>
          <w:szCs w:val="24"/>
        </w:rPr>
        <w:t xml:space="preserve"> 2022</w:t>
      </w:r>
    </w:p>
    <w:p w14:paraId="24A9C706" w14:textId="77777777" w:rsidR="00713CDD" w:rsidRPr="008E28FB" w:rsidRDefault="00713CDD" w:rsidP="00713CDD">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6724D9">
        <w:rPr>
          <w:rFonts w:asciiTheme="minorHAnsi" w:hAnsiTheme="minorHAnsi" w:cstheme="minorHAnsi"/>
          <w:sz w:val="24"/>
          <w:szCs w:val="24"/>
        </w:rPr>
        <w:t>14 December</w:t>
      </w:r>
      <w:r>
        <w:rPr>
          <w:rFonts w:asciiTheme="minorHAnsi" w:hAnsiTheme="minorHAnsi" w:cstheme="minorHAnsi"/>
          <w:sz w:val="24"/>
          <w:szCs w:val="24"/>
        </w:rPr>
        <w:t xml:space="preserve"> 2022</w:t>
      </w:r>
    </w:p>
    <w:p w14:paraId="2044F524" w14:textId="77777777" w:rsidR="00713CDD" w:rsidRDefault="00713CDD" w:rsidP="00713CDD">
      <w:pPr>
        <w:pStyle w:val="ListParagraph"/>
        <w:ind w:left="0"/>
        <w:rPr>
          <w:rFonts w:asciiTheme="minorHAnsi" w:hAnsiTheme="minorHAnsi" w:cstheme="minorHAnsi"/>
          <w:sz w:val="24"/>
          <w:szCs w:val="24"/>
        </w:rPr>
      </w:pPr>
    </w:p>
    <w:p w14:paraId="107D3641" w14:textId="77777777" w:rsidR="00713CDD" w:rsidRDefault="00713CDD" w:rsidP="00713CDD">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w:t>
      </w:r>
      <w:proofErr w:type="spellStart"/>
      <w:r w:rsidRPr="00D626A3">
        <w:rPr>
          <w:i/>
        </w:rPr>
        <w:t>Caselines</w:t>
      </w:r>
      <w:proofErr w:type="spellEnd"/>
      <w:r w:rsidRPr="00D626A3">
        <w:rPr>
          <w:i/>
        </w:rPr>
        <w:t xml:space="preserve"> and release to SAFLII. The date and time for hand-down is deemed to </w:t>
      </w:r>
      <w:proofErr w:type="gramStart"/>
      <w:r w:rsidRPr="00D626A3">
        <w:rPr>
          <w:i/>
        </w:rPr>
        <w:t>be have</w:t>
      </w:r>
      <w:proofErr w:type="gramEnd"/>
      <w:r w:rsidRPr="00D626A3">
        <w:rPr>
          <w:i/>
        </w:rPr>
        <w:t xml:space="preserve"> been at 10h00 on</w:t>
      </w:r>
      <w:r>
        <w:rPr>
          <w:i/>
        </w:rPr>
        <w:t xml:space="preserve"> 1</w:t>
      </w:r>
      <w:r w:rsidR="006724D9">
        <w:rPr>
          <w:i/>
        </w:rPr>
        <w:t>4</w:t>
      </w:r>
      <w:r>
        <w:rPr>
          <w:i/>
        </w:rPr>
        <w:t xml:space="preserve"> </w:t>
      </w:r>
      <w:r w:rsidR="006724D9">
        <w:rPr>
          <w:i/>
        </w:rPr>
        <w:t>December</w:t>
      </w:r>
      <w:r>
        <w:rPr>
          <w:i/>
        </w:rPr>
        <w:t xml:space="preserve"> </w:t>
      </w:r>
      <w:r w:rsidRPr="00D626A3">
        <w:rPr>
          <w:i/>
        </w:rPr>
        <w:t>202</w:t>
      </w:r>
      <w:r>
        <w:rPr>
          <w:i/>
        </w:rPr>
        <w:t>2</w:t>
      </w:r>
      <w:r w:rsidRPr="00D626A3">
        <w:rPr>
          <w:i/>
        </w:rPr>
        <w:t>.</w:t>
      </w:r>
    </w:p>
    <w:p w14:paraId="2E971CBA" w14:textId="77777777" w:rsidR="00713CDD" w:rsidRDefault="00713CDD" w:rsidP="00713CDD">
      <w:pPr>
        <w:pStyle w:val="ListParagraph"/>
        <w:ind w:left="0"/>
        <w:rPr>
          <w:rFonts w:asciiTheme="minorHAnsi" w:hAnsiTheme="minorHAnsi" w:cstheme="minorHAnsi"/>
          <w:sz w:val="24"/>
          <w:szCs w:val="24"/>
        </w:rPr>
      </w:pPr>
    </w:p>
    <w:p w14:paraId="7635DF7D" w14:textId="77777777" w:rsidR="00713CDD" w:rsidRPr="008E28FB" w:rsidRDefault="00713CDD" w:rsidP="00713CDD">
      <w:pPr>
        <w:pStyle w:val="ListParagraph"/>
        <w:ind w:left="0"/>
        <w:rPr>
          <w:rFonts w:asciiTheme="minorHAnsi" w:hAnsiTheme="minorHAnsi" w:cstheme="minorHAnsi"/>
          <w:sz w:val="24"/>
          <w:szCs w:val="24"/>
        </w:rPr>
      </w:pPr>
    </w:p>
    <w:p w14:paraId="0BCBA909" w14:textId="77777777" w:rsidR="00713CDD" w:rsidRPr="008E28FB" w:rsidRDefault="00713CDD" w:rsidP="00713CDD">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14:paraId="1F208408" w14:textId="77777777" w:rsidR="00713CDD" w:rsidRPr="008E28FB" w:rsidRDefault="00713CDD" w:rsidP="00713CDD">
      <w:pPr>
        <w:pStyle w:val="ListParagraph"/>
        <w:ind w:left="0"/>
        <w:rPr>
          <w:rFonts w:asciiTheme="minorHAnsi" w:hAnsiTheme="minorHAnsi" w:cstheme="minorHAnsi"/>
          <w:sz w:val="24"/>
          <w:szCs w:val="24"/>
        </w:rPr>
      </w:pPr>
    </w:p>
    <w:p w14:paraId="3D75DE81" w14:textId="77777777" w:rsidR="00713CDD" w:rsidRDefault="00713CDD" w:rsidP="00713CDD">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Pr>
          <w:rFonts w:asciiTheme="minorHAnsi" w:hAnsiTheme="minorHAnsi" w:cstheme="minorHAnsi"/>
          <w:sz w:val="24"/>
          <w:szCs w:val="24"/>
        </w:rPr>
        <w:t>Applicant: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Adv M. </w:t>
      </w:r>
      <w:proofErr w:type="spellStart"/>
      <w:r>
        <w:rPr>
          <w:rFonts w:asciiTheme="minorHAnsi" w:hAnsiTheme="minorHAnsi" w:cstheme="minorHAnsi"/>
          <w:sz w:val="24"/>
          <w:szCs w:val="24"/>
        </w:rPr>
        <w:t>Antonie</w:t>
      </w:r>
      <w:proofErr w:type="spellEnd"/>
      <w:r>
        <w:rPr>
          <w:rFonts w:asciiTheme="minorHAnsi" w:hAnsiTheme="minorHAnsi" w:cstheme="minorHAnsi"/>
          <w:sz w:val="24"/>
          <w:szCs w:val="24"/>
        </w:rPr>
        <w:t xml:space="preserve"> SC together with</w:t>
      </w:r>
    </w:p>
    <w:p w14:paraId="6DE5CC28" w14:textId="77777777" w:rsidR="00713CDD" w:rsidRPr="008E28FB" w:rsidRDefault="00713CDD" w:rsidP="00713CDD">
      <w:pPr>
        <w:pStyle w:val="ListParagraph"/>
        <w:tabs>
          <w:tab w:val="left" w:pos="2977"/>
        </w:tabs>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Adv E. Van Vuuren SC</w:t>
      </w:r>
    </w:p>
    <w:p w14:paraId="23D61DCF" w14:textId="77777777" w:rsidR="00713CDD" w:rsidRDefault="00713CDD" w:rsidP="00713CDD">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Attorneys for </w:t>
      </w:r>
      <w:r>
        <w:rPr>
          <w:rFonts w:asciiTheme="minorHAnsi" w:hAnsiTheme="minorHAnsi" w:cstheme="minorHAnsi"/>
          <w:sz w:val="24"/>
          <w:szCs w:val="24"/>
        </w:rPr>
        <w:t>Applicant</w:t>
      </w:r>
      <w:r w:rsidRPr="008E28FB">
        <w:rPr>
          <w:rFonts w:asciiTheme="minorHAnsi" w:hAnsiTheme="minorHAnsi" w:cstheme="minorHAnsi"/>
          <w:sz w:val="24"/>
          <w:szCs w:val="24"/>
        </w:rPr>
        <w:t>:</w:t>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ab/>
      </w:r>
      <w:proofErr w:type="spellStart"/>
      <w:r>
        <w:rPr>
          <w:rFonts w:asciiTheme="minorHAnsi" w:hAnsiTheme="minorHAnsi" w:cstheme="minorHAnsi"/>
          <w:sz w:val="24"/>
          <w:szCs w:val="24"/>
        </w:rPr>
        <w:t>Werksmans</w:t>
      </w:r>
      <w:proofErr w:type="spellEnd"/>
      <w:r>
        <w:rPr>
          <w:rFonts w:asciiTheme="minorHAnsi" w:hAnsiTheme="minorHAnsi" w:cstheme="minorHAnsi"/>
          <w:sz w:val="24"/>
          <w:szCs w:val="24"/>
        </w:rPr>
        <w:t xml:space="preserve"> Attorneys</w:t>
      </w:r>
    </w:p>
    <w:p w14:paraId="68424AAA" w14:textId="77777777" w:rsidR="00713CDD" w:rsidRDefault="00713CDD" w:rsidP="00713CDD">
      <w:pPr>
        <w:ind w:left="4320" w:hanging="4320"/>
        <w:jc w:val="both"/>
        <w:rPr>
          <w:rFonts w:asciiTheme="minorHAnsi" w:hAnsiTheme="minorHAnsi" w:cstheme="minorHAnsi"/>
          <w:sz w:val="24"/>
          <w:szCs w:val="24"/>
        </w:rPr>
      </w:pPr>
    </w:p>
    <w:p w14:paraId="52374C00" w14:textId="77777777" w:rsidR="00713CDD" w:rsidRPr="008E28FB" w:rsidRDefault="00713CDD" w:rsidP="00713CDD">
      <w:pPr>
        <w:ind w:left="4320" w:hanging="4320"/>
        <w:jc w:val="both"/>
        <w:rPr>
          <w:rFonts w:asciiTheme="minorHAnsi" w:hAnsiTheme="minorHAnsi" w:cstheme="minorHAnsi"/>
          <w:sz w:val="24"/>
          <w:szCs w:val="24"/>
        </w:rPr>
      </w:pPr>
    </w:p>
    <w:p w14:paraId="2E6B7996" w14:textId="77777777" w:rsidR="00713CDD" w:rsidRDefault="00713CDD" w:rsidP="00713CDD">
      <w:r>
        <w:lastRenderedPageBreak/>
        <w:t>Counsel for Respondent:</w:t>
      </w:r>
      <w:r>
        <w:tab/>
      </w:r>
      <w:r>
        <w:tab/>
      </w:r>
      <w:r>
        <w:tab/>
        <w:t>Adv C. Erasmus SC together with</w:t>
      </w:r>
    </w:p>
    <w:p w14:paraId="6C24444F" w14:textId="77777777" w:rsidR="00713CDD" w:rsidRDefault="00713CDD" w:rsidP="00713CDD">
      <w:r>
        <w:tab/>
      </w:r>
      <w:r>
        <w:tab/>
      </w:r>
      <w:r>
        <w:tab/>
      </w:r>
      <w:r>
        <w:tab/>
      </w:r>
      <w:r>
        <w:tab/>
      </w:r>
      <w:r>
        <w:tab/>
        <w:t xml:space="preserve">Adv M </w:t>
      </w:r>
      <w:proofErr w:type="spellStart"/>
      <w:r>
        <w:t>Ramaili</w:t>
      </w:r>
      <w:proofErr w:type="spellEnd"/>
    </w:p>
    <w:p w14:paraId="465D7C37" w14:textId="77777777" w:rsidR="00713CDD" w:rsidRDefault="00713CDD" w:rsidP="00713CDD">
      <w:r>
        <w:t>Attorneys for Respondent:</w:t>
      </w:r>
      <w:r>
        <w:tab/>
      </w:r>
      <w:r>
        <w:tab/>
      </w:r>
      <w:r>
        <w:tab/>
        <w:t>State Attorney.</w:t>
      </w:r>
    </w:p>
    <w:p w14:paraId="0B732B04" w14:textId="77777777" w:rsidR="00713CDD" w:rsidRDefault="00713CDD" w:rsidP="00713CDD"/>
    <w:p w14:paraId="5C45F48B" w14:textId="77777777" w:rsidR="00705DA2" w:rsidRDefault="00705DA2"/>
    <w:sectPr w:rsidR="00705DA2" w:rsidSect="00A95C71">
      <w:headerReference w:type="default" r:id="rId9"/>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56FA" w14:textId="77777777" w:rsidR="0061284B" w:rsidRDefault="0061284B" w:rsidP="00713CDD">
      <w:r>
        <w:separator/>
      </w:r>
    </w:p>
  </w:endnote>
  <w:endnote w:type="continuationSeparator" w:id="0">
    <w:p w14:paraId="5B431F7A" w14:textId="77777777" w:rsidR="0061284B" w:rsidRDefault="0061284B" w:rsidP="0071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D20B" w14:textId="77777777" w:rsidR="0061284B" w:rsidRDefault="0061284B" w:rsidP="00713CDD">
      <w:r>
        <w:separator/>
      </w:r>
    </w:p>
  </w:footnote>
  <w:footnote w:type="continuationSeparator" w:id="0">
    <w:p w14:paraId="374AD38E" w14:textId="77777777" w:rsidR="0061284B" w:rsidRDefault="0061284B" w:rsidP="00713CDD">
      <w:r>
        <w:continuationSeparator/>
      </w:r>
    </w:p>
  </w:footnote>
  <w:footnote w:id="1">
    <w:p w14:paraId="123C5F2F" w14:textId="77777777" w:rsidR="00806231" w:rsidRPr="006724D9" w:rsidRDefault="00806231">
      <w:pPr>
        <w:pStyle w:val="FootnoteText"/>
        <w:rPr>
          <w:lang w:val="en-US"/>
        </w:rPr>
      </w:pPr>
      <w:r>
        <w:rPr>
          <w:rStyle w:val="FootnoteReference"/>
        </w:rPr>
        <w:footnoteRef/>
      </w:r>
      <w:r>
        <w:t xml:space="preserve"> </w:t>
      </w:r>
      <w:r>
        <w:rPr>
          <w:lang w:val="en-US"/>
        </w:rPr>
        <w:t xml:space="preserve">The purpose of the undertaking was recorded in par 4 of the judgment and was indeed </w:t>
      </w:r>
      <w:proofErr w:type="gramStart"/>
      <w:r>
        <w:rPr>
          <w:lang w:val="en-US"/>
        </w:rPr>
        <w:t>taken into account</w:t>
      </w:r>
      <w:proofErr w:type="gramEnd"/>
      <w:r>
        <w:rPr>
          <w:lang w:val="en-US"/>
        </w:rPr>
        <w:t xml:space="preserve"> and considered in the judgment in paras 28 and 50. </w:t>
      </w:r>
    </w:p>
  </w:footnote>
  <w:footnote w:id="2">
    <w:p w14:paraId="311C3DCE" w14:textId="77777777" w:rsidR="00806231" w:rsidRPr="006724D9" w:rsidRDefault="00806231">
      <w:pPr>
        <w:pStyle w:val="FootnoteText"/>
        <w:rPr>
          <w:lang w:val="en-US"/>
        </w:rPr>
      </w:pPr>
      <w:r>
        <w:rPr>
          <w:rStyle w:val="FootnoteReference"/>
        </w:rPr>
        <w:footnoteRef/>
      </w:r>
      <w:r>
        <w:t xml:space="preserve"> </w:t>
      </w:r>
      <w:r>
        <w:rPr>
          <w:lang w:val="en-US"/>
        </w:rPr>
        <w:t xml:space="preserve">Payments made by USAASA into </w:t>
      </w:r>
      <w:proofErr w:type="spellStart"/>
      <w:r>
        <w:rPr>
          <w:lang w:val="en-US"/>
        </w:rPr>
        <w:t>Leratadima’s</w:t>
      </w:r>
      <w:proofErr w:type="spellEnd"/>
      <w:r>
        <w:rPr>
          <w:lang w:val="en-US"/>
        </w:rPr>
        <w:t xml:space="preserve"> Absa bank account were mentioned in paras 4 &amp; 20 of the judgment, which should be read in conjunction with paras 19, 33, 40 and 50 of the judgment.</w:t>
      </w:r>
    </w:p>
  </w:footnote>
  <w:footnote w:id="3">
    <w:p w14:paraId="237BD65D" w14:textId="77777777" w:rsidR="00806231" w:rsidRPr="001A053C" w:rsidRDefault="00806231" w:rsidP="000050C9">
      <w:pPr>
        <w:pStyle w:val="FootnoteText"/>
        <w:jc w:val="both"/>
        <w:rPr>
          <w:lang w:val="en-ZA"/>
        </w:rPr>
      </w:pPr>
      <w:r>
        <w:rPr>
          <w:rStyle w:val="FootnoteReference"/>
        </w:rPr>
        <w:footnoteRef/>
      </w:r>
      <w:r>
        <w:t xml:space="preserve"> </w:t>
      </w:r>
      <w:r w:rsidRPr="001936F3">
        <w:rPr>
          <w:i/>
        </w:rPr>
        <w:t xml:space="preserve">The Mont </w:t>
      </w:r>
      <w:proofErr w:type="spellStart"/>
      <w:r w:rsidRPr="001936F3">
        <w:rPr>
          <w:i/>
        </w:rPr>
        <w:t>Chevaux</w:t>
      </w:r>
      <w:proofErr w:type="spellEnd"/>
      <w:r w:rsidRPr="001936F3">
        <w:rPr>
          <w:i/>
        </w:rPr>
        <w:t xml:space="preserve"> Trust and Tina </w:t>
      </w:r>
      <w:proofErr w:type="spellStart"/>
      <w:r w:rsidRPr="001936F3">
        <w:rPr>
          <w:i/>
        </w:rPr>
        <w:t>Goosen</w:t>
      </w:r>
      <w:proofErr w:type="spellEnd"/>
      <w:r w:rsidRPr="001936F3">
        <w:rPr>
          <w:i/>
        </w:rPr>
        <w:t xml:space="preserve"> </w:t>
      </w:r>
      <w:r>
        <w:rPr>
          <w:i/>
        </w:rPr>
        <w:t>&amp;</w:t>
      </w:r>
      <w:r w:rsidRPr="001936F3">
        <w:rPr>
          <w:i/>
        </w:rPr>
        <w:t xml:space="preserve"> 18 Others</w:t>
      </w:r>
      <w:r>
        <w:t xml:space="preserve"> (Case No. LCC 14R/2004, dated 3 November 2014), at para [6], followed by the Land Claims Court in </w:t>
      </w:r>
      <w:proofErr w:type="spellStart"/>
      <w:r>
        <w:rPr>
          <w:i/>
        </w:rPr>
        <w:t>Daantjie</w:t>
      </w:r>
      <w:proofErr w:type="spellEnd"/>
      <w:r>
        <w:rPr>
          <w:i/>
        </w:rPr>
        <w:t xml:space="preserve"> Community and Others v Crocodile Valley Citrus Company (Pty) Ltd and Another </w:t>
      </w:r>
      <w:r w:rsidRPr="001A053C">
        <w:t>(</w:t>
      </w:r>
      <w:r>
        <w:t>75/2008) [2015] ZALLC 7 (28 July 2015) at par 3.</w:t>
      </w:r>
    </w:p>
  </w:footnote>
  <w:footnote w:id="4">
    <w:p w14:paraId="60DB6F0C" w14:textId="77777777" w:rsidR="00806231" w:rsidRPr="000050C9" w:rsidRDefault="00806231" w:rsidP="000050C9">
      <w:pPr>
        <w:jc w:val="both"/>
        <w:rPr>
          <w:rFonts w:ascii="Arial" w:hAnsi="Arial" w:cs="Arial"/>
          <w:lang w:val="en-ZA"/>
        </w:rPr>
      </w:pPr>
      <w:r>
        <w:rPr>
          <w:rStyle w:val="FootnoteReference"/>
        </w:rPr>
        <w:footnoteRef/>
      </w:r>
      <w:r>
        <w:t xml:space="preserve"> </w:t>
      </w:r>
      <w:r w:rsidRPr="000050C9">
        <w:rPr>
          <w:rFonts w:ascii="Arial" w:hAnsi="Arial" w:cs="Arial"/>
          <w:i/>
          <w:color w:val="000000"/>
        </w:rPr>
        <w:t xml:space="preserve">Acting National Director of Public Prosecutions and Others v Democratic Alliance, In Re: Democratic Alliance v Acting National Director of Public Prosecutions and </w:t>
      </w:r>
      <w:proofErr w:type="gramStart"/>
      <w:r w:rsidRPr="000050C9">
        <w:rPr>
          <w:rFonts w:ascii="Arial" w:hAnsi="Arial" w:cs="Arial"/>
          <w:i/>
          <w:color w:val="000000"/>
        </w:rPr>
        <w:t xml:space="preserve">Others </w:t>
      </w:r>
      <w:r w:rsidRPr="000050C9">
        <w:rPr>
          <w:rFonts w:ascii="Arial" w:hAnsi="Arial" w:cs="Arial"/>
        </w:rPr>
        <w:t xml:space="preserve"> (</w:t>
      </w:r>
      <w:proofErr w:type="gramEnd"/>
      <w:r w:rsidRPr="000050C9">
        <w:rPr>
          <w:rFonts w:ascii="Arial" w:hAnsi="Arial" w:cs="Arial"/>
        </w:rPr>
        <w:t xml:space="preserve">19577/09) [2016) ZAGPPHC </w:t>
      </w:r>
      <w:r w:rsidRPr="000050C9">
        <w:rPr>
          <w:rFonts w:ascii="Arial" w:hAnsi="Arial" w:cs="Arial"/>
          <w:color w:val="000000"/>
        </w:rPr>
        <w:t>489 (24</w:t>
      </w:r>
      <w:r w:rsidRPr="000050C9">
        <w:rPr>
          <w:rFonts w:ascii="Arial" w:hAnsi="Arial" w:cs="Arial"/>
          <w:b/>
          <w:color w:val="000000"/>
        </w:rPr>
        <w:t xml:space="preserve"> </w:t>
      </w:r>
      <w:r w:rsidRPr="000050C9">
        <w:rPr>
          <w:rFonts w:ascii="Arial" w:hAnsi="Arial" w:cs="Arial"/>
          <w:color w:val="000000"/>
        </w:rPr>
        <w:t>June 2016)</w:t>
      </w:r>
      <w:r>
        <w:rPr>
          <w:rFonts w:ascii="Arial" w:hAnsi="Arial" w:cs="Arial"/>
          <w:color w:val="000000"/>
        </w:rPr>
        <w:t xml:space="preserve"> at</w:t>
      </w:r>
      <w:r w:rsidRPr="000050C9">
        <w:rPr>
          <w:rFonts w:ascii="Arial" w:hAnsi="Arial" w:cs="Arial"/>
          <w:color w:val="000000"/>
        </w:rPr>
        <w:t xml:space="preserve"> para [25], a decision of the Full Court which is binding upon me.</w:t>
      </w:r>
    </w:p>
  </w:footnote>
  <w:footnote w:id="5">
    <w:p w14:paraId="5D400137" w14:textId="77777777" w:rsidR="00806231" w:rsidRDefault="00806231" w:rsidP="000050C9">
      <w:pPr>
        <w:pStyle w:val="FootnoteText"/>
        <w:rPr>
          <w:lang w:val="en-ZA"/>
        </w:rPr>
      </w:pPr>
      <w:r>
        <w:rPr>
          <w:rStyle w:val="FootnoteReference"/>
        </w:rPr>
        <w:footnoteRef/>
      </w:r>
      <w:r>
        <w:t xml:space="preserve"> </w:t>
      </w:r>
      <w:r>
        <w:rPr>
          <w:i/>
        </w:rPr>
        <w:t xml:space="preserve">S v Smith </w:t>
      </w:r>
      <w:r>
        <w:rPr>
          <w:lang w:val="en-ZA"/>
        </w:rPr>
        <w:t xml:space="preserve">2012 (1) SACR 567 (SCA) para 7. </w:t>
      </w:r>
    </w:p>
    <w:p w14:paraId="7B7B7D5C" w14:textId="77777777" w:rsidR="00806231" w:rsidRDefault="00806231" w:rsidP="001029BD">
      <w:pPr>
        <w:pStyle w:val="FootnoteText"/>
        <w:jc w:val="both"/>
        <w:rPr>
          <w:lang w:val="en-ZA"/>
        </w:rPr>
      </w:pPr>
    </w:p>
    <w:p w14:paraId="4B851F38" w14:textId="77777777" w:rsidR="00806231" w:rsidRPr="001029BD" w:rsidRDefault="00806231" w:rsidP="001029BD">
      <w:pPr>
        <w:pStyle w:val="FootnoteText"/>
        <w:jc w:val="both"/>
        <w:rPr>
          <w:lang w:val="en-ZA"/>
        </w:rPr>
      </w:pPr>
      <w:r>
        <w:rPr>
          <w:lang w:val="en-ZA"/>
        </w:rPr>
        <w:t xml:space="preserve">See too: </w:t>
      </w:r>
      <w:proofErr w:type="spellStart"/>
      <w:r>
        <w:rPr>
          <w:i/>
          <w:lang w:val="en-ZA"/>
        </w:rPr>
        <w:t>Mec</w:t>
      </w:r>
      <w:proofErr w:type="spellEnd"/>
      <w:r>
        <w:rPr>
          <w:i/>
          <w:lang w:val="en-ZA"/>
        </w:rPr>
        <w:t xml:space="preserve"> for Health, Eastern Cape v </w:t>
      </w:r>
      <w:proofErr w:type="spellStart"/>
      <w:r>
        <w:rPr>
          <w:i/>
          <w:lang w:val="en-ZA"/>
        </w:rPr>
        <w:t>Mkhitha</w:t>
      </w:r>
      <w:proofErr w:type="spellEnd"/>
      <w:r>
        <w:rPr>
          <w:i/>
          <w:lang w:val="en-ZA"/>
        </w:rPr>
        <w:t xml:space="preserve"> and another </w:t>
      </w:r>
      <w:r>
        <w:rPr>
          <w:lang w:val="en-ZA"/>
        </w:rPr>
        <w:t>(1221/2015) [2016] ZASCA 176 (25 November 2016) where the following was said: “</w:t>
      </w:r>
      <w:r w:rsidRPr="001029BD">
        <w:rPr>
          <w:i/>
          <w:lang w:val="en-ZA"/>
        </w:rPr>
        <w:t>An applicant for leave to appeal must convince the court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w:t>
      </w:r>
      <w:r>
        <w:rPr>
          <w:lang w:val="en-ZA"/>
        </w:rPr>
        <w:t>.”</w:t>
      </w:r>
    </w:p>
  </w:footnote>
  <w:footnote w:id="6">
    <w:p w14:paraId="4D0B774B" w14:textId="77777777" w:rsidR="00806231" w:rsidRPr="000050C9" w:rsidRDefault="00806231" w:rsidP="000050C9">
      <w:pPr>
        <w:spacing w:line="360" w:lineRule="auto"/>
        <w:jc w:val="both"/>
        <w:rPr>
          <w:rFonts w:ascii="Arial" w:hAnsi="Arial" w:cs="Arial"/>
          <w:lang w:val="en-ZA"/>
        </w:rPr>
      </w:pPr>
      <w:r>
        <w:rPr>
          <w:rStyle w:val="FootnoteReference"/>
        </w:rPr>
        <w:footnoteRef/>
      </w:r>
      <w:r>
        <w:t xml:space="preserve"> </w:t>
      </w:r>
      <w:proofErr w:type="spellStart"/>
      <w:r w:rsidRPr="000050C9">
        <w:rPr>
          <w:rFonts w:ascii="Arial" w:hAnsi="Arial" w:cs="Arial"/>
          <w:i/>
          <w:color w:val="000000"/>
        </w:rPr>
        <w:t>Dexgroup</w:t>
      </w:r>
      <w:proofErr w:type="spellEnd"/>
      <w:r w:rsidRPr="000050C9">
        <w:rPr>
          <w:rFonts w:ascii="Arial" w:hAnsi="Arial" w:cs="Arial"/>
          <w:i/>
          <w:color w:val="000000"/>
        </w:rPr>
        <w:t xml:space="preserve"> (Pty) Ltd v Trustco Group International (Pty) Ltd and </w:t>
      </w:r>
      <w:proofErr w:type="gramStart"/>
      <w:r w:rsidRPr="000050C9">
        <w:rPr>
          <w:rFonts w:ascii="Arial" w:hAnsi="Arial" w:cs="Arial"/>
          <w:i/>
          <w:color w:val="000000"/>
        </w:rPr>
        <w:t xml:space="preserve">Others </w:t>
      </w:r>
      <w:r w:rsidRPr="000050C9">
        <w:rPr>
          <w:rFonts w:ascii="Arial" w:hAnsi="Arial" w:cs="Arial"/>
          <w:color w:val="000000"/>
        </w:rPr>
        <w:t xml:space="preserve"> 2012</w:t>
      </w:r>
      <w:proofErr w:type="gramEnd"/>
      <w:r w:rsidRPr="000050C9">
        <w:rPr>
          <w:rFonts w:ascii="Arial" w:hAnsi="Arial" w:cs="Arial"/>
          <w:color w:val="000000"/>
        </w:rPr>
        <w:t xml:space="preserve"> (6) SA 520 (SCA) at par 24.</w:t>
      </w:r>
    </w:p>
  </w:footnote>
  <w:footnote w:id="7">
    <w:p w14:paraId="4BEC4AD1" w14:textId="77777777" w:rsidR="00806231" w:rsidRPr="00A31F51" w:rsidRDefault="00806231" w:rsidP="000050C9">
      <w:pPr>
        <w:pStyle w:val="FootnoteText"/>
        <w:rPr>
          <w:lang w:val="en-US"/>
        </w:rPr>
      </w:pPr>
      <w:r>
        <w:rPr>
          <w:rStyle w:val="FootnoteReference"/>
        </w:rPr>
        <w:footnoteRef/>
      </w:r>
      <w:r>
        <w:t xml:space="preserve"> </w:t>
      </w:r>
      <w:r>
        <w:rPr>
          <w:i/>
          <w:lang w:val="en-US"/>
        </w:rPr>
        <w:t xml:space="preserve">Kruger v </w:t>
      </w:r>
      <w:proofErr w:type="gramStart"/>
      <w:r>
        <w:rPr>
          <w:i/>
          <w:lang w:val="en-US"/>
        </w:rPr>
        <w:t xml:space="preserve">S </w:t>
      </w:r>
      <w:r>
        <w:rPr>
          <w:lang w:val="en-US"/>
        </w:rPr>
        <w:t xml:space="preserve"> 2014</w:t>
      </w:r>
      <w:proofErr w:type="gramEnd"/>
      <w:r>
        <w:rPr>
          <w:lang w:val="en-US"/>
        </w:rPr>
        <w:t xml:space="preserve"> (1) SACR 647 (SCA) at paras 2 and 3</w:t>
      </w:r>
    </w:p>
  </w:footnote>
  <w:footnote w:id="8">
    <w:p w14:paraId="42FF1435" w14:textId="77777777" w:rsidR="00806231" w:rsidRPr="000050C9" w:rsidRDefault="00806231" w:rsidP="001029BD">
      <w:pPr>
        <w:pStyle w:val="FootnoteText"/>
        <w:rPr>
          <w:lang w:val="en-US"/>
        </w:rPr>
      </w:pPr>
      <w:r>
        <w:rPr>
          <w:rStyle w:val="FootnoteReference"/>
        </w:rPr>
        <w:footnoteRef/>
      </w:r>
      <w:r>
        <w:t xml:space="preserve"> </w:t>
      </w:r>
      <w:proofErr w:type="spellStart"/>
      <w:r>
        <w:rPr>
          <w:i/>
          <w:lang w:val="en-US"/>
        </w:rPr>
        <w:t>Notshokovu</w:t>
      </w:r>
      <w:proofErr w:type="spellEnd"/>
      <w:r>
        <w:rPr>
          <w:i/>
          <w:lang w:val="en-US"/>
        </w:rPr>
        <w:t xml:space="preserve"> v S </w:t>
      </w:r>
      <w:r>
        <w:rPr>
          <w:lang w:val="en-US"/>
        </w:rPr>
        <w:t>(157/15) [2016] ZASCA 1112 (7 September 2016) at par 2.</w:t>
      </w:r>
    </w:p>
  </w:footnote>
  <w:footnote w:id="9">
    <w:p w14:paraId="4EB71EC1" w14:textId="77777777" w:rsidR="00806231" w:rsidRPr="001029BD" w:rsidRDefault="00806231" w:rsidP="00B50268">
      <w:pPr>
        <w:pStyle w:val="FootnoteText"/>
        <w:jc w:val="both"/>
        <w:rPr>
          <w:lang w:val="en-US"/>
        </w:rPr>
      </w:pPr>
      <w:r>
        <w:rPr>
          <w:rStyle w:val="FootnoteReference"/>
        </w:rPr>
        <w:footnoteRef/>
      </w:r>
      <w:r>
        <w:t xml:space="preserve"> </w:t>
      </w:r>
      <w:proofErr w:type="spellStart"/>
      <w:r>
        <w:rPr>
          <w:i/>
          <w:lang w:val="en-US"/>
        </w:rPr>
        <w:t>Ramakatsa</w:t>
      </w:r>
      <w:proofErr w:type="spellEnd"/>
      <w:r>
        <w:rPr>
          <w:i/>
          <w:lang w:val="en-US"/>
        </w:rPr>
        <w:t xml:space="preserve"> v African National Congress</w:t>
      </w:r>
      <w:r>
        <w:rPr>
          <w:lang w:val="en-US"/>
        </w:rPr>
        <w:t xml:space="preserve"> </w:t>
      </w:r>
      <w:r w:rsidRPr="00B53DB5">
        <w:rPr>
          <w:rFonts w:eastAsia="Times New Roman"/>
          <w:lang w:eastAsia="en-ZA"/>
        </w:rPr>
        <w:t>(724/2019) [2021] ZASCA 31 (31 March 2021)</w:t>
      </w:r>
      <w:r w:rsidRPr="00B50268">
        <w:rPr>
          <w:rFonts w:eastAsia="Times New Roman"/>
          <w:lang w:eastAsia="en-ZA"/>
        </w:rPr>
        <w:t xml:space="preserve"> </w:t>
      </w:r>
      <w:r>
        <w:rPr>
          <w:lang w:val="en-US"/>
        </w:rPr>
        <w:t xml:space="preserve">at par 10, </w:t>
      </w:r>
      <w:r w:rsidRPr="00B50268">
        <w:rPr>
          <w:color w:val="000000"/>
        </w:rPr>
        <w:t>referring to Smith v S [2011]</w:t>
      </w:r>
      <w:r>
        <w:rPr>
          <w:color w:val="000000"/>
        </w:rPr>
        <w:t xml:space="preserve"> </w:t>
      </w:r>
      <w:r w:rsidRPr="00B50268">
        <w:rPr>
          <w:color w:val="000000"/>
        </w:rPr>
        <w:t>ZASCA 15; 2012 (1)</w:t>
      </w:r>
      <w:r>
        <w:rPr>
          <w:color w:val="000000"/>
        </w:rPr>
        <w:t xml:space="preserve"> </w:t>
      </w:r>
      <w:r w:rsidRPr="00B50268">
        <w:rPr>
          <w:color w:val="000000"/>
        </w:rPr>
        <w:t>SACR 567 (SCA); MEC Health, Eastern Cape [2016] ZASCA 176</w:t>
      </w:r>
      <w:r>
        <w:rPr>
          <w:color w:val="000000"/>
        </w:rPr>
        <w:t>, par</w:t>
      </w:r>
      <w:r w:rsidRPr="00B50268">
        <w:rPr>
          <w:color w:val="000000"/>
        </w:rPr>
        <w:t xml:space="preserve"> 17</w:t>
      </w:r>
    </w:p>
  </w:footnote>
  <w:footnote w:id="10">
    <w:p w14:paraId="6223A25C" w14:textId="77777777" w:rsidR="00806231" w:rsidRPr="00CB55D0" w:rsidRDefault="00806231">
      <w:pPr>
        <w:pStyle w:val="FootnoteText"/>
        <w:rPr>
          <w:lang w:val="en-US"/>
        </w:rPr>
      </w:pPr>
      <w:r>
        <w:rPr>
          <w:rStyle w:val="FootnoteReference"/>
        </w:rPr>
        <w:footnoteRef/>
      </w:r>
      <w:r>
        <w:t xml:space="preserve"> Underlining my emphasis. See: P</w:t>
      </w:r>
      <w:proofErr w:type="spellStart"/>
      <w:r>
        <w:rPr>
          <w:lang w:val="en-US"/>
        </w:rPr>
        <w:t>ar</w:t>
      </w:r>
      <w:proofErr w:type="spellEnd"/>
      <w:r>
        <w:rPr>
          <w:lang w:val="en-US"/>
        </w:rPr>
        <w:t xml:space="preserve"> 41 of the Founding affidavit.</w:t>
      </w:r>
    </w:p>
  </w:footnote>
  <w:footnote w:id="11">
    <w:p w14:paraId="0C1891DF" w14:textId="77777777" w:rsidR="00806231" w:rsidRPr="005266E9" w:rsidRDefault="00806231" w:rsidP="00E726F8">
      <w:pPr>
        <w:pStyle w:val="FootnoteText"/>
        <w:rPr>
          <w:lang w:val="en-US"/>
        </w:rPr>
      </w:pPr>
      <w:r>
        <w:rPr>
          <w:rStyle w:val="FootnoteReference"/>
        </w:rPr>
        <w:footnoteRef/>
      </w:r>
      <w:r>
        <w:t xml:space="preserve"> In par 34 of the judgment, I set out the contents of the undertaking furnished by USAASA. </w:t>
      </w:r>
    </w:p>
  </w:footnote>
  <w:footnote w:id="12">
    <w:p w14:paraId="25A0C173" w14:textId="77777777" w:rsidR="00806231" w:rsidRDefault="00806231" w:rsidP="00AC5D3E">
      <w:pPr>
        <w:pStyle w:val="NormalWeb"/>
        <w:shd w:val="clear" w:color="auto" w:fill="FFFFFF"/>
        <w:spacing w:before="144" w:beforeAutospacing="0" w:after="288" w:afterAutospacing="0" w:line="276" w:lineRule="auto"/>
        <w:jc w:val="both"/>
        <w:rPr>
          <w:rFonts w:ascii="Arial" w:hAnsi="Arial" w:cs="Arial"/>
          <w:sz w:val="20"/>
          <w:szCs w:val="20"/>
          <w:lang w:val="en-US"/>
        </w:rPr>
      </w:pPr>
      <w:r>
        <w:rPr>
          <w:rStyle w:val="FootnoteReference"/>
        </w:rPr>
        <w:footnoteRef/>
      </w:r>
      <w:r>
        <w:t xml:space="preserve"> </w:t>
      </w:r>
      <w:r w:rsidRPr="00553F61">
        <w:rPr>
          <w:rFonts w:ascii="Arial" w:hAnsi="Arial" w:cs="Arial"/>
          <w:sz w:val="20"/>
          <w:szCs w:val="20"/>
          <w:lang w:val="en-US"/>
        </w:rPr>
        <w:t>The judgment referred to</w:t>
      </w:r>
      <w:r>
        <w:rPr>
          <w:lang w:val="en-US"/>
        </w:rPr>
        <w:t xml:space="preserve"> </w:t>
      </w:r>
      <w:r w:rsidRPr="00DC67B8">
        <w:rPr>
          <w:rFonts w:ascii="Arial" w:hAnsi="Arial" w:cs="Arial"/>
          <w:i/>
          <w:color w:val="000000"/>
          <w:sz w:val="20"/>
          <w:szCs w:val="20"/>
        </w:rPr>
        <w:t xml:space="preserve">Natal Joint Municipal Pension Fund v </w:t>
      </w:r>
      <w:proofErr w:type="spellStart"/>
      <w:r w:rsidRPr="00DC67B8">
        <w:rPr>
          <w:rFonts w:ascii="Arial" w:hAnsi="Arial" w:cs="Arial"/>
          <w:i/>
          <w:color w:val="000000"/>
          <w:sz w:val="20"/>
          <w:szCs w:val="20"/>
        </w:rPr>
        <w:t>Endumeni</w:t>
      </w:r>
      <w:proofErr w:type="spellEnd"/>
      <w:r w:rsidRPr="00DC67B8">
        <w:rPr>
          <w:rFonts w:ascii="Arial" w:hAnsi="Arial" w:cs="Arial"/>
          <w:i/>
          <w:color w:val="000000"/>
          <w:sz w:val="20"/>
          <w:szCs w:val="20"/>
        </w:rPr>
        <w:t xml:space="preserve"> Municipality</w:t>
      </w:r>
      <w:r w:rsidRPr="00DC67B8">
        <w:rPr>
          <w:rFonts w:ascii="Arial" w:hAnsi="Arial" w:cs="Arial"/>
          <w:color w:val="000000"/>
          <w:sz w:val="20"/>
          <w:szCs w:val="20"/>
        </w:rPr>
        <w:t xml:space="preserve"> [2012] ZASCA 13; [2012] 2 ALL SA 262 (SCA); 2012 (4) SA 593 (SCA) (</w:t>
      </w:r>
      <w:proofErr w:type="spellStart"/>
      <w:r w:rsidRPr="00DC67B8">
        <w:rPr>
          <w:rFonts w:ascii="Arial" w:hAnsi="Arial" w:cs="Arial"/>
          <w:i/>
          <w:color w:val="000000"/>
          <w:sz w:val="20"/>
          <w:szCs w:val="20"/>
        </w:rPr>
        <w:t>Endumeni</w:t>
      </w:r>
      <w:proofErr w:type="spellEnd"/>
      <w:r w:rsidRPr="00DC67B8">
        <w:rPr>
          <w:rFonts w:ascii="Arial" w:hAnsi="Arial" w:cs="Arial"/>
          <w:color w:val="000000"/>
          <w:sz w:val="20"/>
          <w:szCs w:val="20"/>
        </w:rPr>
        <w:t xml:space="preserve">) </w:t>
      </w:r>
      <w:r>
        <w:rPr>
          <w:rFonts w:ascii="Arial" w:hAnsi="Arial" w:cs="Arial"/>
          <w:color w:val="000000"/>
          <w:sz w:val="20"/>
          <w:szCs w:val="20"/>
        </w:rPr>
        <w:t xml:space="preserve">at </w:t>
      </w:r>
      <w:r w:rsidRPr="00DC67B8">
        <w:rPr>
          <w:rFonts w:ascii="Arial" w:hAnsi="Arial" w:cs="Arial"/>
          <w:color w:val="000000"/>
          <w:sz w:val="20"/>
          <w:szCs w:val="20"/>
        </w:rPr>
        <w:t xml:space="preserve">para 18 and </w:t>
      </w:r>
      <w:r w:rsidRPr="00DC67B8">
        <w:rPr>
          <w:rFonts w:ascii="Arial" w:hAnsi="Arial" w:cs="Arial"/>
          <w:i/>
          <w:color w:val="000000"/>
          <w:sz w:val="20"/>
          <w:szCs w:val="20"/>
        </w:rPr>
        <w:t>Capitec Bank Holdings Ltd and Another v Coral Lagoon Investments 194 (Pty) Ltd and Others</w:t>
      </w:r>
      <w:r w:rsidRPr="00DC67B8">
        <w:rPr>
          <w:rFonts w:ascii="Arial" w:hAnsi="Arial" w:cs="Arial"/>
          <w:color w:val="000000"/>
          <w:sz w:val="20"/>
          <w:szCs w:val="20"/>
        </w:rPr>
        <w:t xml:space="preserve"> 2022 (1) SA 100 (SCA) at paras 25, 26 &amp; </w:t>
      </w:r>
      <w:r w:rsidRPr="00AC5D3E">
        <w:rPr>
          <w:rFonts w:ascii="Arial" w:hAnsi="Arial" w:cs="Arial"/>
          <w:color w:val="000000"/>
          <w:sz w:val="20"/>
          <w:szCs w:val="20"/>
        </w:rPr>
        <w:t>51</w:t>
      </w:r>
      <w:r>
        <w:rPr>
          <w:rFonts w:ascii="Arial" w:hAnsi="Arial" w:cs="Arial"/>
          <w:color w:val="000000"/>
          <w:sz w:val="20"/>
          <w:szCs w:val="20"/>
        </w:rPr>
        <w:t>,</w:t>
      </w:r>
      <w:r w:rsidRPr="00AC5D3E">
        <w:rPr>
          <w:rFonts w:ascii="Arial" w:hAnsi="Arial" w:cs="Arial"/>
          <w:color w:val="000000"/>
          <w:sz w:val="20"/>
          <w:szCs w:val="20"/>
        </w:rPr>
        <w:t xml:space="preserve"> regarding the relevant principles of interpretation to be applied by the court.</w:t>
      </w:r>
      <w:r w:rsidRPr="00AC5D3E">
        <w:rPr>
          <w:rFonts w:ascii="Arial" w:hAnsi="Arial" w:cs="Arial"/>
          <w:sz w:val="20"/>
          <w:szCs w:val="20"/>
          <w:lang w:val="en-US"/>
        </w:rPr>
        <w:t xml:space="preserve"> </w:t>
      </w:r>
    </w:p>
    <w:p w14:paraId="232A1D6A" w14:textId="77777777" w:rsidR="00806231" w:rsidRPr="00AC5D3E" w:rsidRDefault="00806231" w:rsidP="00AC5D3E">
      <w:pPr>
        <w:pStyle w:val="NormalWeb"/>
        <w:shd w:val="clear" w:color="auto" w:fill="FFFFFF"/>
        <w:spacing w:before="144" w:beforeAutospacing="0" w:after="288" w:afterAutospacing="0" w:line="276" w:lineRule="auto"/>
        <w:jc w:val="both"/>
        <w:rPr>
          <w:rFonts w:ascii="Arial" w:hAnsi="Arial" w:cs="Arial"/>
          <w:bCs/>
          <w:sz w:val="20"/>
          <w:szCs w:val="20"/>
        </w:rPr>
      </w:pPr>
      <w:r w:rsidRPr="00AC5D3E">
        <w:rPr>
          <w:rFonts w:ascii="Arial" w:hAnsi="Arial" w:cs="Arial"/>
          <w:sz w:val="20"/>
          <w:szCs w:val="20"/>
          <w:lang w:val="en-US"/>
        </w:rPr>
        <w:t xml:space="preserve">At the hearing of this matter, I was urged to consider </w:t>
      </w:r>
      <w:r w:rsidRPr="00AC5D3E">
        <w:rPr>
          <w:rFonts w:ascii="Arial" w:hAnsi="Arial" w:cs="Arial"/>
          <w:bCs/>
          <w:i/>
          <w:sz w:val="20"/>
          <w:szCs w:val="20"/>
        </w:rPr>
        <w:t>University of Johannesburg v Auckland Park Theological Seminary and Another</w:t>
      </w:r>
      <w:r w:rsidRPr="00AC5D3E">
        <w:rPr>
          <w:rFonts w:ascii="Arial" w:hAnsi="Arial" w:cs="Arial"/>
          <w:bCs/>
          <w:sz w:val="20"/>
          <w:szCs w:val="20"/>
        </w:rPr>
        <w:t xml:space="preserve"> 2021 (6) SA 1 (CC) at para 67, where the Constitutional Court, endorsing </w:t>
      </w:r>
      <w:r w:rsidRPr="00AC5D3E">
        <w:rPr>
          <w:rFonts w:ascii="Arial" w:hAnsi="Arial" w:cs="Arial"/>
          <w:i/>
          <w:iCs/>
          <w:color w:val="242121"/>
          <w:sz w:val="20"/>
          <w:szCs w:val="20"/>
          <w:shd w:val="clear" w:color="auto" w:fill="FFFFFF"/>
        </w:rPr>
        <w:t xml:space="preserve">Novartis SA (Pty) Ltd v </w:t>
      </w:r>
      <w:proofErr w:type="spellStart"/>
      <w:r w:rsidRPr="00AC5D3E">
        <w:rPr>
          <w:rFonts w:ascii="Arial" w:hAnsi="Arial" w:cs="Arial"/>
          <w:i/>
          <w:iCs/>
          <w:color w:val="242121"/>
          <w:sz w:val="20"/>
          <w:szCs w:val="20"/>
          <w:shd w:val="clear" w:color="auto" w:fill="FFFFFF"/>
        </w:rPr>
        <w:t>Maphil</w:t>
      </w:r>
      <w:proofErr w:type="spellEnd"/>
      <w:r w:rsidRPr="00AC5D3E">
        <w:rPr>
          <w:rFonts w:ascii="Arial" w:hAnsi="Arial" w:cs="Arial"/>
          <w:i/>
          <w:iCs/>
          <w:color w:val="242121"/>
          <w:sz w:val="20"/>
          <w:szCs w:val="20"/>
          <w:shd w:val="clear" w:color="auto" w:fill="FFFFFF"/>
        </w:rPr>
        <w:t xml:space="preserve"> Trading (Pty) Ltd</w:t>
      </w:r>
      <w:r w:rsidRPr="00AC5D3E">
        <w:rPr>
          <w:rFonts w:ascii="Arial" w:hAnsi="Arial" w:cs="Arial"/>
          <w:color w:val="242121"/>
          <w:sz w:val="20"/>
          <w:szCs w:val="20"/>
          <w:shd w:val="clear" w:color="auto" w:fill="FFFFFF"/>
        </w:rPr>
        <w:t xml:space="preserve"> </w:t>
      </w:r>
      <w:hyperlink r:id="rId1" w:tooltip="View LawCiteRecord" w:history="1">
        <w:r w:rsidRPr="00AC5D3E">
          <w:rPr>
            <w:rStyle w:val="Hyperlink"/>
            <w:rFonts w:ascii="Arial" w:eastAsiaTheme="majorEastAsia" w:hAnsi="Arial" w:cs="Arial"/>
            <w:bCs/>
            <w:color w:val="auto"/>
            <w:sz w:val="20"/>
            <w:szCs w:val="20"/>
            <w:u w:val="none"/>
            <w:shd w:val="clear" w:color="auto" w:fill="FFFFFF"/>
          </w:rPr>
          <w:t>2016 (1) SA 518</w:t>
        </w:r>
      </w:hyperlink>
      <w:r w:rsidRPr="00AC5D3E">
        <w:rPr>
          <w:rFonts w:ascii="Arial" w:hAnsi="Arial" w:cs="Arial"/>
          <w:sz w:val="20"/>
          <w:szCs w:val="20"/>
        </w:rPr>
        <w:t xml:space="preserve"> </w:t>
      </w:r>
      <w:r w:rsidRPr="00AC5D3E">
        <w:rPr>
          <w:rFonts w:ascii="Arial" w:hAnsi="Arial" w:cs="Arial"/>
          <w:color w:val="242121"/>
          <w:sz w:val="20"/>
          <w:szCs w:val="20"/>
          <w:shd w:val="clear" w:color="auto" w:fill="FFFFFF"/>
        </w:rPr>
        <w:t>(SCA) (</w:t>
      </w:r>
      <w:r w:rsidRPr="00AC5D3E">
        <w:rPr>
          <w:rFonts w:ascii="Arial" w:hAnsi="Arial" w:cs="Arial"/>
          <w:i/>
          <w:iCs/>
          <w:color w:val="242121"/>
          <w:sz w:val="20"/>
          <w:szCs w:val="20"/>
          <w:shd w:val="clear" w:color="auto" w:fill="FFFFFF"/>
        </w:rPr>
        <w:t>Novartis</w:t>
      </w:r>
      <w:r w:rsidRPr="00AC5D3E">
        <w:rPr>
          <w:rFonts w:ascii="Arial" w:hAnsi="Arial" w:cs="Arial"/>
          <w:color w:val="242121"/>
          <w:sz w:val="20"/>
          <w:szCs w:val="20"/>
          <w:shd w:val="clear" w:color="auto" w:fill="FFFFFF"/>
        </w:rPr>
        <w:t xml:space="preserve">) at paras 27-28, </w:t>
      </w:r>
      <w:r w:rsidRPr="00AC5D3E">
        <w:rPr>
          <w:rFonts w:ascii="Arial" w:hAnsi="Arial" w:cs="Arial"/>
          <w:bCs/>
          <w:sz w:val="20"/>
          <w:szCs w:val="20"/>
        </w:rPr>
        <w:t>stated as follows:</w:t>
      </w:r>
    </w:p>
    <w:p w14:paraId="21B72DAC" w14:textId="77777777" w:rsidR="00806231" w:rsidRPr="00AC5D3E" w:rsidRDefault="00806231" w:rsidP="00AC5D3E">
      <w:pPr>
        <w:pStyle w:val="NormalWeb"/>
        <w:shd w:val="clear" w:color="auto" w:fill="FFFFFF"/>
        <w:spacing w:before="144" w:beforeAutospacing="0" w:after="288" w:afterAutospacing="0" w:line="276" w:lineRule="auto"/>
        <w:jc w:val="both"/>
        <w:rPr>
          <w:rFonts w:ascii="Arial" w:hAnsi="Arial" w:cs="Arial"/>
          <w:color w:val="242121"/>
          <w:sz w:val="20"/>
          <w:szCs w:val="20"/>
        </w:rPr>
      </w:pPr>
      <w:r w:rsidRPr="00AC5D3E">
        <w:rPr>
          <w:rFonts w:ascii="Arial" w:hAnsi="Arial" w:cs="Arial"/>
          <w:b/>
          <w:bCs/>
          <w:sz w:val="20"/>
          <w:szCs w:val="20"/>
        </w:rPr>
        <w:t>“</w:t>
      </w:r>
      <w:r w:rsidRPr="00AC5D3E">
        <w:rPr>
          <w:rFonts w:ascii="Arial" w:hAnsi="Arial" w:cs="Arial"/>
          <w:color w:val="242121"/>
          <w:sz w:val="20"/>
          <w:szCs w:val="20"/>
          <w:lang w:val="en-GB"/>
        </w:rPr>
        <w:t>This means that parties will invariably have to adduce evidence to establish the context and purpose of the r</w:t>
      </w:r>
      <w:r>
        <w:rPr>
          <w:rFonts w:ascii="Arial" w:hAnsi="Arial" w:cs="Arial"/>
          <w:color w:val="242121"/>
          <w:sz w:val="20"/>
          <w:szCs w:val="20"/>
          <w:lang w:val="en-GB"/>
        </w:rPr>
        <w:t>elevant contractual provisions.</w:t>
      </w:r>
      <w:r w:rsidRPr="00AC5D3E">
        <w:rPr>
          <w:rFonts w:ascii="Arial" w:hAnsi="Arial" w:cs="Arial"/>
          <w:color w:val="242121"/>
          <w:sz w:val="20"/>
          <w:szCs w:val="20"/>
          <w:lang w:val="en-GB"/>
        </w:rPr>
        <w:t xml:space="preserve"> That evidence could include the pre-contractual exchanges between the parties leading up to the conclusion of the contract and evidence of the context in which a contract</w:t>
      </w:r>
      <w:r>
        <w:rPr>
          <w:rFonts w:ascii="Arial" w:hAnsi="Arial" w:cs="Arial"/>
          <w:color w:val="242121"/>
          <w:sz w:val="20"/>
          <w:szCs w:val="20"/>
          <w:lang w:val="en-GB"/>
        </w:rPr>
        <w:t xml:space="preserve"> was concluded. </w:t>
      </w:r>
      <w:r w:rsidRPr="00AC5D3E">
        <w:rPr>
          <w:rFonts w:ascii="Arial" w:hAnsi="Arial" w:cs="Arial"/>
          <w:color w:val="242121"/>
          <w:sz w:val="20"/>
          <w:szCs w:val="20"/>
          <w:lang w:val="en-GB"/>
        </w:rPr>
        <w:t xml:space="preserve">As the Supreme Court of Appeal held in </w:t>
      </w:r>
      <w:r w:rsidRPr="00AC5D3E">
        <w:rPr>
          <w:rFonts w:ascii="Arial" w:hAnsi="Arial" w:cs="Arial"/>
          <w:i/>
          <w:iCs/>
          <w:color w:val="242121"/>
          <w:sz w:val="20"/>
          <w:szCs w:val="20"/>
          <w:lang w:val="en-GB"/>
        </w:rPr>
        <w:t>Novartis</w:t>
      </w:r>
      <w:r w:rsidRPr="00AC5D3E">
        <w:rPr>
          <w:rFonts w:ascii="Arial" w:hAnsi="Arial" w:cs="Arial"/>
          <w:color w:val="242121"/>
          <w:sz w:val="20"/>
          <w:szCs w:val="20"/>
          <w:lang w:val="en-GB"/>
        </w:rPr>
        <w:t>:</w:t>
      </w:r>
    </w:p>
    <w:p w14:paraId="0B5FE1E0" w14:textId="77777777" w:rsidR="00806231" w:rsidRDefault="00806231" w:rsidP="00AC5D3E">
      <w:pPr>
        <w:pStyle w:val="FootnoteText"/>
        <w:spacing w:line="276" w:lineRule="auto"/>
        <w:jc w:val="both"/>
        <w:rPr>
          <w:i/>
          <w:lang w:val="en-US"/>
        </w:rPr>
      </w:pPr>
      <w:r w:rsidRPr="00AC5D3E">
        <w:rPr>
          <w:color w:val="242121"/>
        </w:rPr>
        <w:t>‘</w:t>
      </w:r>
      <w:r w:rsidRPr="00AC5D3E">
        <w:rPr>
          <w:i/>
          <w:color w:val="242121"/>
        </w:rPr>
        <w:t>This court has consistently held, for many decades, that the interpretative process is one of ascertaining the intention of the parties</w:t>
      </w:r>
      <w:r>
        <w:rPr>
          <w:i/>
          <w:color w:val="242121"/>
        </w:rPr>
        <w:t xml:space="preserve"> – what they meant to achieve. </w:t>
      </w:r>
      <w:r w:rsidRPr="00AC5D3E">
        <w:rPr>
          <w:i/>
          <w:color w:val="242121"/>
        </w:rPr>
        <w:t>And in doing that, the court must consider all the circumstances surrounding the contract to determine what their intention was in concluding it</w:t>
      </w:r>
      <w:proofErr w:type="gramStart"/>
      <w:r w:rsidRPr="00AC5D3E">
        <w:rPr>
          <w:i/>
          <w:color w:val="242121"/>
        </w:rPr>
        <w:t>. . . .</w:t>
      </w:r>
      <w:proofErr w:type="gramEnd"/>
      <w:r w:rsidRPr="00AC5D3E">
        <w:rPr>
          <w:i/>
          <w:color w:val="242121"/>
        </w:rPr>
        <w:t xml:space="preserve"> A court must examine all the facts – the context – </w:t>
      </w:r>
      <w:proofErr w:type="gramStart"/>
      <w:r w:rsidRPr="00AC5D3E">
        <w:rPr>
          <w:i/>
          <w:color w:val="242121"/>
        </w:rPr>
        <w:t>in order to</w:t>
      </w:r>
      <w:proofErr w:type="gramEnd"/>
      <w:r w:rsidRPr="00AC5D3E">
        <w:rPr>
          <w:i/>
          <w:color w:val="242121"/>
        </w:rPr>
        <w:t xml:space="preserve"> deter</w:t>
      </w:r>
      <w:r>
        <w:rPr>
          <w:i/>
          <w:color w:val="242121"/>
        </w:rPr>
        <w:t>mine what the parties intended.</w:t>
      </w:r>
      <w:r w:rsidRPr="00AC5D3E">
        <w:rPr>
          <w:i/>
          <w:color w:val="242121"/>
        </w:rPr>
        <w:t xml:space="preserve"> And it must do that </w:t>
      </w:r>
      <w:proofErr w:type="gramStart"/>
      <w:r w:rsidRPr="00AC5D3E">
        <w:rPr>
          <w:i/>
          <w:color w:val="242121"/>
        </w:rPr>
        <w:t>whether or not</w:t>
      </w:r>
      <w:proofErr w:type="gramEnd"/>
      <w:r w:rsidRPr="00AC5D3E">
        <w:rPr>
          <w:i/>
          <w:color w:val="242121"/>
        </w:rPr>
        <w:t xml:space="preserve"> the words of the contract </w:t>
      </w:r>
      <w:r>
        <w:rPr>
          <w:i/>
          <w:color w:val="242121"/>
        </w:rPr>
        <w:t xml:space="preserve">are ambiguous or lack clarity. </w:t>
      </w:r>
      <w:r w:rsidRPr="00AC5D3E">
        <w:rPr>
          <w:i/>
          <w:color w:val="242121"/>
        </w:rPr>
        <w:t>Words without context mean nothing</w:t>
      </w:r>
      <w:proofErr w:type="gramStart"/>
      <w:r w:rsidRPr="00AC5D3E">
        <w:rPr>
          <w:i/>
          <w:color w:val="242121"/>
        </w:rPr>
        <w:t xml:space="preserve">’ </w:t>
      </w:r>
      <w:r w:rsidRPr="00AC5D3E">
        <w:rPr>
          <w:b/>
          <w:i/>
          <w:color w:val="242121"/>
        </w:rPr>
        <w:t>”</w:t>
      </w:r>
      <w:proofErr w:type="gramEnd"/>
      <w:r w:rsidRPr="00AC5D3E">
        <w:rPr>
          <w:i/>
          <w:lang w:val="en-US"/>
        </w:rPr>
        <w:t xml:space="preserve"> </w:t>
      </w:r>
    </w:p>
    <w:p w14:paraId="7868FF4D" w14:textId="77777777" w:rsidR="00806231" w:rsidRDefault="00806231" w:rsidP="00AC5D3E">
      <w:pPr>
        <w:pStyle w:val="FootnoteText"/>
        <w:spacing w:line="276" w:lineRule="auto"/>
        <w:jc w:val="both"/>
        <w:rPr>
          <w:i/>
          <w:lang w:val="en-US"/>
        </w:rPr>
      </w:pPr>
    </w:p>
    <w:p w14:paraId="6F171E43" w14:textId="77777777" w:rsidR="00806231" w:rsidRDefault="00806231" w:rsidP="00AC5D3E">
      <w:pPr>
        <w:pStyle w:val="FootnoteText"/>
        <w:spacing w:line="276" w:lineRule="auto"/>
        <w:jc w:val="both"/>
        <w:rPr>
          <w:color w:val="000000"/>
        </w:rPr>
      </w:pPr>
      <w:r>
        <w:rPr>
          <w:lang w:val="en-US"/>
        </w:rPr>
        <w:t xml:space="preserve">Reliance was also placed on </w:t>
      </w:r>
      <w:r>
        <w:rPr>
          <w:i/>
          <w:lang w:val="en-US"/>
        </w:rPr>
        <w:t xml:space="preserve">Murray and Roberts Construction v </w:t>
      </w:r>
      <w:proofErr w:type="spellStart"/>
      <w:r>
        <w:rPr>
          <w:i/>
          <w:lang w:val="en-US"/>
        </w:rPr>
        <w:t>Finnat</w:t>
      </w:r>
      <w:proofErr w:type="spellEnd"/>
      <w:r>
        <w:rPr>
          <w:i/>
          <w:lang w:val="en-US"/>
        </w:rPr>
        <w:t xml:space="preserve"> Properties </w:t>
      </w:r>
      <w:r>
        <w:rPr>
          <w:lang w:val="en-US"/>
        </w:rPr>
        <w:t>1991 (1) SA 508 A at 514 D-H for the submission that contracts should not be held lightly unenforceable. There the Appellate Court stated that “</w:t>
      </w:r>
      <w:r w:rsidRPr="00E85877">
        <w:rPr>
          <w:color w:val="000000"/>
        </w:rPr>
        <w:t xml:space="preserve">It must be allowed at once that PCI is composed in a somewhat staccato fashion, and that its terse language is often clumsy and not ideally clear. For example, it does not appear from clause 1 by what means and according to what criteria MRC and the Board are to achieve the 'finalisation' of the price for erven. PCI is, however, 'a commercial document executed by the parties with a clear intention that it should have commercial operation' (see the remarks of Colman J in </w:t>
      </w:r>
      <w:r w:rsidRPr="00E85877">
        <w:rPr>
          <w:i/>
          <w:iCs/>
          <w:color w:val="000000"/>
        </w:rPr>
        <w:t>Burroughs Machines Ltd v Chenille Corporation of SA (Pty) Ltd</w:t>
      </w:r>
      <w:r>
        <w:rPr>
          <w:color w:val="000000"/>
        </w:rPr>
        <w:t xml:space="preserve"> </w:t>
      </w:r>
      <w:hyperlink r:id="rId2" w:tgtFrame="main" w:history="1">
        <w:r w:rsidRPr="00806231">
          <w:rPr>
            <w:rStyle w:val="Hyperlink"/>
            <w:color w:val="auto"/>
            <w:u w:val="none"/>
          </w:rPr>
          <w:t>1964 (1) SA 669 (W)</w:t>
        </w:r>
      </w:hyperlink>
      <w:r>
        <w:t xml:space="preserve"> </w:t>
      </w:r>
      <w:r w:rsidRPr="00E85877">
        <w:rPr>
          <w:color w:val="000000"/>
        </w:rPr>
        <w:t>at 670F - H); and a Court should therefore not lightly hold its terms to be ineffective…”</w:t>
      </w:r>
    </w:p>
    <w:p w14:paraId="64F0E2C1" w14:textId="77777777" w:rsidR="000B23D1" w:rsidRDefault="000B23D1" w:rsidP="00AC5D3E">
      <w:pPr>
        <w:pStyle w:val="FootnoteText"/>
        <w:spacing w:line="276" w:lineRule="auto"/>
        <w:jc w:val="both"/>
        <w:rPr>
          <w:color w:val="000000"/>
        </w:rPr>
      </w:pPr>
    </w:p>
    <w:p w14:paraId="0837EE0B" w14:textId="77777777" w:rsidR="000B23D1" w:rsidRDefault="000B23D1" w:rsidP="00AC5D3E">
      <w:pPr>
        <w:pStyle w:val="FootnoteText"/>
        <w:spacing w:line="276" w:lineRule="auto"/>
        <w:jc w:val="both"/>
        <w:rPr>
          <w:lang w:val="en-US"/>
        </w:rPr>
      </w:pPr>
      <w:r>
        <w:rPr>
          <w:color w:val="000000"/>
        </w:rPr>
        <w:t xml:space="preserve">These cases reiterate the same principles that </w:t>
      </w:r>
      <w:proofErr w:type="spellStart"/>
      <w:r w:rsidRPr="000B23D1">
        <w:rPr>
          <w:i/>
          <w:color w:val="000000"/>
        </w:rPr>
        <w:t>Endumeni</w:t>
      </w:r>
      <w:proofErr w:type="spellEnd"/>
      <w:r>
        <w:rPr>
          <w:color w:val="000000"/>
        </w:rPr>
        <w:t xml:space="preserve"> espoused, as elucidated in </w:t>
      </w:r>
      <w:r w:rsidRPr="000B23D1">
        <w:rPr>
          <w:i/>
          <w:color w:val="000000"/>
        </w:rPr>
        <w:t>Capitec Holdings</w:t>
      </w:r>
      <w:r>
        <w:rPr>
          <w:i/>
          <w:color w:val="000000"/>
        </w:rPr>
        <w:t>,</w:t>
      </w:r>
      <w:r>
        <w:rPr>
          <w:color w:val="000000"/>
        </w:rPr>
        <w:t xml:space="preserve"> and do not, with respect, change the result of the interpretative enquiry conducted by me.</w:t>
      </w:r>
    </w:p>
    <w:p w14:paraId="64B3CCFF" w14:textId="77777777" w:rsidR="00806231" w:rsidRPr="00553F61" w:rsidRDefault="00806231" w:rsidP="00AC5D3E">
      <w:pPr>
        <w:pStyle w:val="FootnoteText"/>
        <w:spacing w:line="276" w:lineRule="auto"/>
        <w:jc w:val="both"/>
        <w:rPr>
          <w:lang w:val="en-US"/>
        </w:rPr>
      </w:pPr>
      <w:r>
        <w:rPr>
          <w:lang w:val="en-US"/>
        </w:rPr>
        <w:t>.</w:t>
      </w:r>
    </w:p>
  </w:footnote>
  <w:footnote w:id="13">
    <w:p w14:paraId="60CC4AE5" w14:textId="77777777" w:rsidR="00806231" w:rsidRPr="00EA0F29" w:rsidRDefault="00806231" w:rsidP="002A1000">
      <w:pPr>
        <w:pStyle w:val="FootnoteText"/>
        <w:jc w:val="both"/>
        <w:rPr>
          <w:lang w:val="en-US"/>
        </w:rPr>
      </w:pPr>
      <w:r>
        <w:rPr>
          <w:rStyle w:val="FootnoteReference"/>
        </w:rPr>
        <w:footnoteRef/>
      </w:r>
      <w:r>
        <w:t xml:space="preserve"> See par 40 of the judgment read with </w:t>
      </w:r>
      <w:proofErr w:type="spellStart"/>
      <w:r>
        <w:t>fn</w:t>
      </w:r>
      <w:proofErr w:type="spellEnd"/>
      <w:r>
        <w:t xml:space="preserve"> 18 thereto. This is because, a</w:t>
      </w:r>
      <w:r>
        <w:rPr>
          <w:lang w:val="en-US"/>
        </w:rPr>
        <w:t xml:space="preserve">s pointed out in </w:t>
      </w:r>
      <w:proofErr w:type="spellStart"/>
      <w:r>
        <w:rPr>
          <w:lang w:val="en-US"/>
        </w:rPr>
        <w:t>fn</w:t>
      </w:r>
      <w:proofErr w:type="spellEnd"/>
      <w:r>
        <w:rPr>
          <w:lang w:val="en-US"/>
        </w:rPr>
        <w:t xml:space="preserve"> 18 of the judgment, the doctrine of privity of contract has the effect that USAASA cannot incur an obligation arising from an agreement it was not a party to.</w:t>
      </w:r>
    </w:p>
  </w:footnote>
  <w:footnote w:id="14">
    <w:p w14:paraId="1862217D" w14:textId="77777777" w:rsidR="00806231" w:rsidRPr="005272AE" w:rsidRDefault="00806231">
      <w:pPr>
        <w:pStyle w:val="FootnoteText"/>
        <w:rPr>
          <w:lang w:val="en-US"/>
        </w:rPr>
      </w:pPr>
      <w:r>
        <w:rPr>
          <w:rStyle w:val="FootnoteReference"/>
        </w:rPr>
        <w:footnoteRef/>
      </w:r>
      <w:r>
        <w:t xml:space="preserve"> </w:t>
      </w:r>
      <w:r>
        <w:rPr>
          <w:lang w:val="en-US"/>
        </w:rPr>
        <w:t>Par 42 of the judgment.</w:t>
      </w:r>
    </w:p>
  </w:footnote>
  <w:footnote w:id="15">
    <w:p w14:paraId="07AB7A47" w14:textId="77777777" w:rsidR="00806231" w:rsidRPr="000D635F" w:rsidRDefault="00806231">
      <w:pPr>
        <w:pStyle w:val="FootnoteText"/>
        <w:rPr>
          <w:lang w:val="en-US"/>
        </w:rPr>
      </w:pPr>
      <w:r>
        <w:rPr>
          <w:rStyle w:val="FootnoteReference"/>
        </w:rPr>
        <w:footnoteRef/>
      </w:r>
      <w:r>
        <w:t xml:space="preserve"> </w:t>
      </w:r>
      <w:r>
        <w:rPr>
          <w:lang w:val="en-US"/>
        </w:rPr>
        <w:t>Par 10.5 of the judgment.</w:t>
      </w:r>
    </w:p>
  </w:footnote>
  <w:footnote w:id="16">
    <w:p w14:paraId="587E9C4E" w14:textId="77777777" w:rsidR="00806231" w:rsidRPr="005272AE" w:rsidRDefault="00806231">
      <w:pPr>
        <w:pStyle w:val="FootnoteText"/>
        <w:rPr>
          <w:lang w:val="en-US"/>
        </w:rPr>
      </w:pPr>
      <w:r>
        <w:rPr>
          <w:rStyle w:val="FootnoteReference"/>
        </w:rPr>
        <w:footnoteRef/>
      </w:r>
      <w:r>
        <w:t xml:space="preserve"> </w:t>
      </w:r>
      <w:r>
        <w:rPr>
          <w:lang w:val="en-US"/>
        </w:rPr>
        <w:t>Par 48 of the judgment.</w:t>
      </w:r>
    </w:p>
  </w:footnote>
  <w:footnote w:id="17">
    <w:p w14:paraId="0C3F441D" w14:textId="77777777" w:rsidR="00806231" w:rsidRPr="00A94633" w:rsidRDefault="00806231">
      <w:pPr>
        <w:pStyle w:val="FootnoteText"/>
        <w:rPr>
          <w:lang w:val="en-US"/>
        </w:rPr>
      </w:pPr>
      <w:r>
        <w:rPr>
          <w:rStyle w:val="FootnoteReference"/>
        </w:rPr>
        <w:footnoteRef/>
      </w:r>
      <w:r>
        <w:t xml:space="preserve"> </w:t>
      </w:r>
      <w:r>
        <w:rPr>
          <w:lang w:val="en-US"/>
        </w:rPr>
        <w:t>Paras 48 &amp; 49 of the judgment.</w:t>
      </w:r>
    </w:p>
  </w:footnote>
  <w:footnote w:id="18">
    <w:p w14:paraId="7224D5F6" w14:textId="77777777" w:rsidR="00806231" w:rsidRPr="002F5DD0" w:rsidRDefault="00806231">
      <w:pPr>
        <w:pStyle w:val="FootnoteText"/>
        <w:rPr>
          <w:lang w:val="en-US"/>
        </w:rPr>
      </w:pPr>
      <w:r>
        <w:rPr>
          <w:rStyle w:val="FootnoteReference"/>
        </w:rPr>
        <w:footnoteRef/>
      </w:r>
      <w:r>
        <w:t xml:space="preserve"> </w:t>
      </w:r>
      <w:r>
        <w:rPr>
          <w:lang w:val="en-US"/>
        </w:rPr>
        <w:t>See par 48 of the judgment.</w:t>
      </w:r>
    </w:p>
  </w:footnote>
  <w:footnote w:id="19">
    <w:p w14:paraId="0A313EDF" w14:textId="77777777" w:rsidR="00806231" w:rsidRPr="00CC61E6" w:rsidRDefault="00806231">
      <w:pPr>
        <w:pStyle w:val="FootnoteText"/>
        <w:rPr>
          <w:lang w:val="en-US"/>
        </w:rPr>
      </w:pPr>
      <w:r>
        <w:rPr>
          <w:rStyle w:val="FootnoteReference"/>
        </w:rPr>
        <w:footnoteRef/>
      </w:r>
      <w:r>
        <w:t xml:space="preserve"> </w:t>
      </w:r>
      <w:r>
        <w:rPr>
          <w:lang w:val="en-US"/>
        </w:rPr>
        <w:t>Para 4 read together with paras 18, 20 &amp; 25 of the judgment.</w:t>
      </w:r>
    </w:p>
  </w:footnote>
  <w:footnote w:id="20">
    <w:p w14:paraId="1E45B845" w14:textId="77777777" w:rsidR="00806231" w:rsidRPr="008F4BBB" w:rsidRDefault="00806231">
      <w:pPr>
        <w:pStyle w:val="FootnoteText"/>
        <w:rPr>
          <w:lang w:val="en-US"/>
        </w:rPr>
      </w:pPr>
      <w:r>
        <w:rPr>
          <w:rStyle w:val="FootnoteReference"/>
        </w:rPr>
        <w:footnoteRef/>
      </w:r>
      <w:r>
        <w:t xml:space="preserve"> </w:t>
      </w:r>
      <w:r>
        <w:rPr>
          <w:lang w:val="en-US"/>
        </w:rPr>
        <w:t>As mentioned in para 19 of the judgment.</w:t>
      </w:r>
    </w:p>
  </w:footnote>
  <w:footnote w:id="21">
    <w:p w14:paraId="73BAFEF0" w14:textId="77777777" w:rsidR="00806231" w:rsidRPr="0059327E" w:rsidRDefault="00806231">
      <w:pPr>
        <w:pStyle w:val="FootnoteText"/>
        <w:rPr>
          <w:lang w:val="en-US"/>
        </w:rPr>
      </w:pPr>
      <w:r>
        <w:rPr>
          <w:rStyle w:val="FootnoteReference"/>
        </w:rPr>
        <w:footnoteRef/>
      </w:r>
      <w:r>
        <w:t xml:space="preserve"> See para </w:t>
      </w:r>
      <w:r>
        <w:rPr>
          <w:lang w:val="en-US"/>
        </w:rPr>
        <w:t>15.3, read with paras 19 &amp; 50 of the judgment.</w:t>
      </w:r>
    </w:p>
  </w:footnote>
  <w:footnote w:id="22">
    <w:p w14:paraId="67D32F27" w14:textId="77777777" w:rsidR="00806231" w:rsidRPr="008F4BBB" w:rsidRDefault="00806231" w:rsidP="0032230E">
      <w:pPr>
        <w:pStyle w:val="FootnoteText"/>
        <w:jc w:val="both"/>
        <w:rPr>
          <w:lang w:val="en-US"/>
        </w:rPr>
      </w:pPr>
      <w:r>
        <w:rPr>
          <w:rStyle w:val="FootnoteReference"/>
        </w:rPr>
        <w:footnoteRef/>
      </w:r>
      <w:r>
        <w:t xml:space="preserve"> </w:t>
      </w:r>
      <w:r>
        <w:rPr>
          <w:lang w:val="en-US"/>
        </w:rPr>
        <w:t xml:space="preserve">I must point out that par 18 of the judgment, which records the period during which payments were made by USAASA into the VBS account, erroneously records the last payment as having been made on </w:t>
      </w:r>
      <w:r>
        <w:rPr>
          <w:b/>
          <w:lang w:val="en-US"/>
        </w:rPr>
        <w:t xml:space="preserve">22 February </w:t>
      </w:r>
      <w:r w:rsidRPr="008F4BBB">
        <w:rPr>
          <w:b/>
          <w:u w:val="single"/>
          <w:lang w:val="en-US"/>
        </w:rPr>
        <w:t>2022</w:t>
      </w:r>
      <w:r>
        <w:rPr>
          <w:lang w:val="en-US"/>
        </w:rPr>
        <w:t xml:space="preserve">, whereas the correct date is </w:t>
      </w:r>
      <w:proofErr w:type="gramStart"/>
      <w:r>
        <w:rPr>
          <w:lang w:val="en-US"/>
        </w:rPr>
        <w:t xml:space="preserve">actually </w:t>
      </w:r>
      <w:r>
        <w:rPr>
          <w:b/>
          <w:lang w:val="en-US"/>
        </w:rPr>
        <w:t xml:space="preserve">22 February </w:t>
      </w:r>
      <w:r w:rsidRPr="008F4BBB">
        <w:rPr>
          <w:b/>
          <w:u w:val="single"/>
          <w:lang w:val="en-US"/>
        </w:rPr>
        <w:t>2018</w:t>
      </w:r>
      <w:proofErr w:type="gramEnd"/>
      <w:r>
        <w:rPr>
          <w:b/>
          <w:lang w:val="en-US"/>
        </w:rPr>
        <w:t>.</w:t>
      </w:r>
      <w:r>
        <w:rPr>
          <w:lang w:val="en-US"/>
        </w:rPr>
        <w:t xml:space="preserve"> (See </w:t>
      </w:r>
      <w:proofErr w:type="spellStart"/>
      <w:r>
        <w:rPr>
          <w:lang w:val="en-US"/>
        </w:rPr>
        <w:t>fn</w:t>
      </w:r>
      <w:proofErr w:type="spellEnd"/>
      <w:r>
        <w:rPr>
          <w:lang w:val="en-US"/>
        </w:rPr>
        <w:t xml:space="preserve"> 10 of the judgment.) This was not a point taken on appeal, and nothing turns on it, save that I was mindful that certain payments were made into the VBS account after </w:t>
      </w:r>
      <w:proofErr w:type="spellStart"/>
      <w:r>
        <w:rPr>
          <w:lang w:val="en-US"/>
        </w:rPr>
        <w:t>Leratadima’s</w:t>
      </w:r>
      <w:proofErr w:type="spellEnd"/>
      <w:r>
        <w:rPr>
          <w:lang w:val="en-US"/>
        </w:rPr>
        <w:t xml:space="preserve"> instruction to USAASA to pay into its Absa bank account.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72887"/>
      <w:docPartObj>
        <w:docPartGallery w:val="Page Numbers (Top of Page)"/>
        <w:docPartUnique/>
      </w:docPartObj>
    </w:sdtPr>
    <w:sdtEndPr>
      <w:rPr>
        <w:noProof/>
      </w:rPr>
    </w:sdtEndPr>
    <w:sdtContent>
      <w:p w14:paraId="0ADED3C7" w14:textId="77777777" w:rsidR="00806231" w:rsidRDefault="00806231">
        <w:pPr>
          <w:pStyle w:val="Header"/>
          <w:jc w:val="right"/>
        </w:pPr>
        <w:r>
          <w:fldChar w:fldCharType="begin"/>
        </w:r>
        <w:r>
          <w:instrText xml:space="preserve"> PAGE   \* MERGEFORMAT </w:instrText>
        </w:r>
        <w:r>
          <w:fldChar w:fldCharType="separate"/>
        </w:r>
        <w:r w:rsidR="000D2460">
          <w:rPr>
            <w:noProof/>
          </w:rPr>
          <w:t>2</w:t>
        </w:r>
        <w:r>
          <w:rPr>
            <w:noProof/>
          </w:rPr>
          <w:fldChar w:fldCharType="end"/>
        </w:r>
      </w:p>
    </w:sdtContent>
  </w:sdt>
  <w:p w14:paraId="216F4007" w14:textId="77777777" w:rsidR="00806231" w:rsidRDefault="00806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029333"/>
      <w:docPartObj>
        <w:docPartGallery w:val="Page Numbers (Top of Page)"/>
        <w:docPartUnique/>
      </w:docPartObj>
    </w:sdtPr>
    <w:sdtEndPr>
      <w:rPr>
        <w:noProof/>
      </w:rPr>
    </w:sdtEndPr>
    <w:sdtContent>
      <w:p w14:paraId="1ED77274" w14:textId="77777777" w:rsidR="00806231" w:rsidRDefault="00806231">
        <w:pPr>
          <w:pStyle w:val="Header"/>
          <w:jc w:val="right"/>
        </w:pPr>
        <w:r>
          <w:fldChar w:fldCharType="begin"/>
        </w:r>
        <w:r>
          <w:instrText xml:space="preserve"> PAGE   \* MERGEFORMAT </w:instrText>
        </w:r>
        <w:r>
          <w:fldChar w:fldCharType="separate"/>
        </w:r>
        <w:r w:rsidR="000D2460">
          <w:rPr>
            <w:noProof/>
          </w:rPr>
          <w:t>1</w:t>
        </w:r>
        <w:r>
          <w:rPr>
            <w:noProof/>
          </w:rPr>
          <w:fldChar w:fldCharType="end"/>
        </w:r>
      </w:p>
    </w:sdtContent>
  </w:sdt>
  <w:p w14:paraId="4A4E878F" w14:textId="77777777" w:rsidR="00806231" w:rsidRDefault="00806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1B"/>
    <w:multiLevelType w:val="hybridMultilevel"/>
    <w:tmpl w:val="D89A2524"/>
    <w:lvl w:ilvl="0" w:tplc="D11A856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B561AB2"/>
    <w:multiLevelType w:val="hybridMultilevel"/>
    <w:tmpl w:val="504853FC"/>
    <w:lvl w:ilvl="0" w:tplc="E68043BE">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3" w15:restartNumberingAfterBreak="0">
    <w:nsid w:val="4E6B1C91"/>
    <w:multiLevelType w:val="hybridMultilevel"/>
    <w:tmpl w:val="14DA4A8A"/>
    <w:lvl w:ilvl="0" w:tplc="88DAB214">
      <w:start w:val="1"/>
      <w:numFmt w:val="lowerLetter"/>
      <w:lvlText w:val="(%1)"/>
      <w:lvlJc w:val="left"/>
      <w:pPr>
        <w:ind w:left="3079" w:hanging="1050"/>
      </w:pPr>
      <w:rPr>
        <w:rFonts w:hint="default"/>
      </w:rPr>
    </w:lvl>
    <w:lvl w:ilvl="1" w:tplc="1C090019" w:tentative="1">
      <w:start w:val="1"/>
      <w:numFmt w:val="lowerLetter"/>
      <w:lvlText w:val="%2."/>
      <w:lvlJc w:val="left"/>
      <w:pPr>
        <w:ind w:left="3109" w:hanging="360"/>
      </w:pPr>
    </w:lvl>
    <w:lvl w:ilvl="2" w:tplc="1C09001B" w:tentative="1">
      <w:start w:val="1"/>
      <w:numFmt w:val="lowerRoman"/>
      <w:lvlText w:val="%3."/>
      <w:lvlJc w:val="right"/>
      <w:pPr>
        <w:ind w:left="3829" w:hanging="180"/>
      </w:pPr>
    </w:lvl>
    <w:lvl w:ilvl="3" w:tplc="1C09000F" w:tentative="1">
      <w:start w:val="1"/>
      <w:numFmt w:val="decimal"/>
      <w:lvlText w:val="%4."/>
      <w:lvlJc w:val="left"/>
      <w:pPr>
        <w:ind w:left="4549" w:hanging="360"/>
      </w:pPr>
    </w:lvl>
    <w:lvl w:ilvl="4" w:tplc="1C090019" w:tentative="1">
      <w:start w:val="1"/>
      <w:numFmt w:val="lowerLetter"/>
      <w:lvlText w:val="%5."/>
      <w:lvlJc w:val="left"/>
      <w:pPr>
        <w:ind w:left="5269" w:hanging="360"/>
      </w:pPr>
    </w:lvl>
    <w:lvl w:ilvl="5" w:tplc="1C09001B" w:tentative="1">
      <w:start w:val="1"/>
      <w:numFmt w:val="lowerRoman"/>
      <w:lvlText w:val="%6."/>
      <w:lvlJc w:val="right"/>
      <w:pPr>
        <w:ind w:left="5989" w:hanging="180"/>
      </w:pPr>
    </w:lvl>
    <w:lvl w:ilvl="6" w:tplc="1C09000F" w:tentative="1">
      <w:start w:val="1"/>
      <w:numFmt w:val="decimal"/>
      <w:lvlText w:val="%7."/>
      <w:lvlJc w:val="left"/>
      <w:pPr>
        <w:ind w:left="6709" w:hanging="360"/>
      </w:pPr>
    </w:lvl>
    <w:lvl w:ilvl="7" w:tplc="1C090019" w:tentative="1">
      <w:start w:val="1"/>
      <w:numFmt w:val="lowerLetter"/>
      <w:lvlText w:val="%8."/>
      <w:lvlJc w:val="left"/>
      <w:pPr>
        <w:ind w:left="7429" w:hanging="360"/>
      </w:pPr>
    </w:lvl>
    <w:lvl w:ilvl="8" w:tplc="1C09001B" w:tentative="1">
      <w:start w:val="1"/>
      <w:numFmt w:val="lowerRoman"/>
      <w:lvlText w:val="%9."/>
      <w:lvlJc w:val="right"/>
      <w:pPr>
        <w:ind w:left="8149" w:hanging="180"/>
      </w:pPr>
    </w:lvl>
  </w:abstractNum>
  <w:abstractNum w:abstractNumId="4" w15:restartNumberingAfterBreak="0">
    <w:nsid w:val="50F7650A"/>
    <w:multiLevelType w:val="multilevel"/>
    <w:tmpl w:val="FBFA6894"/>
    <w:numStyleLink w:val="Style3"/>
  </w:abstractNum>
  <w:abstractNum w:abstractNumId="5"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861978">
    <w:abstractNumId w:val="5"/>
  </w:num>
  <w:num w:numId="2" w16cid:durableId="1559243874">
    <w:abstractNumId w:val="2"/>
  </w:num>
  <w:num w:numId="3" w16cid:durableId="1245410478">
    <w:abstractNumId w:val="4"/>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16cid:durableId="1902015597">
    <w:abstractNumId w:val="1"/>
  </w:num>
  <w:num w:numId="5" w16cid:durableId="668869651">
    <w:abstractNumId w:val="0"/>
  </w:num>
  <w:num w:numId="6" w16cid:durableId="3091719">
    <w:abstractNumId w:val="4"/>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1702" w:hanging="851"/>
        </w:pPr>
        <w:rPr>
          <w:rFonts w:hint="default"/>
        </w:rPr>
      </w:lvl>
    </w:lvlOverride>
    <w:lvlOverride w:ilvl="2">
      <w:lvl w:ilvl="2">
        <w:start w:val="1"/>
        <w:numFmt w:val="decimal"/>
        <w:lvlText w:val="%1.%2.%3."/>
        <w:lvlJc w:val="left"/>
        <w:pPr>
          <w:ind w:left="2553" w:hanging="851"/>
        </w:pPr>
        <w:rPr>
          <w:rFonts w:hint="default"/>
        </w:rPr>
      </w:lvl>
    </w:lvlOverride>
    <w:lvlOverride w:ilvl="3">
      <w:lvl w:ilvl="3">
        <w:start w:val="1"/>
        <w:numFmt w:val="decimal"/>
        <w:lvlText w:val="%1.%2.%3.%4."/>
        <w:lvlJc w:val="left"/>
        <w:pPr>
          <w:ind w:left="3404" w:hanging="851"/>
        </w:pPr>
        <w:rPr>
          <w:rFonts w:hint="default"/>
        </w:rPr>
      </w:lvl>
    </w:lvlOverride>
    <w:lvlOverride w:ilvl="4">
      <w:lvl w:ilvl="4">
        <w:start w:val="1"/>
        <w:numFmt w:val="decimal"/>
        <w:lvlText w:val="%1.%2.%3.%4.%5."/>
        <w:lvlJc w:val="left"/>
        <w:pPr>
          <w:ind w:left="4255" w:hanging="851"/>
        </w:pPr>
        <w:rPr>
          <w:rFonts w:hint="default"/>
        </w:rPr>
      </w:lvl>
    </w:lvlOverride>
    <w:lvlOverride w:ilvl="5">
      <w:lvl w:ilvl="5">
        <w:start w:val="1"/>
        <w:numFmt w:val="decimal"/>
        <w:lvlText w:val="%1.%2.%3.%4.%5.%6."/>
        <w:lvlJc w:val="left"/>
        <w:pPr>
          <w:ind w:left="5106" w:hanging="851"/>
        </w:pPr>
        <w:rPr>
          <w:rFonts w:hint="default"/>
        </w:rPr>
      </w:lvl>
    </w:lvlOverride>
    <w:lvlOverride w:ilvl="6">
      <w:lvl w:ilvl="6">
        <w:start w:val="1"/>
        <w:numFmt w:val="decimal"/>
        <w:lvlText w:val="%1.%2.%3.%4.%5.%6.%7."/>
        <w:lvlJc w:val="left"/>
        <w:pPr>
          <w:ind w:left="5957" w:hanging="851"/>
        </w:pPr>
        <w:rPr>
          <w:rFonts w:hint="default"/>
        </w:rPr>
      </w:lvl>
    </w:lvlOverride>
    <w:lvlOverride w:ilvl="7">
      <w:lvl w:ilvl="7">
        <w:start w:val="1"/>
        <w:numFmt w:val="decimal"/>
        <w:lvlText w:val="%1.%2.%3.%4.%5.%6.%7.%8."/>
        <w:lvlJc w:val="left"/>
        <w:pPr>
          <w:ind w:left="6808" w:hanging="851"/>
        </w:pPr>
        <w:rPr>
          <w:rFonts w:hint="default"/>
        </w:rPr>
      </w:lvl>
    </w:lvlOverride>
    <w:lvlOverride w:ilvl="8">
      <w:lvl w:ilvl="8">
        <w:start w:val="1"/>
        <w:numFmt w:val="decimal"/>
        <w:lvlText w:val="%1.%2.%3.%4.%5.%6.%7.%8.%9."/>
        <w:lvlJc w:val="left"/>
        <w:pPr>
          <w:ind w:left="7659" w:hanging="851"/>
        </w:pPr>
        <w:rPr>
          <w:rFonts w:hint="default"/>
        </w:rPr>
      </w:lvl>
    </w:lvlOverride>
  </w:num>
  <w:num w:numId="7" w16cid:durableId="1246962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DD"/>
    <w:rsid w:val="000050C9"/>
    <w:rsid w:val="000A247C"/>
    <w:rsid w:val="000B23D1"/>
    <w:rsid w:val="000D2460"/>
    <w:rsid w:val="000D635F"/>
    <w:rsid w:val="001029BD"/>
    <w:rsid w:val="00263863"/>
    <w:rsid w:val="002818F6"/>
    <w:rsid w:val="002A1000"/>
    <w:rsid w:val="002C1C4E"/>
    <w:rsid w:val="002D1CEC"/>
    <w:rsid w:val="002F5DD0"/>
    <w:rsid w:val="00311B67"/>
    <w:rsid w:val="0032230E"/>
    <w:rsid w:val="00373094"/>
    <w:rsid w:val="003C1902"/>
    <w:rsid w:val="00416021"/>
    <w:rsid w:val="0044733C"/>
    <w:rsid w:val="00462D9F"/>
    <w:rsid w:val="0051665D"/>
    <w:rsid w:val="005266E9"/>
    <w:rsid w:val="005272AE"/>
    <w:rsid w:val="00553F61"/>
    <w:rsid w:val="0059327E"/>
    <w:rsid w:val="005A624C"/>
    <w:rsid w:val="005D050E"/>
    <w:rsid w:val="0061284B"/>
    <w:rsid w:val="0063763C"/>
    <w:rsid w:val="006724D9"/>
    <w:rsid w:val="00705DA2"/>
    <w:rsid w:val="00713CDD"/>
    <w:rsid w:val="00724FD4"/>
    <w:rsid w:val="00806231"/>
    <w:rsid w:val="008504CC"/>
    <w:rsid w:val="00853FCC"/>
    <w:rsid w:val="00894A3C"/>
    <w:rsid w:val="008B44B9"/>
    <w:rsid w:val="008D7507"/>
    <w:rsid w:val="008F4BBB"/>
    <w:rsid w:val="0091030F"/>
    <w:rsid w:val="00923B67"/>
    <w:rsid w:val="009D3E12"/>
    <w:rsid w:val="009D6726"/>
    <w:rsid w:val="00A94633"/>
    <w:rsid w:val="00A95C71"/>
    <w:rsid w:val="00AC5D3E"/>
    <w:rsid w:val="00B22F75"/>
    <w:rsid w:val="00B50268"/>
    <w:rsid w:val="00B55816"/>
    <w:rsid w:val="00CB55D0"/>
    <w:rsid w:val="00CC61E6"/>
    <w:rsid w:val="00D2482E"/>
    <w:rsid w:val="00DF5831"/>
    <w:rsid w:val="00E11881"/>
    <w:rsid w:val="00E22E72"/>
    <w:rsid w:val="00E726F8"/>
    <w:rsid w:val="00EA0F29"/>
    <w:rsid w:val="00F05ECB"/>
    <w:rsid w:val="00F94053"/>
    <w:rsid w:val="00FA4A28"/>
    <w:rsid w:val="00FA6396"/>
    <w:rsid w:val="00FB3003"/>
    <w:rsid w:val="00FF38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ADBB"/>
  <w15:docId w15:val="{8CDF1F90-0E94-4386-B343-19BB9F64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CDD"/>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uiPriority w:val="9"/>
    <w:unhideWhenUsed/>
    <w:qFormat/>
    <w:rsid w:val="00713C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3CDD"/>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713CDD"/>
    <w:pPr>
      <w:ind w:left="720"/>
      <w:contextualSpacing/>
    </w:pPr>
  </w:style>
  <w:style w:type="paragraph" w:styleId="FootnoteText">
    <w:name w:val="footnote text"/>
    <w:basedOn w:val="Normal"/>
    <w:link w:val="FootnoteTextChar"/>
    <w:uiPriority w:val="99"/>
    <w:unhideWhenUsed/>
    <w:rsid w:val="00713CDD"/>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713CDD"/>
    <w:rPr>
      <w:rFonts w:ascii="Arial" w:hAnsi="Arial" w:cs="Arial"/>
      <w:sz w:val="20"/>
      <w:szCs w:val="20"/>
      <w:lang w:val="en-GB"/>
    </w:rPr>
  </w:style>
  <w:style w:type="character" w:styleId="FootnoteReference">
    <w:name w:val="footnote reference"/>
    <w:basedOn w:val="DefaultParagraphFont"/>
    <w:uiPriority w:val="99"/>
    <w:semiHidden/>
    <w:unhideWhenUsed/>
    <w:rsid w:val="00713CDD"/>
    <w:rPr>
      <w:vertAlign w:val="superscript"/>
    </w:rPr>
  </w:style>
  <w:style w:type="numbering" w:customStyle="1" w:styleId="Style3">
    <w:name w:val="Style3"/>
    <w:rsid w:val="00713CDD"/>
    <w:pPr>
      <w:numPr>
        <w:numId w:val="2"/>
      </w:numPr>
    </w:pPr>
  </w:style>
  <w:style w:type="paragraph" w:styleId="NormalWeb">
    <w:name w:val="Normal (Web)"/>
    <w:basedOn w:val="Normal"/>
    <w:uiPriority w:val="99"/>
    <w:unhideWhenUsed/>
    <w:rsid w:val="00713CDD"/>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713CDD"/>
    <w:pPr>
      <w:tabs>
        <w:tab w:val="center" w:pos="4513"/>
        <w:tab w:val="right" w:pos="9026"/>
      </w:tabs>
    </w:pPr>
  </w:style>
  <w:style w:type="character" w:customStyle="1" w:styleId="HeaderChar">
    <w:name w:val="Header Char"/>
    <w:basedOn w:val="DefaultParagraphFont"/>
    <w:link w:val="Header"/>
    <w:uiPriority w:val="99"/>
    <w:rsid w:val="00713CDD"/>
    <w:rPr>
      <w:rFonts w:ascii="Verdana" w:eastAsia="Times New Roman" w:hAnsi="Verdana" w:cs="Times New Roman"/>
      <w:sz w:val="20"/>
      <w:szCs w:val="20"/>
      <w:lang w:val="en-GB" w:eastAsia="en-GB"/>
    </w:rPr>
  </w:style>
  <w:style w:type="character" w:styleId="Hyperlink">
    <w:name w:val="Hyperlink"/>
    <w:basedOn w:val="DefaultParagraphFont"/>
    <w:unhideWhenUsed/>
    <w:rsid w:val="00713CDD"/>
    <w:rPr>
      <w:color w:val="0000FF"/>
      <w:u w:val="single"/>
    </w:rPr>
  </w:style>
  <w:style w:type="paragraph" w:styleId="BalloonText">
    <w:name w:val="Balloon Text"/>
    <w:basedOn w:val="Normal"/>
    <w:link w:val="BalloonTextChar"/>
    <w:uiPriority w:val="99"/>
    <w:semiHidden/>
    <w:unhideWhenUsed/>
    <w:rsid w:val="00713CDD"/>
    <w:rPr>
      <w:rFonts w:ascii="Tahoma" w:hAnsi="Tahoma" w:cs="Tahoma"/>
      <w:sz w:val="16"/>
      <w:szCs w:val="16"/>
    </w:rPr>
  </w:style>
  <w:style w:type="character" w:customStyle="1" w:styleId="BalloonTextChar">
    <w:name w:val="Balloon Text Char"/>
    <w:basedOn w:val="DefaultParagraphFont"/>
    <w:link w:val="BalloonText"/>
    <w:uiPriority w:val="99"/>
    <w:semiHidden/>
    <w:rsid w:val="00713CDD"/>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713CDD"/>
    <w:pPr>
      <w:tabs>
        <w:tab w:val="center" w:pos="4513"/>
        <w:tab w:val="right" w:pos="9026"/>
      </w:tabs>
    </w:pPr>
  </w:style>
  <w:style w:type="character" w:customStyle="1" w:styleId="FooterChar">
    <w:name w:val="Footer Char"/>
    <w:basedOn w:val="DefaultParagraphFont"/>
    <w:link w:val="Footer"/>
    <w:uiPriority w:val="99"/>
    <w:rsid w:val="00713CDD"/>
    <w:rPr>
      <w:rFonts w:ascii="Verdana" w:eastAsia="Times New Roman" w:hAnsi="Verdana" w:cs="Times New Roman"/>
      <w:sz w:val="20"/>
      <w:szCs w:val="20"/>
      <w:lang w:val="en-GB" w:eastAsia="en-GB"/>
    </w:rPr>
  </w:style>
  <w:style w:type="character" w:styleId="Emphasis">
    <w:name w:val="Emphasis"/>
    <w:basedOn w:val="DefaultParagraphFont"/>
    <w:uiPriority w:val="20"/>
    <w:qFormat/>
    <w:rsid w:val="00713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41669%27%5d&amp;xhitlist_md=target-id=0-0-0-154303" TargetMode="External"/><Relationship Id="rId1" Type="http://schemas.openxmlformats.org/officeDocument/2006/relationships/hyperlink" Target="http://www.saflii.org/cgi-bin/LawCite?cit=2016%20%281%29%20SA%20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82E2-485E-4807-9BEC-DE1FC3BA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Mariana Anguelov</cp:lastModifiedBy>
  <cp:revision>3</cp:revision>
  <dcterms:created xsi:type="dcterms:W3CDTF">2022-12-21T09:51:00Z</dcterms:created>
  <dcterms:modified xsi:type="dcterms:W3CDTF">2022-12-21T18:30:00Z</dcterms:modified>
</cp:coreProperties>
</file>