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16E3" w14:textId="05721B35" w:rsidR="00B16DB4" w:rsidRDefault="00F86C8F" w:rsidP="00C82197">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3FB4DEC1">
            <wp:extent cx="1645920" cy="1572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572895"/>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77777777" w:rsidR="00C82197" w:rsidRDefault="00C82197" w:rsidP="00C82197">
      <w:pPr>
        <w:pStyle w:val="Title"/>
        <w:rPr>
          <w:sz w:val="24"/>
          <w:szCs w:val="24"/>
        </w:rPr>
      </w:pPr>
      <w:r>
        <w:rPr>
          <w:sz w:val="24"/>
          <w:szCs w:val="24"/>
        </w:rPr>
        <w:t>IN THE HIGH COURT OF SOUTH AFRICA</w:t>
      </w:r>
    </w:p>
    <w:p w14:paraId="1651ED9D" w14:textId="3B152053"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2EC878CE" w:rsidR="006D4C73" w:rsidRDefault="004415B7"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1A2DA6A3">
                <wp:simplePos x="0" y="0"/>
                <wp:positionH relativeFrom="column">
                  <wp:posOffset>-105410</wp:posOffset>
                </wp:positionH>
                <wp:positionV relativeFrom="paragraph">
                  <wp:posOffset>179070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501CFE90" w:rsidR="006D4C73" w:rsidRDefault="003975BC" w:rsidP="003975BC">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87282C">
                              <w:rPr>
                                <w:rFonts w:ascii="Century Gothic" w:hAnsi="Century Gothic"/>
                                <w:sz w:val="20"/>
                                <w:szCs w:val="20"/>
                              </w:rPr>
                              <w:t>NO</w:t>
                            </w:r>
                          </w:p>
                          <w:p w14:paraId="300C0173" w14:textId="27D922E9" w:rsidR="006D4C73" w:rsidRDefault="003975BC" w:rsidP="003975BC">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87282C">
                              <w:rPr>
                                <w:rFonts w:ascii="Century Gothic" w:hAnsi="Century Gothic"/>
                                <w:sz w:val="20"/>
                                <w:szCs w:val="20"/>
                              </w:rPr>
                              <w:t>NO</w:t>
                            </w:r>
                          </w:p>
                          <w:p w14:paraId="57A058C4" w14:textId="7B4F2F5E" w:rsidR="006D4C73" w:rsidRDefault="003975BC" w:rsidP="003975BC">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28208BF7" w:rsidR="007517F4" w:rsidRDefault="006D4C73"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6646E2A7"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A12390">
                              <w:rPr>
                                <w:rFonts w:ascii="Century Gothic" w:hAnsi="Century Gothic"/>
                                <w:sz w:val="18"/>
                                <w:szCs w:val="18"/>
                              </w:rPr>
                              <w:t xml:space="preserve">15 December </w:t>
                            </w:r>
                            <w:r w:rsidR="0094521E">
                              <w:rPr>
                                <w:rFonts w:ascii="Century Gothic" w:hAnsi="Century Gothic"/>
                                <w:sz w:val="18"/>
                                <w:szCs w:val="18"/>
                              </w:rPr>
                              <w:t>2022</w:t>
                            </w:r>
                            <w:r w:rsidR="0046498E">
                              <w:rPr>
                                <w:rFonts w:ascii="Century Gothic" w:hAnsi="Century Gothic"/>
                                <w:b/>
                                <w:sz w:val="18"/>
                                <w:szCs w:val="18"/>
                              </w:rPr>
                              <w:tab/>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8.3pt;margin-top:14.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">
                <v:textbox>
                  <w:txbxContent>
                    <w:p w14:paraId="56D477FD" w14:textId="501CFE90" w:rsidR="006D4C73" w:rsidRDefault="003975BC" w:rsidP="003975BC">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87282C">
                        <w:rPr>
                          <w:rFonts w:ascii="Century Gothic" w:hAnsi="Century Gothic"/>
                          <w:sz w:val="20"/>
                          <w:szCs w:val="20"/>
                        </w:rPr>
                        <w:t>NO</w:t>
                      </w:r>
                    </w:p>
                    <w:p w14:paraId="300C0173" w14:textId="27D922E9" w:rsidR="006D4C73" w:rsidRDefault="003975BC" w:rsidP="003975BC">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87282C">
                        <w:rPr>
                          <w:rFonts w:ascii="Century Gothic" w:hAnsi="Century Gothic"/>
                          <w:sz w:val="20"/>
                          <w:szCs w:val="20"/>
                        </w:rPr>
                        <w:t>NO</w:t>
                      </w:r>
                    </w:p>
                    <w:p w14:paraId="57A058C4" w14:textId="7B4F2F5E" w:rsidR="006D4C73" w:rsidRDefault="003975BC" w:rsidP="003975BC">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28208BF7" w:rsidR="007517F4" w:rsidRDefault="006D4C73"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6646E2A7"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A12390">
                        <w:rPr>
                          <w:rFonts w:ascii="Century Gothic" w:hAnsi="Century Gothic"/>
                          <w:sz w:val="18"/>
                          <w:szCs w:val="18"/>
                        </w:rPr>
                        <w:t xml:space="preserve">15 December </w:t>
                      </w:r>
                      <w:r w:rsidR="0094521E">
                        <w:rPr>
                          <w:rFonts w:ascii="Century Gothic" w:hAnsi="Century Gothic"/>
                          <w:sz w:val="18"/>
                          <w:szCs w:val="18"/>
                        </w:rPr>
                        <w:t>2022</w:t>
                      </w:r>
                      <w:r w:rsidR="0046498E">
                        <w:rPr>
                          <w:rFonts w:ascii="Century Gothic" w:hAnsi="Century Gothic"/>
                          <w:b/>
                          <w:sz w:val="18"/>
                          <w:szCs w:val="18"/>
                        </w:rPr>
                        <w:tab/>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5BD2F459" w14:textId="3EF23B54" w:rsidR="00A746DF" w:rsidRPr="00A746DF" w:rsidRDefault="00C82197" w:rsidP="00A746DF">
      <w:pPr>
        <w:pStyle w:val="Heading4"/>
        <w:tabs>
          <w:tab w:val="right" w:pos="8646"/>
        </w:tabs>
        <w:jc w:val="left"/>
        <w:rPr>
          <w:b w:val="0"/>
          <w:sz w:val="24"/>
          <w:szCs w:val="24"/>
        </w:rPr>
      </w:pPr>
      <w:r>
        <w:rPr>
          <w:b w:val="0"/>
        </w:rPr>
        <w:t xml:space="preserve">                                                 </w:t>
      </w:r>
      <w:r>
        <w:rPr>
          <w:b w:val="0"/>
          <w:sz w:val="24"/>
          <w:szCs w:val="24"/>
        </w:rPr>
        <w:t xml:space="preserve">    </w:t>
      </w:r>
    </w:p>
    <w:p w14:paraId="46F4E15C" w14:textId="77777777" w:rsidR="00A746DF" w:rsidRDefault="00A746DF" w:rsidP="00A746DF">
      <w:pPr>
        <w:rPr>
          <w:lang w:val="en-ZA" w:eastAsia="ja-JP"/>
        </w:rPr>
      </w:pPr>
    </w:p>
    <w:p w14:paraId="2934C4C1" w14:textId="09566878" w:rsidR="00D261C3" w:rsidRPr="00D261C3" w:rsidRDefault="00D261C3" w:rsidP="00D261C3">
      <w:pPr>
        <w:keepNext/>
        <w:spacing w:line="360" w:lineRule="auto"/>
        <w:jc w:val="right"/>
        <w:outlineLvl w:val="0"/>
        <w:rPr>
          <w:rFonts w:ascii="Arial" w:hAnsi="Arial" w:cs="Arial"/>
          <w:b/>
          <w:bCs/>
          <w:lang w:val="en-US"/>
        </w:rPr>
      </w:pPr>
      <w:r w:rsidRPr="00D261C3">
        <w:rPr>
          <w:rFonts w:ascii="Arial" w:hAnsi="Arial" w:cs="Arial"/>
          <w:b/>
          <w:bCs/>
          <w:lang w:val="en-US"/>
        </w:rPr>
        <w:t xml:space="preserve">CASE NUMBER: </w:t>
      </w:r>
      <w:r w:rsidR="000E6377">
        <w:rPr>
          <w:rFonts w:ascii="Arial" w:hAnsi="Arial" w:cs="Arial"/>
          <w:lang w:val="en-US"/>
        </w:rPr>
        <w:t>21713/2017</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116F4D75" w14:textId="6D5A996F" w:rsidR="00D261C3" w:rsidRPr="00D261C3" w:rsidRDefault="000E6377" w:rsidP="00D261C3">
      <w:pPr>
        <w:tabs>
          <w:tab w:val="right" w:pos="8646"/>
        </w:tabs>
        <w:rPr>
          <w:rFonts w:ascii="Arial" w:hAnsi="Arial"/>
        </w:rPr>
      </w:pPr>
      <w:r>
        <w:rPr>
          <w:rFonts w:ascii="Arial" w:hAnsi="Arial"/>
          <w:b/>
        </w:rPr>
        <w:t>VUKUYIBAMBE STANLEY RADEBE</w:t>
      </w:r>
      <w:r w:rsidR="00D261C3" w:rsidRPr="00D261C3">
        <w:rPr>
          <w:rFonts w:ascii="Arial" w:hAnsi="Arial"/>
          <w:b/>
        </w:rPr>
        <w:tab/>
      </w:r>
      <w:r w:rsidRPr="000E6377">
        <w:rPr>
          <w:rFonts w:ascii="Arial" w:hAnsi="Arial"/>
          <w:bCs/>
        </w:rPr>
        <w:t>Plaintiff</w:t>
      </w:r>
    </w:p>
    <w:p w14:paraId="75FB4E4D" w14:textId="77777777" w:rsidR="00D261C3" w:rsidRPr="00D261C3" w:rsidRDefault="00D261C3"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1991BB09" w:rsidR="00D261C3" w:rsidRPr="00D261C3" w:rsidRDefault="000E6377" w:rsidP="00D261C3">
      <w:pPr>
        <w:tabs>
          <w:tab w:val="right" w:pos="8646"/>
        </w:tabs>
        <w:rPr>
          <w:rFonts w:ascii="Arial" w:hAnsi="Arial"/>
          <w:bCs/>
        </w:rPr>
      </w:pPr>
      <w:r>
        <w:rPr>
          <w:rFonts w:ascii="Arial" w:hAnsi="Arial"/>
          <w:b/>
        </w:rPr>
        <w:t>PASSENGER RAIL AGENCY OF SOUTH AFRICA</w:t>
      </w:r>
      <w:r w:rsidR="00D261C3" w:rsidRPr="00D261C3">
        <w:rPr>
          <w:rFonts w:ascii="Arial" w:hAnsi="Arial"/>
          <w:b/>
        </w:rPr>
        <w:tab/>
      </w:r>
      <w:r>
        <w:rPr>
          <w:rFonts w:ascii="Arial" w:hAnsi="Arial"/>
          <w:bCs/>
        </w:rPr>
        <w:t>Defendant</w:t>
      </w:r>
    </w:p>
    <w:p w14:paraId="57BB962C" w14:textId="77777777" w:rsidR="00D261C3" w:rsidRPr="00D261C3" w:rsidRDefault="00D261C3"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1839FC58" w:rsidR="00A746DF" w:rsidRDefault="000E6377" w:rsidP="00A746DF">
      <w:pPr>
        <w:pStyle w:val="Heading5"/>
        <w:rPr>
          <w:sz w:val="24"/>
          <w:szCs w:val="24"/>
        </w:rPr>
      </w:pPr>
      <w:r>
        <w:rPr>
          <w:sz w:val="24"/>
          <w:szCs w:val="24"/>
        </w:rPr>
        <w:t>JUDGMENT</w:t>
      </w:r>
      <w:r w:rsidR="00A12390">
        <w:rPr>
          <w:sz w:val="24"/>
          <w:szCs w:val="24"/>
        </w:rPr>
        <w:t>: LEAVE TO APPEAL</w:t>
      </w:r>
    </w:p>
    <w:p w14:paraId="66FABE72" w14:textId="77777777" w:rsidR="00A746DF" w:rsidRDefault="00A746DF" w:rsidP="00A746DF">
      <w:pPr>
        <w:pBdr>
          <w:bottom w:val="single" w:sz="12" w:space="1" w:color="auto"/>
        </w:pBdr>
        <w:jc w:val="center"/>
        <w:rPr>
          <w:rFonts w:ascii="Arial" w:hAnsi="Arial"/>
          <w:b/>
          <w:sz w:val="16"/>
          <w:szCs w:val="16"/>
        </w:rPr>
      </w:pPr>
    </w:p>
    <w:p w14:paraId="7BD58062" w14:textId="77777777" w:rsidR="00D261C3" w:rsidRDefault="00D261C3" w:rsidP="00A746DF">
      <w:pPr>
        <w:spacing w:line="360" w:lineRule="auto"/>
        <w:contextualSpacing/>
        <w:jc w:val="both"/>
        <w:rPr>
          <w:rFonts w:ascii="Arial" w:eastAsia="Calibri" w:hAnsi="Arial" w:cs="Arial"/>
          <w:b/>
          <w:bCs/>
          <w:u w:val="single"/>
        </w:rPr>
      </w:pPr>
    </w:p>
    <w:p w14:paraId="2949F8DA" w14:textId="03927837" w:rsidR="00B16DB4" w:rsidRPr="00B16DB4" w:rsidRDefault="00B16DB4" w:rsidP="00A746DF">
      <w:pPr>
        <w:spacing w:line="360" w:lineRule="auto"/>
        <w:contextualSpacing/>
        <w:jc w:val="both"/>
        <w:rPr>
          <w:rFonts w:ascii="Arial" w:eastAsia="Calibri" w:hAnsi="Arial" w:cs="Arial"/>
          <w:b/>
          <w:bCs/>
        </w:rPr>
      </w:pPr>
      <w:r w:rsidRPr="00925A62">
        <w:rPr>
          <w:rFonts w:ascii="Arial" w:eastAsia="Calibri" w:hAnsi="Arial" w:cs="Arial"/>
          <w:b/>
          <w:bCs/>
          <w:u w:val="single"/>
        </w:rPr>
        <w:t>WILSON J</w:t>
      </w:r>
      <w:r w:rsidR="00925A62">
        <w:rPr>
          <w:rFonts w:ascii="Arial" w:eastAsia="Calibri" w:hAnsi="Arial" w:cs="Arial"/>
          <w:b/>
          <w:bCs/>
        </w:rPr>
        <w:t>:</w:t>
      </w:r>
    </w:p>
    <w:p w14:paraId="15DC96D1" w14:textId="77777777" w:rsidR="00C82197" w:rsidRDefault="00C82197" w:rsidP="00C82197">
      <w:pPr>
        <w:spacing w:line="360" w:lineRule="auto"/>
        <w:contextualSpacing/>
        <w:rPr>
          <w:rFonts w:ascii="Arial" w:eastAsia="Calibri" w:hAnsi="Arial" w:cs="Arial"/>
        </w:rPr>
      </w:pPr>
    </w:p>
    <w:p w14:paraId="03F1208E" w14:textId="509EE8A0" w:rsidR="00A12390" w:rsidRDefault="003975BC" w:rsidP="003975BC">
      <w:pPr>
        <w:pStyle w:val="Paragraph12pt"/>
        <w:tabs>
          <w:tab w:val="left" w:pos="851"/>
        </w:tabs>
        <w:ind w:left="851" w:hanging="851"/>
      </w:pPr>
      <w:r>
        <w:rPr>
          <w:rFonts w:cs="Arial"/>
          <w:color w:val="000000"/>
          <w:szCs w:val="24"/>
        </w:rPr>
        <w:t>1</w:t>
      </w:r>
      <w:r>
        <w:rPr>
          <w:rFonts w:cs="Arial"/>
          <w:color w:val="000000"/>
          <w:szCs w:val="24"/>
        </w:rPr>
        <w:tab/>
      </w:r>
      <w:r w:rsidR="00A12390">
        <w:t>The defendant, PRASA, seeks leave to appeal against my order of 31 October 2022. In that order, I assessed the damages sustained by the Plaintiff, Mr. Radebe, at R1 178 372 (one million, one hundred and seventy-eight thousand three hundred and seventy-two rand), and</w:t>
      </w:r>
      <w:r w:rsidR="00B16FA9">
        <w:t xml:space="preserve"> I</w:t>
      </w:r>
      <w:r w:rsidR="00A12390">
        <w:t xml:space="preserve"> directed PRASA to pay half that amount. </w:t>
      </w:r>
    </w:p>
    <w:p w14:paraId="050034DB" w14:textId="117F02E6" w:rsidR="00A12390" w:rsidRDefault="003975BC" w:rsidP="003975BC">
      <w:pPr>
        <w:pStyle w:val="Paragraph12pt"/>
        <w:tabs>
          <w:tab w:val="left" w:pos="851"/>
        </w:tabs>
        <w:ind w:left="851" w:hanging="851"/>
      </w:pPr>
      <w:r>
        <w:rPr>
          <w:rFonts w:cs="Arial"/>
          <w:color w:val="000000"/>
          <w:szCs w:val="24"/>
        </w:rPr>
        <w:lastRenderedPageBreak/>
        <w:t>2</w:t>
      </w:r>
      <w:r>
        <w:rPr>
          <w:rFonts w:cs="Arial"/>
          <w:color w:val="000000"/>
          <w:szCs w:val="24"/>
        </w:rPr>
        <w:tab/>
      </w:r>
      <w:r w:rsidR="00A12390">
        <w:t xml:space="preserve">My award was made up of three principal components: general damages, loss of </w:t>
      </w:r>
      <w:r w:rsidR="00B16FA9">
        <w:t xml:space="preserve">future </w:t>
      </w:r>
      <w:r w:rsidR="00A12390">
        <w:t xml:space="preserve">earning capacity, and future medical </w:t>
      </w:r>
      <w:r w:rsidR="008E7105">
        <w:t xml:space="preserve">and related </w:t>
      </w:r>
      <w:r w:rsidR="00A12390">
        <w:t xml:space="preserve">expenses. PRASA submits that there is a reasonable prospect that a court of appeal will find that I was mistaken in the amounts I awarded for each one of these components. </w:t>
      </w:r>
    </w:p>
    <w:p w14:paraId="7FC3D3B7" w14:textId="4885123D" w:rsidR="00A12390" w:rsidRPr="00A12390" w:rsidRDefault="00A12390" w:rsidP="00A12390">
      <w:pPr>
        <w:pStyle w:val="Paragraph12pt"/>
        <w:rPr>
          <w:b/>
          <w:bCs/>
        </w:rPr>
      </w:pPr>
      <w:r w:rsidRPr="00A12390">
        <w:rPr>
          <w:b/>
          <w:bCs/>
        </w:rPr>
        <w:t>General Damages</w:t>
      </w:r>
    </w:p>
    <w:p w14:paraId="010266B3" w14:textId="18B922F6" w:rsidR="00A12390" w:rsidRDefault="003975BC" w:rsidP="003975BC">
      <w:pPr>
        <w:pStyle w:val="Paragraph12pt"/>
        <w:tabs>
          <w:tab w:val="left" w:pos="851"/>
        </w:tabs>
        <w:ind w:left="851" w:hanging="851"/>
      </w:pPr>
      <w:r>
        <w:rPr>
          <w:rFonts w:cs="Arial"/>
          <w:color w:val="000000"/>
          <w:szCs w:val="24"/>
        </w:rPr>
        <w:t>3</w:t>
      </w:r>
      <w:r>
        <w:rPr>
          <w:rFonts w:cs="Arial"/>
          <w:color w:val="000000"/>
          <w:szCs w:val="24"/>
        </w:rPr>
        <w:tab/>
      </w:r>
      <w:r w:rsidR="00A12390">
        <w:t xml:space="preserve">Mr. Sadiki, who appeared for PRASA </w:t>
      </w:r>
      <w:r w:rsidR="00E4137E">
        <w:t xml:space="preserve">to argue the leave to appeal application, submitted that the award I made for general damages was not comparable to awards made in similar cases. However, he did not suggest that I was wrong when I found that the range established in the cases for injuries of the kind Mr. Radebe sustained was between R150 000 and R746 000. He argued instead that my assessment of Mr. Radebe’s damages as being on the upper end of that scale was flawed, because I failed to </w:t>
      </w:r>
      <w:proofErr w:type="gramStart"/>
      <w:r w:rsidR="00E4137E">
        <w:t>take into account</w:t>
      </w:r>
      <w:proofErr w:type="gramEnd"/>
      <w:r w:rsidR="00E4137E">
        <w:t xml:space="preserve"> that Mr. </w:t>
      </w:r>
      <w:r w:rsidR="003C0720">
        <w:t xml:space="preserve">Radebe can expect his injury to heal completely with appropriate rehabilitative treatment. </w:t>
      </w:r>
    </w:p>
    <w:p w14:paraId="12163EE6" w14:textId="0ED19120" w:rsidR="003C0720" w:rsidRDefault="003975BC" w:rsidP="003975BC">
      <w:pPr>
        <w:pStyle w:val="Paragraph12pt"/>
        <w:tabs>
          <w:tab w:val="left" w:pos="851"/>
        </w:tabs>
        <w:ind w:left="851" w:hanging="851"/>
      </w:pPr>
      <w:r>
        <w:rPr>
          <w:rFonts w:cs="Arial"/>
          <w:color w:val="000000"/>
          <w:szCs w:val="24"/>
        </w:rPr>
        <w:t>4</w:t>
      </w:r>
      <w:r>
        <w:rPr>
          <w:rFonts w:cs="Arial"/>
          <w:color w:val="000000"/>
          <w:szCs w:val="24"/>
        </w:rPr>
        <w:tab/>
      </w:r>
      <w:r w:rsidR="003C0720">
        <w:t xml:space="preserve">Had that been the evidence, I would agree. But that was not the evidence. The evidence was that, while Mr. Radebe’s bones had fused, the injury he sustained will result in a loss of strength in his right arm, and is likely to result in chronic, if intermittent, pain for at least the foreseeable future. </w:t>
      </w:r>
    </w:p>
    <w:p w14:paraId="19124392" w14:textId="42A353C5" w:rsidR="00C86C1D" w:rsidRDefault="003975BC" w:rsidP="003975BC">
      <w:pPr>
        <w:pStyle w:val="Paragraph12pt"/>
        <w:tabs>
          <w:tab w:val="left" w:pos="851"/>
        </w:tabs>
        <w:ind w:left="851" w:hanging="851"/>
      </w:pPr>
      <w:r>
        <w:rPr>
          <w:rFonts w:cs="Arial"/>
          <w:color w:val="000000"/>
          <w:szCs w:val="24"/>
        </w:rPr>
        <w:t>5</w:t>
      </w:r>
      <w:r>
        <w:rPr>
          <w:rFonts w:cs="Arial"/>
          <w:color w:val="000000"/>
          <w:szCs w:val="24"/>
        </w:rPr>
        <w:tab/>
      </w:r>
      <w:r w:rsidR="003C0720">
        <w:t xml:space="preserve">PRASA challenged none of this evidence. </w:t>
      </w:r>
      <w:r w:rsidR="00115A83">
        <w:t>Mr. Radebe’s</w:t>
      </w:r>
      <w:r w:rsidR="003C0720">
        <w:t xml:space="preserve"> inability to do heavy labour</w:t>
      </w:r>
      <w:r w:rsidR="00C01012">
        <w:t xml:space="preserve"> in future</w:t>
      </w:r>
      <w:r w:rsidR="003C0720">
        <w:t xml:space="preserve"> </w:t>
      </w:r>
      <w:r w:rsidR="00C01012">
        <w:t xml:space="preserve">was an uncontested assumption of the evidence given by </w:t>
      </w:r>
      <w:proofErr w:type="gramStart"/>
      <w:r w:rsidR="00C01012">
        <w:t>all of</w:t>
      </w:r>
      <w:proofErr w:type="gramEnd"/>
      <w:r w:rsidR="00C01012">
        <w:t xml:space="preserve"> the expert witnesses. It was also</w:t>
      </w:r>
      <w:r w:rsidR="003C0720">
        <w:t xml:space="preserve"> acknowledged in the joint minutes of the orthopaedic surgeons</w:t>
      </w:r>
      <w:r w:rsidR="00E0602A">
        <w:t>,</w:t>
      </w:r>
      <w:r w:rsidR="003C0720">
        <w:t xml:space="preserve"> by which PRASA is bound. Given that Mr. Radebe labours for a living, and given the likelihood of chronic pain</w:t>
      </w:r>
      <w:r w:rsidR="008E7105">
        <w:t xml:space="preserve"> in future</w:t>
      </w:r>
      <w:r w:rsidR="003C0720">
        <w:t xml:space="preserve">, I assessed Mr. Radebe’s damages in the upper part of the range established in </w:t>
      </w:r>
      <w:r w:rsidR="003C0720">
        <w:lastRenderedPageBreak/>
        <w:t xml:space="preserve">argument - though not at the very top end, because I was not convinced that </w:t>
      </w:r>
      <w:r w:rsidR="008E7105">
        <w:t xml:space="preserve">the consequences of </w:t>
      </w:r>
      <w:r w:rsidR="003C0720">
        <w:t>Mr. Radebe’s injuries were comparable to the most serious</w:t>
      </w:r>
      <w:r w:rsidR="008E7105">
        <w:t xml:space="preserve"> consequences </w:t>
      </w:r>
      <w:r w:rsidR="00E0602A">
        <w:t xml:space="preserve">featured </w:t>
      </w:r>
      <w:r w:rsidR="008E7105">
        <w:t xml:space="preserve">in the cases at the top of the </w:t>
      </w:r>
      <w:r w:rsidR="003C0720">
        <w:t xml:space="preserve">scale. </w:t>
      </w:r>
    </w:p>
    <w:p w14:paraId="43A5CF6F" w14:textId="3BBC5205" w:rsidR="00C86C1D" w:rsidRDefault="003975BC" w:rsidP="003975BC">
      <w:pPr>
        <w:pStyle w:val="Paragraph12pt"/>
        <w:tabs>
          <w:tab w:val="left" w:pos="851"/>
        </w:tabs>
        <w:ind w:left="851" w:hanging="851"/>
      </w:pPr>
      <w:r>
        <w:rPr>
          <w:rFonts w:cs="Arial"/>
          <w:color w:val="000000"/>
          <w:szCs w:val="24"/>
        </w:rPr>
        <w:t>6</w:t>
      </w:r>
      <w:r>
        <w:rPr>
          <w:rFonts w:cs="Arial"/>
          <w:color w:val="000000"/>
          <w:szCs w:val="24"/>
        </w:rPr>
        <w:tab/>
      </w:r>
      <w:r w:rsidR="00C86C1D">
        <w:t xml:space="preserve">Mr. Sadiki was unable to point to any respect in which the evidence was in tension with or failed to support this assessment. It follows that, given the broad discretion accorded to trial courts in the </w:t>
      </w:r>
      <w:r w:rsidR="008E7105">
        <w:t>quantification</w:t>
      </w:r>
      <w:r w:rsidR="00C86C1D">
        <w:t xml:space="preserve"> of general damages, there are no prospects of success in an appeal against this aspect of my award. </w:t>
      </w:r>
    </w:p>
    <w:p w14:paraId="143D5ACE" w14:textId="24653881" w:rsidR="00C86C1D" w:rsidRPr="00C86C1D" w:rsidRDefault="00C86C1D" w:rsidP="00C86C1D">
      <w:pPr>
        <w:pStyle w:val="Paragraph12pt"/>
        <w:rPr>
          <w:b/>
          <w:bCs/>
        </w:rPr>
      </w:pPr>
      <w:r w:rsidRPr="00C86C1D">
        <w:rPr>
          <w:b/>
          <w:bCs/>
        </w:rPr>
        <w:t>Future Earning Capacity</w:t>
      </w:r>
    </w:p>
    <w:p w14:paraId="18F25F9B" w14:textId="273BC9E0" w:rsidR="00C86C1D" w:rsidRDefault="003975BC" w:rsidP="003975BC">
      <w:pPr>
        <w:pStyle w:val="Paragraph12pt"/>
        <w:tabs>
          <w:tab w:val="left" w:pos="851"/>
        </w:tabs>
        <w:ind w:left="851" w:hanging="851"/>
      </w:pPr>
      <w:r>
        <w:rPr>
          <w:rFonts w:cs="Arial"/>
          <w:color w:val="000000"/>
          <w:szCs w:val="24"/>
        </w:rPr>
        <w:t>7</w:t>
      </w:r>
      <w:r>
        <w:rPr>
          <w:rFonts w:cs="Arial"/>
          <w:color w:val="000000"/>
          <w:szCs w:val="24"/>
        </w:rPr>
        <w:tab/>
      </w:r>
      <w:r w:rsidR="00C86C1D">
        <w:t>Mr. Sadiki submitted that I was wrong to accept the basic figures with which I calculated Mr. Radebe’s pre-</w:t>
      </w:r>
      <w:proofErr w:type="gramStart"/>
      <w:r w:rsidR="00C86C1D">
        <w:t>accident  earning</w:t>
      </w:r>
      <w:proofErr w:type="gramEnd"/>
      <w:r w:rsidR="00C86C1D">
        <w:t xml:space="preserve"> capacity. These figures were based </w:t>
      </w:r>
      <w:r w:rsidR="008E7105">
        <w:t>o</w:t>
      </w:r>
      <w:r w:rsidR="00C86C1D">
        <w:t xml:space="preserve">n aspects of industrial psychologists’ and occupational therapists’ </w:t>
      </w:r>
      <w:r w:rsidR="00FC3A4E">
        <w:t>evidence</w:t>
      </w:r>
      <w:r w:rsidR="00C86C1D">
        <w:t xml:space="preserve"> that were not challenged in cross-examination</w:t>
      </w:r>
      <w:r w:rsidR="00FC3A4E">
        <w:t xml:space="preserve">, and </w:t>
      </w:r>
      <w:r w:rsidR="008E7105">
        <w:t>o</w:t>
      </w:r>
      <w:r w:rsidR="00FC3A4E">
        <w:t>n aspects of the joint minutes which were, of course, not open to challenge</w:t>
      </w:r>
      <w:r w:rsidR="00C86C1D">
        <w:t xml:space="preserve">. Mr. Sadiki nonetheless suggested that Mr. Radebe had failed to prove his pre-accident capacity because (a) he was not working at the time of the accident and (b) he could not produce documentary evidence of his </w:t>
      </w:r>
      <w:r w:rsidR="008A7E4E">
        <w:t xml:space="preserve">pre-accident earnings. </w:t>
      </w:r>
    </w:p>
    <w:p w14:paraId="3F06F623" w14:textId="2EE1CB2A" w:rsidR="008A7E4E" w:rsidRDefault="003975BC" w:rsidP="003975BC">
      <w:pPr>
        <w:pStyle w:val="Paragraph12pt"/>
        <w:tabs>
          <w:tab w:val="left" w:pos="851"/>
        </w:tabs>
        <w:ind w:left="851" w:hanging="851"/>
      </w:pPr>
      <w:r>
        <w:rPr>
          <w:rFonts w:cs="Arial"/>
          <w:color w:val="000000"/>
          <w:szCs w:val="24"/>
        </w:rPr>
        <w:t>8</w:t>
      </w:r>
      <w:r>
        <w:rPr>
          <w:rFonts w:cs="Arial"/>
          <w:color w:val="000000"/>
          <w:szCs w:val="24"/>
        </w:rPr>
        <w:tab/>
      </w:r>
      <w:r w:rsidR="008A7E4E">
        <w:t xml:space="preserve">It is true that Mr. Radebe had been retrenched from his job shortly before his accident. But that obviously does not mean that he had no earning capacity before he was injured. It is </w:t>
      </w:r>
      <w:proofErr w:type="gramStart"/>
      <w:r w:rsidR="008A7E4E">
        <w:t>in the nature of a</w:t>
      </w:r>
      <w:proofErr w:type="gramEnd"/>
      <w:r w:rsidR="008A7E4E">
        <w:t xml:space="preserve"> labourer’s work that they will have to endure periods of unemployment between contracts. That fact makes no difference to my assessment of what Mr. Radebe was earning, as a fact, in the months and years leading up to his injury. </w:t>
      </w:r>
    </w:p>
    <w:p w14:paraId="4098D324" w14:textId="3796CA75" w:rsidR="008A7E4E" w:rsidRDefault="003975BC" w:rsidP="003975BC">
      <w:pPr>
        <w:pStyle w:val="Paragraph12pt"/>
        <w:tabs>
          <w:tab w:val="left" w:pos="851"/>
        </w:tabs>
        <w:ind w:left="851" w:hanging="851"/>
      </w:pPr>
      <w:r>
        <w:rPr>
          <w:rFonts w:cs="Arial"/>
          <w:color w:val="000000"/>
          <w:szCs w:val="24"/>
        </w:rPr>
        <w:lastRenderedPageBreak/>
        <w:t>9</w:t>
      </w:r>
      <w:r>
        <w:rPr>
          <w:rFonts w:cs="Arial"/>
          <w:color w:val="000000"/>
          <w:szCs w:val="24"/>
        </w:rPr>
        <w:tab/>
      </w:r>
      <w:r w:rsidR="008A7E4E">
        <w:t>It is also in the nature of the type of work that Mr. Radebe does that it is seldom well-documented. It is common for unskilled labourers to be paid in cash</w:t>
      </w:r>
      <w:r w:rsidR="008E7105">
        <w:t>. P</w:t>
      </w:r>
      <w:r w:rsidR="008A7E4E">
        <w:t>oor working people in Mr. Radebe’s position generally find it difficult to provide a precise accounting of their income. It was necessary, in these circumstances, for me to rely on the best evidence available</w:t>
      </w:r>
      <w:r w:rsidR="008E7105">
        <w:t>. That evidence was</w:t>
      </w:r>
      <w:r w:rsidR="008A7E4E">
        <w:t xml:space="preserve"> the unchallenged contents of expert </w:t>
      </w:r>
      <w:r w:rsidR="008E7105">
        <w:t>reports</w:t>
      </w:r>
      <w:r w:rsidR="008A7E4E">
        <w:t xml:space="preserve"> submitted on Mr. Radebe’s behalf. </w:t>
      </w:r>
    </w:p>
    <w:p w14:paraId="634A3897" w14:textId="125DE7EB" w:rsidR="008A7E4E" w:rsidRDefault="003975BC" w:rsidP="003975BC">
      <w:pPr>
        <w:pStyle w:val="Paragraph12pt"/>
        <w:tabs>
          <w:tab w:val="left" w:pos="851"/>
        </w:tabs>
        <w:ind w:left="851" w:hanging="851"/>
      </w:pPr>
      <w:r>
        <w:rPr>
          <w:rFonts w:cs="Arial"/>
          <w:color w:val="000000"/>
          <w:szCs w:val="24"/>
        </w:rPr>
        <w:t>10</w:t>
      </w:r>
      <w:r>
        <w:rPr>
          <w:rFonts w:cs="Arial"/>
          <w:color w:val="000000"/>
          <w:szCs w:val="24"/>
        </w:rPr>
        <w:tab/>
      </w:r>
      <w:r w:rsidR="008A7E4E">
        <w:t xml:space="preserve">Had Mr. Radebe’s failure to provide documentary evidence of his income been raised at </w:t>
      </w:r>
      <w:proofErr w:type="gramStart"/>
      <w:r w:rsidR="008A7E4E">
        <w:t>trial, or</w:t>
      </w:r>
      <w:proofErr w:type="gramEnd"/>
      <w:r w:rsidR="008A7E4E">
        <w:t xml:space="preserve"> had PRASA led any evidence to contradict the figures supplied on Mr. Radebe’s behalf, things might have been different. But I cannot conclude on the case as it was presented and argued that there is any prospect that a court of appeal will find that I was wrong to adopt the</w:t>
      </w:r>
      <w:r w:rsidR="00E0602A">
        <w:t>se</w:t>
      </w:r>
      <w:r w:rsidR="008A7E4E">
        <w:t xml:space="preserve"> figures. </w:t>
      </w:r>
    </w:p>
    <w:p w14:paraId="04B23EA7" w14:textId="4960670B" w:rsidR="008A7E4E" w:rsidRDefault="003975BC" w:rsidP="003975BC">
      <w:pPr>
        <w:pStyle w:val="Paragraph12pt"/>
        <w:tabs>
          <w:tab w:val="left" w:pos="851"/>
        </w:tabs>
        <w:ind w:left="851" w:hanging="851"/>
      </w:pPr>
      <w:r>
        <w:rPr>
          <w:rFonts w:cs="Arial"/>
          <w:color w:val="000000"/>
          <w:szCs w:val="24"/>
        </w:rPr>
        <w:t>11</w:t>
      </w:r>
      <w:r>
        <w:rPr>
          <w:rFonts w:cs="Arial"/>
          <w:color w:val="000000"/>
          <w:szCs w:val="24"/>
        </w:rPr>
        <w:tab/>
      </w:r>
      <w:r w:rsidR="008A7E4E">
        <w:t xml:space="preserve">Mr. Sadiki then suggested that the calculation I performed using the figures supplied in the expert evidence and joint minutes was flawed. However, I was unable to ascertain in what respect Mr. Sadiki </w:t>
      </w:r>
      <w:r w:rsidR="000F0300">
        <w:t xml:space="preserve">found my calculations wanting. </w:t>
      </w:r>
      <w:r w:rsidR="008E7105">
        <w:t>It was said that I did not follow</w:t>
      </w:r>
      <w:r w:rsidR="000F0300">
        <w:t xml:space="preserve"> the steps set out in unreported High Court decision of </w:t>
      </w:r>
      <w:proofErr w:type="spellStart"/>
      <w:r w:rsidR="000F0300" w:rsidRPr="008E5EE2">
        <w:rPr>
          <w:i/>
          <w:iCs/>
        </w:rPr>
        <w:t>Sweatman</w:t>
      </w:r>
      <w:proofErr w:type="spellEnd"/>
      <w:r w:rsidR="000F0300" w:rsidRPr="008E5EE2">
        <w:rPr>
          <w:i/>
          <w:iCs/>
        </w:rPr>
        <w:t xml:space="preserve"> v Road Accident Fund</w:t>
      </w:r>
      <w:r w:rsidR="000F0300">
        <w:t xml:space="preserve"> (</w:t>
      </w:r>
      <w:r w:rsidR="008E5EE2">
        <w:t>a decision of the Cape High Court, Griesel J presiding, under c</w:t>
      </w:r>
      <w:r w:rsidR="000F0300">
        <w:t xml:space="preserve">ase no. 17258/2011, </w:t>
      </w:r>
      <w:r w:rsidR="008E5EE2">
        <w:t xml:space="preserve">decided on 3 December 2013). </w:t>
      </w:r>
      <w:r w:rsidR="000F0300">
        <w:t xml:space="preserve"> </w:t>
      </w:r>
      <w:r w:rsidR="008E5EE2">
        <w:t>Save for my decision not to apply a contingency</w:t>
      </w:r>
      <w:r w:rsidR="00115A83">
        <w:t xml:space="preserve"> deduction</w:t>
      </w:r>
      <w:r w:rsidR="008E5EE2">
        <w:t xml:space="preserve"> to the figure I arrived at, Mr. Sadiki was unable to point out in what respect my method departed from that of Griesel J, and I could </w:t>
      </w:r>
      <w:r w:rsidR="008E7105">
        <w:t xml:space="preserve">otherwise </w:t>
      </w:r>
      <w:r w:rsidR="008E5EE2">
        <w:t>see non</w:t>
      </w:r>
      <w:r w:rsidR="008E7105">
        <w:t>e</w:t>
      </w:r>
      <w:r w:rsidR="008E5EE2">
        <w:t xml:space="preserve">. Griesel J’s decision was later confirmed on appeal in </w:t>
      </w:r>
      <w:r w:rsidR="008E5EE2" w:rsidRPr="008E5EE2">
        <w:rPr>
          <w:i/>
          <w:iCs/>
        </w:rPr>
        <w:t xml:space="preserve">Road Accident Fund v </w:t>
      </w:r>
      <w:proofErr w:type="spellStart"/>
      <w:r w:rsidR="008E5EE2" w:rsidRPr="008E5EE2">
        <w:rPr>
          <w:i/>
          <w:iCs/>
        </w:rPr>
        <w:t>Sweatman</w:t>
      </w:r>
      <w:proofErr w:type="spellEnd"/>
      <w:r w:rsidR="008E5EE2">
        <w:t xml:space="preserve"> </w:t>
      </w:r>
      <w:r w:rsidR="000F0300" w:rsidRPr="000F0300">
        <w:t>2015 (6) SA 186 (SCA)</w:t>
      </w:r>
      <w:r w:rsidR="008E5EE2">
        <w:t>.</w:t>
      </w:r>
      <w:r w:rsidR="008E7105">
        <w:t xml:space="preserve"> The Supreme Court of Appeal’s decision appears to me to be entirely consistent with the approach I adopted in this case. </w:t>
      </w:r>
    </w:p>
    <w:p w14:paraId="3B7DC4B1" w14:textId="0B07E81D" w:rsidR="000F0300" w:rsidRDefault="003975BC" w:rsidP="003975BC">
      <w:pPr>
        <w:pStyle w:val="Paragraph12pt"/>
        <w:tabs>
          <w:tab w:val="left" w:pos="851"/>
        </w:tabs>
        <w:ind w:left="851" w:hanging="851"/>
      </w:pPr>
      <w:r>
        <w:rPr>
          <w:rFonts w:cs="Arial"/>
          <w:color w:val="000000"/>
          <w:szCs w:val="24"/>
        </w:rPr>
        <w:lastRenderedPageBreak/>
        <w:t>12</w:t>
      </w:r>
      <w:r>
        <w:rPr>
          <w:rFonts w:cs="Arial"/>
          <w:color w:val="000000"/>
          <w:szCs w:val="24"/>
        </w:rPr>
        <w:tab/>
      </w:r>
      <w:r w:rsidR="008E5EE2">
        <w:t>That leaves Mr. Sadiki’s criticism of my decision not to apply a contingency</w:t>
      </w:r>
      <w:r w:rsidR="00115A83">
        <w:t xml:space="preserve"> deduction</w:t>
      </w:r>
      <w:r w:rsidR="008E5EE2">
        <w:t xml:space="preserve"> to the</w:t>
      </w:r>
      <w:r w:rsidR="00E0602A">
        <w:t xml:space="preserve"> value I assigned to his</w:t>
      </w:r>
      <w:r w:rsidR="008E5EE2">
        <w:t xml:space="preserve"> loss of future earning capacity. However, Mr. Sadiki was unable to say on what basis I could have applied a contingency</w:t>
      </w:r>
      <w:r w:rsidR="00115A83">
        <w:t xml:space="preserve"> deduction</w:t>
      </w:r>
      <w:r w:rsidR="008E5EE2">
        <w:t>, given that I heard no evidence on which a reasonable contingency</w:t>
      </w:r>
      <w:r w:rsidR="00115A83">
        <w:t xml:space="preserve"> deduction</w:t>
      </w:r>
      <w:r w:rsidR="008E5EE2">
        <w:t xml:space="preserve"> could have been calculated. Contingency values cannot and should not be plucked from the air. Having elected to challenge neither the evidence of Mr. Radebe’s past earning capacity, nor the evidence of Mr. Radebe’s pre- and post- morbid future earning capacity, it was open to PRASA to lead evidence of what vicissitudes of life Mr. Radebe could expect apart from the injury for which it was partly responsible</w:t>
      </w:r>
      <w:r w:rsidR="008E7105">
        <w:t>. O</w:t>
      </w:r>
      <w:r w:rsidR="00FC3A4E">
        <w:t>n th</w:t>
      </w:r>
      <w:r w:rsidR="008E7105">
        <w:t>at</w:t>
      </w:r>
      <w:r w:rsidR="00FC3A4E">
        <w:t xml:space="preserve"> basis</w:t>
      </w:r>
      <w:r w:rsidR="008E7105">
        <w:t xml:space="preserve"> </w:t>
      </w:r>
      <w:r w:rsidR="00FC3A4E">
        <w:t>a contingency deduction could have been made</w:t>
      </w:r>
      <w:r w:rsidR="008E5EE2">
        <w:t xml:space="preserve">. </w:t>
      </w:r>
      <w:r w:rsidR="008E7105">
        <w:t xml:space="preserve">But </w:t>
      </w:r>
      <w:r w:rsidR="008E5EE2">
        <w:t xml:space="preserve">PRASA led no such evidence (indeed, </w:t>
      </w:r>
      <w:r w:rsidR="00FC3A4E">
        <w:t>PRASA</w:t>
      </w:r>
      <w:r w:rsidR="008E5EE2">
        <w:t xml:space="preserve"> elected to lead no evidence at all). </w:t>
      </w:r>
    </w:p>
    <w:p w14:paraId="567DBEA4" w14:textId="2CB3DBE7" w:rsidR="00FC3A4E" w:rsidRDefault="003975BC" w:rsidP="003975BC">
      <w:pPr>
        <w:pStyle w:val="Paragraph12pt"/>
        <w:tabs>
          <w:tab w:val="left" w:pos="851"/>
        </w:tabs>
        <w:ind w:left="851" w:hanging="851"/>
      </w:pPr>
      <w:r>
        <w:rPr>
          <w:rFonts w:cs="Arial"/>
          <w:color w:val="000000"/>
          <w:szCs w:val="24"/>
        </w:rPr>
        <w:t>13</w:t>
      </w:r>
      <w:r>
        <w:rPr>
          <w:rFonts w:cs="Arial"/>
          <w:color w:val="000000"/>
          <w:szCs w:val="24"/>
        </w:rPr>
        <w:tab/>
      </w:r>
      <w:r w:rsidR="00FC3A4E">
        <w:t xml:space="preserve">In these circumstances, I cannot conclude that there is any prospect of a court of appeal interfering with my award for loss of future earning capacity. </w:t>
      </w:r>
    </w:p>
    <w:p w14:paraId="500C6174" w14:textId="22F5758F" w:rsidR="00FC3A4E" w:rsidRPr="00FC3A4E" w:rsidRDefault="00FC3A4E" w:rsidP="00FC3A4E">
      <w:pPr>
        <w:pStyle w:val="Paragraph12pt"/>
        <w:rPr>
          <w:b/>
          <w:bCs/>
        </w:rPr>
      </w:pPr>
      <w:r w:rsidRPr="00FC3A4E">
        <w:rPr>
          <w:b/>
          <w:bCs/>
        </w:rPr>
        <w:t>Future Medical</w:t>
      </w:r>
      <w:r w:rsidR="00B16FA9">
        <w:rPr>
          <w:b/>
          <w:bCs/>
        </w:rPr>
        <w:t xml:space="preserve"> and Related</w:t>
      </w:r>
      <w:r w:rsidRPr="00FC3A4E">
        <w:rPr>
          <w:b/>
          <w:bCs/>
        </w:rPr>
        <w:t xml:space="preserve"> Expenses </w:t>
      </w:r>
    </w:p>
    <w:p w14:paraId="59D57D5C" w14:textId="5C867142" w:rsidR="00FC3A4E" w:rsidRDefault="003975BC" w:rsidP="003975BC">
      <w:pPr>
        <w:pStyle w:val="Paragraph12pt"/>
        <w:tabs>
          <w:tab w:val="left" w:pos="851"/>
        </w:tabs>
        <w:ind w:left="851" w:hanging="851"/>
      </w:pPr>
      <w:r>
        <w:rPr>
          <w:rFonts w:cs="Arial"/>
          <w:color w:val="000000"/>
          <w:szCs w:val="24"/>
        </w:rPr>
        <w:t>14</w:t>
      </w:r>
      <w:r>
        <w:rPr>
          <w:rFonts w:cs="Arial"/>
          <w:color w:val="000000"/>
          <w:szCs w:val="24"/>
        </w:rPr>
        <w:tab/>
      </w:r>
      <w:r w:rsidR="00FC3A4E">
        <w:t>The third and final part of my award concerned Mr. Radebe’s future medical expenses. There was no dispute that an award of R20 000 should have been made to pay for rehabilitative surgery on Mr. Radebe’s right arm. There was likewise no dispute that Mr. Radebe would require</w:t>
      </w:r>
      <w:r w:rsidR="00E0602A">
        <w:t xml:space="preserve"> the</w:t>
      </w:r>
      <w:r w:rsidR="00FC3A4E">
        <w:t xml:space="preserve"> assistive devices listed paragraph 4.3 in the occupational therapists’ joint minutes. That these devices would have to be replaced at various intervals specified in Mr. Radebe’s occupational therapist’s report was </w:t>
      </w:r>
      <w:r w:rsidR="008E7105">
        <w:t xml:space="preserve">likewise </w:t>
      </w:r>
      <w:r w:rsidR="00FC3A4E">
        <w:t xml:space="preserve">unchallenged. It was also agreed (in paragraphs </w:t>
      </w:r>
      <w:r w:rsidR="008724E0">
        <w:t>4.4.3 and 4.4.4 of the joint minutes)</w:t>
      </w:r>
      <w:r w:rsidR="00FC3A4E">
        <w:t xml:space="preserve"> that Mr. Radebe would need the assistance of a handyman at the cost of R3000 per annum, and a </w:t>
      </w:r>
      <w:r w:rsidR="00FC3A4E">
        <w:lastRenderedPageBreak/>
        <w:t xml:space="preserve">gardener, </w:t>
      </w:r>
      <w:r w:rsidR="008E7105">
        <w:t xml:space="preserve">albeit one </w:t>
      </w:r>
      <w:r w:rsidR="00FC3A4E">
        <w:t xml:space="preserve">whose likely annual cost does not appear from the </w:t>
      </w:r>
      <w:r w:rsidR="008E7105">
        <w:t xml:space="preserve">joint </w:t>
      </w:r>
      <w:r w:rsidR="00FC3A4E">
        <w:t xml:space="preserve">minutes. </w:t>
      </w:r>
    </w:p>
    <w:p w14:paraId="77B823EC" w14:textId="6B029120" w:rsidR="008724E0" w:rsidRDefault="003975BC" w:rsidP="003975BC">
      <w:pPr>
        <w:pStyle w:val="Paragraph12pt"/>
        <w:tabs>
          <w:tab w:val="left" w:pos="851"/>
        </w:tabs>
        <w:ind w:left="851" w:hanging="851"/>
      </w:pPr>
      <w:r>
        <w:rPr>
          <w:rFonts w:cs="Arial"/>
          <w:color w:val="000000"/>
          <w:szCs w:val="24"/>
        </w:rPr>
        <w:t>15</w:t>
      </w:r>
      <w:r>
        <w:rPr>
          <w:rFonts w:cs="Arial"/>
          <w:color w:val="000000"/>
          <w:szCs w:val="24"/>
        </w:rPr>
        <w:tab/>
      </w:r>
      <w:r w:rsidR="008724E0">
        <w:t xml:space="preserve">The only aspect of Mr. Radebe’s claim that was disputed at trial was his need for domestic assistance. I dealt with that dispute in my trial judgment, and Mr. Sadiki did not suggest that I was wrong to dispose of it in the way that I did. </w:t>
      </w:r>
    </w:p>
    <w:p w14:paraId="66CA244C" w14:textId="54BCD34A" w:rsidR="00E0602A" w:rsidRPr="00E0602A" w:rsidRDefault="003975BC" w:rsidP="003975BC">
      <w:pPr>
        <w:pStyle w:val="Paragraph12pt"/>
        <w:tabs>
          <w:tab w:val="left" w:pos="851"/>
        </w:tabs>
        <w:ind w:left="851" w:hanging="851"/>
      </w:pPr>
      <w:r w:rsidRPr="00E0602A">
        <w:rPr>
          <w:rFonts w:cs="Arial"/>
          <w:color w:val="000000"/>
          <w:szCs w:val="24"/>
        </w:rPr>
        <w:t>16</w:t>
      </w:r>
      <w:r w:rsidRPr="00E0602A">
        <w:rPr>
          <w:rFonts w:cs="Arial"/>
          <w:color w:val="000000"/>
          <w:szCs w:val="24"/>
        </w:rPr>
        <w:tab/>
      </w:r>
      <w:r w:rsidR="008724E0">
        <w:t xml:space="preserve">Ultimately, based on the joint minutes and on the contents of Mr. Radebe’s expert reports, Mr. </w:t>
      </w:r>
      <w:proofErr w:type="spellStart"/>
      <w:r w:rsidR="008724E0">
        <w:t>Chabane</w:t>
      </w:r>
      <w:proofErr w:type="spellEnd"/>
      <w:r w:rsidR="008724E0">
        <w:t xml:space="preserve">, who appeared for Mr. Radebe, calculated Mr. Radebe’s future medical and related expenses at </w:t>
      </w:r>
      <w:r w:rsidR="008724E0">
        <w:rPr>
          <w:lang w:val="en-GB"/>
        </w:rPr>
        <w:t>R228 242.</w:t>
      </w:r>
      <w:r w:rsidR="00E0602A">
        <w:rPr>
          <w:lang w:val="en-GB"/>
        </w:rPr>
        <w:t xml:space="preserve"> PRASA objects that this figure was advanced without supporting evidence.</w:t>
      </w:r>
      <w:r w:rsidR="008724E0">
        <w:rPr>
          <w:lang w:val="en-GB"/>
        </w:rPr>
        <w:t xml:space="preserve"> </w:t>
      </w:r>
    </w:p>
    <w:p w14:paraId="0FC94200" w14:textId="0945C5AA" w:rsidR="008724E0" w:rsidRPr="008724E0" w:rsidRDefault="003975BC" w:rsidP="003975BC">
      <w:pPr>
        <w:pStyle w:val="Paragraph12pt"/>
        <w:tabs>
          <w:tab w:val="left" w:pos="851"/>
        </w:tabs>
        <w:ind w:left="851" w:hanging="851"/>
      </w:pPr>
      <w:r w:rsidRPr="008724E0">
        <w:rPr>
          <w:rFonts w:cs="Arial"/>
          <w:color w:val="000000"/>
          <w:szCs w:val="24"/>
        </w:rPr>
        <w:t>17</w:t>
      </w:r>
      <w:r w:rsidRPr="008724E0">
        <w:rPr>
          <w:rFonts w:cs="Arial"/>
          <w:color w:val="000000"/>
          <w:szCs w:val="24"/>
        </w:rPr>
        <w:tab/>
      </w:r>
      <w:r w:rsidR="008724E0">
        <w:rPr>
          <w:lang w:val="en-GB"/>
        </w:rPr>
        <w:t xml:space="preserve">It emerged during argument on the application for leave to appeal that Mr. </w:t>
      </w:r>
      <w:proofErr w:type="spellStart"/>
      <w:r w:rsidR="008724E0">
        <w:rPr>
          <w:lang w:val="en-GB"/>
        </w:rPr>
        <w:t>Chabane</w:t>
      </w:r>
      <w:proofErr w:type="spellEnd"/>
      <w:r w:rsidR="008724E0">
        <w:rPr>
          <w:lang w:val="en-GB"/>
        </w:rPr>
        <w:t xml:space="preserve"> had borrowed, in performing his calculations, from actuarial reports that </w:t>
      </w:r>
      <w:r w:rsidR="008E7105">
        <w:rPr>
          <w:lang w:val="en-GB"/>
        </w:rPr>
        <w:t>were</w:t>
      </w:r>
      <w:r w:rsidR="008724E0">
        <w:rPr>
          <w:lang w:val="en-GB"/>
        </w:rPr>
        <w:t xml:space="preserve"> not in evidence</w:t>
      </w:r>
      <w:r w:rsidR="008E7105">
        <w:rPr>
          <w:lang w:val="en-GB"/>
        </w:rPr>
        <w:t xml:space="preserve"> before me</w:t>
      </w:r>
      <w:r w:rsidR="008724E0">
        <w:rPr>
          <w:lang w:val="en-GB"/>
        </w:rPr>
        <w:t xml:space="preserve">. But I do not think that matters. Mr. </w:t>
      </w:r>
      <w:proofErr w:type="spellStart"/>
      <w:r w:rsidR="008724E0">
        <w:rPr>
          <w:lang w:val="en-GB"/>
        </w:rPr>
        <w:t>Chabane’s</w:t>
      </w:r>
      <w:proofErr w:type="spellEnd"/>
      <w:r w:rsidR="008724E0">
        <w:rPr>
          <w:lang w:val="en-GB"/>
        </w:rPr>
        <w:t xml:space="preserve"> calculations were based on figures and needs that were in evidence, and which were, as I have pointed out, largely undisputed. Neither </w:t>
      </w:r>
      <w:r w:rsidR="00EA2408">
        <w:rPr>
          <w:lang w:val="en-GB"/>
        </w:rPr>
        <w:t xml:space="preserve">Mr. </w:t>
      </w:r>
      <w:proofErr w:type="spellStart"/>
      <w:r w:rsidR="00EA2408">
        <w:rPr>
          <w:lang w:val="en-GB"/>
        </w:rPr>
        <w:t>Chabane’s</w:t>
      </w:r>
      <w:proofErr w:type="spellEnd"/>
      <w:r w:rsidR="008724E0">
        <w:rPr>
          <w:lang w:val="en-GB"/>
        </w:rPr>
        <w:t xml:space="preserve"> calculations nor the figure he arrived at were subjected to any criticism at trial. In these circumstances, there can be no appreciable prospect of a successful appeal. </w:t>
      </w:r>
    </w:p>
    <w:p w14:paraId="7EA5F994" w14:textId="0B85060D" w:rsidR="001544B0" w:rsidRDefault="003975BC" w:rsidP="003975BC">
      <w:pPr>
        <w:pStyle w:val="Paragraph12pt"/>
        <w:tabs>
          <w:tab w:val="left" w:pos="851"/>
        </w:tabs>
        <w:ind w:left="851" w:hanging="851"/>
      </w:pPr>
      <w:r>
        <w:rPr>
          <w:rFonts w:cs="Arial"/>
          <w:color w:val="000000"/>
          <w:szCs w:val="24"/>
        </w:rPr>
        <w:t>18</w:t>
      </w:r>
      <w:r>
        <w:rPr>
          <w:rFonts w:cs="Arial"/>
          <w:color w:val="000000"/>
          <w:szCs w:val="24"/>
        </w:rPr>
        <w:tab/>
      </w:r>
      <w:r w:rsidR="008724E0">
        <w:t>As I pointed out in my trial judgment, once I was satisfied that loss had been suffered, I was not at liberty to decline to make an award to compensate Mr. Radebe for it</w:t>
      </w:r>
      <w:r w:rsidR="00EA2408">
        <w:t>,</w:t>
      </w:r>
      <w:r w:rsidR="008724E0">
        <w:t xml:space="preserve"> even if my assessment </w:t>
      </w:r>
      <w:r w:rsidR="00EA2408">
        <w:t>was “</w:t>
      </w:r>
      <w:r w:rsidR="008724E0">
        <w:t xml:space="preserve">very little more than an estimate” (see </w:t>
      </w:r>
      <w:proofErr w:type="spellStart"/>
      <w:r w:rsidR="008724E0" w:rsidRPr="001544B0">
        <w:rPr>
          <w:i/>
          <w:iCs/>
        </w:rPr>
        <w:t>Hersman</w:t>
      </w:r>
      <w:proofErr w:type="spellEnd"/>
      <w:r w:rsidR="008724E0" w:rsidRPr="001544B0">
        <w:rPr>
          <w:i/>
          <w:iCs/>
        </w:rPr>
        <w:t xml:space="preserve"> v Shapiro</w:t>
      </w:r>
      <w:r w:rsidR="008724E0">
        <w:t xml:space="preserve"> </w:t>
      </w:r>
      <w:r w:rsidR="001544B0">
        <w:t>1926 TPD 367, 379</w:t>
      </w:r>
      <w:r w:rsidR="00EA2408">
        <w:t>)</w:t>
      </w:r>
      <w:r w:rsidR="001544B0">
        <w:t xml:space="preserve">. There of course </w:t>
      </w:r>
      <w:proofErr w:type="gramStart"/>
      <w:r w:rsidR="001544B0">
        <w:t>has to</w:t>
      </w:r>
      <w:proofErr w:type="gramEnd"/>
      <w:r w:rsidR="001544B0">
        <w:t xml:space="preserve"> be evidence</w:t>
      </w:r>
      <w:r w:rsidR="00EA2408">
        <w:t xml:space="preserve"> to support the estimate</w:t>
      </w:r>
      <w:r w:rsidR="001544B0">
        <w:t xml:space="preserve">, and the question will always be one of sufficiency. Where the evidence permits a reasonable estimate, then an award </w:t>
      </w:r>
      <w:r w:rsidR="001544B0">
        <w:lastRenderedPageBreak/>
        <w:t xml:space="preserve">should and will be made. Where it does not, the defendant will be absolved from the instance. </w:t>
      </w:r>
    </w:p>
    <w:p w14:paraId="17EE61A5" w14:textId="3DD41060" w:rsidR="001544B0" w:rsidRDefault="003975BC" w:rsidP="003975BC">
      <w:pPr>
        <w:pStyle w:val="Paragraph12pt"/>
        <w:tabs>
          <w:tab w:val="left" w:pos="851"/>
        </w:tabs>
        <w:ind w:left="851" w:hanging="851"/>
      </w:pPr>
      <w:r>
        <w:rPr>
          <w:rFonts w:cs="Arial"/>
          <w:color w:val="000000"/>
          <w:szCs w:val="24"/>
        </w:rPr>
        <w:t>19</w:t>
      </w:r>
      <w:r>
        <w:rPr>
          <w:rFonts w:cs="Arial"/>
          <w:color w:val="000000"/>
          <w:szCs w:val="24"/>
        </w:rPr>
        <w:tab/>
      </w:r>
      <w:r w:rsidR="001544B0">
        <w:t xml:space="preserve">In this case, I was satisfied that the evidence, though </w:t>
      </w:r>
      <w:r w:rsidR="00EA2408">
        <w:t>not</w:t>
      </w:r>
      <w:r w:rsidR="001544B0">
        <w:t xml:space="preserve"> perfect, was sufficient for a reasonable estimate to be made of Mr. Radebe’s damages in all the components on which I have made an award. Having accepted liability for half of Mr. Radebe’s proven losses, then having declined to challenge much of the evidence led in quantification of that loss, and then having decided to lead no evidence of its own, there are limits to the extent to which PRASA can reasonably expect to challenge the assessments I have made on appeal. </w:t>
      </w:r>
    </w:p>
    <w:p w14:paraId="1259F0E7" w14:textId="5B6B48C8" w:rsidR="001544B0" w:rsidRDefault="003975BC" w:rsidP="003975BC">
      <w:pPr>
        <w:pStyle w:val="Paragraph12pt"/>
        <w:tabs>
          <w:tab w:val="left" w:pos="851"/>
        </w:tabs>
        <w:ind w:left="851" w:hanging="851"/>
      </w:pPr>
      <w:r>
        <w:rPr>
          <w:rFonts w:cs="Arial"/>
          <w:color w:val="000000"/>
          <w:szCs w:val="24"/>
        </w:rPr>
        <w:t>20</w:t>
      </w:r>
      <w:r>
        <w:rPr>
          <w:rFonts w:cs="Arial"/>
          <w:color w:val="000000"/>
          <w:szCs w:val="24"/>
        </w:rPr>
        <w:tab/>
      </w:r>
      <w:r w:rsidR="001544B0">
        <w:t xml:space="preserve">In </w:t>
      </w:r>
      <w:r w:rsidR="00115A83">
        <w:t>any attempt to do</w:t>
      </w:r>
      <w:r w:rsidR="001544B0">
        <w:t xml:space="preserve"> so, PRASA must show more than the mere possibility that other Judges might have made different awards based on the same evidence. That is an acknowledge</w:t>
      </w:r>
      <w:r w:rsidR="00EA2408">
        <w:t>d</w:t>
      </w:r>
      <w:r w:rsidR="001544B0">
        <w:t xml:space="preserve"> feature of cases like this one. What PRASA must show instead is some demonstrable error in the chain of reasoning I deployed to assess Mr. Radebe’s award as I did. PRASA has </w:t>
      </w:r>
      <w:r w:rsidR="00E0602A">
        <w:t>identified</w:t>
      </w:r>
      <w:r w:rsidR="001544B0">
        <w:t xml:space="preserve"> no such error, and its application must fail as a result.</w:t>
      </w:r>
    </w:p>
    <w:p w14:paraId="25994218" w14:textId="59A99FFB" w:rsidR="008724E0" w:rsidRDefault="003975BC" w:rsidP="003975BC">
      <w:pPr>
        <w:pStyle w:val="Paragraph12pt"/>
        <w:tabs>
          <w:tab w:val="left" w:pos="851"/>
        </w:tabs>
        <w:ind w:left="851" w:hanging="851"/>
      </w:pPr>
      <w:r>
        <w:rPr>
          <w:rFonts w:cs="Arial"/>
          <w:color w:val="000000"/>
          <w:szCs w:val="24"/>
        </w:rPr>
        <w:t>21</w:t>
      </w:r>
      <w:r>
        <w:rPr>
          <w:rFonts w:cs="Arial"/>
          <w:color w:val="000000"/>
          <w:szCs w:val="24"/>
        </w:rPr>
        <w:tab/>
      </w:r>
      <w:r w:rsidR="001544B0">
        <w:t xml:space="preserve">The application for leave to appeal is dismissed with costs.   </w:t>
      </w:r>
    </w:p>
    <w:p w14:paraId="3AA8726E" w14:textId="77777777" w:rsidR="00EA2408" w:rsidRDefault="00EA2408" w:rsidP="00EA2408">
      <w:pPr>
        <w:pStyle w:val="Paragraph12pt"/>
      </w:pPr>
    </w:p>
    <w:p w14:paraId="238273DE" w14:textId="22094F70" w:rsidR="007F48CC" w:rsidRDefault="007F48CC" w:rsidP="00A12390">
      <w:pPr>
        <w:pStyle w:val="Paragraph12pt"/>
        <w:ind w:left="851"/>
        <w:jc w:val="right"/>
        <w:rPr>
          <w:noProof/>
          <w:lang w:eastAsia="en-ZA"/>
        </w:rPr>
      </w:pPr>
    </w:p>
    <w:p w14:paraId="5A393EE6" w14:textId="52AE7BA4" w:rsidR="003B25C0" w:rsidRDefault="003B25C0" w:rsidP="00A12390">
      <w:pPr>
        <w:pStyle w:val="Paragraph12pt"/>
        <w:ind w:left="851"/>
        <w:jc w:val="right"/>
        <w:rPr>
          <w:noProof/>
          <w:lang w:eastAsia="en-ZA"/>
        </w:rPr>
      </w:pPr>
    </w:p>
    <w:p w14:paraId="0ACA2D21" w14:textId="77777777" w:rsidR="003B25C0" w:rsidRDefault="003B25C0" w:rsidP="00A12390">
      <w:pPr>
        <w:pStyle w:val="Paragraph12pt"/>
        <w:ind w:left="851"/>
        <w:jc w:val="right"/>
      </w:pPr>
    </w:p>
    <w:p w14:paraId="5EA3D8AC" w14:textId="77777777" w:rsidR="007F48CC" w:rsidRPr="000315F7" w:rsidRDefault="007F48CC" w:rsidP="007F48CC">
      <w:pPr>
        <w:pStyle w:val="Paragraph12pt"/>
        <w:spacing w:after="0" w:line="240" w:lineRule="auto"/>
        <w:ind w:left="851"/>
        <w:jc w:val="right"/>
        <w:rPr>
          <w:b/>
          <w:bCs/>
        </w:rPr>
      </w:pPr>
      <w:r w:rsidRPr="000315F7">
        <w:rPr>
          <w:b/>
          <w:bCs/>
        </w:rPr>
        <w:t>S D J WILSON</w:t>
      </w:r>
    </w:p>
    <w:p w14:paraId="49115934" w14:textId="547A96F1" w:rsidR="004F6A2D" w:rsidRDefault="007F48CC" w:rsidP="00394CE7">
      <w:pPr>
        <w:pStyle w:val="Paragraph12pt"/>
        <w:spacing w:after="0" w:line="240" w:lineRule="auto"/>
        <w:ind w:left="851" w:firstLine="589"/>
        <w:jc w:val="right"/>
      </w:pPr>
      <w:r>
        <w:t>Judge of the High Court</w:t>
      </w:r>
    </w:p>
    <w:p w14:paraId="471838F4" w14:textId="77777777" w:rsidR="002A30D3" w:rsidRDefault="002A30D3" w:rsidP="004F6A2D">
      <w:pPr>
        <w:pStyle w:val="Paragraph12pt"/>
        <w:spacing w:after="0" w:line="240" w:lineRule="auto"/>
        <w:ind w:left="3600" w:hanging="3600"/>
        <w:jc w:val="left"/>
      </w:pPr>
    </w:p>
    <w:p w14:paraId="3D5FE3FF" w14:textId="46E783E0" w:rsidR="00FC0429" w:rsidRPr="00C0129D" w:rsidRDefault="00FC0429" w:rsidP="00FC0429">
      <w:pPr>
        <w:pStyle w:val="Paragraph12pt"/>
        <w:rPr>
          <w:bCs/>
        </w:rPr>
      </w:pPr>
      <w:r w:rsidRPr="00545F74">
        <w:rPr>
          <w:bCs/>
        </w:rPr>
        <w:lastRenderedPageBreak/>
        <w:t xml:space="preserve">This judgment was prepared and authored by </w:t>
      </w:r>
      <w:r>
        <w:rPr>
          <w:bCs/>
        </w:rPr>
        <w:t>Judge Wilson. It</w:t>
      </w:r>
      <w:r w:rsidRPr="00545F74">
        <w:rPr>
          <w:bCs/>
        </w:rPr>
        <w:t xml:space="preserve"> is handed down electronically by circulation to the parties or their legal representatives by email and by uploading it to the electronic file of this matter on </w:t>
      </w:r>
      <w:proofErr w:type="spellStart"/>
      <w:r w:rsidRPr="00545F74">
        <w:rPr>
          <w:bCs/>
        </w:rPr>
        <w:t>Case</w:t>
      </w:r>
      <w:r>
        <w:rPr>
          <w:bCs/>
        </w:rPr>
        <w:t>l</w:t>
      </w:r>
      <w:r w:rsidRPr="00545F74">
        <w:rPr>
          <w:bCs/>
        </w:rPr>
        <w:t>ines</w:t>
      </w:r>
      <w:proofErr w:type="spellEnd"/>
      <w:r w:rsidRPr="00545F74">
        <w:rPr>
          <w:bCs/>
        </w:rPr>
        <w:t xml:space="preserve">. The date for hand-down is deemed to be </w:t>
      </w:r>
      <w:r w:rsidR="00A12390">
        <w:rPr>
          <w:bCs/>
        </w:rPr>
        <w:t>15</w:t>
      </w:r>
      <w:r w:rsidRPr="00545F74">
        <w:rPr>
          <w:bCs/>
        </w:rPr>
        <w:t xml:space="preserve"> </w:t>
      </w:r>
      <w:r w:rsidR="001B633D">
        <w:rPr>
          <w:bCs/>
        </w:rPr>
        <w:t>December</w:t>
      </w:r>
      <w:r w:rsidRPr="00545F74">
        <w:rPr>
          <w:bCs/>
        </w:rPr>
        <w:t xml:space="preserve"> 202</w:t>
      </w:r>
      <w:r>
        <w:rPr>
          <w:bCs/>
        </w:rPr>
        <w:t>2</w:t>
      </w:r>
      <w:r w:rsidRPr="00545F74">
        <w:rPr>
          <w:bCs/>
        </w:rPr>
        <w:t>.</w:t>
      </w:r>
    </w:p>
    <w:p w14:paraId="21605095" w14:textId="4EDEAE04" w:rsidR="000315F7" w:rsidRDefault="0051403A" w:rsidP="004F6A2D">
      <w:pPr>
        <w:pStyle w:val="Paragraph12pt"/>
        <w:spacing w:after="0" w:line="240" w:lineRule="auto"/>
        <w:ind w:left="3600" w:hanging="3600"/>
        <w:jc w:val="left"/>
      </w:pPr>
      <w:r>
        <w:t>HEARD ON:</w:t>
      </w:r>
      <w:r>
        <w:tab/>
      </w:r>
      <w:r w:rsidR="000E6377">
        <w:tab/>
      </w:r>
      <w:r w:rsidR="000E6377">
        <w:tab/>
      </w:r>
      <w:r w:rsidR="00A12390">
        <w:t>8 December</w:t>
      </w:r>
      <w:r w:rsidR="0094521E">
        <w:t xml:space="preserve"> 2022</w:t>
      </w:r>
    </w:p>
    <w:p w14:paraId="43FBA835" w14:textId="2870D4AB" w:rsidR="000E6377" w:rsidRDefault="000E6377" w:rsidP="004F6A2D">
      <w:pPr>
        <w:pStyle w:val="Paragraph12pt"/>
        <w:spacing w:after="0" w:line="240" w:lineRule="auto"/>
        <w:ind w:left="3600" w:hanging="3600"/>
        <w:jc w:val="left"/>
      </w:pPr>
    </w:p>
    <w:p w14:paraId="0B9B6EAE" w14:textId="11820921" w:rsidR="000E6377" w:rsidRDefault="00A12390" w:rsidP="004F6A2D">
      <w:pPr>
        <w:pStyle w:val="Paragraph12pt"/>
        <w:spacing w:after="0" w:line="240" w:lineRule="auto"/>
        <w:ind w:left="3600" w:hanging="3600"/>
        <w:jc w:val="left"/>
      </w:pPr>
      <w:r>
        <w:t>DECIDED ON:</w:t>
      </w:r>
      <w:r>
        <w:tab/>
      </w:r>
      <w:r w:rsidR="000E6377">
        <w:tab/>
      </w:r>
      <w:r>
        <w:tab/>
      </w:r>
      <w:r w:rsidR="000E6377">
        <w:t>1</w:t>
      </w:r>
      <w:r>
        <w:t>5</w:t>
      </w:r>
      <w:r w:rsidR="000E6377">
        <w:t xml:space="preserve"> </w:t>
      </w:r>
      <w:r>
        <w:t>December</w:t>
      </w:r>
      <w:r w:rsidR="000E6377">
        <w:t xml:space="preserve"> 2022</w:t>
      </w:r>
    </w:p>
    <w:p w14:paraId="4D7570D5" w14:textId="2D768A59" w:rsidR="00A15B8D" w:rsidRDefault="00A15B8D" w:rsidP="00A31389">
      <w:pPr>
        <w:pStyle w:val="Paragraph12pt"/>
        <w:spacing w:after="0" w:line="240" w:lineRule="auto"/>
        <w:jc w:val="left"/>
      </w:pPr>
    </w:p>
    <w:p w14:paraId="05AFF686" w14:textId="44C8FD31" w:rsidR="007517F4" w:rsidRDefault="0051403A" w:rsidP="005539D4">
      <w:pPr>
        <w:pStyle w:val="Paragraph12pt"/>
        <w:spacing w:after="0" w:line="240" w:lineRule="auto"/>
        <w:jc w:val="left"/>
      </w:pPr>
      <w:r>
        <w:t>For the</w:t>
      </w:r>
      <w:r w:rsidR="00226B2D">
        <w:t xml:space="preserve"> </w:t>
      </w:r>
      <w:r w:rsidR="000E6377">
        <w:t>Plaintiff</w:t>
      </w:r>
      <w:r>
        <w:t xml:space="preserve">: </w:t>
      </w:r>
      <w:r>
        <w:tab/>
      </w:r>
      <w:r>
        <w:tab/>
      </w:r>
      <w:r>
        <w:tab/>
      </w:r>
      <w:r w:rsidR="000E6377">
        <w:tab/>
      </w:r>
      <w:r w:rsidR="000E6377">
        <w:tab/>
        <w:t>VJ</w:t>
      </w:r>
      <w:r w:rsidR="005A2316">
        <w:t xml:space="preserve"> </w:t>
      </w:r>
      <w:proofErr w:type="spellStart"/>
      <w:r w:rsidR="000E6377">
        <w:t>Chabane</w:t>
      </w:r>
      <w:proofErr w:type="spellEnd"/>
    </w:p>
    <w:p w14:paraId="253BCC30" w14:textId="5FA6D5D4" w:rsidR="00A31389" w:rsidRDefault="0051403A" w:rsidP="000E6377">
      <w:pPr>
        <w:pStyle w:val="Paragraph12pt"/>
        <w:spacing w:after="0" w:line="240" w:lineRule="auto"/>
        <w:ind w:left="5040"/>
        <w:jc w:val="left"/>
        <w:rPr>
          <w:lang w:val="en-GB"/>
        </w:rPr>
      </w:pPr>
      <w:r>
        <w:t xml:space="preserve">Instructed by </w:t>
      </w:r>
      <w:proofErr w:type="spellStart"/>
      <w:r w:rsidR="000E6377">
        <w:t>Tsiestsi</w:t>
      </w:r>
      <w:proofErr w:type="spellEnd"/>
      <w:r w:rsidR="000E6377">
        <w:t xml:space="preserve">-Dlamini &amp; </w:t>
      </w:r>
      <w:proofErr w:type="spellStart"/>
      <w:r w:rsidR="000E6377">
        <w:t>Mahlathi</w:t>
      </w:r>
      <w:proofErr w:type="spellEnd"/>
    </w:p>
    <w:p w14:paraId="41BD4642" w14:textId="77777777" w:rsidR="00335B03" w:rsidRDefault="00335B03" w:rsidP="00A31389">
      <w:pPr>
        <w:pStyle w:val="Paragraph12pt"/>
        <w:spacing w:after="0" w:line="240" w:lineRule="auto"/>
        <w:jc w:val="left"/>
      </w:pPr>
    </w:p>
    <w:p w14:paraId="22FA96F5" w14:textId="3F1C13FA" w:rsidR="00754D03" w:rsidRDefault="0051403A" w:rsidP="00290C1B">
      <w:pPr>
        <w:pStyle w:val="Paragraph12pt"/>
        <w:spacing w:after="0" w:line="240" w:lineRule="auto"/>
        <w:ind w:left="3600" w:hanging="3600"/>
        <w:jc w:val="left"/>
      </w:pPr>
      <w:r>
        <w:t>For the</w:t>
      </w:r>
      <w:r w:rsidR="00754D03">
        <w:t xml:space="preserve"> </w:t>
      </w:r>
      <w:r w:rsidR="000E6377">
        <w:t>Defendant</w:t>
      </w:r>
      <w:r>
        <w:t>:</w:t>
      </w:r>
      <w:r w:rsidR="00025BD3">
        <w:tab/>
      </w:r>
      <w:r w:rsidR="000E6377">
        <w:tab/>
      </w:r>
      <w:r w:rsidR="000E6377">
        <w:tab/>
      </w:r>
      <w:r w:rsidR="00A12390">
        <w:t>KG Sadiki</w:t>
      </w:r>
    </w:p>
    <w:p w14:paraId="6229C15A" w14:textId="7E17AB0F" w:rsidR="00754D03" w:rsidRDefault="005A2316" w:rsidP="000E6377">
      <w:pPr>
        <w:pStyle w:val="Paragraph12pt"/>
        <w:spacing w:after="0" w:line="240" w:lineRule="auto"/>
        <w:ind w:left="5040"/>
        <w:jc w:val="left"/>
      </w:pPr>
      <w:r>
        <w:t xml:space="preserve">Instructed by </w:t>
      </w:r>
      <w:r w:rsidR="000E6377">
        <w:t xml:space="preserve">Jerry </w:t>
      </w:r>
      <w:proofErr w:type="spellStart"/>
      <w:r w:rsidR="000E6377">
        <w:t>Nkeli</w:t>
      </w:r>
      <w:proofErr w:type="spellEnd"/>
      <w:r w:rsidR="000E6377">
        <w:t xml:space="preserve"> and Associates</w:t>
      </w:r>
    </w:p>
    <w:sectPr w:rsidR="00754D03"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944A" w14:textId="77777777" w:rsidR="00D82FCF" w:rsidRDefault="00D82FCF" w:rsidP="00023136">
      <w:r>
        <w:separator/>
      </w:r>
    </w:p>
  </w:endnote>
  <w:endnote w:type="continuationSeparator" w:id="0">
    <w:p w14:paraId="63E3AA6C" w14:textId="77777777" w:rsidR="00D82FCF" w:rsidRDefault="00D82FCF"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57904"/>
      <w:docPartObj>
        <w:docPartGallery w:val="Page Numbers (Bottom of Page)"/>
        <w:docPartUnique/>
      </w:docPartObj>
    </w:sdtPr>
    <w:sdtEndPr>
      <w:rPr>
        <w:noProof/>
        <w:sz w:val="24"/>
        <w:szCs w:val="24"/>
      </w:rPr>
    </w:sdtEndPr>
    <w:sdtContent>
      <w:p w14:paraId="526B1D6E" w14:textId="57971E46"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3B25C0">
          <w:rPr>
            <w:noProof/>
            <w:sz w:val="24"/>
            <w:szCs w:val="24"/>
          </w:rPr>
          <w:t>8</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EA76" w14:textId="77777777" w:rsidR="00D82FCF" w:rsidRDefault="00D82FCF" w:rsidP="00023136">
      <w:r>
        <w:separator/>
      </w:r>
    </w:p>
  </w:footnote>
  <w:footnote w:type="continuationSeparator" w:id="0">
    <w:p w14:paraId="1AE02C51" w14:textId="77777777" w:rsidR="00D82FCF" w:rsidRDefault="00D82FCF"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5A653FB"/>
    <w:multiLevelType w:val="multilevel"/>
    <w:tmpl w:val="2E562214"/>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8"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3"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3"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3"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4"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86801452">
    <w:abstractNumId w:val="15"/>
  </w:num>
  <w:num w:numId="2" w16cid:durableId="1976176631">
    <w:abstractNumId w:val="8"/>
  </w:num>
  <w:num w:numId="3" w16cid:durableId="1704936502">
    <w:abstractNumId w:val="14"/>
  </w:num>
  <w:num w:numId="4" w16cid:durableId="1760248129">
    <w:abstractNumId w:val="10"/>
  </w:num>
  <w:num w:numId="5" w16cid:durableId="1115829582">
    <w:abstractNumId w:val="31"/>
  </w:num>
  <w:num w:numId="6" w16cid:durableId="1292856868">
    <w:abstractNumId w:val="18"/>
  </w:num>
  <w:num w:numId="7" w16cid:durableId="632366022">
    <w:abstractNumId w:val="21"/>
  </w:num>
  <w:num w:numId="8" w16cid:durableId="1850213795">
    <w:abstractNumId w:val="3"/>
  </w:num>
  <w:num w:numId="9" w16cid:durableId="2117865127">
    <w:abstractNumId w:val="19"/>
  </w:num>
  <w:num w:numId="10" w16cid:durableId="1233733314">
    <w:abstractNumId w:val="27"/>
  </w:num>
  <w:num w:numId="11" w16cid:durableId="883102485">
    <w:abstractNumId w:val="32"/>
  </w:num>
  <w:num w:numId="12" w16cid:durableId="1345596660">
    <w:abstractNumId w:val="23"/>
  </w:num>
  <w:num w:numId="13" w16cid:durableId="765611549">
    <w:abstractNumId w:val="26"/>
  </w:num>
  <w:num w:numId="14" w16cid:durableId="1312444103">
    <w:abstractNumId w:val="38"/>
  </w:num>
  <w:num w:numId="15" w16cid:durableId="697197683">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1474446407">
    <w:abstractNumId w:val="29"/>
  </w:num>
  <w:num w:numId="17" w16cid:durableId="1366448295">
    <w:abstractNumId w:val="33"/>
  </w:num>
  <w:num w:numId="18" w16cid:durableId="1139805226">
    <w:abstractNumId w:val="17"/>
  </w:num>
  <w:num w:numId="19" w16cid:durableId="363291390">
    <w:abstractNumId w:val="37"/>
  </w:num>
  <w:num w:numId="20" w16cid:durableId="9421080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7838096">
    <w:abstractNumId w:val="28"/>
  </w:num>
  <w:num w:numId="22" w16cid:durableId="1414665870">
    <w:abstractNumId w:val="16"/>
  </w:num>
  <w:num w:numId="23" w16cid:durableId="1250387263">
    <w:abstractNumId w:val="11"/>
  </w:num>
  <w:num w:numId="24" w16cid:durableId="8888039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0825681">
    <w:abstractNumId w:val="4"/>
  </w:num>
  <w:num w:numId="26" w16cid:durableId="848105815">
    <w:abstractNumId w:val="20"/>
  </w:num>
  <w:num w:numId="27" w16cid:durableId="48649962">
    <w:abstractNumId w:val="0"/>
  </w:num>
  <w:num w:numId="28" w16cid:durableId="597642386">
    <w:abstractNumId w:val="2"/>
  </w:num>
  <w:num w:numId="29" w16cid:durableId="17949091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4465788">
    <w:abstractNumId w:val="25"/>
  </w:num>
  <w:num w:numId="31" w16cid:durableId="1923945700">
    <w:abstractNumId w:val="35"/>
  </w:num>
  <w:num w:numId="32" w16cid:durableId="368799903">
    <w:abstractNumId w:val="34"/>
  </w:num>
  <w:num w:numId="33" w16cid:durableId="738212872">
    <w:abstractNumId w:val="24"/>
  </w:num>
  <w:num w:numId="34" w16cid:durableId="324551623">
    <w:abstractNumId w:val="5"/>
  </w:num>
  <w:num w:numId="35" w16cid:durableId="18493720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056653">
    <w:abstractNumId w:val="9"/>
  </w:num>
  <w:num w:numId="37" w16cid:durableId="1349798685">
    <w:abstractNumId w:val="22"/>
  </w:num>
  <w:num w:numId="38" w16cid:durableId="1178887191">
    <w:abstractNumId w:val="12"/>
  </w:num>
  <w:num w:numId="39" w16cid:durableId="1783957907">
    <w:abstractNumId w:val="36"/>
  </w:num>
  <w:num w:numId="40" w16cid:durableId="13688001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7"/>
    <w:rsid w:val="00003764"/>
    <w:rsid w:val="00003E89"/>
    <w:rsid w:val="00005573"/>
    <w:rsid w:val="00005831"/>
    <w:rsid w:val="00005987"/>
    <w:rsid w:val="00006BB5"/>
    <w:rsid w:val="0000741E"/>
    <w:rsid w:val="000078CF"/>
    <w:rsid w:val="00007909"/>
    <w:rsid w:val="0001207E"/>
    <w:rsid w:val="000142F6"/>
    <w:rsid w:val="000175D2"/>
    <w:rsid w:val="000227EB"/>
    <w:rsid w:val="00022A59"/>
    <w:rsid w:val="00023136"/>
    <w:rsid w:val="000242E6"/>
    <w:rsid w:val="00025BD3"/>
    <w:rsid w:val="00025CAF"/>
    <w:rsid w:val="00026AB9"/>
    <w:rsid w:val="000271F7"/>
    <w:rsid w:val="000315F7"/>
    <w:rsid w:val="00032CF6"/>
    <w:rsid w:val="00032FF8"/>
    <w:rsid w:val="00035D43"/>
    <w:rsid w:val="00037B84"/>
    <w:rsid w:val="000419C2"/>
    <w:rsid w:val="000420E9"/>
    <w:rsid w:val="000438D7"/>
    <w:rsid w:val="00044F81"/>
    <w:rsid w:val="000528BA"/>
    <w:rsid w:val="00053C2B"/>
    <w:rsid w:val="00054B4E"/>
    <w:rsid w:val="00055586"/>
    <w:rsid w:val="000559FB"/>
    <w:rsid w:val="00057B4E"/>
    <w:rsid w:val="000607DF"/>
    <w:rsid w:val="000610BF"/>
    <w:rsid w:val="00061450"/>
    <w:rsid w:val="000649FE"/>
    <w:rsid w:val="00070D0E"/>
    <w:rsid w:val="000739D3"/>
    <w:rsid w:val="00073EA4"/>
    <w:rsid w:val="00081A58"/>
    <w:rsid w:val="000827F8"/>
    <w:rsid w:val="0008326D"/>
    <w:rsid w:val="000834C6"/>
    <w:rsid w:val="00084ED7"/>
    <w:rsid w:val="00085056"/>
    <w:rsid w:val="00086B11"/>
    <w:rsid w:val="000907F6"/>
    <w:rsid w:val="00091FC7"/>
    <w:rsid w:val="00092644"/>
    <w:rsid w:val="00094A3E"/>
    <w:rsid w:val="0009673F"/>
    <w:rsid w:val="000A002D"/>
    <w:rsid w:val="000A108F"/>
    <w:rsid w:val="000A2F1E"/>
    <w:rsid w:val="000A346F"/>
    <w:rsid w:val="000A5D41"/>
    <w:rsid w:val="000A63B7"/>
    <w:rsid w:val="000A6CCE"/>
    <w:rsid w:val="000A7A01"/>
    <w:rsid w:val="000A7E6C"/>
    <w:rsid w:val="000B0260"/>
    <w:rsid w:val="000B0F27"/>
    <w:rsid w:val="000B1A09"/>
    <w:rsid w:val="000B433A"/>
    <w:rsid w:val="000C111B"/>
    <w:rsid w:val="000C2F6A"/>
    <w:rsid w:val="000C7667"/>
    <w:rsid w:val="000D1822"/>
    <w:rsid w:val="000D4AB1"/>
    <w:rsid w:val="000D54BF"/>
    <w:rsid w:val="000D716E"/>
    <w:rsid w:val="000E0266"/>
    <w:rsid w:val="000E0FCE"/>
    <w:rsid w:val="000E118F"/>
    <w:rsid w:val="000E222D"/>
    <w:rsid w:val="000E2B7C"/>
    <w:rsid w:val="000E3412"/>
    <w:rsid w:val="000E5685"/>
    <w:rsid w:val="000E6377"/>
    <w:rsid w:val="000F0300"/>
    <w:rsid w:val="000F0A27"/>
    <w:rsid w:val="000F1501"/>
    <w:rsid w:val="000F4D80"/>
    <w:rsid w:val="000F4FA4"/>
    <w:rsid w:val="00102D51"/>
    <w:rsid w:val="001049AD"/>
    <w:rsid w:val="001052DD"/>
    <w:rsid w:val="00105EBE"/>
    <w:rsid w:val="00112426"/>
    <w:rsid w:val="0011340A"/>
    <w:rsid w:val="00115770"/>
    <w:rsid w:val="00115A83"/>
    <w:rsid w:val="00117216"/>
    <w:rsid w:val="00123BF9"/>
    <w:rsid w:val="00127B1D"/>
    <w:rsid w:val="00130083"/>
    <w:rsid w:val="0013238A"/>
    <w:rsid w:val="00132BB9"/>
    <w:rsid w:val="00135544"/>
    <w:rsid w:val="00135E43"/>
    <w:rsid w:val="00136040"/>
    <w:rsid w:val="001446DD"/>
    <w:rsid w:val="00147CF8"/>
    <w:rsid w:val="001505EB"/>
    <w:rsid w:val="0015187C"/>
    <w:rsid w:val="001544B0"/>
    <w:rsid w:val="00154598"/>
    <w:rsid w:val="00156C9A"/>
    <w:rsid w:val="00157307"/>
    <w:rsid w:val="00160B29"/>
    <w:rsid w:val="001625E9"/>
    <w:rsid w:val="00167FFD"/>
    <w:rsid w:val="0017083E"/>
    <w:rsid w:val="00170977"/>
    <w:rsid w:val="0017523E"/>
    <w:rsid w:val="00177EE4"/>
    <w:rsid w:val="00181A11"/>
    <w:rsid w:val="00183089"/>
    <w:rsid w:val="00183346"/>
    <w:rsid w:val="00185028"/>
    <w:rsid w:val="00186FF2"/>
    <w:rsid w:val="0019057E"/>
    <w:rsid w:val="00193C5C"/>
    <w:rsid w:val="001953D5"/>
    <w:rsid w:val="001A143C"/>
    <w:rsid w:val="001A462C"/>
    <w:rsid w:val="001A532C"/>
    <w:rsid w:val="001A7A0F"/>
    <w:rsid w:val="001B011B"/>
    <w:rsid w:val="001B0CD4"/>
    <w:rsid w:val="001B270D"/>
    <w:rsid w:val="001B29BB"/>
    <w:rsid w:val="001B50EB"/>
    <w:rsid w:val="001B633D"/>
    <w:rsid w:val="001C0737"/>
    <w:rsid w:val="001C4F4C"/>
    <w:rsid w:val="001C63A0"/>
    <w:rsid w:val="001D248E"/>
    <w:rsid w:val="001D2DAF"/>
    <w:rsid w:val="001D351D"/>
    <w:rsid w:val="001E0C36"/>
    <w:rsid w:val="001E3C28"/>
    <w:rsid w:val="001E4400"/>
    <w:rsid w:val="001E4F79"/>
    <w:rsid w:val="001E699D"/>
    <w:rsid w:val="001E7CC4"/>
    <w:rsid w:val="001F2896"/>
    <w:rsid w:val="001F3A43"/>
    <w:rsid w:val="001F6B3A"/>
    <w:rsid w:val="001F727F"/>
    <w:rsid w:val="001F799C"/>
    <w:rsid w:val="00204A99"/>
    <w:rsid w:val="002055DF"/>
    <w:rsid w:val="00207C68"/>
    <w:rsid w:val="002115E1"/>
    <w:rsid w:val="002115F6"/>
    <w:rsid w:val="00215B41"/>
    <w:rsid w:val="0021646F"/>
    <w:rsid w:val="00217A4E"/>
    <w:rsid w:val="00220D67"/>
    <w:rsid w:val="0022152D"/>
    <w:rsid w:val="00222BFD"/>
    <w:rsid w:val="00224200"/>
    <w:rsid w:val="00225614"/>
    <w:rsid w:val="00225EF9"/>
    <w:rsid w:val="00226B2D"/>
    <w:rsid w:val="002377F5"/>
    <w:rsid w:val="00237B58"/>
    <w:rsid w:val="002406F8"/>
    <w:rsid w:val="002420C3"/>
    <w:rsid w:val="00242C0C"/>
    <w:rsid w:val="00244DB2"/>
    <w:rsid w:val="002457FF"/>
    <w:rsid w:val="00251CBA"/>
    <w:rsid w:val="00251EA0"/>
    <w:rsid w:val="0025235A"/>
    <w:rsid w:val="002539AA"/>
    <w:rsid w:val="00254775"/>
    <w:rsid w:val="00255A2A"/>
    <w:rsid w:val="002564F7"/>
    <w:rsid w:val="00257ED1"/>
    <w:rsid w:val="002712C3"/>
    <w:rsid w:val="002739CC"/>
    <w:rsid w:val="0027676E"/>
    <w:rsid w:val="002769E1"/>
    <w:rsid w:val="00277325"/>
    <w:rsid w:val="00281207"/>
    <w:rsid w:val="0028361E"/>
    <w:rsid w:val="00283BF6"/>
    <w:rsid w:val="00290C1B"/>
    <w:rsid w:val="00291174"/>
    <w:rsid w:val="00291B14"/>
    <w:rsid w:val="00292C2F"/>
    <w:rsid w:val="00294B0B"/>
    <w:rsid w:val="00295341"/>
    <w:rsid w:val="00297A0D"/>
    <w:rsid w:val="002A30D3"/>
    <w:rsid w:val="002A33F4"/>
    <w:rsid w:val="002A6607"/>
    <w:rsid w:val="002B021B"/>
    <w:rsid w:val="002B0351"/>
    <w:rsid w:val="002B30C6"/>
    <w:rsid w:val="002B4772"/>
    <w:rsid w:val="002B485D"/>
    <w:rsid w:val="002B4A76"/>
    <w:rsid w:val="002B6083"/>
    <w:rsid w:val="002B6DE9"/>
    <w:rsid w:val="002C0728"/>
    <w:rsid w:val="002C14FA"/>
    <w:rsid w:val="002C1A93"/>
    <w:rsid w:val="002C2A8D"/>
    <w:rsid w:val="002C52BE"/>
    <w:rsid w:val="002C58DD"/>
    <w:rsid w:val="002C6C6E"/>
    <w:rsid w:val="002D0141"/>
    <w:rsid w:val="002D4B37"/>
    <w:rsid w:val="002D5667"/>
    <w:rsid w:val="002D701F"/>
    <w:rsid w:val="002D7817"/>
    <w:rsid w:val="002E2969"/>
    <w:rsid w:val="002E3F5D"/>
    <w:rsid w:val="002E5C39"/>
    <w:rsid w:val="002E7E63"/>
    <w:rsid w:val="002F216B"/>
    <w:rsid w:val="002F229A"/>
    <w:rsid w:val="002F2C49"/>
    <w:rsid w:val="002F456D"/>
    <w:rsid w:val="002F529B"/>
    <w:rsid w:val="002F6526"/>
    <w:rsid w:val="00303B86"/>
    <w:rsid w:val="00303DB2"/>
    <w:rsid w:val="0030416C"/>
    <w:rsid w:val="0030418E"/>
    <w:rsid w:val="00305097"/>
    <w:rsid w:val="003052BE"/>
    <w:rsid w:val="00312F1C"/>
    <w:rsid w:val="0031632A"/>
    <w:rsid w:val="00321A27"/>
    <w:rsid w:val="003239E3"/>
    <w:rsid w:val="003257D4"/>
    <w:rsid w:val="00330567"/>
    <w:rsid w:val="00335B03"/>
    <w:rsid w:val="00336589"/>
    <w:rsid w:val="00336644"/>
    <w:rsid w:val="00336EBA"/>
    <w:rsid w:val="00341C5D"/>
    <w:rsid w:val="003441A3"/>
    <w:rsid w:val="0034660F"/>
    <w:rsid w:val="00351249"/>
    <w:rsid w:val="00354471"/>
    <w:rsid w:val="00355802"/>
    <w:rsid w:val="00355CE6"/>
    <w:rsid w:val="00355D85"/>
    <w:rsid w:val="0035693B"/>
    <w:rsid w:val="00360569"/>
    <w:rsid w:val="003610CA"/>
    <w:rsid w:val="00361B23"/>
    <w:rsid w:val="00364F74"/>
    <w:rsid w:val="00366969"/>
    <w:rsid w:val="00371284"/>
    <w:rsid w:val="00372C1E"/>
    <w:rsid w:val="00375125"/>
    <w:rsid w:val="0037538A"/>
    <w:rsid w:val="00376473"/>
    <w:rsid w:val="00377ADF"/>
    <w:rsid w:val="00377BF0"/>
    <w:rsid w:val="00377C65"/>
    <w:rsid w:val="003834BD"/>
    <w:rsid w:val="0038751A"/>
    <w:rsid w:val="00387983"/>
    <w:rsid w:val="003900FB"/>
    <w:rsid w:val="003908EC"/>
    <w:rsid w:val="00392DB5"/>
    <w:rsid w:val="00393310"/>
    <w:rsid w:val="00393838"/>
    <w:rsid w:val="00394CE7"/>
    <w:rsid w:val="003966CC"/>
    <w:rsid w:val="00396EED"/>
    <w:rsid w:val="00397185"/>
    <w:rsid w:val="003975BC"/>
    <w:rsid w:val="003A6A44"/>
    <w:rsid w:val="003A6D47"/>
    <w:rsid w:val="003B25C0"/>
    <w:rsid w:val="003B2A56"/>
    <w:rsid w:val="003C0720"/>
    <w:rsid w:val="003C0ED3"/>
    <w:rsid w:val="003C499A"/>
    <w:rsid w:val="003C5B1A"/>
    <w:rsid w:val="003C5BCF"/>
    <w:rsid w:val="003C7F90"/>
    <w:rsid w:val="003D3CB5"/>
    <w:rsid w:val="003D413C"/>
    <w:rsid w:val="003D4D89"/>
    <w:rsid w:val="003E0BF9"/>
    <w:rsid w:val="003E3D71"/>
    <w:rsid w:val="003E4CA1"/>
    <w:rsid w:val="003E4F7C"/>
    <w:rsid w:val="003E6414"/>
    <w:rsid w:val="003E6E82"/>
    <w:rsid w:val="003F1DB2"/>
    <w:rsid w:val="003F2743"/>
    <w:rsid w:val="003F4D3A"/>
    <w:rsid w:val="003F73A7"/>
    <w:rsid w:val="0040019C"/>
    <w:rsid w:val="0040054A"/>
    <w:rsid w:val="00400CBD"/>
    <w:rsid w:val="004025B7"/>
    <w:rsid w:val="00403723"/>
    <w:rsid w:val="004042FF"/>
    <w:rsid w:val="00413484"/>
    <w:rsid w:val="00421357"/>
    <w:rsid w:val="0042272B"/>
    <w:rsid w:val="00423481"/>
    <w:rsid w:val="00424137"/>
    <w:rsid w:val="004244E1"/>
    <w:rsid w:val="00436E5D"/>
    <w:rsid w:val="004405D8"/>
    <w:rsid w:val="00440BFC"/>
    <w:rsid w:val="004415B7"/>
    <w:rsid w:val="00442E62"/>
    <w:rsid w:val="00444593"/>
    <w:rsid w:val="00444CE8"/>
    <w:rsid w:val="00445BDD"/>
    <w:rsid w:val="00451E8D"/>
    <w:rsid w:val="00453B1F"/>
    <w:rsid w:val="00453DDF"/>
    <w:rsid w:val="00456455"/>
    <w:rsid w:val="00462885"/>
    <w:rsid w:val="0046498E"/>
    <w:rsid w:val="004701EE"/>
    <w:rsid w:val="00470703"/>
    <w:rsid w:val="004728FC"/>
    <w:rsid w:val="00473C00"/>
    <w:rsid w:val="004740CD"/>
    <w:rsid w:val="00474D78"/>
    <w:rsid w:val="00475201"/>
    <w:rsid w:val="00476881"/>
    <w:rsid w:val="00476BC0"/>
    <w:rsid w:val="0048014C"/>
    <w:rsid w:val="00485754"/>
    <w:rsid w:val="00487B4A"/>
    <w:rsid w:val="0049144C"/>
    <w:rsid w:val="00493F3D"/>
    <w:rsid w:val="00494D5A"/>
    <w:rsid w:val="0049771D"/>
    <w:rsid w:val="00497AFE"/>
    <w:rsid w:val="004A105A"/>
    <w:rsid w:val="004A2C8C"/>
    <w:rsid w:val="004A3209"/>
    <w:rsid w:val="004A4575"/>
    <w:rsid w:val="004B0356"/>
    <w:rsid w:val="004B615F"/>
    <w:rsid w:val="004B631C"/>
    <w:rsid w:val="004B6C09"/>
    <w:rsid w:val="004B72E9"/>
    <w:rsid w:val="004C052C"/>
    <w:rsid w:val="004C0A7B"/>
    <w:rsid w:val="004C318D"/>
    <w:rsid w:val="004C7405"/>
    <w:rsid w:val="004D54E7"/>
    <w:rsid w:val="004D7372"/>
    <w:rsid w:val="004E02F6"/>
    <w:rsid w:val="004E435D"/>
    <w:rsid w:val="004E4AF7"/>
    <w:rsid w:val="004F17B7"/>
    <w:rsid w:val="004F1F85"/>
    <w:rsid w:val="004F2C17"/>
    <w:rsid w:val="004F351A"/>
    <w:rsid w:val="004F4F7E"/>
    <w:rsid w:val="004F5837"/>
    <w:rsid w:val="004F6614"/>
    <w:rsid w:val="004F6A2D"/>
    <w:rsid w:val="004F6B70"/>
    <w:rsid w:val="004F7B40"/>
    <w:rsid w:val="005000FC"/>
    <w:rsid w:val="0050027D"/>
    <w:rsid w:val="00503094"/>
    <w:rsid w:val="00505088"/>
    <w:rsid w:val="0051403A"/>
    <w:rsid w:val="005152CE"/>
    <w:rsid w:val="00515D76"/>
    <w:rsid w:val="00520C15"/>
    <w:rsid w:val="00523907"/>
    <w:rsid w:val="005240A6"/>
    <w:rsid w:val="00524A8D"/>
    <w:rsid w:val="005271E9"/>
    <w:rsid w:val="00531F76"/>
    <w:rsid w:val="00533AFF"/>
    <w:rsid w:val="00534EEF"/>
    <w:rsid w:val="00534FF1"/>
    <w:rsid w:val="005425DC"/>
    <w:rsid w:val="00542E2F"/>
    <w:rsid w:val="00544704"/>
    <w:rsid w:val="005461E8"/>
    <w:rsid w:val="005479A5"/>
    <w:rsid w:val="0055038F"/>
    <w:rsid w:val="00551283"/>
    <w:rsid w:val="00553141"/>
    <w:rsid w:val="00553322"/>
    <w:rsid w:val="005537EC"/>
    <w:rsid w:val="005539D4"/>
    <w:rsid w:val="0055516E"/>
    <w:rsid w:val="0055620E"/>
    <w:rsid w:val="00557A6D"/>
    <w:rsid w:val="00557C67"/>
    <w:rsid w:val="005607C0"/>
    <w:rsid w:val="00561119"/>
    <w:rsid w:val="00561816"/>
    <w:rsid w:val="00562C44"/>
    <w:rsid w:val="0056353E"/>
    <w:rsid w:val="0056532E"/>
    <w:rsid w:val="005672F3"/>
    <w:rsid w:val="0057137B"/>
    <w:rsid w:val="0057332F"/>
    <w:rsid w:val="0058158A"/>
    <w:rsid w:val="00581DDF"/>
    <w:rsid w:val="00586068"/>
    <w:rsid w:val="005861E0"/>
    <w:rsid w:val="005867B9"/>
    <w:rsid w:val="00587D3E"/>
    <w:rsid w:val="005901C0"/>
    <w:rsid w:val="00590BC1"/>
    <w:rsid w:val="00591864"/>
    <w:rsid w:val="00592870"/>
    <w:rsid w:val="00593432"/>
    <w:rsid w:val="005A032A"/>
    <w:rsid w:val="005A2316"/>
    <w:rsid w:val="005A6E16"/>
    <w:rsid w:val="005B577C"/>
    <w:rsid w:val="005B6074"/>
    <w:rsid w:val="005B7564"/>
    <w:rsid w:val="005B7EAC"/>
    <w:rsid w:val="005C36D6"/>
    <w:rsid w:val="005C429C"/>
    <w:rsid w:val="005C73B3"/>
    <w:rsid w:val="005D0973"/>
    <w:rsid w:val="005D2223"/>
    <w:rsid w:val="005D2E79"/>
    <w:rsid w:val="005D6B00"/>
    <w:rsid w:val="005D7499"/>
    <w:rsid w:val="005D758A"/>
    <w:rsid w:val="005E4E43"/>
    <w:rsid w:val="005E661B"/>
    <w:rsid w:val="005F0D75"/>
    <w:rsid w:val="005F33BD"/>
    <w:rsid w:val="005F383B"/>
    <w:rsid w:val="005F3907"/>
    <w:rsid w:val="005F5290"/>
    <w:rsid w:val="0060137B"/>
    <w:rsid w:val="006029D8"/>
    <w:rsid w:val="00606A42"/>
    <w:rsid w:val="0061057F"/>
    <w:rsid w:val="00611631"/>
    <w:rsid w:val="00612DD1"/>
    <w:rsid w:val="00614D8C"/>
    <w:rsid w:val="00616283"/>
    <w:rsid w:val="006170C0"/>
    <w:rsid w:val="00617EFF"/>
    <w:rsid w:val="00620788"/>
    <w:rsid w:val="00623177"/>
    <w:rsid w:val="00623E41"/>
    <w:rsid w:val="006243C2"/>
    <w:rsid w:val="00627EA9"/>
    <w:rsid w:val="0063031C"/>
    <w:rsid w:val="00636146"/>
    <w:rsid w:val="00636596"/>
    <w:rsid w:val="00640A3B"/>
    <w:rsid w:val="006414D1"/>
    <w:rsid w:val="006454F7"/>
    <w:rsid w:val="006478AB"/>
    <w:rsid w:val="0065107D"/>
    <w:rsid w:val="00655D46"/>
    <w:rsid w:val="00656231"/>
    <w:rsid w:val="00656306"/>
    <w:rsid w:val="0065650F"/>
    <w:rsid w:val="00657395"/>
    <w:rsid w:val="00657EEC"/>
    <w:rsid w:val="0066135C"/>
    <w:rsid w:val="00661C3C"/>
    <w:rsid w:val="006644DC"/>
    <w:rsid w:val="00666F66"/>
    <w:rsid w:val="00667036"/>
    <w:rsid w:val="00667FFB"/>
    <w:rsid w:val="006710E5"/>
    <w:rsid w:val="006761B3"/>
    <w:rsid w:val="00676666"/>
    <w:rsid w:val="006775AE"/>
    <w:rsid w:val="00680F44"/>
    <w:rsid w:val="0068746C"/>
    <w:rsid w:val="006918A4"/>
    <w:rsid w:val="00692473"/>
    <w:rsid w:val="00692F19"/>
    <w:rsid w:val="00693824"/>
    <w:rsid w:val="00693B36"/>
    <w:rsid w:val="006960BB"/>
    <w:rsid w:val="00696305"/>
    <w:rsid w:val="0069648D"/>
    <w:rsid w:val="00697231"/>
    <w:rsid w:val="006A0935"/>
    <w:rsid w:val="006A14D2"/>
    <w:rsid w:val="006A27F4"/>
    <w:rsid w:val="006A75D6"/>
    <w:rsid w:val="006B0C30"/>
    <w:rsid w:val="006B0ED5"/>
    <w:rsid w:val="006B1FFC"/>
    <w:rsid w:val="006B3475"/>
    <w:rsid w:val="006B590D"/>
    <w:rsid w:val="006C54B6"/>
    <w:rsid w:val="006C5589"/>
    <w:rsid w:val="006C5F7B"/>
    <w:rsid w:val="006D08BA"/>
    <w:rsid w:val="006D3FDA"/>
    <w:rsid w:val="006D4C73"/>
    <w:rsid w:val="006D4EE0"/>
    <w:rsid w:val="006D5834"/>
    <w:rsid w:val="006D5AF1"/>
    <w:rsid w:val="006D6598"/>
    <w:rsid w:val="006D6652"/>
    <w:rsid w:val="006D7DF0"/>
    <w:rsid w:val="006E026B"/>
    <w:rsid w:val="006E6E99"/>
    <w:rsid w:val="006F0178"/>
    <w:rsid w:val="006F2EC1"/>
    <w:rsid w:val="006F3B9F"/>
    <w:rsid w:val="006F4F6A"/>
    <w:rsid w:val="007002E9"/>
    <w:rsid w:val="007017CC"/>
    <w:rsid w:val="00701B6F"/>
    <w:rsid w:val="00702F3D"/>
    <w:rsid w:val="007030F3"/>
    <w:rsid w:val="0070606A"/>
    <w:rsid w:val="00707B54"/>
    <w:rsid w:val="00711265"/>
    <w:rsid w:val="00711F5C"/>
    <w:rsid w:val="007206AD"/>
    <w:rsid w:val="0072092A"/>
    <w:rsid w:val="00720B37"/>
    <w:rsid w:val="00720F65"/>
    <w:rsid w:val="00724671"/>
    <w:rsid w:val="00724768"/>
    <w:rsid w:val="0073155E"/>
    <w:rsid w:val="007369BE"/>
    <w:rsid w:val="00736E02"/>
    <w:rsid w:val="007416C3"/>
    <w:rsid w:val="00743443"/>
    <w:rsid w:val="00746354"/>
    <w:rsid w:val="007466AB"/>
    <w:rsid w:val="0074692A"/>
    <w:rsid w:val="007470BA"/>
    <w:rsid w:val="007517F4"/>
    <w:rsid w:val="0075333F"/>
    <w:rsid w:val="007540F4"/>
    <w:rsid w:val="007543B2"/>
    <w:rsid w:val="00754D03"/>
    <w:rsid w:val="00755AE8"/>
    <w:rsid w:val="00760570"/>
    <w:rsid w:val="0076589A"/>
    <w:rsid w:val="00766BD7"/>
    <w:rsid w:val="0076756F"/>
    <w:rsid w:val="0077312E"/>
    <w:rsid w:val="00780BBC"/>
    <w:rsid w:val="00782AA7"/>
    <w:rsid w:val="007846C9"/>
    <w:rsid w:val="0078645E"/>
    <w:rsid w:val="00786C3D"/>
    <w:rsid w:val="00790AFC"/>
    <w:rsid w:val="00790C6D"/>
    <w:rsid w:val="00791B77"/>
    <w:rsid w:val="00792A54"/>
    <w:rsid w:val="00793610"/>
    <w:rsid w:val="0079377C"/>
    <w:rsid w:val="0079395A"/>
    <w:rsid w:val="007958BB"/>
    <w:rsid w:val="0079693B"/>
    <w:rsid w:val="0079776C"/>
    <w:rsid w:val="00797A78"/>
    <w:rsid w:val="007A287F"/>
    <w:rsid w:val="007B1EBD"/>
    <w:rsid w:val="007B5277"/>
    <w:rsid w:val="007B5EE5"/>
    <w:rsid w:val="007B683A"/>
    <w:rsid w:val="007C0693"/>
    <w:rsid w:val="007D016A"/>
    <w:rsid w:val="007D1939"/>
    <w:rsid w:val="007D29D7"/>
    <w:rsid w:val="007D53AE"/>
    <w:rsid w:val="007D57A4"/>
    <w:rsid w:val="007D5890"/>
    <w:rsid w:val="007D62F3"/>
    <w:rsid w:val="007D647E"/>
    <w:rsid w:val="007D68BE"/>
    <w:rsid w:val="007E435A"/>
    <w:rsid w:val="007E44CE"/>
    <w:rsid w:val="007E49DE"/>
    <w:rsid w:val="007E5B9A"/>
    <w:rsid w:val="007E6915"/>
    <w:rsid w:val="007F0DF6"/>
    <w:rsid w:val="007F1345"/>
    <w:rsid w:val="007F1736"/>
    <w:rsid w:val="007F3DEC"/>
    <w:rsid w:val="007F4887"/>
    <w:rsid w:val="007F48CC"/>
    <w:rsid w:val="007F623D"/>
    <w:rsid w:val="0080019C"/>
    <w:rsid w:val="00800694"/>
    <w:rsid w:val="00800F69"/>
    <w:rsid w:val="008023C4"/>
    <w:rsid w:val="00806946"/>
    <w:rsid w:val="00806985"/>
    <w:rsid w:val="0081435E"/>
    <w:rsid w:val="008162BC"/>
    <w:rsid w:val="00822C4A"/>
    <w:rsid w:val="008231D9"/>
    <w:rsid w:val="00825D2C"/>
    <w:rsid w:val="0083030A"/>
    <w:rsid w:val="00833258"/>
    <w:rsid w:val="00833771"/>
    <w:rsid w:val="00833C05"/>
    <w:rsid w:val="008361F6"/>
    <w:rsid w:val="00836320"/>
    <w:rsid w:val="00837070"/>
    <w:rsid w:val="0084094A"/>
    <w:rsid w:val="00841418"/>
    <w:rsid w:val="00844F54"/>
    <w:rsid w:val="00846425"/>
    <w:rsid w:val="00846EB8"/>
    <w:rsid w:val="0085245B"/>
    <w:rsid w:val="00854F39"/>
    <w:rsid w:val="00857DE5"/>
    <w:rsid w:val="008601DB"/>
    <w:rsid w:val="0086140B"/>
    <w:rsid w:val="0086193A"/>
    <w:rsid w:val="00862400"/>
    <w:rsid w:val="00862CD3"/>
    <w:rsid w:val="00865FF4"/>
    <w:rsid w:val="00866B56"/>
    <w:rsid w:val="00866C7F"/>
    <w:rsid w:val="008724E0"/>
    <w:rsid w:val="0087282C"/>
    <w:rsid w:val="008735D2"/>
    <w:rsid w:val="008741FA"/>
    <w:rsid w:val="00874CAA"/>
    <w:rsid w:val="00875E25"/>
    <w:rsid w:val="00877096"/>
    <w:rsid w:val="008822F2"/>
    <w:rsid w:val="008849AB"/>
    <w:rsid w:val="008853F7"/>
    <w:rsid w:val="00890F54"/>
    <w:rsid w:val="00892484"/>
    <w:rsid w:val="008925E0"/>
    <w:rsid w:val="00892F89"/>
    <w:rsid w:val="008938A8"/>
    <w:rsid w:val="00894C54"/>
    <w:rsid w:val="00897915"/>
    <w:rsid w:val="008979E4"/>
    <w:rsid w:val="008A05DA"/>
    <w:rsid w:val="008A0FE1"/>
    <w:rsid w:val="008A142E"/>
    <w:rsid w:val="008A208A"/>
    <w:rsid w:val="008A2236"/>
    <w:rsid w:val="008A7E4E"/>
    <w:rsid w:val="008B4C2B"/>
    <w:rsid w:val="008B7385"/>
    <w:rsid w:val="008B7929"/>
    <w:rsid w:val="008C0C5D"/>
    <w:rsid w:val="008C1260"/>
    <w:rsid w:val="008C32EC"/>
    <w:rsid w:val="008D35F4"/>
    <w:rsid w:val="008D3C4E"/>
    <w:rsid w:val="008D3D6B"/>
    <w:rsid w:val="008D46C8"/>
    <w:rsid w:val="008E3D27"/>
    <w:rsid w:val="008E5EE2"/>
    <w:rsid w:val="008E6DA3"/>
    <w:rsid w:val="008E7105"/>
    <w:rsid w:val="008E73E3"/>
    <w:rsid w:val="008E74D3"/>
    <w:rsid w:val="008E7A6A"/>
    <w:rsid w:val="008E7DEC"/>
    <w:rsid w:val="008E7F77"/>
    <w:rsid w:val="008F0CFB"/>
    <w:rsid w:val="008F14E6"/>
    <w:rsid w:val="00903C32"/>
    <w:rsid w:val="009105F0"/>
    <w:rsid w:val="00911535"/>
    <w:rsid w:val="0091274D"/>
    <w:rsid w:val="00912B3A"/>
    <w:rsid w:val="0091427A"/>
    <w:rsid w:val="0091641B"/>
    <w:rsid w:val="00920540"/>
    <w:rsid w:val="00920778"/>
    <w:rsid w:val="00920DC1"/>
    <w:rsid w:val="00921FEB"/>
    <w:rsid w:val="00922321"/>
    <w:rsid w:val="009229D4"/>
    <w:rsid w:val="00925406"/>
    <w:rsid w:val="00925A62"/>
    <w:rsid w:val="00930618"/>
    <w:rsid w:val="00937D20"/>
    <w:rsid w:val="00941666"/>
    <w:rsid w:val="00942801"/>
    <w:rsid w:val="0094521E"/>
    <w:rsid w:val="00946291"/>
    <w:rsid w:val="009507F5"/>
    <w:rsid w:val="00950F5D"/>
    <w:rsid w:val="00952D3C"/>
    <w:rsid w:val="00953D1F"/>
    <w:rsid w:val="00955A98"/>
    <w:rsid w:val="00955B3E"/>
    <w:rsid w:val="009563AF"/>
    <w:rsid w:val="00956CEB"/>
    <w:rsid w:val="009570AD"/>
    <w:rsid w:val="00957DC1"/>
    <w:rsid w:val="009626AA"/>
    <w:rsid w:val="00970C48"/>
    <w:rsid w:val="00970FB0"/>
    <w:rsid w:val="009710E6"/>
    <w:rsid w:val="00971E3F"/>
    <w:rsid w:val="009735FF"/>
    <w:rsid w:val="00983D90"/>
    <w:rsid w:val="00984F1D"/>
    <w:rsid w:val="00985C74"/>
    <w:rsid w:val="0098747C"/>
    <w:rsid w:val="00990090"/>
    <w:rsid w:val="00990143"/>
    <w:rsid w:val="009A0487"/>
    <w:rsid w:val="009A194C"/>
    <w:rsid w:val="009A2626"/>
    <w:rsid w:val="009A2EF5"/>
    <w:rsid w:val="009A3D72"/>
    <w:rsid w:val="009A4C31"/>
    <w:rsid w:val="009B10C5"/>
    <w:rsid w:val="009B2916"/>
    <w:rsid w:val="009B3638"/>
    <w:rsid w:val="009B5239"/>
    <w:rsid w:val="009C01E8"/>
    <w:rsid w:val="009C359A"/>
    <w:rsid w:val="009C6A0C"/>
    <w:rsid w:val="009C6A7E"/>
    <w:rsid w:val="009C70E6"/>
    <w:rsid w:val="009D1BAD"/>
    <w:rsid w:val="009D1F6B"/>
    <w:rsid w:val="009D277B"/>
    <w:rsid w:val="009D3680"/>
    <w:rsid w:val="009D3D53"/>
    <w:rsid w:val="009D4303"/>
    <w:rsid w:val="009D629D"/>
    <w:rsid w:val="009D7040"/>
    <w:rsid w:val="009E0560"/>
    <w:rsid w:val="009E08BF"/>
    <w:rsid w:val="009E1568"/>
    <w:rsid w:val="009E5EF1"/>
    <w:rsid w:val="009E65B8"/>
    <w:rsid w:val="009F1CE6"/>
    <w:rsid w:val="009F4872"/>
    <w:rsid w:val="009F6F21"/>
    <w:rsid w:val="00A004E2"/>
    <w:rsid w:val="00A01416"/>
    <w:rsid w:val="00A0142A"/>
    <w:rsid w:val="00A054F1"/>
    <w:rsid w:val="00A06037"/>
    <w:rsid w:val="00A06D4D"/>
    <w:rsid w:val="00A12390"/>
    <w:rsid w:val="00A139DC"/>
    <w:rsid w:val="00A15B8D"/>
    <w:rsid w:val="00A15D6A"/>
    <w:rsid w:val="00A1786A"/>
    <w:rsid w:val="00A2166C"/>
    <w:rsid w:val="00A2403C"/>
    <w:rsid w:val="00A24C2A"/>
    <w:rsid w:val="00A252E9"/>
    <w:rsid w:val="00A25DA4"/>
    <w:rsid w:val="00A26727"/>
    <w:rsid w:val="00A31389"/>
    <w:rsid w:val="00A32E29"/>
    <w:rsid w:val="00A40C93"/>
    <w:rsid w:val="00A4269B"/>
    <w:rsid w:val="00A42FCC"/>
    <w:rsid w:val="00A43B07"/>
    <w:rsid w:val="00A44BA6"/>
    <w:rsid w:val="00A4512F"/>
    <w:rsid w:val="00A455C0"/>
    <w:rsid w:val="00A45B89"/>
    <w:rsid w:val="00A517DE"/>
    <w:rsid w:val="00A5410E"/>
    <w:rsid w:val="00A56307"/>
    <w:rsid w:val="00A56920"/>
    <w:rsid w:val="00A578D2"/>
    <w:rsid w:val="00A64B7B"/>
    <w:rsid w:val="00A67A51"/>
    <w:rsid w:val="00A70D8F"/>
    <w:rsid w:val="00A70F50"/>
    <w:rsid w:val="00A746DF"/>
    <w:rsid w:val="00A74A02"/>
    <w:rsid w:val="00A74A8A"/>
    <w:rsid w:val="00A75587"/>
    <w:rsid w:val="00A81559"/>
    <w:rsid w:val="00A825C7"/>
    <w:rsid w:val="00A83DD8"/>
    <w:rsid w:val="00A850AC"/>
    <w:rsid w:val="00A92AC1"/>
    <w:rsid w:val="00A93498"/>
    <w:rsid w:val="00A93C9C"/>
    <w:rsid w:val="00A93CDE"/>
    <w:rsid w:val="00A948EC"/>
    <w:rsid w:val="00AA00C9"/>
    <w:rsid w:val="00AA1B11"/>
    <w:rsid w:val="00AA4035"/>
    <w:rsid w:val="00AA4B84"/>
    <w:rsid w:val="00AA68D5"/>
    <w:rsid w:val="00AA7F56"/>
    <w:rsid w:val="00AB0FD3"/>
    <w:rsid w:val="00AB31FE"/>
    <w:rsid w:val="00AB321F"/>
    <w:rsid w:val="00AB7D63"/>
    <w:rsid w:val="00AC1BE1"/>
    <w:rsid w:val="00AC1D1B"/>
    <w:rsid w:val="00AC64A8"/>
    <w:rsid w:val="00AD1A65"/>
    <w:rsid w:val="00AD2906"/>
    <w:rsid w:val="00AD3DE5"/>
    <w:rsid w:val="00AD4280"/>
    <w:rsid w:val="00AD435A"/>
    <w:rsid w:val="00AD4747"/>
    <w:rsid w:val="00AD6331"/>
    <w:rsid w:val="00AE060F"/>
    <w:rsid w:val="00AE21FF"/>
    <w:rsid w:val="00AE2AE0"/>
    <w:rsid w:val="00AE546D"/>
    <w:rsid w:val="00AE69F7"/>
    <w:rsid w:val="00AE7456"/>
    <w:rsid w:val="00AF0322"/>
    <w:rsid w:val="00AF0847"/>
    <w:rsid w:val="00AF537A"/>
    <w:rsid w:val="00AF739D"/>
    <w:rsid w:val="00B00409"/>
    <w:rsid w:val="00B02891"/>
    <w:rsid w:val="00B02F42"/>
    <w:rsid w:val="00B03855"/>
    <w:rsid w:val="00B0514D"/>
    <w:rsid w:val="00B0739C"/>
    <w:rsid w:val="00B110E1"/>
    <w:rsid w:val="00B1127F"/>
    <w:rsid w:val="00B11691"/>
    <w:rsid w:val="00B12559"/>
    <w:rsid w:val="00B16DB4"/>
    <w:rsid w:val="00B16FA9"/>
    <w:rsid w:val="00B2021B"/>
    <w:rsid w:val="00B22C69"/>
    <w:rsid w:val="00B22EB2"/>
    <w:rsid w:val="00B24855"/>
    <w:rsid w:val="00B25F31"/>
    <w:rsid w:val="00B35360"/>
    <w:rsid w:val="00B37175"/>
    <w:rsid w:val="00B40E4A"/>
    <w:rsid w:val="00B418D7"/>
    <w:rsid w:val="00B42C81"/>
    <w:rsid w:val="00B43589"/>
    <w:rsid w:val="00B43658"/>
    <w:rsid w:val="00B4433D"/>
    <w:rsid w:val="00B4511C"/>
    <w:rsid w:val="00B45982"/>
    <w:rsid w:val="00B45BC1"/>
    <w:rsid w:val="00B4651B"/>
    <w:rsid w:val="00B500B8"/>
    <w:rsid w:val="00B5091C"/>
    <w:rsid w:val="00B51390"/>
    <w:rsid w:val="00B56037"/>
    <w:rsid w:val="00B56188"/>
    <w:rsid w:val="00B577D1"/>
    <w:rsid w:val="00B62A9A"/>
    <w:rsid w:val="00B63217"/>
    <w:rsid w:val="00B63551"/>
    <w:rsid w:val="00B667C4"/>
    <w:rsid w:val="00B67971"/>
    <w:rsid w:val="00B70059"/>
    <w:rsid w:val="00B70EC8"/>
    <w:rsid w:val="00B80948"/>
    <w:rsid w:val="00B85517"/>
    <w:rsid w:val="00B9033C"/>
    <w:rsid w:val="00B93BD9"/>
    <w:rsid w:val="00B94BE4"/>
    <w:rsid w:val="00B94DA4"/>
    <w:rsid w:val="00B95BF2"/>
    <w:rsid w:val="00B95D9F"/>
    <w:rsid w:val="00B96F28"/>
    <w:rsid w:val="00BA00B7"/>
    <w:rsid w:val="00BA4860"/>
    <w:rsid w:val="00BA74A1"/>
    <w:rsid w:val="00BA7A07"/>
    <w:rsid w:val="00BA7B84"/>
    <w:rsid w:val="00BB0A10"/>
    <w:rsid w:val="00BB0AB1"/>
    <w:rsid w:val="00BB277F"/>
    <w:rsid w:val="00BB2997"/>
    <w:rsid w:val="00BB4D83"/>
    <w:rsid w:val="00BB5682"/>
    <w:rsid w:val="00BB572D"/>
    <w:rsid w:val="00BB5B8B"/>
    <w:rsid w:val="00BB6378"/>
    <w:rsid w:val="00BC2520"/>
    <w:rsid w:val="00BC35EB"/>
    <w:rsid w:val="00BC5867"/>
    <w:rsid w:val="00BC587B"/>
    <w:rsid w:val="00BC5A8D"/>
    <w:rsid w:val="00BC7FA5"/>
    <w:rsid w:val="00BD0FD8"/>
    <w:rsid w:val="00BD4DB0"/>
    <w:rsid w:val="00BD712F"/>
    <w:rsid w:val="00BE40B7"/>
    <w:rsid w:val="00BF14AB"/>
    <w:rsid w:val="00BF2D91"/>
    <w:rsid w:val="00BF37A0"/>
    <w:rsid w:val="00BF47C5"/>
    <w:rsid w:val="00BF666F"/>
    <w:rsid w:val="00C01012"/>
    <w:rsid w:val="00C02878"/>
    <w:rsid w:val="00C02B96"/>
    <w:rsid w:val="00C0480B"/>
    <w:rsid w:val="00C04A6C"/>
    <w:rsid w:val="00C12A16"/>
    <w:rsid w:val="00C142AB"/>
    <w:rsid w:val="00C1467F"/>
    <w:rsid w:val="00C15596"/>
    <w:rsid w:val="00C15A80"/>
    <w:rsid w:val="00C173CA"/>
    <w:rsid w:val="00C20CC8"/>
    <w:rsid w:val="00C21428"/>
    <w:rsid w:val="00C24059"/>
    <w:rsid w:val="00C25F74"/>
    <w:rsid w:val="00C26B83"/>
    <w:rsid w:val="00C2709A"/>
    <w:rsid w:val="00C30C15"/>
    <w:rsid w:val="00C32013"/>
    <w:rsid w:val="00C3204F"/>
    <w:rsid w:val="00C34842"/>
    <w:rsid w:val="00C359DE"/>
    <w:rsid w:val="00C35E38"/>
    <w:rsid w:val="00C3796E"/>
    <w:rsid w:val="00C40F21"/>
    <w:rsid w:val="00C414CB"/>
    <w:rsid w:val="00C4560B"/>
    <w:rsid w:val="00C471C1"/>
    <w:rsid w:val="00C57C38"/>
    <w:rsid w:val="00C6570F"/>
    <w:rsid w:val="00C670E9"/>
    <w:rsid w:val="00C67440"/>
    <w:rsid w:val="00C7153F"/>
    <w:rsid w:val="00C73727"/>
    <w:rsid w:val="00C76221"/>
    <w:rsid w:val="00C80708"/>
    <w:rsid w:val="00C80FD9"/>
    <w:rsid w:val="00C81706"/>
    <w:rsid w:val="00C82197"/>
    <w:rsid w:val="00C85731"/>
    <w:rsid w:val="00C86C1D"/>
    <w:rsid w:val="00C86E08"/>
    <w:rsid w:val="00C92DF1"/>
    <w:rsid w:val="00C92DFC"/>
    <w:rsid w:val="00C93224"/>
    <w:rsid w:val="00C96F60"/>
    <w:rsid w:val="00CA08EC"/>
    <w:rsid w:val="00CA15BD"/>
    <w:rsid w:val="00CA670F"/>
    <w:rsid w:val="00CA7E0F"/>
    <w:rsid w:val="00CB2319"/>
    <w:rsid w:val="00CB2917"/>
    <w:rsid w:val="00CB349A"/>
    <w:rsid w:val="00CB5B82"/>
    <w:rsid w:val="00CB5BB3"/>
    <w:rsid w:val="00CB7B58"/>
    <w:rsid w:val="00CC2AA7"/>
    <w:rsid w:val="00CC3546"/>
    <w:rsid w:val="00CC4B47"/>
    <w:rsid w:val="00CD1091"/>
    <w:rsid w:val="00CD16CE"/>
    <w:rsid w:val="00CD2D41"/>
    <w:rsid w:val="00CD73A3"/>
    <w:rsid w:val="00CE04DA"/>
    <w:rsid w:val="00CE2896"/>
    <w:rsid w:val="00CE57E8"/>
    <w:rsid w:val="00CF2941"/>
    <w:rsid w:val="00CF362F"/>
    <w:rsid w:val="00CF3632"/>
    <w:rsid w:val="00CF66B7"/>
    <w:rsid w:val="00CF76B6"/>
    <w:rsid w:val="00CF7D82"/>
    <w:rsid w:val="00CF7E2E"/>
    <w:rsid w:val="00D0540A"/>
    <w:rsid w:val="00D12313"/>
    <w:rsid w:val="00D12AB0"/>
    <w:rsid w:val="00D14278"/>
    <w:rsid w:val="00D1447F"/>
    <w:rsid w:val="00D164DE"/>
    <w:rsid w:val="00D16588"/>
    <w:rsid w:val="00D169FA"/>
    <w:rsid w:val="00D20BAE"/>
    <w:rsid w:val="00D21C4D"/>
    <w:rsid w:val="00D2373F"/>
    <w:rsid w:val="00D25B16"/>
    <w:rsid w:val="00D261C3"/>
    <w:rsid w:val="00D31C0E"/>
    <w:rsid w:val="00D328DC"/>
    <w:rsid w:val="00D33899"/>
    <w:rsid w:val="00D349EE"/>
    <w:rsid w:val="00D37AB6"/>
    <w:rsid w:val="00D402FC"/>
    <w:rsid w:val="00D4374D"/>
    <w:rsid w:val="00D5212B"/>
    <w:rsid w:val="00D53629"/>
    <w:rsid w:val="00D56BD2"/>
    <w:rsid w:val="00D62F55"/>
    <w:rsid w:val="00D65DDB"/>
    <w:rsid w:val="00D67153"/>
    <w:rsid w:val="00D67E23"/>
    <w:rsid w:val="00D70C62"/>
    <w:rsid w:val="00D71E5E"/>
    <w:rsid w:val="00D725E0"/>
    <w:rsid w:val="00D73039"/>
    <w:rsid w:val="00D736B3"/>
    <w:rsid w:val="00D747FF"/>
    <w:rsid w:val="00D76077"/>
    <w:rsid w:val="00D76220"/>
    <w:rsid w:val="00D762ED"/>
    <w:rsid w:val="00D76554"/>
    <w:rsid w:val="00D774F1"/>
    <w:rsid w:val="00D809A9"/>
    <w:rsid w:val="00D80C52"/>
    <w:rsid w:val="00D81A61"/>
    <w:rsid w:val="00D82FCF"/>
    <w:rsid w:val="00D831DD"/>
    <w:rsid w:val="00D85110"/>
    <w:rsid w:val="00D87B09"/>
    <w:rsid w:val="00D87FE0"/>
    <w:rsid w:val="00D9115E"/>
    <w:rsid w:val="00D9316D"/>
    <w:rsid w:val="00D956E1"/>
    <w:rsid w:val="00D95F56"/>
    <w:rsid w:val="00D9606E"/>
    <w:rsid w:val="00D97B78"/>
    <w:rsid w:val="00D97FD0"/>
    <w:rsid w:val="00DA2200"/>
    <w:rsid w:val="00DA56E9"/>
    <w:rsid w:val="00DB0D8C"/>
    <w:rsid w:val="00DB0F30"/>
    <w:rsid w:val="00DB1749"/>
    <w:rsid w:val="00DB200D"/>
    <w:rsid w:val="00DB4519"/>
    <w:rsid w:val="00DB4710"/>
    <w:rsid w:val="00DB495C"/>
    <w:rsid w:val="00DB535E"/>
    <w:rsid w:val="00DB76B8"/>
    <w:rsid w:val="00DC1B7D"/>
    <w:rsid w:val="00DC22F7"/>
    <w:rsid w:val="00DC3C53"/>
    <w:rsid w:val="00DC4667"/>
    <w:rsid w:val="00DD2524"/>
    <w:rsid w:val="00DD2E23"/>
    <w:rsid w:val="00DD3864"/>
    <w:rsid w:val="00DD4A71"/>
    <w:rsid w:val="00DD70EA"/>
    <w:rsid w:val="00DD7321"/>
    <w:rsid w:val="00DE0275"/>
    <w:rsid w:val="00DE08A8"/>
    <w:rsid w:val="00DE55B4"/>
    <w:rsid w:val="00DE60BE"/>
    <w:rsid w:val="00DE7272"/>
    <w:rsid w:val="00DE7D66"/>
    <w:rsid w:val="00DF0563"/>
    <w:rsid w:val="00DF55AB"/>
    <w:rsid w:val="00DF61C7"/>
    <w:rsid w:val="00E00072"/>
    <w:rsid w:val="00E0123E"/>
    <w:rsid w:val="00E014A2"/>
    <w:rsid w:val="00E01B06"/>
    <w:rsid w:val="00E02C74"/>
    <w:rsid w:val="00E05DEB"/>
    <w:rsid w:val="00E0602A"/>
    <w:rsid w:val="00E0650B"/>
    <w:rsid w:val="00E06E9E"/>
    <w:rsid w:val="00E077AF"/>
    <w:rsid w:val="00E14983"/>
    <w:rsid w:val="00E15639"/>
    <w:rsid w:val="00E1626C"/>
    <w:rsid w:val="00E17181"/>
    <w:rsid w:val="00E20C71"/>
    <w:rsid w:val="00E2362C"/>
    <w:rsid w:val="00E2388C"/>
    <w:rsid w:val="00E26D8D"/>
    <w:rsid w:val="00E3043C"/>
    <w:rsid w:val="00E31181"/>
    <w:rsid w:val="00E31E70"/>
    <w:rsid w:val="00E34C05"/>
    <w:rsid w:val="00E362B0"/>
    <w:rsid w:val="00E36B48"/>
    <w:rsid w:val="00E4137E"/>
    <w:rsid w:val="00E42E9C"/>
    <w:rsid w:val="00E469B4"/>
    <w:rsid w:val="00E46DD6"/>
    <w:rsid w:val="00E47A33"/>
    <w:rsid w:val="00E50F24"/>
    <w:rsid w:val="00E52D10"/>
    <w:rsid w:val="00E55867"/>
    <w:rsid w:val="00E62B5B"/>
    <w:rsid w:val="00E66D95"/>
    <w:rsid w:val="00E67D87"/>
    <w:rsid w:val="00E70467"/>
    <w:rsid w:val="00E7367D"/>
    <w:rsid w:val="00E74645"/>
    <w:rsid w:val="00E756BB"/>
    <w:rsid w:val="00E76C98"/>
    <w:rsid w:val="00E831B2"/>
    <w:rsid w:val="00E83E1E"/>
    <w:rsid w:val="00E86DD7"/>
    <w:rsid w:val="00E9302A"/>
    <w:rsid w:val="00E95A89"/>
    <w:rsid w:val="00E96FC2"/>
    <w:rsid w:val="00E97A76"/>
    <w:rsid w:val="00E97B90"/>
    <w:rsid w:val="00EA131A"/>
    <w:rsid w:val="00EA2408"/>
    <w:rsid w:val="00EA36A7"/>
    <w:rsid w:val="00EA6D62"/>
    <w:rsid w:val="00EA7284"/>
    <w:rsid w:val="00EA74AF"/>
    <w:rsid w:val="00EA76F1"/>
    <w:rsid w:val="00EB3E67"/>
    <w:rsid w:val="00EB44CC"/>
    <w:rsid w:val="00EC1695"/>
    <w:rsid w:val="00EC21CF"/>
    <w:rsid w:val="00EC4DDE"/>
    <w:rsid w:val="00EC579E"/>
    <w:rsid w:val="00ED0136"/>
    <w:rsid w:val="00ED0DA9"/>
    <w:rsid w:val="00ED3275"/>
    <w:rsid w:val="00ED329F"/>
    <w:rsid w:val="00ED4C82"/>
    <w:rsid w:val="00ED7200"/>
    <w:rsid w:val="00EE19FE"/>
    <w:rsid w:val="00EE3087"/>
    <w:rsid w:val="00EE4245"/>
    <w:rsid w:val="00EE4A48"/>
    <w:rsid w:val="00EE6D64"/>
    <w:rsid w:val="00EF5E2A"/>
    <w:rsid w:val="00EF64B1"/>
    <w:rsid w:val="00EF6548"/>
    <w:rsid w:val="00F00D98"/>
    <w:rsid w:val="00F00EFA"/>
    <w:rsid w:val="00F017D9"/>
    <w:rsid w:val="00F02574"/>
    <w:rsid w:val="00F05A90"/>
    <w:rsid w:val="00F05E3C"/>
    <w:rsid w:val="00F07248"/>
    <w:rsid w:val="00F07B0D"/>
    <w:rsid w:val="00F07C34"/>
    <w:rsid w:val="00F10664"/>
    <w:rsid w:val="00F146B3"/>
    <w:rsid w:val="00F14C98"/>
    <w:rsid w:val="00F24423"/>
    <w:rsid w:val="00F2730E"/>
    <w:rsid w:val="00F311C0"/>
    <w:rsid w:val="00F31375"/>
    <w:rsid w:val="00F31F4A"/>
    <w:rsid w:val="00F335BE"/>
    <w:rsid w:val="00F34E44"/>
    <w:rsid w:val="00F373D4"/>
    <w:rsid w:val="00F42672"/>
    <w:rsid w:val="00F44A9F"/>
    <w:rsid w:val="00F474A5"/>
    <w:rsid w:val="00F47DCF"/>
    <w:rsid w:val="00F528DD"/>
    <w:rsid w:val="00F57E0A"/>
    <w:rsid w:val="00F71FCD"/>
    <w:rsid w:val="00F73F8E"/>
    <w:rsid w:val="00F741FB"/>
    <w:rsid w:val="00F751B5"/>
    <w:rsid w:val="00F769AB"/>
    <w:rsid w:val="00F80D46"/>
    <w:rsid w:val="00F816DF"/>
    <w:rsid w:val="00F83C2B"/>
    <w:rsid w:val="00F83E07"/>
    <w:rsid w:val="00F8437D"/>
    <w:rsid w:val="00F84FD8"/>
    <w:rsid w:val="00F8617A"/>
    <w:rsid w:val="00F86C8F"/>
    <w:rsid w:val="00F86D9B"/>
    <w:rsid w:val="00F904BB"/>
    <w:rsid w:val="00F9173C"/>
    <w:rsid w:val="00F91C33"/>
    <w:rsid w:val="00F97379"/>
    <w:rsid w:val="00F97E5B"/>
    <w:rsid w:val="00FA0C5C"/>
    <w:rsid w:val="00FA3077"/>
    <w:rsid w:val="00FA3DB8"/>
    <w:rsid w:val="00FB6614"/>
    <w:rsid w:val="00FB6BBA"/>
    <w:rsid w:val="00FB7F40"/>
    <w:rsid w:val="00FC0429"/>
    <w:rsid w:val="00FC3A4E"/>
    <w:rsid w:val="00FC4772"/>
    <w:rsid w:val="00FC6173"/>
    <w:rsid w:val="00FC6303"/>
    <w:rsid w:val="00FC6EE9"/>
    <w:rsid w:val="00FD2AD0"/>
    <w:rsid w:val="00FD42CD"/>
    <w:rsid w:val="00FD5DB5"/>
    <w:rsid w:val="00FE2146"/>
    <w:rsid w:val="00FE339D"/>
    <w:rsid w:val="00FE4935"/>
    <w:rsid w:val="00FE596A"/>
    <w:rsid w:val="00FE72B1"/>
    <w:rsid w:val="00FF1607"/>
    <w:rsid w:val="00FF267A"/>
    <w:rsid w:val="00FF3263"/>
    <w:rsid w:val="00FF333E"/>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64522945">
      <w:bodyDiv w:val="1"/>
      <w:marLeft w:val="0"/>
      <w:marRight w:val="0"/>
      <w:marTop w:val="0"/>
      <w:marBottom w:val="0"/>
      <w:divBdr>
        <w:top w:val="none" w:sz="0" w:space="0" w:color="auto"/>
        <w:left w:val="none" w:sz="0" w:space="0" w:color="auto"/>
        <w:bottom w:val="none" w:sz="0" w:space="0" w:color="auto"/>
        <w:right w:val="none" w:sz="0" w:space="0" w:color="auto"/>
      </w:divBdr>
    </w:div>
    <w:div w:id="379330372">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05151168">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98769810">
      <w:bodyDiv w:val="1"/>
      <w:marLeft w:val="0"/>
      <w:marRight w:val="0"/>
      <w:marTop w:val="0"/>
      <w:marBottom w:val="0"/>
      <w:divBdr>
        <w:top w:val="none" w:sz="0" w:space="0" w:color="auto"/>
        <w:left w:val="none" w:sz="0" w:space="0" w:color="auto"/>
        <w:bottom w:val="none" w:sz="0" w:space="0" w:color="auto"/>
        <w:right w:val="none" w:sz="0" w:space="0" w:color="auto"/>
      </w:divBdr>
      <w:divsChild>
        <w:div w:id="731923202">
          <w:marLeft w:val="0"/>
          <w:marRight w:val="0"/>
          <w:marTop w:val="0"/>
          <w:marBottom w:val="0"/>
          <w:divBdr>
            <w:top w:val="none" w:sz="0" w:space="0" w:color="auto"/>
            <w:left w:val="none" w:sz="0" w:space="0" w:color="auto"/>
            <w:bottom w:val="none" w:sz="0" w:space="0" w:color="auto"/>
            <w:right w:val="none" w:sz="0" w:space="0" w:color="auto"/>
          </w:divBdr>
          <w:divsChild>
            <w:div w:id="1309869965">
              <w:marLeft w:val="0"/>
              <w:marRight w:val="0"/>
              <w:marTop w:val="0"/>
              <w:marBottom w:val="0"/>
              <w:divBdr>
                <w:top w:val="none" w:sz="0" w:space="0" w:color="auto"/>
                <w:left w:val="none" w:sz="0" w:space="0" w:color="auto"/>
                <w:bottom w:val="none" w:sz="0" w:space="0" w:color="auto"/>
                <w:right w:val="none" w:sz="0" w:space="0" w:color="auto"/>
              </w:divBdr>
              <w:divsChild>
                <w:div w:id="1581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777410888">
      <w:bodyDiv w:val="1"/>
      <w:marLeft w:val="0"/>
      <w:marRight w:val="0"/>
      <w:marTop w:val="0"/>
      <w:marBottom w:val="0"/>
      <w:divBdr>
        <w:top w:val="none" w:sz="0" w:space="0" w:color="auto"/>
        <w:left w:val="none" w:sz="0" w:space="0" w:color="auto"/>
        <w:bottom w:val="none" w:sz="0" w:space="0" w:color="auto"/>
        <w:right w:val="none" w:sz="0" w:space="0" w:color="auto"/>
      </w:divBdr>
      <w:divsChild>
        <w:div w:id="2074618318">
          <w:marLeft w:val="0"/>
          <w:marRight w:val="0"/>
          <w:marTop w:val="0"/>
          <w:marBottom w:val="0"/>
          <w:divBdr>
            <w:top w:val="none" w:sz="0" w:space="0" w:color="auto"/>
            <w:left w:val="none" w:sz="0" w:space="0" w:color="auto"/>
            <w:bottom w:val="none" w:sz="0" w:space="0" w:color="auto"/>
            <w:right w:val="none" w:sz="0" w:space="0" w:color="auto"/>
          </w:divBdr>
          <w:divsChild>
            <w:div w:id="291205795">
              <w:marLeft w:val="0"/>
              <w:marRight w:val="0"/>
              <w:marTop w:val="0"/>
              <w:marBottom w:val="0"/>
              <w:divBdr>
                <w:top w:val="none" w:sz="0" w:space="0" w:color="auto"/>
                <w:left w:val="none" w:sz="0" w:space="0" w:color="auto"/>
                <w:bottom w:val="none" w:sz="0" w:space="0" w:color="auto"/>
                <w:right w:val="none" w:sz="0" w:space="0" w:color="auto"/>
              </w:divBdr>
              <w:divsChild>
                <w:div w:id="20742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5996-B2A9-4472-AD44-E6F2D0DA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Mariana Anguelov</cp:lastModifiedBy>
  <cp:revision>3</cp:revision>
  <cp:lastPrinted>2022-12-15T04:15:00Z</cp:lastPrinted>
  <dcterms:created xsi:type="dcterms:W3CDTF">2022-12-21T09:57:00Z</dcterms:created>
  <dcterms:modified xsi:type="dcterms:W3CDTF">2022-12-21T18:34:00Z</dcterms:modified>
</cp:coreProperties>
</file>